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7D81B"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18C9FFA9" wp14:editId="1861A32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BCA4CA4"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0AEAF856" w14:textId="77777777" w:rsidR="00DF48AA" w:rsidRPr="00DF48AA" w:rsidRDefault="00BC1364" w:rsidP="00DF48AA">
      <w:pPr>
        <w:pStyle w:val="Subtitle"/>
      </w:pPr>
      <w:r w:rsidRPr="00F715D1">
        <w:t xml:space="preserve">Application No. </w:t>
      </w:r>
      <w:r w:rsidR="00DF48AA">
        <w:t>1530</w:t>
      </w:r>
      <w:r w:rsidRPr="00F715D1">
        <w:t xml:space="preserve"> – </w:t>
      </w:r>
      <w:r w:rsidR="00DF48AA" w:rsidRPr="00DF48AA">
        <w:t>Purified human alpha1-proteinase inhibitor for the treatment of alpha1-proteinase inhibitor deficiency, leading to chronic obstructive pulmonary disease</w:t>
      </w:r>
    </w:p>
    <w:p w14:paraId="7345BD07"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DF48AA">
        <w:rPr>
          <w:rFonts w:ascii="Arial" w:hAnsi="Arial" w:cs="Arial"/>
          <w:b/>
          <w:szCs w:val="24"/>
        </w:rPr>
        <w:t>National Blood Authority (NBA)</w:t>
      </w:r>
    </w:p>
    <w:p w14:paraId="5571A1D0" w14:textId="6B6CF2B0"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DF48AA">
        <w:rPr>
          <w:rFonts w:ascii="Arial" w:hAnsi="Arial" w:cs="Arial"/>
          <w:b/>
          <w:szCs w:val="24"/>
        </w:rPr>
        <w:t>74th</w:t>
      </w:r>
      <w:r w:rsidR="00EB6B6F" w:rsidRPr="00F715D1">
        <w:rPr>
          <w:rFonts w:ascii="Arial" w:hAnsi="Arial" w:cs="Arial"/>
          <w:b/>
          <w:szCs w:val="24"/>
        </w:rPr>
        <w:t xml:space="preserve"> </w:t>
      </w:r>
      <w:r w:rsidRPr="00F715D1">
        <w:rPr>
          <w:rFonts w:ascii="Arial" w:hAnsi="Arial" w:cs="Arial"/>
          <w:b/>
          <w:szCs w:val="24"/>
        </w:rPr>
        <w:t xml:space="preserve">Meeting, </w:t>
      </w:r>
      <w:r w:rsidR="00D04EEB">
        <w:rPr>
          <w:rFonts w:ascii="Arial" w:hAnsi="Arial" w:cs="Arial"/>
          <w:b/>
          <w:szCs w:val="24"/>
        </w:rPr>
        <w:t>22-23</w:t>
      </w:r>
      <w:bookmarkStart w:id="0" w:name="_GoBack"/>
      <w:bookmarkEnd w:id="0"/>
      <w:r w:rsidR="00DF48AA">
        <w:rPr>
          <w:rFonts w:ascii="Arial" w:hAnsi="Arial" w:cs="Arial"/>
          <w:b/>
          <w:szCs w:val="24"/>
        </w:rPr>
        <w:t xml:space="preserve"> November 2018</w:t>
      </w:r>
    </w:p>
    <w:p w14:paraId="0359948A" w14:textId="77777777" w:rsidR="0041184F" w:rsidRPr="00B03EAB" w:rsidRDefault="006A0D97" w:rsidP="00B03EAB">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sidR="00F715D1">
        <w:rPr>
          <w:szCs w:val="24"/>
        </w:rPr>
        <w:t>h its Terms of Reference</w:t>
      </w:r>
      <w:proofErr w:type="gramEnd"/>
      <w:r w:rsidR="00F715D1">
        <w:rPr>
          <w:szCs w:val="24"/>
        </w:rPr>
        <w:t>,</w:t>
      </w:r>
      <w:r w:rsidRPr="00F715D1">
        <w:rPr>
          <w:szCs w:val="24"/>
        </w:rPr>
        <w:t xml:space="preserve"> </w:t>
      </w:r>
      <w:hyperlink r:id="rId9" w:tooltip="Link to Medical Services Advisory Committee website" w:history="1">
        <w:proofErr w:type="gramStart"/>
        <w:r w:rsidR="00F715D1" w:rsidRPr="00F715D1">
          <w:rPr>
            <w:rStyle w:val="Hyperlink"/>
            <w:szCs w:val="24"/>
          </w:rPr>
          <w:t>visit the MSAC website</w:t>
        </w:r>
        <w:proofErr w:type="gramEnd"/>
      </w:hyperlink>
    </w:p>
    <w:p w14:paraId="1EA41BCC" w14:textId="77777777" w:rsidR="003D7F29" w:rsidRPr="00F715D1" w:rsidRDefault="003D7F29" w:rsidP="00F715D1">
      <w:pPr>
        <w:pStyle w:val="Heading1"/>
      </w:pPr>
      <w:r w:rsidRPr="00F715D1">
        <w:t>Purpose of application</w:t>
      </w:r>
      <w:r w:rsidR="00822C7E" w:rsidRPr="00F715D1">
        <w:t xml:space="preserve"> </w:t>
      </w:r>
    </w:p>
    <w:p w14:paraId="18CB144A" w14:textId="77777777" w:rsidR="00C415A2" w:rsidRPr="00C415A2" w:rsidRDefault="00C415A2" w:rsidP="00C415A2">
      <w:pPr>
        <w:tabs>
          <w:tab w:val="left" w:pos="284"/>
          <w:tab w:val="left" w:pos="720"/>
        </w:tabs>
        <w:rPr>
          <w:iCs/>
        </w:rPr>
      </w:pPr>
      <w:r w:rsidRPr="00C415A2">
        <w:rPr>
          <w:iCs/>
        </w:rPr>
        <w:t xml:space="preserve">An application requesting National Product List (NPL) blood product listing of purified human </w:t>
      </w:r>
      <w:r w:rsidRPr="00C415A2">
        <w:rPr>
          <w:szCs w:val="24"/>
        </w:rPr>
        <w:t>alpha1-proteinase inhibitor (</w:t>
      </w:r>
      <w:r w:rsidRPr="00C415A2">
        <w:rPr>
          <w:iCs/>
        </w:rPr>
        <w:t xml:space="preserve">A1-PI) for the treatment of A1-PI deficiency, leading to chronic obstructive pulmonary disease (COPD), </w:t>
      </w:r>
      <w:proofErr w:type="gramStart"/>
      <w:r w:rsidRPr="00C415A2">
        <w:rPr>
          <w:iCs/>
        </w:rPr>
        <w:t>was received</w:t>
      </w:r>
      <w:proofErr w:type="gramEnd"/>
      <w:r w:rsidRPr="00C415A2">
        <w:rPr>
          <w:iCs/>
        </w:rPr>
        <w:t xml:space="preserve"> from the </w:t>
      </w:r>
      <w:r w:rsidRPr="00C415A2">
        <w:rPr>
          <w:iCs/>
          <w:lang w:val="en-US"/>
        </w:rPr>
        <w:t>National Blood Authority</w:t>
      </w:r>
      <w:r w:rsidRPr="00C415A2">
        <w:rPr>
          <w:iCs/>
        </w:rPr>
        <w:t xml:space="preserve"> (NBA) by the Department of Health.</w:t>
      </w:r>
    </w:p>
    <w:p w14:paraId="41D610AE" w14:textId="77777777" w:rsidR="00E977EE" w:rsidRPr="00F715D1" w:rsidRDefault="00E977EE" w:rsidP="00F715D1">
      <w:pPr>
        <w:pStyle w:val="Heading1"/>
      </w:pPr>
      <w:r w:rsidRPr="00F715D1">
        <w:t>MSAC’s advice to the Minister</w:t>
      </w:r>
    </w:p>
    <w:p w14:paraId="4C4ACD16" w14:textId="124A9BFD" w:rsidR="00CF7307" w:rsidRPr="0041184F" w:rsidRDefault="009E7373" w:rsidP="00F715D1">
      <w:pPr>
        <w:pStyle w:val="Default"/>
        <w:spacing w:after="240"/>
        <w:rPr>
          <w:b/>
          <w:i/>
          <w:color w:val="auto"/>
        </w:rPr>
      </w:pPr>
      <w:r w:rsidRPr="001342D1">
        <w:t>After considering the strength o</w:t>
      </w:r>
      <w:r w:rsidR="0075564B">
        <w:t xml:space="preserve">f </w:t>
      </w:r>
      <w:r w:rsidRPr="001342D1">
        <w:t>available evidence in relation to comparative safety, clinical effectiveness and cost</w:t>
      </w:r>
      <w:r>
        <w:t>-</w:t>
      </w:r>
      <w:r w:rsidRPr="001342D1">
        <w:t xml:space="preserve">effectiveness, </w:t>
      </w:r>
      <w:r w:rsidRPr="00097978">
        <w:t>MSAC did not support A1-P</w:t>
      </w:r>
      <w:r>
        <w:t>I</w:t>
      </w:r>
      <w:r w:rsidRPr="00097978">
        <w:t xml:space="preserve"> for the treatment of A1-P</w:t>
      </w:r>
      <w:r>
        <w:t>I</w:t>
      </w:r>
      <w:r w:rsidRPr="00097978">
        <w:t xml:space="preserve"> deficiency. MSAC recognised the large unmet clinical need and the evidence of a radiologically detectable treatment effect, but was concerned with the weak evidentiary basis provided to suggest that </w:t>
      </w:r>
      <w:r w:rsidR="00887C30">
        <w:t>changes in CT density</w:t>
      </w:r>
      <w:r w:rsidR="00887C30" w:rsidRPr="00097978">
        <w:t xml:space="preserve"> </w:t>
      </w:r>
      <w:r w:rsidRPr="00097978">
        <w:t xml:space="preserve">predicts clinically meaningful health outcomes. MSAC also advised that, even with </w:t>
      </w:r>
      <w:r w:rsidR="00887C30">
        <w:t xml:space="preserve">favourable </w:t>
      </w:r>
      <w:r w:rsidRPr="00097978">
        <w:t xml:space="preserve">assumptions </w:t>
      </w:r>
      <w:r w:rsidR="00887C30">
        <w:t>regarding estimates of possible health outcomes of</w:t>
      </w:r>
      <w:r w:rsidR="00887C30" w:rsidRPr="00097978">
        <w:t xml:space="preserve"> </w:t>
      </w:r>
      <w:r w:rsidRPr="00097978">
        <w:t>A1-P</w:t>
      </w:r>
      <w:r>
        <w:t>I</w:t>
      </w:r>
      <w:r w:rsidR="00887C30">
        <w:t xml:space="preserve"> treatment, </w:t>
      </w:r>
      <w:r w:rsidRPr="00097978">
        <w:t xml:space="preserve">the economic evaluation generated </w:t>
      </w:r>
      <w:proofErr w:type="gramStart"/>
      <w:r w:rsidRPr="00097978">
        <w:t>unacceptably</w:t>
      </w:r>
      <w:proofErr w:type="gramEnd"/>
      <w:r w:rsidRPr="00097978">
        <w:t xml:space="preserve"> large incremental cost-effectiveness ratios at the prices proposed by the sponsors</w:t>
      </w:r>
      <w:r>
        <w:t>.</w:t>
      </w:r>
    </w:p>
    <w:p w14:paraId="6CAA91B7" w14:textId="740AC843" w:rsidR="00550354" w:rsidRPr="00F715D1" w:rsidRDefault="00550354" w:rsidP="00F715D1">
      <w:pPr>
        <w:pStyle w:val="Heading1"/>
      </w:pPr>
      <w:r w:rsidRPr="00F715D1">
        <w:t xml:space="preserve">Summary of consideration </w:t>
      </w:r>
      <w:r w:rsidR="00D83F61">
        <w:t>and rationale for MSAC’s advice</w:t>
      </w:r>
    </w:p>
    <w:p w14:paraId="66A519AE" w14:textId="4A254DE1" w:rsidR="009E7373" w:rsidRDefault="009E7373" w:rsidP="009E7373">
      <w:pPr>
        <w:spacing w:after="240"/>
      </w:pPr>
      <w:r>
        <w:t xml:space="preserve">MSAC noted the impact </w:t>
      </w:r>
      <w:r w:rsidR="00D83F61">
        <w:t xml:space="preserve">that severe </w:t>
      </w:r>
      <w:r w:rsidR="00D83F61">
        <w:rPr>
          <w:rStyle w:val="normaltextrun"/>
          <w:shd w:val="clear" w:color="auto" w:fill="FFFFFF"/>
        </w:rPr>
        <w:t xml:space="preserve">A1-PI deficiency </w:t>
      </w:r>
      <w:r w:rsidR="00D83F61" w:rsidRPr="009B68AE">
        <w:t>(serum A1≤11μM)</w:t>
      </w:r>
      <w:r w:rsidR="0075564B">
        <w:t>,</w:t>
      </w:r>
      <w:r w:rsidR="00D83F61">
        <w:t xml:space="preserve"> </w:t>
      </w:r>
      <w:r w:rsidR="00D83F61">
        <w:rPr>
          <w:rStyle w:val="normaltextrun"/>
          <w:shd w:val="clear" w:color="auto" w:fill="FFFFFF"/>
        </w:rPr>
        <w:t xml:space="preserve">with emphysema </w:t>
      </w:r>
      <w:r w:rsidR="00D83F61" w:rsidRPr="009B68AE">
        <w:t>(FEV</w:t>
      </w:r>
      <w:r w:rsidR="00D83F61" w:rsidRPr="009E4C68">
        <w:rPr>
          <w:vertAlign w:val="subscript"/>
        </w:rPr>
        <w:t>1</w:t>
      </w:r>
      <w:r w:rsidR="00D83F61" w:rsidRPr="009B68AE">
        <w:t>&lt;80%)</w:t>
      </w:r>
      <w:r w:rsidR="0075564B">
        <w:t>,</w:t>
      </w:r>
      <w:r>
        <w:t xml:space="preserve"> has on patients and their </w:t>
      </w:r>
      <w:proofErr w:type="spellStart"/>
      <w:r>
        <w:t>carers</w:t>
      </w:r>
      <w:proofErr w:type="spellEnd"/>
      <w:r>
        <w:t>, resulting in strong consumer support for th</w:t>
      </w:r>
      <w:r w:rsidR="00D83F61">
        <w:t xml:space="preserve">e proposed </w:t>
      </w:r>
      <w:r>
        <w:t>treatment b</w:t>
      </w:r>
      <w:r w:rsidR="00D83F61">
        <w:t>oth in Australia and overseas.</w:t>
      </w:r>
    </w:p>
    <w:p w14:paraId="66D72052" w14:textId="44CE35EC" w:rsidR="009E7373" w:rsidRDefault="009E7373" w:rsidP="009E7373">
      <w:pPr>
        <w:spacing w:after="240"/>
      </w:pPr>
      <w:r>
        <w:t xml:space="preserve">The proposed treatment is </w:t>
      </w:r>
      <w:r w:rsidRPr="009B68AE">
        <w:t>lifelong intravenous blood augmentation</w:t>
      </w:r>
      <w:r>
        <w:t xml:space="preserve"> therapy </w:t>
      </w:r>
      <w:r w:rsidRPr="009B68AE">
        <w:t>via weekly infusions of purified human A1</w:t>
      </w:r>
      <w:r>
        <w:t>-</w:t>
      </w:r>
      <w:r w:rsidRPr="009B68AE">
        <w:t>PI</w:t>
      </w:r>
      <w:r>
        <w:t xml:space="preserve"> for ex- or never-smoking patients. </w:t>
      </w:r>
      <w:r w:rsidR="00AD3B85">
        <w:t xml:space="preserve">MSAC noted that the two alternative products are considered </w:t>
      </w:r>
      <w:proofErr w:type="gramStart"/>
      <w:r w:rsidR="00AD3B85">
        <w:t>to be essentially</w:t>
      </w:r>
      <w:proofErr w:type="gramEnd"/>
      <w:r w:rsidR="00AD3B85">
        <w:t xml:space="preserve"> bioequivalent. </w:t>
      </w:r>
      <w:r>
        <w:t xml:space="preserve">MSAC noted that the </w:t>
      </w:r>
      <w:r w:rsidRPr="009B68AE">
        <w:t>recommended dosing is 60mg/kg per week</w:t>
      </w:r>
      <w:r w:rsidR="0009198A">
        <w:t>,</w:t>
      </w:r>
      <w:r>
        <w:t xml:space="preserve"> but that there are ongoing </w:t>
      </w:r>
      <w:r w:rsidR="00E339EF">
        <w:t xml:space="preserve">clinical </w:t>
      </w:r>
      <w:r>
        <w:t>trials investigating optimal dosing regimens</w:t>
      </w:r>
      <w:r w:rsidR="00AD3B85">
        <w:t>, with dosing up to 120mg/kg per week</w:t>
      </w:r>
      <w:r>
        <w:t>.</w:t>
      </w:r>
      <w:r w:rsidRPr="00C52759">
        <w:t xml:space="preserve"> </w:t>
      </w:r>
      <w:r>
        <w:t>MSAC noted that if th</w:t>
      </w:r>
      <w:r w:rsidR="0075564B">
        <w:t xml:space="preserve">e required dose </w:t>
      </w:r>
      <w:proofErr w:type="gramStart"/>
      <w:r w:rsidR="0075564B">
        <w:t>is</w:t>
      </w:r>
      <w:proofErr w:type="gramEnd"/>
      <w:r w:rsidR="0075564B">
        <w:t xml:space="preserve"> higher, </w:t>
      </w:r>
      <w:r>
        <w:t>the overall cost w</w:t>
      </w:r>
      <w:r w:rsidR="00FE02E0">
        <w:t>ould</w:t>
      </w:r>
      <w:r>
        <w:t xml:space="preserve"> increase</w:t>
      </w:r>
      <w:r w:rsidR="00FE02E0">
        <w:t xml:space="preserve"> if the current price per mg is maintained</w:t>
      </w:r>
      <w:r w:rsidR="00D83F61">
        <w:t>.</w:t>
      </w:r>
    </w:p>
    <w:p w14:paraId="65FFCA25" w14:textId="77777777" w:rsidR="009E7373" w:rsidRDefault="009E7373" w:rsidP="009E7373">
      <w:pPr>
        <w:spacing w:after="240"/>
      </w:pPr>
      <w:r>
        <w:lastRenderedPageBreak/>
        <w:t xml:space="preserve">MSAC noted that </w:t>
      </w:r>
      <w:r w:rsidRPr="00483E75">
        <w:t xml:space="preserve">augmentation therapy </w:t>
      </w:r>
      <w:r w:rsidRPr="00B718E2">
        <w:t>with A1</w:t>
      </w:r>
      <w:r>
        <w:t>-</w:t>
      </w:r>
      <w:r w:rsidRPr="00B718E2">
        <w:t xml:space="preserve">PI </w:t>
      </w:r>
      <w:proofErr w:type="gramStart"/>
      <w:r w:rsidRPr="00B718E2">
        <w:t>is not currently funded or reimbursed in private or public settings in Australia for this or any other clinical indication</w:t>
      </w:r>
      <w:proofErr w:type="gramEnd"/>
      <w:r w:rsidRPr="00B718E2">
        <w:t>.</w:t>
      </w:r>
    </w:p>
    <w:p w14:paraId="20FADDE9" w14:textId="59865A1E" w:rsidR="009E7373" w:rsidRDefault="009E7373" w:rsidP="009E7373">
      <w:pPr>
        <w:spacing w:after="240"/>
      </w:pPr>
      <w:r>
        <w:t>MSAC noted th</w:t>
      </w:r>
      <w:r w:rsidR="00FE02E0">
        <w:t>e</w:t>
      </w:r>
      <w:r>
        <w:t xml:space="preserve"> estimated prevalence of carriers of </w:t>
      </w:r>
      <w:r w:rsidR="00D83F61">
        <w:t xml:space="preserve">alleles related to A1-PI </w:t>
      </w:r>
      <w:r>
        <w:t>deficiency in the Australian populatio</w:t>
      </w:r>
      <w:r w:rsidR="00E71F4B">
        <w:t xml:space="preserve">n is </w:t>
      </w:r>
      <w:r w:rsidR="00E71F4B" w:rsidRPr="0083197A">
        <w:t>1 in 8.9</w:t>
      </w:r>
      <w:r w:rsidR="00E71F4B">
        <w:t xml:space="preserve"> individuals. The </w:t>
      </w:r>
      <w:proofErr w:type="spellStart"/>
      <w:r>
        <w:t>PiZZ</w:t>
      </w:r>
      <w:proofErr w:type="spellEnd"/>
      <w:r>
        <w:t xml:space="preserve"> allele </w:t>
      </w:r>
      <w:r w:rsidR="001F7404">
        <w:t xml:space="preserve">(with a prevalence of </w:t>
      </w:r>
      <w:proofErr w:type="gramStart"/>
      <w:r w:rsidR="001F7404" w:rsidRPr="0083197A">
        <w:t>1</w:t>
      </w:r>
      <w:proofErr w:type="gramEnd"/>
      <w:r w:rsidR="001F7404" w:rsidRPr="0083197A">
        <w:t xml:space="preserve"> in 5584</w:t>
      </w:r>
      <w:r w:rsidR="00D83F61">
        <w:t>)</w:t>
      </w:r>
      <w:r w:rsidR="001F7404">
        <w:t xml:space="preserve">, </w:t>
      </w:r>
      <w:r>
        <w:t xml:space="preserve">contributes to the greatest burden; however, not all people with </w:t>
      </w:r>
      <w:proofErr w:type="spellStart"/>
      <w:r>
        <w:t>PiZZ</w:t>
      </w:r>
      <w:proofErr w:type="spellEnd"/>
      <w:r>
        <w:t xml:space="preserve"> A1-PI deficiency will go on to develop severe emphysema. MSAC noted that the </w:t>
      </w:r>
      <w:r w:rsidR="001F7404">
        <w:t xml:space="preserve">estimated </w:t>
      </w:r>
      <w:r>
        <w:t xml:space="preserve">number of people meeting the criteria for treatment with A1-PI in Australia in 2018 </w:t>
      </w:r>
      <w:proofErr w:type="gramStart"/>
      <w:r>
        <w:t xml:space="preserve">was </w:t>
      </w:r>
      <w:r w:rsidR="0085669A">
        <w:rPr>
          <w:b/>
          <w:szCs w:val="24"/>
        </w:rPr>
        <w:t>r</w:t>
      </w:r>
      <w:r w:rsidR="00E93A97" w:rsidRPr="00E93A97">
        <w:rPr>
          <w:b/>
          <w:szCs w:val="24"/>
        </w:rPr>
        <w:t>edacted</w:t>
      </w:r>
      <w:proofErr w:type="gramEnd"/>
      <w:r>
        <w:t xml:space="preserve">. Treatment is lifelong and not curative; therefore, the number of patients being treated is expected to </w:t>
      </w:r>
      <w:proofErr w:type="gramStart"/>
      <w:r>
        <w:t>moderate</w:t>
      </w:r>
      <w:r w:rsidR="00FE02E0">
        <w:t>ly</w:t>
      </w:r>
      <w:r w:rsidR="00D83F61">
        <w:t xml:space="preserve"> cumulative</w:t>
      </w:r>
      <w:proofErr w:type="gramEnd"/>
      <w:r w:rsidR="00D83F61">
        <w:t xml:space="preserve"> increase over time.</w:t>
      </w:r>
    </w:p>
    <w:p w14:paraId="531FFFC5" w14:textId="292059F0" w:rsidR="009E7373" w:rsidRDefault="009E7373" w:rsidP="009E7373">
      <w:pPr>
        <w:spacing w:after="240"/>
      </w:pPr>
      <w:r>
        <w:t xml:space="preserve">MSAC noted that </w:t>
      </w:r>
      <w:r w:rsidRPr="00C375D3">
        <w:t xml:space="preserve">the comparator intervention for patients with </w:t>
      </w:r>
      <w:r w:rsidR="00D83F61">
        <w:t xml:space="preserve">severe </w:t>
      </w:r>
      <w:r w:rsidR="00D83F61">
        <w:rPr>
          <w:rStyle w:val="normaltextrun"/>
          <w:shd w:val="clear" w:color="auto" w:fill="FFFFFF"/>
        </w:rPr>
        <w:t>A1-PI</w:t>
      </w:r>
      <w:r w:rsidR="006C1541">
        <w:rPr>
          <w:rStyle w:val="normaltextrun"/>
          <w:shd w:val="clear" w:color="auto" w:fill="FFFFFF"/>
        </w:rPr>
        <w:t xml:space="preserve"> </w:t>
      </w:r>
      <w:r w:rsidR="00D83F61">
        <w:rPr>
          <w:rStyle w:val="normaltextrun"/>
          <w:shd w:val="clear" w:color="auto" w:fill="FFFFFF"/>
        </w:rPr>
        <w:t>deficiency and emphysema</w:t>
      </w:r>
      <w:r w:rsidR="00D83F61" w:rsidRPr="00C375D3">
        <w:t xml:space="preserve"> </w:t>
      </w:r>
      <w:r w:rsidRPr="00C375D3">
        <w:t>is best supportive care (BSC).</w:t>
      </w:r>
    </w:p>
    <w:p w14:paraId="0DA41764" w14:textId="17FBC47A" w:rsidR="009E7373" w:rsidRDefault="009E7373" w:rsidP="009E7373">
      <w:pPr>
        <w:spacing w:after="240"/>
      </w:pPr>
      <w:r>
        <w:t xml:space="preserve">MSAC noted that, </w:t>
      </w:r>
      <w:proofErr w:type="gramStart"/>
      <w:r w:rsidRPr="00C375D3">
        <w:t>overall,</w:t>
      </w:r>
      <w:proofErr w:type="gramEnd"/>
      <w:r w:rsidRPr="00C375D3">
        <w:t xml:space="preserve"> it appears that </w:t>
      </w:r>
      <w:r w:rsidR="00D83F61">
        <w:t>A1-PI</w:t>
      </w:r>
      <w:r w:rsidRPr="00C375D3">
        <w:t xml:space="preserve"> is safe, with most</w:t>
      </w:r>
      <w:r>
        <w:t xml:space="preserve"> adverse</w:t>
      </w:r>
      <w:r w:rsidRPr="00C375D3">
        <w:t xml:space="preserve"> events being rel</w:t>
      </w:r>
      <w:r w:rsidR="001F7404">
        <w:t>ated to the underlying disease.</w:t>
      </w:r>
    </w:p>
    <w:p w14:paraId="6B21FD3D" w14:textId="273969FB" w:rsidR="009E7373" w:rsidRDefault="009E7373" w:rsidP="009E7373">
      <w:pPr>
        <w:spacing w:after="240"/>
      </w:pPr>
      <w:r>
        <w:t xml:space="preserve">MSAC noted that there are </w:t>
      </w:r>
      <w:r w:rsidRPr="00E0223F">
        <w:t xml:space="preserve">no </w:t>
      </w:r>
      <w:r w:rsidR="00FE02E0">
        <w:t xml:space="preserve">statistically </w:t>
      </w:r>
      <w:r w:rsidRPr="00E0223F">
        <w:t>significant differences between A1-PI and placebo in relation to mortality, exacerbation of COPD, hospitalisation due to COPD exacerbation, quality of life (</w:t>
      </w:r>
      <w:r w:rsidRPr="00FB2770">
        <w:t>St. George's Respiratory Questionnaire</w:t>
      </w:r>
      <w:r w:rsidRPr="00E0223F">
        <w:t>), respiratory function (FEV</w:t>
      </w:r>
      <w:r w:rsidRPr="009E4C68">
        <w:rPr>
          <w:vertAlign w:val="subscript"/>
        </w:rPr>
        <w:t>1</w:t>
      </w:r>
      <w:r w:rsidRPr="00E0223F">
        <w:t>), exercise capacity (incremental shuttle walk test) or carbon monoxide diffusion capacity (D</w:t>
      </w:r>
      <w:r w:rsidRPr="0059754B">
        <w:rPr>
          <w:vertAlign w:val="subscript"/>
        </w:rPr>
        <w:t>LCO</w:t>
      </w:r>
      <w:r w:rsidRPr="00E0223F">
        <w:t>).</w:t>
      </w:r>
    </w:p>
    <w:p w14:paraId="11FD09EB" w14:textId="6EE69346" w:rsidR="009E7373" w:rsidRDefault="009E7373" w:rsidP="009E7373">
      <w:pPr>
        <w:spacing w:after="240"/>
      </w:pPr>
      <w:r>
        <w:t xml:space="preserve">MSAC noted that </w:t>
      </w:r>
      <w:r w:rsidRPr="00E0223F">
        <w:t xml:space="preserve">the only statistically significant difference observed </w:t>
      </w:r>
      <w:r>
        <w:t xml:space="preserve">in clinical trials </w:t>
      </w:r>
      <w:r w:rsidRPr="00E0223F">
        <w:t xml:space="preserve">was for CT-measured lung density, which favoured A1-PI therapy compared </w:t>
      </w:r>
      <w:r>
        <w:t>with</w:t>
      </w:r>
      <w:r w:rsidRPr="00E0223F">
        <w:t xml:space="preserve"> placebo</w:t>
      </w:r>
      <w:r>
        <w:t xml:space="preserve">. MSAC noted that recommending </w:t>
      </w:r>
      <w:r w:rsidRPr="004D56AE">
        <w:t xml:space="preserve">public funding of A1-PI products requires accepting that </w:t>
      </w:r>
      <w:r w:rsidR="000C1312">
        <w:t xml:space="preserve">effects on </w:t>
      </w:r>
      <w:r w:rsidRPr="004D56AE">
        <w:t xml:space="preserve">CT-measured lung density </w:t>
      </w:r>
      <w:proofErr w:type="gramStart"/>
      <w:r w:rsidRPr="004D56AE">
        <w:t>ha</w:t>
      </w:r>
      <w:r w:rsidR="000C1312">
        <w:t>ve</w:t>
      </w:r>
      <w:r w:rsidRPr="004D56AE">
        <w:t xml:space="preserve"> been demonstrated</w:t>
      </w:r>
      <w:proofErr w:type="gramEnd"/>
      <w:r w:rsidRPr="004D56AE">
        <w:t xml:space="preserve"> to be a surrogate for </w:t>
      </w:r>
      <w:r w:rsidR="000C1312">
        <w:t xml:space="preserve">effects on </w:t>
      </w:r>
      <w:r w:rsidRPr="004D56AE">
        <w:t>outcomes known to be clinically meaningful</w:t>
      </w:r>
      <w:r w:rsidR="00AD3B85">
        <w:t>, including respiratory function, quality of life, overall survival, or quality-adjusted life-years (QALYs)</w:t>
      </w:r>
      <w:r w:rsidRPr="004D56AE">
        <w:t>.</w:t>
      </w:r>
      <w:r>
        <w:t xml:space="preserve"> H</w:t>
      </w:r>
      <w:r w:rsidRPr="00E0223F">
        <w:t xml:space="preserve">owever, </w:t>
      </w:r>
      <w:r w:rsidR="000C1312">
        <w:t xml:space="preserve">even </w:t>
      </w:r>
      <w:r w:rsidRPr="00E0223F">
        <w:t>the clinical significance of th</w:t>
      </w:r>
      <w:r w:rsidR="00FE02E0">
        <w:t>e</w:t>
      </w:r>
      <w:r w:rsidRPr="00E0223F">
        <w:t xml:space="preserve"> </w:t>
      </w:r>
      <w:r w:rsidR="00FE02E0">
        <w:t xml:space="preserve">observed </w:t>
      </w:r>
      <w:r w:rsidRPr="00E0223F">
        <w:t xml:space="preserve">difference </w:t>
      </w:r>
      <w:r w:rsidR="000C1312">
        <w:t xml:space="preserve">in </w:t>
      </w:r>
      <w:r w:rsidR="000C1312" w:rsidRPr="004D56AE">
        <w:t>CT-measured lung density</w:t>
      </w:r>
      <w:r w:rsidR="000C1312" w:rsidRPr="00E0223F">
        <w:t xml:space="preserve"> </w:t>
      </w:r>
      <w:r w:rsidRPr="00E0223F">
        <w:t xml:space="preserve">is uncertain, as </w:t>
      </w:r>
      <w:r w:rsidRPr="004D56AE">
        <w:t xml:space="preserve">minimal clinically important differences </w:t>
      </w:r>
      <w:r>
        <w:t>(</w:t>
      </w:r>
      <w:r w:rsidRPr="00E0223F">
        <w:t>MCIDs</w:t>
      </w:r>
      <w:r>
        <w:t>)</w:t>
      </w:r>
      <w:r w:rsidRPr="00E0223F">
        <w:t xml:space="preserve"> for changes in </w:t>
      </w:r>
      <w:r w:rsidR="000C1312">
        <w:t xml:space="preserve">this surrogate </w:t>
      </w:r>
      <w:proofErr w:type="gramStart"/>
      <w:r w:rsidRPr="00E0223F">
        <w:t>have not been established</w:t>
      </w:r>
      <w:proofErr w:type="gramEnd"/>
      <w:r w:rsidRPr="00E0223F">
        <w:t xml:space="preserve"> i</w:t>
      </w:r>
      <w:r w:rsidR="001F7404">
        <w:t>n the peer-reviewed literature.</w:t>
      </w:r>
    </w:p>
    <w:p w14:paraId="3372407B" w14:textId="77777777" w:rsidR="009E7373" w:rsidRDefault="009E7373" w:rsidP="009E7373">
      <w:pPr>
        <w:spacing w:after="240"/>
      </w:pPr>
      <w:r>
        <w:t>MSAC</w:t>
      </w:r>
      <w:r w:rsidRPr="005B478B">
        <w:t xml:space="preserve"> noted the claim that A1-PI therapy meets three of the four criteria warranting Rule of Rescue. However, it is unclear whether CT-measured lung density is a sufficiently informative surrogate for the Rule of Rescue criterion of ‘worthwhile clinical improvement’.</w:t>
      </w:r>
    </w:p>
    <w:p w14:paraId="41208CCB" w14:textId="61C5C052" w:rsidR="009E7373" w:rsidRPr="00830A01" w:rsidRDefault="009E7373" w:rsidP="009E7373">
      <w:pPr>
        <w:spacing w:after="240"/>
      </w:pPr>
      <w:r w:rsidRPr="00830A01">
        <w:t xml:space="preserve">MSAC noted that CT lung density </w:t>
      </w:r>
      <w:r w:rsidR="001F7404">
        <w:t xml:space="preserve">calculations </w:t>
      </w:r>
      <w:proofErr w:type="gramStart"/>
      <w:r w:rsidRPr="00830A01">
        <w:t xml:space="preserve">are not </w:t>
      </w:r>
      <w:r w:rsidR="001F7404">
        <w:t xml:space="preserve">routinely </w:t>
      </w:r>
      <w:r w:rsidRPr="00830A01">
        <w:t>performed</w:t>
      </w:r>
      <w:proofErr w:type="gramEnd"/>
      <w:r w:rsidRPr="00830A01">
        <w:t xml:space="preserve"> in Australia, although </w:t>
      </w:r>
      <w:r w:rsidR="001F7404">
        <w:t xml:space="preserve">it is likely all modern </w:t>
      </w:r>
      <w:r w:rsidRPr="00830A01">
        <w:t xml:space="preserve">scanners could be equipped to do so with access to necessary software (noting that the cost of software </w:t>
      </w:r>
      <w:r>
        <w:t xml:space="preserve">is </w:t>
      </w:r>
      <w:r w:rsidRPr="00830A01">
        <w:t>unknown).</w:t>
      </w:r>
    </w:p>
    <w:p w14:paraId="18C626FC" w14:textId="1F5F892E" w:rsidR="009E7373" w:rsidRDefault="002241E0" w:rsidP="009E7373">
      <w:pPr>
        <w:spacing w:after="240"/>
      </w:pPr>
      <w:r>
        <w:t xml:space="preserve">A1-PI </w:t>
      </w:r>
      <w:proofErr w:type="gramStart"/>
      <w:r w:rsidR="009E7373">
        <w:t>is known</w:t>
      </w:r>
      <w:proofErr w:type="gramEnd"/>
      <w:r w:rsidR="009E7373">
        <w:t xml:space="preserve"> to be ineffective in smokers. Strict requirements </w:t>
      </w:r>
      <w:proofErr w:type="gramStart"/>
      <w:r w:rsidR="00FE02E0">
        <w:t>would</w:t>
      </w:r>
      <w:r w:rsidR="009E7373">
        <w:t xml:space="preserve"> therefore </w:t>
      </w:r>
      <w:r w:rsidR="00FE02E0">
        <w:t xml:space="preserve">be </w:t>
      </w:r>
      <w:r w:rsidR="009E7373">
        <w:t>needed</w:t>
      </w:r>
      <w:proofErr w:type="gramEnd"/>
      <w:r w:rsidR="009E7373">
        <w:t xml:space="preserve"> to ensure use is limited to non-smoker</w:t>
      </w:r>
      <w:r w:rsidR="001F7404">
        <w:t>s (of tobacco and/or cannabis).</w:t>
      </w:r>
    </w:p>
    <w:p w14:paraId="17FED92D" w14:textId="3FFBDA18" w:rsidR="002241E0" w:rsidRDefault="002241E0" w:rsidP="009E7373">
      <w:pPr>
        <w:spacing w:after="240"/>
      </w:pPr>
      <w:r>
        <w:t xml:space="preserve">MSAC noted that the treatment cost with A1-PI is high (approximately </w:t>
      </w:r>
      <w:r w:rsidR="0085669A">
        <w:rPr>
          <w:b/>
        </w:rPr>
        <w:t>$r</w:t>
      </w:r>
      <w:r w:rsidR="0083197A" w:rsidRPr="0085669A">
        <w:rPr>
          <w:b/>
        </w:rPr>
        <w:t>edacted</w:t>
      </w:r>
      <w:r>
        <w:t xml:space="preserve"> per patient per year) for the patient’s lifetime and the </w:t>
      </w:r>
      <w:r w:rsidR="002E411E">
        <w:t xml:space="preserve">base case </w:t>
      </w:r>
      <w:r>
        <w:t xml:space="preserve">modelled incremental cost-effectiveness ratio (ICER) </w:t>
      </w:r>
      <w:r w:rsidR="002E411E">
        <w:t xml:space="preserve">is </w:t>
      </w:r>
      <w:r w:rsidR="006C1541" w:rsidRPr="006C1541">
        <w:t xml:space="preserve">more than $200,000 </w:t>
      </w:r>
      <w:r>
        <w:t>per QALY gained</w:t>
      </w:r>
      <w:r w:rsidR="002E411E">
        <w:t xml:space="preserve"> using a weighted average price for the two available A1-PI therapies. MSAC advised that this ICER/QALY was unacceptably </w:t>
      </w:r>
      <w:r w:rsidR="000D5BB8">
        <w:t>large</w:t>
      </w:r>
      <w:r w:rsidR="0043074D">
        <w:t xml:space="preserve"> and based on assumptions of long-term clinical effect that favoured the intervention</w:t>
      </w:r>
      <w:r w:rsidR="00AD3B85">
        <w:t>, and substantial price reductions would be required to bring it within an acceptable range</w:t>
      </w:r>
      <w:r>
        <w:t>.</w:t>
      </w:r>
    </w:p>
    <w:p w14:paraId="04D23FDB" w14:textId="65F17CAC" w:rsidR="009E7373" w:rsidRDefault="009E7373" w:rsidP="009E7373">
      <w:pPr>
        <w:spacing w:after="240"/>
      </w:pPr>
      <w:r>
        <w:t>MSAC noted that the assessment group attempted to improve the modelled cost-effectiveness of the A1-PI products by applying an evidence-based stopping rule for</w:t>
      </w:r>
      <w:r w:rsidRPr="00C52759">
        <w:t xml:space="preserve"> patients who demonstrate limited treatment response to </w:t>
      </w:r>
      <w:r>
        <w:t>A1-PI</w:t>
      </w:r>
      <w:r w:rsidRPr="00C52759">
        <w:t xml:space="preserve"> therapy</w:t>
      </w:r>
      <w:r>
        <w:t xml:space="preserve">. In the model, </w:t>
      </w:r>
      <w:r w:rsidRPr="009E4C68">
        <w:t>113/1</w:t>
      </w:r>
      <w:r>
        <w:t>,</w:t>
      </w:r>
      <w:r w:rsidRPr="009E4C68">
        <w:t xml:space="preserve">000 individuals in </w:t>
      </w:r>
      <w:r>
        <w:t xml:space="preserve">the </w:t>
      </w:r>
      <w:r w:rsidRPr="009E4C68">
        <w:t xml:space="preserve">cohort progress from no decline or slow decline to rapid decline, despite being on </w:t>
      </w:r>
      <w:r>
        <w:t>A1-</w:t>
      </w:r>
      <w:r>
        <w:lastRenderedPageBreak/>
        <w:t>PI therapy</w:t>
      </w:r>
      <w:r w:rsidRPr="009E4C68">
        <w:t xml:space="preserve"> for </w:t>
      </w:r>
      <w:r>
        <w:t>four</w:t>
      </w:r>
      <w:r w:rsidRPr="009E4C68">
        <w:t xml:space="preserve"> years – </w:t>
      </w:r>
      <w:r>
        <w:t>the A1-PI therapy</w:t>
      </w:r>
      <w:r w:rsidRPr="009E4C68">
        <w:t xml:space="preserve"> costs for these individuals beyond </w:t>
      </w:r>
      <w:r>
        <w:t>four</w:t>
      </w:r>
      <w:r w:rsidRPr="009E4C68">
        <w:t xml:space="preserve"> years </w:t>
      </w:r>
      <w:r>
        <w:t xml:space="preserve">was then </w:t>
      </w:r>
      <w:r w:rsidRPr="009E4C68">
        <w:t>removed from</w:t>
      </w:r>
      <w:r w:rsidR="000C1312">
        <w:t xml:space="preserve"> the</w:t>
      </w:r>
      <w:r w:rsidRPr="009E4C68">
        <w:t xml:space="preserve"> model</w:t>
      </w:r>
      <w:r>
        <w:t xml:space="preserve">. However, this was only associated with a modest improvement in cost-effectiveness and the ICER remained </w:t>
      </w:r>
      <w:r w:rsidR="002241E0">
        <w:t>unacceptably</w:t>
      </w:r>
      <w:r w:rsidR="000D5BB8">
        <w:t xml:space="preserve"> large</w:t>
      </w:r>
      <w:r>
        <w:t xml:space="preserve"> (</w:t>
      </w:r>
      <w:r w:rsidR="00DA1268">
        <w:t>more than $200,000</w:t>
      </w:r>
      <w:r>
        <w:t>/QALY</w:t>
      </w:r>
      <w:r w:rsidRPr="00C52759">
        <w:t xml:space="preserve"> compared </w:t>
      </w:r>
      <w:r>
        <w:t>with</w:t>
      </w:r>
      <w:r w:rsidRPr="00C52759">
        <w:t xml:space="preserve"> </w:t>
      </w:r>
      <w:r w:rsidR="00DA1268">
        <w:t>more than $200,000</w:t>
      </w:r>
      <w:r>
        <w:t>/QALY</w:t>
      </w:r>
      <w:r w:rsidRPr="00C52759">
        <w:t xml:space="preserve"> for the base case</w:t>
      </w:r>
      <w:r>
        <w:t>)</w:t>
      </w:r>
      <w:r w:rsidRPr="00C52759">
        <w:t>.</w:t>
      </w:r>
    </w:p>
    <w:p w14:paraId="10E871C7" w14:textId="2C263712" w:rsidR="009E7373" w:rsidRDefault="009E7373" w:rsidP="009E7373">
      <w:pPr>
        <w:spacing w:after="240"/>
      </w:pPr>
      <w:r>
        <w:t>MSAC also noted that a</w:t>
      </w:r>
      <w:r w:rsidR="002241E0">
        <w:t>n additional</w:t>
      </w:r>
      <w:r>
        <w:t xml:space="preserve"> </w:t>
      </w:r>
      <w:r w:rsidRPr="00C52759">
        <w:t xml:space="preserve">univariate sensitivity analysis </w:t>
      </w:r>
      <w:r>
        <w:t xml:space="preserve">(performed by the assessment group </w:t>
      </w:r>
      <w:r w:rsidR="002241E0">
        <w:t xml:space="preserve">by </w:t>
      </w:r>
      <w:r w:rsidRPr="00C52759">
        <w:t>changing specific transitions from FEV</w:t>
      </w:r>
      <w:r w:rsidRPr="009E4C68">
        <w:rPr>
          <w:vertAlign w:val="subscript"/>
        </w:rPr>
        <w:t>1</w:t>
      </w:r>
      <w:r w:rsidRPr="00C52759">
        <w:t xml:space="preserve"> &gt;50 to FEV</w:t>
      </w:r>
      <w:r w:rsidRPr="009E4C68">
        <w:rPr>
          <w:vertAlign w:val="subscript"/>
        </w:rPr>
        <w:t>1</w:t>
      </w:r>
      <w:r w:rsidRPr="00C52759">
        <w:t>&lt;50</w:t>
      </w:r>
      <w:r w:rsidR="002241E0">
        <w:t xml:space="preserve"> to remove a modelled treatment effect on FEV</w:t>
      </w:r>
      <w:r w:rsidR="002241E0" w:rsidRPr="002241E0">
        <w:rPr>
          <w:vertAlign w:val="subscript"/>
        </w:rPr>
        <w:t>1</w:t>
      </w:r>
      <w:r w:rsidR="002E411E">
        <w:t xml:space="preserve"> which </w:t>
      </w:r>
      <w:r w:rsidR="002241E0">
        <w:t xml:space="preserve">contradicted the </w:t>
      </w:r>
      <w:r w:rsidR="002E411E">
        <w:t xml:space="preserve">results of the </w:t>
      </w:r>
      <w:r w:rsidR="002241E0">
        <w:t>randomised trial</w:t>
      </w:r>
      <w:r w:rsidR="002E411E">
        <w:t>s)</w:t>
      </w:r>
      <w:r w:rsidRPr="00C52759">
        <w:t xml:space="preserve"> d</w:t>
      </w:r>
      <w:r w:rsidR="002241E0">
        <w:t>id</w:t>
      </w:r>
      <w:r w:rsidRPr="00C52759">
        <w:t xml:space="preserve"> not have a major impact on the ICER. If both</w:t>
      </w:r>
      <w:r>
        <w:t xml:space="preserve"> A1-PI therapy</w:t>
      </w:r>
      <w:r w:rsidRPr="00C52759">
        <w:t xml:space="preserve"> and BSC arms had FEV</w:t>
      </w:r>
      <w:r w:rsidRPr="009E4C68">
        <w:rPr>
          <w:vertAlign w:val="subscript"/>
        </w:rPr>
        <w:t>1</w:t>
      </w:r>
      <w:r w:rsidRPr="00C52759">
        <w:t xml:space="preserve"> annual probability declines of </w:t>
      </w:r>
      <w:proofErr w:type="gramStart"/>
      <w:r w:rsidR="006C1541" w:rsidRPr="00DA1268">
        <w:rPr>
          <w:b/>
        </w:rPr>
        <w:t>redacted</w:t>
      </w:r>
      <w:r w:rsidR="00836256">
        <w:t>%</w:t>
      </w:r>
      <w:proofErr w:type="gramEnd"/>
      <w:r w:rsidRPr="00C52759">
        <w:t xml:space="preserve">, then the ICER would increase from </w:t>
      </w:r>
      <w:r w:rsidR="00DA1268">
        <w:t>more than $200,000</w:t>
      </w:r>
      <w:r>
        <w:t>/QALY</w:t>
      </w:r>
      <w:r w:rsidRPr="00C52759">
        <w:t xml:space="preserve"> to </w:t>
      </w:r>
      <w:r w:rsidR="006C1541" w:rsidRPr="006C1541">
        <w:t>more than $200,000</w:t>
      </w:r>
      <w:r>
        <w:t>/QALY</w:t>
      </w:r>
      <w:r w:rsidRPr="00C52759">
        <w:t>.</w:t>
      </w:r>
    </w:p>
    <w:p w14:paraId="1CF52242" w14:textId="442E7127" w:rsidR="0042067F" w:rsidRDefault="009E7373" w:rsidP="009E7373">
      <w:pPr>
        <w:spacing w:after="240"/>
      </w:pPr>
      <w:r>
        <w:t xml:space="preserve">MSAC noted that there is significant uncertainty regarding the number of patients who </w:t>
      </w:r>
      <w:proofErr w:type="gramStart"/>
      <w:r>
        <w:t>will be diagnosed</w:t>
      </w:r>
      <w:proofErr w:type="gramEnd"/>
      <w:r>
        <w:t xml:space="preserve"> with </w:t>
      </w:r>
      <w:r w:rsidR="002E411E">
        <w:t xml:space="preserve">A1-PI </w:t>
      </w:r>
      <w:r w:rsidRPr="003E3902">
        <w:t>deficiency</w:t>
      </w:r>
      <w:r w:rsidRPr="003E3902" w:rsidDel="003E3902">
        <w:t xml:space="preserve"> </w:t>
      </w:r>
      <w:r>
        <w:t xml:space="preserve">if the A1-PI products are available on the NPL. </w:t>
      </w:r>
      <w:r w:rsidR="00AD3B85">
        <w:t>T</w:t>
      </w:r>
      <w:r>
        <w:t xml:space="preserve">he NBA </w:t>
      </w:r>
      <w:r w:rsidR="00AD3B85">
        <w:t xml:space="preserve">would need to be </w:t>
      </w:r>
      <w:r>
        <w:t>able to negotiate a</w:t>
      </w:r>
      <w:r w:rsidR="00AD3B85">
        <w:t>n overall risk sharing</w:t>
      </w:r>
      <w:r>
        <w:t xml:space="preserve"> arrangement with s</w:t>
      </w:r>
      <w:r w:rsidR="002E411E">
        <w:t xml:space="preserve">uppliers to mitigate this </w:t>
      </w:r>
      <w:r w:rsidR="00AD3B85">
        <w:t xml:space="preserve">financial </w:t>
      </w:r>
      <w:r w:rsidR="002E411E">
        <w:t>risk.</w:t>
      </w:r>
    </w:p>
    <w:p w14:paraId="7C95A6B9" w14:textId="3F067B1F" w:rsidR="00550354" w:rsidRDefault="009E7373" w:rsidP="009E7373">
      <w:pPr>
        <w:spacing w:after="240"/>
      </w:pPr>
      <w:r>
        <w:t>MSAC concluded that there is a clear physiological effect</w:t>
      </w:r>
      <w:r w:rsidR="002E411E">
        <w:t xml:space="preserve"> on lung </w:t>
      </w:r>
      <w:proofErr w:type="gramStart"/>
      <w:r w:rsidR="002E411E">
        <w:t>density</w:t>
      </w:r>
      <w:r w:rsidR="0043074D">
        <w:t xml:space="preserve"> which</w:t>
      </w:r>
      <w:proofErr w:type="gramEnd"/>
      <w:r w:rsidR="0043074D">
        <w:t xml:space="preserve"> is detectable radiologically</w:t>
      </w:r>
      <w:r>
        <w:t>; however, there is no basis on which to draw a large</w:t>
      </w:r>
      <w:r w:rsidR="000D5BB8">
        <w:t xml:space="preserve"> </w:t>
      </w:r>
      <w:r>
        <w:t>clinical effect, and thus no evidence of patient-relevant outcomes.</w:t>
      </w:r>
    </w:p>
    <w:p w14:paraId="044FB628" w14:textId="509F3194" w:rsidR="006E587B" w:rsidRDefault="006E587B" w:rsidP="009E7373">
      <w:pPr>
        <w:spacing w:after="240"/>
      </w:pPr>
      <w:r w:rsidRPr="006E587B">
        <w:t xml:space="preserve">MSAC </w:t>
      </w:r>
      <w:r>
        <w:t xml:space="preserve">again </w:t>
      </w:r>
      <w:r w:rsidRPr="006E587B">
        <w:t xml:space="preserve">acknowledged the high priority the public consultation feedback gave to meeting the </w:t>
      </w:r>
      <w:r>
        <w:t xml:space="preserve">clinical </w:t>
      </w:r>
      <w:r w:rsidRPr="006E587B">
        <w:t xml:space="preserve">need that the applicant claims </w:t>
      </w:r>
      <w:proofErr w:type="gramStart"/>
      <w:r w:rsidRPr="006E587B">
        <w:t>will be helped</w:t>
      </w:r>
      <w:proofErr w:type="gramEnd"/>
      <w:r w:rsidRPr="006E587B">
        <w:t xml:space="preserve"> by this intervention</w:t>
      </w:r>
      <w:r>
        <w:t>,</w:t>
      </w:r>
      <w:r w:rsidRPr="006E587B">
        <w:t xml:space="preserve"> but considered that the evidence was inadequate to justify the </w:t>
      </w:r>
      <w:r>
        <w:t xml:space="preserve">therapeutic </w:t>
      </w:r>
      <w:r w:rsidRPr="006E587B">
        <w:t>claims made in the application.</w:t>
      </w:r>
    </w:p>
    <w:p w14:paraId="142A0623" w14:textId="77777777" w:rsidR="00BC1364" w:rsidRPr="00F715D1" w:rsidRDefault="00BC1364" w:rsidP="00F715D1">
      <w:pPr>
        <w:pStyle w:val="Heading1"/>
      </w:pPr>
      <w:r w:rsidRPr="00F715D1">
        <w:t>Background</w:t>
      </w:r>
    </w:p>
    <w:p w14:paraId="2B3A3B2B" w14:textId="7DE89870" w:rsidR="00C415A2" w:rsidRDefault="00C415A2" w:rsidP="00C415A2">
      <w:pPr>
        <w:tabs>
          <w:tab w:val="left" w:pos="720"/>
          <w:tab w:val="left" w:pos="1140"/>
        </w:tabs>
      </w:pPr>
      <w:r w:rsidRPr="00AF1CF9">
        <w:rPr>
          <w:szCs w:val="24"/>
        </w:rPr>
        <w:t>Augmentation</w:t>
      </w:r>
      <w:r w:rsidRPr="00450D15">
        <w:t xml:space="preserve"> therapy with </w:t>
      </w:r>
      <w:r>
        <w:t xml:space="preserve">any </w:t>
      </w:r>
      <w:r w:rsidRPr="00450D15">
        <w:t>A1</w:t>
      </w:r>
      <w:r>
        <w:t>-</w:t>
      </w:r>
      <w:r w:rsidRPr="00450D15">
        <w:t xml:space="preserve">PI </w:t>
      </w:r>
      <w:r w:rsidR="00FE02E0">
        <w:t xml:space="preserve">therapy </w:t>
      </w:r>
      <w:proofErr w:type="gramStart"/>
      <w:r w:rsidRPr="00450D15">
        <w:t xml:space="preserve">is not currently funded or reimbursed in private or public settings in Australia </w:t>
      </w:r>
      <w:r>
        <w:t>(</w:t>
      </w:r>
      <w:r w:rsidRPr="00450D15">
        <w:t>for this or any other clinical indication</w:t>
      </w:r>
      <w:r>
        <w:t>)</w:t>
      </w:r>
      <w:proofErr w:type="gramEnd"/>
      <w:r w:rsidRPr="00450D15">
        <w:t>.</w:t>
      </w:r>
    </w:p>
    <w:p w14:paraId="73FC9AEA" w14:textId="77777777" w:rsidR="00BC1364" w:rsidRPr="00F715D1" w:rsidRDefault="00BC1364" w:rsidP="00F715D1">
      <w:pPr>
        <w:pStyle w:val="Heading1"/>
      </w:pPr>
      <w:r w:rsidRPr="00F715D1">
        <w:t>Prerequisites to implementation of any funding advice</w:t>
      </w:r>
    </w:p>
    <w:p w14:paraId="0F29EDA2" w14:textId="0C2C5EFF" w:rsidR="009B1E56" w:rsidRDefault="009B1E56" w:rsidP="00687B5B">
      <w:pPr>
        <w:spacing w:after="240"/>
      </w:pPr>
      <w:r w:rsidRPr="009B1E56">
        <w:t xml:space="preserve">PROLASTIN-C and </w:t>
      </w:r>
      <w:proofErr w:type="spellStart"/>
      <w:r w:rsidRPr="009B1E56">
        <w:t>Zemaira</w:t>
      </w:r>
      <w:proofErr w:type="spellEnd"/>
      <w:r w:rsidRPr="009B1E56">
        <w:t xml:space="preserve"> (marketed as </w:t>
      </w:r>
      <w:proofErr w:type="spellStart"/>
      <w:r w:rsidRPr="009B1E56">
        <w:t>Respreeza</w:t>
      </w:r>
      <w:proofErr w:type="spellEnd"/>
      <w:r w:rsidRPr="009B1E56">
        <w:t xml:space="preserve"> in Europe), are two </w:t>
      </w:r>
      <w:r w:rsidR="00761C75">
        <w:t>augmentation therapy</w:t>
      </w:r>
      <w:r w:rsidRPr="009B1E56">
        <w:t xml:space="preserve"> products registered on the Australian Register of Therapeutic Goods (ARTG) in Australia. The two therapies consist of the same components with slightly different eligibility </w:t>
      </w:r>
      <w:r>
        <w:t>criteria (</w:t>
      </w:r>
      <w:r>
        <w:fldChar w:fldCharType="begin"/>
      </w:r>
      <w:r>
        <w:instrText xml:space="preserve"> REF _Ref523394400 \h </w:instrText>
      </w:r>
      <w:r>
        <w:fldChar w:fldCharType="separate"/>
      </w:r>
      <w:r w:rsidR="00CD067A" w:rsidRPr="00B11790">
        <w:t xml:space="preserve">Table </w:t>
      </w:r>
      <w:r w:rsidR="00CD067A">
        <w:rPr>
          <w:noProof/>
        </w:rPr>
        <w:t>1</w:t>
      </w:r>
      <w:r>
        <w:fldChar w:fldCharType="end"/>
      </w:r>
      <w:r w:rsidRPr="009B1E56">
        <w:t>).</w:t>
      </w:r>
    </w:p>
    <w:p w14:paraId="568E0A69" w14:textId="77777777" w:rsidR="009B1E56" w:rsidRPr="00B11790" w:rsidRDefault="009B1E56" w:rsidP="00F700C3">
      <w:pPr>
        <w:pStyle w:val="Caption"/>
        <w:spacing w:after="0"/>
      </w:pPr>
      <w:bookmarkStart w:id="1" w:name="_Ref523394400"/>
      <w:bookmarkStart w:id="2" w:name="_Toc516236153"/>
      <w:bookmarkStart w:id="3" w:name="_Toc521400334"/>
      <w:bookmarkStart w:id="4" w:name="_Toc521405137"/>
      <w:bookmarkStart w:id="5" w:name="_Toc521406145"/>
      <w:bookmarkStart w:id="6" w:name="_Toc521422875"/>
      <w:bookmarkStart w:id="7" w:name="_Toc521509120"/>
      <w:bookmarkStart w:id="8" w:name="_Toc521571170"/>
      <w:bookmarkStart w:id="9" w:name="_Toc521577060"/>
      <w:bookmarkStart w:id="10" w:name="_Toc521592245"/>
      <w:bookmarkStart w:id="11" w:name="_Toc521593580"/>
      <w:bookmarkStart w:id="12" w:name="_Toc521596736"/>
      <w:bookmarkStart w:id="13" w:name="_Toc521595016"/>
      <w:bookmarkStart w:id="14" w:name="_Toc522004759"/>
      <w:bookmarkStart w:id="15" w:name="_Toc522011947"/>
      <w:bookmarkStart w:id="16" w:name="_Toc522023085"/>
      <w:bookmarkStart w:id="17" w:name="_Toc522027581"/>
      <w:bookmarkStart w:id="18" w:name="_Toc522029262"/>
      <w:bookmarkStart w:id="19" w:name="_Toc523300962"/>
      <w:bookmarkStart w:id="20" w:name="_Toc523301492"/>
      <w:bookmarkStart w:id="21" w:name="_Toc523304044"/>
      <w:bookmarkStart w:id="22" w:name="_Toc523393150"/>
      <w:bookmarkStart w:id="23" w:name="_Toc523404126"/>
      <w:r w:rsidRPr="00B11790">
        <w:t xml:space="preserve">Table </w:t>
      </w:r>
      <w:r w:rsidR="00E71F4B">
        <w:rPr>
          <w:noProof/>
        </w:rPr>
        <w:fldChar w:fldCharType="begin"/>
      </w:r>
      <w:r w:rsidR="00E71F4B">
        <w:rPr>
          <w:noProof/>
        </w:rPr>
        <w:instrText xml:space="preserve"> SEQ Table \* ARABIC </w:instrText>
      </w:r>
      <w:r w:rsidR="00E71F4B">
        <w:rPr>
          <w:noProof/>
        </w:rPr>
        <w:fldChar w:fldCharType="separate"/>
      </w:r>
      <w:r w:rsidR="00CD067A">
        <w:rPr>
          <w:noProof/>
        </w:rPr>
        <w:t>1</w:t>
      </w:r>
      <w:r w:rsidR="00E71F4B">
        <w:rPr>
          <w:noProof/>
        </w:rPr>
        <w:fldChar w:fldCharType="end"/>
      </w:r>
      <w:bookmarkEnd w:id="1"/>
      <w:r w:rsidRPr="00B11790">
        <w:tab/>
        <w:t>Approved augmentation therapies and their indications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tbl>
      <w:tblPr>
        <w:tblStyle w:val="TableGrid"/>
        <w:tblW w:w="5000" w:type="pct"/>
        <w:tblLook w:val="04A0" w:firstRow="1" w:lastRow="0" w:firstColumn="1" w:lastColumn="0" w:noHBand="0" w:noVBand="1"/>
        <w:tblCaption w:val="Table 6 Approved augmentation therapies and their indications"/>
        <w:tblDescription w:val="This table describes the TGA approved augmentation therapies (PROLASTIN-C and Zemaira) and their indication."/>
      </w:tblPr>
      <w:tblGrid>
        <w:gridCol w:w="1401"/>
        <w:gridCol w:w="7615"/>
      </w:tblGrid>
      <w:tr w:rsidR="009B1E56" w:rsidRPr="00B11790" w14:paraId="5BCFF41C" w14:textId="77777777" w:rsidTr="00CD067A">
        <w:trPr>
          <w:tblHeader/>
        </w:trPr>
        <w:tc>
          <w:tcPr>
            <w:tcW w:w="777" w:type="pct"/>
            <w:shd w:val="clear" w:color="auto" w:fill="D9D9D9" w:themeFill="background1" w:themeFillShade="D9"/>
          </w:tcPr>
          <w:p w14:paraId="22323E94" w14:textId="77777777" w:rsidR="009B1E56" w:rsidRPr="00B11790" w:rsidRDefault="009B1E56" w:rsidP="00CD067A">
            <w:pPr>
              <w:pStyle w:val="TableHeading"/>
            </w:pPr>
            <w:r w:rsidRPr="00B11790">
              <w:t>Product</w:t>
            </w:r>
          </w:p>
        </w:tc>
        <w:tc>
          <w:tcPr>
            <w:tcW w:w="4223" w:type="pct"/>
            <w:shd w:val="clear" w:color="auto" w:fill="D9D9D9" w:themeFill="background1" w:themeFillShade="D9"/>
          </w:tcPr>
          <w:p w14:paraId="7C9784D6" w14:textId="77777777" w:rsidR="009B1E56" w:rsidRPr="00B11790" w:rsidRDefault="009B1E56" w:rsidP="00CD067A">
            <w:pPr>
              <w:pStyle w:val="TableHeading"/>
            </w:pPr>
            <w:r w:rsidRPr="00B11790">
              <w:t>ARTG ID and details</w:t>
            </w:r>
          </w:p>
        </w:tc>
      </w:tr>
      <w:tr w:rsidR="009B1E56" w:rsidRPr="00B11790" w14:paraId="41AC42F6" w14:textId="77777777" w:rsidTr="00CD067A">
        <w:tc>
          <w:tcPr>
            <w:tcW w:w="777" w:type="pct"/>
          </w:tcPr>
          <w:p w14:paraId="53D4C571" w14:textId="77777777" w:rsidR="009B1E56" w:rsidRPr="00B11790" w:rsidRDefault="009B1E56" w:rsidP="00CD067A">
            <w:pPr>
              <w:pStyle w:val="TableText0"/>
            </w:pPr>
            <w:r w:rsidRPr="00B11790">
              <w:t>PROLASTIN-C</w:t>
            </w:r>
          </w:p>
        </w:tc>
        <w:tc>
          <w:tcPr>
            <w:tcW w:w="4223" w:type="pct"/>
          </w:tcPr>
          <w:p w14:paraId="24A74FC7" w14:textId="4C5F24A5" w:rsidR="009B1E56" w:rsidRPr="00B11790" w:rsidRDefault="009B1E56" w:rsidP="000C1312">
            <w:pPr>
              <w:pStyle w:val="TableText0"/>
            </w:pPr>
            <w:r w:rsidRPr="00B11790">
              <w:t xml:space="preserve">ARTG ID 234553: indicated to increase serum </w:t>
            </w:r>
            <w:r w:rsidR="00761C75">
              <w:t>A1-PI</w:t>
            </w:r>
            <w:r w:rsidRPr="00B11790">
              <w:t xml:space="preserve"> levels in adults with congenital deficiency of alpha-1 anti-trypsin and with </w:t>
            </w:r>
            <w:r w:rsidRPr="00B11790">
              <w:rPr>
                <w:u w:val="single"/>
              </w:rPr>
              <w:t>clinically significant emphysema (FEV</w:t>
            </w:r>
            <w:r w:rsidRPr="00B11790">
              <w:rPr>
                <w:u w:val="single"/>
                <w:vertAlign w:val="subscript"/>
              </w:rPr>
              <w:t>1</w:t>
            </w:r>
            <w:r w:rsidRPr="00B11790">
              <w:rPr>
                <w:u w:val="single"/>
              </w:rPr>
              <w:t xml:space="preserve"> less than 80%)</w:t>
            </w:r>
            <w:r w:rsidR="000C1312">
              <w:t xml:space="preserve">. </w:t>
            </w:r>
            <w:r w:rsidRPr="00B11790">
              <w:t xml:space="preserve">The data for clinical efficacy of PROLASTIN-C </w:t>
            </w:r>
            <w:proofErr w:type="gramStart"/>
            <w:r w:rsidRPr="00B11790">
              <w:t>is derived</w:t>
            </w:r>
            <w:proofErr w:type="gramEnd"/>
            <w:r w:rsidRPr="00B11790">
              <w:t xml:space="preserve"> from changes in the biomarkers alpha-1 anti-protease level and CT lung density. Efficacy on FEV</w:t>
            </w:r>
            <w:r w:rsidRPr="00B11790">
              <w:rPr>
                <w:vertAlign w:val="subscript"/>
              </w:rPr>
              <w:t>1</w:t>
            </w:r>
            <w:r w:rsidRPr="00B11790">
              <w:t xml:space="preserve"> or patient relevant endpoints such as quality of life or pulmonary exacerbations </w:t>
            </w:r>
            <w:proofErr w:type="gramStart"/>
            <w:r w:rsidRPr="00B11790">
              <w:t>has not been established</w:t>
            </w:r>
            <w:proofErr w:type="gramEnd"/>
            <w:r w:rsidRPr="00B11790">
              <w:t xml:space="preserve"> in randomised clinical trials. Clinical trials have only included </w:t>
            </w:r>
            <w:r w:rsidRPr="00B11790">
              <w:rPr>
                <w:u w:val="single"/>
              </w:rPr>
              <w:t>patients who were not smoking</w:t>
            </w:r>
            <w:r w:rsidRPr="00B11790">
              <w:t>.</w:t>
            </w:r>
          </w:p>
        </w:tc>
      </w:tr>
      <w:tr w:rsidR="009B1E56" w:rsidRPr="00B11790" w14:paraId="71CDDB05" w14:textId="77777777" w:rsidTr="00CD067A">
        <w:tc>
          <w:tcPr>
            <w:tcW w:w="777" w:type="pct"/>
          </w:tcPr>
          <w:p w14:paraId="08919DA7" w14:textId="77777777" w:rsidR="009B1E56" w:rsidRPr="00B11790" w:rsidRDefault="009B1E56" w:rsidP="00CD067A">
            <w:pPr>
              <w:pStyle w:val="TableText0"/>
            </w:pPr>
            <w:proofErr w:type="spellStart"/>
            <w:r w:rsidRPr="00B11790">
              <w:t>Zemaira</w:t>
            </w:r>
            <w:proofErr w:type="spellEnd"/>
          </w:p>
        </w:tc>
        <w:tc>
          <w:tcPr>
            <w:tcW w:w="4223" w:type="pct"/>
          </w:tcPr>
          <w:p w14:paraId="5559D1AE" w14:textId="1EC4947B" w:rsidR="009B1E56" w:rsidRPr="00B11790" w:rsidRDefault="009B1E56" w:rsidP="00CD067A">
            <w:pPr>
              <w:pStyle w:val="TableText0"/>
            </w:pPr>
            <w:r w:rsidRPr="00B11790">
              <w:t xml:space="preserve">ARTG ID 273182: indicated for maintenance treatment, to slow the progression of emphysema in adults with documented </w:t>
            </w:r>
            <w:r w:rsidRPr="00B11790">
              <w:rPr>
                <w:u w:val="single"/>
              </w:rPr>
              <w:t xml:space="preserve">severe </w:t>
            </w:r>
            <w:r w:rsidR="00761C75">
              <w:rPr>
                <w:u w:val="single"/>
              </w:rPr>
              <w:t>A1-PI</w:t>
            </w:r>
            <w:r w:rsidRPr="00B11790">
              <w:rPr>
                <w:u w:val="single"/>
              </w:rPr>
              <w:t xml:space="preserve"> deficiency</w:t>
            </w:r>
            <w:r w:rsidRPr="00B11790">
              <w:t xml:space="preserve"> (</w:t>
            </w:r>
            <w:r w:rsidR="00761C75">
              <w:t>A1-PI</w:t>
            </w:r>
            <w:r w:rsidRPr="00B11790">
              <w:t xml:space="preserve"> less than 11 </w:t>
            </w:r>
            <w:proofErr w:type="spellStart"/>
            <w:r w:rsidRPr="00B11790">
              <w:t>μM</w:t>
            </w:r>
            <w:proofErr w:type="spellEnd"/>
            <w:r w:rsidRPr="00B11790">
              <w:t xml:space="preserve">) and </w:t>
            </w:r>
            <w:r w:rsidRPr="00B11790">
              <w:rPr>
                <w:u w:val="single"/>
              </w:rPr>
              <w:t>progressive lung disease</w:t>
            </w:r>
            <w:r w:rsidR="000C1312">
              <w:t xml:space="preserve">. </w:t>
            </w:r>
            <w:r w:rsidRPr="00B11790">
              <w:t xml:space="preserve">Patients are to be under </w:t>
            </w:r>
            <w:r w:rsidRPr="00B11790">
              <w:rPr>
                <w:u w:val="single"/>
              </w:rPr>
              <w:t>optimal pharmacologic and non-pharmacologic treatment</w:t>
            </w:r>
            <w:r w:rsidRPr="00B11790">
              <w:t>.</w:t>
            </w:r>
          </w:p>
        </w:tc>
      </w:tr>
    </w:tbl>
    <w:p w14:paraId="015854B8" w14:textId="77777777" w:rsidR="009B1E56" w:rsidRDefault="009B1E56" w:rsidP="009B1E56">
      <w:pPr>
        <w:pStyle w:val="Tablenotes"/>
        <w:spacing w:after="240"/>
      </w:pPr>
      <w:r w:rsidRPr="00B11790">
        <w:rPr>
          <w:b/>
        </w:rPr>
        <w:t>Abbreviations</w:t>
      </w:r>
      <w:r w:rsidRPr="00B11790">
        <w:t xml:space="preserve">: </w:t>
      </w:r>
      <w:r w:rsidRPr="00B11790">
        <w:rPr>
          <w:b/>
        </w:rPr>
        <w:t>ARTG</w:t>
      </w:r>
      <w:r w:rsidRPr="00B11790">
        <w:t xml:space="preserve"> = Australian Register of Therapeutic Goods, </w:t>
      </w:r>
      <w:r w:rsidRPr="00B11790">
        <w:rPr>
          <w:b/>
        </w:rPr>
        <w:t>FEV</w:t>
      </w:r>
      <w:r w:rsidRPr="00B11790">
        <w:rPr>
          <w:b/>
          <w:vertAlign w:val="subscript"/>
        </w:rPr>
        <w:t>1</w:t>
      </w:r>
      <w:r w:rsidRPr="00B11790">
        <w:t xml:space="preserve"> = forced expiratory volume in 1 second, </w:t>
      </w:r>
      <w:proofErr w:type="spellStart"/>
      <w:r w:rsidRPr="00B11790">
        <w:rPr>
          <w:b/>
        </w:rPr>
        <w:t>μM</w:t>
      </w:r>
      <w:proofErr w:type="spellEnd"/>
      <w:r w:rsidRPr="00B11790">
        <w:t xml:space="preserve"> = </w:t>
      </w:r>
      <w:proofErr w:type="spellStart"/>
      <w:r w:rsidRPr="00B11790">
        <w:t>micromolar</w:t>
      </w:r>
      <w:proofErr w:type="spellEnd"/>
      <w:r w:rsidRPr="00B11790">
        <w:t>.</w:t>
      </w:r>
    </w:p>
    <w:p w14:paraId="34B6BABC" w14:textId="77777777" w:rsidR="00BC1364" w:rsidRPr="00F715D1" w:rsidRDefault="00BC1364" w:rsidP="00F715D1">
      <w:pPr>
        <w:pStyle w:val="Heading1"/>
      </w:pPr>
      <w:r w:rsidRPr="00F715D1">
        <w:t>Proposal for public funding</w:t>
      </w:r>
    </w:p>
    <w:p w14:paraId="6126985C" w14:textId="77777777" w:rsidR="009B1E56" w:rsidRPr="00B11790" w:rsidRDefault="00761C75" w:rsidP="009B1E56">
      <w:r w:rsidRPr="00AF1CF9">
        <w:rPr>
          <w:szCs w:val="24"/>
        </w:rPr>
        <w:t>Augmentation</w:t>
      </w:r>
      <w:r w:rsidRPr="00450D15">
        <w:t xml:space="preserve"> therapy </w:t>
      </w:r>
      <w:r w:rsidR="009B1E56" w:rsidRPr="00B11790">
        <w:t>with A1</w:t>
      </w:r>
      <w:r>
        <w:t>-</w:t>
      </w:r>
      <w:r w:rsidR="009B1E56" w:rsidRPr="00B11790">
        <w:t xml:space="preserve">PI </w:t>
      </w:r>
      <w:proofErr w:type="gramStart"/>
      <w:r w:rsidR="009B1E56" w:rsidRPr="00B11790">
        <w:t>is proposed</w:t>
      </w:r>
      <w:proofErr w:type="gramEnd"/>
      <w:r w:rsidR="009B1E56" w:rsidRPr="00B11790">
        <w:t xml:space="preserve"> for reimbursement</w:t>
      </w:r>
      <w:r>
        <w:t xml:space="preserve"> on the </w:t>
      </w:r>
      <w:r w:rsidR="009B1E56" w:rsidRPr="00B11790">
        <w:t xml:space="preserve">NPL, managed by the </w:t>
      </w:r>
      <w:r w:rsidR="009B1E56">
        <w:t>NBA</w:t>
      </w:r>
      <w:r w:rsidR="009B1E56" w:rsidRPr="00B11790">
        <w:t xml:space="preserve">. As such, no </w:t>
      </w:r>
      <w:r>
        <w:t>Medicare Benefits Schedule</w:t>
      </w:r>
      <w:r w:rsidR="009B1E56" w:rsidRPr="00B11790">
        <w:t xml:space="preserve"> item descriptor is required.</w:t>
      </w:r>
    </w:p>
    <w:p w14:paraId="20AFF381" w14:textId="5E8B0D08" w:rsidR="00BC1364" w:rsidRPr="00F715D1" w:rsidRDefault="00BC1364" w:rsidP="00F715D1">
      <w:pPr>
        <w:pStyle w:val="Heading1"/>
      </w:pPr>
      <w:r w:rsidRPr="00F715D1">
        <w:lastRenderedPageBreak/>
        <w:t xml:space="preserve">Summary of </w:t>
      </w:r>
      <w:r w:rsidR="00D234E7" w:rsidRPr="00F715D1">
        <w:t>public consultation feedback/consumer issues</w:t>
      </w:r>
    </w:p>
    <w:p w14:paraId="191D5137" w14:textId="2EB04877" w:rsidR="009B1E56" w:rsidRDefault="009B1E56" w:rsidP="009B1E56">
      <w:r w:rsidRPr="00B11790">
        <w:t>Six associations provided targeted feedback, and one individual provided non-targeted feedback on this consultation. All respondents using the feedback form ‘strongly agreed’ with the clinical claim made by the applicant</w:t>
      </w:r>
      <w:r w:rsidR="0042067F">
        <w:t xml:space="preserve"> and argued the urgent priority to address the </w:t>
      </w:r>
      <w:r w:rsidR="006E587B">
        <w:t xml:space="preserve">unmet </w:t>
      </w:r>
      <w:r w:rsidR="0042067F">
        <w:t>clinical need.</w:t>
      </w:r>
    </w:p>
    <w:p w14:paraId="14C16B0C" w14:textId="77777777" w:rsidR="00BC1364" w:rsidRPr="00F715D1" w:rsidRDefault="00BC1364" w:rsidP="00F715D1">
      <w:pPr>
        <w:pStyle w:val="Heading1"/>
      </w:pPr>
      <w:r w:rsidRPr="00F715D1">
        <w:t>Proposed intervention’s place in clinical management</w:t>
      </w:r>
    </w:p>
    <w:p w14:paraId="04E4955F" w14:textId="71187784" w:rsidR="005715C6" w:rsidRDefault="005715C6" w:rsidP="00687B5B">
      <w:pPr>
        <w:spacing w:after="240"/>
      </w:pPr>
      <w:r w:rsidRPr="005715C6">
        <w:t xml:space="preserve">The population to be considered in this assessment is ex- or never-smoking patients with emphysema </w:t>
      </w:r>
      <w:r w:rsidR="00444D9B" w:rsidRPr="009B68AE">
        <w:t>(</w:t>
      </w:r>
      <w:r w:rsidR="00444D9B">
        <w:t xml:space="preserve">defined as </w:t>
      </w:r>
      <w:r w:rsidR="00444D9B" w:rsidRPr="009B68AE">
        <w:t>FEV</w:t>
      </w:r>
      <w:r w:rsidR="00444D9B" w:rsidRPr="009E4C68">
        <w:rPr>
          <w:vertAlign w:val="subscript"/>
        </w:rPr>
        <w:t>1</w:t>
      </w:r>
      <w:r w:rsidR="00444D9B">
        <w:t> </w:t>
      </w:r>
      <w:r w:rsidR="00444D9B" w:rsidRPr="009B68AE">
        <w:t>&lt;80%)</w:t>
      </w:r>
      <w:r w:rsidR="00444D9B">
        <w:t xml:space="preserve"> </w:t>
      </w:r>
      <w:r w:rsidRPr="005715C6">
        <w:t>and severe A1</w:t>
      </w:r>
      <w:r w:rsidR="00761C75">
        <w:t>-</w:t>
      </w:r>
      <w:r w:rsidRPr="005715C6">
        <w:t>PI deficiency</w:t>
      </w:r>
      <w:r>
        <w:t xml:space="preserve"> (defined as </w:t>
      </w:r>
      <w:r w:rsidRPr="005715C6">
        <w:t xml:space="preserve">serum </w:t>
      </w:r>
      <w:r w:rsidR="00444D9B">
        <w:t xml:space="preserve">A1 </w:t>
      </w:r>
      <w:r w:rsidRPr="005715C6">
        <w:t xml:space="preserve">levels </w:t>
      </w:r>
      <w:r w:rsidR="00444D9B" w:rsidRPr="009B68AE">
        <w:t>≤</w:t>
      </w:r>
      <w:r w:rsidR="00444D9B">
        <w:t>11 </w:t>
      </w:r>
      <w:proofErr w:type="spellStart"/>
      <w:r>
        <w:t>μM</w:t>
      </w:r>
      <w:proofErr w:type="spellEnd"/>
      <w:r>
        <w:t xml:space="preserve"> (approximately 59 mg/</w:t>
      </w:r>
      <w:proofErr w:type="spellStart"/>
      <w:r>
        <w:t>dL</w:t>
      </w:r>
      <w:proofErr w:type="spellEnd"/>
      <w:r>
        <w:t xml:space="preserve">); </w:t>
      </w:r>
      <w:proofErr w:type="spellStart"/>
      <w:r w:rsidRPr="005715C6">
        <w:t>Hatipoglu</w:t>
      </w:r>
      <w:proofErr w:type="spellEnd"/>
      <w:r w:rsidRPr="005715C6">
        <w:t xml:space="preserve"> and </w:t>
      </w:r>
      <w:proofErr w:type="spellStart"/>
      <w:r w:rsidRPr="005715C6">
        <w:t>Stoller</w:t>
      </w:r>
      <w:proofErr w:type="spellEnd"/>
      <w:r w:rsidRPr="005715C6">
        <w:t xml:space="preserve"> 2016).</w:t>
      </w:r>
    </w:p>
    <w:p w14:paraId="39E0D536" w14:textId="574F84DC" w:rsidR="00ED0549" w:rsidRDefault="009B1E56" w:rsidP="00687B5B">
      <w:pPr>
        <w:spacing w:after="240"/>
      </w:pPr>
      <w:r w:rsidRPr="009B1E56">
        <w:t>Patients with A1</w:t>
      </w:r>
      <w:r w:rsidR="00761C75">
        <w:t>-</w:t>
      </w:r>
      <w:r w:rsidRPr="009B1E56">
        <w:t xml:space="preserve">PI deficiency </w:t>
      </w:r>
      <w:proofErr w:type="gramStart"/>
      <w:r w:rsidRPr="009B1E56">
        <w:t>are currently managed</w:t>
      </w:r>
      <w:proofErr w:type="gramEnd"/>
      <w:r w:rsidRPr="009B1E56">
        <w:t xml:space="preserve"> with </w:t>
      </w:r>
      <w:r w:rsidR="005715C6">
        <w:t>best supportive care (</w:t>
      </w:r>
      <w:r w:rsidRPr="009B1E56">
        <w:t>BSC</w:t>
      </w:r>
      <w:r w:rsidR="005715C6">
        <w:t>)</w:t>
      </w:r>
      <w:r w:rsidR="00FC6AF2">
        <w:t xml:space="preserve">. BSC </w:t>
      </w:r>
      <w:r w:rsidR="005715C6">
        <w:t>includes pharmacological</w:t>
      </w:r>
      <w:r w:rsidR="00FC6AF2">
        <w:t xml:space="preserve"> </w:t>
      </w:r>
      <w:r w:rsidR="00444D9B">
        <w:t xml:space="preserve">strategies </w:t>
      </w:r>
      <w:r w:rsidR="00FC6AF2">
        <w:t>(e.g. inhaled medications)</w:t>
      </w:r>
      <w:r w:rsidR="005715C6">
        <w:t xml:space="preserve"> and non-pharmacological strategies</w:t>
      </w:r>
      <w:r w:rsidR="00FC6AF2">
        <w:t xml:space="preserve"> (e.g. pulmonary rehabilitation and physical activity)</w:t>
      </w:r>
      <w:r w:rsidR="005715C6">
        <w:t xml:space="preserve"> aimed at providing</w:t>
      </w:r>
      <w:r w:rsidRPr="009B1E56">
        <w:t xml:space="preserve"> symptomatic relief. The current (</w:t>
      </w:r>
      <w:r w:rsidR="00ED0549">
        <w:fldChar w:fldCharType="begin"/>
      </w:r>
      <w:r w:rsidR="00ED0549">
        <w:instrText xml:space="preserve"> REF _Ref508283171 \h </w:instrText>
      </w:r>
      <w:r w:rsidR="00ED0549">
        <w:fldChar w:fldCharType="separate"/>
      </w:r>
      <w:r w:rsidR="00CD067A" w:rsidRPr="00B11790">
        <w:t xml:space="preserve">Figure </w:t>
      </w:r>
      <w:r w:rsidR="00CD067A">
        <w:rPr>
          <w:noProof/>
        </w:rPr>
        <w:t>1</w:t>
      </w:r>
      <w:r w:rsidR="00ED0549">
        <w:fldChar w:fldCharType="end"/>
      </w:r>
      <w:r w:rsidRPr="009B1E56">
        <w:t>) and proposed (</w:t>
      </w:r>
      <w:r w:rsidR="00ED0549">
        <w:fldChar w:fldCharType="begin"/>
      </w:r>
      <w:r w:rsidR="00ED0549">
        <w:instrText xml:space="preserve"> REF _Ref523235652 \h </w:instrText>
      </w:r>
      <w:r w:rsidR="00ED0549">
        <w:fldChar w:fldCharType="separate"/>
      </w:r>
      <w:r w:rsidR="00CD067A" w:rsidRPr="00B11790">
        <w:t xml:space="preserve">Figure </w:t>
      </w:r>
      <w:r w:rsidR="00CD067A">
        <w:rPr>
          <w:noProof/>
        </w:rPr>
        <w:t>2</w:t>
      </w:r>
      <w:r w:rsidR="00ED0549">
        <w:fldChar w:fldCharType="end"/>
      </w:r>
      <w:r w:rsidRPr="009B1E56">
        <w:t>) clinical management algorithms are presented</w:t>
      </w:r>
      <w:r>
        <w:t xml:space="preserve"> below.</w:t>
      </w:r>
    </w:p>
    <w:p w14:paraId="01603B9B" w14:textId="77777777" w:rsidR="00ED0549" w:rsidRPr="00B11790" w:rsidRDefault="00ED0549" w:rsidP="00ED0549">
      <w:pPr>
        <w:ind w:left="567" w:firstLine="567"/>
      </w:pPr>
      <w:r>
        <w:rPr>
          <w:noProof/>
        </w:rPr>
        <w:drawing>
          <wp:inline distT="0" distB="0" distL="0" distR="0" wp14:anchorId="60ABE3C2" wp14:editId="3D4D77EC">
            <wp:extent cx="4495800" cy="3644900"/>
            <wp:effectExtent l="0" t="0" r="0" b="0"/>
            <wp:docPr id="1" name="Picture 1" descr="Current clinical management algorithm for patients with emphysema and FEV1 &lt;80%. Patients with emphysema and a FEV1 &lt; 80% are investigated for A1PI deficiency by determining serum levels of A1PI and genotyping. Whether a patient tests positive or negative for A1PI deficency, they undergo the same management, optimal pharmacological therapy and best supportive care. " title="Current clinical management algorithm for patients with emphysema and FEV1 &lt;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Current clinical management algorithm for patients with emphysema and FEV1 &lt;80%. Patients with emphysema and a FEV1 &lt; 80% are investigated for A1PI deficiency by determining serum levels of A1PI and genotyping. Whether a patient tests positive or negative for A1PI deficency, they undergo the same management, optimal pharmacological therapy and best supportive car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3644900"/>
                    </a:xfrm>
                    <a:prstGeom prst="rect">
                      <a:avLst/>
                    </a:prstGeom>
                    <a:noFill/>
                    <a:ln>
                      <a:noFill/>
                    </a:ln>
                  </pic:spPr>
                </pic:pic>
              </a:graphicData>
            </a:graphic>
          </wp:inline>
        </w:drawing>
      </w:r>
    </w:p>
    <w:p w14:paraId="63DB6B9E" w14:textId="77777777" w:rsidR="00ED0549" w:rsidRDefault="00ED0549" w:rsidP="00687B5B">
      <w:pPr>
        <w:pStyle w:val="Caption"/>
        <w:spacing w:before="120"/>
      </w:pPr>
      <w:bookmarkStart w:id="24" w:name="_Ref508283171"/>
      <w:bookmarkStart w:id="25" w:name="_Toc521400309"/>
      <w:bookmarkStart w:id="26" w:name="_Toc521405112"/>
      <w:bookmarkStart w:id="27" w:name="_Toc521406120"/>
      <w:bookmarkStart w:id="28" w:name="_Toc521422850"/>
      <w:bookmarkStart w:id="29" w:name="_Toc521571145"/>
      <w:bookmarkStart w:id="30" w:name="_Toc521577035"/>
      <w:bookmarkStart w:id="31" w:name="_Toc521592220"/>
      <w:bookmarkStart w:id="32" w:name="_Toc521593555"/>
      <w:bookmarkStart w:id="33" w:name="_Toc521596711"/>
      <w:bookmarkStart w:id="34" w:name="_Toc521594991"/>
      <w:bookmarkStart w:id="35" w:name="_Toc522004734"/>
      <w:bookmarkStart w:id="36" w:name="_Toc522011922"/>
      <w:bookmarkStart w:id="37" w:name="_Toc522023060"/>
      <w:bookmarkStart w:id="38" w:name="_Toc522027556"/>
      <w:bookmarkStart w:id="39" w:name="_Toc522029237"/>
      <w:bookmarkStart w:id="40" w:name="_Toc523300933"/>
      <w:bookmarkStart w:id="41" w:name="_Toc523301463"/>
      <w:bookmarkStart w:id="42" w:name="_Toc523304015"/>
      <w:bookmarkStart w:id="43" w:name="_Toc523393121"/>
      <w:bookmarkStart w:id="44" w:name="_Toc523404234"/>
      <w:r w:rsidRPr="00B11790">
        <w:t xml:space="preserve">Figure </w:t>
      </w:r>
      <w:r w:rsidR="00E71F4B">
        <w:rPr>
          <w:noProof/>
        </w:rPr>
        <w:fldChar w:fldCharType="begin"/>
      </w:r>
      <w:r w:rsidR="00E71F4B">
        <w:rPr>
          <w:noProof/>
        </w:rPr>
        <w:instrText xml:space="preserve"> SEQ Figure \* ARABIC </w:instrText>
      </w:r>
      <w:r w:rsidR="00E71F4B">
        <w:rPr>
          <w:noProof/>
        </w:rPr>
        <w:fldChar w:fldCharType="separate"/>
      </w:r>
      <w:r w:rsidR="00CD067A">
        <w:rPr>
          <w:noProof/>
        </w:rPr>
        <w:t>1</w:t>
      </w:r>
      <w:r w:rsidR="00E71F4B">
        <w:rPr>
          <w:noProof/>
        </w:rPr>
        <w:fldChar w:fldCharType="end"/>
      </w:r>
      <w:bookmarkEnd w:id="24"/>
      <w:r w:rsidRPr="00B11790">
        <w:tab/>
        <w:t>Current clinical management algorithm for patients with emphysema and FEV1 &lt;80%</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bookmarkStart w:id="45" w:name="_Ref521064030"/>
    <w:bookmarkStart w:id="46" w:name="_Ref521416045"/>
    <w:bookmarkStart w:id="47" w:name="_Toc521400310"/>
    <w:bookmarkStart w:id="48" w:name="_Toc521405113"/>
    <w:bookmarkStart w:id="49" w:name="_Toc521406121"/>
    <w:bookmarkStart w:id="50" w:name="_Toc521422851"/>
    <w:bookmarkStart w:id="51" w:name="_Toc521571146"/>
    <w:bookmarkStart w:id="52" w:name="_Toc521577036"/>
    <w:bookmarkStart w:id="53" w:name="_Toc521592221"/>
    <w:bookmarkStart w:id="54" w:name="_Toc521593556"/>
    <w:bookmarkStart w:id="55" w:name="_Toc521596712"/>
    <w:bookmarkStart w:id="56" w:name="_Toc521594992"/>
    <w:bookmarkStart w:id="57" w:name="_Toc522004735"/>
    <w:bookmarkStart w:id="58" w:name="_Toc522011923"/>
    <w:bookmarkStart w:id="59" w:name="_Toc522023061"/>
    <w:bookmarkStart w:id="60" w:name="_Toc522027557"/>
    <w:bookmarkStart w:id="61" w:name="_Toc522029238"/>
    <w:p w14:paraId="1619917F" w14:textId="65A212D5" w:rsidR="00687B5B" w:rsidRDefault="00A35B34" w:rsidP="00687B5B">
      <w:pPr>
        <w:pStyle w:val="Caption"/>
        <w:ind w:firstLine="567"/>
      </w:pPr>
      <w:r w:rsidRPr="00B11790">
        <w:object w:dxaOrig="5325" w:dyaOrig="11655" w14:anchorId="4AE3B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posed clinical management algorithm if Zemaira is available for patients with emphysema and FEV1 of less than 80%" style="width:278.25pt;height:611.25pt;mso-position-horizontal:absolute" o:ole="">
            <v:imagedata r:id="rId11" o:title=""/>
          </v:shape>
          <o:OLEObject Type="Embed" ProgID="Visio.Drawing.11" ShapeID="_x0000_i1025" DrawAspect="Content" ObjectID="_1622610118" r:id="rId12"/>
        </w:object>
      </w:r>
      <w:bookmarkStart w:id="62" w:name="_Ref523235652"/>
      <w:bookmarkStart w:id="63" w:name="_Toc523300934"/>
      <w:bookmarkStart w:id="64" w:name="_Toc523301464"/>
      <w:bookmarkStart w:id="65" w:name="_Toc523304016"/>
      <w:bookmarkStart w:id="66" w:name="_Toc523393122"/>
      <w:bookmarkStart w:id="67" w:name="_Toc523404235"/>
    </w:p>
    <w:p w14:paraId="21FDBD82" w14:textId="37280A22" w:rsidR="005715C6" w:rsidRDefault="00ED0549" w:rsidP="00687B5B">
      <w:pPr>
        <w:pStyle w:val="Caption"/>
        <w:ind w:firstLine="567"/>
      </w:pPr>
      <w:r w:rsidRPr="00B11790">
        <w:t xml:space="preserve">Figure </w:t>
      </w:r>
      <w:r w:rsidR="00E71F4B">
        <w:rPr>
          <w:noProof/>
        </w:rPr>
        <w:fldChar w:fldCharType="begin"/>
      </w:r>
      <w:r w:rsidR="00E71F4B">
        <w:rPr>
          <w:noProof/>
        </w:rPr>
        <w:instrText xml:space="preserve"> SEQ Figure \* ARABIC </w:instrText>
      </w:r>
      <w:r w:rsidR="00E71F4B">
        <w:rPr>
          <w:noProof/>
        </w:rPr>
        <w:fldChar w:fldCharType="separate"/>
      </w:r>
      <w:r w:rsidR="00CD067A">
        <w:rPr>
          <w:noProof/>
        </w:rPr>
        <w:t>2</w:t>
      </w:r>
      <w:r w:rsidR="00E71F4B">
        <w:rPr>
          <w:noProof/>
        </w:rPr>
        <w:fldChar w:fldCharType="end"/>
      </w:r>
      <w:bookmarkEnd w:id="45"/>
      <w:bookmarkEnd w:id="46"/>
      <w:bookmarkEnd w:id="62"/>
      <w:r w:rsidRPr="00B11790">
        <w:tab/>
        <w:t>Proposed clinical management algorithm for patients with emphysema and FEV1 &lt;80%</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3"/>
      <w:bookmarkEnd w:id="64"/>
      <w:bookmarkEnd w:id="65"/>
      <w:bookmarkEnd w:id="66"/>
      <w:bookmarkEnd w:id="67"/>
    </w:p>
    <w:p w14:paraId="1E5BE7E4" w14:textId="598CDE18" w:rsidR="00BC1364" w:rsidRPr="00F715D1" w:rsidRDefault="00444D9B" w:rsidP="00F715D1">
      <w:pPr>
        <w:pStyle w:val="Heading1"/>
      </w:pPr>
      <w:r>
        <w:t>Comparator</w:t>
      </w:r>
    </w:p>
    <w:p w14:paraId="46DBCA21" w14:textId="752E056D" w:rsidR="00C415A2" w:rsidRPr="00C415A2" w:rsidRDefault="00FC6AF2" w:rsidP="00C415A2">
      <w:pPr>
        <w:rPr>
          <w:szCs w:val="24"/>
        </w:rPr>
      </w:pPr>
      <w:r>
        <w:t xml:space="preserve">The </w:t>
      </w:r>
      <w:r w:rsidR="00761C75">
        <w:t xml:space="preserve">application </w:t>
      </w:r>
      <w:r>
        <w:t xml:space="preserve">stated </w:t>
      </w:r>
      <w:proofErr w:type="gramStart"/>
      <w:r>
        <w:t>that t</w:t>
      </w:r>
      <w:r w:rsidRPr="00B11790">
        <w:t xml:space="preserve">here are currently no active comparators for </w:t>
      </w:r>
      <w:r w:rsidR="00761C75">
        <w:rPr>
          <w:szCs w:val="24"/>
        </w:rPr>
        <w:t>a</w:t>
      </w:r>
      <w:r w:rsidR="00761C75" w:rsidRPr="00AF1CF9">
        <w:rPr>
          <w:szCs w:val="24"/>
        </w:rPr>
        <w:t>ugmentation</w:t>
      </w:r>
      <w:r w:rsidR="00761C75" w:rsidRPr="00450D15">
        <w:t xml:space="preserve"> therapy </w:t>
      </w:r>
      <w:r w:rsidRPr="00B11790">
        <w:t>that modify the progression of emphysema or COPD in patients with</w:t>
      </w:r>
      <w:r>
        <w:t xml:space="preserve"> </w:t>
      </w:r>
      <w:r w:rsidR="002E411E">
        <w:t>A1-PI</w:t>
      </w:r>
      <w:r>
        <w:t xml:space="preserve"> deficiency</w:t>
      </w:r>
      <w:proofErr w:type="gramEnd"/>
      <w:r w:rsidRPr="00B11790">
        <w:t xml:space="preserve">. </w:t>
      </w:r>
      <w:r w:rsidR="00C415A2" w:rsidRPr="00B83415">
        <w:rPr>
          <w:szCs w:val="24"/>
        </w:rPr>
        <w:t xml:space="preserve">The comparator for patients with </w:t>
      </w:r>
      <w:r>
        <w:rPr>
          <w:szCs w:val="24"/>
        </w:rPr>
        <w:t>COPD</w:t>
      </w:r>
      <w:r w:rsidR="00C415A2" w:rsidRPr="00B83415">
        <w:rPr>
          <w:szCs w:val="24"/>
        </w:rPr>
        <w:t xml:space="preserve"> is BSC.</w:t>
      </w:r>
      <w:r w:rsidR="00C415A2">
        <w:rPr>
          <w:szCs w:val="24"/>
        </w:rPr>
        <w:t xml:space="preserve"> </w:t>
      </w:r>
    </w:p>
    <w:p w14:paraId="78E62595" w14:textId="77777777" w:rsidR="00AB6443" w:rsidRDefault="00BC1364" w:rsidP="00AB6443">
      <w:pPr>
        <w:pStyle w:val="Heading1"/>
      </w:pPr>
      <w:r w:rsidRPr="00F715D1">
        <w:lastRenderedPageBreak/>
        <w:t>Comparative safety</w:t>
      </w:r>
    </w:p>
    <w:p w14:paraId="254E8C5B" w14:textId="5F328C79" w:rsidR="00D13A08" w:rsidRDefault="00AB6443" w:rsidP="00687B5B">
      <w:pPr>
        <w:spacing w:after="240"/>
      </w:pPr>
      <w:r>
        <w:t xml:space="preserve">The </w:t>
      </w:r>
      <w:r w:rsidR="00761C75">
        <w:t>application</w:t>
      </w:r>
      <w:r>
        <w:t xml:space="preserve"> stated that t</w:t>
      </w:r>
      <w:r w:rsidRPr="00AB6443">
        <w:t xml:space="preserve">hree </w:t>
      </w:r>
      <w:r>
        <w:t>randomised controlled trials (</w:t>
      </w:r>
      <w:r w:rsidRPr="00AB6443">
        <w:t>RCT</w:t>
      </w:r>
      <w:proofErr w:type="gramStart"/>
      <w:r>
        <w:t>)</w:t>
      </w:r>
      <w:r w:rsidRPr="00AB6443">
        <w:t>s</w:t>
      </w:r>
      <w:proofErr w:type="gramEnd"/>
      <w:r w:rsidRPr="00AB6443">
        <w:t xml:space="preserve"> were identified that evaluated the effectiveness of </w:t>
      </w:r>
      <w:r w:rsidR="00761C75">
        <w:t>A1-PI</w:t>
      </w:r>
      <w:r w:rsidRPr="00AB6443">
        <w:t xml:space="preserve"> compared to placebo </w:t>
      </w:r>
      <w:r>
        <w:t>(n=313)</w:t>
      </w:r>
      <w:r w:rsidRPr="00AB6443">
        <w:t xml:space="preserve">. Included patients were relatively homogenous across the included studies, representing ex- or never-smokers with severe </w:t>
      </w:r>
      <w:r w:rsidR="00761C75">
        <w:t>A1-PI</w:t>
      </w:r>
      <w:r w:rsidRPr="00AB6443">
        <w:t xml:space="preserve"> deficiency (serum A1 ≤11</w:t>
      </w:r>
      <w:r w:rsidR="00444D9B">
        <w:t> </w:t>
      </w:r>
      <w:r w:rsidRPr="00AB6443">
        <w:t>µM) and emphysema (</w:t>
      </w:r>
      <w:r w:rsidR="00505A64">
        <w:t>f</w:t>
      </w:r>
      <w:r w:rsidR="00505A64" w:rsidRPr="00B11790">
        <w:t>orced expirat</w:t>
      </w:r>
      <w:r w:rsidR="00761C75">
        <w:t xml:space="preserve">ory volume in 1 second </w:t>
      </w:r>
      <w:r w:rsidR="00505A64">
        <w:t>(</w:t>
      </w:r>
      <w:r w:rsidRPr="00AB6443">
        <w:t>FEV</w:t>
      </w:r>
      <w:r w:rsidRPr="00444D9B">
        <w:rPr>
          <w:vertAlign w:val="subscript"/>
        </w:rPr>
        <w:t>1</w:t>
      </w:r>
      <w:r w:rsidR="00505A64">
        <w:t>)</w:t>
      </w:r>
      <w:r w:rsidRPr="00AB6443">
        <w:t xml:space="preserve"> 25% to 80%). The included </w:t>
      </w:r>
      <w:proofErr w:type="gramStart"/>
      <w:r w:rsidRPr="00AB6443">
        <w:t>RCT</w:t>
      </w:r>
      <w:r w:rsidR="000C4DE9">
        <w:t>s</w:t>
      </w:r>
      <w:r w:rsidRPr="00AB6443">
        <w:t xml:space="preserve">  were</w:t>
      </w:r>
      <w:proofErr w:type="gramEnd"/>
      <w:r w:rsidRPr="00AB6443">
        <w:t xml:space="preserve"> generally well conducted; however, </w:t>
      </w:r>
      <w:r w:rsidR="000C4DE9">
        <w:t xml:space="preserve">the </w:t>
      </w:r>
      <w:r w:rsidRPr="00AB6443">
        <w:t>method of allocation concealment was poorly reported across all trials. Seventeen single</w:t>
      </w:r>
      <w:r w:rsidR="00444D9B">
        <w:t>-</w:t>
      </w:r>
      <w:r w:rsidRPr="00AB6443">
        <w:t xml:space="preserve">arm studies were identified that provided evidence on the safety of </w:t>
      </w:r>
      <w:r w:rsidR="00761C75">
        <w:t>A1-PI</w:t>
      </w:r>
      <w:r w:rsidRPr="00AB6443">
        <w:t>.</w:t>
      </w:r>
      <w:r w:rsidR="00D13A08">
        <w:t xml:space="preserve"> </w:t>
      </w:r>
      <w:r w:rsidR="00D13A08" w:rsidRPr="00D13A08">
        <w:t xml:space="preserve">Key safety outcomes </w:t>
      </w:r>
      <w:proofErr w:type="gramStart"/>
      <w:r w:rsidR="00D13A08" w:rsidRPr="00D13A08">
        <w:t>were:</w:t>
      </w:r>
      <w:proofErr w:type="gramEnd"/>
      <w:r w:rsidR="00D13A08" w:rsidRPr="00D13A08">
        <w:t xml:space="preserve"> death due to adverse events, severe adverse events, and discontinuation or hospitalisation due to adverse events.</w:t>
      </w:r>
    </w:p>
    <w:p w14:paraId="1C137A30" w14:textId="48C6BEF2" w:rsidR="00D13A08" w:rsidRDefault="00D13A08" w:rsidP="00687B5B">
      <w:pPr>
        <w:spacing w:before="240"/>
      </w:pPr>
      <w:r>
        <w:t xml:space="preserve">The </w:t>
      </w:r>
      <w:r w:rsidR="00761C75">
        <w:t>application</w:t>
      </w:r>
      <w:r>
        <w:t xml:space="preserve"> stated that six deaths occurred in the eligible studies, which included </w:t>
      </w:r>
      <w:proofErr w:type="gramStart"/>
      <w:r w:rsidR="000C4DE9">
        <w:t xml:space="preserve">a total of </w:t>
      </w:r>
      <w:r>
        <w:t>899</w:t>
      </w:r>
      <w:proofErr w:type="gramEnd"/>
      <w:r>
        <w:t xml:space="preserve"> patients. None of these deaths </w:t>
      </w:r>
      <w:proofErr w:type="gramStart"/>
      <w:r>
        <w:t>w</w:t>
      </w:r>
      <w:r w:rsidR="000C4DE9">
        <w:t>as</w:t>
      </w:r>
      <w:r>
        <w:t xml:space="preserve"> reported</w:t>
      </w:r>
      <w:proofErr w:type="gramEnd"/>
      <w:r>
        <w:t xml:space="preserve"> to be treatment-related. Severe adverse events were also uncommon, with a median occurrence of 2% in the patient population (range 0%-</w:t>
      </w:r>
      <w:proofErr w:type="gramStart"/>
      <w:r>
        <w:t>38%</w:t>
      </w:r>
      <w:proofErr w:type="gramEnd"/>
      <w:r>
        <w:t>). Discontinuation due to adverse events had a median occurrence of 0.5% in the patient population (range 0%-</w:t>
      </w:r>
      <w:proofErr w:type="gramStart"/>
      <w:r>
        <w:t>12%</w:t>
      </w:r>
      <w:proofErr w:type="gramEnd"/>
      <w:r>
        <w:t>) across nine studies. Hospitalisation had a median occurrence of 1.5% in the patient population (range 0%-</w:t>
      </w:r>
      <w:proofErr w:type="gramStart"/>
      <w:r>
        <w:t>14%</w:t>
      </w:r>
      <w:proofErr w:type="gramEnd"/>
      <w:r>
        <w:t>) across four studies.</w:t>
      </w:r>
    </w:p>
    <w:p w14:paraId="5BC330F5" w14:textId="37DF0394" w:rsidR="00CD067A" w:rsidRDefault="00D13A08" w:rsidP="00687B5B">
      <w:pPr>
        <w:spacing w:after="240"/>
      </w:pPr>
      <w:r>
        <w:t xml:space="preserve">The </w:t>
      </w:r>
      <w:r w:rsidR="00761C75">
        <w:t>application</w:t>
      </w:r>
      <w:r>
        <w:t xml:space="preserve"> stated that three studies reported safety in patients treated with one of the two therapies under assessment, </w:t>
      </w:r>
      <w:proofErr w:type="spellStart"/>
      <w:r>
        <w:t>Zemaira</w:t>
      </w:r>
      <w:proofErr w:type="spellEnd"/>
      <w:r>
        <w:t xml:space="preserve"> and PROLASTIN-C. All of these studies found that rates of severe adverse events were unchanged across intervention groups</w:t>
      </w:r>
      <w:r w:rsidR="00505A64">
        <w:t xml:space="preserve"> (</w:t>
      </w:r>
      <w:r w:rsidR="00505A64">
        <w:fldChar w:fldCharType="begin"/>
      </w:r>
      <w:r w:rsidR="00505A64">
        <w:instrText xml:space="preserve"> REF _Ref523400882 \h </w:instrText>
      </w:r>
      <w:r w:rsidR="00505A64">
        <w:fldChar w:fldCharType="separate"/>
      </w:r>
      <w:r w:rsidR="00505A64" w:rsidRPr="00B11790">
        <w:t xml:space="preserve">Figure </w:t>
      </w:r>
      <w:r w:rsidR="00505A64">
        <w:rPr>
          <w:noProof/>
        </w:rPr>
        <w:t>3</w:t>
      </w:r>
      <w:r w:rsidR="00505A64">
        <w:fldChar w:fldCharType="end"/>
      </w:r>
      <w:r w:rsidR="00505A64">
        <w:t>)</w:t>
      </w:r>
      <w:r>
        <w:t>.</w:t>
      </w:r>
    </w:p>
    <w:p w14:paraId="6A3A0E41" w14:textId="0DD45196" w:rsidR="00CD067A" w:rsidRPr="00B11790" w:rsidRDefault="00CD067A" w:rsidP="00CD067A">
      <w:pPr>
        <w:keepNext/>
      </w:pPr>
      <w:r w:rsidRPr="00B11790">
        <w:rPr>
          <w:noProof/>
        </w:rPr>
        <w:drawing>
          <wp:inline distT="0" distB="0" distL="0" distR="0" wp14:anchorId="3DFD1468" wp14:editId="31049BF2">
            <wp:extent cx="5731511" cy="1200150"/>
            <wp:effectExtent l="0" t="0" r="2540" b="0"/>
            <wp:docPr id="10" name="Picture 10" descr="The forest plot indicating the pooled rate of serious adverse events for A1PI compared to placebo. The pooled risk ratio and 95% CI for chapman et al 2015 and dirksen et al 2009 studies was 0.83 and 0.57, 1.19 respectively. " title=" Forest plot indicating the pooled rate of serious adverse events for A1PI compared to place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ious adverse events.png"/>
                    <pic:cNvPicPr/>
                  </pic:nvPicPr>
                  <pic:blipFill>
                    <a:blip r:embed="rId13">
                      <a:extLst>
                        <a:ext uri="{28A0092B-C50C-407E-A947-70E740481C1C}">
                          <a14:useLocalDpi xmlns:a14="http://schemas.microsoft.com/office/drawing/2010/main" val="0"/>
                        </a:ext>
                      </a:extLst>
                    </a:blip>
                    <a:stretch>
                      <a:fillRect/>
                    </a:stretch>
                  </pic:blipFill>
                  <pic:spPr>
                    <a:xfrm>
                      <a:off x="0" y="0"/>
                      <a:ext cx="5739311" cy="1201783"/>
                    </a:xfrm>
                    <a:prstGeom prst="rect">
                      <a:avLst/>
                    </a:prstGeom>
                  </pic:spPr>
                </pic:pic>
              </a:graphicData>
            </a:graphic>
          </wp:inline>
        </w:drawing>
      </w:r>
    </w:p>
    <w:p w14:paraId="5041B8FE" w14:textId="77777777" w:rsidR="00CD067A" w:rsidRPr="00B11790" w:rsidRDefault="00CD067A" w:rsidP="00CD067A">
      <w:pPr>
        <w:pStyle w:val="Caption"/>
      </w:pPr>
      <w:bookmarkStart w:id="68" w:name="_Ref523400882"/>
      <w:bookmarkStart w:id="69" w:name="_Toc523300940"/>
      <w:bookmarkStart w:id="70" w:name="_Toc523301470"/>
      <w:bookmarkStart w:id="71" w:name="_Toc523304022"/>
      <w:bookmarkStart w:id="72" w:name="_Toc523393128"/>
      <w:bookmarkStart w:id="73" w:name="_Toc523404241"/>
      <w:r w:rsidRPr="00B11790">
        <w:t xml:space="preserve">Figure </w:t>
      </w:r>
      <w:r w:rsidR="00E71F4B">
        <w:rPr>
          <w:noProof/>
        </w:rPr>
        <w:fldChar w:fldCharType="begin"/>
      </w:r>
      <w:r w:rsidR="00E71F4B">
        <w:rPr>
          <w:noProof/>
        </w:rPr>
        <w:instrText xml:space="preserve"> SEQ Figure \* ARABIC </w:instrText>
      </w:r>
      <w:r w:rsidR="00E71F4B">
        <w:rPr>
          <w:noProof/>
        </w:rPr>
        <w:fldChar w:fldCharType="separate"/>
      </w:r>
      <w:r w:rsidR="00505A64">
        <w:rPr>
          <w:noProof/>
        </w:rPr>
        <w:t>3</w:t>
      </w:r>
      <w:r w:rsidR="00E71F4B">
        <w:rPr>
          <w:noProof/>
        </w:rPr>
        <w:fldChar w:fldCharType="end"/>
      </w:r>
      <w:bookmarkEnd w:id="68"/>
      <w:r w:rsidRPr="00B11790">
        <w:t xml:space="preserve"> </w:t>
      </w:r>
      <w:r w:rsidRPr="00B11790">
        <w:tab/>
        <w:t xml:space="preserve">Forest plot indicating the pooled rate of severe adverse events for </w:t>
      </w:r>
      <w:r w:rsidR="00761C75">
        <w:t>A1-PI</w:t>
      </w:r>
      <w:r w:rsidRPr="00B11790">
        <w:t xml:space="preserve"> compared to placebo</w:t>
      </w:r>
      <w:bookmarkEnd w:id="69"/>
      <w:bookmarkEnd w:id="70"/>
      <w:bookmarkEnd w:id="71"/>
      <w:bookmarkEnd w:id="72"/>
      <w:bookmarkEnd w:id="73"/>
    </w:p>
    <w:p w14:paraId="5A5C141D" w14:textId="036A83AC" w:rsidR="00D13A08" w:rsidRDefault="00D13A08" w:rsidP="00687B5B">
      <w:pPr>
        <w:spacing w:after="240"/>
      </w:pPr>
      <w:r>
        <w:t xml:space="preserve">The </w:t>
      </w:r>
      <w:r w:rsidR="00761C75">
        <w:t>application</w:t>
      </w:r>
      <w:r>
        <w:t xml:space="preserve"> stated that fifteen studies reported any adverse event, with a rate ranging from 0% to 100% and a median of 37%. Differences between the RCTs and observational studies in the rates of any adverse event may indicate under-reporting in the observational studies. Dyspnoea and treatment-related adverse events </w:t>
      </w:r>
      <w:proofErr w:type="gramStart"/>
      <w:r>
        <w:t>were also reported</w:t>
      </w:r>
      <w:proofErr w:type="gramEnd"/>
      <w:r>
        <w:t xml:space="preserve">. Dyspnoea occurred after </w:t>
      </w:r>
      <w:r w:rsidR="00D92F42">
        <w:t>augmentation therapy</w:t>
      </w:r>
      <w:r>
        <w:t xml:space="preserve"> in 12.5% of the patient population (range 0%-</w:t>
      </w:r>
      <w:proofErr w:type="gramStart"/>
      <w:r>
        <w:t>35%</w:t>
      </w:r>
      <w:proofErr w:type="gramEnd"/>
      <w:r>
        <w:t>). Events reported by the authors to be treatment-related had a median occurrence of 11% in the patient population (range 0%-</w:t>
      </w:r>
      <w:proofErr w:type="gramStart"/>
      <w:r>
        <w:t>38%</w:t>
      </w:r>
      <w:proofErr w:type="gramEnd"/>
      <w:r>
        <w:t>).</w:t>
      </w:r>
    </w:p>
    <w:p w14:paraId="197C7E18" w14:textId="77777777" w:rsidR="00D13A08" w:rsidRDefault="00D13A08" w:rsidP="00AB6443">
      <w:r>
        <w:t xml:space="preserve">The </w:t>
      </w:r>
      <w:r w:rsidR="00761C75">
        <w:t>application</w:t>
      </w:r>
      <w:r>
        <w:t xml:space="preserve"> stated that </w:t>
      </w:r>
      <w:proofErr w:type="gramStart"/>
      <w:r>
        <w:t>overall,</w:t>
      </w:r>
      <w:proofErr w:type="gramEnd"/>
      <w:r>
        <w:t xml:space="preserve"> it appears that the intervention is safe, with most events being related to the underlying disease.</w:t>
      </w:r>
    </w:p>
    <w:p w14:paraId="57FE253A" w14:textId="77777777" w:rsidR="00BC1364" w:rsidRPr="00F715D1" w:rsidRDefault="00BC1364" w:rsidP="00F715D1">
      <w:pPr>
        <w:pStyle w:val="Heading1"/>
      </w:pPr>
      <w:r w:rsidRPr="00F715D1">
        <w:t>Comparative effectiveness</w:t>
      </w:r>
    </w:p>
    <w:p w14:paraId="76EAD05B" w14:textId="207E0694" w:rsidR="00795E6D" w:rsidRDefault="00795E6D" w:rsidP="00687B5B">
      <w:pPr>
        <w:spacing w:after="240"/>
      </w:pPr>
      <w:r w:rsidRPr="00795E6D">
        <w:t>CT-measured lung density was the primary outcome in two RCTs, and FEV</w:t>
      </w:r>
      <w:r w:rsidRPr="0059754B">
        <w:rPr>
          <w:vertAlign w:val="subscript"/>
        </w:rPr>
        <w:t>1</w:t>
      </w:r>
      <w:r w:rsidRPr="00795E6D">
        <w:t xml:space="preserve"> was the primary outcome in one RCT.</w:t>
      </w:r>
    </w:p>
    <w:p w14:paraId="3FC97132" w14:textId="18607EFF" w:rsidR="0059754B" w:rsidRPr="00B11790" w:rsidRDefault="00795E6D" w:rsidP="00795E6D">
      <w:r w:rsidRPr="00B11790">
        <w:t xml:space="preserve">No significant differences between </w:t>
      </w:r>
      <w:r w:rsidR="00761C75">
        <w:t>A1-PI</w:t>
      </w:r>
      <w:r w:rsidRPr="00B11790">
        <w:t xml:space="preserve"> and placebo </w:t>
      </w:r>
      <w:proofErr w:type="gramStart"/>
      <w:r w:rsidRPr="00B11790">
        <w:t>were identified</w:t>
      </w:r>
      <w:proofErr w:type="gramEnd"/>
      <w:r w:rsidRPr="00B11790">
        <w:t xml:space="preserve"> in relation to mortality, exacerbation of COPD, hospitalisation due to COPD exacerbation, quality of life (</w:t>
      </w:r>
      <w:r w:rsidR="0059754B" w:rsidRPr="00FB2770">
        <w:t>St. George's Respiratory Questionnaire</w:t>
      </w:r>
      <w:r w:rsidRPr="00B11790">
        <w:t>), respiratory function (FEV</w:t>
      </w:r>
      <w:r w:rsidRPr="00B11790">
        <w:rPr>
          <w:vertAlign w:val="subscript"/>
        </w:rPr>
        <w:t>1</w:t>
      </w:r>
      <w:r w:rsidRPr="00B11790">
        <w:t>), exercise capacity (incremental shuttle walk test) or carbon monoxide diffusion capacity (D</w:t>
      </w:r>
      <w:r w:rsidRPr="00B11790">
        <w:rPr>
          <w:vertAlign w:val="subscript"/>
        </w:rPr>
        <w:t>LCO</w:t>
      </w:r>
      <w:r w:rsidRPr="00B11790">
        <w:t xml:space="preserve">). No relevant data </w:t>
      </w:r>
      <w:proofErr w:type="gramStart"/>
      <w:r w:rsidRPr="00B11790">
        <w:t>w</w:t>
      </w:r>
      <w:r w:rsidR="000C4DE9">
        <w:t>ere</w:t>
      </w:r>
      <w:r w:rsidR="0059754B">
        <w:t xml:space="preserve"> identified</w:t>
      </w:r>
      <w:proofErr w:type="gramEnd"/>
      <w:r w:rsidR="0059754B">
        <w:t xml:space="preserve"> for dyspnoea.</w:t>
      </w:r>
    </w:p>
    <w:p w14:paraId="7988EA23" w14:textId="02A66A3B" w:rsidR="00505A64" w:rsidRDefault="00795E6D" w:rsidP="00687B5B">
      <w:pPr>
        <w:spacing w:after="240"/>
      </w:pPr>
      <w:r w:rsidRPr="00B11790">
        <w:t xml:space="preserve">The only statistically significant difference observed </w:t>
      </w:r>
      <w:r w:rsidR="000C4DE9">
        <w:t xml:space="preserve">was </w:t>
      </w:r>
      <w:r w:rsidRPr="00B11790">
        <w:t>for CT-measured lung density</w:t>
      </w:r>
      <w:r w:rsidR="00505A64">
        <w:t xml:space="preserve"> (</w:t>
      </w:r>
      <w:r w:rsidR="00505A64">
        <w:fldChar w:fldCharType="begin"/>
      </w:r>
      <w:r w:rsidR="00505A64">
        <w:instrText xml:space="preserve"> REF _Ref520822758 \h </w:instrText>
      </w:r>
      <w:r w:rsidR="00505A64">
        <w:fldChar w:fldCharType="separate"/>
      </w:r>
      <w:r w:rsidR="00505A64" w:rsidRPr="00B11790">
        <w:t xml:space="preserve">Figure </w:t>
      </w:r>
      <w:r w:rsidR="00505A64">
        <w:rPr>
          <w:noProof/>
        </w:rPr>
        <w:t>4</w:t>
      </w:r>
      <w:r w:rsidR="00505A64">
        <w:fldChar w:fldCharType="end"/>
      </w:r>
      <w:r w:rsidR="00505A64">
        <w:t>)</w:t>
      </w:r>
      <w:r w:rsidRPr="00B11790">
        <w:t xml:space="preserve">, which favoured </w:t>
      </w:r>
      <w:r w:rsidR="00761C75">
        <w:t>A1-PI</w:t>
      </w:r>
      <w:r w:rsidR="000C4DE9">
        <w:t>.H</w:t>
      </w:r>
      <w:r w:rsidRPr="00B11790">
        <w:t xml:space="preserve">owever, the clinical significance of this difference is </w:t>
      </w:r>
      <w:r w:rsidRPr="00B11790">
        <w:lastRenderedPageBreak/>
        <w:t>uncertain, as MCIDs for changes in CT-</w:t>
      </w:r>
      <w:r w:rsidR="0059754B">
        <w:t xml:space="preserve">measured </w:t>
      </w:r>
      <w:r w:rsidRPr="00B11790">
        <w:t xml:space="preserve">lung density have not been established in the </w:t>
      </w:r>
      <w:r w:rsidR="000C4DE9">
        <w:t xml:space="preserve">peer-reviewed </w:t>
      </w:r>
      <w:r w:rsidRPr="00B11790">
        <w:t>literature.</w:t>
      </w:r>
    </w:p>
    <w:p w14:paraId="148B4C62" w14:textId="77777777" w:rsidR="00505A64" w:rsidRPr="00B11790" w:rsidRDefault="00505A64" w:rsidP="00505A64">
      <w:r w:rsidRPr="00B11790">
        <w:rPr>
          <w:noProof/>
        </w:rPr>
        <w:drawing>
          <wp:inline distT="0" distB="0" distL="0" distR="0" wp14:anchorId="18DF554E" wp14:editId="4AD84244">
            <wp:extent cx="5731510" cy="994410"/>
            <wp:effectExtent l="0" t="0" r="2540" b="0"/>
            <wp:docPr id="14" name="Picture 14" descr="Forest plot indicating changes in CT-measured lung density (g/mL) in A1PI compared to placebo measured at 24 to 30 months follow-up. Chapman 2015 and Dirksen 1999 reported an annualised rate, whereas Dirksen 2009 reported the change from baseline at 24 months. The pooled mean difference and 95% CI for the studies was 0.87 and 0.31, 1.42 respectively. " title=" Forest plot indicating changes in CT-measured lung density (g/mL) in A1PI compared to placebo measured at 24 to 30 months follow-up. Chapman 2015 and Dirksen 1999 reported an annualised rate, whereas Dirksen 2009 reported the change from baseline at 24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g density forest plot.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994410"/>
                    </a:xfrm>
                    <a:prstGeom prst="rect">
                      <a:avLst/>
                    </a:prstGeom>
                  </pic:spPr>
                </pic:pic>
              </a:graphicData>
            </a:graphic>
          </wp:inline>
        </w:drawing>
      </w:r>
    </w:p>
    <w:p w14:paraId="3EFE1542" w14:textId="77777777" w:rsidR="00505A64" w:rsidRDefault="00505A64" w:rsidP="00505A64">
      <w:pPr>
        <w:pStyle w:val="Caption"/>
      </w:pPr>
      <w:bookmarkStart w:id="74" w:name="_Ref520822758"/>
      <w:bookmarkStart w:id="75" w:name="_Toc521400317"/>
      <w:bookmarkStart w:id="76" w:name="_Toc521405120"/>
      <w:bookmarkStart w:id="77" w:name="_Toc521406128"/>
      <w:bookmarkStart w:id="78" w:name="_Toc521422858"/>
      <w:bookmarkStart w:id="79" w:name="_Toc521571153"/>
      <w:bookmarkStart w:id="80" w:name="_Toc521577043"/>
      <w:bookmarkStart w:id="81" w:name="_Toc521592228"/>
      <w:bookmarkStart w:id="82" w:name="_Toc521593563"/>
      <w:bookmarkStart w:id="83" w:name="_Toc521596719"/>
      <w:bookmarkStart w:id="84" w:name="_Toc521594999"/>
      <w:bookmarkStart w:id="85" w:name="_Toc522004742"/>
      <w:bookmarkStart w:id="86" w:name="_Toc522011930"/>
      <w:bookmarkStart w:id="87" w:name="_Toc522023068"/>
      <w:bookmarkStart w:id="88" w:name="_Toc522027564"/>
      <w:bookmarkStart w:id="89" w:name="_Toc522029245"/>
      <w:bookmarkStart w:id="90" w:name="_Toc523300945"/>
      <w:bookmarkStart w:id="91" w:name="_Toc523301475"/>
      <w:bookmarkStart w:id="92" w:name="_Toc523304027"/>
      <w:bookmarkStart w:id="93" w:name="_Toc523393133"/>
      <w:bookmarkStart w:id="94" w:name="_Toc523404246"/>
      <w:r w:rsidRPr="00B11790">
        <w:t xml:space="preserve">Figure </w:t>
      </w:r>
      <w:r w:rsidR="00E71F4B">
        <w:rPr>
          <w:noProof/>
        </w:rPr>
        <w:fldChar w:fldCharType="begin"/>
      </w:r>
      <w:r w:rsidR="00E71F4B">
        <w:rPr>
          <w:noProof/>
        </w:rPr>
        <w:instrText xml:space="preserve"> SEQ Figure \* ARABIC </w:instrText>
      </w:r>
      <w:r w:rsidR="00E71F4B">
        <w:rPr>
          <w:noProof/>
        </w:rPr>
        <w:fldChar w:fldCharType="separate"/>
      </w:r>
      <w:r>
        <w:rPr>
          <w:noProof/>
        </w:rPr>
        <w:t>4</w:t>
      </w:r>
      <w:r w:rsidR="00E71F4B">
        <w:rPr>
          <w:noProof/>
        </w:rPr>
        <w:fldChar w:fldCharType="end"/>
      </w:r>
      <w:bookmarkEnd w:id="74"/>
      <w:r w:rsidRPr="00B11790">
        <w:tab/>
        <w:t xml:space="preserve">Forest plot indicating changes in CT-measured lung density (g/mL) in </w:t>
      </w:r>
      <w:r w:rsidR="00761C75">
        <w:t>A1-PI</w:t>
      </w:r>
      <w:r w:rsidRPr="00B11790">
        <w:t xml:space="preserve"> compared to placebo measured at 24 to 30 months follow-up. (Chapman 2015 and Dirksen 1999 reported an annualised rate, whereas Dirksen 2009 reported the change from baseline at 24 months.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B11790">
        <w:t>)</w:t>
      </w:r>
      <w:bookmarkEnd w:id="90"/>
      <w:bookmarkEnd w:id="91"/>
      <w:bookmarkEnd w:id="92"/>
      <w:bookmarkEnd w:id="93"/>
      <w:bookmarkEnd w:id="94"/>
    </w:p>
    <w:p w14:paraId="758BA68F" w14:textId="2917C746" w:rsidR="00BC1C22" w:rsidRPr="00687B5B" w:rsidRDefault="00795E6D">
      <w:r w:rsidRPr="00B11790">
        <w:t xml:space="preserve">The summary of findings (incorporating both benefits and harms) </w:t>
      </w:r>
      <w:proofErr w:type="gramStart"/>
      <w:r w:rsidRPr="00B11790">
        <w:t>is shown</w:t>
      </w:r>
      <w:proofErr w:type="gramEnd"/>
      <w:r w:rsidRPr="00B11790">
        <w:t xml:space="preserve"> in</w:t>
      </w:r>
      <w:r>
        <w:t xml:space="preserve"> </w:t>
      </w:r>
      <w:r w:rsidR="00505A64">
        <w:fldChar w:fldCharType="begin"/>
      </w:r>
      <w:r w:rsidR="00505A64">
        <w:instrText xml:space="preserve"> REF _Ref531344887 \h </w:instrText>
      </w:r>
      <w:r w:rsidR="00505A64">
        <w:fldChar w:fldCharType="separate"/>
      </w:r>
      <w:r w:rsidR="00505A64" w:rsidRPr="00B11790">
        <w:t xml:space="preserve">Table </w:t>
      </w:r>
      <w:r w:rsidR="00505A64">
        <w:rPr>
          <w:noProof/>
        </w:rPr>
        <w:t>2</w:t>
      </w:r>
      <w:r w:rsidR="00505A64">
        <w:fldChar w:fldCharType="end"/>
      </w:r>
      <w:r w:rsidR="00505A64">
        <w:t>.</w:t>
      </w:r>
      <w:bookmarkStart w:id="95" w:name="_Ref531344887"/>
      <w:bookmarkStart w:id="96" w:name="_Toc523393145"/>
      <w:bookmarkStart w:id="97" w:name="_Toc523404121"/>
      <w:r w:rsidR="00BC1C22">
        <w:br w:type="page"/>
      </w:r>
    </w:p>
    <w:p w14:paraId="7E239302" w14:textId="0416B0DC" w:rsidR="00795E6D" w:rsidRPr="00B11790" w:rsidRDefault="00795E6D" w:rsidP="00795E6D">
      <w:pPr>
        <w:pStyle w:val="Caption"/>
        <w:rPr>
          <w:snapToGrid w:val="0"/>
          <w:lang w:eastAsia="en-US"/>
        </w:rPr>
      </w:pPr>
      <w:r w:rsidRPr="00B11790">
        <w:lastRenderedPageBreak/>
        <w:t xml:space="preserve">Table </w:t>
      </w:r>
      <w:r w:rsidR="00E71F4B">
        <w:rPr>
          <w:noProof/>
        </w:rPr>
        <w:fldChar w:fldCharType="begin"/>
      </w:r>
      <w:r w:rsidR="00E71F4B">
        <w:rPr>
          <w:noProof/>
        </w:rPr>
        <w:instrText xml:space="preserve"> SEQ Table \* ARABIC </w:instrText>
      </w:r>
      <w:r w:rsidR="00E71F4B">
        <w:rPr>
          <w:noProof/>
        </w:rPr>
        <w:fldChar w:fldCharType="separate"/>
      </w:r>
      <w:r w:rsidR="00CD067A">
        <w:rPr>
          <w:noProof/>
        </w:rPr>
        <w:t>2</w:t>
      </w:r>
      <w:r w:rsidR="00E71F4B">
        <w:rPr>
          <w:noProof/>
        </w:rPr>
        <w:fldChar w:fldCharType="end"/>
      </w:r>
      <w:bookmarkEnd w:id="95"/>
      <w:r w:rsidRPr="00B11790">
        <w:tab/>
      </w:r>
      <w:r w:rsidRPr="00B11790">
        <w:rPr>
          <w:snapToGrid w:val="0"/>
          <w:lang w:eastAsia="en-US"/>
        </w:rPr>
        <w:t xml:space="preserve">Balance of clinical benefits and harms of </w:t>
      </w:r>
      <w:r w:rsidR="00761C75">
        <w:rPr>
          <w:snapToGrid w:val="0"/>
          <w:lang w:eastAsia="en-US"/>
        </w:rPr>
        <w:t>A1-PI</w:t>
      </w:r>
      <w:r w:rsidRPr="00B11790">
        <w:rPr>
          <w:snapToGrid w:val="0"/>
          <w:lang w:eastAsia="en-US"/>
        </w:rPr>
        <w:t xml:space="preserve"> relative to placebo as measured by the </w:t>
      </w:r>
      <w:r w:rsidRPr="00B11790">
        <w:rPr>
          <w:snapToGrid w:val="0"/>
          <w:u w:val="single"/>
          <w:lang w:eastAsia="en-US"/>
        </w:rPr>
        <w:t>critical</w:t>
      </w:r>
      <w:r w:rsidRPr="00B11790">
        <w:rPr>
          <w:snapToGrid w:val="0"/>
          <w:lang w:eastAsia="en-US"/>
        </w:rPr>
        <w:t xml:space="preserve"> patient-relevant outcomes in the key studies</w:t>
      </w:r>
      <w:bookmarkEnd w:id="96"/>
      <w:bookmarkEnd w:id="97"/>
    </w:p>
    <w:tbl>
      <w:tblPr>
        <w:tblStyle w:val="TableGrid"/>
        <w:tblW w:w="5000" w:type="pct"/>
        <w:tblLook w:val="04A0" w:firstRow="1" w:lastRow="0" w:firstColumn="1" w:lastColumn="0" w:noHBand="0" w:noVBand="1"/>
        <w:tblCaption w:val="Balance of clinical benefits and harms of A1PI relative to placebo as measured by the critical patient-relevant outcomes in the key studies "/>
        <w:tblDescription w:val="Summary of findings table"/>
      </w:tblPr>
      <w:tblGrid>
        <w:gridCol w:w="1226"/>
        <w:gridCol w:w="1120"/>
        <w:gridCol w:w="1447"/>
        <w:gridCol w:w="1548"/>
        <w:gridCol w:w="1288"/>
        <w:gridCol w:w="1138"/>
        <w:gridCol w:w="1249"/>
      </w:tblGrid>
      <w:tr w:rsidR="00795E6D" w:rsidRPr="00B11790" w14:paraId="38F8E08A" w14:textId="77777777" w:rsidTr="003E6D62">
        <w:trPr>
          <w:tblHeader/>
        </w:trPr>
        <w:tc>
          <w:tcPr>
            <w:tcW w:w="671" w:type="pct"/>
          </w:tcPr>
          <w:p w14:paraId="35CB9F40" w14:textId="77777777" w:rsidR="00795E6D" w:rsidRPr="00B11790" w:rsidRDefault="00795E6D" w:rsidP="00CD067A">
            <w:pPr>
              <w:pStyle w:val="TableHeading"/>
            </w:pPr>
            <w:r w:rsidRPr="00B11790">
              <w:t>Outcomes (units)</w:t>
            </w:r>
          </w:p>
          <w:p w14:paraId="5FA926E6" w14:textId="77777777" w:rsidR="00795E6D" w:rsidRPr="00B11790" w:rsidRDefault="00795E6D" w:rsidP="00CD067A">
            <w:pPr>
              <w:pStyle w:val="TableHeading"/>
            </w:pPr>
            <w:r w:rsidRPr="00B11790">
              <w:t>Follow-up</w:t>
            </w:r>
          </w:p>
        </w:tc>
        <w:tc>
          <w:tcPr>
            <w:tcW w:w="623" w:type="pct"/>
          </w:tcPr>
          <w:p w14:paraId="77463EC9" w14:textId="77777777" w:rsidR="00795E6D" w:rsidRPr="00B11790" w:rsidRDefault="00795E6D" w:rsidP="00CD067A">
            <w:pPr>
              <w:pStyle w:val="TableHeading"/>
              <w:jc w:val="center"/>
            </w:pPr>
            <w:r w:rsidRPr="00B11790">
              <w:t>Risk with placebo</w:t>
            </w:r>
          </w:p>
        </w:tc>
        <w:tc>
          <w:tcPr>
            <w:tcW w:w="804" w:type="pct"/>
          </w:tcPr>
          <w:p w14:paraId="5CE3A12D" w14:textId="77777777" w:rsidR="00795E6D" w:rsidRPr="00B11790" w:rsidRDefault="00795E6D" w:rsidP="00CD067A">
            <w:pPr>
              <w:pStyle w:val="TableHeading"/>
              <w:jc w:val="center"/>
            </w:pPr>
            <w:r w:rsidRPr="00B11790">
              <w:t xml:space="preserve">Risk with </w:t>
            </w:r>
            <w:r w:rsidR="00761C75">
              <w:t>A1-PI</w:t>
            </w:r>
          </w:p>
          <w:p w14:paraId="23AB1470" w14:textId="77777777" w:rsidR="00795E6D" w:rsidRPr="00B11790" w:rsidRDefault="00795E6D" w:rsidP="00CD067A">
            <w:pPr>
              <w:pStyle w:val="TableHeading"/>
              <w:jc w:val="center"/>
            </w:pPr>
            <w:r w:rsidRPr="00B11790">
              <w:t>(95% CI)</w:t>
            </w:r>
          </w:p>
        </w:tc>
        <w:tc>
          <w:tcPr>
            <w:tcW w:w="860" w:type="pct"/>
          </w:tcPr>
          <w:p w14:paraId="753BE566" w14:textId="77777777" w:rsidR="00795E6D" w:rsidRPr="00B11790" w:rsidRDefault="00795E6D" w:rsidP="00CD067A">
            <w:pPr>
              <w:pStyle w:val="TableHeading"/>
              <w:jc w:val="center"/>
            </w:pPr>
            <w:r w:rsidRPr="00B11790">
              <w:t>Relative effect</w:t>
            </w:r>
          </w:p>
          <w:p w14:paraId="15DC7CA8" w14:textId="77777777" w:rsidR="00795E6D" w:rsidRPr="00B11790" w:rsidRDefault="00795E6D" w:rsidP="00CD067A">
            <w:pPr>
              <w:pStyle w:val="TableHeading"/>
              <w:jc w:val="center"/>
            </w:pPr>
            <w:r w:rsidRPr="00B11790">
              <w:t>(95% CI)</w:t>
            </w:r>
          </w:p>
        </w:tc>
        <w:tc>
          <w:tcPr>
            <w:tcW w:w="716" w:type="pct"/>
          </w:tcPr>
          <w:p w14:paraId="46A70396" w14:textId="77777777" w:rsidR="00795E6D" w:rsidRPr="00B11790" w:rsidRDefault="00795E6D" w:rsidP="00CD067A">
            <w:pPr>
              <w:pStyle w:val="TableHeading"/>
              <w:jc w:val="center"/>
            </w:pPr>
            <w:r w:rsidRPr="00B11790">
              <w:t>Participants</w:t>
            </w:r>
          </w:p>
          <w:p w14:paraId="10416112" w14:textId="77777777" w:rsidR="00795E6D" w:rsidRPr="00B11790" w:rsidRDefault="00795E6D" w:rsidP="00CD067A">
            <w:pPr>
              <w:pStyle w:val="TableHeading"/>
              <w:jc w:val="center"/>
            </w:pPr>
            <w:r w:rsidRPr="00B11790">
              <w:t>(studies)</w:t>
            </w:r>
          </w:p>
        </w:tc>
        <w:tc>
          <w:tcPr>
            <w:tcW w:w="632" w:type="pct"/>
          </w:tcPr>
          <w:p w14:paraId="37359F45" w14:textId="77777777" w:rsidR="00795E6D" w:rsidRPr="00B11790" w:rsidRDefault="00795E6D" w:rsidP="00CD067A">
            <w:pPr>
              <w:pStyle w:val="TableHeading"/>
              <w:jc w:val="center"/>
            </w:pPr>
            <w:r w:rsidRPr="00B11790">
              <w:t>Quality of evidence</w:t>
            </w:r>
          </w:p>
          <w:p w14:paraId="1F2BE898" w14:textId="77777777" w:rsidR="00795E6D" w:rsidRPr="00B11790" w:rsidRDefault="00795E6D" w:rsidP="00CD067A">
            <w:pPr>
              <w:pStyle w:val="TableHeading"/>
              <w:jc w:val="center"/>
            </w:pPr>
            <w:r w:rsidRPr="00B11790">
              <w:t>(GRADE)</w:t>
            </w:r>
          </w:p>
        </w:tc>
        <w:tc>
          <w:tcPr>
            <w:tcW w:w="694" w:type="pct"/>
          </w:tcPr>
          <w:p w14:paraId="7286D07B" w14:textId="77777777" w:rsidR="00795E6D" w:rsidRPr="00B11790" w:rsidRDefault="00795E6D" w:rsidP="00CD067A">
            <w:pPr>
              <w:pStyle w:val="TableHeading"/>
              <w:jc w:val="center"/>
            </w:pPr>
            <w:r w:rsidRPr="00B11790">
              <w:t>Comments</w:t>
            </w:r>
          </w:p>
        </w:tc>
      </w:tr>
      <w:tr w:rsidR="00795E6D" w:rsidRPr="00B11790" w14:paraId="37002A10" w14:textId="77777777" w:rsidTr="003E6D62">
        <w:trPr>
          <w:trHeight w:val="263"/>
        </w:trPr>
        <w:tc>
          <w:tcPr>
            <w:tcW w:w="671" w:type="pct"/>
          </w:tcPr>
          <w:p w14:paraId="3ECAF0AA" w14:textId="77777777" w:rsidR="00795E6D" w:rsidRPr="00B11790" w:rsidRDefault="00795E6D" w:rsidP="00CD067A">
            <w:pPr>
              <w:tabs>
                <w:tab w:val="center" w:pos="904"/>
              </w:tabs>
              <w:spacing w:before="40" w:after="40"/>
              <w:rPr>
                <w:rFonts w:ascii="Arial Narrow" w:hAnsi="Arial Narrow" w:cs="Arial"/>
                <w:sz w:val="18"/>
                <w:szCs w:val="18"/>
              </w:rPr>
            </w:pPr>
            <w:r w:rsidRPr="00B11790">
              <w:rPr>
                <w:rFonts w:ascii="Arial Narrow" w:hAnsi="Arial Narrow" w:cs="Arial"/>
                <w:sz w:val="18"/>
                <w:szCs w:val="18"/>
              </w:rPr>
              <w:t>Mortality</w:t>
            </w:r>
          </w:p>
          <w:p w14:paraId="0A7F7E21" w14:textId="77777777" w:rsidR="00795E6D" w:rsidRPr="00B11790" w:rsidRDefault="00795E6D" w:rsidP="00CD067A">
            <w:pPr>
              <w:tabs>
                <w:tab w:val="center" w:pos="904"/>
              </w:tabs>
              <w:spacing w:before="40" w:after="40"/>
              <w:rPr>
                <w:rFonts w:ascii="Arial Narrow" w:hAnsi="Arial Narrow"/>
                <w:sz w:val="18"/>
              </w:rPr>
            </w:pPr>
            <w:r w:rsidRPr="00B11790">
              <w:rPr>
                <w:rFonts w:ascii="Arial Narrow" w:hAnsi="Arial Narrow"/>
                <w:sz w:val="18"/>
              </w:rPr>
              <w:t>F/U 24 months</w:t>
            </w:r>
          </w:p>
        </w:tc>
        <w:tc>
          <w:tcPr>
            <w:tcW w:w="623" w:type="pct"/>
          </w:tcPr>
          <w:p w14:paraId="58167FB2"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34 per 1,000</w:t>
            </w:r>
          </w:p>
        </w:tc>
        <w:tc>
          <w:tcPr>
            <w:tcW w:w="804" w:type="pct"/>
          </w:tcPr>
          <w:p w14:paraId="722DA2FB"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 xml:space="preserve">12 per 1,000 </w:t>
            </w:r>
          </w:p>
          <w:p w14:paraId="5BD276C9"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(2 to 78)</w:t>
            </w:r>
          </w:p>
        </w:tc>
        <w:tc>
          <w:tcPr>
            <w:tcW w:w="860" w:type="pct"/>
          </w:tcPr>
          <w:p w14:paraId="3423E3BF"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 xml:space="preserve">RR 0.35 </w:t>
            </w:r>
          </w:p>
          <w:p w14:paraId="5FE4F159"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(0.05 to 2.27)</w:t>
            </w:r>
          </w:p>
        </w:tc>
        <w:tc>
          <w:tcPr>
            <w:tcW w:w="716" w:type="pct"/>
          </w:tcPr>
          <w:p w14:paraId="795630C5" w14:textId="7577A2AE" w:rsidR="00795E6D" w:rsidRPr="00B11790" w:rsidRDefault="00795E6D" w:rsidP="0059754B">
            <w:pPr>
              <w:spacing w:before="40" w:after="40"/>
              <w:rPr>
                <w:rFonts w:ascii="Arial Narrow" w:hAnsi="Arial Narrow" w:cs="Arial"/>
                <w:sz w:val="18"/>
                <w:szCs w:val="18"/>
              </w:rPr>
            </w:pPr>
            <w:r w:rsidRPr="00B11790">
              <w:rPr>
                <w:rFonts w:ascii="Arial Narrow" w:hAnsi="Arial Narrow" w:cs="Arial"/>
                <w:sz w:val="18"/>
                <w:szCs w:val="18"/>
              </w:rPr>
              <w:t>180 (1 RCT)</w:t>
            </w:r>
          </w:p>
        </w:tc>
        <w:tc>
          <w:tcPr>
            <w:tcW w:w="632" w:type="pct"/>
          </w:tcPr>
          <w:p w14:paraId="7A99EFC5" w14:textId="77777777" w:rsidR="00795E6D" w:rsidRPr="00B11790" w:rsidRDefault="00795E6D" w:rsidP="00CD067A">
            <w:pPr>
              <w:spacing w:before="40" w:after="40"/>
              <w:rPr>
                <w:rFonts w:ascii="Cambria Math" w:hAnsi="Cambria Math" w:cs="Cambria Math"/>
                <w:color w:val="C00000"/>
              </w:rPr>
            </w:pPr>
            <w:r w:rsidRPr="00B11790">
              <w:rPr>
                <w:rFonts w:ascii="Cambria Math" w:hAnsi="Cambria Math"/>
                <w:color w:val="00B050"/>
              </w:rPr>
              <w:t>⨁⨁⨁</w:t>
            </w:r>
            <w:r w:rsidRPr="00B11790">
              <w:rPr>
                <w:rFonts w:ascii="Cambria Math" w:hAnsi="Cambria Math" w:cs="Cambria Math"/>
                <w:color w:val="C00000"/>
              </w:rPr>
              <w:t xml:space="preserve">⨀ </w:t>
            </w:r>
          </w:p>
          <w:p w14:paraId="7E9062A8" w14:textId="77777777" w:rsidR="00795E6D" w:rsidRPr="00B11790" w:rsidRDefault="00795E6D" w:rsidP="00CD067A">
            <w:pPr>
              <w:spacing w:before="40" w:after="40"/>
              <w:rPr>
                <w:rFonts w:ascii="Cambria Math" w:hAnsi="Cambria Math"/>
                <w:color w:val="00B050"/>
              </w:rPr>
            </w:pPr>
            <w:r w:rsidRPr="00B11790">
              <w:rPr>
                <w:rFonts w:ascii="Arial Narrow" w:hAnsi="Arial Narrow" w:cs="Arial"/>
                <w:sz w:val="18"/>
                <w:szCs w:val="18"/>
              </w:rPr>
              <w:t>MODERATE</w:t>
            </w:r>
          </w:p>
        </w:tc>
        <w:tc>
          <w:tcPr>
            <w:tcW w:w="694" w:type="pct"/>
          </w:tcPr>
          <w:p w14:paraId="0425BE3F"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Uncertain due to low event rate, RR subject to error</w:t>
            </w:r>
          </w:p>
        </w:tc>
      </w:tr>
      <w:tr w:rsidR="00795E6D" w:rsidRPr="00B11790" w14:paraId="17071E53" w14:textId="77777777" w:rsidTr="003E6D62">
        <w:trPr>
          <w:trHeight w:val="25"/>
        </w:trPr>
        <w:tc>
          <w:tcPr>
            <w:tcW w:w="671" w:type="pct"/>
          </w:tcPr>
          <w:p w14:paraId="1C5A83FA"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Quality of life (SGRQ)</w:t>
            </w:r>
          </w:p>
          <w:p w14:paraId="5785D154" w14:textId="77777777" w:rsidR="00795E6D" w:rsidRPr="00B11790" w:rsidRDefault="00795E6D" w:rsidP="00CD067A">
            <w:pPr>
              <w:spacing w:before="40" w:after="40"/>
              <w:rPr>
                <w:rFonts w:ascii="Arial Narrow" w:hAnsi="Arial Narrow"/>
                <w:sz w:val="18"/>
              </w:rPr>
            </w:pPr>
            <w:r w:rsidRPr="00B11790">
              <w:rPr>
                <w:rFonts w:ascii="Arial Narrow" w:hAnsi="Arial Narrow"/>
                <w:sz w:val="18"/>
              </w:rPr>
              <w:t>F/U 24 to 30 months</w:t>
            </w:r>
          </w:p>
        </w:tc>
        <w:tc>
          <w:tcPr>
            <w:tcW w:w="623" w:type="pct"/>
          </w:tcPr>
          <w:p w14:paraId="43BC769B"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 xml:space="preserve">- </w:t>
            </w:r>
          </w:p>
        </w:tc>
        <w:tc>
          <w:tcPr>
            <w:tcW w:w="804" w:type="pct"/>
          </w:tcPr>
          <w:p w14:paraId="301EF226"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 xml:space="preserve">MD 0.83 points lower </w:t>
            </w:r>
          </w:p>
          <w:p w14:paraId="2E3C6D7A"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(3.49 points lower to 1.82 points higher)</w:t>
            </w:r>
          </w:p>
        </w:tc>
        <w:tc>
          <w:tcPr>
            <w:tcW w:w="860" w:type="pct"/>
          </w:tcPr>
          <w:p w14:paraId="5F40BAB5"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w:t>
            </w:r>
          </w:p>
        </w:tc>
        <w:tc>
          <w:tcPr>
            <w:tcW w:w="716" w:type="pct"/>
          </w:tcPr>
          <w:p w14:paraId="44C549B9" w14:textId="09A8F283" w:rsidR="00795E6D" w:rsidRPr="00B11790" w:rsidRDefault="00795E6D" w:rsidP="0059754B">
            <w:pPr>
              <w:spacing w:before="40" w:after="40"/>
              <w:rPr>
                <w:rFonts w:ascii="Arial Narrow" w:hAnsi="Arial Narrow" w:cs="Arial"/>
                <w:sz w:val="18"/>
                <w:szCs w:val="18"/>
              </w:rPr>
            </w:pPr>
            <w:r w:rsidRPr="00B11790">
              <w:rPr>
                <w:rFonts w:ascii="Arial Narrow" w:hAnsi="Arial Narrow" w:cs="Arial"/>
                <w:sz w:val="18"/>
                <w:szCs w:val="18"/>
              </w:rPr>
              <w:t>248 (2 RCT)</w:t>
            </w:r>
          </w:p>
        </w:tc>
        <w:tc>
          <w:tcPr>
            <w:tcW w:w="632" w:type="pct"/>
          </w:tcPr>
          <w:p w14:paraId="5FAA0A2F" w14:textId="77777777" w:rsidR="00795E6D" w:rsidRPr="00B11790" w:rsidRDefault="00795E6D" w:rsidP="00CD067A">
            <w:pPr>
              <w:spacing w:before="40" w:after="40"/>
              <w:rPr>
                <w:rFonts w:ascii="Cambria Math" w:hAnsi="Cambria Math" w:cs="Cambria Math"/>
                <w:color w:val="C00000"/>
              </w:rPr>
            </w:pPr>
            <w:r w:rsidRPr="00B11790">
              <w:rPr>
                <w:rFonts w:ascii="Cambria Math" w:hAnsi="Cambria Math"/>
                <w:color w:val="00B050"/>
              </w:rPr>
              <w:t>⨁⨁</w:t>
            </w:r>
            <w:r w:rsidRPr="00B11790">
              <w:rPr>
                <w:rFonts w:ascii="Cambria Math" w:hAnsi="Cambria Math" w:cs="Cambria Math"/>
                <w:color w:val="C00000"/>
              </w:rPr>
              <w:t>⨀⨀</w:t>
            </w:r>
          </w:p>
          <w:p w14:paraId="19558DF6" w14:textId="77777777" w:rsidR="00795E6D" w:rsidRPr="00B11790" w:rsidRDefault="00795E6D" w:rsidP="00CD067A">
            <w:pPr>
              <w:spacing w:before="40" w:after="40"/>
              <w:rPr>
                <w:rFonts w:ascii="Cambria Math" w:hAnsi="Cambria Math"/>
                <w:color w:val="00B050"/>
              </w:rPr>
            </w:pPr>
            <w:r w:rsidRPr="00B11790">
              <w:rPr>
                <w:rFonts w:ascii="Arial Narrow" w:hAnsi="Arial Narrow" w:cs="Arial"/>
                <w:sz w:val="18"/>
                <w:szCs w:val="18"/>
              </w:rPr>
              <w:t>LOW</w:t>
            </w:r>
          </w:p>
        </w:tc>
        <w:tc>
          <w:tcPr>
            <w:tcW w:w="694" w:type="pct"/>
          </w:tcPr>
          <w:p w14:paraId="0233C487"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Direction favours placebo; not statistically significant</w:t>
            </w:r>
          </w:p>
        </w:tc>
      </w:tr>
      <w:tr w:rsidR="00795E6D" w:rsidRPr="00B11790" w14:paraId="1782CBC3" w14:textId="77777777" w:rsidTr="003E6D62">
        <w:tc>
          <w:tcPr>
            <w:tcW w:w="671" w:type="pct"/>
          </w:tcPr>
          <w:p w14:paraId="0723213D"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Annual exacerbation rate</w:t>
            </w:r>
          </w:p>
          <w:p w14:paraId="69BEC56C" w14:textId="77777777" w:rsidR="00795E6D" w:rsidRPr="00B11790" w:rsidRDefault="00795E6D" w:rsidP="00CD067A">
            <w:pPr>
              <w:spacing w:before="40" w:after="40"/>
              <w:rPr>
                <w:rFonts w:ascii="Arial Narrow" w:hAnsi="Arial Narrow"/>
                <w:sz w:val="18"/>
              </w:rPr>
            </w:pPr>
            <w:r w:rsidRPr="00B11790">
              <w:rPr>
                <w:rFonts w:ascii="Arial Narrow" w:hAnsi="Arial Narrow"/>
                <w:sz w:val="18"/>
              </w:rPr>
              <w:t>F/U 24 to 30 months</w:t>
            </w:r>
          </w:p>
        </w:tc>
        <w:tc>
          <w:tcPr>
            <w:tcW w:w="623" w:type="pct"/>
          </w:tcPr>
          <w:p w14:paraId="56A8BD24"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w:t>
            </w:r>
          </w:p>
        </w:tc>
        <w:tc>
          <w:tcPr>
            <w:tcW w:w="804" w:type="pct"/>
          </w:tcPr>
          <w:p w14:paraId="226CE00D"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w:t>
            </w:r>
          </w:p>
        </w:tc>
        <w:tc>
          <w:tcPr>
            <w:tcW w:w="860" w:type="pct"/>
          </w:tcPr>
          <w:p w14:paraId="45DC219F"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 xml:space="preserve">Higher reported RR (1.26, 95% CI 0.92 to 1.74), MD (0.36, 95% CI -0.44 to 1.16) in </w:t>
            </w:r>
            <w:r w:rsidR="00761C75">
              <w:rPr>
                <w:rFonts w:ascii="Arial Narrow" w:hAnsi="Arial Narrow" w:cs="Arial"/>
                <w:sz w:val="18"/>
                <w:szCs w:val="18"/>
              </w:rPr>
              <w:t>A1-PI</w:t>
            </w:r>
            <w:r w:rsidRPr="00B11790">
              <w:rPr>
                <w:rFonts w:ascii="Arial Narrow" w:hAnsi="Arial Narrow" w:cs="Arial"/>
                <w:sz w:val="18"/>
                <w:szCs w:val="18"/>
              </w:rPr>
              <w:t xml:space="preserve"> group</w:t>
            </w:r>
          </w:p>
        </w:tc>
        <w:tc>
          <w:tcPr>
            <w:tcW w:w="716" w:type="pct"/>
          </w:tcPr>
          <w:p w14:paraId="67E175E6" w14:textId="316C4476" w:rsidR="00795E6D" w:rsidRPr="00B11790" w:rsidRDefault="00795E6D" w:rsidP="0059754B">
            <w:pPr>
              <w:spacing w:before="40" w:after="40"/>
              <w:rPr>
                <w:rFonts w:ascii="Arial Narrow" w:hAnsi="Arial Narrow" w:cs="Arial"/>
                <w:sz w:val="18"/>
                <w:szCs w:val="18"/>
              </w:rPr>
            </w:pPr>
            <w:r w:rsidRPr="00B11790">
              <w:rPr>
                <w:rFonts w:ascii="Arial Narrow" w:hAnsi="Arial Narrow" w:cs="Arial"/>
                <w:sz w:val="18"/>
                <w:szCs w:val="18"/>
              </w:rPr>
              <w:t>257</w:t>
            </w:r>
            <w:r w:rsidRPr="00B11790">
              <w:rPr>
                <w:rFonts w:ascii="Arial Narrow" w:hAnsi="Arial Narrow"/>
                <w:sz w:val="18"/>
              </w:rPr>
              <w:t xml:space="preserve"> </w:t>
            </w:r>
            <w:r w:rsidRPr="00B11790">
              <w:rPr>
                <w:rFonts w:ascii="Arial Narrow" w:hAnsi="Arial Narrow" w:cs="Arial"/>
                <w:sz w:val="18"/>
                <w:szCs w:val="18"/>
              </w:rPr>
              <w:t>(2 RCT)</w:t>
            </w:r>
          </w:p>
        </w:tc>
        <w:tc>
          <w:tcPr>
            <w:tcW w:w="632" w:type="pct"/>
          </w:tcPr>
          <w:p w14:paraId="4F74DCCF" w14:textId="77777777" w:rsidR="00795E6D" w:rsidRPr="00B11790" w:rsidRDefault="00795E6D" w:rsidP="00CD067A">
            <w:pPr>
              <w:spacing w:before="40" w:after="40"/>
              <w:rPr>
                <w:rFonts w:ascii="Arial Narrow" w:hAnsi="Arial Narrow" w:cs="Arial"/>
                <w:sz w:val="18"/>
                <w:szCs w:val="18"/>
              </w:rPr>
            </w:pPr>
            <w:r w:rsidRPr="00B11790">
              <w:rPr>
                <w:rFonts w:ascii="Cambria Math" w:hAnsi="Cambria Math"/>
                <w:color w:val="00B050"/>
              </w:rPr>
              <w:t>⨁⨁⨁</w:t>
            </w:r>
            <w:r w:rsidRPr="00B11790">
              <w:rPr>
                <w:rFonts w:ascii="Cambria Math" w:hAnsi="Cambria Math" w:cs="Cambria Math"/>
                <w:color w:val="C00000"/>
              </w:rPr>
              <w:t>⨀</w:t>
            </w:r>
            <w:r w:rsidRPr="00B11790">
              <w:rPr>
                <w:rFonts w:ascii="Arial Narrow" w:hAnsi="Arial Narrow" w:cs="Arial"/>
                <w:sz w:val="18"/>
                <w:szCs w:val="18"/>
              </w:rPr>
              <w:t xml:space="preserve"> </w:t>
            </w:r>
          </w:p>
          <w:p w14:paraId="5147CC63" w14:textId="77777777" w:rsidR="00795E6D" w:rsidRPr="00B11790" w:rsidRDefault="00795E6D" w:rsidP="00CD067A">
            <w:pPr>
              <w:spacing w:before="40" w:after="40"/>
              <w:rPr>
                <w:rFonts w:ascii="Cambria Math" w:hAnsi="Cambria Math"/>
                <w:color w:val="00B050"/>
              </w:rPr>
            </w:pPr>
            <w:r w:rsidRPr="00B11790">
              <w:rPr>
                <w:rFonts w:ascii="Arial Narrow" w:hAnsi="Arial Narrow" w:cs="Arial"/>
                <w:sz w:val="18"/>
                <w:szCs w:val="18"/>
              </w:rPr>
              <w:t>MODERATE</w:t>
            </w:r>
          </w:p>
        </w:tc>
        <w:tc>
          <w:tcPr>
            <w:tcW w:w="694" w:type="pct"/>
          </w:tcPr>
          <w:p w14:paraId="4A78CDFA"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Direction favours placebo; not statistically significant</w:t>
            </w:r>
          </w:p>
        </w:tc>
      </w:tr>
      <w:tr w:rsidR="00795E6D" w:rsidRPr="00B11790" w14:paraId="52A0505C" w14:textId="77777777" w:rsidTr="003E6D62">
        <w:tc>
          <w:tcPr>
            <w:tcW w:w="671" w:type="pct"/>
          </w:tcPr>
          <w:p w14:paraId="0FCFA673"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CT-measured lung density</w:t>
            </w:r>
          </w:p>
          <w:p w14:paraId="2C313C81" w14:textId="77777777" w:rsidR="00795E6D" w:rsidRPr="00B11790" w:rsidRDefault="00795E6D" w:rsidP="00CD067A">
            <w:pPr>
              <w:spacing w:before="40" w:after="40"/>
              <w:rPr>
                <w:rFonts w:ascii="Arial Narrow" w:hAnsi="Arial Narrow"/>
                <w:sz w:val="18"/>
              </w:rPr>
            </w:pPr>
            <w:r w:rsidRPr="00B11790">
              <w:rPr>
                <w:rFonts w:ascii="Arial Narrow" w:hAnsi="Arial Narrow"/>
                <w:sz w:val="18"/>
              </w:rPr>
              <w:t>F/U 24 to 30 months</w:t>
            </w:r>
          </w:p>
        </w:tc>
        <w:tc>
          <w:tcPr>
            <w:tcW w:w="623" w:type="pct"/>
          </w:tcPr>
          <w:p w14:paraId="77EAF993"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w:t>
            </w:r>
          </w:p>
        </w:tc>
        <w:tc>
          <w:tcPr>
            <w:tcW w:w="804" w:type="pct"/>
          </w:tcPr>
          <w:p w14:paraId="0C757F01"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 xml:space="preserve">SMD 0.87 g/L higher </w:t>
            </w:r>
          </w:p>
          <w:p w14:paraId="129613EC"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(0.31 higher to 1.42 higher)</w:t>
            </w:r>
          </w:p>
        </w:tc>
        <w:tc>
          <w:tcPr>
            <w:tcW w:w="860" w:type="pct"/>
          </w:tcPr>
          <w:p w14:paraId="2286EDF2"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w:t>
            </w:r>
          </w:p>
        </w:tc>
        <w:tc>
          <w:tcPr>
            <w:tcW w:w="716" w:type="pct"/>
          </w:tcPr>
          <w:p w14:paraId="51A8A240" w14:textId="74DE6659" w:rsidR="00795E6D" w:rsidRPr="00B11790" w:rsidRDefault="00795E6D" w:rsidP="0059754B">
            <w:pPr>
              <w:spacing w:before="40" w:after="40"/>
              <w:rPr>
                <w:rFonts w:ascii="Arial Narrow" w:hAnsi="Arial Narrow" w:cs="Arial"/>
                <w:sz w:val="18"/>
                <w:szCs w:val="18"/>
              </w:rPr>
            </w:pPr>
            <w:r w:rsidRPr="00B11790">
              <w:rPr>
                <w:rFonts w:ascii="Arial Narrow" w:hAnsi="Arial Narrow" w:cs="Arial"/>
                <w:sz w:val="18"/>
                <w:szCs w:val="18"/>
              </w:rPr>
              <w:t>304</w:t>
            </w:r>
            <w:r w:rsidR="0059754B">
              <w:rPr>
                <w:rFonts w:ascii="Arial Narrow" w:hAnsi="Arial Narrow" w:cs="Arial"/>
                <w:sz w:val="18"/>
                <w:szCs w:val="18"/>
              </w:rPr>
              <w:t xml:space="preserve"> </w:t>
            </w:r>
            <w:r w:rsidRPr="00B11790">
              <w:rPr>
                <w:rFonts w:ascii="Arial Narrow" w:hAnsi="Arial Narrow" w:cs="Arial"/>
                <w:sz w:val="18"/>
                <w:szCs w:val="18"/>
              </w:rPr>
              <w:t>(3 RCT)</w:t>
            </w:r>
          </w:p>
        </w:tc>
        <w:tc>
          <w:tcPr>
            <w:tcW w:w="632" w:type="pct"/>
          </w:tcPr>
          <w:p w14:paraId="4D6558E0" w14:textId="77777777" w:rsidR="00795E6D" w:rsidRPr="00B11790" w:rsidRDefault="00795E6D" w:rsidP="00CD067A">
            <w:pPr>
              <w:spacing w:before="40" w:after="40"/>
              <w:rPr>
                <w:rFonts w:ascii="Arial Narrow" w:hAnsi="Arial Narrow" w:cs="Arial"/>
                <w:sz w:val="18"/>
                <w:szCs w:val="18"/>
              </w:rPr>
            </w:pPr>
            <w:r w:rsidRPr="00B11790">
              <w:rPr>
                <w:rFonts w:ascii="Cambria Math" w:hAnsi="Cambria Math"/>
                <w:color w:val="00B050"/>
              </w:rPr>
              <w:t>⨁⨁⨁⨁</w:t>
            </w:r>
            <w:r w:rsidRPr="00B11790">
              <w:rPr>
                <w:rFonts w:ascii="Arial Narrow" w:hAnsi="Arial Narrow" w:cs="Arial"/>
                <w:sz w:val="18"/>
                <w:szCs w:val="18"/>
              </w:rPr>
              <w:t xml:space="preserve"> </w:t>
            </w:r>
          </w:p>
          <w:p w14:paraId="440F6B3B" w14:textId="77777777" w:rsidR="00795E6D" w:rsidRPr="00B11790" w:rsidRDefault="00795E6D" w:rsidP="00CD067A">
            <w:pPr>
              <w:spacing w:before="40" w:after="40"/>
              <w:rPr>
                <w:rFonts w:ascii="Cambria Math" w:hAnsi="Cambria Math"/>
                <w:color w:val="00B050"/>
              </w:rPr>
            </w:pPr>
            <w:r w:rsidRPr="00B11790">
              <w:rPr>
                <w:rFonts w:ascii="Arial Narrow" w:hAnsi="Arial Narrow" w:cs="Arial"/>
                <w:sz w:val="18"/>
                <w:szCs w:val="18"/>
              </w:rPr>
              <w:t>HIGH</w:t>
            </w:r>
          </w:p>
        </w:tc>
        <w:tc>
          <w:tcPr>
            <w:tcW w:w="694" w:type="pct"/>
          </w:tcPr>
          <w:p w14:paraId="1E9198D1"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 xml:space="preserve">Direction favours </w:t>
            </w:r>
            <w:r w:rsidR="00761C75">
              <w:rPr>
                <w:rFonts w:ascii="Arial Narrow" w:hAnsi="Arial Narrow" w:cs="Arial"/>
                <w:sz w:val="18"/>
                <w:szCs w:val="18"/>
              </w:rPr>
              <w:t>A1-PI</w:t>
            </w:r>
            <w:r w:rsidRPr="00B11790">
              <w:rPr>
                <w:rFonts w:ascii="Arial Narrow" w:hAnsi="Arial Narrow" w:cs="Arial"/>
                <w:sz w:val="18"/>
                <w:szCs w:val="18"/>
              </w:rPr>
              <w:t>; statistically significant</w:t>
            </w:r>
          </w:p>
        </w:tc>
      </w:tr>
      <w:tr w:rsidR="00795E6D" w:rsidRPr="00B11790" w14:paraId="30E10C8F" w14:textId="77777777" w:rsidTr="003E6D62">
        <w:tc>
          <w:tcPr>
            <w:tcW w:w="671" w:type="pct"/>
          </w:tcPr>
          <w:p w14:paraId="6B37A95E"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Mortality due to treatment-related adverse events</w:t>
            </w:r>
          </w:p>
          <w:p w14:paraId="51697415" w14:textId="77777777" w:rsidR="00795E6D" w:rsidRPr="00B11790" w:rsidRDefault="00795E6D" w:rsidP="00CD067A">
            <w:pPr>
              <w:spacing w:before="40" w:after="40"/>
              <w:rPr>
                <w:rFonts w:ascii="Arial Narrow" w:hAnsi="Arial Narrow"/>
                <w:sz w:val="18"/>
              </w:rPr>
            </w:pPr>
            <w:r w:rsidRPr="00B11790">
              <w:rPr>
                <w:rFonts w:ascii="Arial Narrow" w:hAnsi="Arial Narrow"/>
                <w:sz w:val="18"/>
              </w:rPr>
              <w:t>F/U 24 months</w:t>
            </w:r>
          </w:p>
        </w:tc>
        <w:tc>
          <w:tcPr>
            <w:tcW w:w="2287" w:type="pct"/>
            <w:gridSpan w:val="3"/>
          </w:tcPr>
          <w:p w14:paraId="55972A10"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No treatment-related deaths reported</w:t>
            </w:r>
          </w:p>
        </w:tc>
        <w:tc>
          <w:tcPr>
            <w:tcW w:w="716" w:type="pct"/>
          </w:tcPr>
          <w:p w14:paraId="556B6478" w14:textId="66F03524" w:rsidR="00795E6D" w:rsidRPr="00B11790" w:rsidRDefault="00795E6D" w:rsidP="0059754B">
            <w:pPr>
              <w:spacing w:before="40" w:after="40"/>
              <w:rPr>
                <w:rFonts w:ascii="Arial Narrow" w:hAnsi="Arial Narrow" w:cs="Arial"/>
                <w:sz w:val="18"/>
                <w:szCs w:val="18"/>
              </w:rPr>
            </w:pPr>
            <w:r w:rsidRPr="00B11790">
              <w:rPr>
                <w:rFonts w:ascii="Arial Narrow" w:hAnsi="Arial Narrow" w:cs="Arial"/>
                <w:sz w:val="18"/>
                <w:szCs w:val="18"/>
              </w:rPr>
              <w:t>180</w:t>
            </w:r>
            <w:r w:rsidR="0059754B">
              <w:rPr>
                <w:rFonts w:ascii="Arial Narrow" w:hAnsi="Arial Narrow" w:cs="Arial"/>
                <w:sz w:val="18"/>
                <w:szCs w:val="18"/>
              </w:rPr>
              <w:t xml:space="preserve"> </w:t>
            </w:r>
            <w:r w:rsidRPr="00B11790">
              <w:rPr>
                <w:rFonts w:ascii="Arial Narrow" w:hAnsi="Arial Narrow" w:cs="Arial"/>
                <w:sz w:val="18"/>
                <w:szCs w:val="18"/>
              </w:rPr>
              <w:t>(1 RCT)</w:t>
            </w:r>
          </w:p>
        </w:tc>
        <w:tc>
          <w:tcPr>
            <w:tcW w:w="632" w:type="pct"/>
          </w:tcPr>
          <w:p w14:paraId="13FA3ECA" w14:textId="77777777" w:rsidR="00795E6D" w:rsidRPr="00B11790" w:rsidRDefault="00795E6D" w:rsidP="00CD067A">
            <w:pPr>
              <w:spacing w:before="40" w:after="40"/>
              <w:rPr>
                <w:rFonts w:ascii="Arial Narrow" w:hAnsi="Arial Narrow" w:cs="Arial"/>
                <w:sz w:val="18"/>
                <w:szCs w:val="18"/>
              </w:rPr>
            </w:pPr>
            <w:r w:rsidRPr="00B11790">
              <w:rPr>
                <w:rFonts w:ascii="Cambria Math" w:hAnsi="Cambria Math"/>
                <w:color w:val="00B050"/>
              </w:rPr>
              <w:t>⨁⨁⨁</w:t>
            </w:r>
            <w:r w:rsidRPr="00B11790">
              <w:rPr>
                <w:rFonts w:ascii="Cambria Math" w:hAnsi="Cambria Math" w:cs="Cambria Math"/>
                <w:color w:val="C00000"/>
              </w:rPr>
              <w:t>⨀</w:t>
            </w:r>
            <w:r w:rsidRPr="00B11790">
              <w:rPr>
                <w:rFonts w:ascii="Arial Narrow" w:hAnsi="Arial Narrow" w:cs="Arial"/>
                <w:sz w:val="18"/>
                <w:szCs w:val="18"/>
              </w:rPr>
              <w:t xml:space="preserve"> </w:t>
            </w:r>
          </w:p>
          <w:p w14:paraId="02479424"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MODERATE</w:t>
            </w:r>
          </w:p>
        </w:tc>
        <w:tc>
          <w:tcPr>
            <w:tcW w:w="694" w:type="pct"/>
          </w:tcPr>
          <w:p w14:paraId="0F0AEADE"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No reported deaths due to treatment-related adverse events</w:t>
            </w:r>
          </w:p>
        </w:tc>
      </w:tr>
      <w:tr w:rsidR="00795E6D" w:rsidRPr="00B11790" w14:paraId="5AAC1573" w14:textId="77777777" w:rsidTr="003E6D62">
        <w:tc>
          <w:tcPr>
            <w:tcW w:w="671" w:type="pct"/>
          </w:tcPr>
          <w:p w14:paraId="44ABA67C"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Severe adverse events</w:t>
            </w:r>
          </w:p>
          <w:p w14:paraId="081EC967" w14:textId="77777777" w:rsidR="00795E6D" w:rsidRPr="00B11790" w:rsidRDefault="00795E6D" w:rsidP="00CD067A">
            <w:pPr>
              <w:spacing w:before="40" w:after="40"/>
              <w:rPr>
                <w:rFonts w:ascii="Arial Narrow" w:hAnsi="Arial Narrow"/>
                <w:sz w:val="18"/>
              </w:rPr>
            </w:pPr>
            <w:r w:rsidRPr="00B11790">
              <w:rPr>
                <w:rFonts w:ascii="Arial Narrow" w:hAnsi="Arial Narrow"/>
                <w:sz w:val="18"/>
              </w:rPr>
              <w:t>F/U 24 to 30 months</w:t>
            </w:r>
          </w:p>
        </w:tc>
        <w:tc>
          <w:tcPr>
            <w:tcW w:w="623" w:type="pct"/>
          </w:tcPr>
          <w:p w14:paraId="20212C8B"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341 per 1,000</w:t>
            </w:r>
          </w:p>
        </w:tc>
        <w:tc>
          <w:tcPr>
            <w:tcW w:w="804" w:type="pct"/>
          </w:tcPr>
          <w:p w14:paraId="33B685D9"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283 per 1,000</w:t>
            </w:r>
          </w:p>
          <w:p w14:paraId="7C3995E4"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(195 to 406)</w:t>
            </w:r>
          </w:p>
        </w:tc>
        <w:tc>
          <w:tcPr>
            <w:tcW w:w="860" w:type="pct"/>
          </w:tcPr>
          <w:p w14:paraId="483857A5"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RR 0.83</w:t>
            </w:r>
          </w:p>
          <w:p w14:paraId="34872CAF"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(0.57 to 1.19)</w:t>
            </w:r>
          </w:p>
        </w:tc>
        <w:tc>
          <w:tcPr>
            <w:tcW w:w="716" w:type="pct"/>
          </w:tcPr>
          <w:p w14:paraId="21065AF8" w14:textId="2D303B44" w:rsidR="00795E6D" w:rsidRPr="00B11790" w:rsidRDefault="00795E6D" w:rsidP="0059754B">
            <w:pPr>
              <w:spacing w:before="40" w:after="40"/>
              <w:rPr>
                <w:rFonts w:ascii="Arial Narrow" w:hAnsi="Arial Narrow" w:cs="Arial"/>
                <w:sz w:val="18"/>
                <w:szCs w:val="18"/>
              </w:rPr>
            </w:pPr>
            <w:r w:rsidRPr="00B11790">
              <w:rPr>
                <w:rFonts w:ascii="Arial Narrow" w:hAnsi="Arial Narrow" w:cs="Arial"/>
                <w:sz w:val="18"/>
                <w:szCs w:val="18"/>
              </w:rPr>
              <w:t>257</w:t>
            </w:r>
            <w:r w:rsidR="0059754B">
              <w:rPr>
                <w:rFonts w:ascii="Arial Narrow" w:hAnsi="Arial Narrow" w:cs="Arial"/>
                <w:sz w:val="18"/>
                <w:szCs w:val="18"/>
              </w:rPr>
              <w:t xml:space="preserve"> </w:t>
            </w:r>
            <w:r w:rsidRPr="00B11790">
              <w:rPr>
                <w:rFonts w:ascii="Arial Narrow" w:hAnsi="Arial Narrow" w:cs="Arial"/>
                <w:sz w:val="18"/>
                <w:szCs w:val="18"/>
              </w:rPr>
              <w:t>(2 RCT)</w:t>
            </w:r>
          </w:p>
        </w:tc>
        <w:tc>
          <w:tcPr>
            <w:tcW w:w="632" w:type="pct"/>
          </w:tcPr>
          <w:p w14:paraId="0BDC9FD5" w14:textId="77777777" w:rsidR="00795E6D" w:rsidRPr="00B11790" w:rsidRDefault="00795E6D" w:rsidP="00CD067A">
            <w:pPr>
              <w:spacing w:before="40" w:after="40"/>
              <w:rPr>
                <w:rFonts w:ascii="Arial Narrow" w:hAnsi="Arial Narrow" w:cs="Arial"/>
                <w:sz w:val="18"/>
                <w:szCs w:val="18"/>
              </w:rPr>
            </w:pPr>
            <w:r w:rsidRPr="00B11790">
              <w:rPr>
                <w:rFonts w:ascii="Cambria Math" w:hAnsi="Cambria Math"/>
                <w:color w:val="00B050"/>
              </w:rPr>
              <w:t>⨁⨁⨁⨁</w:t>
            </w:r>
            <w:r w:rsidRPr="00B11790">
              <w:rPr>
                <w:rFonts w:ascii="Arial Narrow" w:hAnsi="Arial Narrow" w:cs="Arial"/>
                <w:sz w:val="18"/>
                <w:szCs w:val="18"/>
              </w:rPr>
              <w:t xml:space="preserve"> </w:t>
            </w:r>
          </w:p>
          <w:p w14:paraId="29EC69A6"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HIGH</w:t>
            </w:r>
          </w:p>
        </w:tc>
        <w:tc>
          <w:tcPr>
            <w:tcW w:w="694" w:type="pct"/>
          </w:tcPr>
          <w:p w14:paraId="6D9DD2C7"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 xml:space="preserve">Direction favours </w:t>
            </w:r>
            <w:r w:rsidR="00761C75">
              <w:rPr>
                <w:rFonts w:ascii="Arial Narrow" w:hAnsi="Arial Narrow" w:cs="Arial"/>
                <w:sz w:val="18"/>
                <w:szCs w:val="18"/>
              </w:rPr>
              <w:t>A1-PI</w:t>
            </w:r>
            <w:r w:rsidRPr="00B11790">
              <w:rPr>
                <w:rFonts w:ascii="Arial Narrow" w:hAnsi="Arial Narrow" w:cs="Arial"/>
                <w:sz w:val="18"/>
                <w:szCs w:val="18"/>
              </w:rPr>
              <w:t>; not statistically significant</w:t>
            </w:r>
          </w:p>
        </w:tc>
      </w:tr>
      <w:tr w:rsidR="00795E6D" w:rsidRPr="00B11790" w14:paraId="3A8B501A" w14:textId="77777777" w:rsidTr="003E6D62">
        <w:tc>
          <w:tcPr>
            <w:tcW w:w="671" w:type="pct"/>
          </w:tcPr>
          <w:p w14:paraId="16BFD20B"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Discontinuation due to adverse events</w:t>
            </w:r>
          </w:p>
          <w:p w14:paraId="57E9ADBC"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 xml:space="preserve">F/U </w:t>
            </w:r>
            <w:r w:rsidRPr="00B11790">
              <w:rPr>
                <w:rFonts w:ascii="Arial Narrow" w:hAnsi="Arial Narrow"/>
                <w:sz w:val="18"/>
              </w:rPr>
              <w:t>24 to 30 months</w:t>
            </w:r>
          </w:p>
        </w:tc>
        <w:tc>
          <w:tcPr>
            <w:tcW w:w="623" w:type="pct"/>
          </w:tcPr>
          <w:p w14:paraId="3ABAF8E9"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48 per 1,000</w:t>
            </w:r>
          </w:p>
        </w:tc>
        <w:tc>
          <w:tcPr>
            <w:tcW w:w="804" w:type="pct"/>
          </w:tcPr>
          <w:p w14:paraId="31EBE6E6"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 xml:space="preserve">10 per 1,000 </w:t>
            </w:r>
          </w:p>
          <w:p w14:paraId="4205E0BE"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(2 to 62)</w:t>
            </w:r>
          </w:p>
        </w:tc>
        <w:tc>
          <w:tcPr>
            <w:tcW w:w="860" w:type="pct"/>
          </w:tcPr>
          <w:p w14:paraId="768BB508"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RR 0.22</w:t>
            </w:r>
          </w:p>
          <w:p w14:paraId="68ACF634"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(0.04 to 1.30)</w:t>
            </w:r>
          </w:p>
        </w:tc>
        <w:tc>
          <w:tcPr>
            <w:tcW w:w="716" w:type="pct"/>
          </w:tcPr>
          <w:p w14:paraId="727357AA" w14:textId="016F5441" w:rsidR="00795E6D" w:rsidRPr="00B11790" w:rsidRDefault="00795E6D" w:rsidP="0059754B">
            <w:pPr>
              <w:spacing w:before="40" w:after="40"/>
              <w:rPr>
                <w:rFonts w:ascii="Arial Narrow" w:hAnsi="Arial Narrow" w:cs="Arial"/>
                <w:sz w:val="18"/>
                <w:szCs w:val="18"/>
              </w:rPr>
            </w:pPr>
            <w:r w:rsidRPr="00B11790">
              <w:rPr>
                <w:rFonts w:ascii="Arial Narrow" w:hAnsi="Arial Narrow" w:cs="Arial"/>
                <w:sz w:val="18"/>
                <w:szCs w:val="18"/>
              </w:rPr>
              <w:t>248</w:t>
            </w:r>
            <w:r w:rsidR="0059754B">
              <w:rPr>
                <w:rFonts w:ascii="Arial Narrow" w:hAnsi="Arial Narrow" w:cs="Arial"/>
                <w:sz w:val="18"/>
                <w:szCs w:val="18"/>
              </w:rPr>
              <w:t xml:space="preserve"> </w:t>
            </w:r>
            <w:r w:rsidRPr="00B11790">
              <w:rPr>
                <w:rFonts w:ascii="Arial Narrow" w:hAnsi="Arial Narrow" w:cs="Arial"/>
                <w:sz w:val="18"/>
                <w:szCs w:val="18"/>
              </w:rPr>
              <w:t>(2 RCT)</w:t>
            </w:r>
          </w:p>
        </w:tc>
        <w:tc>
          <w:tcPr>
            <w:tcW w:w="632" w:type="pct"/>
          </w:tcPr>
          <w:p w14:paraId="4DF70FB7" w14:textId="77777777" w:rsidR="00795E6D" w:rsidRPr="00B11790" w:rsidRDefault="00795E6D" w:rsidP="00CD067A">
            <w:pPr>
              <w:spacing w:before="40" w:after="40"/>
              <w:rPr>
                <w:rFonts w:ascii="Cambria Math" w:hAnsi="Cambria Math" w:cs="Cambria Math"/>
                <w:color w:val="C00000"/>
              </w:rPr>
            </w:pPr>
            <w:r w:rsidRPr="00B11790">
              <w:rPr>
                <w:rFonts w:ascii="Cambria Math" w:hAnsi="Cambria Math"/>
                <w:color w:val="00B050"/>
              </w:rPr>
              <w:t>⨁⨁⨁</w:t>
            </w:r>
            <w:r w:rsidRPr="00B11790">
              <w:rPr>
                <w:rFonts w:ascii="Cambria Math" w:hAnsi="Cambria Math" w:cs="Cambria Math"/>
                <w:color w:val="C00000"/>
              </w:rPr>
              <w:t xml:space="preserve">⨀ </w:t>
            </w:r>
          </w:p>
          <w:p w14:paraId="1A22BC2B"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MODERATE</w:t>
            </w:r>
          </w:p>
        </w:tc>
        <w:tc>
          <w:tcPr>
            <w:tcW w:w="694" w:type="pct"/>
          </w:tcPr>
          <w:p w14:paraId="41998B8C" w14:textId="77777777" w:rsidR="00795E6D" w:rsidRPr="00B11790" w:rsidRDefault="00795E6D" w:rsidP="00CD067A">
            <w:pPr>
              <w:spacing w:before="40" w:after="40"/>
              <w:rPr>
                <w:rFonts w:ascii="Arial Narrow" w:hAnsi="Arial Narrow"/>
                <w:sz w:val="18"/>
              </w:rPr>
            </w:pPr>
            <w:r w:rsidRPr="00B11790">
              <w:rPr>
                <w:rFonts w:ascii="Arial Narrow" w:hAnsi="Arial Narrow" w:cs="Arial"/>
                <w:sz w:val="18"/>
                <w:szCs w:val="18"/>
              </w:rPr>
              <w:t xml:space="preserve">Direction favours </w:t>
            </w:r>
            <w:r w:rsidR="00761C75">
              <w:rPr>
                <w:rFonts w:ascii="Arial Narrow" w:hAnsi="Arial Narrow" w:cs="Arial"/>
                <w:sz w:val="18"/>
                <w:szCs w:val="18"/>
              </w:rPr>
              <w:t>A1-PI</w:t>
            </w:r>
            <w:r w:rsidRPr="00B11790">
              <w:rPr>
                <w:rFonts w:ascii="Arial Narrow" w:hAnsi="Arial Narrow" w:cs="Arial"/>
                <w:sz w:val="18"/>
                <w:szCs w:val="18"/>
              </w:rPr>
              <w:t>; not statistically significant</w:t>
            </w:r>
          </w:p>
        </w:tc>
      </w:tr>
      <w:tr w:rsidR="00795E6D" w:rsidRPr="00B11790" w14:paraId="7E932441" w14:textId="77777777" w:rsidTr="003E6D62">
        <w:tc>
          <w:tcPr>
            <w:tcW w:w="671" w:type="pct"/>
          </w:tcPr>
          <w:p w14:paraId="0D8CD1E9"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Hospitalisation due to adverse events</w:t>
            </w:r>
          </w:p>
          <w:p w14:paraId="6E5D90AA"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F/U 3 to 6 years</w:t>
            </w:r>
          </w:p>
        </w:tc>
        <w:tc>
          <w:tcPr>
            <w:tcW w:w="2287" w:type="pct"/>
            <w:gridSpan w:val="3"/>
          </w:tcPr>
          <w:p w14:paraId="1683AC5E"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Median rate 1.4% (range 0.0% to 14.3%)</w:t>
            </w:r>
          </w:p>
        </w:tc>
        <w:tc>
          <w:tcPr>
            <w:tcW w:w="716" w:type="pct"/>
          </w:tcPr>
          <w:p w14:paraId="5478471F"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497</w:t>
            </w:r>
          </w:p>
          <w:p w14:paraId="254D5A36"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(4 observational studies)</w:t>
            </w:r>
          </w:p>
        </w:tc>
        <w:tc>
          <w:tcPr>
            <w:tcW w:w="632" w:type="pct"/>
          </w:tcPr>
          <w:p w14:paraId="238A9D50" w14:textId="77777777" w:rsidR="00795E6D" w:rsidRPr="00B11790" w:rsidRDefault="00795E6D" w:rsidP="00CD067A">
            <w:pPr>
              <w:spacing w:before="40" w:after="40"/>
              <w:rPr>
                <w:rFonts w:ascii="Cambria Math" w:hAnsi="Cambria Math" w:cs="Cambria Math"/>
                <w:color w:val="C00000"/>
              </w:rPr>
            </w:pPr>
            <w:r w:rsidRPr="00B11790">
              <w:rPr>
                <w:rFonts w:ascii="Cambria Math" w:hAnsi="Cambria Math"/>
                <w:color w:val="00B050"/>
              </w:rPr>
              <w:t>⨁⨁</w:t>
            </w:r>
            <w:r w:rsidRPr="00B11790">
              <w:rPr>
                <w:rFonts w:ascii="Cambria Math" w:hAnsi="Cambria Math" w:cs="Cambria Math"/>
                <w:color w:val="C00000"/>
              </w:rPr>
              <w:t>⨀⨀</w:t>
            </w:r>
          </w:p>
          <w:p w14:paraId="17C1DBC9" w14:textId="77777777" w:rsidR="00795E6D" w:rsidRPr="00B11790" w:rsidRDefault="00795E6D" w:rsidP="00CD067A">
            <w:pPr>
              <w:spacing w:before="40" w:after="40"/>
              <w:rPr>
                <w:rFonts w:ascii="Cambria Math" w:hAnsi="Cambria Math"/>
                <w:color w:val="00B050"/>
              </w:rPr>
            </w:pPr>
            <w:r w:rsidRPr="00B11790">
              <w:rPr>
                <w:rFonts w:ascii="Arial Narrow" w:hAnsi="Arial Narrow" w:cs="Arial"/>
                <w:sz w:val="18"/>
                <w:szCs w:val="18"/>
              </w:rPr>
              <w:t>LOW</w:t>
            </w:r>
          </w:p>
        </w:tc>
        <w:tc>
          <w:tcPr>
            <w:tcW w:w="694" w:type="pct"/>
          </w:tcPr>
          <w:p w14:paraId="031959B5" w14:textId="77777777" w:rsidR="00795E6D" w:rsidRPr="00B11790" w:rsidRDefault="00795E6D" w:rsidP="00CD067A">
            <w:pPr>
              <w:spacing w:before="40" w:after="40"/>
              <w:rPr>
                <w:rFonts w:ascii="Arial Narrow" w:hAnsi="Arial Narrow" w:cs="Arial"/>
                <w:sz w:val="18"/>
                <w:szCs w:val="18"/>
              </w:rPr>
            </w:pPr>
            <w:r w:rsidRPr="00B11790">
              <w:rPr>
                <w:rFonts w:ascii="Arial Narrow" w:hAnsi="Arial Narrow" w:cs="Arial"/>
                <w:sz w:val="18"/>
                <w:szCs w:val="18"/>
              </w:rPr>
              <w:t>-</w:t>
            </w:r>
          </w:p>
        </w:tc>
      </w:tr>
    </w:tbl>
    <w:p w14:paraId="6DE2D7F6" w14:textId="77777777" w:rsidR="00795E6D" w:rsidRPr="00B11790" w:rsidRDefault="00795E6D" w:rsidP="00795E6D">
      <w:pPr>
        <w:pStyle w:val="Tablenotes"/>
      </w:pPr>
      <w:r w:rsidRPr="00B11790">
        <w:rPr>
          <w:b/>
        </w:rPr>
        <w:t>Abbreviations</w:t>
      </w:r>
      <w:r w:rsidRPr="00B11790">
        <w:t xml:space="preserve">: </w:t>
      </w:r>
      <w:r w:rsidRPr="00B11790">
        <w:rPr>
          <w:b/>
        </w:rPr>
        <w:t>F/U</w:t>
      </w:r>
      <w:r w:rsidRPr="00B11790">
        <w:t xml:space="preserve"> = follow-up,</w:t>
      </w:r>
      <w:r w:rsidRPr="00B11790">
        <w:rPr>
          <w:b/>
        </w:rPr>
        <w:t xml:space="preserve"> MD</w:t>
      </w:r>
      <w:r w:rsidRPr="00B11790">
        <w:t xml:space="preserve"> = mean difference, </w:t>
      </w:r>
      <w:r w:rsidRPr="00B11790">
        <w:rPr>
          <w:b/>
        </w:rPr>
        <w:t>RR</w:t>
      </w:r>
      <w:r w:rsidRPr="00B11790">
        <w:t xml:space="preserve"> = relative risk, </w:t>
      </w:r>
      <w:r w:rsidRPr="00B11790">
        <w:rPr>
          <w:b/>
        </w:rPr>
        <w:t>SGRQ</w:t>
      </w:r>
      <w:r w:rsidRPr="00B11790">
        <w:t xml:space="preserve"> = St George’s Respiratory Questionnaire, </w:t>
      </w:r>
      <w:r w:rsidRPr="00B11790">
        <w:rPr>
          <w:b/>
        </w:rPr>
        <w:t>SMD</w:t>
      </w:r>
      <w:r w:rsidRPr="00B11790">
        <w:t xml:space="preserve"> = standardised mean difference.</w:t>
      </w:r>
    </w:p>
    <w:p w14:paraId="07C1FA62" w14:textId="626A9315" w:rsidR="00795E6D" w:rsidRPr="00687B5B" w:rsidRDefault="00795E6D" w:rsidP="00687B5B">
      <w:pPr>
        <w:pStyle w:val="Tablenotes"/>
        <w:spacing w:after="240"/>
        <w:rPr>
          <w:szCs w:val="18"/>
        </w:rPr>
      </w:pPr>
      <w:r w:rsidRPr="00B11790">
        <w:rPr>
          <w:szCs w:val="18"/>
        </w:rPr>
        <w:t>GRADE Working Group grades of evidence (</w:t>
      </w:r>
      <w:proofErr w:type="spellStart"/>
      <w:r w:rsidRPr="00B11790">
        <w:rPr>
          <w:szCs w:val="18"/>
        </w:rPr>
        <w:t>Guyatt</w:t>
      </w:r>
      <w:proofErr w:type="spellEnd"/>
      <w:r w:rsidRPr="00B11790">
        <w:rPr>
          <w:szCs w:val="18"/>
        </w:rPr>
        <w:t xml:space="preserve"> et al., 2013</w:t>
      </w:r>
      <w:proofErr w:type="gramStart"/>
      <w:r w:rsidRPr="00B11790">
        <w:rPr>
          <w:szCs w:val="18"/>
        </w:rPr>
        <w:t>)</w:t>
      </w:r>
      <w:proofErr w:type="gramEnd"/>
      <w:r w:rsidRPr="00B11790">
        <w:rPr>
          <w:szCs w:val="18"/>
        </w:rPr>
        <w:br/>
      </w:r>
      <w:r w:rsidRPr="00B11790">
        <w:rPr>
          <w:rFonts w:ascii="Cambria Math" w:hAnsi="Cambria Math"/>
          <w:color w:val="00B050"/>
        </w:rPr>
        <w:t xml:space="preserve">⨁⨁⨁⨁ </w:t>
      </w:r>
      <w:r w:rsidRPr="00B11790">
        <w:rPr>
          <w:b/>
          <w:bCs/>
          <w:szCs w:val="18"/>
        </w:rPr>
        <w:t>High quality:</w:t>
      </w:r>
      <w:r w:rsidRPr="00B11790">
        <w:rPr>
          <w:szCs w:val="18"/>
        </w:rPr>
        <w:t xml:space="preserve"> We are very confident that the true effect lies close to that of the estimate of effect. </w:t>
      </w:r>
      <w:r w:rsidRPr="00B11790">
        <w:rPr>
          <w:szCs w:val="18"/>
        </w:rPr>
        <w:br/>
      </w:r>
      <w:r w:rsidRPr="00B11790">
        <w:rPr>
          <w:rFonts w:ascii="Cambria Math" w:hAnsi="Cambria Math"/>
          <w:color w:val="00B050"/>
        </w:rPr>
        <w:t>⨁⨁⨁</w:t>
      </w:r>
      <w:r w:rsidRPr="00B11790">
        <w:rPr>
          <w:rFonts w:ascii="Cambria Math" w:hAnsi="Cambria Math" w:cs="Cambria Math"/>
          <w:color w:val="C00000"/>
        </w:rPr>
        <w:t xml:space="preserve">⨀ </w:t>
      </w:r>
      <w:r w:rsidRPr="00B11790">
        <w:rPr>
          <w:b/>
          <w:bCs/>
          <w:szCs w:val="18"/>
        </w:rPr>
        <w:t>Moderate quality:</w:t>
      </w:r>
      <w:r w:rsidRPr="00B11790">
        <w:rPr>
          <w:szCs w:val="18"/>
        </w:rPr>
        <w:t xml:space="preserve"> We are moderately confident in the effect estimate: The true effect is likely to be close to the estimate of the effect, but there is a possibility that it is substantially different. </w:t>
      </w:r>
      <w:r w:rsidRPr="00B11790">
        <w:rPr>
          <w:szCs w:val="18"/>
        </w:rPr>
        <w:br/>
      </w:r>
      <w:r w:rsidRPr="00B11790">
        <w:rPr>
          <w:rFonts w:ascii="Cambria Math" w:hAnsi="Cambria Math"/>
          <w:color w:val="00B050"/>
        </w:rPr>
        <w:t>⨁⨁</w:t>
      </w:r>
      <w:r w:rsidRPr="00B11790">
        <w:rPr>
          <w:rFonts w:ascii="Cambria Math" w:hAnsi="Cambria Math" w:cs="Cambria Math"/>
          <w:color w:val="C00000"/>
        </w:rPr>
        <w:t xml:space="preserve">⨀⨀ </w:t>
      </w:r>
      <w:r w:rsidRPr="00B11790">
        <w:rPr>
          <w:b/>
          <w:bCs/>
          <w:szCs w:val="18"/>
        </w:rPr>
        <w:t>Low quality:</w:t>
      </w:r>
      <w:r w:rsidRPr="00B11790">
        <w:rPr>
          <w:szCs w:val="18"/>
        </w:rPr>
        <w:t xml:space="preserve"> Our </w:t>
      </w:r>
      <w:r w:rsidRPr="00B11790">
        <w:t>confidence</w:t>
      </w:r>
      <w:r w:rsidRPr="00B11790">
        <w:rPr>
          <w:szCs w:val="18"/>
        </w:rPr>
        <w:t xml:space="preserve"> in the effect estimate is limited: The true effect may be substantially different from the estimate of the effect.</w:t>
      </w:r>
      <w:r w:rsidRPr="00B11790">
        <w:rPr>
          <w:szCs w:val="18"/>
        </w:rPr>
        <w:br/>
      </w:r>
      <w:r w:rsidRPr="00B11790">
        <w:rPr>
          <w:rFonts w:ascii="Cambria Math" w:hAnsi="Cambria Math"/>
          <w:color w:val="00B050"/>
        </w:rPr>
        <w:t>⨁</w:t>
      </w:r>
      <w:r w:rsidRPr="00B11790">
        <w:rPr>
          <w:rFonts w:ascii="Cambria Math" w:hAnsi="Cambria Math" w:cs="Cambria Math"/>
          <w:color w:val="C00000"/>
        </w:rPr>
        <w:t xml:space="preserve">⨀⨀⨀ </w:t>
      </w:r>
      <w:r w:rsidRPr="00B11790">
        <w:rPr>
          <w:b/>
          <w:bCs/>
          <w:szCs w:val="18"/>
        </w:rPr>
        <w:t>Very low quality:</w:t>
      </w:r>
      <w:r w:rsidRPr="00B11790">
        <w:rPr>
          <w:szCs w:val="18"/>
        </w:rPr>
        <w:t xml:space="preserve"> We have </w:t>
      </w:r>
      <w:r w:rsidRPr="00B11790">
        <w:t>very</w:t>
      </w:r>
      <w:r w:rsidRPr="00B11790">
        <w:rPr>
          <w:szCs w:val="18"/>
        </w:rPr>
        <w:t xml:space="preserve"> little confidence in the effect estimate: The true effect is likely to be substantially different from the estimate of effect.</w:t>
      </w:r>
    </w:p>
    <w:p w14:paraId="37AF299D" w14:textId="21F64A89" w:rsidR="00F37B9C" w:rsidRDefault="00F37B9C" w:rsidP="00D9506C">
      <w:pPr>
        <w:tabs>
          <w:tab w:val="left" w:pos="720"/>
          <w:tab w:val="left" w:pos="1140"/>
        </w:tabs>
        <w:spacing w:after="120"/>
        <w:rPr>
          <w:b/>
          <w:szCs w:val="24"/>
        </w:rPr>
      </w:pPr>
      <w:r w:rsidRPr="00F37B9C">
        <w:rPr>
          <w:b/>
          <w:szCs w:val="24"/>
        </w:rPr>
        <w:t xml:space="preserve">Clinical </w:t>
      </w:r>
      <w:r w:rsidR="0059754B" w:rsidRPr="00F37B9C">
        <w:rPr>
          <w:b/>
          <w:szCs w:val="24"/>
        </w:rPr>
        <w:t>c</w:t>
      </w:r>
      <w:r w:rsidRPr="00F37B9C">
        <w:rPr>
          <w:b/>
          <w:szCs w:val="24"/>
        </w:rPr>
        <w:t>laim</w:t>
      </w:r>
    </w:p>
    <w:p w14:paraId="55DC45B9" w14:textId="1EDAB2C9" w:rsidR="00C415A2" w:rsidRPr="00141133" w:rsidRDefault="00C415A2" w:rsidP="00141133">
      <w:pPr>
        <w:tabs>
          <w:tab w:val="left" w:pos="426"/>
        </w:tabs>
        <w:rPr>
          <w:color w:val="000000"/>
          <w:szCs w:val="27"/>
        </w:rPr>
      </w:pPr>
      <w:r w:rsidRPr="003D66CB">
        <w:rPr>
          <w:color w:val="000000"/>
          <w:szCs w:val="27"/>
        </w:rPr>
        <w:t>The</w:t>
      </w:r>
      <w:r>
        <w:rPr>
          <w:color w:val="000000"/>
          <w:szCs w:val="27"/>
        </w:rPr>
        <w:t xml:space="preserve"> clinical claim is</w:t>
      </w:r>
      <w:r w:rsidRPr="003D66CB">
        <w:rPr>
          <w:color w:val="000000"/>
          <w:szCs w:val="27"/>
        </w:rPr>
        <w:t xml:space="preserve"> that, relative to best supportive care, A1</w:t>
      </w:r>
      <w:r>
        <w:rPr>
          <w:color w:val="000000"/>
          <w:szCs w:val="27"/>
        </w:rPr>
        <w:t>-</w:t>
      </w:r>
      <w:r w:rsidRPr="003D66CB">
        <w:rPr>
          <w:color w:val="000000"/>
          <w:szCs w:val="27"/>
        </w:rPr>
        <w:t xml:space="preserve">PI </w:t>
      </w:r>
      <w:r>
        <w:rPr>
          <w:color w:val="000000"/>
          <w:szCs w:val="27"/>
        </w:rPr>
        <w:t xml:space="preserve">(with either product) </w:t>
      </w:r>
      <w:r w:rsidRPr="003D66CB">
        <w:rPr>
          <w:color w:val="000000"/>
          <w:szCs w:val="27"/>
        </w:rPr>
        <w:t>slows disease progression in patients with severe A1</w:t>
      </w:r>
      <w:r>
        <w:rPr>
          <w:color w:val="000000"/>
          <w:szCs w:val="27"/>
        </w:rPr>
        <w:t>-</w:t>
      </w:r>
      <w:r w:rsidRPr="003D66CB">
        <w:rPr>
          <w:color w:val="000000"/>
          <w:szCs w:val="27"/>
        </w:rPr>
        <w:t>PI deficiency and emphysema.</w:t>
      </w:r>
      <w:r>
        <w:rPr>
          <w:color w:val="000000"/>
          <w:szCs w:val="27"/>
        </w:rPr>
        <w:t xml:space="preserve"> </w:t>
      </w:r>
      <w:proofErr w:type="gramStart"/>
      <w:r>
        <w:rPr>
          <w:color w:val="000000"/>
          <w:szCs w:val="27"/>
        </w:rPr>
        <w:t>On the basis of</w:t>
      </w:r>
      <w:proofErr w:type="gramEnd"/>
      <w:r>
        <w:rPr>
          <w:color w:val="000000"/>
          <w:szCs w:val="27"/>
        </w:rPr>
        <w:t xml:space="preserve"> the evidence presented, the </w:t>
      </w:r>
      <w:r w:rsidR="0059754B">
        <w:rPr>
          <w:color w:val="000000"/>
          <w:szCs w:val="27"/>
        </w:rPr>
        <w:t>contracted assessment</w:t>
      </w:r>
      <w:r w:rsidR="00795E6D">
        <w:rPr>
          <w:color w:val="000000"/>
          <w:szCs w:val="27"/>
        </w:rPr>
        <w:t xml:space="preserve"> stated that</w:t>
      </w:r>
      <w:r>
        <w:rPr>
          <w:color w:val="000000"/>
          <w:szCs w:val="27"/>
        </w:rPr>
        <w:t xml:space="preserve"> </w:t>
      </w:r>
      <w:r w:rsidRPr="003D66CB">
        <w:rPr>
          <w:color w:val="000000"/>
          <w:szCs w:val="27"/>
        </w:rPr>
        <w:t>A1</w:t>
      </w:r>
      <w:r>
        <w:rPr>
          <w:color w:val="000000"/>
          <w:szCs w:val="27"/>
        </w:rPr>
        <w:t>-</w:t>
      </w:r>
      <w:r w:rsidRPr="003D66CB">
        <w:rPr>
          <w:color w:val="000000"/>
          <w:szCs w:val="27"/>
        </w:rPr>
        <w:t>PI</w:t>
      </w:r>
      <w:r>
        <w:rPr>
          <w:color w:val="000000"/>
          <w:szCs w:val="27"/>
        </w:rPr>
        <w:t xml:space="preserve"> therapy has uncertain effectiveness relative to best supportive care, and that relative to placebo, there appear to be no important differences in safety outcomes associated with</w:t>
      </w:r>
      <w:r w:rsidRPr="00C84C1C">
        <w:rPr>
          <w:color w:val="000000"/>
          <w:szCs w:val="27"/>
        </w:rPr>
        <w:t xml:space="preserve"> </w:t>
      </w:r>
      <w:r w:rsidRPr="003D66CB">
        <w:rPr>
          <w:color w:val="000000"/>
          <w:szCs w:val="27"/>
        </w:rPr>
        <w:t>A1</w:t>
      </w:r>
      <w:r>
        <w:rPr>
          <w:color w:val="000000"/>
          <w:szCs w:val="27"/>
        </w:rPr>
        <w:t>-</w:t>
      </w:r>
      <w:r w:rsidRPr="003D66CB">
        <w:rPr>
          <w:color w:val="000000"/>
          <w:szCs w:val="27"/>
        </w:rPr>
        <w:t>PI</w:t>
      </w:r>
      <w:r>
        <w:rPr>
          <w:color w:val="000000"/>
          <w:szCs w:val="27"/>
        </w:rPr>
        <w:t xml:space="preserve"> therapy.</w:t>
      </w:r>
    </w:p>
    <w:p w14:paraId="7E6BB44D" w14:textId="77777777" w:rsidR="00BC1364" w:rsidRPr="00F715D1" w:rsidRDefault="00BC1364" w:rsidP="00F715D1">
      <w:pPr>
        <w:pStyle w:val="Heading1"/>
      </w:pPr>
      <w:r w:rsidRPr="00F715D1">
        <w:lastRenderedPageBreak/>
        <w:t>Economic evaluation</w:t>
      </w:r>
    </w:p>
    <w:p w14:paraId="2B18F8A5" w14:textId="2EFF0576" w:rsidR="00642C33" w:rsidRDefault="00C415A2" w:rsidP="00687B5B">
      <w:pPr>
        <w:tabs>
          <w:tab w:val="left" w:pos="720"/>
        </w:tabs>
        <w:spacing w:after="240"/>
        <w:rPr>
          <w:szCs w:val="24"/>
        </w:rPr>
      </w:pPr>
      <w:r w:rsidRPr="00B83415">
        <w:rPr>
          <w:szCs w:val="24"/>
        </w:rPr>
        <w:t xml:space="preserve">A cost-utility analysis </w:t>
      </w:r>
      <w:proofErr w:type="gramStart"/>
      <w:r w:rsidRPr="00B83415">
        <w:rPr>
          <w:szCs w:val="24"/>
        </w:rPr>
        <w:t>was undertaken</w:t>
      </w:r>
      <w:proofErr w:type="gramEnd"/>
      <w:r w:rsidRPr="00B83415">
        <w:rPr>
          <w:szCs w:val="24"/>
        </w:rPr>
        <w:t xml:space="preserve"> to determine the value of A</w:t>
      </w:r>
      <w:r>
        <w:rPr>
          <w:szCs w:val="24"/>
        </w:rPr>
        <w:t>1-PI</w:t>
      </w:r>
      <w:r w:rsidRPr="00B83415">
        <w:rPr>
          <w:szCs w:val="24"/>
        </w:rPr>
        <w:t xml:space="preserve"> in addition to optimal pharmacological treatment and supportive care (best supportive care).</w:t>
      </w:r>
    </w:p>
    <w:p w14:paraId="7807ABB4" w14:textId="250BF181" w:rsidR="00642C33" w:rsidRDefault="00642C33" w:rsidP="00642C33">
      <w:pPr>
        <w:pStyle w:val="Caption"/>
        <w:keepNext/>
      </w:pPr>
      <w:r>
        <w:t xml:space="preserve">Table </w:t>
      </w:r>
      <w:r w:rsidR="00E71F4B">
        <w:rPr>
          <w:noProof/>
        </w:rPr>
        <w:fldChar w:fldCharType="begin"/>
      </w:r>
      <w:r w:rsidR="00E71F4B">
        <w:rPr>
          <w:noProof/>
        </w:rPr>
        <w:instrText xml:space="preserve"> SEQ Table \* ARABIC </w:instrText>
      </w:r>
      <w:r w:rsidR="00E71F4B">
        <w:rPr>
          <w:noProof/>
        </w:rPr>
        <w:fldChar w:fldCharType="separate"/>
      </w:r>
      <w:r w:rsidR="00CD067A">
        <w:rPr>
          <w:noProof/>
        </w:rPr>
        <w:t>3</w:t>
      </w:r>
      <w:r w:rsidR="00E71F4B">
        <w:rPr>
          <w:noProof/>
        </w:rPr>
        <w:fldChar w:fldCharType="end"/>
      </w:r>
      <w:r>
        <w:tab/>
      </w:r>
      <w:r w:rsidRPr="00B11790">
        <w:t>Summary of the economic evaluation</w:t>
      </w:r>
    </w:p>
    <w:tbl>
      <w:tblPr>
        <w:tblStyle w:val="TableGrid"/>
        <w:tblW w:w="5000" w:type="pct"/>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2180"/>
        <w:gridCol w:w="6836"/>
      </w:tblGrid>
      <w:tr w:rsidR="00642C33" w:rsidRPr="00B11790" w14:paraId="1F16662D" w14:textId="77777777" w:rsidTr="003E6D62">
        <w:trPr>
          <w:trHeight w:val="20"/>
          <w:tblHeader/>
        </w:trPr>
        <w:tc>
          <w:tcPr>
            <w:tcW w:w="1209" w:type="pct"/>
          </w:tcPr>
          <w:p w14:paraId="59530975" w14:textId="77777777" w:rsidR="00642C33" w:rsidRPr="00B11790" w:rsidRDefault="00642C33" w:rsidP="00CD067A">
            <w:pPr>
              <w:pStyle w:val="Tabletext1"/>
              <w:rPr>
                <w:b/>
              </w:rPr>
            </w:pPr>
            <w:r w:rsidRPr="00B11790">
              <w:rPr>
                <w:b/>
              </w:rPr>
              <w:t>Perspective</w:t>
            </w:r>
          </w:p>
        </w:tc>
        <w:tc>
          <w:tcPr>
            <w:tcW w:w="3791" w:type="pct"/>
          </w:tcPr>
          <w:p w14:paraId="619EAB16" w14:textId="77777777" w:rsidR="00642C33" w:rsidRPr="00B11790" w:rsidRDefault="00642C33" w:rsidP="00CD067A">
            <w:pPr>
              <w:pStyle w:val="Tabletext1"/>
            </w:pPr>
            <w:r w:rsidRPr="00B11790">
              <w:t xml:space="preserve">This economic evaluation </w:t>
            </w:r>
            <w:proofErr w:type="gramStart"/>
            <w:r w:rsidRPr="00B11790">
              <w:t>was conducted</w:t>
            </w:r>
            <w:proofErr w:type="gramEnd"/>
            <w:r w:rsidRPr="00B11790">
              <w:t xml:space="preserve"> from the perspective of the Australian health system. It includes resource use supported by government and patients, along with health outcomes applicable to the treatment of patients with emphysema due to </w:t>
            </w:r>
            <w:r w:rsidR="00761C75">
              <w:t>A1-PI</w:t>
            </w:r>
            <w:r w:rsidRPr="00B11790">
              <w:t xml:space="preserve"> deficiency.</w:t>
            </w:r>
          </w:p>
        </w:tc>
      </w:tr>
      <w:tr w:rsidR="00642C33" w:rsidRPr="00B11790" w14:paraId="4A9965FE" w14:textId="77777777" w:rsidTr="003E6D62">
        <w:trPr>
          <w:trHeight w:val="20"/>
        </w:trPr>
        <w:tc>
          <w:tcPr>
            <w:tcW w:w="1209" w:type="pct"/>
          </w:tcPr>
          <w:p w14:paraId="395A9780" w14:textId="77777777" w:rsidR="00642C33" w:rsidRPr="00B11790" w:rsidRDefault="00642C33" w:rsidP="00CD067A">
            <w:pPr>
              <w:pStyle w:val="Tabletext1"/>
              <w:rPr>
                <w:b/>
              </w:rPr>
            </w:pPr>
            <w:r w:rsidRPr="00B11790">
              <w:rPr>
                <w:b/>
              </w:rPr>
              <w:t>Intervention</w:t>
            </w:r>
          </w:p>
        </w:tc>
        <w:tc>
          <w:tcPr>
            <w:tcW w:w="3791" w:type="pct"/>
          </w:tcPr>
          <w:p w14:paraId="6372EA75" w14:textId="4399F5AE" w:rsidR="00642C33" w:rsidRPr="00B11790" w:rsidRDefault="00642C33" w:rsidP="00AD1203">
            <w:pPr>
              <w:pStyle w:val="Tabletext1"/>
            </w:pPr>
            <w:r w:rsidRPr="00B11790">
              <w:t>Augmentation therapy in addition to optimal pharmacological treatment and supportive care.</w:t>
            </w:r>
          </w:p>
        </w:tc>
      </w:tr>
      <w:tr w:rsidR="00642C33" w:rsidRPr="00B11790" w14:paraId="3EA7D5DB" w14:textId="77777777" w:rsidTr="003E6D62">
        <w:trPr>
          <w:trHeight w:val="20"/>
        </w:trPr>
        <w:tc>
          <w:tcPr>
            <w:tcW w:w="1209" w:type="pct"/>
          </w:tcPr>
          <w:p w14:paraId="79EA92CB" w14:textId="77777777" w:rsidR="00642C33" w:rsidRPr="00B11790" w:rsidRDefault="00642C33" w:rsidP="00CD067A">
            <w:pPr>
              <w:pStyle w:val="Tabletext1"/>
              <w:rPr>
                <w:b/>
              </w:rPr>
            </w:pPr>
            <w:r w:rsidRPr="00B11790">
              <w:rPr>
                <w:b/>
              </w:rPr>
              <w:t>Comparator</w:t>
            </w:r>
          </w:p>
        </w:tc>
        <w:tc>
          <w:tcPr>
            <w:tcW w:w="3791" w:type="pct"/>
          </w:tcPr>
          <w:p w14:paraId="370E6790" w14:textId="25DBED48" w:rsidR="00642C33" w:rsidRPr="00B11790" w:rsidRDefault="00642C33" w:rsidP="00AD1203">
            <w:pPr>
              <w:pStyle w:val="Tabletext1"/>
            </w:pPr>
            <w:r w:rsidRPr="00B11790">
              <w:t xml:space="preserve">Best </w:t>
            </w:r>
            <w:r w:rsidR="00AD1203" w:rsidRPr="00B11790">
              <w:t>supportive ca</w:t>
            </w:r>
            <w:r w:rsidRPr="00B11790">
              <w:t>re</w:t>
            </w:r>
            <w:r w:rsidR="00AD1203">
              <w:t>:</w:t>
            </w:r>
            <w:r w:rsidRPr="00B11790">
              <w:t xml:space="preserve"> </w:t>
            </w:r>
            <w:r w:rsidR="00AD1203">
              <w:t>o</w:t>
            </w:r>
            <w:r w:rsidRPr="00B11790">
              <w:t>ptimal pharmacological treatment and supportive care</w:t>
            </w:r>
          </w:p>
        </w:tc>
      </w:tr>
      <w:tr w:rsidR="00642C33" w:rsidRPr="00B11790" w14:paraId="6F222870" w14:textId="77777777" w:rsidTr="003E6D62">
        <w:trPr>
          <w:trHeight w:val="20"/>
        </w:trPr>
        <w:tc>
          <w:tcPr>
            <w:tcW w:w="1209" w:type="pct"/>
          </w:tcPr>
          <w:p w14:paraId="47C40488" w14:textId="77777777" w:rsidR="00642C33" w:rsidRPr="00B11790" w:rsidRDefault="00642C33" w:rsidP="00CD067A">
            <w:pPr>
              <w:pStyle w:val="Tabletext1"/>
              <w:rPr>
                <w:b/>
              </w:rPr>
            </w:pPr>
            <w:r w:rsidRPr="00B11790">
              <w:rPr>
                <w:b/>
              </w:rPr>
              <w:t>Type of economic evaluation</w:t>
            </w:r>
          </w:p>
        </w:tc>
        <w:tc>
          <w:tcPr>
            <w:tcW w:w="3791" w:type="pct"/>
          </w:tcPr>
          <w:p w14:paraId="45EEA44E" w14:textId="77777777" w:rsidR="00642C33" w:rsidRPr="00B11790" w:rsidRDefault="00642C33" w:rsidP="00CD067A">
            <w:pPr>
              <w:pStyle w:val="Tabletext1"/>
            </w:pPr>
            <w:r w:rsidRPr="00B11790">
              <w:t>Cost-utility analysis</w:t>
            </w:r>
          </w:p>
        </w:tc>
      </w:tr>
      <w:tr w:rsidR="00642C33" w:rsidRPr="00B11790" w14:paraId="685BC620" w14:textId="77777777" w:rsidTr="003E6D62">
        <w:trPr>
          <w:trHeight w:val="20"/>
        </w:trPr>
        <w:tc>
          <w:tcPr>
            <w:tcW w:w="1209" w:type="pct"/>
          </w:tcPr>
          <w:p w14:paraId="0C76444E" w14:textId="77777777" w:rsidR="00642C33" w:rsidRPr="00B11790" w:rsidRDefault="00642C33" w:rsidP="00CD067A">
            <w:pPr>
              <w:pStyle w:val="Tabletext1"/>
              <w:rPr>
                <w:b/>
              </w:rPr>
            </w:pPr>
            <w:r w:rsidRPr="00B11790">
              <w:rPr>
                <w:b/>
              </w:rPr>
              <w:t>Sources of evidence</w:t>
            </w:r>
          </w:p>
        </w:tc>
        <w:tc>
          <w:tcPr>
            <w:tcW w:w="3791" w:type="pct"/>
          </w:tcPr>
          <w:p w14:paraId="3027224E" w14:textId="77777777" w:rsidR="00642C33" w:rsidRPr="00B11790" w:rsidRDefault="00642C33" w:rsidP="00CD067A">
            <w:pPr>
              <w:pStyle w:val="Tabletext1"/>
            </w:pPr>
            <w:r w:rsidRPr="00B11790">
              <w:t>RAPID study, RAPID-OLE study, UK Registry data</w:t>
            </w:r>
          </w:p>
        </w:tc>
      </w:tr>
      <w:tr w:rsidR="00642C33" w:rsidRPr="00B11790" w14:paraId="3E56578B" w14:textId="77777777" w:rsidTr="003E6D62">
        <w:trPr>
          <w:trHeight w:val="20"/>
        </w:trPr>
        <w:tc>
          <w:tcPr>
            <w:tcW w:w="1209" w:type="pct"/>
            <w:hideMark/>
          </w:tcPr>
          <w:p w14:paraId="23CCB7E2" w14:textId="77777777" w:rsidR="00642C33" w:rsidRPr="00B11790" w:rsidRDefault="00642C33" w:rsidP="00CD067A">
            <w:pPr>
              <w:pStyle w:val="Tabletext1"/>
              <w:rPr>
                <w:b/>
              </w:rPr>
            </w:pPr>
            <w:r w:rsidRPr="00B11790">
              <w:rPr>
                <w:b/>
              </w:rPr>
              <w:t>Time horizon</w:t>
            </w:r>
          </w:p>
        </w:tc>
        <w:tc>
          <w:tcPr>
            <w:tcW w:w="3791" w:type="pct"/>
            <w:hideMark/>
          </w:tcPr>
          <w:p w14:paraId="7FB70F0C" w14:textId="77777777" w:rsidR="00642C33" w:rsidRPr="00B11790" w:rsidRDefault="00642C33" w:rsidP="00CD067A">
            <w:pPr>
              <w:pStyle w:val="Tabletext1"/>
            </w:pPr>
            <w:r w:rsidRPr="00B11790">
              <w:t>30-year time horizon in the base case</w:t>
            </w:r>
          </w:p>
          <w:p w14:paraId="2CC9372C" w14:textId="77777777" w:rsidR="00642C33" w:rsidRPr="00B11790" w:rsidRDefault="00642C33" w:rsidP="00CD067A">
            <w:pPr>
              <w:pStyle w:val="Tabletext1"/>
            </w:pPr>
            <w:r w:rsidRPr="00B11790">
              <w:t>Sensitivity analyses include a time horizon of 20 years and 40 years</w:t>
            </w:r>
          </w:p>
        </w:tc>
      </w:tr>
      <w:tr w:rsidR="00642C33" w:rsidRPr="00B11790" w14:paraId="00223A24" w14:textId="77777777" w:rsidTr="003E6D62">
        <w:trPr>
          <w:trHeight w:val="20"/>
        </w:trPr>
        <w:tc>
          <w:tcPr>
            <w:tcW w:w="1209" w:type="pct"/>
            <w:hideMark/>
          </w:tcPr>
          <w:p w14:paraId="1169510E" w14:textId="77777777" w:rsidR="00642C33" w:rsidRPr="00B11790" w:rsidRDefault="00642C33" w:rsidP="00CD067A">
            <w:pPr>
              <w:pStyle w:val="Tabletext1"/>
              <w:rPr>
                <w:b/>
              </w:rPr>
            </w:pPr>
            <w:r w:rsidRPr="00B11790">
              <w:rPr>
                <w:b/>
              </w:rPr>
              <w:t>Outcomes</w:t>
            </w:r>
          </w:p>
        </w:tc>
        <w:tc>
          <w:tcPr>
            <w:tcW w:w="3791" w:type="pct"/>
          </w:tcPr>
          <w:p w14:paraId="10574C99" w14:textId="0C7E1B5B" w:rsidR="00642C33" w:rsidRPr="00B11790" w:rsidRDefault="00642C33" w:rsidP="00AD1203">
            <w:pPr>
              <w:pStyle w:val="Tabletext1"/>
            </w:pPr>
            <w:r w:rsidRPr="00B11790">
              <w:t>Quality-adjusted life years (QALY</w:t>
            </w:r>
            <w:r w:rsidR="00AD1203">
              <w:t>s</w:t>
            </w:r>
            <w:r w:rsidRPr="00B11790">
              <w:t>)</w:t>
            </w:r>
            <w:r w:rsidR="00AD1203">
              <w:t xml:space="preserve"> gained and </w:t>
            </w:r>
            <w:r w:rsidRPr="00B11790">
              <w:t>life-years gained</w:t>
            </w:r>
          </w:p>
        </w:tc>
      </w:tr>
      <w:tr w:rsidR="00642C33" w:rsidRPr="00B11790" w14:paraId="1D48FB60" w14:textId="77777777" w:rsidTr="003E6D62">
        <w:trPr>
          <w:trHeight w:val="20"/>
        </w:trPr>
        <w:tc>
          <w:tcPr>
            <w:tcW w:w="1209" w:type="pct"/>
            <w:hideMark/>
          </w:tcPr>
          <w:p w14:paraId="3C1D1F2A" w14:textId="77777777" w:rsidR="00642C33" w:rsidRPr="00B11790" w:rsidRDefault="00642C33" w:rsidP="00CD067A">
            <w:pPr>
              <w:pStyle w:val="Tabletext1"/>
              <w:rPr>
                <w:b/>
              </w:rPr>
            </w:pPr>
            <w:r w:rsidRPr="00B11790">
              <w:rPr>
                <w:b/>
              </w:rPr>
              <w:t>Methods used to generate results</w:t>
            </w:r>
          </w:p>
        </w:tc>
        <w:tc>
          <w:tcPr>
            <w:tcW w:w="3791" w:type="pct"/>
          </w:tcPr>
          <w:p w14:paraId="44416EEB" w14:textId="77777777" w:rsidR="00642C33" w:rsidRPr="00B11790" w:rsidRDefault="00642C33" w:rsidP="00CD067A">
            <w:pPr>
              <w:pStyle w:val="Tabletext1"/>
            </w:pPr>
            <w:r w:rsidRPr="00B11790">
              <w:t>Cohort expected value analysis</w:t>
            </w:r>
          </w:p>
        </w:tc>
      </w:tr>
      <w:tr w:rsidR="00642C33" w:rsidRPr="00B11790" w14:paraId="61CE9303" w14:textId="77777777" w:rsidTr="003E6D62">
        <w:trPr>
          <w:trHeight w:val="20"/>
        </w:trPr>
        <w:tc>
          <w:tcPr>
            <w:tcW w:w="1209" w:type="pct"/>
          </w:tcPr>
          <w:p w14:paraId="13E048BA" w14:textId="77777777" w:rsidR="00642C33" w:rsidRPr="00B11790" w:rsidRDefault="00642C33" w:rsidP="00CD067A">
            <w:pPr>
              <w:pStyle w:val="Tabletext1"/>
              <w:rPr>
                <w:b/>
              </w:rPr>
            </w:pPr>
            <w:r w:rsidRPr="00B11790">
              <w:rPr>
                <w:b/>
              </w:rPr>
              <w:t>Health states</w:t>
            </w:r>
          </w:p>
        </w:tc>
        <w:tc>
          <w:tcPr>
            <w:tcW w:w="3791" w:type="pct"/>
          </w:tcPr>
          <w:p w14:paraId="1E52B98D" w14:textId="77777777" w:rsidR="00642C33" w:rsidRPr="00B11790" w:rsidRDefault="00642C33" w:rsidP="00CD067A">
            <w:pPr>
              <w:pStyle w:val="Tabletext1"/>
            </w:pPr>
            <w:r w:rsidRPr="00B11790">
              <w:t>1.</w:t>
            </w:r>
            <w:r w:rsidRPr="00B11790">
              <w:tab/>
              <w:t>FEV</w:t>
            </w:r>
            <w:r w:rsidRPr="00B11790">
              <w:rPr>
                <w:vertAlign w:val="subscript"/>
              </w:rPr>
              <w:t>1</w:t>
            </w:r>
            <w:r w:rsidRPr="00B11790">
              <w:t>≥50% predicted, no lung density decline</w:t>
            </w:r>
          </w:p>
          <w:p w14:paraId="66A50F9E" w14:textId="77777777" w:rsidR="00642C33" w:rsidRPr="00B11790" w:rsidRDefault="00642C33" w:rsidP="00CD067A">
            <w:pPr>
              <w:pStyle w:val="Tabletext1"/>
            </w:pPr>
            <w:r w:rsidRPr="00B11790">
              <w:t>2.</w:t>
            </w:r>
            <w:r w:rsidRPr="00B11790">
              <w:tab/>
              <w:t>FEV</w:t>
            </w:r>
            <w:r w:rsidRPr="00B11790">
              <w:rPr>
                <w:vertAlign w:val="subscript"/>
              </w:rPr>
              <w:t>1</w:t>
            </w:r>
            <w:r w:rsidRPr="00B11790">
              <w:t>≥50% predicted, slow lung density decline</w:t>
            </w:r>
          </w:p>
          <w:p w14:paraId="6554FF7B" w14:textId="77777777" w:rsidR="00642C33" w:rsidRPr="00B11790" w:rsidRDefault="00642C33" w:rsidP="00CD067A">
            <w:pPr>
              <w:pStyle w:val="Tabletext1"/>
            </w:pPr>
            <w:r w:rsidRPr="00B11790">
              <w:t>3.</w:t>
            </w:r>
            <w:r w:rsidRPr="00B11790">
              <w:tab/>
              <w:t>FEV</w:t>
            </w:r>
            <w:r w:rsidRPr="00B11790">
              <w:rPr>
                <w:vertAlign w:val="subscript"/>
              </w:rPr>
              <w:t>1</w:t>
            </w:r>
            <w:r w:rsidRPr="00B11790">
              <w:t>≥50% predicted, rapid lung density decline</w:t>
            </w:r>
          </w:p>
          <w:p w14:paraId="08D9FEC8" w14:textId="77777777" w:rsidR="00642C33" w:rsidRPr="00B11790" w:rsidRDefault="00642C33" w:rsidP="00CD067A">
            <w:pPr>
              <w:pStyle w:val="Tabletext1"/>
            </w:pPr>
            <w:r w:rsidRPr="00B11790">
              <w:t>4.</w:t>
            </w:r>
            <w:r w:rsidRPr="00B11790">
              <w:tab/>
              <w:t>FEV</w:t>
            </w:r>
            <w:r w:rsidRPr="00B11790">
              <w:rPr>
                <w:vertAlign w:val="subscript"/>
              </w:rPr>
              <w:t>1</w:t>
            </w:r>
            <w:r w:rsidRPr="00B11790">
              <w:t>&lt;50% predicted, no lung density decline</w:t>
            </w:r>
          </w:p>
          <w:p w14:paraId="2E10041E" w14:textId="77777777" w:rsidR="00642C33" w:rsidRPr="00B11790" w:rsidRDefault="00642C33" w:rsidP="00CD067A">
            <w:pPr>
              <w:pStyle w:val="Tabletext1"/>
            </w:pPr>
            <w:r w:rsidRPr="00B11790">
              <w:t>5.</w:t>
            </w:r>
            <w:r w:rsidRPr="00B11790">
              <w:tab/>
              <w:t>FEV</w:t>
            </w:r>
            <w:r w:rsidRPr="00B11790">
              <w:rPr>
                <w:vertAlign w:val="subscript"/>
              </w:rPr>
              <w:t>1</w:t>
            </w:r>
            <w:r w:rsidRPr="00B11790">
              <w:t>&lt;50% predicted, slow lung density decline</w:t>
            </w:r>
          </w:p>
          <w:p w14:paraId="377AB4FC" w14:textId="77777777" w:rsidR="00642C33" w:rsidRPr="00B11790" w:rsidRDefault="00642C33" w:rsidP="00CD067A">
            <w:pPr>
              <w:pStyle w:val="Tabletext1"/>
            </w:pPr>
            <w:r w:rsidRPr="00B11790">
              <w:t>6.</w:t>
            </w:r>
            <w:r w:rsidRPr="00B11790">
              <w:tab/>
              <w:t>FEV</w:t>
            </w:r>
            <w:r w:rsidRPr="00B11790">
              <w:rPr>
                <w:vertAlign w:val="subscript"/>
              </w:rPr>
              <w:t>1</w:t>
            </w:r>
            <w:r w:rsidRPr="00B11790">
              <w:t>&lt;50% predicted, rapid lung density decline</w:t>
            </w:r>
          </w:p>
          <w:p w14:paraId="797E0953" w14:textId="77777777" w:rsidR="00642C33" w:rsidRPr="00B11790" w:rsidRDefault="00642C33" w:rsidP="00CD067A">
            <w:pPr>
              <w:pStyle w:val="Tabletext1"/>
            </w:pPr>
            <w:r w:rsidRPr="00B11790">
              <w:t>7.</w:t>
            </w:r>
            <w:r w:rsidRPr="00B11790">
              <w:tab/>
              <w:t>Lung transplant</w:t>
            </w:r>
          </w:p>
          <w:p w14:paraId="7338B6ED" w14:textId="77777777" w:rsidR="00642C33" w:rsidRPr="00B11790" w:rsidRDefault="00642C33" w:rsidP="00CD067A">
            <w:pPr>
              <w:pStyle w:val="Tabletext1"/>
            </w:pPr>
            <w:r w:rsidRPr="00B11790">
              <w:t>8.</w:t>
            </w:r>
            <w:r w:rsidRPr="00B11790">
              <w:tab/>
              <w:t>Dead</w:t>
            </w:r>
          </w:p>
        </w:tc>
      </w:tr>
      <w:tr w:rsidR="00642C33" w:rsidRPr="00B11790" w14:paraId="5CF00FA1" w14:textId="77777777" w:rsidTr="003E6D62">
        <w:trPr>
          <w:trHeight w:val="20"/>
        </w:trPr>
        <w:tc>
          <w:tcPr>
            <w:tcW w:w="1209" w:type="pct"/>
            <w:hideMark/>
          </w:tcPr>
          <w:p w14:paraId="4CEAD01A" w14:textId="77777777" w:rsidR="00642C33" w:rsidRPr="00B11790" w:rsidRDefault="00642C33" w:rsidP="00CD067A">
            <w:pPr>
              <w:pStyle w:val="Tabletext1"/>
              <w:rPr>
                <w:b/>
              </w:rPr>
            </w:pPr>
            <w:r w:rsidRPr="00B11790">
              <w:rPr>
                <w:b/>
              </w:rPr>
              <w:t>Cycle length</w:t>
            </w:r>
          </w:p>
        </w:tc>
        <w:tc>
          <w:tcPr>
            <w:tcW w:w="3791" w:type="pct"/>
          </w:tcPr>
          <w:p w14:paraId="673E5281" w14:textId="77777777" w:rsidR="00642C33" w:rsidRPr="00B11790" w:rsidRDefault="00642C33" w:rsidP="00CD067A">
            <w:pPr>
              <w:pStyle w:val="Tabletext1"/>
            </w:pPr>
            <w:r w:rsidRPr="00B11790">
              <w:t>1 year</w:t>
            </w:r>
          </w:p>
        </w:tc>
      </w:tr>
      <w:tr w:rsidR="00642C33" w:rsidRPr="00B11790" w14:paraId="7EBD9529" w14:textId="77777777" w:rsidTr="003E6D62">
        <w:trPr>
          <w:trHeight w:val="20"/>
        </w:trPr>
        <w:tc>
          <w:tcPr>
            <w:tcW w:w="1209" w:type="pct"/>
            <w:hideMark/>
          </w:tcPr>
          <w:p w14:paraId="00947B7E" w14:textId="77777777" w:rsidR="00642C33" w:rsidRPr="00B11790" w:rsidRDefault="00642C33" w:rsidP="00CD067A">
            <w:pPr>
              <w:pStyle w:val="Tabletext1"/>
              <w:rPr>
                <w:b/>
              </w:rPr>
            </w:pPr>
            <w:r w:rsidRPr="00B11790">
              <w:rPr>
                <w:b/>
              </w:rPr>
              <w:t>Discount rate</w:t>
            </w:r>
          </w:p>
        </w:tc>
        <w:tc>
          <w:tcPr>
            <w:tcW w:w="3791" w:type="pct"/>
          </w:tcPr>
          <w:p w14:paraId="5B5248BE" w14:textId="77777777" w:rsidR="00642C33" w:rsidRPr="00B11790" w:rsidRDefault="00642C33" w:rsidP="00CD067A">
            <w:pPr>
              <w:pStyle w:val="Tabletext1"/>
            </w:pPr>
            <w:r w:rsidRPr="00B11790">
              <w:t>5% used for base and 3.5% and 7% sensitivity analyses</w:t>
            </w:r>
          </w:p>
        </w:tc>
      </w:tr>
      <w:tr w:rsidR="00642C33" w:rsidRPr="00B11790" w14:paraId="65C14A19" w14:textId="77777777" w:rsidTr="003E6D62">
        <w:trPr>
          <w:trHeight w:val="20"/>
        </w:trPr>
        <w:tc>
          <w:tcPr>
            <w:tcW w:w="1209" w:type="pct"/>
            <w:hideMark/>
          </w:tcPr>
          <w:p w14:paraId="4A104007" w14:textId="77777777" w:rsidR="00642C33" w:rsidRPr="00B11790" w:rsidRDefault="00642C33" w:rsidP="00CD067A">
            <w:pPr>
              <w:pStyle w:val="Tabletext1"/>
              <w:rPr>
                <w:b/>
              </w:rPr>
            </w:pPr>
            <w:r w:rsidRPr="00B11790">
              <w:rPr>
                <w:b/>
              </w:rPr>
              <w:t>Software packages used</w:t>
            </w:r>
          </w:p>
        </w:tc>
        <w:tc>
          <w:tcPr>
            <w:tcW w:w="3791" w:type="pct"/>
          </w:tcPr>
          <w:p w14:paraId="6C752960" w14:textId="77777777" w:rsidR="00642C33" w:rsidRPr="00B11790" w:rsidRDefault="00642C33" w:rsidP="00CD067A">
            <w:pPr>
              <w:pStyle w:val="Tabletext1"/>
            </w:pPr>
            <w:r w:rsidRPr="00B11790">
              <w:t>Microsoft Excel 2010</w:t>
            </w:r>
          </w:p>
        </w:tc>
      </w:tr>
    </w:tbl>
    <w:p w14:paraId="61588D3F" w14:textId="60649A48" w:rsidR="00710D1A" w:rsidRDefault="00C415A2" w:rsidP="00687B5B">
      <w:pPr>
        <w:tabs>
          <w:tab w:val="left" w:pos="720"/>
        </w:tabs>
        <w:spacing w:before="240" w:after="240"/>
        <w:rPr>
          <w:szCs w:val="24"/>
        </w:rPr>
      </w:pPr>
      <w:r>
        <w:rPr>
          <w:szCs w:val="24"/>
        </w:rPr>
        <w:t>Using a weighted average price for the two A1-PI products, t</w:t>
      </w:r>
      <w:r w:rsidRPr="00274D66">
        <w:rPr>
          <w:szCs w:val="24"/>
        </w:rPr>
        <w:t xml:space="preserve">he </w:t>
      </w:r>
      <w:r>
        <w:rPr>
          <w:szCs w:val="24"/>
        </w:rPr>
        <w:t xml:space="preserve">modelled </w:t>
      </w:r>
      <w:r w:rsidRPr="00274D66">
        <w:rPr>
          <w:szCs w:val="24"/>
        </w:rPr>
        <w:t>incremental cost</w:t>
      </w:r>
      <w:r>
        <w:rPr>
          <w:szCs w:val="24"/>
        </w:rPr>
        <w:t>-</w:t>
      </w:r>
      <w:r w:rsidRPr="00274D66">
        <w:rPr>
          <w:szCs w:val="24"/>
        </w:rPr>
        <w:t xml:space="preserve">effectiveness </w:t>
      </w:r>
      <w:r>
        <w:rPr>
          <w:szCs w:val="24"/>
        </w:rPr>
        <w:t xml:space="preserve">ratio (ICER) </w:t>
      </w:r>
      <w:r w:rsidRPr="00274D66">
        <w:rPr>
          <w:szCs w:val="24"/>
        </w:rPr>
        <w:t>of A</w:t>
      </w:r>
      <w:r>
        <w:rPr>
          <w:szCs w:val="24"/>
        </w:rPr>
        <w:t>1-PI</w:t>
      </w:r>
      <w:r w:rsidRPr="00274D66">
        <w:rPr>
          <w:szCs w:val="24"/>
        </w:rPr>
        <w:t xml:space="preserve"> </w:t>
      </w:r>
      <w:r>
        <w:rPr>
          <w:szCs w:val="24"/>
        </w:rPr>
        <w:t xml:space="preserve">in addition </w:t>
      </w:r>
      <w:r w:rsidRPr="00274D66">
        <w:rPr>
          <w:szCs w:val="24"/>
        </w:rPr>
        <w:t xml:space="preserve">to BSC </w:t>
      </w:r>
      <w:r w:rsidR="00C301E7">
        <w:rPr>
          <w:szCs w:val="24"/>
        </w:rPr>
        <w:t>(</w:t>
      </w:r>
      <w:r w:rsidRPr="00274D66">
        <w:rPr>
          <w:szCs w:val="24"/>
        </w:rPr>
        <w:t>relative to BSC</w:t>
      </w:r>
      <w:r>
        <w:rPr>
          <w:szCs w:val="24"/>
        </w:rPr>
        <w:t xml:space="preserve"> alone) was found to be</w:t>
      </w:r>
      <w:r w:rsidRPr="00274D66">
        <w:rPr>
          <w:szCs w:val="24"/>
        </w:rPr>
        <w:t xml:space="preserve"> </w:t>
      </w:r>
      <w:r w:rsidR="006C1541" w:rsidRPr="006C1541">
        <w:rPr>
          <w:szCs w:val="24"/>
        </w:rPr>
        <w:t xml:space="preserve">more than $200,000 </w:t>
      </w:r>
      <w:r w:rsidRPr="00274D66">
        <w:rPr>
          <w:szCs w:val="24"/>
        </w:rPr>
        <w:t>per QALY</w:t>
      </w:r>
      <w:r>
        <w:rPr>
          <w:szCs w:val="24"/>
        </w:rPr>
        <w:t xml:space="preserve"> over a time horizon of 30 years. Adopting a modelled time horizon equivalent to the trial duration (four years) yielded an ICER of </w:t>
      </w:r>
      <w:r w:rsidR="006C1541" w:rsidRPr="006C1541">
        <w:rPr>
          <w:szCs w:val="24"/>
        </w:rPr>
        <w:t xml:space="preserve">more than $200,000 </w:t>
      </w:r>
      <w:r>
        <w:rPr>
          <w:szCs w:val="24"/>
        </w:rPr>
        <w:t>per QALY</w:t>
      </w:r>
      <w:r w:rsidR="00710D1A">
        <w:rPr>
          <w:szCs w:val="24"/>
        </w:rPr>
        <w:t xml:space="preserve"> (</w:t>
      </w:r>
      <w:r w:rsidR="00710D1A">
        <w:rPr>
          <w:szCs w:val="24"/>
        </w:rPr>
        <w:fldChar w:fldCharType="begin"/>
      </w:r>
      <w:r w:rsidR="00710D1A">
        <w:rPr>
          <w:szCs w:val="24"/>
        </w:rPr>
        <w:instrText xml:space="preserve"> REF _Ref523394122 \h </w:instrText>
      </w:r>
      <w:r w:rsidR="00710D1A">
        <w:rPr>
          <w:szCs w:val="24"/>
        </w:rPr>
      </w:r>
      <w:r w:rsidR="00710D1A">
        <w:rPr>
          <w:szCs w:val="24"/>
        </w:rPr>
        <w:fldChar w:fldCharType="separate"/>
      </w:r>
      <w:r w:rsidR="00CD067A" w:rsidRPr="00B11790">
        <w:t>Table</w:t>
      </w:r>
      <w:r w:rsidR="00BC1C22">
        <w:t> </w:t>
      </w:r>
      <w:r w:rsidR="00CD067A">
        <w:rPr>
          <w:noProof/>
        </w:rPr>
        <w:t>4</w:t>
      </w:r>
      <w:r w:rsidR="00710D1A">
        <w:rPr>
          <w:szCs w:val="24"/>
        </w:rPr>
        <w:fldChar w:fldCharType="end"/>
      </w:r>
      <w:r w:rsidR="00710D1A">
        <w:rPr>
          <w:szCs w:val="24"/>
        </w:rPr>
        <w:t>)</w:t>
      </w:r>
      <w:r>
        <w:rPr>
          <w:szCs w:val="24"/>
        </w:rPr>
        <w:t>.</w:t>
      </w:r>
    </w:p>
    <w:p w14:paraId="1D2F8A66" w14:textId="4F63D27B" w:rsidR="00710D1A" w:rsidRPr="00B11790" w:rsidRDefault="00710D1A" w:rsidP="00710D1A">
      <w:pPr>
        <w:pStyle w:val="Caption"/>
        <w:keepNext/>
      </w:pPr>
      <w:bookmarkStart w:id="98" w:name="_Ref523394122"/>
      <w:bookmarkStart w:id="99" w:name="_Toc521422872"/>
      <w:bookmarkStart w:id="100" w:name="_Toc521509117"/>
      <w:bookmarkStart w:id="101" w:name="_Toc521571167"/>
      <w:bookmarkStart w:id="102" w:name="_Toc521577057"/>
      <w:bookmarkStart w:id="103" w:name="_Toc521592242"/>
      <w:bookmarkStart w:id="104" w:name="_Toc521593577"/>
      <w:bookmarkStart w:id="105" w:name="_Toc521596733"/>
      <w:bookmarkStart w:id="106" w:name="_Toc521595013"/>
      <w:bookmarkStart w:id="107" w:name="_Toc522004756"/>
      <w:bookmarkStart w:id="108" w:name="_Toc522011944"/>
      <w:bookmarkStart w:id="109" w:name="_Toc522023082"/>
      <w:bookmarkStart w:id="110" w:name="_Toc522027578"/>
      <w:bookmarkStart w:id="111" w:name="_Toc522029259"/>
      <w:bookmarkStart w:id="112" w:name="_Toc523300959"/>
      <w:bookmarkStart w:id="113" w:name="_Toc523301489"/>
      <w:bookmarkStart w:id="114" w:name="_Toc523304041"/>
      <w:bookmarkStart w:id="115" w:name="_Toc523393147"/>
      <w:bookmarkStart w:id="116" w:name="_Toc523404123"/>
      <w:r w:rsidRPr="00B11790">
        <w:t xml:space="preserve">Table </w:t>
      </w:r>
      <w:r w:rsidR="00E71F4B">
        <w:rPr>
          <w:noProof/>
        </w:rPr>
        <w:fldChar w:fldCharType="begin"/>
      </w:r>
      <w:r w:rsidR="00E71F4B">
        <w:rPr>
          <w:noProof/>
        </w:rPr>
        <w:instrText xml:space="preserve"> SEQ Table \* ARABIC </w:instrText>
      </w:r>
      <w:r w:rsidR="00E71F4B">
        <w:rPr>
          <w:noProof/>
        </w:rPr>
        <w:fldChar w:fldCharType="separate"/>
      </w:r>
      <w:r w:rsidR="00CD067A">
        <w:rPr>
          <w:noProof/>
        </w:rPr>
        <w:t>4</w:t>
      </w:r>
      <w:r w:rsidR="00E71F4B">
        <w:rPr>
          <w:noProof/>
        </w:rPr>
        <w:fldChar w:fldCharType="end"/>
      </w:r>
      <w:bookmarkEnd w:id="98"/>
      <w:r w:rsidRPr="00B11790">
        <w:tab/>
        <w:t xml:space="preserve">Incremental </w:t>
      </w:r>
      <w:r w:rsidR="00AD1203">
        <w:t>cost-</w:t>
      </w:r>
      <w:r w:rsidR="00AD1203" w:rsidRPr="00B11790">
        <w:t>effectiveness ra</w:t>
      </w:r>
      <w:r w:rsidRPr="00B11790">
        <w:t>tio (1,000-patient cohort)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bl>
      <w:tblPr>
        <w:tblStyle w:val="TableGrid"/>
        <w:tblW w:w="5000" w:type="pct"/>
        <w:tblLook w:val="04A0" w:firstRow="1" w:lastRow="0" w:firstColumn="1" w:lastColumn="0" w:noHBand="0" w:noVBand="1"/>
        <w:tblDescription w:val="Summary of the ICERs for the trail period and over a lifetime"/>
      </w:tblPr>
      <w:tblGrid>
        <w:gridCol w:w="2226"/>
        <w:gridCol w:w="1416"/>
        <w:gridCol w:w="1137"/>
        <w:gridCol w:w="1274"/>
        <w:gridCol w:w="1256"/>
        <w:gridCol w:w="1707"/>
      </w:tblGrid>
      <w:tr w:rsidR="00857E3F" w:rsidRPr="00B11790" w14:paraId="7431A680" w14:textId="77777777" w:rsidTr="003E6D62">
        <w:trPr>
          <w:trHeight w:val="499"/>
          <w:tblHeader/>
        </w:trPr>
        <w:tc>
          <w:tcPr>
            <w:tcW w:w="1374" w:type="pct"/>
            <w:hideMark/>
          </w:tcPr>
          <w:p w14:paraId="5A67896A" w14:textId="77777777" w:rsidR="00857E3F" w:rsidRPr="00B11790" w:rsidRDefault="00857E3F" w:rsidP="0009198A">
            <w:pPr>
              <w:pStyle w:val="TableHeading"/>
              <w:rPr>
                <w:rFonts w:cs="Calibri"/>
                <w:b w:val="0"/>
              </w:rPr>
            </w:pPr>
            <w:r w:rsidRPr="00B11790">
              <w:t> </w:t>
            </w:r>
          </w:p>
        </w:tc>
        <w:tc>
          <w:tcPr>
            <w:tcW w:w="1048" w:type="pct"/>
            <w:hideMark/>
          </w:tcPr>
          <w:p w14:paraId="510F9ECB" w14:textId="77777777" w:rsidR="00857E3F" w:rsidRPr="00B11790" w:rsidRDefault="00857E3F" w:rsidP="0009198A">
            <w:pPr>
              <w:pStyle w:val="TableHeading"/>
              <w:jc w:val="center"/>
              <w:rPr>
                <w:rFonts w:cs="Calibri"/>
                <w:b w:val="0"/>
              </w:rPr>
            </w:pPr>
            <w:r w:rsidRPr="00B11790">
              <w:t>Cost (AU$)</w:t>
            </w:r>
          </w:p>
        </w:tc>
        <w:tc>
          <w:tcPr>
            <w:tcW w:w="638" w:type="pct"/>
            <w:hideMark/>
          </w:tcPr>
          <w:p w14:paraId="5F4BB22D" w14:textId="77777777" w:rsidR="00857E3F" w:rsidRPr="00B11790" w:rsidRDefault="00857E3F" w:rsidP="0009198A">
            <w:pPr>
              <w:pStyle w:val="TableHeading"/>
              <w:jc w:val="center"/>
              <w:rPr>
                <w:rFonts w:cs="Calibri"/>
                <w:b w:val="0"/>
              </w:rPr>
            </w:pPr>
            <w:r w:rsidRPr="00B11790">
              <w:t>Incremental cost (AU$)</w:t>
            </w:r>
          </w:p>
        </w:tc>
        <w:tc>
          <w:tcPr>
            <w:tcW w:w="707" w:type="pct"/>
            <w:hideMark/>
          </w:tcPr>
          <w:p w14:paraId="75FF5FC8" w14:textId="77777777" w:rsidR="00857E3F" w:rsidRPr="00B11790" w:rsidRDefault="00857E3F" w:rsidP="0009198A">
            <w:pPr>
              <w:pStyle w:val="TableHeading"/>
              <w:jc w:val="center"/>
              <w:rPr>
                <w:rFonts w:cs="Calibri"/>
                <w:b w:val="0"/>
              </w:rPr>
            </w:pPr>
            <w:r w:rsidRPr="00B11790">
              <w:t>Effectiveness (QALYs)</w:t>
            </w:r>
          </w:p>
        </w:tc>
        <w:tc>
          <w:tcPr>
            <w:tcW w:w="697" w:type="pct"/>
            <w:hideMark/>
          </w:tcPr>
          <w:p w14:paraId="610A6A06" w14:textId="77777777" w:rsidR="00857E3F" w:rsidRPr="00B11790" w:rsidRDefault="00857E3F" w:rsidP="0009198A">
            <w:pPr>
              <w:pStyle w:val="TableHeading"/>
              <w:jc w:val="center"/>
              <w:rPr>
                <w:rFonts w:cs="Calibri"/>
                <w:b w:val="0"/>
              </w:rPr>
            </w:pPr>
            <w:r w:rsidRPr="00B11790">
              <w:t>Incremental effectiveness</w:t>
            </w:r>
          </w:p>
        </w:tc>
        <w:tc>
          <w:tcPr>
            <w:tcW w:w="537" w:type="pct"/>
            <w:hideMark/>
          </w:tcPr>
          <w:p w14:paraId="67925772" w14:textId="15E3D414" w:rsidR="00857E3F" w:rsidRPr="00B11790" w:rsidRDefault="00857E3F" w:rsidP="0009198A">
            <w:pPr>
              <w:pStyle w:val="TableHeading"/>
              <w:jc w:val="center"/>
              <w:rPr>
                <w:rFonts w:cs="Calibri"/>
                <w:b w:val="0"/>
              </w:rPr>
            </w:pPr>
            <w:r w:rsidRPr="00B11790">
              <w:t>ICER</w:t>
            </w:r>
            <w:r w:rsidR="009A16D5">
              <w:t xml:space="preserve"> (AU$)</w:t>
            </w:r>
          </w:p>
        </w:tc>
      </w:tr>
      <w:tr w:rsidR="00857E3F" w:rsidRPr="00B11790" w14:paraId="0E3F1F23" w14:textId="77777777" w:rsidTr="003E6D62">
        <w:trPr>
          <w:trHeight w:val="300"/>
        </w:trPr>
        <w:tc>
          <w:tcPr>
            <w:tcW w:w="1374" w:type="pct"/>
            <w:noWrap/>
            <w:hideMark/>
          </w:tcPr>
          <w:p w14:paraId="2FCD6088" w14:textId="77777777" w:rsidR="00857E3F" w:rsidRPr="00B11790" w:rsidRDefault="00857E3F" w:rsidP="0009198A">
            <w:pPr>
              <w:pStyle w:val="TableHeading"/>
              <w:rPr>
                <w:rFonts w:cs="Calibri"/>
                <w:b w:val="0"/>
              </w:rPr>
            </w:pPr>
            <w:r w:rsidRPr="00B11790">
              <w:t>Trial period</w:t>
            </w:r>
          </w:p>
        </w:tc>
        <w:tc>
          <w:tcPr>
            <w:tcW w:w="1048" w:type="pct"/>
            <w:noWrap/>
            <w:hideMark/>
          </w:tcPr>
          <w:p w14:paraId="74FD07C3" w14:textId="77777777" w:rsidR="00857E3F" w:rsidRPr="00B11790" w:rsidRDefault="00857E3F" w:rsidP="0009198A">
            <w:pPr>
              <w:pStyle w:val="TableHeading"/>
              <w:jc w:val="center"/>
              <w:rPr>
                <w:rFonts w:cs="Calibri"/>
                <w:b w:val="0"/>
              </w:rPr>
            </w:pPr>
          </w:p>
        </w:tc>
        <w:tc>
          <w:tcPr>
            <w:tcW w:w="638" w:type="pct"/>
            <w:noWrap/>
            <w:hideMark/>
          </w:tcPr>
          <w:p w14:paraId="2A1FB32F" w14:textId="77777777" w:rsidR="00857E3F" w:rsidRPr="00B11790" w:rsidRDefault="00857E3F" w:rsidP="0009198A">
            <w:pPr>
              <w:pStyle w:val="TableHeading"/>
              <w:jc w:val="center"/>
              <w:rPr>
                <w:rFonts w:cs="Calibri"/>
                <w:b w:val="0"/>
              </w:rPr>
            </w:pPr>
          </w:p>
        </w:tc>
        <w:tc>
          <w:tcPr>
            <w:tcW w:w="707" w:type="pct"/>
            <w:noWrap/>
            <w:hideMark/>
          </w:tcPr>
          <w:p w14:paraId="1D29E8EB" w14:textId="77777777" w:rsidR="00857E3F" w:rsidRPr="00B11790" w:rsidRDefault="00857E3F" w:rsidP="0009198A">
            <w:pPr>
              <w:pStyle w:val="TableHeading"/>
              <w:jc w:val="center"/>
              <w:rPr>
                <w:rFonts w:cs="Calibri"/>
                <w:b w:val="0"/>
              </w:rPr>
            </w:pPr>
          </w:p>
        </w:tc>
        <w:tc>
          <w:tcPr>
            <w:tcW w:w="697" w:type="pct"/>
            <w:noWrap/>
            <w:hideMark/>
          </w:tcPr>
          <w:p w14:paraId="6BD946DA" w14:textId="77777777" w:rsidR="00857E3F" w:rsidRPr="00B11790" w:rsidRDefault="00857E3F" w:rsidP="0009198A">
            <w:pPr>
              <w:pStyle w:val="TableHeading"/>
              <w:jc w:val="center"/>
              <w:rPr>
                <w:rFonts w:cs="Calibri"/>
                <w:b w:val="0"/>
              </w:rPr>
            </w:pPr>
          </w:p>
        </w:tc>
        <w:tc>
          <w:tcPr>
            <w:tcW w:w="537" w:type="pct"/>
            <w:noWrap/>
            <w:hideMark/>
          </w:tcPr>
          <w:p w14:paraId="097FFDFA" w14:textId="77777777" w:rsidR="00857E3F" w:rsidRPr="00B11790" w:rsidRDefault="00857E3F" w:rsidP="0009198A">
            <w:pPr>
              <w:pStyle w:val="TableHeading"/>
              <w:jc w:val="center"/>
              <w:rPr>
                <w:rFonts w:cs="Calibri"/>
                <w:b w:val="0"/>
              </w:rPr>
            </w:pPr>
          </w:p>
        </w:tc>
      </w:tr>
      <w:tr w:rsidR="00857E3F" w:rsidRPr="00B11790" w14:paraId="21BDF091" w14:textId="77777777" w:rsidTr="003E6D62">
        <w:trPr>
          <w:trHeight w:val="300"/>
        </w:trPr>
        <w:tc>
          <w:tcPr>
            <w:tcW w:w="1374" w:type="pct"/>
            <w:noWrap/>
            <w:hideMark/>
          </w:tcPr>
          <w:p w14:paraId="269A47D9" w14:textId="1D7EB526" w:rsidR="00857E3F" w:rsidRPr="00B11790" w:rsidRDefault="00857E3F" w:rsidP="0009198A">
            <w:pPr>
              <w:pStyle w:val="Tabletext1"/>
              <w:rPr>
                <w:rFonts w:cs="Calibri"/>
              </w:rPr>
            </w:pPr>
            <w:r w:rsidRPr="00B11790">
              <w:t>A1PI</w:t>
            </w:r>
            <w:r w:rsidRPr="00B11790">
              <w:rPr>
                <w:rFonts w:cs="Calibri"/>
              </w:rPr>
              <w:t xml:space="preserve"> </w:t>
            </w:r>
            <w:r w:rsidR="009A16D5" w:rsidRPr="00B11790">
              <w:rPr>
                <w:rFonts w:cs="Calibri"/>
              </w:rPr>
              <w:t>augmentation t</w:t>
            </w:r>
            <w:r w:rsidRPr="00B11790">
              <w:rPr>
                <w:rFonts w:cs="Calibri"/>
              </w:rPr>
              <w:t>herapy</w:t>
            </w:r>
          </w:p>
        </w:tc>
        <w:tc>
          <w:tcPr>
            <w:tcW w:w="1048" w:type="pct"/>
            <w:noWrap/>
            <w:hideMark/>
          </w:tcPr>
          <w:p w14:paraId="07C32A46" w14:textId="3B63C6C0" w:rsidR="00857E3F" w:rsidRPr="00B11790" w:rsidRDefault="0067625F" w:rsidP="0009198A">
            <w:pPr>
              <w:pStyle w:val="Tabletext1"/>
              <w:jc w:val="center"/>
              <w:rPr>
                <w:rFonts w:cs="Calibri"/>
              </w:rPr>
            </w:pPr>
            <w:r w:rsidRPr="0067625F">
              <w:rPr>
                <w:rFonts w:cs="Calibri"/>
                <w:b/>
                <w:color w:val="000000"/>
              </w:rPr>
              <w:t>Redacted</w:t>
            </w:r>
          </w:p>
        </w:tc>
        <w:tc>
          <w:tcPr>
            <w:tcW w:w="638" w:type="pct"/>
            <w:noWrap/>
            <w:hideMark/>
          </w:tcPr>
          <w:p w14:paraId="65397C1F" w14:textId="754A2224" w:rsidR="00857E3F" w:rsidRPr="00DA1268" w:rsidRDefault="006C1541" w:rsidP="0009198A">
            <w:pPr>
              <w:pStyle w:val="Tabletext1"/>
              <w:jc w:val="center"/>
              <w:rPr>
                <w:rFonts w:cs="Calibri"/>
                <w:b/>
              </w:rPr>
            </w:pPr>
            <w:r w:rsidRPr="00DA1268">
              <w:rPr>
                <w:rFonts w:cs="Calibri"/>
                <w:b/>
                <w:color w:val="000000"/>
              </w:rPr>
              <w:t xml:space="preserve"> Redacted</w:t>
            </w:r>
          </w:p>
        </w:tc>
        <w:tc>
          <w:tcPr>
            <w:tcW w:w="707" w:type="pct"/>
            <w:noWrap/>
            <w:hideMark/>
          </w:tcPr>
          <w:p w14:paraId="695B900B" w14:textId="64CFAE78" w:rsidR="00857E3F" w:rsidRPr="00DA1268" w:rsidRDefault="006C1541" w:rsidP="0009198A">
            <w:pPr>
              <w:pStyle w:val="Tabletext1"/>
              <w:jc w:val="center"/>
              <w:rPr>
                <w:rFonts w:cs="Calibri"/>
                <w:b/>
              </w:rPr>
            </w:pPr>
            <w:r w:rsidRPr="00DA1268">
              <w:rPr>
                <w:rFonts w:cs="Calibri"/>
                <w:b/>
                <w:color w:val="000000"/>
              </w:rPr>
              <w:t xml:space="preserve"> Redacted</w:t>
            </w:r>
          </w:p>
        </w:tc>
        <w:tc>
          <w:tcPr>
            <w:tcW w:w="697" w:type="pct"/>
            <w:noWrap/>
            <w:hideMark/>
          </w:tcPr>
          <w:p w14:paraId="78B1ED94" w14:textId="251DBA6C" w:rsidR="00857E3F" w:rsidRPr="00DA1268" w:rsidRDefault="006C1541" w:rsidP="0009198A">
            <w:pPr>
              <w:pStyle w:val="Tabletext1"/>
              <w:jc w:val="center"/>
              <w:rPr>
                <w:rFonts w:cs="Calibri"/>
                <w:b/>
              </w:rPr>
            </w:pPr>
            <w:r w:rsidRPr="00DA1268">
              <w:rPr>
                <w:rFonts w:cs="Calibri"/>
                <w:b/>
                <w:color w:val="000000"/>
              </w:rPr>
              <w:t xml:space="preserve"> Redacted</w:t>
            </w:r>
          </w:p>
        </w:tc>
        <w:tc>
          <w:tcPr>
            <w:tcW w:w="537" w:type="pct"/>
            <w:noWrap/>
            <w:hideMark/>
          </w:tcPr>
          <w:p w14:paraId="5CF44312" w14:textId="430E3C0B" w:rsidR="00857E3F" w:rsidRPr="00B11790" w:rsidRDefault="006C1541" w:rsidP="0009198A">
            <w:pPr>
              <w:pStyle w:val="Tabletext1"/>
              <w:jc w:val="center"/>
              <w:rPr>
                <w:rFonts w:cs="Calibri"/>
              </w:rPr>
            </w:pPr>
            <w:r w:rsidRPr="006C1541">
              <w:rPr>
                <w:rFonts w:cs="Calibri"/>
                <w:color w:val="000000"/>
              </w:rPr>
              <w:t>more than $200,000</w:t>
            </w:r>
          </w:p>
        </w:tc>
      </w:tr>
      <w:tr w:rsidR="00857E3F" w:rsidRPr="00B11790" w14:paraId="0BF5A5D6" w14:textId="77777777" w:rsidTr="003E6D62">
        <w:trPr>
          <w:trHeight w:val="300"/>
        </w:trPr>
        <w:tc>
          <w:tcPr>
            <w:tcW w:w="1374" w:type="pct"/>
            <w:noWrap/>
            <w:hideMark/>
          </w:tcPr>
          <w:p w14:paraId="0EC2BB27" w14:textId="14021779" w:rsidR="00857E3F" w:rsidRPr="00B11790" w:rsidRDefault="00857E3F" w:rsidP="0009198A">
            <w:pPr>
              <w:pStyle w:val="Tabletext1"/>
              <w:rPr>
                <w:rFonts w:cs="Calibri"/>
              </w:rPr>
            </w:pPr>
            <w:r w:rsidRPr="00B11790">
              <w:t xml:space="preserve">Best </w:t>
            </w:r>
            <w:r w:rsidR="009A16D5" w:rsidRPr="00B11790">
              <w:t>supportive car</w:t>
            </w:r>
            <w:r w:rsidRPr="00B11790">
              <w:t>e</w:t>
            </w:r>
          </w:p>
        </w:tc>
        <w:tc>
          <w:tcPr>
            <w:tcW w:w="1048" w:type="pct"/>
            <w:noWrap/>
            <w:hideMark/>
          </w:tcPr>
          <w:p w14:paraId="5F927DCA" w14:textId="7DCC7CF4" w:rsidR="00857E3F" w:rsidRPr="00B11790" w:rsidRDefault="0067625F" w:rsidP="0009198A">
            <w:pPr>
              <w:pStyle w:val="Tabletext1"/>
              <w:jc w:val="center"/>
              <w:rPr>
                <w:rFonts w:cs="Calibri"/>
              </w:rPr>
            </w:pPr>
            <w:r w:rsidRPr="0067625F">
              <w:rPr>
                <w:rFonts w:cs="Calibri"/>
                <w:b/>
                <w:color w:val="000000"/>
              </w:rPr>
              <w:t>Redacted</w:t>
            </w:r>
          </w:p>
        </w:tc>
        <w:tc>
          <w:tcPr>
            <w:tcW w:w="638" w:type="pct"/>
            <w:noWrap/>
            <w:hideMark/>
          </w:tcPr>
          <w:p w14:paraId="11F0982F" w14:textId="77777777" w:rsidR="00857E3F" w:rsidRPr="00DA1268" w:rsidRDefault="00857E3F" w:rsidP="0009198A">
            <w:pPr>
              <w:pStyle w:val="Tabletext1"/>
              <w:jc w:val="center"/>
              <w:rPr>
                <w:rFonts w:cs="Calibri"/>
                <w:b/>
              </w:rPr>
            </w:pPr>
          </w:p>
        </w:tc>
        <w:tc>
          <w:tcPr>
            <w:tcW w:w="707" w:type="pct"/>
            <w:noWrap/>
            <w:hideMark/>
          </w:tcPr>
          <w:p w14:paraId="560B08D5" w14:textId="75D0C488" w:rsidR="00857E3F" w:rsidRPr="00DA1268" w:rsidRDefault="006C1541" w:rsidP="0009198A">
            <w:pPr>
              <w:pStyle w:val="Tabletext1"/>
              <w:jc w:val="center"/>
              <w:rPr>
                <w:rFonts w:cs="Calibri"/>
                <w:b/>
              </w:rPr>
            </w:pPr>
            <w:r w:rsidRPr="00DA1268">
              <w:rPr>
                <w:rFonts w:cs="Calibri"/>
                <w:b/>
                <w:color w:val="000000"/>
              </w:rPr>
              <w:t xml:space="preserve"> Redacted</w:t>
            </w:r>
          </w:p>
        </w:tc>
        <w:tc>
          <w:tcPr>
            <w:tcW w:w="697" w:type="pct"/>
            <w:noWrap/>
            <w:hideMark/>
          </w:tcPr>
          <w:p w14:paraId="005EB158" w14:textId="77777777" w:rsidR="00857E3F" w:rsidRPr="00DA1268" w:rsidRDefault="00857E3F" w:rsidP="0009198A">
            <w:pPr>
              <w:pStyle w:val="Tabletext1"/>
              <w:jc w:val="center"/>
              <w:rPr>
                <w:rFonts w:cs="Calibri"/>
                <w:b/>
              </w:rPr>
            </w:pPr>
          </w:p>
        </w:tc>
        <w:tc>
          <w:tcPr>
            <w:tcW w:w="537" w:type="pct"/>
            <w:noWrap/>
            <w:hideMark/>
          </w:tcPr>
          <w:p w14:paraId="4BC627E7" w14:textId="77777777" w:rsidR="00857E3F" w:rsidRPr="00B11790" w:rsidRDefault="00857E3F" w:rsidP="0009198A">
            <w:pPr>
              <w:pStyle w:val="Tabletext1"/>
              <w:jc w:val="center"/>
              <w:rPr>
                <w:rFonts w:cs="Calibri"/>
              </w:rPr>
            </w:pPr>
          </w:p>
        </w:tc>
      </w:tr>
      <w:tr w:rsidR="00857E3F" w:rsidRPr="00B11790" w14:paraId="5BF5EEEA" w14:textId="77777777" w:rsidTr="003E6D62">
        <w:trPr>
          <w:trHeight w:val="300"/>
        </w:trPr>
        <w:tc>
          <w:tcPr>
            <w:tcW w:w="1374" w:type="pct"/>
            <w:noWrap/>
            <w:hideMark/>
          </w:tcPr>
          <w:p w14:paraId="69E7A73B" w14:textId="77777777" w:rsidR="00857E3F" w:rsidRPr="00B11790" w:rsidRDefault="00857E3F" w:rsidP="0009198A">
            <w:pPr>
              <w:pStyle w:val="TableHeading"/>
              <w:rPr>
                <w:rFonts w:cs="Calibri"/>
                <w:b w:val="0"/>
              </w:rPr>
            </w:pPr>
            <w:r w:rsidRPr="00B11790">
              <w:t>Lifetime</w:t>
            </w:r>
          </w:p>
        </w:tc>
        <w:tc>
          <w:tcPr>
            <w:tcW w:w="1048" w:type="pct"/>
            <w:noWrap/>
            <w:hideMark/>
          </w:tcPr>
          <w:p w14:paraId="77076DE1" w14:textId="77777777" w:rsidR="00857E3F" w:rsidRPr="00B11790" w:rsidRDefault="00857E3F" w:rsidP="0009198A">
            <w:pPr>
              <w:pStyle w:val="TableHeading"/>
              <w:jc w:val="center"/>
              <w:rPr>
                <w:rFonts w:cs="Calibri"/>
                <w:b w:val="0"/>
              </w:rPr>
            </w:pPr>
          </w:p>
        </w:tc>
        <w:tc>
          <w:tcPr>
            <w:tcW w:w="638" w:type="pct"/>
            <w:noWrap/>
            <w:hideMark/>
          </w:tcPr>
          <w:p w14:paraId="730F3CB5" w14:textId="77777777" w:rsidR="00857E3F" w:rsidRPr="00DA1268" w:rsidRDefault="00857E3F" w:rsidP="0009198A">
            <w:pPr>
              <w:pStyle w:val="TableHeading"/>
              <w:jc w:val="center"/>
              <w:rPr>
                <w:rFonts w:cs="Calibri"/>
              </w:rPr>
            </w:pPr>
          </w:p>
        </w:tc>
        <w:tc>
          <w:tcPr>
            <w:tcW w:w="707" w:type="pct"/>
            <w:noWrap/>
            <w:hideMark/>
          </w:tcPr>
          <w:p w14:paraId="2A98E238" w14:textId="77777777" w:rsidR="00857E3F" w:rsidRPr="00DA1268" w:rsidRDefault="00857E3F" w:rsidP="0009198A">
            <w:pPr>
              <w:pStyle w:val="TableHeading"/>
              <w:jc w:val="center"/>
              <w:rPr>
                <w:rFonts w:cs="Calibri"/>
              </w:rPr>
            </w:pPr>
          </w:p>
        </w:tc>
        <w:tc>
          <w:tcPr>
            <w:tcW w:w="697" w:type="pct"/>
            <w:noWrap/>
            <w:hideMark/>
          </w:tcPr>
          <w:p w14:paraId="462B3890" w14:textId="77777777" w:rsidR="00857E3F" w:rsidRPr="00DA1268" w:rsidRDefault="00857E3F" w:rsidP="0009198A">
            <w:pPr>
              <w:pStyle w:val="TableHeading"/>
              <w:jc w:val="center"/>
              <w:rPr>
                <w:rFonts w:cs="Calibri"/>
              </w:rPr>
            </w:pPr>
          </w:p>
        </w:tc>
        <w:tc>
          <w:tcPr>
            <w:tcW w:w="537" w:type="pct"/>
            <w:noWrap/>
            <w:hideMark/>
          </w:tcPr>
          <w:p w14:paraId="0325CB53" w14:textId="77777777" w:rsidR="00857E3F" w:rsidRPr="00B11790" w:rsidRDefault="00857E3F" w:rsidP="0009198A">
            <w:pPr>
              <w:pStyle w:val="TableHeading"/>
              <w:jc w:val="center"/>
              <w:rPr>
                <w:rFonts w:cs="Calibri"/>
                <w:b w:val="0"/>
              </w:rPr>
            </w:pPr>
          </w:p>
        </w:tc>
      </w:tr>
      <w:tr w:rsidR="0067625F" w:rsidRPr="00B11790" w14:paraId="4B84C77B" w14:textId="77777777" w:rsidTr="003E6D62">
        <w:trPr>
          <w:trHeight w:val="300"/>
        </w:trPr>
        <w:tc>
          <w:tcPr>
            <w:tcW w:w="1374" w:type="pct"/>
            <w:noWrap/>
            <w:hideMark/>
          </w:tcPr>
          <w:p w14:paraId="04DB76F5" w14:textId="614EF1EA" w:rsidR="0067625F" w:rsidRPr="00B11790" w:rsidRDefault="0067625F" w:rsidP="0067625F">
            <w:pPr>
              <w:pStyle w:val="Tabletext1"/>
              <w:rPr>
                <w:rFonts w:cs="Calibri"/>
              </w:rPr>
            </w:pPr>
            <w:r w:rsidRPr="00B11790">
              <w:t>A1PI</w:t>
            </w:r>
            <w:r w:rsidRPr="00B11790">
              <w:rPr>
                <w:rFonts w:cs="Calibri"/>
              </w:rPr>
              <w:t xml:space="preserve"> augmentation therapy</w:t>
            </w:r>
          </w:p>
        </w:tc>
        <w:tc>
          <w:tcPr>
            <w:tcW w:w="1048" w:type="pct"/>
            <w:noWrap/>
            <w:hideMark/>
          </w:tcPr>
          <w:p w14:paraId="726F475A" w14:textId="28E2883D" w:rsidR="0067625F" w:rsidRPr="00B11790" w:rsidRDefault="0067625F" w:rsidP="0067625F">
            <w:pPr>
              <w:pStyle w:val="Tabletext1"/>
              <w:jc w:val="center"/>
              <w:rPr>
                <w:rFonts w:cs="Calibri"/>
              </w:rPr>
            </w:pPr>
            <w:r w:rsidRPr="00C56D92">
              <w:rPr>
                <w:rFonts w:cs="Calibri"/>
                <w:b/>
                <w:color w:val="000000"/>
              </w:rPr>
              <w:t>Redacted</w:t>
            </w:r>
          </w:p>
        </w:tc>
        <w:tc>
          <w:tcPr>
            <w:tcW w:w="638" w:type="pct"/>
            <w:noWrap/>
            <w:hideMark/>
          </w:tcPr>
          <w:p w14:paraId="32114A4C" w14:textId="66FE6323" w:rsidR="0067625F" w:rsidRPr="00DA1268" w:rsidRDefault="006C1541" w:rsidP="0067625F">
            <w:pPr>
              <w:pStyle w:val="Tabletext1"/>
              <w:jc w:val="center"/>
              <w:rPr>
                <w:rFonts w:cs="Calibri"/>
                <w:b/>
              </w:rPr>
            </w:pPr>
            <w:r w:rsidRPr="00DA1268">
              <w:rPr>
                <w:rFonts w:cs="Calibri"/>
                <w:b/>
                <w:color w:val="000000"/>
              </w:rPr>
              <w:t xml:space="preserve"> Redacted</w:t>
            </w:r>
          </w:p>
        </w:tc>
        <w:tc>
          <w:tcPr>
            <w:tcW w:w="707" w:type="pct"/>
            <w:noWrap/>
            <w:hideMark/>
          </w:tcPr>
          <w:p w14:paraId="5C5C1029" w14:textId="1D531256" w:rsidR="0067625F" w:rsidRPr="00DA1268" w:rsidRDefault="006C1541" w:rsidP="0067625F">
            <w:pPr>
              <w:pStyle w:val="Tabletext1"/>
              <w:jc w:val="center"/>
              <w:rPr>
                <w:rFonts w:cs="Calibri"/>
                <w:b/>
              </w:rPr>
            </w:pPr>
            <w:r w:rsidRPr="00DA1268">
              <w:rPr>
                <w:rFonts w:cs="Calibri"/>
                <w:b/>
                <w:color w:val="000000"/>
              </w:rPr>
              <w:t xml:space="preserve"> Redacted</w:t>
            </w:r>
          </w:p>
        </w:tc>
        <w:tc>
          <w:tcPr>
            <w:tcW w:w="697" w:type="pct"/>
            <w:noWrap/>
            <w:hideMark/>
          </w:tcPr>
          <w:p w14:paraId="52E4EAD5" w14:textId="4A9AA244" w:rsidR="0067625F" w:rsidRPr="00DA1268" w:rsidRDefault="006C1541" w:rsidP="0067625F">
            <w:pPr>
              <w:pStyle w:val="Tabletext1"/>
              <w:jc w:val="center"/>
              <w:rPr>
                <w:rFonts w:cs="Calibri"/>
                <w:b/>
              </w:rPr>
            </w:pPr>
            <w:r w:rsidRPr="00DA1268">
              <w:rPr>
                <w:rFonts w:cs="Calibri"/>
                <w:b/>
                <w:color w:val="000000"/>
              </w:rPr>
              <w:t xml:space="preserve"> Redacted</w:t>
            </w:r>
          </w:p>
        </w:tc>
        <w:tc>
          <w:tcPr>
            <w:tcW w:w="537" w:type="pct"/>
            <w:noWrap/>
            <w:hideMark/>
          </w:tcPr>
          <w:p w14:paraId="3311C379" w14:textId="46C9DDC7" w:rsidR="0067625F" w:rsidRPr="00B11790" w:rsidRDefault="006C1541" w:rsidP="0067625F">
            <w:pPr>
              <w:pStyle w:val="Tabletext1"/>
              <w:jc w:val="center"/>
              <w:rPr>
                <w:rFonts w:cs="Calibri"/>
              </w:rPr>
            </w:pPr>
            <w:r w:rsidRPr="006C1541">
              <w:rPr>
                <w:rFonts w:cs="Calibri"/>
                <w:color w:val="000000"/>
              </w:rPr>
              <w:t>more than $200,000</w:t>
            </w:r>
          </w:p>
        </w:tc>
      </w:tr>
      <w:tr w:rsidR="0067625F" w:rsidRPr="00B11790" w14:paraId="54A36CC0" w14:textId="77777777" w:rsidTr="003E6D62">
        <w:trPr>
          <w:trHeight w:val="300"/>
        </w:trPr>
        <w:tc>
          <w:tcPr>
            <w:tcW w:w="1374" w:type="pct"/>
            <w:noWrap/>
            <w:hideMark/>
          </w:tcPr>
          <w:p w14:paraId="3FE5A14F" w14:textId="5B6391F9" w:rsidR="0067625F" w:rsidRPr="00B11790" w:rsidRDefault="0067625F" w:rsidP="0067625F">
            <w:pPr>
              <w:pStyle w:val="Tabletext1"/>
              <w:rPr>
                <w:rFonts w:cs="Calibri"/>
              </w:rPr>
            </w:pPr>
            <w:r w:rsidRPr="00B11790">
              <w:t>Best supportive care</w:t>
            </w:r>
          </w:p>
        </w:tc>
        <w:tc>
          <w:tcPr>
            <w:tcW w:w="1048" w:type="pct"/>
            <w:noWrap/>
            <w:hideMark/>
          </w:tcPr>
          <w:p w14:paraId="676A358E" w14:textId="15915FB5" w:rsidR="0067625F" w:rsidRPr="00B11790" w:rsidRDefault="0067625F" w:rsidP="0067625F">
            <w:pPr>
              <w:pStyle w:val="Tabletext1"/>
              <w:jc w:val="center"/>
              <w:rPr>
                <w:rFonts w:cs="Calibri"/>
              </w:rPr>
            </w:pPr>
            <w:r w:rsidRPr="00C56D92">
              <w:rPr>
                <w:rFonts w:cs="Calibri"/>
                <w:b/>
                <w:color w:val="000000"/>
              </w:rPr>
              <w:t>Redacted</w:t>
            </w:r>
          </w:p>
        </w:tc>
        <w:tc>
          <w:tcPr>
            <w:tcW w:w="638" w:type="pct"/>
            <w:noWrap/>
            <w:hideMark/>
          </w:tcPr>
          <w:p w14:paraId="70956AF7" w14:textId="77777777" w:rsidR="0067625F" w:rsidRPr="00DA1268" w:rsidRDefault="0067625F" w:rsidP="0067625F">
            <w:pPr>
              <w:pStyle w:val="Tabletext1"/>
              <w:jc w:val="center"/>
              <w:rPr>
                <w:rFonts w:cs="Calibri"/>
                <w:b/>
              </w:rPr>
            </w:pPr>
          </w:p>
        </w:tc>
        <w:tc>
          <w:tcPr>
            <w:tcW w:w="707" w:type="pct"/>
            <w:noWrap/>
            <w:hideMark/>
          </w:tcPr>
          <w:p w14:paraId="2F357287" w14:textId="0DDB78F2" w:rsidR="0067625F" w:rsidRPr="00DA1268" w:rsidRDefault="006C1541" w:rsidP="0067625F">
            <w:pPr>
              <w:pStyle w:val="Tabletext1"/>
              <w:jc w:val="center"/>
              <w:rPr>
                <w:rFonts w:cs="Calibri"/>
                <w:b/>
              </w:rPr>
            </w:pPr>
            <w:r w:rsidRPr="00DA1268">
              <w:rPr>
                <w:rFonts w:cs="Calibri"/>
                <w:b/>
                <w:color w:val="000000"/>
              </w:rPr>
              <w:t xml:space="preserve"> Redacted</w:t>
            </w:r>
          </w:p>
        </w:tc>
        <w:tc>
          <w:tcPr>
            <w:tcW w:w="697" w:type="pct"/>
            <w:noWrap/>
            <w:hideMark/>
          </w:tcPr>
          <w:p w14:paraId="307774FE" w14:textId="77777777" w:rsidR="0067625F" w:rsidRPr="00DA1268" w:rsidRDefault="0067625F" w:rsidP="0067625F">
            <w:pPr>
              <w:pStyle w:val="Tabletext1"/>
              <w:jc w:val="center"/>
              <w:rPr>
                <w:rFonts w:cs="Calibri"/>
                <w:b/>
              </w:rPr>
            </w:pPr>
          </w:p>
        </w:tc>
        <w:tc>
          <w:tcPr>
            <w:tcW w:w="537" w:type="pct"/>
            <w:noWrap/>
            <w:hideMark/>
          </w:tcPr>
          <w:p w14:paraId="71D006D7" w14:textId="77777777" w:rsidR="0067625F" w:rsidRPr="00B11790" w:rsidRDefault="0067625F" w:rsidP="0067625F">
            <w:pPr>
              <w:pStyle w:val="Tabletext1"/>
              <w:jc w:val="center"/>
              <w:rPr>
                <w:rFonts w:cs="Calibri"/>
              </w:rPr>
            </w:pPr>
          </w:p>
        </w:tc>
      </w:tr>
    </w:tbl>
    <w:p w14:paraId="1C8FEB54" w14:textId="77777777" w:rsidR="00857E3F" w:rsidRPr="00B11790" w:rsidRDefault="00857E3F" w:rsidP="00857E3F">
      <w:pPr>
        <w:pStyle w:val="Tablenotes"/>
      </w:pPr>
      <w:r w:rsidRPr="00B11790">
        <w:rPr>
          <w:b/>
        </w:rPr>
        <w:t>Abbreviations</w:t>
      </w:r>
      <w:r w:rsidRPr="00B11790">
        <w:t xml:space="preserve">: </w:t>
      </w:r>
      <w:r w:rsidRPr="00B11790">
        <w:rPr>
          <w:b/>
        </w:rPr>
        <w:t>A1PI</w:t>
      </w:r>
      <w:r w:rsidRPr="00B11790">
        <w:t xml:space="preserve"> = Aplha-1 proteinase inhibitor; </w:t>
      </w:r>
      <w:r w:rsidRPr="00B11790">
        <w:rPr>
          <w:b/>
        </w:rPr>
        <w:t>ICER</w:t>
      </w:r>
      <w:r w:rsidRPr="00B11790">
        <w:t xml:space="preserve"> = incremental cost-effectiveness ratio; </w:t>
      </w:r>
      <w:r w:rsidRPr="00B11790">
        <w:rPr>
          <w:b/>
        </w:rPr>
        <w:t>QALY</w:t>
      </w:r>
      <w:r w:rsidRPr="00B11790">
        <w:t xml:space="preserve"> = quality-adjusted life year.</w:t>
      </w:r>
    </w:p>
    <w:p w14:paraId="1E242390" w14:textId="5C108226" w:rsidR="00CD067A" w:rsidRDefault="00CD067A" w:rsidP="00687B5B">
      <w:pPr>
        <w:spacing w:before="240" w:after="240"/>
      </w:pPr>
      <w:r>
        <w:t xml:space="preserve">The </w:t>
      </w:r>
      <w:r w:rsidR="000C4DE9">
        <w:t>assessment noted</w:t>
      </w:r>
      <w:r>
        <w:t xml:space="preserve"> that the </w:t>
      </w:r>
      <w:r w:rsidRPr="00CD067A">
        <w:t xml:space="preserve">price paid for the </w:t>
      </w:r>
      <w:r w:rsidR="00D92F42">
        <w:t>augmentation therapy</w:t>
      </w:r>
      <w:r w:rsidRPr="00CD067A">
        <w:t xml:space="preserve"> product is the key driver of model results</w:t>
      </w:r>
      <w:r>
        <w:t xml:space="preserve"> (</w:t>
      </w:r>
      <w:r>
        <w:fldChar w:fldCharType="begin"/>
      </w:r>
      <w:r>
        <w:instrText xml:space="preserve"> REF _Ref523394201 \h </w:instrText>
      </w:r>
      <w:r>
        <w:fldChar w:fldCharType="separate"/>
      </w:r>
      <w:r w:rsidRPr="00B11790">
        <w:t xml:space="preserve">Table </w:t>
      </w:r>
      <w:r>
        <w:rPr>
          <w:noProof/>
        </w:rPr>
        <w:t>5</w:t>
      </w:r>
      <w:r>
        <w:fldChar w:fldCharType="end"/>
      </w:r>
      <w:r>
        <w:t>).</w:t>
      </w:r>
    </w:p>
    <w:p w14:paraId="6B75162A" w14:textId="77777777" w:rsidR="00CD067A" w:rsidRPr="00B11790" w:rsidRDefault="00CD067A" w:rsidP="00E339EF">
      <w:pPr>
        <w:pStyle w:val="Caption"/>
        <w:rPr>
          <w:rFonts w:cs="Arial"/>
          <w:snapToGrid w:val="0"/>
          <w:szCs w:val="16"/>
          <w:lang w:eastAsia="en-US"/>
        </w:rPr>
      </w:pPr>
      <w:bookmarkStart w:id="117" w:name="_Ref523394201"/>
      <w:bookmarkStart w:id="118" w:name="_Toc521422873"/>
      <w:bookmarkStart w:id="119" w:name="_Toc521509118"/>
      <w:bookmarkStart w:id="120" w:name="_Toc521571168"/>
      <w:bookmarkStart w:id="121" w:name="_Toc521577058"/>
      <w:bookmarkStart w:id="122" w:name="_Toc521592243"/>
      <w:bookmarkStart w:id="123" w:name="_Toc521593578"/>
      <w:bookmarkStart w:id="124" w:name="_Toc521596734"/>
      <w:bookmarkStart w:id="125" w:name="_Toc521595014"/>
      <w:bookmarkStart w:id="126" w:name="_Toc522004757"/>
      <w:bookmarkStart w:id="127" w:name="_Toc522011945"/>
      <w:bookmarkStart w:id="128" w:name="_Toc522023083"/>
      <w:bookmarkStart w:id="129" w:name="_Toc522027579"/>
      <w:bookmarkStart w:id="130" w:name="_Toc522029260"/>
      <w:bookmarkStart w:id="131" w:name="_Toc523300960"/>
      <w:bookmarkStart w:id="132" w:name="_Toc523301490"/>
      <w:bookmarkStart w:id="133" w:name="_Toc523304042"/>
      <w:bookmarkStart w:id="134" w:name="_Toc523393148"/>
      <w:bookmarkStart w:id="135" w:name="_Toc523404124"/>
      <w:r w:rsidRPr="00B11790">
        <w:lastRenderedPageBreak/>
        <w:t xml:space="preserve">Table </w:t>
      </w:r>
      <w:r w:rsidR="00E71F4B">
        <w:rPr>
          <w:noProof/>
        </w:rPr>
        <w:fldChar w:fldCharType="begin"/>
      </w:r>
      <w:r w:rsidR="00E71F4B">
        <w:rPr>
          <w:noProof/>
        </w:rPr>
        <w:instrText xml:space="preserve"> SEQ Table \* ARABIC </w:instrText>
      </w:r>
      <w:r w:rsidR="00E71F4B">
        <w:rPr>
          <w:noProof/>
        </w:rPr>
        <w:fldChar w:fldCharType="separate"/>
      </w:r>
      <w:r>
        <w:rPr>
          <w:noProof/>
        </w:rPr>
        <w:t>5</w:t>
      </w:r>
      <w:r w:rsidR="00E71F4B">
        <w:rPr>
          <w:noProof/>
        </w:rPr>
        <w:fldChar w:fldCharType="end"/>
      </w:r>
      <w:bookmarkEnd w:id="117"/>
      <w:r w:rsidRPr="00B11790">
        <w:tab/>
      </w:r>
      <w:r w:rsidRPr="00B11790">
        <w:rPr>
          <w:rFonts w:cs="Arial"/>
          <w:snapToGrid w:val="0"/>
          <w:szCs w:val="16"/>
          <w:lang w:eastAsia="en-US"/>
        </w:rPr>
        <w:t>Drivers of the economic model</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bl>
      <w:tblPr>
        <w:tblStyle w:val="TableGrid"/>
        <w:tblW w:w="5000" w:type="pct"/>
        <w:tblLook w:val="04A0" w:firstRow="1" w:lastRow="0" w:firstColumn="1" w:lastColumn="0" w:noHBand="0" w:noVBand="1"/>
        <w:tblCaption w:val="Key drivers of the economic model"/>
        <w:tblDescription w:val="This table describes what factors and assumptions in the economic model affect the incremental cost-effectiveness to the greatest extent."/>
      </w:tblPr>
      <w:tblGrid>
        <w:gridCol w:w="1552"/>
        <w:gridCol w:w="3913"/>
        <w:gridCol w:w="3551"/>
      </w:tblGrid>
      <w:tr w:rsidR="00CD067A" w:rsidRPr="00B11790" w14:paraId="0C2EE686" w14:textId="77777777" w:rsidTr="003E6D62">
        <w:trPr>
          <w:tblHeader/>
        </w:trPr>
        <w:tc>
          <w:tcPr>
            <w:tcW w:w="861" w:type="pct"/>
          </w:tcPr>
          <w:p w14:paraId="05E034B5" w14:textId="77777777" w:rsidR="00CD067A" w:rsidRPr="00B11790" w:rsidRDefault="00CD067A" w:rsidP="00CD067A">
            <w:pPr>
              <w:pStyle w:val="TableHeading"/>
            </w:pPr>
            <w:r w:rsidRPr="00B11790">
              <w:t>Description</w:t>
            </w:r>
          </w:p>
        </w:tc>
        <w:tc>
          <w:tcPr>
            <w:tcW w:w="2170" w:type="pct"/>
          </w:tcPr>
          <w:p w14:paraId="0552C984" w14:textId="77777777" w:rsidR="00CD067A" w:rsidRPr="00B11790" w:rsidRDefault="00CD067A" w:rsidP="00CD067A">
            <w:pPr>
              <w:pStyle w:val="TableHeading"/>
            </w:pPr>
            <w:r w:rsidRPr="00B11790">
              <w:t>Method/Value</w:t>
            </w:r>
          </w:p>
        </w:tc>
        <w:tc>
          <w:tcPr>
            <w:tcW w:w="1969" w:type="pct"/>
          </w:tcPr>
          <w:p w14:paraId="5409848D" w14:textId="77777777" w:rsidR="00CD067A" w:rsidRPr="00B11790" w:rsidRDefault="00CD067A" w:rsidP="00CD067A">
            <w:pPr>
              <w:pStyle w:val="TableHeading"/>
            </w:pPr>
            <w:r w:rsidRPr="00B11790">
              <w:t>Impact</w:t>
            </w:r>
          </w:p>
        </w:tc>
      </w:tr>
      <w:tr w:rsidR="00CD067A" w:rsidRPr="00B11790" w14:paraId="6B37E290" w14:textId="77777777" w:rsidTr="003E6D62">
        <w:tc>
          <w:tcPr>
            <w:tcW w:w="861" w:type="pct"/>
          </w:tcPr>
          <w:p w14:paraId="7E4E5939" w14:textId="77777777" w:rsidR="00CD067A" w:rsidRPr="00B11790" w:rsidRDefault="00CD067A" w:rsidP="00CD067A">
            <w:pPr>
              <w:pStyle w:val="Tabletext1"/>
            </w:pPr>
            <w:r w:rsidRPr="00B11790">
              <w:t>Cost of the AT product</w:t>
            </w:r>
          </w:p>
        </w:tc>
        <w:tc>
          <w:tcPr>
            <w:tcW w:w="2170" w:type="pct"/>
          </w:tcPr>
          <w:p w14:paraId="1EC1E8E7" w14:textId="35512F4E" w:rsidR="00CD067A" w:rsidRPr="00B11790" w:rsidRDefault="00CD067A" w:rsidP="00D92F42">
            <w:pPr>
              <w:pStyle w:val="Tabletext1"/>
            </w:pPr>
            <w:r w:rsidRPr="00B11790">
              <w:t xml:space="preserve">The average dosing for </w:t>
            </w:r>
            <w:r w:rsidR="00D92F42">
              <w:t>augmentation therapy</w:t>
            </w:r>
            <w:r w:rsidRPr="00B11790">
              <w:t xml:space="preserve"> </w:t>
            </w:r>
            <w:proofErr w:type="gramStart"/>
            <w:r w:rsidRPr="00B11790">
              <w:t>is taken from the RAPID trial and applied to an average weight of 75.9 kg</w:t>
            </w:r>
            <w:proofErr w:type="gramEnd"/>
            <w:r w:rsidRPr="00B11790">
              <w:t xml:space="preserve">. The number of vials (rounded to a whole number) </w:t>
            </w:r>
            <w:proofErr w:type="gramStart"/>
            <w:r w:rsidRPr="00B11790">
              <w:t>is multiplied</w:t>
            </w:r>
            <w:proofErr w:type="gramEnd"/>
            <w:r w:rsidRPr="00B11790">
              <w:t xml:space="preserve"> by average, high and low AT product prices.</w:t>
            </w:r>
          </w:p>
        </w:tc>
        <w:tc>
          <w:tcPr>
            <w:tcW w:w="1969" w:type="pct"/>
          </w:tcPr>
          <w:p w14:paraId="1010AFE0" w14:textId="48F9F612" w:rsidR="00CD067A" w:rsidRPr="00B11790" w:rsidRDefault="00CD067A" w:rsidP="006C1541">
            <w:pPr>
              <w:pStyle w:val="Tabletext1"/>
            </w:pPr>
            <w:r w:rsidRPr="00B11790">
              <w:t xml:space="preserve">The base cost of </w:t>
            </w:r>
            <w:r w:rsidR="00D92F42">
              <w:t>augmentation therapy</w:t>
            </w:r>
            <w:r w:rsidRPr="00B11790">
              <w:t xml:space="preserve"> assumes a price per 1,000 ml (</w:t>
            </w:r>
            <w:r w:rsidR="0085669A">
              <w:t>$r</w:t>
            </w:r>
            <w:r w:rsidR="008E4931" w:rsidRPr="008E4931">
              <w:rPr>
                <w:b/>
              </w:rPr>
              <w:t>edacted</w:t>
            </w:r>
            <w:r w:rsidRPr="00B11790">
              <w:t xml:space="preserve">). This varies from </w:t>
            </w:r>
            <w:r w:rsidR="0085669A">
              <w:t>$r</w:t>
            </w:r>
            <w:r w:rsidR="008E4931" w:rsidRPr="008E4931">
              <w:rPr>
                <w:b/>
              </w:rPr>
              <w:t>edacted</w:t>
            </w:r>
            <w:r w:rsidR="008E4931" w:rsidRPr="00B11790" w:rsidDel="008E4931">
              <w:t xml:space="preserve"> </w:t>
            </w:r>
            <w:r w:rsidRPr="00B11790">
              <w:t xml:space="preserve">to </w:t>
            </w:r>
            <w:r w:rsidR="0085669A">
              <w:t>$r</w:t>
            </w:r>
            <w:r w:rsidR="008E4931" w:rsidRPr="008E4931">
              <w:rPr>
                <w:b/>
              </w:rPr>
              <w:t>edacted</w:t>
            </w:r>
            <w:r w:rsidR="008E4931" w:rsidRPr="00B11790" w:rsidDel="008E4931">
              <w:t xml:space="preserve"> </w:t>
            </w:r>
            <w:r w:rsidRPr="00B11790">
              <w:t xml:space="preserve">per 1,000ml vial. The estimated ICER varies considerably between </w:t>
            </w:r>
            <w:r w:rsidR="006C1541" w:rsidRPr="006C1541">
              <w:t xml:space="preserve">more than $200,000 </w:t>
            </w:r>
            <w:r w:rsidRPr="00B11790">
              <w:t xml:space="preserve">and </w:t>
            </w:r>
            <w:r w:rsidR="006C1541" w:rsidRPr="006C1541">
              <w:t xml:space="preserve">more than $200,000 </w:t>
            </w:r>
            <w:r w:rsidRPr="00B11790">
              <w:t>per QALY.</w:t>
            </w:r>
          </w:p>
        </w:tc>
      </w:tr>
      <w:tr w:rsidR="00CD067A" w:rsidRPr="00B11790" w14:paraId="1B22F556" w14:textId="77777777" w:rsidTr="003E6D62">
        <w:tc>
          <w:tcPr>
            <w:tcW w:w="861" w:type="pct"/>
          </w:tcPr>
          <w:p w14:paraId="59FBA55F" w14:textId="77777777" w:rsidR="00CD067A" w:rsidRPr="00B11790" w:rsidRDefault="00CD067A" w:rsidP="00CD067A">
            <w:pPr>
              <w:pStyle w:val="Tabletext1"/>
            </w:pPr>
            <w:r w:rsidRPr="00B11790">
              <w:t>Transition between FEV</w:t>
            </w:r>
            <w:r w:rsidRPr="00B11790">
              <w:rPr>
                <w:vertAlign w:val="subscript"/>
              </w:rPr>
              <w:t>1</w:t>
            </w:r>
            <w:r w:rsidRPr="00B11790">
              <w:t xml:space="preserve"> and CT density decline during RAPID drives clinical benefit</w:t>
            </w:r>
          </w:p>
        </w:tc>
        <w:tc>
          <w:tcPr>
            <w:tcW w:w="2170" w:type="pct"/>
          </w:tcPr>
          <w:p w14:paraId="26041F7B" w14:textId="657A9FEC" w:rsidR="00CD067A" w:rsidRPr="00B11790" w:rsidRDefault="00CD067A" w:rsidP="00D92F42">
            <w:pPr>
              <w:pStyle w:val="Tabletext1"/>
            </w:pPr>
            <w:r w:rsidRPr="00B11790">
              <w:t xml:space="preserve">There were considerable differences in transition between health states for the </w:t>
            </w:r>
            <w:r w:rsidR="00D92F42">
              <w:t>augmentation therapy</w:t>
            </w:r>
            <w:r w:rsidRPr="00B11790">
              <w:t xml:space="preserve"> and BSC arms in the RAPID trials. The economic model assumes movement to no, slow and rapid decline tracks during the trial period </w:t>
            </w:r>
            <w:proofErr w:type="gramStart"/>
            <w:r w:rsidRPr="00B11790">
              <w:t>is sustained</w:t>
            </w:r>
            <w:proofErr w:type="gramEnd"/>
            <w:r w:rsidRPr="00B11790">
              <w:t xml:space="preserve"> for a lifetime. </w:t>
            </w:r>
          </w:p>
        </w:tc>
        <w:tc>
          <w:tcPr>
            <w:tcW w:w="1969" w:type="pct"/>
          </w:tcPr>
          <w:p w14:paraId="07386FBA" w14:textId="77777777" w:rsidR="00CD067A" w:rsidRPr="00B11790" w:rsidRDefault="00CD067A" w:rsidP="00CD067A">
            <w:pPr>
              <w:pStyle w:val="Tabletext1"/>
            </w:pPr>
            <w:r w:rsidRPr="00B11790">
              <w:t>A higher number of patients move to the FEV</w:t>
            </w:r>
            <w:r w:rsidRPr="00B11790">
              <w:rPr>
                <w:vertAlign w:val="subscript"/>
              </w:rPr>
              <w:t>1</w:t>
            </w:r>
            <w:r w:rsidRPr="00B11790">
              <w:t>&lt;50 decline states on the BSC arm in RAPID. Movement during the trial period drives economic results. Allowing transition between no, slow and rapid tracks after 4 years has limited impact on the estimated ICER.</w:t>
            </w:r>
          </w:p>
        </w:tc>
      </w:tr>
      <w:tr w:rsidR="00CD067A" w:rsidRPr="00B11790" w14:paraId="020C91C6" w14:textId="77777777" w:rsidTr="003E6D62">
        <w:tc>
          <w:tcPr>
            <w:tcW w:w="861" w:type="pct"/>
          </w:tcPr>
          <w:p w14:paraId="272A91A7" w14:textId="77777777" w:rsidR="00CD067A" w:rsidRPr="00B11790" w:rsidRDefault="00CD067A" w:rsidP="00CD067A">
            <w:pPr>
              <w:pStyle w:val="Tabletext1"/>
            </w:pPr>
            <w:r w:rsidRPr="00B11790">
              <w:t>Selection of extrapolation model for the FEV</w:t>
            </w:r>
            <w:r w:rsidRPr="00B11790">
              <w:rPr>
                <w:vertAlign w:val="subscript"/>
              </w:rPr>
              <w:t>1</w:t>
            </w:r>
            <w:r w:rsidRPr="00B11790">
              <w:t>&lt;50 rapid-decline group survival</w:t>
            </w:r>
          </w:p>
        </w:tc>
        <w:tc>
          <w:tcPr>
            <w:tcW w:w="2170" w:type="pct"/>
          </w:tcPr>
          <w:p w14:paraId="272269FE" w14:textId="77777777" w:rsidR="00CD067A" w:rsidRPr="00B11790" w:rsidRDefault="00CD067A" w:rsidP="00CD067A">
            <w:pPr>
              <w:pStyle w:val="Tabletext1"/>
            </w:pPr>
            <w:r w:rsidRPr="00B11790">
              <w:t xml:space="preserve">In most </w:t>
            </w:r>
            <w:proofErr w:type="gramStart"/>
            <w:r w:rsidRPr="00B11790">
              <w:t>cases</w:t>
            </w:r>
            <w:proofErr w:type="gramEnd"/>
            <w:r w:rsidRPr="00B11790">
              <w:t xml:space="preserve"> the </w:t>
            </w:r>
            <w:proofErr w:type="spellStart"/>
            <w:r w:rsidRPr="00B11790">
              <w:t>Gompertz</w:t>
            </w:r>
            <w:proofErr w:type="spellEnd"/>
            <w:r w:rsidRPr="00B11790">
              <w:t xml:space="preserve"> model is the best fit model to extrapolate survival and this model is used across all non-transplant states. The model </w:t>
            </w:r>
            <w:proofErr w:type="gramStart"/>
            <w:r w:rsidRPr="00B11790">
              <w:t>is varied</w:t>
            </w:r>
            <w:proofErr w:type="gramEnd"/>
            <w:r w:rsidRPr="00B11790">
              <w:t xml:space="preserve"> as part of sensitivity analyses that included use of the Log-logistic, Lognormal, Weibull, Exponential and Generalised Gamma specifications. Large numbers of patients transition to this state during the trial period, particularly on the BSC arm. </w:t>
            </w:r>
          </w:p>
        </w:tc>
        <w:tc>
          <w:tcPr>
            <w:tcW w:w="1969" w:type="pct"/>
          </w:tcPr>
          <w:p w14:paraId="6E490332" w14:textId="77777777" w:rsidR="00CD067A" w:rsidRPr="00B11790" w:rsidRDefault="00CD067A" w:rsidP="00CD067A">
            <w:pPr>
              <w:pStyle w:val="Tabletext1"/>
            </w:pPr>
            <w:r w:rsidRPr="00B11790">
              <w:t xml:space="preserve">The specification of the FEV&lt;50 rapid-decline model had the largest impact on the estimated ICER. The use of Lognormal, Generalised Gamma and Weibull models resulted in the ICER being 10% more cost effective, while use of the Exponential model resulted in a 10% decrease in cost effectiveness. </w:t>
            </w:r>
          </w:p>
        </w:tc>
      </w:tr>
      <w:tr w:rsidR="00CD067A" w:rsidRPr="00B11790" w14:paraId="5009793A" w14:textId="77777777" w:rsidTr="003E6D62">
        <w:tc>
          <w:tcPr>
            <w:tcW w:w="861" w:type="pct"/>
          </w:tcPr>
          <w:p w14:paraId="37410F1B" w14:textId="77777777" w:rsidR="00CD067A" w:rsidRPr="00B11790" w:rsidRDefault="00CD067A" w:rsidP="00CD067A">
            <w:pPr>
              <w:pStyle w:val="Tabletext1"/>
            </w:pPr>
            <w:r w:rsidRPr="00B11790">
              <w:t xml:space="preserve">Disease management costs for COPD </w:t>
            </w:r>
          </w:p>
        </w:tc>
        <w:tc>
          <w:tcPr>
            <w:tcW w:w="2170" w:type="pct"/>
          </w:tcPr>
          <w:p w14:paraId="55ED3ECC" w14:textId="77777777" w:rsidR="00CD067A" w:rsidRPr="00B11790" w:rsidRDefault="00CD067A" w:rsidP="00CD067A">
            <w:pPr>
              <w:pStyle w:val="Tabletext1"/>
            </w:pPr>
            <w:r w:rsidRPr="00B11790">
              <w:t xml:space="preserve">Disease management costs in many reviewed COPD economic models were an aggregate of maintenance and acute care costs during </w:t>
            </w:r>
            <w:proofErr w:type="gramStart"/>
            <w:r w:rsidRPr="00B11790">
              <w:t>flare ups</w:t>
            </w:r>
            <w:proofErr w:type="gramEnd"/>
            <w:r w:rsidRPr="00B11790">
              <w:t xml:space="preserve">. The frequency of </w:t>
            </w:r>
            <w:proofErr w:type="gramStart"/>
            <w:r w:rsidRPr="00B11790">
              <w:t>flare ups</w:t>
            </w:r>
            <w:proofErr w:type="gramEnd"/>
            <w:r w:rsidRPr="00B11790">
              <w:t xml:space="preserve"> was not explicitly modelled in this assessment. The Thomas et al. 2014 analysis included acute care proportions for each state. They </w:t>
            </w:r>
            <w:proofErr w:type="gramStart"/>
            <w:r w:rsidRPr="00B11790">
              <w:t>are varied</w:t>
            </w:r>
            <w:proofErr w:type="gramEnd"/>
            <w:r w:rsidRPr="00B11790">
              <w:t xml:space="preserve"> by 20% for each COPD state.</w:t>
            </w:r>
          </w:p>
        </w:tc>
        <w:tc>
          <w:tcPr>
            <w:tcW w:w="1969" w:type="pct"/>
          </w:tcPr>
          <w:p w14:paraId="098F0D9A" w14:textId="77777777" w:rsidR="00CD067A" w:rsidRPr="00B11790" w:rsidRDefault="00CD067A" w:rsidP="00CD067A">
            <w:pPr>
              <w:pStyle w:val="Tabletext1"/>
            </w:pPr>
            <w:r w:rsidRPr="00B11790">
              <w:t xml:space="preserve">This variation has limited impact as economic results </w:t>
            </w:r>
            <w:proofErr w:type="gramStart"/>
            <w:r w:rsidRPr="00B11790">
              <w:t>are governed</w:t>
            </w:r>
            <w:proofErr w:type="gramEnd"/>
            <w:r w:rsidRPr="00B11790">
              <w:t xml:space="preserve"> by AT product costs. The proportion of severe COPD patients who are very severe, assumed to be 74% in the base cases, also varied. Similarly, this scenario had limited impact on the estimated ICER.</w:t>
            </w:r>
          </w:p>
        </w:tc>
      </w:tr>
    </w:tbl>
    <w:p w14:paraId="4346682B" w14:textId="72FCBF04" w:rsidR="00CD067A" w:rsidRDefault="00CD067A" w:rsidP="00E71F4B">
      <w:pPr>
        <w:pStyle w:val="Tablenotes"/>
      </w:pPr>
      <w:r w:rsidRPr="00B11790">
        <w:rPr>
          <w:b/>
        </w:rPr>
        <w:t>Abbreviations</w:t>
      </w:r>
      <w:r w:rsidRPr="00B11790">
        <w:t xml:space="preserve">: </w:t>
      </w:r>
      <w:r w:rsidRPr="00B11790">
        <w:rPr>
          <w:b/>
        </w:rPr>
        <w:t xml:space="preserve">BSC </w:t>
      </w:r>
      <w:r w:rsidRPr="00B11790">
        <w:t xml:space="preserve">= best supportive care, </w:t>
      </w:r>
      <w:r w:rsidRPr="00B11790">
        <w:rPr>
          <w:b/>
        </w:rPr>
        <w:t>COPD</w:t>
      </w:r>
      <w:r w:rsidRPr="00B11790">
        <w:t xml:space="preserve"> = chronic obstructive pulmonary disease, </w:t>
      </w:r>
      <w:r w:rsidRPr="00B11790">
        <w:rPr>
          <w:b/>
        </w:rPr>
        <w:t>CT</w:t>
      </w:r>
      <w:r w:rsidRPr="00B11790">
        <w:t xml:space="preserve"> = computed tomography, </w:t>
      </w:r>
      <w:r w:rsidRPr="00B11790">
        <w:rPr>
          <w:b/>
        </w:rPr>
        <w:t>FEV</w:t>
      </w:r>
      <w:r w:rsidRPr="00B11790">
        <w:rPr>
          <w:b/>
          <w:vertAlign w:val="subscript"/>
        </w:rPr>
        <w:t>1</w:t>
      </w:r>
      <w:r w:rsidRPr="00B11790">
        <w:rPr>
          <w:b/>
        </w:rPr>
        <w:t xml:space="preserve"> </w:t>
      </w:r>
      <w:r w:rsidRPr="00B11790">
        <w:t>= forced expiratory volume in 1 second,</w:t>
      </w:r>
      <w:r w:rsidRPr="00B11790">
        <w:rPr>
          <w:b/>
        </w:rPr>
        <w:t xml:space="preserve"> ICER</w:t>
      </w:r>
      <w:r w:rsidRPr="00B11790">
        <w:t xml:space="preserve"> = incremental cost </w:t>
      </w:r>
      <w:r w:rsidRPr="00DE61AE">
        <w:t>effectiveness ratio.</w:t>
      </w:r>
    </w:p>
    <w:p w14:paraId="7F170A3E" w14:textId="77777777" w:rsidR="00BC1364" w:rsidRPr="00F715D1" w:rsidRDefault="00BC1364" w:rsidP="00F715D1">
      <w:pPr>
        <w:pStyle w:val="Heading1"/>
      </w:pPr>
      <w:r w:rsidRPr="00F715D1">
        <w:t>Financial/budgetary impacts</w:t>
      </w:r>
    </w:p>
    <w:p w14:paraId="7F86120B" w14:textId="78381277" w:rsidR="00CD067A" w:rsidRDefault="00CD067A" w:rsidP="00687B5B">
      <w:pPr>
        <w:spacing w:after="240"/>
      </w:pPr>
      <w:r w:rsidRPr="00CD067A">
        <w:t xml:space="preserve">The financial impact of the potential listing of </w:t>
      </w:r>
      <w:r w:rsidR="00761C75">
        <w:t>A1-PI</w:t>
      </w:r>
      <w:r w:rsidRPr="00CD067A">
        <w:t xml:space="preserve"> </w:t>
      </w:r>
      <w:r w:rsidR="00141133">
        <w:t>augmentation therapy</w:t>
      </w:r>
      <w:r w:rsidRPr="00CD067A">
        <w:t xml:space="preserve"> </w:t>
      </w:r>
      <w:proofErr w:type="gramStart"/>
      <w:r w:rsidRPr="00CD067A">
        <w:t>is calculated</w:t>
      </w:r>
      <w:proofErr w:type="gramEnd"/>
      <w:r w:rsidRPr="00CD067A">
        <w:t xml:space="preserve"> using an epidemiological approach over a </w:t>
      </w:r>
      <w:r w:rsidR="0004610A">
        <w:t>five</w:t>
      </w:r>
      <w:r w:rsidRPr="00CD067A">
        <w:t>-year period, based on an estimate of the number of patients eligible for treatment.</w:t>
      </w:r>
    </w:p>
    <w:p w14:paraId="7F515AD9" w14:textId="77777777" w:rsidR="0004610A" w:rsidRPr="00B11790" w:rsidRDefault="00CD067A" w:rsidP="0004610A">
      <w:pPr>
        <w:pStyle w:val="Caption"/>
      </w:pPr>
      <w:bookmarkStart w:id="136" w:name="_Ref395200179"/>
      <w:bookmarkStart w:id="137" w:name="_Toc492753470"/>
      <w:bookmarkStart w:id="138" w:name="_Toc521422874"/>
      <w:bookmarkStart w:id="139" w:name="_Toc521509119"/>
      <w:bookmarkStart w:id="140" w:name="_Toc521571169"/>
      <w:bookmarkStart w:id="141" w:name="_Toc521577059"/>
      <w:bookmarkStart w:id="142" w:name="_Toc521592244"/>
      <w:bookmarkStart w:id="143" w:name="_Toc521593579"/>
      <w:bookmarkStart w:id="144" w:name="_Toc521596735"/>
      <w:bookmarkStart w:id="145" w:name="_Toc521595015"/>
      <w:bookmarkStart w:id="146" w:name="_Toc522004758"/>
      <w:bookmarkStart w:id="147" w:name="_Toc522011946"/>
      <w:bookmarkStart w:id="148" w:name="_Toc522023084"/>
      <w:bookmarkStart w:id="149" w:name="_Toc522027580"/>
      <w:bookmarkStart w:id="150" w:name="_Toc522029261"/>
      <w:bookmarkStart w:id="151" w:name="_Toc523300961"/>
      <w:bookmarkStart w:id="152" w:name="_Toc523301491"/>
      <w:bookmarkStart w:id="153" w:name="_Toc523304043"/>
      <w:bookmarkStart w:id="154" w:name="_Toc523393149"/>
      <w:bookmarkStart w:id="155" w:name="_Toc523404125"/>
      <w:r w:rsidRPr="00B11790">
        <w:t xml:space="preserve">Table </w:t>
      </w:r>
      <w:r w:rsidR="00E71F4B">
        <w:rPr>
          <w:noProof/>
        </w:rPr>
        <w:fldChar w:fldCharType="begin"/>
      </w:r>
      <w:r w:rsidR="00E71F4B">
        <w:rPr>
          <w:noProof/>
        </w:rPr>
        <w:instrText xml:space="preserve"> SEQ Table \* ARABIC </w:instrText>
      </w:r>
      <w:r w:rsidR="00E71F4B">
        <w:rPr>
          <w:noProof/>
        </w:rPr>
        <w:fldChar w:fldCharType="separate"/>
      </w:r>
      <w:r>
        <w:rPr>
          <w:noProof/>
        </w:rPr>
        <w:t>6</w:t>
      </w:r>
      <w:r w:rsidR="00E71F4B">
        <w:rPr>
          <w:noProof/>
        </w:rPr>
        <w:fldChar w:fldCharType="end"/>
      </w:r>
      <w:bookmarkEnd w:id="136"/>
      <w:r w:rsidRPr="00B11790">
        <w:tab/>
      </w:r>
      <w:r w:rsidR="0004610A" w:rsidRPr="00B11790">
        <w:t>Estimated financial impact to government from augmentation therapy listing</w:t>
      </w:r>
    </w:p>
    <w:tbl>
      <w:tblPr>
        <w:tblStyle w:val="TableGrid"/>
        <w:tblW w:w="5000" w:type="pct"/>
        <w:tblLook w:val="04A0" w:firstRow="1" w:lastRow="0" w:firstColumn="1" w:lastColumn="0" w:noHBand="0" w:noVBand="1"/>
        <w:tblDescription w:val="Summary of the estimated financial impact to government"/>
      </w:tblPr>
      <w:tblGrid>
        <w:gridCol w:w="3143"/>
        <w:gridCol w:w="1174"/>
        <w:gridCol w:w="1174"/>
        <w:gridCol w:w="1175"/>
        <w:gridCol w:w="1175"/>
        <w:gridCol w:w="1175"/>
      </w:tblGrid>
      <w:tr w:rsidR="006C1541" w:rsidRPr="00B11790" w14:paraId="1C9A33D9" w14:textId="77777777" w:rsidTr="003E6D62">
        <w:trPr>
          <w:trHeight w:val="255"/>
          <w:tblHeader/>
        </w:trPr>
        <w:tc>
          <w:tcPr>
            <w:tcW w:w="1689" w:type="pct"/>
            <w:noWrap/>
          </w:tcPr>
          <w:p w14:paraId="6F17299F" w14:textId="77777777" w:rsidR="0004610A" w:rsidRPr="00B11790" w:rsidRDefault="0004610A" w:rsidP="00AD3B85">
            <w:pPr>
              <w:pStyle w:val="TableHeading"/>
            </w:pPr>
          </w:p>
        </w:tc>
        <w:tc>
          <w:tcPr>
            <w:tcW w:w="662" w:type="pct"/>
            <w:noWrap/>
          </w:tcPr>
          <w:p w14:paraId="66A49D17" w14:textId="77777777" w:rsidR="0004610A" w:rsidRPr="00B11790" w:rsidRDefault="0004610A" w:rsidP="0004610A">
            <w:pPr>
              <w:pStyle w:val="TableHeading"/>
              <w:jc w:val="center"/>
            </w:pPr>
            <w:r w:rsidRPr="00B11790">
              <w:t>2019</w:t>
            </w:r>
          </w:p>
        </w:tc>
        <w:tc>
          <w:tcPr>
            <w:tcW w:w="662" w:type="pct"/>
            <w:noWrap/>
          </w:tcPr>
          <w:p w14:paraId="542B5D96" w14:textId="77777777" w:rsidR="0004610A" w:rsidRPr="00B11790" w:rsidRDefault="0004610A" w:rsidP="0004610A">
            <w:pPr>
              <w:pStyle w:val="TableHeading"/>
              <w:jc w:val="center"/>
            </w:pPr>
            <w:r w:rsidRPr="00B11790">
              <w:t>2020</w:t>
            </w:r>
          </w:p>
        </w:tc>
        <w:tc>
          <w:tcPr>
            <w:tcW w:w="662" w:type="pct"/>
            <w:noWrap/>
          </w:tcPr>
          <w:p w14:paraId="1EB2225B" w14:textId="77777777" w:rsidR="0004610A" w:rsidRPr="00B11790" w:rsidRDefault="0004610A" w:rsidP="0004610A">
            <w:pPr>
              <w:pStyle w:val="TableHeading"/>
              <w:jc w:val="center"/>
            </w:pPr>
            <w:r w:rsidRPr="00B11790">
              <w:t>2021</w:t>
            </w:r>
          </w:p>
        </w:tc>
        <w:tc>
          <w:tcPr>
            <w:tcW w:w="662" w:type="pct"/>
            <w:noWrap/>
          </w:tcPr>
          <w:p w14:paraId="32DCAEE3" w14:textId="77777777" w:rsidR="0004610A" w:rsidRPr="00B11790" w:rsidRDefault="0004610A" w:rsidP="0004610A">
            <w:pPr>
              <w:pStyle w:val="TableHeading"/>
              <w:jc w:val="center"/>
            </w:pPr>
            <w:r w:rsidRPr="00B11790">
              <w:t>2022</w:t>
            </w:r>
          </w:p>
        </w:tc>
        <w:tc>
          <w:tcPr>
            <w:tcW w:w="662" w:type="pct"/>
            <w:noWrap/>
          </w:tcPr>
          <w:p w14:paraId="572E0C49" w14:textId="77777777" w:rsidR="0004610A" w:rsidRPr="00B11790" w:rsidRDefault="0004610A" w:rsidP="0004610A">
            <w:pPr>
              <w:pStyle w:val="TableHeading"/>
              <w:jc w:val="center"/>
            </w:pPr>
            <w:r w:rsidRPr="00B11790">
              <w:t>2023</w:t>
            </w:r>
          </w:p>
        </w:tc>
      </w:tr>
      <w:tr w:rsidR="006C1541" w:rsidRPr="00B11790" w14:paraId="75714D1C" w14:textId="77777777" w:rsidTr="003E6D62">
        <w:trPr>
          <w:trHeight w:val="255"/>
        </w:trPr>
        <w:tc>
          <w:tcPr>
            <w:tcW w:w="1689" w:type="pct"/>
            <w:noWrap/>
            <w:hideMark/>
          </w:tcPr>
          <w:p w14:paraId="62C3D1D0" w14:textId="77777777" w:rsidR="0004610A" w:rsidRPr="00B11790" w:rsidRDefault="0004610A" w:rsidP="00AD3B85">
            <w:pPr>
              <w:pStyle w:val="TableHeading"/>
              <w:rPr>
                <w:b w:val="0"/>
                <w:color w:val="000000"/>
              </w:rPr>
            </w:pPr>
            <w:r w:rsidRPr="00B11790">
              <w:t>Total government costs</w:t>
            </w:r>
          </w:p>
        </w:tc>
        <w:tc>
          <w:tcPr>
            <w:tcW w:w="662" w:type="pct"/>
            <w:noWrap/>
          </w:tcPr>
          <w:p w14:paraId="0D550B6E" w14:textId="77777777" w:rsidR="0004610A" w:rsidRPr="00B11790" w:rsidRDefault="0004610A" w:rsidP="0004610A">
            <w:pPr>
              <w:pStyle w:val="TableHeading"/>
              <w:jc w:val="center"/>
              <w:rPr>
                <w:b w:val="0"/>
                <w:color w:val="000000"/>
              </w:rPr>
            </w:pPr>
          </w:p>
        </w:tc>
        <w:tc>
          <w:tcPr>
            <w:tcW w:w="662" w:type="pct"/>
            <w:noWrap/>
          </w:tcPr>
          <w:p w14:paraId="12A43FE6" w14:textId="77777777" w:rsidR="0004610A" w:rsidRPr="00B11790" w:rsidRDefault="0004610A" w:rsidP="0004610A">
            <w:pPr>
              <w:pStyle w:val="TableHeading"/>
              <w:jc w:val="center"/>
              <w:rPr>
                <w:b w:val="0"/>
                <w:color w:val="000000"/>
              </w:rPr>
            </w:pPr>
          </w:p>
        </w:tc>
        <w:tc>
          <w:tcPr>
            <w:tcW w:w="662" w:type="pct"/>
            <w:noWrap/>
          </w:tcPr>
          <w:p w14:paraId="4234123A" w14:textId="77777777" w:rsidR="0004610A" w:rsidRPr="00B11790" w:rsidRDefault="0004610A" w:rsidP="0004610A">
            <w:pPr>
              <w:pStyle w:val="TableHeading"/>
              <w:jc w:val="center"/>
              <w:rPr>
                <w:b w:val="0"/>
                <w:color w:val="000000"/>
              </w:rPr>
            </w:pPr>
          </w:p>
        </w:tc>
        <w:tc>
          <w:tcPr>
            <w:tcW w:w="662" w:type="pct"/>
            <w:noWrap/>
          </w:tcPr>
          <w:p w14:paraId="62AC1356" w14:textId="77777777" w:rsidR="0004610A" w:rsidRPr="00B11790" w:rsidRDefault="0004610A" w:rsidP="0004610A">
            <w:pPr>
              <w:pStyle w:val="TableHeading"/>
              <w:jc w:val="center"/>
              <w:rPr>
                <w:b w:val="0"/>
                <w:color w:val="000000"/>
              </w:rPr>
            </w:pPr>
          </w:p>
        </w:tc>
        <w:tc>
          <w:tcPr>
            <w:tcW w:w="662" w:type="pct"/>
            <w:noWrap/>
          </w:tcPr>
          <w:p w14:paraId="7E6EA307" w14:textId="77777777" w:rsidR="0004610A" w:rsidRPr="00B11790" w:rsidRDefault="0004610A" w:rsidP="0004610A">
            <w:pPr>
              <w:pStyle w:val="TableHeading"/>
              <w:jc w:val="center"/>
              <w:rPr>
                <w:b w:val="0"/>
                <w:color w:val="000000"/>
              </w:rPr>
            </w:pPr>
          </w:p>
        </w:tc>
      </w:tr>
      <w:tr w:rsidR="006C1541" w:rsidRPr="00B11790" w14:paraId="55B05F5E" w14:textId="77777777" w:rsidTr="003E6D62">
        <w:trPr>
          <w:trHeight w:val="255"/>
        </w:trPr>
        <w:tc>
          <w:tcPr>
            <w:tcW w:w="1689" w:type="pct"/>
            <w:noWrap/>
            <w:hideMark/>
          </w:tcPr>
          <w:p w14:paraId="16A817E5" w14:textId="77777777" w:rsidR="0004610A" w:rsidRPr="00B11790" w:rsidRDefault="0004610A" w:rsidP="00AD3B85">
            <w:pPr>
              <w:pStyle w:val="TableText0"/>
              <w:rPr>
                <w:color w:val="000000"/>
              </w:rPr>
            </w:pPr>
            <w:r w:rsidRPr="00B11790">
              <w:t>AT patients</w:t>
            </w:r>
          </w:p>
        </w:tc>
        <w:tc>
          <w:tcPr>
            <w:tcW w:w="662" w:type="pct"/>
            <w:noWrap/>
            <w:hideMark/>
          </w:tcPr>
          <w:p w14:paraId="49A9753F" w14:textId="2E516EDD" w:rsidR="0004610A" w:rsidRPr="00B11790" w:rsidRDefault="008E4931" w:rsidP="0004610A">
            <w:pPr>
              <w:pStyle w:val="TableText0"/>
              <w:jc w:val="center"/>
              <w:rPr>
                <w:color w:val="000000"/>
              </w:rPr>
            </w:pPr>
            <w:r w:rsidRPr="008E4931">
              <w:rPr>
                <w:b/>
              </w:rPr>
              <w:t>Redacted</w:t>
            </w:r>
          </w:p>
        </w:tc>
        <w:tc>
          <w:tcPr>
            <w:tcW w:w="662" w:type="pct"/>
            <w:noWrap/>
            <w:hideMark/>
          </w:tcPr>
          <w:p w14:paraId="0503CF8D" w14:textId="0516F146" w:rsidR="0004610A" w:rsidRPr="00B11790" w:rsidRDefault="008E4931" w:rsidP="0004610A">
            <w:pPr>
              <w:pStyle w:val="TableText0"/>
              <w:jc w:val="center"/>
              <w:rPr>
                <w:color w:val="000000"/>
              </w:rPr>
            </w:pPr>
            <w:r w:rsidRPr="008E4931">
              <w:rPr>
                <w:b/>
              </w:rPr>
              <w:t>Redacted</w:t>
            </w:r>
          </w:p>
        </w:tc>
        <w:tc>
          <w:tcPr>
            <w:tcW w:w="662" w:type="pct"/>
            <w:noWrap/>
            <w:hideMark/>
          </w:tcPr>
          <w:p w14:paraId="7E3E09A5" w14:textId="5C32CDDD" w:rsidR="0004610A" w:rsidRPr="00B11790" w:rsidRDefault="008E4931" w:rsidP="0004610A">
            <w:pPr>
              <w:pStyle w:val="TableText0"/>
              <w:jc w:val="center"/>
              <w:rPr>
                <w:color w:val="000000"/>
              </w:rPr>
            </w:pPr>
            <w:r w:rsidRPr="008E4931">
              <w:rPr>
                <w:b/>
              </w:rPr>
              <w:t>Redacted</w:t>
            </w:r>
          </w:p>
        </w:tc>
        <w:tc>
          <w:tcPr>
            <w:tcW w:w="662" w:type="pct"/>
            <w:noWrap/>
            <w:hideMark/>
          </w:tcPr>
          <w:p w14:paraId="2D04EC57" w14:textId="24108369" w:rsidR="0004610A" w:rsidRPr="00B11790" w:rsidRDefault="008E4931" w:rsidP="0004610A">
            <w:pPr>
              <w:pStyle w:val="TableText0"/>
              <w:jc w:val="center"/>
              <w:rPr>
                <w:color w:val="000000"/>
              </w:rPr>
            </w:pPr>
            <w:r w:rsidRPr="008E4931">
              <w:rPr>
                <w:b/>
              </w:rPr>
              <w:t>Redacted</w:t>
            </w:r>
          </w:p>
        </w:tc>
        <w:tc>
          <w:tcPr>
            <w:tcW w:w="662" w:type="pct"/>
            <w:noWrap/>
            <w:hideMark/>
          </w:tcPr>
          <w:p w14:paraId="30EB8093" w14:textId="288E0ABE" w:rsidR="0004610A" w:rsidRPr="00B11790" w:rsidRDefault="008E4931" w:rsidP="0004610A">
            <w:pPr>
              <w:pStyle w:val="TableText0"/>
              <w:jc w:val="center"/>
              <w:rPr>
                <w:color w:val="000000"/>
              </w:rPr>
            </w:pPr>
            <w:r w:rsidRPr="008E4931">
              <w:rPr>
                <w:b/>
              </w:rPr>
              <w:t>Redacted</w:t>
            </w:r>
          </w:p>
        </w:tc>
      </w:tr>
      <w:tr w:rsidR="006C1541" w:rsidRPr="00B11790" w14:paraId="07E5465D" w14:textId="77777777" w:rsidTr="003E6D62">
        <w:trPr>
          <w:trHeight w:val="300"/>
        </w:trPr>
        <w:tc>
          <w:tcPr>
            <w:tcW w:w="1689" w:type="pct"/>
            <w:noWrap/>
            <w:hideMark/>
          </w:tcPr>
          <w:p w14:paraId="6A477C6D" w14:textId="77777777" w:rsidR="006746AD" w:rsidRPr="00B11790" w:rsidRDefault="006746AD" w:rsidP="006746AD">
            <w:pPr>
              <w:pStyle w:val="TableText0"/>
              <w:rPr>
                <w:color w:val="000000"/>
              </w:rPr>
            </w:pPr>
            <w:r w:rsidRPr="00B11790">
              <w:t>NBA-supported AT product costs</w:t>
            </w:r>
          </w:p>
        </w:tc>
        <w:tc>
          <w:tcPr>
            <w:tcW w:w="662" w:type="pct"/>
            <w:noWrap/>
            <w:hideMark/>
          </w:tcPr>
          <w:p w14:paraId="537D5549" w14:textId="6C3EEC51" w:rsidR="006746AD" w:rsidRPr="00B11790" w:rsidRDefault="006746AD" w:rsidP="006746AD">
            <w:pPr>
              <w:pStyle w:val="TableText0"/>
              <w:jc w:val="center"/>
              <w:rPr>
                <w:color w:val="000000"/>
              </w:rPr>
            </w:pPr>
            <w:r w:rsidRPr="00970268">
              <w:rPr>
                <w:b/>
              </w:rPr>
              <w:t>Redacted</w:t>
            </w:r>
          </w:p>
        </w:tc>
        <w:tc>
          <w:tcPr>
            <w:tcW w:w="662" w:type="pct"/>
            <w:noWrap/>
            <w:hideMark/>
          </w:tcPr>
          <w:p w14:paraId="0A3DBCBF" w14:textId="44FCE2B3" w:rsidR="006746AD" w:rsidRPr="00B11790" w:rsidRDefault="006746AD" w:rsidP="006746AD">
            <w:pPr>
              <w:pStyle w:val="TableText0"/>
              <w:jc w:val="center"/>
              <w:rPr>
                <w:color w:val="000000"/>
              </w:rPr>
            </w:pPr>
            <w:r w:rsidRPr="00970268">
              <w:rPr>
                <w:b/>
              </w:rPr>
              <w:t>Redacted</w:t>
            </w:r>
          </w:p>
        </w:tc>
        <w:tc>
          <w:tcPr>
            <w:tcW w:w="662" w:type="pct"/>
            <w:noWrap/>
            <w:hideMark/>
          </w:tcPr>
          <w:p w14:paraId="7D7E9C16" w14:textId="3491CFDC" w:rsidR="006746AD" w:rsidRPr="00B11790" w:rsidRDefault="006746AD" w:rsidP="006746AD">
            <w:pPr>
              <w:pStyle w:val="TableText0"/>
              <w:jc w:val="center"/>
              <w:rPr>
                <w:color w:val="000000"/>
              </w:rPr>
            </w:pPr>
            <w:r w:rsidRPr="00970268">
              <w:rPr>
                <w:b/>
              </w:rPr>
              <w:t>Redacted</w:t>
            </w:r>
          </w:p>
        </w:tc>
        <w:tc>
          <w:tcPr>
            <w:tcW w:w="662" w:type="pct"/>
            <w:noWrap/>
            <w:hideMark/>
          </w:tcPr>
          <w:p w14:paraId="7D36FABD" w14:textId="58DFF4CD" w:rsidR="006746AD" w:rsidRPr="00B11790" w:rsidRDefault="006746AD" w:rsidP="006746AD">
            <w:pPr>
              <w:pStyle w:val="TableText0"/>
              <w:jc w:val="center"/>
              <w:rPr>
                <w:color w:val="000000"/>
              </w:rPr>
            </w:pPr>
            <w:r w:rsidRPr="00970268">
              <w:rPr>
                <w:b/>
              </w:rPr>
              <w:t>Redacted</w:t>
            </w:r>
          </w:p>
        </w:tc>
        <w:tc>
          <w:tcPr>
            <w:tcW w:w="662" w:type="pct"/>
            <w:noWrap/>
            <w:hideMark/>
          </w:tcPr>
          <w:p w14:paraId="413E2384" w14:textId="22BF3A0F" w:rsidR="006746AD" w:rsidRPr="00B11790" w:rsidRDefault="006746AD" w:rsidP="006746AD">
            <w:pPr>
              <w:pStyle w:val="TableText0"/>
              <w:jc w:val="center"/>
              <w:rPr>
                <w:color w:val="000000"/>
              </w:rPr>
            </w:pPr>
            <w:r w:rsidRPr="00970268">
              <w:rPr>
                <w:b/>
              </w:rPr>
              <w:t>Redacted</w:t>
            </w:r>
          </w:p>
        </w:tc>
      </w:tr>
      <w:tr w:rsidR="006C1541" w:rsidRPr="00B11790" w14:paraId="021B29C4" w14:textId="77777777" w:rsidTr="003E6D62">
        <w:trPr>
          <w:trHeight w:val="300"/>
        </w:trPr>
        <w:tc>
          <w:tcPr>
            <w:tcW w:w="1689" w:type="pct"/>
            <w:noWrap/>
            <w:hideMark/>
          </w:tcPr>
          <w:p w14:paraId="01C9153C" w14:textId="77777777" w:rsidR="006746AD" w:rsidRPr="00B11790" w:rsidRDefault="006746AD" w:rsidP="006746AD">
            <w:pPr>
              <w:pStyle w:val="TableText0"/>
              <w:rPr>
                <w:color w:val="000000"/>
              </w:rPr>
            </w:pPr>
            <w:r w:rsidRPr="00B11790">
              <w:t>MBS-supported infusion service delivery</w:t>
            </w:r>
          </w:p>
        </w:tc>
        <w:tc>
          <w:tcPr>
            <w:tcW w:w="662" w:type="pct"/>
            <w:noWrap/>
            <w:hideMark/>
          </w:tcPr>
          <w:p w14:paraId="1A406229" w14:textId="1D232645" w:rsidR="006746AD" w:rsidRPr="00B11790" w:rsidRDefault="006746AD" w:rsidP="006746AD">
            <w:pPr>
              <w:pStyle w:val="TableText0"/>
              <w:jc w:val="center"/>
              <w:rPr>
                <w:color w:val="000000"/>
              </w:rPr>
            </w:pPr>
            <w:r w:rsidRPr="00970268">
              <w:rPr>
                <w:b/>
              </w:rPr>
              <w:t>Redacted</w:t>
            </w:r>
          </w:p>
        </w:tc>
        <w:tc>
          <w:tcPr>
            <w:tcW w:w="662" w:type="pct"/>
            <w:noWrap/>
            <w:hideMark/>
          </w:tcPr>
          <w:p w14:paraId="33027DB0" w14:textId="687FF038" w:rsidR="006746AD" w:rsidRPr="00B11790" w:rsidRDefault="006746AD" w:rsidP="006746AD">
            <w:pPr>
              <w:pStyle w:val="TableText0"/>
              <w:jc w:val="center"/>
              <w:rPr>
                <w:color w:val="000000"/>
              </w:rPr>
            </w:pPr>
            <w:r w:rsidRPr="00970268">
              <w:rPr>
                <w:b/>
              </w:rPr>
              <w:t>Redacted</w:t>
            </w:r>
          </w:p>
        </w:tc>
        <w:tc>
          <w:tcPr>
            <w:tcW w:w="662" w:type="pct"/>
            <w:noWrap/>
            <w:hideMark/>
          </w:tcPr>
          <w:p w14:paraId="019C9BAA" w14:textId="0F2F754E" w:rsidR="006746AD" w:rsidRPr="00B11790" w:rsidRDefault="006746AD" w:rsidP="006746AD">
            <w:pPr>
              <w:pStyle w:val="TableText0"/>
              <w:jc w:val="center"/>
              <w:rPr>
                <w:color w:val="000000"/>
              </w:rPr>
            </w:pPr>
            <w:r w:rsidRPr="00970268">
              <w:rPr>
                <w:b/>
              </w:rPr>
              <w:t>Redacted</w:t>
            </w:r>
          </w:p>
        </w:tc>
        <w:tc>
          <w:tcPr>
            <w:tcW w:w="662" w:type="pct"/>
            <w:noWrap/>
            <w:hideMark/>
          </w:tcPr>
          <w:p w14:paraId="700C6A40" w14:textId="2AB3E676" w:rsidR="006746AD" w:rsidRPr="00B11790" w:rsidRDefault="006746AD" w:rsidP="006746AD">
            <w:pPr>
              <w:pStyle w:val="TableText0"/>
              <w:jc w:val="center"/>
              <w:rPr>
                <w:color w:val="000000"/>
              </w:rPr>
            </w:pPr>
            <w:r w:rsidRPr="00970268">
              <w:rPr>
                <w:b/>
              </w:rPr>
              <w:t>Redacted</w:t>
            </w:r>
          </w:p>
        </w:tc>
        <w:tc>
          <w:tcPr>
            <w:tcW w:w="662" w:type="pct"/>
            <w:noWrap/>
            <w:hideMark/>
          </w:tcPr>
          <w:p w14:paraId="2754FA83" w14:textId="529D0E63" w:rsidR="006746AD" w:rsidRPr="00B11790" w:rsidRDefault="006746AD" w:rsidP="006746AD">
            <w:pPr>
              <w:pStyle w:val="TableText0"/>
              <w:jc w:val="center"/>
              <w:rPr>
                <w:color w:val="000000"/>
              </w:rPr>
            </w:pPr>
            <w:r w:rsidRPr="00970268">
              <w:rPr>
                <w:b/>
              </w:rPr>
              <w:t>Redacted</w:t>
            </w:r>
          </w:p>
        </w:tc>
      </w:tr>
      <w:tr w:rsidR="006C1541" w:rsidRPr="00B11790" w14:paraId="29CF3851" w14:textId="77777777" w:rsidTr="003E6D62">
        <w:trPr>
          <w:trHeight w:val="255"/>
        </w:trPr>
        <w:tc>
          <w:tcPr>
            <w:tcW w:w="1689" w:type="pct"/>
            <w:noWrap/>
            <w:hideMark/>
          </w:tcPr>
          <w:p w14:paraId="671E0431" w14:textId="1A9266C5" w:rsidR="0004610A" w:rsidRPr="00B11790" w:rsidRDefault="0004610A" w:rsidP="00AD3B85">
            <w:pPr>
              <w:pStyle w:val="TableText0"/>
              <w:rPr>
                <w:b/>
                <w:color w:val="000000"/>
              </w:rPr>
            </w:pPr>
            <w:r w:rsidRPr="00B11790">
              <w:rPr>
                <w:b/>
                <w:bCs/>
              </w:rPr>
              <w:t xml:space="preserve">Total </w:t>
            </w:r>
            <w:r>
              <w:rPr>
                <w:b/>
                <w:bCs/>
              </w:rPr>
              <w:t xml:space="preserve">net </w:t>
            </w:r>
            <w:r w:rsidRPr="00B11790">
              <w:rPr>
                <w:b/>
                <w:bCs/>
              </w:rPr>
              <w:t xml:space="preserve">costs to </w:t>
            </w:r>
            <w:r w:rsidRPr="00B11790">
              <w:rPr>
                <w:b/>
                <w:color w:val="000000"/>
              </w:rPr>
              <w:t>government</w:t>
            </w:r>
            <w:r>
              <w:rPr>
                <w:b/>
                <w:color w:val="000000"/>
              </w:rPr>
              <w:t>s</w:t>
            </w:r>
          </w:p>
        </w:tc>
        <w:tc>
          <w:tcPr>
            <w:tcW w:w="662" w:type="pct"/>
            <w:noWrap/>
            <w:hideMark/>
          </w:tcPr>
          <w:p w14:paraId="0593AA4B" w14:textId="4544ADF4" w:rsidR="0004610A" w:rsidRPr="00B11790" w:rsidRDefault="006C1541" w:rsidP="0004610A">
            <w:pPr>
              <w:pStyle w:val="TableText0"/>
              <w:jc w:val="center"/>
              <w:rPr>
                <w:b/>
                <w:color w:val="000000"/>
              </w:rPr>
            </w:pPr>
            <w:r>
              <w:rPr>
                <w:rFonts w:cs="Calibri"/>
                <w:b/>
                <w:bCs/>
                <w:color w:val="000000"/>
                <w:szCs w:val="20"/>
              </w:rPr>
              <w:t xml:space="preserve"> Redacted</w:t>
            </w:r>
          </w:p>
        </w:tc>
        <w:tc>
          <w:tcPr>
            <w:tcW w:w="662" w:type="pct"/>
            <w:noWrap/>
            <w:hideMark/>
          </w:tcPr>
          <w:p w14:paraId="0CF8A53D" w14:textId="69F6A6A8" w:rsidR="0004610A" w:rsidRPr="00B11790" w:rsidRDefault="006C1541" w:rsidP="0004610A">
            <w:pPr>
              <w:pStyle w:val="TableText0"/>
              <w:jc w:val="center"/>
              <w:rPr>
                <w:b/>
                <w:color w:val="000000"/>
              </w:rPr>
            </w:pPr>
            <w:r>
              <w:rPr>
                <w:rFonts w:cs="Calibri"/>
                <w:b/>
                <w:bCs/>
                <w:color w:val="000000"/>
                <w:szCs w:val="20"/>
              </w:rPr>
              <w:t xml:space="preserve"> Redacted</w:t>
            </w:r>
          </w:p>
        </w:tc>
        <w:tc>
          <w:tcPr>
            <w:tcW w:w="662" w:type="pct"/>
            <w:noWrap/>
            <w:hideMark/>
          </w:tcPr>
          <w:p w14:paraId="39E7CC29" w14:textId="6333EE96" w:rsidR="0004610A" w:rsidRPr="00B11790" w:rsidRDefault="006C1541" w:rsidP="0004610A">
            <w:pPr>
              <w:pStyle w:val="TableText0"/>
              <w:jc w:val="center"/>
              <w:rPr>
                <w:b/>
                <w:color w:val="000000"/>
              </w:rPr>
            </w:pPr>
            <w:r>
              <w:rPr>
                <w:rFonts w:cs="Calibri"/>
                <w:b/>
                <w:bCs/>
                <w:color w:val="000000"/>
                <w:szCs w:val="20"/>
              </w:rPr>
              <w:t xml:space="preserve"> Redacted</w:t>
            </w:r>
          </w:p>
        </w:tc>
        <w:tc>
          <w:tcPr>
            <w:tcW w:w="662" w:type="pct"/>
            <w:noWrap/>
            <w:hideMark/>
          </w:tcPr>
          <w:p w14:paraId="0C9000D0" w14:textId="26D2255E" w:rsidR="0004610A" w:rsidRPr="00B11790" w:rsidRDefault="006C1541" w:rsidP="0004610A">
            <w:pPr>
              <w:pStyle w:val="TableText0"/>
              <w:jc w:val="center"/>
              <w:rPr>
                <w:b/>
                <w:color w:val="000000"/>
              </w:rPr>
            </w:pPr>
            <w:r>
              <w:rPr>
                <w:rFonts w:cs="Calibri"/>
                <w:b/>
                <w:bCs/>
                <w:color w:val="000000"/>
                <w:szCs w:val="20"/>
              </w:rPr>
              <w:t xml:space="preserve"> Redacted</w:t>
            </w:r>
          </w:p>
        </w:tc>
        <w:tc>
          <w:tcPr>
            <w:tcW w:w="662" w:type="pct"/>
            <w:noWrap/>
            <w:hideMark/>
          </w:tcPr>
          <w:p w14:paraId="0B7BDCB8" w14:textId="5332571A" w:rsidR="0004610A" w:rsidRPr="00B11790" w:rsidRDefault="006C1541" w:rsidP="0004610A">
            <w:pPr>
              <w:pStyle w:val="TableText0"/>
              <w:jc w:val="center"/>
              <w:rPr>
                <w:b/>
                <w:color w:val="000000"/>
              </w:rPr>
            </w:pPr>
            <w:r>
              <w:rPr>
                <w:rFonts w:cs="Calibri"/>
                <w:b/>
                <w:bCs/>
                <w:color w:val="000000"/>
                <w:szCs w:val="20"/>
              </w:rPr>
              <w:t xml:space="preserve"> Redacted</w:t>
            </w:r>
          </w:p>
        </w:tc>
      </w:tr>
    </w:tbl>
    <w:p w14:paraId="6E76CB2B" w14:textId="159CEFD1" w:rsidR="00E339EF" w:rsidRPr="00687B5B" w:rsidRDefault="0004610A" w:rsidP="00687B5B">
      <w:pPr>
        <w:pStyle w:val="Tablenotes"/>
        <w:spacing w:after="240"/>
        <w:rPr>
          <w:szCs w:val="18"/>
        </w:rPr>
      </w:pPr>
      <w:r w:rsidRPr="00B11790">
        <w:rPr>
          <w:b/>
          <w:szCs w:val="18"/>
        </w:rPr>
        <w:t>Abbreviations</w:t>
      </w:r>
      <w:r w:rsidRPr="00B11790">
        <w:rPr>
          <w:szCs w:val="18"/>
        </w:rPr>
        <w:t>:</w:t>
      </w:r>
      <w:r w:rsidRPr="00B11790">
        <w:t xml:space="preserve"> </w:t>
      </w:r>
      <w:r w:rsidRPr="00B11790">
        <w:rPr>
          <w:b/>
        </w:rPr>
        <w:t>AT</w:t>
      </w:r>
      <w:r w:rsidRPr="00B11790">
        <w:t xml:space="preserve"> = augmentation therapy, </w:t>
      </w:r>
      <w:r w:rsidRPr="00B11790">
        <w:rPr>
          <w:b/>
        </w:rPr>
        <w:t>MBS</w:t>
      </w:r>
      <w:r w:rsidRPr="00B11790">
        <w:t xml:space="preserve"> = Medical Benefit Schedule, </w:t>
      </w:r>
      <w:r w:rsidRPr="00B11790">
        <w:rPr>
          <w:b/>
        </w:rPr>
        <w:t>NBA</w:t>
      </w:r>
      <w:r w:rsidRPr="00B11790">
        <w:t xml:space="preserve"> = </w:t>
      </w:r>
      <w:r>
        <w:t>N</w:t>
      </w:r>
      <w:r w:rsidRPr="00B11790">
        <w:t xml:space="preserve">ational </w:t>
      </w:r>
      <w:r>
        <w:t>B</w:t>
      </w:r>
      <w:r w:rsidRPr="00B11790">
        <w:t xml:space="preserve">lood </w:t>
      </w:r>
      <w:r>
        <w:t>A</w:t>
      </w:r>
      <w:r w:rsidRPr="00B11790">
        <w:t>uthority.</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09E604C" w14:textId="7DA5013E" w:rsidR="00CD067A" w:rsidRPr="00DA1268" w:rsidRDefault="00CD067A" w:rsidP="00141133">
      <w:pPr>
        <w:pStyle w:val="BodyTextSTD"/>
        <w:spacing w:after="120" w:line="240" w:lineRule="auto"/>
        <w:jc w:val="left"/>
        <w:rPr>
          <w:rFonts w:ascii="Times New Roman" w:hAnsi="Times New Roman" w:cs="Times New Roman"/>
          <w:sz w:val="24"/>
          <w:szCs w:val="24"/>
        </w:rPr>
      </w:pPr>
      <w:r w:rsidRPr="00141133">
        <w:rPr>
          <w:rFonts w:ascii="Times New Roman" w:hAnsi="Times New Roman" w:cs="Times New Roman"/>
          <w:sz w:val="24"/>
          <w:szCs w:val="24"/>
        </w:rPr>
        <w:t xml:space="preserve">A key uncertainty is the price of </w:t>
      </w:r>
      <w:r w:rsidR="00141133" w:rsidRPr="00141133">
        <w:rPr>
          <w:rFonts w:ascii="Times New Roman" w:hAnsi="Times New Roman" w:cs="Times New Roman"/>
          <w:sz w:val="24"/>
          <w:szCs w:val="24"/>
        </w:rPr>
        <w:t>augmentation therapy</w:t>
      </w:r>
      <w:r w:rsidRPr="00141133">
        <w:rPr>
          <w:rFonts w:ascii="Times New Roman" w:hAnsi="Times New Roman" w:cs="Times New Roman"/>
          <w:sz w:val="24"/>
          <w:szCs w:val="24"/>
        </w:rPr>
        <w:t xml:space="preserve">. Variations in price have a large impact on both financial and economic attractiveness because of the large contribution of the </w:t>
      </w:r>
      <w:r w:rsidR="0009198A">
        <w:rPr>
          <w:rFonts w:ascii="Times New Roman" w:hAnsi="Times New Roman" w:cs="Times New Roman"/>
          <w:sz w:val="24"/>
          <w:szCs w:val="24"/>
        </w:rPr>
        <w:t xml:space="preserve">augmentation therapy </w:t>
      </w:r>
      <w:r w:rsidRPr="00141133">
        <w:rPr>
          <w:rFonts w:ascii="Times New Roman" w:hAnsi="Times New Roman" w:cs="Times New Roman"/>
          <w:sz w:val="24"/>
          <w:szCs w:val="24"/>
        </w:rPr>
        <w:t xml:space="preserve">itself to overall resource in the economic model. The proposed price of </w:t>
      </w:r>
      <w:r w:rsidRPr="00DA1268">
        <w:rPr>
          <w:rFonts w:ascii="Times New Roman" w:hAnsi="Times New Roman" w:cs="Times New Roman"/>
          <w:sz w:val="24"/>
          <w:szCs w:val="24"/>
        </w:rPr>
        <w:t xml:space="preserve">PROLASTIN-C is </w:t>
      </w:r>
      <w:r w:rsidR="002E3F47" w:rsidRPr="00DA1268">
        <w:rPr>
          <w:rFonts w:ascii="Times New Roman" w:hAnsi="Times New Roman" w:cs="Times New Roman"/>
          <w:sz w:val="24"/>
          <w:szCs w:val="24"/>
        </w:rPr>
        <w:t>$</w:t>
      </w:r>
      <w:r w:rsidR="00070D74" w:rsidRPr="00DA1268">
        <w:rPr>
          <w:rFonts w:ascii="Times New Roman" w:hAnsi="Times New Roman" w:cs="Times New Roman"/>
          <w:b/>
          <w:sz w:val="24"/>
          <w:szCs w:val="24"/>
        </w:rPr>
        <w:t>r</w:t>
      </w:r>
      <w:r w:rsidR="008E4931" w:rsidRPr="00DA1268">
        <w:rPr>
          <w:rFonts w:ascii="Times New Roman" w:hAnsi="Times New Roman" w:cs="Times New Roman"/>
          <w:b/>
          <w:sz w:val="24"/>
          <w:szCs w:val="24"/>
        </w:rPr>
        <w:t>edacted</w:t>
      </w:r>
      <w:r w:rsidR="008E4931" w:rsidRPr="00DA1268" w:rsidDel="008E4931">
        <w:rPr>
          <w:rFonts w:ascii="Times New Roman" w:hAnsi="Times New Roman" w:cs="Times New Roman"/>
          <w:sz w:val="24"/>
          <w:szCs w:val="24"/>
        </w:rPr>
        <w:t xml:space="preserve"> </w:t>
      </w:r>
      <w:r w:rsidRPr="00DA1268">
        <w:rPr>
          <w:rFonts w:ascii="Times New Roman" w:hAnsi="Times New Roman" w:cs="Times New Roman"/>
          <w:sz w:val="24"/>
          <w:szCs w:val="24"/>
        </w:rPr>
        <w:t xml:space="preserve">per 1,000ml vial and ZEMAIRA </w:t>
      </w:r>
      <w:r w:rsidR="002E3F47" w:rsidRPr="00DA1268">
        <w:rPr>
          <w:rFonts w:ascii="Times New Roman" w:hAnsi="Times New Roman" w:cs="Times New Roman"/>
          <w:sz w:val="24"/>
          <w:szCs w:val="24"/>
        </w:rPr>
        <w:t>$</w:t>
      </w:r>
      <w:r w:rsidR="00070D74" w:rsidRPr="00DA1268">
        <w:rPr>
          <w:rFonts w:ascii="Times New Roman" w:hAnsi="Times New Roman" w:cs="Times New Roman"/>
          <w:b/>
          <w:sz w:val="24"/>
          <w:szCs w:val="24"/>
        </w:rPr>
        <w:t>r</w:t>
      </w:r>
      <w:r w:rsidR="008E4931" w:rsidRPr="00DA1268">
        <w:rPr>
          <w:rFonts w:ascii="Times New Roman" w:hAnsi="Times New Roman" w:cs="Times New Roman"/>
          <w:b/>
          <w:sz w:val="24"/>
          <w:szCs w:val="24"/>
        </w:rPr>
        <w:t>edacted</w:t>
      </w:r>
      <w:r w:rsidRPr="00DA1268">
        <w:rPr>
          <w:rFonts w:ascii="Times New Roman" w:hAnsi="Times New Roman" w:cs="Times New Roman"/>
          <w:sz w:val="24"/>
          <w:szCs w:val="24"/>
        </w:rPr>
        <w:t xml:space="preserve">. An average price of </w:t>
      </w:r>
      <w:r w:rsidR="002E3F47" w:rsidRPr="00DA1268">
        <w:rPr>
          <w:rFonts w:ascii="Times New Roman" w:hAnsi="Times New Roman" w:cs="Times New Roman"/>
          <w:sz w:val="24"/>
          <w:szCs w:val="24"/>
        </w:rPr>
        <w:t>$</w:t>
      </w:r>
      <w:r w:rsidR="00070D74" w:rsidRPr="00DA1268">
        <w:rPr>
          <w:rFonts w:ascii="Times New Roman" w:hAnsi="Times New Roman" w:cs="Times New Roman"/>
          <w:b/>
          <w:sz w:val="24"/>
          <w:szCs w:val="24"/>
        </w:rPr>
        <w:t>r</w:t>
      </w:r>
      <w:r w:rsidR="008E4931" w:rsidRPr="00DA1268">
        <w:rPr>
          <w:rFonts w:ascii="Times New Roman" w:hAnsi="Times New Roman" w:cs="Times New Roman"/>
          <w:b/>
          <w:sz w:val="24"/>
          <w:szCs w:val="24"/>
        </w:rPr>
        <w:t>edacted</w:t>
      </w:r>
      <w:r w:rsidRPr="00DA1268">
        <w:rPr>
          <w:rFonts w:ascii="Times New Roman" w:hAnsi="Times New Roman" w:cs="Times New Roman"/>
          <w:sz w:val="24"/>
          <w:szCs w:val="24"/>
        </w:rPr>
        <w:t xml:space="preserve"> is included, with </w:t>
      </w:r>
      <w:r w:rsidR="002E3F47" w:rsidRPr="00DA1268">
        <w:rPr>
          <w:rFonts w:ascii="Times New Roman" w:hAnsi="Times New Roman" w:cs="Times New Roman"/>
          <w:sz w:val="24"/>
          <w:szCs w:val="24"/>
        </w:rPr>
        <w:t>$</w:t>
      </w:r>
      <w:r w:rsidR="00070D74" w:rsidRPr="00DA1268">
        <w:rPr>
          <w:rFonts w:ascii="Times New Roman" w:hAnsi="Times New Roman" w:cs="Times New Roman"/>
          <w:b/>
          <w:sz w:val="24"/>
          <w:szCs w:val="24"/>
        </w:rPr>
        <w:t>r</w:t>
      </w:r>
      <w:r w:rsidR="008E4931" w:rsidRPr="00DA1268">
        <w:rPr>
          <w:rFonts w:ascii="Times New Roman" w:hAnsi="Times New Roman" w:cs="Times New Roman"/>
          <w:b/>
          <w:sz w:val="24"/>
          <w:szCs w:val="24"/>
        </w:rPr>
        <w:t>edacted</w:t>
      </w:r>
      <w:r w:rsidR="008E4931" w:rsidRPr="00DA1268" w:rsidDel="008E4931">
        <w:rPr>
          <w:rFonts w:ascii="Times New Roman" w:hAnsi="Times New Roman" w:cs="Times New Roman"/>
          <w:sz w:val="24"/>
          <w:szCs w:val="24"/>
        </w:rPr>
        <w:t xml:space="preserve"> </w:t>
      </w:r>
      <w:r w:rsidRPr="00DA1268">
        <w:rPr>
          <w:rFonts w:ascii="Times New Roman" w:hAnsi="Times New Roman" w:cs="Times New Roman"/>
          <w:sz w:val="24"/>
          <w:szCs w:val="24"/>
        </w:rPr>
        <w:t xml:space="preserve">and </w:t>
      </w:r>
      <w:r w:rsidR="002E3F47" w:rsidRPr="00DA1268">
        <w:rPr>
          <w:rFonts w:ascii="Times New Roman" w:hAnsi="Times New Roman" w:cs="Times New Roman"/>
          <w:sz w:val="24"/>
          <w:szCs w:val="24"/>
        </w:rPr>
        <w:t>$</w:t>
      </w:r>
      <w:r w:rsidR="00070D74" w:rsidRPr="00DA1268">
        <w:rPr>
          <w:rFonts w:ascii="Times New Roman" w:hAnsi="Times New Roman" w:cs="Times New Roman"/>
          <w:b/>
          <w:sz w:val="24"/>
          <w:szCs w:val="24"/>
        </w:rPr>
        <w:t>r</w:t>
      </w:r>
      <w:r w:rsidR="008E4931" w:rsidRPr="00DA1268">
        <w:rPr>
          <w:rFonts w:ascii="Times New Roman" w:hAnsi="Times New Roman" w:cs="Times New Roman"/>
          <w:b/>
          <w:sz w:val="24"/>
          <w:szCs w:val="24"/>
        </w:rPr>
        <w:t>edacted</w:t>
      </w:r>
      <w:r w:rsidR="008E4931" w:rsidRPr="00DA1268" w:rsidDel="008E4931">
        <w:rPr>
          <w:rFonts w:ascii="Times New Roman" w:hAnsi="Times New Roman" w:cs="Times New Roman"/>
          <w:b/>
          <w:sz w:val="24"/>
          <w:szCs w:val="24"/>
        </w:rPr>
        <w:t xml:space="preserve"> </w:t>
      </w:r>
      <w:r w:rsidRPr="00DA1268">
        <w:rPr>
          <w:rFonts w:ascii="Times New Roman" w:hAnsi="Times New Roman" w:cs="Times New Roman"/>
          <w:sz w:val="24"/>
          <w:szCs w:val="24"/>
        </w:rPr>
        <w:t xml:space="preserve">used as high and low bounds in </w:t>
      </w:r>
      <w:r w:rsidRPr="00DA1268">
        <w:rPr>
          <w:rFonts w:ascii="Times New Roman" w:hAnsi="Times New Roman" w:cs="Times New Roman"/>
          <w:sz w:val="24"/>
          <w:szCs w:val="24"/>
        </w:rPr>
        <w:lastRenderedPageBreak/>
        <w:t xml:space="preserve">sensitivity analyses. Varying the prevalence proportions by 10% has a lesser financial impact. Uptake rate also has an impact. A decrease in year 2022 uptake from 90% to 80% results in a </w:t>
      </w:r>
      <w:r w:rsidR="00847DAE" w:rsidRPr="00DA1268">
        <w:rPr>
          <w:rFonts w:ascii="Times New Roman" w:hAnsi="Times New Roman" w:cs="Times New Roman"/>
          <w:sz w:val="24"/>
          <w:szCs w:val="24"/>
        </w:rPr>
        <w:t>$</w:t>
      </w:r>
      <w:r w:rsidR="006C1541" w:rsidRPr="008D0EB1">
        <w:rPr>
          <w:rFonts w:ascii="Times New Roman" w:hAnsi="Times New Roman" w:cs="Times New Roman"/>
          <w:b/>
          <w:sz w:val="24"/>
          <w:szCs w:val="24"/>
        </w:rPr>
        <w:t>redacted</w:t>
      </w:r>
      <w:r w:rsidRPr="00DA1268">
        <w:rPr>
          <w:rFonts w:ascii="Times New Roman" w:hAnsi="Times New Roman" w:cs="Times New Roman"/>
          <w:sz w:val="24"/>
          <w:szCs w:val="24"/>
        </w:rPr>
        <w:t xml:space="preserve"> budget requirement in that year.</w:t>
      </w:r>
      <w:r w:rsidR="00C66EEA" w:rsidRPr="00DA1268">
        <w:rPr>
          <w:rFonts w:ascii="Times New Roman" w:hAnsi="Times New Roman" w:cs="Times New Roman"/>
          <w:sz w:val="24"/>
          <w:szCs w:val="24"/>
        </w:rPr>
        <w:t xml:space="preserve"> MSAC noted that the financial estimates were sensitive to assumptions regarding rates of diagnosis of A</w:t>
      </w:r>
      <w:r w:rsidR="002E411E" w:rsidRPr="00DA1268">
        <w:rPr>
          <w:rFonts w:ascii="Times New Roman" w:hAnsi="Times New Roman" w:cs="Times New Roman"/>
          <w:sz w:val="24"/>
          <w:szCs w:val="24"/>
        </w:rPr>
        <w:t>1-PI deficiency</w:t>
      </w:r>
      <w:r w:rsidR="00C66EEA" w:rsidRPr="00DA1268">
        <w:rPr>
          <w:rFonts w:ascii="Times New Roman" w:hAnsi="Times New Roman" w:cs="Times New Roman"/>
          <w:sz w:val="24"/>
          <w:szCs w:val="24"/>
        </w:rPr>
        <w:t xml:space="preserve"> and non-smoking rates. MSAC noted advice from the product manufacturers in their pre-MSAC responses that patients receiving A1-PI are highly motivated to maintain their non-smoking status.</w:t>
      </w:r>
    </w:p>
    <w:p w14:paraId="36E12F22" w14:textId="77777777" w:rsidR="006A0D97" w:rsidRPr="00F715D1" w:rsidRDefault="006A0D97" w:rsidP="00F715D1">
      <w:pPr>
        <w:pStyle w:val="Heading1"/>
      </w:pPr>
      <w:r w:rsidRPr="00F715D1">
        <w:t>Key issues from ESC for MSAC</w:t>
      </w:r>
    </w:p>
    <w:tbl>
      <w:tblPr>
        <w:tblStyle w:val="TableGrid"/>
        <w:tblW w:w="0" w:type="auto"/>
        <w:tblLook w:val="04A0" w:firstRow="1" w:lastRow="0" w:firstColumn="1" w:lastColumn="0" w:noHBand="0" w:noVBand="1"/>
        <w:tblDescription w:val="Key issues from ESC to MSAC"/>
      </w:tblPr>
      <w:tblGrid>
        <w:gridCol w:w="1809"/>
        <w:gridCol w:w="7207"/>
      </w:tblGrid>
      <w:tr w:rsidR="00C415A2" w:rsidRPr="00141133" w14:paraId="4D20098A" w14:textId="77777777" w:rsidTr="00CD067A">
        <w:trPr>
          <w:tblHeader/>
        </w:trPr>
        <w:tc>
          <w:tcPr>
            <w:tcW w:w="1809" w:type="dxa"/>
          </w:tcPr>
          <w:p w14:paraId="0009315E" w14:textId="77777777" w:rsidR="00C415A2" w:rsidRPr="00141133" w:rsidRDefault="00C415A2" w:rsidP="00CD067A">
            <w:pPr>
              <w:pStyle w:val="TableHeading"/>
              <w:rPr>
                <w:rFonts w:ascii="Times New Roman" w:hAnsi="Times New Roman" w:cs="Times New Roman"/>
                <w:sz w:val="24"/>
                <w:szCs w:val="24"/>
              </w:rPr>
            </w:pPr>
            <w:r w:rsidRPr="00141133">
              <w:rPr>
                <w:rFonts w:ascii="Times New Roman" w:hAnsi="Times New Roman" w:cs="Times New Roman"/>
                <w:sz w:val="24"/>
                <w:szCs w:val="24"/>
              </w:rPr>
              <w:t>ESC key issue</w:t>
            </w:r>
          </w:p>
        </w:tc>
        <w:tc>
          <w:tcPr>
            <w:tcW w:w="7207" w:type="dxa"/>
          </w:tcPr>
          <w:p w14:paraId="7BB796C5" w14:textId="77777777" w:rsidR="00C415A2" w:rsidRPr="00141133" w:rsidRDefault="00C415A2" w:rsidP="00CD067A">
            <w:pPr>
              <w:pStyle w:val="TableHeading"/>
              <w:rPr>
                <w:rFonts w:ascii="Times New Roman" w:hAnsi="Times New Roman" w:cs="Times New Roman"/>
                <w:sz w:val="24"/>
                <w:szCs w:val="24"/>
              </w:rPr>
            </w:pPr>
            <w:r w:rsidRPr="00141133">
              <w:rPr>
                <w:rFonts w:ascii="Times New Roman" w:hAnsi="Times New Roman" w:cs="Times New Roman"/>
                <w:sz w:val="24"/>
                <w:szCs w:val="24"/>
              </w:rPr>
              <w:t>ESC advice to MSAC</w:t>
            </w:r>
          </w:p>
        </w:tc>
      </w:tr>
      <w:tr w:rsidR="00C415A2" w:rsidRPr="00141133" w14:paraId="72AE71F1" w14:textId="77777777" w:rsidTr="00CD067A">
        <w:tc>
          <w:tcPr>
            <w:tcW w:w="1809" w:type="dxa"/>
          </w:tcPr>
          <w:p w14:paraId="611AD211" w14:textId="77777777" w:rsidR="00C415A2" w:rsidRPr="00141133" w:rsidRDefault="00C415A2" w:rsidP="00CD067A">
            <w:pPr>
              <w:pStyle w:val="TableText"/>
              <w:rPr>
                <w:rFonts w:ascii="Times New Roman" w:hAnsi="Times New Roman" w:cs="Times New Roman"/>
                <w:sz w:val="24"/>
                <w:szCs w:val="24"/>
              </w:rPr>
            </w:pPr>
            <w:r w:rsidRPr="00141133">
              <w:rPr>
                <w:rFonts w:ascii="Times New Roman" w:hAnsi="Times New Roman" w:cs="Times New Roman"/>
                <w:sz w:val="24"/>
                <w:szCs w:val="24"/>
              </w:rPr>
              <w:t>Rarity or under-diagnosis of condition in Australia</w:t>
            </w:r>
          </w:p>
        </w:tc>
        <w:tc>
          <w:tcPr>
            <w:tcW w:w="7207" w:type="dxa"/>
          </w:tcPr>
          <w:p w14:paraId="5CF9B555" w14:textId="0FF26956" w:rsidR="00C415A2" w:rsidRPr="00141133" w:rsidRDefault="00C415A2" w:rsidP="00CD067A">
            <w:pPr>
              <w:pStyle w:val="TableText"/>
              <w:rPr>
                <w:rFonts w:ascii="Times New Roman" w:hAnsi="Times New Roman" w:cs="Times New Roman"/>
                <w:sz w:val="24"/>
                <w:szCs w:val="24"/>
              </w:rPr>
            </w:pPr>
            <w:r w:rsidRPr="00141133">
              <w:rPr>
                <w:rFonts w:ascii="Times New Roman" w:hAnsi="Times New Roman" w:cs="Times New Roman"/>
                <w:sz w:val="24"/>
                <w:szCs w:val="24"/>
              </w:rPr>
              <w:t xml:space="preserve">Alpha1-proteinase inhibitor (A1-PI) deficiency appears to </w:t>
            </w:r>
            <w:proofErr w:type="gramStart"/>
            <w:r w:rsidRPr="00141133">
              <w:rPr>
                <w:rFonts w:ascii="Times New Roman" w:hAnsi="Times New Roman" w:cs="Times New Roman"/>
                <w:sz w:val="24"/>
                <w:szCs w:val="24"/>
              </w:rPr>
              <w:t>be underdiagnosed</w:t>
            </w:r>
            <w:proofErr w:type="gramEnd"/>
            <w:r w:rsidRPr="00141133">
              <w:rPr>
                <w:rFonts w:ascii="Times New Roman" w:hAnsi="Times New Roman" w:cs="Times New Roman"/>
                <w:sz w:val="24"/>
                <w:szCs w:val="24"/>
              </w:rPr>
              <w:t xml:space="preserve"> in the USA, which means it could also be the case in Australia. The population may therefore be much larger t</w:t>
            </w:r>
            <w:r w:rsidR="00D234E7">
              <w:rPr>
                <w:rFonts w:ascii="Times New Roman" w:hAnsi="Times New Roman" w:cs="Times New Roman"/>
                <w:sz w:val="24"/>
                <w:szCs w:val="24"/>
              </w:rPr>
              <w:t xml:space="preserve">han the estimated </w:t>
            </w:r>
            <w:r w:rsidR="00070D74">
              <w:rPr>
                <w:rFonts w:ascii="Times New Roman" w:hAnsi="Times New Roman" w:cs="Times New Roman"/>
                <w:b/>
                <w:sz w:val="24"/>
                <w:szCs w:val="24"/>
              </w:rPr>
              <w:t>r</w:t>
            </w:r>
            <w:r w:rsidR="00E93A97" w:rsidRPr="00E93A97">
              <w:rPr>
                <w:rFonts w:ascii="Times New Roman" w:hAnsi="Times New Roman" w:cs="Times New Roman"/>
                <w:b/>
                <w:sz w:val="24"/>
                <w:szCs w:val="24"/>
              </w:rPr>
              <w:t>edacted</w:t>
            </w:r>
            <w:r w:rsidR="00E93A97">
              <w:rPr>
                <w:rFonts w:ascii="Times New Roman" w:hAnsi="Times New Roman" w:cs="Times New Roman"/>
                <w:sz w:val="24"/>
                <w:szCs w:val="24"/>
              </w:rPr>
              <w:t xml:space="preserve"> </w:t>
            </w:r>
            <w:proofErr w:type="gramStart"/>
            <w:r w:rsidR="00D234E7">
              <w:rPr>
                <w:rFonts w:ascii="Times New Roman" w:hAnsi="Times New Roman" w:cs="Times New Roman"/>
                <w:sz w:val="24"/>
                <w:szCs w:val="24"/>
              </w:rPr>
              <w:t>patients</w:t>
            </w:r>
            <w:proofErr w:type="gramEnd"/>
            <w:r w:rsidR="00D234E7">
              <w:rPr>
                <w:rFonts w:ascii="Times New Roman" w:hAnsi="Times New Roman" w:cs="Times New Roman"/>
                <w:sz w:val="24"/>
                <w:szCs w:val="24"/>
              </w:rPr>
              <w:t>.</w:t>
            </w:r>
          </w:p>
        </w:tc>
      </w:tr>
      <w:tr w:rsidR="00C415A2" w:rsidRPr="00141133" w14:paraId="371A592A" w14:textId="77777777" w:rsidTr="00CD067A">
        <w:tc>
          <w:tcPr>
            <w:tcW w:w="1809" w:type="dxa"/>
          </w:tcPr>
          <w:p w14:paraId="29561241" w14:textId="77777777" w:rsidR="00C415A2" w:rsidRPr="00141133" w:rsidRDefault="00C415A2" w:rsidP="00CD067A">
            <w:pPr>
              <w:pStyle w:val="TableText"/>
              <w:rPr>
                <w:rFonts w:ascii="Times New Roman" w:hAnsi="Times New Roman" w:cs="Times New Roman"/>
                <w:sz w:val="24"/>
                <w:szCs w:val="24"/>
              </w:rPr>
            </w:pPr>
            <w:r w:rsidRPr="00141133">
              <w:rPr>
                <w:rFonts w:ascii="Times New Roman" w:hAnsi="Times New Roman" w:cs="Times New Roman"/>
                <w:sz w:val="24"/>
                <w:szCs w:val="24"/>
              </w:rPr>
              <w:t>Safety</w:t>
            </w:r>
          </w:p>
        </w:tc>
        <w:tc>
          <w:tcPr>
            <w:tcW w:w="7207" w:type="dxa"/>
          </w:tcPr>
          <w:p w14:paraId="66070A13" w14:textId="77777777" w:rsidR="00C415A2" w:rsidRPr="00141133" w:rsidRDefault="00C415A2" w:rsidP="00CD067A">
            <w:pPr>
              <w:pStyle w:val="TableText"/>
              <w:rPr>
                <w:rFonts w:ascii="Times New Roman" w:hAnsi="Times New Roman" w:cs="Times New Roman"/>
                <w:sz w:val="24"/>
                <w:szCs w:val="24"/>
              </w:rPr>
            </w:pPr>
            <w:r w:rsidRPr="00141133">
              <w:rPr>
                <w:rFonts w:ascii="Times New Roman" w:hAnsi="Times New Roman" w:cs="Times New Roman"/>
                <w:sz w:val="24"/>
                <w:szCs w:val="24"/>
              </w:rPr>
              <w:t xml:space="preserve">Overall, it appears that the intervention is relatively safe compared to placebo, in addition to </w:t>
            </w:r>
            <w:proofErr w:type="gramStart"/>
            <w:r w:rsidRPr="00141133">
              <w:rPr>
                <w:rFonts w:ascii="Times New Roman" w:hAnsi="Times New Roman" w:cs="Times New Roman"/>
                <w:sz w:val="24"/>
                <w:szCs w:val="24"/>
              </w:rPr>
              <w:t>best supported</w:t>
            </w:r>
            <w:proofErr w:type="gramEnd"/>
            <w:r w:rsidRPr="00141133">
              <w:rPr>
                <w:rFonts w:ascii="Times New Roman" w:hAnsi="Times New Roman" w:cs="Times New Roman"/>
                <w:sz w:val="24"/>
                <w:szCs w:val="24"/>
              </w:rPr>
              <w:t xml:space="preserve"> care.</w:t>
            </w:r>
          </w:p>
        </w:tc>
      </w:tr>
      <w:tr w:rsidR="00C415A2" w:rsidRPr="00141133" w14:paraId="7F15CF45" w14:textId="77777777" w:rsidTr="00CD067A">
        <w:tc>
          <w:tcPr>
            <w:tcW w:w="1809" w:type="dxa"/>
          </w:tcPr>
          <w:p w14:paraId="08DB6712" w14:textId="77777777" w:rsidR="00C415A2" w:rsidRPr="00141133" w:rsidRDefault="00C415A2" w:rsidP="00CD067A">
            <w:pPr>
              <w:pStyle w:val="TableText"/>
              <w:rPr>
                <w:rFonts w:ascii="Times New Roman" w:hAnsi="Times New Roman" w:cs="Times New Roman"/>
                <w:sz w:val="24"/>
                <w:szCs w:val="24"/>
              </w:rPr>
            </w:pPr>
            <w:r w:rsidRPr="00141133">
              <w:rPr>
                <w:rFonts w:ascii="Times New Roman" w:hAnsi="Times New Roman" w:cs="Times New Roman"/>
                <w:sz w:val="24"/>
                <w:szCs w:val="24"/>
              </w:rPr>
              <w:t>Effectiveness</w:t>
            </w:r>
          </w:p>
        </w:tc>
        <w:tc>
          <w:tcPr>
            <w:tcW w:w="7207" w:type="dxa"/>
          </w:tcPr>
          <w:p w14:paraId="640DC39A" w14:textId="128ACF60" w:rsidR="00C415A2" w:rsidRPr="00141133" w:rsidRDefault="00C415A2" w:rsidP="0059754B">
            <w:pPr>
              <w:pStyle w:val="TableText"/>
              <w:rPr>
                <w:rFonts w:ascii="Times New Roman" w:hAnsi="Times New Roman" w:cs="Times New Roman"/>
                <w:sz w:val="24"/>
                <w:szCs w:val="24"/>
              </w:rPr>
            </w:pPr>
            <w:r w:rsidRPr="00141133">
              <w:rPr>
                <w:rFonts w:ascii="Times New Roman" w:hAnsi="Times New Roman" w:cs="Times New Roman"/>
                <w:sz w:val="24"/>
                <w:szCs w:val="24"/>
              </w:rPr>
              <w:t>The only statistically significant difference observed was for CT-measured lung density, which favoured A1-PI therapy compared to placebo; however, the clinical significance of this difference is uncertain, as MCIDs for changes in CT-</w:t>
            </w:r>
            <w:r w:rsidR="0059754B">
              <w:rPr>
                <w:rFonts w:ascii="Times New Roman" w:hAnsi="Times New Roman" w:cs="Times New Roman"/>
                <w:sz w:val="24"/>
                <w:szCs w:val="24"/>
              </w:rPr>
              <w:t xml:space="preserve">measured </w:t>
            </w:r>
            <w:r w:rsidRPr="00141133">
              <w:rPr>
                <w:rFonts w:ascii="Times New Roman" w:hAnsi="Times New Roman" w:cs="Times New Roman"/>
                <w:sz w:val="24"/>
                <w:szCs w:val="24"/>
              </w:rPr>
              <w:t xml:space="preserve">lung density </w:t>
            </w:r>
            <w:proofErr w:type="gramStart"/>
            <w:r w:rsidRPr="00141133">
              <w:rPr>
                <w:rFonts w:ascii="Times New Roman" w:hAnsi="Times New Roman" w:cs="Times New Roman"/>
                <w:sz w:val="24"/>
                <w:szCs w:val="24"/>
              </w:rPr>
              <w:t>have not been established</w:t>
            </w:r>
            <w:proofErr w:type="gramEnd"/>
            <w:r w:rsidRPr="00141133">
              <w:rPr>
                <w:rFonts w:ascii="Times New Roman" w:hAnsi="Times New Roman" w:cs="Times New Roman"/>
                <w:sz w:val="24"/>
                <w:szCs w:val="24"/>
              </w:rPr>
              <w:t xml:space="preserve"> in the peer-reviewed literature. No significant differences between A1-PI and placebo were identified in relation to mortality, exacerbation of COPD, hospitalisation due to COPD exacerbation, quality of life (SGRQ), respiratory function (FEV</w:t>
            </w:r>
            <w:r w:rsidRPr="00141133">
              <w:rPr>
                <w:rFonts w:ascii="Times New Roman" w:hAnsi="Times New Roman" w:cs="Times New Roman"/>
                <w:sz w:val="24"/>
                <w:szCs w:val="24"/>
                <w:vertAlign w:val="subscript"/>
              </w:rPr>
              <w:t>1</w:t>
            </w:r>
            <w:r w:rsidRPr="00141133">
              <w:rPr>
                <w:rFonts w:ascii="Times New Roman" w:hAnsi="Times New Roman" w:cs="Times New Roman"/>
                <w:sz w:val="24"/>
                <w:szCs w:val="24"/>
              </w:rPr>
              <w:t>), exercise capacity (incremental shuttle walk test) or carbon monoxide diffusion capacity (DLCO).</w:t>
            </w:r>
          </w:p>
        </w:tc>
      </w:tr>
      <w:tr w:rsidR="00C415A2" w:rsidRPr="00141133" w14:paraId="3EC3B7A8" w14:textId="77777777" w:rsidTr="00CD067A">
        <w:tc>
          <w:tcPr>
            <w:tcW w:w="1809" w:type="dxa"/>
          </w:tcPr>
          <w:p w14:paraId="02BD9297" w14:textId="77777777" w:rsidR="00C415A2" w:rsidRPr="00141133" w:rsidRDefault="00C415A2" w:rsidP="00CD067A">
            <w:pPr>
              <w:pStyle w:val="TableText"/>
              <w:rPr>
                <w:rFonts w:ascii="Times New Roman" w:hAnsi="Times New Roman" w:cs="Times New Roman"/>
                <w:sz w:val="24"/>
                <w:szCs w:val="24"/>
              </w:rPr>
            </w:pPr>
            <w:r w:rsidRPr="00141133">
              <w:rPr>
                <w:rFonts w:ascii="Times New Roman" w:hAnsi="Times New Roman" w:cs="Times New Roman"/>
                <w:sz w:val="24"/>
                <w:szCs w:val="24"/>
              </w:rPr>
              <w:t>Costs</w:t>
            </w:r>
          </w:p>
        </w:tc>
        <w:tc>
          <w:tcPr>
            <w:tcW w:w="7207" w:type="dxa"/>
          </w:tcPr>
          <w:p w14:paraId="3DAD5C89" w14:textId="1578B752" w:rsidR="00C415A2" w:rsidRPr="00141133" w:rsidRDefault="00C415A2" w:rsidP="00CD067A">
            <w:pPr>
              <w:pStyle w:val="TableText"/>
              <w:rPr>
                <w:rFonts w:ascii="Times New Roman" w:hAnsi="Times New Roman" w:cs="Times New Roman"/>
                <w:sz w:val="24"/>
                <w:szCs w:val="24"/>
              </w:rPr>
            </w:pPr>
            <w:r w:rsidRPr="00141133">
              <w:rPr>
                <w:rFonts w:ascii="Times New Roman" w:hAnsi="Times New Roman" w:cs="Times New Roman"/>
                <w:sz w:val="24"/>
                <w:szCs w:val="24"/>
              </w:rPr>
              <w:t>Not all relevant costs were captured (e.g. additional A1-PI serum tests, additional IgA tests, IV dev</w:t>
            </w:r>
            <w:r w:rsidR="00D234E7">
              <w:rPr>
                <w:rFonts w:ascii="Times New Roman" w:hAnsi="Times New Roman" w:cs="Times New Roman"/>
                <w:sz w:val="24"/>
                <w:szCs w:val="24"/>
              </w:rPr>
              <w:t>ice, additional consultations).</w:t>
            </w:r>
          </w:p>
        </w:tc>
      </w:tr>
      <w:tr w:rsidR="00C415A2" w:rsidRPr="00141133" w14:paraId="484F50BF" w14:textId="77777777" w:rsidTr="00CD067A">
        <w:tc>
          <w:tcPr>
            <w:tcW w:w="1809" w:type="dxa"/>
          </w:tcPr>
          <w:p w14:paraId="7569883C" w14:textId="77777777" w:rsidR="00C415A2" w:rsidRPr="00141133" w:rsidRDefault="00C415A2" w:rsidP="00CD067A">
            <w:pPr>
              <w:pStyle w:val="TableText"/>
              <w:rPr>
                <w:rFonts w:ascii="Times New Roman" w:hAnsi="Times New Roman" w:cs="Times New Roman"/>
                <w:sz w:val="24"/>
                <w:szCs w:val="24"/>
              </w:rPr>
            </w:pPr>
            <w:r w:rsidRPr="00141133">
              <w:rPr>
                <w:rFonts w:ascii="Times New Roman" w:hAnsi="Times New Roman" w:cs="Times New Roman"/>
                <w:sz w:val="24"/>
                <w:szCs w:val="24"/>
              </w:rPr>
              <w:t>Population</w:t>
            </w:r>
          </w:p>
        </w:tc>
        <w:tc>
          <w:tcPr>
            <w:tcW w:w="7207" w:type="dxa"/>
          </w:tcPr>
          <w:p w14:paraId="6C9C6EB0" w14:textId="77777777" w:rsidR="00C415A2" w:rsidRPr="00141133" w:rsidRDefault="00C415A2" w:rsidP="00CD067A">
            <w:pPr>
              <w:pStyle w:val="TableText"/>
              <w:rPr>
                <w:rFonts w:ascii="Times New Roman" w:hAnsi="Times New Roman" w:cs="Times New Roman"/>
                <w:sz w:val="24"/>
                <w:szCs w:val="24"/>
              </w:rPr>
            </w:pPr>
            <w:r w:rsidRPr="00141133">
              <w:rPr>
                <w:rFonts w:ascii="Times New Roman" w:hAnsi="Times New Roman" w:cs="Times New Roman"/>
                <w:sz w:val="24"/>
                <w:szCs w:val="24"/>
              </w:rPr>
              <w:t>Trials included patients with a wide range of lung function.</w:t>
            </w:r>
          </w:p>
        </w:tc>
      </w:tr>
      <w:tr w:rsidR="00C415A2" w:rsidRPr="00141133" w14:paraId="6B81E598" w14:textId="77777777" w:rsidTr="00CD067A">
        <w:tc>
          <w:tcPr>
            <w:tcW w:w="1809" w:type="dxa"/>
          </w:tcPr>
          <w:p w14:paraId="25D97E23" w14:textId="77777777" w:rsidR="00C415A2" w:rsidRPr="00141133" w:rsidRDefault="00C415A2" w:rsidP="00CD067A">
            <w:pPr>
              <w:pStyle w:val="TableText"/>
              <w:rPr>
                <w:rFonts w:ascii="Times New Roman" w:hAnsi="Times New Roman" w:cs="Times New Roman"/>
                <w:sz w:val="24"/>
                <w:szCs w:val="24"/>
              </w:rPr>
            </w:pPr>
            <w:r w:rsidRPr="00141133">
              <w:rPr>
                <w:rFonts w:ascii="Times New Roman" w:hAnsi="Times New Roman" w:cs="Times New Roman"/>
                <w:sz w:val="24"/>
                <w:szCs w:val="24"/>
              </w:rPr>
              <w:t>Rule of Rescue</w:t>
            </w:r>
          </w:p>
        </w:tc>
        <w:tc>
          <w:tcPr>
            <w:tcW w:w="7207" w:type="dxa"/>
          </w:tcPr>
          <w:p w14:paraId="23C8DAE2" w14:textId="77777777" w:rsidR="00C415A2" w:rsidRPr="00141133" w:rsidRDefault="00C415A2" w:rsidP="00CD067A">
            <w:pPr>
              <w:pStyle w:val="TableText"/>
              <w:rPr>
                <w:rFonts w:ascii="Times New Roman" w:hAnsi="Times New Roman" w:cs="Times New Roman"/>
                <w:sz w:val="24"/>
                <w:szCs w:val="24"/>
              </w:rPr>
            </w:pPr>
            <w:r w:rsidRPr="00141133">
              <w:rPr>
                <w:rFonts w:ascii="Times New Roman" w:hAnsi="Times New Roman" w:cs="Times New Roman"/>
                <w:sz w:val="24"/>
                <w:szCs w:val="24"/>
              </w:rPr>
              <w:t xml:space="preserve">It </w:t>
            </w:r>
            <w:proofErr w:type="gramStart"/>
            <w:r w:rsidRPr="00141133">
              <w:rPr>
                <w:rFonts w:ascii="Times New Roman" w:hAnsi="Times New Roman" w:cs="Times New Roman"/>
                <w:sz w:val="24"/>
                <w:szCs w:val="24"/>
              </w:rPr>
              <w:t>is claimed</w:t>
            </w:r>
            <w:proofErr w:type="gramEnd"/>
            <w:r w:rsidRPr="00141133">
              <w:rPr>
                <w:rFonts w:ascii="Times New Roman" w:hAnsi="Times New Roman" w:cs="Times New Roman"/>
                <w:sz w:val="24"/>
                <w:szCs w:val="24"/>
              </w:rPr>
              <w:t xml:space="preserve"> that A1-PI deficiency meets three of the four criteria warranting the Rule of Rescue. It is unclear whether CT-measured lung density is a sufficiently informative surrogate for judging the Rule of Rescue criterion of ‘worthwhile clinical improvement’.</w:t>
            </w:r>
          </w:p>
        </w:tc>
      </w:tr>
      <w:tr w:rsidR="00C415A2" w:rsidRPr="00141133" w14:paraId="4CD3E99F" w14:textId="77777777" w:rsidTr="00CD067A">
        <w:tc>
          <w:tcPr>
            <w:tcW w:w="1809" w:type="dxa"/>
          </w:tcPr>
          <w:p w14:paraId="7151DBB9" w14:textId="77777777" w:rsidR="00C415A2" w:rsidRPr="00141133" w:rsidRDefault="00C415A2" w:rsidP="00CD067A">
            <w:pPr>
              <w:pStyle w:val="TableText"/>
              <w:rPr>
                <w:rFonts w:ascii="Times New Roman" w:hAnsi="Times New Roman" w:cs="Times New Roman"/>
                <w:sz w:val="24"/>
                <w:szCs w:val="24"/>
              </w:rPr>
            </w:pPr>
            <w:r w:rsidRPr="00141133">
              <w:rPr>
                <w:rFonts w:ascii="Times New Roman" w:hAnsi="Times New Roman" w:cs="Times New Roman"/>
                <w:sz w:val="24"/>
                <w:szCs w:val="24"/>
              </w:rPr>
              <w:t>Potential bias</w:t>
            </w:r>
          </w:p>
        </w:tc>
        <w:tc>
          <w:tcPr>
            <w:tcW w:w="7207" w:type="dxa"/>
          </w:tcPr>
          <w:p w14:paraId="6C672A70" w14:textId="77777777" w:rsidR="00C415A2" w:rsidRPr="00141133" w:rsidRDefault="00C415A2" w:rsidP="00CD067A">
            <w:pPr>
              <w:pStyle w:val="TableText"/>
              <w:rPr>
                <w:rFonts w:ascii="Times New Roman" w:hAnsi="Times New Roman" w:cs="Times New Roman"/>
                <w:sz w:val="24"/>
                <w:szCs w:val="24"/>
              </w:rPr>
            </w:pPr>
            <w:r w:rsidRPr="00141133">
              <w:rPr>
                <w:rFonts w:ascii="Times New Roman" w:hAnsi="Times New Roman" w:cs="Times New Roman"/>
                <w:sz w:val="24"/>
                <w:szCs w:val="24"/>
              </w:rPr>
              <w:t>The small pool of researchers and the low frequency of investigator-initiated trials mean there is potential for selection and/or reporting bias.</w:t>
            </w:r>
          </w:p>
        </w:tc>
      </w:tr>
    </w:tbl>
    <w:p w14:paraId="5EAAE210" w14:textId="572681D5" w:rsidR="00C415A2" w:rsidRPr="00687B5B" w:rsidRDefault="00C415A2" w:rsidP="00687B5B">
      <w:pPr>
        <w:pStyle w:val="Heading2"/>
        <w:spacing w:after="240"/>
        <w:rPr>
          <w:rFonts w:ascii="Times New Roman" w:hAnsi="Times New Roman" w:cs="Times New Roman"/>
          <w:color w:val="auto"/>
          <w:sz w:val="24"/>
          <w:szCs w:val="24"/>
          <w:u w:val="single"/>
        </w:rPr>
      </w:pPr>
      <w:r w:rsidRPr="00177C92">
        <w:rPr>
          <w:rFonts w:ascii="Times New Roman" w:hAnsi="Times New Roman" w:cs="Times New Roman"/>
          <w:color w:val="auto"/>
          <w:sz w:val="24"/>
          <w:szCs w:val="24"/>
          <w:u w:val="single"/>
        </w:rPr>
        <w:t xml:space="preserve">ESC </w:t>
      </w:r>
      <w:r>
        <w:rPr>
          <w:rFonts w:ascii="Times New Roman" w:hAnsi="Times New Roman" w:cs="Times New Roman"/>
          <w:color w:val="auto"/>
          <w:sz w:val="24"/>
          <w:szCs w:val="24"/>
          <w:u w:val="single"/>
        </w:rPr>
        <w:t>d</w:t>
      </w:r>
      <w:r w:rsidRPr="00177C92">
        <w:rPr>
          <w:rFonts w:ascii="Times New Roman" w:hAnsi="Times New Roman" w:cs="Times New Roman"/>
          <w:color w:val="auto"/>
          <w:sz w:val="24"/>
          <w:szCs w:val="24"/>
          <w:u w:val="single"/>
        </w:rPr>
        <w:t>iscussion</w:t>
      </w:r>
    </w:p>
    <w:p w14:paraId="52731AC6" w14:textId="3D8DB304" w:rsidR="00C415A2" w:rsidRPr="00177C92" w:rsidRDefault="00C415A2" w:rsidP="00687B5B">
      <w:pPr>
        <w:spacing w:after="240"/>
      </w:pPr>
      <w:r>
        <w:t xml:space="preserve">The request is for lifelong intravenous blood augmentation therapy via weekly infusions </w:t>
      </w:r>
      <w:r w:rsidRPr="0075220E">
        <w:t>of purified human A1</w:t>
      </w:r>
      <w:r>
        <w:t>-</w:t>
      </w:r>
      <w:r w:rsidRPr="0075220E">
        <w:t>PI</w:t>
      </w:r>
      <w:r>
        <w:t xml:space="preserve"> (</w:t>
      </w:r>
      <w:r w:rsidRPr="0075220E">
        <w:t>60</w:t>
      </w:r>
      <w:r>
        <w:t> </w:t>
      </w:r>
      <w:r w:rsidRPr="0075220E">
        <w:t>mg/kg per week</w:t>
      </w:r>
      <w:r>
        <w:t>)</w:t>
      </w:r>
      <w:r w:rsidRPr="0075220E">
        <w:t xml:space="preserve"> </w:t>
      </w:r>
      <w:r>
        <w:t xml:space="preserve">for the treatment of A1-PI deficiency, also known as </w:t>
      </w:r>
      <w:r w:rsidR="002E411E">
        <w:t>a</w:t>
      </w:r>
      <w:r w:rsidR="002E411E" w:rsidRPr="003E3902">
        <w:t>lpha-1 antitrypsin deficiency</w:t>
      </w:r>
      <w:r w:rsidR="002E411E" w:rsidRPr="003E3902" w:rsidDel="003E3902">
        <w:t xml:space="preserve"> </w:t>
      </w:r>
      <w:r w:rsidR="002E411E">
        <w:t>(</w:t>
      </w:r>
      <w:r w:rsidR="00ED0549">
        <w:t>AATD</w:t>
      </w:r>
      <w:r w:rsidR="002E411E">
        <w:t>)</w:t>
      </w:r>
      <w:r>
        <w:t>. ESC noted that ongoing trials are investigating optimal dosing regimens (including higher doses). ESC noted the manufacturers’ claim that successful listing of the blood product in the target population and setting will lead to slower disease progression co</w:t>
      </w:r>
      <w:r w:rsidR="00687B5B">
        <w:t>mpared to best supportive care.</w:t>
      </w:r>
    </w:p>
    <w:p w14:paraId="499C112B" w14:textId="513E1090" w:rsidR="00D83F61" w:rsidRDefault="00C415A2" w:rsidP="00687B5B">
      <w:pPr>
        <w:spacing w:after="240"/>
      </w:pPr>
      <w:r>
        <w:t xml:space="preserve">ESC noted that </w:t>
      </w:r>
      <w:r w:rsidRPr="004A59CC">
        <w:t>A</w:t>
      </w:r>
      <w:r>
        <w:t>1-PI deficiency</w:t>
      </w:r>
      <w:r w:rsidRPr="004A59CC">
        <w:t xml:space="preserve"> </w:t>
      </w:r>
      <w:r>
        <w:t>is an</w:t>
      </w:r>
      <w:r w:rsidRPr="004A59CC">
        <w:t xml:space="preserve"> inherited genetic condition</w:t>
      </w:r>
      <w:r>
        <w:t xml:space="preserve"> </w:t>
      </w:r>
      <w:r w:rsidRPr="00995D42">
        <w:t>that results in decreased circulating, and/or abnormally functioning, A1</w:t>
      </w:r>
      <w:r>
        <w:t>-</w:t>
      </w:r>
      <w:r w:rsidRPr="00995D42">
        <w:t>PI protein</w:t>
      </w:r>
      <w:r>
        <w:t xml:space="preserve">. Severe </w:t>
      </w:r>
      <w:r w:rsidRPr="00995D42">
        <w:t>A1</w:t>
      </w:r>
      <w:r>
        <w:t>-</w:t>
      </w:r>
      <w:r w:rsidRPr="00995D42">
        <w:t>PI</w:t>
      </w:r>
      <w:r>
        <w:t xml:space="preserve"> deficiency (defined as </w:t>
      </w:r>
      <w:r w:rsidRPr="002B2AE5">
        <w:t xml:space="preserve">serum </w:t>
      </w:r>
      <w:r>
        <w:t>levels of A1-PI</w:t>
      </w:r>
      <w:r w:rsidRPr="002B2AE5">
        <w:t xml:space="preserve"> ≤11</w:t>
      </w:r>
      <w:r>
        <w:t> </w:t>
      </w:r>
      <w:proofErr w:type="spellStart"/>
      <w:r w:rsidRPr="002B2AE5">
        <w:t>μM</w:t>
      </w:r>
      <w:proofErr w:type="spellEnd"/>
      <w:r>
        <w:t>) most commonly manifests</w:t>
      </w:r>
      <w:r w:rsidR="00D83F61">
        <w:t xml:space="preserve"> as emphysema or liver disease.</w:t>
      </w:r>
    </w:p>
    <w:p w14:paraId="5C3AC907" w14:textId="38522A77" w:rsidR="00C415A2" w:rsidRDefault="00C415A2" w:rsidP="00687B5B">
      <w:pPr>
        <w:spacing w:after="240"/>
      </w:pPr>
      <w:r>
        <w:lastRenderedPageBreak/>
        <w:t>Prevalence data in Australia are limited</w:t>
      </w:r>
      <w:r w:rsidRPr="002B2AE5">
        <w:t xml:space="preserve">. The </w:t>
      </w:r>
      <w:r>
        <w:t>prevalence of the</w:t>
      </w:r>
      <w:r w:rsidRPr="002B2AE5">
        <w:t xml:space="preserve"> </w:t>
      </w:r>
      <w:proofErr w:type="spellStart"/>
      <w:r w:rsidRPr="002B2AE5">
        <w:t>PiZZ</w:t>
      </w:r>
      <w:proofErr w:type="spellEnd"/>
      <w:r w:rsidRPr="002B2AE5">
        <w:t xml:space="preserve"> </w:t>
      </w:r>
      <w:r w:rsidRPr="004A59CC">
        <w:t xml:space="preserve">(protease inhibitor, homozygote </w:t>
      </w:r>
      <w:r>
        <w:t>Z</w:t>
      </w:r>
      <w:r w:rsidRPr="004A59CC">
        <w:t xml:space="preserve">) </w:t>
      </w:r>
      <w:r w:rsidRPr="002B2AE5">
        <w:t>allele</w:t>
      </w:r>
      <w:r>
        <w:t xml:space="preserve"> in Australia</w:t>
      </w:r>
      <w:r w:rsidRPr="002B2AE5">
        <w:t xml:space="preserve">, which </w:t>
      </w:r>
      <w:proofErr w:type="gramStart"/>
      <w:r>
        <w:t xml:space="preserve">is </w:t>
      </w:r>
      <w:r w:rsidRPr="002B2AE5">
        <w:t>i</w:t>
      </w:r>
      <w:r>
        <w:t>dentified</w:t>
      </w:r>
      <w:proofErr w:type="gramEnd"/>
      <w:r w:rsidRPr="002B2AE5">
        <w:t xml:space="preserve"> </w:t>
      </w:r>
      <w:r>
        <w:t xml:space="preserve">in </w:t>
      </w:r>
      <w:r w:rsidRPr="002B2AE5">
        <w:t xml:space="preserve">the most severely affected patients </w:t>
      </w:r>
      <w:r>
        <w:t>(</w:t>
      </w:r>
      <w:r w:rsidRPr="002B2AE5">
        <w:t>with greatly increased risk of em</w:t>
      </w:r>
      <w:r>
        <w:t>physema), is estimated at 1 in 5,</w:t>
      </w:r>
      <w:r w:rsidRPr="002B2AE5">
        <w:t>584.</w:t>
      </w:r>
      <w:r>
        <w:t xml:space="preserve"> The prevalence of </w:t>
      </w:r>
      <w:proofErr w:type="spellStart"/>
      <w:r>
        <w:t>PiSZ</w:t>
      </w:r>
      <w:proofErr w:type="spellEnd"/>
      <w:r>
        <w:t xml:space="preserve">, which </w:t>
      </w:r>
      <w:proofErr w:type="gramStart"/>
      <w:r>
        <w:t>is identified</w:t>
      </w:r>
      <w:proofErr w:type="gramEnd"/>
      <w:r>
        <w:t xml:space="preserve"> in individuals who produce less A1-PI than normal (and have an increased risk of emphysema), is estimated at 1 in 841. ESC noted </w:t>
      </w:r>
      <w:proofErr w:type="gramStart"/>
      <w:r>
        <w:t xml:space="preserve">that it is the </w:t>
      </w:r>
      <w:proofErr w:type="spellStart"/>
      <w:r>
        <w:t>PiZZ</w:t>
      </w:r>
      <w:proofErr w:type="spellEnd"/>
      <w:r>
        <w:t xml:space="preserve"> </w:t>
      </w:r>
      <w:proofErr w:type="spellStart"/>
      <w:r>
        <w:t>allelle</w:t>
      </w:r>
      <w:proofErr w:type="spellEnd"/>
      <w:r>
        <w:t xml:space="preserve"> </w:t>
      </w:r>
      <w:r w:rsidRPr="00062C67">
        <w:t>that contributes to the greatest burden of lung disease in the A1</w:t>
      </w:r>
      <w:r>
        <w:t>-</w:t>
      </w:r>
      <w:r w:rsidRPr="00062C67">
        <w:t>PI deficient population</w:t>
      </w:r>
      <w:r>
        <w:t>,</w:t>
      </w:r>
      <w:r w:rsidRPr="00062C67">
        <w:t xml:space="preserve"> but not all people with </w:t>
      </w:r>
      <w:proofErr w:type="spellStart"/>
      <w:r w:rsidRPr="00062C67">
        <w:t>PiZZ</w:t>
      </w:r>
      <w:proofErr w:type="spellEnd"/>
      <w:r w:rsidRPr="00062C67">
        <w:t xml:space="preserve"> A1</w:t>
      </w:r>
      <w:r>
        <w:t>-</w:t>
      </w:r>
      <w:r w:rsidRPr="00062C67">
        <w:t>PI deficiency go on to develop severe emphysema</w:t>
      </w:r>
      <w:proofErr w:type="gramEnd"/>
      <w:r w:rsidRPr="00062C67">
        <w:t>.</w:t>
      </w:r>
    </w:p>
    <w:p w14:paraId="486E2E0A" w14:textId="49903C4E" w:rsidR="00C415A2" w:rsidRDefault="00C415A2" w:rsidP="00687B5B">
      <w:pPr>
        <w:spacing w:after="240"/>
      </w:pPr>
      <w:r>
        <w:t xml:space="preserve">ESC noted that the </w:t>
      </w:r>
      <w:r w:rsidRPr="002B2AE5">
        <w:t xml:space="preserve">intended population </w:t>
      </w:r>
      <w:r>
        <w:t xml:space="preserve">comprises </w:t>
      </w:r>
      <w:r w:rsidRPr="002B2AE5">
        <w:t>ex-</w:t>
      </w:r>
      <w:r>
        <w:t xml:space="preserve">smokers or patients who have </w:t>
      </w:r>
      <w:r w:rsidRPr="002B2AE5">
        <w:t>never</w:t>
      </w:r>
      <w:r>
        <w:t xml:space="preserve"> smoked, who have</w:t>
      </w:r>
      <w:r w:rsidRPr="002B2AE5">
        <w:t xml:space="preserve"> emphysema and severe A1</w:t>
      </w:r>
      <w:r>
        <w:t>-</w:t>
      </w:r>
      <w:r w:rsidRPr="002B2AE5">
        <w:t>PI deficiency (serum A1</w:t>
      </w:r>
      <w:r>
        <w:t>-PI</w:t>
      </w:r>
      <w:r w:rsidRPr="002B2AE5">
        <w:t xml:space="preserve"> ≤11</w:t>
      </w:r>
      <w:r>
        <w:t> </w:t>
      </w:r>
      <w:proofErr w:type="spellStart"/>
      <w:r w:rsidRPr="002B2AE5">
        <w:t>μM</w:t>
      </w:r>
      <w:proofErr w:type="spellEnd"/>
      <w:r w:rsidRPr="002B2AE5">
        <w:t xml:space="preserve">). </w:t>
      </w:r>
      <w:r>
        <w:t xml:space="preserve">ESC noted that the contracted assessment estimated </w:t>
      </w:r>
      <w:r w:rsidRPr="002B2AE5">
        <w:t>that</w:t>
      </w:r>
      <w:r>
        <w:t xml:space="preserve"> </w:t>
      </w:r>
      <w:r w:rsidRPr="002B2AE5">
        <w:t>the number of people meeting the criteria for treatment with A1</w:t>
      </w:r>
      <w:r>
        <w:t>-</w:t>
      </w:r>
      <w:r w:rsidRPr="002B2AE5">
        <w:t xml:space="preserve">PI in Australia in 2018 was </w:t>
      </w:r>
      <w:r>
        <w:t xml:space="preserve">likely to </w:t>
      </w:r>
      <w:proofErr w:type="gramStart"/>
      <w:r>
        <w:t xml:space="preserve">be </w:t>
      </w:r>
      <w:r w:rsidR="00070D74">
        <w:rPr>
          <w:b/>
        </w:rPr>
        <w:t>r</w:t>
      </w:r>
      <w:r w:rsidR="006746AD" w:rsidRPr="006746AD">
        <w:rPr>
          <w:b/>
        </w:rPr>
        <w:t>edacted</w:t>
      </w:r>
      <w:proofErr w:type="gramEnd"/>
      <w:r w:rsidRPr="002B2AE5">
        <w:t xml:space="preserve">. Considering treatment is lifelong and not curative, the number of patients </w:t>
      </w:r>
      <w:proofErr w:type="gramStart"/>
      <w:r w:rsidRPr="002B2AE5">
        <w:t>being treated</w:t>
      </w:r>
      <w:proofErr w:type="gramEnd"/>
      <w:r w:rsidRPr="002B2AE5">
        <w:t xml:space="preserve"> is expected to have a moderate cumulative increase over time.</w:t>
      </w:r>
      <w:r>
        <w:t xml:space="preserve"> However, ESC noted that A1-PI appears to be under-diagnosed in the USA, which means it could also be the case in Australia. ESC noted that there are estimated 80,000–100,000 patients with severe A1-PI deficiency in the USA</w:t>
      </w:r>
      <w:r w:rsidRPr="0086770F">
        <w:t xml:space="preserve"> </w:t>
      </w:r>
      <w:r>
        <w:t>(</w:t>
      </w:r>
      <w:proofErr w:type="spellStart"/>
      <w:r>
        <w:t>Stoller</w:t>
      </w:r>
      <w:proofErr w:type="spellEnd"/>
      <w:r>
        <w:t xml:space="preserve"> et al.; </w:t>
      </w:r>
      <w:proofErr w:type="spellStart"/>
      <w:r w:rsidRPr="0073745C">
        <w:rPr>
          <w:i/>
        </w:rPr>
        <w:t>UpToDate</w:t>
      </w:r>
      <w:proofErr w:type="spellEnd"/>
      <w:r w:rsidRPr="000445A3">
        <w:t>).</w:t>
      </w:r>
    </w:p>
    <w:p w14:paraId="181A911B" w14:textId="3C5D2E56" w:rsidR="00C415A2" w:rsidRDefault="00C415A2" w:rsidP="00687B5B">
      <w:pPr>
        <w:spacing w:after="240"/>
      </w:pPr>
      <w:r>
        <w:t>A1-PI augmentation therapy</w:t>
      </w:r>
      <w:r w:rsidRPr="006467B0">
        <w:t xml:space="preserve"> is an intervention </w:t>
      </w:r>
      <w:r>
        <w:t xml:space="preserve">that </w:t>
      </w:r>
      <w:proofErr w:type="gramStart"/>
      <w:r>
        <w:t>can be added</w:t>
      </w:r>
      <w:proofErr w:type="gramEnd"/>
      <w:r>
        <w:t xml:space="preserve"> to</w:t>
      </w:r>
      <w:r w:rsidRPr="006467B0">
        <w:t xml:space="preserve"> BSC for patients with emphysema. </w:t>
      </w:r>
      <w:r>
        <w:t xml:space="preserve">ESC noted clinical advice received during the assessment that emphasised </w:t>
      </w:r>
      <w:r w:rsidRPr="00763793">
        <w:t xml:space="preserve">the necessity for patients to </w:t>
      </w:r>
      <w:r w:rsidRPr="0095146A">
        <w:t>maint</w:t>
      </w:r>
      <w:r>
        <w:t>ain</w:t>
      </w:r>
      <w:r w:rsidRPr="0095146A">
        <w:t xml:space="preserve"> a non-smoking status </w:t>
      </w:r>
      <w:r w:rsidRPr="00763793">
        <w:t xml:space="preserve">for </w:t>
      </w:r>
      <w:r>
        <w:t>this augmentation therapy</w:t>
      </w:r>
      <w:r w:rsidRPr="00763793">
        <w:t xml:space="preserve"> to be effective.</w:t>
      </w:r>
    </w:p>
    <w:p w14:paraId="2966B08B" w14:textId="405048D3" w:rsidR="00C415A2" w:rsidRDefault="00C415A2" w:rsidP="00687B5B">
      <w:pPr>
        <w:spacing w:after="240"/>
      </w:pPr>
      <w:r>
        <w:t>ESC noted that 17</w:t>
      </w:r>
      <w:r w:rsidRPr="006467B0">
        <w:t xml:space="preserve"> </w:t>
      </w:r>
      <w:r>
        <w:t>single-arm studies</w:t>
      </w:r>
      <w:r w:rsidRPr="006467B0">
        <w:t xml:space="preserve"> were </w:t>
      </w:r>
      <w:r>
        <w:t>included for the evaluation of safety outcomes</w:t>
      </w:r>
      <w:r w:rsidRPr="006467B0">
        <w:t>.</w:t>
      </w:r>
      <w:r w:rsidRPr="0055001C">
        <w:t xml:space="preserve"> </w:t>
      </w:r>
      <w:r w:rsidRPr="006467B0">
        <w:t xml:space="preserve">Overall, it appears that the intervention is safe, with most </w:t>
      </w:r>
      <w:r>
        <w:t xml:space="preserve">observed </w:t>
      </w:r>
      <w:r w:rsidRPr="006467B0">
        <w:t xml:space="preserve">events </w:t>
      </w:r>
      <w:r>
        <w:t xml:space="preserve">judged as </w:t>
      </w:r>
      <w:proofErr w:type="gramStart"/>
      <w:r w:rsidRPr="006467B0">
        <w:t>being related</w:t>
      </w:r>
      <w:proofErr w:type="gramEnd"/>
      <w:r w:rsidRPr="006467B0">
        <w:t xml:space="preserve"> to the underlying disease.</w:t>
      </w:r>
      <w:r w:rsidRPr="0095146A">
        <w:t xml:space="preserve"> </w:t>
      </w:r>
      <w:r>
        <w:t>ESC noted that patients with an IgA deficiency are at risk of an anaphylactic reaction.</w:t>
      </w:r>
    </w:p>
    <w:p w14:paraId="125EF89B" w14:textId="0580DF0E" w:rsidR="00C415A2" w:rsidRDefault="00C415A2" w:rsidP="00687B5B">
      <w:pPr>
        <w:spacing w:after="240"/>
      </w:pPr>
      <w:r w:rsidRPr="00F2110D">
        <w:t xml:space="preserve">ESC noted that no studies comparing </w:t>
      </w:r>
      <w:r>
        <w:t xml:space="preserve">A1-PI </w:t>
      </w:r>
      <w:r w:rsidRPr="00F2110D">
        <w:t xml:space="preserve">augmentation therapy to optimal pharmacological treatment and supportive care </w:t>
      </w:r>
      <w:proofErr w:type="gramStart"/>
      <w:r w:rsidRPr="00F2110D">
        <w:t>were identified</w:t>
      </w:r>
      <w:proofErr w:type="gramEnd"/>
      <w:r w:rsidRPr="00F2110D">
        <w:t xml:space="preserve">. </w:t>
      </w:r>
      <w:r>
        <w:t>ESC noted that, because of</w:t>
      </w:r>
      <w:r w:rsidRPr="00540459">
        <w:t xml:space="preserve"> the rarity of A1</w:t>
      </w:r>
      <w:r>
        <w:t>-</w:t>
      </w:r>
      <w:r w:rsidRPr="00540459">
        <w:t xml:space="preserve">PI deficiency, clinical trials are often underpowered to detect statistical differences in outcomes </w:t>
      </w:r>
      <w:r>
        <w:t>(</w:t>
      </w:r>
      <w:r w:rsidRPr="00540459">
        <w:t>such as quality of life and mortality</w:t>
      </w:r>
      <w:r>
        <w:t>)</w:t>
      </w:r>
      <w:r w:rsidRPr="00540459">
        <w:t>.</w:t>
      </w:r>
      <w:r>
        <w:t xml:space="preserve"> The key studies of A1-PI therapy have used </w:t>
      </w:r>
      <w:r w:rsidRPr="00540459">
        <w:t>CT</w:t>
      </w:r>
      <w:r>
        <w:t xml:space="preserve">-measured lung density (PD15; 15th percentile lung density) as a primary outcome. It </w:t>
      </w:r>
      <w:proofErr w:type="gramStart"/>
      <w:r>
        <w:t>is claimed</w:t>
      </w:r>
      <w:proofErr w:type="gramEnd"/>
      <w:r>
        <w:t xml:space="preserve"> that CT-measured lung density correlates</w:t>
      </w:r>
      <w:r w:rsidRPr="00540459">
        <w:t xml:space="preserve"> to markers of lung health and mortality, </w:t>
      </w:r>
      <w:r>
        <w:t xml:space="preserve">and this correlation has been used </w:t>
      </w:r>
      <w:r w:rsidRPr="00540459">
        <w:t>to infer clinical efficacy.</w:t>
      </w:r>
      <w:r w:rsidRPr="00E6538D">
        <w:t xml:space="preserve"> </w:t>
      </w:r>
      <w:r>
        <w:t xml:space="preserve">PD15 </w:t>
      </w:r>
      <w:proofErr w:type="gramStart"/>
      <w:r w:rsidRPr="007F34A5">
        <w:t>has been validated</w:t>
      </w:r>
      <w:proofErr w:type="gramEnd"/>
      <w:r w:rsidRPr="007F34A5">
        <w:t xml:space="preserve"> as a consistent measure of lung density</w:t>
      </w:r>
      <w:r>
        <w:t>,</w:t>
      </w:r>
      <w:r w:rsidRPr="007F34A5">
        <w:t xml:space="preserve"> specifically </w:t>
      </w:r>
      <w:r>
        <w:t>i</w:t>
      </w:r>
      <w:r w:rsidRPr="007F34A5">
        <w:t>n A1</w:t>
      </w:r>
      <w:r>
        <w:t>-</w:t>
      </w:r>
      <w:r w:rsidRPr="007F34A5">
        <w:t>PI deficient patients</w:t>
      </w:r>
      <w:r>
        <w:t>,</w:t>
      </w:r>
      <w:r w:rsidRPr="007F34A5">
        <w:t xml:space="preserve"> in order to overcome the challenges of adequately powering a study to detect significant differences in functional outcomes </w:t>
      </w:r>
      <w:r>
        <w:t>(</w:t>
      </w:r>
      <w:r w:rsidRPr="007F34A5">
        <w:t>such as FEV</w:t>
      </w:r>
      <w:r w:rsidRPr="00D329CD">
        <w:rPr>
          <w:vertAlign w:val="subscript"/>
        </w:rPr>
        <w:t>1</w:t>
      </w:r>
      <w:r>
        <w:t>)</w:t>
      </w:r>
      <w:r w:rsidRPr="007F34A5">
        <w:t xml:space="preserve"> (Parr et</w:t>
      </w:r>
      <w:r>
        <w:t> </w:t>
      </w:r>
      <w:r w:rsidRPr="007F34A5">
        <w:t xml:space="preserve">al. 2006; </w:t>
      </w:r>
      <w:proofErr w:type="spellStart"/>
      <w:r w:rsidRPr="007F34A5">
        <w:t>Schluchter</w:t>
      </w:r>
      <w:proofErr w:type="spellEnd"/>
      <w:r w:rsidRPr="007F34A5">
        <w:t xml:space="preserve"> et</w:t>
      </w:r>
      <w:r>
        <w:t> </w:t>
      </w:r>
      <w:r w:rsidRPr="007F34A5">
        <w:t>al. 2000)</w:t>
      </w:r>
      <w:r>
        <w:t>.</w:t>
      </w:r>
      <w:r w:rsidRPr="00E1460B">
        <w:t xml:space="preserve"> </w:t>
      </w:r>
      <w:r>
        <w:t>H</w:t>
      </w:r>
      <w:r w:rsidRPr="00E1460B">
        <w:t>owever,</w:t>
      </w:r>
      <w:r>
        <w:t xml:space="preserve"> ESC noted that</w:t>
      </w:r>
      <w:r w:rsidRPr="00E1460B">
        <w:t xml:space="preserve"> minimum clinically important differences (MCID) in CT</w:t>
      </w:r>
      <w:r>
        <w:t>-measured</w:t>
      </w:r>
      <w:r w:rsidRPr="00E1460B">
        <w:t xml:space="preserve"> </w:t>
      </w:r>
      <w:r>
        <w:t>lung density</w:t>
      </w:r>
      <w:r w:rsidRPr="00E1460B">
        <w:t xml:space="preserve"> for </w:t>
      </w:r>
      <w:r>
        <w:t xml:space="preserve">predicting changes in </w:t>
      </w:r>
      <w:r w:rsidRPr="00E1460B">
        <w:t xml:space="preserve">disease progression </w:t>
      </w:r>
      <w:proofErr w:type="gramStart"/>
      <w:r>
        <w:t xml:space="preserve">have </w:t>
      </w:r>
      <w:r w:rsidRPr="00E1460B">
        <w:t xml:space="preserve">not yet </w:t>
      </w:r>
      <w:r>
        <w:t xml:space="preserve">been </w:t>
      </w:r>
      <w:r w:rsidRPr="00E1460B">
        <w:t>defined</w:t>
      </w:r>
      <w:proofErr w:type="gramEnd"/>
      <w:r w:rsidRPr="00E1460B">
        <w:t xml:space="preserve"> in the </w:t>
      </w:r>
      <w:r>
        <w:t xml:space="preserve">peer-reviewed </w:t>
      </w:r>
      <w:r w:rsidRPr="00E1460B">
        <w:t>literature.</w:t>
      </w:r>
    </w:p>
    <w:p w14:paraId="60740E8D" w14:textId="77777777" w:rsidR="00C415A2" w:rsidRDefault="00C415A2" w:rsidP="00C415A2">
      <w:r>
        <w:t>ESC noted that t</w:t>
      </w:r>
      <w:r w:rsidRPr="006467B0">
        <w:t xml:space="preserve">hree </w:t>
      </w:r>
      <w:r>
        <w:t>randomised controlled trials</w:t>
      </w:r>
      <w:r w:rsidRPr="006467B0">
        <w:t xml:space="preserve"> </w:t>
      </w:r>
      <w:r>
        <w:t xml:space="preserve">(RCTs) </w:t>
      </w:r>
      <w:r w:rsidRPr="006467B0">
        <w:t xml:space="preserve">were identified </w:t>
      </w:r>
      <w:r>
        <w:t xml:space="preserve">(RAPID, EXACTLE and DIRKSEN99) </w:t>
      </w:r>
      <w:r w:rsidRPr="006467B0">
        <w:t>that evaluated the effectiveness of A1</w:t>
      </w:r>
      <w:r>
        <w:t>-</w:t>
      </w:r>
      <w:r w:rsidRPr="006467B0">
        <w:t xml:space="preserve">PI </w:t>
      </w:r>
      <w:r>
        <w:t xml:space="preserve">therapy </w:t>
      </w:r>
      <w:r w:rsidRPr="006467B0">
        <w:t>compared to placebo in 313</w:t>
      </w:r>
      <w:r>
        <w:t> </w:t>
      </w:r>
      <w:r w:rsidRPr="006467B0">
        <w:t xml:space="preserve">patients. </w:t>
      </w:r>
      <w:r>
        <w:t xml:space="preserve">The studies included </w:t>
      </w:r>
      <w:r w:rsidRPr="006467B0">
        <w:t>ex-</w:t>
      </w:r>
      <w:r>
        <w:t>smokers or patients who have never smoked,</w:t>
      </w:r>
      <w:r w:rsidRPr="006467B0">
        <w:t xml:space="preserve"> with severe A1</w:t>
      </w:r>
      <w:r>
        <w:t>-</w:t>
      </w:r>
      <w:r w:rsidRPr="006467B0">
        <w:t>PI deficiency (serum A1</w:t>
      </w:r>
      <w:r>
        <w:t>-PI</w:t>
      </w:r>
      <w:r w:rsidRPr="006467B0">
        <w:t xml:space="preserve"> ≤11</w:t>
      </w:r>
      <w:r>
        <w:t> </w:t>
      </w:r>
      <w:r w:rsidRPr="006467B0">
        <w:t xml:space="preserve">µM) and </w:t>
      </w:r>
      <w:r>
        <w:t xml:space="preserve">a range of </w:t>
      </w:r>
      <w:r w:rsidRPr="006467B0">
        <w:t xml:space="preserve">emphysema </w:t>
      </w:r>
      <w:r>
        <w:t xml:space="preserve">severity </w:t>
      </w:r>
      <w:r w:rsidRPr="006467B0">
        <w:t>(FEV</w:t>
      </w:r>
      <w:r w:rsidRPr="00D329CD">
        <w:rPr>
          <w:vertAlign w:val="subscript"/>
        </w:rPr>
        <w:t>1</w:t>
      </w:r>
      <w:r w:rsidRPr="006467B0">
        <w:t xml:space="preserve"> </w:t>
      </w:r>
      <w:r>
        <w:t>[</w:t>
      </w:r>
      <w:r w:rsidRPr="008E33BA">
        <w:t>forced expirato</w:t>
      </w:r>
      <w:r>
        <w:t>ry volume in 1 </w:t>
      </w:r>
      <w:r w:rsidRPr="008E33BA">
        <w:t>second</w:t>
      </w:r>
      <w:r>
        <w:t>]</w:t>
      </w:r>
      <w:r w:rsidRPr="008E33BA">
        <w:t xml:space="preserve"> </w:t>
      </w:r>
      <w:r w:rsidRPr="006467B0">
        <w:t xml:space="preserve">25% to 80%). </w:t>
      </w:r>
      <w:r>
        <w:t xml:space="preserve">ESC noted that </w:t>
      </w:r>
      <w:proofErr w:type="gramStart"/>
      <w:r>
        <w:t>different primary outcome measures were defined by the investigators</w:t>
      </w:r>
      <w:proofErr w:type="gramEnd"/>
      <w:r>
        <w:t>: the RAPID and EXACTLE trials used CT-measured lung density, while the DIRKSEN99 trial used FEV</w:t>
      </w:r>
      <w:r w:rsidRPr="00D329CD">
        <w:rPr>
          <w:vertAlign w:val="subscript"/>
        </w:rPr>
        <w:t>1</w:t>
      </w:r>
      <w:r w:rsidRPr="00802C07">
        <w:t>.</w:t>
      </w:r>
    </w:p>
    <w:p w14:paraId="3AAA407F" w14:textId="1FCF4333" w:rsidR="000D5BB8" w:rsidRDefault="00C415A2" w:rsidP="00687B5B">
      <w:pPr>
        <w:spacing w:after="240"/>
      </w:pPr>
      <w:r>
        <w:t xml:space="preserve">ESC noted that, at 24–30 months, no significant differences between A1-PI augmentation therapy and placebo were identified across these RCTs in relation to mortality, exacerbation of </w:t>
      </w:r>
      <w:r w:rsidRPr="00986FA8">
        <w:t xml:space="preserve">chronic obstructive pulmonary disease </w:t>
      </w:r>
      <w:r>
        <w:t>(COPD), hospitalisation due to COPD exacerbation, quality of life (</w:t>
      </w:r>
      <w:r w:rsidRPr="00B11790">
        <w:rPr>
          <w:shd w:val="clear" w:color="auto" w:fill="FFFFFF"/>
        </w:rPr>
        <w:t>St George’s Respiratory Questionnaire</w:t>
      </w:r>
      <w:r>
        <w:t xml:space="preserve">; SGRQ), respiratory </w:t>
      </w:r>
      <w:r>
        <w:lastRenderedPageBreak/>
        <w:t>function (FEV</w:t>
      </w:r>
      <w:r w:rsidRPr="00D329CD">
        <w:rPr>
          <w:vertAlign w:val="subscript"/>
        </w:rPr>
        <w:t>1</w:t>
      </w:r>
      <w:r>
        <w:t>), exercise capacity (incremental shuttle walk test) or carbon monoxide diffusion capacity (DLCO). No relevant data were identified for dyspnoea as a measure of respiratory function, or the BODE index (BMI, obstruction</w:t>
      </w:r>
      <w:r w:rsidR="000D5BB8">
        <w:t>, dyspnoea, exercise capacity).</w:t>
      </w:r>
    </w:p>
    <w:p w14:paraId="0A8354F9" w14:textId="78682060" w:rsidR="00C415A2" w:rsidRDefault="00C415A2" w:rsidP="00687B5B">
      <w:pPr>
        <w:spacing w:after="240"/>
      </w:pPr>
      <w:r>
        <w:t xml:space="preserve">The only statistically significant difference observed was for CT-measured lung density, which favoured A1-PI therapy. However, ESC noted that the clinical significance of this difference is uncertain, as MCIDs for changes in CT-measured lung density </w:t>
      </w:r>
      <w:proofErr w:type="gramStart"/>
      <w:r>
        <w:t>have not been established</w:t>
      </w:r>
      <w:proofErr w:type="gramEnd"/>
      <w:r>
        <w:t xml:space="preserve"> in the peer-reviewed literature.</w:t>
      </w:r>
      <w:r w:rsidRPr="00E6538D">
        <w:t xml:space="preserve"> However, </w:t>
      </w:r>
      <w:r>
        <w:t>ESC noted a recent</w:t>
      </w:r>
      <w:r w:rsidRPr="00D60C1B">
        <w:t xml:space="preserve"> American Thoracic Society </w:t>
      </w:r>
      <w:r>
        <w:t>conference abstract that has proposed an MCID threshold of –2.89 g/L</w:t>
      </w:r>
      <w:r w:rsidRPr="00D60C1B">
        <w:t xml:space="preserve"> </w:t>
      </w:r>
      <w:r w:rsidR="000D5BB8">
        <w:br/>
      </w:r>
      <w:r w:rsidRPr="00D60C1B">
        <w:t>(95% CI:</w:t>
      </w:r>
      <w:r w:rsidR="000D5BB8">
        <w:t xml:space="preserve"> </w:t>
      </w:r>
      <w:r w:rsidRPr="00D60C1B">
        <w:t>-2.59, -3.25</w:t>
      </w:r>
      <w:r>
        <w:t xml:space="preserve">; </w:t>
      </w:r>
      <w:r w:rsidRPr="00D60C1B">
        <w:t xml:space="preserve">Crossley et al 2018). </w:t>
      </w:r>
      <w:r>
        <w:t>In this context, one of the product manufacturers stated that “based on the annual preservation of lung tissue (0.74 g/L/year) demonstrated in the RAPID trial in favour of A1-PI therapy, the proposed MCID would be achieved within 3.9 years as compared to an untreated patient.”</w:t>
      </w:r>
    </w:p>
    <w:p w14:paraId="725178C5" w14:textId="5DCF4879" w:rsidR="000D5BB8" w:rsidRDefault="00C415A2" w:rsidP="00687B5B">
      <w:pPr>
        <w:spacing w:before="240" w:after="240"/>
      </w:pPr>
      <w:r>
        <w:t>ESC noted that the EXACTLE trial reported four methods for measuring CT-measured lung density. The assessment report used the 24-month data from the physiological adjustment method for comparability with the DIRKSEN99 and RAPID trials. ESC noted that a Cochrane review (</w:t>
      </w:r>
      <w:proofErr w:type="spellStart"/>
      <w:r w:rsidRPr="00146EB3">
        <w:t>Gotzsche</w:t>
      </w:r>
      <w:proofErr w:type="spellEnd"/>
      <w:r w:rsidRPr="00146EB3">
        <w:t xml:space="preserve"> and Johansen 2016)</w:t>
      </w:r>
      <w:r>
        <w:t>, that included an average of the four methods, yielded almost identical results as the assessment meta-analysis, indicating concor</w:t>
      </w:r>
      <w:r w:rsidR="000D5BB8">
        <w:t>dance of the different methods.</w:t>
      </w:r>
    </w:p>
    <w:p w14:paraId="74E7B60B" w14:textId="7633B92B" w:rsidR="00C415A2" w:rsidRDefault="00C415A2" w:rsidP="00687B5B">
      <w:pPr>
        <w:spacing w:after="240"/>
      </w:pPr>
      <w:r>
        <w:t>ESC noted that the comparative effectiveness measured by FEV</w:t>
      </w:r>
      <w:r w:rsidRPr="00212D68">
        <w:rPr>
          <w:vertAlign w:val="subscript"/>
        </w:rPr>
        <w:t>1</w:t>
      </w:r>
      <w:r>
        <w:t xml:space="preserve"> (showing no statistically significant difference between A1-PI therapy and placebo) was also similar across the assessment meta-an</w:t>
      </w:r>
      <w:r w:rsidR="000D5BB8">
        <w:t>alysis and the Cochrane review.</w:t>
      </w:r>
    </w:p>
    <w:p w14:paraId="4198C760" w14:textId="7AB91EB5" w:rsidR="00C415A2" w:rsidRDefault="00C415A2" w:rsidP="00687B5B">
      <w:pPr>
        <w:spacing w:after="240"/>
      </w:pPr>
      <w:r>
        <w:t>ESC noted that 12 studies reported on the correlation between CT-measured lung density, and lung function measures (FEV</w:t>
      </w:r>
      <w:r w:rsidRPr="00D329CD">
        <w:rPr>
          <w:vertAlign w:val="subscript"/>
        </w:rPr>
        <w:t>1</w:t>
      </w:r>
      <w:r>
        <w:t xml:space="preserve">, KCO gas transfer) and patient-relevant outcomes (mortality and quality of life). However, ESC noted confounding variables, such as differences in assessing lung density and lung zones, and </w:t>
      </w:r>
      <w:proofErr w:type="gramStart"/>
      <w:r>
        <w:t>that</w:t>
      </w:r>
      <w:proofErr w:type="gramEnd"/>
      <w:r>
        <w:t xml:space="preserve"> the reported correlations were largely cross-sectional rather than comparing changes in CT-measured lung density with changes in lung function measures over time. ESC noted a meta-analysis (Crossley et al.) reported a correlation between CT-measured lung density and FEV</w:t>
      </w:r>
      <w:r w:rsidRPr="00D329CD">
        <w:rPr>
          <w:vertAlign w:val="subscript"/>
        </w:rPr>
        <w:t>1</w:t>
      </w:r>
      <w:r>
        <w:t xml:space="preserve"> and KCO gas transfer, although there was a high degree of heterog</w:t>
      </w:r>
      <w:r w:rsidR="000D5BB8">
        <w:t>eneity across included studies.</w:t>
      </w:r>
    </w:p>
    <w:p w14:paraId="4327D0E9" w14:textId="6855F239" w:rsidR="00C415A2" w:rsidRDefault="00C415A2" w:rsidP="00687B5B">
      <w:pPr>
        <w:spacing w:after="240"/>
      </w:pPr>
      <w:r>
        <w:t>ESC noted the conclusions of the Assessment Report that, overall, CT-measured lung density correlates with lung function measures (FEV</w:t>
      </w:r>
      <w:r w:rsidRPr="00E1460B">
        <w:rPr>
          <w:vertAlign w:val="subscript"/>
        </w:rPr>
        <w:t>1</w:t>
      </w:r>
      <w:r>
        <w:t xml:space="preserve"> and K</w:t>
      </w:r>
      <w:r w:rsidRPr="00E1460B">
        <w:rPr>
          <w:vertAlign w:val="subscript"/>
        </w:rPr>
        <w:t>CO</w:t>
      </w:r>
      <w:r>
        <w:t>) and mortality, but findings were inconsistent regarding correlations between CT-measured lung density and quality of life.</w:t>
      </w:r>
    </w:p>
    <w:p w14:paraId="63E20E02" w14:textId="0215E513" w:rsidR="00C415A2" w:rsidRDefault="00C415A2" w:rsidP="00687B5B">
      <w:pPr>
        <w:spacing w:after="240"/>
      </w:pPr>
      <w:r>
        <w:t>ESC noted the claim that A1-PI therapy</w:t>
      </w:r>
      <w:r w:rsidRPr="00540459">
        <w:t xml:space="preserve"> meets three of the four criteria warranting </w:t>
      </w:r>
      <w:r>
        <w:t>R</w:t>
      </w:r>
      <w:r w:rsidRPr="00540459">
        <w:t xml:space="preserve">ule of </w:t>
      </w:r>
      <w:r>
        <w:t>R</w:t>
      </w:r>
      <w:r w:rsidRPr="00540459">
        <w:t xml:space="preserve">escue. </w:t>
      </w:r>
      <w:r>
        <w:t>However, i</w:t>
      </w:r>
      <w:r w:rsidRPr="00540459">
        <w:t xml:space="preserve">t is unclear whether </w:t>
      </w:r>
      <w:r>
        <w:t>CT-measured lung density is a sufficiently informative surrogate for the R</w:t>
      </w:r>
      <w:r w:rsidRPr="001E71F2">
        <w:t xml:space="preserve">ule of </w:t>
      </w:r>
      <w:r>
        <w:t>R</w:t>
      </w:r>
      <w:r w:rsidRPr="001E71F2">
        <w:t>escue</w:t>
      </w:r>
      <w:r>
        <w:t xml:space="preserve"> criterion of</w:t>
      </w:r>
      <w:r w:rsidRPr="001E71F2">
        <w:t xml:space="preserve"> </w:t>
      </w:r>
      <w:r>
        <w:t>‘worthwhile clinical improvement’.</w:t>
      </w:r>
    </w:p>
    <w:p w14:paraId="262F4F0A" w14:textId="5D614482" w:rsidR="00C415A2" w:rsidRDefault="00C415A2" w:rsidP="00687B5B">
      <w:pPr>
        <w:spacing w:after="240"/>
      </w:pPr>
      <w:r>
        <w:t>ESC</w:t>
      </w:r>
      <w:r w:rsidRPr="009B33B1">
        <w:t xml:space="preserve"> noted</w:t>
      </w:r>
      <w:r>
        <w:t xml:space="preserve"> </w:t>
      </w:r>
      <w:r w:rsidRPr="009B33B1">
        <w:t xml:space="preserve">there is the potential for </w:t>
      </w:r>
      <w:r>
        <w:t xml:space="preserve">selection and/or reporting </w:t>
      </w:r>
      <w:r w:rsidRPr="009B33B1">
        <w:t>bias in this area of research</w:t>
      </w:r>
      <w:r>
        <w:t>, given the small pool of researchers and the low frequency of investigator-initiated trials.</w:t>
      </w:r>
    </w:p>
    <w:p w14:paraId="65BF00C5" w14:textId="70F0B908" w:rsidR="00C415A2" w:rsidRDefault="00C415A2" w:rsidP="00687B5B">
      <w:pPr>
        <w:spacing w:after="240"/>
      </w:pPr>
      <w:r>
        <w:t xml:space="preserve">ESC also noted an earlier </w:t>
      </w:r>
      <w:r w:rsidRPr="003C28B4">
        <w:t xml:space="preserve">meta-analysis </w:t>
      </w:r>
      <w:r>
        <w:t>(COPD</w:t>
      </w:r>
      <w:r w:rsidRPr="003C28B4">
        <w:t xml:space="preserve"> 2009;</w:t>
      </w:r>
      <w:r>
        <w:t xml:space="preserve"> </w:t>
      </w:r>
      <w:r w:rsidRPr="003C28B4">
        <w:t xml:space="preserve">6(3):177-84) </w:t>
      </w:r>
      <w:r>
        <w:t>showed</w:t>
      </w:r>
      <w:r w:rsidRPr="003C28B4">
        <w:t xml:space="preserve"> </w:t>
      </w:r>
      <w:r>
        <w:t xml:space="preserve">A1-PI </w:t>
      </w:r>
      <w:r w:rsidRPr="003C28B4">
        <w:t>augmentation</w:t>
      </w:r>
      <w:r>
        <w:t xml:space="preserve"> therapy was</w:t>
      </w:r>
      <w:r w:rsidRPr="003C28B4">
        <w:t xml:space="preserve"> associated with a 26% reduction in rate of FEV</w:t>
      </w:r>
      <w:r w:rsidRPr="00D329CD">
        <w:rPr>
          <w:vertAlign w:val="subscript"/>
        </w:rPr>
        <w:t>1</w:t>
      </w:r>
      <w:r w:rsidRPr="003C28B4">
        <w:t xml:space="preserve"> dec</w:t>
      </w:r>
      <w:r>
        <w:t>line (absolute difference 17.9 </w:t>
      </w:r>
      <w:r w:rsidRPr="003C28B4">
        <w:t>m</w:t>
      </w:r>
      <w:r>
        <w:t>L</w:t>
      </w:r>
      <w:r w:rsidRPr="003C28B4">
        <w:t xml:space="preserve">/year; </w:t>
      </w:r>
      <w:r>
        <w:t xml:space="preserve">95% </w:t>
      </w:r>
      <w:r w:rsidRPr="003C28B4">
        <w:t>CI 9.6 to 26.1 m</w:t>
      </w:r>
      <w:r>
        <w:t>L</w:t>
      </w:r>
      <w:r w:rsidRPr="003C28B4">
        <w:t>/year)</w:t>
      </w:r>
      <w:r>
        <w:t xml:space="preserve"> in a </w:t>
      </w:r>
      <w:r w:rsidRPr="003C28B4">
        <w:t xml:space="preserve">subset </w:t>
      </w:r>
      <w:r>
        <w:t xml:space="preserve">of patients </w:t>
      </w:r>
      <w:r w:rsidRPr="003C28B4">
        <w:t>with baseline FEV</w:t>
      </w:r>
      <w:r w:rsidRPr="00D329CD">
        <w:rPr>
          <w:vertAlign w:val="subscript"/>
        </w:rPr>
        <w:t>1</w:t>
      </w:r>
      <w:r w:rsidRPr="003C28B4">
        <w:t xml:space="preserve"> </w:t>
      </w:r>
      <w:r>
        <w:t xml:space="preserve">of </w:t>
      </w:r>
      <w:r w:rsidRPr="003C28B4">
        <w:t>30</w:t>
      </w:r>
      <w:r>
        <w:t>–</w:t>
      </w:r>
      <w:r w:rsidRPr="003C28B4">
        <w:t xml:space="preserve">65%. Similar trends </w:t>
      </w:r>
      <w:r>
        <w:t>were seen in patients with baseline FEV</w:t>
      </w:r>
      <w:r w:rsidRPr="00D329CD">
        <w:rPr>
          <w:vertAlign w:val="subscript"/>
        </w:rPr>
        <w:t>1</w:t>
      </w:r>
      <w:r>
        <w:t xml:space="preserve"> of &lt;</w:t>
      </w:r>
      <w:r w:rsidRPr="003C28B4">
        <w:t>30% or &gt;65%</w:t>
      </w:r>
      <w:r>
        <w:t>,</w:t>
      </w:r>
      <w:r w:rsidRPr="003C28B4">
        <w:t xml:space="preserve"> </w:t>
      </w:r>
      <w:r>
        <w:t xml:space="preserve">but they were </w:t>
      </w:r>
      <w:r w:rsidRPr="003C28B4">
        <w:t>not statistically significant</w:t>
      </w:r>
      <w:r>
        <w:t xml:space="preserve">. This 26% treatment effect </w:t>
      </w:r>
      <w:proofErr w:type="gramStart"/>
      <w:r>
        <w:t>was used</w:t>
      </w:r>
      <w:proofErr w:type="gramEnd"/>
      <w:r>
        <w:t xml:space="preserve"> to drive differences across the A1-PI therapy and BSC arms of the modelled economic evaluation.</w:t>
      </w:r>
    </w:p>
    <w:p w14:paraId="6B8D7E93" w14:textId="77777777" w:rsidR="00C415A2" w:rsidRDefault="00C415A2" w:rsidP="00C415A2">
      <w:pPr>
        <w:pStyle w:val="NormalBeforeBullet"/>
      </w:pPr>
      <w:r>
        <w:lastRenderedPageBreak/>
        <w:t>ESC provided the following responses to key clinical policy issues:</w:t>
      </w:r>
    </w:p>
    <w:p w14:paraId="2E3DB4A8" w14:textId="77777777" w:rsidR="00C415A2" w:rsidRDefault="00C415A2" w:rsidP="00C415A2">
      <w:pPr>
        <w:pStyle w:val="Bullet"/>
      </w:pPr>
      <w:r>
        <w:t xml:space="preserve">Regarding whether there is clinical evidence to support </w:t>
      </w:r>
      <w:r w:rsidRPr="001E71F2">
        <w:t xml:space="preserve">a recommendation for public funding of </w:t>
      </w:r>
      <w:r>
        <w:t>A1-PI</w:t>
      </w:r>
      <w:r w:rsidRPr="001E71F2">
        <w:t xml:space="preserve"> products</w:t>
      </w:r>
      <w:r>
        <w:t xml:space="preserve"> – ESC noted that this requires accepting that CT-measured lung density </w:t>
      </w:r>
      <w:proofErr w:type="gramStart"/>
      <w:r>
        <w:t>has been demonstrated</w:t>
      </w:r>
      <w:proofErr w:type="gramEnd"/>
      <w:r>
        <w:t xml:space="preserve"> to be a surrogate for outcomes known to be clinically meaningful.</w:t>
      </w:r>
    </w:p>
    <w:p w14:paraId="10485033" w14:textId="77777777" w:rsidR="00C415A2" w:rsidRPr="003C28B4" w:rsidRDefault="00C415A2" w:rsidP="00C415A2">
      <w:pPr>
        <w:pStyle w:val="Bullet"/>
      </w:pPr>
      <w:r>
        <w:t>Regarding potential management criteria – ESC queried whether FEV</w:t>
      </w:r>
      <w:r w:rsidRPr="00D329CD">
        <w:rPr>
          <w:vertAlign w:val="subscript"/>
        </w:rPr>
        <w:t>1</w:t>
      </w:r>
      <w:r>
        <w:t xml:space="preserve"> </w:t>
      </w:r>
      <w:proofErr w:type="gramStart"/>
      <w:r>
        <w:t>should be added</w:t>
      </w:r>
      <w:proofErr w:type="gramEnd"/>
      <w:r>
        <w:t xml:space="preserve"> to the proposed initial eligibility criteria as a more objective measure of emphysema severity. ESC noted that </w:t>
      </w:r>
      <w:r w:rsidRPr="006467B0">
        <w:t>FEV</w:t>
      </w:r>
      <w:r w:rsidRPr="00D329CD">
        <w:rPr>
          <w:vertAlign w:val="subscript"/>
        </w:rPr>
        <w:t>1</w:t>
      </w:r>
      <w:r w:rsidRPr="006467B0">
        <w:t xml:space="preserve"> 25% to 80%</w:t>
      </w:r>
      <w:r>
        <w:t xml:space="preserve"> reflected the eligibility criteria across the three identified RCTs, and queried whether this could form the basis for stipulating a suitable threshold.</w:t>
      </w:r>
    </w:p>
    <w:p w14:paraId="41396CB9" w14:textId="77777777" w:rsidR="00C415A2" w:rsidRPr="002D7702" w:rsidRDefault="00C415A2" w:rsidP="00C415A2">
      <w:pPr>
        <w:pStyle w:val="BulletLast"/>
      </w:pPr>
      <w:r>
        <w:t xml:space="preserve">Regarding whether there is any </w:t>
      </w:r>
      <w:r w:rsidRPr="003C28B4">
        <w:t>material distinction between alpha-1 products currently registered in Australia (</w:t>
      </w:r>
      <w:proofErr w:type="spellStart"/>
      <w:r w:rsidRPr="003C28B4">
        <w:t>Prolastin</w:t>
      </w:r>
      <w:proofErr w:type="spellEnd"/>
      <w:r w:rsidRPr="003C28B4">
        <w:t xml:space="preserve">-C and </w:t>
      </w:r>
      <w:proofErr w:type="spellStart"/>
      <w:r w:rsidRPr="003C28B4">
        <w:t>Zemaira</w:t>
      </w:r>
      <w:proofErr w:type="spellEnd"/>
      <w:r w:rsidRPr="003C28B4">
        <w:t>)</w:t>
      </w:r>
      <w:r>
        <w:t>,</w:t>
      </w:r>
      <w:r w:rsidRPr="003C28B4">
        <w:t xml:space="preserve"> affecting </w:t>
      </w:r>
      <w:r>
        <w:t>clinical utility or price level – ESC noted evidence in the contracted assessment that demonstrated the t</w:t>
      </w:r>
      <w:r w:rsidRPr="002D7702">
        <w:t>wo agents are bioequivalent</w:t>
      </w:r>
      <w:r>
        <w:t xml:space="preserve">, with </w:t>
      </w:r>
      <w:r w:rsidRPr="002D7702">
        <w:t>60 mg/kg once weekly regimens yield</w:t>
      </w:r>
      <w:r>
        <w:t xml:space="preserve">ing </w:t>
      </w:r>
      <w:r w:rsidRPr="002D7702">
        <w:t>equivalent changes in trough serum antigenic A1</w:t>
      </w:r>
      <w:r>
        <w:t>-</w:t>
      </w:r>
      <w:r w:rsidRPr="002D7702">
        <w:t>PI levels</w:t>
      </w:r>
      <w:r>
        <w:t xml:space="preserve">. Neither product </w:t>
      </w:r>
      <w:proofErr w:type="gramStart"/>
      <w:r>
        <w:t>was found</w:t>
      </w:r>
      <w:proofErr w:type="gramEnd"/>
      <w:r>
        <w:t xml:space="preserve"> to be cost-effective at the prices currently proposed by the respective manufacturers.</w:t>
      </w:r>
    </w:p>
    <w:p w14:paraId="2EC301C6" w14:textId="628A49D4" w:rsidR="00C415A2" w:rsidRDefault="00C415A2" w:rsidP="00687B5B">
      <w:pPr>
        <w:spacing w:after="240"/>
      </w:pPr>
      <w:r>
        <w:t>ESC noted that the r</w:t>
      </w:r>
      <w:r w:rsidRPr="00D22342">
        <w:t xml:space="preserve">esults of the </w:t>
      </w:r>
      <w:r>
        <w:t xml:space="preserve">modelled </w:t>
      </w:r>
      <w:r w:rsidRPr="00D22342">
        <w:t xml:space="preserve">economic </w:t>
      </w:r>
      <w:r>
        <w:t xml:space="preserve">evaluation </w:t>
      </w:r>
      <w:proofErr w:type="gramStart"/>
      <w:r>
        <w:t xml:space="preserve">were </w:t>
      </w:r>
      <w:r w:rsidRPr="00D22342">
        <w:t>presented</w:t>
      </w:r>
      <w:proofErr w:type="gramEnd"/>
      <w:r w:rsidRPr="00D22342">
        <w:t xml:space="preserve"> in two steps. The first step outline</w:t>
      </w:r>
      <w:r>
        <w:t>d</w:t>
      </w:r>
      <w:r w:rsidRPr="00D22342">
        <w:t xml:space="preserve"> cost-effectiveness results for the trial period of four years. This length of follow-up reflects </w:t>
      </w:r>
      <w:r>
        <w:t xml:space="preserve">the </w:t>
      </w:r>
      <w:r w:rsidRPr="00D22342">
        <w:t>maximum follow-up of the RAPID trial (Chapman et al. 2015) and the open-label extension study (RAPID-OLE) (</w:t>
      </w:r>
      <w:proofErr w:type="spellStart"/>
      <w:r w:rsidRPr="00D22342">
        <w:t>McElvaney</w:t>
      </w:r>
      <w:proofErr w:type="spellEnd"/>
      <w:r w:rsidRPr="00D22342">
        <w:t xml:space="preserve"> et al. 2017). An average hypothetical cohort of 1,000 patients progresses between </w:t>
      </w:r>
      <w:proofErr w:type="gramStart"/>
      <w:r w:rsidRPr="00D22342">
        <w:t>FEV</w:t>
      </w:r>
      <w:r w:rsidRPr="00D22342">
        <w:rPr>
          <w:vertAlign w:val="subscript"/>
        </w:rPr>
        <w:t>1</w:t>
      </w:r>
      <w:r w:rsidRPr="00D22342">
        <w:t>%</w:t>
      </w:r>
      <w:proofErr w:type="gramEnd"/>
      <w:r w:rsidRPr="00D22342">
        <w:t xml:space="preserve"> and CT-measured lung density decline states based on results of the trial within a cohort-based semi-Markov model. </w:t>
      </w:r>
      <w:r>
        <w:t>Numerical differences in m</w:t>
      </w:r>
      <w:r w:rsidRPr="00D22342">
        <w:t xml:space="preserve">ortality </w:t>
      </w:r>
      <w:r>
        <w:t>across the A1-PI therapy and BSC arms</w:t>
      </w:r>
      <w:r w:rsidRPr="00D22342" w:rsidDel="00EC56F9">
        <w:t xml:space="preserve"> </w:t>
      </w:r>
      <w:r w:rsidRPr="00D22342">
        <w:t>were taken from the RAPID-OLE and RAPID studies for the first two and four years, respectively (</w:t>
      </w:r>
      <w:proofErr w:type="spellStart"/>
      <w:r w:rsidRPr="00D22342">
        <w:t>McElvaney</w:t>
      </w:r>
      <w:proofErr w:type="spellEnd"/>
      <w:r w:rsidRPr="00D22342">
        <w:t xml:space="preserve"> et al. 2017); (Chapman et al. 2015).</w:t>
      </w:r>
    </w:p>
    <w:p w14:paraId="333F9EC3" w14:textId="52014857" w:rsidR="00C415A2" w:rsidRDefault="00C415A2" w:rsidP="00687B5B">
      <w:pPr>
        <w:spacing w:after="240"/>
      </w:pPr>
      <w:r>
        <w:t xml:space="preserve">The efficacy benefit associated with treatment that leads to improvements in patient morbidity were captured in the model using RAPID trial data, with the primary analysis being expressed as the incremental cost per additional QALY gained. Resource use </w:t>
      </w:r>
      <w:proofErr w:type="gramStart"/>
      <w:r>
        <w:t>was attached</w:t>
      </w:r>
      <w:proofErr w:type="gramEnd"/>
      <w:r>
        <w:t xml:space="preserve"> to each state using proposed A1-PI maintenance therapy product costs and MBS item costs. Australian Refined Diagnosis Related Groups (AR-DRG) costs </w:t>
      </w:r>
      <w:proofErr w:type="gramStart"/>
      <w:r>
        <w:t>were applied</w:t>
      </w:r>
      <w:proofErr w:type="gramEnd"/>
      <w:r>
        <w:t xml:space="preserve"> to the frequency of GP and hospital presentations for UK COPD patients of differing severity (Thomas et al. 2014) to estimate disease manage</w:t>
      </w:r>
      <w:r w:rsidR="000D5BB8">
        <w:t>ment costs of A1-PI deficiency.</w:t>
      </w:r>
    </w:p>
    <w:p w14:paraId="4D8F4A13" w14:textId="1E5BF19C" w:rsidR="00C415A2" w:rsidRDefault="00C415A2" w:rsidP="00687B5B">
      <w:pPr>
        <w:spacing w:after="240"/>
      </w:pPr>
      <w:r>
        <w:t xml:space="preserve">The second step involved extrapolating RAPID transition data over an additional 26 years (lifetime). It was assumed that transitions between health states with varying rates of CT-measured lung density decline occurred during the follow-up of the RAPID and RAPID-OLE studies and that patients stayed on no, slow or rapid decline tracks for the remaining 26 years. The </w:t>
      </w:r>
      <w:proofErr w:type="gramStart"/>
      <w:r>
        <w:t>patient-level data on which the post hoc linear regression analyses were based were provided to the Assessment Group by the manufacturer that sponsored the RAPID and RAPID OLE studies</w:t>
      </w:r>
      <w:proofErr w:type="gramEnd"/>
      <w:r>
        <w:t>.</w:t>
      </w:r>
    </w:p>
    <w:p w14:paraId="0D1992A6" w14:textId="1A08CC1C" w:rsidR="00C415A2" w:rsidRPr="00D22342" w:rsidRDefault="00C415A2" w:rsidP="00C415A2">
      <w:pPr>
        <w:rPr>
          <w:szCs w:val="24"/>
        </w:rPr>
      </w:pPr>
      <w:r>
        <w:t xml:space="preserve">Mortality data for the remainder of the model’s lifelong time-horizon </w:t>
      </w:r>
      <w:proofErr w:type="gramStart"/>
      <w:r>
        <w:t>were based</w:t>
      </w:r>
      <w:proofErr w:type="gramEnd"/>
      <w:r>
        <w:t xml:space="preserve"> on observations from 10 years of followed-up patients in the UK AATD registry. A number of parametric models </w:t>
      </w:r>
      <w:proofErr w:type="gramStart"/>
      <w:r>
        <w:t>were fitted</w:t>
      </w:r>
      <w:proofErr w:type="gramEnd"/>
      <w:r>
        <w:t xml:space="preserve"> to the UK registry data by the Assessment Group to extrapolate observational data for the lifet</w:t>
      </w:r>
      <w:r w:rsidR="000D5BB8">
        <w:t>ime projections.</w:t>
      </w:r>
    </w:p>
    <w:p w14:paraId="3822CDA2" w14:textId="3886F8B8" w:rsidR="00C415A2" w:rsidRDefault="00C415A2" w:rsidP="00687B5B">
      <w:pPr>
        <w:spacing w:after="240"/>
      </w:pPr>
      <w:r>
        <w:t xml:space="preserve">ESC noted that a range of sensitivity analyses </w:t>
      </w:r>
      <w:proofErr w:type="gramStart"/>
      <w:r>
        <w:t>were undertaken</w:t>
      </w:r>
      <w:proofErr w:type="gramEnd"/>
      <w:r>
        <w:t xml:space="preserve"> to test the robustness of the results of the modelled economic evaluation. This included changes in baseline distributions of individuals with emphysema or COPD stratified according to extent of airflow obstruction, and being mild, moderate, or severe.</w:t>
      </w:r>
    </w:p>
    <w:p w14:paraId="333ADF86" w14:textId="0FDE8B53" w:rsidR="00C415A2" w:rsidRDefault="00C415A2" w:rsidP="00687B5B">
      <w:pPr>
        <w:spacing w:after="240"/>
      </w:pPr>
      <w:r>
        <w:lastRenderedPageBreak/>
        <w:t xml:space="preserve">ESC noted that most models for COPD health states </w:t>
      </w:r>
      <w:proofErr w:type="gramStart"/>
      <w:r>
        <w:t>are stratified</w:t>
      </w:r>
      <w:proofErr w:type="gramEnd"/>
      <w:r>
        <w:t xml:space="preserve"> by FEV</w:t>
      </w:r>
      <w:r w:rsidRPr="00212D68">
        <w:rPr>
          <w:vertAlign w:val="subscript"/>
        </w:rPr>
        <w:t>1</w:t>
      </w:r>
      <w:r>
        <w:t>. However, given that CT-measured lung density was the primary outcome in the RAPID trial, the model also incorporated FEV</w:t>
      </w:r>
      <w:r w:rsidRPr="00567D90">
        <w:rPr>
          <w:vertAlign w:val="subscript"/>
        </w:rPr>
        <w:t>1</w:t>
      </w:r>
      <w:r>
        <w:t xml:space="preserve"> to define the health states in the model as well as three levels pf predicted decline in CT-measured lung density (none, slow or rapid decline) as a driver for mortality. Patients could move from FEV</w:t>
      </w:r>
      <w:r w:rsidRPr="00212D68">
        <w:rPr>
          <w:vertAlign w:val="subscript"/>
        </w:rPr>
        <w:t>1</w:t>
      </w:r>
      <w:r>
        <w:t>&gt;50% to FEV</w:t>
      </w:r>
      <w:r w:rsidRPr="00212D68">
        <w:rPr>
          <w:vertAlign w:val="subscript"/>
        </w:rPr>
        <w:t>1</w:t>
      </w:r>
      <w:r>
        <w:t>&lt;50% health states, but not the other way around.</w:t>
      </w:r>
    </w:p>
    <w:p w14:paraId="69391925" w14:textId="714AFBFA" w:rsidR="00C415A2" w:rsidRDefault="00C415A2" w:rsidP="00687B5B">
      <w:pPr>
        <w:spacing w:after="240"/>
      </w:pPr>
      <w:r>
        <w:t xml:space="preserve">ESC noted clinical advice provided to the Assessment Group that, for the extrapolation after 4 years, the rate of CT-measured lung density decline in A1-PI patients </w:t>
      </w:r>
      <w:proofErr w:type="gramStart"/>
      <w:r>
        <w:t>stabilises</w:t>
      </w:r>
      <w:proofErr w:type="gramEnd"/>
      <w:r>
        <w:t>. Accordingly, the model assumed that, after the first 4 years of the modelling timeframe, patients would remain in the no, slow or rapid decline pathways for the remainder of the modelled timeframe.</w:t>
      </w:r>
    </w:p>
    <w:p w14:paraId="188C6824" w14:textId="432D2867" w:rsidR="00C415A2" w:rsidRDefault="00C415A2" w:rsidP="00687B5B">
      <w:pPr>
        <w:spacing w:after="240"/>
      </w:pPr>
      <w:r>
        <w:t xml:space="preserve">In the pre-modelling studies undertaken by the Assessment Group to extrapolate overall survival from UK registry with follow-up to 10 years, the </w:t>
      </w:r>
      <w:proofErr w:type="spellStart"/>
      <w:r>
        <w:t>Gompertz</w:t>
      </w:r>
      <w:proofErr w:type="spellEnd"/>
      <w:r>
        <w:t xml:space="preserve"> function </w:t>
      </w:r>
      <w:proofErr w:type="gramStart"/>
      <w:r>
        <w:t>was found</w:t>
      </w:r>
      <w:proofErr w:type="gramEnd"/>
      <w:r>
        <w:t xml:space="preserve"> to have the best fit (lowest AIC statistic) across most subpopulations and, for consistency, was used in the base case for all subpopulations. ESC noted that, whilst this choice was reasonable, other extrapolation functions of this overall survival curve were more favourable for the intervention.</w:t>
      </w:r>
    </w:p>
    <w:p w14:paraId="28CBA7EE" w14:textId="20BAB36F" w:rsidR="00C415A2" w:rsidRDefault="00C415A2" w:rsidP="00687B5B">
      <w:pPr>
        <w:spacing w:after="240"/>
      </w:pPr>
      <w:r>
        <w:t>ESC noted that the model was driven by the larger number of patients who are retained in the FEV</w:t>
      </w:r>
      <w:r w:rsidRPr="00D329CD">
        <w:rPr>
          <w:vertAlign w:val="subscript"/>
        </w:rPr>
        <w:t>1</w:t>
      </w:r>
      <w:r>
        <w:t xml:space="preserve">&lt;50% slow decline state, </w:t>
      </w:r>
      <w:proofErr w:type="gramStart"/>
      <w:r>
        <w:t>as a result</w:t>
      </w:r>
      <w:proofErr w:type="gramEnd"/>
      <w:r>
        <w:t xml:space="preserve"> of augmentation therapy. Most incremental life years saved (LYS) and </w:t>
      </w:r>
      <w:r w:rsidRPr="006A7C4F">
        <w:t>quality-adjusted life</w:t>
      </w:r>
      <w:r>
        <w:t xml:space="preserve"> </w:t>
      </w:r>
      <w:r w:rsidRPr="006A7C4F">
        <w:t>year</w:t>
      </w:r>
      <w:r>
        <w:t>s (QALYs) accrue to the FEV</w:t>
      </w:r>
      <w:r w:rsidRPr="00D329CD">
        <w:rPr>
          <w:vertAlign w:val="subscript"/>
        </w:rPr>
        <w:t>1</w:t>
      </w:r>
      <w:r>
        <w:t>&lt;50% slow decline state from the FEV</w:t>
      </w:r>
      <w:r w:rsidRPr="00D329CD">
        <w:rPr>
          <w:vertAlign w:val="subscript"/>
        </w:rPr>
        <w:t>1</w:t>
      </w:r>
      <w:r>
        <w:t>&lt;50% rapid decline state.</w:t>
      </w:r>
    </w:p>
    <w:p w14:paraId="66B39BAF" w14:textId="2774FCDB" w:rsidR="000D5BB8" w:rsidRDefault="00C415A2" w:rsidP="00687B5B">
      <w:pPr>
        <w:spacing w:after="240"/>
      </w:pPr>
      <w:r>
        <w:t xml:space="preserve">ESC noted the economic model yielded base case results well above the threshold usually considered by MSAC to be acceptably cost-effective: with an ICER of </w:t>
      </w:r>
      <w:r w:rsidR="006C1541" w:rsidRPr="006C1541">
        <w:t xml:space="preserve">more than $200,000 </w:t>
      </w:r>
      <w:r>
        <w:t xml:space="preserve">per QALY for the trial period of 4 years, and an ICER of </w:t>
      </w:r>
      <w:r w:rsidR="006C1541" w:rsidRPr="006C1541">
        <w:t xml:space="preserve">more than $200,000 </w:t>
      </w:r>
      <w:r>
        <w:t>per QALY fo</w:t>
      </w:r>
      <w:r w:rsidR="000D5BB8">
        <w:t>r the lifetime (30 year) model.</w:t>
      </w:r>
    </w:p>
    <w:p w14:paraId="29488013" w14:textId="2F2E3538" w:rsidR="00C415A2" w:rsidRDefault="00C415A2" w:rsidP="00687B5B">
      <w:pPr>
        <w:spacing w:after="240"/>
      </w:pPr>
      <w:r>
        <w:t xml:space="preserve">ESC noted that the incremental clinical benefit in the model accrues between 5 and 15 years (i.e. is driven by extrapolation of effects beyond the 4-year trial period). Sensitivity analyses showed that the cost of A1-PI product is the key driver of the economic model (accounting for </w:t>
      </w:r>
      <w:proofErr w:type="gramStart"/>
      <w:r w:rsidR="000C3F0E" w:rsidRPr="000C3F0E">
        <w:rPr>
          <w:b/>
        </w:rPr>
        <w:t>r</w:t>
      </w:r>
      <w:r w:rsidR="006746AD" w:rsidRPr="006746AD">
        <w:rPr>
          <w:b/>
        </w:rPr>
        <w:t>edacted</w:t>
      </w:r>
      <w:r w:rsidRPr="00C12413">
        <w:t>%</w:t>
      </w:r>
      <w:proofErr w:type="gramEnd"/>
      <w:r w:rsidRPr="00C12413">
        <w:t xml:space="preserve"> of </w:t>
      </w:r>
      <w:r>
        <w:t xml:space="preserve">the </w:t>
      </w:r>
      <w:r w:rsidRPr="00C12413">
        <w:t>cost</w:t>
      </w:r>
      <w:r>
        <w:t>). It is therefore uncertain what price would be acceptably cost-effective.</w:t>
      </w:r>
    </w:p>
    <w:p w14:paraId="00603A6A" w14:textId="5AAB4E3C" w:rsidR="000D5BB8" w:rsidRDefault="00C415A2" w:rsidP="00687B5B">
      <w:pPr>
        <w:spacing w:after="240"/>
      </w:pPr>
      <w:r>
        <w:t>ESC noted that, e</w:t>
      </w:r>
      <w:r w:rsidRPr="00624337">
        <w:t>ven at the lowest proposed price of $</w:t>
      </w:r>
      <w:r w:rsidR="00070D74">
        <w:rPr>
          <w:b/>
        </w:rPr>
        <w:t>r</w:t>
      </w:r>
      <w:r w:rsidR="006746AD" w:rsidRPr="006746AD">
        <w:rPr>
          <w:b/>
        </w:rPr>
        <w:t xml:space="preserve">edacted </w:t>
      </w:r>
      <w:r w:rsidRPr="00624337">
        <w:t>per 1,000</w:t>
      </w:r>
      <w:r>
        <w:t> </w:t>
      </w:r>
      <w:r w:rsidRPr="00624337">
        <w:t>m</w:t>
      </w:r>
      <w:r>
        <w:t>L</w:t>
      </w:r>
      <w:r w:rsidRPr="00624337">
        <w:t xml:space="preserve"> of A1</w:t>
      </w:r>
      <w:r>
        <w:t>-</w:t>
      </w:r>
      <w:r w:rsidRPr="00624337">
        <w:t>PI therapy</w:t>
      </w:r>
      <w:r>
        <w:t>,</w:t>
      </w:r>
      <w:r w:rsidRPr="00624337">
        <w:t xml:space="preserve"> the lifetime modelled ICER is </w:t>
      </w:r>
      <w:r w:rsidR="006C1541" w:rsidRPr="006C1541">
        <w:t xml:space="preserve">more than $200,000 </w:t>
      </w:r>
      <w:r w:rsidRPr="00624337">
        <w:t xml:space="preserve">per QALY. Unit prices that </w:t>
      </w:r>
      <w:r>
        <w:t xml:space="preserve">would </w:t>
      </w:r>
      <w:r w:rsidRPr="00624337">
        <w:t xml:space="preserve">generate </w:t>
      </w:r>
      <w:r>
        <w:t xml:space="preserve">ICERs within the range usually considered </w:t>
      </w:r>
      <w:proofErr w:type="gramStart"/>
      <w:r>
        <w:t xml:space="preserve">to be </w:t>
      </w:r>
      <w:r w:rsidRPr="00624337">
        <w:t>acceptable</w:t>
      </w:r>
      <w:proofErr w:type="gramEnd"/>
      <w:r w:rsidRPr="00624337">
        <w:t xml:space="preserve"> </w:t>
      </w:r>
      <w:r>
        <w:t xml:space="preserve">by MSAC </w:t>
      </w:r>
      <w:r w:rsidRPr="00624337">
        <w:t>are unlikely to be acceptable to the manufacturers.</w:t>
      </w:r>
      <w:r>
        <w:t xml:space="preserve"> Consequently, ESC suggested </w:t>
      </w:r>
      <w:r w:rsidRPr="00624337">
        <w:t xml:space="preserve">the </w:t>
      </w:r>
      <w:r>
        <w:t>a</w:t>
      </w:r>
      <w:r w:rsidRPr="00624337">
        <w:t xml:space="preserve">ssessment </w:t>
      </w:r>
      <w:r>
        <w:t>g</w:t>
      </w:r>
      <w:r w:rsidRPr="00624337">
        <w:t>roup</w:t>
      </w:r>
      <w:r>
        <w:t xml:space="preserve"> be asked to</w:t>
      </w:r>
      <w:r w:rsidRPr="00624337">
        <w:t xml:space="preserve"> explore different ‘</w:t>
      </w:r>
      <w:r>
        <w:t>continuation</w:t>
      </w:r>
      <w:r w:rsidRPr="00624337">
        <w:t xml:space="preserve"> rule’ scenarios, using the existing model structure, that are evidenc</w:t>
      </w:r>
      <w:r>
        <w:t>e-ba</w:t>
      </w:r>
      <w:r w:rsidR="000D5BB8">
        <w:t>sed and clinically feasible.</w:t>
      </w:r>
    </w:p>
    <w:p w14:paraId="0741EEC1" w14:textId="74B84E62" w:rsidR="00C415A2" w:rsidRDefault="00C415A2" w:rsidP="00687B5B">
      <w:pPr>
        <w:spacing w:after="240"/>
      </w:pPr>
      <w:r>
        <w:t>F</w:t>
      </w:r>
      <w:r w:rsidRPr="00624337">
        <w:t>or example</w:t>
      </w:r>
      <w:r>
        <w:t>,</w:t>
      </w:r>
      <w:r w:rsidRPr="00624337">
        <w:t xml:space="preserve"> what </w:t>
      </w:r>
      <w:r>
        <w:t xml:space="preserve">would </w:t>
      </w:r>
      <w:r w:rsidRPr="00624337">
        <w:t xml:space="preserve">the </w:t>
      </w:r>
      <w:r>
        <w:t xml:space="preserve">ICER </w:t>
      </w:r>
      <w:r w:rsidRPr="00624337">
        <w:t xml:space="preserve">impact </w:t>
      </w:r>
      <w:r>
        <w:t>be i</w:t>
      </w:r>
      <w:r w:rsidRPr="00624337">
        <w:t>f A1</w:t>
      </w:r>
      <w:r>
        <w:t>-</w:t>
      </w:r>
      <w:r w:rsidRPr="00624337">
        <w:t>PI therapy</w:t>
      </w:r>
      <w:r>
        <w:t xml:space="preserve"> was </w:t>
      </w:r>
      <w:r w:rsidRPr="00624337">
        <w:t>ceas</w:t>
      </w:r>
      <w:r>
        <w:t>ed after 4 </w:t>
      </w:r>
      <w:r w:rsidRPr="00624337">
        <w:t>years (the trial period)</w:t>
      </w:r>
      <w:r>
        <w:t>,</w:t>
      </w:r>
      <w:r w:rsidRPr="00624337">
        <w:t xml:space="preserve"> in patients who exhibit a rapid CT</w:t>
      </w:r>
      <w:r>
        <w:t xml:space="preserve">-measured </w:t>
      </w:r>
      <w:r w:rsidRPr="00624337">
        <w:t xml:space="preserve">lung density decline rate </w:t>
      </w:r>
      <w:r>
        <w:t xml:space="preserve">(for example </w:t>
      </w:r>
      <w:r w:rsidRPr="00624337">
        <w:t>&gt;2.0</w:t>
      </w:r>
      <w:r>
        <w:t> </w:t>
      </w:r>
      <w:r w:rsidRPr="00624337">
        <w:t>g/L</w:t>
      </w:r>
      <w:r>
        <w:t>)</w:t>
      </w:r>
      <w:r w:rsidRPr="00624337">
        <w:t xml:space="preserve"> whil</w:t>
      </w:r>
      <w:r>
        <w:t xml:space="preserve">e on treatment? ESC </w:t>
      </w:r>
      <w:r w:rsidRPr="00624337">
        <w:t>not</w:t>
      </w:r>
      <w:r>
        <w:t xml:space="preserve">ed </w:t>
      </w:r>
      <w:r w:rsidRPr="00624337">
        <w:t>this would require inclusion of CT</w:t>
      </w:r>
      <w:r>
        <w:t xml:space="preserve">-measured </w:t>
      </w:r>
      <w:r w:rsidRPr="00624337">
        <w:t xml:space="preserve">lung density scans </w:t>
      </w:r>
      <w:r>
        <w:t xml:space="preserve">(at a frequency that would need to be justified) </w:t>
      </w:r>
      <w:r w:rsidRPr="00624337">
        <w:t>to monitor response</w:t>
      </w:r>
      <w:r>
        <w:t xml:space="preserve">, and therefore </w:t>
      </w:r>
      <w:r w:rsidRPr="00624337">
        <w:t xml:space="preserve">need to be added to </w:t>
      </w:r>
      <w:r>
        <w:t>t</w:t>
      </w:r>
      <w:r w:rsidRPr="00624337">
        <w:t>reatment costs in the model</w:t>
      </w:r>
      <w:r>
        <w:t>,</w:t>
      </w:r>
      <w:r w:rsidRPr="00624337">
        <w:t xml:space="preserve"> </w:t>
      </w:r>
      <w:r>
        <w:t xml:space="preserve">while being </w:t>
      </w:r>
      <w:r w:rsidRPr="00624337">
        <w:t xml:space="preserve">removed from disease management costs </w:t>
      </w:r>
      <w:r>
        <w:t>(</w:t>
      </w:r>
      <w:r w:rsidRPr="00624337">
        <w:t xml:space="preserve">to avoid </w:t>
      </w:r>
      <w:proofErr w:type="gramStart"/>
      <w:r w:rsidRPr="00624337">
        <w:t>double-counting</w:t>
      </w:r>
      <w:proofErr w:type="gramEnd"/>
      <w:r>
        <w:t>).</w:t>
      </w:r>
    </w:p>
    <w:p w14:paraId="187E51B8" w14:textId="1D56CC06" w:rsidR="00C415A2" w:rsidRDefault="00C415A2" w:rsidP="00687B5B">
      <w:pPr>
        <w:spacing w:after="240"/>
      </w:pPr>
      <w:r>
        <w:t xml:space="preserve">When looking at the financial/budgetary impacts, ESC noted that there is no direct estimate available for the number of Australian patients with COPD with A1-PI deficiency. Estimates were derived from the prevalence of COPD patients in Australia, the estimated prevalence of ZZ phenotypes in the USA (adjusted to reflect Australian ethnicities), and the rate of A1-PI </w:t>
      </w:r>
      <w:r>
        <w:lastRenderedPageBreak/>
        <w:t xml:space="preserve">diagnosis using US data. ESC noted that if A1-PI augmentation therapy </w:t>
      </w:r>
      <w:proofErr w:type="gramStart"/>
      <w:r>
        <w:t>is funded</w:t>
      </w:r>
      <w:proofErr w:type="gramEnd"/>
      <w:r>
        <w:t xml:space="preserve"> on the NPL, current testing rates are likely to increase due to the availability of a treatment option.</w:t>
      </w:r>
    </w:p>
    <w:p w14:paraId="61E20263" w14:textId="300FEE22" w:rsidR="00C415A2" w:rsidRDefault="00C415A2" w:rsidP="00687B5B">
      <w:pPr>
        <w:spacing w:after="240"/>
      </w:pPr>
      <w:r>
        <w:t xml:space="preserve">ESC noted that the base case estimate of total costs to government was </w:t>
      </w:r>
      <w:r w:rsidR="006C1541">
        <w:t>$10 - $20 million per year</w:t>
      </w:r>
      <w:r>
        <w:t xml:space="preserve"> (2019–2023). ESC noted that these estimates are highly sensitive to the price of the products and </w:t>
      </w:r>
      <w:proofErr w:type="gramStart"/>
      <w:r>
        <w:t>were based</w:t>
      </w:r>
      <w:proofErr w:type="gramEnd"/>
      <w:r>
        <w:t xml:space="preserve"> on the weighted average of the price proposed by each of the </w:t>
      </w:r>
      <w:r w:rsidR="000D5BB8">
        <w:t>two manufacturers.</w:t>
      </w:r>
    </w:p>
    <w:p w14:paraId="46217E7D" w14:textId="177E95BC" w:rsidR="00C415A2" w:rsidRPr="00624337" w:rsidRDefault="00C415A2" w:rsidP="00687B5B">
      <w:pPr>
        <w:spacing w:after="240"/>
      </w:pPr>
      <w:r>
        <w:t xml:space="preserve">ESC noted that the financial estimates were also sensitive to assumptions around diagnosis rates and assumptions regarding the proportion of non-smokers in otherwise potentially eligible patients, and </w:t>
      </w:r>
      <w:proofErr w:type="gramStart"/>
      <w:r>
        <w:t>that higher rates</w:t>
      </w:r>
      <w:proofErr w:type="gramEnd"/>
      <w:r>
        <w:t xml:space="preserve"> for both of these assumptions are plausible and could reasonably be expected to yield financial estimates 2–3 times higher than those presented as the base case.</w:t>
      </w:r>
    </w:p>
    <w:p w14:paraId="0DFE5628" w14:textId="77777777" w:rsidR="00C415A2" w:rsidRDefault="00C415A2" w:rsidP="00C415A2">
      <w:pPr>
        <w:pStyle w:val="NormalBeforeBullet"/>
      </w:pPr>
      <w:r>
        <w:t>ESC noted that t</w:t>
      </w:r>
      <w:r w:rsidRPr="00026606">
        <w:t>he financial estimates are highly sensitive to</w:t>
      </w:r>
      <w:r>
        <w:t>:</w:t>
      </w:r>
    </w:p>
    <w:p w14:paraId="713C00B7" w14:textId="77777777" w:rsidR="00C415A2" w:rsidRDefault="00C415A2" w:rsidP="00D92F42">
      <w:pPr>
        <w:pStyle w:val="Bullet"/>
        <w:numPr>
          <w:ilvl w:val="0"/>
          <w:numId w:val="28"/>
        </w:numPr>
        <w:spacing w:after="0"/>
      </w:pPr>
      <w:r w:rsidRPr="00026606">
        <w:t xml:space="preserve">the price of </w:t>
      </w:r>
      <w:r w:rsidRPr="00624337">
        <w:t>A1</w:t>
      </w:r>
      <w:r>
        <w:t>-</w:t>
      </w:r>
      <w:r w:rsidRPr="00624337">
        <w:t>PI therapy</w:t>
      </w:r>
      <w:r>
        <w:t>;</w:t>
      </w:r>
    </w:p>
    <w:p w14:paraId="25F45190" w14:textId="77777777" w:rsidR="00C415A2" w:rsidRDefault="00C415A2" w:rsidP="00D92F42">
      <w:pPr>
        <w:pStyle w:val="Bullet"/>
        <w:numPr>
          <w:ilvl w:val="0"/>
          <w:numId w:val="28"/>
        </w:numPr>
        <w:spacing w:after="0"/>
      </w:pPr>
      <w:r w:rsidRPr="00026606">
        <w:t xml:space="preserve">assumptions around the proportion of </w:t>
      </w:r>
      <w:r>
        <w:t xml:space="preserve">patients </w:t>
      </w:r>
      <w:r w:rsidRPr="00026606">
        <w:t xml:space="preserve">with </w:t>
      </w:r>
      <w:r>
        <w:t>COPD who are diagnosed as</w:t>
      </w:r>
      <w:r w:rsidRPr="00026606">
        <w:t xml:space="preserve"> A1</w:t>
      </w:r>
      <w:r>
        <w:t>-</w:t>
      </w:r>
      <w:r w:rsidRPr="00026606">
        <w:t>PI</w:t>
      </w:r>
      <w:r>
        <w:t>-d</w:t>
      </w:r>
      <w:r w:rsidRPr="00026606">
        <w:t>eficient</w:t>
      </w:r>
      <w:r>
        <w:t>; and</w:t>
      </w:r>
    </w:p>
    <w:p w14:paraId="28E9B624" w14:textId="5076B02F" w:rsidR="00C415A2" w:rsidRDefault="00C415A2" w:rsidP="00D92F42">
      <w:pPr>
        <w:pStyle w:val="BulletLast"/>
        <w:numPr>
          <w:ilvl w:val="0"/>
          <w:numId w:val="28"/>
        </w:numPr>
        <w:spacing w:after="0"/>
      </w:pPr>
      <w:proofErr w:type="gramStart"/>
      <w:r w:rsidRPr="00026606">
        <w:t>the</w:t>
      </w:r>
      <w:proofErr w:type="gramEnd"/>
      <w:r w:rsidRPr="00026606">
        <w:t xml:space="preserve"> proportion of potentially eligible patients who are assumed to be non-smokers</w:t>
      </w:r>
      <w:r w:rsidR="000D5BB8">
        <w:t>.</w:t>
      </w:r>
    </w:p>
    <w:p w14:paraId="15761383" w14:textId="33AA633E" w:rsidR="00C415A2" w:rsidRDefault="00C415A2" w:rsidP="00687B5B">
      <w:pPr>
        <w:spacing w:before="240" w:after="240"/>
      </w:pPr>
      <w:proofErr w:type="gramStart"/>
      <w:r>
        <w:t>ESC suggested th</w:t>
      </w:r>
      <w:r w:rsidRPr="00026606">
        <w:t xml:space="preserve">e </w:t>
      </w:r>
      <w:r>
        <w:t>a</w:t>
      </w:r>
      <w:r w:rsidRPr="00026606">
        <w:t xml:space="preserve">ssessment </w:t>
      </w:r>
      <w:r>
        <w:t>g</w:t>
      </w:r>
      <w:r w:rsidRPr="00026606">
        <w:t xml:space="preserve">roup </w:t>
      </w:r>
      <w:r>
        <w:t xml:space="preserve">also </w:t>
      </w:r>
      <w:r w:rsidRPr="00026606">
        <w:t xml:space="preserve">undertake additional sensitivity analyses </w:t>
      </w:r>
      <w:r>
        <w:t xml:space="preserve">of the financial estimates </w:t>
      </w:r>
      <w:r w:rsidRPr="00026606">
        <w:t xml:space="preserve">around the price of </w:t>
      </w:r>
      <w:r w:rsidRPr="00624337">
        <w:t>A1</w:t>
      </w:r>
      <w:r>
        <w:t>-</w:t>
      </w:r>
      <w:r w:rsidRPr="00624337">
        <w:t>PI therapy</w:t>
      </w:r>
      <w:r w:rsidRPr="00026606">
        <w:t>, that correspond directly to the ‘</w:t>
      </w:r>
      <w:r>
        <w:t xml:space="preserve">continuation </w:t>
      </w:r>
      <w:r w:rsidRPr="00026606">
        <w:t>rule’ scenarios explored in the economic model, noting that</w:t>
      </w:r>
      <w:r>
        <w:t xml:space="preserve">, for </w:t>
      </w:r>
      <w:r w:rsidRPr="00026606">
        <w:t xml:space="preserve">the scenario </w:t>
      </w:r>
      <w:r>
        <w:t xml:space="preserve">suggested </w:t>
      </w:r>
      <w:r w:rsidRPr="00026606">
        <w:t>above</w:t>
      </w:r>
      <w:r>
        <w:t>,</w:t>
      </w:r>
      <w:r w:rsidRPr="00026606">
        <w:t xml:space="preserve"> this might require extending the timeframe of the financial analysis to </w:t>
      </w:r>
      <w:r>
        <w:t>10 </w:t>
      </w:r>
      <w:r w:rsidRPr="00026606">
        <w:t xml:space="preserve">years so that the impact of </w:t>
      </w:r>
      <w:r>
        <w:t>therapy</w:t>
      </w:r>
      <w:r w:rsidRPr="00026606">
        <w:t xml:space="preserve"> cessation after 4</w:t>
      </w:r>
      <w:r>
        <w:t> </w:t>
      </w:r>
      <w:r w:rsidRPr="00026606">
        <w:t>years can be captured.</w:t>
      </w:r>
      <w:proofErr w:type="gramEnd"/>
      <w:r w:rsidRPr="00026606">
        <w:t xml:space="preserve"> If a </w:t>
      </w:r>
      <w:r>
        <w:t>‘continuation</w:t>
      </w:r>
      <w:r w:rsidRPr="00026606">
        <w:t xml:space="preserve"> rule</w:t>
      </w:r>
      <w:r>
        <w:t>’</w:t>
      </w:r>
      <w:r w:rsidRPr="00026606">
        <w:t xml:space="preserve"> is proposed, </w:t>
      </w:r>
      <w:r>
        <w:t>any</w:t>
      </w:r>
      <w:r w:rsidRPr="00026606">
        <w:t xml:space="preserve"> additional </w:t>
      </w:r>
      <w:r>
        <w:t xml:space="preserve">MBS </w:t>
      </w:r>
      <w:r w:rsidRPr="00026606">
        <w:t>costs associated with implementing the rule (e.</w:t>
      </w:r>
      <w:r>
        <w:t>g. for </w:t>
      </w:r>
      <w:r w:rsidRPr="00026606">
        <w:t>CT</w:t>
      </w:r>
      <w:r>
        <w:t>-measured</w:t>
      </w:r>
      <w:r w:rsidRPr="00026606">
        <w:t xml:space="preserve"> </w:t>
      </w:r>
      <w:r>
        <w:t xml:space="preserve">lung density </w:t>
      </w:r>
      <w:r w:rsidRPr="00026606">
        <w:t>scans, smoking status tests) would need to be captured in the revised financial estimates.</w:t>
      </w:r>
    </w:p>
    <w:p w14:paraId="746D5240" w14:textId="747F07FE" w:rsidR="00C415A2" w:rsidRDefault="00C415A2" w:rsidP="00687B5B">
      <w:pPr>
        <w:spacing w:after="240"/>
      </w:pPr>
      <w:r>
        <w:t xml:space="preserve">ESC noted that an issue </w:t>
      </w:r>
      <w:proofErr w:type="gramStart"/>
      <w:r>
        <w:t>was raised</w:t>
      </w:r>
      <w:proofErr w:type="gramEnd"/>
      <w:r>
        <w:t xml:space="preserve"> at PASC about whether Indigenous Australians might be discriminated against if treatment was stopped when a patient continues smoking. However, ESC noted that PASC had received clinical expert advice that this is a disease mainly affecting non-Indigenous Australia</w:t>
      </w:r>
      <w:bookmarkStart w:id="156" w:name="Editing"/>
      <w:bookmarkEnd w:id="156"/>
      <w:r>
        <w:t>ns. It was noted that objective criteria would be needed for all patients receiving therapy, and that there is a significant opportunity cost for continuing A1-PI therapy in patients who smoke (as the treatment is rendered entirely ineffective by smoking).</w:t>
      </w:r>
    </w:p>
    <w:p w14:paraId="20F96068" w14:textId="77777777" w:rsidR="00C415A2" w:rsidRDefault="00C415A2" w:rsidP="00C415A2">
      <w:pPr>
        <w:pStyle w:val="NormalBeforeBullet"/>
      </w:pPr>
      <w:r>
        <w:t>ESC noted the following key economic and financial policy issues for MSAC:</w:t>
      </w:r>
    </w:p>
    <w:p w14:paraId="19F432B3" w14:textId="77777777" w:rsidR="00C415A2" w:rsidRPr="00F538EB" w:rsidRDefault="00C415A2" w:rsidP="00C415A2">
      <w:pPr>
        <w:pStyle w:val="Bullet"/>
      </w:pPr>
      <w:r w:rsidRPr="00F538EB">
        <w:t xml:space="preserve">The prices proposed by manufacturers do not yield ICERs within the range that is typically considered </w:t>
      </w:r>
      <w:proofErr w:type="gramStart"/>
      <w:r w:rsidRPr="00F538EB">
        <w:t xml:space="preserve">to be </w:t>
      </w:r>
      <w:r>
        <w:t>acceptably</w:t>
      </w:r>
      <w:proofErr w:type="gramEnd"/>
      <w:r>
        <w:t xml:space="preserve"> </w:t>
      </w:r>
      <w:r w:rsidRPr="00F538EB">
        <w:t>cost-effective.</w:t>
      </w:r>
    </w:p>
    <w:p w14:paraId="4849CA5A" w14:textId="77777777" w:rsidR="00C415A2" w:rsidRPr="00F538EB" w:rsidRDefault="00C415A2" w:rsidP="00C415A2">
      <w:pPr>
        <w:pStyle w:val="Bullet"/>
      </w:pPr>
      <w:r w:rsidRPr="00F538EB">
        <w:t>The</w:t>
      </w:r>
      <w:r>
        <w:t>re is</w:t>
      </w:r>
      <w:r w:rsidRPr="00F538EB">
        <w:t xml:space="preserve"> uncertainty surrounding </w:t>
      </w:r>
      <w:r>
        <w:t xml:space="preserve">both the </w:t>
      </w:r>
      <w:r w:rsidRPr="00F538EB">
        <w:t>primary outcome measure (CT</w:t>
      </w:r>
      <w:r>
        <w:t>-measured</w:t>
      </w:r>
      <w:r w:rsidRPr="00F538EB">
        <w:t xml:space="preserve"> lung density)</w:t>
      </w:r>
      <w:r>
        <w:t xml:space="preserve">, </w:t>
      </w:r>
      <w:r w:rsidRPr="00F538EB">
        <w:t xml:space="preserve">and </w:t>
      </w:r>
      <w:r>
        <w:t xml:space="preserve">also </w:t>
      </w:r>
      <w:r w:rsidRPr="00F538EB">
        <w:t>its correlation with survival</w:t>
      </w:r>
      <w:r>
        <w:t>, which</w:t>
      </w:r>
      <w:r w:rsidRPr="00F538EB">
        <w:t xml:space="preserve"> suggests post-listing data collection </w:t>
      </w:r>
      <w:r>
        <w:t>would be</w:t>
      </w:r>
      <w:r w:rsidRPr="00F538EB">
        <w:t xml:space="preserve"> warranted – the </w:t>
      </w:r>
      <w:r>
        <w:t xml:space="preserve">Australian Patient </w:t>
      </w:r>
      <w:r w:rsidRPr="00F538EB">
        <w:t xml:space="preserve">Registry </w:t>
      </w:r>
      <w:r>
        <w:t xml:space="preserve">proposed by one of the companies, </w:t>
      </w:r>
      <w:r w:rsidRPr="00F538EB">
        <w:t>could facilitate this.</w:t>
      </w:r>
    </w:p>
    <w:p w14:paraId="51E4C9EB" w14:textId="38C73C0A" w:rsidR="00C415A2" w:rsidRPr="00F538EB" w:rsidRDefault="00C415A2" w:rsidP="00C415A2">
      <w:pPr>
        <w:pStyle w:val="Bullet"/>
      </w:pPr>
      <w:r w:rsidRPr="00F538EB">
        <w:t>The treatment is high cost ($</w:t>
      </w:r>
      <w:r w:rsidR="004B537C">
        <w:rPr>
          <w:b/>
        </w:rPr>
        <w:t>r</w:t>
      </w:r>
      <w:r w:rsidR="008933CE" w:rsidRPr="008933CE">
        <w:rPr>
          <w:b/>
        </w:rPr>
        <w:t>edacted</w:t>
      </w:r>
      <w:r w:rsidRPr="00F538EB">
        <w:t xml:space="preserve"> per patient per year) for their lifetime, and known to be ineffective in smokers. Strict requirements </w:t>
      </w:r>
      <w:proofErr w:type="gramStart"/>
      <w:r>
        <w:t>would be</w:t>
      </w:r>
      <w:r w:rsidRPr="00F538EB">
        <w:t xml:space="preserve"> needed</w:t>
      </w:r>
      <w:proofErr w:type="gramEnd"/>
      <w:r w:rsidRPr="00F538EB">
        <w:t xml:space="preserve"> to ensure use is limited to non-smokers.</w:t>
      </w:r>
      <w:r>
        <w:t xml:space="preserve"> </w:t>
      </w:r>
    </w:p>
    <w:p w14:paraId="51231370" w14:textId="77777777" w:rsidR="00C415A2" w:rsidRPr="00F538EB" w:rsidRDefault="00C415A2" w:rsidP="00C415A2">
      <w:pPr>
        <w:pStyle w:val="Bullet"/>
      </w:pPr>
      <w:r>
        <w:t xml:space="preserve">The </w:t>
      </w:r>
      <w:r w:rsidRPr="00F538EB">
        <w:t>potential role for other</w:t>
      </w:r>
      <w:r>
        <w:t xml:space="preserve"> continuation </w:t>
      </w:r>
      <w:r w:rsidRPr="00F538EB">
        <w:t>rule</w:t>
      </w:r>
      <w:r>
        <w:t>s</w:t>
      </w:r>
      <w:r w:rsidRPr="00F538EB">
        <w:t xml:space="preserve"> for </w:t>
      </w:r>
      <w:r>
        <w:t xml:space="preserve">A1-PI therapy </w:t>
      </w:r>
      <w:proofErr w:type="gramStart"/>
      <w:r>
        <w:t>could be explored</w:t>
      </w:r>
      <w:proofErr w:type="gramEnd"/>
      <w:r w:rsidRPr="00F538EB">
        <w:t xml:space="preserve">, </w:t>
      </w:r>
      <w:r>
        <w:t xml:space="preserve">e.g. </w:t>
      </w:r>
      <w:r w:rsidRPr="00F538EB">
        <w:t xml:space="preserve">in patients who are not </w:t>
      </w:r>
      <w:r>
        <w:t xml:space="preserve">or no longer </w:t>
      </w:r>
      <w:r w:rsidRPr="00F538EB">
        <w:t xml:space="preserve">responding to treatment (after an agreed duration of treatment, and according to pre-specified, objective criteria) – again, the proposed </w:t>
      </w:r>
      <w:r>
        <w:t xml:space="preserve">Australian Patient </w:t>
      </w:r>
      <w:r w:rsidRPr="00F538EB">
        <w:t>Registry could assist with this.</w:t>
      </w:r>
    </w:p>
    <w:p w14:paraId="49AD8C13" w14:textId="485E017B" w:rsidR="00C415A2" w:rsidRDefault="00C415A2" w:rsidP="00C415A2">
      <w:pPr>
        <w:pStyle w:val="Bullet"/>
      </w:pPr>
      <w:r>
        <w:lastRenderedPageBreak/>
        <w:t xml:space="preserve">The </w:t>
      </w:r>
      <w:r w:rsidRPr="00F538EB">
        <w:t>potential role for a Risk Sharing</w:t>
      </w:r>
      <w:r w:rsidR="00F91D09">
        <w:t xml:space="preserve"> Agreement between the NBA and </w:t>
      </w:r>
      <w:r w:rsidRPr="00F538EB">
        <w:t>manufacturers</w:t>
      </w:r>
      <w:r>
        <w:t xml:space="preserve"> </w:t>
      </w:r>
      <w:proofErr w:type="gramStart"/>
      <w:r>
        <w:t>could be explored</w:t>
      </w:r>
      <w:proofErr w:type="gramEnd"/>
      <w:r w:rsidRPr="00F538EB">
        <w:t xml:space="preserve"> to manage the real potential of under</w:t>
      </w:r>
      <w:r>
        <w:t>-</w:t>
      </w:r>
      <w:r w:rsidRPr="00F538EB">
        <w:t>estimation of diagnosis and treatment rates in the potentially eligible population.</w:t>
      </w:r>
    </w:p>
    <w:p w14:paraId="21E38D52" w14:textId="77777777" w:rsidR="00C415A2" w:rsidRPr="00541F30" w:rsidRDefault="00C415A2" w:rsidP="00C415A2">
      <w:pPr>
        <w:pStyle w:val="BulletLast"/>
        <w:tabs>
          <w:tab w:val="left" w:pos="720"/>
          <w:tab w:val="left" w:pos="1140"/>
        </w:tabs>
      </w:pPr>
      <w:r>
        <w:t xml:space="preserve">Public funding of A1-PI therapy may result in changes in management; for example, increased </w:t>
      </w:r>
      <w:r w:rsidRPr="00E11347">
        <w:t>use of prior tests (i</w:t>
      </w:r>
      <w:r>
        <w:t>.</w:t>
      </w:r>
      <w:r w:rsidRPr="00E11347">
        <w:t>e</w:t>
      </w:r>
      <w:r>
        <w:t>. </w:t>
      </w:r>
      <w:r w:rsidRPr="00E11347">
        <w:t>capturing test-negative individuals as well as diagnosed individuals)</w:t>
      </w:r>
      <w:r>
        <w:t>, u</w:t>
      </w:r>
      <w:r w:rsidRPr="00E11347">
        <w:t>se of tests to monitor compliance with smoking cessation</w:t>
      </w:r>
      <w:r>
        <w:t>, and u</w:t>
      </w:r>
      <w:r w:rsidRPr="00E11347">
        <w:t xml:space="preserve">se of tests to monitor response to </w:t>
      </w:r>
      <w:r>
        <w:t>A1-PI therapy. If MBS-funded, t</w:t>
      </w:r>
      <w:r w:rsidRPr="00E11347">
        <w:t xml:space="preserve">hese impacts </w:t>
      </w:r>
      <w:r>
        <w:t xml:space="preserve">are </w:t>
      </w:r>
      <w:r w:rsidRPr="00E11347">
        <w:t>not currently captured in the financial estimates</w:t>
      </w:r>
      <w:r>
        <w:t>.</w:t>
      </w:r>
    </w:p>
    <w:p w14:paraId="31B14327" w14:textId="77777777" w:rsidR="00D90A38" w:rsidRPr="00F715D1" w:rsidRDefault="00BC1364" w:rsidP="00F715D1">
      <w:pPr>
        <w:pStyle w:val="Heading1"/>
      </w:pPr>
      <w:r w:rsidRPr="00F715D1">
        <w:t>Other significant factors</w:t>
      </w:r>
    </w:p>
    <w:p w14:paraId="786A0A21" w14:textId="03B885FC" w:rsidR="00DF48AA" w:rsidRDefault="00D92F42" w:rsidP="00DF48AA">
      <w:r>
        <w:t>Nil</w:t>
      </w:r>
    </w:p>
    <w:p w14:paraId="17138176" w14:textId="77777777" w:rsidR="00BC1364" w:rsidRPr="00F715D1" w:rsidRDefault="00BC1364" w:rsidP="00F715D1">
      <w:pPr>
        <w:pStyle w:val="Heading1"/>
      </w:pPr>
      <w:r w:rsidRPr="00F715D1">
        <w:t xml:space="preserve">Applicant’s comments on MSAC’s </w:t>
      </w:r>
      <w:r w:rsidR="00DA56AA" w:rsidRPr="00F715D1">
        <w:t>Public Summary Document</w:t>
      </w:r>
    </w:p>
    <w:p w14:paraId="3D8E7EC9" w14:textId="404E022E" w:rsidR="00DA1268" w:rsidRDefault="00591EF1" w:rsidP="00DA1268">
      <w:pPr>
        <w:rPr>
          <w:szCs w:val="24"/>
        </w:rPr>
      </w:pPr>
      <w:r w:rsidRPr="00591EF1">
        <w:rPr>
          <w:szCs w:val="24"/>
        </w:rPr>
        <w:t xml:space="preserve">CSL Behring is disappointed MSAC did not support A1-PI replacement therapy for the treatment of A1-PI deficiency with COPD. </w:t>
      </w:r>
      <w:r w:rsidR="00DA26F3" w:rsidRPr="00591EF1">
        <w:rPr>
          <w:szCs w:val="24"/>
        </w:rPr>
        <w:t>A1-PI deficiency with COPD is a life-threatening and very rare condition</w:t>
      </w:r>
      <w:r w:rsidR="0099479E">
        <w:rPr>
          <w:szCs w:val="24"/>
        </w:rPr>
        <w:t>,</w:t>
      </w:r>
      <w:r w:rsidR="00DA26F3" w:rsidRPr="00591EF1">
        <w:rPr>
          <w:szCs w:val="24"/>
        </w:rPr>
        <w:t xml:space="preserve"> with no currently funded disease-modifying treatment alternatives. </w:t>
      </w:r>
      <w:r w:rsidRPr="00591EF1">
        <w:rPr>
          <w:szCs w:val="24"/>
        </w:rPr>
        <w:t xml:space="preserve">CSL Behring agrees with MSAC that there is a </w:t>
      </w:r>
      <w:proofErr w:type="gramStart"/>
      <w:r w:rsidRPr="00591EF1">
        <w:rPr>
          <w:szCs w:val="24"/>
        </w:rPr>
        <w:t>high unmet</w:t>
      </w:r>
      <w:proofErr w:type="gramEnd"/>
      <w:r w:rsidRPr="00591EF1">
        <w:rPr>
          <w:szCs w:val="24"/>
        </w:rPr>
        <w:t xml:space="preserve"> medical need for patients with A1-PI deficiency and strong consumer support for funded access, and is pleased that MSAC acknowledged the clear physiological effect </w:t>
      </w:r>
      <w:r w:rsidR="00DA26F3" w:rsidRPr="00591EF1">
        <w:rPr>
          <w:szCs w:val="24"/>
        </w:rPr>
        <w:t xml:space="preserve">of A1-PI therapy </w:t>
      </w:r>
      <w:r w:rsidRPr="00591EF1">
        <w:rPr>
          <w:szCs w:val="24"/>
        </w:rPr>
        <w:t xml:space="preserve">on lung density. CSL Behring </w:t>
      </w:r>
      <w:r w:rsidR="00DA26F3">
        <w:rPr>
          <w:szCs w:val="24"/>
        </w:rPr>
        <w:t xml:space="preserve">maintains that the evidence supporting the benefit of A1-PI therapy is strong in the </w:t>
      </w:r>
      <w:r w:rsidRPr="00591EF1">
        <w:rPr>
          <w:szCs w:val="24"/>
        </w:rPr>
        <w:t>context of this rare and slowly progressive disease</w:t>
      </w:r>
      <w:r w:rsidR="00DA26F3">
        <w:rPr>
          <w:szCs w:val="24"/>
        </w:rPr>
        <w:t>, noting that it</w:t>
      </w:r>
      <w:r w:rsidRPr="00591EF1">
        <w:rPr>
          <w:szCs w:val="24"/>
        </w:rPr>
        <w:t xml:space="preserve"> is not feasible to collect survival outcome data in a clinical trial setting likely to be sufficient to satisfy MSAC’s requirements in a timely manner. CSL Behring believes there is a strong basis for applying a broader decision-making framework in this context, beyond the conventional evaluation approach used in MSAC’s consideration. CSL Behring remains committed to working with the </w:t>
      </w:r>
      <w:r w:rsidR="0099479E">
        <w:rPr>
          <w:szCs w:val="24"/>
        </w:rPr>
        <w:t>National Blood Authority and</w:t>
      </w:r>
      <w:r w:rsidRPr="00591EF1">
        <w:rPr>
          <w:szCs w:val="24"/>
        </w:rPr>
        <w:t xml:space="preserve"> Jurisdictional Blood Committee to continue to progress the application for timely funded treatment for Australian patients suffering from this devastating disease.</w:t>
      </w:r>
    </w:p>
    <w:p w14:paraId="0BA997CB" w14:textId="57128D96" w:rsidR="00DA1268" w:rsidRPr="00DA1268" w:rsidRDefault="00DA1268" w:rsidP="00DA1268">
      <w:pPr>
        <w:spacing w:before="240"/>
        <w:rPr>
          <w:szCs w:val="24"/>
        </w:rPr>
      </w:pPr>
      <w:proofErr w:type="spellStart"/>
      <w:r w:rsidRPr="00DA1268">
        <w:rPr>
          <w:szCs w:val="24"/>
        </w:rPr>
        <w:t>Grifols</w:t>
      </w:r>
      <w:proofErr w:type="spellEnd"/>
      <w:r w:rsidRPr="00DA1268">
        <w:rPr>
          <w:szCs w:val="24"/>
        </w:rPr>
        <w:t xml:space="preserve"> </w:t>
      </w:r>
      <w:proofErr w:type="gramStart"/>
      <w:r w:rsidRPr="00DA1268">
        <w:rPr>
          <w:szCs w:val="24"/>
        </w:rPr>
        <w:t>is disappointed</w:t>
      </w:r>
      <w:proofErr w:type="gramEnd"/>
      <w:r w:rsidRPr="00DA1268">
        <w:rPr>
          <w:szCs w:val="24"/>
        </w:rPr>
        <w:t xml:space="preserve"> with the decision by the Medical Services Advisory Committee (MSAC) not to support purified human alpha1-proteinase inhibitor (A1-PI) for the treatment of patients with A1-PI deficiency</w:t>
      </w:r>
      <w:r w:rsidR="009A09EB">
        <w:rPr>
          <w:szCs w:val="24"/>
        </w:rPr>
        <w:t xml:space="preserve">. </w:t>
      </w:r>
      <w:proofErr w:type="spellStart"/>
      <w:r w:rsidR="009A09EB">
        <w:rPr>
          <w:szCs w:val="24"/>
        </w:rPr>
        <w:t>Grifols</w:t>
      </w:r>
      <w:proofErr w:type="spellEnd"/>
      <w:r w:rsidR="009A09EB">
        <w:rPr>
          <w:szCs w:val="24"/>
        </w:rPr>
        <w:t xml:space="preserve"> </w:t>
      </w:r>
      <w:r w:rsidRPr="00DA1268">
        <w:rPr>
          <w:szCs w:val="24"/>
        </w:rPr>
        <w:t>is committed to work</w:t>
      </w:r>
      <w:r w:rsidR="009A09EB">
        <w:rPr>
          <w:szCs w:val="24"/>
        </w:rPr>
        <w:t>ing</w:t>
      </w:r>
      <w:r w:rsidRPr="00DA1268">
        <w:rPr>
          <w:szCs w:val="24"/>
        </w:rPr>
        <w:t xml:space="preserve"> with the</w:t>
      </w:r>
      <w:r w:rsidR="009A09EB">
        <w:rPr>
          <w:szCs w:val="24"/>
        </w:rPr>
        <w:t xml:space="preserve"> National Blood Authority </w:t>
      </w:r>
      <w:r w:rsidRPr="00DA1268">
        <w:rPr>
          <w:szCs w:val="24"/>
        </w:rPr>
        <w:t xml:space="preserve">and other relevant stakeholders, including clinicians and patient organisations, to ensure that this effective medicine, with a positive impact on survival, will be made available to those in need and who have the greatest capacity to benefit using appropriate mechanisms (e.g. </w:t>
      </w:r>
      <w:proofErr w:type="spellStart"/>
      <w:r w:rsidRPr="00DA1268">
        <w:rPr>
          <w:szCs w:val="24"/>
        </w:rPr>
        <w:t>Grifols</w:t>
      </w:r>
      <w:proofErr w:type="spellEnd"/>
      <w:r w:rsidR="009A09EB">
        <w:rPr>
          <w:szCs w:val="24"/>
        </w:rPr>
        <w:t>’</w:t>
      </w:r>
      <w:r w:rsidRPr="00DA1268">
        <w:rPr>
          <w:szCs w:val="24"/>
        </w:rPr>
        <w:t xml:space="preserve"> latest generation genetic tools, initiation and continuation criteria). </w:t>
      </w:r>
      <w:proofErr w:type="spellStart"/>
      <w:r w:rsidRPr="00DA1268">
        <w:rPr>
          <w:szCs w:val="24"/>
        </w:rPr>
        <w:t>Grifols</w:t>
      </w:r>
      <w:proofErr w:type="spellEnd"/>
      <w:r w:rsidRPr="00DA1268">
        <w:rPr>
          <w:szCs w:val="24"/>
        </w:rPr>
        <w:t xml:space="preserve"> welcomes the acknowledgement by </w:t>
      </w:r>
      <w:r w:rsidR="009A09EB">
        <w:rPr>
          <w:szCs w:val="24"/>
        </w:rPr>
        <w:t xml:space="preserve">MSAC’s Evaluation Sub-Committee </w:t>
      </w:r>
      <w:r w:rsidRPr="00DA1268">
        <w:rPr>
          <w:szCs w:val="24"/>
        </w:rPr>
        <w:t>that A1-P1 deficiency is a rare disease and that clinical trials for rare diseases are often underpowered to detect cl</w:t>
      </w:r>
      <w:r w:rsidR="009A09EB">
        <w:rPr>
          <w:szCs w:val="24"/>
        </w:rPr>
        <w:t xml:space="preserve">inically significant outcomes. </w:t>
      </w:r>
      <w:r w:rsidRPr="00DA1268">
        <w:rPr>
          <w:szCs w:val="24"/>
        </w:rPr>
        <w:t>Furthermore, the company is keen to work through the cost-effectiveness, albeit acknowledging the current conventional framework is not well suited to treatments for rare diseases like A1-PI. Indeed, other factors</w:t>
      </w:r>
      <w:r w:rsidR="009A09EB">
        <w:rPr>
          <w:szCs w:val="24"/>
        </w:rPr>
        <w:t>,</w:t>
      </w:r>
      <w:r w:rsidRPr="00DA1268">
        <w:rPr>
          <w:szCs w:val="24"/>
        </w:rPr>
        <w:t xml:space="preserve"> such as the current lack of clinically effective treatments, clinical need, seriousness of the disease, the rule of rescue, as well as access and affordabili</w:t>
      </w:r>
      <w:r w:rsidR="009A09EB">
        <w:rPr>
          <w:szCs w:val="24"/>
        </w:rPr>
        <w:t xml:space="preserve">ty from the patient perspective, and </w:t>
      </w:r>
      <w:r w:rsidRPr="00DA1268">
        <w:rPr>
          <w:szCs w:val="24"/>
        </w:rPr>
        <w:t xml:space="preserve">comparatively small financial implications </w:t>
      </w:r>
      <w:r w:rsidR="00BD740F">
        <w:rPr>
          <w:szCs w:val="24"/>
        </w:rPr>
        <w:t xml:space="preserve">for Federal and State/Territory </w:t>
      </w:r>
      <w:r w:rsidRPr="00DA1268">
        <w:rPr>
          <w:szCs w:val="24"/>
        </w:rPr>
        <w:t>government</w:t>
      </w:r>
      <w:r w:rsidR="00BD740F">
        <w:rPr>
          <w:szCs w:val="24"/>
        </w:rPr>
        <w:t>s</w:t>
      </w:r>
      <w:r w:rsidRPr="00DA1268">
        <w:rPr>
          <w:szCs w:val="24"/>
        </w:rPr>
        <w:t xml:space="preserve">, </w:t>
      </w:r>
      <w:proofErr w:type="gramStart"/>
      <w:r w:rsidRPr="00DA1268">
        <w:rPr>
          <w:szCs w:val="24"/>
        </w:rPr>
        <w:t>should also be considered</w:t>
      </w:r>
      <w:proofErr w:type="gramEnd"/>
      <w:r w:rsidRPr="00DA1268">
        <w:rPr>
          <w:szCs w:val="24"/>
        </w:rPr>
        <w:t xml:space="preserve"> when assessing the social value of medicines to treat A1-PI.</w:t>
      </w:r>
    </w:p>
    <w:p w14:paraId="3D6A8B8D" w14:textId="77777777" w:rsidR="00BC1364" w:rsidRPr="00F715D1" w:rsidRDefault="00271F18" w:rsidP="00F715D1">
      <w:pPr>
        <w:pStyle w:val="Heading1"/>
      </w:pPr>
      <w:r w:rsidRPr="00F715D1">
        <w:t>Further information on MSAC</w:t>
      </w:r>
    </w:p>
    <w:p w14:paraId="3B787FC2"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5" w:tooltip="Link to Medical Services Advisory Committee website" w:history="1">
        <w:r w:rsidR="00BC2667" w:rsidRPr="00F715D1">
          <w:rPr>
            <w:rStyle w:val="Hyperlink"/>
            <w:szCs w:val="24"/>
          </w:rPr>
          <w:t>visit the MSAC website</w:t>
        </w:r>
      </w:hyperlink>
    </w:p>
    <w:sectPr w:rsidR="00BC1364" w:rsidRPr="00F715D1" w:rsidSect="00933775">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426"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FC7C3" w14:textId="77777777" w:rsidR="006C1541" w:rsidRDefault="006C1541" w:rsidP="00065623">
      <w:r>
        <w:separator/>
      </w:r>
    </w:p>
  </w:endnote>
  <w:endnote w:type="continuationSeparator" w:id="0">
    <w:p w14:paraId="7AF33172" w14:textId="77777777" w:rsidR="006C1541" w:rsidRDefault="006C1541"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003B" w14:textId="77777777" w:rsidR="008B2A22" w:rsidRDefault="008B2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51A54625" w14:textId="4731820A" w:rsidR="006C1541" w:rsidRDefault="006C1541">
        <w:pPr>
          <w:pStyle w:val="Footer"/>
          <w:jc w:val="right"/>
        </w:pPr>
        <w:r>
          <w:fldChar w:fldCharType="begin"/>
        </w:r>
        <w:r>
          <w:instrText xml:space="preserve"> PAGE   \* MERGEFORMAT </w:instrText>
        </w:r>
        <w:r>
          <w:fldChar w:fldCharType="separate"/>
        </w:r>
        <w:r w:rsidR="00D04EEB">
          <w:rPr>
            <w:noProof/>
          </w:rPr>
          <w:t>17</w:t>
        </w:r>
        <w:r>
          <w:rPr>
            <w:noProof/>
          </w:rPr>
          <w:fldChar w:fldCharType="end"/>
        </w:r>
      </w:p>
    </w:sdtContent>
  </w:sdt>
  <w:p w14:paraId="4C80D36E" w14:textId="77777777" w:rsidR="006C1541" w:rsidRDefault="006C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603B" w14:textId="77777777" w:rsidR="008B2A22" w:rsidRDefault="008B2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2A6CA" w14:textId="77777777" w:rsidR="006C1541" w:rsidRDefault="006C1541" w:rsidP="00065623">
      <w:r>
        <w:separator/>
      </w:r>
    </w:p>
  </w:footnote>
  <w:footnote w:type="continuationSeparator" w:id="0">
    <w:p w14:paraId="4A4BC9DE" w14:textId="77777777" w:rsidR="006C1541" w:rsidRDefault="006C1541"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7B83" w14:textId="77777777" w:rsidR="008B2A22" w:rsidRDefault="008B2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B7FC" w14:textId="77777777" w:rsidR="008B2A22" w:rsidRDefault="008B2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1A70" w14:textId="77777777" w:rsidR="008B2A22" w:rsidRDefault="008B2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37A7634"/>
    <w:multiLevelType w:val="hybridMultilevel"/>
    <w:tmpl w:val="DC845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4B6EE8"/>
    <w:multiLevelType w:val="hybridMultilevel"/>
    <w:tmpl w:val="F7540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A64AEB"/>
    <w:multiLevelType w:val="hybridMultilevel"/>
    <w:tmpl w:val="9ACA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D53A7"/>
    <w:multiLevelType w:val="hybridMultilevel"/>
    <w:tmpl w:val="E46228BE"/>
    <w:lvl w:ilvl="0" w:tplc="90407CA0">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
  </w:num>
  <w:num w:numId="4">
    <w:abstractNumId w:val="19"/>
  </w:num>
  <w:num w:numId="5">
    <w:abstractNumId w:val="12"/>
  </w:num>
  <w:num w:numId="6">
    <w:abstractNumId w:val="18"/>
  </w:num>
  <w:num w:numId="7">
    <w:abstractNumId w:val="22"/>
  </w:num>
  <w:num w:numId="8">
    <w:abstractNumId w:val="14"/>
  </w:num>
  <w:num w:numId="9">
    <w:abstractNumId w:val="29"/>
  </w:num>
  <w:num w:numId="10">
    <w:abstractNumId w:val="0"/>
  </w:num>
  <w:num w:numId="11">
    <w:abstractNumId w:val="21"/>
  </w:num>
  <w:num w:numId="12">
    <w:abstractNumId w:val="23"/>
  </w:num>
  <w:num w:numId="13">
    <w:abstractNumId w:val="5"/>
  </w:num>
  <w:num w:numId="14">
    <w:abstractNumId w:val="27"/>
  </w:num>
  <w:num w:numId="15">
    <w:abstractNumId w:val="20"/>
  </w:num>
  <w:num w:numId="16">
    <w:abstractNumId w:val="24"/>
  </w:num>
  <w:num w:numId="17">
    <w:abstractNumId w:val="15"/>
  </w:num>
  <w:num w:numId="18">
    <w:abstractNumId w:val="16"/>
  </w:num>
  <w:num w:numId="19">
    <w:abstractNumId w:val="26"/>
  </w:num>
  <w:num w:numId="20">
    <w:abstractNumId w:val="25"/>
  </w:num>
  <w:num w:numId="21">
    <w:abstractNumId w:val="3"/>
  </w:num>
  <w:num w:numId="22">
    <w:abstractNumId w:val="10"/>
  </w:num>
  <w:num w:numId="23">
    <w:abstractNumId w:val="2"/>
  </w:num>
  <w:num w:numId="24">
    <w:abstractNumId w:val="8"/>
  </w:num>
  <w:num w:numId="25">
    <w:abstractNumId w:val="6"/>
  </w:num>
  <w:num w:numId="26">
    <w:abstractNumId w:val="28"/>
  </w:num>
  <w:num w:numId="27">
    <w:abstractNumId w:val="11"/>
  </w:num>
  <w:num w:numId="28">
    <w:abstractNumId w:val="13"/>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317F2"/>
    <w:rsid w:val="0004610A"/>
    <w:rsid w:val="00047606"/>
    <w:rsid w:val="00065623"/>
    <w:rsid w:val="00070D74"/>
    <w:rsid w:val="000756B9"/>
    <w:rsid w:val="00083423"/>
    <w:rsid w:val="0009198A"/>
    <w:rsid w:val="0009472A"/>
    <w:rsid w:val="00096B67"/>
    <w:rsid w:val="00096DAF"/>
    <w:rsid w:val="000C1312"/>
    <w:rsid w:val="000C2F47"/>
    <w:rsid w:val="000C3F0E"/>
    <w:rsid w:val="000C4DE9"/>
    <w:rsid w:val="000D2B9A"/>
    <w:rsid w:val="000D5BB8"/>
    <w:rsid w:val="000D6C00"/>
    <w:rsid w:val="000E4E04"/>
    <w:rsid w:val="000F14B4"/>
    <w:rsid w:val="000F75DF"/>
    <w:rsid w:val="001023DC"/>
    <w:rsid w:val="00110670"/>
    <w:rsid w:val="00127FA2"/>
    <w:rsid w:val="001328FA"/>
    <w:rsid w:val="001407D5"/>
    <w:rsid w:val="00141133"/>
    <w:rsid w:val="0014668B"/>
    <w:rsid w:val="00147AAF"/>
    <w:rsid w:val="001552C0"/>
    <w:rsid w:val="001640B1"/>
    <w:rsid w:val="0018435E"/>
    <w:rsid w:val="0018491F"/>
    <w:rsid w:val="001871A2"/>
    <w:rsid w:val="00196A95"/>
    <w:rsid w:val="001B04E5"/>
    <w:rsid w:val="001F7404"/>
    <w:rsid w:val="002041A1"/>
    <w:rsid w:val="002054F0"/>
    <w:rsid w:val="002241E0"/>
    <w:rsid w:val="00230D6B"/>
    <w:rsid w:val="00232068"/>
    <w:rsid w:val="002330F2"/>
    <w:rsid w:val="00243D9E"/>
    <w:rsid w:val="00253B30"/>
    <w:rsid w:val="00253B66"/>
    <w:rsid w:val="00261DF1"/>
    <w:rsid w:val="00271F18"/>
    <w:rsid w:val="0028015E"/>
    <w:rsid w:val="00282779"/>
    <w:rsid w:val="0028334D"/>
    <w:rsid w:val="00293732"/>
    <w:rsid w:val="00294848"/>
    <w:rsid w:val="002B7FFA"/>
    <w:rsid w:val="002C2BCF"/>
    <w:rsid w:val="002E3F47"/>
    <w:rsid w:val="002E411E"/>
    <w:rsid w:val="002F279D"/>
    <w:rsid w:val="002F43B8"/>
    <w:rsid w:val="00336856"/>
    <w:rsid w:val="0034554D"/>
    <w:rsid w:val="00352224"/>
    <w:rsid w:val="00360F95"/>
    <w:rsid w:val="003671E6"/>
    <w:rsid w:val="00375305"/>
    <w:rsid w:val="00384272"/>
    <w:rsid w:val="00386D67"/>
    <w:rsid w:val="003945B8"/>
    <w:rsid w:val="003C30FC"/>
    <w:rsid w:val="003D7F29"/>
    <w:rsid w:val="003E5095"/>
    <w:rsid w:val="003E5582"/>
    <w:rsid w:val="003E6D62"/>
    <w:rsid w:val="00405A6B"/>
    <w:rsid w:val="00407B1F"/>
    <w:rsid w:val="0041184F"/>
    <w:rsid w:val="00414C57"/>
    <w:rsid w:val="0041758C"/>
    <w:rsid w:val="0042067F"/>
    <w:rsid w:val="0043074D"/>
    <w:rsid w:val="00444D9B"/>
    <w:rsid w:val="004539DE"/>
    <w:rsid w:val="00496614"/>
    <w:rsid w:val="004A2CF1"/>
    <w:rsid w:val="004B537C"/>
    <w:rsid w:val="004C3035"/>
    <w:rsid w:val="004C307F"/>
    <w:rsid w:val="004E1057"/>
    <w:rsid w:val="004E4BA8"/>
    <w:rsid w:val="004F340F"/>
    <w:rsid w:val="004F7B7C"/>
    <w:rsid w:val="00505A64"/>
    <w:rsid w:val="0052243D"/>
    <w:rsid w:val="00532435"/>
    <w:rsid w:val="00550354"/>
    <w:rsid w:val="00571236"/>
    <w:rsid w:val="005715C6"/>
    <w:rsid w:val="00591EF1"/>
    <w:rsid w:val="005953A1"/>
    <w:rsid w:val="0059754B"/>
    <w:rsid w:val="005A4362"/>
    <w:rsid w:val="005B302E"/>
    <w:rsid w:val="005B5434"/>
    <w:rsid w:val="005D0332"/>
    <w:rsid w:val="005D0D8C"/>
    <w:rsid w:val="00642C33"/>
    <w:rsid w:val="006746AD"/>
    <w:rsid w:val="0067625F"/>
    <w:rsid w:val="006776AE"/>
    <w:rsid w:val="00687B5B"/>
    <w:rsid w:val="006A0D97"/>
    <w:rsid w:val="006B1F86"/>
    <w:rsid w:val="006C0A91"/>
    <w:rsid w:val="006C1541"/>
    <w:rsid w:val="006C3876"/>
    <w:rsid w:val="006E2E27"/>
    <w:rsid w:val="006E587B"/>
    <w:rsid w:val="007054BB"/>
    <w:rsid w:val="00707064"/>
    <w:rsid w:val="007108DF"/>
    <w:rsid w:val="00710D1A"/>
    <w:rsid w:val="00730683"/>
    <w:rsid w:val="00733288"/>
    <w:rsid w:val="0074311D"/>
    <w:rsid w:val="0075261F"/>
    <w:rsid w:val="0075468E"/>
    <w:rsid w:val="0075564B"/>
    <w:rsid w:val="00761C75"/>
    <w:rsid w:val="00765159"/>
    <w:rsid w:val="007665D8"/>
    <w:rsid w:val="00766E36"/>
    <w:rsid w:val="007765F4"/>
    <w:rsid w:val="00776633"/>
    <w:rsid w:val="00784D53"/>
    <w:rsid w:val="00795E6D"/>
    <w:rsid w:val="00797797"/>
    <w:rsid w:val="007A63C9"/>
    <w:rsid w:val="007B32D1"/>
    <w:rsid w:val="007B7095"/>
    <w:rsid w:val="007D24E1"/>
    <w:rsid w:val="007D6288"/>
    <w:rsid w:val="007F4CE9"/>
    <w:rsid w:val="007F4E20"/>
    <w:rsid w:val="00822C7E"/>
    <w:rsid w:val="0083197A"/>
    <w:rsid w:val="00832C06"/>
    <w:rsid w:val="00836256"/>
    <w:rsid w:val="00847060"/>
    <w:rsid w:val="00847A36"/>
    <w:rsid w:val="00847DAE"/>
    <w:rsid w:val="0085669A"/>
    <w:rsid w:val="00856A33"/>
    <w:rsid w:val="00857E3F"/>
    <w:rsid w:val="008739E1"/>
    <w:rsid w:val="00887C30"/>
    <w:rsid w:val="00892620"/>
    <w:rsid w:val="008933CE"/>
    <w:rsid w:val="008B2A22"/>
    <w:rsid w:val="008C7D37"/>
    <w:rsid w:val="008D0EB1"/>
    <w:rsid w:val="008D5885"/>
    <w:rsid w:val="008E4931"/>
    <w:rsid w:val="00923FA2"/>
    <w:rsid w:val="00933775"/>
    <w:rsid w:val="0096060D"/>
    <w:rsid w:val="00974A50"/>
    <w:rsid w:val="0097585A"/>
    <w:rsid w:val="009924B0"/>
    <w:rsid w:val="009942C9"/>
    <w:rsid w:val="0099479E"/>
    <w:rsid w:val="009A09EB"/>
    <w:rsid w:val="009A16D5"/>
    <w:rsid w:val="009B1E56"/>
    <w:rsid w:val="009B35C4"/>
    <w:rsid w:val="009C630A"/>
    <w:rsid w:val="009E0D98"/>
    <w:rsid w:val="009E7373"/>
    <w:rsid w:val="00A03074"/>
    <w:rsid w:val="00A068A1"/>
    <w:rsid w:val="00A1207D"/>
    <w:rsid w:val="00A12FD8"/>
    <w:rsid w:val="00A2457C"/>
    <w:rsid w:val="00A346FC"/>
    <w:rsid w:val="00A35B34"/>
    <w:rsid w:val="00A40BF0"/>
    <w:rsid w:val="00A4263D"/>
    <w:rsid w:val="00A46D77"/>
    <w:rsid w:val="00A66630"/>
    <w:rsid w:val="00A846F2"/>
    <w:rsid w:val="00A84F93"/>
    <w:rsid w:val="00AB1AC5"/>
    <w:rsid w:val="00AB3BFC"/>
    <w:rsid w:val="00AB6443"/>
    <w:rsid w:val="00AC4F2E"/>
    <w:rsid w:val="00AD0C37"/>
    <w:rsid w:val="00AD1203"/>
    <w:rsid w:val="00AD385F"/>
    <w:rsid w:val="00AD3B85"/>
    <w:rsid w:val="00AE6E2A"/>
    <w:rsid w:val="00B03EAB"/>
    <w:rsid w:val="00B31E9C"/>
    <w:rsid w:val="00B35595"/>
    <w:rsid w:val="00B51C6D"/>
    <w:rsid w:val="00B83DD2"/>
    <w:rsid w:val="00B86D64"/>
    <w:rsid w:val="00B954A8"/>
    <w:rsid w:val="00BA4AC5"/>
    <w:rsid w:val="00BC1364"/>
    <w:rsid w:val="00BC1C22"/>
    <w:rsid w:val="00BC2667"/>
    <w:rsid w:val="00BC7DE9"/>
    <w:rsid w:val="00BD740F"/>
    <w:rsid w:val="00BF479B"/>
    <w:rsid w:val="00C02577"/>
    <w:rsid w:val="00C204FB"/>
    <w:rsid w:val="00C20BEE"/>
    <w:rsid w:val="00C2158D"/>
    <w:rsid w:val="00C301E7"/>
    <w:rsid w:val="00C415A2"/>
    <w:rsid w:val="00C66EEA"/>
    <w:rsid w:val="00C67DD2"/>
    <w:rsid w:val="00C725CB"/>
    <w:rsid w:val="00C76F5C"/>
    <w:rsid w:val="00C96BAD"/>
    <w:rsid w:val="00CA6944"/>
    <w:rsid w:val="00CB0F8E"/>
    <w:rsid w:val="00CB7E7D"/>
    <w:rsid w:val="00CC2911"/>
    <w:rsid w:val="00CD067A"/>
    <w:rsid w:val="00CF0C6D"/>
    <w:rsid w:val="00CF4F72"/>
    <w:rsid w:val="00CF7307"/>
    <w:rsid w:val="00CF7C68"/>
    <w:rsid w:val="00D04EEB"/>
    <w:rsid w:val="00D124FA"/>
    <w:rsid w:val="00D13A08"/>
    <w:rsid w:val="00D20CF1"/>
    <w:rsid w:val="00D234E7"/>
    <w:rsid w:val="00D340DE"/>
    <w:rsid w:val="00D55723"/>
    <w:rsid w:val="00D62FAD"/>
    <w:rsid w:val="00D64355"/>
    <w:rsid w:val="00D70450"/>
    <w:rsid w:val="00D83BFD"/>
    <w:rsid w:val="00D83F61"/>
    <w:rsid w:val="00D90A38"/>
    <w:rsid w:val="00D92F42"/>
    <w:rsid w:val="00D9506C"/>
    <w:rsid w:val="00DA0515"/>
    <w:rsid w:val="00DA1019"/>
    <w:rsid w:val="00DA1268"/>
    <w:rsid w:val="00DA171E"/>
    <w:rsid w:val="00DA26F3"/>
    <w:rsid w:val="00DA56AA"/>
    <w:rsid w:val="00DB5833"/>
    <w:rsid w:val="00DC52CF"/>
    <w:rsid w:val="00DD2858"/>
    <w:rsid w:val="00DF48AA"/>
    <w:rsid w:val="00E03E33"/>
    <w:rsid w:val="00E059E0"/>
    <w:rsid w:val="00E143C2"/>
    <w:rsid w:val="00E339EF"/>
    <w:rsid w:val="00E3642A"/>
    <w:rsid w:val="00E415C4"/>
    <w:rsid w:val="00E50016"/>
    <w:rsid w:val="00E50EAA"/>
    <w:rsid w:val="00E656D6"/>
    <w:rsid w:val="00E71F4B"/>
    <w:rsid w:val="00E93A97"/>
    <w:rsid w:val="00E977EE"/>
    <w:rsid w:val="00EA2F24"/>
    <w:rsid w:val="00EA49E9"/>
    <w:rsid w:val="00EA67A2"/>
    <w:rsid w:val="00EB630F"/>
    <w:rsid w:val="00EB6B6F"/>
    <w:rsid w:val="00EC4F98"/>
    <w:rsid w:val="00ED0549"/>
    <w:rsid w:val="00F12F02"/>
    <w:rsid w:val="00F32E0D"/>
    <w:rsid w:val="00F35134"/>
    <w:rsid w:val="00F37B9C"/>
    <w:rsid w:val="00F41812"/>
    <w:rsid w:val="00F700C3"/>
    <w:rsid w:val="00F715D1"/>
    <w:rsid w:val="00F72715"/>
    <w:rsid w:val="00F73333"/>
    <w:rsid w:val="00F91D09"/>
    <w:rsid w:val="00F95D8F"/>
    <w:rsid w:val="00FA3FD9"/>
    <w:rsid w:val="00FB350A"/>
    <w:rsid w:val="00FB4C5D"/>
    <w:rsid w:val="00FC6AF2"/>
    <w:rsid w:val="00FD2E03"/>
    <w:rsid w:val="00FD725A"/>
    <w:rsid w:val="00FE02E0"/>
    <w:rsid w:val="00FE1C3F"/>
    <w:rsid w:val="00FE731D"/>
    <w:rsid w:val="00FF70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3F3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uiPriority w:val="9"/>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Table Gridbeth"/>
    <w:basedOn w:val="TableNormal"/>
    <w:uiPriority w:val="59"/>
    <w:locked/>
    <w:rsid w:val="00DF48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DF48AA"/>
    <w:pPr>
      <w:keepNext/>
      <w:spacing w:before="40" w:after="40"/>
    </w:pPr>
    <w:rPr>
      <w:rFonts w:ascii="Arial Narrow" w:hAnsi="Arial Narrow" w:cs="Tahoma"/>
      <w:b/>
      <w:sz w:val="20"/>
    </w:rPr>
  </w:style>
  <w:style w:type="character" w:customStyle="1" w:styleId="TableHeadingChar">
    <w:name w:val="TableHeading Char"/>
    <w:link w:val="TableHeading"/>
    <w:rsid w:val="00DF48AA"/>
    <w:rPr>
      <w:rFonts w:ascii="Arial Narrow" w:eastAsia="Times New Roman" w:hAnsi="Arial Narrow" w:cs="Tahoma"/>
      <w:b/>
      <w:sz w:val="20"/>
      <w:szCs w:val="20"/>
    </w:rPr>
  </w:style>
  <w:style w:type="paragraph" w:customStyle="1" w:styleId="TableText">
    <w:name w:val="TableText"/>
    <w:basedOn w:val="Normal"/>
    <w:rsid w:val="00DF48AA"/>
    <w:pPr>
      <w:keepNext/>
      <w:spacing w:before="60" w:after="60"/>
    </w:pPr>
    <w:rPr>
      <w:color w:val="000000"/>
      <w:sz w:val="21"/>
      <w:szCs w:val="21"/>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iPriority w:val="99"/>
    <w:unhideWhenUsed/>
    <w:qFormat/>
    <w:locked/>
    <w:rsid w:val="00DF48AA"/>
    <w:pPr>
      <w:spacing w:after="200"/>
    </w:pPr>
    <w:rPr>
      <w:rFonts w:ascii="Arial Narrow" w:hAnsi="Arial Narrow"/>
      <w:b/>
      <w:bCs/>
      <w:sz w:val="20"/>
      <w:szCs w:val="18"/>
    </w:rPr>
  </w:style>
  <w:style w:type="paragraph" w:customStyle="1" w:styleId="BulletBeforeDash">
    <w:name w:val="BulletBeforeDash"/>
    <w:basedOn w:val="Normal"/>
    <w:rsid w:val="00DF48AA"/>
    <w:pPr>
      <w:numPr>
        <w:numId w:val="26"/>
      </w:numPr>
    </w:pPr>
    <w:rPr>
      <w:color w:val="000000"/>
    </w:rPr>
  </w:style>
  <w:style w:type="paragraph" w:customStyle="1" w:styleId="Bullet">
    <w:name w:val="Bullet"/>
    <w:basedOn w:val="BulletBeforeDash"/>
    <w:qFormat/>
    <w:rsid w:val="00DF48AA"/>
    <w:pPr>
      <w:spacing w:after="120"/>
    </w:pPr>
  </w:style>
  <w:style w:type="paragraph" w:customStyle="1" w:styleId="BulletLast">
    <w:name w:val="BulletLast"/>
    <w:basedOn w:val="Bullet"/>
    <w:qFormat/>
    <w:rsid w:val="00DF48AA"/>
    <w:pPr>
      <w:spacing w:after="240"/>
    </w:pPr>
  </w:style>
  <w:style w:type="paragraph" w:customStyle="1" w:styleId="NormalBeforeBullet">
    <w:name w:val="NormalBeforeBullet"/>
    <w:basedOn w:val="Normal"/>
    <w:qFormat/>
    <w:rsid w:val="00DF48AA"/>
    <w:pPr>
      <w:keepNext/>
      <w:spacing w:after="120"/>
    </w:pPr>
    <w:rPr>
      <w:color w:val="000000"/>
    </w:rPr>
  </w:style>
  <w:style w:type="paragraph" w:customStyle="1" w:styleId="TableText0">
    <w:name w:val="Table Text"/>
    <w:basedOn w:val="Normal"/>
    <w:link w:val="TableTextChar"/>
    <w:qFormat/>
    <w:rsid w:val="009B1E56"/>
    <w:pPr>
      <w:widowControl w:val="0"/>
      <w:spacing w:before="40" w:after="40"/>
    </w:pPr>
    <w:rPr>
      <w:rFonts w:ascii="Arial Narrow" w:eastAsia="SimSun" w:hAnsi="Arial Narrow" w:cs="Tahoma"/>
      <w:sz w:val="20"/>
      <w:szCs w:val="22"/>
      <w:lang w:eastAsia="en-US"/>
    </w:rPr>
  </w:style>
  <w:style w:type="character" w:customStyle="1" w:styleId="TableTextChar">
    <w:name w:val="Table Text Char"/>
    <w:link w:val="TableText0"/>
    <w:rsid w:val="009B1E56"/>
    <w:rPr>
      <w:rFonts w:ascii="Arial Narrow" w:eastAsia="SimSun" w:hAnsi="Arial Narrow" w:cs="Tahoma"/>
      <w:sz w:val="20"/>
      <w:lang w:eastAsia="en-US"/>
    </w:rPr>
  </w:style>
  <w:style w:type="paragraph" w:customStyle="1" w:styleId="Tablenotes">
    <w:name w:val="Tablenotes"/>
    <w:basedOn w:val="Normal"/>
    <w:link w:val="TablenotesChar"/>
    <w:qFormat/>
    <w:rsid w:val="009B1E56"/>
    <w:pPr>
      <w:widowControl w:val="0"/>
    </w:pPr>
    <w:rPr>
      <w:rFonts w:ascii="Arial Narrow" w:eastAsia="SimSun" w:hAnsi="Arial Narrow" w:cs="Arial"/>
      <w:snapToGrid w:val="0"/>
      <w:sz w:val="18"/>
      <w:lang w:eastAsia="en-US"/>
    </w:rPr>
  </w:style>
  <w:style w:type="character" w:customStyle="1" w:styleId="TablenotesChar">
    <w:name w:val="Tablenotes Char"/>
    <w:basedOn w:val="DefaultParagraphFont"/>
    <w:link w:val="Tablenotes"/>
    <w:rsid w:val="009B1E56"/>
    <w:rPr>
      <w:rFonts w:ascii="Arial Narrow" w:eastAsia="SimSun" w:hAnsi="Arial Narrow" w:cs="Arial"/>
      <w:snapToGrid w:val="0"/>
      <w:sz w:val="18"/>
      <w:szCs w:val="20"/>
      <w:lang w:eastAsia="en-US"/>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uiPriority w:val="99"/>
    <w:rsid w:val="009B1E56"/>
    <w:rPr>
      <w:rFonts w:ascii="Arial Narrow" w:eastAsia="Times New Roman" w:hAnsi="Arial Narrow"/>
      <w:b/>
      <w:bCs/>
      <w:sz w:val="20"/>
      <w:szCs w:val="18"/>
    </w:rPr>
  </w:style>
  <w:style w:type="paragraph" w:customStyle="1" w:styleId="Tabletext1">
    <w:name w:val="Table text"/>
    <w:basedOn w:val="Normal"/>
    <w:link w:val="TabletextChar0"/>
    <w:qFormat/>
    <w:rsid w:val="00642C33"/>
    <w:pPr>
      <w:spacing w:before="40" w:after="40"/>
      <w:ind w:left="22"/>
    </w:pPr>
    <w:rPr>
      <w:rFonts w:ascii="Arial Narrow" w:eastAsia="SimSun" w:hAnsi="Arial Narrow" w:cs="Tahoma"/>
      <w:snapToGrid w:val="0"/>
      <w:sz w:val="20"/>
    </w:rPr>
  </w:style>
  <w:style w:type="character" w:customStyle="1" w:styleId="TabletextChar0">
    <w:name w:val="Table text Char"/>
    <w:link w:val="Tabletext1"/>
    <w:rsid w:val="00642C33"/>
    <w:rPr>
      <w:rFonts w:ascii="Arial Narrow" w:eastAsia="SimSun" w:hAnsi="Arial Narrow" w:cs="Tahoma"/>
      <w:snapToGrid w:val="0"/>
      <w:sz w:val="20"/>
      <w:szCs w:val="20"/>
    </w:rPr>
  </w:style>
  <w:style w:type="character" w:customStyle="1" w:styleId="BodyTextSTDChar">
    <w:name w:val="Body Text STD Char"/>
    <w:basedOn w:val="DefaultParagraphFont"/>
    <w:link w:val="BodyTextSTD"/>
    <w:locked/>
    <w:rsid w:val="00CD067A"/>
    <w:rPr>
      <w:rFonts w:ascii="Calibri" w:hAnsi="Calibri" w:cs="Tahoma"/>
    </w:rPr>
  </w:style>
  <w:style w:type="paragraph" w:customStyle="1" w:styleId="BodyTextSTD">
    <w:name w:val="Body Text STD"/>
    <w:basedOn w:val="Normal"/>
    <w:link w:val="BodyTextSTDChar"/>
    <w:qFormat/>
    <w:rsid w:val="00CD067A"/>
    <w:pPr>
      <w:spacing w:after="240" w:line="312" w:lineRule="auto"/>
      <w:jc w:val="both"/>
    </w:pPr>
    <w:rPr>
      <w:rFonts w:ascii="Calibri" w:eastAsia="Calibri" w:hAnsi="Calibri" w:cs="Tahoma"/>
      <w:sz w:val="22"/>
      <w:szCs w:val="22"/>
    </w:rPr>
  </w:style>
  <w:style w:type="character" w:customStyle="1" w:styleId="normaltextrun">
    <w:name w:val="normaltextrun"/>
    <w:basedOn w:val="DefaultParagraphFont"/>
    <w:rsid w:val="009E7373"/>
  </w:style>
  <w:style w:type="paragraph" w:styleId="Revision">
    <w:name w:val="Revision"/>
    <w:hidden/>
    <w:uiPriority w:val="99"/>
    <w:semiHidden/>
    <w:rsid w:val="006E587B"/>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3307">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msac.gov.au/"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38B6-1491-410C-9003-35A3B52D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7382</Words>
  <Characters>42441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1530-Final PSD</dc:title>
  <dc:creator/>
  <cp:lastModifiedBy/>
  <cp:revision>1</cp:revision>
  <dcterms:created xsi:type="dcterms:W3CDTF">2019-06-20T22:00:00Z</dcterms:created>
  <dcterms:modified xsi:type="dcterms:W3CDTF">2019-06-20T22:16:00Z</dcterms:modified>
</cp:coreProperties>
</file>