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29E31"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4A7DE883" wp14:editId="5B4DB6B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DFBA9FF"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7AB58090" w14:textId="77777777" w:rsidR="0051407B" w:rsidRPr="00A54339" w:rsidRDefault="00BC1364" w:rsidP="00A54339">
      <w:pPr>
        <w:pStyle w:val="Subtitle"/>
        <w:rPr>
          <w:b w:val="0"/>
        </w:rPr>
      </w:pPr>
      <w:r w:rsidRPr="00F715D1">
        <w:t xml:space="preserve">Application No. </w:t>
      </w:r>
      <w:r w:rsidR="006119D9">
        <w:t>15</w:t>
      </w:r>
      <w:r w:rsidR="00A54339">
        <w:t>3</w:t>
      </w:r>
      <w:r w:rsidR="002B77DF">
        <w:t>4</w:t>
      </w:r>
      <w:r w:rsidRPr="00F715D1">
        <w:t xml:space="preserve"> – </w:t>
      </w:r>
      <w:r w:rsidR="00A54339" w:rsidRPr="00A54339">
        <w:t>(CUC) Heritable Mutations associated with Familial Hypercholesterolaemia</w:t>
      </w:r>
    </w:p>
    <w:p w14:paraId="6EC413A1" w14:textId="0051B8C2" w:rsidR="00BC1364" w:rsidRPr="00F715D1" w:rsidRDefault="00B35595" w:rsidP="00CD3F08">
      <w:pPr>
        <w:tabs>
          <w:tab w:val="left" w:pos="3686"/>
        </w:tabs>
        <w:spacing w:before="360" w:after="240"/>
        <w:ind w:left="2160" w:hanging="2160"/>
        <w:rPr>
          <w:rFonts w:ascii="Arial" w:hAnsi="Arial" w:cs="Arial"/>
          <w:b/>
          <w:szCs w:val="24"/>
        </w:rPr>
      </w:pPr>
      <w:r w:rsidRPr="00F715D1">
        <w:rPr>
          <w:rFonts w:ascii="Arial" w:hAnsi="Arial" w:cs="Arial"/>
          <w:b/>
          <w:szCs w:val="24"/>
        </w:rPr>
        <w:t>Applicant</w:t>
      </w:r>
      <w:r w:rsidR="002B77DF">
        <w:rPr>
          <w:rFonts w:ascii="Arial" w:hAnsi="Arial" w:cs="Arial"/>
          <w:b/>
          <w:szCs w:val="24"/>
        </w:rPr>
        <w:t>:</w:t>
      </w:r>
      <w:r w:rsidR="00EA57D0">
        <w:rPr>
          <w:rFonts w:ascii="Arial" w:hAnsi="Arial" w:cs="Arial"/>
          <w:b/>
          <w:szCs w:val="24"/>
        </w:rPr>
        <w:tab/>
      </w:r>
      <w:r w:rsidR="00EA57D0" w:rsidRPr="00EA57D0">
        <w:rPr>
          <w:rFonts w:ascii="Arial" w:hAnsi="Arial" w:cs="Arial"/>
          <w:b/>
          <w:szCs w:val="24"/>
        </w:rPr>
        <w:t>The Royal College of Pathologists of Australasia (RCPA)</w:t>
      </w:r>
    </w:p>
    <w:p w14:paraId="7331F4BB"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6119D9">
        <w:rPr>
          <w:rFonts w:ascii="Arial" w:hAnsi="Arial" w:cs="Arial"/>
          <w:b/>
          <w:szCs w:val="24"/>
        </w:rPr>
        <w:t>75</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6119D9">
        <w:rPr>
          <w:rFonts w:ascii="Arial" w:hAnsi="Arial" w:cs="Arial"/>
          <w:b/>
          <w:szCs w:val="24"/>
        </w:rPr>
        <w:t>28-29 March 2019</w:t>
      </w:r>
    </w:p>
    <w:p w14:paraId="5E86A3D7"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6E485D53" w14:textId="2EE84659" w:rsidR="003D7F29" w:rsidRPr="00F715D1" w:rsidRDefault="003D7F29" w:rsidP="00F715D1">
      <w:pPr>
        <w:pStyle w:val="Heading1"/>
      </w:pPr>
      <w:r w:rsidRPr="00F715D1">
        <w:t>Purpose of application</w:t>
      </w:r>
    </w:p>
    <w:p w14:paraId="69311A68" w14:textId="71D78864" w:rsidR="00C064F2" w:rsidRDefault="00C064F2" w:rsidP="005D55BA">
      <w:r>
        <w:t xml:space="preserve">An application for </w:t>
      </w:r>
      <w:r w:rsidR="005D55BA">
        <w:t xml:space="preserve">diagnostic genetic testing for </w:t>
      </w:r>
      <w:r>
        <w:t xml:space="preserve">heritable </w:t>
      </w:r>
      <w:r w:rsidRPr="004F2976">
        <w:t xml:space="preserve">mutations </w:t>
      </w:r>
      <w:r w:rsidR="005D55BA">
        <w:t xml:space="preserve">predisposing to </w:t>
      </w:r>
      <w:r w:rsidRPr="004F2976">
        <w:t>familial hypercholesterolaemia</w:t>
      </w:r>
      <w:r>
        <w:t xml:space="preserve"> (FH) </w:t>
      </w:r>
      <w:r w:rsidR="005D55BA">
        <w:t>in clinically affected individuals,</w:t>
      </w:r>
      <w:r w:rsidR="005D55BA" w:rsidRPr="005D55BA">
        <w:t xml:space="preserve"> </w:t>
      </w:r>
      <w:r w:rsidR="005D55BA">
        <w:t xml:space="preserve">and for predictive genetic testing (or “cascade testing”) of the family members of those affected individuals who are shown to have such a mutation </w:t>
      </w:r>
      <w:r>
        <w:t>was received from the Royal College of Pathologists of Australasia (RCPA)</w:t>
      </w:r>
      <w:r w:rsidRPr="004F2976">
        <w:t xml:space="preserve"> </w:t>
      </w:r>
      <w:r w:rsidRPr="00B94DB5">
        <w:t>by the Department of Health</w:t>
      </w:r>
      <w:r>
        <w:t xml:space="preserve"> </w:t>
      </w:r>
      <w:r w:rsidRPr="00F12C67">
        <w:t xml:space="preserve">in </w:t>
      </w:r>
      <w:r>
        <w:t>February 2018.</w:t>
      </w:r>
      <w:r w:rsidR="005D55BA" w:rsidRPr="005D55BA">
        <w:t xml:space="preserve"> </w:t>
      </w:r>
      <w:r w:rsidR="005D55BA">
        <w:t>The evidence for assessment of this application was submitted in the form of a clinical utility card (CUC).</w:t>
      </w:r>
    </w:p>
    <w:p w14:paraId="298663A3" w14:textId="77777777" w:rsidR="00E977EE" w:rsidRPr="00F715D1" w:rsidRDefault="00E977EE" w:rsidP="00F715D1">
      <w:pPr>
        <w:pStyle w:val="Heading1"/>
      </w:pPr>
      <w:r w:rsidRPr="00F715D1">
        <w:t>MSAC’s advice to the Minister</w:t>
      </w:r>
    </w:p>
    <w:p w14:paraId="087F088B" w14:textId="108F1D4E" w:rsidR="00350F5B" w:rsidRDefault="00350F5B" w:rsidP="00CD3F08">
      <w:pPr>
        <w:spacing w:after="240"/>
      </w:pPr>
      <w:r w:rsidRPr="00CA5587">
        <w:t xml:space="preserve">After considering the strength of the available evidence in relation to comparative safety, clinical effectiveness </w:t>
      </w:r>
      <w:r w:rsidRPr="009B1A8E">
        <w:t>and</w:t>
      </w:r>
      <w:r>
        <w:t xml:space="preserve"> cost-</w:t>
      </w:r>
      <w:r w:rsidRPr="00CA5587">
        <w:t xml:space="preserve">effectiveness, MSAC </w:t>
      </w:r>
      <w:r>
        <w:t xml:space="preserve">supported MBS listing of genetic testing for </w:t>
      </w:r>
      <w:r w:rsidRPr="00DD3902">
        <w:t>heritable mutations associated with familial hypercholesterolaemia</w:t>
      </w:r>
      <w:r>
        <w:t xml:space="preserve"> </w:t>
      </w:r>
      <w:r w:rsidRPr="00D45C88">
        <w:rPr>
          <w:bCs/>
        </w:rPr>
        <w:t>in affected individuals meeting defined eligibility criteria, and targeted cascade testing in first and second-degree relatives of those affected individuals with a confirmed genetic diagnosis</w:t>
      </w:r>
      <w:r>
        <w:t>.</w:t>
      </w:r>
    </w:p>
    <w:p w14:paraId="49BC6706" w14:textId="29EF0DF2" w:rsidR="00350F5B" w:rsidRPr="00CD3F08" w:rsidRDefault="00350F5B" w:rsidP="00CD3F08">
      <w:pPr>
        <w:spacing w:after="240"/>
        <w:rPr>
          <w:bCs/>
        </w:rPr>
      </w:pPr>
      <w:r w:rsidRPr="00D45C88">
        <w:rPr>
          <w:bCs/>
        </w:rPr>
        <w:t>MSAC advised in each case that testing should be once in a lifetime and that the item descriptor for the first population should allow testing for germline gene variants in all genes associated with familial hypercholesterolaemia.</w:t>
      </w:r>
    </w:p>
    <w:p w14:paraId="34C8E409" w14:textId="6E70739E" w:rsidR="005A0BA5" w:rsidRDefault="00350F5B" w:rsidP="00CD3F08">
      <w:pPr>
        <w:spacing w:after="240"/>
      </w:pPr>
      <w:r>
        <w:t>MSAC noted that all of the benefits are associated with cascade testing in first-degree and second-degree relatives, as a positive result could result in early uptake of lipid-lowering treatments, and thus reduce the risk of cardiovascular events in this group of patients.</w:t>
      </w:r>
    </w:p>
    <w:p w14:paraId="7A6E1388" w14:textId="50737AD9" w:rsidR="00350F5B" w:rsidRDefault="00350F5B" w:rsidP="00350F5B">
      <w:r w:rsidRPr="00D45C88">
        <w:t>MSAC recommended that this MBS listing be reviewed in 2 years, particularly in relation to the extent of cascade testing</w:t>
      </w:r>
      <w:r w:rsidR="00555D8A">
        <w:t xml:space="preserve"> compared to the extent of testing of affected individuals, and whether cascade testing contributes to earlier onset of appropriate therapy</w:t>
      </w:r>
      <w:r w:rsidRPr="00D45C88">
        <w:t>.</w:t>
      </w:r>
    </w:p>
    <w:p w14:paraId="6694D03A" w14:textId="11FB825C" w:rsidR="00550354" w:rsidRPr="00F715D1" w:rsidRDefault="00550354" w:rsidP="00F715D1">
      <w:pPr>
        <w:pStyle w:val="Heading1"/>
      </w:pPr>
      <w:r w:rsidRPr="00F715D1">
        <w:lastRenderedPageBreak/>
        <w:t xml:space="preserve">Summary of consideration </w:t>
      </w:r>
      <w:r w:rsidR="00471993">
        <w:t>and rationale for MSAC’s advice</w:t>
      </w:r>
    </w:p>
    <w:p w14:paraId="4218F955" w14:textId="1D7DF5D3" w:rsidR="00350F5B" w:rsidRDefault="00350F5B" w:rsidP="00CD3F08">
      <w:pPr>
        <w:spacing w:after="240"/>
      </w:pPr>
      <w:r>
        <w:t xml:space="preserve">MSAC noted that three </w:t>
      </w:r>
      <w:r w:rsidR="005A0BA5">
        <w:t>“</w:t>
      </w:r>
      <w:r>
        <w:t>star performer</w:t>
      </w:r>
      <w:r w:rsidR="005A0BA5">
        <w:t>”</w:t>
      </w:r>
      <w:r>
        <w:t xml:space="preserve"> genes (</w:t>
      </w:r>
      <w:r w:rsidRPr="00784EF5">
        <w:rPr>
          <w:i/>
        </w:rPr>
        <w:t>LDLR</w:t>
      </w:r>
      <w:r>
        <w:t xml:space="preserve">, </w:t>
      </w:r>
      <w:r w:rsidRPr="00784EF5">
        <w:rPr>
          <w:i/>
        </w:rPr>
        <w:t>PCSK9</w:t>
      </w:r>
      <w:r>
        <w:t xml:space="preserve"> and </w:t>
      </w:r>
      <w:r w:rsidRPr="00784EF5">
        <w:rPr>
          <w:i/>
        </w:rPr>
        <w:t>APOB</w:t>
      </w:r>
      <w:r>
        <w:t xml:space="preserve">) were associated with &gt;90% of </w:t>
      </w:r>
      <w:r w:rsidR="00471993">
        <w:t>affected individuals with FH testing positive for a pathogenic germline gene variant (</w:t>
      </w:r>
      <w:r>
        <w:t>index cases</w:t>
      </w:r>
      <w:r w:rsidR="0030646E">
        <w:t xml:space="preserve"> or probands</w:t>
      </w:r>
      <w:r w:rsidR="00471993">
        <w:t>)</w:t>
      </w:r>
      <w:r>
        <w:t>. FH is autosomal dominant, with 1:353 people heterozygous for the condition and 1:300,000 homozygous.</w:t>
      </w:r>
      <w:r w:rsidR="00DF2C6A">
        <w:t xml:space="preserve"> MSAC </w:t>
      </w:r>
      <w:r w:rsidR="00A1328D">
        <w:t xml:space="preserve">therefore </w:t>
      </w:r>
      <w:r w:rsidR="00DF2C6A">
        <w:t xml:space="preserve">advised that the MBS item descriptor should at least identify these three genes, but </w:t>
      </w:r>
      <w:r w:rsidR="00A1328D">
        <w:t xml:space="preserve">should </w:t>
      </w:r>
      <w:r w:rsidR="00DF2C6A">
        <w:t>also allow testing for germline gene variants of other genes ca</w:t>
      </w:r>
      <w:r w:rsidR="00A1328D">
        <w:t>using FH. MSAC further advised that this suggested change in item descriptor should not result in an increase to the proposed fee.</w:t>
      </w:r>
    </w:p>
    <w:p w14:paraId="6747CDE8" w14:textId="6D9F52C4" w:rsidR="00350F5B" w:rsidRDefault="00350F5B" w:rsidP="00CD3F08">
      <w:pPr>
        <w:spacing w:after="240"/>
      </w:pPr>
      <w:r>
        <w:t>MSAC noted that people with FH are at increased risk of cardiovascular (CV) events leading to death, myocardial infarction, unstable angina requiring hospitalisation, coronary revascularisation, stroke, transient ischaemic attack and hos</w:t>
      </w:r>
      <w:r w:rsidR="005A0BA5">
        <w:t>pitalisation for heart failure.</w:t>
      </w:r>
    </w:p>
    <w:p w14:paraId="43D782E3" w14:textId="1558D08A" w:rsidR="00350F5B" w:rsidRDefault="00350F5B" w:rsidP="00CD3F08">
      <w:pPr>
        <w:spacing w:after="240"/>
      </w:pPr>
      <w:r>
        <w:t xml:space="preserve">MSAC accepted that the </w:t>
      </w:r>
      <w:r w:rsidR="005A0BA5">
        <w:t xml:space="preserve">proposed </w:t>
      </w:r>
      <w:r>
        <w:t xml:space="preserve">genetic testing </w:t>
      </w:r>
      <w:r w:rsidR="005A0BA5">
        <w:t>i</w:t>
      </w:r>
      <w:r>
        <w:t xml:space="preserve">s highly sensitive and specific, and clinically valid in that an identified mutation predicted adverse CV events. MSAC noted that all of the </w:t>
      </w:r>
      <w:r w:rsidR="00081A23">
        <w:t xml:space="preserve">clinical utility </w:t>
      </w:r>
      <w:r>
        <w:t xml:space="preserve">benefits of genetic testing for FH </w:t>
      </w:r>
      <w:r w:rsidR="00081A23">
        <w:t>would be</w:t>
      </w:r>
      <w:r>
        <w:t xml:space="preserve"> realised in the cascade testing group.</w:t>
      </w:r>
      <w:r w:rsidRPr="00670562">
        <w:t xml:space="preserve"> MSAC noted that there was no incremental benefit of genetic testing compared with lipid testing for </w:t>
      </w:r>
      <w:r w:rsidR="00471993">
        <w:t>affected individuals</w:t>
      </w:r>
      <w:r w:rsidRPr="00670562">
        <w:t xml:space="preserve">, but identification of a germline variant allows family members with a predisposition for FH to be identified. Earlier identification of </w:t>
      </w:r>
      <w:r>
        <w:t xml:space="preserve">at-risk </w:t>
      </w:r>
      <w:r w:rsidRPr="00670562">
        <w:t xml:space="preserve">individuals should enable </w:t>
      </w:r>
      <w:r>
        <w:t xml:space="preserve">intervention using </w:t>
      </w:r>
      <w:r w:rsidRPr="00670562">
        <w:t xml:space="preserve">earlier and/or higher dose </w:t>
      </w:r>
      <w:r>
        <w:t>lipid-lowering treatments</w:t>
      </w:r>
      <w:r w:rsidRPr="00670562" w:rsidDel="00EF224C">
        <w:t xml:space="preserve"> </w:t>
      </w:r>
      <w:r w:rsidRPr="00670562">
        <w:t>to reduce subsequent CV events.</w:t>
      </w:r>
    </w:p>
    <w:p w14:paraId="7BFA9410" w14:textId="10A381AC" w:rsidR="00350F5B" w:rsidRDefault="00350F5B" w:rsidP="00CD3F08">
      <w:pPr>
        <w:spacing w:after="240"/>
      </w:pPr>
      <w:r>
        <w:t xml:space="preserve">Currently, </w:t>
      </w:r>
      <w:r w:rsidR="00081A23">
        <w:t xml:space="preserve">confirmation of FH by </w:t>
      </w:r>
      <w:r>
        <w:t xml:space="preserve">genetic testing is </w:t>
      </w:r>
      <w:r w:rsidR="00081A23">
        <w:t xml:space="preserve">an alternative to assessment by the Dutch Lipid Clinic Network Score as </w:t>
      </w:r>
      <w:r>
        <w:t>one of the requirements for access to PCSK9 inhibitors (evolocumab) on the Pharmaceutical Benefits Scheme (PBS). Evolocumab was listed on the PBS in March 2016 for homozygous FH patients and in March 2018 for heterozygous FH patients.</w:t>
      </w:r>
      <w:r w:rsidR="006141CF">
        <w:t xml:space="preserve"> MSAC considered that </w:t>
      </w:r>
      <w:r w:rsidR="005A6854">
        <w:t xml:space="preserve">likely </w:t>
      </w:r>
      <w:r w:rsidR="006141CF">
        <w:t xml:space="preserve">earlier </w:t>
      </w:r>
      <w:r w:rsidR="005A6854">
        <w:t xml:space="preserve">subsidised </w:t>
      </w:r>
      <w:r w:rsidR="006141CF">
        <w:t>access to this therapy for family members testing positive to cascade testing was the main source of expected clinical utility, but noted that this was not included in the assessment.</w:t>
      </w:r>
    </w:p>
    <w:p w14:paraId="191BABDA" w14:textId="671CBD56" w:rsidR="00350F5B" w:rsidRDefault="00350F5B" w:rsidP="00CD3F08">
      <w:pPr>
        <w:spacing w:after="240"/>
      </w:pPr>
      <w:r>
        <w:t xml:space="preserve">MSAC queried whether the PBS criteria would lead to leakage for an MBS listing, but </w:t>
      </w:r>
      <w:r w:rsidR="00081A23">
        <w:t>noted that the Dutch Lipid Clinic Network Score for identifying affected individuals in the proposed MBS item descriptor (at least 6) is similar to the Score used in the alternative option for confirming FH in the PBS restriction for evolocumab (at least 6 for heterozygous FH, and at least 7 for homoz</w:t>
      </w:r>
      <w:r w:rsidR="00587DA8">
        <w:t>y</w:t>
      </w:r>
      <w:r w:rsidR="00081A23">
        <w:t>gous FH)</w:t>
      </w:r>
      <w:r>
        <w:t xml:space="preserve">. In addition, the PBS listing for homozygous FH patients </w:t>
      </w:r>
      <w:r w:rsidR="00587DA8">
        <w:t xml:space="preserve">does </w:t>
      </w:r>
      <w:r>
        <w:t xml:space="preserve">not </w:t>
      </w:r>
      <w:r w:rsidR="00587DA8">
        <w:t xml:space="preserve">appear to have </w:t>
      </w:r>
      <w:r>
        <w:t>resulted in large increases in genetic testing</w:t>
      </w:r>
      <w:r w:rsidR="00587DA8">
        <w:t>, although</w:t>
      </w:r>
      <w:r>
        <w:t xml:space="preserve"> the listing for heterozygous FH patients is too recent for any data to yet be available. MSAC noted that the pool of heterozygous FH patients is much larger than for homozygous FH patients.</w:t>
      </w:r>
    </w:p>
    <w:p w14:paraId="050BC621" w14:textId="2C1D41F3" w:rsidR="00350F5B" w:rsidRPr="004872C4" w:rsidRDefault="00350F5B" w:rsidP="00B71C97">
      <w:r>
        <w:t>MSAC queried the criteria for testing</w:t>
      </w:r>
      <w:r w:rsidR="00587DA8">
        <w:t xml:space="preserve"> in the proposed MBS item descriptor</w:t>
      </w:r>
      <w:r>
        <w:t xml:space="preserve">, noting that it differed </w:t>
      </w:r>
      <w:r w:rsidR="00587DA8">
        <w:t xml:space="preserve">in some respects </w:t>
      </w:r>
      <w:r>
        <w:t xml:space="preserve">from the PBS listing for access to evolocumab. However, MSAC accepted that these criteria do not have to match. Therefore, MSAC accepted the following criteria for testing </w:t>
      </w:r>
      <w:r w:rsidR="00471993">
        <w:t xml:space="preserve">of </w:t>
      </w:r>
      <w:r w:rsidR="00587DA8">
        <w:t>affected individuals</w:t>
      </w:r>
      <w:r>
        <w:t xml:space="preserve"> who </w:t>
      </w:r>
      <w:r w:rsidRPr="009625A6">
        <w:rPr>
          <w:b/>
        </w:rPr>
        <w:t>do not</w:t>
      </w:r>
      <w:r>
        <w:t xml:space="preserve"> have a</w:t>
      </w:r>
      <w:r w:rsidRPr="004872C4">
        <w:t xml:space="preserve"> previously identified FH mutation</w:t>
      </w:r>
      <w:r w:rsidR="00587DA8">
        <w:t>,</w:t>
      </w:r>
      <w:r w:rsidRPr="004872C4">
        <w:t xml:space="preserve"> </w:t>
      </w:r>
      <w:r>
        <w:t>but have one or more of the following:</w:t>
      </w:r>
    </w:p>
    <w:p w14:paraId="2FBC98DC" w14:textId="242CBD84" w:rsidR="00350F5B" w:rsidRDefault="00350F5B" w:rsidP="00350F5B">
      <w:pPr>
        <w:pStyle w:val="ListParagraph"/>
        <w:numPr>
          <w:ilvl w:val="0"/>
          <w:numId w:val="36"/>
        </w:numPr>
        <w:spacing w:after="240"/>
      </w:pPr>
      <w:r>
        <w:t xml:space="preserve">a Dutch Lipid Clinic Network </w:t>
      </w:r>
      <w:r w:rsidR="00587DA8">
        <w:t>S</w:t>
      </w:r>
      <w:r>
        <w:t>core of at least 6</w:t>
      </w:r>
    </w:p>
    <w:p w14:paraId="71410497" w14:textId="77777777" w:rsidR="00350F5B" w:rsidRDefault="00350F5B" w:rsidP="00350F5B">
      <w:pPr>
        <w:pStyle w:val="ListParagraph"/>
        <w:numPr>
          <w:ilvl w:val="0"/>
          <w:numId w:val="36"/>
        </w:numPr>
        <w:spacing w:after="240"/>
      </w:pPr>
      <w:r>
        <w:t xml:space="preserve">a </w:t>
      </w:r>
      <w:r w:rsidRPr="004872C4">
        <w:t xml:space="preserve">low-density lipoprotein </w:t>
      </w:r>
      <w:r>
        <w:t>(LDL) cholesterol level of at least 6.5 mmol/L in the absence of secondary causes</w:t>
      </w:r>
    </w:p>
    <w:p w14:paraId="6659F86F" w14:textId="77777777" w:rsidR="00350F5B" w:rsidRDefault="00350F5B" w:rsidP="00350F5B">
      <w:pPr>
        <w:pStyle w:val="ListParagraph"/>
        <w:numPr>
          <w:ilvl w:val="0"/>
          <w:numId w:val="36"/>
        </w:numPr>
        <w:spacing w:after="240"/>
      </w:pPr>
      <w:r>
        <w:t>an LDL cholesterol level between 5.0 and 6.5 mmol/L with signs of premature/accelerated atherogenesis.</w:t>
      </w:r>
    </w:p>
    <w:p w14:paraId="17758FCD" w14:textId="6B4A7D4A" w:rsidR="00DF2C6A" w:rsidRDefault="00EC64DE" w:rsidP="00CD3F08">
      <w:pPr>
        <w:spacing w:after="240"/>
      </w:pPr>
      <w:r>
        <w:t xml:space="preserve">MSAC noted the estimated incremental cost-effectiveness ratios (ICERs) from the economic evaluation were $26,174 per quality-adjusted life year (QALY) for testing of affected </w:t>
      </w:r>
      <w:r>
        <w:lastRenderedPageBreak/>
        <w:t>individuals and first-degree relatives; $24,907 per QALY for testing of affected individuals and first- and second-degree relatives; and $25,147 per QALY for testing of affected individuals and first-, second- and third-degree relatives.</w:t>
      </w:r>
    </w:p>
    <w:p w14:paraId="23A16F69" w14:textId="1DC8ADBC" w:rsidR="00EC64DE" w:rsidRDefault="00DF2C6A" w:rsidP="00CD3F08">
      <w:pPr>
        <w:spacing w:after="240"/>
      </w:pPr>
      <w:r>
        <w:t>MSAC noted the marginal ICERs from the economic evaluation were $2,649 per QALY for testing of first-degree relatives as well as affected individuals; $14,397 per QALY for testing of second-degree relatives as well as affected individuals and first-degree relatives; and $37,446 per QALY for testing of third-degree relatives as well as affected individuals and first-, and second-degree relatives.</w:t>
      </w:r>
    </w:p>
    <w:p w14:paraId="066DD47A" w14:textId="0A87574F" w:rsidR="00350F5B" w:rsidRDefault="00350F5B" w:rsidP="00CD3F08">
      <w:pPr>
        <w:spacing w:after="240"/>
      </w:pPr>
      <w:r>
        <w:t>MSAC considered the economic evaluation to have some flaws</w:t>
      </w:r>
      <w:r w:rsidR="00EC64DE">
        <w:t>. One was that</w:t>
      </w:r>
      <w:r>
        <w:t xml:space="preserve"> the estimates were derived from lipid clinic data</w:t>
      </w:r>
      <w:r w:rsidR="00EC64DE">
        <w:t xml:space="preserve"> and</w:t>
      </w:r>
      <w:r>
        <w:t xml:space="preserve"> these data may not translate to the general practice setting. Local experience in Western Australia revealed that, when general practitioners (GPs) are involved with requesting testing</w:t>
      </w:r>
      <w:r w:rsidR="00587DA8">
        <w:t xml:space="preserve"> of affected individuals</w:t>
      </w:r>
      <w:r>
        <w:t>, the diagnostic yield decreases. MSAC also considered the involvement of genetic counselling in these cases to be important, as this could address potential issues such as disclosure of results to relatives, who w</w:t>
      </w:r>
      <w:r w:rsidR="00587DA8">
        <w:t>ould</w:t>
      </w:r>
      <w:r>
        <w:t xml:space="preserve"> benefit the most from the </w:t>
      </w:r>
      <w:r w:rsidR="00587DA8">
        <w:t xml:space="preserve">overall proposed </w:t>
      </w:r>
      <w:r>
        <w:t xml:space="preserve">genetic testing. </w:t>
      </w:r>
      <w:r w:rsidR="00A1328D">
        <w:t xml:space="preserve">Further, MSAC noted that initiation of evolocumab therapy via the PBS is restricted to specialist physicians. </w:t>
      </w:r>
      <w:r>
        <w:t xml:space="preserve">Thus, MSAC recommended that testing </w:t>
      </w:r>
      <w:r w:rsidR="00587DA8">
        <w:t xml:space="preserve">of affected individuals </w:t>
      </w:r>
      <w:r>
        <w:t>should be requested by a specialist or consultant physician</w:t>
      </w:r>
      <w:r w:rsidR="00587DA8">
        <w:t xml:space="preserve"> only</w:t>
      </w:r>
      <w:r>
        <w:t>, but that cascade testing could be ordered by a GP</w:t>
      </w:r>
      <w:r w:rsidR="00587DA8">
        <w:t>, specialist or consultant physician</w:t>
      </w:r>
      <w:r>
        <w:t>.</w:t>
      </w:r>
    </w:p>
    <w:p w14:paraId="4E59FC44" w14:textId="06DE8376" w:rsidR="00350F5B" w:rsidRDefault="00350F5B" w:rsidP="00CD3F08">
      <w:pPr>
        <w:spacing w:after="240"/>
      </w:pPr>
      <w:r>
        <w:t xml:space="preserve">MSAC </w:t>
      </w:r>
      <w:r w:rsidR="00EC64DE">
        <w:t xml:space="preserve">also </w:t>
      </w:r>
      <w:r>
        <w:t xml:space="preserve">considered these ICERs to be unreliable, as the </w:t>
      </w:r>
      <w:r w:rsidR="00EC64DE">
        <w:t xml:space="preserve">economic evaluation excluded PCSK9 inhibitor therapy and so </w:t>
      </w:r>
      <w:r w:rsidR="006141CF">
        <w:t>underestimated both the</w:t>
      </w:r>
      <w:r w:rsidR="00EC64DE">
        <w:t>ir</w:t>
      </w:r>
      <w:r w:rsidR="006141CF">
        <w:t xml:space="preserve"> effectiveness and costs. </w:t>
      </w:r>
      <w:r w:rsidR="00555D8A">
        <w:t xml:space="preserve">As this therapy has been listed on the PBS as being acceptably cost-effective, MSAC had confidence that including this therapy into the current economic evaluation would </w:t>
      </w:r>
      <w:r w:rsidR="009A4233">
        <w:t xml:space="preserve">tend to make </w:t>
      </w:r>
      <w:r w:rsidR="00555D8A">
        <w:t xml:space="preserve">the </w:t>
      </w:r>
      <w:r w:rsidR="009A4233">
        <w:t>ICERs more favourable</w:t>
      </w:r>
      <w:r w:rsidR="00555D8A">
        <w:t xml:space="preserve">. </w:t>
      </w:r>
      <w:r w:rsidR="006141CF">
        <w:t xml:space="preserve">In addition, the ICERs </w:t>
      </w:r>
      <w:r>
        <w:t>depend</w:t>
      </w:r>
      <w:r w:rsidR="00587DA8">
        <w:t>ed</w:t>
      </w:r>
      <w:r>
        <w:t xml:space="preserve"> on cascade testing uptake numbers, which </w:t>
      </w:r>
      <w:r w:rsidR="00587DA8">
        <w:t>we</w:t>
      </w:r>
      <w:r>
        <w:t xml:space="preserve">re based on lipid clinic data. It </w:t>
      </w:r>
      <w:r w:rsidR="00587DA8">
        <w:t>was</w:t>
      </w:r>
      <w:r>
        <w:t xml:space="preserve"> thus uncertain if these data </w:t>
      </w:r>
      <w:r w:rsidR="00587DA8">
        <w:t>would</w:t>
      </w:r>
      <w:r>
        <w:t xml:space="preserve"> translate to the </w:t>
      </w:r>
      <w:r w:rsidR="00587DA8">
        <w:t xml:space="preserve">financial </w:t>
      </w:r>
      <w:r>
        <w:t>model. Th</w:t>
      </w:r>
      <w:r w:rsidR="00587DA8">
        <w:t>is</w:t>
      </w:r>
      <w:r>
        <w:t xml:space="preserve"> model </w:t>
      </w:r>
      <w:r w:rsidR="00587DA8">
        <w:t>estimated</w:t>
      </w:r>
      <w:r>
        <w:t xml:space="preserve"> a cost to the MBS of $540,955 in Year 1 rising to $622,098 in Year 5.</w:t>
      </w:r>
    </w:p>
    <w:p w14:paraId="4C42F822" w14:textId="4774FD57" w:rsidR="00350F5B" w:rsidRDefault="00350F5B" w:rsidP="00CD3F08">
      <w:pPr>
        <w:spacing w:after="240"/>
      </w:pPr>
      <w:r>
        <w:t xml:space="preserve">Since MSAC considered the cascade testing uptake numbers to be unreliable, </w:t>
      </w:r>
      <w:r w:rsidR="00DF2C6A">
        <w:t xml:space="preserve">and noting the plausibly large increase in the marginal ICER for adding third-degree relatives to the testing proposal, </w:t>
      </w:r>
      <w:r>
        <w:t>MSAC supported cascade testing for first- and second-degree relatives only. MSAC also noted there might be confusion in defining third-degree relatives by those requesting the tests.</w:t>
      </w:r>
    </w:p>
    <w:p w14:paraId="6C621BFD" w14:textId="3368EF7B" w:rsidR="00350F5B" w:rsidRDefault="00350F5B" w:rsidP="00CD3F08">
      <w:pPr>
        <w:spacing w:after="240"/>
      </w:pPr>
      <w:r>
        <w:t>MSAC considered once in a lifetime testing to be appropriate</w:t>
      </w:r>
      <w:r w:rsidR="00587DA8">
        <w:t xml:space="preserve"> for both affected individual and casca</w:t>
      </w:r>
      <w:r w:rsidR="00471993">
        <w:t>de family member populations, anticipating that</w:t>
      </w:r>
      <w:r>
        <w:t xml:space="preserve"> next-generation sequencing (NGS) w</w:t>
      </w:r>
      <w:r w:rsidR="00471993">
        <w:t>ould</w:t>
      </w:r>
      <w:r>
        <w:t xml:space="preserve"> be used</w:t>
      </w:r>
      <w:r w:rsidR="00471993">
        <w:t xml:space="preserve"> to test affected individuals</w:t>
      </w:r>
      <w:r>
        <w:t>. The ‘once in a lifetime’ limit could be reviewed in 5–10 years if the field advances substantially during this time</w:t>
      </w:r>
      <w:r w:rsidR="00471993">
        <w:t>, especially to reduce false negative test results</w:t>
      </w:r>
      <w:r w:rsidR="00B47793">
        <w:t>.</w:t>
      </w:r>
    </w:p>
    <w:p w14:paraId="5A9BE7D0" w14:textId="036B0539" w:rsidR="00350F5B" w:rsidRDefault="00350F5B" w:rsidP="00CD3F08">
      <w:pPr>
        <w:spacing w:after="240"/>
      </w:pPr>
      <w:r>
        <w:t xml:space="preserve">MSAC considered the proposed fee of $1200 to be appropriate for </w:t>
      </w:r>
      <w:r w:rsidR="00471993">
        <w:t>affected individuals</w:t>
      </w:r>
      <w:r>
        <w:t>, as NGS is required for the</w:t>
      </w:r>
      <w:r w:rsidR="00471993">
        <w:t xml:space="preserve"> proposed panel</w:t>
      </w:r>
      <w:r>
        <w:t xml:space="preserve">. MSAC also considered the proposed fee of $400 for cascade testing to be appropriate, as MSAC accepted the applicant’s explanation that the currently charged fees of $120–200 underestimate the true cost of the </w:t>
      </w:r>
      <w:r w:rsidR="00471993">
        <w:t xml:space="preserve">targeted pathogenic germline gene variant </w:t>
      </w:r>
      <w:r>
        <w:t>test.</w:t>
      </w:r>
    </w:p>
    <w:p w14:paraId="2B24E8D3" w14:textId="41ADEE69" w:rsidR="00DC053C" w:rsidRPr="00CD3F08" w:rsidRDefault="00DC053C" w:rsidP="00CD3F08">
      <w:pPr>
        <w:spacing w:after="240"/>
        <w:rPr>
          <w:rFonts w:ascii="Calibri" w:hAnsi="Calibri" w:cs="Calibri"/>
          <w:color w:val="1F497D"/>
          <w:sz w:val="22"/>
          <w:szCs w:val="22"/>
          <w:lang w:eastAsia="en-US"/>
        </w:rPr>
      </w:pPr>
      <w:r>
        <w:t xml:space="preserve">MSAC considered that the financial analyses may underestimate the extent of uptake of the requested genetic testing because the market share approach adopted for these analyses is based on an assumption that the current levels of under-diagnosis will remain. MSAC considered that this assumption may not hold if the new model of FH care proposed by </w:t>
      </w:r>
      <w:r>
        <w:lastRenderedPageBreak/>
        <w:t>Atherosclerosis Australia is implemented widely, noting that genetic testing of the large prevalence pool of existing affected individuals has not been a standard part of routine management to date.</w:t>
      </w:r>
    </w:p>
    <w:p w14:paraId="5FF5CE9D" w14:textId="77777777" w:rsidR="00350F5B" w:rsidRDefault="00350F5B" w:rsidP="00350F5B">
      <w:r>
        <w:t>MSAC recommended that the MBS item be reviewed in 2 years to capture predicted and actual uptake.</w:t>
      </w:r>
    </w:p>
    <w:p w14:paraId="42B006DD" w14:textId="77777777" w:rsidR="00BC1364" w:rsidRPr="00F715D1" w:rsidRDefault="00BC1364" w:rsidP="00F715D1">
      <w:pPr>
        <w:pStyle w:val="Heading1"/>
      </w:pPr>
      <w:r w:rsidRPr="00F715D1">
        <w:t>Background</w:t>
      </w:r>
    </w:p>
    <w:p w14:paraId="7CCBB0B3" w14:textId="2A04FB80" w:rsidR="005D55BA" w:rsidRDefault="00C064F2" w:rsidP="00CD3F08">
      <w:pPr>
        <w:spacing w:after="240"/>
      </w:pPr>
      <w:r w:rsidRPr="003861DF">
        <w:t xml:space="preserve">The </w:t>
      </w:r>
      <w:r>
        <w:t>MSAC</w:t>
      </w:r>
      <w:r w:rsidRPr="003861DF">
        <w:t xml:space="preserve"> has piloted arrangements </w:t>
      </w:r>
      <w:r w:rsidR="005D55BA">
        <w:t xml:space="preserve">through its CUC </w:t>
      </w:r>
      <w:r w:rsidRPr="003861DF">
        <w:t>to assess the utility of germline genetic testing for broad disease areas, such as cancer, cardiovascular or mental illness. This approach is to be used to inform consideration of the circumstances under which germline genetic testing for these dise</w:t>
      </w:r>
      <w:r>
        <w:t>ases should be publicly funded.</w:t>
      </w:r>
    </w:p>
    <w:p w14:paraId="2D46AB67" w14:textId="599AED03" w:rsidR="005D55BA" w:rsidRDefault="005D55BA" w:rsidP="005D55BA">
      <w:r>
        <w:t>The purpose of genetic testing for heritable mutations associated with FH is to investigate:</w:t>
      </w:r>
    </w:p>
    <w:p w14:paraId="0B2A694F" w14:textId="77777777" w:rsidR="005D55BA" w:rsidRDefault="005D55BA" w:rsidP="005D55BA">
      <w:pPr>
        <w:pStyle w:val="ListParagraph"/>
        <w:numPr>
          <w:ilvl w:val="0"/>
          <w:numId w:val="29"/>
        </w:numPr>
      </w:pPr>
      <w:r>
        <w:t>clinically affected individuals, to make a genetic diagnosis and thus estimate the future risk of further disease – for these individuals, this is diagnostic testing; and, when also appropriate</w:t>
      </w:r>
    </w:p>
    <w:p w14:paraId="0430ED2B" w14:textId="5B9395C9" w:rsidR="005D55BA" w:rsidRDefault="005D55BA" w:rsidP="00CD3F08">
      <w:pPr>
        <w:pStyle w:val="ListParagraph"/>
        <w:numPr>
          <w:ilvl w:val="0"/>
          <w:numId w:val="29"/>
        </w:numPr>
        <w:spacing w:after="240"/>
      </w:pPr>
      <w:r>
        <w:t>cascade testing of family members of those individuals who test positive for one or more relevant mutations, to make a genetic diagnosis and thus estimate each family member’s variation in (predisposition for) the future risk of developing the clinical disease (and, less commonly, future risk of further disease if hypercholesterolaemia has already been diagnosed) – for these individuals, this is predictive testing.</w:t>
      </w:r>
    </w:p>
    <w:p w14:paraId="03F4A19F" w14:textId="6E0FD132" w:rsidR="005D55BA" w:rsidRDefault="005D55BA" w:rsidP="00CD3F08">
      <w:pPr>
        <w:spacing w:after="240"/>
      </w:pPr>
      <w:r>
        <w:t>For FH, “star performer” gene(s) for testing were selected on the basis of having the strongest case for clinical utility, and the evidence provided in the CUC focussed on these genes. Other genes may be added to the panel of genes to be tested for the disease area on the basis of also having clinical utility, of not detracting from the clinical utility of the “star performer” genes, and of incurring negligible consequences for the incremental cost-effectiveness of the proposed genetic testing.</w:t>
      </w:r>
    </w:p>
    <w:p w14:paraId="17196821" w14:textId="41D298E4" w:rsidR="00C064F2" w:rsidRDefault="005D55BA" w:rsidP="00CD3F08">
      <w:pPr>
        <w:spacing w:after="240"/>
      </w:pPr>
      <w:r>
        <w:t>For FH, the characteristics of the clinically affected individuals who should be selected as eligible for this genetic testing are defined. This reflects an MSAC preference for a low probability of an actionable result over a high probability of an uninterpretable or unactionable result. Cascade testing is then only contemplated for family members of those individuals who test positive for a relevant mutation, and only when this mutation is also associated with having clinical utility for the family members.</w:t>
      </w:r>
    </w:p>
    <w:p w14:paraId="44BC83F1" w14:textId="77777777" w:rsidR="00C064F2" w:rsidRPr="003700A9" w:rsidRDefault="00C064F2" w:rsidP="00C064F2">
      <w:pPr>
        <w:jc w:val="both"/>
      </w:pPr>
      <w:r>
        <w:t xml:space="preserve">Currently, fees for genetic testing of genes associated with FH vary widely across Australia; between $800.00 for exon-by-exon sequencing of the </w:t>
      </w:r>
      <w:r w:rsidRPr="008B7B64">
        <w:rPr>
          <w:i/>
        </w:rPr>
        <w:t>LDLR</w:t>
      </w:r>
      <w:r>
        <w:t xml:space="preserve"> gene plus select regions in </w:t>
      </w:r>
      <w:r>
        <w:rPr>
          <w:i/>
        </w:rPr>
        <w:t xml:space="preserve">PCSK9 </w:t>
      </w:r>
      <w:r>
        <w:t xml:space="preserve">and </w:t>
      </w:r>
      <w:r>
        <w:rPr>
          <w:i/>
        </w:rPr>
        <w:t>APOB</w:t>
      </w:r>
      <w:r>
        <w:t xml:space="preserve"> (by SA Pathology) and $1,664.00 for a panel that includes </w:t>
      </w:r>
      <w:r>
        <w:rPr>
          <w:i/>
          <w:iCs/>
        </w:rPr>
        <w:t>APOB</w:t>
      </w:r>
      <w:r>
        <w:t xml:space="preserve">, </w:t>
      </w:r>
      <w:r>
        <w:rPr>
          <w:i/>
          <w:iCs/>
        </w:rPr>
        <w:t>CETP</w:t>
      </w:r>
      <w:r>
        <w:t xml:space="preserve">, </w:t>
      </w:r>
      <w:r>
        <w:rPr>
          <w:i/>
          <w:iCs/>
        </w:rPr>
        <w:t>LDLR</w:t>
      </w:r>
      <w:r>
        <w:t xml:space="preserve">, </w:t>
      </w:r>
      <w:r>
        <w:rPr>
          <w:i/>
          <w:iCs/>
        </w:rPr>
        <w:t>LDLRAP1</w:t>
      </w:r>
      <w:r>
        <w:t xml:space="preserve">, </w:t>
      </w:r>
      <w:r>
        <w:rPr>
          <w:i/>
          <w:iCs/>
        </w:rPr>
        <w:t>LIPA</w:t>
      </w:r>
      <w:r>
        <w:t xml:space="preserve">, </w:t>
      </w:r>
      <w:r>
        <w:rPr>
          <w:i/>
          <w:iCs/>
        </w:rPr>
        <w:t>PCSK9</w:t>
      </w:r>
      <w:r>
        <w:t xml:space="preserve">, </w:t>
      </w:r>
      <w:r>
        <w:rPr>
          <w:i/>
          <w:iCs/>
        </w:rPr>
        <w:t>STAP1</w:t>
      </w:r>
      <w:r>
        <w:rPr>
          <w:iCs/>
        </w:rPr>
        <w:t xml:space="preserve"> and also includes genetic counselling (by Sonic Genetics). Current fees for cascade testing (of a known mutation) were reported as $132 by SA Pathology and $200 by Master Pathology in Queensland.</w:t>
      </w:r>
    </w:p>
    <w:p w14:paraId="0F1E991C" w14:textId="77777777" w:rsidR="00BC1364" w:rsidRPr="00F715D1" w:rsidRDefault="00BC1364" w:rsidP="00F715D1">
      <w:pPr>
        <w:pStyle w:val="Heading1"/>
      </w:pPr>
      <w:r w:rsidRPr="00F715D1">
        <w:t>Prerequisites to implementation of any funding advice</w:t>
      </w:r>
    </w:p>
    <w:p w14:paraId="23E47182" w14:textId="77777777" w:rsidR="00C064F2" w:rsidRPr="00F7484F" w:rsidRDefault="00C064F2" w:rsidP="00C064F2">
      <w:r w:rsidRPr="00213AA9">
        <w:t xml:space="preserve">Genetic testing </w:t>
      </w:r>
      <w:r>
        <w:t>for FH should be undertaken in a National Association of Testing Authorities (NATA)/ RCPA accredited laboratory.</w:t>
      </w:r>
    </w:p>
    <w:p w14:paraId="0DE353C2" w14:textId="77777777" w:rsidR="00BC1364" w:rsidRPr="00F715D1" w:rsidRDefault="00BC1364" w:rsidP="00F715D1">
      <w:pPr>
        <w:pStyle w:val="Heading1"/>
      </w:pPr>
      <w:r w:rsidRPr="00F715D1">
        <w:lastRenderedPageBreak/>
        <w:t>Proposal for public funding</w:t>
      </w:r>
    </w:p>
    <w:p w14:paraId="55E9181B" w14:textId="1143B39A" w:rsidR="00C064F2" w:rsidRDefault="00C064F2" w:rsidP="00CD3F08">
      <w:pPr>
        <w:spacing w:after="240"/>
      </w:pPr>
      <w:r>
        <w:t xml:space="preserve">The proposed MBS item descriptor for diagnostic testing is </w:t>
      </w:r>
      <w:r w:rsidRPr="003A7214">
        <w:rPr>
          <w:szCs w:val="24"/>
        </w:rPr>
        <w:t>provided</w:t>
      </w:r>
      <w:r w:rsidR="003A7214" w:rsidRPr="003A7214">
        <w:rPr>
          <w:szCs w:val="24"/>
        </w:rPr>
        <w:t xml:space="preserve"> in </w:t>
      </w:r>
      <w:r w:rsidR="003A7214" w:rsidRPr="003A7214">
        <w:rPr>
          <w:b/>
          <w:szCs w:val="24"/>
        </w:rPr>
        <w:fldChar w:fldCharType="begin"/>
      </w:r>
      <w:r w:rsidR="003A7214" w:rsidRPr="003A7214">
        <w:rPr>
          <w:b/>
          <w:szCs w:val="24"/>
        </w:rPr>
        <w:instrText xml:space="preserve"> REF _Ref535589119 \h  \* MERGEFORMAT </w:instrText>
      </w:r>
      <w:r w:rsidR="003A7214" w:rsidRPr="003A7214">
        <w:rPr>
          <w:b/>
          <w:szCs w:val="24"/>
        </w:rPr>
      </w:r>
      <w:r w:rsidR="003A7214" w:rsidRPr="003A7214">
        <w:rPr>
          <w:b/>
          <w:szCs w:val="24"/>
        </w:rPr>
        <w:fldChar w:fldCharType="separate"/>
      </w:r>
      <w:r w:rsidR="00D31D39" w:rsidRPr="00D31D39">
        <w:rPr>
          <w:rStyle w:val="CaptionChar"/>
          <w:rFonts w:ascii="Times New Roman" w:hAnsi="Times New Roman" w:cs="Times New Roman"/>
          <w:b w:val="0"/>
          <w:sz w:val="24"/>
          <w:szCs w:val="24"/>
        </w:rPr>
        <w:t xml:space="preserve">Table </w:t>
      </w:r>
      <w:r w:rsidR="00D31D39" w:rsidRPr="00D31D39">
        <w:rPr>
          <w:rStyle w:val="CaptionChar"/>
          <w:rFonts w:ascii="Times New Roman" w:hAnsi="Times New Roman" w:cs="Times New Roman"/>
          <w:b w:val="0"/>
          <w:noProof/>
          <w:sz w:val="24"/>
          <w:szCs w:val="24"/>
        </w:rPr>
        <w:t>1</w:t>
      </w:r>
      <w:r w:rsidR="003A7214" w:rsidRPr="003A7214">
        <w:rPr>
          <w:b/>
          <w:szCs w:val="24"/>
        </w:rPr>
        <w:fldChar w:fldCharType="end"/>
      </w:r>
      <w:r w:rsidRPr="003A7214">
        <w:rPr>
          <w:szCs w:val="24"/>
        </w:rPr>
        <w:t>. Specifically</w:t>
      </w:r>
      <w:r>
        <w:t xml:space="preserve">, the proposed item descriptor for genetic testing </w:t>
      </w:r>
      <w:r w:rsidR="00DC2064">
        <w:t>of affected individuals</w:t>
      </w:r>
      <w:r>
        <w:t xml:space="preserve"> allows the test </w:t>
      </w:r>
      <w:r w:rsidR="00DC2064">
        <w:t xml:space="preserve">panel </w:t>
      </w:r>
      <w:r>
        <w:t xml:space="preserve">to be ordered by </w:t>
      </w:r>
      <w:r w:rsidRPr="00C941CE">
        <w:t>specialist</w:t>
      </w:r>
      <w:r>
        <w:t xml:space="preserve">s, </w:t>
      </w:r>
      <w:r w:rsidRPr="00C941CE">
        <w:t>consultant physician</w:t>
      </w:r>
      <w:r>
        <w:t>s</w:t>
      </w:r>
      <w:r w:rsidRPr="00C941CE">
        <w:t xml:space="preserve"> or general practitioner</w:t>
      </w:r>
      <w:r>
        <w:t>s</w:t>
      </w:r>
      <w:r w:rsidRPr="00C941CE">
        <w:t xml:space="preserve"> </w:t>
      </w:r>
      <w:r>
        <w:t xml:space="preserve">in consultation with </w:t>
      </w:r>
      <w:r w:rsidRPr="00C941CE">
        <w:t>specialist</w:t>
      </w:r>
      <w:r>
        <w:t>s.</w:t>
      </w:r>
    </w:p>
    <w:p w14:paraId="6A4E9734" w14:textId="302EF468" w:rsidR="00C064F2" w:rsidRPr="00363C3C" w:rsidRDefault="00C064F2" w:rsidP="00C064F2">
      <w:pPr>
        <w:keepNext/>
        <w:spacing w:after="40"/>
        <w:rPr>
          <w:rFonts w:ascii="Arial Narrow" w:hAnsi="Arial Narrow" w:cs="Tahoma"/>
          <w:b/>
          <w:sz w:val="20"/>
          <w:lang w:val="en-GB" w:eastAsia="ja-JP"/>
        </w:rPr>
      </w:pPr>
      <w:bookmarkStart w:id="1" w:name="_Ref535589119"/>
      <w:r w:rsidRPr="002E29F5">
        <w:rPr>
          <w:rStyle w:val="CaptionChar"/>
        </w:rPr>
        <w:t xml:space="preserve">Table </w:t>
      </w:r>
      <w:r w:rsidRPr="002E29F5">
        <w:rPr>
          <w:rStyle w:val="CaptionChar"/>
        </w:rPr>
        <w:fldChar w:fldCharType="begin"/>
      </w:r>
      <w:r w:rsidRPr="002E29F5">
        <w:rPr>
          <w:rStyle w:val="CaptionChar"/>
        </w:rPr>
        <w:instrText xml:space="preserve"> SEQ Table \* ARABIC </w:instrText>
      </w:r>
      <w:r w:rsidRPr="002E29F5">
        <w:rPr>
          <w:rStyle w:val="CaptionChar"/>
        </w:rPr>
        <w:fldChar w:fldCharType="separate"/>
      </w:r>
      <w:r w:rsidR="00722D57">
        <w:rPr>
          <w:rStyle w:val="CaptionChar"/>
          <w:noProof/>
        </w:rPr>
        <w:t>1</w:t>
      </w:r>
      <w:r w:rsidRPr="002E29F5">
        <w:rPr>
          <w:rStyle w:val="CaptionChar"/>
        </w:rPr>
        <w:fldChar w:fldCharType="end"/>
      </w:r>
      <w:bookmarkEnd w:id="1"/>
      <w:r>
        <w:t xml:space="preserve"> </w:t>
      </w:r>
      <w:bookmarkStart w:id="2" w:name="_Toc526417127"/>
      <w:r w:rsidRPr="00EC5FD4">
        <w:rPr>
          <w:rFonts w:ascii="Arial Narrow" w:hAnsi="Arial Narrow" w:cs="Tahoma"/>
          <w:b/>
          <w:sz w:val="20"/>
          <w:lang w:val="en-GB" w:eastAsia="ja-JP"/>
        </w:rPr>
        <w:t>Proposed item descriptor for diagnostic testing</w:t>
      </w:r>
      <w:bookmarkEnd w:id="2"/>
    </w:p>
    <w:tbl>
      <w:tblPr>
        <w:tblStyle w:val="TableGrid2"/>
        <w:tblW w:w="9498" w:type="dxa"/>
        <w:tblInd w:w="-5"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498"/>
      </w:tblGrid>
      <w:tr w:rsidR="00C064F2" w:rsidRPr="00EC5FD4" w14:paraId="29244F9D" w14:textId="77777777" w:rsidTr="005D55BA">
        <w:trPr>
          <w:cnfStyle w:val="100000000000" w:firstRow="1" w:lastRow="0" w:firstColumn="0" w:lastColumn="0" w:oddVBand="0" w:evenVBand="0" w:oddHBand="0" w:evenHBand="0" w:firstRowFirstColumn="0" w:firstRowLastColumn="0" w:lastRowFirstColumn="0" w:lastRowLastColumn="0"/>
          <w:cantSplit/>
          <w:tblHeader/>
        </w:trPr>
        <w:tc>
          <w:tcPr>
            <w:tcW w:w="9498" w:type="dxa"/>
          </w:tcPr>
          <w:p w14:paraId="640B8619" w14:textId="77777777" w:rsidR="00C064F2" w:rsidRPr="00EC5FD4" w:rsidRDefault="00C064F2" w:rsidP="005D55BA">
            <w:pPr>
              <w:pStyle w:val="TableHeading"/>
              <w:jc w:val="right"/>
            </w:pPr>
            <w:r w:rsidRPr="00EC5FD4">
              <w:t>Category 6 – PATHOLOGY SERVICES</w:t>
            </w:r>
          </w:p>
        </w:tc>
      </w:tr>
      <w:tr w:rsidR="00C064F2" w:rsidRPr="00EC5FD4" w14:paraId="2F4F50FF" w14:textId="77777777" w:rsidTr="005D55BA">
        <w:trPr>
          <w:cnfStyle w:val="100000000000" w:firstRow="1" w:lastRow="0" w:firstColumn="0" w:lastColumn="0" w:oddVBand="0" w:evenVBand="0" w:oddHBand="0" w:evenHBand="0" w:firstRowFirstColumn="0" w:firstRowLastColumn="0" w:lastRowFirstColumn="0" w:lastRowLastColumn="0"/>
          <w:cantSplit/>
          <w:tblHeader/>
        </w:trPr>
        <w:tc>
          <w:tcPr>
            <w:tcW w:w="9498" w:type="dxa"/>
          </w:tcPr>
          <w:p w14:paraId="69A8737C" w14:textId="4B7B75E6" w:rsidR="00C064F2" w:rsidRPr="00EC5FD4" w:rsidRDefault="00C064F2" w:rsidP="00CD3F08">
            <w:pPr>
              <w:pStyle w:val="Tabletext"/>
              <w:spacing w:after="240"/>
              <w:rPr>
                <w:u w:color="FF0000"/>
              </w:rPr>
            </w:pPr>
            <w:r w:rsidRPr="00EC5FD4">
              <w:rPr>
                <w:u w:color="FF0000"/>
              </w:rPr>
              <w:t>Characterisation of germline gene variants in</w:t>
            </w:r>
            <w:r>
              <w:rPr>
                <w:u w:color="FF0000"/>
              </w:rPr>
              <w:t xml:space="preserve"> </w:t>
            </w:r>
            <w:r w:rsidRPr="00EC5FD4">
              <w:rPr>
                <w:u w:color="FF0000"/>
              </w:rPr>
              <w:t xml:space="preserve">the </w:t>
            </w:r>
            <w:r w:rsidRPr="00EC5FD4">
              <w:rPr>
                <w:i/>
                <w:u w:color="FF0000"/>
              </w:rPr>
              <w:t>LDLR</w:t>
            </w:r>
            <w:r w:rsidRPr="00EC5FD4">
              <w:rPr>
                <w:u w:color="FF0000"/>
              </w:rPr>
              <w:t xml:space="preserve">, </w:t>
            </w:r>
            <w:r w:rsidRPr="00EC5FD4">
              <w:rPr>
                <w:i/>
                <w:u w:color="FF0000"/>
              </w:rPr>
              <w:t>PCSK9</w:t>
            </w:r>
            <w:r w:rsidRPr="00EC5FD4">
              <w:rPr>
                <w:u w:color="FF0000"/>
              </w:rPr>
              <w:t xml:space="preserve"> and </w:t>
            </w:r>
            <w:r w:rsidRPr="00EC5FD4">
              <w:rPr>
                <w:i/>
                <w:u w:color="FF0000"/>
              </w:rPr>
              <w:t>APOB</w:t>
            </w:r>
            <w:r w:rsidRPr="00EC5FD4">
              <w:rPr>
                <w:u w:color="FF0000"/>
              </w:rPr>
              <w:t xml:space="preserve"> genes causing familial hypercholesterolaemia, requested by a specialist or consultant physician or a general practitioner in consultation with a specialist, in patients where:</w:t>
            </w:r>
          </w:p>
          <w:p w14:paraId="7E6355CD" w14:textId="77777777" w:rsidR="00C064F2" w:rsidRPr="00EC5FD4" w:rsidRDefault="00C064F2" w:rsidP="00C064F2">
            <w:pPr>
              <w:pStyle w:val="Tabletext"/>
              <w:numPr>
                <w:ilvl w:val="0"/>
                <w:numId w:val="30"/>
              </w:numPr>
              <w:rPr>
                <w:u w:color="FF0000"/>
              </w:rPr>
            </w:pPr>
            <w:r w:rsidRPr="00EC5FD4">
              <w:rPr>
                <w:u w:color="FF0000"/>
              </w:rPr>
              <w:t>No familial mutation has been identified, and</w:t>
            </w:r>
          </w:p>
          <w:p w14:paraId="43DFA00B" w14:textId="77777777" w:rsidR="00C064F2" w:rsidRPr="00EC5FD4" w:rsidRDefault="00C064F2" w:rsidP="00C064F2">
            <w:pPr>
              <w:pStyle w:val="Tabletext"/>
              <w:numPr>
                <w:ilvl w:val="0"/>
                <w:numId w:val="30"/>
              </w:numPr>
              <w:rPr>
                <w:u w:val="dotted" w:color="FF0000"/>
              </w:rPr>
            </w:pPr>
            <w:r w:rsidRPr="00EC5FD4">
              <w:rPr>
                <w:u w:color="FF0000"/>
              </w:rPr>
              <w:t>The patient has a Dutch Lipid Clinic Network score of at least 6; or</w:t>
            </w:r>
          </w:p>
          <w:p w14:paraId="750BA886" w14:textId="77777777" w:rsidR="00C064F2" w:rsidRDefault="00C064F2" w:rsidP="00C064F2">
            <w:pPr>
              <w:pStyle w:val="Tabletext"/>
              <w:numPr>
                <w:ilvl w:val="0"/>
                <w:numId w:val="30"/>
              </w:numPr>
              <w:rPr>
                <w:u w:color="FF0000"/>
              </w:rPr>
            </w:pPr>
            <w:r w:rsidRPr="00EC5FD4">
              <w:rPr>
                <w:u w:color="FF0000"/>
              </w:rPr>
              <w:t>The patient has an LDL-cholesterol level of at least 6.5 mmol/L in the absence of secondary causes; or</w:t>
            </w:r>
          </w:p>
          <w:p w14:paraId="3788055D" w14:textId="71E984C4" w:rsidR="00C064F2" w:rsidRPr="00CD3F08" w:rsidRDefault="00C064F2" w:rsidP="00CD3F08">
            <w:pPr>
              <w:pStyle w:val="Tabletext"/>
              <w:numPr>
                <w:ilvl w:val="0"/>
                <w:numId w:val="30"/>
              </w:numPr>
              <w:spacing w:after="240"/>
              <w:ind w:left="714" w:hanging="357"/>
              <w:rPr>
                <w:u w:color="FF0000"/>
              </w:rPr>
            </w:pPr>
            <w:r w:rsidRPr="00EC5FD4">
              <w:rPr>
                <w:u w:color="FF0000"/>
              </w:rPr>
              <w:t>The patient has an LDL-cholesterol level between 5.0 and 6.5 mmol/L with signs of premature/accelerated atherogenesis.</w:t>
            </w:r>
          </w:p>
          <w:p w14:paraId="7842A20A" w14:textId="77777777" w:rsidR="00C064F2" w:rsidRPr="00EC5FD4" w:rsidRDefault="00C064F2" w:rsidP="005D55BA">
            <w:pPr>
              <w:pStyle w:val="Tabletext"/>
            </w:pPr>
            <w:r w:rsidRPr="00EC5FD4">
              <w:rPr>
                <w:b/>
                <w:u w:color="FF0000"/>
              </w:rPr>
              <w:t>Fee</w:t>
            </w:r>
            <w:r w:rsidRPr="00EC5FD4">
              <w:t xml:space="preserve">:  $ 1,200.00  </w:t>
            </w:r>
            <w:r w:rsidRPr="00EC5FD4">
              <w:rPr>
                <w:b/>
              </w:rPr>
              <w:t xml:space="preserve">Benefit: </w:t>
            </w:r>
            <w:r w:rsidRPr="00EC5FD4">
              <w:t>75% = 900.00  85% = 1020.00</w:t>
            </w:r>
          </w:p>
        </w:tc>
      </w:tr>
    </w:tbl>
    <w:p w14:paraId="3D649EBF" w14:textId="5A31BE19" w:rsidR="00C064F2" w:rsidRDefault="00C064F2" w:rsidP="00CD3F08">
      <w:pPr>
        <w:spacing w:before="240" w:after="240"/>
      </w:pPr>
      <w:bookmarkStart w:id="3" w:name="_Toc526417128"/>
      <w:r>
        <w:t xml:space="preserve">The proposed item descriptor for predictive testing of family members is provided in </w:t>
      </w:r>
      <w:r>
        <w:fldChar w:fldCharType="begin"/>
      </w:r>
      <w:r>
        <w:instrText xml:space="preserve"> REF _Ref535932482 \h </w:instrText>
      </w:r>
      <w:r>
        <w:fldChar w:fldCharType="separate"/>
      </w:r>
      <w:r w:rsidR="00D31D39">
        <w:t xml:space="preserve">Table </w:t>
      </w:r>
      <w:r w:rsidR="00D31D39">
        <w:rPr>
          <w:noProof/>
        </w:rPr>
        <w:t>2</w:t>
      </w:r>
      <w:r>
        <w:fldChar w:fldCharType="end"/>
      </w:r>
      <w:r>
        <w:t xml:space="preserve">. The </w:t>
      </w:r>
      <w:r w:rsidRPr="003E491D">
        <w:t>proposal agreed to by PASC is that general practitioners or other specialists may</w:t>
      </w:r>
      <w:r>
        <w:t xml:space="preserve"> order cascade testing for FH.</w:t>
      </w:r>
    </w:p>
    <w:p w14:paraId="582ACB25" w14:textId="54C6D74A" w:rsidR="00C064F2" w:rsidRPr="00162774" w:rsidRDefault="00C064F2" w:rsidP="00162774">
      <w:pPr>
        <w:rPr>
          <w:rFonts w:ascii="Arial Narrow" w:hAnsi="Arial Narrow"/>
          <w:b/>
          <w:sz w:val="20"/>
        </w:rPr>
      </w:pPr>
      <w:bookmarkStart w:id="4" w:name="_Ref535932482"/>
      <w:bookmarkEnd w:id="3"/>
      <w:r w:rsidRPr="00162774">
        <w:rPr>
          <w:rFonts w:ascii="Arial Narrow" w:hAnsi="Arial Narrow"/>
          <w:b/>
          <w:sz w:val="20"/>
        </w:rPr>
        <w:t xml:space="preserve">Table </w:t>
      </w:r>
      <w:r w:rsidRPr="00162774">
        <w:rPr>
          <w:rFonts w:ascii="Arial Narrow" w:hAnsi="Arial Narrow"/>
          <w:b/>
          <w:sz w:val="20"/>
        </w:rPr>
        <w:fldChar w:fldCharType="begin"/>
      </w:r>
      <w:r w:rsidRPr="00162774">
        <w:rPr>
          <w:rFonts w:ascii="Arial Narrow" w:hAnsi="Arial Narrow"/>
          <w:b/>
          <w:sz w:val="20"/>
        </w:rPr>
        <w:instrText xml:space="preserve"> SEQ Table \* ARABIC </w:instrText>
      </w:r>
      <w:r w:rsidRPr="00162774">
        <w:rPr>
          <w:rFonts w:ascii="Arial Narrow" w:hAnsi="Arial Narrow"/>
          <w:b/>
          <w:sz w:val="20"/>
        </w:rPr>
        <w:fldChar w:fldCharType="separate"/>
      </w:r>
      <w:r w:rsidR="00722D57" w:rsidRPr="00162774">
        <w:rPr>
          <w:rFonts w:ascii="Arial Narrow" w:hAnsi="Arial Narrow"/>
          <w:b/>
          <w:sz w:val="20"/>
        </w:rPr>
        <w:t>2</w:t>
      </w:r>
      <w:r w:rsidRPr="00162774">
        <w:rPr>
          <w:rFonts w:ascii="Arial Narrow" w:hAnsi="Arial Narrow"/>
          <w:b/>
          <w:sz w:val="20"/>
        </w:rPr>
        <w:fldChar w:fldCharType="end"/>
      </w:r>
      <w:bookmarkEnd w:id="4"/>
      <w:r w:rsidRPr="00162774">
        <w:rPr>
          <w:rFonts w:ascii="Arial Narrow" w:hAnsi="Arial Narrow"/>
          <w:b/>
          <w:sz w:val="20"/>
        </w:rPr>
        <w:t xml:space="preserve"> Proposed item descriptor for predictive testing of family members</w:t>
      </w:r>
    </w:p>
    <w:tbl>
      <w:tblPr>
        <w:tblStyle w:val="TableGrid"/>
        <w:tblW w:w="9498" w:type="dxa"/>
        <w:tblInd w:w="-5"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498"/>
      </w:tblGrid>
      <w:tr w:rsidR="00C064F2" w:rsidRPr="00DE3D6C" w14:paraId="72DAC8B6" w14:textId="77777777" w:rsidTr="005D55BA">
        <w:trPr>
          <w:cantSplit/>
          <w:tblHeader/>
        </w:trPr>
        <w:tc>
          <w:tcPr>
            <w:tcW w:w="9498" w:type="dxa"/>
          </w:tcPr>
          <w:p w14:paraId="7CC02866" w14:textId="77777777" w:rsidR="00C064F2" w:rsidRPr="00DE3D6C" w:rsidRDefault="00C064F2" w:rsidP="005D55BA">
            <w:pPr>
              <w:pStyle w:val="TableHeading"/>
              <w:jc w:val="right"/>
            </w:pPr>
            <w:r>
              <w:t>Category 6 – PATHOLOGY SERVICES</w:t>
            </w:r>
          </w:p>
        </w:tc>
      </w:tr>
      <w:tr w:rsidR="00C064F2" w:rsidRPr="00895BCC" w14:paraId="665D859B" w14:textId="77777777" w:rsidTr="005D55BA">
        <w:trPr>
          <w:cantSplit/>
          <w:trHeight w:val="1215"/>
          <w:tblHeader/>
        </w:trPr>
        <w:tc>
          <w:tcPr>
            <w:tcW w:w="9498" w:type="dxa"/>
          </w:tcPr>
          <w:p w14:paraId="5F064C1A" w14:textId="5E9CDC07" w:rsidR="00C064F2" w:rsidRPr="00CD3F08" w:rsidRDefault="00C064F2" w:rsidP="00CD3F08">
            <w:pPr>
              <w:pStyle w:val="Tabletext"/>
              <w:spacing w:after="240"/>
              <w:rPr>
                <w:u w:color="FF0000"/>
              </w:rPr>
            </w:pPr>
            <w:r>
              <w:rPr>
                <w:u w:color="FF0000"/>
              </w:rPr>
              <w:t xml:space="preserve">Detection of a familial mutation in the </w:t>
            </w:r>
            <w:r w:rsidRPr="00C67513">
              <w:rPr>
                <w:i/>
                <w:u w:color="FF0000"/>
              </w:rPr>
              <w:t>LDLR</w:t>
            </w:r>
            <w:r>
              <w:rPr>
                <w:u w:color="FF0000"/>
              </w:rPr>
              <w:t xml:space="preserve">, </w:t>
            </w:r>
            <w:r w:rsidRPr="00C67513">
              <w:rPr>
                <w:i/>
                <w:u w:color="FF0000"/>
              </w:rPr>
              <w:t>PCSK9</w:t>
            </w:r>
            <w:r>
              <w:rPr>
                <w:u w:color="FF0000"/>
              </w:rPr>
              <w:t xml:space="preserve"> or </w:t>
            </w:r>
            <w:r w:rsidRPr="00C67513">
              <w:rPr>
                <w:i/>
                <w:u w:color="FF0000"/>
              </w:rPr>
              <w:t>APOB</w:t>
            </w:r>
            <w:r>
              <w:rPr>
                <w:u w:color="FF0000"/>
              </w:rPr>
              <w:t xml:space="preserve"> </w:t>
            </w:r>
            <w:r w:rsidRPr="00C76508">
              <w:rPr>
                <w:u w:color="FF0000"/>
              </w:rPr>
              <w:t>gene</w:t>
            </w:r>
            <w:r>
              <w:rPr>
                <w:u w:color="FF0000"/>
              </w:rPr>
              <w:t xml:space="preserve"> in a first- or second-degree relative of a patient with a documented pathogenic germline gene variant for familial hypercholesterolaemia, requested by a general practitioner, specialist or consultant physician who manages the treatment of the patient.</w:t>
            </w:r>
          </w:p>
          <w:p w14:paraId="0FA2748A" w14:textId="77777777" w:rsidR="00C064F2" w:rsidRPr="006B3F33" w:rsidRDefault="00C064F2" w:rsidP="00C064F2">
            <w:pPr>
              <w:pStyle w:val="Tabletext"/>
              <w:rPr>
                <w:rFonts w:eastAsia="Calibri" w:cs="Tahoma"/>
                <w:u w:color="FF0000"/>
              </w:rPr>
            </w:pPr>
            <w:r w:rsidRPr="006B3F33">
              <w:rPr>
                <w:rFonts w:eastAsia="Calibri" w:cs="Tahoma"/>
                <w:b/>
                <w:u w:color="FF0000"/>
              </w:rPr>
              <w:t>Fee:</w:t>
            </w:r>
            <w:r w:rsidRPr="006B3F33">
              <w:rPr>
                <w:rFonts w:eastAsia="Calibri" w:cs="Tahoma"/>
                <w:u w:color="FF0000"/>
              </w:rPr>
              <w:t xml:space="preserve">  $ 400.00   </w:t>
            </w:r>
            <w:r w:rsidRPr="006B3F33">
              <w:rPr>
                <w:rFonts w:eastAsia="Calibri" w:cs="Tahoma"/>
                <w:b/>
                <w:u w:color="FF0000"/>
              </w:rPr>
              <w:t>Benefit:</w:t>
            </w:r>
            <w:r w:rsidRPr="006B3F33">
              <w:rPr>
                <w:rFonts w:eastAsia="Calibri" w:cs="Tahoma"/>
                <w:u w:color="FF0000"/>
              </w:rPr>
              <w:t xml:space="preserve"> 75% = $300.00  85% = 340.00</w:t>
            </w:r>
          </w:p>
        </w:tc>
      </w:tr>
    </w:tbl>
    <w:p w14:paraId="2CDB8358"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7C4AA05B" w14:textId="1A7CB0F8" w:rsidR="00C064F2" w:rsidRPr="00B02E35" w:rsidRDefault="00FA4BA7" w:rsidP="00C064F2">
      <w:r>
        <w:t>No consultation feedback was received for this application.</w:t>
      </w:r>
    </w:p>
    <w:p w14:paraId="55F6B7A5" w14:textId="77777777" w:rsidR="00BC1364" w:rsidRPr="00F715D1" w:rsidRDefault="00BC1364" w:rsidP="00F715D1">
      <w:pPr>
        <w:pStyle w:val="Heading1"/>
      </w:pPr>
      <w:r w:rsidRPr="00F715D1">
        <w:t>Proposed intervention’s place in clinical management</w:t>
      </w:r>
    </w:p>
    <w:p w14:paraId="3C17366D" w14:textId="24868DDC" w:rsidR="00C064F2" w:rsidRDefault="00C064F2" w:rsidP="00C064F2">
      <w:r>
        <w:t xml:space="preserve">The current and proposed clinical management algorithm for </w:t>
      </w:r>
      <w:r w:rsidR="00B47793">
        <w:t xml:space="preserve">affected </w:t>
      </w:r>
      <w:r>
        <w:t xml:space="preserve">individuals strongly suspected of or diagnosed with FH is provided in </w:t>
      </w:r>
      <w:r>
        <w:fldChar w:fldCharType="begin"/>
      </w:r>
      <w:r>
        <w:instrText xml:space="preserve"> REF _Ref535591253 \h </w:instrText>
      </w:r>
      <w:r>
        <w:fldChar w:fldCharType="separate"/>
      </w:r>
      <w:r w:rsidR="00D31D39">
        <w:t xml:space="preserve">Figure </w:t>
      </w:r>
      <w:r w:rsidR="00D31D39">
        <w:rPr>
          <w:noProof/>
        </w:rPr>
        <w:t>1</w:t>
      </w:r>
      <w:r>
        <w:fldChar w:fldCharType="end"/>
      </w:r>
      <w:r>
        <w:t>. The proposed test is an addition to current practice.</w:t>
      </w:r>
    </w:p>
    <w:p w14:paraId="618FD4A1" w14:textId="77777777" w:rsidR="00C064F2" w:rsidRDefault="00C064F2" w:rsidP="00C064F2">
      <w:pPr>
        <w:keepNext/>
        <w:jc w:val="center"/>
      </w:pPr>
      <w:r>
        <w:rPr>
          <w:noProof/>
          <w:sz w:val="16"/>
          <w:szCs w:val="16"/>
        </w:rPr>
        <w:lastRenderedPageBreak/>
        <w:drawing>
          <wp:inline distT="0" distB="0" distL="0" distR="0" wp14:anchorId="6C831DAA" wp14:editId="7D15FF0F">
            <wp:extent cx="4626591" cy="4346575"/>
            <wp:effectExtent l="0" t="0" r="3175" b="0"/>
            <wp:docPr id="4" name="Picture 4" descr="Current and proposed clinical management algorithm for individuals strongly suspected of or diagnosed with FH" title="Current and proposed clinical management algorithm for individuals strongly suspected of or diagnosed with 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chart populatio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9138" cy="4348968"/>
                    </a:xfrm>
                    <a:prstGeom prst="rect">
                      <a:avLst/>
                    </a:prstGeom>
                  </pic:spPr>
                </pic:pic>
              </a:graphicData>
            </a:graphic>
          </wp:inline>
        </w:drawing>
      </w:r>
    </w:p>
    <w:p w14:paraId="6B603F50" w14:textId="3ADA84A9" w:rsidR="00C064F2" w:rsidRPr="00162774" w:rsidRDefault="00C064F2" w:rsidP="00162774">
      <w:pPr>
        <w:spacing w:after="240"/>
        <w:rPr>
          <w:rFonts w:ascii="Arial Narrow" w:hAnsi="Arial Narrow"/>
          <w:b/>
          <w:sz w:val="20"/>
        </w:rPr>
      </w:pPr>
      <w:bookmarkStart w:id="5" w:name="_Ref535591253"/>
      <w:r w:rsidRPr="00162774">
        <w:rPr>
          <w:rFonts w:ascii="Arial Narrow" w:hAnsi="Arial Narrow"/>
          <w:b/>
          <w:sz w:val="20"/>
        </w:rPr>
        <w:t xml:space="preserve">Figure </w:t>
      </w:r>
      <w:r w:rsidRPr="00162774">
        <w:rPr>
          <w:rFonts w:ascii="Arial Narrow" w:hAnsi="Arial Narrow"/>
          <w:b/>
          <w:sz w:val="20"/>
        </w:rPr>
        <w:fldChar w:fldCharType="begin"/>
      </w:r>
      <w:r w:rsidRPr="00162774">
        <w:rPr>
          <w:rFonts w:ascii="Arial Narrow" w:hAnsi="Arial Narrow"/>
          <w:b/>
          <w:sz w:val="20"/>
        </w:rPr>
        <w:instrText xml:space="preserve"> SEQ Figure \* ARABIC </w:instrText>
      </w:r>
      <w:r w:rsidRPr="00162774">
        <w:rPr>
          <w:rFonts w:ascii="Arial Narrow" w:hAnsi="Arial Narrow"/>
          <w:b/>
          <w:sz w:val="20"/>
        </w:rPr>
        <w:fldChar w:fldCharType="separate"/>
      </w:r>
      <w:r w:rsidR="00D31D39" w:rsidRPr="00162774">
        <w:rPr>
          <w:rFonts w:ascii="Arial Narrow" w:hAnsi="Arial Narrow"/>
          <w:b/>
          <w:sz w:val="20"/>
        </w:rPr>
        <w:t>1</w:t>
      </w:r>
      <w:r w:rsidRPr="00162774">
        <w:rPr>
          <w:rFonts w:ascii="Arial Narrow" w:hAnsi="Arial Narrow"/>
          <w:b/>
          <w:sz w:val="20"/>
        </w:rPr>
        <w:fldChar w:fldCharType="end"/>
      </w:r>
      <w:bookmarkEnd w:id="5"/>
      <w:r w:rsidRPr="00162774">
        <w:rPr>
          <w:rFonts w:ascii="Arial Narrow" w:hAnsi="Arial Narrow"/>
          <w:b/>
          <w:sz w:val="20"/>
        </w:rPr>
        <w:t xml:space="preserve"> Current &amp; proposed clinical management algorithm for </w:t>
      </w:r>
      <w:r w:rsidR="00B47793" w:rsidRPr="00162774">
        <w:rPr>
          <w:rFonts w:ascii="Arial Narrow" w:hAnsi="Arial Narrow"/>
          <w:b/>
          <w:sz w:val="20"/>
        </w:rPr>
        <w:t xml:space="preserve">affected </w:t>
      </w:r>
      <w:r w:rsidRPr="00162774">
        <w:rPr>
          <w:rFonts w:ascii="Arial Narrow" w:hAnsi="Arial Narrow"/>
          <w:b/>
          <w:sz w:val="20"/>
        </w:rPr>
        <w:t>individuals strongly suspected of or diagnosed with FH</w:t>
      </w:r>
    </w:p>
    <w:p w14:paraId="04B3DA90" w14:textId="6DE51254" w:rsidR="00C064F2" w:rsidRDefault="00C064F2" w:rsidP="00CD3F08">
      <w:pPr>
        <w:spacing w:after="240"/>
      </w:pPr>
      <w:r>
        <w:rPr>
          <w:lang w:eastAsia="en-US"/>
        </w:rPr>
        <w:t>The clinical management algorithm</w:t>
      </w:r>
      <w:r w:rsidR="006141CF">
        <w:rPr>
          <w:lang w:eastAsia="en-US"/>
        </w:rPr>
        <w:t xml:space="preserve"> for</w:t>
      </w:r>
      <w:r>
        <w:rPr>
          <w:lang w:eastAsia="en-US"/>
        </w:rPr>
        <w:t xml:space="preserve"> </w:t>
      </w:r>
      <w:r>
        <w:t xml:space="preserve">first or second degree family members of an FH patient with an identified mutation is provided in </w:t>
      </w:r>
      <w:r>
        <w:fldChar w:fldCharType="begin"/>
      </w:r>
      <w:r>
        <w:instrText xml:space="preserve"> REF _Ref535586100 \h </w:instrText>
      </w:r>
      <w:r>
        <w:fldChar w:fldCharType="separate"/>
      </w:r>
      <w:r w:rsidR="00D31D39">
        <w:t xml:space="preserve">Figure </w:t>
      </w:r>
      <w:r w:rsidR="00D31D39">
        <w:rPr>
          <w:noProof/>
        </w:rPr>
        <w:t>2</w:t>
      </w:r>
      <w:r>
        <w:fldChar w:fldCharType="end"/>
      </w:r>
      <w:r>
        <w:t>.</w:t>
      </w:r>
    </w:p>
    <w:p w14:paraId="02D47CB7" w14:textId="77777777" w:rsidR="00C064F2" w:rsidRDefault="00C064F2" w:rsidP="00C064F2">
      <w:pPr>
        <w:keepNext/>
      </w:pPr>
      <w:r>
        <w:rPr>
          <w:noProof/>
        </w:rPr>
        <w:drawing>
          <wp:inline distT="0" distB="0" distL="0" distR="0" wp14:anchorId="4FE6EFD7" wp14:editId="698BDBA7">
            <wp:extent cx="5731510" cy="3197161"/>
            <wp:effectExtent l="0" t="0" r="2540" b="3810"/>
            <wp:docPr id="13" name="Picture 13" descr="Current and proposed clinical management algorithm for first or second degree family members of an FH patient with an identified mutation" title="Current and proposed clinical management algorithm for first or second degree family members of an FH patient with an identified m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MAcascad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197161"/>
                    </a:xfrm>
                    <a:prstGeom prst="rect">
                      <a:avLst/>
                    </a:prstGeom>
                  </pic:spPr>
                </pic:pic>
              </a:graphicData>
            </a:graphic>
          </wp:inline>
        </w:drawing>
      </w:r>
    </w:p>
    <w:p w14:paraId="3D97BB75" w14:textId="2BB4BCE8" w:rsidR="00C064F2" w:rsidRPr="00162774" w:rsidRDefault="00C064F2" w:rsidP="00162774">
      <w:pPr>
        <w:spacing w:after="240"/>
        <w:rPr>
          <w:rFonts w:ascii="Arial Narrow" w:hAnsi="Arial Narrow"/>
          <w:b/>
          <w:sz w:val="20"/>
        </w:rPr>
      </w:pPr>
      <w:bookmarkStart w:id="6" w:name="_Ref535586100"/>
      <w:r w:rsidRPr="00162774">
        <w:rPr>
          <w:rFonts w:ascii="Arial Narrow" w:hAnsi="Arial Narrow"/>
          <w:b/>
          <w:sz w:val="20"/>
        </w:rPr>
        <w:t xml:space="preserve">Figure </w:t>
      </w:r>
      <w:r w:rsidRPr="00162774">
        <w:rPr>
          <w:rFonts w:ascii="Arial Narrow" w:hAnsi="Arial Narrow"/>
          <w:b/>
          <w:sz w:val="20"/>
        </w:rPr>
        <w:fldChar w:fldCharType="begin"/>
      </w:r>
      <w:r w:rsidRPr="00162774">
        <w:rPr>
          <w:rFonts w:ascii="Arial Narrow" w:hAnsi="Arial Narrow"/>
          <w:b/>
          <w:sz w:val="20"/>
        </w:rPr>
        <w:instrText xml:space="preserve"> SEQ Figure \* ARABIC </w:instrText>
      </w:r>
      <w:r w:rsidRPr="00162774">
        <w:rPr>
          <w:rFonts w:ascii="Arial Narrow" w:hAnsi="Arial Narrow"/>
          <w:b/>
          <w:sz w:val="20"/>
        </w:rPr>
        <w:fldChar w:fldCharType="separate"/>
      </w:r>
      <w:r w:rsidR="00D31D39" w:rsidRPr="00162774">
        <w:rPr>
          <w:rFonts w:ascii="Arial Narrow" w:hAnsi="Arial Narrow"/>
          <w:b/>
          <w:sz w:val="20"/>
        </w:rPr>
        <w:t>2</w:t>
      </w:r>
      <w:r w:rsidRPr="00162774">
        <w:rPr>
          <w:rFonts w:ascii="Arial Narrow" w:hAnsi="Arial Narrow"/>
          <w:b/>
          <w:sz w:val="20"/>
        </w:rPr>
        <w:fldChar w:fldCharType="end"/>
      </w:r>
      <w:bookmarkEnd w:id="6"/>
      <w:r w:rsidRPr="00162774">
        <w:rPr>
          <w:rFonts w:ascii="Arial Narrow" w:hAnsi="Arial Narrow"/>
          <w:b/>
          <w:sz w:val="20"/>
        </w:rPr>
        <w:t xml:space="preserve"> Current &amp; proposed clinical management algorithm for first or second degree family members of an FH patient with an identified mutation</w:t>
      </w:r>
    </w:p>
    <w:p w14:paraId="5CD23ACC" w14:textId="5E811603" w:rsidR="00C064F2" w:rsidRPr="00CD3F08" w:rsidRDefault="00C064F2" w:rsidP="00C064F2">
      <w:pPr>
        <w:rPr>
          <w:rFonts w:cstheme="minorHAnsi"/>
        </w:rPr>
      </w:pPr>
      <w:r>
        <w:rPr>
          <w:lang w:eastAsia="en-US"/>
        </w:rPr>
        <w:lastRenderedPageBreak/>
        <w:t xml:space="preserve">The current and proposed clinical management algorithm for children with at least one parent diagnosed with FH is presented in </w:t>
      </w:r>
      <w:r>
        <w:rPr>
          <w:lang w:eastAsia="en-US"/>
        </w:rPr>
        <w:fldChar w:fldCharType="begin"/>
      </w:r>
      <w:r>
        <w:rPr>
          <w:lang w:eastAsia="en-US"/>
        </w:rPr>
        <w:instrText xml:space="preserve"> REF _Ref535586109 \h </w:instrText>
      </w:r>
      <w:r>
        <w:rPr>
          <w:lang w:eastAsia="en-US"/>
        </w:rPr>
      </w:r>
      <w:r>
        <w:rPr>
          <w:lang w:eastAsia="en-US"/>
        </w:rPr>
        <w:fldChar w:fldCharType="separate"/>
      </w:r>
      <w:r w:rsidR="00D31D39">
        <w:t xml:space="preserve">Figure </w:t>
      </w:r>
      <w:r w:rsidR="00D31D39">
        <w:rPr>
          <w:noProof/>
        </w:rPr>
        <w:t>3</w:t>
      </w:r>
      <w:r>
        <w:rPr>
          <w:lang w:eastAsia="en-US"/>
        </w:rPr>
        <w:fldChar w:fldCharType="end"/>
      </w:r>
      <w:r>
        <w:rPr>
          <w:lang w:eastAsia="en-US"/>
        </w:rPr>
        <w:t xml:space="preserve">. </w:t>
      </w:r>
      <w:r>
        <w:rPr>
          <w:rFonts w:cstheme="minorHAnsi"/>
        </w:rPr>
        <w:t>The Australian model of care proposes that children and adolescents should not be tested for FH unless the diagnosis has been confirmed in a first-degree relative.</w:t>
      </w:r>
    </w:p>
    <w:p w14:paraId="08268140" w14:textId="77777777" w:rsidR="00C064F2" w:rsidRDefault="00C064F2" w:rsidP="00C064F2">
      <w:pPr>
        <w:keepNext/>
      </w:pPr>
      <w:r>
        <w:rPr>
          <w:noProof/>
        </w:rPr>
        <w:drawing>
          <wp:inline distT="0" distB="0" distL="0" distR="0" wp14:anchorId="357679A0" wp14:editId="1D24AE71">
            <wp:extent cx="5495925" cy="4025859"/>
            <wp:effectExtent l="0" t="0" r="0" b="7620"/>
            <wp:docPr id="3" name="Picture 3" descr="Current and proposed clinical management algorithm for children with at least one patient diagnosed with FH" title="Current and proposed clinical management algorithm for children with at least one patient diagnosed with 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Achildren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95925" cy="4025859"/>
                    </a:xfrm>
                    <a:prstGeom prst="rect">
                      <a:avLst/>
                    </a:prstGeom>
                  </pic:spPr>
                </pic:pic>
              </a:graphicData>
            </a:graphic>
          </wp:inline>
        </w:drawing>
      </w:r>
    </w:p>
    <w:p w14:paraId="48392AB9" w14:textId="01BB8E67" w:rsidR="00C064F2" w:rsidRPr="00162774" w:rsidRDefault="00C064F2" w:rsidP="00162774">
      <w:pPr>
        <w:rPr>
          <w:rFonts w:ascii="Arial Narrow" w:hAnsi="Arial Narrow"/>
          <w:b/>
          <w:sz w:val="20"/>
        </w:rPr>
      </w:pPr>
      <w:bookmarkStart w:id="7" w:name="_Ref535586109"/>
      <w:r w:rsidRPr="00162774">
        <w:rPr>
          <w:rFonts w:ascii="Arial Narrow" w:hAnsi="Arial Narrow"/>
          <w:b/>
          <w:sz w:val="20"/>
        </w:rPr>
        <w:t xml:space="preserve">Figure </w:t>
      </w:r>
      <w:r w:rsidRPr="00162774">
        <w:rPr>
          <w:rFonts w:ascii="Arial Narrow" w:hAnsi="Arial Narrow"/>
          <w:b/>
          <w:sz w:val="20"/>
        </w:rPr>
        <w:fldChar w:fldCharType="begin"/>
      </w:r>
      <w:r w:rsidRPr="00162774">
        <w:rPr>
          <w:rFonts w:ascii="Arial Narrow" w:hAnsi="Arial Narrow"/>
          <w:b/>
          <w:sz w:val="20"/>
        </w:rPr>
        <w:instrText xml:space="preserve"> SEQ Figure \* ARABIC </w:instrText>
      </w:r>
      <w:r w:rsidRPr="00162774">
        <w:rPr>
          <w:rFonts w:ascii="Arial Narrow" w:hAnsi="Arial Narrow"/>
          <w:b/>
          <w:sz w:val="20"/>
        </w:rPr>
        <w:fldChar w:fldCharType="separate"/>
      </w:r>
      <w:r w:rsidR="00D31D39" w:rsidRPr="00162774">
        <w:rPr>
          <w:rFonts w:ascii="Arial Narrow" w:hAnsi="Arial Narrow"/>
          <w:b/>
          <w:sz w:val="20"/>
        </w:rPr>
        <w:t>3</w:t>
      </w:r>
      <w:r w:rsidRPr="00162774">
        <w:rPr>
          <w:rFonts w:ascii="Arial Narrow" w:hAnsi="Arial Narrow"/>
          <w:b/>
          <w:sz w:val="20"/>
        </w:rPr>
        <w:fldChar w:fldCharType="end"/>
      </w:r>
      <w:bookmarkEnd w:id="7"/>
      <w:r w:rsidRPr="00162774">
        <w:rPr>
          <w:rFonts w:ascii="Arial Narrow" w:hAnsi="Arial Narrow"/>
          <w:b/>
          <w:sz w:val="20"/>
        </w:rPr>
        <w:t xml:space="preserve"> Current &amp; proposed clinical management algorithm for children with at least one parent diagnosed with FH</w:t>
      </w:r>
    </w:p>
    <w:p w14:paraId="5428D711" w14:textId="67AABFDF" w:rsidR="00BC1364" w:rsidRPr="00F715D1" w:rsidRDefault="00B47793" w:rsidP="00F715D1">
      <w:pPr>
        <w:pStyle w:val="Heading1"/>
      </w:pPr>
      <w:r>
        <w:t>Comparator</w:t>
      </w:r>
    </w:p>
    <w:p w14:paraId="608EDA58" w14:textId="7F25DBA1" w:rsidR="00C064F2" w:rsidRDefault="00C064F2" w:rsidP="00CD3F08">
      <w:pPr>
        <w:spacing w:after="240"/>
      </w:pPr>
      <w:r>
        <w:t>The comparator is usual standard of care, without genetic testing. Prior tests include clinical assessment and LDL cholesterol (LDL-C) in patients suspected with FH.</w:t>
      </w:r>
    </w:p>
    <w:p w14:paraId="635B3A4F" w14:textId="77777777" w:rsidR="00C064F2" w:rsidRDefault="00C064F2" w:rsidP="00C064F2">
      <w:r>
        <w:t>T</w:t>
      </w:r>
      <w:r w:rsidRPr="00A44C59">
        <w:t>reatment</w:t>
      </w:r>
      <w:r>
        <w:t xml:space="preserve"> decisions with current standard of care</w:t>
      </w:r>
      <w:r w:rsidRPr="00A44C59">
        <w:t xml:space="preserve"> is based on the phenotype / symptoms, and there would be no genetic family cascade testing. Family members or children of a diagnosed patient may have phenotypic testing (e.g. by </w:t>
      </w:r>
      <w:r>
        <w:t>Dutch Lipid Clinic Network (</w:t>
      </w:r>
      <w:r w:rsidRPr="00A44C59">
        <w:t>DLCN</w:t>
      </w:r>
      <w:r>
        <w:t>)</w:t>
      </w:r>
      <w:r w:rsidRPr="00A44C59">
        <w:t xml:space="preserve"> score, LDL-C measurement), and will also be treated based on symptoms and LDL-C levels. If no familial mutation is found through genetic testing (but there is a clinical diagnosis), family members of a FH patient can still undergo LDL-C testing.</w:t>
      </w:r>
    </w:p>
    <w:p w14:paraId="3DD8C875" w14:textId="77777777" w:rsidR="00BC1364" w:rsidRPr="00F715D1" w:rsidRDefault="00BC1364" w:rsidP="00F715D1">
      <w:pPr>
        <w:pStyle w:val="Heading1"/>
      </w:pPr>
      <w:r w:rsidRPr="00F715D1">
        <w:t>Comparative safety</w:t>
      </w:r>
    </w:p>
    <w:p w14:paraId="408F0F97" w14:textId="3603E351" w:rsidR="00C064F2" w:rsidRDefault="00C064F2" w:rsidP="00C064F2">
      <w:pPr>
        <w:jc w:val="both"/>
      </w:pPr>
      <w:r>
        <w:t xml:space="preserve">Very few studies reported on the impact of genetic testing </w:t>
      </w:r>
      <w:r w:rsidR="00DC2064">
        <w:t xml:space="preserve">of affected individuals </w:t>
      </w:r>
      <w:r>
        <w:t xml:space="preserve">for FH. One qualitative study reported that genetic testing provided very little new insight or personal benefit to </w:t>
      </w:r>
      <w:r w:rsidR="00DC2064">
        <w:t>affected individuals</w:t>
      </w:r>
      <w:r>
        <w:t xml:space="preserve">, but the authors believed there may be a benefit for family members (Jenkins </w:t>
      </w:r>
      <w:r w:rsidRPr="00647D4B">
        <w:t>et al</w:t>
      </w:r>
      <w:r w:rsidRPr="00A44C59">
        <w:rPr>
          <w:i/>
        </w:rPr>
        <w:t>.</w:t>
      </w:r>
      <w:r>
        <w:t xml:space="preserve"> 2013). No studies were identified on the safety and/or physical harms from genetic testing for FH.</w:t>
      </w:r>
    </w:p>
    <w:p w14:paraId="4B55DA96" w14:textId="77777777" w:rsidR="00BC1364" w:rsidRPr="00F715D1" w:rsidRDefault="00BC1364" w:rsidP="00F715D1">
      <w:pPr>
        <w:pStyle w:val="Heading1"/>
      </w:pPr>
      <w:r w:rsidRPr="00F715D1">
        <w:lastRenderedPageBreak/>
        <w:t>Comparative effectiveness</w:t>
      </w:r>
    </w:p>
    <w:p w14:paraId="37AF9851" w14:textId="77777777" w:rsidR="00C064F2" w:rsidRDefault="00C064F2" w:rsidP="00C064F2">
      <w:pPr>
        <w:pStyle w:val="Heading2"/>
      </w:pPr>
      <w:r>
        <w:t>Key analytical performance results</w:t>
      </w:r>
    </w:p>
    <w:p w14:paraId="66731D83" w14:textId="5A9CD129" w:rsidR="00C064F2" w:rsidRDefault="00C064F2" w:rsidP="00722D57">
      <w:pPr>
        <w:spacing w:after="240"/>
        <w:jc w:val="both"/>
      </w:pPr>
      <w:r>
        <w:t xml:space="preserve">The genetic tests currently used to identify FH are sensitive and specific in the populations in which they were tested, and detected almost all mutations they were designed to detect (k=5 GRADE </w:t>
      </w:r>
      <w:r w:rsidRPr="00925D49">
        <w:rPr>
          <w:rFonts w:ascii="Cambria Math" w:hAnsi="Cambria Math" w:cs="Cambria Math"/>
          <w:color w:val="00B050"/>
        </w:rPr>
        <w:t>⊕</w:t>
      </w:r>
      <w:r w:rsidRPr="00925D49">
        <w:rPr>
          <w:rFonts w:ascii="Cambria Math" w:hAnsi="Cambria Math" w:cs="Cambria Math"/>
          <w:color w:val="C00000"/>
        </w:rPr>
        <w:t>⊝⊝⊝</w:t>
      </w:r>
      <w:r>
        <w:rPr>
          <w:rFonts w:ascii="Cambria Math" w:hAnsi="Cambria Math" w:cs="Cambria Math"/>
          <w:color w:val="C00000"/>
        </w:rPr>
        <w:t>)</w:t>
      </w:r>
      <w:r>
        <w:t xml:space="preserve">. No studies were identified that assessed the analytical sensitivity and specificity of </w:t>
      </w:r>
      <w:r w:rsidRPr="003F373F">
        <w:rPr>
          <w:i/>
        </w:rPr>
        <w:t>cascade</w:t>
      </w:r>
      <w:r>
        <w:t xml:space="preserve"> testing, however the accuracy would be close to 100%</w:t>
      </w:r>
      <w:r w:rsidR="00D550E9">
        <w:t xml:space="preserve"> (see </w:t>
      </w:r>
      <w:r w:rsidR="00722D57">
        <w:fldChar w:fldCharType="begin"/>
      </w:r>
      <w:r w:rsidR="00722D57">
        <w:instrText xml:space="preserve"> REF _Ref11160446 \h </w:instrText>
      </w:r>
      <w:r w:rsidR="00722D57">
        <w:fldChar w:fldCharType="separate"/>
      </w:r>
      <w:r w:rsidR="00722D57">
        <w:t xml:space="preserve">Table </w:t>
      </w:r>
      <w:r w:rsidR="00722D57">
        <w:rPr>
          <w:noProof/>
        </w:rPr>
        <w:t>3</w:t>
      </w:r>
      <w:r w:rsidR="00722D57">
        <w:fldChar w:fldCharType="end"/>
      </w:r>
      <w:r w:rsidR="00D550E9">
        <w:t>)</w:t>
      </w:r>
      <w:r>
        <w:t>, as methods used for testing for a known mutation are able to be tailored to ensure the mutation is found (if it exists).</w:t>
      </w:r>
    </w:p>
    <w:p w14:paraId="3FF72B22" w14:textId="646F87FB" w:rsidR="00D550E9" w:rsidRPr="00162774" w:rsidRDefault="00722D57" w:rsidP="00162774">
      <w:pPr>
        <w:rPr>
          <w:rFonts w:ascii="Arial Narrow" w:hAnsi="Arial Narrow"/>
          <w:b/>
          <w:sz w:val="20"/>
        </w:rPr>
      </w:pPr>
      <w:bookmarkStart w:id="8" w:name="_Ref11160446"/>
      <w:bookmarkStart w:id="9" w:name="_Toc432677286"/>
      <w:r w:rsidRPr="00162774">
        <w:rPr>
          <w:rFonts w:ascii="Arial Narrow" w:hAnsi="Arial Narrow"/>
          <w:b/>
          <w:sz w:val="20"/>
        </w:rPr>
        <w:t xml:space="preserve">Table </w:t>
      </w:r>
      <w:r w:rsidR="00B108E7" w:rsidRPr="00162774">
        <w:rPr>
          <w:rFonts w:ascii="Arial Narrow" w:hAnsi="Arial Narrow"/>
          <w:b/>
          <w:sz w:val="20"/>
        </w:rPr>
        <w:fldChar w:fldCharType="begin"/>
      </w:r>
      <w:r w:rsidR="00B108E7" w:rsidRPr="00162774">
        <w:rPr>
          <w:rFonts w:ascii="Arial Narrow" w:hAnsi="Arial Narrow"/>
          <w:b/>
          <w:sz w:val="20"/>
        </w:rPr>
        <w:instrText xml:space="preserve"> SEQ Table \* ARABIC </w:instrText>
      </w:r>
      <w:r w:rsidR="00B108E7" w:rsidRPr="00162774">
        <w:rPr>
          <w:rFonts w:ascii="Arial Narrow" w:hAnsi="Arial Narrow"/>
          <w:b/>
          <w:sz w:val="20"/>
        </w:rPr>
        <w:fldChar w:fldCharType="separate"/>
      </w:r>
      <w:r w:rsidRPr="00162774">
        <w:rPr>
          <w:rFonts w:ascii="Arial Narrow" w:hAnsi="Arial Narrow"/>
          <w:b/>
          <w:sz w:val="20"/>
        </w:rPr>
        <w:t>3</w:t>
      </w:r>
      <w:r w:rsidR="00B108E7" w:rsidRPr="00162774">
        <w:rPr>
          <w:rFonts w:ascii="Arial Narrow" w:hAnsi="Arial Narrow"/>
          <w:b/>
          <w:sz w:val="20"/>
        </w:rPr>
        <w:fldChar w:fldCharType="end"/>
      </w:r>
      <w:bookmarkEnd w:id="8"/>
      <w:r w:rsidRPr="00162774">
        <w:rPr>
          <w:rFonts w:ascii="Arial Narrow" w:hAnsi="Arial Narrow"/>
          <w:b/>
          <w:sz w:val="20"/>
        </w:rPr>
        <w:tab/>
      </w:r>
      <w:r w:rsidR="00D550E9" w:rsidRPr="00162774">
        <w:rPr>
          <w:rFonts w:ascii="Arial Narrow" w:hAnsi="Arial Narrow"/>
          <w:b/>
          <w:sz w:val="20"/>
        </w:rPr>
        <w:t>Results of key accuracy trials comparing intervention and comparator against reference standard</w:t>
      </w:r>
      <w:bookmarkEnd w:id="9"/>
    </w:p>
    <w:tbl>
      <w:tblPr>
        <w:tblStyle w:val="TableGrid1"/>
        <w:tblW w:w="4844" w:type="pct"/>
        <w:tblLook w:val="04A0" w:firstRow="1" w:lastRow="0" w:firstColumn="1" w:lastColumn="0" w:noHBand="0" w:noVBand="1"/>
        <w:tblCaption w:val="Table 16 Results of the key patient-relevant outcome across the studies"/>
        <w:tblDescription w:val="This table provides a summary of the findings in each study for the key patient-relevant outcome. Results for the intervention and comparator arms of each study are provided, along with an indication of the absolute difference and relative difference in results between the study arms. If the results across studies are meta-analysed, the results are also given."/>
      </w:tblPr>
      <w:tblGrid>
        <w:gridCol w:w="1174"/>
        <w:gridCol w:w="3378"/>
        <w:gridCol w:w="2091"/>
        <w:gridCol w:w="2092"/>
      </w:tblGrid>
      <w:tr w:rsidR="00D550E9" w:rsidRPr="00D550E9" w14:paraId="38BE867A" w14:textId="77777777" w:rsidTr="00D8205F">
        <w:trPr>
          <w:cnfStyle w:val="100000000000" w:firstRow="1" w:lastRow="0" w:firstColumn="0" w:lastColumn="0" w:oddVBand="0" w:evenVBand="0" w:oddHBand="0" w:evenHBand="0" w:firstRowFirstColumn="0" w:firstRowLastColumn="0" w:lastRowFirstColumn="0" w:lastRowLastColumn="0"/>
          <w:trHeight w:val="20"/>
          <w:tblHeader/>
        </w:trPr>
        <w:tc>
          <w:tcPr>
            <w:tcW w:w="630" w:type="pct"/>
          </w:tcPr>
          <w:p w14:paraId="083E8F52" w14:textId="77777777" w:rsidR="00D550E9" w:rsidRPr="00D550E9" w:rsidRDefault="00D550E9" w:rsidP="00D550E9">
            <w:pPr>
              <w:keepNext/>
              <w:rPr>
                <w:b/>
                <w:sz w:val="20"/>
              </w:rPr>
            </w:pPr>
            <w:r w:rsidRPr="00D550E9">
              <w:rPr>
                <w:b/>
                <w:sz w:val="20"/>
              </w:rPr>
              <w:t>Study ID</w:t>
            </w:r>
          </w:p>
        </w:tc>
        <w:tc>
          <w:tcPr>
            <w:tcW w:w="1948" w:type="pct"/>
          </w:tcPr>
          <w:p w14:paraId="630CF9B4" w14:textId="77777777" w:rsidR="00D550E9" w:rsidRPr="00D550E9" w:rsidRDefault="00D550E9" w:rsidP="00D550E9">
            <w:pPr>
              <w:keepNext/>
              <w:rPr>
                <w:b/>
                <w:sz w:val="20"/>
              </w:rPr>
            </w:pPr>
            <w:r w:rsidRPr="00D550E9">
              <w:rPr>
                <w:b/>
                <w:sz w:val="20"/>
              </w:rPr>
              <w:t>Intervention</w:t>
            </w:r>
          </w:p>
        </w:tc>
        <w:tc>
          <w:tcPr>
            <w:tcW w:w="1211" w:type="pct"/>
          </w:tcPr>
          <w:p w14:paraId="03D46215" w14:textId="77777777" w:rsidR="00D550E9" w:rsidRPr="00D550E9" w:rsidRDefault="00D550E9" w:rsidP="00D550E9">
            <w:pPr>
              <w:keepNext/>
              <w:jc w:val="center"/>
              <w:rPr>
                <w:b/>
                <w:sz w:val="20"/>
              </w:rPr>
            </w:pPr>
            <w:r w:rsidRPr="00D550E9">
              <w:rPr>
                <w:b/>
                <w:sz w:val="20"/>
              </w:rPr>
              <w:t>Sensitivity</w:t>
            </w:r>
          </w:p>
        </w:tc>
        <w:tc>
          <w:tcPr>
            <w:tcW w:w="1211" w:type="pct"/>
          </w:tcPr>
          <w:p w14:paraId="05C3847E" w14:textId="77777777" w:rsidR="00D550E9" w:rsidRPr="00D550E9" w:rsidRDefault="00D550E9" w:rsidP="00D550E9">
            <w:pPr>
              <w:keepNext/>
              <w:jc w:val="center"/>
              <w:rPr>
                <w:b/>
                <w:sz w:val="20"/>
              </w:rPr>
            </w:pPr>
            <w:r w:rsidRPr="00D550E9">
              <w:rPr>
                <w:b/>
                <w:sz w:val="20"/>
              </w:rPr>
              <w:t>Specificity</w:t>
            </w:r>
          </w:p>
        </w:tc>
      </w:tr>
      <w:tr w:rsidR="00D550E9" w:rsidRPr="00D550E9" w14:paraId="48E0F850" w14:textId="77777777" w:rsidTr="00D8205F">
        <w:trPr>
          <w:trHeight w:val="688"/>
        </w:trPr>
        <w:tc>
          <w:tcPr>
            <w:tcW w:w="630" w:type="pct"/>
            <w:vMerge w:val="restart"/>
          </w:tcPr>
          <w:p w14:paraId="0039D2B6" w14:textId="77777777" w:rsidR="00D550E9" w:rsidRPr="00D550E9" w:rsidRDefault="00D550E9" w:rsidP="00D550E9">
            <w:pPr>
              <w:contextualSpacing/>
              <w:rPr>
                <w:rFonts w:cs="Tahoma"/>
                <w:snapToGrid w:val="0"/>
                <w:sz w:val="20"/>
                <w:szCs w:val="22"/>
                <w:lang w:eastAsia="en-US"/>
              </w:rPr>
            </w:pPr>
            <w:r w:rsidRPr="00D550E9">
              <w:rPr>
                <w:rFonts w:cs="Tahoma"/>
                <w:snapToGrid w:val="0"/>
                <w:sz w:val="20"/>
                <w:szCs w:val="22"/>
                <w:lang w:eastAsia="en-US"/>
              </w:rPr>
              <w:t>Stef et al. (2013)</w:t>
            </w:r>
          </w:p>
        </w:tc>
        <w:tc>
          <w:tcPr>
            <w:tcW w:w="1948" w:type="pct"/>
          </w:tcPr>
          <w:p w14:paraId="4555422B" w14:textId="77777777" w:rsidR="00D550E9" w:rsidRPr="00D550E9" w:rsidRDefault="00D550E9" w:rsidP="00D550E9">
            <w:pPr>
              <w:contextualSpacing/>
              <w:rPr>
                <w:rFonts w:cs="Tahoma"/>
                <w:snapToGrid w:val="0"/>
                <w:sz w:val="20"/>
                <w:szCs w:val="22"/>
                <w:lang w:eastAsia="en-US"/>
              </w:rPr>
            </w:pPr>
            <w:r w:rsidRPr="00D550E9">
              <w:rPr>
                <w:rFonts w:cs="Tahoma"/>
                <w:snapToGrid w:val="0"/>
                <w:sz w:val="20"/>
                <w:szCs w:val="22"/>
                <w:lang w:eastAsia="en-US"/>
              </w:rPr>
              <w:t>LIPOchip version 7 (point mutations)</w:t>
            </w:r>
          </w:p>
          <w:p w14:paraId="72D85259" w14:textId="77777777" w:rsidR="00D550E9" w:rsidRPr="00D550E9" w:rsidRDefault="00D550E9" w:rsidP="00D550E9">
            <w:pPr>
              <w:contextualSpacing/>
              <w:rPr>
                <w:rFonts w:cs="Tahoma"/>
                <w:snapToGrid w:val="0"/>
                <w:sz w:val="20"/>
                <w:szCs w:val="22"/>
                <w:lang w:eastAsia="en-US"/>
              </w:rPr>
            </w:pPr>
            <w:r w:rsidRPr="00D550E9">
              <w:rPr>
                <w:rFonts w:cs="Tahoma"/>
                <w:snapToGrid w:val="0"/>
                <w:sz w:val="20"/>
                <w:szCs w:val="22"/>
                <w:lang w:eastAsia="en-US"/>
              </w:rPr>
              <w:t>- all chips</w:t>
            </w:r>
            <w:r w:rsidRPr="00D550E9">
              <w:rPr>
                <w:rFonts w:cs="Tahoma"/>
                <w:snapToGrid w:val="0"/>
                <w:sz w:val="20"/>
                <w:szCs w:val="22"/>
                <w:lang w:eastAsia="en-US"/>
              </w:rPr>
              <w:br/>
              <w:t>- quality control passed</w:t>
            </w:r>
          </w:p>
        </w:tc>
        <w:tc>
          <w:tcPr>
            <w:tcW w:w="1211" w:type="pct"/>
          </w:tcPr>
          <w:p w14:paraId="6FDC09AE" w14:textId="77777777" w:rsidR="00D550E9" w:rsidRPr="00D550E9" w:rsidRDefault="00D550E9" w:rsidP="00D550E9">
            <w:pPr>
              <w:contextualSpacing/>
              <w:jc w:val="center"/>
              <w:rPr>
                <w:rFonts w:cs="Tahoma"/>
                <w:snapToGrid w:val="0"/>
                <w:sz w:val="20"/>
                <w:szCs w:val="22"/>
                <w:lang w:eastAsia="en-US"/>
              </w:rPr>
            </w:pPr>
          </w:p>
          <w:p w14:paraId="676C4109"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100 ± 1.53</w:t>
            </w:r>
          </w:p>
          <w:p w14:paraId="3F07D49B"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100 ± 1.81</w:t>
            </w:r>
          </w:p>
        </w:tc>
        <w:tc>
          <w:tcPr>
            <w:tcW w:w="1211" w:type="pct"/>
          </w:tcPr>
          <w:p w14:paraId="2A740C16"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br/>
              <w:t>100 ± 0.08</w:t>
            </w:r>
          </w:p>
          <w:p w14:paraId="4100704C"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100 ± 0.09</w:t>
            </w:r>
          </w:p>
        </w:tc>
      </w:tr>
      <w:tr w:rsidR="00D550E9" w:rsidRPr="00D550E9" w14:paraId="275BCD21" w14:textId="77777777" w:rsidTr="00D8205F">
        <w:trPr>
          <w:trHeight w:val="20"/>
        </w:trPr>
        <w:tc>
          <w:tcPr>
            <w:tcW w:w="630" w:type="pct"/>
            <w:vMerge/>
          </w:tcPr>
          <w:p w14:paraId="79A2F3B2" w14:textId="77777777" w:rsidR="00D550E9" w:rsidRPr="00D550E9" w:rsidRDefault="00D550E9" w:rsidP="00D550E9">
            <w:pPr>
              <w:contextualSpacing/>
              <w:rPr>
                <w:rFonts w:cs="Tahoma"/>
                <w:snapToGrid w:val="0"/>
                <w:sz w:val="20"/>
                <w:szCs w:val="22"/>
                <w:lang w:eastAsia="en-US"/>
              </w:rPr>
            </w:pPr>
          </w:p>
        </w:tc>
        <w:tc>
          <w:tcPr>
            <w:tcW w:w="1948" w:type="pct"/>
          </w:tcPr>
          <w:p w14:paraId="7B6BDD4F" w14:textId="77777777" w:rsidR="00D550E9" w:rsidRPr="00D550E9" w:rsidRDefault="00D550E9" w:rsidP="00D550E9">
            <w:pPr>
              <w:contextualSpacing/>
              <w:rPr>
                <w:rFonts w:cs="Tahoma"/>
                <w:snapToGrid w:val="0"/>
                <w:sz w:val="20"/>
                <w:szCs w:val="22"/>
                <w:lang w:eastAsia="en-US"/>
              </w:rPr>
            </w:pPr>
            <w:r w:rsidRPr="00D550E9">
              <w:rPr>
                <w:rFonts w:cs="Tahoma"/>
                <w:snapToGrid w:val="0"/>
                <w:sz w:val="20"/>
                <w:szCs w:val="22"/>
                <w:lang w:eastAsia="en-US"/>
              </w:rPr>
              <w:t>LIPOchip version 7 (copy number variations)</w:t>
            </w:r>
          </w:p>
          <w:p w14:paraId="74162465" w14:textId="77777777" w:rsidR="00D550E9" w:rsidRPr="00D550E9" w:rsidRDefault="00D550E9" w:rsidP="00D550E9">
            <w:pPr>
              <w:contextualSpacing/>
              <w:rPr>
                <w:rFonts w:cs="Tahoma"/>
                <w:snapToGrid w:val="0"/>
                <w:sz w:val="20"/>
                <w:szCs w:val="22"/>
                <w:lang w:eastAsia="en-US"/>
              </w:rPr>
            </w:pPr>
            <w:r w:rsidRPr="00D550E9">
              <w:rPr>
                <w:rFonts w:cs="Tahoma"/>
                <w:snapToGrid w:val="0"/>
                <w:sz w:val="20"/>
                <w:szCs w:val="22"/>
                <w:lang w:eastAsia="en-US"/>
              </w:rPr>
              <w:t>- all chips</w:t>
            </w:r>
          </w:p>
          <w:p w14:paraId="107F2AE9" w14:textId="77777777" w:rsidR="00D550E9" w:rsidRPr="00D550E9" w:rsidRDefault="00D550E9" w:rsidP="00D550E9">
            <w:pPr>
              <w:contextualSpacing/>
              <w:rPr>
                <w:rFonts w:cs="Tahoma"/>
                <w:snapToGrid w:val="0"/>
                <w:sz w:val="20"/>
                <w:szCs w:val="22"/>
                <w:lang w:eastAsia="en-US"/>
              </w:rPr>
            </w:pPr>
            <w:r w:rsidRPr="00D550E9">
              <w:rPr>
                <w:rFonts w:cs="Tahoma"/>
                <w:snapToGrid w:val="0"/>
                <w:sz w:val="20"/>
                <w:szCs w:val="22"/>
                <w:lang w:eastAsia="en-US"/>
              </w:rPr>
              <w:t>- quality control passed</w:t>
            </w:r>
          </w:p>
        </w:tc>
        <w:tc>
          <w:tcPr>
            <w:tcW w:w="1211" w:type="pct"/>
          </w:tcPr>
          <w:p w14:paraId="799DD5A1" w14:textId="77777777" w:rsidR="00D550E9" w:rsidRPr="00D550E9" w:rsidRDefault="00D550E9" w:rsidP="00D550E9">
            <w:pPr>
              <w:contextualSpacing/>
              <w:jc w:val="center"/>
              <w:rPr>
                <w:rFonts w:cs="Tahoma"/>
                <w:snapToGrid w:val="0"/>
                <w:sz w:val="20"/>
                <w:szCs w:val="22"/>
                <w:lang w:eastAsia="en-US"/>
              </w:rPr>
            </w:pPr>
          </w:p>
          <w:p w14:paraId="3719690A"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85.6 ± 1.13</w:t>
            </w:r>
          </w:p>
          <w:p w14:paraId="64DF7FAB"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94.7 ± 0.73</w:t>
            </w:r>
          </w:p>
        </w:tc>
        <w:tc>
          <w:tcPr>
            <w:tcW w:w="1211" w:type="pct"/>
          </w:tcPr>
          <w:p w14:paraId="6D31B78F"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br/>
              <w:t>99.9 ± 0.11</w:t>
            </w:r>
            <w:r w:rsidRPr="00D550E9">
              <w:rPr>
                <w:rFonts w:cs="Tahoma"/>
                <w:snapToGrid w:val="0"/>
                <w:sz w:val="20"/>
                <w:szCs w:val="22"/>
                <w:lang w:eastAsia="en-US"/>
              </w:rPr>
              <w:br/>
              <w:t>99.9 ± 0.11</w:t>
            </w:r>
          </w:p>
        </w:tc>
      </w:tr>
      <w:tr w:rsidR="00D550E9" w:rsidRPr="00D550E9" w14:paraId="24C18C40" w14:textId="77777777" w:rsidTr="00D8205F">
        <w:trPr>
          <w:trHeight w:val="20"/>
        </w:trPr>
        <w:tc>
          <w:tcPr>
            <w:tcW w:w="630" w:type="pct"/>
            <w:vMerge/>
          </w:tcPr>
          <w:p w14:paraId="07D93F49" w14:textId="77777777" w:rsidR="00D550E9" w:rsidRPr="00D550E9" w:rsidRDefault="00D550E9" w:rsidP="00D550E9">
            <w:pPr>
              <w:contextualSpacing/>
              <w:rPr>
                <w:rFonts w:cs="Tahoma"/>
                <w:snapToGrid w:val="0"/>
                <w:sz w:val="20"/>
                <w:szCs w:val="22"/>
                <w:lang w:eastAsia="en-US"/>
              </w:rPr>
            </w:pPr>
          </w:p>
        </w:tc>
        <w:tc>
          <w:tcPr>
            <w:tcW w:w="1948" w:type="pct"/>
          </w:tcPr>
          <w:p w14:paraId="345D9442" w14:textId="77777777" w:rsidR="00D550E9" w:rsidRPr="00D550E9" w:rsidRDefault="00D550E9" w:rsidP="00D550E9">
            <w:pPr>
              <w:contextualSpacing/>
              <w:rPr>
                <w:rFonts w:cs="Tahoma"/>
                <w:snapToGrid w:val="0"/>
                <w:sz w:val="20"/>
                <w:szCs w:val="22"/>
                <w:lang w:eastAsia="en-US"/>
              </w:rPr>
            </w:pPr>
            <w:r w:rsidRPr="00D550E9">
              <w:rPr>
                <w:rFonts w:cs="Tahoma"/>
                <w:snapToGrid w:val="0"/>
                <w:sz w:val="20"/>
                <w:szCs w:val="22"/>
                <w:lang w:eastAsia="en-US"/>
              </w:rPr>
              <w:t>LIPOchip version 9 (point mutations)</w:t>
            </w:r>
          </w:p>
          <w:p w14:paraId="050D7F6C" w14:textId="77777777" w:rsidR="00D550E9" w:rsidRPr="00D550E9" w:rsidRDefault="00D550E9" w:rsidP="00D550E9">
            <w:pPr>
              <w:contextualSpacing/>
              <w:rPr>
                <w:rFonts w:cs="Tahoma"/>
                <w:snapToGrid w:val="0"/>
                <w:sz w:val="20"/>
                <w:szCs w:val="22"/>
                <w:lang w:eastAsia="en-US"/>
              </w:rPr>
            </w:pPr>
            <w:r w:rsidRPr="00D550E9">
              <w:rPr>
                <w:rFonts w:cs="Tahoma"/>
                <w:snapToGrid w:val="0"/>
                <w:sz w:val="20"/>
                <w:szCs w:val="22"/>
                <w:lang w:eastAsia="en-US"/>
              </w:rPr>
              <w:t>- all chips</w:t>
            </w:r>
          </w:p>
          <w:p w14:paraId="71DE04BC" w14:textId="77777777" w:rsidR="00D550E9" w:rsidRPr="00D550E9" w:rsidRDefault="00D550E9" w:rsidP="00D550E9">
            <w:pPr>
              <w:contextualSpacing/>
              <w:rPr>
                <w:rFonts w:cs="Tahoma"/>
                <w:snapToGrid w:val="0"/>
                <w:sz w:val="20"/>
                <w:szCs w:val="22"/>
                <w:lang w:eastAsia="en-US"/>
              </w:rPr>
            </w:pPr>
            <w:r w:rsidRPr="00D550E9">
              <w:rPr>
                <w:rFonts w:cs="Tahoma"/>
                <w:snapToGrid w:val="0"/>
                <w:sz w:val="20"/>
                <w:szCs w:val="22"/>
                <w:lang w:eastAsia="en-US"/>
              </w:rPr>
              <w:t>- quality control passed</w:t>
            </w:r>
          </w:p>
        </w:tc>
        <w:tc>
          <w:tcPr>
            <w:tcW w:w="1211" w:type="pct"/>
          </w:tcPr>
          <w:p w14:paraId="6D688A78" w14:textId="77777777" w:rsidR="00D550E9" w:rsidRPr="00D550E9" w:rsidRDefault="00D550E9" w:rsidP="00D550E9">
            <w:pPr>
              <w:contextualSpacing/>
              <w:jc w:val="center"/>
              <w:rPr>
                <w:rFonts w:cs="Tahoma"/>
                <w:snapToGrid w:val="0"/>
                <w:sz w:val="20"/>
                <w:szCs w:val="22"/>
                <w:lang w:eastAsia="en-US"/>
              </w:rPr>
            </w:pPr>
          </w:p>
          <w:p w14:paraId="5E950644"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100 ± 0.08</w:t>
            </w:r>
            <w:r w:rsidRPr="00D550E9">
              <w:rPr>
                <w:rFonts w:cs="Tahoma"/>
                <w:snapToGrid w:val="0"/>
                <w:sz w:val="20"/>
                <w:szCs w:val="22"/>
                <w:lang w:eastAsia="en-US"/>
              </w:rPr>
              <w:br/>
              <w:t>100 ± 0.08</w:t>
            </w:r>
          </w:p>
        </w:tc>
        <w:tc>
          <w:tcPr>
            <w:tcW w:w="1211" w:type="pct"/>
          </w:tcPr>
          <w:p w14:paraId="161E5578"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br/>
              <w:t>100 ± 0.004</w:t>
            </w:r>
            <w:r w:rsidRPr="00D550E9">
              <w:rPr>
                <w:rFonts w:cs="Tahoma"/>
                <w:snapToGrid w:val="0"/>
                <w:sz w:val="20"/>
                <w:szCs w:val="22"/>
                <w:lang w:eastAsia="en-US"/>
              </w:rPr>
              <w:br/>
              <w:t>100 ± 0.004</w:t>
            </w:r>
          </w:p>
        </w:tc>
      </w:tr>
      <w:tr w:rsidR="00D550E9" w:rsidRPr="00D550E9" w14:paraId="4DB69F6C" w14:textId="77777777" w:rsidTr="00D8205F">
        <w:trPr>
          <w:trHeight w:val="20"/>
        </w:trPr>
        <w:tc>
          <w:tcPr>
            <w:tcW w:w="630" w:type="pct"/>
            <w:vMerge/>
          </w:tcPr>
          <w:p w14:paraId="302E3ACF" w14:textId="77777777" w:rsidR="00D550E9" w:rsidRPr="00D550E9" w:rsidRDefault="00D550E9" w:rsidP="00D550E9">
            <w:pPr>
              <w:contextualSpacing/>
              <w:rPr>
                <w:rFonts w:cs="Tahoma"/>
                <w:snapToGrid w:val="0"/>
                <w:sz w:val="20"/>
                <w:szCs w:val="22"/>
                <w:lang w:eastAsia="en-US"/>
              </w:rPr>
            </w:pPr>
          </w:p>
        </w:tc>
        <w:tc>
          <w:tcPr>
            <w:tcW w:w="1948" w:type="pct"/>
          </w:tcPr>
          <w:p w14:paraId="7892DC94" w14:textId="77777777" w:rsidR="00D550E9" w:rsidRPr="00D550E9" w:rsidRDefault="00D550E9" w:rsidP="00D550E9">
            <w:pPr>
              <w:contextualSpacing/>
              <w:rPr>
                <w:rFonts w:cs="Tahoma"/>
                <w:snapToGrid w:val="0"/>
                <w:sz w:val="20"/>
                <w:szCs w:val="22"/>
                <w:lang w:eastAsia="en-US"/>
              </w:rPr>
            </w:pPr>
            <w:r w:rsidRPr="00D550E9">
              <w:rPr>
                <w:rFonts w:cs="Tahoma"/>
                <w:snapToGrid w:val="0"/>
                <w:sz w:val="20"/>
                <w:szCs w:val="22"/>
                <w:lang w:eastAsia="en-US"/>
              </w:rPr>
              <w:t>LIPOchip version 9 (copy number variations)</w:t>
            </w:r>
          </w:p>
          <w:p w14:paraId="3525219D" w14:textId="77777777" w:rsidR="00D550E9" w:rsidRPr="00D550E9" w:rsidRDefault="00D550E9" w:rsidP="00D550E9">
            <w:pPr>
              <w:contextualSpacing/>
              <w:rPr>
                <w:rFonts w:cs="Tahoma"/>
                <w:snapToGrid w:val="0"/>
                <w:sz w:val="20"/>
                <w:szCs w:val="22"/>
                <w:lang w:eastAsia="en-US"/>
              </w:rPr>
            </w:pPr>
            <w:r w:rsidRPr="00D550E9">
              <w:rPr>
                <w:rFonts w:cs="Tahoma"/>
                <w:snapToGrid w:val="0"/>
                <w:sz w:val="20"/>
                <w:szCs w:val="22"/>
                <w:lang w:eastAsia="en-US"/>
              </w:rPr>
              <w:t>- all chips</w:t>
            </w:r>
          </w:p>
          <w:p w14:paraId="6C8743A6" w14:textId="77777777" w:rsidR="00D550E9" w:rsidRPr="00D550E9" w:rsidRDefault="00D550E9" w:rsidP="00D550E9">
            <w:pPr>
              <w:contextualSpacing/>
              <w:rPr>
                <w:rFonts w:cs="Tahoma"/>
                <w:snapToGrid w:val="0"/>
                <w:sz w:val="20"/>
                <w:szCs w:val="22"/>
                <w:u w:val="single"/>
                <w:lang w:eastAsia="en-US"/>
              </w:rPr>
            </w:pPr>
            <w:r w:rsidRPr="00D550E9">
              <w:rPr>
                <w:rFonts w:cs="Tahoma"/>
                <w:snapToGrid w:val="0"/>
                <w:sz w:val="20"/>
                <w:szCs w:val="22"/>
                <w:lang w:eastAsia="en-US"/>
              </w:rPr>
              <w:t>- quality control passed</w:t>
            </w:r>
          </w:p>
        </w:tc>
        <w:tc>
          <w:tcPr>
            <w:tcW w:w="1211" w:type="pct"/>
          </w:tcPr>
          <w:p w14:paraId="1C3B1950" w14:textId="77777777" w:rsidR="00D550E9" w:rsidRPr="00D550E9" w:rsidRDefault="00D550E9" w:rsidP="00D550E9">
            <w:pPr>
              <w:contextualSpacing/>
              <w:jc w:val="center"/>
              <w:rPr>
                <w:rFonts w:cs="Tahoma"/>
                <w:snapToGrid w:val="0"/>
                <w:sz w:val="20"/>
                <w:szCs w:val="22"/>
                <w:lang w:eastAsia="en-US"/>
              </w:rPr>
            </w:pPr>
          </w:p>
          <w:p w14:paraId="2246DC05"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98.85 ± 0.59</w:t>
            </w:r>
            <w:r w:rsidRPr="00D550E9">
              <w:rPr>
                <w:rFonts w:cs="Tahoma"/>
                <w:snapToGrid w:val="0"/>
                <w:sz w:val="20"/>
                <w:szCs w:val="22"/>
                <w:lang w:eastAsia="en-US"/>
              </w:rPr>
              <w:br/>
              <w:t>98.85 ± 0.48</w:t>
            </w:r>
          </w:p>
        </w:tc>
        <w:tc>
          <w:tcPr>
            <w:tcW w:w="1211" w:type="pct"/>
          </w:tcPr>
          <w:p w14:paraId="13736A03"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br/>
              <w:t>99.96 ± 0.06</w:t>
            </w:r>
            <w:r w:rsidRPr="00D550E9">
              <w:rPr>
                <w:rFonts w:cs="Tahoma"/>
                <w:snapToGrid w:val="0"/>
                <w:sz w:val="20"/>
                <w:szCs w:val="22"/>
                <w:lang w:eastAsia="en-US"/>
              </w:rPr>
              <w:br/>
              <w:t>99.96 ± 0.07</w:t>
            </w:r>
          </w:p>
        </w:tc>
      </w:tr>
      <w:tr w:rsidR="00D550E9" w:rsidRPr="00D550E9" w14:paraId="4459068C" w14:textId="77777777" w:rsidTr="00D8205F">
        <w:trPr>
          <w:trHeight w:val="20"/>
        </w:trPr>
        <w:tc>
          <w:tcPr>
            <w:tcW w:w="630" w:type="pct"/>
          </w:tcPr>
          <w:p w14:paraId="720EE41F" w14:textId="77777777" w:rsidR="00D550E9" w:rsidRPr="00D550E9" w:rsidRDefault="00D550E9" w:rsidP="00D550E9">
            <w:pPr>
              <w:contextualSpacing/>
              <w:rPr>
                <w:rFonts w:cs="Tahoma"/>
                <w:snapToGrid w:val="0"/>
                <w:sz w:val="20"/>
                <w:szCs w:val="22"/>
                <w:lang w:eastAsia="en-US"/>
              </w:rPr>
            </w:pPr>
            <w:r w:rsidRPr="00D550E9">
              <w:rPr>
                <w:rFonts w:cs="Tahoma"/>
                <w:snapToGrid w:val="0"/>
                <w:sz w:val="20"/>
                <w:szCs w:val="22"/>
                <w:lang w:eastAsia="en-US"/>
              </w:rPr>
              <w:t>Vandrovcova et al. (2013)</w:t>
            </w:r>
          </w:p>
        </w:tc>
        <w:tc>
          <w:tcPr>
            <w:tcW w:w="1948" w:type="pct"/>
          </w:tcPr>
          <w:p w14:paraId="40527D10" w14:textId="77777777" w:rsidR="00D550E9" w:rsidRPr="00D550E9" w:rsidRDefault="00D550E9" w:rsidP="00D550E9">
            <w:pPr>
              <w:contextualSpacing/>
              <w:rPr>
                <w:rFonts w:cs="Tahoma"/>
                <w:snapToGrid w:val="0"/>
                <w:sz w:val="20"/>
                <w:szCs w:val="22"/>
                <w:lang w:eastAsia="en-US"/>
              </w:rPr>
            </w:pPr>
            <w:r w:rsidRPr="00D550E9">
              <w:rPr>
                <w:rFonts w:cs="Tahoma"/>
                <w:sz w:val="20"/>
                <w:szCs w:val="22"/>
                <w:lang w:eastAsia="en-US"/>
              </w:rPr>
              <w:t>Custom SureSelect Target Enrichment System</w:t>
            </w:r>
          </w:p>
        </w:tc>
        <w:tc>
          <w:tcPr>
            <w:tcW w:w="1211" w:type="pct"/>
          </w:tcPr>
          <w:p w14:paraId="379495C5"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100%</w:t>
            </w:r>
          </w:p>
        </w:tc>
        <w:tc>
          <w:tcPr>
            <w:tcW w:w="1211" w:type="pct"/>
          </w:tcPr>
          <w:p w14:paraId="5A4280EE"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100%</w:t>
            </w:r>
          </w:p>
        </w:tc>
      </w:tr>
      <w:tr w:rsidR="00D550E9" w:rsidRPr="00D550E9" w14:paraId="1843E3CF" w14:textId="77777777" w:rsidTr="00D8205F">
        <w:trPr>
          <w:trHeight w:val="20"/>
        </w:trPr>
        <w:tc>
          <w:tcPr>
            <w:tcW w:w="630" w:type="pct"/>
          </w:tcPr>
          <w:p w14:paraId="265D0BC4" w14:textId="77777777" w:rsidR="00D550E9" w:rsidRPr="00D550E9" w:rsidRDefault="00D550E9" w:rsidP="00D550E9">
            <w:pPr>
              <w:contextualSpacing/>
              <w:rPr>
                <w:rFonts w:cs="Tahoma"/>
                <w:snapToGrid w:val="0"/>
                <w:sz w:val="20"/>
                <w:szCs w:val="22"/>
                <w:lang w:eastAsia="en-US"/>
              </w:rPr>
            </w:pPr>
          </w:p>
        </w:tc>
        <w:tc>
          <w:tcPr>
            <w:tcW w:w="1948" w:type="pct"/>
          </w:tcPr>
          <w:p w14:paraId="5A992F0D" w14:textId="77777777" w:rsidR="00D550E9" w:rsidRPr="00D550E9" w:rsidRDefault="00D550E9" w:rsidP="00D550E9">
            <w:pPr>
              <w:rPr>
                <w:rFonts w:eastAsia="Calibri"/>
                <w:snapToGrid w:val="0"/>
                <w:sz w:val="20"/>
                <w:szCs w:val="22"/>
                <w:lang w:eastAsia="en-US"/>
              </w:rPr>
            </w:pPr>
            <w:r w:rsidRPr="00D550E9">
              <w:rPr>
                <w:rFonts w:eastAsia="Calibri"/>
                <w:snapToGrid w:val="0"/>
                <w:sz w:val="20"/>
                <w:szCs w:val="22"/>
                <w:lang w:eastAsia="en-US"/>
              </w:rPr>
              <w:t>PCR-based Access Array System</w:t>
            </w:r>
            <w:r w:rsidRPr="00D550E9">
              <w:rPr>
                <w:rFonts w:eastAsia="Calibri"/>
                <w:snapToGrid w:val="0"/>
                <w:sz w:val="20"/>
                <w:szCs w:val="22"/>
                <w:lang w:eastAsia="en-US"/>
              </w:rPr>
              <w:br/>
              <w:t>- Short variant detection</w:t>
            </w:r>
          </w:p>
          <w:p w14:paraId="41AEDF30" w14:textId="77777777" w:rsidR="00D550E9" w:rsidRPr="00D550E9" w:rsidRDefault="00D550E9" w:rsidP="00D550E9">
            <w:pPr>
              <w:rPr>
                <w:rFonts w:ascii="Calibri" w:eastAsia="Calibri" w:hAnsi="Calibri"/>
                <w:sz w:val="22"/>
                <w:szCs w:val="22"/>
                <w:vertAlign w:val="superscript"/>
                <w:lang w:eastAsia="en-US"/>
              </w:rPr>
            </w:pPr>
            <w:r w:rsidRPr="00D550E9">
              <w:rPr>
                <w:rFonts w:eastAsia="Calibri"/>
                <w:snapToGrid w:val="0"/>
                <w:sz w:val="20"/>
                <w:szCs w:val="22"/>
                <w:lang w:eastAsia="en-US"/>
              </w:rPr>
              <w:t>- Overall</w:t>
            </w:r>
            <w:r w:rsidRPr="00D550E9">
              <w:rPr>
                <w:rFonts w:ascii="Calibri" w:eastAsia="Calibri" w:hAnsi="Calibri"/>
                <w:sz w:val="22"/>
                <w:szCs w:val="22"/>
                <w:vertAlign w:val="superscript"/>
                <w:lang w:eastAsia="en-US"/>
              </w:rPr>
              <w:t>a</w:t>
            </w:r>
          </w:p>
        </w:tc>
        <w:tc>
          <w:tcPr>
            <w:tcW w:w="1211" w:type="pct"/>
          </w:tcPr>
          <w:p w14:paraId="6CB509A1" w14:textId="77777777" w:rsidR="00D550E9" w:rsidRPr="00D550E9" w:rsidRDefault="00D550E9" w:rsidP="00D550E9">
            <w:pPr>
              <w:contextualSpacing/>
              <w:jc w:val="center"/>
              <w:rPr>
                <w:rFonts w:cs="Tahoma"/>
                <w:snapToGrid w:val="0"/>
                <w:sz w:val="20"/>
                <w:szCs w:val="22"/>
                <w:lang w:eastAsia="en-US"/>
              </w:rPr>
            </w:pPr>
          </w:p>
          <w:p w14:paraId="783F537B"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98%</w:t>
            </w:r>
          </w:p>
          <w:p w14:paraId="30728866"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82%</w:t>
            </w:r>
          </w:p>
        </w:tc>
        <w:tc>
          <w:tcPr>
            <w:tcW w:w="1211" w:type="pct"/>
          </w:tcPr>
          <w:p w14:paraId="34E78E7E" w14:textId="77777777" w:rsidR="00D550E9" w:rsidRPr="00D550E9" w:rsidRDefault="00D550E9" w:rsidP="00D550E9">
            <w:pPr>
              <w:contextualSpacing/>
              <w:jc w:val="center"/>
              <w:rPr>
                <w:rFonts w:cs="Tahoma"/>
                <w:snapToGrid w:val="0"/>
                <w:sz w:val="20"/>
                <w:szCs w:val="22"/>
                <w:lang w:eastAsia="en-US"/>
              </w:rPr>
            </w:pPr>
          </w:p>
          <w:p w14:paraId="32523EA8"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100%</w:t>
            </w:r>
          </w:p>
          <w:p w14:paraId="183A866E"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NR</w:t>
            </w:r>
          </w:p>
        </w:tc>
      </w:tr>
      <w:tr w:rsidR="00D550E9" w:rsidRPr="00D550E9" w14:paraId="036F4C07" w14:textId="77777777" w:rsidTr="00D8205F">
        <w:trPr>
          <w:trHeight w:val="20"/>
        </w:trPr>
        <w:tc>
          <w:tcPr>
            <w:tcW w:w="630" w:type="pct"/>
          </w:tcPr>
          <w:p w14:paraId="7F87385D" w14:textId="77777777" w:rsidR="00D550E9" w:rsidRPr="00D550E9" w:rsidRDefault="00D550E9" w:rsidP="00D550E9">
            <w:pPr>
              <w:contextualSpacing/>
              <w:rPr>
                <w:rFonts w:cs="Tahoma"/>
                <w:snapToGrid w:val="0"/>
                <w:sz w:val="20"/>
                <w:szCs w:val="22"/>
                <w:lang w:eastAsia="en-US"/>
              </w:rPr>
            </w:pPr>
            <w:r w:rsidRPr="00D550E9">
              <w:rPr>
                <w:rFonts w:cs="Tahoma"/>
                <w:snapToGrid w:val="0"/>
                <w:sz w:val="20"/>
                <w:szCs w:val="22"/>
                <w:lang w:eastAsia="en-US"/>
              </w:rPr>
              <w:t>Wright et al. (2008)</w:t>
            </w:r>
          </w:p>
        </w:tc>
        <w:tc>
          <w:tcPr>
            <w:tcW w:w="1948" w:type="pct"/>
          </w:tcPr>
          <w:p w14:paraId="018A4286" w14:textId="77777777" w:rsidR="00D550E9" w:rsidRPr="00D550E9" w:rsidRDefault="00D550E9" w:rsidP="00D550E9">
            <w:pPr>
              <w:spacing w:line="276" w:lineRule="auto"/>
              <w:rPr>
                <w:rFonts w:eastAsia="Calibri"/>
                <w:snapToGrid w:val="0"/>
                <w:sz w:val="20"/>
                <w:szCs w:val="22"/>
                <w:vertAlign w:val="superscript"/>
                <w:lang w:eastAsia="en-US"/>
              </w:rPr>
            </w:pPr>
            <w:r w:rsidRPr="00D550E9">
              <w:rPr>
                <w:rFonts w:eastAsia="Calibri"/>
                <w:sz w:val="20"/>
                <w:lang w:eastAsia="en-US"/>
              </w:rPr>
              <w:t>iPLEX MassARRAY Spectrometry mutation test</w:t>
            </w:r>
            <w:r w:rsidRPr="00D550E9">
              <w:rPr>
                <w:rFonts w:eastAsia="Calibri"/>
                <w:sz w:val="20"/>
                <w:vertAlign w:val="superscript"/>
                <w:lang w:eastAsia="en-US"/>
              </w:rPr>
              <w:t>b</w:t>
            </w:r>
          </w:p>
        </w:tc>
        <w:tc>
          <w:tcPr>
            <w:tcW w:w="1211" w:type="pct"/>
          </w:tcPr>
          <w:p w14:paraId="3026B02D"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100% [95%CI 97.57% - 100.00%]</w:t>
            </w:r>
          </w:p>
        </w:tc>
        <w:tc>
          <w:tcPr>
            <w:tcW w:w="1211" w:type="pct"/>
          </w:tcPr>
          <w:p w14:paraId="5741693E" w14:textId="77777777" w:rsidR="00D550E9" w:rsidRPr="00D550E9" w:rsidRDefault="00D550E9" w:rsidP="00D550E9">
            <w:pPr>
              <w:contextualSpacing/>
              <w:jc w:val="center"/>
              <w:rPr>
                <w:rFonts w:cs="Tahoma"/>
                <w:snapToGrid w:val="0"/>
                <w:sz w:val="20"/>
                <w:szCs w:val="22"/>
                <w:lang w:eastAsia="en-US"/>
              </w:rPr>
            </w:pPr>
            <w:r w:rsidRPr="00D550E9">
              <w:rPr>
                <w:rFonts w:cs="Tahoma"/>
                <w:snapToGrid w:val="0"/>
                <w:sz w:val="20"/>
                <w:szCs w:val="22"/>
                <w:lang w:eastAsia="en-US"/>
              </w:rPr>
              <w:t>98.96 % [95%CI 94.33% - 99.97%]</w:t>
            </w:r>
          </w:p>
        </w:tc>
      </w:tr>
    </w:tbl>
    <w:p w14:paraId="5FC451E7" w14:textId="77777777" w:rsidR="00D550E9" w:rsidRPr="00D550E9" w:rsidRDefault="00D550E9" w:rsidP="00D550E9">
      <w:pPr>
        <w:spacing w:line="276" w:lineRule="auto"/>
        <w:rPr>
          <w:rFonts w:ascii="Arial Narrow" w:eastAsia="Calibri" w:hAnsi="Arial Narrow"/>
          <w:snapToGrid w:val="0"/>
          <w:sz w:val="20"/>
          <w:szCs w:val="22"/>
          <w:lang w:eastAsia="en-US"/>
        </w:rPr>
      </w:pPr>
      <w:r w:rsidRPr="00D550E9">
        <w:rPr>
          <w:rFonts w:ascii="Calibri" w:eastAsia="Calibri" w:hAnsi="Calibri"/>
          <w:sz w:val="22"/>
          <w:szCs w:val="22"/>
          <w:vertAlign w:val="superscript"/>
          <w:lang w:eastAsia="en-US"/>
        </w:rPr>
        <w:t>a</w:t>
      </w:r>
      <w:r w:rsidRPr="00D550E9">
        <w:rPr>
          <w:rFonts w:ascii="Calibri" w:eastAsia="Calibri" w:hAnsi="Calibri"/>
          <w:sz w:val="22"/>
          <w:szCs w:val="22"/>
          <w:lang w:eastAsia="en-US"/>
        </w:rPr>
        <w:t xml:space="preserve"> </w:t>
      </w:r>
      <w:r w:rsidRPr="00D550E9">
        <w:rPr>
          <w:rFonts w:ascii="Arial Narrow" w:eastAsia="Calibri" w:hAnsi="Arial Narrow"/>
          <w:snapToGrid w:val="0"/>
          <w:sz w:val="20"/>
          <w:szCs w:val="22"/>
          <w:lang w:eastAsia="en-US"/>
        </w:rPr>
        <w:t>large insertions/deletions could not be detected by the PCR-based Access Array System.</w:t>
      </w:r>
    </w:p>
    <w:p w14:paraId="3115057C" w14:textId="0631CD84" w:rsidR="006141CF" w:rsidRPr="00170F9A" w:rsidRDefault="00D550E9" w:rsidP="00D550E9">
      <w:pPr>
        <w:spacing w:after="200" w:line="276" w:lineRule="auto"/>
      </w:pPr>
      <w:r w:rsidRPr="00D550E9">
        <w:rPr>
          <w:rFonts w:ascii="Arial Narrow" w:eastAsia="Calibri" w:hAnsi="Arial Narrow"/>
          <w:snapToGrid w:val="0"/>
          <w:sz w:val="20"/>
          <w:szCs w:val="22"/>
          <w:vertAlign w:val="superscript"/>
          <w:lang w:eastAsia="en-US"/>
        </w:rPr>
        <w:t xml:space="preserve"> b</w:t>
      </w:r>
      <w:r w:rsidRPr="00D550E9">
        <w:rPr>
          <w:rFonts w:ascii="Arial Narrow" w:eastAsia="Calibri" w:hAnsi="Arial Narrow"/>
          <w:snapToGrid w:val="0"/>
          <w:sz w:val="20"/>
          <w:szCs w:val="22"/>
          <w:lang w:eastAsia="en-US"/>
        </w:rPr>
        <w:t xml:space="preserve"> 150 patients had a known causative mutation determined by sequencing, and 96 samples which had been shown by previous various methods not to carry any of the 56 tested mutations. This was used as the reference standard. The sensitivity and specificity therefore only shows how accurate the test is in detecting mutations the test is designed to detect (not in detecting any mutation).</w:t>
      </w:r>
    </w:p>
    <w:p w14:paraId="69400C5E" w14:textId="77777777" w:rsidR="00C064F2" w:rsidRDefault="00C064F2" w:rsidP="00C064F2">
      <w:pPr>
        <w:pStyle w:val="Heading2"/>
      </w:pPr>
      <w:r>
        <w:t>Key clinical validity results</w:t>
      </w:r>
    </w:p>
    <w:p w14:paraId="113B6C53" w14:textId="7A2B5128" w:rsidR="00D31D39" w:rsidRDefault="00C064F2" w:rsidP="00CD3F08">
      <w:pPr>
        <w:jc w:val="both"/>
      </w:pPr>
      <w:r>
        <w:t>The risk of premature cardiovascular disease (CVD) and/or CVD events was higher in patients with an identified mutation, compared with the risk in patients without an identified mutation</w:t>
      </w:r>
      <w:r w:rsidR="00D550E9">
        <w:t xml:space="preserve"> (</w:t>
      </w:r>
      <w:r w:rsidR="00722D57">
        <w:fldChar w:fldCharType="begin"/>
      </w:r>
      <w:r w:rsidR="00722D57">
        <w:instrText xml:space="preserve"> REF _Ref11160461 \h </w:instrText>
      </w:r>
      <w:r w:rsidR="00722D57">
        <w:fldChar w:fldCharType="separate"/>
      </w:r>
      <w:r w:rsidR="00722D57">
        <w:t xml:space="preserve">Table </w:t>
      </w:r>
      <w:r w:rsidR="00722D57">
        <w:rPr>
          <w:noProof/>
        </w:rPr>
        <w:t>4</w:t>
      </w:r>
      <w:r w:rsidR="00722D57">
        <w:fldChar w:fldCharType="end"/>
      </w:r>
      <w:r w:rsidR="00D550E9">
        <w:t>)</w:t>
      </w:r>
      <w:r>
        <w:t xml:space="preserve">. Some studies reported higher odds ratios (ORs) when patients were diagnosed with a specific mutation (e.g. D374Y in the </w:t>
      </w:r>
      <w:r w:rsidRPr="002932D4">
        <w:rPr>
          <w:i/>
        </w:rPr>
        <w:t>PCSK9</w:t>
      </w:r>
      <w:r>
        <w:t xml:space="preserve"> gene), relative to other mutations.</w:t>
      </w:r>
      <w:r w:rsidR="00D31D39">
        <w:br w:type="page"/>
      </w:r>
    </w:p>
    <w:p w14:paraId="495CA2B0" w14:textId="365B0126" w:rsidR="00D550E9" w:rsidRPr="00162774" w:rsidRDefault="00722D57" w:rsidP="00162774">
      <w:pPr>
        <w:rPr>
          <w:rFonts w:ascii="Arial Narrow" w:hAnsi="Arial Narrow"/>
          <w:b/>
          <w:sz w:val="20"/>
        </w:rPr>
      </w:pPr>
      <w:bookmarkStart w:id="10" w:name="_Ref11160461"/>
      <w:r w:rsidRPr="00162774">
        <w:rPr>
          <w:rFonts w:ascii="Arial Narrow" w:hAnsi="Arial Narrow"/>
          <w:b/>
          <w:sz w:val="20"/>
        </w:rPr>
        <w:lastRenderedPageBreak/>
        <w:t xml:space="preserve">Table </w:t>
      </w:r>
      <w:r w:rsidR="00B108E7" w:rsidRPr="00162774">
        <w:rPr>
          <w:rFonts w:ascii="Arial Narrow" w:hAnsi="Arial Narrow"/>
          <w:b/>
          <w:sz w:val="20"/>
        </w:rPr>
        <w:fldChar w:fldCharType="begin"/>
      </w:r>
      <w:r w:rsidR="00B108E7" w:rsidRPr="00162774">
        <w:rPr>
          <w:rFonts w:ascii="Arial Narrow" w:hAnsi="Arial Narrow"/>
          <w:b/>
          <w:sz w:val="20"/>
        </w:rPr>
        <w:instrText xml:space="preserve"> SEQ Table \* ARABIC </w:instrText>
      </w:r>
      <w:r w:rsidR="00B108E7" w:rsidRPr="00162774">
        <w:rPr>
          <w:rFonts w:ascii="Arial Narrow" w:hAnsi="Arial Narrow"/>
          <w:b/>
          <w:sz w:val="20"/>
        </w:rPr>
        <w:fldChar w:fldCharType="separate"/>
      </w:r>
      <w:r w:rsidRPr="00162774">
        <w:rPr>
          <w:rFonts w:ascii="Arial Narrow" w:hAnsi="Arial Narrow"/>
          <w:b/>
          <w:sz w:val="20"/>
        </w:rPr>
        <w:t>4</w:t>
      </w:r>
      <w:r w:rsidR="00B108E7" w:rsidRPr="00162774">
        <w:rPr>
          <w:rFonts w:ascii="Arial Narrow" w:hAnsi="Arial Narrow"/>
          <w:b/>
          <w:sz w:val="20"/>
        </w:rPr>
        <w:fldChar w:fldCharType="end"/>
      </w:r>
      <w:bookmarkEnd w:id="10"/>
      <w:r w:rsidRPr="00162774">
        <w:rPr>
          <w:rFonts w:ascii="Arial Narrow" w:hAnsi="Arial Narrow"/>
          <w:b/>
          <w:sz w:val="20"/>
        </w:rPr>
        <w:tab/>
      </w:r>
      <w:r w:rsidR="00D550E9" w:rsidRPr="00162774">
        <w:rPr>
          <w:rFonts w:ascii="Arial Narrow" w:hAnsi="Arial Narrow"/>
          <w:b/>
          <w:sz w:val="20"/>
        </w:rPr>
        <w:t>Type of mutation and risk of (premature) coronary heart disease/events</w:t>
      </w:r>
    </w:p>
    <w:tbl>
      <w:tblPr>
        <w:tblStyle w:val="TableGrid3"/>
        <w:tblW w:w="0" w:type="auto"/>
        <w:tblLook w:val="04A0" w:firstRow="1" w:lastRow="0" w:firstColumn="1" w:lastColumn="0" w:noHBand="0" w:noVBand="1"/>
        <w:tblCaption w:val="Type of mutation and risk of (premature) cardiovascular disease/events"/>
        <w:tblDescription w:val="Type of mutation and risk of (premature) cardiovascular disease/events"/>
      </w:tblPr>
      <w:tblGrid>
        <w:gridCol w:w="1142"/>
        <w:gridCol w:w="2186"/>
        <w:gridCol w:w="632"/>
        <w:gridCol w:w="1126"/>
        <w:gridCol w:w="992"/>
        <w:gridCol w:w="2035"/>
        <w:gridCol w:w="903"/>
      </w:tblGrid>
      <w:tr w:rsidR="00D550E9" w:rsidRPr="00D550E9" w14:paraId="35553D09" w14:textId="77777777" w:rsidTr="00D550E9">
        <w:trPr>
          <w:tblHeader/>
        </w:trPr>
        <w:tc>
          <w:tcPr>
            <w:tcW w:w="1144" w:type="dxa"/>
            <w:tcBorders>
              <w:top w:val="single" w:sz="4" w:space="0" w:color="auto"/>
              <w:left w:val="single" w:sz="4" w:space="0" w:color="auto"/>
              <w:bottom w:val="single" w:sz="4" w:space="0" w:color="auto"/>
              <w:right w:val="nil"/>
            </w:tcBorders>
          </w:tcPr>
          <w:p w14:paraId="01DA1C19" w14:textId="77777777" w:rsidR="00D550E9" w:rsidRPr="00D550E9" w:rsidRDefault="00D550E9" w:rsidP="00D31D39">
            <w:pPr>
              <w:keepNext/>
              <w:rPr>
                <w:rFonts w:ascii="Arial Narrow" w:hAnsi="Arial Narrow"/>
                <w:b/>
                <w:sz w:val="20"/>
              </w:rPr>
            </w:pPr>
            <w:r w:rsidRPr="00D550E9">
              <w:rPr>
                <w:rFonts w:ascii="Arial Narrow" w:hAnsi="Arial Narrow"/>
                <w:b/>
                <w:sz w:val="20"/>
              </w:rPr>
              <w:t>Study</w:t>
            </w:r>
          </w:p>
        </w:tc>
        <w:tc>
          <w:tcPr>
            <w:tcW w:w="2194" w:type="dxa"/>
            <w:tcBorders>
              <w:top w:val="single" w:sz="4" w:space="0" w:color="auto"/>
              <w:left w:val="nil"/>
              <w:bottom w:val="single" w:sz="4" w:space="0" w:color="auto"/>
              <w:right w:val="nil"/>
            </w:tcBorders>
          </w:tcPr>
          <w:p w14:paraId="27749C9D" w14:textId="77777777" w:rsidR="00D550E9" w:rsidRPr="00D550E9" w:rsidRDefault="00D550E9" w:rsidP="00D31D39">
            <w:pPr>
              <w:keepNext/>
              <w:rPr>
                <w:rFonts w:ascii="Arial Narrow" w:hAnsi="Arial Narrow"/>
                <w:b/>
                <w:sz w:val="20"/>
              </w:rPr>
            </w:pPr>
            <w:r w:rsidRPr="00D550E9">
              <w:rPr>
                <w:rFonts w:ascii="Arial Narrow" w:hAnsi="Arial Narrow"/>
                <w:b/>
                <w:sz w:val="20"/>
              </w:rPr>
              <w:t>Mutation</w:t>
            </w:r>
          </w:p>
        </w:tc>
        <w:tc>
          <w:tcPr>
            <w:tcW w:w="632" w:type="dxa"/>
            <w:tcBorders>
              <w:top w:val="single" w:sz="4" w:space="0" w:color="auto"/>
              <w:left w:val="nil"/>
              <w:bottom w:val="single" w:sz="4" w:space="0" w:color="auto"/>
              <w:right w:val="nil"/>
            </w:tcBorders>
          </w:tcPr>
          <w:p w14:paraId="3FA8E8FC" w14:textId="77777777" w:rsidR="00D550E9" w:rsidRPr="00D550E9" w:rsidRDefault="00D550E9" w:rsidP="00D31D39">
            <w:pPr>
              <w:keepNext/>
              <w:jc w:val="center"/>
              <w:rPr>
                <w:rFonts w:ascii="Arial Narrow" w:hAnsi="Arial Narrow"/>
                <w:b/>
                <w:sz w:val="20"/>
              </w:rPr>
            </w:pPr>
            <w:r w:rsidRPr="00D550E9">
              <w:rPr>
                <w:rFonts w:ascii="Arial Narrow" w:hAnsi="Arial Narrow"/>
                <w:b/>
                <w:sz w:val="20"/>
              </w:rPr>
              <w:t>N</w:t>
            </w:r>
          </w:p>
        </w:tc>
        <w:tc>
          <w:tcPr>
            <w:tcW w:w="1128" w:type="dxa"/>
            <w:tcBorders>
              <w:top w:val="single" w:sz="4" w:space="0" w:color="auto"/>
              <w:left w:val="nil"/>
              <w:bottom w:val="single" w:sz="4" w:space="0" w:color="auto"/>
              <w:right w:val="nil"/>
            </w:tcBorders>
          </w:tcPr>
          <w:p w14:paraId="4DFEF3FF" w14:textId="77777777" w:rsidR="00D550E9" w:rsidRPr="00D550E9" w:rsidRDefault="00D550E9" w:rsidP="00D31D39">
            <w:pPr>
              <w:keepNext/>
              <w:jc w:val="center"/>
              <w:rPr>
                <w:rFonts w:ascii="Arial Narrow" w:hAnsi="Arial Narrow"/>
                <w:b/>
                <w:sz w:val="20"/>
              </w:rPr>
            </w:pPr>
            <w:r w:rsidRPr="00D550E9">
              <w:rPr>
                <w:rFonts w:ascii="Arial Narrow" w:hAnsi="Arial Narrow"/>
                <w:b/>
                <w:sz w:val="20"/>
              </w:rPr>
              <w:t>CHD+ve/</w:t>
            </w:r>
          </w:p>
          <w:p w14:paraId="55D06748" w14:textId="12ED9BCB" w:rsidR="00D550E9" w:rsidRPr="00D550E9" w:rsidRDefault="00D550E9" w:rsidP="00D31D39">
            <w:pPr>
              <w:keepNext/>
              <w:jc w:val="center"/>
              <w:rPr>
                <w:rFonts w:ascii="Arial Narrow" w:hAnsi="Arial Narrow"/>
                <w:b/>
                <w:sz w:val="20"/>
              </w:rPr>
            </w:pPr>
            <w:r w:rsidRPr="00D550E9">
              <w:rPr>
                <w:rFonts w:ascii="Arial Narrow" w:hAnsi="Arial Narrow"/>
                <w:b/>
                <w:sz w:val="20"/>
              </w:rPr>
              <w:t>CHD-ve</w:t>
            </w:r>
          </w:p>
        </w:tc>
        <w:tc>
          <w:tcPr>
            <w:tcW w:w="993" w:type="dxa"/>
            <w:tcBorders>
              <w:top w:val="single" w:sz="4" w:space="0" w:color="auto"/>
              <w:left w:val="nil"/>
              <w:bottom w:val="single" w:sz="4" w:space="0" w:color="auto"/>
              <w:right w:val="nil"/>
            </w:tcBorders>
          </w:tcPr>
          <w:p w14:paraId="37172613" w14:textId="77777777" w:rsidR="00D550E9" w:rsidRPr="00D550E9" w:rsidRDefault="00D550E9" w:rsidP="00D31D39">
            <w:pPr>
              <w:keepNext/>
              <w:jc w:val="center"/>
              <w:rPr>
                <w:rFonts w:ascii="Arial Narrow" w:hAnsi="Arial Narrow"/>
                <w:b/>
                <w:sz w:val="20"/>
              </w:rPr>
            </w:pPr>
            <w:r w:rsidRPr="00D550E9">
              <w:rPr>
                <w:rFonts w:ascii="Arial Narrow" w:hAnsi="Arial Narrow"/>
                <w:b/>
                <w:sz w:val="20"/>
              </w:rPr>
              <w:t>% CHD+ve</w:t>
            </w:r>
          </w:p>
        </w:tc>
        <w:tc>
          <w:tcPr>
            <w:tcW w:w="2042" w:type="dxa"/>
            <w:tcBorders>
              <w:top w:val="single" w:sz="4" w:space="0" w:color="auto"/>
              <w:left w:val="nil"/>
              <w:bottom w:val="single" w:sz="4" w:space="0" w:color="auto"/>
              <w:right w:val="nil"/>
            </w:tcBorders>
          </w:tcPr>
          <w:p w14:paraId="0E1C767B" w14:textId="77777777" w:rsidR="00D550E9" w:rsidRPr="00D550E9" w:rsidRDefault="00D550E9" w:rsidP="00D31D39">
            <w:pPr>
              <w:keepNext/>
              <w:jc w:val="center"/>
              <w:rPr>
                <w:rFonts w:ascii="Arial Narrow" w:hAnsi="Arial Narrow"/>
                <w:b/>
                <w:sz w:val="20"/>
              </w:rPr>
            </w:pPr>
            <w:r w:rsidRPr="00D550E9">
              <w:rPr>
                <w:rFonts w:ascii="Arial Narrow" w:hAnsi="Arial Narrow"/>
                <w:b/>
                <w:sz w:val="20"/>
              </w:rPr>
              <w:t>OR [95%CI]</w:t>
            </w:r>
          </w:p>
        </w:tc>
        <w:tc>
          <w:tcPr>
            <w:tcW w:w="905" w:type="dxa"/>
            <w:tcBorders>
              <w:top w:val="single" w:sz="4" w:space="0" w:color="auto"/>
              <w:left w:val="nil"/>
              <w:bottom w:val="single" w:sz="4" w:space="0" w:color="auto"/>
              <w:right w:val="single" w:sz="4" w:space="0" w:color="auto"/>
            </w:tcBorders>
          </w:tcPr>
          <w:p w14:paraId="74F9FC69" w14:textId="77777777" w:rsidR="00D550E9" w:rsidRPr="00D550E9" w:rsidRDefault="00D550E9" w:rsidP="00D31D39">
            <w:pPr>
              <w:keepNext/>
              <w:jc w:val="center"/>
              <w:rPr>
                <w:rFonts w:ascii="Arial Narrow" w:hAnsi="Arial Narrow"/>
                <w:b/>
                <w:sz w:val="20"/>
              </w:rPr>
            </w:pPr>
            <w:r w:rsidRPr="00D550E9">
              <w:rPr>
                <w:rFonts w:ascii="Arial Narrow" w:hAnsi="Arial Narrow"/>
                <w:b/>
                <w:sz w:val="20"/>
              </w:rPr>
              <w:t>P-value</w:t>
            </w:r>
          </w:p>
        </w:tc>
      </w:tr>
      <w:tr w:rsidR="00D550E9" w:rsidRPr="00D550E9" w14:paraId="7CE390AA" w14:textId="77777777" w:rsidTr="00D550E9">
        <w:trPr>
          <w:trHeight w:val="219"/>
        </w:trPr>
        <w:tc>
          <w:tcPr>
            <w:tcW w:w="1144" w:type="dxa"/>
            <w:vMerge w:val="restart"/>
            <w:tcBorders>
              <w:top w:val="single" w:sz="4" w:space="0" w:color="auto"/>
              <w:left w:val="single" w:sz="4" w:space="0" w:color="auto"/>
              <w:right w:val="single" w:sz="4" w:space="0" w:color="auto"/>
            </w:tcBorders>
          </w:tcPr>
          <w:p w14:paraId="22134389"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Alonso et al. (2008)</w:t>
            </w:r>
          </w:p>
        </w:tc>
        <w:tc>
          <w:tcPr>
            <w:tcW w:w="2194" w:type="dxa"/>
            <w:tcBorders>
              <w:top w:val="single" w:sz="4" w:space="0" w:color="auto"/>
              <w:left w:val="single" w:sz="4" w:space="0" w:color="auto"/>
              <w:bottom w:val="single" w:sz="4" w:space="0" w:color="auto"/>
              <w:right w:val="single" w:sz="4" w:space="0" w:color="auto"/>
            </w:tcBorders>
          </w:tcPr>
          <w:p w14:paraId="58129A43"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Defective mutation</w:t>
            </w:r>
          </w:p>
        </w:tc>
        <w:tc>
          <w:tcPr>
            <w:tcW w:w="632" w:type="dxa"/>
            <w:tcBorders>
              <w:top w:val="single" w:sz="4" w:space="0" w:color="auto"/>
              <w:left w:val="single" w:sz="4" w:space="0" w:color="auto"/>
              <w:right w:val="single" w:sz="4" w:space="0" w:color="auto"/>
            </w:tcBorders>
          </w:tcPr>
          <w:p w14:paraId="5CB4DEB8"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451</w:t>
            </w:r>
          </w:p>
        </w:tc>
        <w:tc>
          <w:tcPr>
            <w:tcW w:w="1128" w:type="dxa"/>
            <w:tcBorders>
              <w:top w:val="single" w:sz="4" w:space="0" w:color="auto"/>
              <w:left w:val="single" w:sz="4" w:space="0" w:color="auto"/>
            </w:tcBorders>
          </w:tcPr>
          <w:p w14:paraId="21D125A4"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top w:val="single" w:sz="4" w:space="0" w:color="auto"/>
            </w:tcBorders>
          </w:tcPr>
          <w:p w14:paraId="6F9DD486"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top w:val="single" w:sz="4" w:space="0" w:color="auto"/>
            </w:tcBorders>
          </w:tcPr>
          <w:p w14:paraId="14EF119E"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 (reference)</w:t>
            </w:r>
          </w:p>
        </w:tc>
        <w:tc>
          <w:tcPr>
            <w:tcW w:w="905" w:type="dxa"/>
            <w:tcBorders>
              <w:top w:val="single" w:sz="4" w:space="0" w:color="auto"/>
            </w:tcBorders>
          </w:tcPr>
          <w:p w14:paraId="32839478"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w:t>
            </w:r>
          </w:p>
        </w:tc>
      </w:tr>
      <w:tr w:rsidR="00D550E9" w:rsidRPr="00D550E9" w14:paraId="23DAA50B" w14:textId="77777777" w:rsidTr="00D550E9">
        <w:tc>
          <w:tcPr>
            <w:tcW w:w="1144" w:type="dxa"/>
            <w:vMerge/>
            <w:tcBorders>
              <w:left w:val="single" w:sz="4" w:space="0" w:color="auto"/>
              <w:bottom w:val="single" w:sz="12" w:space="0" w:color="auto"/>
              <w:right w:val="single" w:sz="4" w:space="0" w:color="auto"/>
            </w:tcBorders>
          </w:tcPr>
          <w:p w14:paraId="4131B821" w14:textId="77777777" w:rsidR="00D550E9" w:rsidRPr="00D550E9" w:rsidRDefault="00D550E9" w:rsidP="00D31D39">
            <w:pPr>
              <w:jc w:val="both"/>
              <w:rPr>
                <w:rFonts w:ascii="Arial Narrow" w:hAnsi="Arial Narrow" w:cs="Tahoma"/>
                <w:sz w:val="20"/>
              </w:rPr>
            </w:pPr>
          </w:p>
        </w:tc>
        <w:tc>
          <w:tcPr>
            <w:tcW w:w="2194" w:type="dxa"/>
            <w:tcBorders>
              <w:top w:val="single" w:sz="4" w:space="0" w:color="auto"/>
              <w:left w:val="single" w:sz="4" w:space="0" w:color="auto"/>
              <w:bottom w:val="single" w:sz="12" w:space="0" w:color="auto"/>
              <w:right w:val="single" w:sz="4" w:space="0" w:color="auto"/>
            </w:tcBorders>
          </w:tcPr>
          <w:p w14:paraId="2B7192E5"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Null mutation</w:t>
            </w:r>
          </w:p>
        </w:tc>
        <w:tc>
          <w:tcPr>
            <w:tcW w:w="632" w:type="dxa"/>
            <w:tcBorders>
              <w:left w:val="single" w:sz="4" w:space="0" w:color="auto"/>
              <w:bottom w:val="single" w:sz="12" w:space="0" w:color="auto"/>
              <w:right w:val="single" w:sz="4" w:space="0" w:color="auto"/>
            </w:tcBorders>
          </w:tcPr>
          <w:p w14:paraId="3F1D2AEA"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248</w:t>
            </w:r>
          </w:p>
        </w:tc>
        <w:tc>
          <w:tcPr>
            <w:tcW w:w="1128" w:type="dxa"/>
            <w:tcBorders>
              <w:left w:val="single" w:sz="4" w:space="0" w:color="auto"/>
              <w:bottom w:val="single" w:sz="12" w:space="0" w:color="auto"/>
            </w:tcBorders>
          </w:tcPr>
          <w:p w14:paraId="5D043709"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bottom w:val="single" w:sz="12" w:space="0" w:color="auto"/>
            </w:tcBorders>
          </w:tcPr>
          <w:p w14:paraId="05C040EB"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bottom w:val="single" w:sz="12" w:space="0" w:color="auto"/>
            </w:tcBorders>
          </w:tcPr>
          <w:p w14:paraId="3B873962"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1.68 [1.10, 2.40]</w:t>
            </w:r>
          </w:p>
        </w:tc>
        <w:tc>
          <w:tcPr>
            <w:tcW w:w="905" w:type="dxa"/>
            <w:tcBorders>
              <w:bottom w:val="single" w:sz="12" w:space="0" w:color="auto"/>
            </w:tcBorders>
          </w:tcPr>
          <w:p w14:paraId="4DB13F6A"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&lt;0.01</w:t>
            </w:r>
          </w:p>
        </w:tc>
      </w:tr>
      <w:tr w:rsidR="00D550E9" w:rsidRPr="00D550E9" w14:paraId="59815788" w14:textId="77777777" w:rsidTr="00D550E9">
        <w:tc>
          <w:tcPr>
            <w:tcW w:w="1144" w:type="dxa"/>
            <w:vMerge w:val="restart"/>
            <w:tcBorders>
              <w:top w:val="single" w:sz="12" w:space="0" w:color="auto"/>
              <w:left w:val="single" w:sz="4" w:space="0" w:color="auto"/>
              <w:right w:val="single" w:sz="4" w:space="0" w:color="auto"/>
            </w:tcBorders>
          </w:tcPr>
          <w:p w14:paraId="15FA612E"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Humphries et al. (2006)</w:t>
            </w:r>
          </w:p>
        </w:tc>
        <w:tc>
          <w:tcPr>
            <w:tcW w:w="2194" w:type="dxa"/>
            <w:tcBorders>
              <w:top w:val="single" w:sz="12" w:space="0" w:color="auto"/>
              <w:left w:val="single" w:sz="4" w:space="0" w:color="auto"/>
              <w:bottom w:val="single" w:sz="4" w:space="0" w:color="auto"/>
              <w:right w:val="single" w:sz="4" w:space="0" w:color="auto"/>
            </w:tcBorders>
          </w:tcPr>
          <w:p w14:paraId="416ECE72"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None</w:t>
            </w:r>
          </w:p>
        </w:tc>
        <w:tc>
          <w:tcPr>
            <w:tcW w:w="632" w:type="dxa"/>
            <w:tcBorders>
              <w:top w:val="single" w:sz="12" w:space="0" w:color="auto"/>
              <w:left w:val="single" w:sz="4" w:space="0" w:color="auto"/>
              <w:right w:val="single" w:sz="4" w:space="0" w:color="auto"/>
            </w:tcBorders>
          </w:tcPr>
          <w:p w14:paraId="52F2AFBF"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156</w:t>
            </w:r>
          </w:p>
        </w:tc>
        <w:tc>
          <w:tcPr>
            <w:tcW w:w="1128" w:type="dxa"/>
            <w:tcBorders>
              <w:top w:val="single" w:sz="12" w:space="0" w:color="auto"/>
              <w:left w:val="single" w:sz="4" w:space="0" w:color="auto"/>
            </w:tcBorders>
          </w:tcPr>
          <w:p w14:paraId="434D2567"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55/101</w:t>
            </w:r>
          </w:p>
        </w:tc>
        <w:tc>
          <w:tcPr>
            <w:tcW w:w="993" w:type="dxa"/>
            <w:tcBorders>
              <w:top w:val="single" w:sz="12" w:space="0" w:color="auto"/>
            </w:tcBorders>
          </w:tcPr>
          <w:p w14:paraId="01A0B34B"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35.2</w:t>
            </w:r>
          </w:p>
        </w:tc>
        <w:tc>
          <w:tcPr>
            <w:tcW w:w="2042" w:type="dxa"/>
            <w:tcBorders>
              <w:top w:val="single" w:sz="12" w:space="0" w:color="auto"/>
            </w:tcBorders>
          </w:tcPr>
          <w:p w14:paraId="0D0AF3AE"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 (reference)</w:t>
            </w:r>
          </w:p>
        </w:tc>
        <w:tc>
          <w:tcPr>
            <w:tcW w:w="905" w:type="dxa"/>
            <w:tcBorders>
              <w:top w:val="single" w:sz="12" w:space="0" w:color="auto"/>
            </w:tcBorders>
          </w:tcPr>
          <w:p w14:paraId="78330CDC"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w:t>
            </w:r>
          </w:p>
        </w:tc>
      </w:tr>
      <w:tr w:rsidR="00D550E9" w:rsidRPr="00D550E9" w14:paraId="0EFFE935" w14:textId="77777777" w:rsidTr="00D550E9">
        <w:tc>
          <w:tcPr>
            <w:tcW w:w="1144" w:type="dxa"/>
            <w:vMerge/>
            <w:tcBorders>
              <w:left w:val="single" w:sz="4" w:space="0" w:color="auto"/>
              <w:bottom w:val="nil"/>
              <w:right w:val="single" w:sz="4" w:space="0" w:color="auto"/>
            </w:tcBorders>
          </w:tcPr>
          <w:p w14:paraId="5207EB86" w14:textId="77777777" w:rsidR="00D550E9" w:rsidRPr="00D550E9" w:rsidRDefault="00D550E9" w:rsidP="00D31D39">
            <w:pPr>
              <w:jc w:val="both"/>
              <w:rPr>
                <w:rFonts w:ascii="Arial Narrow" w:hAnsi="Arial Narrow" w:cs="Tahoma"/>
                <w:sz w:val="20"/>
              </w:rPr>
            </w:pPr>
          </w:p>
        </w:tc>
        <w:tc>
          <w:tcPr>
            <w:tcW w:w="2194" w:type="dxa"/>
            <w:tcBorders>
              <w:top w:val="single" w:sz="4" w:space="0" w:color="auto"/>
              <w:left w:val="single" w:sz="4" w:space="0" w:color="auto"/>
              <w:bottom w:val="single" w:sz="4" w:space="0" w:color="auto"/>
              <w:right w:val="single" w:sz="4" w:space="0" w:color="auto"/>
            </w:tcBorders>
          </w:tcPr>
          <w:p w14:paraId="14E35BD5"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LDLR (any)</w:t>
            </w:r>
          </w:p>
        </w:tc>
        <w:tc>
          <w:tcPr>
            <w:tcW w:w="632" w:type="dxa"/>
            <w:tcBorders>
              <w:left w:val="single" w:sz="4" w:space="0" w:color="auto"/>
              <w:right w:val="single" w:sz="4" w:space="0" w:color="auto"/>
            </w:tcBorders>
          </w:tcPr>
          <w:p w14:paraId="7146C049"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236</w:t>
            </w:r>
          </w:p>
        </w:tc>
        <w:tc>
          <w:tcPr>
            <w:tcW w:w="1128" w:type="dxa"/>
            <w:tcBorders>
              <w:left w:val="single" w:sz="4" w:space="0" w:color="auto"/>
            </w:tcBorders>
          </w:tcPr>
          <w:p w14:paraId="424B9C6B"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91/145</w:t>
            </w:r>
          </w:p>
        </w:tc>
        <w:tc>
          <w:tcPr>
            <w:tcW w:w="993" w:type="dxa"/>
          </w:tcPr>
          <w:p w14:paraId="69BC7DED"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38.6</w:t>
            </w:r>
          </w:p>
        </w:tc>
        <w:tc>
          <w:tcPr>
            <w:tcW w:w="2042" w:type="dxa"/>
          </w:tcPr>
          <w:p w14:paraId="7F37CAC1" w14:textId="77777777" w:rsidR="00D550E9" w:rsidRPr="00D550E9" w:rsidRDefault="00D550E9" w:rsidP="00D31D39">
            <w:pPr>
              <w:jc w:val="center"/>
              <w:rPr>
                <w:rFonts w:ascii="Arial Narrow" w:hAnsi="Arial Narrow" w:cs="Tahoma"/>
                <w:sz w:val="20"/>
                <w:vertAlign w:val="superscript"/>
              </w:rPr>
            </w:pPr>
            <w:r w:rsidRPr="00D550E9">
              <w:rPr>
                <w:rFonts w:ascii="Arial Narrow" w:hAnsi="Arial Narrow" w:cs="Tahoma"/>
                <w:sz w:val="20"/>
              </w:rPr>
              <w:t>1.84 [1.10, 3.06]</w:t>
            </w:r>
            <w:r w:rsidRPr="00D550E9">
              <w:rPr>
                <w:rFonts w:ascii="Arial Narrow" w:hAnsi="Arial Narrow" w:cs="Tahoma"/>
                <w:sz w:val="20"/>
                <w:vertAlign w:val="superscript"/>
              </w:rPr>
              <w:t>a</w:t>
            </w:r>
          </w:p>
          <w:p w14:paraId="1A6A5044" w14:textId="77777777" w:rsidR="00D550E9" w:rsidRPr="00D550E9" w:rsidRDefault="00D550E9" w:rsidP="00D31D39">
            <w:pPr>
              <w:jc w:val="center"/>
              <w:rPr>
                <w:rFonts w:ascii="Arial Narrow" w:hAnsi="Arial Narrow" w:cs="Tahoma"/>
                <w:sz w:val="20"/>
                <w:vertAlign w:val="superscript"/>
              </w:rPr>
            </w:pPr>
            <w:r w:rsidRPr="00D550E9">
              <w:rPr>
                <w:rFonts w:ascii="Arial Narrow" w:hAnsi="Arial Narrow" w:cs="Tahoma"/>
                <w:sz w:val="20"/>
              </w:rPr>
              <w:t>1.81 [1.08, 3.01]</w:t>
            </w:r>
            <w:r w:rsidRPr="00D550E9">
              <w:rPr>
                <w:rFonts w:ascii="Arial Narrow" w:hAnsi="Arial Narrow" w:cs="Tahoma"/>
                <w:sz w:val="20"/>
                <w:vertAlign w:val="superscript"/>
              </w:rPr>
              <w:t>b</w:t>
            </w:r>
          </w:p>
          <w:p w14:paraId="7B9607CF" w14:textId="77777777" w:rsidR="00D550E9" w:rsidRPr="00D550E9" w:rsidRDefault="00D550E9" w:rsidP="00D31D39">
            <w:pPr>
              <w:jc w:val="center"/>
              <w:rPr>
                <w:rFonts w:ascii="Arial Narrow" w:hAnsi="Arial Narrow" w:cs="Tahoma"/>
                <w:sz w:val="20"/>
                <w:vertAlign w:val="superscript"/>
              </w:rPr>
            </w:pPr>
            <w:r w:rsidRPr="00D550E9">
              <w:rPr>
                <w:rFonts w:ascii="Arial Narrow" w:hAnsi="Arial Narrow" w:cs="Tahoma"/>
                <w:sz w:val="20"/>
              </w:rPr>
              <w:t>2.23 [1.30, 3.83]</w:t>
            </w:r>
            <w:r w:rsidRPr="00D550E9">
              <w:rPr>
                <w:rFonts w:ascii="Arial Narrow" w:hAnsi="Arial Narrow" w:cs="Tahoma"/>
                <w:sz w:val="20"/>
                <w:vertAlign w:val="superscript"/>
              </w:rPr>
              <w:t>c</w:t>
            </w:r>
          </w:p>
          <w:p w14:paraId="45B67880" w14:textId="77777777" w:rsidR="00D550E9" w:rsidRPr="00D550E9" w:rsidRDefault="00D550E9" w:rsidP="00D31D39">
            <w:pPr>
              <w:jc w:val="center"/>
              <w:rPr>
                <w:rFonts w:ascii="Arial Narrow" w:hAnsi="Arial Narrow" w:cs="Tahoma"/>
                <w:sz w:val="20"/>
                <w:vertAlign w:val="superscript"/>
              </w:rPr>
            </w:pPr>
            <w:r w:rsidRPr="00D550E9">
              <w:rPr>
                <w:rFonts w:ascii="Arial Narrow" w:hAnsi="Arial Narrow" w:cs="Tahoma"/>
                <w:sz w:val="20"/>
              </w:rPr>
              <w:t>1.70 [1.01, 2.86]</w:t>
            </w:r>
            <w:r w:rsidRPr="00D550E9">
              <w:rPr>
                <w:rFonts w:ascii="Arial Narrow" w:hAnsi="Arial Narrow" w:cs="Tahoma"/>
                <w:sz w:val="20"/>
                <w:vertAlign w:val="superscript"/>
              </w:rPr>
              <w:t>d</w:t>
            </w:r>
          </w:p>
        </w:tc>
        <w:tc>
          <w:tcPr>
            <w:tcW w:w="905" w:type="dxa"/>
          </w:tcPr>
          <w:p w14:paraId="04399A59"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0.02</w:t>
            </w:r>
          </w:p>
          <w:p w14:paraId="30E305A0"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0.02</w:t>
            </w:r>
          </w:p>
          <w:p w14:paraId="105B94EF"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0.004</w:t>
            </w:r>
          </w:p>
          <w:p w14:paraId="246D4514"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0.05</w:t>
            </w:r>
          </w:p>
        </w:tc>
      </w:tr>
      <w:tr w:rsidR="00D550E9" w:rsidRPr="00D550E9" w14:paraId="172BFF1E" w14:textId="77777777" w:rsidTr="00D550E9">
        <w:tc>
          <w:tcPr>
            <w:tcW w:w="1144" w:type="dxa"/>
            <w:tcBorders>
              <w:top w:val="nil"/>
              <w:left w:val="single" w:sz="4" w:space="0" w:color="auto"/>
              <w:bottom w:val="nil"/>
              <w:right w:val="single" w:sz="4" w:space="0" w:color="auto"/>
            </w:tcBorders>
          </w:tcPr>
          <w:p w14:paraId="0AA26109" w14:textId="77777777" w:rsidR="00D550E9" w:rsidRPr="00D550E9" w:rsidRDefault="00D550E9" w:rsidP="00D31D39">
            <w:pPr>
              <w:jc w:val="both"/>
              <w:rPr>
                <w:rFonts w:ascii="Arial Narrow" w:hAnsi="Arial Narrow" w:cs="Tahoma"/>
                <w:sz w:val="20"/>
              </w:rPr>
            </w:pPr>
          </w:p>
        </w:tc>
        <w:tc>
          <w:tcPr>
            <w:tcW w:w="2194" w:type="dxa"/>
            <w:tcBorders>
              <w:top w:val="single" w:sz="4" w:space="0" w:color="auto"/>
              <w:left w:val="single" w:sz="4" w:space="0" w:color="auto"/>
              <w:bottom w:val="single" w:sz="4" w:space="0" w:color="auto"/>
              <w:right w:val="single" w:sz="4" w:space="0" w:color="auto"/>
            </w:tcBorders>
          </w:tcPr>
          <w:p w14:paraId="12715463"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APOB (R3500Q)</w:t>
            </w:r>
          </w:p>
        </w:tc>
        <w:tc>
          <w:tcPr>
            <w:tcW w:w="632" w:type="dxa"/>
            <w:tcBorders>
              <w:left w:val="single" w:sz="4" w:space="0" w:color="auto"/>
              <w:right w:val="single" w:sz="4" w:space="0" w:color="auto"/>
            </w:tcBorders>
          </w:tcPr>
          <w:p w14:paraId="20BF23B2"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10</w:t>
            </w:r>
          </w:p>
        </w:tc>
        <w:tc>
          <w:tcPr>
            <w:tcW w:w="1128" w:type="dxa"/>
            <w:tcBorders>
              <w:left w:val="single" w:sz="4" w:space="0" w:color="auto"/>
            </w:tcBorders>
          </w:tcPr>
          <w:p w14:paraId="5FC93350"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6/4</w:t>
            </w:r>
          </w:p>
        </w:tc>
        <w:tc>
          <w:tcPr>
            <w:tcW w:w="993" w:type="dxa"/>
          </w:tcPr>
          <w:p w14:paraId="44C26120"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60</w:t>
            </w:r>
          </w:p>
        </w:tc>
        <w:tc>
          <w:tcPr>
            <w:tcW w:w="2042" w:type="dxa"/>
          </w:tcPr>
          <w:p w14:paraId="7014D307" w14:textId="77777777" w:rsidR="00D550E9" w:rsidRPr="00D550E9" w:rsidRDefault="00D550E9" w:rsidP="00D31D39">
            <w:pPr>
              <w:jc w:val="center"/>
              <w:rPr>
                <w:rFonts w:ascii="Arial Narrow" w:hAnsi="Arial Narrow" w:cs="Tahoma"/>
                <w:sz w:val="20"/>
                <w:vertAlign w:val="superscript"/>
              </w:rPr>
            </w:pPr>
            <w:r w:rsidRPr="00D550E9">
              <w:rPr>
                <w:rFonts w:ascii="Arial Narrow" w:hAnsi="Arial Narrow" w:cs="Tahoma"/>
                <w:sz w:val="20"/>
              </w:rPr>
              <w:t>3.40 [0.71, 16.36]</w:t>
            </w:r>
            <w:r w:rsidRPr="00D550E9">
              <w:rPr>
                <w:rFonts w:ascii="Arial Narrow" w:hAnsi="Arial Narrow" w:cs="Tahoma"/>
                <w:sz w:val="20"/>
                <w:vertAlign w:val="superscript"/>
              </w:rPr>
              <w:t>a</w:t>
            </w:r>
          </w:p>
          <w:p w14:paraId="69F09B8B" w14:textId="77777777" w:rsidR="00D550E9" w:rsidRPr="00D550E9" w:rsidRDefault="00D550E9" w:rsidP="00D31D39">
            <w:pPr>
              <w:jc w:val="center"/>
              <w:rPr>
                <w:rFonts w:ascii="Arial Narrow" w:hAnsi="Arial Narrow" w:cs="Tahoma"/>
                <w:sz w:val="20"/>
                <w:vertAlign w:val="superscript"/>
              </w:rPr>
            </w:pPr>
            <w:r w:rsidRPr="00D550E9">
              <w:rPr>
                <w:rFonts w:ascii="Arial Narrow" w:hAnsi="Arial Narrow" w:cs="Tahoma"/>
                <w:sz w:val="20"/>
              </w:rPr>
              <w:t>3.44 [0.71, 16.8]</w:t>
            </w:r>
            <w:r w:rsidRPr="00D550E9">
              <w:rPr>
                <w:rFonts w:ascii="Arial Narrow" w:hAnsi="Arial Narrow" w:cs="Tahoma"/>
                <w:sz w:val="20"/>
                <w:vertAlign w:val="superscript"/>
              </w:rPr>
              <w:t>b</w:t>
            </w:r>
          </w:p>
          <w:p w14:paraId="4E8C01D5"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4.06 [0.84,19.68]</w:t>
            </w:r>
            <w:r w:rsidRPr="00D550E9">
              <w:rPr>
                <w:rFonts w:ascii="Arial Narrow" w:hAnsi="Arial Narrow" w:cs="Tahoma"/>
                <w:sz w:val="20"/>
                <w:vertAlign w:val="superscript"/>
              </w:rPr>
              <w:t>c</w:t>
            </w:r>
          </w:p>
          <w:p w14:paraId="6C2F1627"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3.76 [0.76, 18.76]</w:t>
            </w:r>
            <w:r w:rsidRPr="00D550E9">
              <w:rPr>
                <w:rFonts w:ascii="Arial Narrow" w:hAnsi="Arial Narrow" w:cs="Tahoma"/>
                <w:sz w:val="20"/>
                <w:vertAlign w:val="superscript"/>
              </w:rPr>
              <w:t>d</w:t>
            </w:r>
          </w:p>
        </w:tc>
        <w:tc>
          <w:tcPr>
            <w:tcW w:w="905" w:type="dxa"/>
          </w:tcPr>
          <w:p w14:paraId="6571C4D6"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0.13</w:t>
            </w:r>
          </w:p>
          <w:p w14:paraId="58992A85"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0.13</w:t>
            </w:r>
          </w:p>
          <w:p w14:paraId="070115EC"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0.08</w:t>
            </w:r>
          </w:p>
          <w:p w14:paraId="4FB2BDE6"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0.11</w:t>
            </w:r>
          </w:p>
        </w:tc>
      </w:tr>
      <w:tr w:rsidR="00D550E9" w:rsidRPr="00D550E9" w14:paraId="488AB86B" w14:textId="77777777" w:rsidTr="00D550E9">
        <w:tc>
          <w:tcPr>
            <w:tcW w:w="1144" w:type="dxa"/>
            <w:tcBorders>
              <w:top w:val="nil"/>
              <w:left w:val="single" w:sz="4" w:space="0" w:color="auto"/>
              <w:bottom w:val="single" w:sz="12" w:space="0" w:color="auto"/>
              <w:right w:val="single" w:sz="4" w:space="0" w:color="auto"/>
            </w:tcBorders>
          </w:tcPr>
          <w:p w14:paraId="0DE6DE38" w14:textId="77777777" w:rsidR="00D550E9" w:rsidRPr="00D550E9" w:rsidRDefault="00D550E9" w:rsidP="00D31D39">
            <w:pPr>
              <w:jc w:val="both"/>
              <w:rPr>
                <w:rFonts w:ascii="Arial Narrow" w:hAnsi="Arial Narrow" w:cs="Tahoma"/>
                <w:sz w:val="20"/>
              </w:rPr>
            </w:pPr>
          </w:p>
        </w:tc>
        <w:tc>
          <w:tcPr>
            <w:tcW w:w="2194" w:type="dxa"/>
            <w:tcBorders>
              <w:top w:val="single" w:sz="4" w:space="0" w:color="auto"/>
              <w:left w:val="single" w:sz="4" w:space="0" w:color="auto"/>
              <w:bottom w:val="single" w:sz="12" w:space="0" w:color="auto"/>
              <w:right w:val="single" w:sz="4" w:space="0" w:color="auto"/>
            </w:tcBorders>
          </w:tcPr>
          <w:p w14:paraId="6CE7C649"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PCSK9 (D374Y)</w:t>
            </w:r>
          </w:p>
        </w:tc>
        <w:tc>
          <w:tcPr>
            <w:tcW w:w="632" w:type="dxa"/>
            <w:tcBorders>
              <w:left w:val="single" w:sz="4" w:space="0" w:color="auto"/>
              <w:bottom w:val="single" w:sz="12" w:space="0" w:color="auto"/>
              <w:right w:val="single" w:sz="4" w:space="0" w:color="auto"/>
            </w:tcBorders>
          </w:tcPr>
          <w:p w14:paraId="12AEC45A"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7</w:t>
            </w:r>
          </w:p>
        </w:tc>
        <w:tc>
          <w:tcPr>
            <w:tcW w:w="1128" w:type="dxa"/>
            <w:tcBorders>
              <w:left w:val="single" w:sz="4" w:space="0" w:color="auto"/>
              <w:bottom w:val="single" w:sz="12" w:space="0" w:color="auto"/>
            </w:tcBorders>
          </w:tcPr>
          <w:p w14:paraId="55AF5E7A" w14:textId="7498994D" w:rsidR="00D550E9" w:rsidRPr="00D550E9" w:rsidRDefault="00D550E9" w:rsidP="00D31D39">
            <w:pPr>
              <w:jc w:val="center"/>
              <w:rPr>
                <w:rFonts w:ascii="Arial Narrow" w:hAnsi="Arial Narrow" w:cs="Tahoma"/>
                <w:sz w:val="20"/>
              </w:rPr>
            </w:pPr>
            <w:r w:rsidRPr="00D550E9">
              <w:rPr>
                <w:rFonts w:ascii="Arial Narrow" w:hAnsi="Arial Narrow" w:cs="Tahoma"/>
                <w:sz w:val="20"/>
              </w:rPr>
              <w:t>6/1</w:t>
            </w:r>
          </w:p>
        </w:tc>
        <w:tc>
          <w:tcPr>
            <w:tcW w:w="993" w:type="dxa"/>
            <w:tcBorders>
              <w:bottom w:val="single" w:sz="12" w:space="0" w:color="auto"/>
            </w:tcBorders>
          </w:tcPr>
          <w:p w14:paraId="43C8477C"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85.7</w:t>
            </w:r>
          </w:p>
        </w:tc>
        <w:tc>
          <w:tcPr>
            <w:tcW w:w="2042" w:type="dxa"/>
            <w:tcBorders>
              <w:bottom w:val="single" w:sz="12" w:space="0" w:color="auto"/>
            </w:tcBorders>
          </w:tcPr>
          <w:p w14:paraId="756B3FBA" w14:textId="77777777" w:rsidR="00D550E9" w:rsidRPr="00D550E9" w:rsidRDefault="00D550E9" w:rsidP="00D31D39">
            <w:pPr>
              <w:jc w:val="center"/>
              <w:rPr>
                <w:rFonts w:ascii="Arial Narrow" w:hAnsi="Arial Narrow" w:cs="Tahoma"/>
                <w:sz w:val="20"/>
                <w:vertAlign w:val="superscript"/>
              </w:rPr>
            </w:pPr>
            <w:r w:rsidRPr="00D550E9">
              <w:rPr>
                <w:rFonts w:ascii="Arial Narrow" w:hAnsi="Arial Narrow" w:cs="Tahoma"/>
                <w:sz w:val="20"/>
              </w:rPr>
              <w:t>19.96 [1.88, 211.55]</w:t>
            </w:r>
            <w:r w:rsidRPr="00D550E9">
              <w:rPr>
                <w:rFonts w:ascii="Arial Narrow" w:hAnsi="Arial Narrow" w:cs="Tahoma"/>
                <w:sz w:val="20"/>
                <w:vertAlign w:val="superscript"/>
              </w:rPr>
              <w:t>a</w:t>
            </w:r>
          </w:p>
          <w:p w14:paraId="2E78C10D" w14:textId="77777777" w:rsidR="00D550E9" w:rsidRPr="00D550E9" w:rsidRDefault="00D550E9" w:rsidP="00D31D39">
            <w:pPr>
              <w:jc w:val="center"/>
              <w:rPr>
                <w:rFonts w:ascii="Arial Narrow" w:hAnsi="Arial Narrow" w:cs="Tahoma"/>
                <w:sz w:val="20"/>
                <w:vertAlign w:val="superscript"/>
              </w:rPr>
            </w:pPr>
            <w:r w:rsidRPr="00D550E9">
              <w:rPr>
                <w:rFonts w:ascii="Arial Narrow" w:hAnsi="Arial Narrow" w:cs="Tahoma"/>
                <w:sz w:val="20"/>
              </w:rPr>
              <w:t>16.22 [1.56, 168.3]</w:t>
            </w:r>
            <w:r w:rsidRPr="00D550E9">
              <w:rPr>
                <w:rFonts w:ascii="Arial Narrow" w:hAnsi="Arial Narrow" w:cs="Tahoma"/>
                <w:sz w:val="20"/>
                <w:vertAlign w:val="superscript"/>
              </w:rPr>
              <w:t>b</w:t>
            </w:r>
          </w:p>
          <w:p w14:paraId="6992DA93" w14:textId="77777777" w:rsidR="00D550E9" w:rsidRPr="00D550E9" w:rsidRDefault="00D550E9" w:rsidP="00D31D39">
            <w:pPr>
              <w:jc w:val="center"/>
              <w:rPr>
                <w:rFonts w:ascii="Arial Narrow" w:hAnsi="Arial Narrow" w:cs="Tahoma"/>
                <w:sz w:val="20"/>
                <w:vertAlign w:val="superscript"/>
              </w:rPr>
            </w:pPr>
            <w:r w:rsidRPr="00D550E9">
              <w:rPr>
                <w:rFonts w:ascii="Arial Narrow" w:hAnsi="Arial Narrow" w:cs="Tahoma"/>
                <w:sz w:val="20"/>
              </w:rPr>
              <w:t>47.73 [3.79, 601]</w:t>
            </w:r>
            <w:r w:rsidRPr="00D550E9">
              <w:rPr>
                <w:rFonts w:ascii="Arial Narrow" w:hAnsi="Arial Narrow" w:cs="Tahoma"/>
                <w:sz w:val="20"/>
                <w:vertAlign w:val="superscript"/>
              </w:rPr>
              <w:t>c</w:t>
            </w:r>
          </w:p>
          <w:p w14:paraId="41D824DA" w14:textId="77777777" w:rsidR="00D550E9" w:rsidRPr="00D550E9" w:rsidRDefault="00D550E9" w:rsidP="00D31D39">
            <w:pPr>
              <w:jc w:val="center"/>
              <w:rPr>
                <w:rFonts w:ascii="Arial Narrow" w:hAnsi="Arial Narrow" w:cs="Tahoma"/>
                <w:sz w:val="20"/>
                <w:vertAlign w:val="superscript"/>
              </w:rPr>
            </w:pPr>
            <w:r w:rsidRPr="00D550E9">
              <w:rPr>
                <w:rFonts w:ascii="Arial Narrow" w:hAnsi="Arial Narrow" w:cs="Tahoma"/>
                <w:sz w:val="20"/>
              </w:rPr>
              <w:t>14.74 [1.35, 161]</w:t>
            </w:r>
            <w:r w:rsidRPr="00D550E9">
              <w:rPr>
                <w:rFonts w:ascii="Arial Narrow" w:hAnsi="Arial Narrow" w:cs="Tahoma"/>
                <w:sz w:val="20"/>
                <w:vertAlign w:val="superscript"/>
              </w:rPr>
              <w:t>d</w:t>
            </w:r>
          </w:p>
        </w:tc>
        <w:tc>
          <w:tcPr>
            <w:tcW w:w="905" w:type="dxa"/>
            <w:tcBorders>
              <w:bottom w:val="single" w:sz="12" w:space="0" w:color="auto"/>
            </w:tcBorders>
          </w:tcPr>
          <w:p w14:paraId="1C0A84CE"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0.01</w:t>
            </w:r>
          </w:p>
          <w:p w14:paraId="5A95A2DC"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0.02</w:t>
            </w:r>
          </w:p>
          <w:p w14:paraId="3995AB76"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0.003</w:t>
            </w:r>
          </w:p>
          <w:p w14:paraId="3DDFAA08"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0.03</w:t>
            </w:r>
          </w:p>
        </w:tc>
      </w:tr>
      <w:tr w:rsidR="00D550E9" w:rsidRPr="00D550E9" w14:paraId="510B72CB" w14:textId="77777777" w:rsidTr="00D550E9">
        <w:tc>
          <w:tcPr>
            <w:tcW w:w="1144" w:type="dxa"/>
            <w:vMerge w:val="restart"/>
            <w:tcBorders>
              <w:top w:val="single" w:sz="12" w:space="0" w:color="auto"/>
              <w:left w:val="single" w:sz="8" w:space="0" w:color="auto"/>
              <w:right w:val="single" w:sz="8" w:space="0" w:color="auto"/>
            </w:tcBorders>
          </w:tcPr>
          <w:p w14:paraId="0CD1AD9A"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Khera et al. (2016)</w:t>
            </w:r>
            <w:r w:rsidRPr="00D550E9">
              <w:rPr>
                <w:rFonts w:ascii="Arial Narrow" w:hAnsi="Arial Narrow" w:cs="Tahoma"/>
                <w:sz w:val="20"/>
                <w:vertAlign w:val="superscript"/>
              </w:rPr>
              <w:t xml:space="preserve"> e</w:t>
            </w:r>
          </w:p>
        </w:tc>
        <w:tc>
          <w:tcPr>
            <w:tcW w:w="2194" w:type="dxa"/>
            <w:tcBorders>
              <w:top w:val="single" w:sz="12" w:space="0" w:color="auto"/>
              <w:left w:val="single" w:sz="8" w:space="0" w:color="auto"/>
              <w:bottom w:val="single" w:sz="8" w:space="0" w:color="auto"/>
              <w:right w:val="single" w:sz="4" w:space="0" w:color="auto"/>
            </w:tcBorders>
          </w:tcPr>
          <w:p w14:paraId="62FDA06B"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No mutation</w:t>
            </w:r>
          </w:p>
        </w:tc>
        <w:tc>
          <w:tcPr>
            <w:tcW w:w="632" w:type="dxa"/>
            <w:tcBorders>
              <w:top w:val="single" w:sz="12" w:space="0" w:color="auto"/>
              <w:left w:val="single" w:sz="4" w:space="0" w:color="auto"/>
              <w:bottom w:val="single" w:sz="8" w:space="0" w:color="auto"/>
              <w:right w:val="single" w:sz="4" w:space="0" w:color="auto"/>
            </w:tcBorders>
          </w:tcPr>
          <w:p w14:paraId="370020E8"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w:t>
            </w:r>
          </w:p>
        </w:tc>
        <w:tc>
          <w:tcPr>
            <w:tcW w:w="1128" w:type="dxa"/>
            <w:tcBorders>
              <w:top w:val="single" w:sz="12" w:space="0" w:color="auto"/>
              <w:left w:val="single" w:sz="4" w:space="0" w:color="auto"/>
              <w:bottom w:val="single" w:sz="8" w:space="0" w:color="auto"/>
            </w:tcBorders>
          </w:tcPr>
          <w:p w14:paraId="1AFB3DAC"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top w:val="single" w:sz="12" w:space="0" w:color="auto"/>
              <w:bottom w:val="single" w:sz="8" w:space="0" w:color="auto"/>
            </w:tcBorders>
          </w:tcPr>
          <w:p w14:paraId="3379BDB6"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top w:val="single" w:sz="12" w:space="0" w:color="auto"/>
              <w:bottom w:val="single" w:sz="8" w:space="0" w:color="auto"/>
            </w:tcBorders>
          </w:tcPr>
          <w:p w14:paraId="606FBADE"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 (reference)</w:t>
            </w:r>
          </w:p>
        </w:tc>
        <w:tc>
          <w:tcPr>
            <w:tcW w:w="905" w:type="dxa"/>
            <w:tcBorders>
              <w:top w:val="single" w:sz="12" w:space="0" w:color="auto"/>
              <w:bottom w:val="single" w:sz="8" w:space="0" w:color="auto"/>
            </w:tcBorders>
          </w:tcPr>
          <w:p w14:paraId="3960C8FD"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w:t>
            </w:r>
          </w:p>
        </w:tc>
      </w:tr>
      <w:tr w:rsidR="00D550E9" w:rsidRPr="00D550E9" w14:paraId="30FFE92C" w14:textId="77777777" w:rsidTr="00D550E9">
        <w:tc>
          <w:tcPr>
            <w:tcW w:w="1144" w:type="dxa"/>
            <w:vMerge/>
            <w:tcBorders>
              <w:left w:val="single" w:sz="8" w:space="0" w:color="auto"/>
              <w:right w:val="single" w:sz="8" w:space="0" w:color="auto"/>
            </w:tcBorders>
          </w:tcPr>
          <w:p w14:paraId="3F3FAA44" w14:textId="77777777" w:rsidR="00D550E9" w:rsidRPr="00D550E9" w:rsidRDefault="00D550E9" w:rsidP="00D31D39">
            <w:pPr>
              <w:jc w:val="both"/>
              <w:rPr>
                <w:rFonts w:ascii="Arial Narrow" w:hAnsi="Arial Narrow" w:cs="Tahoma"/>
                <w:sz w:val="20"/>
              </w:rPr>
            </w:pPr>
          </w:p>
        </w:tc>
        <w:tc>
          <w:tcPr>
            <w:tcW w:w="2194" w:type="dxa"/>
            <w:tcBorders>
              <w:top w:val="single" w:sz="4" w:space="0" w:color="auto"/>
              <w:left w:val="single" w:sz="8" w:space="0" w:color="auto"/>
              <w:bottom w:val="single" w:sz="8" w:space="0" w:color="auto"/>
              <w:right w:val="single" w:sz="4" w:space="0" w:color="auto"/>
            </w:tcBorders>
          </w:tcPr>
          <w:p w14:paraId="0873C85A"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Any FH mutation</w:t>
            </w:r>
          </w:p>
        </w:tc>
        <w:tc>
          <w:tcPr>
            <w:tcW w:w="632" w:type="dxa"/>
            <w:tcBorders>
              <w:left w:val="single" w:sz="4" w:space="0" w:color="auto"/>
              <w:bottom w:val="single" w:sz="8" w:space="0" w:color="auto"/>
              <w:right w:val="single" w:sz="4" w:space="0" w:color="auto"/>
            </w:tcBorders>
          </w:tcPr>
          <w:p w14:paraId="5CD9C969"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164</w:t>
            </w:r>
          </w:p>
        </w:tc>
        <w:tc>
          <w:tcPr>
            <w:tcW w:w="1128" w:type="dxa"/>
            <w:tcBorders>
              <w:left w:val="single" w:sz="4" w:space="0" w:color="auto"/>
              <w:bottom w:val="single" w:sz="8" w:space="0" w:color="auto"/>
            </w:tcBorders>
          </w:tcPr>
          <w:p w14:paraId="2A109B23"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bottom w:val="single" w:sz="8" w:space="0" w:color="auto"/>
            </w:tcBorders>
          </w:tcPr>
          <w:p w14:paraId="5A1C46F5"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bottom w:val="single" w:sz="8" w:space="0" w:color="auto"/>
            </w:tcBorders>
          </w:tcPr>
          <w:p w14:paraId="09DB1C85"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3.8 [2.6, 5.4]</w:t>
            </w:r>
          </w:p>
        </w:tc>
        <w:tc>
          <w:tcPr>
            <w:tcW w:w="905" w:type="dxa"/>
            <w:tcBorders>
              <w:bottom w:val="single" w:sz="8" w:space="0" w:color="auto"/>
            </w:tcBorders>
          </w:tcPr>
          <w:p w14:paraId="35E1C2EE"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r>
      <w:tr w:rsidR="00D550E9" w:rsidRPr="00D550E9" w14:paraId="230A87DD" w14:textId="77777777" w:rsidTr="00D550E9">
        <w:tc>
          <w:tcPr>
            <w:tcW w:w="1144" w:type="dxa"/>
            <w:vMerge/>
            <w:tcBorders>
              <w:left w:val="single" w:sz="8" w:space="0" w:color="auto"/>
              <w:right w:val="single" w:sz="8" w:space="0" w:color="auto"/>
            </w:tcBorders>
          </w:tcPr>
          <w:p w14:paraId="64A1061D" w14:textId="77777777" w:rsidR="00D550E9" w:rsidRPr="00D550E9" w:rsidRDefault="00D550E9" w:rsidP="00D31D39">
            <w:pPr>
              <w:jc w:val="both"/>
              <w:rPr>
                <w:rFonts w:ascii="Arial Narrow" w:hAnsi="Arial Narrow" w:cs="Tahoma"/>
                <w:sz w:val="20"/>
              </w:rPr>
            </w:pPr>
          </w:p>
        </w:tc>
        <w:tc>
          <w:tcPr>
            <w:tcW w:w="2194" w:type="dxa"/>
            <w:tcBorders>
              <w:top w:val="single" w:sz="8" w:space="0" w:color="auto"/>
              <w:left w:val="single" w:sz="8" w:space="0" w:color="auto"/>
              <w:bottom w:val="single" w:sz="8" w:space="0" w:color="auto"/>
              <w:right w:val="single" w:sz="8" w:space="0" w:color="auto"/>
            </w:tcBorders>
            <w:shd w:val="clear" w:color="auto" w:fill="auto"/>
          </w:tcPr>
          <w:p w14:paraId="10746B2B"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 xml:space="preserve">Loss of function </w:t>
            </w:r>
          </w:p>
        </w:tc>
        <w:tc>
          <w:tcPr>
            <w:tcW w:w="632" w:type="dxa"/>
            <w:tcBorders>
              <w:top w:val="single" w:sz="8" w:space="0" w:color="auto"/>
              <w:left w:val="single" w:sz="8" w:space="0" w:color="auto"/>
              <w:bottom w:val="single" w:sz="8" w:space="0" w:color="auto"/>
              <w:right w:val="single" w:sz="8" w:space="0" w:color="auto"/>
            </w:tcBorders>
          </w:tcPr>
          <w:p w14:paraId="5D4001EC"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31</w:t>
            </w:r>
          </w:p>
        </w:tc>
        <w:tc>
          <w:tcPr>
            <w:tcW w:w="1128" w:type="dxa"/>
            <w:tcBorders>
              <w:top w:val="single" w:sz="8" w:space="0" w:color="auto"/>
              <w:left w:val="single" w:sz="8" w:space="0" w:color="auto"/>
              <w:bottom w:val="single" w:sz="8" w:space="0" w:color="auto"/>
              <w:right w:val="single" w:sz="8" w:space="0" w:color="auto"/>
            </w:tcBorders>
          </w:tcPr>
          <w:p w14:paraId="7B96A880"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top w:val="single" w:sz="8" w:space="0" w:color="auto"/>
              <w:left w:val="single" w:sz="8" w:space="0" w:color="auto"/>
              <w:bottom w:val="single" w:sz="8" w:space="0" w:color="auto"/>
              <w:right w:val="single" w:sz="8" w:space="0" w:color="auto"/>
            </w:tcBorders>
          </w:tcPr>
          <w:p w14:paraId="5DCB3AAC"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top w:val="single" w:sz="8" w:space="0" w:color="auto"/>
              <w:left w:val="single" w:sz="8" w:space="0" w:color="auto"/>
              <w:bottom w:val="single" w:sz="8" w:space="0" w:color="auto"/>
              <w:right w:val="single" w:sz="8" w:space="0" w:color="auto"/>
            </w:tcBorders>
          </w:tcPr>
          <w:p w14:paraId="5896C235" w14:textId="77777777" w:rsidR="00D550E9" w:rsidRPr="00D550E9" w:rsidRDefault="00D550E9" w:rsidP="00D31D39">
            <w:pPr>
              <w:jc w:val="center"/>
              <w:rPr>
                <w:rFonts w:ascii="Arial Narrow" w:hAnsi="Arial Narrow" w:cs="Tahoma"/>
                <w:sz w:val="20"/>
                <w:vertAlign w:val="superscript"/>
              </w:rPr>
            </w:pPr>
            <w:r w:rsidRPr="00D550E9">
              <w:rPr>
                <w:rFonts w:ascii="Arial Narrow" w:hAnsi="Arial Narrow" w:cs="Tahoma"/>
                <w:sz w:val="20"/>
              </w:rPr>
              <w:t>9.5 [3.6, 33]</w:t>
            </w:r>
          </w:p>
        </w:tc>
        <w:tc>
          <w:tcPr>
            <w:tcW w:w="905" w:type="dxa"/>
            <w:tcBorders>
              <w:top w:val="single" w:sz="8" w:space="0" w:color="auto"/>
              <w:left w:val="single" w:sz="8" w:space="0" w:color="auto"/>
              <w:bottom w:val="single" w:sz="8" w:space="0" w:color="auto"/>
              <w:right w:val="single" w:sz="8" w:space="0" w:color="auto"/>
            </w:tcBorders>
          </w:tcPr>
          <w:p w14:paraId="2AA55069"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r>
      <w:tr w:rsidR="00D550E9" w:rsidRPr="00D550E9" w14:paraId="6A84ED2E" w14:textId="77777777" w:rsidTr="00D550E9">
        <w:tc>
          <w:tcPr>
            <w:tcW w:w="1144" w:type="dxa"/>
            <w:vMerge/>
            <w:tcBorders>
              <w:left w:val="single" w:sz="8" w:space="0" w:color="auto"/>
              <w:bottom w:val="nil"/>
              <w:right w:val="single" w:sz="8" w:space="0" w:color="auto"/>
            </w:tcBorders>
          </w:tcPr>
          <w:p w14:paraId="660AFA35" w14:textId="77777777" w:rsidR="00D550E9" w:rsidRPr="00D550E9" w:rsidRDefault="00D550E9" w:rsidP="00D31D39">
            <w:pPr>
              <w:jc w:val="both"/>
              <w:rPr>
                <w:rFonts w:ascii="Arial Narrow" w:hAnsi="Arial Narrow" w:cs="Tahoma"/>
                <w:sz w:val="20"/>
              </w:rPr>
            </w:pPr>
          </w:p>
        </w:tc>
        <w:tc>
          <w:tcPr>
            <w:tcW w:w="2194" w:type="dxa"/>
            <w:tcBorders>
              <w:top w:val="single" w:sz="8" w:space="0" w:color="auto"/>
              <w:left w:val="single" w:sz="8" w:space="0" w:color="auto"/>
              <w:bottom w:val="single" w:sz="4" w:space="0" w:color="auto"/>
              <w:right w:val="single" w:sz="8" w:space="0" w:color="auto"/>
            </w:tcBorders>
            <w:shd w:val="clear" w:color="auto" w:fill="auto"/>
          </w:tcPr>
          <w:p w14:paraId="4E2DA3B0"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 xml:space="preserve">Predicted Damaging Missense </w:t>
            </w:r>
          </w:p>
        </w:tc>
        <w:tc>
          <w:tcPr>
            <w:tcW w:w="632" w:type="dxa"/>
            <w:tcBorders>
              <w:top w:val="single" w:sz="8" w:space="0" w:color="auto"/>
              <w:left w:val="single" w:sz="8" w:space="0" w:color="auto"/>
              <w:bottom w:val="single" w:sz="8" w:space="0" w:color="auto"/>
              <w:right w:val="single" w:sz="8" w:space="0" w:color="auto"/>
            </w:tcBorders>
          </w:tcPr>
          <w:p w14:paraId="47ED6802"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100</w:t>
            </w:r>
          </w:p>
        </w:tc>
        <w:tc>
          <w:tcPr>
            <w:tcW w:w="1128" w:type="dxa"/>
            <w:tcBorders>
              <w:top w:val="single" w:sz="8" w:space="0" w:color="auto"/>
              <w:left w:val="single" w:sz="8" w:space="0" w:color="auto"/>
              <w:bottom w:val="single" w:sz="8" w:space="0" w:color="auto"/>
              <w:right w:val="single" w:sz="8" w:space="0" w:color="auto"/>
            </w:tcBorders>
          </w:tcPr>
          <w:p w14:paraId="79BC0318"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top w:val="single" w:sz="8" w:space="0" w:color="auto"/>
              <w:left w:val="single" w:sz="8" w:space="0" w:color="auto"/>
              <w:bottom w:val="single" w:sz="8" w:space="0" w:color="auto"/>
              <w:right w:val="single" w:sz="8" w:space="0" w:color="auto"/>
            </w:tcBorders>
          </w:tcPr>
          <w:p w14:paraId="3CCF9EEA"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top w:val="single" w:sz="8" w:space="0" w:color="auto"/>
              <w:left w:val="single" w:sz="8" w:space="0" w:color="auto"/>
              <w:bottom w:val="single" w:sz="8" w:space="0" w:color="auto"/>
              <w:right w:val="single" w:sz="8" w:space="0" w:color="auto"/>
            </w:tcBorders>
          </w:tcPr>
          <w:p w14:paraId="04103FC4"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3.5 [2.3, 5.7]</w:t>
            </w:r>
          </w:p>
        </w:tc>
        <w:tc>
          <w:tcPr>
            <w:tcW w:w="905" w:type="dxa"/>
            <w:tcBorders>
              <w:top w:val="single" w:sz="8" w:space="0" w:color="auto"/>
              <w:left w:val="single" w:sz="8" w:space="0" w:color="auto"/>
              <w:bottom w:val="single" w:sz="8" w:space="0" w:color="auto"/>
              <w:right w:val="single" w:sz="8" w:space="0" w:color="auto"/>
            </w:tcBorders>
          </w:tcPr>
          <w:p w14:paraId="7E6B03FD"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r>
      <w:tr w:rsidR="00D550E9" w:rsidRPr="00D550E9" w14:paraId="0BDFADBC" w14:textId="77777777" w:rsidTr="00D550E9">
        <w:tc>
          <w:tcPr>
            <w:tcW w:w="1144" w:type="dxa"/>
            <w:tcBorders>
              <w:top w:val="nil"/>
              <w:left w:val="single" w:sz="8" w:space="0" w:color="auto"/>
              <w:bottom w:val="nil"/>
              <w:right w:val="single" w:sz="8" w:space="0" w:color="auto"/>
            </w:tcBorders>
          </w:tcPr>
          <w:p w14:paraId="088BE9B0" w14:textId="77777777" w:rsidR="00D550E9" w:rsidRPr="00D550E9" w:rsidRDefault="00D550E9" w:rsidP="00D31D39">
            <w:pPr>
              <w:jc w:val="both"/>
              <w:rPr>
                <w:rFonts w:ascii="Arial Narrow" w:hAnsi="Arial Narrow" w:cs="Tahoma"/>
                <w:sz w:val="20"/>
              </w:rPr>
            </w:pPr>
          </w:p>
        </w:tc>
        <w:tc>
          <w:tcPr>
            <w:tcW w:w="2194" w:type="dxa"/>
            <w:tcBorders>
              <w:top w:val="single" w:sz="4" w:space="0" w:color="auto"/>
              <w:left w:val="single" w:sz="8" w:space="0" w:color="auto"/>
              <w:bottom w:val="single" w:sz="4" w:space="0" w:color="auto"/>
              <w:right w:val="single" w:sz="8" w:space="0" w:color="auto"/>
            </w:tcBorders>
            <w:shd w:val="clear" w:color="auto" w:fill="auto"/>
          </w:tcPr>
          <w:p w14:paraId="7A90AE98"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ClinVar Pathogenic</w:t>
            </w:r>
          </w:p>
        </w:tc>
        <w:tc>
          <w:tcPr>
            <w:tcW w:w="632" w:type="dxa"/>
            <w:tcBorders>
              <w:top w:val="single" w:sz="8" w:space="0" w:color="auto"/>
              <w:left w:val="single" w:sz="8" w:space="0" w:color="auto"/>
              <w:bottom w:val="single" w:sz="8" w:space="0" w:color="auto"/>
              <w:right w:val="single" w:sz="8" w:space="0" w:color="auto"/>
            </w:tcBorders>
          </w:tcPr>
          <w:p w14:paraId="1B86FD20"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45</w:t>
            </w:r>
          </w:p>
        </w:tc>
        <w:tc>
          <w:tcPr>
            <w:tcW w:w="1128" w:type="dxa"/>
            <w:tcBorders>
              <w:top w:val="single" w:sz="8" w:space="0" w:color="auto"/>
              <w:left w:val="single" w:sz="8" w:space="0" w:color="auto"/>
              <w:bottom w:val="single" w:sz="8" w:space="0" w:color="auto"/>
              <w:right w:val="single" w:sz="8" w:space="0" w:color="auto"/>
            </w:tcBorders>
          </w:tcPr>
          <w:p w14:paraId="24A96A80"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top w:val="single" w:sz="8" w:space="0" w:color="auto"/>
              <w:left w:val="single" w:sz="8" w:space="0" w:color="auto"/>
              <w:bottom w:val="single" w:sz="8" w:space="0" w:color="auto"/>
              <w:right w:val="single" w:sz="8" w:space="0" w:color="auto"/>
            </w:tcBorders>
          </w:tcPr>
          <w:p w14:paraId="12677AFB"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top w:val="single" w:sz="8" w:space="0" w:color="auto"/>
              <w:left w:val="single" w:sz="8" w:space="0" w:color="auto"/>
              <w:bottom w:val="single" w:sz="8" w:space="0" w:color="auto"/>
              <w:right w:val="single" w:sz="8" w:space="0" w:color="auto"/>
            </w:tcBorders>
          </w:tcPr>
          <w:p w14:paraId="26E5B7CA"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3.4 [1.8, 6.9]</w:t>
            </w:r>
          </w:p>
        </w:tc>
        <w:tc>
          <w:tcPr>
            <w:tcW w:w="905" w:type="dxa"/>
            <w:tcBorders>
              <w:top w:val="single" w:sz="8" w:space="0" w:color="auto"/>
              <w:left w:val="single" w:sz="8" w:space="0" w:color="auto"/>
              <w:bottom w:val="single" w:sz="8" w:space="0" w:color="auto"/>
              <w:right w:val="single" w:sz="8" w:space="0" w:color="auto"/>
            </w:tcBorders>
          </w:tcPr>
          <w:p w14:paraId="55C89A98"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r>
      <w:tr w:rsidR="00D550E9" w:rsidRPr="00D550E9" w14:paraId="5C2458D4" w14:textId="77777777" w:rsidTr="00D550E9">
        <w:tc>
          <w:tcPr>
            <w:tcW w:w="1144" w:type="dxa"/>
            <w:tcBorders>
              <w:top w:val="nil"/>
              <w:left w:val="single" w:sz="8" w:space="0" w:color="auto"/>
              <w:bottom w:val="nil"/>
              <w:right w:val="single" w:sz="8" w:space="0" w:color="auto"/>
            </w:tcBorders>
          </w:tcPr>
          <w:p w14:paraId="1F18CA15" w14:textId="77777777" w:rsidR="00D550E9" w:rsidRPr="00D550E9" w:rsidRDefault="00D550E9" w:rsidP="00D31D39">
            <w:pPr>
              <w:jc w:val="both"/>
              <w:rPr>
                <w:rFonts w:ascii="Arial Narrow" w:hAnsi="Arial Narrow" w:cs="Tahoma"/>
                <w:sz w:val="20"/>
              </w:rPr>
            </w:pPr>
          </w:p>
        </w:tc>
        <w:tc>
          <w:tcPr>
            <w:tcW w:w="2194" w:type="dxa"/>
            <w:tcBorders>
              <w:top w:val="single" w:sz="4" w:space="0" w:color="auto"/>
              <w:left w:val="single" w:sz="8" w:space="0" w:color="auto"/>
              <w:bottom w:val="single" w:sz="4" w:space="0" w:color="auto"/>
              <w:right w:val="single" w:sz="8" w:space="0" w:color="auto"/>
            </w:tcBorders>
          </w:tcPr>
          <w:p w14:paraId="150D57BB"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 xml:space="preserve">Any rare missense </w:t>
            </w:r>
          </w:p>
        </w:tc>
        <w:tc>
          <w:tcPr>
            <w:tcW w:w="632" w:type="dxa"/>
            <w:tcBorders>
              <w:top w:val="single" w:sz="8" w:space="0" w:color="auto"/>
              <w:left w:val="single" w:sz="8" w:space="0" w:color="auto"/>
              <w:bottom w:val="single" w:sz="8" w:space="0" w:color="auto"/>
              <w:right w:val="single" w:sz="8" w:space="0" w:color="auto"/>
            </w:tcBorders>
          </w:tcPr>
          <w:p w14:paraId="3BEB5B14"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2289</w:t>
            </w:r>
          </w:p>
        </w:tc>
        <w:tc>
          <w:tcPr>
            <w:tcW w:w="1128" w:type="dxa"/>
            <w:tcBorders>
              <w:top w:val="single" w:sz="8" w:space="0" w:color="auto"/>
              <w:left w:val="single" w:sz="8" w:space="0" w:color="auto"/>
              <w:bottom w:val="single" w:sz="8" w:space="0" w:color="auto"/>
              <w:right w:val="single" w:sz="8" w:space="0" w:color="auto"/>
            </w:tcBorders>
          </w:tcPr>
          <w:p w14:paraId="4F11E64E"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top w:val="single" w:sz="8" w:space="0" w:color="auto"/>
              <w:left w:val="single" w:sz="8" w:space="0" w:color="auto"/>
              <w:bottom w:val="single" w:sz="8" w:space="0" w:color="auto"/>
              <w:right w:val="single" w:sz="8" w:space="0" w:color="auto"/>
            </w:tcBorders>
          </w:tcPr>
          <w:p w14:paraId="7CBD2895"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top w:val="single" w:sz="8" w:space="0" w:color="auto"/>
              <w:left w:val="single" w:sz="8" w:space="0" w:color="auto"/>
              <w:bottom w:val="single" w:sz="8" w:space="0" w:color="auto"/>
              <w:right w:val="single" w:sz="8" w:space="0" w:color="auto"/>
            </w:tcBorders>
          </w:tcPr>
          <w:p w14:paraId="7FCACBB2"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1.19 [1.08, 1.32]</w:t>
            </w:r>
          </w:p>
        </w:tc>
        <w:tc>
          <w:tcPr>
            <w:tcW w:w="905" w:type="dxa"/>
            <w:tcBorders>
              <w:top w:val="single" w:sz="8" w:space="0" w:color="auto"/>
              <w:left w:val="single" w:sz="8" w:space="0" w:color="auto"/>
              <w:bottom w:val="single" w:sz="8" w:space="0" w:color="auto"/>
              <w:right w:val="single" w:sz="8" w:space="0" w:color="auto"/>
            </w:tcBorders>
          </w:tcPr>
          <w:p w14:paraId="21F55757"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r>
      <w:tr w:rsidR="00D550E9" w:rsidRPr="00D550E9" w14:paraId="782CF5E2" w14:textId="77777777" w:rsidTr="00D550E9">
        <w:tc>
          <w:tcPr>
            <w:tcW w:w="1144" w:type="dxa"/>
            <w:tcBorders>
              <w:top w:val="nil"/>
              <w:left w:val="single" w:sz="8" w:space="0" w:color="auto"/>
              <w:bottom w:val="single" w:sz="12" w:space="0" w:color="auto"/>
              <w:right w:val="single" w:sz="8" w:space="0" w:color="auto"/>
            </w:tcBorders>
          </w:tcPr>
          <w:p w14:paraId="7970AE01" w14:textId="77777777" w:rsidR="00D550E9" w:rsidRPr="00D550E9" w:rsidRDefault="00D550E9" w:rsidP="00D31D39">
            <w:pPr>
              <w:jc w:val="both"/>
              <w:rPr>
                <w:rFonts w:ascii="Arial Narrow" w:hAnsi="Arial Narrow" w:cs="Tahoma"/>
                <w:sz w:val="20"/>
              </w:rPr>
            </w:pPr>
          </w:p>
        </w:tc>
        <w:tc>
          <w:tcPr>
            <w:tcW w:w="2194" w:type="dxa"/>
            <w:tcBorders>
              <w:top w:val="single" w:sz="4" w:space="0" w:color="auto"/>
              <w:left w:val="single" w:sz="8" w:space="0" w:color="auto"/>
              <w:bottom w:val="single" w:sz="12" w:space="0" w:color="auto"/>
              <w:right w:val="single" w:sz="8" w:space="0" w:color="auto"/>
            </w:tcBorders>
          </w:tcPr>
          <w:p w14:paraId="72D05944"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 xml:space="preserve">Any rare synonymous </w:t>
            </w:r>
          </w:p>
        </w:tc>
        <w:tc>
          <w:tcPr>
            <w:tcW w:w="632" w:type="dxa"/>
            <w:tcBorders>
              <w:top w:val="single" w:sz="8" w:space="0" w:color="auto"/>
              <w:left w:val="single" w:sz="8" w:space="0" w:color="auto"/>
              <w:bottom w:val="single" w:sz="12" w:space="0" w:color="auto"/>
              <w:right w:val="single" w:sz="8" w:space="0" w:color="auto"/>
            </w:tcBorders>
          </w:tcPr>
          <w:p w14:paraId="3DFD7E1D"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1965</w:t>
            </w:r>
          </w:p>
        </w:tc>
        <w:tc>
          <w:tcPr>
            <w:tcW w:w="1128" w:type="dxa"/>
            <w:tcBorders>
              <w:top w:val="single" w:sz="8" w:space="0" w:color="auto"/>
              <w:left w:val="single" w:sz="8" w:space="0" w:color="auto"/>
              <w:bottom w:val="single" w:sz="12" w:space="0" w:color="auto"/>
              <w:right w:val="single" w:sz="8" w:space="0" w:color="auto"/>
            </w:tcBorders>
          </w:tcPr>
          <w:p w14:paraId="40DBF47A"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top w:val="single" w:sz="8" w:space="0" w:color="auto"/>
              <w:left w:val="single" w:sz="8" w:space="0" w:color="auto"/>
              <w:bottom w:val="single" w:sz="12" w:space="0" w:color="auto"/>
              <w:right w:val="single" w:sz="8" w:space="0" w:color="auto"/>
            </w:tcBorders>
          </w:tcPr>
          <w:p w14:paraId="513ED345"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top w:val="single" w:sz="8" w:space="0" w:color="auto"/>
              <w:left w:val="single" w:sz="8" w:space="0" w:color="auto"/>
              <w:bottom w:val="single" w:sz="12" w:space="0" w:color="auto"/>
              <w:right w:val="single" w:sz="8" w:space="0" w:color="auto"/>
            </w:tcBorders>
          </w:tcPr>
          <w:p w14:paraId="723BEDEE"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0.93 [0.84, 1.03]</w:t>
            </w:r>
          </w:p>
        </w:tc>
        <w:tc>
          <w:tcPr>
            <w:tcW w:w="905" w:type="dxa"/>
            <w:tcBorders>
              <w:top w:val="single" w:sz="8" w:space="0" w:color="auto"/>
              <w:left w:val="single" w:sz="8" w:space="0" w:color="auto"/>
              <w:bottom w:val="single" w:sz="12" w:space="0" w:color="auto"/>
              <w:right w:val="single" w:sz="8" w:space="0" w:color="auto"/>
            </w:tcBorders>
          </w:tcPr>
          <w:p w14:paraId="0023CAEF"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r>
      <w:tr w:rsidR="00D550E9" w:rsidRPr="00D550E9" w14:paraId="2BCEA95D" w14:textId="77777777" w:rsidTr="00D550E9">
        <w:tc>
          <w:tcPr>
            <w:tcW w:w="1144" w:type="dxa"/>
            <w:vMerge w:val="restart"/>
            <w:tcBorders>
              <w:top w:val="single" w:sz="12" w:space="0" w:color="auto"/>
              <w:left w:val="single" w:sz="4" w:space="0" w:color="auto"/>
              <w:right w:val="single" w:sz="4" w:space="0" w:color="auto"/>
            </w:tcBorders>
          </w:tcPr>
          <w:p w14:paraId="6FE1CEBE" w14:textId="77777777" w:rsidR="00D550E9" w:rsidRPr="00D550E9" w:rsidRDefault="00D550E9" w:rsidP="00D31D39">
            <w:pPr>
              <w:jc w:val="both"/>
              <w:rPr>
                <w:rFonts w:ascii="Arial Narrow" w:hAnsi="Arial Narrow" w:cs="Tahoma"/>
                <w:sz w:val="20"/>
                <w:vertAlign w:val="superscript"/>
              </w:rPr>
            </w:pPr>
            <w:r w:rsidRPr="00D550E9">
              <w:rPr>
                <w:rFonts w:ascii="Arial Narrow" w:hAnsi="Arial Narrow" w:cs="Tahoma"/>
                <w:sz w:val="20"/>
              </w:rPr>
              <w:t>Seguro et al. (2018)</w:t>
            </w:r>
            <w:r w:rsidRPr="00D550E9">
              <w:rPr>
                <w:rFonts w:ascii="Arial Narrow" w:hAnsi="Arial Narrow" w:cs="Tahoma"/>
                <w:sz w:val="20"/>
                <w:vertAlign w:val="superscript"/>
              </w:rPr>
              <w:t>f</w:t>
            </w:r>
          </w:p>
        </w:tc>
        <w:tc>
          <w:tcPr>
            <w:tcW w:w="2194" w:type="dxa"/>
            <w:tcBorders>
              <w:top w:val="single" w:sz="12" w:space="0" w:color="auto"/>
              <w:left w:val="single" w:sz="4" w:space="0" w:color="auto"/>
              <w:bottom w:val="single" w:sz="4" w:space="0" w:color="auto"/>
              <w:right w:val="single" w:sz="4" w:space="0" w:color="auto"/>
            </w:tcBorders>
          </w:tcPr>
          <w:p w14:paraId="44C54FFA"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No pathogenic mutation identified (Mutation negative FH)</w:t>
            </w:r>
          </w:p>
        </w:tc>
        <w:tc>
          <w:tcPr>
            <w:tcW w:w="632" w:type="dxa"/>
            <w:tcBorders>
              <w:top w:val="single" w:sz="12" w:space="0" w:color="auto"/>
              <w:left w:val="single" w:sz="4" w:space="0" w:color="auto"/>
              <w:bottom w:val="single" w:sz="4" w:space="0" w:color="auto"/>
              <w:right w:val="single" w:sz="4" w:space="0" w:color="auto"/>
            </w:tcBorders>
          </w:tcPr>
          <w:p w14:paraId="6099F486"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147</w:t>
            </w:r>
          </w:p>
        </w:tc>
        <w:tc>
          <w:tcPr>
            <w:tcW w:w="1128" w:type="dxa"/>
            <w:tcBorders>
              <w:top w:val="single" w:sz="12" w:space="0" w:color="auto"/>
              <w:left w:val="single" w:sz="4" w:space="0" w:color="auto"/>
              <w:bottom w:val="single" w:sz="4" w:space="0" w:color="auto"/>
              <w:right w:val="single" w:sz="4" w:space="0" w:color="auto"/>
            </w:tcBorders>
          </w:tcPr>
          <w:p w14:paraId="0D469632"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top w:val="single" w:sz="12" w:space="0" w:color="auto"/>
              <w:left w:val="single" w:sz="4" w:space="0" w:color="auto"/>
              <w:bottom w:val="single" w:sz="4" w:space="0" w:color="auto"/>
              <w:right w:val="single" w:sz="4" w:space="0" w:color="auto"/>
            </w:tcBorders>
          </w:tcPr>
          <w:p w14:paraId="67FCA3A6"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top w:val="single" w:sz="12" w:space="0" w:color="auto"/>
              <w:left w:val="single" w:sz="4" w:space="0" w:color="auto"/>
              <w:bottom w:val="single" w:sz="4" w:space="0" w:color="auto"/>
              <w:right w:val="single" w:sz="4" w:space="0" w:color="auto"/>
            </w:tcBorders>
          </w:tcPr>
          <w:p w14:paraId="621F0CF1"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 (reference)</w:t>
            </w:r>
          </w:p>
        </w:tc>
        <w:tc>
          <w:tcPr>
            <w:tcW w:w="905" w:type="dxa"/>
            <w:tcBorders>
              <w:top w:val="single" w:sz="12" w:space="0" w:color="auto"/>
              <w:left w:val="single" w:sz="4" w:space="0" w:color="auto"/>
              <w:bottom w:val="single" w:sz="4" w:space="0" w:color="auto"/>
              <w:right w:val="single" w:sz="4" w:space="0" w:color="auto"/>
            </w:tcBorders>
          </w:tcPr>
          <w:p w14:paraId="5C405A22"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w:t>
            </w:r>
          </w:p>
        </w:tc>
      </w:tr>
      <w:tr w:rsidR="00D550E9" w:rsidRPr="00D550E9" w14:paraId="713D26A8" w14:textId="77777777" w:rsidTr="00D550E9">
        <w:trPr>
          <w:trHeight w:val="279"/>
        </w:trPr>
        <w:tc>
          <w:tcPr>
            <w:tcW w:w="1144" w:type="dxa"/>
            <w:vMerge/>
            <w:tcBorders>
              <w:left w:val="single" w:sz="4" w:space="0" w:color="auto"/>
              <w:bottom w:val="single" w:sz="12" w:space="0" w:color="auto"/>
              <w:right w:val="single" w:sz="4" w:space="0" w:color="auto"/>
            </w:tcBorders>
          </w:tcPr>
          <w:p w14:paraId="3244148D" w14:textId="77777777" w:rsidR="00D550E9" w:rsidRPr="00D550E9" w:rsidRDefault="00D550E9" w:rsidP="00D31D39">
            <w:pPr>
              <w:jc w:val="both"/>
              <w:rPr>
                <w:rFonts w:ascii="Arial Narrow" w:hAnsi="Arial Narrow" w:cs="Tahoma"/>
                <w:sz w:val="20"/>
              </w:rPr>
            </w:pPr>
          </w:p>
        </w:tc>
        <w:tc>
          <w:tcPr>
            <w:tcW w:w="2194" w:type="dxa"/>
            <w:tcBorders>
              <w:top w:val="single" w:sz="4" w:space="0" w:color="auto"/>
              <w:left w:val="single" w:sz="4" w:space="0" w:color="auto"/>
              <w:bottom w:val="single" w:sz="12" w:space="0" w:color="auto"/>
              <w:right w:val="single" w:sz="4" w:space="0" w:color="auto"/>
            </w:tcBorders>
          </w:tcPr>
          <w:p w14:paraId="78D52ECD"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Pathogenic mutation</w:t>
            </w:r>
          </w:p>
        </w:tc>
        <w:tc>
          <w:tcPr>
            <w:tcW w:w="632" w:type="dxa"/>
            <w:tcBorders>
              <w:top w:val="single" w:sz="4" w:space="0" w:color="auto"/>
              <w:left w:val="single" w:sz="4" w:space="0" w:color="auto"/>
              <w:bottom w:val="single" w:sz="12" w:space="0" w:color="auto"/>
              <w:right w:val="single" w:sz="4" w:space="0" w:color="auto"/>
            </w:tcBorders>
          </w:tcPr>
          <w:p w14:paraId="2571568D"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179</w:t>
            </w:r>
          </w:p>
        </w:tc>
        <w:tc>
          <w:tcPr>
            <w:tcW w:w="1128" w:type="dxa"/>
            <w:tcBorders>
              <w:top w:val="single" w:sz="4" w:space="0" w:color="auto"/>
              <w:left w:val="single" w:sz="4" w:space="0" w:color="auto"/>
              <w:bottom w:val="single" w:sz="12" w:space="0" w:color="auto"/>
              <w:right w:val="single" w:sz="4" w:space="0" w:color="auto"/>
            </w:tcBorders>
          </w:tcPr>
          <w:p w14:paraId="08121E3E"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top w:val="single" w:sz="4" w:space="0" w:color="auto"/>
              <w:left w:val="single" w:sz="4" w:space="0" w:color="auto"/>
              <w:bottom w:val="single" w:sz="12" w:space="0" w:color="auto"/>
              <w:right w:val="single" w:sz="4" w:space="0" w:color="auto"/>
            </w:tcBorders>
          </w:tcPr>
          <w:p w14:paraId="3A1EDAC9"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top w:val="single" w:sz="4" w:space="0" w:color="auto"/>
              <w:left w:val="single" w:sz="4" w:space="0" w:color="auto"/>
              <w:bottom w:val="single" w:sz="12" w:space="0" w:color="auto"/>
              <w:right w:val="single" w:sz="4" w:space="0" w:color="auto"/>
            </w:tcBorders>
          </w:tcPr>
          <w:p w14:paraId="4CBC1594"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3.00 [1.38, 6.55]</w:t>
            </w:r>
          </w:p>
        </w:tc>
        <w:tc>
          <w:tcPr>
            <w:tcW w:w="905" w:type="dxa"/>
            <w:tcBorders>
              <w:top w:val="single" w:sz="4" w:space="0" w:color="auto"/>
              <w:left w:val="single" w:sz="4" w:space="0" w:color="auto"/>
              <w:bottom w:val="single" w:sz="12" w:space="0" w:color="auto"/>
              <w:right w:val="single" w:sz="4" w:space="0" w:color="auto"/>
            </w:tcBorders>
          </w:tcPr>
          <w:p w14:paraId="6694B052"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&lt;0.01</w:t>
            </w:r>
          </w:p>
        </w:tc>
      </w:tr>
      <w:tr w:rsidR="00D550E9" w:rsidRPr="00D550E9" w14:paraId="2C28F57A" w14:textId="77777777" w:rsidTr="00D550E9">
        <w:tc>
          <w:tcPr>
            <w:tcW w:w="1144" w:type="dxa"/>
            <w:vMerge w:val="restart"/>
            <w:tcBorders>
              <w:top w:val="single" w:sz="12" w:space="0" w:color="auto"/>
              <w:left w:val="single" w:sz="4" w:space="0" w:color="auto"/>
              <w:right w:val="single" w:sz="4" w:space="0" w:color="auto"/>
            </w:tcBorders>
          </w:tcPr>
          <w:p w14:paraId="5200F850" w14:textId="77777777" w:rsidR="00D550E9" w:rsidRPr="00D550E9" w:rsidRDefault="00D550E9" w:rsidP="00D31D39">
            <w:pPr>
              <w:jc w:val="both"/>
              <w:rPr>
                <w:rFonts w:ascii="Arial Narrow" w:hAnsi="Arial Narrow" w:cs="Tahoma"/>
                <w:sz w:val="20"/>
                <w:vertAlign w:val="superscript"/>
              </w:rPr>
            </w:pPr>
            <w:r w:rsidRPr="00D550E9">
              <w:rPr>
                <w:rFonts w:ascii="Arial Narrow" w:hAnsi="Arial Narrow" w:cs="Tahoma"/>
                <w:sz w:val="20"/>
              </w:rPr>
              <w:t>Silva et al. (2016)</w:t>
            </w:r>
            <w:r w:rsidRPr="00D550E9">
              <w:rPr>
                <w:rFonts w:ascii="Arial Narrow" w:hAnsi="Arial Narrow" w:cs="Tahoma"/>
                <w:sz w:val="20"/>
                <w:vertAlign w:val="superscript"/>
              </w:rPr>
              <w:t>g</w:t>
            </w:r>
          </w:p>
        </w:tc>
        <w:tc>
          <w:tcPr>
            <w:tcW w:w="2194" w:type="dxa"/>
            <w:tcBorders>
              <w:top w:val="single" w:sz="12" w:space="0" w:color="auto"/>
              <w:left w:val="single" w:sz="4" w:space="0" w:color="auto"/>
              <w:bottom w:val="single" w:sz="4" w:space="0" w:color="auto"/>
              <w:right w:val="single" w:sz="4" w:space="0" w:color="auto"/>
            </w:tcBorders>
          </w:tcPr>
          <w:p w14:paraId="0A42E384"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No mutation</w:t>
            </w:r>
          </w:p>
        </w:tc>
        <w:tc>
          <w:tcPr>
            <w:tcW w:w="632" w:type="dxa"/>
            <w:tcBorders>
              <w:top w:val="single" w:sz="12" w:space="0" w:color="auto"/>
              <w:left w:val="single" w:sz="4" w:space="0" w:color="auto"/>
              <w:bottom w:val="single" w:sz="4" w:space="0" w:color="auto"/>
              <w:right w:val="single" w:sz="4" w:space="0" w:color="auto"/>
            </w:tcBorders>
          </w:tcPr>
          <w:p w14:paraId="431EF93F"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132</w:t>
            </w:r>
          </w:p>
        </w:tc>
        <w:tc>
          <w:tcPr>
            <w:tcW w:w="1128" w:type="dxa"/>
            <w:tcBorders>
              <w:top w:val="single" w:sz="12" w:space="0" w:color="auto"/>
              <w:left w:val="single" w:sz="4" w:space="0" w:color="auto"/>
              <w:bottom w:val="single" w:sz="4" w:space="0" w:color="auto"/>
              <w:right w:val="single" w:sz="4" w:space="0" w:color="auto"/>
            </w:tcBorders>
          </w:tcPr>
          <w:p w14:paraId="164CCBDE"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4/128</w:t>
            </w:r>
            <w:r w:rsidRPr="00D550E9">
              <w:rPr>
                <w:rFonts w:ascii="Arial Narrow" w:hAnsi="Arial Narrow" w:cs="Tahoma"/>
                <w:sz w:val="20"/>
                <w:vertAlign w:val="superscript"/>
              </w:rPr>
              <w:t>h</w:t>
            </w:r>
          </w:p>
        </w:tc>
        <w:tc>
          <w:tcPr>
            <w:tcW w:w="993" w:type="dxa"/>
            <w:tcBorders>
              <w:top w:val="single" w:sz="12" w:space="0" w:color="auto"/>
              <w:left w:val="single" w:sz="4" w:space="0" w:color="auto"/>
              <w:bottom w:val="single" w:sz="4" w:space="0" w:color="auto"/>
              <w:right w:val="single" w:sz="4" w:space="0" w:color="auto"/>
            </w:tcBorders>
          </w:tcPr>
          <w:p w14:paraId="1B35BF4B"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3.0</w:t>
            </w:r>
          </w:p>
        </w:tc>
        <w:tc>
          <w:tcPr>
            <w:tcW w:w="2042" w:type="dxa"/>
            <w:tcBorders>
              <w:top w:val="single" w:sz="12" w:space="0" w:color="auto"/>
              <w:left w:val="single" w:sz="4" w:space="0" w:color="auto"/>
              <w:bottom w:val="single" w:sz="4" w:space="0" w:color="auto"/>
              <w:right w:val="single" w:sz="4" w:space="0" w:color="auto"/>
            </w:tcBorders>
          </w:tcPr>
          <w:p w14:paraId="77F86A32"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 (reference)</w:t>
            </w:r>
          </w:p>
        </w:tc>
        <w:tc>
          <w:tcPr>
            <w:tcW w:w="905" w:type="dxa"/>
            <w:tcBorders>
              <w:top w:val="single" w:sz="12" w:space="0" w:color="auto"/>
              <w:left w:val="single" w:sz="4" w:space="0" w:color="auto"/>
              <w:bottom w:val="single" w:sz="4" w:space="0" w:color="auto"/>
              <w:right w:val="single" w:sz="4" w:space="0" w:color="auto"/>
            </w:tcBorders>
          </w:tcPr>
          <w:p w14:paraId="100F0B16"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w:t>
            </w:r>
          </w:p>
        </w:tc>
      </w:tr>
      <w:tr w:rsidR="00D550E9" w:rsidRPr="00D550E9" w14:paraId="5EB45627" w14:textId="77777777" w:rsidTr="00D550E9">
        <w:tc>
          <w:tcPr>
            <w:tcW w:w="1144" w:type="dxa"/>
            <w:vMerge/>
            <w:tcBorders>
              <w:left w:val="single" w:sz="4" w:space="0" w:color="auto"/>
              <w:bottom w:val="single" w:sz="12" w:space="0" w:color="auto"/>
              <w:right w:val="single" w:sz="4" w:space="0" w:color="auto"/>
            </w:tcBorders>
          </w:tcPr>
          <w:p w14:paraId="3A5E22C9" w14:textId="77777777" w:rsidR="00D550E9" w:rsidRPr="00D550E9" w:rsidRDefault="00D550E9" w:rsidP="00D31D39">
            <w:pPr>
              <w:jc w:val="both"/>
              <w:rPr>
                <w:rFonts w:ascii="Arial Narrow" w:hAnsi="Arial Narrow" w:cs="Tahoma"/>
                <w:sz w:val="20"/>
              </w:rPr>
            </w:pPr>
          </w:p>
        </w:tc>
        <w:tc>
          <w:tcPr>
            <w:tcW w:w="2194" w:type="dxa"/>
            <w:tcBorders>
              <w:top w:val="single" w:sz="4" w:space="0" w:color="auto"/>
              <w:left w:val="single" w:sz="4" w:space="0" w:color="auto"/>
              <w:bottom w:val="single" w:sz="12" w:space="0" w:color="auto"/>
              <w:right w:val="single" w:sz="4" w:space="0" w:color="auto"/>
            </w:tcBorders>
          </w:tcPr>
          <w:p w14:paraId="48694E36"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Mutation found</w:t>
            </w:r>
          </w:p>
        </w:tc>
        <w:tc>
          <w:tcPr>
            <w:tcW w:w="632" w:type="dxa"/>
            <w:tcBorders>
              <w:top w:val="single" w:sz="4" w:space="0" w:color="auto"/>
              <w:left w:val="single" w:sz="4" w:space="0" w:color="auto"/>
              <w:bottom w:val="single" w:sz="12" w:space="0" w:color="auto"/>
              <w:right w:val="single" w:sz="4" w:space="0" w:color="auto"/>
            </w:tcBorders>
          </w:tcPr>
          <w:p w14:paraId="0AEA5B9E"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167</w:t>
            </w:r>
          </w:p>
        </w:tc>
        <w:tc>
          <w:tcPr>
            <w:tcW w:w="1128" w:type="dxa"/>
            <w:tcBorders>
              <w:top w:val="single" w:sz="4" w:space="0" w:color="auto"/>
              <w:left w:val="single" w:sz="4" w:space="0" w:color="auto"/>
              <w:bottom w:val="single" w:sz="12" w:space="0" w:color="auto"/>
              <w:right w:val="single" w:sz="4" w:space="0" w:color="auto"/>
            </w:tcBorders>
          </w:tcPr>
          <w:p w14:paraId="5BC96263" w14:textId="1D3E1D74" w:rsidR="00D550E9" w:rsidRPr="00D550E9" w:rsidRDefault="00D550E9" w:rsidP="00D31D39">
            <w:pPr>
              <w:jc w:val="center"/>
              <w:rPr>
                <w:rFonts w:ascii="Arial Narrow" w:hAnsi="Arial Narrow" w:cs="Tahoma"/>
                <w:sz w:val="20"/>
              </w:rPr>
            </w:pPr>
            <w:r w:rsidRPr="00D550E9">
              <w:rPr>
                <w:rFonts w:ascii="Arial Narrow" w:hAnsi="Arial Narrow" w:cs="Tahoma"/>
                <w:sz w:val="20"/>
              </w:rPr>
              <w:t>20/147</w:t>
            </w:r>
            <w:r w:rsidRPr="00D550E9">
              <w:rPr>
                <w:rFonts w:ascii="Arial Narrow" w:hAnsi="Arial Narrow" w:cs="Tahoma"/>
                <w:sz w:val="20"/>
                <w:vertAlign w:val="superscript"/>
              </w:rPr>
              <w:t>h</w:t>
            </w:r>
          </w:p>
        </w:tc>
        <w:tc>
          <w:tcPr>
            <w:tcW w:w="993" w:type="dxa"/>
            <w:tcBorders>
              <w:top w:val="single" w:sz="4" w:space="0" w:color="auto"/>
              <w:left w:val="single" w:sz="4" w:space="0" w:color="auto"/>
              <w:bottom w:val="single" w:sz="12" w:space="0" w:color="auto"/>
              <w:right w:val="single" w:sz="4" w:space="0" w:color="auto"/>
            </w:tcBorders>
          </w:tcPr>
          <w:p w14:paraId="57D04D53"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12.0</w:t>
            </w:r>
          </w:p>
        </w:tc>
        <w:tc>
          <w:tcPr>
            <w:tcW w:w="2042" w:type="dxa"/>
            <w:tcBorders>
              <w:top w:val="single" w:sz="4" w:space="0" w:color="auto"/>
              <w:left w:val="single" w:sz="4" w:space="0" w:color="auto"/>
              <w:bottom w:val="single" w:sz="12" w:space="0" w:color="auto"/>
              <w:right w:val="single" w:sz="4" w:space="0" w:color="auto"/>
            </w:tcBorders>
          </w:tcPr>
          <w:p w14:paraId="6D334F6D"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4.35 [1.45, 13.07]</w:t>
            </w:r>
          </w:p>
        </w:tc>
        <w:tc>
          <w:tcPr>
            <w:tcW w:w="905" w:type="dxa"/>
            <w:tcBorders>
              <w:top w:val="single" w:sz="4" w:space="0" w:color="auto"/>
              <w:left w:val="single" w:sz="4" w:space="0" w:color="auto"/>
              <w:bottom w:val="single" w:sz="12" w:space="0" w:color="auto"/>
              <w:right w:val="single" w:sz="4" w:space="0" w:color="auto"/>
            </w:tcBorders>
          </w:tcPr>
          <w:p w14:paraId="647B067A"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0.01</w:t>
            </w:r>
          </w:p>
        </w:tc>
      </w:tr>
      <w:tr w:rsidR="00D550E9" w:rsidRPr="00D550E9" w14:paraId="16CF0E56" w14:textId="77777777" w:rsidTr="00D550E9">
        <w:tc>
          <w:tcPr>
            <w:tcW w:w="1144" w:type="dxa"/>
            <w:vMerge w:val="restart"/>
            <w:tcBorders>
              <w:top w:val="single" w:sz="12" w:space="0" w:color="auto"/>
              <w:left w:val="single" w:sz="4" w:space="0" w:color="auto"/>
              <w:right w:val="single" w:sz="4" w:space="0" w:color="auto"/>
            </w:tcBorders>
          </w:tcPr>
          <w:p w14:paraId="4759FC38" w14:textId="77777777" w:rsidR="00D550E9" w:rsidRPr="00D550E9" w:rsidRDefault="00D550E9" w:rsidP="00D31D39">
            <w:pPr>
              <w:jc w:val="both"/>
              <w:rPr>
                <w:rFonts w:ascii="Arial Narrow" w:hAnsi="Arial Narrow" w:cs="Tahoma"/>
                <w:sz w:val="20"/>
                <w:vertAlign w:val="superscript"/>
              </w:rPr>
            </w:pPr>
            <w:r w:rsidRPr="00D550E9">
              <w:rPr>
                <w:rFonts w:ascii="Arial Narrow" w:hAnsi="Arial Narrow" w:cs="Tahoma"/>
                <w:sz w:val="20"/>
              </w:rPr>
              <w:t>Tada et al. (2017)</w:t>
            </w:r>
            <w:r w:rsidRPr="00D550E9">
              <w:rPr>
                <w:rFonts w:ascii="Arial Narrow" w:hAnsi="Arial Narrow" w:cs="Tahoma"/>
                <w:sz w:val="20"/>
                <w:vertAlign w:val="superscript"/>
              </w:rPr>
              <w:t>i</w:t>
            </w:r>
          </w:p>
        </w:tc>
        <w:tc>
          <w:tcPr>
            <w:tcW w:w="2194" w:type="dxa"/>
            <w:tcBorders>
              <w:top w:val="single" w:sz="12" w:space="0" w:color="auto"/>
              <w:left w:val="single" w:sz="4" w:space="0" w:color="auto"/>
              <w:bottom w:val="single" w:sz="4" w:space="0" w:color="auto"/>
              <w:right w:val="single" w:sz="4" w:space="0" w:color="auto"/>
            </w:tcBorders>
          </w:tcPr>
          <w:p w14:paraId="622DD951"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No clinical signs</w:t>
            </w:r>
            <w:r w:rsidRPr="00D550E9">
              <w:rPr>
                <w:rFonts w:ascii="Arial Narrow" w:hAnsi="Arial Narrow" w:cs="Tahoma"/>
                <w:sz w:val="20"/>
                <w:vertAlign w:val="superscript"/>
              </w:rPr>
              <w:t>j</w:t>
            </w:r>
            <w:r w:rsidRPr="00D550E9">
              <w:rPr>
                <w:rFonts w:ascii="Arial Narrow" w:hAnsi="Arial Narrow" w:cs="Tahoma"/>
                <w:sz w:val="20"/>
              </w:rPr>
              <w:t>, no mutation found</w:t>
            </w:r>
          </w:p>
        </w:tc>
        <w:tc>
          <w:tcPr>
            <w:tcW w:w="632" w:type="dxa"/>
            <w:tcBorders>
              <w:top w:val="single" w:sz="12" w:space="0" w:color="auto"/>
              <w:left w:val="single" w:sz="4" w:space="0" w:color="auto"/>
              <w:bottom w:val="single" w:sz="4" w:space="0" w:color="auto"/>
              <w:right w:val="single" w:sz="4" w:space="0" w:color="auto"/>
            </w:tcBorders>
          </w:tcPr>
          <w:p w14:paraId="13F6E4A0"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76</w:t>
            </w:r>
          </w:p>
        </w:tc>
        <w:tc>
          <w:tcPr>
            <w:tcW w:w="1128" w:type="dxa"/>
            <w:tcBorders>
              <w:top w:val="single" w:sz="12" w:space="0" w:color="auto"/>
              <w:left w:val="single" w:sz="4" w:space="0" w:color="auto"/>
              <w:bottom w:val="single" w:sz="4" w:space="0" w:color="auto"/>
              <w:right w:val="single" w:sz="4" w:space="0" w:color="auto"/>
            </w:tcBorders>
          </w:tcPr>
          <w:p w14:paraId="01AD8CB2"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top w:val="single" w:sz="12" w:space="0" w:color="auto"/>
              <w:left w:val="single" w:sz="4" w:space="0" w:color="auto"/>
              <w:bottom w:val="single" w:sz="4" w:space="0" w:color="auto"/>
              <w:right w:val="single" w:sz="4" w:space="0" w:color="auto"/>
            </w:tcBorders>
          </w:tcPr>
          <w:p w14:paraId="79FB2F79"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top w:val="single" w:sz="12" w:space="0" w:color="auto"/>
              <w:left w:val="single" w:sz="4" w:space="0" w:color="auto"/>
              <w:bottom w:val="single" w:sz="4" w:space="0" w:color="auto"/>
              <w:right w:val="single" w:sz="4" w:space="0" w:color="auto"/>
            </w:tcBorders>
          </w:tcPr>
          <w:p w14:paraId="3459389C"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 (reference)</w:t>
            </w:r>
          </w:p>
        </w:tc>
        <w:tc>
          <w:tcPr>
            <w:tcW w:w="905" w:type="dxa"/>
            <w:tcBorders>
              <w:top w:val="single" w:sz="12" w:space="0" w:color="auto"/>
              <w:left w:val="single" w:sz="4" w:space="0" w:color="auto"/>
              <w:bottom w:val="single" w:sz="4" w:space="0" w:color="auto"/>
              <w:right w:val="single" w:sz="4" w:space="0" w:color="auto"/>
            </w:tcBorders>
          </w:tcPr>
          <w:p w14:paraId="5DDD889E"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w:t>
            </w:r>
          </w:p>
        </w:tc>
      </w:tr>
      <w:tr w:rsidR="00D550E9" w:rsidRPr="00D550E9" w14:paraId="5105E309" w14:textId="77777777" w:rsidTr="00D550E9">
        <w:tc>
          <w:tcPr>
            <w:tcW w:w="1144" w:type="dxa"/>
            <w:vMerge/>
            <w:tcBorders>
              <w:left w:val="single" w:sz="4" w:space="0" w:color="auto"/>
              <w:right w:val="single" w:sz="4" w:space="0" w:color="auto"/>
            </w:tcBorders>
          </w:tcPr>
          <w:p w14:paraId="2065B32A" w14:textId="77777777" w:rsidR="00D550E9" w:rsidRPr="00D550E9" w:rsidRDefault="00D550E9" w:rsidP="00D31D39">
            <w:pPr>
              <w:jc w:val="both"/>
              <w:rPr>
                <w:rFonts w:ascii="Arial Narrow" w:hAnsi="Arial Narrow" w:cs="Tahoma"/>
                <w:sz w:val="20"/>
              </w:rPr>
            </w:pPr>
          </w:p>
        </w:tc>
        <w:tc>
          <w:tcPr>
            <w:tcW w:w="2194" w:type="dxa"/>
            <w:tcBorders>
              <w:top w:val="single" w:sz="4" w:space="0" w:color="auto"/>
              <w:left w:val="single" w:sz="4" w:space="0" w:color="auto"/>
              <w:bottom w:val="single" w:sz="4" w:space="0" w:color="auto"/>
              <w:right w:val="single" w:sz="4" w:space="0" w:color="auto"/>
            </w:tcBorders>
          </w:tcPr>
          <w:p w14:paraId="78971564"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Clinical signs</w:t>
            </w:r>
            <w:r w:rsidRPr="00D550E9">
              <w:rPr>
                <w:rFonts w:ascii="Arial Narrow" w:hAnsi="Arial Narrow" w:cs="Tahoma"/>
                <w:sz w:val="20"/>
                <w:vertAlign w:val="superscript"/>
              </w:rPr>
              <w:t>j</w:t>
            </w:r>
            <w:r w:rsidRPr="00D550E9">
              <w:rPr>
                <w:rFonts w:ascii="Arial Narrow" w:hAnsi="Arial Narrow" w:cs="Tahoma"/>
                <w:sz w:val="20"/>
              </w:rPr>
              <w:t>, no mutation found</w:t>
            </w:r>
          </w:p>
        </w:tc>
        <w:tc>
          <w:tcPr>
            <w:tcW w:w="632" w:type="dxa"/>
            <w:tcBorders>
              <w:top w:val="single" w:sz="4" w:space="0" w:color="auto"/>
              <w:left w:val="single" w:sz="4" w:space="0" w:color="auto"/>
              <w:bottom w:val="single" w:sz="4" w:space="0" w:color="auto"/>
              <w:right w:val="single" w:sz="4" w:space="0" w:color="auto"/>
            </w:tcBorders>
          </w:tcPr>
          <w:p w14:paraId="571C93F0"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58</w:t>
            </w:r>
          </w:p>
        </w:tc>
        <w:tc>
          <w:tcPr>
            <w:tcW w:w="1128" w:type="dxa"/>
            <w:tcBorders>
              <w:top w:val="single" w:sz="4" w:space="0" w:color="auto"/>
              <w:left w:val="single" w:sz="4" w:space="0" w:color="auto"/>
              <w:bottom w:val="single" w:sz="4" w:space="0" w:color="auto"/>
              <w:right w:val="single" w:sz="4" w:space="0" w:color="auto"/>
            </w:tcBorders>
          </w:tcPr>
          <w:p w14:paraId="7E644CB4"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top w:val="single" w:sz="4" w:space="0" w:color="auto"/>
              <w:left w:val="single" w:sz="4" w:space="0" w:color="auto"/>
              <w:bottom w:val="single" w:sz="4" w:space="0" w:color="auto"/>
              <w:right w:val="single" w:sz="4" w:space="0" w:color="auto"/>
            </w:tcBorders>
          </w:tcPr>
          <w:p w14:paraId="68DF9285"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top w:val="single" w:sz="4" w:space="0" w:color="auto"/>
              <w:left w:val="single" w:sz="4" w:space="0" w:color="auto"/>
              <w:bottom w:val="single" w:sz="4" w:space="0" w:color="auto"/>
              <w:right w:val="single" w:sz="4" w:space="0" w:color="auto"/>
            </w:tcBorders>
          </w:tcPr>
          <w:p w14:paraId="6404DF57"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4.6 [1.5, 14.5]</w:t>
            </w:r>
          </w:p>
        </w:tc>
        <w:tc>
          <w:tcPr>
            <w:tcW w:w="905" w:type="dxa"/>
            <w:tcBorders>
              <w:top w:val="single" w:sz="4" w:space="0" w:color="auto"/>
              <w:left w:val="single" w:sz="4" w:space="0" w:color="auto"/>
              <w:bottom w:val="single" w:sz="4" w:space="0" w:color="auto"/>
              <w:right w:val="single" w:sz="4" w:space="0" w:color="auto"/>
            </w:tcBorders>
          </w:tcPr>
          <w:p w14:paraId="29F90372"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r>
      <w:tr w:rsidR="00D550E9" w:rsidRPr="00D550E9" w14:paraId="4926A653" w14:textId="77777777" w:rsidTr="00D550E9">
        <w:trPr>
          <w:trHeight w:val="60"/>
        </w:trPr>
        <w:tc>
          <w:tcPr>
            <w:tcW w:w="1144" w:type="dxa"/>
            <w:vMerge/>
            <w:tcBorders>
              <w:left w:val="single" w:sz="4" w:space="0" w:color="auto"/>
              <w:right w:val="single" w:sz="4" w:space="0" w:color="auto"/>
            </w:tcBorders>
          </w:tcPr>
          <w:p w14:paraId="69E3BA11" w14:textId="77777777" w:rsidR="00D550E9" w:rsidRPr="00D550E9" w:rsidRDefault="00D550E9" w:rsidP="00D31D39">
            <w:pPr>
              <w:jc w:val="both"/>
              <w:rPr>
                <w:rFonts w:ascii="Arial Narrow" w:hAnsi="Arial Narrow" w:cs="Tahoma"/>
                <w:sz w:val="20"/>
              </w:rPr>
            </w:pPr>
          </w:p>
        </w:tc>
        <w:tc>
          <w:tcPr>
            <w:tcW w:w="2194" w:type="dxa"/>
            <w:tcBorders>
              <w:top w:val="single" w:sz="4" w:space="0" w:color="auto"/>
              <w:left w:val="single" w:sz="4" w:space="0" w:color="auto"/>
              <w:bottom w:val="single" w:sz="4" w:space="0" w:color="auto"/>
              <w:right w:val="single" w:sz="4" w:space="0" w:color="auto"/>
            </w:tcBorders>
          </w:tcPr>
          <w:p w14:paraId="60660A4C"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No clinical signs</w:t>
            </w:r>
            <w:r w:rsidRPr="00D550E9">
              <w:rPr>
                <w:rFonts w:ascii="Arial Narrow" w:hAnsi="Arial Narrow" w:cs="Tahoma"/>
                <w:sz w:val="20"/>
                <w:vertAlign w:val="superscript"/>
              </w:rPr>
              <w:t>j</w:t>
            </w:r>
            <w:r w:rsidRPr="00D550E9">
              <w:rPr>
                <w:rFonts w:ascii="Arial Narrow" w:hAnsi="Arial Narrow" w:cs="Tahoma"/>
                <w:sz w:val="20"/>
              </w:rPr>
              <w:t>, mutation found</w:t>
            </w:r>
          </w:p>
        </w:tc>
        <w:tc>
          <w:tcPr>
            <w:tcW w:w="632" w:type="dxa"/>
            <w:tcBorders>
              <w:top w:val="single" w:sz="4" w:space="0" w:color="auto"/>
              <w:left w:val="single" w:sz="4" w:space="0" w:color="auto"/>
              <w:bottom w:val="single" w:sz="4" w:space="0" w:color="auto"/>
              <w:right w:val="single" w:sz="4" w:space="0" w:color="auto"/>
            </w:tcBorders>
          </w:tcPr>
          <w:p w14:paraId="45A5E392"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78</w:t>
            </w:r>
          </w:p>
        </w:tc>
        <w:tc>
          <w:tcPr>
            <w:tcW w:w="1128" w:type="dxa"/>
            <w:tcBorders>
              <w:top w:val="single" w:sz="4" w:space="0" w:color="auto"/>
              <w:left w:val="single" w:sz="4" w:space="0" w:color="auto"/>
              <w:bottom w:val="single" w:sz="4" w:space="0" w:color="auto"/>
              <w:right w:val="single" w:sz="4" w:space="0" w:color="auto"/>
            </w:tcBorders>
          </w:tcPr>
          <w:p w14:paraId="08182957"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top w:val="single" w:sz="4" w:space="0" w:color="auto"/>
              <w:left w:val="single" w:sz="4" w:space="0" w:color="auto"/>
              <w:bottom w:val="single" w:sz="4" w:space="0" w:color="auto"/>
              <w:right w:val="single" w:sz="4" w:space="0" w:color="auto"/>
            </w:tcBorders>
          </w:tcPr>
          <w:p w14:paraId="21F6A528"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top w:val="single" w:sz="4" w:space="0" w:color="auto"/>
              <w:left w:val="single" w:sz="4" w:space="0" w:color="auto"/>
              <w:bottom w:val="single" w:sz="4" w:space="0" w:color="auto"/>
              <w:right w:val="single" w:sz="4" w:space="0" w:color="auto"/>
            </w:tcBorders>
          </w:tcPr>
          <w:p w14:paraId="0E2AAC00"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3.4 [1.0, 10.9]</w:t>
            </w:r>
          </w:p>
        </w:tc>
        <w:tc>
          <w:tcPr>
            <w:tcW w:w="905" w:type="dxa"/>
            <w:tcBorders>
              <w:top w:val="single" w:sz="4" w:space="0" w:color="auto"/>
              <w:left w:val="single" w:sz="4" w:space="0" w:color="auto"/>
              <w:bottom w:val="single" w:sz="4" w:space="0" w:color="auto"/>
              <w:right w:val="single" w:sz="4" w:space="0" w:color="auto"/>
            </w:tcBorders>
          </w:tcPr>
          <w:p w14:paraId="161545E2"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r>
      <w:tr w:rsidR="00D550E9" w:rsidRPr="00D550E9" w14:paraId="0483084E" w14:textId="77777777" w:rsidTr="00D550E9">
        <w:tc>
          <w:tcPr>
            <w:tcW w:w="1144" w:type="dxa"/>
            <w:vMerge/>
            <w:tcBorders>
              <w:left w:val="single" w:sz="4" w:space="0" w:color="auto"/>
              <w:bottom w:val="single" w:sz="4" w:space="0" w:color="auto"/>
              <w:right w:val="single" w:sz="4" w:space="0" w:color="auto"/>
            </w:tcBorders>
          </w:tcPr>
          <w:p w14:paraId="6AC792F8" w14:textId="77777777" w:rsidR="00D550E9" w:rsidRPr="00D550E9" w:rsidRDefault="00D550E9" w:rsidP="00D31D39">
            <w:pPr>
              <w:jc w:val="both"/>
              <w:rPr>
                <w:rFonts w:ascii="Arial Narrow" w:hAnsi="Arial Narrow" w:cs="Tahoma"/>
                <w:sz w:val="20"/>
              </w:rPr>
            </w:pPr>
          </w:p>
        </w:tc>
        <w:tc>
          <w:tcPr>
            <w:tcW w:w="2194" w:type="dxa"/>
            <w:tcBorders>
              <w:top w:val="single" w:sz="4" w:space="0" w:color="auto"/>
              <w:left w:val="single" w:sz="4" w:space="0" w:color="auto"/>
              <w:bottom w:val="single" w:sz="4" w:space="0" w:color="auto"/>
              <w:right w:val="single" w:sz="4" w:space="0" w:color="auto"/>
            </w:tcBorders>
          </w:tcPr>
          <w:p w14:paraId="055E259D" w14:textId="77777777" w:rsidR="00D550E9" w:rsidRPr="00D550E9" w:rsidRDefault="00D550E9" w:rsidP="00D31D39">
            <w:pPr>
              <w:jc w:val="both"/>
              <w:rPr>
                <w:rFonts w:ascii="Arial Narrow" w:hAnsi="Arial Narrow" w:cs="Tahoma"/>
                <w:sz w:val="20"/>
              </w:rPr>
            </w:pPr>
            <w:r w:rsidRPr="00D550E9">
              <w:rPr>
                <w:rFonts w:ascii="Arial Narrow" w:hAnsi="Arial Narrow" w:cs="Tahoma"/>
                <w:sz w:val="20"/>
              </w:rPr>
              <w:t>Clinical signs</w:t>
            </w:r>
            <w:r w:rsidRPr="00D550E9">
              <w:rPr>
                <w:rFonts w:ascii="Arial Narrow" w:hAnsi="Arial Narrow" w:cs="Tahoma"/>
                <w:sz w:val="20"/>
                <w:vertAlign w:val="superscript"/>
              </w:rPr>
              <w:t>j</w:t>
            </w:r>
            <w:r w:rsidRPr="00D550E9">
              <w:rPr>
                <w:rFonts w:ascii="Arial Narrow" w:hAnsi="Arial Narrow" w:cs="Tahoma"/>
                <w:sz w:val="20"/>
              </w:rPr>
              <w:t xml:space="preserve"> and mutation found</w:t>
            </w:r>
          </w:p>
        </w:tc>
        <w:tc>
          <w:tcPr>
            <w:tcW w:w="632" w:type="dxa"/>
            <w:tcBorders>
              <w:top w:val="single" w:sz="4" w:space="0" w:color="auto"/>
              <w:left w:val="single" w:sz="4" w:space="0" w:color="auto"/>
              <w:bottom w:val="single" w:sz="4" w:space="0" w:color="auto"/>
              <w:right w:val="single" w:sz="4" w:space="0" w:color="auto"/>
            </w:tcBorders>
          </w:tcPr>
          <w:p w14:paraId="07D5B2B5"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424</w:t>
            </w:r>
          </w:p>
        </w:tc>
        <w:tc>
          <w:tcPr>
            <w:tcW w:w="1128" w:type="dxa"/>
            <w:tcBorders>
              <w:top w:val="single" w:sz="4" w:space="0" w:color="auto"/>
              <w:left w:val="single" w:sz="4" w:space="0" w:color="auto"/>
              <w:bottom w:val="single" w:sz="4" w:space="0" w:color="auto"/>
              <w:right w:val="single" w:sz="4" w:space="0" w:color="auto"/>
            </w:tcBorders>
          </w:tcPr>
          <w:p w14:paraId="2C3585D9"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993" w:type="dxa"/>
            <w:tcBorders>
              <w:top w:val="single" w:sz="4" w:space="0" w:color="auto"/>
              <w:left w:val="single" w:sz="4" w:space="0" w:color="auto"/>
              <w:bottom w:val="single" w:sz="4" w:space="0" w:color="auto"/>
              <w:right w:val="single" w:sz="4" w:space="0" w:color="auto"/>
            </w:tcBorders>
          </w:tcPr>
          <w:p w14:paraId="1C5CA33C"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c>
          <w:tcPr>
            <w:tcW w:w="2042" w:type="dxa"/>
            <w:tcBorders>
              <w:top w:val="single" w:sz="4" w:space="0" w:color="auto"/>
              <w:left w:val="single" w:sz="4" w:space="0" w:color="auto"/>
              <w:bottom w:val="single" w:sz="4" w:space="0" w:color="auto"/>
              <w:right w:val="single" w:sz="4" w:space="0" w:color="auto"/>
            </w:tcBorders>
          </w:tcPr>
          <w:p w14:paraId="28EF00A0"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11.6 [1.1, 30.2]</w:t>
            </w:r>
          </w:p>
        </w:tc>
        <w:tc>
          <w:tcPr>
            <w:tcW w:w="905" w:type="dxa"/>
            <w:tcBorders>
              <w:top w:val="single" w:sz="4" w:space="0" w:color="auto"/>
              <w:left w:val="single" w:sz="4" w:space="0" w:color="auto"/>
              <w:bottom w:val="single" w:sz="4" w:space="0" w:color="auto"/>
              <w:right w:val="single" w:sz="4" w:space="0" w:color="auto"/>
            </w:tcBorders>
          </w:tcPr>
          <w:p w14:paraId="73F7CD11" w14:textId="77777777" w:rsidR="00D550E9" w:rsidRPr="00D550E9" w:rsidRDefault="00D550E9" w:rsidP="00D31D39">
            <w:pPr>
              <w:jc w:val="center"/>
              <w:rPr>
                <w:rFonts w:ascii="Arial Narrow" w:hAnsi="Arial Narrow" w:cs="Tahoma"/>
                <w:sz w:val="20"/>
              </w:rPr>
            </w:pPr>
            <w:r w:rsidRPr="00D550E9">
              <w:rPr>
                <w:rFonts w:ascii="Arial Narrow" w:hAnsi="Arial Narrow" w:cs="Tahoma"/>
                <w:sz w:val="20"/>
              </w:rPr>
              <w:t>NR</w:t>
            </w:r>
          </w:p>
        </w:tc>
      </w:tr>
    </w:tbl>
    <w:p w14:paraId="31E24704" w14:textId="77777777" w:rsidR="00D550E9" w:rsidRPr="00D550E9" w:rsidRDefault="00D550E9" w:rsidP="00D550E9">
      <w:pPr>
        <w:spacing w:line="276" w:lineRule="auto"/>
        <w:rPr>
          <w:rFonts w:ascii="Arial Narrow" w:eastAsia="Calibri" w:hAnsi="Arial Narrow"/>
          <w:sz w:val="20"/>
          <w:lang w:eastAsia="en-US"/>
        </w:rPr>
      </w:pPr>
      <w:r w:rsidRPr="00D550E9">
        <w:rPr>
          <w:rFonts w:ascii="Arial Narrow" w:eastAsia="Calibri" w:hAnsi="Arial Narrow"/>
          <w:sz w:val="20"/>
          <w:lang w:eastAsia="en-US"/>
        </w:rPr>
        <w:t>CHD = coronary heart disease, NR = not reported, OR = odds ratio</w:t>
      </w:r>
    </w:p>
    <w:p w14:paraId="50CB4483" w14:textId="77777777" w:rsidR="00D550E9" w:rsidRPr="00D550E9" w:rsidRDefault="00D550E9" w:rsidP="00D550E9">
      <w:pPr>
        <w:spacing w:line="276" w:lineRule="auto"/>
        <w:rPr>
          <w:rFonts w:ascii="Arial Narrow" w:eastAsia="Calibri" w:hAnsi="Arial Narrow"/>
          <w:sz w:val="20"/>
          <w:lang w:eastAsia="en-US"/>
        </w:rPr>
      </w:pPr>
      <w:r w:rsidRPr="00D550E9">
        <w:rPr>
          <w:rFonts w:ascii="Arial Narrow" w:eastAsia="Calibri" w:hAnsi="Arial Narrow"/>
          <w:sz w:val="20"/>
          <w:vertAlign w:val="superscript"/>
          <w:lang w:eastAsia="en-US"/>
        </w:rPr>
        <w:t>a</w:t>
      </w:r>
      <w:r w:rsidRPr="00D550E9">
        <w:rPr>
          <w:rFonts w:ascii="Arial Narrow" w:eastAsia="Calibri" w:hAnsi="Arial Narrow"/>
          <w:sz w:val="20"/>
          <w:lang w:eastAsia="en-US"/>
        </w:rPr>
        <w:t xml:space="preserve"> = Model 1 adjusted for age, sex, smoking (never vs ex and current) and systolic blood pressure at recruitment</w:t>
      </w:r>
    </w:p>
    <w:p w14:paraId="21102A30" w14:textId="77777777" w:rsidR="00D550E9" w:rsidRPr="00D550E9" w:rsidRDefault="00D550E9" w:rsidP="00D550E9">
      <w:pPr>
        <w:spacing w:line="276" w:lineRule="auto"/>
        <w:rPr>
          <w:rFonts w:ascii="Arial Narrow" w:eastAsia="Calibri" w:hAnsi="Arial Narrow"/>
          <w:sz w:val="20"/>
          <w:lang w:eastAsia="en-US"/>
        </w:rPr>
      </w:pPr>
      <w:r w:rsidRPr="00D550E9">
        <w:rPr>
          <w:rFonts w:ascii="Arial Narrow" w:eastAsia="Calibri" w:hAnsi="Arial Narrow"/>
          <w:sz w:val="20"/>
          <w:vertAlign w:val="superscript"/>
          <w:lang w:eastAsia="en-US"/>
        </w:rPr>
        <w:t>b</w:t>
      </w:r>
      <w:r w:rsidRPr="00D550E9">
        <w:rPr>
          <w:rFonts w:ascii="Arial Narrow" w:eastAsia="Calibri" w:hAnsi="Arial Narrow"/>
          <w:sz w:val="20"/>
          <w:lang w:eastAsia="en-US"/>
        </w:rPr>
        <w:t xml:space="preserve"> = Model 2 plus HDL at recruitment</w:t>
      </w:r>
    </w:p>
    <w:p w14:paraId="042F29B1" w14:textId="77777777" w:rsidR="00D550E9" w:rsidRPr="00D550E9" w:rsidRDefault="00D550E9" w:rsidP="00D550E9">
      <w:pPr>
        <w:spacing w:line="276" w:lineRule="auto"/>
        <w:rPr>
          <w:rFonts w:ascii="Arial Narrow" w:eastAsia="Calibri" w:hAnsi="Arial Narrow"/>
          <w:sz w:val="20"/>
          <w:lang w:eastAsia="en-US"/>
        </w:rPr>
      </w:pPr>
      <w:r w:rsidRPr="00D550E9">
        <w:rPr>
          <w:rFonts w:ascii="Arial Narrow" w:eastAsia="Calibri" w:hAnsi="Arial Narrow"/>
          <w:sz w:val="20"/>
          <w:vertAlign w:val="superscript"/>
          <w:lang w:eastAsia="en-US"/>
        </w:rPr>
        <w:t>c</w:t>
      </w:r>
      <w:r w:rsidRPr="00D550E9">
        <w:rPr>
          <w:rFonts w:ascii="Arial Narrow" w:eastAsia="Calibri" w:hAnsi="Arial Narrow"/>
          <w:sz w:val="20"/>
          <w:lang w:eastAsia="en-US"/>
        </w:rPr>
        <w:t xml:space="preserve"> = Model 3 plus LDL at recruitment</w:t>
      </w:r>
    </w:p>
    <w:p w14:paraId="205F0BE6" w14:textId="77777777" w:rsidR="00D550E9" w:rsidRPr="00D550E9" w:rsidRDefault="00D550E9" w:rsidP="00D550E9">
      <w:pPr>
        <w:spacing w:line="276" w:lineRule="auto"/>
        <w:rPr>
          <w:rFonts w:ascii="Arial Narrow" w:eastAsia="Calibri" w:hAnsi="Arial Narrow"/>
          <w:sz w:val="20"/>
          <w:lang w:eastAsia="en-US"/>
        </w:rPr>
      </w:pPr>
      <w:r w:rsidRPr="00D550E9">
        <w:rPr>
          <w:rFonts w:ascii="Arial Narrow" w:eastAsia="Calibri" w:hAnsi="Arial Narrow"/>
          <w:sz w:val="20"/>
          <w:vertAlign w:val="superscript"/>
          <w:lang w:eastAsia="en-US"/>
        </w:rPr>
        <w:t>d</w:t>
      </w:r>
      <w:r w:rsidRPr="00D550E9">
        <w:rPr>
          <w:rFonts w:ascii="Arial Narrow" w:eastAsia="Calibri" w:hAnsi="Arial Narrow"/>
          <w:sz w:val="20"/>
          <w:lang w:eastAsia="en-US"/>
        </w:rPr>
        <w:t xml:space="preserve"> = Model 1 plus recorded pretreatment. Total cholesterol or group average value if data not recorded. </w:t>
      </w:r>
    </w:p>
    <w:p w14:paraId="79582A8D" w14:textId="77777777" w:rsidR="00D550E9" w:rsidRPr="00D550E9" w:rsidRDefault="00D550E9" w:rsidP="00D550E9">
      <w:pPr>
        <w:spacing w:line="276" w:lineRule="auto"/>
        <w:rPr>
          <w:rFonts w:ascii="Arial Narrow" w:eastAsia="Calibri" w:hAnsi="Arial Narrow"/>
          <w:sz w:val="20"/>
          <w:lang w:eastAsia="en-US"/>
        </w:rPr>
      </w:pPr>
      <w:r w:rsidRPr="00D550E9">
        <w:rPr>
          <w:rFonts w:ascii="Arial Narrow" w:eastAsia="Calibri" w:hAnsi="Arial Narrow"/>
          <w:sz w:val="20"/>
          <w:vertAlign w:val="superscript"/>
          <w:lang w:eastAsia="en-US"/>
        </w:rPr>
        <w:t>e</w:t>
      </w:r>
      <w:r w:rsidRPr="00D550E9">
        <w:rPr>
          <w:rFonts w:ascii="Arial Narrow" w:eastAsia="Calibri" w:hAnsi="Arial Narrow"/>
          <w:sz w:val="20"/>
          <w:lang w:eastAsia="en-US"/>
        </w:rPr>
        <w:t xml:space="preserve"> = calculated via logistic regression with adjustment for sex, cohort, and principal components of ancestry</w:t>
      </w:r>
    </w:p>
    <w:p w14:paraId="466565AC" w14:textId="77777777" w:rsidR="00D550E9" w:rsidRPr="00D550E9" w:rsidRDefault="00D550E9" w:rsidP="00D550E9">
      <w:pPr>
        <w:spacing w:line="276" w:lineRule="auto"/>
        <w:rPr>
          <w:rFonts w:ascii="Arial Narrow" w:eastAsia="Calibri" w:hAnsi="Arial Narrow"/>
          <w:sz w:val="20"/>
          <w:lang w:eastAsia="en-US"/>
        </w:rPr>
      </w:pPr>
      <w:r w:rsidRPr="00D550E9">
        <w:rPr>
          <w:rFonts w:ascii="Arial Narrow" w:eastAsia="Calibri" w:hAnsi="Arial Narrow"/>
          <w:sz w:val="20"/>
          <w:vertAlign w:val="superscript"/>
          <w:lang w:eastAsia="en-US"/>
        </w:rPr>
        <w:t>f</w:t>
      </w:r>
      <w:r w:rsidRPr="00D550E9">
        <w:rPr>
          <w:rFonts w:ascii="Arial Narrow" w:eastAsia="Calibri" w:hAnsi="Arial Narrow"/>
          <w:sz w:val="20"/>
          <w:lang w:eastAsia="en-US"/>
        </w:rPr>
        <w:t xml:space="preserve"> = calculated via logistic regression with included in the model: age, sex, smoker status, diabetes mellitus, hypertension, previous history of premature CHD, first-degree relative with premature CHD, LDL-C level, HDL-C level, lipoprotein a level, and modification of diet in renal disease. </w:t>
      </w:r>
    </w:p>
    <w:p w14:paraId="3AFA5A77" w14:textId="77777777" w:rsidR="00D550E9" w:rsidRPr="00D550E9" w:rsidRDefault="00D550E9" w:rsidP="00D550E9">
      <w:pPr>
        <w:spacing w:line="276" w:lineRule="auto"/>
        <w:rPr>
          <w:rFonts w:ascii="Arial Narrow" w:eastAsia="Calibri" w:hAnsi="Arial Narrow"/>
          <w:sz w:val="20"/>
          <w:lang w:eastAsia="en-US"/>
        </w:rPr>
      </w:pPr>
      <w:r w:rsidRPr="00D550E9">
        <w:rPr>
          <w:rFonts w:ascii="Arial Narrow" w:eastAsia="Calibri" w:hAnsi="Arial Narrow"/>
          <w:sz w:val="20"/>
          <w:vertAlign w:val="superscript"/>
          <w:lang w:eastAsia="en-US"/>
        </w:rPr>
        <w:t xml:space="preserve">g </w:t>
      </w:r>
      <w:r w:rsidRPr="00D550E9">
        <w:rPr>
          <w:rFonts w:ascii="Arial Narrow" w:eastAsia="Calibri" w:hAnsi="Arial Narrow"/>
          <w:sz w:val="20"/>
          <w:lang w:eastAsia="en-US"/>
        </w:rPr>
        <w:t xml:space="preserve">= Univariate logistic regression analysis </w:t>
      </w:r>
    </w:p>
    <w:p w14:paraId="316D5F0C" w14:textId="77777777" w:rsidR="00D550E9" w:rsidRPr="00D550E9" w:rsidRDefault="00D550E9" w:rsidP="00D550E9">
      <w:pPr>
        <w:spacing w:line="276" w:lineRule="auto"/>
        <w:rPr>
          <w:rFonts w:ascii="Arial Narrow" w:eastAsia="Calibri" w:hAnsi="Arial Narrow"/>
          <w:sz w:val="20"/>
          <w:lang w:eastAsia="en-US"/>
        </w:rPr>
      </w:pPr>
      <w:r w:rsidRPr="00D550E9">
        <w:rPr>
          <w:rFonts w:ascii="Arial Narrow" w:eastAsia="Calibri" w:hAnsi="Arial Narrow"/>
          <w:sz w:val="20"/>
          <w:vertAlign w:val="superscript"/>
          <w:lang w:eastAsia="en-US"/>
        </w:rPr>
        <w:t>h</w:t>
      </w:r>
      <w:r w:rsidRPr="00D550E9">
        <w:rPr>
          <w:rFonts w:ascii="Arial Narrow" w:eastAsia="Calibri" w:hAnsi="Arial Narrow"/>
          <w:sz w:val="20"/>
          <w:lang w:eastAsia="en-US"/>
        </w:rPr>
        <w:t xml:space="preserve"> = presented are number of patients with cardiac events / patients with no cardiac events after 1 year follow-up (% cardiac events)</w:t>
      </w:r>
    </w:p>
    <w:p w14:paraId="4BE424B4" w14:textId="77777777" w:rsidR="00D550E9" w:rsidRPr="00D550E9" w:rsidRDefault="00D550E9" w:rsidP="00D550E9">
      <w:pPr>
        <w:spacing w:line="276" w:lineRule="auto"/>
        <w:rPr>
          <w:rFonts w:ascii="Arial Narrow" w:eastAsia="Calibri" w:hAnsi="Arial Narrow"/>
          <w:sz w:val="20"/>
          <w:lang w:eastAsia="en-US"/>
        </w:rPr>
      </w:pPr>
      <w:r w:rsidRPr="00D550E9">
        <w:rPr>
          <w:rFonts w:ascii="Arial Narrow" w:eastAsia="Calibri" w:hAnsi="Arial Narrow"/>
          <w:sz w:val="20"/>
          <w:vertAlign w:val="superscript"/>
          <w:lang w:eastAsia="en-US"/>
        </w:rPr>
        <w:t>i</w:t>
      </w:r>
      <w:r w:rsidRPr="00D550E9">
        <w:rPr>
          <w:rFonts w:ascii="Arial Narrow" w:eastAsia="Calibri" w:hAnsi="Arial Narrow"/>
          <w:sz w:val="20"/>
          <w:lang w:eastAsia="en-US"/>
        </w:rPr>
        <w:t xml:space="preserve"> = calculated via logistic regression with adjustment for age, sex, hypertension, diabetes, smoking, and LDL-C levels.</w:t>
      </w:r>
    </w:p>
    <w:p w14:paraId="592773EC" w14:textId="4E0DFCAB" w:rsidR="00C064F2" w:rsidRDefault="00D550E9" w:rsidP="00D550E9">
      <w:pPr>
        <w:contextualSpacing/>
      </w:pPr>
      <w:r w:rsidRPr="00D550E9">
        <w:rPr>
          <w:rFonts w:ascii="Arial Narrow" w:hAnsi="Arial Narrow" w:cs="Tahoma"/>
          <w:snapToGrid w:val="0"/>
          <w:sz w:val="20"/>
          <w:szCs w:val="22"/>
          <w:vertAlign w:val="superscript"/>
          <w:lang w:eastAsia="en-US"/>
        </w:rPr>
        <w:t>j</w:t>
      </w:r>
      <w:r w:rsidRPr="00D550E9">
        <w:rPr>
          <w:rFonts w:ascii="Arial Narrow" w:hAnsi="Arial Narrow" w:cs="Tahoma"/>
          <w:snapToGrid w:val="0"/>
          <w:sz w:val="20"/>
          <w:szCs w:val="22"/>
          <w:lang w:eastAsia="en-US"/>
        </w:rPr>
        <w:t xml:space="preserve"> = clinical signs were defined as xantoma and/or family history of FH</w:t>
      </w:r>
    </w:p>
    <w:p w14:paraId="599715A6" w14:textId="77777777" w:rsidR="00C064F2" w:rsidRDefault="00C064F2" w:rsidP="00C064F2">
      <w:pPr>
        <w:pStyle w:val="Heading2"/>
      </w:pPr>
      <w:r>
        <w:lastRenderedPageBreak/>
        <w:t>Key clinical utility consequences</w:t>
      </w:r>
    </w:p>
    <w:p w14:paraId="22B95B9E" w14:textId="472C7848" w:rsidR="00C064F2" w:rsidRDefault="00C064F2" w:rsidP="00CD3F08">
      <w:pPr>
        <w:spacing w:after="240"/>
      </w:pPr>
      <w:r>
        <w:t xml:space="preserve">A single before and after case series in </w:t>
      </w:r>
      <w:r w:rsidR="00DC2064">
        <w:t>affected individuals</w:t>
      </w:r>
      <w:r>
        <w:t xml:space="preserve"> reported that patients who received a genetic diagnosis of FH were more likely to take lipid lowering treatment (LLT) after diagnosis.</w:t>
      </w:r>
    </w:p>
    <w:p w14:paraId="3BFC8AED" w14:textId="7D975B65" w:rsidR="00C064F2" w:rsidRDefault="00C064F2" w:rsidP="00C064F2">
      <w:r>
        <w:t>In family members, a larger volume of evidence of before and after case series was consistent that having a FH mutation will:</w:t>
      </w:r>
    </w:p>
    <w:p w14:paraId="626A675C" w14:textId="77777777" w:rsidR="00C064F2" w:rsidRDefault="00C064F2" w:rsidP="00C064F2">
      <w:pPr>
        <w:pStyle w:val="ListParagraph"/>
        <w:numPr>
          <w:ilvl w:val="0"/>
          <w:numId w:val="31"/>
        </w:numPr>
      </w:pPr>
      <w:r>
        <w:t>result in most patients seeing a physician regarding their FH,</w:t>
      </w:r>
    </w:p>
    <w:p w14:paraId="270C1648" w14:textId="5FFD556C" w:rsidR="00C064F2" w:rsidRDefault="00C064F2" w:rsidP="00C064F2">
      <w:pPr>
        <w:pStyle w:val="ListParagraph"/>
        <w:numPr>
          <w:ilvl w:val="0"/>
          <w:numId w:val="31"/>
        </w:numPr>
      </w:pPr>
      <w:r>
        <w:t>increase the intensity or rate of LLT (i.e. increase the proportion of patients receiving LLT and</w:t>
      </w:r>
      <w:r w:rsidR="00B47793">
        <w:t>,</w:t>
      </w:r>
      <w:r>
        <w:t xml:space="preserve"> for 30% of those already on LLT, it will increase the dose), and</w:t>
      </w:r>
    </w:p>
    <w:p w14:paraId="6F3E78C7" w14:textId="67A91CCC" w:rsidR="00C064F2" w:rsidRDefault="00C064F2" w:rsidP="00CD3F08">
      <w:pPr>
        <w:pStyle w:val="ListParagraph"/>
        <w:numPr>
          <w:ilvl w:val="0"/>
          <w:numId w:val="31"/>
        </w:numPr>
        <w:spacing w:after="240"/>
      </w:pPr>
      <w:r>
        <w:t>marginally reduce the smoking rate and lead to a change in diet in around a third of patients.</w:t>
      </w:r>
    </w:p>
    <w:p w14:paraId="5202ECF4" w14:textId="5DBF6C61" w:rsidR="00C064F2" w:rsidRDefault="00C064F2" w:rsidP="00CD3F08">
      <w:pPr>
        <w:spacing w:after="240"/>
      </w:pPr>
      <w:r>
        <w:t>Single arm evidence in people with FH, and a large meta-analysis of randomised trials in a broader population (participants in large trials of statins) supported the effectiveness of LLT for reducing LDL cholesterol. Lower LDL cholesterol results in fewer coronary or vascular events, and reduced mortality.</w:t>
      </w:r>
    </w:p>
    <w:p w14:paraId="74589734" w14:textId="67B8E9C9" w:rsidR="00C064F2" w:rsidRDefault="00C064F2" w:rsidP="00CD3F08">
      <w:pPr>
        <w:spacing w:after="240"/>
      </w:pPr>
      <w:r>
        <w:t>These results indicate that if FH mutation testing is performed then there will be changes in patient management and potential benefits in terms of the prevention of cardiovascular events. However, what is not clear is whether these changes occur anyway as a consequence of standard clinical practice where patients (and their family members) with hypercholesterolaemia are identified on the basis of clinical criteria.</w:t>
      </w:r>
    </w:p>
    <w:p w14:paraId="7068284C" w14:textId="442E471C" w:rsidR="00C064F2" w:rsidRDefault="00C064F2" w:rsidP="00CD3F08">
      <w:pPr>
        <w:spacing w:after="240"/>
      </w:pPr>
      <w:r>
        <w:t>Two randomised trials compared the uptake of cascade screening using standard practice (in the absence of genetic testing) versus genetic testing. The results of these trials were contradictory regarding which genetic screening or lipid screening resulted in more family members being screened. Other studies which directly compared genetic testing with standard practice reported no differences in the psychological consequences of the two testing methods</w:t>
      </w:r>
      <w:r w:rsidR="00B47793">
        <w:t>.</w:t>
      </w:r>
    </w:p>
    <w:p w14:paraId="66DECD2A" w14:textId="77777777" w:rsidR="00C064F2" w:rsidRPr="00C064F2" w:rsidRDefault="00C064F2" w:rsidP="00C064F2">
      <w:r>
        <w:t>The critical clinical utility uncertainty for FH genetic testing in Australia is the added value of genetic testing over the standard practice management of patients with FH.</w:t>
      </w:r>
    </w:p>
    <w:p w14:paraId="0C71B148" w14:textId="2DC87AB9" w:rsidR="00F37B9C" w:rsidRDefault="00F37B9C" w:rsidP="00C064F2">
      <w:pPr>
        <w:pStyle w:val="Heading2"/>
        <w:rPr>
          <w:b/>
        </w:rPr>
      </w:pPr>
      <w:r w:rsidRPr="00F37B9C">
        <w:rPr>
          <w:b/>
        </w:rPr>
        <w:t xml:space="preserve">Clinical </w:t>
      </w:r>
      <w:r w:rsidR="00DC2064">
        <w:rPr>
          <w:b/>
        </w:rPr>
        <w:t>c</w:t>
      </w:r>
      <w:r w:rsidRPr="00F37B9C">
        <w:rPr>
          <w:b/>
        </w:rPr>
        <w:t>laim</w:t>
      </w:r>
    </w:p>
    <w:p w14:paraId="00AAD5A7" w14:textId="77777777" w:rsidR="00C064F2" w:rsidRDefault="00C064F2" w:rsidP="00C064F2">
      <w:r>
        <w:t>The CA made clinical claims for each population:</w:t>
      </w:r>
    </w:p>
    <w:p w14:paraId="1ED40E00" w14:textId="14C30161" w:rsidR="00C064F2" w:rsidRPr="00DC2064" w:rsidRDefault="0030646E" w:rsidP="0030646E">
      <w:pPr>
        <w:pStyle w:val="ListParagraph"/>
        <w:numPr>
          <w:ilvl w:val="0"/>
          <w:numId w:val="31"/>
        </w:numPr>
      </w:pPr>
      <w:r w:rsidRPr="00DC2064">
        <w:t>f</w:t>
      </w:r>
      <w:r w:rsidR="00C064F2" w:rsidRPr="00DC2064">
        <w:t xml:space="preserve">or </w:t>
      </w:r>
      <w:r w:rsidR="00DC2064" w:rsidRPr="00DC2064">
        <w:t>affected individuals</w:t>
      </w:r>
      <w:r w:rsidR="00C064F2" w:rsidRPr="00DC2064">
        <w:t>: on the basis of the evidence, it is suggested that, relative to lipid testing alone, genetic testing for FH and associated interventions has non-inferior safety and unce</w:t>
      </w:r>
      <w:r>
        <w:t>rtain incremental effectiveness; and</w:t>
      </w:r>
    </w:p>
    <w:p w14:paraId="76556E68" w14:textId="085D731E" w:rsidR="00C064F2" w:rsidRPr="00DC2064" w:rsidRDefault="0030646E" w:rsidP="0030646E">
      <w:pPr>
        <w:pStyle w:val="ListParagraph"/>
        <w:numPr>
          <w:ilvl w:val="0"/>
          <w:numId w:val="31"/>
        </w:numPr>
      </w:pPr>
      <w:r>
        <w:t>f</w:t>
      </w:r>
      <w:r w:rsidR="00C064F2" w:rsidRPr="00DC2064">
        <w:t>or family members: on the basis of the evidence, it is suggested that, relative to cascade lipid testing alone, cascade genetic testing for FH associated interventions has non-inferior safety and uncertain incremental effectiveness.</w:t>
      </w:r>
    </w:p>
    <w:p w14:paraId="46796FF6" w14:textId="77777777" w:rsidR="00BC1364" w:rsidRPr="00F715D1" w:rsidRDefault="00BC1364" w:rsidP="00F715D1">
      <w:pPr>
        <w:pStyle w:val="Heading1"/>
      </w:pPr>
      <w:r w:rsidRPr="00F715D1">
        <w:t>Economic evaluation</w:t>
      </w:r>
    </w:p>
    <w:p w14:paraId="3E7114EC" w14:textId="1F4B7177" w:rsidR="005479EB" w:rsidRDefault="00C064F2">
      <w:r>
        <w:t>The summary of the CAs exploratory economic evaluation is pr</w:t>
      </w:r>
      <w:r w:rsidR="00722D57">
        <w:t xml:space="preserve">esented in </w:t>
      </w:r>
      <w:r w:rsidR="00722D57">
        <w:fldChar w:fldCharType="begin"/>
      </w:r>
      <w:r w:rsidR="00722D57">
        <w:instrText xml:space="preserve"> REF _Ref11160476 \h </w:instrText>
      </w:r>
      <w:r w:rsidR="00722D57">
        <w:fldChar w:fldCharType="separate"/>
      </w:r>
      <w:r w:rsidR="00722D57">
        <w:t xml:space="preserve">Table </w:t>
      </w:r>
      <w:r w:rsidR="00722D57">
        <w:rPr>
          <w:noProof/>
        </w:rPr>
        <w:t>5</w:t>
      </w:r>
      <w:r w:rsidR="00722D57">
        <w:fldChar w:fldCharType="end"/>
      </w:r>
      <w:r w:rsidR="00722D57">
        <w:t>.</w:t>
      </w:r>
      <w:r w:rsidR="005479EB">
        <w:br w:type="page"/>
      </w:r>
    </w:p>
    <w:p w14:paraId="79671593" w14:textId="66A1F94A" w:rsidR="00C064F2" w:rsidRPr="00162774" w:rsidRDefault="00722D57" w:rsidP="00162774">
      <w:pPr>
        <w:rPr>
          <w:rFonts w:ascii="Arial Narrow" w:hAnsi="Arial Narrow"/>
          <w:b/>
          <w:sz w:val="20"/>
        </w:rPr>
      </w:pPr>
      <w:bookmarkStart w:id="11" w:name="_Ref11160476"/>
      <w:bookmarkStart w:id="12" w:name="_Toc432677301"/>
      <w:r w:rsidRPr="00162774">
        <w:rPr>
          <w:rFonts w:ascii="Arial Narrow" w:hAnsi="Arial Narrow"/>
          <w:b/>
          <w:sz w:val="20"/>
        </w:rPr>
        <w:lastRenderedPageBreak/>
        <w:t xml:space="preserve">Table </w:t>
      </w:r>
      <w:r w:rsidR="00B108E7" w:rsidRPr="00162774">
        <w:rPr>
          <w:rFonts w:ascii="Arial Narrow" w:hAnsi="Arial Narrow"/>
          <w:b/>
          <w:sz w:val="20"/>
        </w:rPr>
        <w:fldChar w:fldCharType="begin"/>
      </w:r>
      <w:r w:rsidR="00B108E7" w:rsidRPr="00162774">
        <w:rPr>
          <w:rFonts w:ascii="Arial Narrow" w:hAnsi="Arial Narrow"/>
          <w:b/>
          <w:sz w:val="20"/>
        </w:rPr>
        <w:instrText xml:space="preserve"> SEQ Table \* ARABIC </w:instrText>
      </w:r>
      <w:r w:rsidR="00B108E7" w:rsidRPr="00162774">
        <w:rPr>
          <w:rFonts w:ascii="Arial Narrow" w:hAnsi="Arial Narrow"/>
          <w:b/>
          <w:sz w:val="20"/>
        </w:rPr>
        <w:fldChar w:fldCharType="separate"/>
      </w:r>
      <w:r w:rsidRPr="00162774">
        <w:rPr>
          <w:rFonts w:ascii="Arial Narrow" w:hAnsi="Arial Narrow"/>
          <w:b/>
          <w:sz w:val="20"/>
        </w:rPr>
        <w:t>5</w:t>
      </w:r>
      <w:r w:rsidR="00B108E7" w:rsidRPr="00162774">
        <w:rPr>
          <w:rFonts w:ascii="Arial Narrow" w:hAnsi="Arial Narrow"/>
          <w:b/>
          <w:sz w:val="20"/>
        </w:rPr>
        <w:fldChar w:fldCharType="end"/>
      </w:r>
      <w:bookmarkEnd w:id="11"/>
      <w:r w:rsidRPr="00162774">
        <w:rPr>
          <w:rFonts w:ascii="Arial Narrow" w:hAnsi="Arial Narrow"/>
          <w:b/>
          <w:sz w:val="20"/>
        </w:rPr>
        <w:tab/>
      </w:r>
      <w:r w:rsidR="00C064F2" w:rsidRPr="00162774">
        <w:rPr>
          <w:rFonts w:ascii="Arial Narrow" w:hAnsi="Arial Narrow"/>
          <w:b/>
          <w:sz w:val="20"/>
        </w:rPr>
        <w:t>Summary of the economic evaluation</w:t>
      </w:r>
      <w:bookmarkEnd w:id="12"/>
    </w:p>
    <w:tbl>
      <w:tblPr>
        <w:tblStyle w:val="TableGrid1"/>
        <w:tblW w:w="5000" w:type="pct"/>
        <w:tblLayout w:type="fixed"/>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2689"/>
        <w:gridCol w:w="6327"/>
      </w:tblGrid>
      <w:tr w:rsidR="00C064F2" w:rsidRPr="00183E4D" w14:paraId="5175BCBD" w14:textId="77777777" w:rsidTr="00D8205F">
        <w:trPr>
          <w:cnfStyle w:val="100000000000" w:firstRow="1" w:lastRow="0" w:firstColumn="0" w:lastColumn="0" w:oddVBand="0" w:evenVBand="0" w:oddHBand="0" w:evenHBand="0" w:firstRowFirstColumn="0" w:firstRowLastColumn="0" w:lastRowFirstColumn="0" w:lastRowLastColumn="0"/>
          <w:trHeight w:val="20"/>
          <w:tblHeader/>
        </w:trPr>
        <w:tc>
          <w:tcPr>
            <w:tcW w:w="1491" w:type="pct"/>
          </w:tcPr>
          <w:p w14:paraId="02B3A7A2" w14:textId="77777777" w:rsidR="00C064F2" w:rsidRPr="00183E4D" w:rsidRDefault="00C064F2" w:rsidP="005D55BA">
            <w:pPr>
              <w:pStyle w:val="TableHeading"/>
              <w:keepNext w:val="0"/>
              <w:widowControl w:val="0"/>
            </w:pPr>
            <w:r w:rsidRPr="00285F70">
              <w:t>Perspective</w:t>
            </w:r>
          </w:p>
        </w:tc>
        <w:tc>
          <w:tcPr>
            <w:tcW w:w="3509" w:type="pct"/>
          </w:tcPr>
          <w:p w14:paraId="4132B5D0" w14:textId="77777777" w:rsidR="00C064F2" w:rsidRPr="00183E4D" w:rsidRDefault="00C064F2" w:rsidP="00741FC5">
            <w:pPr>
              <w:pStyle w:val="TableText0"/>
            </w:pPr>
            <w:r w:rsidRPr="000E6945">
              <w:t>Australian health care system</w:t>
            </w:r>
          </w:p>
        </w:tc>
      </w:tr>
      <w:tr w:rsidR="00C064F2" w:rsidRPr="00183E4D" w14:paraId="605C25E3" w14:textId="77777777" w:rsidTr="00D8205F">
        <w:trPr>
          <w:trHeight w:val="20"/>
        </w:trPr>
        <w:tc>
          <w:tcPr>
            <w:tcW w:w="1491" w:type="pct"/>
          </w:tcPr>
          <w:p w14:paraId="2CD676C7" w14:textId="77777777" w:rsidR="00C064F2" w:rsidRPr="00183E4D" w:rsidRDefault="00C064F2" w:rsidP="005D55BA">
            <w:pPr>
              <w:pStyle w:val="TableHeading"/>
              <w:keepNext w:val="0"/>
              <w:widowControl w:val="0"/>
            </w:pPr>
            <w:r w:rsidRPr="00285F70">
              <w:t>Population</w:t>
            </w:r>
          </w:p>
        </w:tc>
        <w:tc>
          <w:tcPr>
            <w:tcW w:w="3509" w:type="pct"/>
          </w:tcPr>
          <w:p w14:paraId="3A977B26" w14:textId="77777777" w:rsidR="00C064F2" w:rsidRPr="00183E4D" w:rsidRDefault="00C064F2" w:rsidP="00741FC5">
            <w:pPr>
              <w:pStyle w:val="TableText0"/>
            </w:pPr>
            <w:r w:rsidRPr="000E6945">
              <w:t xml:space="preserve">People with ‘probable’ or ‘definite’ FH and </w:t>
            </w:r>
            <w:r>
              <w:t xml:space="preserve">first- and second-degree </w:t>
            </w:r>
            <w:r w:rsidRPr="000E6945">
              <w:t>relatives</w:t>
            </w:r>
            <w:r>
              <w:t xml:space="preserve"> of cases identified with mutations</w:t>
            </w:r>
          </w:p>
        </w:tc>
      </w:tr>
      <w:tr w:rsidR="00C064F2" w:rsidRPr="00183E4D" w14:paraId="463780A8" w14:textId="77777777" w:rsidTr="00D8205F">
        <w:trPr>
          <w:trHeight w:val="20"/>
        </w:trPr>
        <w:tc>
          <w:tcPr>
            <w:tcW w:w="1491" w:type="pct"/>
          </w:tcPr>
          <w:p w14:paraId="4A266170" w14:textId="77777777" w:rsidR="00C064F2" w:rsidRPr="00183E4D" w:rsidRDefault="00C064F2" w:rsidP="005D55BA">
            <w:pPr>
              <w:pStyle w:val="TableHeading"/>
              <w:keepNext w:val="0"/>
              <w:widowControl w:val="0"/>
            </w:pPr>
            <w:r w:rsidRPr="00285F70">
              <w:t>Prior testing</w:t>
            </w:r>
          </w:p>
        </w:tc>
        <w:tc>
          <w:tcPr>
            <w:tcW w:w="3509" w:type="pct"/>
          </w:tcPr>
          <w:p w14:paraId="3D74D5B6" w14:textId="77777777" w:rsidR="00C064F2" w:rsidRPr="00183E4D" w:rsidRDefault="00C064F2" w:rsidP="00741FC5">
            <w:pPr>
              <w:pStyle w:val="TableText0"/>
            </w:pPr>
            <w:r>
              <w:t>Lipid testing (including t</w:t>
            </w:r>
            <w:r w:rsidRPr="00873E37">
              <w:t xml:space="preserve">otal cholesterol, </w:t>
            </w:r>
            <w:r>
              <w:t xml:space="preserve">HDL-C and </w:t>
            </w:r>
            <w:r w:rsidRPr="00873E37">
              <w:t>triglycerides</w:t>
            </w:r>
            <w:r>
              <w:t xml:space="preserve"> (which are used to calculate LDL-C))</w:t>
            </w:r>
          </w:p>
        </w:tc>
      </w:tr>
      <w:tr w:rsidR="00C064F2" w:rsidRPr="00183E4D" w14:paraId="4ABFE793" w14:textId="77777777" w:rsidTr="00D8205F">
        <w:trPr>
          <w:trHeight w:val="20"/>
        </w:trPr>
        <w:tc>
          <w:tcPr>
            <w:tcW w:w="1491" w:type="pct"/>
          </w:tcPr>
          <w:p w14:paraId="5A4F8931" w14:textId="77777777" w:rsidR="00C064F2" w:rsidRPr="00183E4D" w:rsidRDefault="00C064F2" w:rsidP="005D55BA">
            <w:pPr>
              <w:pStyle w:val="TableHeading"/>
              <w:keepNext w:val="0"/>
              <w:widowControl w:val="0"/>
            </w:pPr>
            <w:r w:rsidRPr="00285F70">
              <w:t>Comparator</w:t>
            </w:r>
          </w:p>
        </w:tc>
        <w:tc>
          <w:tcPr>
            <w:tcW w:w="3509" w:type="pct"/>
          </w:tcPr>
          <w:p w14:paraId="384F06AD" w14:textId="745C4FF4" w:rsidR="00C064F2" w:rsidRPr="00183E4D" w:rsidRDefault="00C064F2" w:rsidP="00741FC5">
            <w:pPr>
              <w:pStyle w:val="TableText0"/>
            </w:pPr>
            <w:r w:rsidRPr="000E6945">
              <w:t xml:space="preserve">No genetic testing available </w:t>
            </w:r>
            <w:r w:rsidR="00DC2064">
              <w:t>for</w:t>
            </w:r>
            <w:r w:rsidR="00DC2064" w:rsidRPr="00DC2064">
              <w:t xml:space="preserve"> affected individuals</w:t>
            </w:r>
            <w:r w:rsidRPr="000E6945">
              <w:t>, followed by lipid family cascade screening</w:t>
            </w:r>
          </w:p>
        </w:tc>
      </w:tr>
      <w:tr w:rsidR="00C064F2" w:rsidRPr="00183E4D" w14:paraId="6EFBAF8D" w14:textId="77777777" w:rsidTr="00D8205F">
        <w:trPr>
          <w:trHeight w:val="20"/>
        </w:trPr>
        <w:tc>
          <w:tcPr>
            <w:tcW w:w="1491" w:type="pct"/>
            <w:hideMark/>
          </w:tcPr>
          <w:p w14:paraId="3F23CC3E" w14:textId="77777777" w:rsidR="00C064F2" w:rsidRPr="00183E4D" w:rsidRDefault="00C064F2" w:rsidP="005D55BA">
            <w:pPr>
              <w:pStyle w:val="TableHeading"/>
              <w:keepNext w:val="0"/>
              <w:widowControl w:val="0"/>
            </w:pPr>
            <w:r w:rsidRPr="00285F70">
              <w:t>Type of economic evaluation</w:t>
            </w:r>
          </w:p>
        </w:tc>
        <w:tc>
          <w:tcPr>
            <w:tcW w:w="3509" w:type="pct"/>
            <w:hideMark/>
          </w:tcPr>
          <w:p w14:paraId="5B5F3832" w14:textId="77777777" w:rsidR="00C064F2" w:rsidRPr="00183E4D" w:rsidRDefault="00C064F2" w:rsidP="00741FC5">
            <w:pPr>
              <w:pStyle w:val="TableText0"/>
            </w:pPr>
            <w:r>
              <w:t>Exploratory c</w:t>
            </w:r>
            <w:r w:rsidRPr="000E6945">
              <w:t>ost-utility analysis and cost-effectiveness analysis</w:t>
            </w:r>
          </w:p>
        </w:tc>
      </w:tr>
      <w:tr w:rsidR="00C064F2" w:rsidRPr="00183E4D" w14:paraId="707A5A4C" w14:textId="77777777" w:rsidTr="00D8205F">
        <w:trPr>
          <w:trHeight w:val="20"/>
        </w:trPr>
        <w:tc>
          <w:tcPr>
            <w:tcW w:w="1491" w:type="pct"/>
            <w:hideMark/>
          </w:tcPr>
          <w:p w14:paraId="488AA8D0" w14:textId="77777777" w:rsidR="00C064F2" w:rsidRPr="00183E4D" w:rsidRDefault="00C064F2" w:rsidP="005D55BA">
            <w:pPr>
              <w:pStyle w:val="TableHeading"/>
              <w:keepNext w:val="0"/>
              <w:widowControl w:val="0"/>
            </w:pPr>
            <w:r w:rsidRPr="00285F70">
              <w:t>Outcomes</w:t>
            </w:r>
          </w:p>
        </w:tc>
        <w:tc>
          <w:tcPr>
            <w:tcW w:w="3509" w:type="pct"/>
          </w:tcPr>
          <w:p w14:paraId="0A7AFF52" w14:textId="77777777" w:rsidR="00C064F2" w:rsidRDefault="00C064F2" w:rsidP="00741FC5">
            <w:pPr>
              <w:pStyle w:val="TableText0"/>
            </w:pPr>
            <w:r>
              <w:t>Quality-adjusted life years gained</w:t>
            </w:r>
          </w:p>
          <w:p w14:paraId="2BA19268" w14:textId="77777777" w:rsidR="00C064F2" w:rsidRPr="00183E4D" w:rsidRDefault="00C064F2" w:rsidP="00741FC5">
            <w:pPr>
              <w:pStyle w:val="TableText0"/>
            </w:pPr>
            <w:r>
              <w:t>Life-years gained</w:t>
            </w:r>
          </w:p>
        </w:tc>
      </w:tr>
      <w:tr w:rsidR="00C064F2" w:rsidRPr="00183E4D" w14:paraId="5400EA44" w14:textId="77777777" w:rsidTr="00D8205F">
        <w:trPr>
          <w:trHeight w:val="20"/>
        </w:trPr>
        <w:tc>
          <w:tcPr>
            <w:tcW w:w="1491" w:type="pct"/>
            <w:hideMark/>
          </w:tcPr>
          <w:p w14:paraId="20E7107E" w14:textId="77777777" w:rsidR="00C064F2" w:rsidRPr="00183E4D" w:rsidRDefault="00C064F2" w:rsidP="005D55BA">
            <w:pPr>
              <w:pStyle w:val="TableHeading"/>
              <w:keepNext w:val="0"/>
              <w:widowControl w:val="0"/>
            </w:pPr>
            <w:r w:rsidRPr="00285F70">
              <w:t>Sources of evidence</w:t>
            </w:r>
          </w:p>
        </w:tc>
        <w:tc>
          <w:tcPr>
            <w:tcW w:w="3509" w:type="pct"/>
          </w:tcPr>
          <w:p w14:paraId="5B70876A" w14:textId="77777777" w:rsidR="00C064F2" w:rsidRDefault="00C064F2" w:rsidP="00741FC5">
            <w:pPr>
              <w:pStyle w:val="TableText0"/>
            </w:pPr>
            <w:r w:rsidRPr="00F16EC1">
              <w:t>Systematic review of the literature</w:t>
            </w:r>
            <w:r>
              <w:t xml:space="preserve"> (which had inconclusive findings).</w:t>
            </w:r>
          </w:p>
          <w:p w14:paraId="0707DEF4" w14:textId="77777777" w:rsidR="00C064F2" w:rsidRPr="00183E4D" w:rsidRDefault="00C064F2" w:rsidP="00741FC5">
            <w:pPr>
              <w:pStyle w:val="TableText0"/>
            </w:pPr>
            <w:r>
              <w:t>Additional AIHW data, published literature, unpublished data and expert opinion where required.</w:t>
            </w:r>
          </w:p>
        </w:tc>
      </w:tr>
      <w:tr w:rsidR="00C064F2" w:rsidRPr="00183E4D" w14:paraId="166BDE98" w14:textId="77777777" w:rsidTr="00D8205F">
        <w:trPr>
          <w:trHeight w:val="20"/>
        </w:trPr>
        <w:tc>
          <w:tcPr>
            <w:tcW w:w="1491" w:type="pct"/>
          </w:tcPr>
          <w:p w14:paraId="42281250" w14:textId="77777777" w:rsidR="00C064F2" w:rsidRPr="00183E4D" w:rsidRDefault="00C064F2" w:rsidP="00722D57">
            <w:pPr>
              <w:pStyle w:val="TableHeading"/>
              <w:keepNext w:val="0"/>
              <w:widowControl w:val="0"/>
              <w:ind w:left="22" w:hanging="22"/>
              <w:jc w:val="left"/>
            </w:pPr>
            <w:r w:rsidRPr="00285F70">
              <w:t>Methods used to generate results</w:t>
            </w:r>
          </w:p>
        </w:tc>
        <w:tc>
          <w:tcPr>
            <w:tcW w:w="3509" w:type="pct"/>
          </w:tcPr>
          <w:p w14:paraId="16535836" w14:textId="77777777" w:rsidR="00C064F2" w:rsidRPr="00183E4D" w:rsidRDefault="00C064F2" w:rsidP="00741FC5">
            <w:pPr>
              <w:pStyle w:val="TableText0"/>
            </w:pPr>
            <w:r w:rsidRPr="00F16EC1">
              <w:t>Decision tree and Markov model.</w:t>
            </w:r>
          </w:p>
        </w:tc>
      </w:tr>
      <w:tr w:rsidR="00C064F2" w:rsidRPr="00183E4D" w14:paraId="3F4F1CE3" w14:textId="77777777" w:rsidTr="00D8205F">
        <w:trPr>
          <w:trHeight w:val="20"/>
        </w:trPr>
        <w:tc>
          <w:tcPr>
            <w:tcW w:w="1491" w:type="pct"/>
            <w:hideMark/>
          </w:tcPr>
          <w:p w14:paraId="434731EE" w14:textId="77777777" w:rsidR="00C064F2" w:rsidRPr="00183E4D" w:rsidRDefault="00C064F2" w:rsidP="005D55BA">
            <w:pPr>
              <w:pStyle w:val="TableHeading"/>
              <w:keepNext w:val="0"/>
              <w:widowControl w:val="0"/>
            </w:pPr>
            <w:r w:rsidRPr="00285F70">
              <w:t>Cohorts modelled</w:t>
            </w:r>
          </w:p>
        </w:tc>
        <w:tc>
          <w:tcPr>
            <w:tcW w:w="3509" w:type="pct"/>
          </w:tcPr>
          <w:p w14:paraId="1D534098" w14:textId="49533EB3" w:rsidR="00C064F2" w:rsidRDefault="00C064F2" w:rsidP="00741FC5">
            <w:pPr>
              <w:pStyle w:val="TableText0"/>
            </w:pPr>
            <w:r>
              <w:t xml:space="preserve">FH </w:t>
            </w:r>
            <w:r w:rsidR="00DC2064" w:rsidRPr="00DC2064">
              <w:t>affected individuals</w:t>
            </w:r>
          </w:p>
          <w:p w14:paraId="1DE1C57D" w14:textId="24136DE7" w:rsidR="00C064F2" w:rsidRDefault="00C064F2" w:rsidP="00741FC5">
            <w:pPr>
              <w:pStyle w:val="TableText0"/>
            </w:pPr>
            <w:r>
              <w:t xml:space="preserve">Adult relatives of FH </w:t>
            </w:r>
            <w:r w:rsidR="00DC2064" w:rsidRPr="00DC2064">
              <w:t>affected individuals</w:t>
            </w:r>
          </w:p>
          <w:p w14:paraId="7961FDB6" w14:textId="186BF4A9" w:rsidR="00C064F2" w:rsidRPr="00183E4D" w:rsidRDefault="00C064F2" w:rsidP="00741FC5">
            <w:pPr>
              <w:pStyle w:val="TableText0"/>
            </w:pPr>
            <w:r>
              <w:t xml:space="preserve">Child/adolescent relatives of FH </w:t>
            </w:r>
            <w:r w:rsidR="00DC2064" w:rsidRPr="00DC2064">
              <w:t>affected individuals</w:t>
            </w:r>
          </w:p>
        </w:tc>
      </w:tr>
      <w:tr w:rsidR="00C064F2" w:rsidRPr="00183E4D" w14:paraId="1086682D" w14:textId="77777777" w:rsidTr="00D8205F">
        <w:trPr>
          <w:trHeight w:val="20"/>
        </w:trPr>
        <w:tc>
          <w:tcPr>
            <w:tcW w:w="1491" w:type="pct"/>
            <w:hideMark/>
          </w:tcPr>
          <w:p w14:paraId="59140E59" w14:textId="77777777" w:rsidR="00C064F2" w:rsidRPr="00183E4D" w:rsidRDefault="00C064F2" w:rsidP="005D55BA">
            <w:pPr>
              <w:pStyle w:val="TableHeading"/>
              <w:keepNext w:val="0"/>
              <w:widowControl w:val="0"/>
            </w:pPr>
            <w:r>
              <w:t>Age at model entry</w:t>
            </w:r>
          </w:p>
        </w:tc>
        <w:tc>
          <w:tcPr>
            <w:tcW w:w="3509" w:type="pct"/>
          </w:tcPr>
          <w:p w14:paraId="71775D06" w14:textId="0095C4A6" w:rsidR="00C064F2" w:rsidRDefault="00C064F2" w:rsidP="00741FC5">
            <w:pPr>
              <w:pStyle w:val="TableText0"/>
            </w:pPr>
            <w:r>
              <w:t xml:space="preserve">FH </w:t>
            </w:r>
            <w:r w:rsidR="00DC2064" w:rsidRPr="00DC2064">
              <w:t>testing of affected individuals</w:t>
            </w:r>
            <w:r>
              <w:t>: 47 years</w:t>
            </w:r>
          </w:p>
          <w:p w14:paraId="0B389037" w14:textId="5BD35CB7" w:rsidR="00C064F2" w:rsidRDefault="00C064F2" w:rsidP="00741FC5">
            <w:pPr>
              <w:pStyle w:val="TableText0"/>
            </w:pPr>
            <w:r>
              <w:t xml:space="preserve">Adult relatives of FH </w:t>
            </w:r>
            <w:r w:rsidR="00DC2064" w:rsidRPr="00DC2064">
              <w:t>testing of affected individuals</w:t>
            </w:r>
            <w:r>
              <w:t>: 36 years</w:t>
            </w:r>
          </w:p>
          <w:p w14:paraId="14014A27" w14:textId="507DA35A" w:rsidR="00C064F2" w:rsidRPr="00183E4D" w:rsidRDefault="00C064F2" w:rsidP="00741FC5">
            <w:pPr>
              <w:pStyle w:val="TableText0"/>
            </w:pPr>
            <w:r>
              <w:t xml:space="preserve">Child/adolescent relatives of FH </w:t>
            </w:r>
            <w:r w:rsidR="00DC2064" w:rsidRPr="00DC2064">
              <w:t>testing of affected individuals</w:t>
            </w:r>
            <w:r>
              <w:t>: 13 years</w:t>
            </w:r>
          </w:p>
        </w:tc>
      </w:tr>
      <w:tr w:rsidR="00C064F2" w:rsidRPr="00183E4D" w14:paraId="58B26905" w14:textId="77777777" w:rsidTr="00D8205F">
        <w:trPr>
          <w:trHeight w:val="20"/>
        </w:trPr>
        <w:tc>
          <w:tcPr>
            <w:tcW w:w="1491" w:type="pct"/>
            <w:hideMark/>
          </w:tcPr>
          <w:p w14:paraId="0F574E0F" w14:textId="77777777" w:rsidR="00C064F2" w:rsidRPr="00183E4D" w:rsidRDefault="00C064F2" w:rsidP="005D55BA">
            <w:pPr>
              <w:pStyle w:val="TableHeading"/>
              <w:keepNext w:val="0"/>
              <w:widowControl w:val="0"/>
            </w:pPr>
            <w:r w:rsidRPr="00285F70">
              <w:t>Time horizon</w:t>
            </w:r>
          </w:p>
        </w:tc>
        <w:tc>
          <w:tcPr>
            <w:tcW w:w="3509" w:type="pct"/>
          </w:tcPr>
          <w:p w14:paraId="235A4269" w14:textId="77777777" w:rsidR="00C064F2" w:rsidRPr="00183E4D" w:rsidRDefault="00C064F2" w:rsidP="00741FC5">
            <w:pPr>
              <w:pStyle w:val="TableText0"/>
            </w:pPr>
            <w:r w:rsidRPr="008B0D0C">
              <w:t>Lifetime (age = 100 years)</w:t>
            </w:r>
          </w:p>
        </w:tc>
      </w:tr>
      <w:tr w:rsidR="00C064F2" w:rsidRPr="00183E4D" w14:paraId="7528EB82" w14:textId="77777777" w:rsidTr="00D8205F">
        <w:trPr>
          <w:trHeight w:val="20"/>
        </w:trPr>
        <w:tc>
          <w:tcPr>
            <w:tcW w:w="1491" w:type="pct"/>
          </w:tcPr>
          <w:p w14:paraId="4F73CB78" w14:textId="77777777" w:rsidR="00C064F2" w:rsidRPr="00183E4D" w:rsidRDefault="00C064F2" w:rsidP="005D55BA">
            <w:pPr>
              <w:pStyle w:val="TableHeading"/>
              <w:keepNext w:val="0"/>
              <w:widowControl w:val="0"/>
            </w:pPr>
            <w:r w:rsidRPr="00285F70">
              <w:t>Health states</w:t>
            </w:r>
          </w:p>
        </w:tc>
        <w:tc>
          <w:tcPr>
            <w:tcW w:w="3509" w:type="pct"/>
          </w:tcPr>
          <w:p w14:paraId="28518E97" w14:textId="77777777" w:rsidR="00C064F2" w:rsidRDefault="00C064F2" w:rsidP="00741FC5">
            <w:pPr>
              <w:pStyle w:val="TableText0"/>
            </w:pPr>
            <w:r>
              <w:t>CV event-free</w:t>
            </w:r>
          </w:p>
          <w:p w14:paraId="5BD80215" w14:textId="77777777" w:rsidR="00C064F2" w:rsidRDefault="00C064F2" w:rsidP="00741FC5">
            <w:pPr>
              <w:pStyle w:val="TableText0"/>
            </w:pPr>
            <w:r>
              <w:t>Unstable angina (and post-Unstable angina)</w:t>
            </w:r>
          </w:p>
          <w:p w14:paraId="08D4C78F" w14:textId="77777777" w:rsidR="00C064F2" w:rsidRDefault="00C064F2" w:rsidP="00741FC5">
            <w:pPr>
              <w:pStyle w:val="TableText0"/>
            </w:pPr>
            <w:r>
              <w:t>MI (and post-MI)</w:t>
            </w:r>
          </w:p>
          <w:p w14:paraId="65F869F3" w14:textId="77777777" w:rsidR="00C064F2" w:rsidRDefault="00C064F2" w:rsidP="00741FC5">
            <w:pPr>
              <w:pStyle w:val="TableText0"/>
            </w:pPr>
            <w:r>
              <w:t>Stroke (and post-Stroke)</w:t>
            </w:r>
          </w:p>
          <w:p w14:paraId="0605878B" w14:textId="77777777" w:rsidR="00C064F2" w:rsidRDefault="00C064F2" w:rsidP="00741FC5">
            <w:pPr>
              <w:pStyle w:val="TableText0"/>
            </w:pPr>
            <w:r>
              <w:t>Heart failure</w:t>
            </w:r>
          </w:p>
          <w:p w14:paraId="1D2D8111" w14:textId="77777777" w:rsidR="00C064F2" w:rsidRDefault="00C064F2" w:rsidP="00741FC5">
            <w:pPr>
              <w:pStyle w:val="TableText0"/>
            </w:pPr>
            <w:r>
              <w:t>CV death</w:t>
            </w:r>
          </w:p>
          <w:p w14:paraId="75BD2B09" w14:textId="77777777" w:rsidR="00C064F2" w:rsidRPr="00183E4D" w:rsidRDefault="00C064F2" w:rsidP="00741FC5">
            <w:pPr>
              <w:pStyle w:val="TableText0"/>
            </w:pPr>
            <w:r>
              <w:t>Non-CV death</w:t>
            </w:r>
          </w:p>
        </w:tc>
      </w:tr>
      <w:tr w:rsidR="00C064F2" w:rsidRPr="00183E4D" w14:paraId="3BD11E8A" w14:textId="77777777" w:rsidTr="00D8205F">
        <w:trPr>
          <w:trHeight w:val="20"/>
        </w:trPr>
        <w:tc>
          <w:tcPr>
            <w:tcW w:w="1491" w:type="pct"/>
          </w:tcPr>
          <w:p w14:paraId="3DDFC227" w14:textId="77777777" w:rsidR="00C064F2" w:rsidRPr="00183E4D" w:rsidRDefault="00C064F2" w:rsidP="005D55BA">
            <w:pPr>
              <w:pStyle w:val="TableHeading"/>
              <w:keepNext w:val="0"/>
              <w:widowControl w:val="0"/>
            </w:pPr>
            <w:r w:rsidRPr="00285F70">
              <w:t>Cycle length</w:t>
            </w:r>
          </w:p>
        </w:tc>
        <w:tc>
          <w:tcPr>
            <w:tcW w:w="3509" w:type="pct"/>
          </w:tcPr>
          <w:p w14:paraId="4C28299C" w14:textId="77777777" w:rsidR="00C064F2" w:rsidRPr="00183E4D" w:rsidRDefault="00C064F2" w:rsidP="00741FC5">
            <w:pPr>
              <w:pStyle w:val="TableText0"/>
            </w:pPr>
            <w:r w:rsidRPr="008B0D0C">
              <w:t>1 year</w:t>
            </w:r>
          </w:p>
        </w:tc>
      </w:tr>
      <w:tr w:rsidR="00C064F2" w:rsidRPr="00183E4D" w14:paraId="53FA1E86" w14:textId="77777777" w:rsidTr="00D8205F">
        <w:trPr>
          <w:trHeight w:val="20"/>
        </w:trPr>
        <w:tc>
          <w:tcPr>
            <w:tcW w:w="1491" w:type="pct"/>
          </w:tcPr>
          <w:p w14:paraId="608D57F1" w14:textId="77777777" w:rsidR="00C064F2" w:rsidRPr="00437FDA" w:rsidRDefault="00C064F2" w:rsidP="005D55BA">
            <w:pPr>
              <w:pStyle w:val="TableHeading"/>
              <w:keepNext w:val="0"/>
              <w:widowControl w:val="0"/>
            </w:pPr>
            <w:r w:rsidRPr="00285F70">
              <w:t>Transition probabilities</w:t>
            </w:r>
          </w:p>
        </w:tc>
        <w:tc>
          <w:tcPr>
            <w:tcW w:w="3509" w:type="pct"/>
          </w:tcPr>
          <w:p w14:paraId="0498FFDC" w14:textId="645A1477" w:rsidR="00722D57" w:rsidRDefault="00C064F2" w:rsidP="00741FC5">
            <w:pPr>
              <w:pStyle w:val="TableText0"/>
            </w:pPr>
            <w:r>
              <w:t xml:space="preserve">Primary transitions based on AIHW hospital separations data, and where applicable, applying increased risk of events </w:t>
            </w:r>
            <w:r w:rsidR="00722D57">
              <w:t xml:space="preserve">due to FH and decreased risk of events due to </w:t>
            </w:r>
            <w:r>
              <w:t>treatment.</w:t>
            </w:r>
          </w:p>
          <w:p w14:paraId="2973A127" w14:textId="3F4801C7" w:rsidR="00C064F2" w:rsidRPr="00183E4D" w:rsidRDefault="00C064F2" w:rsidP="00741FC5">
            <w:pPr>
              <w:pStyle w:val="TableText0"/>
            </w:pPr>
            <w:r>
              <w:t>Secondary transitions were derived from the literature.</w:t>
            </w:r>
          </w:p>
        </w:tc>
      </w:tr>
      <w:tr w:rsidR="00C064F2" w:rsidRPr="00183E4D" w14:paraId="6FDACA07" w14:textId="77777777" w:rsidTr="00D8205F">
        <w:trPr>
          <w:trHeight w:val="20"/>
        </w:trPr>
        <w:tc>
          <w:tcPr>
            <w:tcW w:w="1491" w:type="pct"/>
          </w:tcPr>
          <w:p w14:paraId="3D71CDDA" w14:textId="77777777" w:rsidR="00C064F2" w:rsidRPr="00437FDA" w:rsidRDefault="00C064F2" w:rsidP="005D55BA">
            <w:pPr>
              <w:pStyle w:val="TableHeading"/>
              <w:keepNext w:val="0"/>
              <w:widowControl w:val="0"/>
            </w:pPr>
            <w:r w:rsidRPr="00285F70">
              <w:t>Software packages used</w:t>
            </w:r>
          </w:p>
        </w:tc>
        <w:tc>
          <w:tcPr>
            <w:tcW w:w="3509" w:type="pct"/>
          </w:tcPr>
          <w:p w14:paraId="51F2EF7F" w14:textId="77777777" w:rsidR="00C064F2" w:rsidRPr="00183E4D" w:rsidRDefault="00C064F2" w:rsidP="00741FC5">
            <w:pPr>
              <w:pStyle w:val="TableText0"/>
            </w:pPr>
            <w:r w:rsidRPr="008B0D0C">
              <w:t>Microsoft Excel</w:t>
            </w:r>
          </w:p>
        </w:tc>
      </w:tr>
    </w:tbl>
    <w:p w14:paraId="13F97284" w14:textId="76B98212" w:rsidR="00C064F2" w:rsidRDefault="00C064F2" w:rsidP="00CD3F08">
      <w:pPr>
        <w:pStyle w:val="Tablenotes"/>
      </w:pPr>
      <w:r>
        <w:t xml:space="preserve">CV = cardiovascular; FH = familial hypercholesterolemia; HDL-C = high density lipoprotein cholesterol; LDL-C = </w:t>
      </w:r>
      <w:r w:rsidRPr="00D5747D">
        <w:t>low-density lipoprotein</w:t>
      </w:r>
      <w:r>
        <w:t xml:space="preserve"> cholesterol; MI = myocardial infarction.</w:t>
      </w:r>
    </w:p>
    <w:p w14:paraId="31C57561" w14:textId="19035AC5" w:rsidR="00C064F2" w:rsidRPr="00CD3F08" w:rsidRDefault="00C064F2" w:rsidP="00CD3F08">
      <w:pPr>
        <w:spacing w:after="240"/>
      </w:pPr>
      <w:r>
        <w:t>The CA stated, g</w:t>
      </w:r>
      <w:r w:rsidRPr="00731EEE">
        <w:t xml:space="preserve">iven the uncertainties presented in the clinical evidence regarding the relative uptake of cascade screening and treatment by testing type, the results are initially presented in a stepped manner, to observe the effect of the differing assumptions on the resulting exploratory incremental </w:t>
      </w:r>
      <w:r>
        <w:t>cost-effectiveness ratio (ICER) (</w:t>
      </w:r>
      <w:r w:rsidR="00722D57">
        <w:fldChar w:fldCharType="begin"/>
      </w:r>
      <w:r w:rsidR="00722D57">
        <w:instrText xml:space="preserve"> REF _Ref11160492 \h </w:instrText>
      </w:r>
      <w:r w:rsidR="00722D57">
        <w:fldChar w:fldCharType="separate"/>
      </w:r>
      <w:r w:rsidR="00722D57">
        <w:t xml:space="preserve">Table </w:t>
      </w:r>
      <w:r w:rsidR="00722D57">
        <w:rPr>
          <w:noProof/>
        </w:rPr>
        <w:t>6</w:t>
      </w:r>
      <w:r w:rsidR="00722D57">
        <w:fldChar w:fldCharType="end"/>
      </w:r>
      <w:r>
        <w:t>).</w:t>
      </w:r>
    </w:p>
    <w:p w14:paraId="7F34D95C" w14:textId="52740CE3" w:rsidR="00C064F2" w:rsidRDefault="00C064F2" w:rsidP="00AB1A18">
      <w:r w:rsidRPr="00647D4B">
        <w:t xml:space="preserve">The </w:t>
      </w:r>
      <w:r w:rsidR="00647D4B">
        <w:t xml:space="preserve">CA advised that </w:t>
      </w:r>
      <w:r w:rsidR="00AB1A18">
        <w:t xml:space="preserve">the </w:t>
      </w:r>
      <w:r w:rsidRPr="00647D4B">
        <w:t xml:space="preserve">best estimate of the ICER aggregated across </w:t>
      </w:r>
      <w:r w:rsidR="00DC2064" w:rsidRPr="00647D4B">
        <w:t>testing of affected individuals</w:t>
      </w:r>
      <w:r w:rsidRPr="00647D4B">
        <w:t xml:space="preserve"> and their first- and second-degree relatives</w:t>
      </w:r>
      <w:r w:rsidR="00DC2064" w:rsidRPr="00647D4B">
        <w:t xml:space="preserve"> as appropriate</w:t>
      </w:r>
      <w:r w:rsidRPr="00647D4B">
        <w:t xml:space="preserve">, subject to acceptance of the assumptions of the model, was $24,907 per additional quality-adjusted life year (QALY) gained (see Step </w:t>
      </w:r>
      <w:r w:rsidRPr="00AD5085">
        <w:t xml:space="preserve">5 in </w:t>
      </w:r>
      <w:r w:rsidRPr="00AD5085">
        <w:fldChar w:fldCharType="begin"/>
      </w:r>
      <w:r w:rsidRPr="00AD5085">
        <w:instrText xml:space="preserve"> REF _Ref533163578 \h </w:instrText>
      </w:r>
      <w:r w:rsidRPr="00AD5085">
        <w:fldChar w:fldCharType="separate"/>
      </w:r>
      <w:r w:rsidR="00D31D39" w:rsidRPr="00A448F6">
        <w:t xml:space="preserve">Table </w:t>
      </w:r>
      <w:r w:rsidR="00D31D39">
        <w:t>6</w:t>
      </w:r>
      <w:r w:rsidRPr="00AD5085">
        <w:fldChar w:fldCharType="end"/>
      </w:r>
      <w:r w:rsidRPr="00AD5085">
        <w:t xml:space="preserve"> below).</w:t>
      </w:r>
      <w:r>
        <w:t xml:space="preserve"> </w:t>
      </w:r>
      <w:r w:rsidR="00647D4B">
        <w:t xml:space="preserve">The CA </w:t>
      </w:r>
      <w:r>
        <w:t xml:space="preserve">noted the key assumptions included in this estimate </w:t>
      </w:r>
      <w:r w:rsidR="00647D4B">
        <w:t>were that</w:t>
      </w:r>
      <w:r>
        <w:t>:</w:t>
      </w:r>
    </w:p>
    <w:p w14:paraId="2983976F" w14:textId="0082F0C1" w:rsidR="00C064F2" w:rsidRDefault="00C064F2" w:rsidP="00C064F2">
      <w:pPr>
        <w:pStyle w:val="ListParagraph"/>
        <w:numPr>
          <w:ilvl w:val="0"/>
          <w:numId w:val="34"/>
        </w:numPr>
      </w:pPr>
      <w:r>
        <w:t xml:space="preserve">there is no change in management with a genetic diagnosis of FH in </w:t>
      </w:r>
      <w:r w:rsidR="00DC2064">
        <w:t>affected individuals</w:t>
      </w:r>
      <w:r>
        <w:t>, as similar proportional reductions in LDL-C were observed in mutation po</w:t>
      </w:r>
      <w:r w:rsidR="0030646E">
        <w:t xml:space="preserve">sitive (M+) and </w:t>
      </w:r>
      <w:r>
        <w:t>mutation negative (M–)</w:t>
      </w:r>
      <w:r w:rsidR="00714696">
        <w:t xml:space="preserve"> </w:t>
      </w:r>
      <w:r w:rsidR="00DC2064">
        <w:t>affected individuals</w:t>
      </w:r>
      <w:r>
        <w:t xml:space="preserve"> in Silva et al. (2016);</w:t>
      </w:r>
    </w:p>
    <w:p w14:paraId="38553E4A" w14:textId="5309A915" w:rsidR="00C064F2" w:rsidRPr="00244B11" w:rsidRDefault="00C064F2" w:rsidP="00C064F2">
      <w:pPr>
        <w:pStyle w:val="ListParagraph"/>
        <w:numPr>
          <w:ilvl w:val="0"/>
          <w:numId w:val="33"/>
        </w:numPr>
      </w:pPr>
      <w:r w:rsidRPr="00244B11">
        <w:t>uptake of cascade screening is improved with genetic testing relative to lipid testing (as per Ajufo et al. (2017); and</w:t>
      </w:r>
    </w:p>
    <w:p w14:paraId="6934AB26" w14:textId="5F0D5215" w:rsidR="00C064F2" w:rsidRDefault="00C064F2" w:rsidP="00CD3F08">
      <w:pPr>
        <w:pStyle w:val="ListParagraph"/>
        <w:numPr>
          <w:ilvl w:val="0"/>
          <w:numId w:val="33"/>
        </w:numPr>
        <w:spacing w:after="240"/>
      </w:pPr>
      <w:r w:rsidRPr="00244B11">
        <w:lastRenderedPageBreak/>
        <w:t xml:space="preserve">more M+ relatives uptake treatment following genetic cascade screening than after lipid cascade screening, based on uptake of treatment after genetic testing reported in Bell </w:t>
      </w:r>
      <w:r w:rsidRPr="00647D4B">
        <w:t>et al</w:t>
      </w:r>
      <w:r w:rsidRPr="00244B11">
        <w:t xml:space="preserve">. (2015) and an estimate of the proportion of relatives tested who had LDL-C levels </w:t>
      </w:r>
      <w:r w:rsidR="00D550E9">
        <w:t>≥</w:t>
      </w:r>
      <w:r w:rsidRPr="00244B11">
        <w:t>4.0mmol/L to approximate those that would have received treatment after lipid cascade screening only.</w:t>
      </w:r>
    </w:p>
    <w:p w14:paraId="2496BC1B" w14:textId="3D70E09F" w:rsidR="00C064F2" w:rsidRDefault="00C064F2" w:rsidP="00C064F2">
      <w:r>
        <w:t xml:space="preserve">The </w:t>
      </w:r>
      <w:r w:rsidR="00647D4B">
        <w:t xml:space="preserve">CA stated that the </w:t>
      </w:r>
      <w:r>
        <w:t xml:space="preserve">key areas of uncertainty </w:t>
      </w:r>
      <w:r w:rsidR="00647D4B">
        <w:t>were that</w:t>
      </w:r>
      <w:r>
        <w:t>:</w:t>
      </w:r>
    </w:p>
    <w:p w14:paraId="45BB0F7B" w14:textId="2B6EE273" w:rsidR="00C064F2" w:rsidRDefault="00647D4B" w:rsidP="00647D4B">
      <w:pPr>
        <w:pStyle w:val="ListParagraph"/>
        <w:numPr>
          <w:ilvl w:val="0"/>
          <w:numId w:val="34"/>
        </w:numPr>
      </w:pPr>
      <w:r>
        <w:t>t</w:t>
      </w:r>
      <w:r w:rsidR="00C064F2">
        <w:t xml:space="preserve">hese assumptions </w:t>
      </w:r>
      <w:r>
        <w:t>were</w:t>
      </w:r>
      <w:r w:rsidR="00C064F2">
        <w:t xml:space="preserve"> based on studies that were undertaken in lipid clinics. The generalisability of these results t</w:t>
      </w:r>
      <w:r>
        <w:t>o general practice is uncertain; and</w:t>
      </w:r>
    </w:p>
    <w:p w14:paraId="0320AA10" w14:textId="09E5E0AA" w:rsidR="00741FC5" w:rsidRPr="00CD3F08" w:rsidRDefault="00647D4B" w:rsidP="00CD3F08">
      <w:pPr>
        <w:pStyle w:val="ListParagraph"/>
        <w:numPr>
          <w:ilvl w:val="0"/>
          <w:numId w:val="34"/>
        </w:numPr>
      </w:pPr>
      <w:r>
        <w:t>t</w:t>
      </w:r>
      <w:r w:rsidR="00C064F2">
        <w:t>he results of two randomised trials were contradictory regarding which genetic screening or lipid screening resulted in more family members being screened</w:t>
      </w:r>
      <w:r>
        <w:t>.</w:t>
      </w:r>
      <w:r w:rsidR="00C064F2">
        <w:t xml:space="preserve"> </w:t>
      </w:r>
      <w:r w:rsidR="00C064F2" w:rsidRPr="00081D89">
        <w:t xml:space="preserve">If the benefits in the </w:t>
      </w:r>
      <w:r w:rsidRPr="00081D89">
        <w:t>cascade</w:t>
      </w:r>
      <w:r w:rsidR="00C064F2" w:rsidRPr="00081D89">
        <w:t xml:space="preserve"> group are lower </w:t>
      </w:r>
      <w:r w:rsidR="00C064F2">
        <w:t>(for example</w:t>
      </w:r>
      <w:r w:rsidR="00C064F2" w:rsidRPr="00081D89">
        <w:t xml:space="preserve"> due to lower testing uptake resulting in lower rates of management change)</w:t>
      </w:r>
      <w:r>
        <w:t>,</w:t>
      </w:r>
      <w:r w:rsidR="00C064F2" w:rsidRPr="00081D89">
        <w:t xml:space="preserve"> the</w:t>
      </w:r>
      <w:r w:rsidR="00C064F2">
        <w:t xml:space="preserve"> </w:t>
      </w:r>
      <w:r w:rsidR="00C064F2" w:rsidRPr="00081D89">
        <w:t>predicted the ICER will be larger</w:t>
      </w:r>
      <w:r w:rsidR="00C064F2">
        <w:t xml:space="preserve">. This is demonstrated in Table </w:t>
      </w:r>
      <w:r w:rsidR="007810B1">
        <w:t>6</w:t>
      </w:r>
      <w:r w:rsidR="00C064F2">
        <w:t xml:space="preserve"> </w:t>
      </w:r>
      <w:r w:rsidR="00FF53C3">
        <w:t>s</w:t>
      </w:r>
      <w:r w:rsidR="00C064F2">
        <w:t xml:space="preserve">cenario </w:t>
      </w:r>
      <w:r w:rsidR="00FF53C3">
        <w:t>analyses</w:t>
      </w:r>
      <w:r w:rsidR="00C064F2">
        <w:t>, which model conflicting evidence from two international RCTs (</w:t>
      </w:r>
      <w:r w:rsidR="00C064F2" w:rsidRPr="00081D89">
        <w:t>Ajufo et al. 2017</w:t>
      </w:r>
      <w:r w:rsidR="00C064F2">
        <w:t xml:space="preserve">, </w:t>
      </w:r>
      <w:r w:rsidR="00C064F2" w:rsidRPr="00081D89">
        <w:t>(Marteau et al. 2004)</w:t>
      </w:r>
      <w:r w:rsidR="00C064F2">
        <w:t>.</w:t>
      </w:r>
      <w:bookmarkStart w:id="13" w:name="_Ref11160492"/>
      <w:bookmarkStart w:id="14" w:name="_Toc533179995"/>
      <w:r w:rsidR="00741FC5">
        <w:br w:type="page"/>
      </w:r>
    </w:p>
    <w:p w14:paraId="52CBA659" w14:textId="62D0E651" w:rsidR="00C064F2" w:rsidRPr="00162774" w:rsidRDefault="00722D57" w:rsidP="00162774">
      <w:pPr>
        <w:rPr>
          <w:rFonts w:ascii="Arial Narrow" w:hAnsi="Arial Narrow"/>
          <w:b/>
          <w:sz w:val="20"/>
        </w:rPr>
      </w:pPr>
      <w:r w:rsidRPr="00162774">
        <w:rPr>
          <w:rFonts w:ascii="Arial Narrow" w:hAnsi="Arial Narrow"/>
          <w:b/>
          <w:sz w:val="20"/>
        </w:rPr>
        <w:lastRenderedPageBreak/>
        <w:t xml:space="preserve">Table </w:t>
      </w:r>
      <w:r w:rsidR="00B108E7" w:rsidRPr="00162774">
        <w:rPr>
          <w:rFonts w:ascii="Arial Narrow" w:hAnsi="Arial Narrow"/>
          <w:b/>
          <w:sz w:val="20"/>
        </w:rPr>
        <w:fldChar w:fldCharType="begin"/>
      </w:r>
      <w:r w:rsidR="00B108E7" w:rsidRPr="00162774">
        <w:rPr>
          <w:rFonts w:ascii="Arial Narrow" w:hAnsi="Arial Narrow"/>
          <w:b/>
          <w:sz w:val="20"/>
        </w:rPr>
        <w:instrText xml:space="preserve"> SEQ Table \* ARABIC </w:instrText>
      </w:r>
      <w:r w:rsidR="00B108E7" w:rsidRPr="00162774">
        <w:rPr>
          <w:rFonts w:ascii="Arial Narrow" w:hAnsi="Arial Narrow"/>
          <w:b/>
          <w:sz w:val="20"/>
        </w:rPr>
        <w:fldChar w:fldCharType="separate"/>
      </w:r>
      <w:r w:rsidRPr="00162774">
        <w:rPr>
          <w:rFonts w:ascii="Arial Narrow" w:hAnsi="Arial Narrow"/>
          <w:b/>
          <w:sz w:val="20"/>
        </w:rPr>
        <w:t>6</w:t>
      </w:r>
      <w:r w:rsidR="00B108E7" w:rsidRPr="00162774">
        <w:rPr>
          <w:rFonts w:ascii="Arial Narrow" w:hAnsi="Arial Narrow"/>
          <w:b/>
          <w:sz w:val="20"/>
        </w:rPr>
        <w:fldChar w:fldCharType="end"/>
      </w:r>
      <w:bookmarkEnd w:id="13"/>
      <w:r w:rsidRPr="00162774">
        <w:rPr>
          <w:rFonts w:ascii="Arial Narrow" w:hAnsi="Arial Narrow"/>
          <w:b/>
          <w:sz w:val="20"/>
        </w:rPr>
        <w:tab/>
      </w:r>
      <w:r w:rsidR="00C064F2" w:rsidRPr="00162774">
        <w:rPr>
          <w:rFonts w:ascii="Arial Narrow" w:hAnsi="Arial Narrow"/>
          <w:b/>
          <w:sz w:val="20"/>
        </w:rPr>
        <w:t xml:space="preserve">Stepped analysis (base case scenario assuming no change in management in M+ </w:t>
      </w:r>
      <w:r w:rsidR="00C9104B" w:rsidRPr="00162774">
        <w:rPr>
          <w:rFonts w:ascii="Arial Narrow" w:hAnsi="Arial Narrow"/>
          <w:b/>
          <w:sz w:val="20"/>
        </w:rPr>
        <w:t>affected individuals</w:t>
      </w:r>
      <w:r w:rsidR="00C064F2" w:rsidRPr="00162774">
        <w:rPr>
          <w:rFonts w:ascii="Arial Narrow" w:hAnsi="Arial Narrow"/>
          <w:b/>
          <w:sz w:val="20"/>
        </w:rPr>
        <w:t>)</w:t>
      </w:r>
      <w:bookmarkEnd w:id="14"/>
    </w:p>
    <w:tbl>
      <w:tblPr>
        <w:tblStyle w:val="TableGrid1"/>
        <w:tblW w:w="5107" w:type="pct"/>
        <w:tblLayout w:type="fixed"/>
        <w:tblLook w:val="04A0" w:firstRow="1" w:lastRow="0" w:firstColumn="1" w:lastColumn="0" w:noHBand="0" w:noVBand="1"/>
        <w:tblCaption w:val="Stepped analysis (base case scenario no change in management in M+ index cases)"/>
        <w:tblDescription w:val="Stepped analysis (base case scenario no change in management in M+ index cases)"/>
      </w:tblPr>
      <w:tblGrid>
        <w:gridCol w:w="6358"/>
        <w:gridCol w:w="849"/>
        <w:gridCol w:w="849"/>
        <w:gridCol w:w="1153"/>
      </w:tblGrid>
      <w:tr w:rsidR="00C064F2" w:rsidRPr="00962520" w14:paraId="77A4AF1E" w14:textId="77777777" w:rsidTr="005D55BA">
        <w:trPr>
          <w:cnfStyle w:val="100000000000" w:firstRow="1" w:lastRow="0" w:firstColumn="0" w:lastColumn="0" w:oddVBand="0" w:evenVBand="0" w:oddHBand="0" w:evenHBand="0" w:firstRowFirstColumn="0" w:firstRowLastColumn="0" w:lastRowFirstColumn="0" w:lastRowLastColumn="0"/>
          <w:trHeight w:val="300"/>
          <w:tblHeader/>
        </w:trPr>
        <w:tc>
          <w:tcPr>
            <w:tcW w:w="3452" w:type="pct"/>
            <w:noWrap/>
            <w:vAlign w:val="bottom"/>
          </w:tcPr>
          <w:p w14:paraId="69B97B06" w14:textId="77777777" w:rsidR="00C064F2" w:rsidRPr="00A83174" w:rsidRDefault="00C064F2" w:rsidP="00741FC5">
            <w:pPr>
              <w:pStyle w:val="TableText0"/>
            </w:pPr>
            <w:r w:rsidRPr="00A83174">
              <w:t>Stepped analyses</w:t>
            </w:r>
          </w:p>
        </w:tc>
        <w:tc>
          <w:tcPr>
            <w:tcW w:w="461" w:type="pct"/>
            <w:noWrap/>
          </w:tcPr>
          <w:p w14:paraId="0BB17517" w14:textId="77777777" w:rsidR="00C064F2" w:rsidRPr="00A83174" w:rsidRDefault="00C064F2" w:rsidP="00741FC5">
            <w:pPr>
              <w:pStyle w:val="TableText0"/>
            </w:pPr>
            <w:r w:rsidRPr="00A83174">
              <w:t>Inc. cost</w:t>
            </w:r>
          </w:p>
        </w:tc>
        <w:tc>
          <w:tcPr>
            <w:tcW w:w="461" w:type="pct"/>
            <w:noWrap/>
          </w:tcPr>
          <w:p w14:paraId="31E5BA04" w14:textId="77777777" w:rsidR="00C064F2" w:rsidRPr="00A83174" w:rsidRDefault="00C064F2" w:rsidP="00741FC5">
            <w:pPr>
              <w:pStyle w:val="TableText0"/>
            </w:pPr>
            <w:r w:rsidRPr="00A83174">
              <w:t>Inc. QALYs</w:t>
            </w:r>
          </w:p>
        </w:tc>
        <w:tc>
          <w:tcPr>
            <w:tcW w:w="626" w:type="pct"/>
            <w:noWrap/>
          </w:tcPr>
          <w:p w14:paraId="551DE9F1" w14:textId="77777777" w:rsidR="00C064F2" w:rsidRPr="00A83174" w:rsidRDefault="00C064F2" w:rsidP="00741FC5">
            <w:pPr>
              <w:pStyle w:val="TableText0"/>
            </w:pPr>
            <w:r w:rsidRPr="00A83174">
              <w:t>ICER</w:t>
            </w:r>
          </w:p>
        </w:tc>
      </w:tr>
      <w:tr w:rsidR="00C064F2" w:rsidRPr="00962520" w14:paraId="3C2F34A0" w14:textId="77777777" w:rsidTr="005D55BA">
        <w:trPr>
          <w:cnfStyle w:val="100000000000" w:firstRow="1" w:lastRow="0" w:firstColumn="0" w:lastColumn="0" w:oddVBand="0" w:evenVBand="0" w:oddHBand="0" w:evenHBand="0" w:firstRowFirstColumn="0" w:firstRowLastColumn="0" w:lastRowFirstColumn="0" w:lastRowLastColumn="0"/>
          <w:trHeight w:val="300"/>
          <w:tblHeader/>
        </w:trPr>
        <w:tc>
          <w:tcPr>
            <w:tcW w:w="3452" w:type="pct"/>
            <w:noWrap/>
            <w:hideMark/>
          </w:tcPr>
          <w:p w14:paraId="03DF19AC" w14:textId="77777777" w:rsidR="00C064F2" w:rsidRPr="00A83174" w:rsidRDefault="00C064F2" w:rsidP="00741FC5">
            <w:pPr>
              <w:pStyle w:val="TableText0"/>
              <w:numPr>
                <w:ilvl w:val="0"/>
                <w:numId w:val="32"/>
              </w:numPr>
            </w:pPr>
            <w:r w:rsidRPr="00A83174">
              <w:t>100% uptake of cascade genetic + lipid testing and 100% use of LLT, compared to no cascade lipid testing and no LLT</w:t>
            </w:r>
          </w:p>
          <w:p w14:paraId="20E8940F" w14:textId="77777777" w:rsidR="00C064F2" w:rsidRPr="00A83174" w:rsidRDefault="00C064F2" w:rsidP="00741FC5">
            <w:pPr>
              <w:pStyle w:val="TableText0"/>
            </w:pPr>
            <w:r w:rsidRPr="00A83174">
              <w:t>This analysis assumes no treatment prior to testing in either arm, 100% uptake of genetic + lipid cascade screening and 100% uptake of LLT in M+ in the intervention arm of the model, and no uptake of lipid cascade screening nor LLT in the comparator arm.</w:t>
            </w:r>
          </w:p>
        </w:tc>
        <w:tc>
          <w:tcPr>
            <w:tcW w:w="461" w:type="pct"/>
            <w:noWrap/>
            <w:hideMark/>
          </w:tcPr>
          <w:p w14:paraId="1584BC3F" w14:textId="77777777" w:rsidR="00C064F2" w:rsidRPr="00962520" w:rsidRDefault="00C064F2" w:rsidP="00741FC5">
            <w:pPr>
              <w:pStyle w:val="TableText0"/>
            </w:pPr>
            <w:r w:rsidRPr="000A4E7E">
              <w:t>–$611</w:t>
            </w:r>
          </w:p>
        </w:tc>
        <w:tc>
          <w:tcPr>
            <w:tcW w:w="461" w:type="pct"/>
            <w:noWrap/>
            <w:hideMark/>
          </w:tcPr>
          <w:p w14:paraId="20368A97" w14:textId="77777777" w:rsidR="00C064F2" w:rsidRPr="00962520" w:rsidRDefault="00C064F2" w:rsidP="00741FC5">
            <w:pPr>
              <w:pStyle w:val="TableText0"/>
            </w:pPr>
            <w:r w:rsidRPr="000A4E7E">
              <w:t>0.46</w:t>
            </w:r>
          </w:p>
        </w:tc>
        <w:tc>
          <w:tcPr>
            <w:tcW w:w="626" w:type="pct"/>
            <w:noWrap/>
            <w:hideMark/>
          </w:tcPr>
          <w:p w14:paraId="676F8431" w14:textId="77777777" w:rsidR="00C064F2" w:rsidRPr="00962520" w:rsidRDefault="00C064F2" w:rsidP="00741FC5">
            <w:pPr>
              <w:pStyle w:val="TableText0"/>
            </w:pPr>
            <w:r>
              <w:t>Dominant</w:t>
            </w:r>
          </w:p>
        </w:tc>
      </w:tr>
      <w:tr w:rsidR="00C064F2" w:rsidRPr="00962520" w14:paraId="44B9645B" w14:textId="77777777" w:rsidTr="005D55BA">
        <w:trPr>
          <w:cnfStyle w:val="100000000000" w:firstRow="1" w:lastRow="0" w:firstColumn="0" w:lastColumn="0" w:oddVBand="0" w:evenVBand="0" w:oddHBand="0" w:evenHBand="0" w:firstRowFirstColumn="0" w:firstRowLastColumn="0" w:lastRowFirstColumn="0" w:lastRowLastColumn="0"/>
          <w:trHeight w:val="300"/>
          <w:tblHeader/>
        </w:trPr>
        <w:tc>
          <w:tcPr>
            <w:tcW w:w="3452" w:type="pct"/>
            <w:noWrap/>
            <w:hideMark/>
          </w:tcPr>
          <w:p w14:paraId="7A02BC62" w14:textId="77777777" w:rsidR="00C064F2" w:rsidRPr="00A83174" w:rsidRDefault="00C064F2" w:rsidP="00741FC5">
            <w:pPr>
              <w:pStyle w:val="TableText0"/>
              <w:numPr>
                <w:ilvl w:val="0"/>
                <w:numId w:val="32"/>
              </w:numPr>
            </w:pPr>
            <w:r w:rsidRPr="00A83174">
              <w:t>Including pre-existing LLT in some relatives prior to testing</w:t>
            </w:r>
          </w:p>
          <w:p w14:paraId="5601E8C5" w14:textId="5D2767CA" w:rsidR="00C064F2" w:rsidRPr="00A83174" w:rsidRDefault="00C064F2" w:rsidP="00741FC5">
            <w:pPr>
              <w:pStyle w:val="TableText0"/>
            </w:pPr>
            <w:r w:rsidRPr="00A83174">
              <w:t xml:space="preserve">The only change made in this step is the inclusion of pre-existing LLT (as per Bell et al. </w:t>
            </w:r>
            <w:r w:rsidRPr="00A83174">
              <w:fldChar w:fldCharType="begin">
                <w:fldData xml:space="preserve">PEVuZE5vdGU+PENpdGUgRXhjbHVkZUF1dGg9IjEiPjxBdXRob3I+QmVsbDwvQXV0aG9yPjxZZWFy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</w:fldData>
              </w:fldChar>
            </w:r>
            <w:r w:rsidRPr="00A83174">
              <w:instrText xml:space="preserve"> ADDIN EN.CITE </w:instrText>
            </w:r>
            <w:r w:rsidRPr="00A83174">
              <w:fldChar w:fldCharType="begin">
                <w:fldData xml:space="preserve">PEVuZE5vdGU+PENpdGUgRXhjbHVkZUF1dGg9IjEiPjxBdXRob3I+QmVsbDwvQXV0aG9yPjxZZWFy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</w:fldData>
              </w:fldChar>
            </w:r>
            <w:r w:rsidRPr="00A83174">
              <w:instrText xml:space="preserve"> ADDIN EN.CITE.DATA </w:instrText>
            </w:r>
            <w:r w:rsidRPr="00A83174">
              <w:fldChar w:fldCharType="end"/>
            </w:r>
            <w:r w:rsidRPr="00A83174">
              <w:fldChar w:fldCharType="separate"/>
            </w:r>
            <w:r w:rsidRPr="00A83174">
              <w:rPr>
                <w:noProof/>
              </w:rPr>
              <w:t>(2015)</w:t>
            </w:r>
            <w:r w:rsidRPr="00A83174">
              <w:fldChar w:fldCharType="end"/>
            </w:r>
            <w:r w:rsidRPr="00A83174">
              <w:t xml:space="preserve"> for adults and Pang et al. </w:t>
            </w:r>
            <w:r w:rsidRPr="00A83174">
              <w:fldChar w:fldCharType="begin">
                <w:fldData xml:space="preserve">PEVuZE5vdGU+PENpdGUgRXhjbHVkZUF1dGg9IjEiPjxBdXRob3I+UGFuZzwvQXV0aG9yPjxZZWFy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</w:fldData>
              </w:fldChar>
            </w:r>
            <w:r w:rsidRPr="00A83174">
              <w:instrText xml:space="preserve"> ADDIN EN.CITE </w:instrText>
            </w:r>
            <w:r w:rsidRPr="00A83174">
              <w:fldChar w:fldCharType="begin">
                <w:fldData xml:space="preserve">PEVuZE5vdGU+PENpdGUgRXhjbHVkZUF1dGg9IjEiPjxBdXRob3I+UGFuZzwvQXV0aG9yPjxZZWFy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</w:fldData>
              </w:fldChar>
            </w:r>
            <w:r w:rsidRPr="00A83174">
              <w:instrText xml:space="preserve"> ADDIN EN.CITE.DATA </w:instrText>
            </w:r>
            <w:r w:rsidRPr="00A83174">
              <w:fldChar w:fldCharType="end"/>
            </w:r>
            <w:r w:rsidRPr="00A83174">
              <w:fldChar w:fldCharType="separate"/>
            </w:r>
            <w:r w:rsidRPr="00A83174">
              <w:rPr>
                <w:noProof/>
              </w:rPr>
              <w:t>(2018)</w:t>
            </w:r>
            <w:r w:rsidRPr="00A83174">
              <w:fldChar w:fldCharType="end"/>
            </w:r>
            <w:r w:rsidRPr="00A83174">
              <w:t xml:space="preserve">, for children) </w:t>
            </w:r>
          </w:p>
        </w:tc>
        <w:tc>
          <w:tcPr>
            <w:tcW w:w="461" w:type="pct"/>
            <w:noWrap/>
            <w:hideMark/>
          </w:tcPr>
          <w:p w14:paraId="224BC06F" w14:textId="77777777" w:rsidR="00C064F2" w:rsidRPr="00962520" w:rsidRDefault="00C064F2" w:rsidP="00741FC5">
            <w:pPr>
              <w:pStyle w:val="TableText0"/>
            </w:pPr>
            <w:r w:rsidRPr="000A4E7E">
              <w:t>$1,034</w:t>
            </w:r>
          </w:p>
        </w:tc>
        <w:tc>
          <w:tcPr>
            <w:tcW w:w="461" w:type="pct"/>
            <w:noWrap/>
            <w:hideMark/>
          </w:tcPr>
          <w:p w14:paraId="4F222742" w14:textId="77777777" w:rsidR="00C064F2" w:rsidRPr="00962520" w:rsidRDefault="00C064F2" w:rsidP="00741FC5">
            <w:pPr>
              <w:pStyle w:val="TableText0"/>
            </w:pPr>
            <w:r w:rsidRPr="000A4E7E">
              <w:t>0.25</w:t>
            </w:r>
          </w:p>
        </w:tc>
        <w:tc>
          <w:tcPr>
            <w:tcW w:w="626" w:type="pct"/>
            <w:noWrap/>
            <w:hideMark/>
          </w:tcPr>
          <w:p w14:paraId="6C48ED02" w14:textId="77777777" w:rsidR="00C064F2" w:rsidRPr="00962520" w:rsidRDefault="00C064F2" w:rsidP="00741FC5">
            <w:pPr>
              <w:pStyle w:val="TableText0"/>
            </w:pPr>
            <w:r w:rsidRPr="000A4E7E">
              <w:t>$4,085</w:t>
            </w:r>
          </w:p>
        </w:tc>
      </w:tr>
      <w:tr w:rsidR="00C064F2" w:rsidRPr="00962520" w14:paraId="197E1F0F" w14:textId="77777777" w:rsidTr="005D55BA">
        <w:trPr>
          <w:cnfStyle w:val="100000000000" w:firstRow="1" w:lastRow="0" w:firstColumn="0" w:lastColumn="0" w:oddVBand="0" w:evenVBand="0" w:oddHBand="0" w:evenHBand="0" w:firstRowFirstColumn="0" w:firstRowLastColumn="0" w:lastRowFirstColumn="0" w:lastRowLastColumn="0"/>
          <w:trHeight w:val="300"/>
          <w:tblHeader/>
        </w:trPr>
        <w:tc>
          <w:tcPr>
            <w:tcW w:w="3452" w:type="pct"/>
            <w:noWrap/>
            <w:hideMark/>
          </w:tcPr>
          <w:p w14:paraId="174BD000" w14:textId="77777777" w:rsidR="00C064F2" w:rsidRPr="00A83174" w:rsidRDefault="00C064F2" w:rsidP="00741FC5">
            <w:pPr>
              <w:pStyle w:val="TableText0"/>
              <w:numPr>
                <w:ilvl w:val="0"/>
                <w:numId w:val="32"/>
              </w:numPr>
            </w:pPr>
            <w:r w:rsidRPr="00A83174">
              <w:t>Incorporating lipid testing uptake (and increase in LLT due to lipid screening) in the comparator arm of the model.</w:t>
            </w:r>
          </w:p>
          <w:p w14:paraId="52775AC7" w14:textId="27D5D9E7" w:rsidR="00C064F2" w:rsidRPr="00A83174" w:rsidRDefault="00C064F2" w:rsidP="00741FC5">
            <w:pPr>
              <w:pStyle w:val="TableText0"/>
            </w:pPr>
            <w:r w:rsidRPr="00A83174">
              <w:t>The rate of lipid screeni</w:t>
            </w:r>
            <w:r w:rsidR="00741FC5">
              <w:t>ng uptake is assumed to be 100%</w:t>
            </w:r>
            <w:r w:rsidRPr="00A83174">
              <w:t xml:space="preserve"> and after lipid screening use of LLT is assumed to be 54.8% in children/adolescents and 56.9% in adults </w:t>
            </w:r>
          </w:p>
        </w:tc>
        <w:tc>
          <w:tcPr>
            <w:tcW w:w="461" w:type="pct"/>
            <w:noWrap/>
            <w:hideMark/>
          </w:tcPr>
          <w:p w14:paraId="47E268C6" w14:textId="77777777" w:rsidR="00C064F2" w:rsidRPr="00962520" w:rsidRDefault="00C064F2" w:rsidP="00741FC5">
            <w:pPr>
              <w:pStyle w:val="TableText0"/>
            </w:pPr>
            <w:r w:rsidRPr="000A4E7E">
              <w:t>$1,352</w:t>
            </w:r>
          </w:p>
        </w:tc>
        <w:tc>
          <w:tcPr>
            <w:tcW w:w="461" w:type="pct"/>
            <w:noWrap/>
            <w:hideMark/>
          </w:tcPr>
          <w:p w14:paraId="53DA3DA9" w14:textId="77777777" w:rsidR="00C064F2" w:rsidRPr="00962520" w:rsidRDefault="00C064F2" w:rsidP="00741FC5">
            <w:pPr>
              <w:pStyle w:val="TableText0"/>
            </w:pPr>
            <w:r w:rsidRPr="000A4E7E">
              <w:t>0.20</w:t>
            </w:r>
          </w:p>
        </w:tc>
        <w:tc>
          <w:tcPr>
            <w:tcW w:w="626" w:type="pct"/>
            <w:noWrap/>
            <w:hideMark/>
          </w:tcPr>
          <w:p w14:paraId="767C4C0A" w14:textId="77777777" w:rsidR="00C064F2" w:rsidRPr="00962520" w:rsidRDefault="00C064F2" w:rsidP="00741FC5">
            <w:pPr>
              <w:pStyle w:val="TableText0"/>
            </w:pPr>
            <w:r w:rsidRPr="000A4E7E">
              <w:t>$6,758</w:t>
            </w:r>
          </w:p>
        </w:tc>
      </w:tr>
      <w:tr w:rsidR="00C064F2" w:rsidRPr="00491302" w14:paraId="497ED67D" w14:textId="77777777" w:rsidTr="005D55BA">
        <w:trPr>
          <w:cnfStyle w:val="100000000000" w:firstRow="1" w:lastRow="0" w:firstColumn="0" w:lastColumn="0" w:oddVBand="0" w:evenVBand="0" w:oddHBand="0" w:evenHBand="0" w:firstRowFirstColumn="0" w:firstRowLastColumn="0" w:lastRowFirstColumn="0" w:lastRowLastColumn="0"/>
          <w:trHeight w:val="300"/>
          <w:tblHeader/>
        </w:trPr>
        <w:tc>
          <w:tcPr>
            <w:tcW w:w="3452" w:type="pct"/>
            <w:noWrap/>
            <w:hideMark/>
          </w:tcPr>
          <w:p w14:paraId="167A4D01" w14:textId="77777777" w:rsidR="00C064F2" w:rsidRPr="00A83174" w:rsidRDefault="00C064F2" w:rsidP="00741FC5">
            <w:pPr>
              <w:pStyle w:val="TableText0"/>
              <w:numPr>
                <w:ilvl w:val="0"/>
                <w:numId w:val="32"/>
              </w:numPr>
            </w:pPr>
            <w:r w:rsidRPr="00A83174">
              <w:t>Reducing uptake of cascade screening</w:t>
            </w:r>
          </w:p>
          <w:p w14:paraId="6CE8EEEF" w14:textId="55589013" w:rsidR="00C064F2" w:rsidRPr="00A83174" w:rsidRDefault="00C064F2" w:rsidP="00741FC5">
            <w:pPr>
              <w:pStyle w:val="TableText0"/>
            </w:pPr>
            <w:r w:rsidRPr="00A83174">
              <w:t>Uptake of genetic cascade screening is reduced to 48.7%, and uptake of lipid screening is reduced to 18.9% (approximately 8.8%/22.7% = 39% of genetic screening</w:t>
            </w:r>
            <w:r w:rsidR="00741FC5">
              <w:t>.</w:t>
            </w:r>
          </w:p>
        </w:tc>
        <w:tc>
          <w:tcPr>
            <w:tcW w:w="461" w:type="pct"/>
            <w:noWrap/>
            <w:hideMark/>
          </w:tcPr>
          <w:p w14:paraId="3F234348" w14:textId="77777777" w:rsidR="00C064F2" w:rsidRPr="00962520" w:rsidRDefault="00C064F2" w:rsidP="00741FC5">
            <w:pPr>
              <w:pStyle w:val="TableText0"/>
            </w:pPr>
            <w:r w:rsidRPr="000A4E7E">
              <w:t>$1,602</w:t>
            </w:r>
          </w:p>
        </w:tc>
        <w:tc>
          <w:tcPr>
            <w:tcW w:w="461" w:type="pct"/>
            <w:noWrap/>
            <w:hideMark/>
          </w:tcPr>
          <w:p w14:paraId="46D8EFC2" w14:textId="77777777" w:rsidR="00C064F2" w:rsidRPr="00962520" w:rsidRDefault="00C064F2" w:rsidP="00741FC5">
            <w:pPr>
              <w:pStyle w:val="TableText0"/>
            </w:pPr>
            <w:r w:rsidRPr="000A4E7E">
              <w:t>0.12</w:t>
            </w:r>
          </w:p>
        </w:tc>
        <w:tc>
          <w:tcPr>
            <w:tcW w:w="626" w:type="pct"/>
            <w:noWrap/>
            <w:hideMark/>
          </w:tcPr>
          <w:p w14:paraId="0B72ADB6" w14:textId="77777777" w:rsidR="00C064F2" w:rsidRPr="00962520" w:rsidRDefault="00C064F2" w:rsidP="00741FC5">
            <w:pPr>
              <w:pStyle w:val="TableText0"/>
            </w:pPr>
            <w:r w:rsidRPr="000A4E7E">
              <w:t>$13,926</w:t>
            </w:r>
          </w:p>
        </w:tc>
      </w:tr>
      <w:tr w:rsidR="00C064F2" w:rsidRPr="00962520" w14:paraId="67837BF3" w14:textId="77777777" w:rsidTr="005D55BA">
        <w:trPr>
          <w:cnfStyle w:val="100000000000" w:firstRow="1" w:lastRow="0" w:firstColumn="0" w:lastColumn="0" w:oddVBand="0" w:evenVBand="0" w:oddHBand="0" w:evenHBand="0" w:firstRowFirstColumn="0" w:firstRowLastColumn="0" w:lastRowFirstColumn="0" w:lastRowLastColumn="0"/>
          <w:trHeight w:val="300"/>
          <w:tblHeader/>
        </w:trPr>
        <w:tc>
          <w:tcPr>
            <w:tcW w:w="3452" w:type="pct"/>
            <w:tcBorders>
              <w:bottom w:val="single" w:sz="4" w:space="0" w:color="auto"/>
            </w:tcBorders>
            <w:noWrap/>
            <w:hideMark/>
          </w:tcPr>
          <w:p w14:paraId="21F75C2B" w14:textId="77777777" w:rsidR="00C064F2" w:rsidRPr="00A83174" w:rsidRDefault="00C064F2" w:rsidP="00741FC5">
            <w:pPr>
              <w:pStyle w:val="TableText0"/>
              <w:numPr>
                <w:ilvl w:val="0"/>
                <w:numId w:val="32"/>
              </w:numPr>
            </w:pPr>
            <w:r w:rsidRPr="00A83174">
              <w:t>Reduced uptake of LLT in M+ after genetic testing</w:t>
            </w:r>
          </w:p>
          <w:p w14:paraId="2997A089" w14:textId="364BF17A" w:rsidR="00C064F2" w:rsidRPr="00A83174" w:rsidRDefault="00C064F2" w:rsidP="00741FC5">
            <w:pPr>
              <w:pStyle w:val="TableText0"/>
            </w:pPr>
            <w:r w:rsidRPr="00A83174">
              <w:t>Uptake of LLT in M+ after genetic cascade screening is reduced from 100% to 54.8% in children and 82.9% in adults</w:t>
            </w:r>
            <w:r w:rsidR="00741FC5">
              <w:t>.</w:t>
            </w:r>
          </w:p>
          <w:p w14:paraId="38F6631D" w14:textId="77777777" w:rsidR="00C064F2" w:rsidRPr="00A83174" w:rsidRDefault="00C064F2" w:rsidP="00741FC5">
            <w:pPr>
              <w:pStyle w:val="TableText0"/>
            </w:pPr>
            <w:r w:rsidRPr="00A83174">
              <w:t>Results at this step of the exploratory analysis are assumed to be the best available estimate of the ICER (i.e. base case).</w:t>
            </w:r>
          </w:p>
        </w:tc>
        <w:tc>
          <w:tcPr>
            <w:tcW w:w="461" w:type="pct"/>
            <w:tcBorders>
              <w:bottom w:val="single" w:sz="4" w:space="0" w:color="auto"/>
            </w:tcBorders>
            <w:noWrap/>
            <w:hideMark/>
          </w:tcPr>
          <w:p w14:paraId="5F4523FA" w14:textId="77777777" w:rsidR="00C064F2" w:rsidRPr="00491302" w:rsidRDefault="00C064F2" w:rsidP="00741FC5">
            <w:pPr>
              <w:pStyle w:val="TableText0"/>
            </w:pPr>
            <w:r w:rsidRPr="00262A25">
              <w:t>$1,741</w:t>
            </w:r>
          </w:p>
        </w:tc>
        <w:tc>
          <w:tcPr>
            <w:tcW w:w="461" w:type="pct"/>
            <w:tcBorders>
              <w:bottom w:val="single" w:sz="4" w:space="0" w:color="auto"/>
            </w:tcBorders>
            <w:noWrap/>
            <w:hideMark/>
          </w:tcPr>
          <w:p w14:paraId="7A8222DB" w14:textId="77777777" w:rsidR="00C064F2" w:rsidRPr="00491302" w:rsidRDefault="00C064F2" w:rsidP="00741FC5">
            <w:pPr>
              <w:pStyle w:val="TableText0"/>
            </w:pPr>
            <w:r w:rsidRPr="00262A25">
              <w:t>0.07</w:t>
            </w:r>
          </w:p>
        </w:tc>
        <w:tc>
          <w:tcPr>
            <w:tcW w:w="626" w:type="pct"/>
            <w:tcBorders>
              <w:bottom w:val="single" w:sz="4" w:space="0" w:color="auto"/>
            </w:tcBorders>
            <w:noWrap/>
            <w:hideMark/>
          </w:tcPr>
          <w:p w14:paraId="6D80211E" w14:textId="77777777" w:rsidR="00C064F2" w:rsidRPr="00491302" w:rsidRDefault="00C064F2" w:rsidP="00741FC5">
            <w:pPr>
              <w:pStyle w:val="TableText0"/>
            </w:pPr>
            <w:r w:rsidRPr="00262A25">
              <w:t>$24,907</w:t>
            </w:r>
          </w:p>
        </w:tc>
      </w:tr>
      <w:tr w:rsidR="00C064F2" w:rsidRPr="00962520" w14:paraId="2ABC2294" w14:textId="77777777" w:rsidTr="005D55BA">
        <w:trPr>
          <w:cnfStyle w:val="100000000000" w:firstRow="1" w:lastRow="0" w:firstColumn="0" w:lastColumn="0" w:oddVBand="0" w:evenVBand="0" w:oddHBand="0" w:evenHBand="0" w:firstRowFirstColumn="0" w:firstRowLastColumn="0" w:lastRowFirstColumn="0" w:lastRowLastColumn="0"/>
          <w:trHeight w:val="300"/>
          <w:tblHeader/>
        </w:trPr>
        <w:tc>
          <w:tcPr>
            <w:tcW w:w="3452" w:type="pct"/>
            <w:tcBorders>
              <w:bottom w:val="single" w:sz="4" w:space="0" w:color="auto"/>
            </w:tcBorders>
            <w:noWrap/>
          </w:tcPr>
          <w:p w14:paraId="3A370374" w14:textId="77777777" w:rsidR="00C064F2" w:rsidRPr="00A83174" w:rsidRDefault="00C064F2" w:rsidP="00741FC5">
            <w:pPr>
              <w:pStyle w:val="TableText0"/>
              <w:numPr>
                <w:ilvl w:val="0"/>
                <w:numId w:val="32"/>
              </w:numPr>
            </w:pPr>
            <w:r w:rsidRPr="00A83174">
              <w:t>Assuming uptake of LLT after lipid cascade screening is the same as after genetic cascade screening</w:t>
            </w:r>
          </w:p>
        </w:tc>
        <w:tc>
          <w:tcPr>
            <w:tcW w:w="461" w:type="pct"/>
            <w:tcBorders>
              <w:bottom w:val="single" w:sz="4" w:space="0" w:color="auto"/>
            </w:tcBorders>
            <w:noWrap/>
          </w:tcPr>
          <w:p w14:paraId="6B8C3B60" w14:textId="77777777" w:rsidR="00C064F2" w:rsidRPr="00262A25" w:rsidRDefault="00C064F2" w:rsidP="00741FC5">
            <w:pPr>
              <w:pStyle w:val="TableText0"/>
              <w:rPr>
                <w:b/>
              </w:rPr>
            </w:pPr>
            <w:r w:rsidRPr="005C359F">
              <w:t>$2,000</w:t>
            </w:r>
          </w:p>
        </w:tc>
        <w:tc>
          <w:tcPr>
            <w:tcW w:w="461" w:type="pct"/>
            <w:tcBorders>
              <w:bottom w:val="single" w:sz="4" w:space="0" w:color="auto"/>
            </w:tcBorders>
            <w:noWrap/>
          </w:tcPr>
          <w:p w14:paraId="7DCEC197" w14:textId="77777777" w:rsidR="00C064F2" w:rsidRPr="00262A25" w:rsidRDefault="00C064F2" w:rsidP="00741FC5">
            <w:pPr>
              <w:pStyle w:val="TableText0"/>
              <w:rPr>
                <w:b/>
              </w:rPr>
            </w:pPr>
            <w:r w:rsidRPr="005C359F">
              <w:t>0.05</w:t>
            </w:r>
          </w:p>
        </w:tc>
        <w:tc>
          <w:tcPr>
            <w:tcW w:w="626" w:type="pct"/>
            <w:tcBorders>
              <w:bottom w:val="single" w:sz="4" w:space="0" w:color="auto"/>
            </w:tcBorders>
            <w:noWrap/>
          </w:tcPr>
          <w:p w14:paraId="7FE5B776" w14:textId="77777777" w:rsidR="00C064F2" w:rsidRPr="00262A25" w:rsidRDefault="00C064F2" w:rsidP="00741FC5">
            <w:pPr>
              <w:pStyle w:val="TableText0"/>
              <w:rPr>
                <w:b/>
              </w:rPr>
            </w:pPr>
            <w:r w:rsidRPr="005C359F">
              <w:t>$40,278</w:t>
            </w:r>
          </w:p>
        </w:tc>
      </w:tr>
      <w:tr w:rsidR="00C064F2" w:rsidRPr="00962520" w14:paraId="0561B445" w14:textId="77777777" w:rsidTr="005D55BA">
        <w:trPr>
          <w:cnfStyle w:val="100000000000" w:firstRow="1" w:lastRow="0" w:firstColumn="0" w:lastColumn="0" w:oddVBand="0" w:evenVBand="0" w:oddHBand="0" w:evenHBand="0" w:firstRowFirstColumn="0" w:firstRowLastColumn="0" w:lastRowFirstColumn="0" w:lastRowLastColumn="0"/>
          <w:trHeight w:val="300"/>
          <w:tblHeader/>
        </w:trPr>
        <w:tc>
          <w:tcPr>
            <w:tcW w:w="3452" w:type="pct"/>
            <w:tcBorders>
              <w:bottom w:val="single" w:sz="4" w:space="0" w:color="auto"/>
              <w:right w:val="nil"/>
            </w:tcBorders>
            <w:noWrap/>
          </w:tcPr>
          <w:p w14:paraId="0E875339" w14:textId="77777777" w:rsidR="00C064F2" w:rsidRPr="00A83174" w:rsidRDefault="00C064F2" w:rsidP="00741FC5">
            <w:pPr>
              <w:pStyle w:val="TableText0"/>
            </w:pPr>
            <w:r w:rsidRPr="00A83174">
              <w:t>Scenario analyses with different assumptions regarding uptake of cascade screening</w:t>
            </w:r>
          </w:p>
        </w:tc>
        <w:tc>
          <w:tcPr>
            <w:tcW w:w="461" w:type="pct"/>
            <w:tcBorders>
              <w:left w:val="nil"/>
              <w:bottom w:val="single" w:sz="4" w:space="0" w:color="auto"/>
              <w:right w:val="nil"/>
            </w:tcBorders>
            <w:noWrap/>
          </w:tcPr>
          <w:p w14:paraId="789061CF" w14:textId="77777777" w:rsidR="00C064F2" w:rsidRPr="00664621" w:rsidRDefault="00C064F2" w:rsidP="00741FC5">
            <w:pPr>
              <w:pStyle w:val="TableText0"/>
            </w:pPr>
          </w:p>
        </w:tc>
        <w:tc>
          <w:tcPr>
            <w:tcW w:w="461" w:type="pct"/>
            <w:tcBorders>
              <w:left w:val="nil"/>
              <w:bottom w:val="single" w:sz="4" w:space="0" w:color="auto"/>
              <w:right w:val="nil"/>
            </w:tcBorders>
            <w:noWrap/>
          </w:tcPr>
          <w:p w14:paraId="56053391" w14:textId="77777777" w:rsidR="00C064F2" w:rsidRPr="00664621" w:rsidRDefault="00C064F2" w:rsidP="00741FC5">
            <w:pPr>
              <w:pStyle w:val="TableText0"/>
            </w:pPr>
          </w:p>
        </w:tc>
        <w:tc>
          <w:tcPr>
            <w:tcW w:w="626" w:type="pct"/>
            <w:tcBorders>
              <w:left w:val="nil"/>
              <w:bottom w:val="single" w:sz="4" w:space="0" w:color="auto"/>
            </w:tcBorders>
            <w:noWrap/>
          </w:tcPr>
          <w:p w14:paraId="209814C6" w14:textId="77777777" w:rsidR="00C064F2" w:rsidRPr="00664621" w:rsidRDefault="00C064F2" w:rsidP="00741FC5">
            <w:pPr>
              <w:pStyle w:val="TableText0"/>
            </w:pPr>
          </w:p>
        </w:tc>
      </w:tr>
      <w:tr w:rsidR="00C064F2" w:rsidRPr="00962520" w14:paraId="27516A3D" w14:textId="77777777" w:rsidTr="005D55BA">
        <w:trPr>
          <w:cnfStyle w:val="100000000000" w:firstRow="1" w:lastRow="0" w:firstColumn="0" w:lastColumn="0" w:oddVBand="0" w:evenVBand="0" w:oddHBand="0" w:evenHBand="0" w:firstRowFirstColumn="0" w:firstRowLastColumn="0" w:lastRowFirstColumn="0" w:lastRowLastColumn="0"/>
          <w:trHeight w:val="300"/>
          <w:tblHeader/>
        </w:trPr>
        <w:tc>
          <w:tcPr>
            <w:tcW w:w="3452" w:type="pct"/>
            <w:tcBorders>
              <w:bottom w:val="nil"/>
            </w:tcBorders>
            <w:noWrap/>
          </w:tcPr>
          <w:p w14:paraId="104D615C" w14:textId="77777777" w:rsidR="00C064F2" w:rsidRPr="00A83174" w:rsidRDefault="00C064F2" w:rsidP="00741FC5">
            <w:pPr>
              <w:pStyle w:val="TableText0"/>
            </w:pPr>
            <w:r w:rsidRPr="00A83174">
              <w:t xml:space="preserve">Assuming uptake of lipid screening is </w:t>
            </w:r>
            <w:r w:rsidRPr="00A83174">
              <w:rPr>
                <w:u w:val="single"/>
              </w:rPr>
              <w:t>equivalent</w:t>
            </w:r>
            <w:r w:rsidRPr="00A83174">
              <w:t xml:space="preserve"> to uptake of genetic screening (i.e. both 48.7%) but uptake of LLT in adults following cascade screening is unchanged.</w:t>
            </w:r>
          </w:p>
        </w:tc>
        <w:tc>
          <w:tcPr>
            <w:tcW w:w="461" w:type="pct"/>
            <w:tcBorders>
              <w:bottom w:val="nil"/>
            </w:tcBorders>
            <w:noWrap/>
          </w:tcPr>
          <w:p w14:paraId="039CB2EF" w14:textId="77777777" w:rsidR="00C064F2" w:rsidRPr="00962520" w:rsidRDefault="00C064F2" w:rsidP="00741FC5">
            <w:pPr>
              <w:pStyle w:val="TableText0"/>
            </w:pPr>
            <w:r w:rsidRPr="000A4E7E">
              <w:t>$1,551</w:t>
            </w:r>
          </w:p>
        </w:tc>
        <w:tc>
          <w:tcPr>
            <w:tcW w:w="461" w:type="pct"/>
            <w:tcBorders>
              <w:bottom w:val="nil"/>
            </w:tcBorders>
            <w:noWrap/>
          </w:tcPr>
          <w:p w14:paraId="2D892A41" w14:textId="77777777" w:rsidR="00C064F2" w:rsidRPr="00962520" w:rsidRDefault="00C064F2" w:rsidP="00741FC5">
            <w:pPr>
              <w:pStyle w:val="TableText0"/>
            </w:pPr>
            <w:r w:rsidRPr="000A4E7E">
              <w:t>0.05</w:t>
            </w:r>
          </w:p>
        </w:tc>
        <w:tc>
          <w:tcPr>
            <w:tcW w:w="626" w:type="pct"/>
            <w:tcBorders>
              <w:bottom w:val="nil"/>
            </w:tcBorders>
            <w:noWrap/>
          </w:tcPr>
          <w:p w14:paraId="0226D8A2" w14:textId="77777777" w:rsidR="00C064F2" w:rsidRPr="00962520" w:rsidRDefault="00C064F2" w:rsidP="00741FC5">
            <w:pPr>
              <w:pStyle w:val="TableText0"/>
            </w:pPr>
            <w:r w:rsidRPr="000A4E7E">
              <w:t>$29,676</w:t>
            </w:r>
          </w:p>
        </w:tc>
      </w:tr>
      <w:tr w:rsidR="00C064F2" w:rsidRPr="00962520" w14:paraId="06307121" w14:textId="77777777" w:rsidTr="005D55BA">
        <w:trPr>
          <w:cnfStyle w:val="100000000000" w:firstRow="1" w:lastRow="0" w:firstColumn="0" w:lastColumn="0" w:oddVBand="0" w:evenVBand="0" w:oddHBand="0" w:evenHBand="0" w:firstRowFirstColumn="0" w:firstRowLastColumn="0" w:lastRowFirstColumn="0" w:lastRowLastColumn="0"/>
          <w:trHeight w:val="300"/>
          <w:tblHeader/>
        </w:trPr>
        <w:tc>
          <w:tcPr>
            <w:tcW w:w="3452" w:type="pct"/>
            <w:tcBorders>
              <w:top w:val="nil"/>
              <w:bottom w:val="single" w:sz="4" w:space="0" w:color="auto"/>
            </w:tcBorders>
            <w:noWrap/>
          </w:tcPr>
          <w:p w14:paraId="79656027" w14:textId="77777777" w:rsidR="00C064F2" w:rsidRPr="00A83174" w:rsidRDefault="00C064F2" w:rsidP="00741FC5">
            <w:pPr>
              <w:pStyle w:val="TableText0"/>
            </w:pPr>
            <w:r w:rsidRPr="00A83174">
              <w:t xml:space="preserve">[Assuming uptake of LLT after lipid screening </w:t>
            </w:r>
            <w:r w:rsidRPr="00A83174">
              <w:rPr>
                <w:u w:val="single"/>
              </w:rPr>
              <w:t>same</w:t>
            </w:r>
            <w:r w:rsidRPr="00A83174">
              <w:t xml:space="preserve"> as after genetic screening</w:t>
            </w:r>
          </w:p>
        </w:tc>
        <w:tc>
          <w:tcPr>
            <w:tcW w:w="461" w:type="pct"/>
            <w:tcBorders>
              <w:top w:val="nil"/>
              <w:bottom w:val="single" w:sz="4" w:space="0" w:color="auto"/>
            </w:tcBorders>
            <w:noWrap/>
          </w:tcPr>
          <w:p w14:paraId="4126BFA3" w14:textId="77777777" w:rsidR="00C064F2" w:rsidRPr="00962520" w:rsidRDefault="00C064F2" w:rsidP="00741FC5">
            <w:pPr>
              <w:pStyle w:val="TableText0"/>
            </w:pPr>
            <w:r w:rsidRPr="000A4E7E">
              <w:t>$2,218</w:t>
            </w:r>
          </w:p>
        </w:tc>
        <w:tc>
          <w:tcPr>
            <w:tcW w:w="461" w:type="pct"/>
            <w:tcBorders>
              <w:top w:val="nil"/>
              <w:bottom w:val="single" w:sz="4" w:space="0" w:color="auto"/>
            </w:tcBorders>
            <w:noWrap/>
          </w:tcPr>
          <w:p w14:paraId="0692B9A5" w14:textId="77777777" w:rsidR="00C064F2" w:rsidRPr="00962520" w:rsidRDefault="00C064F2" w:rsidP="00741FC5">
            <w:pPr>
              <w:pStyle w:val="TableText0"/>
            </w:pPr>
            <w:r w:rsidRPr="000A4E7E">
              <w:t>0.00</w:t>
            </w:r>
          </w:p>
        </w:tc>
        <w:tc>
          <w:tcPr>
            <w:tcW w:w="626" w:type="pct"/>
            <w:tcBorders>
              <w:top w:val="nil"/>
              <w:bottom w:val="single" w:sz="4" w:space="0" w:color="auto"/>
            </w:tcBorders>
            <w:noWrap/>
          </w:tcPr>
          <w:p w14:paraId="45E891DC" w14:textId="77777777" w:rsidR="00C064F2" w:rsidRPr="00962520" w:rsidRDefault="00C064F2" w:rsidP="00741FC5">
            <w:pPr>
              <w:pStyle w:val="TableText0"/>
            </w:pPr>
            <w:r>
              <w:t>Dominated]</w:t>
            </w:r>
          </w:p>
        </w:tc>
      </w:tr>
      <w:tr w:rsidR="00C064F2" w:rsidRPr="00962520" w14:paraId="6834B24D" w14:textId="77777777" w:rsidTr="005D55BA">
        <w:trPr>
          <w:cnfStyle w:val="100000000000" w:firstRow="1" w:lastRow="0" w:firstColumn="0" w:lastColumn="0" w:oddVBand="0" w:evenVBand="0" w:oddHBand="0" w:evenHBand="0" w:firstRowFirstColumn="0" w:firstRowLastColumn="0" w:lastRowFirstColumn="0" w:lastRowLastColumn="0"/>
          <w:trHeight w:val="300"/>
          <w:tblHeader/>
        </w:trPr>
        <w:tc>
          <w:tcPr>
            <w:tcW w:w="3452" w:type="pct"/>
            <w:tcBorders>
              <w:bottom w:val="nil"/>
            </w:tcBorders>
            <w:noWrap/>
          </w:tcPr>
          <w:p w14:paraId="0B70A80D" w14:textId="77777777" w:rsidR="00C064F2" w:rsidRPr="00A83174" w:rsidRDefault="00C064F2" w:rsidP="00741FC5">
            <w:pPr>
              <w:pStyle w:val="TableText0"/>
            </w:pPr>
            <w:r w:rsidRPr="00A83174">
              <w:t xml:space="preserve">Assuming uptake of lipid screening is </w:t>
            </w:r>
            <w:r w:rsidRPr="00A83174">
              <w:rPr>
                <w:u w:val="single"/>
              </w:rPr>
              <w:t>greater</w:t>
            </w:r>
            <w:r w:rsidRPr="00A83174">
              <w:t xml:space="preserve"> than uptake of genetic screening assuming the relative difference observed in Marteau et al. </w:t>
            </w:r>
            <w:r w:rsidRPr="00A83174">
              <w:fldChar w:fldCharType="begin">
                <w:fldData xml:space="preserve">PEVuZE5vdGU+PENpdGUgRXhjbHVkZUF1dGg9IjEiPjxBdXRob3I+TWFydGVhdTwvQXV0aG9yPjxZ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=
</w:fldData>
              </w:fldChar>
            </w:r>
            <w:r w:rsidRPr="00A83174">
              <w:instrText xml:space="preserve"> ADDIN EN.CITE </w:instrText>
            </w:r>
            <w:r w:rsidRPr="00A83174">
              <w:fldChar w:fldCharType="begin">
                <w:fldData xml:space="preserve">PEVuZE5vdGU+PENpdGUgRXhjbHVkZUF1dGg9IjEiPjxBdXRob3I+TWFydGVhdTwvQXV0aG9yPjxZ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=
</w:fldData>
              </w:fldChar>
            </w:r>
            <w:r w:rsidRPr="00A83174">
              <w:instrText xml:space="preserve"> ADDIN EN.CITE.DATA </w:instrText>
            </w:r>
            <w:r w:rsidRPr="00A83174">
              <w:fldChar w:fldCharType="end"/>
            </w:r>
            <w:r w:rsidRPr="00A83174">
              <w:fldChar w:fldCharType="separate"/>
            </w:r>
            <w:r w:rsidRPr="00A83174">
              <w:rPr>
                <w:noProof/>
              </w:rPr>
              <w:t>(2004)</w:t>
            </w:r>
            <w:r w:rsidRPr="00A83174">
              <w:fldChar w:fldCharType="end"/>
            </w:r>
            <w:r w:rsidRPr="00A83174">
              <w:t xml:space="preserve"> (i.e. genetic + lipid: 48.7%; lipid: 63.4%, 52.3%/40.) but uptake of LLT in adults following cascade screening is unchanged.</w:t>
            </w:r>
          </w:p>
        </w:tc>
        <w:tc>
          <w:tcPr>
            <w:tcW w:w="461" w:type="pct"/>
            <w:tcBorders>
              <w:bottom w:val="nil"/>
            </w:tcBorders>
            <w:noWrap/>
          </w:tcPr>
          <w:p w14:paraId="7BEBC2E0" w14:textId="77777777" w:rsidR="00C064F2" w:rsidRPr="000A4E7E" w:rsidRDefault="00C064F2" w:rsidP="00741FC5">
            <w:pPr>
              <w:pStyle w:val="TableText0"/>
            </w:pPr>
            <w:r w:rsidRPr="00BE36D0">
              <w:t>$1,457</w:t>
            </w:r>
          </w:p>
        </w:tc>
        <w:tc>
          <w:tcPr>
            <w:tcW w:w="461" w:type="pct"/>
            <w:tcBorders>
              <w:bottom w:val="nil"/>
            </w:tcBorders>
            <w:noWrap/>
          </w:tcPr>
          <w:p w14:paraId="1EA00882" w14:textId="77777777" w:rsidR="00C064F2" w:rsidRPr="000A4E7E" w:rsidRDefault="00C064F2" w:rsidP="00741FC5">
            <w:pPr>
              <w:pStyle w:val="TableText0"/>
            </w:pPr>
            <w:r w:rsidRPr="00BE36D0">
              <w:t>0.04</w:t>
            </w:r>
          </w:p>
        </w:tc>
        <w:tc>
          <w:tcPr>
            <w:tcW w:w="626" w:type="pct"/>
            <w:tcBorders>
              <w:bottom w:val="nil"/>
            </w:tcBorders>
            <w:noWrap/>
          </w:tcPr>
          <w:p w14:paraId="7C7323E3" w14:textId="77777777" w:rsidR="00C064F2" w:rsidRDefault="00C064F2" w:rsidP="00741FC5">
            <w:pPr>
              <w:pStyle w:val="TableText0"/>
            </w:pPr>
            <w:r w:rsidRPr="00BE36D0">
              <w:t>$33,463</w:t>
            </w:r>
          </w:p>
        </w:tc>
      </w:tr>
      <w:tr w:rsidR="00C064F2" w:rsidRPr="00962520" w14:paraId="3C8C49BF" w14:textId="77777777" w:rsidTr="005D55BA">
        <w:trPr>
          <w:cnfStyle w:val="100000000000" w:firstRow="1" w:lastRow="0" w:firstColumn="0" w:lastColumn="0" w:oddVBand="0" w:evenVBand="0" w:oddHBand="0" w:evenHBand="0" w:firstRowFirstColumn="0" w:firstRowLastColumn="0" w:lastRowFirstColumn="0" w:lastRowLastColumn="0"/>
          <w:trHeight w:val="300"/>
          <w:tblHeader/>
        </w:trPr>
        <w:tc>
          <w:tcPr>
            <w:tcW w:w="3452" w:type="pct"/>
            <w:tcBorders>
              <w:top w:val="nil"/>
              <w:bottom w:val="single" w:sz="4" w:space="0" w:color="auto"/>
            </w:tcBorders>
            <w:noWrap/>
          </w:tcPr>
          <w:p w14:paraId="48A9111C" w14:textId="77777777" w:rsidR="00C064F2" w:rsidRPr="00A83174" w:rsidRDefault="00C064F2" w:rsidP="00741FC5">
            <w:pPr>
              <w:pStyle w:val="TableText0"/>
            </w:pPr>
            <w:r w:rsidRPr="00A83174">
              <w:t xml:space="preserve">[Assuming uptake of LLT after lipid screening </w:t>
            </w:r>
            <w:r w:rsidRPr="00A83174">
              <w:rPr>
                <w:u w:val="single"/>
              </w:rPr>
              <w:t>same</w:t>
            </w:r>
            <w:r w:rsidRPr="00A83174">
              <w:t xml:space="preserve"> as after genetic screening</w:t>
            </w:r>
          </w:p>
        </w:tc>
        <w:tc>
          <w:tcPr>
            <w:tcW w:w="461" w:type="pct"/>
            <w:tcBorders>
              <w:top w:val="nil"/>
              <w:bottom w:val="single" w:sz="4" w:space="0" w:color="auto"/>
            </w:tcBorders>
            <w:noWrap/>
          </w:tcPr>
          <w:p w14:paraId="1902308C" w14:textId="77777777" w:rsidR="00C064F2" w:rsidRPr="000A4E7E" w:rsidRDefault="00C064F2" w:rsidP="00741FC5">
            <w:pPr>
              <w:pStyle w:val="TableText0"/>
            </w:pPr>
            <w:r w:rsidRPr="00BE36D0">
              <w:t>$2,326</w:t>
            </w:r>
          </w:p>
        </w:tc>
        <w:tc>
          <w:tcPr>
            <w:tcW w:w="461" w:type="pct"/>
            <w:tcBorders>
              <w:top w:val="nil"/>
              <w:bottom w:val="single" w:sz="4" w:space="0" w:color="auto"/>
            </w:tcBorders>
            <w:noWrap/>
          </w:tcPr>
          <w:p w14:paraId="040D2861" w14:textId="77777777" w:rsidR="00C064F2" w:rsidRPr="000A4E7E" w:rsidRDefault="00C064F2" w:rsidP="00741FC5">
            <w:pPr>
              <w:pStyle w:val="TableText0"/>
            </w:pPr>
            <w:r w:rsidRPr="00BE36D0">
              <w:t>–0.02</w:t>
            </w:r>
          </w:p>
        </w:tc>
        <w:tc>
          <w:tcPr>
            <w:tcW w:w="626" w:type="pct"/>
            <w:tcBorders>
              <w:top w:val="nil"/>
              <w:bottom w:val="single" w:sz="4" w:space="0" w:color="auto"/>
            </w:tcBorders>
            <w:noWrap/>
          </w:tcPr>
          <w:p w14:paraId="07D2C997" w14:textId="77777777" w:rsidR="00C064F2" w:rsidRDefault="00C064F2" w:rsidP="00741FC5">
            <w:pPr>
              <w:pStyle w:val="TableText0"/>
            </w:pPr>
            <w:r>
              <w:t>Dominated]</w:t>
            </w:r>
          </w:p>
        </w:tc>
      </w:tr>
    </w:tbl>
    <w:p w14:paraId="6CF5FE73" w14:textId="2FA995B3" w:rsidR="00C064F2" w:rsidRDefault="00C064F2" w:rsidP="00C064F2">
      <w:pPr>
        <w:pStyle w:val="Tablenotes"/>
      </w:pPr>
      <w:r>
        <w:t>ICER = incremental cost-effectiveness ratio; LLT = lipid lowering therapy; M+ = mutation positive; QALY = quality-adjusted life year</w:t>
      </w:r>
      <w:r w:rsidR="00FF53C3">
        <w:t>.</w:t>
      </w:r>
    </w:p>
    <w:p w14:paraId="0FE1DAF2" w14:textId="57C2B421" w:rsidR="005479EB" w:rsidRDefault="00C064F2">
      <w:r>
        <w:t xml:space="preserve">Importantly, there is no benefit for testing </w:t>
      </w:r>
      <w:r w:rsidR="00C9104B">
        <w:t xml:space="preserve">of </w:t>
      </w:r>
      <w:r w:rsidR="00C9104B" w:rsidRPr="00C9104B">
        <w:t>affected individuals</w:t>
      </w:r>
      <w:r>
        <w:t xml:space="preserve"> only (as demonstrated in </w:t>
      </w:r>
      <w:r w:rsidR="00722D57">
        <w:fldChar w:fldCharType="begin"/>
      </w:r>
      <w:r w:rsidR="00722D57">
        <w:instrText xml:space="preserve"> REF _Ref11160505 \h </w:instrText>
      </w:r>
      <w:r w:rsidR="00722D57">
        <w:fldChar w:fldCharType="separate"/>
      </w:r>
      <w:r w:rsidR="00722D57">
        <w:t xml:space="preserve">Table </w:t>
      </w:r>
      <w:r w:rsidR="00722D57">
        <w:rPr>
          <w:noProof/>
        </w:rPr>
        <w:t>7</w:t>
      </w:r>
      <w:r w:rsidR="00722D57">
        <w:fldChar w:fldCharType="end"/>
      </w:r>
      <w:r w:rsidR="00722D57">
        <w:t xml:space="preserve"> </w:t>
      </w:r>
      <w:r>
        <w:t>below, whereby the ICER is dominated)</w:t>
      </w:r>
      <w:r w:rsidR="00741FC5">
        <w:t>.</w:t>
      </w:r>
      <w:r>
        <w:t xml:space="preserve"> The benefits are entirely accrued in the cascade group</w:t>
      </w:r>
      <w:r w:rsidR="00FF53C3">
        <w:t>s</w:t>
      </w:r>
      <w:r>
        <w:t xml:space="preserve"> (FDR, SDR, TDR). </w:t>
      </w:r>
      <w:r w:rsidR="00722D57">
        <w:fldChar w:fldCharType="begin"/>
      </w:r>
      <w:r w:rsidR="00722D57">
        <w:instrText xml:space="preserve"> REF _Ref11160522 \h </w:instrText>
      </w:r>
      <w:r w:rsidR="00722D57">
        <w:fldChar w:fldCharType="separate"/>
      </w:r>
      <w:r w:rsidR="00722D57">
        <w:t xml:space="preserve">Table </w:t>
      </w:r>
      <w:r w:rsidR="00722D57">
        <w:rPr>
          <w:noProof/>
        </w:rPr>
        <w:t>8</w:t>
      </w:r>
      <w:r w:rsidR="00722D57">
        <w:fldChar w:fldCharType="end"/>
      </w:r>
      <w:r>
        <w:t xml:space="preserve"> shows the marginal ICER</w:t>
      </w:r>
      <w:r w:rsidR="00FF53C3">
        <w:t>s</w:t>
      </w:r>
      <w:r>
        <w:t xml:space="preserve"> of </w:t>
      </w:r>
      <w:r w:rsidR="00FF53C3">
        <w:t xml:space="preserve">adding testing of these groups in the model, </w:t>
      </w:r>
      <w:r>
        <w:t>including 3</w:t>
      </w:r>
      <w:r w:rsidRPr="00492105">
        <w:rPr>
          <w:vertAlign w:val="superscript"/>
        </w:rPr>
        <w:t>rd</w:t>
      </w:r>
      <w:r>
        <w:t xml:space="preserve"> degree relatives (ICER $37,446/QALY).</w:t>
      </w:r>
      <w:r w:rsidR="005479EB">
        <w:br w:type="page"/>
      </w:r>
    </w:p>
    <w:p w14:paraId="714E5336" w14:textId="5DCFB767" w:rsidR="00C064F2" w:rsidRPr="00162774" w:rsidRDefault="00722D57" w:rsidP="00162774">
      <w:pPr>
        <w:rPr>
          <w:rFonts w:ascii="Arial Narrow" w:hAnsi="Arial Narrow"/>
          <w:b/>
          <w:sz w:val="20"/>
        </w:rPr>
      </w:pPr>
      <w:bookmarkStart w:id="15" w:name="_Ref11160505"/>
      <w:bookmarkStart w:id="16" w:name="_Toc534367879"/>
      <w:bookmarkStart w:id="17" w:name="_Toc534899588"/>
      <w:r w:rsidRPr="00162774">
        <w:rPr>
          <w:rFonts w:ascii="Arial Narrow" w:hAnsi="Arial Narrow"/>
          <w:b/>
          <w:sz w:val="20"/>
        </w:rPr>
        <w:lastRenderedPageBreak/>
        <w:t xml:space="preserve">Table </w:t>
      </w:r>
      <w:r w:rsidR="00B108E7" w:rsidRPr="00162774">
        <w:rPr>
          <w:rFonts w:ascii="Arial Narrow" w:hAnsi="Arial Narrow"/>
          <w:b/>
          <w:sz w:val="20"/>
        </w:rPr>
        <w:fldChar w:fldCharType="begin"/>
      </w:r>
      <w:r w:rsidR="00B108E7" w:rsidRPr="00162774">
        <w:rPr>
          <w:rFonts w:ascii="Arial Narrow" w:hAnsi="Arial Narrow"/>
          <w:b/>
          <w:sz w:val="20"/>
        </w:rPr>
        <w:instrText xml:space="preserve"> SEQ Table \* ARABIC </w:instrText>
      </w:r>
      <w:r w:rsidR="00B108E7" w:rsidRPr="00162774">
        <w:rPr>
          <w:rFonts w:ascii="Arial Narrow" w:hAnsi="Arial Narrow"/>
          <w:b/>
          <w:sz w:val="20"/>
        </w:rPr>
        <w:fldChar w:fldCharType="separate"/>
      </w:r>
      <w:r w:rsidRPr="00162774">
        <w:rPr>
          <w:rFonts w:ascii="Arial Narrow" w:hAnsi="Arial Narrow"/>
          <w:b/>
          <w:sz w:val="20"/>
        </w:rPr>
        <w:t>7</w:t>
      </w:r>
      <w:r w:rsidR="00B108E7" w:rsidRPr="00162774">
        <w:rPr>
          <w:rFonts w:ascii="Arial Narrow" w:hAnsi="Arial Narrow"/>
          <w:b/>
          <w:sz w:val="20"/>
        </w:rPr>
        <w:fldChar w:fldCharType="end"/>
      </w:r>
      <w:bookmarkEnd w:id="15"/>
      <w:r w:rsidRPr="00162774">
        <w:rPr>
          <w:rFonts w:ascii="Arial Narrow" w:hAnsi="Arial Narrow"/>
          <w:b/>
          <w:sz w:val="20"/>
        </w:rPr>
        <w:tab/>
      </w:r>
      <w:r w:rsidR="00C064F2" w:rsidRPr="00162774">
        <w:rPr>
          <w:rFonts w:ascii="Arial Narrow" w:hAnsi="Arial Narrow"/>
          <w:b/>
          <w:sz w:val="20"/>
        </w:rPr>
        <w:t>Incremental cost-effectiveness of genetic testing across various cohorts</w:t>
      </w:r>
      <w:bookmarkEnd w:id="16"/>
      <w:bookmarkEnd w:id="17"/>
    </w:p>
    <w:tbl>
      <w:tblPr>
        <w:tblStyle w:val="TableGrid1"/>
        <w:tblW w:w="0" w:type="auto"/>
        <w:tblCellMar>
          <w:left w:w="28" w:type="dxa"/>
          <w:right w:w="28" w:type="dxa"/>
        </w:tblCellMar>
        <w:tblLook w:val="04A0" w:firstRow="1" w:lastRow="0" w:firstColumn="1" w:lastColumn="0" w:noHBand="0" w:noVBand="1"/>
        <w:tblCaption w:val="Incremental cost-effectiveness of genetic testing across various cohorts"/>
        <w:tblDescription w:val="Incremental cost-effectiveness of genetic testing across various cohorts"/>
      </w:tblPr>
      <w:tblGrid>
        <w:gridCol w:w="2972"/>
        <w:gridCol w:w="1418"/>
        <w:gridCol w:w="1397"/>
        <w:gridCol w:w="993"/>
        <w:gridCol w:w="2236"/>
      </w:tblGrid>
      <w:tr w:rsidR="00C064F2" w:rsidRPr="00FC176F" w14:paraId="3072B096" w14:textId="77777777" w:rsidTr="00C9104B">
        <w:trPr>
          <w:cnfStyle w:val="100000000000" w:firstRow="1" w:lastRow="0" w:firstColumn="0" w:lastColumn="0" w:oddVBand="0" w:evenVBand="0" w:oddHBand="0" w:evenHBand="0" w:firstRowFirstColumn="0" w:firstRowLastColumn="0" w:lastRowFirstColumn="0" w:lastRowLastColumn="0"/>
          <w:trHeight w:val="300"/>
          <w:tblHeader/>
        </w:trPr>
        <w:tc>
          <w:tcPr>
            <w:tcW w:w="2972" w:type="dxa"/>
            <w:tcBorders>
              <w:right w:val="single" w:sz="4" w:space="0" w:color="auto"/>
            </w:tcBorders>
            <w:noWrap/>
          </w:tcPr>
          <w:p w14:paraId="64DB220C" w14:textId="77777777" w:rsidR="00C064F2" w:rsidRPr="00492105" w:rsidRDefault="00C064F2" w:rsidP="00741FC5">
            <w:pPr>
              <w:pStyle w:val="TableText0"/>
            </w:pPr>
          </w:p>
        </w:tc>
        <w:tc>
          <w:tcPr>
            <w:tcW w:w="1418" w:type="dxa"/>
            <w:tcBorders>
              <w:left w:val="single" w:sz="4" w:space="0" w:color="auto"/>
              <w:right w:val="single" w:sz="4" w:space="0" w:color="auto"/>
            </w:tcBorders>
            <w:noWrap/>
          </w:tcPr>
          <w:p w14:paraId="45B601B2" w14:textId="77777777" w:rsidR="00C064F2" w:rsidRPr="00492105" w:rsidRDefault="00C064F2" w:rsidP="00741FC5">
            <w:pPr>
              <w:pStyle w:val="TableText0"/>
            </w:pPr>
            <w:r w:rsidRPr="00492105">
              <w:t>Genetic testing available</w:t>
            </w:r>
          </w:p>
        </w:tc>
        <w:tc>
          <w:tcPr>
            <w:tcW w:w="1397" w:type="dxa"/>
            <w:tcBorders>
              <w:left w:val="single" w:sz="4" w:space="0" w:color="auto"/>
              <w:right w:val="single" w:sz="4" w:space="0" w:color="auto"/>
            </w:tcBorders>
            <w:noWrap/>
          </w:tcPr>
          <w:p w14:paraId="726BF39C" w14:textId="77777777" w:rsidR="00C064F2" w:rsidRPr="00492105" w:rsidRDefault="00C064F2" w:rsidP="00741FC5">
            <w:pPr>
              <w:pStyle w:val="TableText0"/>
            </w:pPr>
            <w:r w:rsidRPr="00492105">
              <w:t>Genetic testing not available</w:t>
            </w:r>
          </w:p>
        </w:tc>
        <w:tc>
          <w:tcPr>
            <w:tcW w:w="993" w:type="dxa"/>
            <w:tcBorders>
              <w:left w:val="single" w:sz="4" w:space="0" w:color="auto"/>
              <w:right w:val="single" w:sz="4" w:space="0" w:color="auto"/>
            </w:tcBorders>
            <w:noWrap/>
          </w:tcPr>
          <w:p w14:paraId="326DA1BB" w14:textId="77777777" w:rsidR="00C064F2" w:rsidRPr="00492105" w:rsidRDefault="00C064F2" w:rsidP="00741FC5">
            <w:pPr>
              <w:pStyle w:val="TableText0"/>
            </w:pPr>
            <w:r w:rsidRPr="00492105">
              <w:t>Increment</w:t>
            </w:r>
          </w:p>
        </w:tc>
        <w:tc>
          <w:tcPr>
            <w:tcW w:w="0" w:type="auto"/>
            <w:tcBorders>
              <w:left w:val="single" w:sz="4" w:space="0" w:color="auto"/>
            </w:tcBorders>
            <w:noWrap/>
          </w:tcPr>
          <w:p w14:paraId="32E258BA" w14:textId="77777777" w:rsidR="00C064F2" w:rsidRPr="00492105" w:rsidRDefault="00C064F2" w:rsidP="00741FC5">
            <w:pPr>
              <w:pStyle w:val="TableText0"/>
            </w:pPr>
            <w:r w:rsidRPr="00492105">
              <w:t>ICER</w:t>
            </w:r>
          </w:p>
        </w:tc>
      </w:tr>
      <w:tr w:rsidR="00C064F2" w:rsidRPr="00FC176F" w14:paraId="24D469CD" w14:textId="77777777" w:rsidTr="00C9104B">
        <w:trPr>
          <w:trHeight w:val="300"/>
        </w:trPr>
        <w:tc>
          <w:tcPr>
            <w:tcW w:w="2972" w:type="dxa"/>
            <w:tcBorders>
              <w:right w:val="nil"/>
            </w:tcBorders>
            <w:noWrap/>
          </w:tcPr>
          <w:p w14:paraId="3AED3C3D" w14:textId="50E79A6C" w:rsidR="00C064F2" w:rsidRPr="00FC176F" w:rsidRDefault="00C9104B" w:rsidP="00741FC5">
            <w:pPr>
              <w:pStyle w:val="TableText0"/>
            </w:pPr>
            <w:r>
              <w:t>A</w:t>
            </w:r>
            <w:r w:rsidRPr="00C9104B">
              <w:t>ffected individuals</w:t>
            </w:r>
            <w:r w:rsidR="00C064F2" w:rsidRPr="00FC176F">
              <w:t xml:space="preserve"> only</w:t>
            </w:r>
          </w:p>
        </w:tc>
        <w:tc>
          <w:tcPr>
            <w:tcW w:w="1418" w:type="dxa"/>
            <w:tcBorders>
              <w:left w:val="nil"/>
              <w:right w:val="nil"/>
            </w:tcBorders>
            <w:noWrap/>
            <w:vAlign w:val="center"/>
          </w:tcPr>
          <w:p w14:paraId="3A2CD085" w14:textId="77777777" w:rsidR="00C064F2" w:rsidRPr="00FC176F" w:rsidRDefault="00C064F2" w:rsidP="00741FC5">
            <w:pPr>
              <w:pStyle w:val="TableText0"/>
            </w:pPr>
          </w:p>
        </w:tc>
        <w:tc>
          <w:tcPr>
            <w:tcW w:w="1397" w:type="dxa"/>
            <w:tcBorders>
              <w:left w:val="nil"/>
              <w:right w:val="nil"/>
            </w:tcBorders>
            <w:noWrap/>
            <w:vAlign w:val="center"/>
          </w:tcPr>
          <w:p w14:paraId="6448486B" w14:textId="77777777" w:rsidR="00C064F2" w:rsidRPr="00FC176F" w:rsidRDefault="00C064F2" w:rsidP="00741FC5">
            <w:pPr>
              <w:pStyle w:val="TableText0"/>
            </w:pPr>
          </w:p>
        </w:tc>
        <w:tc>
          <w:tcPr>
            <w:tcW w:w="993" w:type="dxa"/>
            <w:tcBorders>
              <w:left w:val="nil"/>
              <w:right w:val="nil"/>
            </w:tcBorders>
            <w:noWrap/>
            <w:vAlign w:val="center"/>
          </w:tcPr>
          <w:p w14:paraId="440F235D" w14:textId="77777777" w:rsidR="00C064F2" w:rsidRPr="00FC176F" w:rsidRDefault="00C064F2" w:rsidP="00741FC5">
            <w:pPr>
              <w:pStyle w:val="TableText0"/>
            </w:pPr>
          </w:p>
        </w:tc>
        <w:tc>
          <w:tcPr>
            <w:tcW w:w="0" w:type="auto"/>
            <w:tcBorders>
              <w:left w:val="nil"/>
            </w:tcBorders>
            <w:noWrap/>
            <w:vAlign w:val="bottom"/>
          </w:tcPr>
          <w:p w14:paraId="13CC6F3E" w14:textId="77777777" w:rsidR="00C064F2" w:rsidRPr="00FC176F" w:rsidRDefault="00C064F2" w:rsidP="00741FC5">
            <w:pPr>
              <w:pStyle w:val="TableText0"/>
            </w:pPr>
          </w:p>
        </w:tc>
      </w:tr>
      <w:tr w:rsidR="00C064F2" w:rsidRPr="00EF03F7" w14:paraId="7F39241C" w14:textId="77777777" w:rsidTr="00C9104B">
        <w:trPr>
          <w:trHeight w:val="300"/>
        </w:trPr>
        <w:tc>
          <w:tcPr>
            <w:tcW w:w="2972" w:type="dxa"/>
            <w:noWrap/>
            <w:hideMark/>
          </w:tcPr>
          <w:p w14:paraId="03EBB3DE" w14:textId="77777777" w:rsidR="00C064F2" w:rsidRPr="005527E0" w:rsidRDefault="00C064F2" w:rsidP="00741FC5">
            <w:pPr>
              <w:pStyle w:val="TableText0"/>
            </w:pPr>
            <w:r>
              <w:t>C</w:t>
            </w:r>
            <w:r w:rsidRPr="005527E0">
              <w:t>osts</w:t>
            </w:r>
          </w:p>
        </w:tc>
        <w:tc>
          <w:tcPr>
            <w:tcW w:w="1418" w:type="dxa"/>
            <w:noWrap/>
            <w:hideMark/>
          </w:tcPr>
          <w:p w14:paraId="04600FB0" w14:textId="77777777" w:rsidR="00C064F2" w:rsidRPr="005527E0" w:rsidRDefault="00C064F2" w:rsidP="00741FC5">
            <w:pPr>
              <w:pStyle w:val="TableText0"/>
            </w:pPr>
            <w:r w:rsidRPr="003369CE">
              <w:t>$31,018</w:t>
            </w:r>
          </w:p>
        </w:tc>
        <w:tc>
          <w:tcPr>
            <w:tcW w:w="1397" w:type="dxa"/>
            <w:noWrap/>
            <w:hideMark/>
          </w:tcPr>
          <w:p w14:paraId="744683B7" w14:textId="77777777" w:rsidR="00C064F2" w:rsidRPr="005527E0" w:rsidRDefault="00C064F2" w:rsidP="00741FC5">
            <w:pPr>
              <w:pStyle w:val="TableText0"/>
            </w:pPr>
            <w:r w:rsidRPr="003369CE">
              <w:t>$29,550</w:t>
            </w:r>
          </w:p>
        </w:tc>
        <w:tc>
          <w:tcPr>
            <w:tcW w:w="993" w:type="dxa"/>
            <w:noWrap/>
            <w:hideMark/>
          </w:tcPr>
          <w:p w14:paraId="5037E6D6" w14:textId="77777777" w:rsidR="00C064F2" w:rsidRPr="005527E0" w:rsidRDefault="00C064F2" w:rsidP="00741FC5">
            <w:pPr>
              <w:pStyle w:val="TableText0"/>
            </w:pPr>
            <w:r w:rsidRPr="003369CE">
              <w:t>$1,468</w:t>
            </w:r>
          </w:p>
        </w:tc>
        <w:tc>
          <w:tcPr>
            <w:tcW w:w="0" w:type="auto"/>
            <w:noWrap/>
            <w:hideMark/>
          </w:tcPr>
          <w:p w14:paraId="0B9F7431" w14:textId="77777777" w:rsidR="00C064F2" w:rsidRPr="005527E0" w:rsidRDefault="00C064F2" w:rsidP="00741FC5">
            <w:pPr>
              <w:pStyle w:val="TableText0"/>
            </w:pPr>
          </w:p>
        </w:tc>
      </w:tr>
      <w:tr w:rsidR="00C064F2" w:rsidRPr="005527E0" w14:paraId="16425689" w14:textId="77777777" w:rsidTr="00C9104B">
        <w:trPr>
          <w:trHeight w:val="300"/>
        </w:trPr>
        <w:tc>
          <w:tcPr>
            <w:tcW w:w="2972" w:type="dxa"/>
            <w:noWrap/>
            <w:hideMark/>
          </w:tcPr>
          <w:p w14:paraId="4E2B3BBC" w14:textId="77777777" w:rsidR="00C064F2" w:rsidRPr="005527E0" w:rsidRDefault="00C064F2" w:rsidP="00741FC5">
            <w:pPr>
              <w:pStyle w:val="TableText0"/>
            </w:pPr>
            <w:r w:rsidRPr="005527E0">
              <w:t>QALYs</w:t>
            </w:r>
          </w:p>
        </w:tc>
        <w:tc>
          <w:tcPr>
            <w:tcW w:w="1418" w:type="dxa"/>
            <w:noWrap/>
            <w:hideMark/>
          </w:tcPr>
          <w:p w14:paraId="6B9F74FC" w14:textId="77777777" w:rsidR="00C064F2" w:rsidRPr="005527E0" w:rsidRDefault="00C064F2" w:rsidP="00741FC5">
            <w:pPr>
              <w:pStyle w:val="TableText0"/>
            </w:pPr>
            <w:r w:rsidRPr="003369CE">
              <w:t>11.72</w:t>
            </w:r>
          </w:p>
        </w:tc>
        <w:tc>
          <w:tcPr>
            <w:tcW w:w="1397" w:type="dxa"/>
            <w:noWrap/>
            <w:hideMark/>
          </w:tcPr>
          <w:p w14:paraId="5F57D1A5" w14:textId="77777777" w:rsidR="00C064F2" w:rsidRPr="005527E0" w:rsidRDefault="00C064F2" w:rsidP="00741FC5">
            <w:pPr>
              <w:pStyle w:val="TableText0"/>
            </w:pPr>
            <w:r w:rsidRPr="003369CE">
              <w:t>11.72</w:t>
            </w:r>
          </w:p>
        </w:tc>
        <w:tc>
          <w:tcPr>
            <w:tcW w:w="993" w:type="dxa"/>
            <w:noWrap/>
            <w:hideMark/>
          </w:tcPr>
          <w:p w14:paraId="47128893" w14:textId="77777777" w:rsidR="00C064F2" w:rsidRPr="005527E0" w:rsidRDefault="00C064F2" w:rsidP="00741FC5">
            <w:pPr>
              <w:pStyle w:val="TableText0"/>
            </w:pPr>
            <w:r w:rsidRPr="003369CE">
              <w:t>0.00</w:t>
            </w:r>
          </w:p>
        </w:tc>
        <w:tc>
          <w:tcPr>
            <w:tcW w:w="0" w:type="auto"/>
            <w:noWrap/>
            <w:hideMark/>
          </w:tcPr>
          <w:p w14:paraId="2D0E3CE1" w14:textId="77777777" w:rsidR="00C064F2" w:rsidRPr="0055589C" w:rsidRDefault="00C064F2" w:rsidP="00741FC5">
            <w:pPr>
              <w:pStyle w:val="TableText0"/>
            </w:pPr>
            <w:r w:rsidRPr="0055589C">
              <w:t>Dominated</w:t>
            </w:r>
          </w:p>
        </w:tc>
      </w:tr>
      <w:tr w:rsidR="00C064F2" w:rsidRPr="005527E0" w14:paraId="209EBD21" w14:textId="77777777" w:rsidTr="00C9104B">
        <w:trPr>
          <w:trHeight w:val="300"/>
        </w:trPr>
        <w:tc>
          <w:tcPr>
            <w:tcW w:w="2972" w:type="dxa"/>
            <w:noWrap/>
            <w:hideMark/>
          </w:tcPr>
          <w:p w14:paraId="09FE9499" w14:textId="77777777" w:rsidR="00C064F2" w:rsidRPr="005527E0" w:rsidRDefault="00C064F2" w:rsidP="00741FC5">
            <w:pPr>
              <w:pStyle w:val="TableText0"/>
            </w:pPr>
            <w:r w:rsidRPr="005527E0">
              <w:t>LYs</w:t>
            </w:r>
          </w:p>
        </w:tc>
        <w:tc>
          <w:tcPr>
            <w:tcW w:w="1418" w:type="dxa"/>
            <w:noWrap/>
            <w:hideMark/>
          </w:tcPr>
          <w:p w14:paraId="0697685C" w14:textId="77777777" w:rsidR="00C064F2" w:rsidRPr="005527E0" w:rsidRDefault="00C064F2" w:rsidP="00741FC5">
            <w:pPr>
              <w:pStyle w:val="TableText0"/>
            </w:pPr>
            <w:r w:rsidRPr="003369CE">
              <w:t>16.37</w:t>
            </w:r>
          </w:p>
        </w:tc>
        <w:tc>
          <w:tcPr>
            <w:tcW w:w="1397" w:type="dxa"/>
            <w:noWrap/>
            <w:hideMark/>
          </w:tcPr>
          <w:p w14:paraId="798B3C6D" w14:textId="77777777" w:rsidR="00C064F2" w:rsidRPr="005527E0" w:rsidRDefault="00C064F2" w:rsidP="00741FC5">
            <w:pPr>
              <w:pStyle w:val="TableText0"/>
            </w:pPr>
            <w:r w:rsidRPr="003369CE">
              <w:t>16.37</w:t>
            </w:r>
          </w:p>
        </w:tc>
        <w:tc>
          <w:tcPr>
            <w:tcW w:w="993" w:type="dxa"/>
            <w:noWrap/>
            <w:hideMark/>
          </w:tcPr>
          <w:p w14:paraId="6D9A2BD7" w14:textId="77777777" w:rsidR="00C064F2" w:rsidRPr="005527E0" w:rsidRDefault="00C064F2" w:rsidP="00741FC5">
            <w:pPr>
              <w:pStyle w:val="TableText0"/>
            </w:pPr>
            <w:r w:rsidRPr="003369CE">
              <w:t>0.00</w:t>
            </w:r>
          </w:p>
        </w:tc>
        <w:tc>
          <w:tcPr>
            <w:tcW w:w="0" w:type="auto"/>
            <w:noWrap/>
            <w:hideMark/>
          </w:tcPr>
          <w:p w14:paraId="4E90B5E4" w14:textId="77777777" w:rsidR="00C064F2" w:rsidRPr="005527E0" w:rsidRDefault="00C064F2" w:rsidP="00741FC5">
            <w:pPr>
              <w:pStyle w:val="TableText0"/>
            </w:pPr>
            <w:r w:rsidRPr="003369CE">
              <w:t>Dominated</w:t>
            </w:r>
          </w:p>
        </w:tc>
      </w:tr>
      <w:tr w:rsidR="00C064F2" w:rsidRPr="005527E0" w14:paraId="028B9436" w14:textId="77777777" w:rsidTr="00C9104B">
        <w:trPr>
          <w:trHeight w:val="300"/>
        </w:trPr>
        <w:tc>
          <w:tcPr>
            <w:tcW w:w="2972" w:type="dxa"/>
            <w:noWrap/>
            <w:hideMark/>
          </w:tcPr>
          <w:p w14:paraId="04CA518A" w14:textId="77777777" w:rsidR="00C064F2" w:rsidRPr="005527E0" w:rsidRDefault="00C064F2" w:rsidP="00741FC5">
            <w:pPr>
              <w:pStyle w:val="TableText0"/>
            </w:pPr>
            <w:r w:rsidRPr="005527E0">
              <w:t>Mutation</w:t>
            </w:r>
            <w:r>
              <w:t>s</w:t>
            </w:r>
            <w:r w:rsidRPr="005527E0">
              <w:t xml:space="preserve"> identified</w:t>
            </w:r>
          </w:p>
        </w:tc>
        <w:tc>
          <w:tcPr>
            <w:tcW w:w="1418" w:type="dxa"/>
            <w:noWrap/>
            <w:hideMark/>
          </w:tcPr>
          <w:p w14:paraId="60A6D799" w14:textId="77777777" w:rsidR="00C064F2" w:rsidRPr="005527E0" w:rsidRDefault="00C064F2" w:rsidP="00741FC5">
            <w:pPr>
              <w:pStyle w:val="TableText0"/>
            </w:pPr>
            <w:r w:rsidRPr="003369CE">
              <w:t>0.41</w:t>
            </w:r>
          </w:p>
        </w:tc>
        <w:tc>
          <w:tcPr>
            <w:tcW w:w="1397" w:type="dxa"/>
            <w:noWrap/>
            <w:hideMark/>
          </w:tcPr>
          <w:p w14:paraId="7BA9F8D2" w14:textId="77777777" w:rsidR="00C064F2" w:rsidRPr="005527E0" w:rsidRDefault="00C064F2" w:rsidP="00741FC5">
            <w:pPr>
              <w:pStyle w:val="TableText0"/>
            </w:pPr>
            <w:r w:rsidRPr="003369CE">
              <w:t>0.00</w:t>
            </w:r>
          </w:p>
        </w:tc>
        <w:tc>
          <w:tcPr>
            <w:tcW w:w="993" w:type="dxa"/>
            <w:noWrap/>
            <w:hideMark/>
          </w:tcPr>
          <w:p w14:paraId="42BB943D" w14:textId="77777777" w:rsidR="00C064F2" w:rsidRPr="005527E0" w:rsidRDefault="00C064F2" w:rsidP="00741FC5">
            <w:pPr>
              <w:pStyle w:val="TableText0"/>
            </w:pPr>
            <w:r w:rsidRPr="003369CE">
              <w:t>0.41</w:t>
            </w:r>
          </w:p>
        </w:tc>
        <w:tc>
          <w:tcPr>
            <w:tcW w:w="0" w:type="auto"/>
            <w:noWrap/>
            <w:hideMark/>
          </w:tcPr>
          <w:p w14:paraId="3132BD0E" w14:textId="77777777" w:rsidR="00C064F2" w:rsidRPr="005527E0" w:rsidRDefault="00C064F2" w:rsidP="00741FC5">
            <w:pPr>
              <w:pStyle w:val="TableText0"/>
            </w:pPr>
            <w:r w:rsidRPr="003369CE">
              <w:t>$3,578/mutation identified</w:t>
            </w:r>
          </w:p>
        </w:tc>
      </w:tr>
      <w:tr w:rsidR="00C064F2" w:rsidRPr="005527E0" w14:paraId="297CD932" w14:textId="77777777" w:rsidTr="00C9104B">
        <w:trPr>
          <w:trHeight w:val="300"/>
        </w:trPr>
        <w:tc>
          <w:tcPr>
            <w:tcW w:w="2972" w:type="dxa"/>
            <w:tcBorders>
              <w:bottom w:val="single" w:sz="4" w:space="0" w:color="auto"/>
            </w:tcBorders>
            <w:noWrap/>
            <w:hideMark/>
          </w:tcPr>
          <w:p w14:paraId="3FC19217" w14:textId="77777777" w:rsidR="00C064F2" w:rsidRPr="005527E0" w:rsidRDefault="00C064F2" w:rsidP="00741FC5">
            <w:pPr>
              <w:pStyle w:val="TableText0"/>
            </w:pPr>
            <w:r w:rsidRPr="005527E0">
              <w:t>Mutation status known</w:t>
            </w:r>
          </w:p>
        </w:tc>
        <w:tc>
          <w:tcPr>
            <w:tcW w:w="1418" w:type="dxa"/>
            <w:tcBorders>
              <w:bottom w:val="single" w:sz="4" w:space="0" w:color="auto"/>
            </w:tcBorders>
            <w:noWrap/>
            <w:hideMark/>
          </w:tcPr>
          <w:p w14:paraId="000E5839" w14:textId="77777777" w:rsidR="00C064F2" w:rsidRPr="005527E0" w:rsidRDefault="00C064F2" w:rsidP="00741FC5">
            <w:pPr>
              <w:pStyle w:val="TableText0"/>
            </w:pPr>
            <w:r w:rsidRPr="003369CE">
              <w:t>1.00</w:t>
            </w:r>
          </w:p>
        </w:tc>
        <w:tc>
          <w:tcPr>
            <w:tcW w:w="1397" w:type="dxa"/>
            <w:tcBorders>
              <w:bottom w:val="single" w:sz="4" w:space="0" w:color="auto"/>
            </w:tcBorders>
            <w:noWrap/>
            <w:hideMark/>
          </w:tcPr>
          <w:p w14:paraId="415B4159" w14:textId="77777777" w:rsidR="00C064F2" w:rsidRPr="005527E0" w:rsidRDefault="00C064F2" w:rsidP="00741FC5">
            <w:pPr>
              <w:pStyle w:val="TableText0"/>
            </w:pPr>
            <w:r w:rsidRPr="003369CE">
              <w:t>0.00</w:t>
            </w:r>
          </w:p>
        </w:tc>
        <w:tc>
          <w:tcPr>
            <w:tcW w:w="993" w:type="dxa"/>
            <w:tcBorders>
              <w:bottom w:val="single" w:sz="4" w:space="0" w:color="auto"/>
            </w:tcBorders>
            <w:noWrap/>
            <w:hideMark/>
          </w:tcPr>
          <w:p w14:paraId="64E6C77A" w14:textId="77777777" w:rsidR="00C064F2" w:rsidRPr="005527E0" w:rsidRDefault="00C064F2" w:rsidP="00741FC5">
            <w:pPr>
              <w:pStyle w:val="TableText0"/>
            </w:pPr>
            <w:r w:rsidRPr="003369CE">
              <w:t>1.00</w:t>
            </w:r>
          </w:p>
        </w:tc>
        <w:tc>
          <w:tcPr>
            <w:tcW w:w="0" w:type="auto"/>
            <w:tcBorders>
              <w:bottom w:val="single" w:sz="4" w:space="0" w:color="auto"/>
            </w:tcBorders>
            <w:noWrap/>
            <w:hideMark/>
          </w:tcPr>
          <w:p w14:paraId="047F7A20" w14:textId="77777777" w:rsidR="00C064F2" w:rsidRPr="005527E0" w:rsidRDefault="00C064F2" w:rsidP="00741FC5">
            <w:pPr>
              <w:pStyle w:val="TableText0"/>
            </w:pPr>
            <w:r w:rsidRPr="003369CE">
              <w:t>$1,468/mutation status known</w:t>
            </w:r>
          </w:p>
        </w:tc>
      </w:tr>
      <w:tr w:rsidR="00C064F2" w:rsidRPr="00FC176F" w14:paraId="6A2BA477" w14:textId="77777777" w:rsidTr="00C9104B">
        <w:trPr>
          <w:trHeight w:val="300"/>
        </w:trPr>
        <w:tc>
          <w:tcPr>
            <w:tcW w:w="2972" w:type="dxa"/>
            <w:tcBorders>
              <w:right w:val="nil"/>
            </w:tcBorders>
            <w:noWrap/>
          </w:tcPr>
          <w:p w14:paraId="35A51627" w14:textId="601BFA53" w:rsidR="00C064F2" w:rsidRPr="00FC176F" w:rsidRDefault="00C9104B" w:rsidP="00741FC5">
            <w:pPr>
              <w:pStyle w:val="TableText0"/>
            </w:pPr>
            <w:bookmarkStart w:id="18" w:name="_Ref533088217"/>
            <w:r>
              <w:t>A</w:t>
            </w:r>
            <w:r w:rsidRPr="00C9104B">
              <w:t>ffected individuals</w:t>
            </w:r>
            <w:r w:rsidR="00C064F2" w:rsidRPr="00FC176F">
              <w:t xml:space="preserve"> </w:t>
            </w:r>
            <w:r w:rsidR="00C064F2">
              <w:t>+ FDR</w:t>
            </w:r>
          </w:p>
        </w:tc>
        <w:tc>
          <w:tcPr>
            <w:tcW w:w="1418" w:type="dxa"/>
            <w:tcBorders>
              <w:left w:val="nil"/>
              <w:right w:val="nil"/>
            </w:tcBorders>
            <w:noWrap/>
          </w:tcPr>
          <w:p w14:paraId="194F987B" w14:textId="77777777" w:rsidR="00C064F2" w:rsidRPr="00FC176F" w:rsidRDefault="00C064F2" w:rsidP="00741FC5">
            <w:pPr>
              <w:pStyle w:val="TableText0"/>
            </w:pPr>
          </w:p>
        </w:tc>
        <w:tc>
          <w:tcPr>
            <w:tcW w:w="1397" w:type="dxa"/>
            <w:tcBorders>
              <w:left w:val="nil"/>
              <w:right w:val="nil"/>
            </w:tcBorders>
            <w:noWrap/>
          </w:tcPr>
          <w:p w14:paraId="1D997702" w14:textId="77777777" w:rsidR="00C064F2" w:rsidRPr="00FC176F" w:rsidRDefault="00C064F2" w:rsidP="00741FC5">
            <w:pPr>
              <w:pStyle w:val="TableText0"/>
            </w:pPr>
          </w:p>
        </w:tc>
        <w:tc>
          <w:tcPr>
            <w:tcW w:w="993" w:type="dxa"/>
            <w:tcBorders>
              <w:left w:val="nil"/>
              <w:right w:val="nil"/>
            </w:tcBorders>
            <w:noWrap/>
          </w:tcPr>
          <w:p w14:paraId="237756C7" w14:textId="77777777" w:rsidR="00C064F2" w:rsidRPr="00FC176F" w:rsidRDefault="00C064F2" w:rsidP="00741FC5">
            <w:pPr>
              <w:pStyle w:val="TableText0"/>
            </w:pPr>
          </w:p>
        </w:tc>
        <w:tc>
          <w:tcPr>
            <w:tcW w:w="0" w:type="auto"/>
            <w:tcBorders>
              <w:left w:val="nil"/>
            </w:tcBorders>
            <w:noWrap/>
          </w:tcPr>
          <w:p w14:paraId="3448DBF9" w14:textId="77777777" w:rsidR="00C064F2" w:rsidRPr="00FC176F" w:rsidRDefault="00C064F2" w:rsidP="00741FC5">
            <w:pPr>
              <w:pStyle w:val="TableText0"/>
            </w:pPr>
          </w:p>
        </w:tc>
      </w:tr>
      <w:tr w:rsidR="00C064F2" w:rsidRPr="00EF03F7" w14:paraId="19260983" w14:textId="77777777" w:rsidTr="00C9104B">
        <w:trPr>
          <w:trHeight w:val="300"/>
        </w:trPr>
        <w:tc>
          <w:tcPr>
            <w:tcW w:w="2972" w:type="dxa"/>
            <w:noWrap/>
            <w:hideMark/>
          </w:tcPr>
          <w:p w14:paraId="27514E3C" w14:textId="77777777" w:rsidR="00C064F2" w:rsidRPr="005527E0" w:rsidRDefault="00C064F2" w:rsidP="00741FC5">
            <w:pPr>
              <w:pStyle w:val="TableText0"/>
            </w:pPr>
            <w:r>
              <w:t>C</w:t>
            </w:r>
            <w:r w:rsidRPr="005527E0">
              <w:t>osts</w:t>
            </w:r>
          </w:p>
        </w:tc>
        <w:tc>
          <w:tcPr>
            <w:tcW w:w="1418" w:type="dxa"/>
            <w:noWrap/>
            <w:hideMark/>
          </w:tcPr>
          <w:p w14:paraId="753327F0" w14:textId="77777777" w:rsidR="00C064F2" w:rsidRPr="005527E0" w:rsidRDefault="00C064F2" w:rsidP="00741FC5">
            <w:pPr>
              <w:pStyle w:val="TableText0"/>
            </w:pPr>
            <w:r w:rsidRPr="00B71BB2">
              <w:t>$66,372</w:t>
            </w:r>
          </w:p>
        </w:tc>
        <w:tc>
          <w:tcPr>
            <w:tcW w:w="1397" w:type="dxa"/>
            <w:noWrap/>
            <w:hideMark/>
          </w:tcPr>
          <w:p w14:paraId="469021B7" w14:textId="77777777" w:rsidR="00C064F2" w:rsidRPr="005527E0" w:rsidRDefault="00C064F2" w:rsidP="00741FC5">
            <w:pPr>
              <w:pStyle w:val="TableText0"/>
            </w:pPr>
            <w:r w:rsidRPr="00B71BB2">
              <w:t>$64,739</w:t>
            </w:r>
          </w:p>
        </w:tc>
        <w:tc>
          <w:tcPr>
            <w:tcW w:w="993" w:type="dxa"/>
            <w:noWrap/>
            <w:hideMark/>
          </w:tcPr>
          <w:p w14:paraId="226A4951" w14:textId="77777777" w:rsidR="00C064F2" w:rsidRPr="005527E0" w:rsidRDefault="00C064F2" w:rsidP="00741FC5">
            <w:pPr>
              <w:pStyle w:val="TableText0"/>
            </w:pPr>
            <w:r w:rsidRPr="00B71BB2">
              <w:t>$1,633</w:t>
            </w:r>
          </w:p>
        </w:tc>
        <w:tc>
          <w:tcPr>
            <w:tcW w:w="0" w:type="auto"/>
            <w:noWrap/>
            <w:hideMark/>
          </w:tcPr>
          <w:p w14:paraId="628B681D" w14:textId="77777777" w:rsidR="00C064F2" w:rsidRPr="005527E0" w:rsidRDefault="00C064F2" w:rsidP="00741FC5">
            <w:pPr>
              <w:pStyle w:val="TableText0"/>
            </w:pPr>
          </w:p>
        </w:tc>
      </w:tr>
      <w:tr w:rsidR="00C064F2" w:rsidRPr="005527E0" w14:paraId="2E38FAB1" w14:textId="77777777" w:rsidTr="00C9104B">
        <w:trPr>
          <w:trHeight w:val="300"/>
        </w:trPr>
        <w:tc>
          <w:tcPr>
            <w:tcW w:w="2972" w:type="dxa"/>
            <w:noWrap/>
            <w:hideMark/>
          </w:tcPr>
          <w:p w14:paraId="6347AC6C" w14:textId="77777777" w:rsidR="00C064F2" w:rsidRPr="005527E0" w:rsidRDefault="00C064F2" w:rsidP="00741FC5">
            <w:pPr>
              <w:pStyle w:val="TableText0"/>
            </w:pPr>
            <w:r w:rsidRPr="005527E0">
              <w:t>QALYs</w:t>
            </w:r>
          </w:p>
        </w:tc>
        <w:tc>
          <w:tcPr>
            <w:tcW w:w="1418" w:type="dxa"/>
            <w:noWrap/>
            <w:hideMark/>
          </w:tcPr>
          <w:p w14:paraId="4FAE902A" w14:textId="77777777" w:rsidR="00C064F2" w:rsidRPr="005527E0" w:rsidRDefault="00C064F2" w:rsidP="00741FC5">
            <w:pPr>
              <w:pStyle w:val="TableText0"/>
            </w:pPr>
            <w:r w:rsidRPr="00B71BB2">
              <w:t>29.46</w:t>
            </w:r>
          </w:p>
        </w:tc>
        <w:tc>
          <w:tcPr>
            <w:tcW w:w="1397" w:type="dxa"/>
            <w:noWrap/>
            <w:hideMark/>
          </w:tcPr>
          <w:p w14:paraId="76DD686E" w14:textId="77777777" w:rsidR="00C064F2" w:rsidRPr="005527E0" w:rsidRDefault="00C064F2" w:rsidP="00741FC5">
            <w:pPr>
              <w:pStyle w:val="TableText0"/>
            </w:pPr>
            <w:r w:rsidRPr="00B71BB2">
              <w:t>29.40</w:t>
            </w:r>
          </w:p>
        </w:tc>
        <w:tc>
          <w:tcPr>
            <w:tcW w:w="993" w:type="dxa"/>
            <w:noWrap/>
            <w:hideMark/>
          </w:tcPr>
          <w:p w14:paraId="26FC479D" w14:textId="77777777" w:rsidR="00C064F2" w:rsidRPr="005527E0" w:rsidRDefault="00C064F2" w:rsidP="00741FC5">
            <w:pPr>
              <w:pStyle w:val="TableText0"/>
            </w:pPr>
            <w:r w:rsidRPr="00B71BB2">
              <w:t>0.06</w:t>
            </w:r>
          </w:p>
        </w:tc>
        <w:tc>
          <w:tcPr>
            <w:tcW w:w="0" w:type="auto"/>
            <w:noWrap/>
            <w:hideMark/>
          </w:tcPr>
          <w:p w14:paraId="37540B0E" w14:textId="77777777" w:rsidR="00C064F2" w:rsidRPr="0055589C" w:rsidRDefault="00C064F2" w:rsidP="00741FC5">
            <w:pPr>
              <w:pStyle w:val="TableText0"/>
            </w:pPr>
            <w:r w:rsidRPr="0055589C">
              <w:t>$26,174/QALY gained</w:t>
            </w:r>
          </w:p>
        </w:tc>
      </w:tr>
      <w:tr w:rsidR="00C064F2" w:rsidRPr="005527E0" w14:paraId="40900A76" w14:textId="77777777" w:rsidTr="00C9104B">
        <w:trPr>
          <w:trHeight w:val="300"/>
        </w:trPr>
        <w:tc>
          <w:tcPr>
            <w:tcW w:w="2972" w:type="dxa"/>
            <w:noWrap/>
            <w:hideMark/>
          </w:tcPr>
          <w:p w14:paraId="5AF633A3" w14:textId="77777777" w:rsidR="00C064F2" w:rsidRPr="005527E0" w:rsidRDefault="00C064F2" w:rsidP="00741FC5">
            <w:pPr>
              <w:pStyle w:val="TableText0"/>
            </w:pPr>
            <w:r w:rsidRPr="005527E0">
              <w:t>LYs</w:t>
            </w:r>
          </w:p>
        </w:tc>
        <w:tc>
          <w:tcPr>
            <w:tcW w:w="1418" w:type="dxa"/>
            <w:noWrap/>
            <w:hideMark/>
          </w:tcPr>
          <w:p w14:paraId="3227DE2A" w14:textId="77777777" w:rsidR="00C064F2" w:rsidRPr="005527E0" w:rsidRDefault="00C064F2" w:rsidP="00741FC5">
            <w:pPr>
              <w:pStyle w:val="TableText0"/>
            </w:pPr>
            <w:r w:rsidRPr="00B71BB2">
              <w:t>40.17</w:t>
            </w:r>
          </w:p>
        </w:tc>
        <w:tc>
          <w:tcPr>
            <w:tcW w:w="1397" w:type="dxa"/>
            <w:noWrap/>
            <w:hideMark/>
          </w:tcPr>
          <w:p w14:paraId="3E82C4F4" w14:textId="77777777" w:rsidR="00C064F2" w:rsidRPr="005527E0" w:rsidRDefault="00C064F2" w:rsidP="00741FC5">
            <w:pPr>
              <w:pStyle w:val="TableText0"/>
            </w:pPr>
            <w:r w:rsidRPr="00B71BB2">
              <w:t>40.11</w:t>
            </w:r>
          </w:p>
        </w:tc>
        <w:tc>
          <w:tcPr>
            <w:tcW w:w="993" w:type="dxa"/>
            <w:noWrap/>
            <w:hideMark/>
          </w:tcPr>
          <w:p w14:paraId="39CA9A5C" w14:textId="77777777" w:rsidR="00C064F2" w:rsidRPr="005527E0" w:rsidRDefault="00C064F2" w:rsidP="00741FC5">
            <w:pPr>
              <w:pStyle w:val="TableText0"/>
            </w:pPr>
            <w:r w:rsidRPr="00B71BB2">
              <w:t>0.06</w:t>
            </w:r>
          </w:p>
        </w:tc>
        <w:tc>
          <w:tcPr>
            <w:tcW w:w="0" w:type="auto"/>
            <w:noWrap/>
            <w:hideMark/>
          </w:tcPr>
          <w:p w14:paraId="2C908D78" w14:textId="77777777" w:rsidR="00C064F2" w:rsidRPr="005527E0" w:rsidRDefault="00C064F2" w:rsidP="00741FC5">
            <w:pPr>
              <w:pStyle w:val="TableText0"/>
            </w:pPr>
            <w:r w:rsidRPr="00B71BB2">
              <w:t>$29,062/LY gained</w:t>
            </w:r>
          </w:p>
        </w:tc>
      </w:tr>
      <w:tr w:rsidR="00C064F2" w:rsidRPr="005527E0" w14:paraId="6C4442CA" w14:textId="77777777" w:rsidTr="00C9104B">
        <w:trPr>
          <w:trHeight w:val="300"/>
        </w:trPr>
        <w:tc>
          <w:tcPr>
            <w:tcW w:w="2972" w:type="dxa"/>
            <w:noWrap/>
            <w:hideMark/>
          </w:tcPr>
          <w:p w14:paraId="70EE30D9" w14:textId="77777777" w:rsidR="00C064F2" w:rsidRPr="005527E0" w:rsidRDefault="00C064F2" w:rsidP="00741FC5">
            <w:pPr>
              <w:pStyle w:val="TableText0"/>
            </w:pPr>
            <w:r w:rsidRPr="005527E0">
              <w:t>Mutation</w:t>
            </w:r>
            <w:r>
              <w:t>s</w:t>
            </w:r>
            <w:r w:rsidRPr="005527E0">
              <w:t xml:space="preserve"> identified</w:t>
            </w:r>
          </w:p>
        </w:tc>
        <w:tc>
          <w:tcPr>
            <w:tcW w:w="1418" w:type="dxa"/>
            <w:noWrap/>
            <w:hideMark/>
          </w:tcPr>
          <w:p w14:paraId="7CD4E8D1" w14:textId="77777777" w:rsidR="00C064F2" w:rsidRPr="005527E0" w:rsidRDefault="00C064F2" w:rsidP="00741FC5">
            <w:pPr>
              <w:pStyle w:val="TableText0"/>
            </w:pPr>
            <w:r w:rsidRPr="00B71BB2">
              <w:t>0.98</w:t>
            </w:r>
          </w:p>
        </w:tc>
        <w:tc>
          <w:tcPr>
            <w:tcW w:w="1397" w:type="dxa"/>
            <w:noWrap/>
            <w:hideMark/>
          </w:tcPr>
          <w:p w14:paraId="0EF4A106" w14:textId="77777777" w:rsidR="00C064F2" w:rsidRPr="005527E0" w:rsidRDefault="00C064F2" w:rsidP="00741FC5">
            <w:pPr>
              <w:pStyle w:val="TableText0"/>
            </w:pPr>
            <w:r w:rsidRPr="00B71BB2">
              <w:t>0.00</w:t>
            </w:r>
          </w:p>
        </w:tc>
        <w:tc>
          <w:tcPr>
            <w:tcW w:w="993" w:type="dxa"/>
            <w:noWrap/>
            <w:hideMark/>
          </w:tcPr>
          <w:p w14:paraId="59D229D6" w14:textId="77777777" w:rsidR="00C064F2" w:rsidRPr="005527E0" w:rsidRDefault="00C064F2" w:rsidP="00741FC5">
            <w:pPr>
              <w:pStyle w:val="TableText0"/>
            </w:pPr>
            <w:r w:rsidRPr="00B71BB2">
              <w:t>0.98</w:t>
            </w:r>
          </w:p>
        </w:tc>
        <w:tc>
          <w:tcPr>
            <w:tcW w:w="0" w:type="auto"/>
            <w:noWrap/>
            <w:hideMark/>
          </w:tcPr>
          <w:p w14:paraId="6E9BDB98" w14:textId="77777777" w:rsidR="00C064F2" w:rsidRPr="005527E0" w:rsidRDefault="00C064F2" w:rsidP="00741FC5">
            <w:pPr>
              <w:pStyle w:val="TableText0"/>
            </w:pPr>
            <w:r w:rsidRPr="00B71BB2">
              <w:t>$1,672/mutation identified</w:t>
            </w:r>
          </w:p>
        </w:tc>
      </w:tr>
      <w:tr w:rsidR="00C064F2" w:rsidRPr="005527E0" w14:paraId="129DAA9A" w14:textId="77777777" w:rsidTr="00C9104B">
        <w:trPr>
          <w:trHeight w:val="300"/>
        </w:trPr>
        <w:tc>
          <w:tcPr>
            <w:tcW w:w="2972" w:type="dxa"/>
            <w:tcBorders>
              <w:bottom w:val="single" w:sz="4" w:space="0" w:color="auto"/>
            </w:tcBorders>
            <w:noWrap/>
            <w:hideMark/>
          </w:tcPr>
          <w:p w14:paraId="11C320DE" w14:textId="77777777" w:rsidR="00C064F2" w:rsidRPr="005527E0" w:rsidRDefault="00C064F2" w:rsidP="00741FC5">
            <w:pPr>
              <w:pStyle w:val="TableText0"/>
            </w:pPr>
            <w:r w:rsidRPr="005527E0">
              <w:t>Mutation status known</w:t>
            </w:r>
          </w:p>
        </w:tc>
        <w:tc>
          <w:tcPr>
            <w:tcW w:w="1418" w:type="dxa"/>
            <w:tcBorders>
              <w:bottom w:val="single" w:sz="4" w:space="0" w:color="auto"/>
            </w:tcBorders>
            <w:noWrap/>
            <w:hideMark/>
          </w:tcPr>
          <w:p w14:paraId="05D0A444" w14:textId="77777777" w:rsidR="00C064F2" w:rsidRPr="005527E0" w:rsidRDefault="00C064F2" w:rsidP="00741FC5">
            <w:pPr>
              <w:pStyle w:val="TableText0"/>
            </w:pPr>
            <w:r w:rsidRPr="00B71BB2">
              <w:t>2.13</w:t>
            </w:r>
          </w:p>
        </w:tc>
        <w:tc>
          <w:tcPr>
            <w:tcW w:w="1397" w:type="dxa"/>
            <w:tcBorders>
              <w:bottom w:val="single" w:sz="4" w:space="0" w:color="auto"/>
            </w:tcBorders>
            <w:noWrap/>
            <w:hideMark/>
          </w:tcPr>
          <w:p w14:paraId="303A8059" w14:textId="77777777" w:rsidR="00C064F2" w:rsidRPr="005527E0" w:rsidRDefault="00C064F2" w:rsidP="00741FC5">
            <w:pPr>
              <w:pStyle w:val="TableText0"/>
            </w:pPr>
            <w:r w:rsidRPr="00B71BB2">
              <w:t>0.00</w:t>
            </w:r>
          </w:p>
        </w:tc>
        <w:tc>
          <w:tcPr>
            <w:tcW w:w="993" w:type="dxa"/>
            <w:tcBorders>
              <w:bottom w:val="single" w:sz="4" w:space="0" w:color="auto"/>
            </w:tcBorders>
            <w:noWrap/>
            <w:hideMark/>
          </w:tcPr>
          <w:p w14:paraId="4F5AA049" w14:textId="77777777" w:rsidR="00C064F2" w:rsidRPr="005527E0" w:rsidRDefault="00C064F2" w:rsidP="00741FC5">
            <w:pPr>
              <w:pStyle w:val="TableText0"/>
            </w:pPr>
            <w:r w:rsidRPr="00B71BB2">
              <w:t>2.13</w:t>
            </w:r>
          </w:p>
        </w:tc>
        <w:tc>
          <w:tcPr>
            <w:tcW w:w="0" w:type="auto"/>
            <w:tcBorders>
              <w:bottom w:val="single" w:sz="4" w:space="0" w:color="auto"/>
            </w:tcBorders>
            <w:noWrap/>
            <w:hideMark/>
          </w:tcPr>
          <w:p w14:paraId="62C3F512" w14:textId="77777777" w:rsidR="00C064F2" w:rsidRPr="005527E0" w:rsidRDefault="00C064F2" w:rsidP="00741FC5">
            <w:pPr>
              <w:pStyle w:val="TableText0"/>
            </w:pPr>
            <w:r w:rsidRPr="00B71BB2">
              <w:t>$766/mutation status known</w:t>
            </w:r>
          </w:p>
        </w:tc>
      </w:tr>
      <w:tr w:rsidR="00C064F2" w:rsidRPr="00FC176F" w14:paraId="411662F5" w14:textId="77777777" w:rsidTr="00C9104B">
        <w:trPr>
          <w:trHeight w:val="300"/>
        </w:trPr>
        <w:tc>
          <w:tcPr>
            <w:tcW w:w="2972" w:type="dxa"/>
            <w:tcBorders>
              <w:right w:val="nil"/>
            </w:tcBorders>
            <w:noWrap/>
          </w:tcPr>
          <w:p w14:paraId="45A6A179" w14:textId="2C5F1ADE" w:rsidR="00C064F2" w:rsidRPr="00FC176F" w:rsidRDefault="00C9104B" w:rsidP="00741FC5">
            <w:pPr>
              <w:pStyle w:val="TableText0"/>
            </w:pPr>
            <w:r>
              <w:t>A</w:t>
            </w:r>
            <w:r w:rsidRPr="00C9104B">
              <w:t>ffected individuals</w:t>
            </w:r>
            <w:r w:rsidR="00C064F2" w:rsidRPr="00FC176F">
              <w:t xml:space="preserve"> </w:t>
            </w:r>
            <w:r w:rsidR="00C064F2">
              <w:t>+ FDR &amp; SDR</w:t>
            </w:r>
          </w:p>
        </w:tc>
        <w:tc>
          <w:tcPr>
            <w:tcW w:w="1418" w:type="dxa"/>
            <w:tcBorders>
              <w:left w:val="nil"/>
              <w:right w:val="nil"/>
            </w:tcBorders>
            <w:noWrap/>
          </w:tcPr>
          <w:p w14:paraId="248D7C65" w14:textId="77777777" w:rsidR="00C064F2" w:rsidRPr="00FC176F" w:rsidRDefault="00C064F2" w:rsidP="00741FC5">
            <w:pPr>
              <w:pStyle w:val="TableText0"/>
            </w:pPr>
          </w:p>
        </w:tc>
        <w:tc>
          <w:tcPr>
            <w:tcW w:w="1397" w:type="dxa"/>
            <w:tcBorders>
              <w:left w:val="nil"/>
              <w:right w:val="nil"/>
            </w:tcBorders>
            <w:noWrap/>
          </w:tcPr>
          <w:p w14:paraId="62E9F592" w14:textId="77777777" w:rsidR="00C064F2" w:rsidRPr="00FC176F" w:rsidRDefault="00C064F2" w:rsidP="00741FC5">
            <w:pPr>
              <w:pStyle w:val="TableText0"/>
            </w:pPr>
          </w:p>
        </w:tc>
        <w:tc>
          <w:tcPr>
            <w:tcW w:w="993" w:type="dxa"/>
            <w:tcBorders>
              <w:left w:val="nil"/>
              <w:right w:val="nil"/>
            </w:tcBorders>
            <w:noWrap/>
          </w:tcPr>
          <w:p w14:paraId="447EDBCC" w14:textId="77777777" w:rsidR="00C064F2" w:rsidRPr="00FC176F" w:rsidRDefault="00C064F2" w:rsidP="00741FC5">
            <w:pPr>
              <w:pStyle w:val="TableText0"/>
            </w:pPr>
          </w:p>
        </w:tc>
        <w:tc>
          <w:tcPr>
            <w:tcW w:w="0" w:type="auto"/>
            <w:tcBorders>
              <w:left w:val="nil"/>
            </w:tcBorders>
            <w:noWrap/>
          </w:tcPr>
          <w:p w14:paraId="51C30151" w14:textId="77777777" w:rsidR="00C064F2" w:rsidRPr="00FC176F" w:rsidRDefault="00C064F2" w:rsidP="00741FC5">
            <w:pPr>
              <w:pStyle w:val="TableText0"/>
            </w:pPr>
          </w:p>
        </w:tc>
      </w:tr>
      <w:tr w:rsidR="00C064F2" w:rsidRPr="00EF03F7" w14:paraId="0B142ACF" w14:textId="77777777" w:rsidTr="00C9104B">
        <w:trPr>
          <w:trHeight w:val="300"/>
        </w:trPr>
        <w:tc>
          <w:tcPr>
            <w:tcW w:w="2972" w:type="dxa"/>
            <w:noWrap/>
            <w:hideMark/>
          </w:tcPr>
          <w:p w14:paraId="12DF2560" w14:textId="77777777" w:rsidR="00C064F2" w:rsidRPr="005527E0" w:rsidRDefault="00C064F2" w:rsidP="00741FC5">
            <w:pPr>
              <w:pStyle w:val="TableText0"/>
            </w:pPr>
            <w:r>
              <w:t>C</w:t>
            </w:r>
            <w:r w:rsidRPr="005527E0">
              <w:t>osts</w:t>
            </w:r>
          </w:p>
        </w:tc>
        <w:tc>
          <w:tcPr>
            <w:tcW w:w="1418" w:type="dxa"/>
            <w:noWrap/>
            <w:hideMark/>
          </w:tcPr>
          <w:p w14:paraId="15A99B96" w14:textId="77777777" w:rsidR="00C064F2" w:rsidRPr="005527E0" w:rsidRDefault="00C064F2" w:rsidP="00741FC5">
            <w:pPr>
              <w:pStyle w:val="TableText0"/>
            </w:pPr>
            <w:r w:rsidRPr="00660385">
              <w:t>$103,365</w:t>
            </w:r>
          </w:p>
        </w:tc>
        <w:tc>
          <w:tcPr>
            <w:tcW w:w="1397" w:type="dxa"/>
            <w:noWrap/>
            <w:hideMark/>
          </w:tcPr>
          <w:p w14:paraId="26C27673" w14:textId="77777777" w:rsidR="00C064F2" w:rsidRPr="005527E0" w:rsidRDefault="00C064F2" w:rsidP="00741FC5">
            <w:pPr>
              <w:pStyle w:val="TableText0"/>
            </w:pPr>
            <w:r w:rsidRPr="00660385">
              <w:t>$101,623</w:t>
            </w:r>
          </w:p>
        </w:tc>
        <w:tc>
          <w:tcPr>
            <w:tcW w:w="993" w:type="dxa"/>
            <w:noWrap/>
            <w:hideMark/>
          </w:tcPr>
          <w:p w14:paraId="0D46F305" w14:textId="77777777" w:rsidR="00C064F2" w:rsidRPr="005527E0" w:rsidRDefault="00C064F2" w:rsidP="00741FC5">
            <w:pPr>
              <w:pStyle w:val="TableText0"/>
            </w:pPr>
            <w:r w:rsidRPr="00660385">
              <w:t>$1,741</w:t>
            </w:r>
          </w:p>
        </w:tc>
        <w:tc>
          <w:tcPr>
            <w:tcW w:w="0" w:type="auto"/>
            <w:noWrap/>
            <w:hideMark/>
          </w:tcPr>
          <w:p w14:paraId="75E5C71A" w14:textId="77777777" w:rsidR="00C064F2" w:rsidRPr="005527E0" w:rsidRDefault="00C064F2" w:rsidP="00741FC5">
            <w:pPr>
              <w:pStyle w:val="TableText0"/>
            </w:pPr>
          </w:p>
        </w:tc>
      </w:tr>
      <w:tr w:rsidR="00C064F2" w:rsidRPr="005527E0" w14:paraId="7EA45F50" w14:textId="77777777" w:rsidTr="00C9104B">
        <w:trPr>
          <w:trHeight w:val="300"/>
        </w:trPr>
        <w:tc>
          <w:tcPr>
            <w:tcW w:w="2972" w:type="dxa"/>
            <w:noWrap/>
            <w:hideMark/>
          </w:tcPr>
          <w:p w14:paraId="1FBAEC24" w14:textId="77777777" w:rsidR="00C064F2" w:rsidRPr="005527E0" w:rsidRDefault="00C064F2" w:rsidP="00741FC5">
            <w:pPr>
              <w:pStyle w:val="TableText0"/>
            </w:pPr>
            <w:r w:rsidRPr="005527E0">
              <w:t>QALYs</w:t>
            </w:r>
          </w:p>
        </w:tc>
        <w:tc>
          <w:tcPr>
            <w:tcW w:w="1418" w:type="dxa"/>
            <w:noWrap/>
            <w:hideMark/>
          </w:tcPr>
          <w:p w14:paraId="6101E99B" w14:textId="77777777" w:rsidR="00C064F2" w:rsidRPr="005527E0" w:rsidRDefault="00C064F2" w:rsidP="00741FC5">
            <w:pPr>
              <w:pStyle w:val="TableText0"/>
            </w:pPr>
            <w:r w:rsidRPr="00660385">
              <w:t>50.91</w:t>
            </w:r>
          </w:p>
        </w:tc>
        <w:tc>
          <w:tcPr>
            <w:tcW w:w="1397" w:type="dxa"/>
            <w:noWrap/>
            <w:hideMark/>
          </w:tcPr>
          <w:p w14:paraId="216BD8EB" w14:textId="77777777" w:rsidR="00C064F2" w:rsidRPr="005527E0" w:rsidRDefault="00C064F2" w:rsidP="00741FC5">
            <w:pPr>
              <w:pStyle w:val="TableText0"/>
            </w:pPr>
            <w:r w:rsidRPr="00660385">
              <w:t>50.84</w:t>
            </w:r>
          </w:p>
        </w:tc>
        <w:tc>
          <w:tcPr>
            <w:tcW w:w="993" w:type="dxa"/>
            <w:noWrap/>
            <w:hideMark/>
          </w:tcPr>
          <w:p w14:paraId="416D81A5" w14:textId="77777777" w:rsidR="00C064F2" w:rsidRPr="005527E0" w:rsidRDefault="00C064F2" w:rsidP="00741FC5">
            <w:pPr>
              <w:pStyle w:val="TableText0"/>
            </w:pPr>
            <w:r w:rsidRPr="00660385">
              <w:t>0.07</w:t>
            </w:r>
          </w:p>
        </w:tc>
        <w:tc>
          <w:tcPr>
            <w:tcW w:w="0" w:type="auto"/>
            <w:noWrap/>
            <w:hideMark/>
          </w:tcPr>
          <w:p w14:paraId="21135B5A" w14:textId="77777777" w:rsidR="00C064F2" w:rsidRPr="0055589C" w:rsidRDefault="00C064F2" w:rsidP="00741FC5">
            <w:pPr>
              <w:pStyle w:val="TableText0"/>
            </w:pPr>
            <w:r w:rsidRPr="0055589C">
              <w:t>$24,907/QALY gained</w:t>
            </w:r>
          </w:p>
        </w:tc>
      </w:tr>
      <w:tr w:rsidR="00C064F2" w:rsidRPr="005527E0" w14:paraId="65E4C99B" w14:textId="77777777" w:rsidTr="00C9104B">
        <w:trPr>
          <w:trHeight w:val="300"/>
        </w:trPr>
        <w:tc>
          <w:tcPr>
            <w:tcW w:w="2972" w:type="dxa"/>
            <w:noWrap/>
            <w:hideMark/>
          </w:tcPr>
          <w:p w14:paraId="02E9752E" w14:textId="77777777" w:rsidR="00C064F2" w:rsidRPr="005527E0" w:rsidRDefault="00C064F2" w:rsidP="00741FC5">
            <w:pPr>
              <w:pStyle w:val="TableText0"/>
            </w:pPr>
            <w:r w:rsidRPr="005527E0">
              <w:t>LYs</w:t>
            </w:r>
          </w:p>
        </w:tc>
        <w:tc>
          <w:tcPr>
            <w:tcW w:w="1418" w:type="dxa"/>
            <w:noWrap/>
            <w:hideMark/>
          </w:tcPr>
          <w:p w14:paraId="51411597" w14:textId="77777777" w:rsidR="00C064F2" w:rsidRPr="005527E0" w:rsidRDefault="00C064F2" w:rsidP="00741FC5">
            <w:pPr>
              <w:pStyle w:val="TableText0"/>
            </w:pPr>
            <w:r w:rsidRPr="00660385">
              <w:t>68.87</w:t>
            </w:r>
          </w:p>
        </w:tc>
        <w:tc>
          <w:tcPr>
            <w:tcW w:w="1397" w:type="dxa"/>
            <w:noWrap/>
            <w:hideMark/>
          </w:tcPr>
          <w:p w14:paraId="48E61E52" w14:textId="77777777" w:rsidR="00C064F2" w:rsidRPr="005527E0" w:rsidRDefault="00C064F2" w:rsidP="00741FC5">
            <w:pPr>
              <w:pStyle w:val="TableText0"/>
            </w:pPr>
            <w:r w:rsidRPr="00660385">
              <w:t>68.81</w:t>
            </w:r>
          </w:p>
        </w:tc>
        <w:tc>
          <w:tcPr>
            <w:tcW w:w="993" w:type="dxa"/>
            <w:noWrap/>
            <w:hideMark/>
          </w:tcPr>
          <w:p w14:paraId="3F25FFD0" w14:textId="77777777" w:rsidR="00C064F2" w:rsidRPr="005527E0" w:rsidRDefault="00C064F2" w:rsidP="00741FC5">
            <w:pPr>
              <w:pStyle w:val="TableText0"/>
            </w:pPr>
            <w:r w:rsidRPr="00660385">
              <w:t>0.06</w:t>
            </w:r>
          </w:p>
        </w:tc>
        <w:tc>
          <w:tcPr>
            <w:tcW w:w="0" w:type="auto"/>
            <w:noWrap/>
            <w:hideMark/>
          </w:tcPr>
          <w:p w14:paraId="2FD3A81A" w14:textId="77777777" w:rsidR="00C064F2" w:rsidRPr="005527E0" w:rsidRDefault="00C064F2" w:rsidP="00741FC5">
            <w:pPr>
              <w:pStyle w:val="TableText0"/>
            </w:pPr>
            <w:r w:rsidRPr="00660385">
              <w:t>$27,631/LY gained</w:t>
            </w:r>
          </w:p>
        </w:tc>
      </w:tr>
      <w:tr w:rsidR="00C064F2" w:rsidRPr="005527E0" w14:paraId="1D86132A" w14:textId="77777777" w:rsidTr="00C9104B">
        <w:trPr>
          <w:trHeight w:val="300"/>
        </w:trPr>
        <w:tc>
          <w:tcPr>
            <w:tcW w:w="2972" w:type="dxa"/>
            <w:noWrap/>
            <w:hideMark/>
          </w:tcPr>
          <w:p w14:paraId="1517292F" w14:textId="77777777" w:rsidR="00C064F2" w:rsidRPr="005527E0" w:rsidRDefault="00C064F2" w:rsidP="00741FC5">
            <w:pPr>
              <w:pStyle w:val="TableText0"/>
            </w:pPr>
            <w:r w:rsidRPr="005527E0">
              <w:t>Mutation</w:t>
            </w:r>
            <w:r>
              <w:t>s</w:t>
            </w:r>
            <w:r w:rsidRPr="005527E0">
              <w:t xml:space="preserve"> identified</w:t>
            </w:r>
          </w:p>
        </w:tc>
        <w:tc>
          <w:tcPr>
            <w:tcW w:w="1418" w:type="dxa"/>
            <w:noWrap/>
            <w:hideMark/>
          </w:tcPr>
          <w:p w14:paraId="3493BCCD" w14:textId="77777777" w:rsidR="00C064F2" w:rsidRPr="005527E0" w:rsidRDefault="00C064F2" w:rsidP="00741FC5">
            <w:pPr>
              <w:pStyle w:val="TableText0"/>
            </w:pPr>
            <w:r w:rsidRPr="00660385">
              <w:t>1.04</w:t>
            </w:r>
          </w:p>
        </w:tc>
        <w:tc>
          <w:tcPr>
            <w:tcW w:w="1397" w:type="dxa"/>
            <w:noWrap/>
            <w:hideMark/>
          </w:tcPr>
          <w:p w14:paraId="22BEDE50" w14:textId="77777777" w:rsidR="00C064F2" w:rsidRPr="005527E0" w:rsidRDefault="00C064F2" w:rsidP="00741FC5">
            <w:pPr>
              <w:pStyle w:val="TableText0"/>
            </w:pPr>
            <w:r w:rsidRPr="00660385">
              <w:t>0.00</w:t>
            </w:r>
          </w:p>
        </w:tc>
        <w:tc>
          <w:tcPr>
            <w:tcW w:w="993" w:type="dxa"/>
            <w:noWrap/>
            <w:hideMark/>
          </w:tcPr>
          <w:p w14:paraId="0F6374BD" w14:textId="77777777" w:rsidR="00C064F2" w:rsidRPr="005527E0" w:rsidRDefault="00C064F2" w:rsidP="00741FC5">
            <w:pPr>
              <w:pStyle w:val="TableText0"/>
            </w:pPr>
            <w:r w:rsidRPr="00660385">
              <w:t>1.04</w:t>
            </w:r>
          </w:p>
        </w:tc>
        <w:tc>
          <w:tcPr>
            <w:tcW w:w="0" w:type="auto"/>
            <w:noWrap/>
            <w:hideMark/>
          </w:tcPr>
          <w:p w14:paraId="758229AF" w14:textId="77777777" w:rsidR="00C064F2" w:rsidRPr="005527E0" w:rsidRDefault="00C064F2" w:rsidP="00741FC5">
            <w:pPr>
              <w:pStyle w:val="TableText0"/>
            </w:pPr>
            <w:r w:rsidRPr="00660385">
              <w:t>$1,667/mutation identified</w:t>
            </w:r>
          </w:p>
        </w:tc>
      </w:tr>
      <w:tr w:rsidR="00C064F2" w:rsidRPr="005527E0" w14:paraId="12C061BE" w14:textId="77777777" w:rsidTr="00C9104B">
        <w:trPr>
          <w:trHeight w:val="300"/>
        </w:trPr>
        <w:tc>
          <w:tcPr>
            <w:tcW w:w="2972" w:type="dxa"/>
            <w:noWrap/>
            <w:hideMark/>
          </w:tcPr>
          <w:p w14:paraId="3B99FE03" w14:textId="77777777" w:rsidR="00C064F2" w:rsidRPr="005527E0" w:rsidRDefault="00C064F2" w:rsidP="00741FC5">
            <w:pPr>
              <w:pStyle w:val="TableText0"/>
            </w:pPr>
            <w:r w:rsidRPr="005527E0">
              <w:t>Mutation status known</w:t>
            </w:r>
          </w:p>
        </w:tc>
        <w:tc>
          <w:tcPr>
            <w:tcW w:w="1418" w:type="dxa"/>
            <w:noWrap/>
            <w:hideMark/>
          </w:tcPr>
          <w:p w14:paraId="1DB28512" w14:textId="77777777" w:rsidR="00C064F2" w:rsidRPr="005527E0" w:rsidRDefault="00C064F2" w:rsidP="00741FC5">
            <w:pPr>
              <w:pStyle w:val="TableText0"/>
            </w:pPr>
            <w:r w:rsidRPr="00660385">
              <w:t>2.40</w:t>
            </w:r>
          </w:p>
        </w:tc>
        <w:tc>
          <w:tcPr>
            <w:tcW w:w="1397" w:type="dxa"/>
            <w:noWrap/>
            <w:hideMark/>
          </w:tcPr>
          <w:p w14:paraId="64A7BE0E" w14:textId="77777777" w:rsidR="00C064F2" w:rsidRPr="005527E0" w:rsidRDefault="00C064F2" w:rsidP="00741FC5">
            <w:pPr>
              <w:pStyle w:val="TableText0"/>
            </w:pPr>
            <w:r w:rsidRPr="00660385">
              <w:t>0.00</w:t>
            </w:r>
          </w:p>
        </w:tc>
        <w:tc>
          <w:tcPr>
            <w:tcW w:w="993" w:type="dxa"/>
            <w:noWrap/>
            <w:hideMark/>
          </w:tcPr>
          <w:p w14:paraId="123319F9" w14:textId="77777777" w:rsidR="00C064F2" w:rsidRPr="005527E0" w:rsidRDefault="00C064F2" w:rsidP="00741FC5">
            <w:pPr>
              <w:pStyle w:val="TableText0"/>
            </w:pPr>
            <w:r w:rsidRPr="00660385">
              <w:t>2.40</w:t>
            </w:r>
          </w:p>
        </w:tc>
        <w:tc>
          <w:tcPr>
            <w:tcW w:w="0" w:type="auto"/>
            <w:noWrap/>
            <w:hideMark/>
          </w:tcPr>
          <w:p w14:paraId="4D7814BC" w14:textId="77777777" w:rsidR="00C064F2" w:rsidRPr="005527E0" w:rsidRDefault="00C064F2" w:rsidP="00741FC5">
            <w:pPr>
              <w:pStyle w:val="TableText0"/>
            </w:pPr>
            <w:r w:rsidRPr="00660385">
              <w:t>$724/mutation status known</w:t>
            </w:r>
          </w:p>
        </w:tc>
      </w:tr>
      <w:tr w:rsidR="00C064F2" w:rsidRPr="00FC176F" w14:paraId="178E2652" w14:textId="77777777" w:rsidTr="00C9104B">
        <w:trPr>
          <w:trHeight w:val="300"/>
        </w:trPr>
        <w:tc>
          <w:tcPr>
            <w:tcW w:w="2972" w:type="dxa"/>
            <w:tcBorders>
              <w:right w:val="nil"/>
            </w:tcBorders>
            <w:noWrap/>
          </w:tcPr>
          <w:p w14:paraId="797269A5" w14:textId="579692E2" w:rsidR="00C064F2" w:rsidRPr="00FC176F" w:rsidRDefault="00C9104B" w:rsidP="00741FC5">
            <w:pPr>
              <w:pStyle w:val="TableText0"/>
            </w:pPr>
            <w:r>
              <w:t>A</w:t>
            </w:r>
            <w:r w:rsidRPr="00C9104B">
              <w:t>ffected individuals</w:t>
            </w:r>
            <w:r w:rsidR="00C064F2" w:rsidRPr="00FC176F">
              <w:t xml:space="preserve"> </w:t>
            </w:r>
            <w:r w:rsidR="00C064F2">
              <w:t>+ FDR, SDR &amp; TDR</w:t>
            </w:r>
          </w:p>
        </w:tc>
        <w:tc>
          <w:tcPr>
            <w:tcW w:w="1418" w:type="dxa"/>
            <w:tcBorders>
              <w:left w:val="nil"/>
              <w:right w:val="nil"/>
            </w:tcBorders>
            <w:noWrap/>
          </w:tcPr>
          <w:p w14:paraId="354BE4EA" w14:textId="77777777" w:rsidR="00C064F2" w:rsidRPr="00FC176F" w:rsidRDefault="00C064F2" w:rsidP="00741FC5">
            <w:pPr>
              <w:pStyle w:val="TableText0"/>
            </w:pPr>
          </w:p>
        </w:tc>
        <w:tc>
          <w:tcPr>
            <w:tcW w:w="1397" w:type="dxa"/>
            <w:tcBorders>
              <w:left w:val="nil"/>
              <w:right w:val="nil"/>
            </w:tcBorders>
            <w:noWrap/>
          </w:tcPr>
          <w:p w14:paraId="3B99B628" w14:textId="77777777" w:rsidR="00C064F2" w:rsidRPr="00FC176F" w:rsidRDefault="00C064F2" w:rsidP="00741FC5">
            <w:pPr>
              <w:pStyle w:val="TableText0"/>
            </w:pPr>
          </w:p>
        </w:tc>
        <w:tc>
          <w:tcPr>
            <w:tcW w:w="993" w:type="dxa"/>
            <w:tcBorders>
              <w:left w:val="nil"/>
              <w:right w:val="nil"/>
            </w:tcBorders>
            <w:noWrap/>
          </w:tcPr>
          <w:p w14:paraId="12EDEB82" w14:textId="77777777" w:rsidR="00C064F2" w:rsidRPr="00FC176F" w:rsidRDefault="00C064F2" w:rsidP="00741FC5">
            <w:pPr>
              <w:pStyle w:val="TableText0"/>
            </w:pPr>
          </w:p>
        </w:tc>
        <w:tc>
          <w:tcPr>
            <w:tcW w:w="0" w:type="auto"/>
            <w:tcBorders>
              <w:left w:val="nil"/>
            </w:tcBorders>
            <w:noWrap/>
          </w:tcPr>
          <w:p w14:paraId="4C709EEF" w14:textId="77777777" w:rsidR="00C064F2" w:rsidRPr="00FC176F" w:rsidRDefault="00C064F2" w:rsidP="00741FC5">
            <w:pPr>
              <w:pStyle w:val="TableText0"/>
            </w:pPr>
          </w:p>
        </w:tc>
      </w:tr>
      <w:tr w:rsidR="00C064F2" w:rsidRPr="00EF03F7" w14:paraId="67421F60" w14:textId="77777777" w:rsidTr="00C9104B">
        <w:trPr>
          <w:trHeight w:val="300"/>
        </w:trPr>
        <w:tc>
          <w:tcPr>
            <w:tcW w:w="2972" w:type="dxa"/>
            <w:noWrap/>
            <w:hideMark/>
          </w:tcPr>
          <w:p w14:paraId="4360D60E" w14:textId="77777777" w:rsidR="00C064F2" w:rsidRPr="005527E0" w:rsidRDefault="00C064F2" w:rsidP="00741FC5">
            <w:pPr>
              <w:pStyle w:val="TableText0"/>
            </w:pPr>
            <w:r>
              <w:t>C</w:t>
            </w:r>
            <w:r w:rsidRPr="005527E0">
              <w:t>osts</w:t>
            </w:r>
          </w:p>
        </w:tc>
        <w:tc>
          <w:tcPr>
            <w:tcW w:w="1418" w:type="dxa"/>
            <w:noWrap/>
            <w:hideMark/>
          </w:tcPr>
          <w:p w14:paraId="7500AEC0" w14:textId="77777777" w:rsidR="00C064F2" w:rsidRPr="005527E0" w:rsidRDefault="00C064F2" w:rsidP="00741FC5">
            <w:pPr>
              <w:pStyle w:val="TableText0"/>
            </w:pPr>
            <w:r w:rsidRPr="007C681E">
              <w:t>$156,916</w:t>
            </w:r>
          </w:p>
        </w:tc>
        <w:tc>
          <w:tcPr>
            <w:tcW w:w="1397" w:type="dxa"/>
            <w:noWrap/>
            <w:hideMark/>
          </w:tcPr>
          <w:p w14:paraId="363CE985" w14:textId="77777777" w:rsidR="00C064F2" w:rsidRPr="005527E0" w:rsidRDefault="00C064F2" w:rsidP="00741FC5">
            <w:pPr>
              <w:pStyle w:val="TableText0"/>
            </w:pPr>
            <w:r w:rsidRPr="007C681E">
              <w:t>$155,124</w:t>
            </w:r>
          </w:p>
        </w:tc>
        <w:tc>
          <w:tcPr>
            <w:tcW w:w="993" w:type="dxa"/>
            <w:noWrap/>
            <w:hideMark/>
          </w:tcPr>
          <w:p w14:paraId="59D77133" w14:textId="77777777" w:rsidR="00C064F2" w:rsidRPr="005527E0" w:rsidRDefault="00C064F2" w:rsidP="00741FC5">
            <w:pPr>
              <w:pStyle w:val="TableText0"/>
            </w:pPr>
            <w:r w:rsidRPr="007C681E">
              <w:t>$1,792</w:t>
            </w:r>
          </w:p>
        </w:tc>
        <w:tc>
          <w:tcPr>
            <w:tcW w:w="0" w:type="auto"/>
            <w:noWrap/>
            <w:hideMark/>
          </w:tcPr>
          <w:p w14:paraId="391EA238" w14:textId="77777777" w:rsidR="00C064F2" w:rsidRPr="005527E0" w:rsidRDefault="00C064F2" w:rsidP="00741FC5">
            <w:pPr>
              <w:pStyle w:val="TableText0"/>
            </w:pPr>
          </w:p>
        </w:tc>
      </w:tr>
      <w:tr w:rsidR="00C064F2" w:rsidRPr="005527E0" w14:paraId="246CF3DE" w14:textId="77777777" w:rsidTr="00C9104B">
        <w:trPr>
          <w:trHeight w:val="300"/>
        </w:trPr>
        <w:tc>
          <w:tcPr>
            <w:tcW w:w="2972" w:type="dxa"/>
            <w:noWrap/>
            <w:hideMark/>
          </w:tcPr>
          <w:p w14:paraId="6EBA8854" w14:textId="77777777" w:rsidR="00C064F2" w:rsidRPr="005527E0" w:rsidRDefault="00C064F2" w:rsidP="00741FC5">
            <w:pPr>
              <w:pStyle w:val="TableText0"/>
            </w:pPr>
            <w:r w:rsidRPr="005527E0">
              <w:t>QALYs</w:t>
            </w:r>
          </w:p>
        </w:tc>
        <w:tc>
          <w:tcPr>
            <w:tcW w:w="1418" w:type="dxa"/>
            <w:noWrap/>
            <w:hideMark/>
          </w:tcPr>
          <w:p w14:paraId="050CF249" w14:textId="77777777" w:rsidR="00C064F2" w:rsidRPr="005527E0" w:rsidRDefault="00C064F2" w:rsidP="00741FC5">
            <w:pPr>
              <w:pStyle w:val="TableText0"/>
            </w:pPr>
            <w:r w:rsidRPr="007C681E">
              <w:t>82.42</w:t>
            </w:r>
          </w:p>
        </w:tc>
        <w:tc>
          <w:tcPr>
            <w:tcW w:w="1397" w:type="dxa"/>
            <w:noWrap/>
            <w:hideMark/>
          </w:tcPr>
          <w:p w14:paraId="5CB7800F" w14:textId="77777777" w:rsidR="00C064F2" w:rsidRPr="005527E0" w:rsidRDefault="00C064F2" w:rsidP="00741FC5">
            <w:pPr>
              <w:pStyle w:val="TableText0"/>
            </w:pPr>
            <w:r w:rsidRPr="007C681E">
              <w:t>82.35</w:t>
            </w:r>
          </w:p>
        </w:tc>
        <w:tc>
          <w:tcPr>
            <w:tcW w:w="993" w:type="dxa"/>
            <w:noWrap/>
            <w:hideMark/>
          </w:tcPr>
          <w:p w14:paraId="06B8995E" w14:textId="77777777" w:rsidR="00C064F2" w:rsidRPr="005527E0" w:rsidRDefault="00C064F2" w:rsidP="00741FC5">
            <w:pPr>
              <w:pStyle w:val="TableText0"/>
            </w:pPr>
            <w:r w:rsidRPr="007C681E">
              <w:t>0.07</w:t>
            </w:r>
          </w:p>
        </w:tc>
        <w:tc>
          <w:tcPr>
            <w:tcW w:w="0" w:type="auto"/>
            <w:noWrap/>
            <w:hideMark/>
          </w:tcPr>
          <w:p w14:paraId="72E05D6C" w14:textId="77777777" w:rsidR="00C064F2" w:rsidRPr="0055589C" w:rsidRDefault="00C064F2" w:rsidP="00741FC5">
            <w:pPr>
              <w:pStyle w:val="TableText0"/>
            </w:pPr>
            <w:r w:rsidRPr="0055589C">
              <w:t>$25,147/QALY gained</w:t>
            </w:r>
          </w:p>
        </w:tc>
      </w:tr>
      <w:tr w:rsidR="00C064F2" w:rsidRPr="005527E0" w14:paraId="11CE0429" w14:textId="77777777" w:rsidTr="00C9104B">
        <w:trPr>
          <w:trHeight w:val="300"/>
        </w:trPr>
        <w:tc>
          <w:tcPr>
            <w:tcW w:w="2972" w:type="dxa"/>
            <w:noWrap/>
            <w:hideMark/>
          </w:tcPr>
          <w:p w14:paraId="02D45A67" w14:textId="77777777" w:rsidR="00C064F2" w:rsidRPr="005527E0" w:rsidRDefault="00C064F2" w:rsidP="00741FC5">
            <w:pPr>
              <w:pStyle w:val="TableText0"/>
            </w:pPr>
            <w:r w:rsidRPr="005527E0">
              <w:t>LYs</w:t>
            </w:r>
          </w:p>
        </w:tc>
        <w:tc>
          <w:tcPr>
            <w:tcW w:w="1418" w:type="dxa"/>
            <w:noWrap/>
            <w:hideMark/>
          </w:tcPr>
          <w:p w14:paraId="279CD139" w14:textId="77777777" w:rsidR="00C064F2" w:rsidRPr="005527E0" w:rsidRDefault="00C064F2" w:rsidP="00741FC5">
            <w:pPr>
              <w:pStyle w:val="TableText0"/>
            </w:pPr>
            <w:r w:rsidRPr="007C681E">
              <w:t>111.04</w:t>
            </w:r>
          </w:p>
        </w:tc>
        <w:tc>
          <w:tcPr>
            <w:tcW w:w="1397" w:type="dxa"/>
            <w:noWrap/>
            <w:hideMark/>
          </w:tcPr>
          <w:p w14:paraId="46134D34" w14:textId="77777777" w:rsidR="00C064F2" w:rsidRPr="005527E0" w:rsidRDefault="00C064F2" w:rsidP="00741FC5">
            <w:pPr>
              <w:pStyle w:val="TableText0"/>
            </w:pPr>
            <w:r w:rsidRPr="007C681E">
              <w:t>110.97</w:t>
            </w:r>
          </w:p>
        </w:tc>
        <w:tc>
          <w:tcPr>
            <w:tcW w:w="993" w:type="dxa"/>
            <w:noWrap/>
            <w:hideMark/>
          </w:tcPr>
          <w:p w14:paraId="6D859808" w14:textId="77777777" w:rsidR="00C064F2" w:rsidRPr="005527E0" w:rsidRDefault="00C064F2" w:rsidP="00741FC5">
            <w:pPr>
              <w:pStyle w:val="TableText0"/>
            </w:pPr>
            <w:r w:rsidRPr="007C681E">
              <w:t>0.06</w:t>
            </w:r>
          </w:p>
        </w:tc>
        <w:tc>
          <w:tcPr>
            <w:tcW w:w="0" w:type="auto"/>
            <w:noWrap/>
            <w:hideMark/>
          </w:tcPr>
          <w:p w14:paraId="39266A6F" w14:textId="77777777" w:rsidR="00C064F2" w:rsidRPr="005527E0" w:rsidRDefault="00C064F2" w:rsidP="00741FC5">
            <w:pPr>
              <w:pStyle w:val="TableText0"/>
            </w:pPr>
            <w:r w:rsidRPr="007C681E">
              <w:t>$27,885/LY gained</w:t>
            </w:r>
          </w:p>
        </w:tc>
      </w:tr>
      <w:tr w:rsidR="00C064F2" w:rsidRPr="005527E0" w14:paraId="41C106B4" w14:textId="77777777" w:rsidTr="00C9104B">
        <w:trPr>
          <w:trHeight w:val="300"/>
        </w:trPr>
        <w:tc>
          <w:tcPr>
            <w:tcW w:w="2972" w:type="dxa"/>
            <w:noWrap/>
            <w:hideMark/>
          </w:tcPr>
          <w:p w14:paraId="27825896" w14:textId="77777777" w:rsidR="00C064F2" w:rsidRPr="005527E0" w:rsidRDefault="00C064F2" w:rsidP="00741FC5">
            <w:pPr>
              <w:pStyle w:val="TableText0"/>
            </w:pPr>
            <w:r w:rsidRPr="005527E0">
              <w:t>Mutation</w:t>
            </w:r>
            <w:r>
              <w:t>s</w:t>
            </w:r>
            <w:r w:rsidRPr="005527E0">
              <w:t xml:space="preserve"> identified</w:t>
            </w:r>
          </w:p>
        </w:tc>
        <w:tc>
          <w:tcPr>
            <w:tcW w:w="1418" w:type="dxa"/>
            <w:noWrap/>
            <w:hideMark/>
          </w:tcPr>
          <w:p w14:paraId="4E8D351A" w14:textId="77777777" w:rsidR="00C064F2" w:rsidRPr="005527E0" w:rsidRDefault="00C064F2" w:rsidP="00741FC5">
            <w:pPr>
              <w:pStyle w:val="TableText0"/>
            </w:pPr>
            <w:r w:rsidRPr="007C681E">
              <w:t>1.06</w:t>
            </w:r>
          </w:p>
        </w:tc>
        <w:tc>
          <w:tcPr>
            <w:tcW w:w="1397" w:type="dxa"/>
            <w:noWrap/>
            <w:hideMark/>
          </w:tcPr>
          <w:p w14:paraId="1A3B12A5" w14:textId="77777777" w:rsidR="00C064F2" w:rsidRPr="005527E0" w:rsidRDefault="00C064F2" w:rsidP="00741FC5">
            <w:pPr>
              <w:pStyle w:val="TableText0"/>
            </w:pPr>
            <w:r w:rsidRPr="007C681E">
              <w:t>0.00</w:t>
            </w:r>
          </w:p>
        </w:tc>
        <w:tc>
          <w:tcPr>
            <w:tcW w:w="993" w:type="dxa"/>
            <w:noWrap/>
            <w:hideMark/>
          </w:tcPr>
          <w:p w14:paraId="67470281" w14:textId="77777777" w:rsidR="00C064F2" w:rsidRPr="005527E0" w:rsidRDefault="00C064F2" w:rsidP="00741FC5">
            <w:pPr>
              <w:pStyle w:val="TableText0"/>
            </w:pPr>
            <w:r w:rsidRPr="007C681E">
              <w:t>1.06</w:t>
            </w:r>
          </w:p>
        </w:tc>
        <w:tc>
          <w:tcPr>
            <w:tcW w:w="0" w:type="auto"/>
            <w:noWrap/>
            <w:hideMark/>
          </w:tcPr>
          <w:p w14:paraId="2A380268" w14:textId="77777777" w:rsidR="00C064F2" w:rsidRPr="005527E0" w:rsidRDefault="00C064F2" w:rsidP="00741FC5">
            <w:pPr>
              <w:pStyle w:val="TableText0"/>
            </w:pPr>
            <w:r w:rsidRPr="007C681E">
              <w:t>$1,696/mutation identified</w:t>
            </w:r>
          </w:p>
        </w:tc>
      </w:tr>
      <w:tr w:rsidR="00C064F2" w:rsidRPr="005527E0" w14:paraId="2DE35494" w14:textId="77777777" w:rsidTr="00C9104B">
        <w:trPr>
          <w:trHeight w:val="300"/>
        </w:trPr>
        <w:tc>
          <w:tcPr>
            <w:tcW w:w="2972" w:type="dxa"/>
            <w:noWrap/>
            <w:hideMark/>
          </w:tcPr>
          <w:p w14:paraId="252B06B4" w14:textId="77777777" w:rsidR="00C064F2" w:rsidRPr="005527E0" w:rsidRDefault="00C064F2" w:rsidP="00741FC5">
            <w:pPr>
              <w:pStyle w:val="TableText0"/>
            </w:pPr>
            <w:r w:rsidRPr="005527E0">
              <w:t>Mutation status known</w:t>
            </w:r>
          </w:p>
        </w:tc>
        <w:tc>
          <w:tcPr>
            <w:tcW w:w="1418" w:type="dxa"/>
            <w:noWrap/>
            <w:hideMark/>
          </w:tcPr>
          <w:p w14:paraId="7EACDCA9" w14:textId="77777777" w:rsidR="00C064F2" w:rsidRPr="005527E0" w:rsidRDefault="00C064F2" w:rsidP="00741FC5">
            <w:pPr>
              <w:pStyle w:val="TableText0"/>
            </w:pPr>
            <w:r w:rsidRPr="007C681E">
              <w:t>2.50</w:t>
            </w:r>
          </w:p>
        </w:tc>
        <w:tc>
          <w:tcPr>
            <w:tcW w:w="1397" w:type="dxa"/>
            <w:noWrap/>
            <w:hideMark/>
          </w:tcPr>
          <w:p w14:paraId="489A4537" w14:textId="77777777" w:rsidR="00C064F2" w:rsidRPr="005527E0" w:rsidRDefault="00C064F2" w:rsidP="00741FC5">
            <w:pPr>
              <w:pStyle w:val="TableText0"/>
            </w:pPr>
            <w:r w:rsidRPr="007C681E">
              <w:t>0.00</w:t>
            </w:r>
          </w:p>
        </w:tc>
        <w:tc>
          <w:tcPr>
            <w:tcW w:w="993" w:type="dxa"/>
            <w:noWrap/>
            <w:hideMark/>
          </w:tcPr>
          <w:p w14:paraId="615E38B4" w14:textId="77777777" w:rsidR="00C064F2" w:rsidRPr="005527E0" w:rsidRDefault="00C064F2" w:rsidP="00741FC5">
            <w:pPr>
              <w:pStyle w:val="TableText0"/>
            </w:pPr>
            <w:r w:rsidRPr="007C681E">
              <w:t>2.50</w:t>
            </w:r>
          </w:p>
        </w:tc>
        <w:tc>
          <w:tcPr>
            <w:tcW w:w="0" w:type="auto"/>
            <w:noWrap/>
            <w:hideMark/>
          </w:tcPr>
          <w:p w14:paraId="76B2368A" w14:textId="77777777" w:rsidR="00C064F2" w:rsidRPr="005527E0" w:rsidRDefault="00C064F2" w:rsidP="00741FC5">
            <w:pPr>
              <w:pStyle w:val="TableText0"/>
            </w:pPr>
            <w:r w:rsidRPr="007C681E">
              <w:t>$716/mutation status known</w:t>
            </w:r>
          </w:p>
        </w:tc>
      </w:tr>
    </w:tbl>
    <w:p w14:paraId="053082C4" w14:textId="77777777" w:rsidR="00C064F2" w:rsidRDefault="00C064F2" w:rsidP="00C064F2">
      <w:pPr>
        <w:pStyle w:val="Tablenotes"/>
      </w:pPr>
      <w:r>
        <w:t>FDR = first-degree relative; ICER = incremental cost-effectiveness ratio; LY = life year; QALY = quality-adjusted life year; SDR = second-degree relative; TDR = third-degree relative.</w:t>
      </w:r>
    </w:p>
    <w:p w14:paraId="31155A3E" w14:textId="6369B4B3" w:rsidR="00C064F2" w:rsidRPr="00162774" w:rsidRDefault="00722D57" w:rsidP="00162774">
      <w:pPr>
        <w:rPr>
          <w:rFonts w:ascii="Arial Narrow" w:hAnsi="Arial Narrow"/>
          <w:b/>
          <w:sz w:val="20"/>
        </w:rPr>
      </w:pPr>
      <w:bookmarkStart w:id="19" w:name="_Ref11160522"/>
      <w:bookmarkEnd w:id="18"/>
      <w:r w:rsidRPr="00162774">
        <w:rPr>
          <w:rFonts w:ascii="Arial Narrow" w:hAnsi="Arial Narrow"/>
          <w:b/>
          <w:sz w:val="20"/>
        </w:rPr>
        <w:t xml:space="preserve">Table </w:t>
      </w:r>
      <w:r w:rsidR="00B108E7" w:rsidRPr="00162774">
        <w:rPr>
          <w:rFonts w:ascii="Arial Narrow" w:hAnsi="Arial Narrow"/>
          <w:b/>
          <w:sz w:val="20"/>
        </w:rPr>
        <w:fldChar w:fldCharType="begin"/>
      </w:r>
      <w:r w:rsidR="00B108E7" w:rsidRPr="00162774">
        <w:rPr>
          <w:rFonts w:ascii="Arial Narrow" w:hAnsi="Arial Narrow"/>
          <w:b/>
          <w:sz w:val="20"/>
        </w:rPr>
        <w:instrText xml:space="preserve"> SEQ Table \* ARABIC </w:instrText>
      </w:r>
      <w:r w:rsidR="00B108E7" w:rsidRPr="00162774">
        <w:rPr>
          <w:rFonts w:ascii="Arial Narrow" w:hAnsi="Arial Narrow"/>
          <w:b/>
          <w:sz w:val="20"/>
        </w:rPr>
        <w:fldChar w:fldCharType="separate"/>
      </w:r>
      <w:r w:rsidRPr="00162774">
        <w:rPr>
          <w:rFonts w:ascii="Arial Narrow" w:hAnsi="Arial Narrow"/>
          <w:b/>
          <w:sz w:val="20"/>
        </w:rPr>
        <w:t>8</w:t>
      </w:r>
      <w:r w:rsidR="00B108E7" w:rsidRPr="00162774">
        <w:rPr>
          <w:rFonts w:ascii="Arial Narrow" w:hAnsi="Arial Narrow"/>
          <w:b/>
          <w:sz w:val="20"/>
        </w:rPr>
        <w:fldChar w:fldCharType="end"/>
      </w:r>
      <w:bookmarkEnd w:id="19"/>
      <w:r w:rsidRPr="00162774">
        <w:rPr>
          <w:rFonts w:ascii="Arial Narrow" w:hAnsi="Arial Narrow"/>
          <w:b/>
          <w:sz w:val="20"/>
        </w:rPr>
        <w:tab/>
      </w:r>
      <w:r w:rsidR="00C064F2" w:rsidRPr="00162774">
        <w:rPr>
          <w:rFonts w:ascii="Arial Narrow" w:hAnsi="Arial Narrow"/>
          <w:b/>
          <w:sz w:val="20"/>
        </w:rPr>
        <w:t>Marginal incremental cost-effectiveness of increasing eligibility of cascade screening to additional cohorts</w:t>
      </w:r>
    </w:p>
    <w:tbl>
      <w:tblPr>
        <w:tblStyle w:val="TableGrid1"/>
        <w:tblW w:w="0" w:type="auto"/>
        <w:tblLayout w:type="fixed"/>
        <w:tblLook w:val="04A0" w:firstRow="1" w:lastRow="0" w:firstColumn="1" w:lastColumn="0" w:noHBand="0" w:noVBand="1"/>
        <w:tblCaption w:val="Marginal incremental cost-effectiveness of increasing eligibility of cascade screening to additional cohorts"/>
        <w:tblDescription w:val="Marginal incremental cost-effectiveness of increasing eligibility of cascade screening to additional cohorts"/>
      </w:tblPr>
      <w:tblGrid>
        <w:gridCol w:w="3539"/>
        <w:gridCol w:w="1134"/>
        <w:gridCol w:w="1134"/>
        <w:gridCol w:w="851"/>
        <w:gridCol w:w="850"/>
        <w:gridCol w:w="1508"/>
      </w:tblGrid>
      <w:tr w:rsidR="00C064F2" w:rsidRPr="00AB207C" w14:paraId="3A6E6CE9" w14:textId="77777777" w:rsidTr="00C9104B">
        <w:trPr>
          <w:cnfStyle w:val="100000000000" w:firstRow="1" w:lastRow="0" w:firstColumn="0" w:lastColumn="0" w:oddVBand="0" w:evenVBand="0" w:oddHBand="0" w:evenHBand="0" w:firstRowFirstColumn="0" w:firstRowLastColumn="0" w:lastRowFirstColumn="0" w:lastRowLastColumn="0"/>
          <w:trHeight w:val="300"/>
          <w:tblHeader/>
        </w:trPr>
        <w:tc>
          <w:tcPr>
            <w:tcW w:w="3539" w:type="dxa"/>
            <w:noWrap/>
          </w:tcPr>
          <w:p w14:paraId="1B33C97A" w14:textId="77777777" w:rsidR="00C064F2" w:rsidRPr="00492105" w:rsidRDefault="00C064F2" w:rsidP="00741FC5">
            <w:pPr>
              <w:pStyle w:val="TableText0"/>
            </w:pPr>
          </w:p>
        </w:tc>
        <w:tc>
          <w:tcPr>
            <w:tcW w:w="1134" w:type="dxa"/>
            <w:noWrap/>
          </w:tcPr>
          <w:p w14:paraId="2CC515B4" w14:textId="70A31F64" w:rsidR="00C064F2" w:rsidRPr="00492105" w:rsidRDefault="00C064F2" w:rsidP="00741FC5">
            <w:pPr>
              <w:pStyle w:val="TableText0"/>
            </w:pPr>
            <w:r w:rsidRPr="00492105">
              <w:t xml:space="preserve">Incremental </w:t>
            </w:r>
            <w:r w:rsidR="00C9104B">
              <w:t>c</w:t>
            </w:r>
            <w:r w:rsidRPr="00492105">
              <w:t>ost</w:t>
            </w:r>
          </w:p>
        </w:tc>
        <w:tc>
          <w:tcPr>
            <w:tcW w:w="1134" w:type="dxa"/>
            <w:noWrap/>
          </w:tcPr>
          <w:p w14:paraId="1FDE5FB4" w14:textId="77777777" w:rsidR="00C064F2" w:rsidRPr="00492105" w:rsidRDefault="00C064F2" w:rsidP="00741FC5">
            <w:pPr>
              <w:pStyle w:val="TableText0"/>
            </w:pPr>
            <w:r w:rsidRPr="00492105">
              <w:t>Incremental QALYs</w:t>
            </w:r>
          </w:p>
        </w:tc>
        <w:tc>
          <w:tcPr>
            <w:tcW w:w="851" w:type="dxa"/>
            <w:noWrap/>
          </w:tcPr>
          <w:p w14:paraId="310A308B" w14:textId="77777777" w:rsidR="00C064F2" w:rsidRPr="00492105" w:rsidRDefault="00C064F2" w:rsidP="00741FC5">
            <w:pPr>
              <w:pStyle w:val="TableText0"/>
              <w:rPr>
                <w:color w:val="FFFFFF" w:themeColor="background1"/>
              </w:rPr>
            </w:pPr>
            <w:r w:rsidRPr="00492105">
              <w:t>Marginal costs</w:t>
            </w:r>
          </w:p>
        </w:tc>
        <w:tc>
          <w:tcPr>
            <w:tcW w:w="850" w:type="dxa"/>
            <w:noWrap/>
          </w:tcPr>
          <w:p w14:paraId="6EF50827" w14:textId="77777777" w:rsidR="00C064F2" w:rsidRPr="00492105" w:rsidRDefault="00C064F2" w:rsidP="00741FC5">
            <w:pPr>
              <w:pStyle w:val="TableText0"/>
              <w:rPr>
                <w:color w:val="FFFFFF" w:themeColor="background1"/>
              </w:rPr>
            </w:pPr>
            <w:r w:rsidRPr="00492105">
              <w:t>Marginal QALYs</w:t>
            </w:r>
          </w:p>
        </w:tc>
        <w:tc>
          <w:tcPr>
            <w:tcW w:w="1508" w:type="dxa"/>
            <w:noWrap/>
          </w:tcPr>
          <w:p w14:paraId="4946C132" w14:textId="77777777" w:rsidR="00C064F2" w:rsidRPr="00492105" w:rsidRDefault="00C064F2" w:rsidP="00741FC5">
            <w:pPr>
              <w:pStyle w:val="TableText0"/>
              <w:rPr>
                <w:color w:val="FFFFFF" w:themeColor="background1"/>
              </w:rPr>
            </w:pPr>
            <w:r w:rsidRPr="00492105">
              <w:t>Marginal ICER of additional cohort</w:t>
            </w:r>
          </w:p>
        </w:tc>
      </w:tr>
      <w:tr w:rsidR="00C064F2" w:rsidRPr="00AB207C" w14:paraId="39FE21CB" w14:textId="77777777" w:rsidTr="00C9104B">
        <w:trPr>
          <w:trHeight w:val="300"/>
        </w:trPr>
        <w:tc>
          <w:tcPr>
            <w:tcW w:w="3539" w:type="dxa"/>
            <w:noWrap/>
            <w:hideMark/>
          </w:tcPr>
          <w:p w14:paraId="39550701" w14:textId="1E75B966" w:rsidR="00C064F2" w:rsidRPr="00AB207C" w:rsidRDefault="00C9104B" w:rsidP="00741FC5">
            <w:pPr>
              <w:pStyle w:val="TableText0"/>
            </w:pPr>
            <w:r>
              <w:t>A</w:t>
            </w:r>
            <w:r w:rsidRPr="00C9104B">
              <w:t>ffected individuals</w:t>
            </w:r>
            <w:r w:rsidR="00C064F2" w:rsidRPr="00AB207C">
              <w:t xml:space="preserve"> only</w:t>
            </w:r>
          </w:p>
        </w:tc>
        <w:tc>
          <w:tcPr>
            <w:tcW w:w="1134" w:type="dxa"/>
            <w:noWrap/>
            <w:hideMark/>
          </w:tcPr>
          <w:p w14:paraId="0DFA7B79" w14:textId="77777777" w:rsidR="00C064F2" w:rsidRPr="00AB207C" w:rsidRDefault="00C064F2" w:rsidP="00741FC5">
            <w:pPr>
              <w:pStyle w:val="TableText0"/>
            </w:pPr>
            <w:r w:rsidRPr="00976ED6">
              <w:t>$1,468</w:t>
            </w:r>
          </w:p>
        </w:tc>
        <w:tc>
          <w:tcPr>
            <w:tcW w:w="1134" w:type="dxa"/>
            <w:noWrap/>
            <w:hideMark/>
          </w:tcPr>
          <w:p w14:paraId="5D5F76B8" w14:textId="77777777" w:rsidR="00C064F2" w:rsidRPr="00AB207C" w:rsidRDefault="00C064F2" w:rsidP="00741FC5">
            <w:pPr>
              <w:pStyle w:val="TableText0"/>
            </w:pPr>
            <w:r w:rsidRPr="00976ED6">
              <w:t>0.00</w:t>
            </w:r>
          </w:p>
        </w:tc>
        <w:tc>
          <w:tcPr>
            <w:tcW w:w="851" w:type="dxa"/>
            <w:noWrap/>
            <w:hideMark/>
          </w:tcPr>
          <w:p w14:paraId="325A5FAA" w14:textId="77777777" w:rsidR="00C064F2" w:rsidRPr="00AB207C" w:rsidRDefault="00C064F2" w:rsidP="00741FC5">
            <w:pPr>
              <w:pStyle w:val="TableText0"/>
            </w:pPr>
            <w:r w:rsidRPr="00D05268">
              <w:t>-</w:t>
            </w:r>
          </w:p>
        </w:tc>
        <w:tc>
          <w:tcPr>
            <w:tcW w:w="850" w:type="dxa"/>
            <w:noWrap/>
            <w:hideMark/>
          </w:tcPr>
          <w:p w14:paraId="5014C909" w14:textId="77777777" w:rsidR="00C064F2" w:rsidRPr="00AB207C" w:rsidRDefault="00C064F2" w:rsidP="00741FC5">
            <w:pPr>
              <w:pStyle w:val="TableText0"/>
            </w:pPr>
            <w:r w:rsidRPr="00D05268">
              <w:t>-</w:t>
            </w:r>
          </w:p>
        </w:tc>
        <w:tc>
          <w:tcPr>
            <w:tcW w:w="1508" w:type="dxa"/>
            <w:noWrap/>
            <w:hideMark/>
          </w:tcPr>
          <w:p w14:paraId="487134A9" w14:textId="77777777" w:rsidR="00C064F2" w:rsidRPr="00AB207C" w:rsidRDefault="00C064F2" w:rsidP="00741FC5">
            <w:pPr>
              <w:pStyle w:val="TableText0"/>
            </w:pPr>
            <w:r w:rsidRPr="00D05268">
              <w:t>-</w:t>
            </w:r>
          </w:p>
        </w:tc>
      </w:tr>
      <w:tr w:rsidR="00C064F2" w:rsidRPr="00AB207C" w14:paraId="09A16356" w14:textId="77777777" w:rsidTr="00C9104B">
        <w:trPr>
          <w:trHeight w:val="300"/>
        </w:trPr>
        <w:tc>
          <w:tcPr>
            <w:tcW w:w="3539" w:type="dxa"/>
            <w:noWrap/>
            <w:hideMark/>
          </w:tcPr>
          <w:p w14:paraId="65633FE3" w14:textId="25563833" w:rsidR="00C064F2" w:rsidRPr="00AB207C" w:rsidRDefault="00C9104B" w:rsidP="00741FC5">
            <w:pPr>
              <w:pStyle w:val="TableText0"/>
            </w:pPr>
            <w:r>
              <w:t>A</w:t>
            </w:r>
            <w:r w:rsidRPr="00C9104B">
              <w:t>ffected individuals</w:t>
            </w:r>
            <w:r w:rsidR="00C064F2" w:rsidRPr="00AB207C">
              <w:t xml:space="preserve"> + FDR</w:t>
            </w:r>
          </w:p>
        </w:tc>
        <w:tc>
          <w:tcPr>
            <w:tcW w:w="1134" w:type="dxa"/>
            <w:noWrap/>
            <w:hideMark/>
          </w:tcPr>
          <w:p w14:paraId="2B96CAD2" w14:textId="77777777" w:rsidR="00C064F2" w:rsidRPr="00AB207C" w:rsidRDefault="00C064F2" w:rsidP="00741FC5">
            <w:pPr>
              <w:pStyle w:val="TableText0"/>
            </w:pPr>
            <w:r w:rsidRPr="00976ED6">
              <w:t>$1,633</w:t>
            </w:r>
          </w:p>
        </w:tc>
        <w:tc>
          <w:tcPr>
            <w:tcW w:w="1134" w:type="dxa"/>
            <w:noWrap/>
            <w:hideMark/>
          </w:tcPr>
          <w:p w14:paraId="52EFAE95" w14:textId="77777777" w:rsidR="00C064F2" w:rsidRPr="00AB207C" w:rsidRDefault="00C064F2" w:rsidP="00741FC5">
            <w:pPr>
              <w:pStyle w:val="TableText0"/>
            </w:pPr>
            <w:r w:rsidRPr="00976ED6">
              <w:t>0.06</w:t>
            </w:r>
          </w:p>
        </w:tc>
        <w:tc>
          <w:tcPr>
            <w:tcW w:w="851" w:type="dxa"/>
            <w:noWrap/>
            <w:hideMark/>
          </w:tcPr>
          <w:p w14:paraId="5009713B" w14:textId="77777777" w:rsidR="00C064F2" w:rsidRPr="00AB207C" w:rsidRDefault="00C064F2" w:rsidP="00741FC5">
            <w:pPr>
              <w:pStyle w:val="TableText0"/>
            </w:pPr>
            <w:r w:rsidRPr="00976ED6">
              <w:t>$165</w:t>
            </w:r>
          </w:p>
        </w:tc>
        <w:tc>
          <w:tcPr>
            <w:tcW w:w="850" w:type="dxa"/>
            <w:noWrap/>
            <w:hideMark/>
          </w:tcPr>
          <w:p w14:paraId="1549BBE1" w14:textId="77777777" w:rsidR="00C064F2" w:rsidRPr="00AB207C" w:rsidRDefault="00C064F2" w:rsidP="00741FC5">
            <w:pPr>
              <w:pStyle w:val="TableText0"/>
            </w:pPr>
            <w:r w:rsidRPr="00976ED6">
              <w:t>0.06</w:t>
            </w:r>
          </w:p>
        </w:tc>
        <w:tc>
          <w:tcPr>
            <w:tcW w:w="1508" w:type="dxa"/>
            <w:noWrap/>
            <w:hideMark/>
          </w:tcPr>
          <w:p w14:paraId="48B9593D" w14:textId="77777777" w:rsidR="00C064F2" w:rsidRPr="00AB207C" w:rsidRDefault="00C064F2" w:rsidP="00741FC5">
            <w:pPr>
              <w:pStyle w:val="TableText0"/>
            </w:pPr>
            <w:r w:rsidRPr="00976ED6">
              <w:t>$2,649</w:t>
            </w:r>
          </w:p>
        </w:tc>
      </w:tr>
      <w:tr w:rsidR="00C064F2" w:rsidRPr="00AB207C" w14:paraId="58223DA4" w14:textId="77777777" w:rsidTr="00C9104B">
        <w:trPr>
          <w:trHeight w:val="300"/>
        </w:trPr>
        <w:tc>
          <w:tcPr>
            <w:tcW w:w="3539" w:type="dxa"/>
            <w:noWrap/>
            <w:hideMark/>
          </w:tcPr>
          <w:p w14:paraId="0F6C9C7B" w14:textId="77B6D491" w:rsidR="00C064F2" w:rsidRPr="00AB207C" w:rsidRDefault="00C9104B" w:rsidP="00741FC5">
            <w:pPr>
              <w:pStyle w:val="TableText0"/>
            </w:pPr>
            <w:r>
              <w:t>A</w:t>
            </w:r>
            <w:r w:rsidRPr="00C9104B">
              <w:t>ffected individuals</w:t>
            </w:r>
            <w:r w:rsidR="00C064F2" w:rsidRPr="00AB207C">
              <w:t xml:space="preserve"> + FDR + SDR</w:t>
            </w:r>
          </w:p>
        </w:tc>
        <w:tc>
          <w:tcPr>
            <w:tcW w:w="1134" w:type="dxa"/>
            <w:noWrap/>
            <w:hideMark/>
          </w:tcPr>
          <w:p w14:paraId="54BBE40A" w14:textId="77777777" w:rsidR="00C064F2" w:rsidRPr="00AB207C" w:rsidRDefault="00C064F2" w:rsidP="00741FC5">
            <w:pPr>
              <w:pStyle w:val="TableText0"/>
            </w:pPr>
            <w:r w:rsidRPr="00976ED6">
              <w:t>$1,741</w:t>
            </w:r>
          </w:p>
        </w:tc>
        <w:tc>
          <w:tcPr>
            <w:tcW w:w="1134" w:type="dxa"/>
            <w:noWrap/>
            <w:hideMark/>
          </w:tcPr>
          <w:p w14:paraId="472826CE" w14:textId="77777777" w:rsidR="00C064F2" w:rsidRPr="00AB207C" w:rsidRDefault="00C064F2" w:rsidP="00741FC5">
            <w:pPr>
              <w:pStyle w:val="TableText0"/>
            </w:pPr>
            <w:r w:rsidRPr="00976ED6">
              <w:t>0.07</w:t>
            </w:r>
          </w:p>
        </w:tc>
        <w:tc>
          <w:tcPr>
            <w:tcW w:w="851" w:type="dxa"/>
            <w:noWrap/>
            <w:hideMark/>
          </w:tcPr>
          <w:p w14:paraId="6A657823" w14:textId="77777777" w:rsidR="00C064F2" w:rsidRPr="00AB207C" w:rsidRDefault="00C064F2" w:rsidP="00741FC5">
            <w:pPr>
              <w:pStyle w:val="TableText0"/>
            </w:pPr>
            <w:r w:rsidRPr="00976ED6">
              <w:t>$108</w:t>
            </w:r>
          </w:p>
        </w:tc>
        <w:tc>
          <w:tcPr>
            <w:tcW w:w="850" w:type="dxa"/>
            <w:noWrap/>
            <w:hideMark/>
          </w:tcPr>
          <w:p w14:paraId="51BEC59C" w14:textId="77777777" w:rsidR="00C064F2" w:rsidRPr="00AB207C" w:rsidRDefault="00C064F2" w:rsidP="00741FC5">
            <w:pPr>
              <w:pStyle w:val="TableText0"/>
            </w:pPr>
            <w:r w:rsidRPr="00976ED6">
              <w:t>0.01</w:t>
            </w:r>
          </w:p>
        </w:tc>
        <w:tc>
          <w:tcPr>
            <w:tcW w:w="1508" w:type="dxa"/>
            <w:noWrap/>
            <w:hideMark/>
          </w:tcPr>
          <w:p w14:paraId="1EAFC4EB" w14:textId="77777777" w:rsidR="00C064F2" w:rsidRPr="00AB207C" w:rsidRDefault="00C064F2" w:rsidP="00741FC5">
            <w:pPr>
              <w:pStyle w:val="TableText0"/>
            </w:pPr>
            <w:r w:rsidRPr="00976ED6">
              <w:t>$14,397</w:t>
            </w:r>
          </w:p>
        </w:tc>
      </w:tr>
      <w:tr w:rsidR="00C064F2" w:rsidRPr="00AB207C" w14:paraId="4BEC4B9A" w14:textId="77777777" w:rsidTr="00C9104B">
        <w:trPr>
          <w:trHeight w:val="300"/>
        </w:trPr>
        <w:tc>
          <w:tcPr>
            <w:tcW w:w="3539" w:type="dxa"/>
            <w:noWrap/>
            <w:hideMark/>
          </w:tcPr>
          <w:p w14:paraId="34A3A75A" w14:textId="3C05A8ED" w:rsidR="00C064F2" w:rsidRPr="00AB207C" w:rsidRDefault="00C9104B" w:rsidP="00741FC5">
            <w:pPr>
              <w:pStyle w:val="TableText0"/>
            </w:pPr>
            <w:r>
              <w:t>A</w:t>
            </w:r>
            <w:r w:rsidRPr="00C9104B">
              <w:t>ffected individuals</w:t>
            </w:r>
            <w:r w:rsidR="00C064F2" w:rsidRPr="00AB207C">
              <w:t xml:space="preserve"> + FDR, SDR +TDR</w:t>
            </w:r>
          </w:p>
        </w:tc>
        <w:tc>
          <w:tcPr>
            <w:tcW w:w="1134" w:type="dxa"/>
            <w:noWrap/>
            <w:hideMark/>
          </w:tcPr>
          <w:p w14:paraId="0557FB52" w14:textId="77777777" w:rsidR="00C064F2" w:rsidRPr="00AB207C" w:rsidRDefault="00C064F2" w:rsidP="00741FC5">
            <w:pPr>
              <w:pStyle w:val="TableText0"/>
            </w:pPr>
            <w:r w:rsidRPr="00976ED6">
              <w:t>$1,792</w:t>
            </w:r>
          </w:p>
        </w:tc>
        <w:tc>
          <w:tcPr>
            <w:tcW w:w="1134" w:type="dxa"/>
            <w:noWrap/>
            <w:hideMark/>
          </w:tcPr>
          <w:p w14:paraId="1B51212E" w14:textId="77777777" w:rsidR="00C064F2" w:rsidRPr="00AB207C" w:rsidRDefault="00C064F2" w:rsidP="00741FC5">
            <w:pPr>
              <w:pStyle w:val="TableText0"/>
            </w:pPr>
            <w:r w:rsidRPr="00976ED6">
              <w:t>0.07</w:t>
            </w:r>
          </w:p>
        </w:tc>
        <w:tc>
          <w:tcPr>
            <w:tcW w:w="851" w:type="dxa"/>
            <w:noWrap/>
            <w:hideMark/>
          </w:tcPr>
          <w:p w14:paraId="12729185" w14:textId="77777777" w:rsidR="00C064F2" w:rsidRPr="00AB207C" w:rsidRDefault="00C064F2" w:rsidP="00741FC5">
            <w:pPr>
              <w:pStyle w:val="TableText0"/>
            </w:pPr>
            <w:r w:rsidRPr="00976ED6">
              <w:t>$51</w:t>
            </w:r>
          </w:p>
        </w:tc>
        <w:tc>
          <w:tcPr>
            <w:tcW w:w="850" w:type="dxa"/>
            <w:noWrap/>
            <w:hideMark/>
          </w:tcPr>
          <w:p w14:paraId="50454A72" w14:textId="77777777" w:rsidR="00C064F2" w:rsidRPr="00AB207C" w:rsidRDefault="00C064F2" w:rsidP="00741FC5">
            <w:pPr>
              <w:pStyle w:val="TableText0"/>
            </w:pPr>
            <w:r w:rsidRPr="00976ED6">
              <w:t>0.00</w:t>
            </w:r>
          </w:p>
        </w:tc>
        <w:tc>
          <w:tcPr>
            <w:tcW w:w="1508" w:type="dxa"/>
            <w:noWrap/>
            <w:hideMark/>
          </w:tcPr>
          <w:p w14:paraId="0D45DAEC" w14:textId="77777777" w:rsidR="00C064F2" w:rsidRPr="00AB207C" w:rsidRDefault="00C064F2" w:rsidP="00741FC5">
            <w:pPr>
              <w:pStyle w:val="TableText0"/>
            </w:pPr>
            <w:r w:rsidRPr="00976ED6">
              <w:t>$37,446</w:t>
            </w:r>
          </w:p>
        </w:tc>
      </w:tr>
    </w:tbl>
    <w:p w14:paraId="431D31CE" w14:textId="77777777" w:rsidR="00C064F2" w:rsidRPr="00C064F2" w:rsidRDefault="00C064F2" w:rsidP="00C064F2">
      <w:pPr>
        <w:pStyle w:val="Tablenotes"/>
      </w:pPr>
      <w:r w:rsidRPr="00C064F2">
        <w:t>FDR = first-degree relative; ICER = incremental cost-effectiveness ratio; QALY = quality-adjusted life year; SDR = second-degree relative; TDR = third-degree relative.</w:t>
      </w:r>
    </w:p>
    <w:p w14:paraId="520C8407" w14:textId="77777777" w:rsidR="00BC1364" w:rsidRPr="00F715D1" w:rsidRDefault="00BC1364" w:rsidP="00F715D1">
      <w:pPr>
        <w:pStyle w:val="Heading1"/>
      </w:pPr>
      <w:r w:rsidRPr="00F715D1">
        <w:t>Financial/budgetary impacts</w:t>
      </w:r>
    </w:p>
    <w:p w14:paraId="2360211D" w14:textId="12372FCF" w:rsidR="00C064F2" w:rsidRDefault="00C064F2" w:rsidP="00C064F2">
      <w:r>
        <w:t>The CA stated that</w:t>
      </w:r>
      <w:r w:rsidR="00FF53C3">
        <w:t>,</w:t>
      </w:r>
      <w:r>
        <w:t xml:space="preserve"> in the absence of any relevant estimate for annual incidence of FH in Australia or elsewhere, a market-based</w:t>
      </w:r>
      <w:r w:rsidRPr="00B95C41">
        <w:t xml:space="preserve"> approach was used to estimate the financial implications of testing FH affected individuals who meet the eligibility criteria specified in </w:t>
      </w:r>
      <w:r>
        <w:t xml:space="preserve">the proposed listing (see proposed listing; </w:t>
      </w:r>
      <w:r w:rsidRPr="00363C3C">
        <w:fldChar w:fldCharType="begin"/>
      </w:r>
      <w:r w:rsidRPr="00363C3C">
        <w:instrText xml:space="preserve"> REF _Ref535589119 \h </w:instrText>
      </w:r>
      <w:r>
        <w:instrText xml:space="preserve"> \* MERGEFORMAT </w:instrText>
      </w:r>
      <w:r w:rsidRPr="00363C3C">
        <w:fldChar w:fldCharType="separate"/>
      </w:r>
      <w:r w:rsidR="00D31D39" w:rsidRPr="00D31D39">
        <w:t>Table 1</w:t>
      </w:r>
      <w:r w:rsidRPr="00363C3C">
        <w:fldChar w:fldCharType="end"/>
      </w:r>
      <w:r>
        <w:t>) and f</w:t>
      </w:r>
      <w:r w:rsidRPr="00B95C41">
        <w:t xml:space="preserve">or family members of those who are positive for mutations </w:t>
      </w:r>
      <w:r>
        <w:t xml:space="preserve">in the </w:t>
      </w:r>
      <w:r w:rsidRPr="00697DAF">
        <w:rPr>
          <w:i/>
        </w:rPr>
        <w:t>LDLR</w:t>
      </w:r>
      <w:r w:rsidRPr="00B95C41">
        <w:t xml:space="preserve">, </w:t>
      </w:r>
      <w:r w:rsidRPr="00697DAF">
        <w:rPr>
          <w:i/>
        </w:rPr>
        <w:t>PCSK9</w:t>
      </w:r>
      <w:r w:rsidRPr="00B95C41">
        <w:t xml:space="preserve"> or </w:t>
      </w:r>
      <w:r w:rsidRPr="00697DAF">
        <w:rPr>
          <w:i/>
        </w:rPr>
        <w:t>APOB</w:t>
      </w:r>
      <w:r w:rsidRPr="00B95C41">
        <w:t xml:space="preserve"> genes.</w:t>
      </w:r>
      <w:r>
        <w:t xml:space="preserve"> Diagnostic yields in </w:t>
      </w:r>
      <w:r w:rsidR="00C9104B">
        <w:t>a</w:t>
      </w:r>
      <w:r w:rsidR="00C9104B" w:rsidRPr="00C9104B">
        <w:t>ffected individuals</w:t>
      </w:r>
      <w:r>
        <w:t xml:space="preserve"> and family members were informed by the data from the FH program in Western Australia (WA).</w:t>
      </w:r>
    </w:p>
    <w:p w14:paraId="58A389D1" w14:textId="46DA2EE8" w:rsidR="00C064F2" w:rsidRDefault="00C064F2" w:rsidP="00CD3F08">
      <w:pPr>
        <w:spacing w:after="240"/>
      </w:pPr>
      <w:r>
        <w:lastRenderedPageBreak/>
        <w:t xml:space="preserve">The results of the costs to the MBS of testing </w:t>
      </w:r>
      <w:r w:rsidR="00C9104B">
        <w:t>a</w:t>
      </w:r>
      <w:r w:rsidR="00C9104B" w:rsidRPr="00C9104B">
        <w:t>ffected individuals</w:t>
      </w:r>
      <w:r>
        <w:t xml:space="preserve"> and family members over the first five years of listing is presented in Table </w:t>
      </w:r>
      <w:r w:rsidR="007810B1">
        <w:t>9</w:t>
      </w:r>
      <w:r>
        <w:t>.</w:t>
      </w:r>
      <w:r w:rsidRPr="00A83002">
        <w:t xml:space="preserve"> </w:t>
      </w:r>
      <w:r>
        <w:t xml:space="preserve">The additional financial cost of including these patients is small (Table </w:t>
      </w:r>
      <w:r w:rsidR="007810B1">
        <w:t>10</w:t>
      </w:r>
      <w:r>
        <w:t xml:space="preserve">). The CA conducts sensitivity analysis (SA) to demonstrate the impact of uncertainties in the model estimates (Table </w:t>
      </w:r>
      <w:r w:rsidR="007810B1">
        <w:t>11</w:t>
      </w:r>
      <w:r>
        <w:t>)</w:t>
      </w:r>
      <w:r w:rsidR="00FF53C3">
        <w:t>.</w:t>
      </w:r>
      <w:r>
        <w:t xml:space="preserve"> </w:t>
      </w:r>
      <w:r w:rsidR="00FF53C3">
        <w:t>N</w:t>
      </w:r>
      <w:r>
        <w:t>otably, the diagnostic yield and genetic testing uptake rates are key source</w:t>
      </w:r>
      <w:r w:rsidR="00FF53C3">
        <w:t>s</w:t>
      </w:r>
      <w:r>
        <w:t xml:space="preserve"> of uncertainty. The CA </w:t>
      </w:r>
      <w:r w:rsidR="00FF53C3">
        <w:t>included</w:t>
      </w:r>
      <w:r>
        <w:t xml:space="preserve"> addition</w:t>
      </w:r>
      <w:r w:rsidR="00FF53C3">
        <w:t>al</w:t>
      </w:r>
      <w:r>
        <w:t xml:space="preserve"> costs associated with genetic counselling.</w:t>
      </w:r>
    </w:p>
    <w:p w14:paraId="14EB023A" w14:textId="13A90A5D" w:rsidR="00C064F2" w:rsidRPr="00162774" w:rsidRDefault="00722D57" w:rsidP="00162774">
      <w:pPr>
        <w:rPr>
          <w:rFonts w:ascii="Arial Narrow" w:hAnsi="Arial Narrow"/>
          <w:b/>
          <w:sz w:val="20"/>
        </w:rPr>
      </w:pPr>
      <w:bookmarkStart w:id="20" w:name="_Toc534281002"/>
      <w:r w:rsidRPr="00162774">
        <w:rPr>
          <w:rFonts w:ascii="Arial Narrow" w:hAnsi="Arial Narrow"/>
          <w:b/>
          <w:sz w:val="20"/>
        </w:rPr>
        <w:t xml:space="preserve">Table </w:t>
      </w:r>
      <w:r w:rsidR="00B108E7" w:rsidRPr="00162774">
        <w:rPr>
          <w:rFonts w:ascii="Arial Narrow" w:hAnsi="Arial Narrow"/>
          <w:b/>
          <w:sz w:val="20"/>
        </w:rPr>
        <w:fldChar w:fldCharType="begin"/>
      </w:r>
      <w:r w:rsidR="00B108E7" w:rsidRPr="00162774">
        <w:rPr>
          <w:rFonts w:ascii="Arial Narrow" w:hAnsi="Arial Narrow"/>
          <w:b/>
          <w:sz w:val="20"/>
        </w:rPr>
        <w:instrText xml:space="preserve"> SEQ Table \* ARABIC </w:instrText>
      </w:r>
      <w:r w:rsidR="00B108E7" w:rsidRPr="00162774">
        <w:rPr>
          <w:rFonts w:ascii="Arial Narrow" w:hAnsi="Arial Narrow"/>
          <w:b/>
          <w:sz w:val="20"/>
        </w:rPr>
        <w:fldChar w:fldCharType="separate"/>
      </w:r>
      <w:r w:rsidRPr="00162774">
        <w:rPr>
          <w:rFonts w:ascii="Arial Narrow" w:hAnsi="Arial Narrow"/>
          <w:b/>
          <w:sz w:val="20"/>
        </w:rPr>
        <w:t>9</w:t>
      </w:r>
      <w:r w:rsidR="00B108E7" w:rsidRPr="00162774">
        <w:rPr>
          <w:rFonts w:ascii="Arial Narrow" w:hAnsi="Arial Narrow"/>
          <w:b/>
          <w:sz w:val="20"/>
        </w:rPr>
        <w:fldChar w:fldCharType="end"/>
      </w:r>
      <w:r w:rsidRPr="00162774">
        <w:rPr>
          <w:rFonts w:ascii="Arial Narrow" w:hAnsi="Arial Narrow"/>
          <w:b/>
          <w:sz w:val="20"/>
        </w:rPr>
        <w:tab/>
      </w:r>
      <w:r w:rsidR="00C064F2" w:rsidRPr="00162774">
        <w:rPr>
          <w:rFonts w:ascii="Arial Narrow" w:hAnsi="Arial Narrow"/>
          <w:b/>
          <w:sz w:val="20"/>
        </w:rPr>
        <w:t xml:space="preserve">Estimated cost to MBS of FH genetic testing in </w:t>
      </w:r>
      <w:r w:rsidR="00C9104B" w:rsidRPr="00162774">
        <w:rPr>
          <w:rFonts w:ascii="Arial Narrow" w:hAnsi="Arial Narrow"/>
          <w:b/>
          <w:sz w:val="20"/>
        </w:rPr>
        <w:t>affected individuals</w:t>
      </w:r>
      <w:r w:rsidR="00C064F2" w:rsidRPr="00162774">
        <w:rPr>
          <w:rFonts w:ascii="Arial Narrow" w:hAnsi="Arial Narrow"/>
          <w:b/>
          <w:sz w:val="20"/>
        </w:rPr>
        <w:t xml:space="preserve"> and family members</w:t>
      </w:r>
      <w:bookmarkEnd w:id="20"/>
    </w:p>
    <w:tbl>
      <w:tblPr>
        <w:tblStyle w:val="TableGrid1"/>
        <w:tblW w:w="5000" w:type="pct"/>
        <w:tblLayout w:type="fixed"/>
        <w:tblLook w:val="04A0" w:firstRow="1" w:lastRow="0" w:firstColumn="1" w:lastColumn="0" w:noHBand="0" w:noVBand="1"/>
        <w:tblCaption w:val="Estimated cost to MBS of FH genetic testing in index cases and family members"/>
        <w:tblDescription w:val="Estimated cost to MBS of FH genetic testing in index cases and family members"/>
      </w:tblPr>
      <w:tblGrid>
        <w:gridCol w:w="565"/>
        <w:gridCol w:w="2837"/>
        <w:gridCol w:w="1134"/>
        <w:gridCol w:w="1134"/>
        <w:gridCol w:w="1134"/>
        <w:gridCol w:w="1132"/>
        <w:gridCol w:w="1080"/>
      </w:tblGrid>
      <w:tr w:rsidR="00C064F2" w:rsidRPr="00B40BDB" w14:paraId="6DA2B695" w14:textId="77777777" w:rsidTr="005D55BA">
        <w:trPr>
          <w:cnfStyle w:val="100000000000" w:firstRow="1" w:lastRow="0" w:firstColumn="0" w:lastColumn="0" w:oddVBand="0" w:evenVBand="0" w:oddHBand="0" w:evenHBand="0" w:firstRowFirstColumn="0" w:firstRowLastColumn="0" w:lastRowFirstColumn="0" w:lastRowLastColumn="0"/>
          <w:trHeight w:val="255"/>
          <w:tblHeader/>
        </w:trPr>
        <w:tc>
          <w:tcPr>
            <w:tcW w:w="313" w:type="pct"/>
          </w:tcPr>
          <w:p w14:paraId="16C122BF" w14:textId="77777777" w:rsidR="00C064F2" w:rsidRPr="00B40BDB" w:rsidRDefault="00C064F2" w:rsidP="005D55BA">
            <w:pPr>
              <w:pStyle w:val="TableHeading"/>
            </w:pPr>
            <w:r>
              <w:t>Row</w:t>
            </w:r>
          </w:p>
        </w:tc>
        <w:tc>
          <w:tcPr>
            <w:tcW w:w="1573" w:type="pct"/>
            <w:tcBorders>
              <w:bottom w:val="single" w:sz="4" w:space="0" w:color="auto"/>
            </w:tcBorders>
            <w:noWrap/>
            <w:hideMark/>
          </w:tcPr>
          <w:p w14:paraId="0A5EAB4B" w14:textId="77777777" w:rsidR="00C064F2" w:rsidRPr="00B40BDB" w:rsidRDefault="00C064F2" w:rsidP="005D55BA">
            <w:pPr>
              <w:pStyle w:val="TableHeading"/>
            </w:pPr>
            <w:r>
              <w:t>Description</w:t>
            </w:r>
          </w:p>
        </w:tc>
        <w:tc>
          <w:tcPr>
            <w:tcW w:w="629" w:type="pct"/>
            <w:tcBorders>
              <w:bottom w:val="single" w:sz="4" w:space="0" w:color="auto"/>
            </w:tcBorders>
            <w:noWrap/>
            <w:hideMark/>
          </w:tcPr>
          <w:p w14:paraId="6CDE0EAC" w14:textId="77777777" w:rsidR="00C064F2" w:rsidRPr="00B40BDB" w:rsidRDefault="00C064F2" w:rsidP="00C9104B">
            <w:pPr>
              <w:pStyle w:val="TableHeading"/>
              <w:jc w:val="center"/>
            </w:pPr>
            <w:r w:rsidRPr="00B40BDB">
              <w:t>2019</w:t>
            </w:r>
          </w:p>
        </w:tc>
        <w:tc>
          <w:tcPr>
            <w:tcW w:w="629" w:type="pct"/>
            <w:tcBorders>
              <w:bottom w:val="single" w:sz="4" w:space="0" w:color="auto"/>
            </w:tcBorders>
            <w:noWrap/>
            <w:hideMark/>
          </w:tcPr>
          <w:p w14:paraId="1DE5BFB1" w14:textId="77777777" w:rsidR="00C064F2" w:rsidRPr="00B40BDB" w:rsidRDefault="00C064F2" w:rsidP="00C9104B">
            <w:pPr>
              <w:pStyle w:val="TableHeading"/>
              <w:jc w:val="center"/>
            </w:pPr>
            <w:r w:rsidRPr="00B40BDB">
              <w:t>2020</w:t>
            </w:r>
          </w:p>
        </w:tc>
        <w:tc>
          <w:tcPr>
            <w:tcW w:w="629" w:type="pct"/>
            <w:tcBorders>
              <w:bottom w:val="single" w:sz="4" w:space="0" w:color="auto"/>
            </w:tcBorders>
            <w:noWrap/>
            <w:hideMark/>
          </w:tcPr>
          <w:p w14:paraId="11F7AFA9" w14:textId="77777777" w:rsidR="00C064F2" w:rsidRPr="00B40BDB" w:rsidRDefault="00C064F2" w:rsidP="00C9104B">
            <w:pPr>
              <w:pStyle w:val="TableHeading"/>
              <w:jc w:val="center"/>
            </w:pPr>
            <w:r w:rsidRPr="00B40BDB">
              <w:t>2021</w:t>
            </w:r>
          </w:p>
        </w:tc>
        <w:tc>
          <w:tcPr>
            <w:tcW w:w="628" w:type="pct"/>
            <w:tcBorders>
              <w:bottom w:val="single" w:sz="4" w:space="0" w:color="auto"/>
            </w:tcBorders>
            <w:noWrap/>
            <w:hideMark/>
          </w:tcPr>
          <w:p w14:paraId="661AAF5F" w14:textId="77777777" w:rsidR="00C064F2" w:rsidRPr="00B40BDB" w:rsidRDefault="00C064F2" w:rsidP="00C9104B">
            <w:pPr>
              <w:pStyle w:val="TableHeading"/>
              <w:jc w:val="center"/>
            </w:pPr>
            <w:r w:rsidRPr="00B40BDB">
              <w:t>2022</w:t>
            </w:r>
          </w:p>
        </w:tc>
        <w:tc>
          <w:tcPr>
            <w:tcW w:w="599" w:type="pct"/>
            <w:tcBorders>
              <w:bottom w:val="single" w:sz="4" w:space="0" w:color="auto"/>
            </w:tcBorders>
            <w:noWrap/>
            <w:hideMark/>
          </w:tcPr>
          <w:p w14:paraId="28C6CC92" w14:textId="77777777" w:rsidR="00C064F2" w:rsidRPr="00B40BDB" w:rsidRDefault="00C064F2" w:rsidP="00C9104B">
            <w:pPr>
              <w:pStyle w:val="TableHeading"/>
              <w:jc w:val="center"/>
            </w:pPr>
            <w:r w:rsidRPr="00B40BDB">
              <w:t>2023</w:t>
            </w:r>
          </w:p>
        </w:tc>
      </w:tr>
      <w:tr w:rsidR="00C064F2" w:rsidRPr="005A0DC9" w14:paraId="30A89D5F" w14:textId="77777777" w:rsidTr="005D55BA">
        <w:trPr>
          <w:trHeight w:val="255"/>
        </w:trPr>
        <w:tc>
          <w:tcPr>
            <w:tcW w:w="313" w:type="pct"/>
          </w:tcPr>
          <w:p w14:paraId="16435F27" w14:textId="77777777" w:rsidR="00C064F2" w:rsidRPr="005A0DC9" w:rsidRDefault="00C064F2" w:rsidP="00741FC5">
            <w:pPr>
              <w:pStyle w:val="TableText0"/>
            </w:pPr>
          </w:p>
        </w:tc>
        <w:tc>
          <w:tcPr>
            <w:tcW w:w="1573" w:type="pct"/>
            <w:tcBorders>
              <w:right w:val="nil"/>
            </w:tcBorders>
            <w:noWrap/>
          </w:tcPr>
          <w:p w14:paraId="31A619BC" w14:textId="17EF0AB3" w:rsidR="00C064F2" w:rsidRPr="005A0DC9" w:rsidRDefault="00C9104B" w:rsidP="00741FC5">
            <w:pPr>
              <w:pStyle w:val="TableText0"/>
            </w:pPr>
            <w:r>
              <w:t>A</w:t>
            </w:r>
            <w:r w:rsidRPr="00C9104B">
              <w:t>ffected individuals</w:t>
            </w:r>
          </w:p>
        </w:tc>
        <w:tc>
          <w:tcPr>
            <w:tcW w:w="629" w:type="pct"/>
            <w:tcBorders>
              <w:left w:val="nil"/>
              <w:right w:val="nil"/>
            </w:tcBorders>
            <w:noWrap/>
          </w:tcPr>
          <w:p w14:paraId="4C360E79" w14:textId="77777777" w:rsidR="00C064F2" w:rsidRPr="005A0DC9" w:rsidRDefault="00C064F2" w:rsidP="00741FC5">
            <w:pPr>
              <w:pStyle w:val="TableText0"/>
            </w:pPr>
          </w:p>
        </w:tc>
        <w:tc>
          <w:tcPr>
            <w:tcW w:w="629" w:type="pct"/>
            <w:tcBorders>
              <w:left w:val="nil"/>
              <w:right w:val="nil"/>
            </w:tcBorders>
            <w:noWrap/>
          </w:tcPr>
          <w:p w14:paraId="50D6153E" w14:textId="77777777" w:rsidR="00C064F2" w:rsidRPr="005A0DC9" w:rsidRDefault="00C064F2" w:rsidP="00741FC5">
            <w:pPr>
              <w:pStyle w:val="TableText0"/>
            </w:pPr>
          </w:p>
        </w:tc>
        <w:tc>
          <w:tcPr>
            <w:tcW w:w="629" w:type="pct"/>
            <w:tcBorders>
              <w:left w:val="nil"/>
              <w:right w:val="nil"/>
            </w:tcBorders>
            <w:noWrap/>
          </w:tcPr>
          <w:p w14:paraId="3FF9CAD5" w14:textId="77777777" w:rsidR="00C064F2" w:rsidRPr="005A0DC9" w:rsidRDefault="00C064F2" w:rsidP="00741FC5">
            <w:pPr>
              <w:pStyle w:val="TableText0"/>
            </w:pPr>
          </w:p>
        </w:tc>
        <w:tc>
          <w:tcPr>
            <w:tcW w:w="628" w:type="pct"/>
            <w:tcBorders>
              <w:left w:val="nil"/>
              <w:right w:val="nil"/>
            </w:tcBorders>
            <w:noWrap/>
          </w:tcPr>
          <w:p w14:paraId="6CE72904" w14:textId="77777777" w:rsidR="00C064F2" w:rsidRPr="005A0DC9" w:rsidRDefault="00C064F2" w:rsidP="00741FC5">
            <w:pPr>
              <w:pStyle w:val="TableText0"/>
            </w:pPr>
          </w:p>
        </w:tc>
        <w:tc>
          <w:tcPr>
            <w:tcW w:w="599" w:type="pct"/>
            <w:tcBorders>
              <w:left w:val="nil"/>
            </w:tcBorders>
            <w:noWrap/>
          </w:tcPr>
          <w:p w14:paraId="7B1D5DE9" w14:textId="77777777" w:rsidR="00C064F2" w:rsidRPr="005A0DC9" w:rsidRDefault="00C064F2" w:rsidP="00741FC5">
            <w:pPr>
              <w:pStyle w:val="TableText0"/>
            </w:pPr>
          </w:p>
        </w:tc>
      </w:tr>
      <w:tr w:rsidR="00C064F2" w:rsidRPr="00B40BDB" w14:paraId="6B865978" w14:textId="77777777" w:rsidTr="005D55BA">
        <w:trPr>
          <w:trHeight w:val="255"/>
        </w:trPr>
        <w:tc>
          <w:tcPr>
            <w:tcW w:w="313" w:type="pct"/>
          </w:tcPr>
          <w:p w14:paraId="4FAA0460" w14:textId="77777777" w:rsidR="00C064F2" w:rsidRDefault="00C064F2" w:rsidP="00741FC5">
            <w:pPr>
              <w:pStyle w:val="TableText0"/>
            </w:pPr>
            <w:r>
              <w:t>B</w:t>
            </w:r>
          </w:p>
        </w:tc>
        <w:tc>
          <w:tcPr>
            <w:tcW w:w="1573" w:type="pct"/>
            <w:noWrap/>
            <w:hideMark/>
          </w:tcPr>
          <w:p w14:paraId="4876BFED" w14:textId="77777777" w:rsidR="00C064F2" w:rsidRPr="00B40BDB" w:rsidRDefault="00C064F2" w:rsidP="00741FC5">
            <w:pPr>
              <w:pStyle w:val="TableText0"/>
            </w:pPr>
            <w:r>
              <w:t>Number of diagnostic tests</w:t>
            </w:r>
          </w:p>
        </w:tc>
        <w:tc>
          <w:tcPr>
            <w:tcW w:w="629" w:type="pct"/>
            <w:noWrap/>
          </w:tcPr>
          <w:p w14:paraId="0EADB3E7" w14:textId="77777777" w:rsidR="00C064F2" w:rsidRPr="008C4743" w:rsidRDefault="00C064F2" w:rsidP="00741FC5">
            <w:pPr>
              <w:pStyle w:val="TableText0"/>
            </w:pPr>
            <w:r w:rsidRPr="00F03E33">
              <w:t>339</w:t>
            </w:r>
          </w:p>
        </w:tc>
        <w:tc>
          <w:tcPr>
            <w:tcW w:w="629" w:type="pct"/>
            <w:noWrap/>
          </w:tcPr>
          <w:p w14:paraId="38DB5F5D" w14:textId="77777777" w:rsidR="00C064F2" w:rsidRPr="008C4743" w:rsidRDefault="00C064F2" w:rsidP="00741FC5">
            <w:pPr>
              <w:pStyle w:val="TableText0"/>
            </w:pPr>
            <w:r w:rsidRPr="00F03E33">
              <w:t>356</w:t>
            </w:r>
          </w:p>
        </w:tc>
        <w:tc>
          <w:tcPr>
            <w:tcW w:w="629" w:type="pct"/>
            <w:noWrap/>
          </w:tcPr>
          <w:p w14:paraId="52E64056" w14:textId="77777777" w:rsidR="00C064F2" w:rsidRPr="008C4743" w:rsidRDefault="00C064F2" w:rsidP="00741FC5">
            <w:pPr>
              <w:pStyle w:val="TableText0"/>
            </w:pPr>
            <w:r w:rsidRPr="00F03E33">
              <w:t>363</w:t>
            </w:r>
          </w:p>
        </w:tc>
        <w:tc>
          <w:tcPr>
            <w:tcW w:w="628" w:type="pct"/>
            <w:noWrap/>
          </w:tcPr>
          <w:p w14:paraId="663EFD01" w14:textId="77777777" w:rsidR="00C064F2" w:rsidRPr="008C4743" w:rsidRDefault="00C064F2" w:rsidP="00741FC5">
            <w:pPr>
              <w:pStyle w:val="TableText0"/>
            </w:pPr>
            <w:r w:rsidRPr="00F03E33">
              <w:t>373</w:t>
            </w:r>
          </w:p>
        </w:tc>
        <w:tc>
          <w:tcPr>
            <w:tcW w:w="599" w:type="pct"/>
            <w:noWrap/>
          </w:tcPr>
          <w:p w14:paraId="197D006F" w14:textId="77777777" w:rsidR="00C064F2" w:rsidRPr="008C4743" w:rsidRDefault="00C064F2" w:rsidP="00741FC5">
            <w:pPr>
              <w:pStyle w:val="TableText0"/>
            </w:pPr>
            <w:r w:rsidRPr="00F03E33">
              <w:t>390</w:t>
            </w:r>
          </w:p>
        </w:tc>
      </w:tr>
      <w:tr w:rsidR="00C064F2" w:rsidRPr="00B40BDB" w14:paraId="33C53AD0" w14:textId="77777777" w:rsidTr="005D55BA">
        <w:trPr>
          <w:trHeight w:val="255"/>
        </w:trPr>
        <w:tc>
          <w:tcPr>
            <w:tcW w:w="313" w:type="pct"/>
          </w:tcPr>
          <w:p w14:paraId="1C2344CF" w14:textId="77777777" w:rsidR="00C064F2" w:rsidRDefault="00C064F2" w:rsidP="00741FC5">
            <w:pPr>
              <w:pStyle w:val="TableText0"/>
            </w:pPr>
            <w:r>
              <w:t>G</w:t>
            </w:r>
          </w:p>
        </w:tc>
        <w:tc>
          <w:tcPr>
            <w:tcW w:w="1573" w:type="pct"/>
            <w:tcBorders>
              <w:bottom w:val="single" w:sz="4" w:space="0" w:color="auto"/>
            </w:tcBorders>
            <w:noWrap/>
          </w:tcPr>
          <w:p w14:paraId="1013888D" w14:textId="77777777" w:rsidR="00C064F2" w:rsidRPr="00B40BDB" w:rsidRDefault="00C064F2" w:rsidP="00741FC5">
            <w:pPr>
              <w:pStyle w:val="TableText0"/>
            </w:pPr>
            <w:r>
              <w:t xml:space="preserve">Cost to MBS ( = B </w:t>
            </w:r>
            <w:r w:rsidRPr="00E23A1A">
              <w:t>×</w:t>
            </w:r>
            <w:r>
              <w:t xml:space="preserve"> $1,117)</w:t>
            </w:r>
          </w:p>
        </w:tc>
        <w:tc>
          <w:tcPr>
            <w:tcW w:w="629" w:type="pct"/>
            <w:tcBorders>
              <w:bottom w:val="single" w:sz="4" w:space="0" w:color="auto"/>
            </w:tcBorders>
            <w:noWrap/>
          </w:tcPr>
          <w:p w14:paraId="586A4A69" w14:textId="77777777" w:rsidR="00C064F2" w:rsidRPr="00B40BDB" w:rsidRDefault="00C064F2" w:rsidP="00741FC5">
            <w:pPr>
              <w:pStyle w:val="TableText0"/>
            </w:pPr>
            <w:r w:rsidRPr="00F03E33">
              <w:t>$378,974</w:t>
            </w:r>
          </w:p>
        </w:tc>
        <w:tc>
          <w:tcPr>
            <w:tcW w:w="629" w:type="pct"/>
            <w:tcBorders>
              <w:bottom w:val="single" w:sz="4" w:space="0" w:color="auto"/>
            </w:tcBorders>
            <w:noWrap/>
          </w:tcPr>
          <w:p w14:paraId="00B57909" w14:textId="77777777" w:rsidR="00C064F2" w:rsidRPr="00B40BDB" w:rsidRDefault="00C064F2" w:rsidP="00741FC5">
            <w:pPr>
              <w:pStyle w:val="TableText0"/>
            </w:pPr>
            <w:r w:rsidRPr="00F03E33">
              <w:t>$397,923</w:t>
            </w:r>
          </w:p>
        </w:tc>
        <w:tc>
          <w:tcPr>
            <w:tcW w:w="629" w:type="pct"/>
            <w:tcBorders>
              <w:bottom w:val="single" w:sz="4" w:space="0" w:color="auto"/>
            </w:tcBorders>
            <w:noWrap/>
          </w:tcPr>
          <w:p w14:paraId="4CF10E68" w14:textId="77777777" w:rsidR="00C064F2" w:rsidRPr="00B40BDB" w:rsidRDefault="00C064F2" w:rsidP="00741FC5">
            <w:pPr>
              <w:pStyle w:val="TableText0"/>
            </w:pPr>
            <w:r w:rsidRPr="00F03E33">
              <w:t>$405,502</w:t>
            </w:r>
          </w:p>
        </w:tc>
        <w:tc>
          <w:tcPr>
            <w:tcW w:w="628" w:type="pct"/>
            <w:tcBorders>
              <w:bottom w:val="single" w:sz="4" w:space="0" w:color="auto"/>
            </w:tcBorders>
            <w:noWrap/>
          </w:tcPr>
          <w:p w14:paraId="56C29834" w14:textId="77777777" w:rsidR="00C064F2" w:rsidRPr="00B40BDB" w:rsidRDefault="00C064F2" w:rsidP="00741FC5">
            <w:pPr>
              <w:pStyle w:val="TableText0"/>
            </w:pPr>
            <w:r w:rsidRPr="00F03E33">
              <w:t>$416,871</w:t>
            </w:r>
          </w:p>
        </w:tc>
        <w:tc>
          <w:tcPr>
            <w:tcW w:w="599" w:type="pct"/>
            <w:tcBorders>
              <w:bottom w:val="single" w:sz="4" w:space="0" w:color="auto"/>
            </w:tcBorders>
            <w:noWrap/>
          </w:tcPr>
          <w:p w14:paraId="0255E1D4" w14:textId="77777777" w:rsidR="00C064F2" w:rsidRPr="00B40BDB" w:rsidRDefault="00C064F2" w:rsidP="00741FC5">
            <w:pPr>
              <w:pStyle w:val="TableText0"/>
            </w:pPr>
            <w:r w:rsidRPr="00F03E33">
              <w:t>$435,820</w:t>
            </w:r>
          </w:p>
        </w:tc>
      </w:tr>
      <w:tr w:rsidR="00C064F2" w:rsidRPr="005A0DC9" w14:paraId="18A7EF33" w14:textId="77777777" w:rsidTr="005D55BA">
        <w:trPr>
          <w:trHeight w:val="255"/>
        </w:trPr>
        <w:tc>
          <w:tcPr>
            <w:tcW w:w="313" w:type="pct"/>
          </w:tcPr>
          <w:p w14:paraId="306E0B44" w14:textId="77777777" w:rsidR="00C064F2" w:rsidRPr="005A0DC9" w:rsidRDefault="00C064F2" w:rsidP="00741FC5">
            <w:pPr>
              <w:pStyle w:val="TableText0"/>
            </w:pPr>
          </w:p>
        </w:tc>
        <w:tc>
          <w:tcPr>
            <w:tcW w:w="1573" w:type="pct"/>
            <w:tcBorders>
              <w:right w:val="nil"/>
            </w:tcBorders>
            <w:noWrap/>
          </w:tcPr>
          <w:p w14:paraId="08B3080C" w14:textId="77777777" w:rsidR="00C064F2" w:rsidRPr="005A0DC9" w:rsidRDefault="00C064F2" w:rsidP="00741FC5">
            <w:pPr>
              <w:pStyle w:val="TableText0"/>
            </w:pPr>
            <w:r w:rsidRPr="005A0DC9">
              <w:t>Cascade testing</w:t>
            </w:r>
          </w:p>
        </w:tc>
        <w:tc>
          <w:tcPr>
            <w:tcW w:w="629" w:type="pct"/>
            <w:tcBorders>
              <w:left w:val="nil"/>
              <w:right w:val="nil"/>
            </w:tcBorders>
            <w:noWrap/>
          </w:tcPr>
          <w:p w14:paraId="57486DC1" w14:textId="77777777" w:rsidR="00C064F2" w:rsidRPr="00BD6302" w:rsidRDefault="00C064F2" w:rsidP="00741FC5">
            <w:pPr>
              <w:pStyle w:val="TableText0"/>
            </w:pPr>
          </w:p>
        </w:tc>
        <w:tc>
          <w:tcPr>
            <w:tcW w:w="629" w:type="pct"/>
            <w:tcBorders>
              <w:left w:val="nil"/>
              <w:right w:val="nil"/>
            </w:tcBorders>
            <w:noWrap/>
          </w:tcPr>
          <w:p w14:paraId="10A76433" w14:textId="77777777" w:rsidR="00C064F2" w:rsidRPr="00BD6302" w:rsidRDefault="00C064F2" w:rsidP="00741FC5">
            <w:pPr>
              <w:pStyle w:val="TableText0"/>
            </w:pPr>
          </w:p>
        </w:tc>
        <w:tc>
          <w:tcPr>
            <w:tcW w:w="629" w:type="pct"/>
            <w:tcBorders>
              <w:left w:val="nil"/>
              <w:right w:val="nil"/>
            </w:tcBorders>
            <w:noWrap/>
          </w:tcPr>
          <w:p w14:paraId="00BBBF44" w14:textId="77777777" w:rsidR="00C064F2" w:rsidRPr="00BD6302" w:rsidRDefault="00C064F2" w:rsidP="00741FC5">
            <w:pPr>
              <w:pStyle w:val="TableText0"/>
            </w:pPr>
          </w:p>
        </w:tc>
        <w:tc>
          <w:tcPr>
            <w:tcW w:w="628" w:type="pct"/>
            <w:tcBorders>
              <w:left w:val="nil"/>
              <w:right w:val="nil"/>
            </w:tcBorders>
            <w:noWrap/>
          </w:tcPr>
          <w:p w14:paraId="3DA532CD" w14:textId="77777777" w:rsidR="00C064F2" w:rsidRPr="00BD6302" w:rsidRDefault="00C064F2" w:rsidP="00741FC5">
            <w:pPr>
              <w:pStyle w:val="TableText0"/>
            </w:pPr>
          </w:p>
        </w:tc>
        <w:tc>
          <w:tcPr>
            <w:tcW w:w="599" w:type="pct"/>
            <w:tcBorders>
              <w:left w:val="nil"/>
            </w:tcBorders>
            <w:noWrap/>
          </w:tcPr>
          <w:p w14:paraId="059AA491" w14:textId="77777777" w:rsidR="00C064F2" w:rsidRPr="00BD6302" w:rsidRDefault="00C064F2" w:rsidP="00741FC5">
            <w:pPr>
              <w:pStyle w:val="TableText0"/>
            </w:pPr>
          </w:p>
        </w:tc>
      </w:tr>
      <w:tr w:rsidR="00C064F2" w:rsidRPr="00B40BDB" w14:paraId="1CDD8C82" w14:textId="77777777" w:rsidTr="005D55BA">
        <w:trPr>
          <w:trHeight w:val="255"/>
        </w:trPr>
        <w:tc>
          <w:tcPr>
            <w:tcW w:w="313" w:type="pct"/>
          </w:tcPr>
          <w:p w14:paraId="7D90248E" w14:textId="77777777" w:rsidR="00C064F2" w:rsidRDefault="00C064F2" w:rsidP="00741FC5">
            <w:pPr>
              <w:pStyle w:val="TableText0"/>
            </w:pPr>
            <w:r>
              <w:t>F</w:t>
            </w:r>
          </w:p>
        </w:tc>
        <w:tc>
          <w:tcPr>
            <w:tcW w:w="1573" w:type="pct"/>
            <w:noWrap/>
          </w:tcPr>
          <w:p w14:paraId="1DD76229" w14:textId="77777777" w:rsidR="00C064F2" w:rsidRDefault="00C064F2" w:rsidP="00741FC5">
            <w:pPr>
              <w:pStyle w:val="TableText0"/>
            </w:pPr>
            <w:r>
              <w:t xml:space="preserve">Number of predictive tests </w:t>
            </w:r>
          </w:p>
        </w:tc>
        <w:tc>
          <w:tcPr>
            <w:tcW w:w="629" w:type="pct"/>
            <w:noWrap/>
          </w:tcPr>
          <w:p w14:paraId="6ADD7B0F" w14:textId="77777777" w:rsidR="00C064F2" w:rsidRPr="00BD6302" w:rsidRDefault="00C064F2" w:rsidP="00741FC5">
            <w:pPr>
              <w:pStyle w:val="TableText0"/>
            </w:pPr>
            <w:r w:rsidRPr="004A20D0">
              <w:t>476</w:t>
            </w:r>
          </w:p>
        </w:tc>
        <w:tc>
          <w:tcPr>
            <w:tcW w:w="629" w:type="pct"/>
            <w:noWrap/>
          </w:tcPr>
          <w:p w14:paraId="4DC6E92E" w14:textId="77777777" w:rsidR="00C064F2" w:rsidRPr="00BD6302" w:rsidRDefault="00C064F2" w:rsidP="00741FC5">
            <w:pPr>
              <w:pStyle w:val="TableText0"/>
            </w:pPr>
            <w:r w:rsidRPr="004A20D0">
              <w:t>500</w:t>
            </w:r>
          </w:p>
        </w:tc>
        <w:tc>
          <w:tcPr>
            <w:tcW w:w="629" w:type="pct"/>
            <w:noWrap/>
          </w:tcPr>
          <w:p w14:paraId="62EC77EE" w14:textId="77777777" w:rsidR="00C064F2" w:rsidRPr="00BD6302" w:rsidRDefault="00C064F2" w:rsidP="00741FC5">
            <w:pPr>
              <w:pStyle w:val="TableText0"/>
            </w:pPr>
            <w:r w:rsidRPr="004A20D0">
              <w:t>510</w:t>
            </w:r>
          </w:p>
        </w:tc>
        <w:tc>
          <w:tcPr>
            <w:tcW w:w="628" w:type="pct"/>
            <w:noWrap/>
          </w:tcPr>
          <w:p w14:paraId="24C1C6B8" w14:textId="77777777" w:rsidR="00C064F2" w:rsidRPr="00BD6302" w:rsidRDefault="00C064F2" w:rsidP="00741FC5">
            <w:pPr>
              <w:pStyle w:val="TableText0"/>
            </w:pPr>
            <w:r w:rsidRPr="004A20D0">
              <w:t>524</w:t>
            </w:r>
          </w:p>
        </w:tc>
        <w:tc>
          <w:tcPr>
            <w:tcW w:w="599" w:type="pct"/>
            <w:noWrap/>
          </w:tcPr>
          <w:p w14:paraId="38F151D8" w14:textId="77777777" w:rsidR="00C064F2" w:rsidRPr="00BD6302" w:rsidRDefault="00C064F2" w:rsidP="00741FC5">
            <w:pPr>
              <w:pStyle w:val="TableText0"/>
            </w:pPr>
            <w:r w:rsidRPr="004A20D0">
              <w:t>548</w:t>
            </w:r>
          </w:p>
        </w:tc>
      </w:tr>
      <w:tr w:rsidR="00C064F2" w:rsidRPr="00B40BDB" w14:paraId="39B1A136" w14:textId="77777777" w:rsidTr="005D55BA">
        <w:trPr>
          <w:trHeight w:val="255"/>
        </w:trPr>
        <w:tc>
          <w:tcPr>
            <w:tcW w:w="313" w:type="pct"/>
          </w:tcPr>
          <w:p w14:paraId="7A64242D" w14:textId="77777777" w:rsidR="00C064F2" w:rsidRDefault="00C064F2" w:rsidP="00741FC5">
            <w:pPr>
              <w:pStyle w:val="TableText0"/>
            </w:pPr>
            <w:r>
              <w:t>H</w:t>
            </w:r>
          </w:p>
        </w:tc>
        <w:tc>
          <w:tcPr>
            <w:tcW w:w="1573" w:type="pct"/>
            <w:noWrap/>
          </w:tcPr>
          <w:p w14:paraId="6ECCC117" w14:textId="77777777" w:rsidR="00C064F2" w:rsidRDefault="00C064F2" w:rsidP="00741FC5">
            <w:pPr>
              <w:pStyle w:val="TableText0"/>
            </w:pPr>
            <w:r>
              <w:t xml:space="preserve">Cost to MBS ( = F </w:t>
            </w:r>
            <w:r w:rsidRPr="00E23A1A">
              <w:t>×</w:t>
            </w:r>
            <w:r>
              <w:t xml:space="preserve"> $340)</w:t>
            </w:r>
          </w:p>
        </w:tc>
        <w:tc>
          <w:tcPr>
            <w:tcW w:w="629" w:type="pct"/>
            <w:noWrap/>
          </w:tcPr>
          <w:p w14:paraId="40187B2D" w14:textId="77777777" w:rsidR="00C064F2" w:rsidRPr="00BD6302" w:rsidRDefault="00C064F2" w:rsidP="00741FC5">
            <w:pPr>
              <w:pStyle w:val="TableText0"/>
            </w:pPr>
            <w:r w:rsidRPr="004A20D0">
              <w:t>$161,981</w:t>
            </w:r>
          </w:p>
        </w:tc>
        <w:tc>
          <w:tcPr>
            <w:tcW w:w="629" w:type="pct"/>
            <w:noWrap/>
          </w:tcPr>
          <w:p w14:paraId="063A55E0" w14:textId="77777777" w:rsidR="00C064F2" w:rsidRPr="00BD6302" w:rsidRDefault="00C064F2" w:rsidP="00741FC5">
            <w:pPr>
              <w:pStyle w:val="TableText0"/>
            </w:pPr>
            <w:r w:rsidRPr="004A20D0">
              <w:t>$170,080</w:t>
            </w:r>
          </w:p>
        </w:tc>
        <w:tc>
          <w:tcPr>
            <w:tcW w:w="629" w:type="pct"/>
            <w:noWrap/>
          </w:tcPr>
          <w:p w14:paraId="06FD34C4" w14:textId="77777777" w:rsidR="00C064F2" w:rsidRPr="00BD6302" w:rsidRDefault="00C064F2" w:rsidP="00741FC5">
            <w:pPr>
              <w:pStyle w:val="TableText0"/>
            </w:pPr>
            <w:r w:rsidRPr="004A20D0">
              <w:t>$173,320</w:t>
            </w:r>
          </w:p>
        </w:tc>
        <w:tc>
          <w:tcPr>
            <w:tcW w:w="628" w:type="pct"/>
            <w:noWrap/>
          </w:tcPr>
          <w:p w14:paraId="3ADDF422" w14:textId="77777777" w:rsidR="00C064F2" w:rsidRPr="00BD6302" w:rsidRDefault="00C064F2" w:rsidP="00741FC5">
            <w:pPr>
              <w:pStyle w:val="TableText0"/>
            </w:pPr>
            <w:r w:rsidRPr="004A20D0">
              <w:t>$178,179</w:t>
            </w:r>
          </w:p>
        </w:tc>
        <w:tc>
          <w:tcPr>
            <w:tcW w:w="599" w:type="pct"/>
            <w:noWrap/>
          </w:tcPr>
          <w:p w14:paraId="6FEB8747" w14:textId="77777777" w:rsidR="00C064F2" w:rsidRPr="00BD6302" w:rsidRDefault="00C064F2" w:rsidP="00741FC5">
            <w:pPr>
              <w:pStyle w:val="TableText0"/>
            </w:pPr>
            <w:r w:rsidRPr="004A20D0">
              <w:t>$186,278</w:t>
            </w:r>
          </w:p>
        </w:tc>
      </w:tr>
      <w:tr w:rsidR="00C064F2" w:rsidRPr="00003B29" w14:paraId="332F02BB" w14:textId="77777777" w:rsidTr="005D55BA">
        <w:trPr>
          <w:trHeight w:val="255"/>
        </w:trPr>
        <w:tc>
          <w:tcPr>
            <w:tcW w:w="313" w:type="pct"/>
          </w:tcPr>
          <w:p w14:paraId="6E82562D" w14:textId="77777777" w:rsidR="00C064F2" w:rsidRPr="00003B29" w:rsidRDefault="00C064F2" w:rsidP="00741FC5">
            <w:pPr>
              <w:pStyle w:val="TableText0"/>
            </w:pPr>
            <w:r w:rsidRPr="00003B29">
              <w:t>I</w:t>
            </w:r>
          </w:p>
        </w:tc>
        <w:tc>
          <w:tcPr>
            <w:tcW w:w="1573" w:type="pct"/>
            <w:noWrap/>
          </w:tcPr>
          <w:p w14:paraId="1930FA14" w14:textId="77777777" w:rsidR="00C064F2" w:rsidRPr="00003B29" w:rsidRDefault="00C064F2" w:rsidP="00741FC5">
            <w:pPr>
              <w:pStyle w:val="TableText0"/>
            </w:pPr>
            <w:r w:rsidRPr="00003B29">
              <w:t xml:space="preserve">Total cost to MBS (diagnostic and </w:t>
            </w:r>
            <w:r>
              <w:t>predictive</w:t>
            </w:r>
            <w:r w:rsidRPr="00003B29">
              <w:t>) (</w:t>
            </w:r>
            <w:r>
              <w:t xml:space="preserve"> </w:t>
            </w:r>
            <w:r w:rsidRPr="00003B29">
              <w:t>=</w:t>
            </w:r>
            <w:r>
              <w:t xml:space="preserve"> </w:t>
            </w:r>
            <w:r w:rsidRPr="00003B29">
              <w:t>G + H)</w:t>
            </w:r>
          </w:p>
        </w:tc>
        <w:tc>
          <w:tcPr>
            <w:tcW w:w="629" w:type="pct"/>
            <w:noWrap/>
          </w:tcPr>
          <w:p w14:paraId="06F6A351" w14:textId="77777777" w:rsidR="00C064F2" w:rsidRPr="005B0562" w:rsidRDefault="00C064F2" w:rsidP="00741FC5">
            <w:pPr>
              <w:pStyle w:val="TableText0"/>
            </w:pPr>
            <w:r w:rsidRPr="003A6551">
              <w:t>$540,955</w:t>
            </w:r>
          </w:p>
        </w:tc>
        <w:tc>
          <w:tcPr>
            <w:tcW w:w="629" w:type="pct"/>
            <w:noWrap/>
          </w:tcPr>
          <w:p w14:paraId="3EE409EE" w14:textId="77777777" w:rsidR="00C064F2" w:rsidRPr="005B0562" w:rsidRDefault="00C064F2" w:rsidP="00741FC5">
            <w:pPr>
              <w:pStyle w:val="TableText0"/>
            </w:pPr>
            <w:r w:rsidRPr="003A6551">
              <w:t>$568,003</w:t>
            </w:r>
          </w:p>
        </w:tc>
        <w:tc>
          <w:tcPr>
            <w:tcW w:w="629" w:type="pct"/>
            <w:noWrap/>
          </w:tcPr>
          <w:p w14:paraId="4D5DCF72" w14:textId="77777777" w:rsidR="00C064F2" w:rsidRPr="005B0562" w:rsidRDefault="00C064F2" w:rsidP="00741FC5">
            <w:pPr>
              <w:pStyle w:val="TableText0"/>
            </w:pPr>
            <w:r w:rsidRPr="003A6551">
              <w:t>$578,822</w:t>
            </w:r>
          </w:p>
        </w:tc>
        <w:tc>
          <w:tcPr>
            <w:tcW w:w="628" w:type="pct"/>
            <w:noWrap/>
          </w:tcPr>
          <w:p w14:paraId="22EC160B" w14:textId="77777777" w:rsidR="00C064F2" w:rsidRPr="005B0562" w:rsidRDefault="00C064F2" w:rsidP="00741FC5">
            <w:pPr>
              <w:pStyle w:val="TableText0"/>
            </w:pPr>
            <w:r w:rsidRPr="003A6551">
              <w:t>$595,051</w:t>
            </w:r>
          </w:p>
        </w:tc>
        <w:tc>
          <w:tcPr>
            <w:tcW w:w="599" w:type="pct"/>
            <w:noWrap/>
          </w:tcPr>
          <w:p w14:paraId="56165E5D" w14:textId="77777777" w:rsidR="00C064F2" w:rsidRPr="005B0562" w:rsidRDefault="00C064F2" w:rsidP="00741FC5">
            <w:pPr>
              <w:pStyle w:val="TableText0"/>
            </w:pPr>
            <w:r w:rsidRPr="003A6551">
              <w:t>$622,098</w:t>
            </w:r>
          </w:p>
        </w:tc>
      </w:tr>
    </w:tbl>
    <w:p w14:paraId="2D889DD2" w14:textId="0E87000B" w:rsidR="00C064F2" w:rsidRDefault="00C064F2" w:rsidP="00C064F2">
      <w:pPr>
        <w:pStyle w:val="Tablenotes1"/>
      </w:pPr>
      <w:r w:rsidRPr="00905D6D">
        <w:t>FH = familial hypercholesterolemia; MBS = Medicare Benefits Schedule</w:t>
      </w:r>
    </w:p>
    <w:p w14:paraId="6D1B4B9E" w14:textId="76C1822A" w:rsidR="00C064F2" w:rsidRPr="00162774" w:rsidRDefault="00722D57" w:rsidP="00162774">
      <w:pPr>
        <w:rPr>
          <w:rFonts w:ascii="Arial Narrow" w:hAnsi="Arial Narrow"/>
          <w:b/>
          <w:sz w:val="20"/>
        </w:rPr>
      </w:pPr>
      <w:r w:rsidRPr="00162774">
        <w:rPr>
          <w:rFonts w:ascii="Arial Narrow" w:hAnsi="Arial Narrow"/>
          <w:b/>
          <w:sz w:val="20"/>
        </w:rPr>
        <w:t xml:space="preserve">Table </w:t>
      </w:r>
      <w:r w:rsidR="00B108E7" w:rsidRPr="00162774">
        <w:rPr>
          <w:rFonts w:ascii="Arial Narrow" w:hAnsi="Arial Narrow"/>
          <w:b/>
          <w:sz w:val="20"/>
        </w:rPr>
        <w:fldChar w:fldCharType="begin"/>
      </w:r>
      <w:r w:rsidR="00B108E7" w:rsidRPr="00162774">
        <w:rPr>
          <w:rFonts w:ascii="Arial Narrow" w:hAnsi="Arial Narrow"/>
          <w:b/>
          <w:sz w:val="20"/>
        </w:rPr>
        <w:instrText xml:space="preserve"> SEQ Table \* ARABIC </w:instrText>
      </w:r>
      <w:r w:rsidR="00B108E7" w:rsidRPr="00162774">
        <w:rPr>
          <w:rFonts w:ascii="Arial Narrow" w:hAnsi="Arial Narrow"/>
          <w:b/>
          <w:sz w:val="20"/>
        </w:rPr>
        <w:fldChar w:fldCharType="separate"/>
      </w:r>
      <w:r w:rsidRPr="00162774">
        <w:rPr>
          <w:rFonts w:ascii="Arial Narrow" w:hAnsi="Arial Narrow"/>
          <w:b/>
          <w:sz w:val="20"/>
        </w:rPr>
        <w:t>10</w:t>
      </w:r>
      <w:r w:rsidR="00B108E7" w:rsidRPr="00162774">
        <w:rPr>
          <w:rFonts w:ascii="Arial Narrow" w:hAnsi="Arial Narrow"/>
          <w:b/>
          <w:sz w:val="20"/>
        </w:rPr>
        <w:fldChar w:fldCharType="end"/>
      </w:r>
      <w:r w:rsidRPr="00162774">
        <w:rPr>
          <w:rFonts w:ascii="Arial Narrow" w:hAnsi="Arial Narrow"/>
          <w:b/>
          <w:sz w:val="20"/>
        </w:rPr>
        <w:tab/>
      </w:r>
      <w:r w:rsidR="00C064F2" w:rsidRPr="00162774">
        <w:rPr>
          <w:rFonts w:ascii="Arial Narrow" w:hAnsi="Arial Narrow"/>
          <w:b/>
          <w:sz w:val="20"/>
        </w:rPr>
        <w:t>Costs to MBS if cascade testing includes third degree relatives in addition to fi</w:t>
      </w:r>
      <w:r w:rsidR="00FF53C3" w:rsidRPr="00162774">
        <w:rPr>
          <w:rFonts w:ascii="Arial Narrow" w:hAnsi="Arial Narrow"/>
          <w:b/>
          <w:sz w:val="20"/>
        </w:rPr>
        <w:t>rst and second degree relatives</w:t>
      </w:r>
    </w:p>
    <w:tbl>
      <w:tblPr>
        <w:tblStyle w:val="TableGrid1"/>
        <w:tblW w:w="5000" w:type="pct"/>
        <w:tblLayout w:type="fixed"/>
        <w:tblLook w:val="04A0" w:firstRow="1" w:lastRow="0" w:firstColumn="1" w:lastColumn="0" w:noHBand="0" w:noVBand="1"/>
        <w:tblCaption w:val="Costs to MBS if cascade testing includes third degree relatives in addition to first and second degree relatives."/>
        <w:tblDescription w:val="Costs to MBS if cascade testing includes third degree relatives in addition to first and second degree relatives."/>
      </w:tblPr>
      <w:tblGrid>
        <w:gridCol w:w="565"/>
        <w:gridCol w:w="2837"/>
        <w:gridCol w:w="1134"/>
        <w:gridCol w:w="1134"/>
        <w:gridCol w:w="1134"/>
        <w:gridCol w:w="1132"/>
        <w:gridCol w:w="1080"/>
      </w:tblGrid>
      <w:tr w:rsidR="00C064F2" w:rsidRPr="00B40BDB" w14:paraId="1692DC2F" w14:textId="77777777" w:rsidTr="005D55BA">
        <w:trPr>
          <w:cnfStyle w:val="100000000000" w:firstRow="1" w:lastRow="0" w:firstColumn="0" w:lastColumn="0" w:oddVBand="0" w:evenVBand="0" w:oddHBand="0" w:evenHBand="0" w:firstRowFirstColumn="0" w:firstRowLastColumn="0" w:lastRowFirstColumn="0" w:lastRowLastColumn="0"/>
          <w:trHeight w:val="255"/>
          <w:tblHeader/>
        </w:trPr>
        <w:tc>
          <w:tcPr>
            <w:tcW w:w="313" w:type="pct"/>
          </w:tcPr>
          <w:p w14:paraId="4B30CD6E" w14:textId="77777777" w:rsidR="00C064F2" w:rsidRPr="00B40BDB" w:rsidRDefault="00C064F2" w:rsidP="005D55BA">
            <w:pPr>
              <w:pStyle w:val="TableHeading"/>
            </w:pPr>
            <w:r>
              <w:t>Row</w:t>
            </w:r>
          </w:p>
        </w:tc>
        <w:tc>
          <w:tcPr>
            <w:tcW w:w="1573" w:type="pct"/>
            <w:noWrap/>
            <w:hideMark/>
          </w:tcPr>
          <w:p w14:paraId="2A45D77E" w14:textId="77777777" w:rsidR="00C064F2" w:rsidRPr="00B40BDB" w:rsidRDefault="00C064F2" w:rsidP="005D55BA">
            <w:pPr>
              <w:pStyle w:val="TableHeading"/>
            </w:pPr>
            <w:r>
              <w:t>Description</w:t>
            </w:r>
          </w:p>
        </w:tc>
        <w:tc>
          <w:tcPr>
            <w:tcW w:w="629" w:type="pct"/>
            <w:noWrap/>
            <w:hideMark/>
          </w:tcPr>
          <w:p w14:paraId="5468D124" w14:textId="77777777" w:rsidR="00C064F2" w:rsidRPr="00B40BDB" w:rsidRDefault="00C064F2" w:rsidP="005D55BA">
            <w:pPr>
              <w:pStyle w:val="TableHeading"/>
              <w:jc w:val="center"/>
            </w:pPr>
            <w:r w:rsidRPr="00B40BDB">
              <w:t>2019</w:t>
            </w:r>
          </w:p>
        </w:tc>
        <w:tc>
          <w:tcPr>
            <w:tcW w:w="629" w:type="pct"/>
            <w:noWrap/>
            <w:hideMark/>
          </w:tcPr>
          <w:p w14:paraId="542C4026" w14:textId="77777777" w:rsidR="00C064F2" w:rsidRPr="00B40BDB" w:rsidRDefault="00C064F2" w:rsidP="005D55BA">
            <w:pPr>
              <w:pStyle w:val="TableHeading"/>
              <w:jc w:val="center"/>
            </w:pPr>
            <w:r w:rsidRPr="00B40BDB">
              <w:t>2020</w:t>
            </w:r>
          </w:p>
        </w:tc>
        <w:tc>
          <w:tcPr>
            <w:tcW w:w="629" w:type="pct"/>
            <w:noWrap/>
            <w:hideMark/>
          </w:tcPr>
          <w:p w14:paraId="40A5C520" w14:textId="77777777" w:rsidR="00C064F2" w:rsidRPr="00B40BDB" w:rsidRDefault="00C064F2" w:rsidP="005D55BA">
            <w:pPr>
              <w:pStyle w:val="TableHeading"/>
              <w:jc w:val="center"/>
            </w:pPr>
            <w:r w:rsidRPr="00B40BDB">
              <w:t>2021</w:t>
            </w:r>
          </w:p>
        </w:tc>
        <w:tc>
          <w:tcPr>
            <w:tcW w:w="628" w:type="pct"/>
            <w:noWrap/>
            <w:hideMark/>
          </w:tcPr>
          <w:p w14:paraId="328835DE" w14:textId="77777777" w:rsidR="00C064F2" w:rsidRPr="00B40BDB" w:rsidRDefault="00C064F2" w:rsidP="005D55BA">
            <w:pPr>
              <w:pStyle w:val="TableHeading"/>
              <w:jc w:val="center"/>
            </w:pPr>
            <w:r w:rsidRPr="00B40BDB">
              <w:t>2022</w:t>
            </w:r>
          </w:p>
        </w:tc>
        <w:tc>
          <w:tcPr>
            <w:tcW w:w="599" w:type="pct"/>
            <w:noWrap/>
            <w:hideMark/>
          </w:tcPr>
          <w:p w14:paraId="2E8745F0" w14:textId="77777777" w:rsidR="00C064F2" w:rsidRPr="00B40BDB" w:rsidRDefault="00C064F2" w:rsidP="005D55BA">
            <w:pPr>
              <w:pStyle w:val="TableHeading"/>
              <w:jc w:val="center"/>
            </w:pPr>
            <w:r w:rsidRPr="00B40BDB">
              <w:t>2023</w:t>
            </w:r>
          </w:p>
        </w:tc>
      </w:tr>
      <w:tr w:rsidR="00C064F2" w:rsidRPr="00B40BDB" w14:paraId="1044AE78" w14:textId="77777777" w:rsidTr="005D55BA">
        <w:trPr>
          <w:trHeight w:val="255"/>
        </w:trPr>
        <w:tc>
          <w:tcPr>
            <w:tcW w:w="313" w:type="pct"/>
          </w:tcPr>
          <w:p w14:paraId="1B15C24E" w14:textId="77777777" w:rsidR="00C064F2" w:rsidRPr="00857E26" w:rsidRDefault="00C064F2" w:rsidP="00741FC5">
            <w:pPr>
              <w:pStyle w:val="TableText0"/>
            </w:pPr>
            <w:r>
              <w:t>M</w:t>
            </w:r>
          </w:p>
        </w:tc>
        <w:tc>
          <w:tcPr>
            <w:tcW w:w="1573" w:type="pct"/>
            <w:noWrap/>
          </w:tcPr>
          <w:p w14:paraId="2CCBEBE6" w14:textId="77777777" w:rsidR="00C064F2" w:rsidRPr="00741FC5" w:rsidRDefault="00C064F2" w:rsidP="005D55BA">
            <w:pPr>
              <w:rPr>
                <w:color w:val="000000"/>
                <w:sz w:val="20"/>
              </w:rPr>
            </w:pPr>
            <w:r w:rsidRPr="00741FC5">
              <w:rPr>
                <w:color w:val="000000"/>
                <w:sz w:val="20"/>
              </w:rPr>
              <w:t>Number of predictive tests in TDRs (= C × 5.6 × 4.2%)</w:t>
            </w:r>
          </w:p>
        </w:tc>
        <w:tc>
          <w:tcPr>
            <w:tcW w:w="629" w:type="pct"/>
            <w:noWrap/>
          </w:tcPr>
          <w:p w14:paraId="2625ADEC" w14:textId="77777777" w:rsidR="00C064F2" w:rsidRPr="00BD6302" w:rsidRDefault="00C064F2" w:rsidP="00741FC5">
            <w:pPr>
              <w:pStyle w:val="TableText0"/>
            </w:pPr>
            <w:r w:rsidRPr="005614F8">
              <w:t>33</w:t>
            </w:r>
          </w:p>
        </w:tc>
        <w:tc>
          <w:tcPr>
            <w:tcW w:w="629" w:type="pct"/>
            <w:noWrap/>
          </w:tcPr>
          <w:p w14:paraId="0E8E08A2" w14:textId="77777777" w:rsidR="00C064F2" w:rsidRPr="00BD6302" w:rsidRDefault="00C064F2" w:rsidP="00741FC5">
            <w:pPr>
              <w:pStyle w:val="TableText0"/>
            </w:pPr>
            <w:r w:rsidRPr="005614F8">
              <w:t>35</w:t>
            </w:r>
          </w:p>
        </w:tc>
        <w:tc>
          <w:tcPr>
            <w:tcW w:w="629" w:type="pct"/>
            <w:noWrap/>
          </w:tcPr>
          <w:p w14:paraId="79EDF6C8" w14:textId="77777777" w:rsidR="00C064F2" w:rsidRPr="00BD6302" w:rsidRDefault="00C064F2" w:rsidP="00741FC5">
            <w:pPr>
              <w:pStyle w:val="TableText0"/>
            </w:pPr>
            <w:r w:rsidRPr="005614F8">
              <w:t>35</w:t>
            </w:r>
          </w:p>
        </w:tc>
        <w:tc>
          <w:tcPr>
            <w:tcW w:w="628" w:type="pct"/>
            <w:noWrap/>
          </w:tcPr>
          <w:p w14:paraId="39213EE2" w14:textId="77777777" w:rsidR="00C064F2" w:rsidRPr="00BD6302" w:rsidRDefault="00C064F2" w:rsidP="00741FC5">
            <w:pPr>
              <w:pStyle w:val="TableText0"/>
            </w:pPr>
            <w:r w:rsidRPr="005614F8">
              <w:t>36</w:t>
            </w:r>
          </w:p>
        </w:tc>
        <w:tc>
          <w:tcPr>
            <w:tcW w:w="599" w:type="pct"/>
            <w:noWrap/>
          </w:tcPr>
          <w:p w14:paraId="4B76310D" w14:textId="77777777" w:rsidR="00C064F2" w:rsidRPr="00BD6302" w:rsidRDefault="00C064F2" w:rsidP="00741FC5">
            <w:pPr>
              <w:pStyle w:val="TableText0"/>
            </w:pPr>
            <w:r w:rsidRPr="005614F8">
              <w:t>38</w:t>
            </w:r>
          </w:p>
        </w:tc>
      </w:tr>
      <w:tr w:rsidR="00C064F2" w:rsidRPr="00B40BDB" w14:paraId="6B0F4994" w14:textId="77777777" w:rsidTr="005D55BA">
        <w:trPr>
          <w:trHeight w:val="255"/>
        </w:trPr>
        <w:tc>
          <w:tcPr>
            <w:tcW w:w="313" w:type="pct"/>
          </w:tcPr>
          <w:p w14:paraId="35E5F6E7" w14:textId="77777777" w:rsidR="00C064F2" w:rsidRDefault="00C064F2" w:rsidP="00741FC5">
            <w:pPr>
              <w:pStyle w:val="TableText0"/>
            </w:pPr>
            <w:r>
              <w:t>N</w:t>
            </w:r>
          </w:p>
        </w:tc>
        <w:tc>
          <w:tcPr>
            <w:tcW w:w="1573" w:type="pct"/>
            <w:noWrap/>
          </w:tcPr>
          <w:p w14:paraId="523DD66E" w14:textId="77777777" w:rsidR="00C064F2" w:rsidRDefault="00C064F2" w:rsidP="00741FC5">
            <w:pPr>
              <w:pStyle w:val="TableText0"/>
            </w:pPr>
            <w:r>
              <w:t>Cost to MBS for predictive tests in TDRs</w:t>
            </w:r>
          </w:p>
        </w:tc>
        <w:tc>
          <w:tcPr>
            <w:tcW w:w="629" w:type="pct"/>
            <w:noWrap/>
          </w:tcPr>
          <w:p w14:paraId="295823FC" w14:textId="77777777" w:rsidR="00C064F2" w:rsidRPr="00BD6302" w:rsidRDefault="00C064F2" w:rsidP="00741FC5">
            <w:pPr>
              <w:pStyle w:val="TableText0"/>
            </w:pPr>
            <w:r w:rsidRPr="005614F8">
              <w:t>$11,182</w:t>
            </w:r>
          </w:p>
        </w:tc>
        <w:tc>
          <w:tcPr>
            <w:tcW w:w="629" w:type="pct"/>
            <w:noWrap/>
          </w:tcPr>
          <w:p w14:paraId="35695536" w14:textId="77777777" w:rsidR="00C064F2" w:rsidRPr="00BD6302" w:rsidRDefault="00C064F2" w:rsidP="00741FC5">
            <w:pPr>
              <w:pStyle w:val="TableText0"/>
            </w:pPr>
            <w:r w:rsidRPr="005614F8">
              <w:t>$11,741</w:t>
            </w:r>
          </w:p>
        </w:tc>
        <w:tc>
          <w:tcPr>
            <w:tcW w:w="629" w:type="pct"/>
            <w:noWrap/>
          </w:tcPr>
          <w:p w14:paraId="24F6CA37" w14:textId="77777777" w:rsidR="00C064F2" w:rsidRPr="00BD6302" w:rsidRDefault="00C064F2" w:rsidP="00741FC5">
            <w:pPr>
              <w:pStyle w:val="TableText0"/>
            </w:pPr>
            <w:r w:rsidRPr="005614F8">
              <w:t>$11,965</w:t>
            </w:r>
          </w:p>
        </w:tc>
        <w:tc>
          <w:tcPr>
            <w:tcW w:w="628" w:type="pct"/>
            <w:noWrap/>
          </w:tcPr>
          <w:p w14:paraId="2AB87267" w14:textId="77777777" w:rsidR="00C064F2" w:rsidRPr="00BD6302" w:rsidRDefault="00C064F2" w:rsidP="00741FC5">
            <w:pPr>
              <w:pStyle w:val="TableText0"/>
            </w:pPr>
            <w:r w:rsidRPr="005614F8">
              <w:t>$12,300</w:t>
            </w:r>
          </w:p>
        </w:tc>
        <w:tc>
          <w:tcPr>
            <w:tcW w:w="599" w:type="pct"/>
            <w:noWrap/>
          </w:tcPr>
          <w:p w14:paraId="0109ABC5" w14:textId="77777777" w:rsidR="00C064F2" w:rsidRPr="00BD6302" w:rsidRDefault="00C064F2" w:rsidP="00741FC5">
            <w:pPr>
              <w:pStyle w:val="TableText0"/>
            </w:pPr>
            <w:r w:rsidRPr="005614F8">
              <w:t>$12,859</w:t>
            </w:r>
          </w:p>
        </w:tc>
      </w:tr>
      <w:tr w:rsidR="00C064F2" w:rsidRPr="00391BD8" w14:paraId="5A96330A" w14:textId="77777777" w:rsidTr="005D55BA">
        <w:trPr>
          <w:trHeight w:val="255"/>
        </w:trPr>
        <w:tc>
          <w:tcPr>
            <w:tcW w:w="313" w:type="pct"/>
          </w:tcPr>
          <w:p w14:paraId="4486A8A1" w14:textId="77777777" w:rsidR="00C064F2" w:rsidRPr="00391BD8" w:rsidRDefault="00C064F2" w:rsidP="00741FC5">
            <w:pPr>
              <w:pStyle w:val="TableText0"/>
            </w:pPr>
            <w:r w:rsidRPr="00391BD8">
              <w:t>O</w:t>
            </w:r>
          </w:p>
        </w:tc>
        <w:tc>
          <w:tcPr>
            <w:tcW w:w="1573" w:type="pct"/>
            <w:noWrap/>
          </w:tcPr>
          <w:p w14:paraId="7D000339" w14:textId="77777777" w:rsidR="00C064F2" w:rsidRPr="00391BD8" w:rsidRDefault="00C064F2" w:rsidP="00741FC5">
            <w:pPr>
              <w:pStyle w:val="TableText0"/>
            </w:pPr>
            <w:r w:rsidRPr="00391BD8">
              <w:t>Total cost to MBS (Diagnostic + predictive in FDRs + SDRs + TDRs)</w:t>
            </w:r>
            <w:r>
              <w:t xml:space="preserve"> ( = I + N)</w:t>
            </w:r>
          </w:p>
        </w:tc>
        <w:tc>
          <w:tcPr>
            <w:tcW w:w="629" w:type="pct"/>
            <w:noWrap/>
          </w:tcPr>
          <w:p w14:paraId="0488A0A4" w14:textId="77777777" w:rsidR="00C064F2" w:rsidRPr="003A6551" w:rsidRDefault="00C064F2" w:rsidP="00741FC5">
            <w:pPr>
              <w:pStyle w:val="TableText0"/>
            </w:pPr>
            <w:r w:rsidRPr="003A6551">
              <w:t>$552,137</w:t>
            </w:r>
          </w:p>
        </w:tc>
        <w:tc>
          <w:tcPr>
            <w:tcW w:w="629" w:type="pct"/>
            <w:noWrap/>
          </w:tcPr>
          <w:p w14:paraId="08875BAB" w14:textId="77777777" w:rsidR="00C064F2" w:rsidRPr="003A6551" w:rsidRDefault="00C064F2" w:rsidP="00741FC5">
            <w:pPr>
              <w:pStyle w:val="TableText0"/>
            </w:pPr>
            <w:r w:rsidRPr="003A6551">
              <w:t>$579,744</w:t>
            </w:r>
          </w:p>
        </w:tc>
        <w:tc>
          <w:tcPr>
            <w:tcW w:w="629" w:type="pct"/>
            <w:noWrap/>
          </w:tcPr>
          <w:p w14:paraId="4BD4696A" w14:textId="77777777" w:rsidR="00C064F2" w:rsidRPr="003A6551" w:rsidRDefault="00C064F2" w:rsidP="00741FC5">
            <w:pPr>
              <w:pStyle w:val="TableText0"/>
            </w:pPr>
            <w:r w:rsidRPr="003A6551">
              <w:t>$590,787</w:t>
            </w:r>
          </w:p>
        </w:tc>
        <w:tc>
          <w:tcPr>
            <w:tcW w:w="628" w:type="pct"/>
            <w:noWrap/>
          </w:tcPr>
          <w:p w14:paraId="2EDCED7D" w14:textId="77777777" w:rsidR="00C064F2" w:rsidRPr="003A6551" w:rsidRDefault="00C064F2" w:rsidP="00741FC5">
            <w:pPr>
              <w:pStyle w:val="TableText0"/>
            </w:pPr>
            <w:r w:rsidRPr="003A6551">
              <w:t>$607,351</w:t>
            </w:r>
          </w:p>
        </w:tc>
        <w:tc>
          <w:tcPr>
            <w:tcW w:w="599" w:type="pct"/>
            <w:noWrap/>
          </w:tcPr>
          <w:p w14:paraId="6C8F900D" w14:textId="77777777" w:rsidR="00C064F2" w:rsidRPr="003A6551" w:rsidRDefault="00C064F2" w:rsidP="00741FC5">
            <w:pPr>
              <w:pStyle w:val="TableText0"/>
            </w:pPr>
            <w:r w:rsidRPr="003A6551">
              <w:t>$634,958</w:t>
            </w:r>
          </w:p>
        </w:tc>
      </w:tr>
    </w:tbl>
    <w:p w14:paraId="4F30EB43" w14:textId="61AA2D97" w:rsidR="00C064F2" w:rsidRDefault="00C064F2" w:rsidP="00C064F2">
      <w:pPr>
        <w:pStyle w:val="Tablenotes1"/>
      </w:pPr>
      <w:r>
        <w:t>FDRs = first degree relatives; FH = familial hypercholesterolemia; MBS = Medicare Benefits Schedule; SDRs = second degree relatives; TDRs = third degree relatives</w:t>
      </w:r>
      <w:r w:rsidR="00FF53C3">
        <w:t>.</w:t>
      </w:r>
    </w:p>
    <w:p w14:paraId="22BE4102" w14:textId="4E6EA558" w:rsidR="00C064F2" w:rsidRPr="00162774" w:rsidRDefault="00722D57" w:rsidP="00162774">
      <w:pPr>
        <w:rPr>
          <w:rFonts w:ascii="Arial Narrow" w:hAnsi="Arial Narrow"/>
          <w:b/>
          <w:sz w:val="20"/>
        </w:rPr>
      </w:pPr>
      <w:r w:rsidRPr="00162774">
        <w:rPr>
          <w:rFonts w:ascii="Arial Narrow" w:hAnsi="Arial Narrow"/>
          <w:b/>
          <w:sz w:val="20"/>
        </w:rPr>
        <w:t xml:space="preserve">Table </w:t>
      </w:r>
      <w:r w:rsidR="00B108E7" w:rsidRPr="00162774">
        <w:rPr>
          <w:rFonts w:ascii="Arial Narrow" w:hAnsi="Arial Narrow"/>
          <w:b/>
          <w:sz w:val="20"/>
        </w:rPr>
        <w:fldChar w:fldCharType="begin"/>
      </w:r>
      <w:r w:rsidR="00B108E7" w:rsidRPr="00162774">
        <w:rPr>
          <w:rFonts w:ascii="Arial Narrow" w:hAnsi="Arial Narrow"/>
          <w:b/>
          <w:sz w:val="20"/>
        </w:rPr>
        <w:instrText xml:space="preserve"> SEQ Table \* ARABIC </w:instrText>
      </w:r>
      <w:r w:rsidR="00B108E7" w:rsidRPr="00162774">
        <w:rPr>
          <w:rFonts w:ascii="Arial Narrow" w:hAnsi="Arial Narrow"/>
          <w:b/>
          <w:sz w:val="20"/>
        </w:rPr>
        <w:fldChar w:fldCharType="separate"/>
      </w:r>
      <w:r w:rsidRPr="00162774">
        <w:rPr>
          <w:rFonts w:ascii="Arial Narrow" w:hAnsi="Arial Narrow"/>
          <w:b/>
          <w:sz w:val="20"/>
        </w:rPr>
        <w:t>11</w:t>
      </w:r>
      <w:r w:rsidR="00B108E7" w:rsidRPr="00162774">
        <w:rPr>
          <w:rFonts w:ascii="Arial Narrow" w:hAnsi="Arial Narrow"/>
          <w:b/>
          <w:sz w:val="20"/>
        </w:rPr>
        <w:fldChar w:fldCharType="end"/>
      </w:r>
      <w:r w:rsidRPr="00162774">
        <w:rPr>
          <w:rFonts w:ascii="Arial Narrow" w:hAnsi="Arial Narrow"/>
          <w:b/>
          <w:sz w:val="20"/>
        </w:rPr>
        <w:tab/>
      </w:r>
      <w:r w:rsidR="00FF53C3" w:rsidRPr="00162774">
        <w:rPr>
          <w:rFonts w:ascii="Arial Narrow" w:hAnsi="Arial Narrow"/>
          <w:b/>
          <w:sz w:val="20"/>
        </w:rPr>
        <w:t>Sensitivity analyses</w:t>
      </w:r>
    </w:p>
    <w:tbl>
      <w:tblPr>
        <w:tblStyle w:val="TableGrid1"/>
        <w:tblW w:w="0" w:type="auto"/>
        <w:tblLayout w:type="fixed"/>
        <w:tblLook w:val="04A0" w:firstRow="1" w:lastRow="0" w:firstColumn="1" w:lastColumn="0" w:noHBand="0" w:noVBand="1"/>
        <w:tblCaption w:val="Sensitivity analysis"/>
        <w:tblDescription w:val="Sensitivity analysis"/>
      </w:tblPr>
      <w:tblGrid>
        <w:gridCol w:w="4106"/>
        <w:gridCol w:w="992"/>
        <w:gridCol w:w="993"/>
        <w:gridCol w:w="992"/>
        <w:gridCol w:w="992"/>
        <w:gridCol w:w="941"/>
      </w:tblGrid>
      <w:tr w:rsidR="00C064F2" w:rsidRPr="009C47B9" w14:paraId="5E804B68" w14:textId="77777777" w:rsidTr="00FF53C3">
        <w:trPr>
          <w:cnfStyle w:val="100000000000" w:firstRow="1" w:lastRow="0" w:firstColumn="0" w:lastColumn="0" w:oddVBand="0" w:evenVBand="0" w:oddHBand="0" w:evenHBand="0" w:firstRowFirstColumn="0" w:firstRowLastColumn="0" w:lastRowFirstColumn="0" w:lastRowLastColumn="0"/>
          <w:trHeight w:val="255"/>
          <w:tblHeader/>
        </w:trPr>
        <w:tc>
          <w:tcPr>
            <w:tcW w:w="4106" w:type="dxa"/>
            <w:noWrap/>
            <w:hideMark/>
          </w:tcPr>
          <w:p w14:paraId="77D0B121" w14:textId="458E2D88" w:rsidR="00C064F2" w:rsidRPr="009C47B9" w:rsidRDefault="00C064F2" w:rsidP="005D55BA">
            <w:pPr>
              <w:pStyle w:val="TableHeading"/>
            </w:pPr>
            <w:r w:rsidRPr="009C47B9">
              <w:t xml:space="preserve">Sensitivity </w:t>
            </w:r>
            <w:r w:rsidR="00FF53C3" w:rsidRPr="009C47B9">
              <w:t>a</w:t>
            </w:r>
            <w:r w:rsidR="00FF53C3">
              <w:t>nalyse</w:t>
            </w:r>
            <w:r w:rsidRPr="009C47B9">
              <w:t>s</w:t>
            </w:r>
          </w:p>
        </w:tc>
        <w:tc>
          <w:tcPr>
            <w:tcW w:w="992" w:type="dxa"/>
            <w:noWrap/>
            <w:hideMark/>
          </w:tcPr>
          <w:p w14:paraId="1C28432A" w14:textId="77777777" w:rsidR="00C064F2" w:rsidRPr="009C47B9" w:rsidRDefault="00C064F2" w:rsidP="005D55BA">
            <w:pPr>
              <w:pStyle w:val="TableHeading"/>
              <w:jc w:val="center"/>
            </w:pPr>
            <w:r w:rsidRPr="009C47B9">
              <w:t>2019</w:t>
            </w:r>
          </w:p>
        </w:tc>
        <w:tc>
          <w:tcPr>
            <w:tcW w:w="993" w:type="dxa"/>
            <w:noWrap/>
            <w:hideMark/>
          </w:tcPr>
          <w:p w14:paraId="4FA5659E" w14:textId="77777777" w:rsidR="00C064F2" w:rsidRPr="009C47B9" w:rsidRDefault="00C064F2" w:rsidP="005D55BA">
            <w:pPr>
              <w:pStyle w:val="TableHeading"/>
              <w:jc w:val="center"/>
            </w:pPr>
            <w:r w:rsidRPr="009C47B9">
              <w:t>2020</w:t>
            </w:r>
          </w:p>
        </w:tc>
        <w:tc>
          <w:tcPr>
            <w:tcW w:w="992" w:type="dxa"/>
            <w:noWrap/>
            <w:hideMark/>
          </w:tcPr>
          <w:p w14:paraId="1738438E" w14:textId="77777777" w:rsidR="00C064F2" w:rsidRPr="009C47B9" w:rsidRDefault="00C064F2" w:rsidP="005D55BA">
            <w:pPr>
              <w:pStyle w:val="TableHeading"/>
              <w:jc w:val="center"/>
            </w:pPr>
            <w:r w:rsidRPr="009C47B9">
              <w:t>2021</w:t>
            </w:r>
          </w:p>
        </w:tc>
        <w:tc>
          <w:tcPr>
            <w:tcW w:w="992" w:type="dxa"/>
            <w:noWrap/>
            <w:hideMark/>
          </w:tcPr>
          <w:p w14:paraId="64845A4D" w14:textId="77777777" w:rsidR="00C064F2" w:rsidRPr="009C47B9" w:rsidRDefault="00C064F2" w:rsidP="005D55BA">
            <w:pPr>
              <w:pStyle w:val="TableHeading"/>
              <w:jc w:val="center"/>
            </w:pPr>
            <w:r w:rsidRPr="009C47B9">
              <w:t>2022</w:t>
            </w:r>
          </w:p>
        </w:tc>
        <w:tc>
          <w:tcPr>
            <w:tcW w:w="941" w:type="dxa"/>
            <w:noWrap/>
            <w:hideMark/>
          </w:tcPr>
          <w:p w14:paraId="44893342" w14:textId="77777777" w:rsidR="00C064F2" w:rsidRPr="009C47B9" w:rsidRDefault="00C064F2" w:rsidP="005D55BA">
            <w:pPr>
              <w:pStyle w:val="TableHeading"/>
              <w:jc w:val="center"/>
            </w:pPr>
            <w:r w:rsidRPr="009C47B9">
              <w:t>2023</w:t>
            </w:r>
          </w:p>
        </w:tc>
      </w:tr>
      <w:tr w:rsidR="00C064F2" w:rsidRPr="00697DAF" w14:paraId="65369A27" w14:textId="77777777" w:rsidTr="00FF53C3">
        <w:trPr>
          <w:cnfStyle w:val="100000000000" w:firstRow="1" w:lastRow="0" w:firstColumn="0" w:lastColumn="0" w:oddVBand="0" w:evenVBand="0" w:oddHBand="0" w:evenHBand="0" w:firstRowFirstColumn="0" w:firstRowLastColumn="0" w:lastRowFirstColumn="0" w:lastRowLastColumn="0"/>
          <w:trHeight w:val="255"/>
          <w:tblHeader/>
        </w:trPr>
        <w:tc>
          <w:tcPr>
            <w:tcW w:w="4106" w:type="dxa"/>
            <w:noWrap/>
            <w:hideMark/>
          </w:tcPr>
          <w:p w14:paraId="7AD9CC37" w14:textId="77777777" w:rsidR="00C064F2" w:rsidRPr="00697DAF" w:rsidRDefault="00C064F2" w:rsidP="00741FC5">
            <w:pPr>
              <w:pStyle w:val="TableText0"/>
            </w:pPr>
            <w:r w:rsidRPr="00697DAF">
              <w:t>Base-case</w:t>
            </w:r>
          </w:p>
        </w:tc>
        <w:tc>
          <w:tcPr>
            <w:tcW w:w="992" w:type="dxa"/>
            <w:noWrap/>
          </w:tcPr>
          <w:p w14:paraId="107C485A" w14:textId="77777777" w:rsidR="00C064F2" w:rsidRPr="003A6551" w:rsidRDefault="00C064F2" w:rsidP="00741FC5">
            <w:pPr>
              <w:pStyle w:val="TableText0"/>
            </w:pPr>
            <w:r w:rsidRPr="003A6551">
              <w:t>$540,955</w:t>
            </w:r>
          </w:p>
        </w:tc>
        <w:tc>
          <w:tcPr>
            <w:tcW w:w="993" w:type="dxa"/>
            <w:noWrap/>
          </w:tcPr>
          <w:p w14:paraId="0AF06D9B" w14:textId="77777777" w:rsidR="00C064F2" w:rsidRPr="003A6551" w:rsidRDefault="00C064F2" w:rsidP="00741FC5">
            <w:pPr>
              <w:pStyle w:val="TableText0"/>
            </w:pPr>
            <w:r w:rsidRPr="003A6551">
              <w:t>$568,003</w:t>
            </w:r>
          </w:p>
        </w:tc>
        <w:tc>
          <w:tcPr>
            <w:tcW w:w="992" w:type="dxa"/>
            <w:noWrap/>
          </w:tcPr>
          <w:p w14:paraId="44A97CAB" w14:textId="77777777" w:rsidR="00C064F2" w:rsidRPr="003A6551" w:rsidRDefault="00C064F2" w:rsidP="00741FC5">
            <w:pPr>
              <w:pStyle w:val="TableText0"/>
            </w:pPr>
            <w:r w:rsidRPr="003A6551">
              <w:t>$578,822</w:t>
            </w:r>
          </w:p>
        </w:tc>
        <w:tc>
          <w:tcPr>
            <w:tcW w:w="992" w:type="dxa"/>
            <w:noWrap/>
          </w:tcPr>
          <w:p w14:paraId="35209027" w14:textId="77777777" w:rsidR="00C064F2" w:rsidRPr="003A6551" w:rsidRDefault="00C064F2" w:rsidP="00741FC5">
            <w:pPr>
              <w:pStyle w:val="TableText0"/>
            </w:pPr>
            <w:r w:rsidRPr="003A6551">
              <w:t>$595,051</w:t>
            </w:r>
          </w:p>
        </w:tc>
        <w:tc>
          <w:tcPr>
            <w:tcW w:w="941" w:type="dxa"/>
            <w:noWrap/>
          </w:tcPr>
          <w:p w14:paraId="3D46EE74" w14:textId="77777777" w:rsidR="00C064F2" w:rsidRPr="003A6551" w:rsidRDefault="00C064F2" w:rsidP="00741FC5">
            <w:pPr>
              <w:pStyle w:val="TableText0"/>
            </w:pPr>
            <w:r w:rsidRPr="003A6551">
              <w:t>$622,098</w:t>
            </w:r>
          </w:p>
        </w:tc>
      </w:tr>
      <w:tr w:rsidR="00C064F2" w:rsidRPr="009C47B9" w14:paraId="020145D2" w14:textId="77777777" w:rsidTr="00FF53C3">
        <w:trPr>
          <w:trHeight w:val="255"/>
        </w:trPr>
        <w:tc>
          <w:tcPr>
            <w:tcW w:w="4106" w:type="dxa"/>
            <w:noWrap/>
            <w:hideMark/>
          </w:tcPr>
          <w:p w14:paraId="7AC4A4FA" w14:textId="251ABC21" w:rsidR="00C064F2" w:rsidRPr="009C47B9" w:rsidRDefault="00C064F2" w:rsidP="00741FC5">
            <w:pPr>
              <w:pStyle w:val="TableText0"/>
            </w:pPr>
            <w:r w:rsidRPr="009C47B9">
              <w:t>Cost of diagnostic test - $800 (base-case:</w:t>
            </w:r>
            <w:r w:rsidR="00FF53C3">
              <w:t xml:space="preserve"> </w:t>
            </w:r>
            <w:r w:rsidRPr="009C47B9">
              <w:t>$1,200)</w:t>
            </w:r>
          </w:p>
        </w:tc>
        <w:tc>
          <w:tcPr>
            <w:tcW w:w="992" w:type="dxa"/>
            <w:noWrap/>
          </w:tcPr>
          <w:p w14:paraId="64FA10B7" w14:textId="77777777" w:rsidR="00C064F2" w:rsidRPr="009C47B9" w:rsidRDefault="00C064F2" w:rsidP="00741FC5">
            <w:pPr>
              <w:pStyle w:val="TableText0"/>
            </w:pPr>
            <w:r w:rsidRPr="006202F1">
              <w:t>$405,195</w:t>
            </w:r>
          </w:p>
        </w:tc>
        <w:tc>
          <w:tcPr>
            <w:tcW w:w="993" w:type="dxa"/>
            <w:noWrap/>
          </w:tcPr>
          <w:p w14:paraId="68602D18" w14:textId="77777777" w:rsidR="00C064F2" w:rsidRPr="009C47B9" w:rsidRDefault="00C064F2" w:rsidP="00741FC5">
            <w:pPr>
              <w:pStyle w:val="TableText0"/>
            </w:pPr>
            <w:r w:rsidRPr="006202F1">
              <w:t>$425,455</w:t>
            </w:r>
          </w:p>
        </w:tc>
        <w:tc>
          <w:tcPr>
            <w:tcW w:w="992" w:type="dxa"/>
            <w:noWrap/>
          </w:tcPr>
          <w:p w14:paraId="4CAEF225" w14:textId="77777777" w:rsidR="00C064F2" w:rsidRPr="009C47B9" w:rsidRDefault="00C064F2" w:rsidP="00741FC5">
            <w:pPr>
              <w:pStyle w:val="TableText0"/>
            </w:pPr>
            <w:r w:rsidRPr="006202F1">
              <w:t>$433,559</w:t>
            </w:r>
          </w:p>
        </w:tc>
        <w:tc>
          <w:tcPr>
            <w:tcW w:w="992" w:type="dxa"/>
            <w:noWrap/>
          </w:tcPr>
          <w:p w14:paraId="6E8C5C04" w14:textId="77777777" w:rsidR="00C064F2" w:rsidRPr="009C47B9" w:rsidRDefault="00C064F2" w:rsidP="00741FC5">
            <w:pPr>
              <w:pStyle w:val="TableText0"/>
            </w:pPr>
            <w:r w:rsidRPr="006202F1">
              <w:t>$445,715</w:t>
            </w:r>
          </w:p>
        </w:tc>
        <w:tc>
          <w:tcPr>
            <w:tcW w:w="941" w:type="dxa"/>
            <w:noWrap/>
          </w:tcPr>
          <w:p w14:paraId="19B2F8D8" w14:textId="77777777" w:rsidR="00C064F2" w:rsidRPr="009C47B9" w:rsidRDefault="00C064F2" w:rsidP="00741FC5">
            <w:pPr>
              <w:pStyle w:val="TableText0"/>
            </w:pPr>
            <w:r w:rsidRPr="006202F1">
              <w:t>$465,974</w:t>
            </w:r>
          </w:p>
        </w:tc>
      </w:tr>
      <w:tr w:rsidR="00C064F2" w:rsidRPr="009C47B9" w14:paraId="3BDEF624" w14:textId="77777777" w:rsidTr="00FF53C3">
        <w:trPr>
          <w:trHeight w:val="255"/>
        </w:trPr>
        <w:tc>
          <w:tcPr>
            <w:tcW w:w="4106" w:type="dxa"/>
            <w:noWrap/>
            <w:hideMark/>
          </w:tcPr>
          <w:p w14:paraId="05E04A7B" w14:textId="1D2B747F" w:rsidR="00C064F2" w:rsidRPr="009C47B9" w:rsidRDefault="00C064F2" w:rsidP="00741FC5">
            <w:pPr>
              <w:pStyle w:val="TableText0"/>
            </w:pPr>
            <w:r w:rsidRPr="009C47B9">
              <w:t>Cost of diagnostic test - $1,495 (base-case:</w:t>
            </w:r>
            <w:r w:rsidR="00FF53C3">
              <w:t xml:space="preserve"> </w:t>
            </w:r>
            <w:r w:rsidRPr="009C47B9">
              <w:t>$1,200)</w:t>
            </w:r>
          </w:p>
        </w:tc>
        <w:tc>
          <w:tcPr>
            <w:tcW w:w="992" w:type="dxa"/>
            <w:noWrap/>
          </w:tcPr>
          <w:p w14:paraId="08960537" w14:textId="77777777" w:rsidR="00C064F2" w:rsidRPr="009C47B9" w:rsidRDefault="00C064F2" w:rsidP="00741FC5">
            <w:pPr>
              <w:pStyle w:val="TableText0"/>
            </w:pPr>
            <w:r w:rsidRPr="006202F1">
              <w:t>$641,078</w:t>
            </w:r>
          </w:p>
        </w:tc>
        <w:tc>
          <w:tcPr>
            <w:tcW w:w="993" w:type="dxa"/>
            <w:noWrap/>
          </w:tcPr>
          <w:p w14:paraId="7E52BFBF" w14:textId="77777777" w:rsidR="00C064F2" w:rsidRPr="009C47B9" w:rsidRDefault="00C064F2" w:rsidP="00741FC5">
            <w:pPr>
              <w:pStyle w:val="TableText0"/>
            </w:pPr>
            <w:r w:rsidRPr="006202F1">
              <w:t>$673,132</w:t>
            </w:r>
          </w:p>
        </w:tc>
        <w:tc>
          <w:tcPr>
            <w:tcW w:w="992" w:type="dxa"/>
            <w:noWrap/>
          </w:tcPr>
          <w:p w14:paraId="4792FCD9" w14:textId="77777777" w:rsidR="00C064F2" w:rsidRPr="009C47B9" w:rsidRDefault="00C064F2" w:rsidP="00741FC5">
            <w:pPr>
              <w:pStyle w:val="TableText0"/>
            </w:pPr>
            <w:r w:rsidRPr="006202F1">
              <w:t>$685,954</w:t>
            </w:r>
          </w:p>
        </w:tc>
        <w:tc>
          <w:tcPr>
            <w:tcW w:w="992" w:type="dxa"/>
            <w:noWrap/>
          </w:tcPr>
          <w:p w14:paraId="6CFAEA85" w14:textId="77777777" w:rsidR="00C064F2" w:rsidRPr="009C47B9" w:rsidRDefault="00C064F2" w:rsidP="00741FC5">
            <w:pPr>
              <w:pStyle w:val="TableText0"/>
            </w:pPr>
            <w:r w:rsidRPr="006202F1">
              <w:t>$705,186</w:t>
            </w:r>
          </w:p>
        </w:tc>
        <w:tc>
          <w:tcPr>
            <w:tcW w:w="941" w:type="dxa"/>
            <w:noWrap/>
          </w:tcPr>
          <w:p w14:paraId="7103DA6A" w14:textId="77777777" w:rsidR="00C064F2" w:rsidRPr="009C47B9" w:rsidRDefault="00C064F2" w:rsidP="00741FC5">
            <w:pPr>
              <w:pStyle w:val="TableText0"/>
            </w:pPr>
            <w:r w:rsidRPr="006202F1">
              <w:t>$737,240</w:t>
            </w:r>
          </w:p>
        </w:tc>
      </w:tr>
      <w:tr w:rsidR="00C064F2" w:rsidRPr="009C47B9" w14:paraId="02FBE09B" w14:textId="77777777" w:rsidTr="00FF53C3">
        <w:trPr>
          <w:trHeight w:val="255"/>
        </w:trPr>
        <w:tc>
          <w:tcPr>
            <w:tcW w:w="4106" w:type="dxa"/>
            <w:noWrap/>
            <w:hideMark/>
          </w:tcPr>
          <w:p w14:paraId="739590A0" w14:textId="77777777" w:rsidR="00C064F2" w:rsidRPr="009C47B9" w:rsidRDefault="00C064F2" w:rsidP="00741FC5">
            <w:pPr>
              <w:pStyle w:val="TableText0"/>
            </w:pPr>
            <w:r w:rsidRPr="009C47B9">
              <w:t xml:space="preserve">Cost of predictive test - $132 (base-case: </w:t>
            </w:r>
            <w:r>
              <w:t>$</w:t>
            </w:r>
            <w:r w:rsidRPr="009C47B9">
              <w:t>400)</w:t>
            </w:r>
          </w:p>
        </w:tc>
        <w:tc>
          <w:tcPr>
            <w:tcW w:w="992" w:type="dxa"/>
            <w:noWrap/>
          </w:tcPr>
          <w:p w14:paraId="4BDA4A41" w14:textId="77777777" w:rsidR="00C064F2" w:rsidRPr="009C47B9" w:rsidRDefault="00C064F2" w:rsidP="00741FC5">
            <w:pPr>
              <w:pStyle w:val="TableText0"/>
            </w:pPr>
            <w:r w:rsidRPr="006202F1">
              <w:t>$432,428</w:t>
            </w:r>
          </w:p>
        </w:tc>
        <w:tc>
          <w:tcPr>
            <w:tcW w:w="993" w:type="dxa"/>
            <w:noWrap/>
          </w:tcPr>
          <w:p w14:paraId="105F6A78" w14:textId="77777777" w:rsidR="00C064F2" w:rsidRPr="009C47B9" w:rsidRDefault="00C064F2" w:rsidP="00741FC5">
            <w:pPr>
              <w:pStyle w:val="TableText0"/>
            </w:pPr>
            <w:r w:rsidRPr="006202F1">
              <w:t>$454,049</w:t>
            </w:r>
          </w:p>
        </w:tc>
        <w:tc>
          <w:tcPr>
            <w:tcW w:w="992" w:type="dxa"/>
            <w:noWrap/>
          </w:tcPr>
          <w:p w14:paraId="378442AE" w14:textId="77777777" w:rsidR="00C064F2" w:rsidRPr="009C47B9" w:rsidRDefault="00C064F2" w:rsidP="00741FC5">
            <w:pPr>
              <w:pStyle w:val="TableText0"/>
            </w:pPr>
            <w:r w:rsidRPr="006202F1">
              <w:t>$462,698</w:t>
            </w:r>
          </w:p>
        </w:tc>
        <w:tc>
          <w:tcPr>
            <w:tcW w:w="992" w:type="dxa"/>
            <w:noWrap/>
          </w:tcPr>
          <w:p w14:paraId="67FED2D1" w14:textId="77777777" w:rsidR="00C064F2" w:rsidRPr="009C47B9" w:rsidRDefault="00C064F2" w:rsidP="00741FC5">
            <w:pPr>
              <w:pStyle w:val="TableText0"/>
            </w:pPr>
            <w:r w:rsidRPr="006202F1">
              <w:t>$475,671</w:t>
            </w:r>
          </w:p>
        </w:tc>
        <w:tc>
          <w:tcPr>
            <w:tcW w:w="941" w:type="dxa"/>
            <w:noWrap/>
          </w:tcPr>
          <w:p w14:paraId="35EA9250" w14:textId="77777777" w:rsidR="00C064F2" w:rsidRPr="009C47B9" w:rsidRDefault="00C064F2" w:rsidP="00741FC5">
            <w:pPr>
              <w:pStyle w:val="TableText0"/>
            </w:pPr>
            <w:r w:rsidRPr="006202F1">
              <w:t>$497,292</w:t>
            </w:r>
          </w:p>
        </w:tc>
      </w:tr>
      <w:tr w:rsidR="00C064F2" w:rsidRPr="009C47B9" w14:paraId="0C247BF3" w14:textId="77777777" w:rsidTr="00FF53C3">
        <w:trPr>
          <w:trHeight w:val="255"/>
        </w:trPr>
        <w:tc>
          <w:tcPr>
            <w:tcW w:w="4106" w:type="dxa"/>
            <w:noWrap/>
            <w:hideMark/>
          </w:tcPr>
          <w:p w14:paraId="13E4501C" w14:textId="778F2A4D" w:rsidR="00C064F2" w:rsidRPr="009C47B9" w:rsidRDefault="00C064F2" w:rsidP="00741FC5">
            <w:pPr>
              <w:pStyle w:val="TableText0"/>
            </w:pPr>
            <w:r w:rsidRPr="009C47B9">
              <w:t xml:space="preserve">Diagnostic yield in </w:t>
            </w:r>
            <w:r w:rsidR="00C9104B" w:rsidRPr="00C9104B">
              <w:t>affected individuals</w:t>
            </w:r>
            <w:r w:rsidRPr="009C47B9">
              <w:t xml:space="preserve"> -53% (base-case: 41%)</w:t>
            </w:r>
          </w:p>
        </w:tc>
        <w:tc>
          <w:tcPr>
            <w:tcW w:w="992" w:type="dxa"/>
            <w:noWrap/>
          </w:tcPr>
          <w:p w14:paraId="38E205AF" w14:textId="77777777" w:rsidR="00C064F2" w:rsidRPr="009C47B9" w:rsidRDefault="00C064F2" w:rsidP="00741FC5">
            <w:pPr>
              <w:pStyle w:val="TableText0"/>
            </w:pPr>
            <w:r w:rsidRPr="006202F1">
              <w:t>$588,364</w:t>
            </w:r>
          </w:p>
        </w:tc>
        <w:tc>
          <w:tcPr>
            <w:tcW w:w="993" w:type="dxa"/>
            <w:noWrap/>
          </w:tcPr>
          <w:p w14:paraId="5200EE4E" w14:textId="77777777" w:rsidR="00C064F2" w:rsidRPr="001C58F2" w:rsidRDefault="00C064F2" w:rsidP="00741FC5">
            <w:pPr>
              <w:pStyle w:val="TableText0"/>
            </w:pPr>
            <w:r w:rsidRPr="006202F1">
              <w:t>$617,782</w:t>
            </w:r>
          </w:p>
        </w:tc>
        <w:tc>
          <w:tcPr>
            <w:tcW w:w="992" w:type="dxa"/>
            <w:noWrap/>
          </w:tcPr>
          <w:p w14:paraId="08C2F71D" w14:textId="77777777" w:rsidR="00C064F2" w:rsidRPr="001C58F2" w:rsidRDefault="00C064F2" w:rsidP="00741FC5">
            <w:pPr>
              <w:pStyle w:val="TableText0"/>
            </w:pPr>
            <w:r w:rsidRPr="006202F1">
              <w:t>$629,550</w:t>
            </w:r>
          </w:p>
        </w:tc>
        <w:tc>
          <w:tcPr>
            <w:tcW w:w="992" w:type="dxa"/>
            <w:noWrap/>
          </w:tcPr>
          <w:p w14:paraId="3A8EBFAB" w14:textId="77777777" w:rsidR="00C064F2" w:rsidRPr="001C58F2" w:rsidRDefault="00C064F2" w:rsidP="00741FC5">
            <w:pPr>
              <w:pStyle w:val="TableText0"/>
            </w:pPr>
            <w:r w:rsidRPr="006202F1">
              <w:t>$647,201</w:t>
            </w:r>
          </w:p>
        </w:tc>
        <w:tc>
          <w:tcPr>
            <w:tcW w:w="941" w:type="dxa"/>
            <w:noWrap/>
          </w:tcPr>
          <w:p w14:paraId="115BDC70" w14:textId="77777777" w:rsidR="00C064F2" w:rsidRPr="001C58F2" w:rsidRDefault="00C064F2" w:rsidP="00741FC5">
            <w:pPr>
              <w:pStyle w:val="TableText0"/>
            </w:pPr>
            <w:r w:rsidRPr="006202F1">
              <w:t>$676,619</w:t>
            </w:r>
          </w:p>
        </w:tc>
      </w:tr>
      <w:tr w:rsidR="00C064F2" w:rsidRPr="009C47B9" w14:paraId="3AF22331" w14:textId="77777777" w:rsidTr="00FF53C3">
        <w:trPr>
          <w:trHeight w:val="255"/>
        </w:trPr>
        <w:tc>
          <w:tcPr>
            <w:tcW w:w="4106" w:type="dxa"/>
            <w:noWrap/>
            <w:hideMark/>
          </w:tcPr>
          <w:p w14:paraId="6EB3C2C9" w14:textId="77777777" w:rsidR="00C064F2" w:rsidRPr="009C47B9" w:rsidRDefault="00C064F2" w:rsidP="00741FC5">
            <w:pPr>
              <w:pStyle w:val="TableText0"/>
            </w:pPr>
            <w:r w:rsidRPr="009C47B9">
              <w:t xml:space="preserve">No change in genetic testing uptake (base-case: </w:t>
            </w:r>
            <w:r>
              <w:t>0</w:t>
            </w:r>
            <w:r w:rsidRPr="009C47B9">
              <w:t>%-15% increase)</w:t>
            </w:r>
          </w:p>
        </w:tc>
        <w:tc>
          <w:tcPr>
            <w:tcW w:w="992" w:type="dxa"/>
            <w:noWrap/>
          </w:tcPr>
          <w:p w14:paraId="01448AFD" w14:textId="77777777" w:rsidR="00C064F2" w:rsidRPr="009C47B9" w:rsidRDefault="00C064F2" w:rsidP="00741FC5">
            <w:pPr>
              <w:pStyle w:val="TableText0"/>
            </w:pPr>
            <w:r w:rsidRPr="006202F1">
              <w:t>$540,955</w:t>
            </w:r>
          </w:p>
        </w:tc>
        <w:tc>
          <w:tcPr>
            <w:tcW w:w="993" w:type="dxa"/>
            <w:noWrap/>
          </w:tcPr>
          <w:p w14:paraId="3D94CA07" w14:textId="77777777" w:rsidR="00C064F2" w:rsidRPr="001C58F2" w:rsidRDefault="00C064F2" w:rsidP="00741FC5">
            <w:pPr>
              <w:pStyle w:val="TableText0"/>
            </w:pPr>
            <w:r w:rsidRPr="006202F1">
              <w:t>$540,955</w:t>
            </w:r>
          </w:p>
        </w:tc>
        <w:tc>
          <w:tcPr>
            <w:tcW w:w="992" w:type="dxa"/>
            <w:noWrap/>
          </w:tcPr>
          <w:p w14:paraId="10173847" w14:textId="77777777" w:rsidR="00C064F2" w:rsidRPr="001C58F2" w:rsidRDefault="00C064F2" w:rsidP="00741FC5">
            <w:pPr>
              <w:pStyle w:val="TableText0"/>
            </w:pPr>
            <w:r w:rsidRPr="006202F1">
              <w:t>$540,955</w:t>
            </w:r>
          </w:p>
        </w:tc>
        <w:tc>
          <w:tcPr>
            <w:tcW w:w="992" w:type="dxa"/>
            <w:noWrap/>
          </w:tcPr>
          <w:p w14:paraId="65D6B08A" w14:textId="77777777" w:rsidR="00C064F2" w:rsidRPr="001C58F2" w:rsidRDefault="00C064F2" w:rsidP="00741FC5">
            <w:pPr>
              <w:pStyle w:val="TableText0"/>
            </w:pPr>
            <w:r w:rsidRPr="006202F1">
              <w:t>$540,955</w:t>
            </w:r>
          </w:p>
        </w:tc>
        <w:tc>
          <w:tcPr>
            <w:tcW w:w="941" w:type="dxa"/>
            <w:noWrap/>
          </w:tcPr>
          <w:p w14:paraId="783F9989" w14:textId="77777777" w:rsidR="00C064F2" w:rsidRPr="001C58F2" w:rsidRDefault="00C064F2" w:rsidP="00741FC5">
            <w:pPr>
              <w:pStyle w:val="TableText0"/>
            </w:pPr>
            <w:r w:rsidRPr="006202F1">
              <w:t>$540,955</w:t>
            </w:r>
          </w:p>
        </w:tc>
      </w:tr>
      <w:tr w:rsidR="00C064F2" w:rsidRPr="009C47B9" w14:paraId="1DBDA480" w14:textId="77777777" w:rsidTr="00FF53C3">
        <w:trPr>
          <w:trHeight w:val="255"/>
        </w:trPr>
        <w:tc>
          <w:tcPr>
            <w:tcW w:w="4106" w:type="dxa"/>
            <w:noWrap/>
            <w:hideMark/>
          </w:tcPr>
          <w:p w14:paraId="763CE38B" w14:textId="77777777" w:rsidR="00C064F2" w:rsidRPr="009C47B9" w:rsidRDefault="00C064F2" w:rsidP="00741FC5">
            <w:pPr>
              <w:pStyle w:val="TableText0"/>
            </w:pPr>
            <w:r w:rsidRPr="009C47B9">
              <w:t xml:space="preserve">Genetic testing uptake </w:t>
            </w:r>
            <w:r>
              <w:t>increased by 5-25% (base-case: 0</w:t>
            </w:r>
            <w:r w:rsidRPr="009C47B9">
              <w:t>%-15% increase)</w:t>
            </w:r>
          </w:p>
        </w:tc>
        <w:tc>
          <w:tcPr>
            <w:tcW w:w="992" w:type="dxa"/>
            <w:noWrap/>
          </w:tcPr>
          <w:p w14:paraId="18F2360C" w14:textId="77777777" w:rsidR="00C064F2" w:rsidRPr="009C47B9" w:rsidRDefault="00C064F2" w:rsidP="00741FC5">
            <w:pPr>
              <w:pStyle w:val="TableText0"/>
            </w:pPr>
            <w:r w:rsidRPr="006202F1">
              <w:t>$568,003</w:t>
            </w:r>
          </w:p>
        </w:tc>
        <w:tc>
          <w:tcPr>
            <w:tcW w:w="993" w:type="dxa"/>
            <w:noWrap/>
          </w:tcPr>
          <w:p w14:paraId="1F10293A" w14:textId="77777777" w:rsidR="00C064F2" w:rsidRPr="001C58F2" w:rsidRDefault="00C064F2" w:rsidP="00741FC5">
            <w:pPr>
              <w:pStyle w:val="TableText0"/>
            </w:pPr>
            <w:r w:rsidRPr="006202F1">
              <w:t>$595,051</w:t>
            </w:r>
          </w:p>
        </w:tc>
        <w:tc>
          <w:tcPr>
            <w:tcW w:w="992" w:type="dxa"/>
            <w:noWrap/>
          </w:tcPr>
          <w:p w14:paraId="4A0A58C2" w14:textId="77777777" w:rsidR="00C064F2" w:rsidRPr="001C58F2" w:rsidRDefault="00C064F2" w:rsidP="00741FC5">
            <w:pPr>
              <w:pStyle w:val="TableText0"/>
            </w:pPr>
            <w:r w:rsidRPr="006202F1">
              <w:t>$622,098</w:t>
            </w:r>
          </w:p>
        </w:tc>
        <w:tc>
          <w:tcPr>
            <w:tcW w:w="992" w:type="dxa"/>
            <w:noWrap/>
          </w:tcPr>
          <w:p w14:paraId="09FBD748" w14:textId="77777777" w:rsidR="00C064F2" w:rsidRPr="001C58F2" w:rsidRDefault="00C064F2" w:rsidP="00741FC5">
            <w:pPr>
              <w:pStyle w:val="TableText0"/>
            </w:pPr>
            <w:r w:rsidRPr="006202F1">
              <w:t>$649,146</w:t>
            </w:r>
          </w:p>
        </w:tc>
        <w:tc>
          <w:tcPr>
            <w:tcW w:w="941" w:type="dxa"/>
            <w:noWrap/>
          </w:tcPr>
          <w:p w14:paraId="1D7E9F9A" w14:textId="77777777" w:rsidR="00C064F2" w:rsidRPr="001C58F2" w:rsidRDefault="00C064F2" w:rsidP="00741FC5">
            <w:pPr>
              <w:pStyle w:val="TableText0"/>
            </w:pPr>
            <w:r w:rsidRPr="006202F1">
              <w:t>$676,194</w:t>
            </w:r>
          </w:p>
        </w:tc>
      </w:tr>
      <w:tr w:rsidR="00C064F2" w:rsidRPr="009C47B9" w14:paraId="5382ED81" w14:textId="77777777" w:rsidTr="00FF53C3">
        <w:trPr>
          <w:trHeight w:val="255"/>
        </w:trPr>
        <w:tc>
          <w:tcPr>
            <w:tcW w:w="4106" w:type="dxa"/>
            <w:noWrap/>
            <w:hideMark/>
          </w:tcPr>
          <w:p w14:paraId="0F5C75E7" w14:textId="77777777" w:rsidR="00C064F2" w:rsidRPr="009C47B9" w:rsidRDefault="00C064F2" w:rsidP="00741FC5">
            <w:pPr>
              <w:pStyle w:val="TableText0"/>
            </w:pPr>
            <w:r>
              <w:t>2</w:t>
            </w:r>
            <w:r w:rsidRPr="009C47B9">
              <w:t xml:space="preserve"> predictive tests per proband (base-case: </w:t>
            </w:r>
            <w:r>
              <w:t>3.4</w:t>
            </w:r>
            <w:r w:rsidRPr="009C47B9">
              <w:t xml:space="preserve"> relatives tested per proband)</w:t>
            </w:r>
          </w:p>
        </w:tc>
        <w:tc>
          <w:tcPr>
            <w:tcW w:w="992" w:type="dxa"/>
            <w:noWrap/>
          </w:tcPr>
          <w:p w14:paraId="6923E99F" w14:textId="77777777" w:rsidR="00C064F2" w:rsidRPr="009C47B9" w:rsidRDefault="00C064F2" w:rsidP="00741FC5">
            <w:pPr>
              <w:pStyle w:val="TableText0"/>
            </w:pPr>
            <w:r w:rsidRPr="006202F1">
              <w:t>$473,599</w:t>
            </w:r>
          </w:p>
        </w:tc>
        <w:tc>
          <w:tcPr>
            <w:tcW w:w="993" w:type="dxa"/>
            <w:noWrap/>
          </w:tcPr>
          <w:p w14:paraId="21C65646" w14:textId="77777777" w:rsidR="00C064F2" w:rsidRPr="001C58F2" w:rsidRDefault="00C064F2" w:rsidP="00741FC5">
            <w:pPr>
              <w:pStyle w:val="TableText0"/>
            </w:pPr>
            <w:r w:rsidRPr="006202F1">
              <w:t>$497,279</w:t>
            </w:r>
          </w:p>
        </w:tc>
        <w:tc>
          <w:tcPr>
            <w:tcW w:w="992" w:type="dxa"/>
            <w:noWrap/>
          </w:tcPr>
          <w:p w14:paraId="50E88948" w14:textId="77777777" w:rsidR="00C064F2" w:rsidRPr="001C58F2" w:rsidRDefault="00C064F2" w:rsidP="00741FC5">
            <w:pPr>
              <w:pStyle w:val="TableText0"/>
            </w:pPr>
            <w:r w:rsidRPr="006202F1">
              <w:t>$506,751</w:t>
            </w:r>
          </w:p>
        </w:tc>
        <w:tc>
          <w:tcPr>
            <w:tcW w:w="992" w:type="dxa"/>
            <w:noWrap/>
          </w:tcPr>
          <w:p w14:paraId="03E75E6F" w14:textId="77777777" w:rsidR="00C064F2" w:rsidRPr="001C58F2" w:rsidRDefault="00C064F2" w:rsidP="00741FC5">
            <w:pPr>
              <w:pStyle w:val="TableText0"/>
            </w:pPr>
            <w:r w:rsidRPr="006202F1">
              <w:t>$520,959</w:t>
            </w:r>
          </w:p>
        </w:tc>
        <w:tc>
          <w:tcPr>
            <w:tcW w:w="941" w:type="dxa"/>
            <w:noWrap/>
          </w:tcPr>
          <w:p w14:paraId="5E1E828B" w14:textId="77777777" w:rsidR="00C064F2" w:rsidRPr="001C58F2" w:rsidRDefault="00C064F2" w:rsidP="00741FC5">
            <w:pPr>
              <w:pStyle w:val="TableText0"/>
            </w:pPr>
            <w:r w:rsidRPr="006202F1">
              <w:t>$544,639</w:t>
            </w:r>
          </w:p>
        </w:tc>
      </w:tr>
      <w:tr w:rsidR="00C064F2" w:rsidRPr="009C47B9" w14:paraId="45996228" w14:textId="77777777" w:rsidTr="00FF53C3">
        <w:trPr>
          <w:trHeight w:val="255"/>
        </w:trPr>
        <w:tc>
          <w:tcPr>
            <w:tcW w:w="4106" w:type="dxa"/>
            <w:noWrap/>
            <w:hideMark/>
          </w:tcPr>
          <w:p w14:paraId="60DE53FD" w14:textId="77777777" w:rsidR="00C064F2" w:rsidRPr="009C47B9" w:rsidRDefault="00C064F2" w:rsidP="00741FC5">
            <w:pPr>
              <w:pStyle w:val="TableText0"/>
            </w:pPr>
            <w:r w:rsidRPr="009C47B9">
              <w:t xml:space="preserve">6 predictive tests per proband (base-case: </w:t>
            </w:r>
            <w:r>
              <w:t>3.4</w:t>
            </w:r>
            <w:r w:rsidRPr="009C47B9">
              <w:t xml:space="preserve"> relatives tested per proband)</w:t>
            </w:r>
          </w:p>
        </w:tc>
        <w:tc>
          <w:tcPr>
            <w:tcW w:w="992" w:type="dxa"/>
            <w:noWrap/>
          </w:tcPr>
          <w:p w14:paraId="4C4900DA" w14:textId="77777777" w:rsidR="00C064F2" w:rsidRPr="009C47B9" w:rsidRDefault="00C064F2" w:rsidP="00741FC5">
            <w:pPr>
              <w:pStyle w:val="TableText0"/>
            </w:pPr>
            <w:r w:rsidRPr="006202F1">
              <w:t>$662,848</w:t>
            </w:r>
          </w:p>
        </w:tc>
        <w:tc>
          <w:tcPr>
            <w:tcW w:w="993" w:type="dxa"/>
            <w:noWrap/>
          </w:tcPr>
          <w:p w14:paraId="27B29346" w14:textId="77777777" w:rsidR="00C064F2" w:rsidRPr="001C58F2" w:rsidRDefault="00C064F2" w:rsidP="00741FC5">
            <w:pPr>
              <w:pStyle w:val="TableText0"/>
            </w:pPr>
            <w:r w:rsidRPr="006202F1">
              <w:t>$695,991</w:t>
            </w:r>
          </w:p>
        </w:tc>
        <w:tc>
          <w:tcPr>
            <w:tcW w:w="992" w:type="dxa"/>
            <w:noWrap/>
          </w:tcPr>
          <w:p w14:paraId="08C8A360" w14:textId="77777777" w:rsidR="00C064F2" w:rsidRPr="001C58F2" w:rsidRDefault="00C064F2" w:rsidP="00741FC5">
            <w:pPr>
              <w:pStyle w:val="TableText0"/>
            </w:pPr>
            <w:r w:rsidRPr="006202F1">
              <w:t>$709,248</w:t>
            </w:r>
          </w:p>
        </w:tc>
        <w:tc>
          <w:tcPr>
            <w:tcW w:w="992" w:type="dxa"/>
            <w:noWrap/>
          </w:tcPr>
          <w:p w14:paraId="14303D2B" w14:textId="77777777" w:rsidR="00C064F2" w:rsidRPr="001C58F2" w:rsidRDefault="00C064F2" w:rsidP="00741FC5">
            <w:pPr>
              <w:pStyle w:val="TableText0"/>
            </w:pPr>
            <w:r w:rsidRPr="006202F1">
              <w:t>$729,133</w:t>
            </w:r>
          </w:p>
        </w:tc>
        <w:tc>
          <w:tcPr>
            <w:tcW w:w="941" w:type="dxa"/>
            <w:noWrap/>
          </w:tcPr>
          <w:p w14:paraId="19A7634E" w14:textId="77777777" w:rsidR="00C064F2" w:rsidRPr="001C58F2" w:rsidRDefault="00C064F2" w:rsidP="00741FC5">
            <w:pPr>
              <w:pStyle w:val="TableText0"/>
            </w:pPr>
            <w:r w:rsidRPr="006202F1">
              <w:t>$762,275</w:t>
            </w:r>
          </w:p>
        </w:tc>
      </w:tr>
      <w:tr w:rsidR="00C064F2" w:rsidRPr="009C47B9" w14:paraId="568B02EE" w14:textId="77777777" w:rsidTr="00FF53C3">
        <w:trPr>
          <w:trHeight w:val="255"/>
        </w:trPr>
        <w:tc>
          <w:tcPr>
            <w:tcW w:w="4106" w:type="dxa"/>
            <w:noWrap/>
          </w:tcPr>
          <w:p w14:paraId="28576290" w14:textId="77777777" w:rsidR="00C064F2" w:rsidRPr="009C47B9" w:rsidRDefault="00C064F2" w:rsidP="00741FC5">
            <w:pPr>
              <w:pStyle w:val="TableText0"/>
            </w:pPr>
            <w:r w:rsidRPr="001C3D37">
              <w:t>Inclusion of cost of genetic counselling</w:t>
            </w:r>
          </w:p>
        </w:tc>
        <w:tc>
          <w:tcPr>
            <w:tcW w:w="992" w:type="dxa"/>
            <w:noWrap/>
          </w:tcPr>
          <w:p w14:paraId="3B6CF379" w14:textId="77777777" w:rsidR="00C064F2" w:rsidRPr="004E0A1E" w:rsidRDefault="00C064F2" w:rsidP="00741FC5">
            <w:pPr>
              <w:pStyle w:val="TableText0"/>
            </w:pPr>
            <w:r w:rsidRPr="008C2DB0">
              <w:t>$656,928</w:t>
            </w:r>
          </w:p>
        </w:tc>
        <w:tc>
          <w:tcPr>
            <w:tcW w:w="993" w:type="dxa"/>
            <w:noWrap/>
          </w:tcPr>
          <w:p w14:paraId="5DC53588" w14:textId="77777777" w:rsidR="00C064F2" w:rsidRPr="004E0A1E" w:rsidRDefault="00C064F2" w:rsidP="00741FC5">
            <w:pPr>
              <w:pStyle w:val="TableText0"/>
            </w:pPr>
            <w:r w:rsidRPr="008C2DB0">
              <w:t>$689,775</w:t>
            </w:r>
          </w:p>
        </w:tc>
        <w:tc>
          <w:tcPr>
            <w:tcW w:w="992" w:type="dxa"/>
            <w:noWrap/>
          </w:tcPr>
          <w:p w14:paraId="71A394AB" w14:textId="77777777" w:rsidR="00C064F2" w:rsidRPr="004E0A1E" w:rsidRDefault="00C064F2" w:rsidP="00741FC5">
            <w:pPr>
              <w:pStyle w:val="TableText0"/>
            </w:pPr>
            <w:r w:rsidRPr="008C2DB0">
              <w:t>$702,913</w:t>
            </w:r>
          </w:p>
        </w:tc>
        <w:tc>
          <w:tcPr>
            <w:tcW w:w="992" w:type="dxa"/>
            <w:noWrap/>
          </w:tcPr>
          <w:p w14:paraId="2B8B6466" w14:textId="77777777" w:rsidR="00C064F2" w:rsidRPr="004E0A1E" w:rsidRDefault="00C064F2" w:rsidP="00741FC5">
            <w:pPr>
              <w:pStyle w:val="TableText0"/>
            </w:pPr>
            <w:r w:rsidRPr="008C2DB0">
              <w:t>$722,621</w:t>
            </w:r>
          </w:p>
        </w:tc>
        <w:tc>
          <w:tcPr>
            <w:tcW w:w="941" w:type="dxa"/>
            <w:noWrap/>
          </w:tcPr>
          <w:p w14:paraId="1D9775B3" w14:textId="77777777" w:rsidR="00C064F2" w:rsidRPr="004E0A1E" w:rsidRDefault="00C064F2" w:rsidP="00741FC5">
            <w:pPr>
              <w:pStyle w:val="TableText0"/>
            </w:pPr>
            <w:r w:rsidRPr="008C2DB0">
              <w:t>$755,467</w:t>
            </w:r>
          </w:p>
        </w:tc>
      </w:tr>
    </w:tbl>
    <w:p w14:paraId="2DFC596D" w14:textId="77777777" w:rsidR="006A0D97" w:rsidRPr="00F715D1" w:rsidRDefault="006A0D97" w:rsidP="00F715D1">
      <w:pPr>
        <w:pStyle w:val="Heading1"/>
      </w:pPr>
      <w:r w:rsidRPr="00F715D1">
        <w:lastRenderedPageBreak/>
        <w:t>Key issues from ESC for MSAC</w:t>
      </w:r>
    </w:p>
    <w:tbl>
      <w:tblPr>
        <w:tblStyle w:val="TableGrid"/>
        <w:tblW w:w="0" w:type="auto"/>
        <w:tblLook w:val="04A0" w:firstRow="1" w:lastRow="0" w:firstColumn="1" w:lastColumn="0" w:noHBand="0" w:noVBand="1"/>
        <w:tblDescription w:val="Summary of issues raised by ESC for MSAC consideration"/>
      </w:tblPr>
      <w:tblGrid>
        <w:gridCol w:w="2122"/>
        <w:gridCol w:w="6894"/>
      </w:tblGrid>
      <w:tr w:rsidR="00C064F2" w:rsidRPr="00722D57" w14:paraId="6C270481" w14:textId="77777777" w:rsidTr="0030646E">
        <w:trPr>
          <w:trHeight w:val="556"/>
          <w:tblHeader/>
        </w:trPr>
        <w:tc>
          <w:tcPr>
            <w:tcW w:w="2122" w:type="dxa"/>
            <w:tcBorders>
              <w:top w:val="single" w:sz="4" w:space="0" w:color="auto"/>
              <w:left w:val="single" w:sz="4" w:space="0" w:color="auto"/>
              <w:bottom w:val="single" w:sz="4" w:space="0" w:color="auto"/>
              <w:right w:val="single" w:sz="4" w:space="0" w:color="auto"/>
            </w:tcBorders>
            <w:vAlign w:val="center"/>
            <w:hideMark/>
          </w:tcPr>
          <w:p w14:paraId="44FF72D4" w14:textId="77777777" w:rsidR="00C064F2" w:rsidRPr="00722D57" w:rsidRDefault="00C064F2" w:rsidP="005D55BA">
            <w:pPr>
              <w:pStyle w:val="Tabletext"/>
              <w:rPr>
                <w:rFonts w:ascii="Times New Roman" w:hAnsi="Times New Roman" w:cs="Times New Roman"/>
                <w:b/>
                <w:sz w:val="22"/>
              </w:rPr>
            </w:pPr>
            <w:r w:rsidRPr="00722D57">
              <w:rPr>
                <w:rFonts w:ascii="Times New Roman" w:hAnsi="Times New Roman" w:cs="Times New Roman"/>
                <w:b/>
                <w:sz w:val="22"/>
              </w:rPr>
              <w:t>ESC key issue</w:t>
            </w:r>
          </w:p>
        </w:tc>
        <w:tc>
          <w:tcPr>
            <w:tcW w:w="6894" w:type="dxa"/>
            <w:tcBorders>
              <w:top w:val="single" w:sz="4" w:space="0" w:color="auto"/>
              <w:left w:val="single" w:sz="4" w:space="0" w:color="auto"/>
              <w:bottom w:val="single" w:sz="4" w:space="0" w:color="auto"/>
              <w:right w:val="single" w:sz="4" w:space="0" w:color="auto"/>
            </w:tcBorders>
            <w:vAlign w:val="center"/>
            <w:hideMark/>
          </w:tcPr>
          <w:p w14:paraId="16E50CC1" w14:textId="77777777" w:rsidR="00C064F2" w:rsidRPr="00722D57" w:rsidRDefault="00C064F2" w:rsidP="005D55BA">
            <w:pPr>
              <w:pStyle w:val="Tabletext"/>
              <w:rPr>
                <w:rFonts w:ascii="Times New Roman" w:hAnsi="Times New Roman" w:cs="Times New Roman"/>
                <w:b/>
                <w:sz w:val="22"/>
              </w:rPr>
            </w:pPr>
            <w:r w:rsidRPr="00722D57">
              <w:rPr>
                <w:rFonts w:ascii="Times New Roman" w:hAnsi="Times New Roman" w:cs="Times New Roman"/>
                <w:b/>
                <w:sz w:val="22"/>
              </w:rPr>
              <w:t>ESC advice to MSAC</w:t>
            </w:r>
          </w:p>
        </w:tc>
      </w:tr>
      <w:tr w:rsidR="00C064F2" w:rsidRPr="00722D57" w14:paraId="616F458C" w14:textId="77777777" w:rsidTr="0030646E">
        <w:tc>
          <w:tcPr>
            <w:tcW w:w="2122" w:type="dxa"/>
            <w:tcBorders>
              <w:top w:val="single" w:sz="4" w:space="0" w:color="auto"/>
              <w:left w:val="single" w:sz="4" w:space="0" w:color="auto"/>
              <w:bottom w:val="single" w:sz="4" w:space="0" w:color="auto"/>
              <w:right w:val="single" w:sz="4" w:space="0" w:color="auto"/>
            </w:tcBorders>
            <w:hideMark/>
          </w:tcPr>
          <w:p w14:paraId="2FE4B224"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Frequency of testing</w:t>
            </w:r>
          </w:p>
        </w:tc>
        <w:tc>
          <w:tcPr>
            <w:tcW w:w="6894" w:type="dxa"/>
            <w:tcBorders>
              <w:top w:val="single" w:sz="4" w:space="0" w:color="auto"/>
              <w:left w:val="single" w:sz="4" w:space="0" w:color="auto"/>
              <w:bottom w:val="single" w:sz="4" w:space="0" w:color="auto"/>
              <w:right w:val="single" w:sz="4" w:space="0" w:color="auto"/>
            </w:tcBorders>
          </w:tcPr>
          <w:p w14:paraId="7392CA7E"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PASC advised once in a lifetime. Consider expanding this, as once per lifetime does not cover additional genes and pathogenic variants yet to be identified. Genetic sequences can also be reanalysed at later dates.</w:t>
            </w:r>
          </w:p>
        </w:tc>
      </w:tr>
      <w:tr w:rsidR="00C064F2" w:rsidRPr="00722D57" w14:paraId="6598F87C" w14:textId="77777777" w:rsidTr="0030646E">
        <w:tc>
          <w:tcPr>
            <w:tcW w:w="2122" w:type="dxa"/>
            <w:tcBorders>
              <w:top w:val="single" w:sz="4" w:space="0" w:color="auto"/>
              <w:left w:val="single" w:sz="4" w:space="0" w:color="auto"/>
              <w:bottom w:val="single" w:sz="4" w:space="0" w:color="auto"/>
              <w:right w:val="single" w:sz="4" w:space="0" w:color="auto"/>
            </w:tcBorders>
          </w:tcPr>
          <w:p w14:paraId="04CBFCC8"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Generalisability of evidence to general practice – will proposal for GP requests replicate the outcomes primarily obtained from lipid clinics</w:t>
            </w:r>
          </w:p>
        </w:tc>
        <w:tc>
          <w:tcPr>
            <w:tcW w:w="6894" w:type="dxa"/>
            <w:tcBorders>
              <w:top w:val="single" w:sz="4" w:space="0" w:color="auto"/>
              <w:left w:val="single" w:sz="4" w:space="0" w:color="auto"/>
              <w:bottom w:val="single" w:sz="4" w:space="0" w:color="auto"/>
              <w:right w:val="single" w:sz="4" w:space="0" w:color="auto"/>
            </w:tcBorders>
          </w:tcPr>
          <w:p w14:paraId="20AD2DDE"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Given potential numbers of cases and specialist constraint, professional education and RACGP collaboration is advised, including provision of genetic counselling.</w:t>
            </w:r>
          </w:p>
          <w:p w14:paraId="2EC573BE" w14:textId="4A56C4AF"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 xml:space="preserve">To note, for other genetic tests, a specialist or consultant physician is required for both </w:t>
            </w:r>
            <w:r w:rsidR="00C9104B" w:rsidRPr="00722D57">
              <w:rPr>
                <w:rFonts w:ascii="Times New Roman" w:hAnsi="Times New Roman" w:cs="Times New Roman"/>
                <w:sz w:val="22"/>
              </w:rPr>
              <w:t>affected individuals</w:t>
            </w:r>
            <w:r w:rsidRPr="00722D57">
              <w:rPr>
                <w:rFonts w:ascii="Times New Roman" w:hAnsi="Times New Roman" w:cs="Times New Roman"/>
                <w:sz w:val="22"/>
              </w:rPr>
              <w:t xml:space="preserve"> and for cascade testing of family members (e.g. BRCA1/BRCA2 mutation testing – MBS items 73295 and 73297). Cascade testing of family members for the VHL gene (MBS Item 73334) is not restricted to ordering by a specialist.</w:t>
            </w:r>
          </w:p>
          <w:p w14:paraId="67F60E8C"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Consider whether assumptions in the model are applicable to general practice. Notably the diagnostic yield rate could be lower than predicted (due to lower-risk group); testing and lipid-lowering treatment uptake rates in the cascade group may be higher.</w:t>
            </w:r>
          </w:p>
        </w:tc>
      </w:tr>
      <w:tr w:rsidR="00C064F2" w:rsidRPr="00722D57" w14:paraId="5414BBBB" w14:textId="77777777" w:rsidTr="0030646E">
        <w:tc>
          <w:tcPr>
            <w:tcW w:w="2122" w:type="dxa"/>
            <w:tcBorders>
              <w:top w:val="single" w:sz="4" w:space="0" w:color="auto"/>
              <w:left w:val="single" w:sz="4" w:space="0" w:color="auto"/>
              <w:bottom w:val="single" w:sz="4" w:space="0" w:color="auto"/>
              <w:right w:val="single" w:sz="4" w:space="0" w:color="auto"/>
            </w:tcBorders>
          </w:tcPr>
          <w:p w14:paraId="38818EE7"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Limited comparative effectiveness data (before-and-after case series)</w:t>
            </w:r>
          </w:p>
        </w:tc>
        <w:tc>
          <w:tcPr>
            <w:tcW w:w="6894" w:type="dxa"/>
            <w:tcBorders>
              <w:top w:val="single" w:sz="4" w:space="0" w:color="auto"/>
              <w:left w:val="single" w:sz="4" w:space="0" w:color="auto"/>
              <w:bottom w:val="single" w:sz="4" w:space="0" w:color="auto"/>
              <w:right w:val="single" w:sz="4" w:space="0" w:color="auto"/>
            </w:tcBorders>
          </w:tcPr>
          <w:p w14:paraId="5D54164C" w14:textId="4EDAE298"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Consider the uncertain incremental cost-utility benefit of genetic testing with more specialist visits, starting (or increasing) lipid-lowering medication and reducing smok</w:t>
            </w:r>
            <w:r w:rsidR="00FF53C3" w:rsidRPr="00722D57">
              <w:rPr>
                <w:rFonts w:ascii="Times New Roman" w:hAnsi="Times New Roman" w:cs="Times New Roman"/>
                <w:sz w:val="22"/>
              </w:rPr>
              <w:t>ing levels is not comparative.</w:t>
            </w:r>
          </w:p>
          <w:p w14:paraId="7DE84E67" w14:textId="7DC43906" w:rsidR="00C064F2" w:rsidRPr="00722D57" w:rsidRDefault="00C064F2" w:rsidP="00C9104B">
            <w:pPr>
              <w:pStyle w:val="Tabletext"/>
              <w:rPr>
                <w:rFonts w:ascii="Times New Roman" w:hAnsi="Times New Roman" w:cs="Times New Roman"/>
                <w:sz w:val="22"/>
              </w:rPr>
            </w:pPr>
            <w:r w:rsidRPr="00722D57">
              <w:rPr>
                <w:rFonts w:ascii="Times New Roman" w:hAnsi="Times New Roman" w:cs="Times New Roman"/>
                <w:sz w:val="22"/>
              </w:rPr>
              <w:t xml:space="preserve">The issue with the model is the evidence base for the change in management. The Contracted Assessment (CA) suggested that, relative to lipid testing alone, genetic testing for FH has non-inferior safety and uncertain incremental effectiveness for both </w:t>
            </w:r>
            <w:r w:rsidR="00C9104B" w:rsidRPr="00722D57">
              <w:rPr>
                <w:rFonts w:ascii="Times New Roman" w:hAnsi="Times New Roman" w:cs="Times New Roman"/>
                <w:sz w:val="22"/>
              </w:rPr>
              <w:t>affected individuals</w:t>
            </w:r>
            <w:r w:rsidRPr="00722D57">
              <w:rPr>
                <w:rFonts w:ascii="Times New Roman" w:hAnsi="Times New Roman" w:cs="Times New Roman"/>
                <w:sz w:val="22"/>
              </w:rPr>
              <w:t xml:space="preserve"> and family members/cascade testing.</w:t>
            </w:r>
          </w:p>
        </w:tc>
      </w:tr>
      <w:tr w:rsidR="00C064F2" w:rsidRPr="00722D57" w14:paraId="45F35ED5" w14:textId="77777777" w:rsidTr="0030646E">
        <w:tc>
          <w:tcPr>
            <w:tcW w:w="2122" w:type="dxa"/>
            <w:tcBorders>
              <w:top w:val="single" w:sz="4" w:space="0" w:color="auto"/>
              <w:left w:val="single" w:sz="4" w:space="0" w:color="auto"/>
              <w:bottom w:val="single" w:sz="4" w:space="0" w:color="auto"/>
              <w:right w:val="single" w:sz="4" w:space="0" w:color="auto"/>
            </w:tcBorders>
          </w:tcPr>
          <w:p w14:paraId="3A72C795"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Fee</w:t>
            </w:r>
          </w:p>
        </w:tc>
        <w:tc>
          <w:tcPr>
            <w:tcW w:w="6894" w:type="dxa"/>
            <w:tcBorders>
              <w:top w:val="single" w:sz="4" w:space="0" w:color="auto"/>
              <w:left w:val="single" w:sz="4" w:space="0" w:color="auto"/>
              <w:bottom w:val="single" w:sz="4" w:space="0" w:color="auto"/>
              <w:right w:val="single" w:sz="4" w:space="0" w:color="auto"/>
            </w:tcBorders>
          </w:tcPr>
          <w:p w14:paraId="605F6004"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The proposed fee for identifying the familial mutation in relatives ($400) is higher than fees currently charged ($132–200).</w:t>
            </w:r>
          </w:p>
        </w:tc>
      </w:tr>
      <w:tr w:rsidR="00C064F2" w:rsidRPr="00722D57" w14:paraId="73B9B34A" w14:textId="77777777" w:rsidTr="0030646E">
        <w:tc>
          <w:tcPr>
            <w:tcW w:w="2122" w:type="dxa"/>
            <w:tcBorders>
              <w:top w:val="single" w:sz="4" w:space="0" w:color="auto"/>
              <w:left w:val="single" w:sz="4" w:space="0" w:color="auto"/>
              <w:bottom w:val="single" w:sz="4" w:space="0" w:color="auto"/>
              <w:right w:val="single" w:sz="4" w:space="0" w:color="auto"/>
            </w:tcBorders>
          </w:tcPr>
          <w:p w14:paraId="2489E201"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 xml:space="preserve">Inclusion of third-degree relatives </w:t>
            </w:r>
          </w:p>
        </w:tc>
        <w:tc>
          <w:tcPr>
            <w:tcW w:w="6894" w:type="dxa"/>
            <w:tcBorders>
              <w:top w:val="single" w:sz="4" w:space="0" w:color="auto"/>
              <w:left w:val="single" w:sz="4" w:space="0" w:color="auto"/>
              <w:bottom w:val="single" w:sz="4" w:space="0" w:color="auto"/>
              <w:right w:val="single" w:sz="4" w:space="0" w:color="auto"/>
            </w:tcBorders>
          </w:tcPr>
          <w:p w14:paraId="58B004EC"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Shown to be cost-effective in other studies (e.g. as per NICE advice). PASC requested that third-degree relatives be included in sensitivity analyses. Including this additional cohort results in a marginal ICER of $37,446; the additional financial implications are small.</w:t>
            </w:r>
          </w:p>
        </w:tc>
      </w:tr>
      <w:tr w:rsidR="00C064F2" w:rsidRPr="00722D57" w14:paraId="48B8923A" w14:textId="77777777" w:rsidTr="0030646E">
        <w:tc>
          <w:tcPr>
            <w:tcW w:w="2122" w:type="dxa"/>
            <w:tcBorders>
              <w:top w:val="single" w:sz="4" w:space="0" w:color="auto"/>
              <w:left w:val="single" w:sz="4" w:space="0" w:color="auto"/>
              <w:bottom w:val="single" w:sz="4" w:space="0" w:color="auto"/>
              <w:right w:val="single" w:sz="4" w:space="0" w:color="auto"/>
            </w:tcBorders>
          </w:tcPr>
          <w:p w14:paraId="36200AC1"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Leakage</w:t>
            </w:r>
          </w:p>
        </w:tc>
        <w:tc>
          <w:tcPr>
            <w:tcW w:w="6894" w:type="dxa"/>
            <w:tcBorders>
              <w:top w:val="single" w:sz="4" w:space="0" w:color="auto"/>
              <w:left w:val="single" w:sz="4" w:space="0" w:color="auto"/>
              <w:bottom w:val="single" w:sz="4" w:space="0" w:color="auto"/>
              <w:right w:val="single" w:sz="4" w:space="0" w:color="auto"/>
            </w:tcBorders>
          </w:tcPr>
          <w:p w14:paraId="0649651C" w14:textId="79ACD2B8" w:rsidR="00C064F2" w:rsidRPr="00722D57" w:rsidRDefault="00C064F2" w:rsidP="0030646E">
            <w:pPr>
              <w:pStyle w:val="Tabletext"/>
              <w:rPr>
                <w:rFonts w:ascii="Times New Roman" w:hAnsi="Times New Roman" w:cs="Times New Roman"/>
                <w:sz w:val="22"/>
              </w:rPr>
            </w:pPr>
            <w:r w:rsidRPr="00722D57">
              <w:rPr>
                <w:rFonts w:ascii="Times New Roman" w:hAnsi="Times New Roman" w:cs="Times New Roman"/>
                <w:sz w:val="22"/>
              </w:rPr>
              <w:t>Consider the speculative use of the test to access anti-PCSK9 therapy on the PBS, for statin-intolerant patients. The PBS restrict</w:t>
            </w:r>
            <w:r w:rsidR="0030646E" w:rsidRPr="00722D57">
              <w:rPr>
                <w:rFonts w:ascii="Times New Roman" w:hAnsi="Times New Roman" w:cs="Times New Roman"/>
                <w:sz w:val="22"/>
              </w:rPr>
              <w:t>i</w:t>
            </w:r>
            <w:r w:rsidRPr="00722D57">
              <w:rPr>
                <w:rFonts w:ascii="Times New Roman" w:hAnsi="Times New Roman" w:cs="Times New Roman"/>
                <w:sz w:val="22"/>
              </w:rPr>
              <w:t>o</w:t>
            </w:r>
            <w:r w:rsidR="0030646E" w:rsidRPr="00722D57">
              <w:rPr>
                <w:rFonts w:ascii="Times New Roman" w:hAnsi="Times New Roman" w:cs="Times New Roman"/>
                <w:sz w:val="22"/>
              </w:rPr>
              <w:t>n</w:t>
            </w:r>
            <w:r w:rsidRPr="00722D57">
              <w:rPr>
                <w:rFonts w:ascii="Times New Roman" w:hAnsi="Times New Roman" w:cs="Times New Roman"/>
                <w:sz w:val="22"/>
              </w:rPr>
              <w:t xml:space="preserve"> for access to these therapies includes confirmation by genetic testing.</w:t>
            </w:r>
          </w:p>
        </w:tc>
      </w:tr>
      <w:tr w:rsidR="00C064F2" w:rsidRPr="00722D57" w14:paraId="74583344" w14:textId="77777777" w:rsidTr="0030646E">
        <w:tc>
          <w:tcPr>
            <w:tcW w:w="2122" w:type="dxa"/>
            <w:tcBorders>
              <w:top w:val="single" w:sz="4" w:space="0" w:color="auto"/>
              <w:left w:val="single" w:sz="4" w:space="0" w:color="auto"/>
              <w:bottom w:val="single" w:sz="4" w:space="0" w:color="auto"/>
              <w:right w:val="single" w:sz="4" w:space="0" w:color="auto"/>
            </w:tcBorders>
          </w:tcPr>
          <w:p w14:paraId="6BCE979B"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ICER</w:t>
            </w:r>
          </w:p>
        </w:tc>
        <w:tc>
          <w:tcPr>
            <w:tcW w:w="6894" w:type="dxa"/>
            <w:tcBorders>
              <w:top w:val="single" w:sz="4" w:space="0" w:color="auto"/>
              <w:left w:val="single" w:sz="4" w:space="0" w:color="auto"/>
              <w:bottom w:val="single" w:sz="4" w:space="0" w:color="auto"/>
              <w:right w:val="single" w:sz="4" w:space="0" w:color="auto"/>
            </w:tcBorders>
          </w:tcPr>
          <w:p w14:paraId="6F9AFBA8"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The benefits of this testing is entirely in the cascade group. It is assumed that, if MBS listed, uptake of cascade testing will increase. But if it does not, the ICER becomes high.</w:t>
            </w:r>
          </w:p>
          <w:p w14:paraId="27B56108"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Several economic evaluations in the literature show cost-effectiveness. The CA results are consistent with these other studies. However, there is significant uncertainty in the incremental effectiveness estimates.</w:t>
            </w:r>
          </w:p>
        </w:tc>
      </w:tr>
      <w:tr w:rsidR="00C064F2" w:rsidRPr="00722D57" w14:paraId="7488A750" w14:textId="77777777" w:rsidTr="0030646E">
        <w:tc>
          <w:tcPr>
            <w:tcW w:w="2122" w:type="dxa"/>
            <w:tcBorders>
              <w:top w:val="single" w:sz="4" w:space="0" w:color="auto"/>
              <w:left w:val="single" w:sz="4" w:space="0" w:color="auto"/>
              <w:bottom w:val="single" w:sz="4" w:space="0" w:color="auto"/>
              <w:right w:val="single" w:sz="4" w:space="0" w:color="auto"/>
            </w:tcBorders>
          </w:tcPr>
          <w:p w14:paraId="76B39CDA" w14:textId="6BCC9802" w:rsidR="00C064F2" w:rsidRPr="00722D57" w:rsidRDefault="00C064F2" w:rsidP="0030646E">
            <w:pPr>
              <w:pStyle w:val="Tabletext"/>
              <w:rPr>
                <w:rFonts w:ascii="Times New Roman" w:hAnsi="Times New Roman" w:cs="Times New Roman"/>
                <w:sz w:val="22"/>
              </w:rPr>
            </w:pPr>
            <w:r w:rsidRPr="00722D57">
              <w:rPr>
                <w:rFonts w:ascii="Times New Roman" w:hAnsi="Times New Roman" w:cs="Times New Roman"/>
                <w:sz w:val="22"/>
              </w:rPr>
              <w:t xml:space="preserve">Type of testing method for </w:t>
            </w:r>
            <w:r w:rsidR="0030646E" w:rsidRPr="00722D57">
              <w:rPr>
                <w:rFonts w:ascii="Times New Roman" w:hAnsi="Times New Roman" w:cs="Times New Roman"/>
                <w:sz w:val="22"/>
              </w:rPr>
              <w:t>affected individuals</w:t>
            </w:r>
          </w:p>
        </w:tc>
        <w:tc>
          <w:tcPr>
            <w:tcW w:w="6894" w:type="dxa"/>
            <w:tcBorders>
              <w:top w:val="single" w:sz="4" w:space="0" w:color="auto"/>
              <w:left w:val="single" w:sz="4" w:space="0" w:color="auto"/>
              <w:bottom w:val="single" w:sz="4" w:space="0" w:color="auto"/>
              <w:right w:val="single" w:sz="4" w:space="0" w:color="auto"/>
            </w:tcBorders>
          </w:tcPr>
          <w:p w14:paraId="63955FCA" w14:textId="22F0763F" w:rsidR="00C064F2" w:rsidRPr="00722D57" w:rsidRDefault="00C064F2" w:rsidP="0030646E">
            <w:pPr>
              <w:pStyle w:val="Tabletext"/>
              <w:rPr>
                <w:rFonts w:ascii="Times New Roman" w:hAnsi="Times New Roman" w:cs="Times New Roman"/>
                <w:sz w:val="22"/>
              </w:rPr>
            </w:pPr>
            <w:r w:rsidRPr="00722D57">
              <w:rPr>
                <w:rFonts w:ascii="Times New Roman" w:hAnsi="Times New Roman" w:cs="Times New Roman"/>
                <w:sz w:val="22"/>
              </w:rPr>
              <w:t xml:space="preserve">The item descriptor does not specify the type of genetic test to be used for </w:t>
            </w:r>
            <w:r w:rsidR="0030646E" w:rsidRPr="00722D57">
              <w:rPr>
                <w:rFonts w:ascii="Times New Roman" w:hAnsi="Times New Roman" w:cs="Times New Roman"/>
                <w:sz w:val="22"/>
              </w:rPr>
              <w:t>affected individuals</w:t>
            </w:r>
            <w:r w:rsidRPr="00722D57">
              <w:rPr>
                <w:rFonts w:ascii="Times New Roman" w:hAnsi="Times New Roman" w:cs="Times New Roman"/>
                <w:sz w:val="22"/>
              </w:rPr>
              <w:t>. The fee of $1200 suggests that the tests are likely next-generation sequencing and copy number variation analysis. Lower-cost methods are available.</w:t>
            </w:r>
          </w:p>
        </w:tc>
      </w:tr>
      <w:tr w:rsidR="00C064F2" w:rsidRPr="00722D57" w14:paraId="1CDAFC3F" w14:textId="77777777" w:rsidTr="0030646E">
        <w:tc>
          <w:tcPr>
            <w:tcW w:w="2122" w:type="dxa"/>
            <w:tcBorders>
              <w:top w:val="single" w:sz="4" w:space="0" w:color="auto"/>
              <w:left w:val="single" w:sz="4" w:space="0" w:color="auto"/>
              <w:bottom w:val="single" w:sz="4" w:space="0" w:color="auto"/>
              <w:right w:val="single" w:sz="4" w:space="0" w:color="auto"/>
            </w:tcBorders>
          </w:tcPr>
          <w:p w14:paraId="3987AD96"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Uncertainty around uptake of cascade testing</w:t>
            </w:r>
          </w:p>
        </w:tc>
        <w:tc>
          <w:tcPr>
            <w:tcW w:w="6894" w:type="dxa"/>
            <w:tcBorders>
              <w:top w:val="single" w:sz="4" w:space="0" w:color="auto"/>
              <w:left w:val="single" w:sz="4" w:space="0" w:color="auto"/>
              <w:bottom w:val="single" w:sz="4" w:space="0" w:color="auto"/>
              <w:right w:val="single" w:sz="4" w:space="0" w:color="auto"/>
            </w:tcBorders>
          </w:tcPr>
          <w:p w14:paraId="251B2158" w14:textId="77777777" w:rsidR="00C064F2" w:rsidRPr="00722D57" w:rsidRDefault="00C064F2" w:rsidP="005D55BA">
            <w:pPr>
              <w:pStyle w:val="Tabletext"/>
              <w:rPr>
                <w:rFonts w:ascii="Times New Roman" w:hAnsi="Times New Roman" w:cs="Times New Roman"/>
                <w:sz w:val="22"/>
              </w:rPr>
            </w:pPr>
            <w:r w:rsidRPr="00722D57">
              <w:rPr>
                <w:rFonts w:ascii="Times New Roman" w:hAnsi="Times New Roman" w:cs="Times New Roman"/>
                <w:sz w:val="22"/>
              </w:rPr>
              <w:t>MSAC Secretariat advised to seek more data from Western Australia to guide the estimated uptake numbers before MSAC considers this application.</w:t>
            </w:r>
          </w:p>
        </w:tc>
      </w:tr>
    </w:tbl>
    <w:p w14:paraId="321CCBD0" w14:textId="7FF386FA" w:rsidR="00722D57" w:rsidRDefault="00722D57">
      <w:pPr>
        <w:rPr>
          <w:b/>
        </w:rPr>
      </w:pPr>
      <w:r>
        <w:rPr>
          <w:b/>
        </w:rPr>
        <w:br w:type="page"/>
      </w:r>
    </w:p>
    <w:p w14:paraId="147C65D2" w14:textId="6B5EE24E" w:rsidR="00C064F2" w:rsidRDefault="00C064F2" w:rsidP="00CD3F08">
      <w:pPr>
        <w:tabs>
          <w:tab w:val="left" w:pos="2265"/>
          <w:tab w:val="left" w:pos="3420"/>
          <w:tab w:val="left" w:pos="4320"/>
        </w:tabs>
        <w:spacing w:after="240"/>
        <w:rPr>
          <w:b/>
        </w:rPr>
      </w:pPr>
      <w:r>
        <w:rPr>
          <w:b/>
        </w:rPr>
        <w:lastRenderedPageBreak/>
        <w:t xml:space="preserve">ESC </w:t>
      </w:r>
      <w:r w:rsidR="0030646E">
        <w:rPr>
          <w:b/>
        </w:rPr>
        <w:t>d</w:t>
      </w:r>
      <w:r>
        <w:rPr>
          <w:b/>
        </w:rPr>
        <w:t>iscussion</w:t>
      </w:r>
    </w:p>
    <w:p w14:paraId="25DC0CAF" w14:textId="4FFDFC38" w:rsidR="00C064F2" w:rsidRDefault="00C064F2" w:rsidP="00CD3F08">
      <w:pPr>
        <w:spacing w:after="240"/>
      </w:pPr>
      <w:r>
        <w:t xml:space="preserve">ESC noted that the </w:t>
      </w:r>
      <w:r w:rsidR="0030646E">
        <w:t xml:space="preserve">proposed MBS </w:t>
      </w:r>
      <w:r>
        <w:t xml:space="preserve">item descriptors allow for general practitioners (GPs) to request genetic testing </w:t>
      </w:r>
      <w:r w:rsidR="0030646E">
        <w:t>of affected individuals</w:t>
      </w:r>
      <w:r>
        <w:t xml:space="preserve">, in consultation with a specialist for the </w:t>
      </w:r>
      <w:r w:rsidR="00C9104B">
        <w:t>a</w:t>
      </w:r>
      <w:r w:rsidR="00C9104B" w:rsidRPr="00C9104B">
        <w:t>ffected individual</w:t>
      </w:r>
      <w:r w:rsidR="0030646E">
        <w:t>,</w:t>
      </w:r>
      <w:r>
        <w:t xml:space="preserve"> or independently for cascade testing. This is a change from current practice in which </w:t>
      </w:r>
      <w:r w:rsidRPr="00A43BB1">
        <w:t>genetic testing for FH occurs through state-based lipid clinics, which specialise in complex lipid disorders and inherited disorders</w:t>
      </w:r>
      <w:r>
        <w:t>.</w:t>
      </w:r>
    </w:p>
    <w:p w14:paraId="6555231D" w14:textId="79B2359B" w:rsidR="00C064F2" w:rsidRDefault="00C064F2" w:rsidP="00CD3F08">
      <w:pPr>
        <w:spacing w:after="240"/>
      </w:pPr>
      <w:r>
        <w:t>ESC noted that cascade testing would include children with at least one parent diagnosed with FH, and that there is potentially more clinical benefit to be derived for children than for other older relatives.</w:t>
      </w:r>
    </w:p>
    <w:p w14:paraId="068F8CE0" w14:textId="5ADD9BA8" w:rsidR="00C064F2" w:rsidRDefault="00C064F2" w:rsidP="00CD3F08">
      <w:pPr>
        <w:spacing w:after="240"/>
      </w:pPr>
      <w:r>
        <w:t xml:space="preserve">ESC noted the benefits of FH cascade testing and considered that GPs being able to request testing would increase access for patients, and potentially therefore increase uptake of cascade testing. ESC noted that, as cascade testing increased, so would demand for genetic counselling services. ESC agreed with the </w:t>
      </w:r>
      <w:r w:rsidR="0030646E">
        <w:t>CA</w:t>
      </w:r>
      <w:r>
        <w:t xml:space="preserve">’s concerns regarding patient access and the financial implications of increased use of genetic counselling. </w:t>
      </w:r>
      <w:r w:rsidRPr="00697C66">
        <w:t>Given</w:t>
      </w:r>
      <w:r>
        <w:t xml:space="preserve"> the</w:t>
      </w:r>
      <w:r w:rsidRPr="00697C66">
        <w:t xml:space="preserve"> potential numbers of cases and </w:t>
      </w:r>
      <w:r w:rsidR="00B71C97">
        <w:t xml:space="preserve">constraints in accessing </w:t>
      </w:r>
      <w:r w:rsidRPr="00697C66">
        <w:t>specialist</w:t>
      </w:r>
      <w:r w:rsidR="00B71C97">
        <w:t>s</w:t>
      </w:r>
      <w:r w:rsidRPr="00697C66">
        <w:t xml:space="preserve">, professional education </w:t>
      </w:r>
      <w:r w:rsidR="00B71C97">
        <w:t xml:space="preserve">of GPs </w:t>
      </w:r>
      <w:r w:rsidRPr="00697C66">
        <w:t xml:space="preserve">and </w:t>
      </w:r>
      <w:r>
        <w:t>Royal Australian College of General Practitioners (</w:t>
      </w:r>
      <w:r w:rsidRPr="00697C66">
        <w:t>RA</w:t>
      </w:r>
      <w:r>
        <w:t>C</w:t>
      </w:r>
      <w:r w:rsidRPr="00697C66">
        <w:t>GP</w:t>
      </w:r>
      <w:r>
        <w:t>)</w:t>
      </w:r>
      <w:r w:rsidRPr="00697C66">
        <w:t xml:space="preserve"> collaboration is advised, including </w:t>
      </w:r>
      <w:r w:rsidR="00B71C97">
        <w:t xml:space="preserve">GP </w:t>
      </w:r>
      <w:r w:rsidRPr="00697C66">
        <w:t>provision of genetic counselling.</w:t>
      </w:r>
    </w:p>
    <w:p w14:paraId="70CB7E58" w14:textId="794BD00A" w:rsidR="00C064F2" w:rsidRDefault="00C064F2" w:rsidP="00CD3F08">
      <w:pPr>
        <w:spacing w:after="240"/>
      </w:pPr>
      <w:r>
        <w:t xml:space="preserve">ESC noted that, currently, the available data come from lipid treatment centres, which have their own genetic counsellors and laboratories. This is important for requesting tests and maintaining a level of consistency in interpreting results. Replicating these results will be an issue if the care model switches to include primary care. GPs will need to be educated about FH genetic testing and the Dutch Lipid Clinic Network tool. ESC noted, however, that cascade testing </w:t>
      </w:r>
      <w:r w:rsidR="00AB1A18">
        <w:t>c</w:t>
      </w:r>
      <w:r>
        <w:t xml:space="preserve">ould be done </w:t>
      </w:r>
      <w:r w:rsidR="00AB1A18">
        <w:t xml:space="preserve">by GPs </w:t>
      </w:r>
      <w:r>
        <w:t>in collaboration with a specialist.</w:t>
      </w:r>
    </w:p>
    <w:p w14:paraId="226C1FCA" w14:textId="219EE33F" w:rsidR="00C064F2" w:rsidRDefault="00C064F2" w:rsidP="00CD3F08">
      <w:pPr>
        <w:spacing w:after="240"/>
      </w:pPr>
      <w:r>
        <w:t>ESC noted that the proposed item descriptor does not specify the type of genetic testing to be used. The current fee of $1200 suggests next-generation sequencing (NGS) and copy number variation (CNV) analysis, but lower-cost methods are available. In addition, laboratories have the option of stepwise testing (which would result in lower fees) and simultaneous sequencing of all three genes.</w:t>
      </w:r>
    </w:p>
    <w:p w14:paraId="563E8EA2" w14:textId="49312661" w:rsidR="00C064F2" w:rsidRDefault="00C064F2" w:rsidP="00CD3F08">
      <w:pPr>
        <w:spacing w:after="240"/>
      </w:pPr>
      <w:r>
        <w:t>The Australian Atherosclerosis Society proposed that probable FH should first be tested with a commercial method that targets specific mutations, followed by m</w:t>
      </w:r>
      <w:r w:rsidRPr="002B1B51">
        <w:t xml:space="preserve">ultiplex ligation-dependent probe amplification </w:t>
      </w:r>
      <w:r>
        <w:t>(MLPA) and LDLR exon-by-exon sequence analysis if no mutations are found. ESC noted that stepwise testing is a logical approach from a laboratory sense, but perhaps not to the broader public.</w:t>
      </w:r>
    </w:p>
    <w:p w14:paraId="56766682" w14:textId="2D80C343" w:rsidR="00C064F2" w:rsidRDefault="00C064F2" w:rsidP="00CD3F08">
      <w:pPr>
        <w:spacing w:after="240"/>
      </w:pPr>
      <w:r w:rsidRPr="002B1B51">
        <w:t xml:space="preserve">ESC considered that the </w:t>
      </w:r>
      <w:r w:rsidR="00B71C97">
        <w:t xml:space="preserve">proposed </w:t>
      </w:r>
      <w:r w:rsidRPr="002B1B51">
        <w:t xml:space="preserve">cascade testing fee of $400 </w:t>
      </w:r>
      <w:r w:rsidR="00B71C97">
        <w:t>was</w:t>
      </w:r>
      <w:r w:rsidRPr="002B1B51">
        <w:t xml:space="preserve"> too high, as the variant is already known.</w:t>
      </w:r>
      <w:r>
        <w:t xml:space="preserve"> F</w:t>
      </w:r>
      <w:r w:rsidRPr="006E20AA">
        <w:t>ees currently charged range from $132 to $200.</w:t>
      </w:r>
    </w:p>
    <w:p w14:paraId="2BEF0F79" w14:textId="293E166B" w:rsidR="00C064F2" w:rsidRDefault="00C064F2" w:rsidP="00CD3F08">
      <w:pPr>
        <w:spacing w:after="240"/>
      </w:pPr>
      <w:r>
        <w:t xml:space="preserve">ESC considered that the testing frequency of once per lifetime </w:t>
      </w:r>
      <w:r w:rsidR="00B71C97">
        <w:t>was</w:t>
      </w:r>
      <w:r>
        <w:t xml:space="preserve"> not reasonable. If the testing method is targeted, repeat testing would be justified because more genes or variants may become identified in the future. In addition, clinicians may not share testing results, especially state to state. ESC noted that another consideration </w:t>
      </w:r>
      <w:r w:rsidR="00B71C97">
        <w:t>would be</w:t>
      </w:r>
      <w:r>
        <w:t xml:space="preserve"> that genetic sequences can be reinterpreted as more information about genes and variants becomes available.</w:t>
      </w:r>
      <w:r w:rsidRPr="0049725B">
        <w:t xml:space="preserve"> </w:t>
      </w:r>
      <w:r>
        <w:t xml:space="preserve">ESC noted that these issues </w:t>
      </w:r>
      <w:r w:rsidR="00B71C97">
        <w:t>were</w:t>
      </w:r>
      <w:r>
        <w:t xml:space="preserve"> similar to those raised for MSAC </w:t>
      </w:r>
      <w:r w:rsidRPr="006B100F">
        <w:t xml:space="preserve">Application 1476 – Genetic </w:t>
      </w:r>
      <w:r>
        <w:t>t</w:t>
      </w:r>
      <w:r w:rsidRPr="006B100F">
        <w:t xml:space="preserve">esting for </w:t>
      </w:r>
      <w:r>
        <w:t>c</w:t>
      </w:r>
      <w:r w:rsidRPr="006B100F">
        <w:t xml:space="preserve">hildhood </w:t>
      </w:r>
      <w:r>
        <w:t>s</w:t>
      </w:r>
      <w:r w:rsidRPr="006B100F">
        <w:t>yndromes</w:t>
      </w:r>
      <w:r>
        <w:t>.</w:t>
      </w:r>
    </w:p>
    <w:p w14:paraId="3C20FD88" w14:textId="6833E09F" w:rsidR="00C064F2" w:rsidRDefault="00C064F2" w:rsidP="00CD3F08">
      <w:pPr>
        <w:spacing w:after="240"/>
      </w:pPr>
      <w:r w:rsidRPr="006E20AA">
        <w:t xml:space="preserve">ESC noted the potential for leakage </w:t>
      </w:r>
      <w:r>
        <w:t>as a result of speculative use for</w:t>
      </w:r>
      <w:r w:rsidRPr="006E20AA">
        <w:t xml:space="preserve"> patients wanting to access anti-PCSK9 therapy on the Pharmaceutical Benefits Scheme, for statin-intolerant </w:t>
      </w:r>
      <w:r w:rsidRPr="006E20AA">
        <w:lastRenderedPageBreak/>
        <w:t>patients. The PBS restrict</w:t>
      </w:r>
      <w:r w:rsidR="0030646E">
        <w:t>i</w:t>
      </w:r>
      <w:r w:rsidRPr="006E20AA">
        <w:t>o</w:t>
      </w:r>
      <w:r w:rsidR="0030646E">
        <w:t>n</w:t>
      </w:r>
      <w:r w:rsidRPr="006E20AA">
        <w:t xml:space="preserve"> for access to th</w:t>
      </w:r>
      <w:r>
        <w:t>ese</w:t>
      </w:r>
      <w:r w:rsidRPr="006E20AA">
        <w:t xml:space="preserve"> therap</w:t>
      </w:r>
      <w:r>
        <w:t>ies</w:t>
      </w:r>
      <w:r w:rsidRPr="006E20AA">
        <w:t xml:space="preserve"> includes confirmation by genetic testing.</w:t>
      </w:r>
    </w:p>
    <w:p w14:paraId="3932AFB4" w14:textId="47513014" w:rsidR="00C064F2" w:rsidRDefault="00C064F2" w:rsidP="00CD3F08">
      <w:pPr>
        <w:spacing w:after="240"/>
      </w:pPr>
      <w:r>
        <w:t xml:space="preserve">ESC noted that </w:t>
      </w:r>
      <w:r w:rsidRPr="00CE5B07">
        <w:t>incremental effectiveness</w:t>
      </w:r>
      <w:r>
        <w:t xml:space="preserve"> </w:t>
      </w:r>
      <w:r w:rsidRPr="00CE5B07">
        <w:t xml:space="preserve">relative to lipid testing alone </w:t>
      </w:r>
      <w:r>
        <w:t>is</w:t>
      </w:r>
      <w:r w:rsidRPr="00CE5B07">
        <w:t xml:space="preserve"> uncertain</w:t>
      </w:r>
      <w:r w:rsidRPr="00242CA5">
        <w:t xml:space="preserve"> </w:t>
      </w:r>
      <w:r w:rsidRPr="00CE5B07">
        <w:t xml:space="preserve">for both </w:t>
      </w:r>
      <w:r w:rsidR="00C9104B">
        <w:t>a</w:t>
      </w:r>
      <w:r w:rsidR="00C9104B" w:rsidRPr="00C9104B">
        <w:t>ffected individuals</w:t>
      </w:r>
      <w:r w:rsidRPr="00CE5B07">
        <w:t xml:space="preserve"> and family members/cascade testing</w:t>
      </w:r>
      <w:r w:rsidR="00B71C97">
        <w:t>.</w:t>
      </w:r>
    </w:p>
    <w:p w14:paraId="488FC394" w14:textId="39851A2E" w:rsidR="00C064F2" w:rsidRDefault="00C064F2" w:rsidP="00CD3F08">
      <w:pPr>
        <w:spacing w:after="240"/>
      </w:pPr>
      <w:r>
        <w:t xml:space="preserve">ESC noted that very few studies reported on clinical utility and those that did were qualitative. </w:t>
      </w:r>
      <w:r w:rsidRPr="00107EB8">
        <w:t xml:space="preserve">One qualitative study reported that genetic testing provided very little new insight or personal benefit to </w:t>
      </w:r>
      <w:r w:rsidR="00C9104B">
        <w:t>a</w:t>
      </w:r>
      <w:r w:rsidR="00C9104B" w:rsidRPr="00C9104B">
        <w:t>ffected individuals</w:t>
      </w:r>
      <w:r w:rsidRPr="00107EB8">
        <w:t>, but may be a benefit for family members (Jenkins et</w:t>
      </w:r>
      <w:r>
        <w:t> </w:t>
      </w:r>
      <w:r w:rsidRPr="00107EB8">
        <w:t>al. 2013).</w:t>
      </w:r>
      <w:r>
        <w:t xml:space="preserve"> </w:t>
      </w:r>
      <w:r w:rsidRPr="00107EB8">
        <w:t>Marteau et</w:t>
      </w:r>
      <w:r>
        <w:t> </w:t>
      </w:r>
      <w:r w:rsidRPr="00107EB8">
        <w:t xml:space="preserve">al. </w:t>
      </w:r>
      <w:r>
        <w:t>(</w:t>
      </w:r>
      <w:r w:rsidRPr="00107EB8">
        <w:t xml:space="preserve">2004) </w:t>
      </w:r>
      <w:r>
        <w:t xml:space="preserve">found that </w:t>
      </w:r>
      <w:r w:rsidRPr="00107EB8">
        <w:t xml:space="preserve">the impact of diagnosis on illness perceptions, perceived accuracy of diagnosis and perceived risk were all greatest for those patients who had a mutation identified (compared </w:t>
      </w:r>
      <w:r>
        <w:t>with</w:t>
      </w:r>
      <w:r w:rsidRPr="00107EB8">
        <w:t xml:space="preserve"> those with no mutation identified or those who underwent non-genetic diagnosis).</w:t>
      </w:r>
    </w:p>
    <w:p w14:paraId="308EEE57" w14:textId="21798F93" w:rsidR="00B71C97" w:rsidRDefault="00C064F2" w:rsidP="00CD3F08">
      <w:pPr>
        <w:spacing w:before="240" w:after="240"/>
      </w:pPr>
      <w:r>
        <w:t xml:space="preserve">ESC noted an apparent increase in use of </w:t>
      </w:r>
      <w:r w:rsidRPr="00620199">
        <w:t xml:space="preserve">lipid-lowering </w:t>
      </w:r>
      <w:r>
        <w:t>treatments (LLT) in those who were found to have FH mutations. A single Brazilian case series showed some increased uptake of medication in those who were mutation positive but a small decrease in those who were mutation negative; however, the study showed very little change in smoking behaviour.</w:t>
      </w:r>
    </w:p>
    <w:p w14:paraId="66038A95" w14:textId="6C7ECE17" w:rsidR="00C064F2" w:rsidRDefault="00C064F2" w:rsidP="00CD3F08">
      <w:pPr>
        <w:spacing w:after="240"/>
      </w:pPr>
      <w:r>
        <w:t>ESC noted that no studies were identified that assessed the analytical sensitivity and specificity of genetic cascade testing for FH compared with the comparator (lipid testing only) or Sanger sequencing as a reference standard.</w:t>
      </w:r>
    </w:p>
    <w:p w14:paraId="5E644B54" w14:textId="07A896A0" w:rsidR="00C064F2" w:rsidRDefault="00C064F2" w:rsidP="00CD3F08">
      <w:pPr>
        <w:spacing w:after="240"/>
      </w:pPr>
      <w:r>
        <w:t xml:space="preserve">ESC noted that two studies examined the prognostic value of </w:t>
      </w:r>
      <w:r w:rsidRPr="005936A9">
        <w:t>cascade testing</w:t>
      </w:r>
      <w:r>
        <w:t xml:space="preserve">. </w:t>
      </w:r>
      <w:r w:rsidRPr="005936A9">
        <w:t xml:space="preserve">Relatives with a diagnosed familial mutation </w:t>
      </w:r>
      <w:r>
        <w:t>are at</w:t>
      </w:r>
      <w:r w:rsidRPr="005936A9">
        <w:t xml:space="preserve"> an increased risk of adverse coronary and cardiovascular events. </w:t>
      </w:r>
      <w:r>
        <w:t>However, m</w:t>
      </w:r>
      <w:r w:rsidRPr="005936A9">
        <w:t xml:space="preserve">utation-negative relatives still seem to have a slightly higher risk when compared </w:t>
      </w:r>
      <w:r>
        <w:t>with</w:t>
      </w:r>
      <w:r w:rsidRPr="005936A9">
        <w:t xml:space="preserve"> the general population.</w:t>
      </w:r>
    </w:p>
    <w:p w14:paraId="5A466300" w14:textId="2B46F157" w:rsidR="00C064F2" w:rsidRDefault="00C064F2" w:rsidP="00CD3F08">
      <w:pPr>
        <w:spacing w:after="240"/>
      </w:pPr>
      <w:r w:rsidRPr="00620199">
        <w:t xml:space="preserve">ESC noted that the greatest </w:t>
      </w:r>
      <w:r>
        <w:t>benefits</w:t>
      </w:r>
      <w:r w:rsidRPr="00620199">
        <w:t xml:space="preserve"> of </w:t>
      </w:r>
      <w:r>
        <w:t>genetic testing for FH</w:t>
      </w:r>
      <w:r w:rsidRPr="00620199">
        <w:t xml:space="preserve"> </w:t>
      </w:r>
      <w:r>
        <w:t>come from the clinical utility gained from</w:t>
      </w:r>
      <w:r w:rsidRPr="00620199">
        <w:t xml:space="preserve"> cascade testing, not testing</w:t>
      </w:r>
      <w:r w:rsidR="0030646E">
        <w:t xml:space="preserve"> of affected individuals</w:t>
      </w:r>
      <w:r w:rsidRPr="00620199">
        <w:t>. Diagnosing non</w:t>
      </w:r>
      <w:r>
        <w:t>-</w:t>
      </w:r>
      <w:r w:rsidRPr="00620199">
        <w:t>symptomatic family members can lead to a change in management through</w:t>
      </w:r>
      <w:r>
        <w:t xml:space="preserve">, </w:t>
      </w:r>
      <w:r w:rsidRPr="00620199">
        <w:t>for example, lifestyle and behaviour</w:t>
      </w:r>
      <w:r>
        <w:t xml:space="preserve">al changes, </w:t>
      </w:r>
      <w:r w:rsidRPr="00620199">
        <w:t xml:space="preserve">and </w:t>
      </w:r>
      <w:r>
        <w:t>uptake of LLT</w:t>
      </w:r>
      <w:r w:rsidRPr="00620199">
        <w:t xml:space="preserve">. </w:t>
      </w:r>
      <w:r w:rsidRPr="00AA449D">
        <w:t>Five before</w:t>
      </w:r>
      <w:r>
        <w:t>-</w:t>
      </w:r>
      <w:r w:rsidRPr="00AA449D">
        <w:t>and</w:t>
      </w:r>
      <w:r>
        <w:t>-</w:t>
      </w:r>
      <w:r w:rsidRPr="00AA449D">
        <w:t xml:space="preserve">after case series </w:t>
      </w:r>
      <w:r>
        <w:t>(two of them Australian with overlapping populations) reported reductions in LDL cholesterol in family members (adults and children) after cascade screening.</w:t>
      </w:r>
    </w:p>
    <w:p w14:paraId="1B8A01CA" w14:textId="1E925962" w:rsidR="00C064F2" w:rsidRDefault="00C064F2" w:rsidP="00CD3F08">
      <w:pPr>
        <w:spacing w:after="240"/>
      </w:pPr>
      <w:r>
        <w:t xml:space="preserve">ESC noted that three qualitative publications were identified that examined the psychological impact of genetic testing in family members. The studies found </w:t>
      </w:r>
      <w:r w:rsidRPr="00E04E28">
        <w:t xml:space="preserve">no discernible difference in impact for those whose diagnostic assessment included a genetic test compared with those without genetic testing. </w:t>
      </w:r>
      <w:r>
        <w:t xml:space="preserve">The </w:t>
      </w:r>
      <w:r w:rsidRPr="00E04E28">
        <w:t xml:space="preserve">psychological impact of being approached for the screening program was minimal. </w:t>
      </w:r>
      <w:r>
        <w:t xml:space="preserve">The studies showed a </w:t>
      </w:r>
      <w:r w:rsidRPr="00E04E28">
        <w:t xml:space="preserve">small significant change in quality of life after genetic testing for FH, </w:t>
      </w:r>
      <w:r>
        <w:t xml:space="preserve">but this was </w:t>
      </w:r>
      <w:r w:rsidRPr="00E04E28">
        <w:t>not considered to be clinically relevant</w:t>
      </w:r>
      <w:r>
        <w:t>.</w:t>
      </w:r>
      <w:r w:rsidRPr="00620199">
        <w:t xml:space="preserve"> However, ESC noted uncertainties around the </w:t>
      </w:r>
      <w:r>
        <w:t xml:space="preserve">potential </w:t>
      </w:r>
      <w:r w:rsidRPr="00620199">
        <w:t xml:space="preserve">uptake rate of cascade testing. Current data suggest that </w:t>
      </w:r>
      <w:r>
        <w:t xml:space="preserve">at least </w:t>
      </w:r>
      <w:r w:rsidRPr="006B100F">
        <w:t>65,000</w:t>
      </w:r>
      <w:r>
        <w:t> </w:t>
      </w:r>
      <w:r w:rsidRPr="006B100F">
        <w:t>people in Australia have the condition, but only about 400</w:t>
      </w:r>
      <w:r>
        <w:t> </w:t>
      </w:r>
      <w:r w:rsidRPr="006B100F">
        <w:t>people undergo cascade testing</w:t>
      </w:r>
      <w:r>
        <w:t xml:space="preserve"> each year</w:t>
      </w:r>
      <w:r w:rsidRPr="006B100F">
        <w:t>.</w:t>
      </w:r>
    </w:p>
    <w:p w14:paraId="1C444400" w14:textId="4FA0FB8D" w:rsidR="00C064F2" w:rsidRDefault="00C064F2" w:rsidP="00CD3F08">
      <w:pPr>
        <w:spacing w:after="240"/>
      </w:pPr>
      <w:r>
        <w:t xml:space="preserve">ESC noted data from Western Australia, where </w:t>
      </w:r>
      <w:r w:rsidRPr="00200278">
        <w:t>the process of cascade testing</w:t>
      </w:r>
      <w:r>
        <w:t xml:space="preserve"> is</w:t>
      </w:r>
      <w:r w:rsidRPr="008B6C33">
        <w:t xml:space="preserve"> </w:t>
      </w:r>
      <w:r>
        <w:t>centralised, showing that about 9% of people took up testing if it was possible that a relative had a mutation, but more than 90% took up testing if a relative probably or definitely had a mutation. ESC considered that this is probably an overestimate and the likely rate of uptake in Australia is uncertain.</w:t>
      </w:r>
    </w:p>
    <w:p w14:paraId="01F17B09" w14:textId="77777777" w:rsidR="00C064F2" w:rsidRDefault="00C064F2" w:rsidP="00B71C97">
      <w:r>
        <w:t>ESC noted that two randomised trials reviewed the benefits of cascade testing for FH and showed conflicting results:</w:t>
      </w:r>
    </w:p>
    <w:p w14:paraId="2809C33D" w14:textId="29CAC876" w:rsidR="00C064F2" w:rsidRDefault="00B71C97" w:rsidP="00C064F2">
      <w:pPr>
        <w:pStyle w:val="ListParagraph"/>
        <w:numPr>
          <w:ilvl w:val="0"/>
          <w:numId w:val="26"/>
        </w:numPr>
        <w:spacing w:after="240"/>
      </w:pPr>
      <w:r>
        <w:lastRenderedPageBreak/>
        <w:t>i</w:t>
      </w:r>
      <w:r w:rsidR="00C064F2">
        <w:t>n a United States study (conference poster), index cases were asked to contact their relatives to encourage screening; cascade screening was low, but significantly higher in those in the genetic testing arm than in the lipid arm</w:t>
      </w:r>
      <w:r>
        <w:t>; and</w:t>
      </w:r>
    </w:p>
    <w:p w14:paraId="1993D322" w14:textId="6AC9A758" w:rsidR="00C064F2" w:rsidRDefault="00B71C97" w:rsidP="00C064F2">
      <w:pPr>
        <w:pStyle w:val="ListParagraph"/>
        <w:numPr>
          <w:ilvl w:val="0"/>
          <w:numId w:val="27"/>
        </w:numPr>
        <w:spacing w:after="240"/>
      </w:pPr>
      <w:r>
        <w:t>i</w:t>
      </w:r>
      <w:r w:rsidR="00C064F2">
        <w:t>n a United Kingdom study, index cases provided details of relatives for a nurse to contact; overall uptake was higher than in the US, but those in the lipid screening arm had higher uptake than the genetic testing arm.</w:t>
      </w:r>
    </w:p>
    <w:p w14:paraId="38B9EAE8" w14:textId="06C08E17" w:rsidR="00C064F2" w:rsidRDefault="00C064F2" w:rsidP="00CD3F08">
      <w:pPr>
        <w:spacing w:after="240"/>
      </w:pPr>
      <w:r>
        <w:t>ESC noted that, as for</w:t>
      </w:r>
      <w:r w:rsidRPr="00200278">
        <w:t xml:space="preserve"> most genetic testing applications, the ‘value of knowing’ </w:t>
      </w:r>
      <w:r>
        <w:t>was</w:t>
      </w:r>
      <w:r w:rsidRPr="00200278">
        <w:t xml:space="preserve"> not addressed in any studies.</w:t>
      </w:r>
    </w:p>
    <w:p w14:paraId="6B8759B8" w14:textId="75AABB5E" w:rsidR="00C064F2" w:rsidRDefault="00C064F2" w:rsidP="00CD3F08">
      <w:pPr>
        <w:spacing w:after="240"/>
      </w:pPr>
      <w:r>
        <w:t>ESC noted that the economic evaluation was a clinical-utility analysis using a decision tree and Markov cohort model, with assumptions based on inconclusive findings from a systematic review. The comparator was l</w:t>
      </w:r>
      <w:r w:rsidRPr="00B558A4">
        <w:t xml:space="preserve">ipid testing only </w:t>
      </w:r>
      <w:r>
        <w:t>(</w:t>
      </w:r>
      <w:r w:rsidRPr="00B558A4">
        <w:t xml:space="preserve">vs </w:t>
      </w:r>
      <w:r>
        <w:t>l</w:t>
      </w:r>
      <w:r w:rsidRPr="00B558A4">
        <w:t xml:space="preserve">ipid testing </w:t>
      </w:r>
      <w:r>
        <w:t>plus</w:t>
      </w:r>
      <w:r w:rsidRPr="00B558A4">
        <w:t xml:space="preserve"> genetic testing</w:t>
      </w:r>
      <w:r>
        <w:t>,</w:t>
      </w:r>
      <w:r w:rsidRPr="00B558A4">
        <w:t xml:space="preserve"> followed by family cascade screening</w:t>
      </w:r>
      <w:r>
        <w:t xml:space="preserve">). </w:t>
      </w:r>
      <w:r w:rsidRPr="00B558A4">
        <w:t xml:space="preserve">The main difference in the </w:t>
      </w:r>
      <w:r>
        <w:t>two</w:t>
      </w:r>
      <w:r w:rsidRPr="00B558A4">
        <w:t xml:space="preserve"> scenarios </w:t>
      </w:r>
      <w:r>
        <w:t>was the</w:t>
      </w:r>
      <w:r w:rsidRPr="00B558A4">
        <w:t xml:space="preserve"> benefits and costs associated with identification of a mutation </w:t>
      </w:r>
      <w:r>
        <w:t>(</w:t>
      </w:r>
      <w:r w:rsidRPr="00B558A4">
        <w:t>when present</w:t>
      </w:r>
      <w:r>
        <w:t>),</w:t>
      </w:r>
      <w:r w:rsidRPr="00B558A4">
        <w:t xml:space="preserve"> </w:t>
      </w:r>
      <w:r>
        <w:t>resulting from</w:t>
      </w:r>
      <w:r w:rsidRPr="00B558A4">
        <w:t xml:space="preserve"> reduced incidence in </w:t>
      </w:r>
      <w:r>
        <w:t>cardiovascular</w:t>
      </w:r>
      <w:r w:rsidRPr="00B558A4">
        <w:t xml:space="preserve"> events</w:t>
      </w:r>
      <w:r>
        <w:t>.</w:t>
      </w:r>
    </w:p>
    <w:p w14:paraId="3EEE4DA9" w14:textId="11CF09F3" w:rsidR="00C064F2" w:rsidRDefault="00C064F2" w:rsidP="00CD3F08">
      <w:pPr>
        <w:spacing w:after="240"/>
      </w:pPr>
      <w:r>
        <w:t>ESC noted that the sensitivity and specificity of mutation testing was assumed to be 100%. Evidence on effectiveness (change in management) was based on before-and-after case series which ESC considered to be an issue with the model. The model included a 1-year cycle length and a lifetime time horizon.</w:t>
      </w:r>
    </w:p>
    <w:p w14:paraId="6F75A7DE" w14:textId="2972C662" w:rsidR="00C064F2" w:rsidRDefault="00C064F2" w:rsidP="00CD3F08">
      <w:pPr>
        <w:spacing w:after="240"/>
      </w:pPr>
      <w:r>
        <w:t xml:space="preserve">Because some assumptions for the cohort </w:t>
      </w:r>
      <w:r w:rsidR="0030646E">
        <w:t xml:space="preserve">of affected individuals </w:t>
      </w:r>
      <w:r>
        <w:t>were based on data from lipid clinics, ESC queried the applicability of these assumptions if GPs request tests. If the diagnostic yield is lower (because the risk of patients is lower in general practice than in lipid clinics), the ICER would be higher.</w:t>
      </w:r>
    </w:p>
    <w:p w14:paraId="52072CA2" w14:textId="5A01AE8B" w:rsidR="00C064F2" w:rsidRDefault="00C064F2" w:rsidP="00CD3F08">
      <w:pPr>
        <w:spacing w:after="240"/>
      </w:pPr>
      <w:r>
        <w:t xml:space="preserve">ESC noted that the results of the evaluation will be affected by the uncertain uptake of cascade testing. There is no evidence in the Australian setting, so the evaluation assumed a weighted average of </w:t>
      </w:r>
      <w:r w:rsidRPr="00981A16">
        <w:t xml:space="preserve">48.7% </w:t>
      </w:r>
      <w:r>
        <w:t xml:space="preserve">of </w:t>
      </w:r>
      <w:r w:rsidRPr="00981A16">
        <w:t>first</w:t>
      </w:r>
      <w:r>
        <w:t>-</w:t>
      </w:r>
      <w:r w:rsidRPr="00981A16">
        <w:t xml:space="preserve"> and secon</w:t>
      </w:r>
      <w:r>
        <w:t>d-</w:t>
      </w:r>
      <w:r w:rsidRPr="00981A16">
        <w:t>degree relatives</w:t>
      </w:r>
      <w:r>
        <w:t>. A higher or lower uptake will affect the ICER. ESC also queried whether the clinical benefit in children</w:t>
      </w:r>
      <w:r w:rsidRPr="008B6C33">
        <w:t xml:space="preserve"> </w:t>
      </w:r>
      <w:r>
        <w:t>was fully captured.</w:t>
      </w:r>
    </w:p>
    <w:p w14:paraId="033F0FEE" w14:textId="2401CE1C" w:rsidR="00C064F2" w:rsidRDefault="00C064F2" w:rsidP="00CD3F08">
      <w:pPr>
        <w:spacing w:after="240"/>
      </w:pPr>
      <w:r>
        <w:t>ESC noted that, given the uncertainties in the clinical evidence, the CA used a stepped approach (rather than two models as suggested by PASC). ESC considered this to be appropriate. Based on the best available evidence, the CA estimated an ICER of $24,907 per quality-adjusted life year (QALY).</w:t>
      </w:r>
    </w:p>
    <w:p w14:paraId="2552DDFA" w14:textId="77777777" w:rsidR="00C064F2" w:rsidRDefault="00C064F2" w:rsidP="00B71C97">
      <w:r>
        <w:t>ESC noted the assumptions applied in the model:</w:t>
      </w:r>
    </w:p>
    <w:p w14:paraId="771A825B" w14:textId="0EEED31D" w:rsidR="00C064F2" w:rsidRDefault="00C064F2" w:rsidP="00C064F2">
      <w:pPr>
        <w:pStyle w:val="ListParagraph"/>
        <w:numPr>
          <w:ilvl w:val="0"/>
          <w:numId w:val="28"/>
        </w:numPr>
        <w:spacing w:after="240"/>
      </w:pPr>
      <w:r>
        <w:t xml:space="preserve">for </w:t>
      </w:r>
      <w:r w:rsidR="00C9104B">
        <w:t>a</w:t>
      </w:r>
      <w:r w:rsidR="00C9104B" w:rsidRPr="00C9104B">
        <w:t>ffected individuals</w:t>
      </w:r>
      <w:r w:rsidR="00C9104B">
        <w:t>,</w:t>
      </w:r>
      <w:r>
        <w:t xml:space="preserve"> there is no change in management </w:t>
      </w:r>
    </w:p>
    <w:p w14:paraId="4F07D94A" w14:textId="77777777" w:rsidR="00C064F2" w:rsidRDefault="00C064F2" w:rsidP="00C064F2">
      <w:pPr>
        <w:pStyle w:val="ListParagraph"/>
        <w:numPr>
          <w:ilvl w:val="0"/>
          <w:numId w:val="28"/>
        </w:numPr>
        <w:spacing w:after="240"/>
      </w:pPr>
      <w:r>
        <w:t>cascade testing assumes first- and second-degree relatives only. If third-degree relatives</w:t>
      </w:r>
      <w:r w:rsidRPr="007664FC">
        <w:t xml:space="preserve"> </w:t>
      </w:r>
      <w:r>
        <w:t xml:space="preserve">are included, the </w:t>
      </w:r>
      <w:r w:rsidRPr="00200278">
        <w:t xml:space="preserve">ICER </w:t>
      </w:r>
      <w:r>
        <w:t>is marginal (</w:t>
      </w:r>
      <w:r w:rsidRPr="00200278">
        <w:t>$37,446</w:t>
      </w:r>
      <w:r>
        <w:t>)</w:t>
      </w:r>
      <w:r w:rsidRPr="00200278">
        <w:t xml:space="preserve"> and the additional financial implications are small</w:t>
      </w:r>
      <w:r>
        <w:t>;</w:t>
      </w:r>
      <w:r w:rsidRPr="007664FC">
        <w:t xml:space="preserve"> </w:t>
      </w:r>
      <w:r>
        <w:t>this has been s</w:t>
      </w:r>
      <w:r w:rsidRPr="00200278">
        <w:t xml:space="preserve">hown to be cost-effective in other </w:t>
      </w:r>
      <w:r>
        <w:t>economic evaluations</w:t>
      </w:r>
      <w:r w:rsidRPr="00200278">
        <w:t xml:space="preserve"> (e</w:t>
      </w:r>
      <w:r>
        <w:t>.</w:t>
      </w:r>
      <w:r w:rsidRPr="00200278">
        <w:t>g</w:t>
      </w:r>
      <w:r>
        <w:t>. </w:t>
      </w:r>
      <w:r w:rsidRPr="00200278">
        <w:t>NICE).</w:t>
      </w:r>
    </w:p>
    <w:p w14:paraId="7B27CC03" w14:textId="77777777" w:rsidR="00C064F2" w:rsidRDefault="00C064F2" w:rsidP="00C064F2">
      <w:pPr>
        <w:pStyle w:val="ListParagraph"/>
        <w:numPr>
          <w:ilvl w:val="0"/>
          <w:numId w:val="28"/>
        </w:numPr>
        <w:spacing w:after="240"/>
      </w:pPr>
      <w:r>
        <w:t>uptake of cascade testing is higher for genetic testing than for lipid testing</w:t>
      </w:r>
    </w:p>
    <w:p w14:paraId="40CA9104" w14:textId="77777777" w:rsidR="00C064F2" w:rsidRDefault="00C064F2" w:rsidP="00C064F2">
      <w:pPr>
        <w:pStyle w:val="ListParagraph"/>
        <w:numPr>
          <w:ilvl w:val="0"/>
          <w:numId w:val="28"/>
        </w:numPr>
        <w:spacing w:after="240"/>
      </w:pPr>
      <w:r>
        <w:t>more mutation positive relatives take up treatment after genetic cascade screening than after lipid cascade screening.</w:t>
      </w:r>
    </w:p>
    <w:p w14:paraId="08F7B0FE" w14:textId="4AB0AD82" w:rsidR="00C064F2" w:rsidRDefault="00C064F2" w:rsidP="00C064F2">
      <w:r>
        <w:t>ESC noted that</w:t>
      </w:r>
      <w:r w:rsidR="00B71C97">
        <w:t>,</w:t>
      </w:r>
      <w:r>
        <w:t xml:space="preserve"> i</w:t>
      </w:r>
      <w:r w:rsidRPr="005F566C">
        <w:t xml:space="preserve">f the benefits in the </w:t>
      </w:r>
      <w:r>
        <w:t>cascade</w:t>
      </w:r>
      <w:r w:rsidRPr="005F566C">
        <w:t xml:space="preserve"> group are lower (</w:t>
      </w:r>
      <w:r>
        <w:t>e.g. </w:t>
      </w:r>
      <w:r w:rsidRPr="005F566C">
        <w:t>due to lower testing uptake resulting in lower rates of management change)</w:t>
      </w:r>
      <w:r w:rsidR="00B71C97">
        <w:t>,</w:t>
      </w:r>
      <w:r w:rsidRPr="005F566C">
        <w:t xml:space="preserve"> then </w:t>
      </w:r>
      <w:r>
        <w:t xml:space="preserve">the </w:t>
      </w:r>
      <w:r w:rsidRPr="005F566C">
        <w:t xml:space="preserve">predicted </w:t>
      </w:r>
      <w:r>
        <w:t>ICER will be higher. ESC also noted that the c</w:t>
      </w:r>
      <w:r w:rsidRPr="005F566C">
        <w:t>ost of statin</w:t>
      </w:r>
      <w:r>
        <w:t xml:space="preserve">s is </w:t>
      </w:r>
      <w:r w:rsidRPr="005F566C">
        <w:t xml:space="preserve">likely </w:t>
      </w:r>
      <w:bookmarkStart w:id="21" w:name="Editing"/>
      <w:bookmarkEnd w:id="21"/>
      <w:r w:rsidRPr="005F566C">
        <w:t xml:space="preserve">to </w:t>
      </w:r>
      <w:r w:rsidR="00B71C97">
        <w:t>reduce</w:t>
      </w:r>
      <w:r w:rsidRPr="005F566C">
        <w:t xml:space="preserve"> over time</w:t>
      </w:r>
      <w:r>
        <w:t>, which would</w:t>
      </w:r>
      <w:r w:rsidRPr="005F566C">
        <w:t xml:space="preserve"> </w:t>
      </w:r>
      <w:r>
        <w:t>improve the ICER.</w:t>
      </w:r>
    </w:p>
    <w:p w14:paraId="3B4671D2" w14:textId="40D0C6D3" w:rsidR="00C064F2" w:rsidRDefault="00C064F2" w:rsidP="00CD3F08">
      <w:pPr>
        <w:spacing w:after="240"/>
      </w:pPr>
      <w:r>
        <w:lastRenderedPageBreak/>
        <w:t xml:space="preserve">ESC noted that cascade screening has been found to be highly cost-effective to dominant in other studies. However, due to the uncertainty about applicability of the lipid clinic evidence to the GP setting and considerable uncertainty in incremental effectiveness, ESC </w:t>
      </w:r>
      <w:r w:rsidR="00424BD2">
        <w:t xml:space="preserve">expressed reservations about any </w:t>
      </w:r>
      <w:r w:rsidRPr="00223E0C">
        <w:t xml:space="preserve">conclusion of </w:t>
      </w:r>
      <w:r w:rsidR="00424BD2">
        <w:t xml:space="preserve">acceptable </w:t>
      </w:r>
      <w:r w:rsidRPr="00223E0C">
        <w:t>cost-effectiveness, or otherwise</w:t>
      </w:r>
      <w:r>
        <w:t>.</w:t>
      </w:r>
    </w:p>
    <w:p w14:paraId="69A8BFEF" w14:textId="7C9B8369" w:rsidR="00C064F2" w:rsidRDefault="00C064F2" w:rsidP="00CD3F08">
      <w:pPr>
        <w:spacing w:after="240"/>
      </w:pPr>
      <w:r>
        <w:t>ESC noted that estimates of financial and budgetary impacts assumed a 5% increase in the number of diagnostic and predictive tests each year due to increased access and affordability if testing was available through GPs. ESC co</w:t>
      </w:r>
      <w:r w:rsidR="00424BD2">
        <w:t>nsidered this to be reasonable.</w:t>
      </w:r>
    </w:p>
    <w:p w14:paraId="09D81D1A" w14:textId="79156D7D" w:rsidR="00C064F2" w:rsidRDefault="00C064F2" w:rsidP="00C064F2">
      <w:r w:rsidRPr="00200278">
        <w:t xml:space="preserve">ESC suggested that more data be collected </w:t>
      </w:r>
      <w:r>
        <w:t>to determine</w:t>
      </w:r>
      <w:r w:rsidRPr="00200278">
        <w:t xml:space="preserve"> the likely uptake rate of cascade testing. Western Australia may be able to provide more information about uptake rates</w:t>
      </w:r>
      <w:r>
        <w:t>;</w:t>
      </w:r>
      <w:r w:rsidRPr="00200278">
        <w:t xml:space="preserve"> </w:t>
      </w:r>
      <w:r>
        <w:t xml:space="preserve">the </w:t>
      </w:r>
      <w:r w:rsidRPr="00200278">
        <w:t xml:space="preserve">MSAC Secretariat </w:t>
      </w:r>
      <w:r w:rsidR="00424BD2">
        <w:t xml:space="preserve">agreed to </w:t>
      </w:r>
      <w:r w:rsidRPr="00200278">
        <w:t xml:space="preserve">approach Western Australia about </w:t>
      </w:r>
      <w:r>
        <w:t>obtaining more information. ESC suggested that a wider range of cascade testing uptake (for example, 5–95%) w</w:t>
      </w:r>
      <w:r w:rsidR="00424BD2">
        <w:t>ould</w:t>
      </w:r>
      <w:r>
        <w:t xml:space="preserve"> provide more information about how sensitive cost-effectiveness</w:t>
      </w:r>
      <w:r w:rsidRPr="00375735">
        <w:t xml:space="preserve"> </w:t>
      </w:r>
      <w:r>
        <w:t xml:space="preserve">is to this variable. ESC also suggested reviewing the </w:t>
      </w:r>
      <w:r w:rsidR="00424BD2">
        <w:t xml:space="preserve">proposed MBS </w:t>
      </w:r>
      <w:r>
        <w:t>item descriptors to determine if these can be worded in such a way to encourage uptake of cascade testing. People having access to genetic testing is also crucial for increasing uptake.</w:t>
      </w:r>
    </w:p>
    <w:p w14:paraId="42E129CA" w14:textId="77777777" w:rsidR="00D90A38" w:rsidRDefault="00BC1364" w:rsidP="00F715D1">
      <w:pPr>
        <w:pStyle w:val="Heading1"/>
      </w:pPr>
      <w:r w:rsidRPr="00F715D1">
        <w:t>Other significant factors</w:t>
      </w:r>
    </w:p>
    <w:p w14:paraId="530CFED3" w14:textId="70E628CD" w:rsidR="00C064F2" w:rsidRPr="00424BD2" w:rsidRDefault="00424BD2" w:rsidP="00C064F2">
      <w:pPr>
        <w:pStyle w:val="Tablefooter"/>
        <w:rPr>
          <w:rFonts w:ascii="Times New Roman" w:hAnsi="Times New Roman" w:cs="Times New Roman"/>
          <w:sz w:val="24"/>
          <w:szCs w:val="24"/>
        </w:rPr>
      </w:pPr>
      <w:r>
        <w:rPr>
          <w:rFonts w:ascii="Times New Roman" w:hAnsi="Times New Roman" w:cs="Times New Roman"/>
          <w:sz w:val="24"/>
          <w:szCs w:val="24"/>
        </w:rPr>
        <w:t>Nil.</w:t>
      </w:r>
    </w:p>
    <w:p w14:paraId="3498D9B1" w14:textId="77777777" w:rsidR="00BC1364" w:rsidRDefault="00BC1364" w:rsidP="00F715D1">
      <w:pPr>
        <w:pStyle w:val="Heading1"/>
      </w:pPr>
      <w:r w:rsidRPr="00F715D1">
        <w:t xml:space="preserve">Applicant’s comments on MSAC’s </w:t>
      </w:r>
      <w:r w:rsidR="00DA56AA" w:rsidRPr="00F715D1">
        <w:t>Public Summary Document</w:t>
      </w:r>
    </w:p>
    <w:p w14:paraId="11BCF0AE" w14:textId="77777777" w:rsidR="00460B4D" w:rsidRPr="00460B4D" w:rsidRDefault="00201EF4" w:rsidP="00460B4D">
      <w:pPr>
        <w:spacing w:after="120"/>
      </w:pPr>
      <w:r w:rsidRPr="00B63830">
        <w:t xml:space="preserve">The </w:t>
      </w:r>
      <w:r w:rsidR="00541650" w:rsidRPr="00B63830">
        <w:t>Royal College of Pathologists of Australasia is</w:t>
      </w:r>
      <w:r w:rsidRPr="00B63830">
        <w:t xml:space="preserve"> pleased with the recommendation by </w:t>
      </w:r>
      <w:r w:rsidR="00541650" w:rsidRPr="00B63830">
        <w:t xml:space="preserve">the </w:t>
      </w:r>
      <w:r w:rsidRPr="00B63830">
        <w:t xml:space="preserve">MSAC </w:t>
      </w:r>
      <w:r w:rsidR="00541650" w:rsidRPr="00B63830">
        <w:t xml:space="preserve">to </w:t>
      </w:r>
      <w:r w:rsidRPr="00B63830">
        <w:t xml:space="preserve">support MBS listing of </w:t>
      </w:r>
      <w:r w:rsidR="00541650" w:rsidRPr="00B63830">
        <w:t>genetic</w:t>
      </w:r>
      <w:r w:rsidR="00541650" w:rsidRPr="00541650">
        <w:t xml:space="preserve"> testing for heritable mutations predisposing to familial hypercholesterolaemia</w:t>
      </w:r>
      <w:r w:rsidR="00541650">
        <w:t xml:space="preserve"> i</w:t>
      </w:r>
      <w:r w:rsidR="00541650" w:rsidRPr="00541650">
        <w:t xml:space="preserve">n clinically affected individuals, and </w:t>
      </w:r>
      <w:r w:rsidR="00460B4D" w:rsidRPr="00460B4D">
        <w:t>targeted cascade testing in first and second-degree relatives of those affected individuals with a confirmed genetic diagnosis.</w:t>
      </w:r>
    </w:p>
    <w:p w14:paraId="6E4604F4" w14:textId="24EF53D0" w:rsidR="00541650" w:rsidRDefault="00B63830" w:rsidP="00B63830">
      <w:pPr>
        <w:spacing w:after="120"/>
      </w:pPr>
      <w:r>
        <w:t xml:space="preserve">The RCPA notes that the clinical algorithm (Figure 1) </w:t>
      </w:r>
      <w:r w:rsidRPr="00541650">
        <w:t xml:space="preserve">allows for a “Commercial method for detecting specific pathogenic variants”, which </w:t>
      </w:r>
      <w:r>
        <w:t>then allows for</w:t>
      </w:r>
      <w:r w:rsidRPr="00541650">
        <w:t xml:space="preserve"> ML</w:t>
      </w:r>
      <w:r w:rsidR="00416121" w:rsidRPr="00541650">
        <w:t>P</w:t>
      </w:r>
      <w:r w:rsidRPr="00541650">
        <w:t xml:space="preserve">A and comprehensive sequencing </w:t>
      </w:r>
      <w:r>
        <w:t xml:space="preserve">to be conducted </w:t>
      </w:r>
      <w:r w:rsidRPr="00541650">
        <w:t>if no mutation is forthcoming.</w:t>
      </w:r>
      <w:r>
        <w:t xml:space="preserve"> It may be helpful to </w:t>
      </w:r>
      <w:r w:rsidR="00541650" w:rsidRPr="00541650">
        <w:t xml:space="preserve">stipulate that the Medicare Schedule fee should only be payable if a pathology provider undertakes this, or an equivalent process, to </w:t>
      </w:r>
      <w:r w:rsidR="00541650" w:rsidRPr="00B63830">
        <w:rPr>
          <w:i/>
        </w:rPr>
        <w:t>completion</w:t>
      </w:r>
      <w:r w:rsidR="00541650" w:rsidRPr="00541650">
        <w:t>. It would be inappropriate if a laboratory was paid for partial testing and the negative samples were referred on to another (public) lab</w:t>
      </w:r>
      <w:r>
        <w:t>oratory</w:t>
      </w:r>
      <w:r w:rsidR="00541650" w:rsidRPr="00541650">
        <w:t xml:space="preserve"> for testing that may not be eligible for full remuneration.</w:t>
      </w:r>
    </w:p>
    <w:p w14:paraId="3FFDC344" w14:textId="511588B6" w:rsidR="00541650" w:rsidRDefault="00B63830" w:rsidP="00541650">
      <w:r>
        <w:t xml:space="preserve">In addition, the background states that </w:t>
      </w:r>
      <w:r w:rsidR="00541650">
        <w:t>“Currently, fees for genetic testing of genes associated with FH vary widely across Australia; between $800.00 for exon-by-exon sequencing of the LDLR gene plus select regions in PCSK9 and APOB (by SA Pathology) and $1,664.00 for a panel that includes APOB, CETP, LDLR, LDLRAP1, LIPA, PCSK9, STAP1 and also includes genetic counselling (by Sonic Genetics). Current fees for cascade testing (of a known mutation) were reported as $132 by SA Pathology and $200 by Master Pathology in Queensland</w:t>
      </w:r>
      <w:r>
        <w:t>.</w:t>
      </w:r>
      <w:r w:rsidR="00541650">
        <w:t>”</w:t>
      </w:r>
      <w:r>
        <w:t xml:space="preserve"> </w:t>
      </w:r>
      <w:r w:rsidR="009D4344">
        <w:t xml:space="preserve">The exon-by-exon sequencing attributed to SA Pathology </w:t>
      </w:r>
      <w:r w:rsidR="008C1AAF">
        <w:t xml:space="preserve">in this statement </w:t>
      </w:r>
      <w:r w:rsidR="009D4344">
        <w:t>was actually conducted by WA Health and is no longer routinely performed. Similarly, cascade testing</w:t>
      </w:r>
      <w:r w:rsidR="009D4344" w:rsidRPr="009D4344">
        <w:t xml:space="preserve"> </w:t>
      </w:r>
      <w:r w:rsidR="009D4344">
        <w:t xml:space="preserve">attributed to SA Pathology is also conducted by WA Health (samples are referred from SA Pathology to WA Health). The panel test currently used by WA Health for a fee of $1,100 includes the genes </w:t>
      </w:r>
      <w:r w:rsidR="009D4344" w:rsidRPr="009D4344">
        <w:rPr>
          <w:i/>
        </w:rPr>
        <w:t>LDLR, APOB, PCSK9, APOE, LDLRAP1, LIPA, ABCG5, ABCG8</w:t>
      </w:r>
      <w:r w:rsidR="009D4344">
        <w:t xml:space="preserve"> and </w:t>
      </w:r>
      <w:r w:rsidR="009D4344" w:rsidRPr="009D4344">
        <w:rPr>
          <w:i/>
        </w:rPr>
        <w:t>STAP1</w:t>
      </w:r>
      <w:r w:rsidR="009D4344">
        <w:t>.</w:t>
      </w:r>
    </w:p>
    <w:p w14:paraId="5A3F4A1D" w14:textId="77777777" w:rsidR="00BC1364" w:rsidRPr="00F715D1" w:rsidRDefault="00271F18" w:rsidP="00F715D1">
      <w:pPr>
        <w:pStyle w:val="Heading1"/>
      </w:pPr>
      <w:r w:rsidRPr="00F715D1">
        <w:lastRenderedPageBreak/>
        <w:t>Further information on MSAC</w:t>
      </w:r>
    </w:p>
    <w:p w14:paraId="490B1DAA"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3"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8F419" w14:textId="77777777" w:rsidR="00162774" w:rsidRDefault="00162774" w:rsidP="00065623">
      <w:r>
        <w:separator/>
      </w:r>
    </w:p>
  </w:endnote>
  <w:endnote w:type="continuationSeparator" w:id="0">
    <w:p w14:paraId="2343FE92" w14:textId="77777777" w:rsidR="00162774" w:rsidRDefault="0016277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A6B8" w14:textId="77777777" w:rsidR="002F3EA9" w:rsidRDefault="002F3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61A7224" w14:textId="719284B8" w:rsidR="00162774" w:rsidRDefault="00162774">
        <w:pPr>
          <w:pStyle w:val="Footer"/>
          <w:jc w:val="right"/>
        </w:pPr>
        <w:r>
          <w:fldChar w:fldCharType="begin"/>
        </w:r>
        <w:r>
          <w:instrText xml:space="preserve"> PAGE   \* MERGEFORMAT </w:instrText>
        </w:r>
        <w:r>
          <w:fldChar w:fldCharType="separate"/>
        </w:r>
        <w:r w:rsidR="002F3EA9">
          <w:rPr>
            <w:noProof/>
          </w:rPr>
          <w:t>1</w:t>
        </w:r>
        <w:r>
          <w:rPr>
            <w:noProof/>
          </w:rPr>
          <w:fldChar w:fldCharType="end"/>
        </w:r>
      </w:p>
    </w:sdtContent>
  </w:sdt>
  <w:p w14:paraId="1F99BA9A" w14:textId="77777777" w:rsidR="00162774" w:rsidRDefault="00162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4CE3" w14:textId="77777777" w:rsidR="002F3EA9" w:rsidRDefault="002F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99339" w14:textId="77777777" w:rsidR="00162774" w:rsidRDefault="00162774" w:rsidP="00065623">
      <w:r>
        <w:separator/>
      </w:r>
    </w:p>
  </w:footnote>
  <w:footnote w:type="continuationSeparator" w:id="0">
    <w:p w14:paraId="71863685" w14:textId="77777777" w:rsidR="00162774" w:rsidRDefault="00162774"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EA869" w14:textId="77777777" w:rsidR="002F3EA9" w:rsidRDefault="002F3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724F2" w14:textId="77777777" w:rsidR="002F3EA9" w:rsidRDefault="002F3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5093" w14:textId="77777777" w:rsidR="002F3EA9" w:rsidRDefault="002F3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EBD"/>
    <w:multiLevelType w:val="hybridMultilevel"/>
    <w:tmpl w:val="07F4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12B48C5"/>
    <w:multiLevelType w:val="hybridMultilevel"/>
    <w:tmpl w:val="D708D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5E3EBC"/>
    <w:multiLevelType w:val="hybridMultilevel"/>
    <w:tmpl w:val="7E9E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A6EDD"/>
    <w:multiLevelType w:val="hybridMultilevel"/>
    <w:tmpl w:val="A9E6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433242"/>
    <w:multiLevelType w:val="hybridMultilevel"/>
    <w:tmpl w:val="7900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70821"/>
    <w:multiLevelType w:val="hybridMultilevel"/>
    <w:tmpl w:val="1D2C7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7431BD4"/>
    <w:multiLevelType w:val="hybridMultilevel"/>
    <w:tmpl w:val="8464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1B04C7"/>
    <w:multiLevelType w:val="hybridMultilevel"/>
    <w:tmpl w:val="C5B65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0F657B"/>
    <w:multiLevelType w:val="hybridMultilevel"/>
    <w:tmpl w:val="73CA8BF8"/>
    <w:lvl w:ilvl="0" w:tplc="3E50D6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1E85C30"/>
    <w:multiLevelType w:val="hybridMultilevel"/>
    <w:tmpl w:val="D91811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D6C8B"/>
    <w:multiLevelType w:val="hybridMultilevel"/>
    <w:tmpl w:val="D3168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2"/>
  </w:num>
  <w:num w:numId="4">
    <w:abstractNumId w:val="22"/>
  </w:num>
  <w:num w:numId="5">
    <w:abstractNumId w:val="14"/>
  </w:num>
  <w:num w:numId="6">
    <w:abstractNumId w:val="21"/>
  </w:num>
  <w:num w:numId="7">
    <w:abstractNumId w:val="28"/>
  </w:num>
  <w:num w:numId="8">
    <w:abstractNumId w:val="16"/>
  </w:num>
  <w:num w:numId="9">
    <w:abstractNumId w:val="35"/>
  </w:num>
  <w:num w:numId="10">
    <w:abstractNumId w:val="1"/>
  </w:num>
  <w:num w:numId="11">
    <w:abstractNumId w:val="26"/>
  </w:num>
  <w:num w:numId="12">
    <w:abstractNumId w:val="30"/>
  </w:num>
  <w:num w:numId="13">
    <w:abstractNumId w:val="7"/>
  </w:num>
  <w:num w:numId="14">
    <w:abstractNumId w:val="34"/>
  </w:num>
  <w:num w:numId="15">
    <w:abstractNumId w:val="25"/>
  </w:num>
  <w:num w:numId="16">
    <w:abstractNumId w:val="31"/>
  </w:num>
  <w:num w:numId="17">
    <w:abstractNumId w:val="18"/>
  </w:num>
  <w:num w:numId="18">
    <w:abstractNumId w:val="19"/>
  </w:num>
  <w:num w:numId="19">
    <w:abstractNumId w:val="33"/>
  </w:num>
  <w:num w:numId="20">
    <w:abstractNumId w:val="32"/>
  </w:num>
  <w:num w:numId="21">
    <w:abstractNumId w:val="4"/>
  </w:num>
  <w:num w:numId="22">
    <w:abstractNumId w:val="13"/>
  </w:num>
  <w:num w:numId="23">
    <w:abstractNumId w:val="3"/>
  </w:num>
  <w:num w:numId="24">
    <w:abstractNumId w:val="12"/>
  </w:num>
  <w:num w:numId="25">
    <w:abstractNumId w:val="8"/>
  </w:num>
  <w:num w:numId="26">
    <w:abstractNumId w:val="9"/>
  </w:num>
  <w:num w:numId="27">
    <w:abstractNumId w:val="17"/>
  </w:num>
  <w:num w:numId="28">
    <w:abstractNumId w:val="0"/>
  </w:num>
  <w:num w:numId="29">
    <w:abstractNumId w:val="23"/>
  </w:num>
  <w:num w:numId="30">
    <w:abstractNumId w:val="24"/>
  </w:num>
  <w:num w:numId="31">
    <w:abstractNumId w:val="11"/>
  </w:num>
  <w:num w:numId="32">
    <w:abstractNumId w:val="27"/>
  </w:num>
  <w:num w:numId="33">
    <w:abstractNumId w:val="29"/>
  </w:num>
  <w:num w:numId="34">
    <w:abstractNumId w:val="15"/>
  </w:num>
  <w:num w:numId="35">
    <w:abstractNumId w:val="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317F2"/>
    <w:rsid w:val="00047606"/>
    <w:rsid w:val="00065623"/>
    <w:rsid w:val="000756B9"/>
    <w:rsid w:val="00081A23"/>
    <w:rsid w:val="00096B67"/>
    <w:rsid w:val="00096DAF"/>
    <w:rsid w:val="000C2F47"/>
    <w:rsid w:val="000D2B9A"/>
    <w:rsid w:val="000D6C00"/>
    <w:rsid w:val="000E4E04"/>
    <w:rsid w:val="000F14B4"/>
    <w:rsid w:val="000F75DF"/>
    <w:rsid w:val="000F7DAF"/>
    <w:rsid w:val="001023DC"/>
    <w:rsid w:val="001328FA"/>
    <w:rsid w:val="00147AAF"/>
    <w:rsid w:val="001552C0"/>
    <w:rsid w:val="00162774"/>
    <w:rsid w:val="001640B1"/>
    <w:rsid w:val="00175F9F"/>
    <w:rsid w:val="0018435E"/>
    <w:rsid w:val="00201EF4"/>
    <w:rsid w:val="002041A1"/>
    <w:rsid w:val="002054F0"/>
    <w:rsid w:val="00230D6B"/>
    <w:rsid w:val="00232068"/>
    <w:rsid w:val="002330F2"/>
    <w:rsid w:val="00243D9E"/>
    <w:rsid w:val="00253B66"/>
    <w:rsid w:val="00261DF1"/>
    <w:rsid w:val="00271F18"/>
    <w:rsid w:val="00282779"/>
    <w:rsid w:val="0028334D"/>
    <w:rsid w:val="002B77DF"/>
    <w:rsid w:val="002B7FFA"/>
    <w:rsid w:val="002C2BCF"/>
    <w:rsid w:val="002F279D"/>
    <w:rsid w:val="002F3EA9"/>
    <w:rsid w:val="002F43B8"/>
    <w:rsid w:val="0030646E"/>
    <w:rsid w:val="00336856"/>
    <w:rsid w:val="0034554D"/>
    <w:rsid w:val="00350F5B"/>
    <w:rsid w:val="00352224"/>
    <w:rsid w:val="003671E6"/>
    <w:rsid w:val="00384272"/>
    <w:rsid w:val="00386D67"/>
    <w:rsid w:val="003945B8"/>
    <w:rsid w:val="003A4AA5"/>
    <w:rsid w:val="003A7214"/>
    <w:rsid w:val="003D7F29"/>
    <w:rsid w:val="00405A6B"/>
    <w:rsid w:val="00407B1F"/>
    <w:rsid w:val="0041184F"/>
    <w:rsid w:val="00414C57"/>
    <w:rsid w:val="00416121"/>
    <w:rsid w:val="0041758C"/>
    <w:rsid w:val="00424BD2"/>
    <w:rsid w:val="004539DE"/>
    <w:rsid w:val="00460B4D"/>
    <w:rsid w:val="00471993"/>
    <w:rsid w:val="004A2CF1"/>
    <w:rsid w:val="004C3035"/>
    <w:rsid w:val="004C307F"/>
    <w:rsid w:val="004E4BA8"/>
    <w:rsid w:val="004F340F"/>
    <w:rsid w:val="004F7B7C"/>
    <w:rsid w:val="0051407B"/>
    <w:rsid w:val="00520CCC"/>
    <w:rsid w:val="0052243D"/>
    <w:rsid w:val="00532435"/>
    <w:rsid w:val="00541650"/>
    <w:rsid w:val="005479EB"/>
    <w:rsid w:val="00550354"/>
    <w:rsid w:val="00555D8A"/>
    <w:rsid w:val="00565345"/>
    <w:rsid w:val="00571236"/>
    <w:rsid w:val="00587DA8"/>
    <w:rsid w:val="005953A1"/>
    <w:rsid w:val="005A0BA5"/>
    <w:rsid w:val="005A4362"/>
    <w:rsid w:val="005A6854"/>
    <w:rsid w:val="005B5434"/>
    <w:rsid w:val="005D0332"/>
    <w:rsid w:val="005D0D8C"/>
    <w:rsid w:val="005D55BA"/>
    <w:rsid w:val="006119D9"/>
    <w:rsid w:val="006141CF"/>
    <w:rsid w:val="00647D4B"/>
    <w:rsid w:val="0066269A"/>
    <w:rsid w:val="006776AE"/>
    <w:rsid w:val="006A0D97"/>
    <w:rsid w:val="006B1F86"/>
    <w:rsid w:val="006C0A91"/>
    <w:rsid w:val="007054BB"/>
    <w:rsid w:val="00707064"/>
    <w:rsid w:val="00714696"/>
    <w:rsid w:val="00722D57"/>
    <w:rsid w:val="00730683"/>
    <w:rsid w:val="00741FC5"/>
    <w:rsid w:val="0075261F"/>
    <w:rsid w:val="0075468E"/>
    <w:rsid w:val="00756407"/>
    <w:rsid w:val="007665D8"/>
    <w:rsid w:val="00766E36"/>
    <w:rsid w:val="007765F4"/>
    <w:rsid w:val="00776633"/>
    <w:rsid w:val="007810B1"/>
    <w:rsid w:val="00782A91"/>
    <w:rsid w:val="00784D53"/>
    <w:rsid w:val="00797797"/>
    <w:rsid w:val="007A0726"/>
    <w:rsid w:val="007A63C9"/>
    <w:rsid w:val="007B32D1"/>
    <w:rsid w:val="007B7095"/>
    <w:rsid w:val="007D24E1"/>
    <w:rsid w:val="007D6288"/>
    <w:rsid w:val="007F4CE9"/>
    <w:rsid w:val="007F4E20"/>
    <w:rsid w:val="00822C7E"/>
    <w:rsid w:val="00847060"/>
    <w:rsid w:val="00847A36"/>
    <w:rsid w:val="00856A33"/>
    <w:rsid w:val="008732AC"/>
    <w:rsid w:val="00883DCC"/>
    <w:rsid w:val="00892620"/>
    <w:rsid w:val="008C1AAF"/>
    <w:rsid w:val="008C7D37"/>
    <w:rsid w:val="008D5885"/>
    <w:rsid w:val="008E59A8"/>
    <w:rsid w:val="00923FA2"/>
    <w:rsid w:val="0096060D"/>
    <w:rsid w:val="00974A50"/>
    <w:rsid w:val="0097585A"/>
    <w:rsid w:val="009924B0"/>
    <w:rsid w:val="009942C9"/>
    <w:rsid w:val="009A4233"/>
    <w:rsid w:val="009B35C4"/>
    <w:rsid w:val="009C630A"/>
    <w:rsid w:val="009D4344"/>
    <w:rsid w:val="009E0D98"/>
    <w:rsid w:val="00A068A1"/>
    <w:rsid w:val="00A1207D"/>
    <w:rsid w:val="00A12FD8"/>
    <w:rsid w:val="00A1328D"/>
    <w:rsid w:val="00A346FC"/>
    <w:rsid w:val="00A43535"/>
    <w:rsid w:val="00A46D77"/>
    <w:rsid w:val="00A47517"/>
    <w:rsid w:val="00A54339"/>
    <w:rsid w:val="00A846F2"/>
    <w:rsid w:val="00A84F93"/>
    <w:rsid w:val="00AB1A18"/>
    <w:rsid w:val="00AB1AC5"/>
    <w:rsid w:val="00AB3BFC"/>
    <w:rsid w:val="00AC4F2E"/>
    <w:rsid w:val="00AD0C37"/>
    <w:rsid w:val="00AD385F"/>
    <w:rsid w:val="00AE6E2A"/>
    <w:rsid w:val="00AF61CE"/>
    <w:rsid w:val="00B03EAB"/>
    <w:rsid w:val="00B108E7"/>
    <w:rsid w:val="00B31E9C"/>
    <w:rsid w:val="00B35595"/>
    <w:rsid w:val="00B47793"/>
    <w:rsid w:val="00B51C6D"/>
    <w:rsid w:val="00B63830"/>
    <w:rsid w:val="00B71C97"/>
    <w:rsid w:val="00B83DD2"/>
    <w:rsid w:val="00B86D64"/>
    <w:rsid w:val="00BA4AC5"/>
    <w:rsid w:val="00BC1364"/>
    <w:rsid w:val="00BC2667"/>
    <w:rsid w:val="00BC7DE9"/>
    <w:rsid w:val="00BE725E"/>
    <w:rsid w:val="00BF479B"/>
    <w:rsid w:val="00C02577"/>
    <w:rsid w:val="00C064F2"/>
    <w:rsid w:val="00C204FB"/>
    <w:rsid w:val="00C20BEE"/>
    <w:rsid w:val="00C2158D"/>
    <w:rsid w:val="00C67DD2"/>
    <w:rsid w:val="00C725CB"/>
    <w:rsid w:val="00C76F5C"/>
    <w:rsid w:val="00C9104B"/>
    <w:rsid w:val="00C96BAD"/>
    <w:rsid w:val="00CA6944"/>
    <w:rsid w:val="00CB0F8E"/>
    <w:rsid w:val="00CB7E7D"/>
    <w:rsid w:val="00CC2911"/>
    <w:rsid w:val="00CD3F08"/>
    <w:rsid w:val="00CF0C6D"/>
    <w:rsid w:val="00CF7307"/>
    <w:rsid w:val="00CF7C68"/>
    <w:rsid w:val="00D124FA"/>
    <w:rsid w:val="00D31D39"/>
    <w:rsid w:val="00D340DE"/>
    <w:rsid w:val="00D550E9"/>
    <w:rsid w:val="00D55723"/>
    <w:rsid w:val="00D62FAD"/>
    <w:rsid w:val="00D64355"/>
    <w:rsid w:val="00D70450"/>
    <w:rsid w:val="00D8205F"/>
    <w:rsid w:val="00D83BFD"/>
    <w:rsid w:val="00D90A38"/>
    <w:rsid w:val="00DA0515"/>
    <w:rsid w:val="00DA171E"/>
    <w:rsid w:val="00DA56AA"/>
    <w:rsid w:val="00DB5833"/>
    <w:rsid w:val="00DC053C"/>
    <w:rsid w:val="00DC2064"/>
    <w:rsid w:val="00DD2858"/>
    <w:rsid w:val="00DF2C6A"/>
    <w:rsid w:val="00E03E33"/>
    <w:rsid w:val="00E059E0"/>
    <w:rsid w:val="00E3642A"/>
    <w:rsid w:val="00E415C4"/>
    <w:rsid w:val="00E50016"/>
    <w:rsid w:val="00E50EAA"/>
    <w:rsid w:val="00E656D6"/>
    <w:rsid w:val="00E977EE"/>
    <w:rsid w:val="00EA2F24"/>
    <w:rsid w:val="00EA57D0"/>
    <w:rsid w:val="00EA67A2"/>
    <w:rsid w:val="00EB630F"/>
    <w:rsid w:val="00EB6B6F"/>
    <w:rsid w:val="00EC4F98"/>
    <w:rsid w:val="00EC64DE"/>
    <w:rsid w:val="00F12F02"/>
    <w:rsid w:val="00F1408A"/>
    <w:rsid w:val="00F32E0D"/>
    <w:rsid w:val="00F35134"/>
    <w:rsid w:val="00F37B9C"/>
    <w:rsid w:val="00F41812"/>
    <w:rsid w:val="00F715D1"/>
    <w:rsid w:val="00F72715"/>
    <w:rsid w:val="00F73333"/>
    <w:rsid w:val="00F95D8F"/>
    <w:rsid w:val="00FA4BA7"/>
    <w:rsid w:val="00FB350A"/>
    <w:rsid w:val="00FB4C5D"/>
    <w:rsid w:val="00FE1C3F"/>
    <w:rsid w:val="00FE731D"/>
    <w:rsid w:val="00FF53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6E4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C064F2"/>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C064F2"/>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C064F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C064F2"/>
    <w:rPr>
      <w:rFonts w:eastAsia="Times New Roman"/>
      <w:sz w:val="24"/>
      <w:szCs w:val="20"/>
    </w:rPr>
  </w:style>
  <w:style w:type="paragraph" w:customStyle="1" w:styleId="Tabletext">
    <w:name w:val="Table text"/>
    <w:basedOn w:val="Normal"/>
    <w:link w:val="TabletextChar"/>
    <w:qFormat/>
    <w:rsid w:val="00C064F2"/>
    <w:pPr>
      <w:spacing w:before="40" w:after="40"/>
    </w:pPr>
    <w:rPr>
      <w:rFonts w:ascii="Arial Narrow" w:hAnsi="Arial Narrow" w:cstheme="minorBidi"/>
      <w:sz w:val="20"/>
      <w:szCs w:val="22"/>
      <w:lang w:eastAsia="en-US"/>
    </w:rPr>
  </w:style>
  <w:style w:type="paragraph" w:customStyle="1" w:styleId="Tablefooter">
    <w:name w:val="Table footer"/>
    <w:basedOn w:val="Tabletext"/>
    <w:qFormat/>
    <w:rsid w:val="00C064F2"/>
    <w:pPr>
      <w:spacing w:before="0" w:after="240"/>
    </w:pPr>
    <w:rPr>
      <w:sz w:val="18"/>
    </w:rPr>
  </w:style>
  <w:style w:type="character" w:customStyle="1" w:styleId="TabletextChar">
    <w:name w:val="Table text Char"/>
    <w:basedOn w:val="DefaultParagraphFont"/>
    <w:link w:val="Tabletext"/>
    <w:rsid w:val="00C064F2"/>
    <w:rPr>
      <w:rFonts w:ascii="Arial Narrow" w:eastAsia="Times New Roman" w:hAnsi="Arial Narrow" w:cstheme="minorBidi"/>
      <w:sz w:val="20"/>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C064F2"/>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064F2"/>
    <w:rPr>
      <w:rFonts w:ascii="Arial Narrow" w:eastAsia="Times New Roman" w:hAnsi="Arial Narrow" w:cs="Arial"/>
      <w:b/>
      <w:bCs/>
      <w:iCs/>
      <w:sz w:val="20"/>
      <w:szCs w:val="20"/>
      <w:lang w:eastAsia="en-US"/>
    </w:rPr>
  </w:style>
  <w:style w:type="paragraph" w:customStyle="1" w:styleId="TableHeading">
    <w:name w:val="TableHeading"/>
    <w:basedOn w:val="Normal"/>
    <w:link w:val="TableHeadingChar"/>
    <w:qFormat/>
    <w:rsid w:val="00C064F2"/>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C064F2"/>
    <w:rPr>
      <w:rFonts w:ascii="Arial Narrow" w:eastAsia="Times New Roman" w:hAnsi="Arial Narrow" w:cs="Tahoma"/>
      <w:b/>
      <w:noProof/>
      <w:sz w:val="20"/>
      <w:szCs w:val="20"/>
    </w:rPr>
  </w:style>
  <w:style w:type="table" w:customStyle="1" w:styleId="TableGrid2">
    <w:name w:val="Table Grid2"/>
    <w:basedOn w:val="TableNormal"/>
    <w:next w:val="TableGrid"/>
    <w:uiPriority w:val="59"/>
    <w:rsid w:val="00C064F2"/>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notes">
    <w:name w:val="Tablenotes"/>
    <w:basedOn w:val="Normal"/>
    <w:link w:val="TablenotesChar"/>
    <w:autoRedefine/>
    <w:qFormat/>
    <w:rsid w:val="00C064F2"/>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C064F2"/>
    <w:rPr>
      <w:rFonts w:ascii="Arial Narrow" w:eastAsia="Times New Roman" w:hAnsi="Arial Narrow" w:cs="Arial"/>
      <w:snapToGrid w:val="0"/>
      <w:sz w:val="18"/>
      <w:szCs w:val="20"/>
      <w:lang w:eastAsia="en-US"/>
    </w:rPr>
  </w:style>
  <w:style w:type="paragraph" w:customStyle="1" w:styleId="TableText0">
    <w:name w:val="Table Text"/>
    <w:basedOn w:val="Normal"/>
    <w:link w:val="TableTextChar0"/>
    <w:autoRedefine/>
    <w:qFormat/>
    <w:rsid w:val="00741FC5"/>
    <w:pPr>
      <w:spacing w:before="40" w:after="40"/>
      <w:contextualSpacing/>
    </w:pPr>
    <w:rPr>
      <w:rFonts w:ascii="Arial Narrow" w:hAnsi="Arial Narrow" w:cs="Tahoma"/>
      <w:snapToGrid w:val="0"/>
      <w:sz w:val="20"/>
      <w:szCs w:val="22"/>
      <w:lang w:eastAsia="en-US"/>
    </w:rPr>
  </w:style>
  <w:style w:type="character" w:customStyle="1" w:styleId="TableTextChar0">
    <w:name w:val="Table Text Char"/>
    <w:link w:val="TableText0"/>
    <w:rsid w:val="00741FC5"/>
    <w:rPr>
      <w:rFonts w:ascii="Arial Narrow" w:eastAsia="Times New Roman" w:hAnsi="Arial Narrow" w:cs="Tahoma"/>
      <w:snapToGrid w:val="0"/>
      <w:sz w:val="20"/>
      <w:lang w:eastAsia="en-US"/>
    </w:rPr>
  </w:style>
  <w:style w:type="table" w:customStyle="1" w:styleId="TableGrid1">
    <w:name w:val="Table Grid1"/>
    <w:basedOn w:val="TableNormal"/>
    <w:next w:val="TableGrid"/>
    <w:locked/>
    <w:rsid w:val="00C064F2"/>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Tablenotes1">
    <w:name w:val="Tablenotes 1"/>
    <w:basedOn w:val="Normal"/>
    <w:link w:val="Tablenotes1Char"/>
    <w:qFormat/>
    <w:rsid w:val="00C064F2"/>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C064F2"/>
    <w:rPr>
      <w:rFonts w:ascii="Arial Narrow" w:eastAsia="Times New Roman" w:hAnsi="Arial Narrow" w:cs="Arial"/>
      <w:snapToGrid w:val="0"/>
      <w:sz w:val="18"/>
      <w:szCs w:val="20"/>
      <w:lang w:eastAsia="en-US"/>
    </w:rPr>
  </w:style>
  <w:style w:type="table" w:customStyle="1" w:styleId="TableGrid3">
    <w:name w:val="Table Grid3"/>
    <w:basedOn w:val="TableNormal"/>
    <w:next w:val="TableGrid"/>
    <w:uiPriority w:val="39"/>
    <w:rsid w:val="00D550E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62555">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537D-95FB-4C86-B5B2-4DFAA335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8291</Words>
  <Characters>46895</Characters>
  <Application>Microsoft Office Word</Application>
  <DocSecurity>0</DocSecurity>
  <Lines>390</Lines>
  <Paragraphs>110</Paragraphs>
  <ScaleCrop>false</ScaleCrop>
  <Company/>
  <LinksUpToDate>false</LinksUpToDate>
  <CharactersWithSpaces>55076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1534 - Final PSD</dc:title>
  <dc:creator/>
  <cp:lastModifiedBy/>
  <cp:revision>1</cp:revision>
  <dcterms:created xsi:type="dcterms:W3CDTF">2019-06-20T22:52:00Z</dcterms:created>
  <dcterms:modified xsi:type="dcterms:W3CDTF">2019-06-20T22:52:00Z</dcterms:modified>
</cp:coreProperties>
</file>