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8FEE7" w14:textId="2769112B" w:rsidR="008D6BDA" w:rsidRDefault="00647D97" w:rsidP="008D6BDA">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 xml:space="preserve"> </w:t>
      </w:r>
      <w:r w:rsidR="008D6BDA">
        <w:rPr>
          <w:rFonts w:ascii="Arial" w:hAnsi="Arial" w:cs="Arial"/>
          <w:b/>
          <w:bCs/>
          <w:color w:val="000080"/>
          <w:sz w:val="36"/>
          <w:szCs w:val="36"/>
        </w:rPr>
        <w:t>Medical Services Advisory Committee (MSAC)</w:t>
      </w:r>
      <w:r w:rsidR="008D6BDA">
        <w:rPr>
          <w:rFonts w:ascii="Arial" w:hAnsi="Arial" w:cs="Arial"/>
          <w:b/>
          <w:bCs/>
          <w:color w:val="000080"/>
          <w:sz w:val="36"/>
          <w:szCs w:val="36"/>
        </w:rPr>
        <w:br/>
      </w:r>
      <w:r w:rsidR="008D6BDA" w:rsidRPr="00F76D74">
        <w:rPr>
          <w:rFonts w:ascii="Arial" w:hAnsi="Arial" w:cs="Arial"/>
          <w:b/>
          <w:bCs/>
          <w:color w:val="000080"/>
          <w:sz w:val="36"/>
          <w:szCs w:val="36"/>
        </w:rPr>
        <w:t>Public Summary Document</w:t>
      </w:r>
    </w:p>
    <w:p w14:paraId="7A128FDE" w14:textId="66AEB29D" w:rsidR="00772829" w:rsidRPr="00CE28E3" w:rsidRDefault="00772829" w:rsidP="00772829">
      <w:pPr>
        <w:pStyle w:val="Subtitle"/>
      </w:pPr>
      <w:r w:rsidRPr="00CE28E3">
        <w:t xml:space="preserve">Application No. </w:t>
      </w:r>
      <w:r w:rsidR="00A31BE2" w:rsidRPr="00CD76DA">
        <w:t>1593.1</w:t>
      </w:r>
      <w:r w:rsidRPr="00CD76DA">
        <w:t xml:space="preserve"> – </w:t>
      </w:r>
      <w:r w:rsidR="00A31BE2" w:rsidRPr="00A31BE2">
        <w:t>Bioinductive implant for the repair of rotator cuff tear</w:t>
      </w:r>
    </w:p>
    <w:p w14:paraId="35263561" w14:textId="5A090660"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A31BE2" w:rsidRPr="00A31BE2">
        <w:rPr>
          <w:rFonts w:ascii="Arial" w:hAnsi="Arial" w:cs="Arial"/>
          <w:b/>
          <w:szCs w:val="24"/>
        </w:rPr>
        <w:t>SMITH &amp; NEPHEW PTY LIMITED</w:t>
      </w:r>
    </w:p>
    <w:p w14:paraId="0686609E" w14:textId="0B10A41E" w:rsidR="0080658C" w:rsidRDefault="00772829" w:rsidP="0080658C">
      <w:pPr>
        <w:tabs>
          <w:tab w:val="left" w:pos="3686"/>
        </w:tabs>
        <w:spacing w:after="360"/>
        <w:rPr>
          <w:rFonts w:ascii="Arial" w:hAnsi="Arial" w:cs="Arial"/>
          <w:b/>
          <w:szCs w:val="24"/>
        </w:rPr>
      </w:pPr>
      <w:r w:rsidRPr="00CE28E3">
        <w:rPr>
          <w:rFonts w:ascii="Arial" w:hAnsi="Arial" w:cs="Arial"/>
          <w:b/>
          <w:szCs w:val="24"/>
        </w:rPr>
        <w:t xml:space="preserve">Date of </w:t>
      </w:r>
      <w:r w:rsidR="008D6BDA">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8D6BDA">
        <w:rPr>
          <w:rFonts w:ascii="Arial" w:hAnsi="Arial" w:cs="Arial"/>
          <w:b/>
          <w:szCs w:val="24"/>
        </w:rPr>
        <w:t>1-2 August</w:t>
      </w:r>
      <w:r w:rsidR="0080658C">
        <w:rPr>
          <w:rFonts w:ascii="Arial" w:hAnsi="Arial" w:cs="Arial"/>
          <w:b/>
          <w:szCs w:val="24"/>
        </w:rPr>
        <w:t xml:space="preserve"> 2024</w:t>
      </w:r>
      <w:r w:rsidRPr="00A31BE2">
        <w:rPr>
          <w:rFonts w:ascii="Arial" w:hAnsi="Arial" w:cs="Arial"/>
          <w:b/>
          <w:szCs w:val="24"/>
        </w:rPr>
        <w:t xml:space="preserve"> </w:t>
      </w:r>
    </w:p>
    <w:p w14:paraId="66FDDDD7" w14:textId="77777777" w:rsidR="008D6BDA" w:rsidRPr="00415A9B" w:rsidRDefault="008D6BDA" w:rsidP="008D6BDA">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1BB2D204" w14:textId="299598B5" w:rsidR="00C129CA" w:rsidRDefault="00A31BE2" w:rsidP="003B4E46">
      <w:pPr>
        <w:rPr>
          <w:iCs/>
        </w:rPr>
      </w:pPr>
      <w:bookmarkStart w:id="1" w:name="_Hlk69734469"/>
      <w:r w:rsidRPr="00A31BE2">
        <w:t xml:space="preserve">A </w:t>
      </w:r>
      <w:r w:rsidR="004254F3">
        <w:t>re-</w:t>
      </w:r>
      <w:r w:rsidRPr="00A31BE2">
        <w:t xml:space="preserve">application requesting listing on the Prescribed List </w:t>
      </w:r>
      <w:r w:rsidRPr="0094001C">
        <w:t>of Medical Devices and Human Tissue Products (PL)</w:t>
      </w:r>
      <w:r w:rsidRPr="00A31BE2">
        <w:t xml:space="preserve"> of REGENETEN </w:t>
      </w:r>
      <w:proofErr w:type="spellStart"/>
      <w:r w:rsidR="0094001C" w:rsidRPr="00A31BE2">
        <w:t>bioinductive</w:t>
      </w:r>
      <w:proofErr w:type="spellEnd"/>
      <w:r w:rsidRPr="00A31BE2">
        <w:t xml:space="preserve"> collagen implant (BCI) for the repair of rotator cuff tear was received from S</w:t>
      </w:r>
      <w:r w:rsidR="0051214B">
        <w:t>mith</w:t>
      </w:r>
      <w:r w:rsidRPr="00A31BE2">
        <w:t xml:space="preserve"> &amp; N</w:t>
      </w:r>
      <w:r w:rsidR="00437AB9">
        <w:t>ephew</w:t>
      </w:r>
      <w:r w:rsidRPr="00A31BE2">
        <w:t xml:space="preserve"> P</w:t>
      </w:r>
      <w:r w:rsidR="00437AB9">
        <w:t>ty</w:t>
      </w:r>
      <w:r w:rsidRPr="00A31BE2">
        <w:t xml:space="preserve"> L</w:t>
      </w:r>
      <w:r w:rsidR="00437AB9">
        <w:t>td</w:t>
      </w:r>
      <w:r w:rsidRPr="00A31BE2">
        <w:t xml:space="preserve"> by the Department of Health and Aged </w:t>
      </w:r>
      <w:r w:rsidR="007650B6">
        <w:t>C</w:t>
      </w:r>
      <w:r w:rsidRPr="00A31BE2">
        <w:t>are</w:t>
      </w:r>
      <w:r w:rsidR="00EE0508">
        <w:t xml:space="preserve"> (the department</w:t>
      </w:r>
      <w:r w:rsidR="00C50F97">
        <w:t>)</w:t>
      </w:r>
      <w:r w:rsidRPr="00A31BE2">
        <w:t xml:space="preserve">. </w:t>
      </w:r>
      <w:r w:rsidR="00C129CA" w:rsidRPr="00CB27FC">
        <w:rPr>
          <w:rStyle w:val="cf01"/>
          <w:rFonts w:ascii="Franklin Gothic Book" w:hAnsi="Franklin Gothic Book"/>
          <w:sz w:val="22"/>
          <w:szCs w:val="22"/>
        </w:rPr>
        <w:t xml:space="preserve">This </w:t>
      </w:r>
      <w:r w:rsidR="00924FC9">
        <w:rPr>
          <w:rStyle w:val="cf01"/>
          <w:rFonts w:ascii="Franklin Gothic Book" w:hAnsi="Franklin Gothic Book"/>
          <w:sz w:val="22"/>
          <w:szCs w:val="22"/>
        </w:rPr>
        <w:t>re-</w:t>
      </w:r>
      <w:r w:rsidR="00C129CA" w:rsidRPr="00CB27FC">
        <w:rPr>
          <w:rStyle w:val="cf01"/>
          <w:rFonts w:ascii="Franklin Gothic Book" w:hAnsi="Franklin Gothic Book"/>
          <w:sz w:val="22"/>
          <w:szCs w:val="22"/>
        </w:rPr>
        <w:t xml:space="preserve">application </w:t>
      </w:r>
      <w:r w:rsidR="00A96C9B">
        <w:rPr>
          <w:rStyle w:val="cf01"/>
          <w:rFonts w:ascii="Franklin Gothic Book" w:hAnsi="Franklin Gothic Book"/>
          <w:sz w:val="22"/>
          <w:szCs w:val="22"/>
        </w:rPr>
        <w:t>was</w:t>
      </w:r>
      <w:r w:rsidR="00A96C9B" w:rsidRPr="00CB27FC">
        <w:rPr>
          <w:rStyle w:val="cf01"/>
          <w:rFonts w:ascii="Franklin Gothic Book" w:hAnsi="Franklin Gothic Book"/>
          <w:sz w:val="22"/>
          <w:szCs w:val="22"/>
        </w:rPr>
        <w:t xml:space="preserve"> </w:t>
      </w:r>
      <w:r w:rsidR="00C129CA" w:rsidRPr="00CB27FC">
        <w:rPr>
          <w:rStyle w:val="cf01"/>
          <w:rFonts w:ascii="Franklin Gothic Book" w:hAnsi="Franklin Gothic Book"/>
          <w:sz w:val="22"/>
          <w:szCs w:val="22"/>
        </w:rPr>
        <w:t xml:space="preserve">linked to a co-dependent </w:t>
      </w:r>
      <w:r w:rsidR="00FA2AF3" w:rsidRPr="00CB27FC">
        <w:rPr>
          <w:rStyle w:val="cf01"/>
          <w:rFonts w:ascii="Franklin Gothic Book" w:hAnsi="Franklin Gothic Book"/>
          <w:sz w:val="22"/>
          <w:szCs w:val="22"/>
        </w:rPr>
        <w:t xml:space="preserve">PL listing of bovine BCI to be used in surgical repair of rotator cuff tears in conjunction with existing </w:t>
      </w:r>
      <w:r w:rsidR="006443C6" w:rsidRPr="006443C6">
        <w:rPr>
          <w:rStyle w:val="cf01"/>
          <w:rFonts w:ascii="Franklin Gothic Book" w:hAnsi="Franklin Gothic Book"/>
          <w:sz w:val="22"/>
          <w:szCs w:val="22"/>
        </w:rPr>
        <w:t xml:space="preserve">Medicare Benefits Schedule </w:t>
      </w:r>
      <w:r w:rsidR="006443C6">
        <w:rPr>
          <w:rStyle w:val="cf01"/>
          <w:rFonts w:ascii="Franklin Gothic Book" w:hAnsi="Franklin Gothic Book"/>
          <w:sz w:val="22"/>
          <w:szCs w:val="22"/>
        </w:rPr>
        <w:t>(</w:t>
      </w:r>
      <w:r w:rsidR="00FA2AF3" w:rsidRPr="00CB27FC">
        <w:rPr>
          <w:rStyle w:val="cf01"/>
          <w:rFonts w:ascii="Franklin Gothic Book" w:hAnsi="Franklin Gothic Book"/>
          <w:sz w:val="22"/>
          <w:szCs w:val="22"/>
        </w:rPr>
        <w:t>MBS</w:t>
      </w:r>
      <w:r w:rsidR="006443C6">
        <w:rPr>
          <w:rStyle w:val="cf01"/>
          <w:rFonts w:ascii="Franklin Gothic Book" w:hAnsi="Franklin Gothic Book"/>
          <w:sz w:val="22"/>
          <w:szCs w:val="22"/>
        </w:rPr>
        <w:t>)</w:t>
      </w:r>
      <w:r w:rsidR="00FA2AF3" w:rsidRPr="00CB27FC">
        <w:rPr>
          <w:rStyle w:val="cf01"/>
          <w:rFonts w:ascii="Franklin Gothic Book" w:hAnsi="Franklin Gothic Book"/>
          <w:sz w:val="22"/>
          <w:szCs w:val="22"/>
        </w:rPr>
        <w:t xml:space="preserve"> items.</w:t>
      </w:r>
    </w:p>
    <w:p w14:paraId="11CE0B4E" w14:textId="30F38C32" w:rsidR="00A31BE2" w:rsidRDefault="00081763" w:rsidP="003B4E46">
      <w:r>
        <w:t>MSAC considered t</w:t>
      </w:r>
      <w:r w:rsidR="00B27896" w:rsidRPr="00660ED3">
        <w:t xml:space="preserve">he </w:t>
      </w:r>
      <w:r w:rsidR="00E53A33">
        <w:t>original application (1593)</w:t>
      </w:r>
      <w:r>
        <w:t xml:space="preserve"> in July 2020 </w:t>
      </w:r>
      <w:r w:rsidR="00F43EF8">
        <w:t>but did not support the proposed listing</w:t>
      </w:r>
      <w:r w:rsidR="00845FC0">
        <w:t xml:space="preserve"> </w:t>
      </w:r>
      <w:r w:rsidR="00DB1C4A">
        <w:t>because of highly uncertain comparative safety and effectiveness</w:t>
      </w:r>
      <w:r w:rsidR="00EC7187">
        <w:t xml:space="preserve"> of </w:t>
      </w:r>
      <w:r w:rsidR="00B53888">
        <w:t xml:space="preserve">surgical repair </w:t>
      </w:r>
      <w:r w:rsidR="001868C7">
        <w:t>with REGENETEN versus surgical repair without REGENETEN</w:t>
      </w:r>
      <w:r w:rsidR="00F43EF8">
        <w:t xml:space="preserve">. </w:t>
      </w:r>
      <w:r w:rsidR="00003568">
        <w:t xml:space="preserve">The current re-application aimed </w:t>
      </w:r>
      <w:r w:rsidR="003B71E1">
        <w:t xml:space="preserve">to </w:t>
      </w:r>
      <w:r w:rsidR="00003568">
        <w:t xml:space="preserve">address </w:t>
      </w:r>
      <w:r w:rsidR="00340B4C">
        <w:t>MSAC’s pre</w:t>
      </w:r>
      <w:r w:rsidR="00276282">
        <w:t>v</w:t>
      </w:r>
      <w:r w:rsidR="00340B4C">
        <w:t>ious concerns</w:t>
      </w:r>
      <w:r w:rsidR="00071901">
        <w:t>.</w:t>
      </w:r>
      <w:r w:rsidR="00F43EF8">
        <w:t xml:space="preserve"> The</w:t>
      </w:r>
      <w:r w:rsidR="00E53A33">
        <w:t xml:space="preserve"> </w:t>
      </w:r>
      <w:r w:rsidR="00B27896" w:rsidRPr="00660ED3">
        <w:t>reason for th</w:t>
      </w:r>
      <w:r w:rsidR="00F43EF8">
        <w:t>e original</w:t>
      </w:r>
      <w:r w:rsidR="00B27896" w:rsidRPr="00660ED3">
        <w:t xml:space="preserve"> application </w:t>
      </w:r>
      <w:r w:rsidR="00A96C9B">
        <w:t>was</w:t>
      </w:r>
      <w:r w:rsidR="00A96C9B" w:rsidRPr="00660ED3">
        <w:t xml:space="preserve"> </w:t>
      </w:r>
      <w:r w:rsidR="00B27896" w:rsidRPr="00660ED3">
        <w:t>in response to a</w:t>
      </w:r>
      <w:r w:rsidR="00494629">
        <w:t>n</w:t>
      </w:r>
      <w:r w:rsidR="00B27896" w:rsidRPr="00660ED3">
        <w:t xml:space="preserve"> MDHTAC</w:t>
      </w:r>
      <w:r w:rsidR="00041890">
        <w:t xml:space="preserve"> </w:t>
      </w:r>
      <w:r w:rsidR="00B27896" w:rsidRPr="00660ED3">
        <w:t xml:space="preserve">request for a </w:t>
      </w:r>
      <w:r w:rsidR="00494629">
        <w:t>health technology assessment</w:t>
      </w:r>
      <w:r w:rsidR="00494629" w:rsidRPr="00660ED3">
        <w:t xml:space="preserve"> </w:t>
      </w:r>
      <w:r w:rsidR="00B27896" w:rsidRPr="00660ED3">
        <w:t xml:space="preserve">to be conducted on REGENETEN to determine the comparative </w:t>
      </w:r>
      <w:r w:rsidR="00067657">
        <w:t>safety,</w:t>
      </w:r>
      <w:r w:rsidR="0002074E">
        <w:t xml:space="preserve"> clinical</w:t>
      </w:r>
      <w:r w:rsidR="00067657">
        <w:t xml:space="preserve"> </w:t>
      </w:r>
      <w:r w:rsidR="00B27896" w:rsidRPr="00660ED3">
        <w:t xml:space="preserve">and cost-effectiveness for </w:t>
      </w:r>
      <w:r w:rsidR="00802FAF">
        <w:t>inclusion on the P</w:t>
      </w:r>
      <w:r w:rsidR="00041890">
        <w:t>L</w:t>
      </w:r>
      <w:r w:rsidR="00B27896" w:rsidRPr="00660ED3">
        <w:t>.</w:t>
      </w:r>
      <w:r w:rsidR="002D1BF5">
        <w:t xml:space="preserve"> </w:t>
      </w:r>
    </w:p>
    <w:p w14:paraId="4C2B5146" w14:textId="77777777" w:rsidR="008D6BDA" w:rsidRDefault="008D6BDA" w:rsidP="008D6BDA">
      <w:pPr>
        <w:pStyle w:val="Heading2"/>
        <w:numPr>
          <w:ilvl w:val="0"/>
          <w:numId w:val="0"/>
        </w:numPr>
      </w:pPr>
      <w:r>
        <w:t>2.</w:t>
      </w:r>
      <w:r>
        <w:tab/>
        <w:t>MSAC’s advice to the Minister</w:t>
      </w:r>
    </w:p>
    <w:p w14:paraId="0AC94069" w14:textId="6F9EDFE2" w:rsidR="00C762A8" w:rsidRDefault="00A30654" w:rsidP="00767B41">
      <w:pPr>
        <w:rPr>
          <w:rStyle w:val="eop"/>
          <w:rFonts w:cs="Segoe UI"/>
        </w:rPr>
      </w:pPr>
      <w:r>
        <w:rPr>
          <w:rStyle w:val="normaltextrun"/>
          <w:rFonts w:cs="Segoe UI"/>
        </w:rPr>
        <w:t xml:space="preserve">After </w:t>
      </w:r>
      <w:r w:rsidR="00FB4FAC" w:rsidRPr="00C86E49">
        <w:rPr>
          <w:rFonts w:eastAsia="Calibri" w:cs="Times New Roman"/>
        </w:rPr>
        <w:t>considering the strength of the available evidence in relation to comparative safety, clinical effectiveness, cost-effectiveness and total cost</w:t>
      </w:r>
      <w:r w:rsidR="00BD61C4">
        <w:rPr>
          <w:rFonts w:eastAsia="Calibri" w:cs="Times New Roman"/>
        </w:rPr>
        <w:t>,</w:t>
      </w:r>
      <w:r w:rsidR="00365A0E">
        <w:rPr>
          <w:rFonts w:eastAsia="Calibri" w:cs="Times New Roman"/>
        </w:rPr>
        <w:t xml:space="preserve"> M</w:t>
      </w:r>
      <w:r w:rsidR="00846895">
        <w:rPr>
          <w:rStyle w:val="normaltextrun"/>
          <w:rFonts w:cs="Segoe UI"/>
        </w:rPr>
        <w:t>SAC did not support public funding for bovine BCI for the repair of partial- or full-thickness rotator cuff tears.</w:t>
      </w:r>
      <w:r w:rsidR="00846895">
        <w:rPr>
          <w:rStyle w:val="eop"/>
          <w:rFonts w:cs="Segoe UI"/>
        </w:rPr>
        <w:t> </w:t>
      </w:r>
      <w:r w:rsidR="00846895">
        <w:rPr>
          <w:rStyle w:val="normaltextrun"/>
          <w:rFonts w:cs="Segoe UI"/>
        </w:rPr>
        <w:t xml:space="preserve">MSAC noted the re-application included a single randomised controlled trial (RCT) in patients with partial-thickness tears and two RCTs for full-thickness tears comparing BCI plus surgery versus surgery alone. MSAC noted </w:t>
      </w:r>
      <w:r w:rsidR="00846895">
        <w:rPr>
          <w:rStyle w:val="normaltextrun"/>
          <w:rFonts w:cs="Segoe UI"/>
          <w:color w:val="333333"/>
        </w:rPr>
        <w:t>the re-application did not include a comparison of surgery with BCI against continued conservative management</w:t>
      </w:r>
      <w:r w:rsidR="000C3CF3">
        <w:rPr>
          <w:rStyle w:val="normaltextrun"/>
          <w:rFonts w:cs="Segoe UI"/>
          <w:color w:val="333333"/>
        </w:rPr>
        <w:t xml:space="preserve"> (CM)</w:t>
      </w:r>
      <w:r w:rsidR="00846895">
        <w:rPr>
          <w:rStyle w:val="normaltextrun"/>
          <w:rFonts w:cs="Segoe UI"/>
          <w:color w:val="333333"/>
        </w:rPr>
        <w:t xml:space="preserve"> in the partial thickness tears population.</w:t>
      </w:r>
      <w:r w:rsidR="00846895">
        <w:rPr>
          <w:rStyle w:val="normaltextrun"/>
          <w:rFonts w:cs="Segoe UI"/>
        </w:rPr>
        <w:t xml:space="preserve"> MSAC considered the RCT for partial-thickness tears was limited owing to its small sample size and short average duration of follow-up. MSAC</w:t>
      </w:r>
      <w:r w:rsidR="00222E00">
        <w:rPr>
          <w:rStyle w:val="normaltextrun"/>
          <w:rFonts w:cs="Segoe UI"/>
        </w:rPr>
        <w:t xml:space="preserve"> will advise the </w:t>
      </w:r>
      <w:r w:rsidR="00222E00" w:rsidRPr="00222E00">
        <w:rPr>
          <w:rStyle w:val="normaltextrun"/>
          <w:rFonts w:cs="Segoe UI"/>
        </w:rPr>
        <w:t>Medical Devices and Human Tissue Advisory Committee (MDHTAC)</w:t>
      </w:r>
      <w:r w:rsidR="00AB6EAE">
        <w:rPr>
          <w:rStyle w:val="normaltextrun"/>
          <w:rFonts w:cs="Segoe UI"/>
        </w:rPr>
        <w:t xml:space="preserve"> that it</w:t>
      </w:r>
      <w:r w:rsidR="00846895">
        <w:rPr>
          <w:rStyle w:val="normaltextrun"/>
          <w:rFonts w:cs="Segoe UI"/>
        </w:rPr>
        <w:t xml:space="preserve"> considered the two new randomised trials for full-thickness tears more reliable than the evidence considered in the previous application for this population however, MSAC did not consider the evidence supported the longer-term claims of superior effectiveness which formed the basis of the economic evaluations, making the estimates of cost-effectiveness uncertain. MSAC also considered the likely uptake and utilisation of BCI </w:t>
      </w:r>
      <w:r>
        <w:rPr>
          <w:rStyle w:val="normaltextrun"/>
          <w:rFonts w:cs="Segoe UI"/>
        </w:rPr>
        <w:t xml:space="preserve">were </w:t>
      </w:r>
      <w:r w:rsidR="00846895">
        <w:rPr>
          <w:rStyle w:val="normaltextrun"/>
          <w:rFonts w:cs="Segoe UI"/>
        </w:rPr>
        <w:t>significantly under-estimated.</w:t>
      </w:r>
    </w:p>
    <w:p w14:paraId="76E142C5" w14:textId="593A7961" w:rsidR="00846895" w:rsidRDefault="00846895" w:rsidP="00580FB6">
      <w:pPr>
        <w:spacing w:after="240"/>
        <w:rPr>
          <w:rStyle w:val="normaltextrun"/>
          <w:rFonts w:ascii="Franklin Gothic Medium" w:eastAsiaTheme="majorEastAsia" w:hAnsi="Franklin Gothic Medium" w:cs="Segoe UI"/>
          <w:color w:val="000000" w:themeColor="text1"/>
          <w:sz w:val="32"/>
          <w:szCs w:val="26"/>
        </w:rPr>
      </w:pPr>
      <w:r>
        <w:rPr>
          <w:rStyle w:val="normaltextrun"/>
          <w:rFonts w:cs="Segoe UI"/>
        </w:rPr>
        <w:t xml:space="preserve">MSAC advised that a new re-application should focus on functional rather than imaging outcomes. MSAC </w:t>
      </w:r>
      <w:r w:rsidR="00A30654">
        <w:rPr>
          <w:rStyle w:val="normaltextrun"/>
          <w:rFonts w:cs="Segoe UI"/>
        </w:rPr>
        <w:t xml:space="preserve">re-iterated </w:t>
      </w:r>
      <w:r>
        <w:rPr>
          <w:rStyle w:val="normaltextrun"/>
          <w:rFonts w:cs="Segoe UI"/>
        </w:rPr>
        <w:t xml:space="preserve">that comparative evidence of effectiveness for BCI against </w:t>
      </w:r>
      <w:r w:rsidDel="00A80EEE">
        <w:rPr>
          <w:rStyle w:val="normaltextrun"/>
          <w:rFonts w:cs="Segoe UI"/>
        </w:rPr>
        <w:lastRenderedPageBreak/>
        <w:t xml:space="preserve">continued </w:t>
      </w:r>
      <w:r w:rsidR="00A80EEE">
        <w:rPr>
          <w:rStyle w:val="normaltextrun"/>
          <w:rFonts w:cs="Segoe UI"/>
        </w:rPr>
        <w:t>CM</w:t>
      </w:r>
      <w:r>
        <w:rPr>
          <w:rStyle w:val="normaltextrun"/>
          <w:rFonts w:cs="Segoe UI"/>
        </w:rPr>
        <w:t xml:space="preserve"> in partial-thickness tears should be included in a re-application.</w:t>
      </w:r>
    </w:p>
    <w:tbl>
      <w:tblPr>
        <w:tblStyle w:val="TableGrid"/>
        <w:tblW w:w="0" w:type="auto"/>
        <w:tblLook w:val="04A0" w:firstRow="1" w:lastRow="0" w:firstColumn="1" w:lastColumn="0" w:noHBand="0" w:noVBand="1"/>
        <w:tblDescription w:val="Consumer summary of MSAC consideration"/>
      </w:tblPr>
      <w:tblGrid>
        <w:gridCol w:w="9016"/>
      </w:tblGrid>
      <w:tr w:rsidR="008D6BDA" w:rsidRPr="00C86E49" w14:paraId="027E7277" w14:textId="77777777">
        <w:trPr>
          <w:tblHeader/>
        </w:trPr>
        <w:tc>
          <w:tcPr>
            <w:tcW w:w="9016" w:type="dxa"/>
          </w:tcPr>
          <w:p w14:paraId="1432F8C6" w14:textId="77777777" w:rsidR="008D6BDA" w:rsidRPr="00C86E49" w:rsidRDefault="008D6BDA">
            <w:pPr>
              <w:keepNext/>
              <w:keepLines/>
              <w:spacing w:after="20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t>Consumer summary</w:t>
            </w:r>
          </w:p>
        </w:tc>
      </w:tr>
      <w:tr w:rsidR="008D6BDA" w:rsidRPr="00C86E49" w14:paraId="3A99948C" w14:textId="77777777">
        <w:tc>
          <w:tcPr>
            <w:tcW w:w="9016" w:type="dxa"/>
          </w:tcPr>
          <w:p w14:paraId="75FDD7ED" w14:textId="53010F3D" w:rsidR="004D6C45" w:rsidRDefault="004D6C45" w:rsidP="004D6C45">
            <w:r>
              <w:t xml:space="preserve">Smith &amp; Nephew Pty Ltd made an application to the </w:t>
            </w:r>
            <w:r w:rsidRPr="00A26225">
              <w:t>Medical Devices and Human Tissue Advisory Committee (MDHTAC)</w:t>
            </w:r>
            <w:r>
              <w:t xml:space="preserve"> to list a bovine </w:t>
            </w:r>
            <w:r w:rsidR="007A627D">
              <w:t xml:space="preserve">collagen implant </w:t>
            </w:r>
            <w:r>
              <w:t>(REGENETEN) on the Prescribed List (PL) to repair rotator cuff tears. The MDHTAC requested that MSAC perform a health technology assessment for REGENETEN to determine its comparative effectiveness, safety and cost-effectiveness.</w:t>
            </w:r>
          </w:p>
          <w:p w14:paraId="45756665" w14:textId="6AB28501" w:rsidR="008F135D" w:rsidRDefault="004D6C45" w:rsidP="004D6C45">
            <w:r>
              <w:t xml:space="preserve">The rotator cuff is a </w:t>
            </w:r>
            <w:r w:rsidR="0076498F">
              <w:t xml:space="preserve">common </w:t>
            </w:r>
            <w:r w:rsidR="00121E5B">
              <w:t xml:space="preserve">name for the </w:t>
            </w:r>
            <w:r>
              <w:t xml:space="preserve">group of </w:t>
            </w:r>
            <w:r w:rsidR="00121E5B">
              <w:t xml:space="preserve">four </w:t>
            </w:r>
            <w:r>
              <w:t xml:space="preserve">muscles and </w:t>
            </w:r>
            <w:r w:rsidR="00121E5B">
              <w:t xml:space="preserve">their </w:t>
            </w:r>
            <w:r>
              <w:t xml:space="preserve">tendons </w:t>
            </w:r>
            <w:r w:rsidR="008F135D">
              <w:t xml:space="preserve">in the shoulder. </w:t>
            </w:r>
            <w:r w:rsidR="008F135D" w:rsidRPr="008F135D">
              <w:t xml:space="preserve">The rotator cuff starts on the shoulder blade, extending over </w:t>
            </w:r>
            <w:r w:rsidR="0076498F">
              <w:t xml:space="preserve">the </w:t>
            </w:r>
            <w:r w:rsidR="008F135D" w:rsidRPr="008F135D">
              <w:t xml:space="preserve">shoulder, with the tendons anchoring on the upper arm bone and surrounding the ball of the shoulder like a cuff—hence the term rotator cuff. The rotator cuff muscles are known as stabilising muscles, because they hold the ball of the shoulder in the socket </w:t>
            </w:r>
            <w:r w:rsidR="0076498F">
              <w:t xml:space="preserve">properly when a person moves their arm, </w:t>
            </w:r>
            <w:r w:rsidR="008F135D" w:rsidRPr="008F135D">
              <w:t>by balancing the forces of the bigger shoulder muscles.</w:t>
            </w:r>
            <w:r w:rsidR="00CE733D">
              <w:t xml:space="preserve"> </w:t>
            </w:r>
            <w:r>
              <w:t xml:space="preserve">Damage to the rotator cuff, such as from a torn tendon, can cause symptoms such as shoulder pain and weakness. </w:t>
            </w:r>
            <w:r w:rsidR="008F135D">
              <w:t>Rotator cuff tears can happen during an acute injury or trauma (</w:t>
            </w:r>
            <w:r w:rsidR="00CE733D">
              <w:t>e.g.</w:t>
            </w:r>
            <w:r w:rsidR="008F135D">
              <w:t xml:space="preserve"> fall on the arm while running</w:t>
            </w:r>
            <w:proofErr w:type="gramStart"/>
            <w:r w:rsidR="008F135D">
              <w:t>),or</w:t>
            </w:r>
            <w:proofErr w:type="gramEnd"/>
            <w:r w:rsidR="008F135D">
              <w:t xml:space="preserve"> can occur gradually which is called a chronic tear. Chronic tears are common as people age, as the tendons can degenerate and fray</w:t>
            </w:r>
            <w:r w:rsidR="0076498F">
              <w:t>, and sometimes tears don’t cause any symptoms at all</w:t>
            </w:r>
            <w:r w:rsidR="008F135D">
              <w:t>.</w:t>
            </w:r>
          </w:p>
          <w:p w14:paraId="2651A166" w14:textId="5D7884A1" w:rsidR="004D6C45" w:rsidRDefault="008F135D" w:rsidP="004D6C45">
            <w:r>
              <w:t xml:space="preserve">This </w:t>
            </w:r>
            <w:r w:rsidR="004D6C45">
              <w:t xml:space="preserve">application was for </w:t>
            </w:r>
            <w:r w:rsidR="00121E5B">
              <w:t xml:space="preserve">use of REGENTEN during surgical repair </w:t>
            </w:r>
            <w:r>
              <w:t xml:space="preserve">of chronic rotator cuff tears </w:t>
            </w:r>
            <w:r w:rsidR="0076498F">
              <w:t xml:space="preserve">classified as ‘full thickness’ or ‘partial’ in people who continue to have symptoms </w:t>
            </w:r>
            <w:r w:rsidR="004D6C45">
              <w:t xml:space="preserve">after 3 months of </w:t>
            </w:r>
            <w:r w:rsidR="006B4163">
              <w:t>conservative t</w:t>
            </w:r>
            <w:r w:rsidR="00AC1EBE">
              <w:t>reatment</w:t>
            </w:r>
            <w:r w:rsidR="00FA7999">
              <w:t xml:space="preserve"> (e.g., pain relief medications, physiotherapy)</w:t>
            </w:r>
            <w:r w:rsidR="004D6C45">
              <w:t xml:space="preserve"> </w:t>
            </w:r>
            <w:r w:rsidR="0076498F">
              <w:t xml:space="preserve">The application </w:t>
            </w:r>
            <w:r w:rsidR="004D6C45">
              <w:t xml:space="preserve">did not include people who had </w:t>
            </w:r>
            <w:r w:rsidR="0076498F">
              <w:t xml:space="preserve">acute </w:t>
            </w:r>
            <w:r w:rsidR="004D6C45">
              <w:t>tears, or for people who did not have any symptoms.</w:t>
            </w:r>
          </w:p>
          <w:p w14:paraId="24A99B1A" w14:textId="0510079F" w:rsidR="004D6C45" w:rsidRDefault="004D6C45" w:rsidP="004D6C45">
            <w:r>
              <w:t xml:space="preserve">REGENETEN is implanted during shoulder surgery to provide a layer of collagen over </w:t>
            </w:r>
            <w:r w:rsidR="00E15F61">
              <w:t xml:space="preserve">an </w:t>
            </w:r>
            <w:r>
              <w:t xml:space="preserve">injured tendon. It is </w:t>
            </w:r>
            <w:r w:rsidR="00303435">
              <w:t>intended</w:t>
            </w:r>
            <w:r>
              <w:t xml:space="preserve"> to provide a base on which the body can grow new tissue to repair the tendon.</w:t>
            </w:r>
          </w:p>
          <w:p w14:paraId="19AFEE25" w14:textId="2CF9BEBD" w:rsidR="004D6C45" w:rsidRDefault="004D6C45" w:rsidP="004D6C45">
            <w:r>
              <w:t>MSAC noted that the</w:t>
            </w:r>
            <w:r w:rsidR="00B878D6">
              <w:t xml:space="preserve"> application </w:t>
            </w:r>
            <w:r w:rsidR="00895DE5">
              <w:t xml:space="preserve">presented </w:t>
            </w:r>
            <w:r w:rsidR="00A20FB2">
              <w:t xml:space="preserve">three </w:t>
            </w:r>
            <w:r w:rsidR="003E43C8">
              <w:t xml:space="preserve">new </w:t>
            </w:r>
            <w:r w:rsidR="00A83240">
              <w:t>randomised controlled trial</w:t>
            </w:r>
            <w:r w:rsidR="00A20FB2">
              <w:t xml:space="preserve">s, one </w:t>
            </w:r>
            <w:r w:rsidR="000B210B">
              <w:t xml:space="preserve">recruited </w:t>
            </w:r>
            <w:proofErr w:type="gramStart"/>
            <w:r w:rsidR="00A83240">
              <w:t>patients</w:t>
            </w:r>
            <w:proofErr w:type="gramEnd"/>
            <w:r w:rsidR="00A83240">
              <w:t xml:space="preserve"> with partial tears and two </w:t>
            </w:r>
            <w:r w:rsidR="000B210B">
              <w:t>recruited</w:t>
            </w:r>
            <w:r w:rsidR="00A83240">
              <w:t xml:space="preserve"> patients with full</w:t>
            </w:r>
            <w:r w:rsidR="00AE797E">
              <w:t xml:space="preserve"> tears. </w:t>
            </w:r>
            <w:r w:rsidR="001457A0">
              <w:t xml:space="preserve">MSAC noted that </w:t>
            </w:r>
            <w:r w:rsidR="00645C4B">
              <w:t>all</w:t>
            </w:r>
            <w:r w:rsidR="001457A0">
              <w:t xml:space="preserve"> three trials </w:t>
            </w:r>
            <w:r w:rsidR="00E522B6">
              <w:t>compared surgical repair using REGENETEN versus surgical repair alone</w:t>
            </w:r>
            <w:r w:rsidR="00645C4B">
              <w:t xml:space="preserve">. </w:t>
            </w:r>
            <w:r w:rsidR="00E84334">
              <w:t>For the populat</w:t>
            </w:r>
            <w:r w:rsidR="00B20B28">
              <w:t xml:space="preserve">ion with partial tears, </w:t>
            </w:r>
            <w:r>
              <w:t>MSAC noted that the</w:t>
            </w:r>
            <w:r w:rsidR="00B878D6">
              <w:t xml:space="preserve"> application did not present any evidence </w:t>
            </w:r>
            <w:r w:rsidR="00215C33">
              <w:t xml:space="preserve">that </w:t>
            </w:r>
            <w:r w:rsidR="009F7BB0">
              <w:t xml:space="preserve">compared </w:t>
            </w:r>
            <w:r w:rsidR="00094F7F">
              <w:t xml:space="preserve">surgical repair using </w:t>
            </w:r>
            <w:r>
              <w:t xml:space="preserve">REGENETEN with </w:t>
            </w:r>
            <w:r w:rsidR="001D5460">
              <w:t xml:space="preserve">conservative </w:t>
            </w:r>
            <w:r w:rsidR="00C3781C">
              <w:t>management</w:t>
            </w:r>
            <w:r w:rsidR="00B20B28">
              <w:t xml:space="preserve">. </w:t>
            </w:r>
            <w:r w:rsidR="009F5994">
              <w:t xml:space="preserve">MSAC </w:t>
            </w:r>
            <w:r w:rsidR="001F79F4">
              <w:t>considered</w:t>
            </w:r>
            <w:r w:rsidR="009F5994">
              <w:t xml:space="preserve"> </w:t>
            </w:r>
            <w:r w:rsidR="00D82263">
              <w:t>the</w:t>
            </w:r>
            <w:r>
              <w:t xml:space="preserve"> single trial </w:t>
            </w:r>
            <w:r w:rsidR="00F641E8">
              <w:t xml:space="preserve">in partial tear </w:t>
            </w:r>
            <w:r w:rsidR="00ED611B">
              <w:t xml:space="preserve">provided limited information </w:t>
            </w:r>
            <w:r w:rsidR="00C64774">
              <w:t xml:space="preserve">on effectiveness </w:t>
            </w:r>
            <w:r w:rsidR="00ED611B">
              <w:t xml:space="preserve">as </w:t>
            </w:r>
            <w:r w:rsidR="00802D2C">
              <w:t xml:space="preserve">not </w:t>
            </w:r>
            <w:r w:rsidR="004A3099">
              <w:t xml:space="preserve">many </w:t>
            </w:r>
            <w:r w:rsidR="004954D8">
              <w:t>patients</w:t>
            </w:r>
            <w:r w:rsidR="006748EC">
              <w:t xml:space="preserve"> </w:t>
            </w:r>
            <w:r w:rsidR="00C64774">
              <w:t xml:space="preserve">were included </w:t>
            </w:r>
            <w:r>
              <w:t xml:space="preserve">and </w:t>
            </w:r>
            <w:r w:rsidR="00835524">
              <w:t xml:space="preserve">the results available were of </w:t>
            </w:r>
            <w:r>
              <w:t xml:space="preserve">short-term </w:t>
            </w:r>
            <w:r w:rsidR="00835524">
              <w:t>follow-up</w:t>
            </w:r>
            <w:r w:rsidR="00C50F2B">
              <w:t xml:space="preserve">. </w:t>
            </w:r>
            <w:r w:rsidR="00D36726">
              <w:t xml:space="preserve">While </w:t>
            </w:r>
            <w:r w:rsidR="00941735">
              <w:t xml:space="preserve">MSAC considered </w:t>
            </w:r>
            <w:r w:rsidR="00D4199B">
              <w:t xml:space="preserve">the </w:t>
            </w:r>
            <w:r w:rsidR="003E43C8">
              <w:t xml:space="preserve">two new </w:t>
            </w:r>
            <w:r w:rsidR="00D4199B">
              <w:t>trial</w:t>
            </w:r>
            <w:r w:rsidR="003E43C8">
              <w:t xml:space="preserve">s </w:t>
            </w:r>
            <w:r w:rsidR="000812B7">
              <w:t xml:space="preserve">in patients with full tears of better quality than the </w:t>
            </w:r>
            <w:r w:rsidR="00B40928">
              <w:t xml:space="preserve">evidence presented in the original application, </w:t>
            </w:r>
            <w:r>
              <w:t>MSAC</w:t>
            </w:r>
            <w:r w:rsidR="00B63101">
              <w:t xml:space="preserve"> considered</w:t>
            </w:r>
            <w:r w:rsidR="00590DDD">
              <w:t xml:space="preserve"> </w:t>
            </w:r>
            <w:r>
              <w:t>th</w:t>
            </w:r>
            <w:r w:rsidR="00135EED">
              <w:t xml:space="preserve">e evidence presented </w:t>
            </w:r>
            <w:r w:rsidR="005925B5">
              <w:t>in</w:t>
            </w:r>
            <w:r w:rsidR="00F626AD">
              <w:t xml:space="preserve">sufficient to </w:t>
            </w:r>
            <w:r>
              <w:t xml:space="preserve">show that </w:t>
            </w:r>
            <w:r w:rsidR="00F626AD">
              <w:t xml:space="preserve">using </w:t>
            </w:r>
            <w:r>
              <w:t xml:space="preserve">REGENTEN </w:t>
            </w:r>
            <w:r w:rsidR="00F626AD">
              <w:t>would</w:t>
            </w:r>
            <w:r>
              <w:t xml:space="preserve"> result in better recovery or outcomes for patients, such as improved function or less pain.</w:t>
            </w:r>
          </w:p>
          <w:p w14:paraId="0D4FAFAD" w14:textId="6EC48ADC" w:rsidR="004D6C45" w:rsidRDefault="004D6C45" w:rsidP="004D6C45">
            <w:r>
              <w:t xml:space="preserve">Because the effectiveness and safety were uncertain, MSAC could not say whether </w:t>
            </w:r>
            <w:r w:rsidR="00FF38B0">
              <w:t xml:space="preserve">adding </w:t>
            </w:r>
            <w:r>
              <w:t xml:space="preserve">REGENETEN </w:t>
            </w:r>
            <w:r w:rsidR="00FF38B0">
              <w:t xml:space="preserve">to </w:t>
            </w:r>
            <w:r w:rsidR="00077ED7">
              <w:t>standard surg</w:t>
            </w:r>
            <w:r w:rsidR="00CA58FC">
              <w:t>ical</w:t>
            </w:r>
            <w:r w:rsidR="00077ED7">
              <w:t xml:space="preserve"> repair </w:t>
            </w:r>
            <w:r w:rsidR="00CA58FC">
              <w:t xml:space="preserve">represents better </w:t>
            </w:r>
            <w:r>
              <w:t>value for money</w:t>
            </w:r>
            <w:r w:rsidR="00CA58FC">
              <w:t xml:space="preserve"> than standard surgical repair alone</w:t>
            </w:r>
            <w:r>
              <w:t>.</w:t>
            </w:r>
          </w:p>
          <w:p w14:paraId="45133619" w14:textId="5F51D9DC" w:rsidR="004D6C45" w:rsidRPr="003C746C" w:rsidRDefault="004D6C45" w:rsidP="004D6C45">
            <w:pPr>
              <w:rPr>
                <w:b/>
                <w:bCs/>
              </w:rPr>
            </w:pPr>
            <w:r w:rsidRPr="003C746C">
              <w:rPr>
                <w:b/>
                <w:bCs/>
              </w:rPr>
              <w:t xml:space="preserve">MSAC’s advice to </w:t>
            </w:r>
            <w:r>
              <w:rPr>
                <w:b/>
                <w:bCs/>
              </w:rPr>
              <w:t xml:space="preserve">the </w:t>
            </w:r>
            <w:r w:rsidRPr="004D6C45">
              <w:rPr>
                <w:b/>
                <w:bCs/>
              </w:rPr>
              <w:t xml:space="preserve">Medical Devices and Human Tissue Advisory Committee </w:t>
            </w:r>
            <w:r>
              <w:rPr>
                <w:b/>
                <w:bCs/>
              </w:rPr>
              <w:t>(MDHTAC)</w:t>
            </w:r>
          </w:p>
          <w:p w14:paraId="20FA3A41" w14:textId="4648B7EB" w:rsidR="008D6BDA" w:rsidRPr="00C86E49" w:rsidRDefault="004D6C45" w:rsidP="004D6C45">
            <w:pPr>
              <w:keepNext/>
              <w:keepLines/>
              <w:spacing w:after="120"/>
              <w:outlineLvl w:val="2"/>
              <w:rPr>
                <w:rFonts w:eastAsia="Calibri" w:cs="Times New Roman"/>
              </w:rPr>
            </w:pPr>
            <w:r>
              <w:t xml:space="preserve">MSAC advised the MDHTAC that REGENETEN’s comparative effectiveness, safety and value for money were all uncertain due to </w:t>
            </w:r>
            <w:r w:rsidR="008B0D15">
              <w:t>uncertain</w:t>
            </w:r>
            <w:r w:rsidR="00151555">
              <w:t xml:space="preserve"> benefit in patient-related functional outcomes</w:t>
            </w:r>
            <w:r w:rsidR="000239AE">
              <w:t xml:space="preserve"> and </w:t>
            </w:r>
            <w:r w:rsidR="00055190">
              <w:t>over the long-term</w:t>
            </w:r>
            <w:r w:rsidR="008F4440">
              <w:t xml:space="preserve">, making </w:t>
            </w:r>
            <w:r w:rsidR="00791213">
              <w:t xml:space="preserve">it difficult to decide </w:t>
            </w:r>
            <w:r w:rsidR="00E30E4C">
              <w:t xml:space="preserve">if </w:t>
            </w:r>
            <w:r w:rsidR="00554F55">
              <w:t xml:space="preserve">surgical repair using REGENETEN would represent </w:t>
            </w:r>
            <w:r w:rsidR="00E30E4C">
              <w:t>value for money</w:t>
            </w:r>
            <w:r w:rsidR="009203B9">
              <w:t>.</w:t>
            </w:r>
          </w:p>
        </w:tc>
      </w:tr>
    </w:tbl>
    <w:p w14:paraId="30E49CE5" w14:textId="77777777" w:rsidR="008D6BDA" w:rsidRPr="00C86E49" w:rsidRDefault="008D6BDA" w:rsidP="008D6BDA">
      <w:pPr>
        <w:pStyle w:val="Heading2"/>
        <w:numPr>
          <w:ilvl w:val="1"/>
          <w:numId w:val="0"/>
        </w:numPr>
      </w:pPr>
      <w:r w:rsidRPr="00C86E49">
        <w:t>3.</w:t>
      </w:r>
      <w:r w:rsidRPr="00C86E49">
        <w:tab/>
        <w:t>Summary of consideration and rationale for MSAC’s advice</w:t>
      </w:r>
    </w:p>
    <w:p w14:paraId="15DA58F9" w14:textId="2A670DE0" w:rsidR="009E07E8" w:rsidRDefault="009E07E8" w:rsidP="009E07E8">
      <w:r>
        <w:t>MSAC noted that a</w:t>
      </w:r>
      <w:r w:rsidR="00AC0B7E">
        <w:t xml:space="preserve"> re-</w:t>
      </w:r>
      <w:r>
        <w:t xml:space="preserve">application requesting listing on the </w:t>
      </w:r>
      <w:r w:rsidR="006D3BDB">
        <w:t>PL</w:t>
      </w:r>
      <w:r>
        <w:t xml:space="preserve"> of REGENETEN BCI for the repair of rotator cuff tear was received from Smith &amp; Nephew Pty Ltd by the Department of Health and </w:t>
      </w:r>
      <w:r>
        <w:lastRenderedPageBreak/>
        <w:t xml:space="preserve">Aged Care. This </w:t>
      </w:r>
      <w:r w:rsidR="00A052FE">
        <w:t>re-</w:t>
      </w:r>
      <w:r>
        <w:t xml:space="preserve">application was linked to a codependent </w:t>
      </w:r>
      <w:r w:rsidR="00A30654">
        <w:t xml:space="preserve">application to </w:t>
      </w:r>
      <w:r w:rsidR="00BC7D41">
        <w:t xml:space="preserve">include </w:t>
      </w:r>
      <w:r>
        <w:t>bovine BCI</w:t>
      </w:r>
      <w:r w:rsidR="00BC7D41">
        <w:t xml:space="preserve"> on the PL and for it</w:t>
      </w:r>
      <w:r>
        <w:t xml:space="preserve"> to be used in surgical repair of symptomatic rotator cuff tears in conjunction with existing MBS</w:t>
      </w:r>
      <w:r w:rsidR="0021465D">
        <w:t xml:space="preserve"> </w:t>
      </w:r>
      <w:r>
        <w:t>items.</w:t>
      </w:r>
    </w:p>
    <w:p w14:paraId="74940D17" w14:textId="37FB3079" w:rsidR="009E07E8" w:rsidRDefault="009E07E8" w:rsidP="009E07E8">
      <w:r>
        <w:t xml:space="preserve">MSAC </w:t>
      </w:r>
      <w:r w:rsidR="006F6B34">
        <w:t>recalled</w:t>
      </w:r>
      <w:r>
        <w:t xml:space="preserve"> that it </w:t>
      </w:r>
      <w:r w:rsidR="006F6B34">
        <w:t>had</w:t>
      </w:r>
      <w:r>
        <w:t xml:space="preserve"> </w:t>
      </w:r>
      <w:r w:rsidRPr="008005A7">
        <w:t>previously considered bovine BCI (REGENETEN; application 1593) for the repair of rotator cuff tear in July 2020</w:t>
      </w:r>
      <w:r>
        <w:t xml:space="preserve"> but </w:t>
      </w:r>
      <w:r w:rsidRPr="008005A7">
        <w:t xml:space="preserve">did not support public funding </w:t>
      </w:r>
      <w:r>
        <w:t xml:space="preserve">at that time because the </w:t>
      </w:r>
      <w:r w:rsidRPr="008005A7">
        <w:t>evidence for comparative safety, effectiveness and cost-effectiveness was highly uncertain relative to standard surgical repair in both subpopulations</w:t>
      </w:r>
      <w:r w:rsidR="00F2481C">
        <w:t xml:space="preserve">, </w:t>
      </w:r>
      <w:r>
        <w:t>that is,</w:t>
      </w:r>
      <w:r w:rsidRPr="008005A7">
        <w:t xml:space="preserve"> </w:t>
      </w:r>
      <w:r>
        <w:t>p</w:t>
      </w:r>
      <w:r w:rsidRPr="008005A7">
        <w:t xml:space="preserve">opulation 1: patients with partial-thickness rotator cuff tears </w:t>
      </w:r>
      <w:r w:rsidR="00BC7D41">
        <w:t>(</w:t>
      </w:r>
      <w:r w:rsidRPr="008005A7">
        <w:t>PTRCT</w:t>
      </w:r>
      <w:r w:rsidR="00BC7D41">
        <w:t>)</w:t>
      </w:r>
      <w:r w:rsidRPr="008005A7">
        <w:t xml:space="preserve"> and </w:t>
      </w:r>
      <w:r>
        <w:t>p</w:t>
      </w:r>
      <w:r w:rsidRPr="008005A7">
        <w:t xml:space="preserve">opulation 2: patients with full-thickness rotator cuff tears </w:t>
      </w:r>
      <w:r w:rsidR="00F2481C">
        <w:t>(</w:t>
      </w:r>
      <w:r w:rsidRPr="008005A7">
        <w:t>FTRCT</w:t>
      </w:r>
      <w:r>
        <w:t>)</w:t>
      </w:r>
      <w:r w:rsidRPr="008005A7">
        <w:t>.</w:t>
      </w:r>
    </w:p>
    <w:p w14:paraId="33630E59" w14:textId="77777777" w:rsidR="00EC34F0" w:rsidRPr="00671AE9" w:rsidRDefault="00EC34F0" w:rsidP="00EC34F0">
      <w:pPr>
        <w:rPr>
          <w:lang w:eastAsia="en-AU"/>
        </w:rPr>
      </w:pPr>
      <w:r>
        <w:rPr>
          <w:lang w:eastAsia="en-AU"/>
        </w:rPr>
        <w:t xml:space="preserve">MSAC noted that </w:t>
      </w:r>
      <w:r>
        <w:t xml:space="preserve">all the individual consultation feedback received was from medical specialists and was overall supportive of the application. The organisational feedback noted concerns from private health insurers regarding the </w:t>
      </w:r>
      <w:r w:rsidRPr="008D6BDA">
        <w:rPr>
          <w:rStyle w:val="normaltextrun"/>
          <w:rFonts w:cs="Calibri"/>
        </w:rPr>
        <w:t>increase</w:t>
      </w:r>
      <w:r>
        <w:rPr>
          <w:rStyle w:val="normaltextrun"/>
          <w:rFonts w:cs="Calibri"/>
        </w:rPr>
        <w:t xml:space="preserve"> to</w:t>
      </w:r>
      <w:r w:rsidRPr="008D6BDA">
        <w:rPr>
          <w:rStyle w:val="normaltextrun"/>
          <w:rFonts w:cs="Calibri"/>
        </w:rPr>
        <w:t xml:space="preserve"> private health insurance premiums</w:t>
      </w:r>
      <w:r>
        <w:rPr>
          <w:rStyle w:val="normaltextrun"/>
          <w:rFonts w:cs="Calibri"/>
        </w:rPr>
        <w:t>, uncertainty of value and potential for service leakage.</w:t>
      </w:r>
    </w:p>
    <w:p w14:paraId="3CF9A366" w14:textId="26CB867D" w:rsidR="00D614D9" w:rsidRDefault="00616551" w:rsidP="00616551">
      <w:r>
        <w:t xml:space="preserve">MSAC noted </w:t>
      </w:r>
      <w:r w:rsidR="00535EE0">
        <w:t>the applicant</w:t>
      </w:r>
      <w:r w:rsidR="004C31F7">
        <w:t xml:space="preserve"> </w:t>
      </w:r>
      <w:r w:rsidRPr="004077A8">
        <w:t>pr</w:t>
      </w:r>
      <w:r w:rsidR="00305509">
        <w:t>esent</w:t>
      </w:r>
      <w:r w:rsidR="00C853AD">
        <w:t>ed</w:t>
      </w:r>
      <w:r w:rsidRPr="004077A8">
        <w:t xml:space="preserve"> </w:t>
      </w:r>
      <w:r w:rsidR="001A3B27">
        <w:t>new</w:t>
      </w:r>
      <w:r w:rsidRPr="004077A8">
        <w:t xml:space="preserve"> evidence </w:t>
      </w:r>
      <w:r w:rsidR="00F97EF4">
        <w:t>(3</w:t>
      </w:r>
      <w:r w:rsidR="00F97EF4" w:rsidRPr="004077A8">
        <w:t xml:space="preserve"> randomised controlled trials (RCTs)</w:t>
      </w:r>
      <w:r w:rsidR="00F97EF4">
        <w:t>)</w:t>
      </w:r>
      <w:r w:rsidR="00F97EF4" w:rsidRPr="004077A8">
        <w:t xml:space="preserve"> </w:t>
      </w:r>
      <w:r w:rsidRPr="004077A8">
        <w:t xml:space="preserve">for using bovine BCI to repair </w:t>
      </w:r>
      <w:r w:rsidRPr="004077A8">
        <w:rPr>
          <w:rFonts w:eastAsia="Times New Roman" w:cs="Tahoma"/>
          <w:lang w:eastAsia="en-AU"/>
        </w:rPr>
        <w:t>PTRCT and FTRCT</w:t>
      </w:r>
      <w:r w:rsidR="00B02E62">
        <w:rPr>
          <w:rFonts w:eastAsia="Times New Roman" w:cs="Tahoma"/>
          <w:lang w:eastAsia="en-AU"/>
        </w:rPr>
        <w:t xml:space="preserve">. </w:t>
      </w:r>
      <w:r w:rsidR="00410474">
        <w:rPr>
          <w:rFonts w:eastAsia="Times New Roman" w:cs="Tahoma"/>
          <w:lang w:eastAsia="en-AU"/>
        </w:rPr>
        <w:t xml:space="preserve">For population 1 (PTRCT), </w:t>
      </w:r>
      <w:r w:rsidR="00357B00">
        <w:t>2</w:t>
      </w:r>
      <w:r>
        <w:t xml:space="preserve"> RCTs </w:t>
      </w:r>
      <w:r w:rsidR="00410474">
        <w:t>were presented</w:t>
      </w:r>
      <w:r w:rsidR="008D4E7D">
        <w:t>:</w:t>
      </w:r>
      <w:r w:rsidR="00A63510">
        <w:t xml:space="preserve"> </w:t>
      </w:r>
      <w:r w:rsidRPr="004077A8">
        <w:t>Wang et</w:t>
      </w:r>
      <w:r>
        <w:t> </w:t>
      </w:r>
      <w:r w:rsidRPr="004077A8">
        <w:t>al.</w:t>
      </w:r>
      <w:r>
        <w:t xml:space="preserve"> </w:t>
      </w:r>
      <w:r w:rsidRPr="004077A8">
        <w:t>2023</w:t>
      </w:r>
      <w:r w:rsidR="008D4E7D">
        <w:t xml:space="preserve"> (unpublished 7-page clinical study report</w:t>
      </w:r>
      <w:r w:rsidR="00120EDF">
        <w:t xml:space="preserve"> </w:t>
      </w:r>
      <w:r w:rsidR="00CC74A0">
        <w:t>[</w:t>
      </w:r>
      <w:r w:rsidR="00120EDF">
        <w:t>CSR)</w:t>
      </w:r>
      <w:r w:rsidR="00B63DDD">
        <w:t>]</w:t>
      </w:r>
      <w:r w:rsidR="00120EDF">
        <w:t xml:space="preserve"> and</w:t>
      </w:r>
      <w:r w:rsidRPr="004077A8">
        <w:t xml:space="preserve"> Camacho-Chacon et</w:t>
      </w:r>
      <w:r>
        <w:t> </w:t>
      </w:r>
      <w:r w:rsidRPr="004077A8">
        <w:t>al.</w:t>
      </w:r>
      <w:r>
        <w:t xml:space="preserve"> </w:t>
      </w:r>
      <w:r w:rsidRPr="004077A8">
        <w:t>2023</w:t>
      </w:r>
      <w:r w:rsidR="00120EDF">
        <w:t xml:space="preserve"> (unpublished </w:t>
      </w:r>
      <w:r w:rsidR="00BC5CEF">
        <w:t xml:space="preserve">2023 </w:t>
      </w:r>
      <w:r w:rsidR="00120EDF">
        <w:t xml:space="preserve">CSR, </w:t>
      </w:r>
      <w:r w:rsidR="00092B69">
        <w:t>pre-proof 2024 paper</w:t>
      </w:r>
      <w:r w:rsidRPr="004077A8">
        <w:t>)</w:t>
      </w:r>
      <w:r w:rsidR="00BC5CEF">
        <w:t>.</w:t>
      </w:r>
      <w:r w:rsidRPr="004077A8">
        <w:t xml:space="preserve"> </w:t>
      </w:r>
      <w:r w:rsidR="00BC5CEF">
        <w:t xml:space="preserve">For population 2 (FTRCT), </w:t>
      </w:r>
      <w:r>
        <w:t xml:space="preserve">one RCT </w:t>
      </w:r>
      <w:r w:rsidRPr="004077A8">
        <w:t>(Ruiz Iban et</w:t>
      </w:r>
      <w:r>
        <w:t> </w:t>
      </w:r>
      <w:r w:rsidRPr="004077A8">
        <w:t>al.</w:t>
      </w:r>
      <w:r>
        <w:t xml:space="preserve"> </w:t>
      </w:r>
      <w:r w:rsidRPr="004077A8">
        <w:t>2023)</w:t>
      </w:r>
      <w:r w:rsidR="00013B73">
        <w:t xml:space="preserve"> </w:t>
      </w:r>
      <w:r w:rsidR="00AF11FF">
        <w:t>was presented</w:t>
      </w:r>
      <w:r w:rsidRPr="004077A8">
        <w:t>.</w:t>
      </w:r>
    </w:p>
    <w:p w14:paraId="63B96134" w14:textId="3C2BE33D" w:rsidR="00015141" w:rsidRDefault="00BA2397" w:rsidP="00616551">
      <w:r>
        <w:t xml:space="preserve">MSAC noted that </w:t>
      </w:r>
      <w:r w:rsidR="00426445">
        <w:t xml:space="preserve">the Wang 2023 trial </w:t>
      </w:r>
      <w:r w:rsidR="00497868">
        <w:t xml:space="preserve">had a small sample size (N = 29), </w:t>
      </w:r>
      <w:r w:rsidR="00871D34">
        <w:t xml:space="preserve">included patients with </w:t>
      </w:r>
      <w:r w:rsidR="00426445">
        <w:t>symptomatic high-grade PTRCT</w:t>
      </w:r>
      <w:r w:rsidR="005A68CE">
        <w:t xml:space="preserve"> based on magnetic resonance imaging (MRI) scans</w:t>
      </w:r>
      <w:r w:rsidR="00497868">
        <w:t xml:space="preserve"> a</w:t>
      </w:r>
      <w:r w:rsidR="00413AE4">
        <w:t xml:space="preserve">nd </w:t>
      </w:r>
      <w:r w:rsidR="00941E09">
        <w:t xml:space="preserve">reported </w:t>
      </w:r>
      <w:r w:rsidR="00D33E90">
        <w:t xml:space="preserve">short-term follow-up results (3 months). </w:t>
      </w:r>
      <w:r w:rsidR="006D614F">
        <w:t xml:space="preserve">MSAC noted that the </w:t>
      </w:r>
      <w:r w:rsidR="00616551" w:rsidRPr="00E52C55">
        <w:t xml:space="preserve">Camacho-Chacon </w:t>
      </w:r>
      <w:r w:rsidR="00277886">
        <w:t>2023</w:t>
      </w:r>
      <w:r w:rsidR="006D614F">
        <w:t xml:space="preserve"> trial </w:t>
      </w:r>
      <w:r w:rsidR="009119C0">
        <w:t>was a single surgeo</w:t>
      </w:r>
      <w:r w:rsidR="0089753A">
        <w:t>n trial</w:t>
      </w:r>
      <w:r w:rsidR="0022203A">
        <w:t xml:space="preserve"> which</w:t>
      </w:r>
      <w:r w:rsidR="002A0A20">
        <w:t xml:space="preserve"> </w:t>
      </w:r>
      <w:r w:rsidR="009C6ECA">
        <w:t xml:space="preserve">included patients with </w:t>
      </w:r>
      <w:r w:rsidR="00A37E97">
        <w:t>supraspinatus full-thickness tear</w:t>
      </w:r>
      <w:r w:rsidR="007C7D1D">
        <w:t xml:space="preserve"> and was designed to evaluate tendon integrity following surgical treatment for FTRCT.</w:t>
      </w:r>
      <w:r w:rsidR="00B74023">
        <w:t xml:space="preserve"> MSAC </w:t>
      </w:r>
      <w:r w:rsidR="00C9336B">
        <w:t xml:space="preserve">considered it </w:t>
      </w:r>
      <w:r w:rsidR="008B2302">
        <w:t xml:space="preserve">inappropriate to use the </w:t>
      </w:r>
      <w:r w:rsidR="001B50C4" w:rsidRPr="001B50C4">
        <w:t xml:space="preserve">Camacho-Chacon </w:t>
      </w:r>
      <w:r w:rsidR="00E515A1">
        <w:t>2023</w:t>
      </w:r>
      <w:r w:rsidR="001B50C4" w:rsidRPr="001B50C4">
        <w:t xml:space="preserve"> </w:t>
      </w:r>
      <w:r w:rsidR="001B50C4">
        <w:t xml:space="preserve">trial as evidence for PTRCT and was </w:t>
      </w:r>
      <w:r w:rsidR="00925301">
        <w:t>concerned that</w:t>
      </w:r>
      <w:r w:rsidR="001B50C4">
        <w:t xml:space="preserve"> the </w:t>
      </w:r>
      <w:r w:rsidR="00BD68CA">
        <w:t>trial might not reflect actual clinical practice.</w:t>
      </w:r>
    </w:p>
    <w:p w14:paraId="5105C014" w14:textId="7E8BD959" w:rsidR="00616551" w:rsidRDefault="00616551" w:rsidP="00616551">
      <w:r>
        <w:t>In addition to these RCTs, the ADAR provided safety and effectiveness evidence based on other clinical trials identified in the</w:t>
      </w:r>
      <w:r w:rsidR="00EB72E9">
        <w:t xml:space="preserve"> applicant’s</w:t>
      </w:r>
      <w:r>
        <w:t xml:space="preserve"> systematic literature search. </w:t>
      </w:r>
      <w:r w:rsidR="0097215E">
        <w:t xml:space="preserve">MSAC noted that there are ongoing studies relevant to </w:t>
      </w:r>
      <w:r w:rsidR="0045194B">
        <w:t>rotator cuff repair</w:t>
      </w:r>
      <w:r w:rsidR="009648B5">
        <w:t xml:space="preserve">, including but not limited to </w:t>
      </w:r>
      <w:r w:rsidR="001F2AA7">
        <w:t>the Australian Rotator Cuff (ARC</w:t>
      </w:r>
      <w:r w:rsidR="002D1084">
        <w:t xml:space="preserve">) </w:t>
      </w:r>
      <w:r w:rsidR="001F2AA7">
        <w:t>Study</w:t>
      </w:r>
      <w:r w:rsidR="00415EB8">
        <w:rPr>
          <w:rStyle w:val="FootnoteReference"/>
        </w:rPr>
        <w:footnoteReference w:id="2"/>
      </w:r>
      <w:r w:rsidR="00215F18">
        <w:t>.</w:t>
      </w:r>
      <w:r w:rsidR="00D53DDB">
        <w:t xml:space="preserve"> </w:t>
      </w:r>
      <w:r w:rsidR="002D1084">
        <w:t xml:space="preserve">MSAC noted </w:t>
      </w:r>
      <w:r w:rsidR="001537D0">
        <w:t xml:space="preserve">the ARC study is expected to </w:t>
      </w:r>
      <w:r w:rsidR="00EB72E9">
        <w:t xml:space="preserve">be completed </w:t>
      </w:r>
      <w:r w:rsidR="001537D0">
        <w:t>in 2026.</w:t>
      </w:r>
    </w:p>
    <w:p w14:paraId="38F4A8C6" w14:textId="72D1847C" w:rsidR="00E1525B" w:rsidRDefault="00E1525B" w:rsidP="009E07E8">
      <w:r>
        <w:t xml:space="preserve">MSAC noted that the </w:t>
      </w:r>
      <w:r w:rsidR="009E47CE">
        <w:t>re-application</w:t>
      </w:r>
      <w:r>
        <w:t xml:space="preserve"> did not include continued CM as an additional comparator for population 1</w:t>
      </w:r>
      <w:r w:rsidR="009E47CE">
        <w:t>, as advised by</w:t>
      </w:r>
      <w:r w:rsidR="00885A86">
        <w:t xml:space="preserve"> the </w:t>
      </w:r>
      <w:r w:rsidR="00885A86" w:rsidRPr="00B821D3">
        <w:rPr>
          <w:rFonts w:cs="Helvetica"/>
          <w:color w:val="222222"/>
          <w:shd w:val="clear" w:color="auto" w:fill="FFFFFF"/>
        </w:rPr>
        <w:t>PICO Advisory Sub-committee</w:t>
      </w:r>
      <w:r w:rsidR="009E47CE">
        <w:t xml:space="preserve"> </w:t>
      </w:r>
      <w:r w:rsidR="00885A86">
        <w:t>(</w:t>
      </w:r>
      <w:r w:rsidR="00CF5D21">
        <w:t>PASC</w:t>
      </w:r>
      <w:r w:rsidR="00885A86">
        <w:t>)</w:t>
      </w:r>
      <w:r w:rsidR="00CF5D21">
        <w:t xml:space="preserve"> in August</w:t>
      </w:r>
      <w:r w:rsidR="004B6338">
        <w:t xml:space="preserve"> 2023. </w:t>
      </w:r>
      <w:r w:rsidR="004718B5">
        <w:t>MSAC</w:t>
      </w:r>
      <w:r w:rsidR="00131984">
        <w:t xml:space="preserve"> noted PASC’s consideration</w:t>
      </w:r>
      <w:r w:rsidR="00507BA6">
        <w:t xml:space="preserve"> of</w:t>
      </w:r>
      <w:r w:rsidR="00131984">
        <w:t xml:space="preserve"> the natural history of rotator cuff tear</w:t>
      </w:r>
      <w:r w:rsidR="00507BA6">
        <w:t>s, where</w:t>
      </w:r>
      <w:r w:rsidR="000C3CF3">
        <w:t xml:space="preserve"> the tears may resolve</w:t>
      </w:r>
      <w:r w:rsidR="003A6A75">
        <w:t xml:space="preserve"> spontaneously in</w:t>
      </w:r>
      <w:r w:rsidR="00507BA6">
        <w:t xml:space="preserve"> </w:t>
      </w:r>
      <w:r w:rsidR="00B03EAA">
        <w:t>a proportion of patients who delay surgery</w:t>
      </w:r>
      <w:r w:rsidR="003A6A75">
        <w:t>.</w:t>
      </w:r>
      <w:r w:rsidR="00113972">
        <w:t xml:space="preserve"> </w:t>
      </w:r>
      <w:r w:rsidR="002F62D6">
        <w:t xml:space="preserve">MSAC noted PASC’s concern </w:t>
      </w:r>
      <w:r w:rsidR="009B5F6F">
        <w:t>that the proposed listing</w:t>
      </w:r>
      <w:r w:rsidR="0036298F">
        <w:t>,</w:t>
      </w:r>
      <w:r w:rsidR="009B5F6F">
        <w:t xml:space="preserve"> if approved</w:t>
      </w:r>
      <w:r w:rsidR="0036298F">
        <w:t>,</w:t>
      </w:r>
      <w:r w:rsidR="009B5F6F">
        <w:t xml:space="preserve"> might reduce the threshold for surgery for rotator cuff tears</w:t>
      </w:r>
      <w:r w:rsidR="00082E0D">
        <w:t xml:space="preserve"> in population 1</w:t>
      </w:r>
      <w:r w:rsidR="00113972" w:rsidRPr="00113972">
        <w:t xml:space="preserve"> </w:t>
      </w:r>
      <w:r w:rsidR="00113972">
        <w:t xml:space="preserve">and </w:t>
      </w:r>
      <w:r w:rsidR="00113972" w:rsidRPr="00113972">
        <w:t xml:space="preserve">therefore result in some </w:t>
      </w:r>
      <w:r w:rsidR="0085655D">
        <w:t>proportion</w:t>
      </w:r>
      <w:r w:rsidR="00113972" w:rsidRPr="00113972">
        <w:t xml:space="preserve"> of patients who might otherwise have continued with </w:t>
      </w:r>
      <w:r w:rsidR="005F2DC4">
        <w:t>CM</w:t>
      </w:r>
      <w:r w:rsidR="00113972" w:rsidRPr="00113972">
        <w:t xml:space="preserve"> opting for surgery instead.</w:t>
      </w:r>
      <w:r w:rsidR="00090976">
        <w:t xml:space="preserve"> </w:t>
      </w:r>
      <w:r w:rsidR="00356CD9">
        <w:t xml:space="preserve">MSAC noted the </w:t>
      </w:r>
      <w:r w:rsidR="007F1489">
        <w:t xml:space="preserve">applicant’s reiteration of its </w:t>
      </w:r>
      <w:r w:rsidR="006645E0">
        <w:t xml:space="preserve">reasons </w:t>
      </w:r>
      <w:r w:rsidR="005F2DC4">
        <w:t xml:space="preserve">against </w:t>
      </w:r>
      <w:r w:rsidR="007E5890">
        <w:t xml:space="preserve">continued </w:t>
      </w:r>
      <w:r w:rsidR="00CC7B66">
        <w:t xml:space="preserve">CM in its pre-MSAC response. </w:t>
      </w:r>
      <w:r w:rsidR="006E079B">
        <w:t xml:space="preserve">MSAC </w:t>
      </w:r>
      <w:r w:rsidR="008541E3">
        <w:t>agreed with</w:t>
      </w:r>
      <w:r w:rsidR="00EA6D68">
        <w:t xml:space="preserve"> its </w:t>
      </w:r>
      <w:r w:rsidR="00456067">
        <w:t>Evaluation</w:t>
      </w:r>
      <w:r w:rsidR="00EA6D68">
        <w:t xml:space="preserve"> Sub</w:t>
      </w:r>
      <w:r w:rsidR="007E680F">
        <w:t>-committee</w:t>
      </w:r>
      <w:r w:rsidR="008541E3">
        <w:t xml:space="preserve"> </w:t>
      </w:r>
      <w:r w:rsidR="007E680F">
        <w:t>(</w:t>
      </w:r>
      <w:r w:rsidR="008541E3">
        <w:t>ESC</w:t>
      </w:r>
      <w:r w:rsidR="007E680F">
        <w:t>)</w:t>
      </w:r>
      <w:r w:rsidR="008541E3">
        <w:t xml:space="preserve"> </w:t>
      </w:r>
      <w:r w:rsidR="0000555F">
        <w:t xml:space="preserve">that </w:t>
      </w:r>
      <w:r w:rsidR="000B580C">
        <w:t xml:space="preserve">population 1 </w:t>
      </w:r>
      <w:r w:rsidR="005B7003">
        <w:t>should have been compared with continued CM</w:t>
      </w:r>
      <w:r w:rsidR="008541E3">
        <w:t xml:space="preserve"> as well </w:t>
      </w:r>
      <w:r w:rsidR="0000555F">
        <w:t xml:space="preserve">as surgery, </w:t>
      </w:r>
      <w:r w:rsidR="00C83247">
        <w:t>although noted the</w:t>
      </w:r>
      <w:r w:rsidR="0000555F">
        <w:t xml:space="preserve"> </w:t>
      </w:r>
      <w:r w:rsidR="0085655D">
        <w:t xml:space="preserve">challenges </w:t>
      </w:r>
      <w:r w:rsidR="00326882">
        <w:t>in collecting unconfounded data on CM or natural history.</w:t>
      </w:r>
    </w:p>
    <w:p w14:paraId="66528790" w14:textId="47FABEA7" w:rsidR="009E07E8" w:rsidRDefault="009E07E8" w:rsidP="009E07E8">
      <w:r>
        <w:t>MSAC</w:t>
      </w:r>
      <w:r w:rsidRPr="0060317A">
        <w:t xml:space="preserve"> noted that the proposed clinical management algorithm deviated from the clinical management algorithm</w:t>
      </w:r>
      <w:r>
        <w:t xml:space="preserve"> </w:t>
      </w:r>
      <w:r w:rsidR="00225769">
        <w:t>confirmed by</w:t>
      </w:r>
      <w:r>
        <w:t xml:space="preserve"> PASC. </w:t>
      </w:r>
      <w:r w:rsidRPr="0060317A">
        <w:t xml:space="preserve">The ADAR claimed that the </w:t>
      </w:r>
      <w:r w:rsidR="00D94FBE">
        <w:t xml:space="preserve">PASC-confirmed </w:t>
      </w:r>
      <w:r w:rsidRPr="0060317A">
        <w:t xml:space="preserve">clinical management algorithm did not reflect the possibility of patients who improve </w:t>
      </w:r>
      <w:r>
        <w:t>after</w:t>
      </w:r>
      <w:r w:rsidRPr="0060317A">
        <w:t xml:space="preserve"> </w:t>
      </w:r>
      <w:r>
        <w:t xml:space="preserve">conservative </w:t>
      </w:r>
      <w:r>
        <w:lastRenderedPageBreak/>
        <w:t xml:space="preserve">management </w:t>
      </w:r>
      <w:r w:rsidRPr="0060317A">
        <w:t>relaps</w:t>
      </w:r>
      <w:r w:rsidR="00D94FBE">
        <w:t>ing</w:t>
      </w:r>
      <w:r w:rsidRPr="0060317A">
        <w:t xml:space="preserve"> at some point in time and re</w:t>
      </w:r>
      <w:r w:rsidR="00D94FBE">
        <w:t>-entering</w:t>
      </w:r>
      <w:r w:rsidRPr="0060317A">
        <w:t xml:space="preserve"> the treatment algorithm. However, </w:t>
      </w:r>
      <w:r>
        <w:t xml:space="preserve">MSAC noted that </w:t>
      </w:r>
      <w:r w:rsidRPr="0060317A">
        <w:t xml:space="preserve">the </w:t>
      </w:r>
      <w:r>
        <w:t>C</w:t>
      </w:r>
      <w:r w:rsidRPr="0060317A">
        <w:t>ommentary considered that the PASC</w:t>
      </w:r>
      <w:r>
        <w:t>-</w:t>
      </w:r>
      <w:r w:rsidR="00225769">
        <w:t>confirmed</w:t>
      </w:r>
      <w:r w:rsidRPr="0060317A">
        <w:t xml:space="preserve"> algorithm </w:t>
      </w:r>
      <w:r w:rsidR="00B63A33">
        <w:t>did</w:t>
      </w:r>
      <w:r w:rsidR="00B63A33" w:rsidRPr="0060317A">
        <w:t xml:space="preserve"> </w:t>
      </w:r>
      <w:r w:rsidRPr="0060317A">
        <w:t>include a treatment arm for patients who improve post</w:t>
      </w:r>
      <w:r>
        <w:t>-</w:t>
      </w:r>
      <w:r w:rsidRPr="0060317A">
        <w:t xml:space="preserve">CM relapse </w:t>
      </w:r>
      <w:r w:rsidR="00B63A33">
        <w:t>and return</w:t>
      </w:r>
      <w:r w:rsidRPr="0060317A">
        <w:t xml:space="preserve"> to the </w:t>
      </w:r>
      <w:r>
        <w:t>“</w:t>
      </w:r>
      <w:r w:rsidRPr="0060317A">
        <w:t>no improvement stage</w:t>
      </w:r>
      <w:r>
        <w:t>”</w:t>
      </w:r>
      <w:r w:rsidRPr="0060317A">
        <w:t xml:space="preserve"> and following the treatment pathways</w:t>
      </w:r>
      <w:r w:rsidR="00B63A33">
        <w:t>. By contrast,</w:t>
      </w:r>
      <w:r w:rsidR="00686411">
        <w:t xml:space="preserve"> </w:t>
      </w:r>
      <w:r w:rsidRPr="0060317A">
        <w:t xml:space="preserve">the </w:t>
      </w:r>
      <w:r w:rsidR="00EF3579">
        <w:t>applicant-</w:t>
      </w:r>
      <w:r w:rsidRPr="0060317A">
        <w:t>amended algorithm included the relapse</w:t>
      </w:r>
      <w:r w:rsidR="00EF3579">
        <w:t>d</w:t>
      </w:r>
      <w:r w:rsidRPr="0060317A">
        <w:t xml:space="preserve"> patients going back to the start of the treatment algorithm. The </w:t>
      </w:r>
      <w:r>
        <w:t>C</w:t>
      </w:r>
      <w:r w:rsidRPr="0060317A">
        <w:t xml:space="preserve">ommentary considered that the relapsed CM patients did not require </w:t>
      </w:r>
      <w:r w:rsidR="00EF3579">
        <w:t>re-</w:t>
      </w:r>
      <w:r w:rsidRPr="0060317A">
        <w:t xml:space="preserve">establishment </w:t>
      </w:r>
      <w:r w:rsidR="00BC2448">
        <w:t>of</w:t>
      </w:r>
      <w:r w:rsidRPr="0060317A">
        <w:t xml:space="preserve"> evidence of cuff disease, hence the pathway proposed in the PASC algorithm for CM relapse patients would be more appropriate.</w:t>
      </w:r>
    </w:p>
    <w:p w14:paraId="17DE48F0" w14:textId="5F7FEA4B" w:rsidR="009E07E8" w:rsidRPr="004C74C5" w:rsidRDefault="009775DA" w:rsidP="009E07E8">
      <w:pPr>
        <w:rPr>
          <w:rFonts w:cstheme="minorHAnsi"/>
          <w:bCs/>
        </w:rPr>
      </w:pPr>
      <w:r>
        <w:t xml:space="preserve">Overall, </w:t>
      </w:r>
      <w:r w:rsidR="00311987" w:rsidRPr="004C74C5">
        <w:rPr>
          <w:rFonts w:cstheme="minorHAnsi"/>
        </w:rPr>
        <w:t xml:space="preserve">for </w:t>
      </w:r>
      <w:r w:rsidR="00311987">
        <w:rPr>
          <w:rFonts w:cstheme="minorHAnsi"/>
        </w:rPr>
        <w:t>population 1</w:t>
      </w:r>
      <w:r w:rsidR="00311987" w:rsidRPr="004C74C5">
        <w:rPr>
          <w:rFonts w:cstheme="minorHAnsi"/>
        </w:rPr>
        <w:t xml:space="preserve"> </w:t>
      </w:r>
      <w:r w:rsidR="009E07E8">
        <w:t xml:space="preserve">MSAC </w:t>
      </w:r>
      <w:r w:rsidR="00A614C1">
        <w:t>considered</w:t>
      </w:r>
      <w:r w:rsidR="009E07E8">
        <w:t xml:space="preserve"> that t</w:t>
      </w:r>
      <w:r w:rsidR="009E07E8" w:rsidRPr="004C74C5">
        <w:rPr>
          <w:rFonts w:cstheme="minorHAnsi"/>
          <w:bCs/>
        </w:rPr>
        <w:t xml:space="preserve">he clinical claim of superior effectiveness </w:t>
      </w:r>
      <w:r w:rsidR="009E07E8" w:rsidRPr="004C74C5">
        <w:rPr>
          <w:rFonts w:cstheme="minorHAnsi"/>
        </w:rPr>
        <w:t xml:space="preserve">and noninferior safety </w:t>
      </w:r>
      <w:r w:rsidR="009E07E8">
        <w:rPr>
          <w:rFonts w:cstheme="minorHAnsi"/>
        </w:rPr>
        <w:t xml:space="preserve">compared to treatment with standard surgical repair </w:t>
      </w:r>
      <w:r w:rsidR="00DF0248">
        <w:rPr>
          <w:rFonts w:cstheme="minorHAnsi"/>
        </w:rPr>
        <w:t>was</w:t>
      </w:r>
      <w:r w:rsidR="009E07E8" w:rsidRPr="004C74C5">
        <w:rPr>
          <w:rFonts w:cstheme="minorHAnsi"/>
        </w:rPr>
        <w:t xml:space="preserve"> uncertain</w:t>
      </w:r>
      <w:r w:rsidR="009E07E8" w:rsidRPr="004C74C5">
        <w:rPr>
          <w:rFonts w:cstheme="minorHAnsi"/>
          <w:bCs/>
        </w:rPr>
        <w:t xml:space="preserve"> </w:t>
      </w:r>
      <w:r w:rsidR="00C84EA7">
        <w:rPr>
          <w:rFonts w:cstheme="minorHAnsi"/>
          <w:bCs/>
        </w:rPr>
        <w:t xml:space="preserve">due to </w:t>
      </w:r>
      <w:r w:rsidR="00B8508B">
        <w:rPr>
          <w:rFonts w:cstheme="minorHAnsi"/>
          <w:bCs/>
        </w:rPr>
        <w:t>there being only one study, with a</w:t>
      </w:r>
      <w:r w:rsidR="00C84EA7">
        <w:rPr>
          <w:rFonts w:cstheme="minorHAnsi"/>
          <w:bCs/>
        </w:rPr>
        <w:t xml:space="preserve"> </w:t>
      </w:r>
      <w:r w:rsidR="00F721CC">
        <w:rPr>
          <w:rFonts w:cstheme="minorHAnsi"/>
          <w:bCs/>
        </w:rPr>
        <w:t>small sample</w:t>
      </w:r>
      <w:r w:rsidR="009918DB">
        <w:rPr>
          <w:rFonts w:cstheme="minorHAnsi"/>
          <w:bCs/>
        </w:rPr>
        <w:t xml:space="preserve"> size</w:t>
      </w:r>
      <w:r w:rsidR="004F27AE">
        <w:rPr>
          <w:rFonts w:cstheme="minorHAnsi"/>
          <w:bCs/>
        </w:rPr>
        <w:t xml:space="preserve">, </w:t>
      </w:r>
      <w:r w:rsidR="00B8508B">
        <w:rPr>
          <w:rFonts w:cstheme="minorHAnsi"/>
          <w:bCs/>
        </w:rPr>
        <w:t xml:space="preserve">and </w:t>
      </w:r>
      <w:r w:rsidR="00F514D8">
        <w:rPr>
          <w:rFonts w:cstheme="minorHAnsi"/>
          <w:bCs/>
        </w:rPr>
        <w:t>lack of long-term follow-up</w:t>
      </w:r>
      <w:r w:rsidR="00E675A2">
        <w:rPr>
          <w:rFonts w:cstheme="minorHAnsi"/>
          <w:bCs/>
        </w:rPr>
        <w:t xml:space="preserve"> </w:t>
      </w:r>
      <w:r w:rsidR="00582BD0">
        <w:rPr>
          <w:rFonts w:cstheme="minorHAnsi"/>
          <w:bCs/>
        </w:rPr>
        <w:t>Additionally,</w:t>
      </w:r>
      <w:r w:rsidR="00F514D8">
        <w:rPr>
          <w:rFonts w:cstheme="minorHAnsi"/>
          <w:bCs/>
        </w:rPr>
        <w:t xml:space="preserve"> </w:t>
      </w:r>
      <w:r w:rsidR="00503301">
        <w:rPr>
          <w:rFonts w:cstheme="minorHAnsi"/>
          <w:bCs/>
        </w:rPr>
        <w:t>MSAC agreed with</w:t>
      </w:r>
      <w:r w:rsidR="00E323BD">
        <w:rPr>
          <w:rFonts w:cstheme="minorHAnsi"/>
          <w:bCs/>
        </w:rPr>
        <w:t xml:space="preserve"> ESC that the</w:t>
      </w:r>
      <w:r w:rsidR="00E8578D">
        <w:rPr>
          <w:rFonts w:cstheme="minorHAnsi"/>
          <w:bCs/>
        </w:rPr>
        <w:t xml:space="preserve"> study population of Cam</w:t>
      </w:r>
      <w:r w:rsidR="009E528C">
        <w:rPr>
          <w:rFonts w:cstheme="minorHAnsi"/>
          <w:bCs/>
        </w:rPr>
        <w:t>a</w:t>
      </w:r>
      <w:r w:rsidR="00E8578D">
        <w:rPr>
          <w:rFonts w:cstheme="minorHAnsi"/>
          <w:bCs/>
        </w:rPr>
        <w:t>cho-Chacon</w:t>
      </w:r>
      <w:r w:rsidR="00F01662">
        <w:rPr>
          <w:rFonts w:cstheme="minorHAnsi"/>
          <w:bCs/>
        </w:rPr>
        <w:t xml:space="preserve"> et al., (20</w:t>
      </w:r>
      <w:r w:rsidR="00450688">
        <w:rPr>
          <w:rFonts w:cstheme="minorHAnsi"/>
          <w:bCs/>
        </w:rPr>
        <w:t>2</w:t>
      </w:r>
      <w:r w:rsidR="00F01662">
        <w:rPr>
          <w:rFonts w:cstheme="minorHAnsi"/>
          <w:bCs/>
        </w:rPr>
        <w:t>3)</w:t>
      </w:r>
      <w:r w:rsidR="00D6338D">
        <w:rPr>
          <w:rStyle w:val="FootnoteReference"/>
          <w:rFonts w:cstheme="minorHAnsi"/>
          <w:bCs/>
        </w:rPr>
        <w:footnoteReference w:id="3"/>
      </w:r>
      <w:r w:rsidR="00F01662">
        <w:rPr>
          <w:rFonts w:cstheme="minorHAnsi"/>
          <w:bCs/>
        </w:rPr>
        <w:t xml:space="preserve"> increased uncertainty </w:t>
      </w:r>
      <w:r w:rsidR="00133FD1">
        <w:rPr>
          <w:rFonts w:cstheme="minorHAnsi"/>
          <w:bCs/>
        </w:rPr>
        <w:t xml:space="preserve">in the clinical claim </w:t>
      </w:r>
      <w:r w:rsidR="00C7430B">
        <w:rPr>
          <w:rFonts w:cstheme="minorHAnsi"/>
          <w:bCs/>
        </w:rPr>
        <w:t xml:space="preserve">for partial tears patients </w:t>
      </w:r>
      <w:r w:rsidR="00133FD1">
        <w:rPr>
          <w:rFonts w:cstheme="minorHAnsi"/>
          <w:bCs/>
        </w:rPr>
        <w:t xml:space="preserve">as it </w:t>
      </w:r>
      <w:r w:rsidR="00B8719F">
        <w:rPr>
          <w:rFonts w:cstheme="minorHAnsi"/>
          <w:bCs/>
        </w:rPr>
        <w:t>included FTRCT patients</w:t>
      </w:r>
      <w:r w:rsidR="00582BD0">
        <w:rPr>
          <w:rFonts w:cstheme="minorHAnsi"/>
          <w:bCs/>
        </w:rPr>
        <w:t>.</w:t>
      </w:r>
      <w:r w:rsidR="006E618C">
        <w:rPr>
          <w:rFonts w:cstheme="minorHAnsi"/>
          <w:bCs/>
        </w:rPr>
        <w:t xml:space="preserve"> </w:t>
      </w:r>
      <w:r w:rsidR="006D3C48">
        <w:rPr>
          <w:rFonts w:cstheme="minorHAnsi"/>
          <w:bCs/>
        </w:rPr>
        <w:t xml:space="preserve">MSAC </w:t>
      </w:r>
      <w:r w:rsidR="008B5B85">
        <w:rPr>
          <w:rFonts w:cstheme="minorHAnsi"/>
          <w:bCs/>
        </w:rPr>
        <w:t>further</w:t>
      </w:r>
      <w:r w:rsidR="006D3C48">
        <w:rPr>
          <w:rFonts w:cstheme="minorHAnsi"/>
          <w:bCs/>
        </w:rPr>
        <w:t xml:space="preserve"> </w:t>
      </w:r>
      <w:r w:rsidR="002B2568">
        <w:rPr>
          <w:rFonts w:cstheme="minorHAnsi"/>
          <w:bCs/>
        </w:rPr>
        <w:t xml:space="preserve">noted that </w:t>
      </w:r>
      <w:r w:rsidR="00F1026F">
        <w:rPr>
          <w:rFonts w:cstheme="minorHAnsi"/>
          <w:bCs/>
        </w:rPr>
        <w:t>the re-application did not present evidence</w:t>
      </w:r>
      <w:r w:rsidR="006D3C48">
        <w:rPr>
          <w:rFonts w:cstheme="minorHAnsi"/>
          <w:bCs/>
        </w:rPr>
        <w:t xml:space="preserve"> </w:t>
      </w:r>
      <w:r w:rsidR="002D2CC6">
        <w:rPr>
          <w:rFonts w:cstheme="minorHAnsi"/>
          <w:bCs/>
        </w:rPr>
        <w:t xml:space="preserve">to support the correlation between radiographic </w:t>
      </w:r>
      <w:r w:rsidR="00A32F69">
        <w:rPr>
          <w:rFonts w:cstheme="minorHAnsi"/>
          <w:bCs/>
        </w:rPr>
        <w:t>outcomes</w:t>
      </w:r>
      <w:r w:rsidR="00BA2429">
        <w:rPr>
          <w:rFonts w:cstheme="minorHAnsi"/>
          <w:bCs/>
        </w:rPr>
        <w:t xml:space="preserve"> </w:t>
      </w:r>
      <w:r w:rsidR="00C45C19">
        <w:rPr>
          <w:rFonts w:cstheme="minorHAnsi"/>
          <w:bCs/>
        </w:rPr>
        <w:t>and functional outcomes</w:t>
      </w:r>
      <w:r w:rsidR="00845CE6">
        <w:rPr>
          <w:rFonts w:cstheme="minorHAnsi"/>
          <w:bCs/>
        </w:rPr>
        <w:t>.</w:t>
      </w:r>
      <w:r w:rsidR="00A32F69">
        <w:rPr>
          <w:rFonts w:cstheme="minorHAnsi"/>
          <w:bCs/>
        </w:rPr>
        <w:t xml:space="preserve"> </w:t>
      </w:r>
      <w:r w:rsidR="00515D87">
        <w:rPr>
          <w:rFonts w:cstheme="minorHAnsi"/>
          <w:bCs/>
        </w:rPr>
        <w:t xml:space="preserve">MSAC agreed with ESC </w:t>
      </w:r>
      <w:r w:rsidR="002B0E24">
        <w:rPr>
          <w:rFonts w:cstheme="minorHAnsi"/>
          <w:bCs/>
        </w:rPr>
        <w:t>that</w:t>
      </w:r>
      <w:r w:rsidR="00787E85">
        <w:rPr>
          <w:rFonts w:cstheme="minorHAnsi"/>
          <w:bCs/>
        </w:rPr>
        <w:t xml:space="preserve"> whilst</w:t>
      </w:r>
      <w:r w:rsidR="002B0E24">
        <w:rPr>
          <w:rFonts w:cstheme="minorHAnsi"/>
          <w:bCs/>
        </w:rPr>
        <w:t xml:space="preserve"> correlational evidence was important</w:t>
      </w:r>
      <w:r w:rsidR="00787E85">
        <w:rPr>
          <w:rFonts w:cstheme="minorHAnsi"/>
          <w:bCs/>
        </w:rPr>
        <w:t xml:space="preserve"> in theory</w:t>
      </w:r>
      <w:r w:rsidR="002B0E24">
        <w:rPr>
          <w:rFonts w:cstheme="minorHAnsi"/>
          <w:bCs/>
        </w:rPr>
        <w:t>, especially when re-tears can be asymptomatic</w:t>
      </w:r>
      <w:r w:rsidR="00E0485D">
        <w:rPr>
          <w:rFonts w:cstheme="minorHAnsi"/>
          <w:bCs/>
        </w:rPr>
        <w:t xml:space="preserve"> and that </w:t>
      </w:r>
      <w:r w:rsidR="003E7EB7">
        <w:rPr>
          <w:rFonts w:cstheme="minorHAnsi"/>
          <w:bCs/>
        </w:rPr>
        <w:t xml:space="preserve">there </w:t>
      </w:r>
      <w:r w:rsidR="009A26EC">
        <w:rPr>
          <w:rFonts w:cstheme="minorHAnsi"/>
          <w:bCs/>
        </w:rPr>
        <w:t>wa</w:t>
      </w:r>
      <w:r w:rsidR="003E7EB7">
        <w:rPr>
          <w:rFonts w:cstheme="minorHAnsi"/>
          <w:bCs/>
        </w:rPr>
        <w:t>s no evidence that avoidance of re-tears</w:t>
      </w:r>
      <w:r w:rsidR="00324AC4">
        <w:rPr>
          <w:rFonts w:cstheme="minorHAnsi"/>
          <w:bCs/>
        </w:rPr>
        <w:t xml:space="preserve"> is associated with better clinical outcomes</w:t>
      </w:r>
      <w:r w:rsidR="00787E85">
        <w:rPr>
          <w:rFonts w:cstheme="minorHAnsi"/>
          <w:bCs/>
        </w:rPr>
        <w:t xml:space="preserve">, </w:t>
      </w:r>
      <w:r w:rsidR="00B20C76">
        <w:rPr>
          <w:rFonts w:cstheme="minorHAnsi"/>
          <w:bCs/>
        </w:rPr>
        <w:t>it was aware that such correlational evidence is unlikely to exist or be forthcoming</w:t>
      </w:r>
      <w:r w:rsidR="00324AC4">
        <w:rPr>
          <w:rFonts w:cstheme="minorHAnsi"/>
          <w:bCs/>
        </w:rPr>
        <w:t>.</w:t>
      </w:r>
      <w:r w:rsidR="007D231D">
        <w:rPr>
          <w:rFonts w:cstheme="minorHAnsi"/>
          <w:bCs/>
        </w:rPr>
        <w:t xml:space="preserve"> </w:t>
      </w:r>
      <w:r w:rsidR="00B20C76">
        <w:rPr>
          <w:rFonts w:cstheme="minorHAnsi"/>
          <w:bCs/>
        </w:rPr>
        <w:t xml:space="preserve">Consequently, MSAC noted </w:t>
      </w:r>
      <w:r w:rsidR="00290148">
        <w:rPr>
          <w:rFonts w:cstheme="minorHAnsi"/>
          <w:bCs/>
        </w:rPr>
        <w:t>this further emphasises the need for RCTs wit</w:t>
      </w:r>
      <w:r w:rsidR="00DD050E">
        <w:rPr>
          <w:rFonts w:cstheme="minorHAnsi"/>
          <w:bCs/>
        </w:rPr>
        <w:t>h non-radiological measures as primary outcomes.</w:t>
      </w:r>
    </w:p>
    <w:p w14:paraId="2375E69E" w14:textId="14132FA1" w:rsidR="0090253C" w:rsidRDefault="00A867B1" w:rsidP="009E07E8">
      <w:r>
        <w:t>For the FTRCT population</w:t>
      </w:r>
      <w:r w:rsidR="00311987">
        <w:t xml:space="preserve"> (population 2)</w:t>
      </w:r>
      <w:r>
        <w:t>, MSAC considered th</w:t>
      </w:r>
      <w:r w:rsidR="00314033">
        <w:t>e</w:t>
      </w:r>
      <w:r w:rsidR="009E07E8">
        <w:t xml:space="preserve"> clinical claim of </w:t>
      </w:r>
      <w:r w:rsidR="009E07E8">
        <w:rPr>
          <w:bCs/>
        </w:rPr>
        <w:t xml:space="preserve">superior effectiveness </w:t>
      </w:r>
      <w:r w:rsidR="009E07E8">
        <w:t>and noninferior</w:t>
      </w:r>
      <w:r w:rsidR="009F2DF9">
        <w:t xml:space="preserve"> safety</w:t>
      </w:r>
      <w:r w:rsidR="009E07E8">
        <w:t xml:space="preserve"> </w:t>
      </w:r>
      <w:r w:rsidR="009E07E8" w:rsidRPr="6F7F67BF">
        <w:t>compared to treatment with standard surgical repair</w:t>
      </w:r>
      <w:r w:rsidR="009E07E8">
        <w:t xml:space="preserve"> </w:t>
      </w:r>
      <w:r w:rsidR="009F2DF9">
        <w:t>was</w:t>
      </w:r>
      <w:r w:rsidR="009E07E8">
        <w:t xml:space="preserve"> uncertain</w:t>
      </w:r>
      <w:r w:rsidR="00FE39A2">
        <w:t xml:space="preserve">. </w:t>
      </w:r>
      <w:r w:rsidR="00833C46">
        <w:t xml:space="preserve">While </w:t>
      </w:r>
      <w:r w:rsidR="00833C46" w:rsidRPr="00833C46">
        <w:t>MSAC considered the two new randomised trials for full-thickness tears more reliable than the evidence considered in the previous application for this population</w:t>
      </w:r>
      <w:r w:rsidR="00833C46">
        <w:t>,</w:t>
      </w:r>
      <w:r w:rsidR="002909CE">
        <w:t xml:space="preserve"> MSAC noted</w:t>
      </w:r>
      <w:r w:rsidR="00833C46" w:rsidRPr="00833C46">
        <w:t xml:space="preserve"> </w:t>
      </w:r>
      <w:r w:rsidR="00305369">
        <w:t>t</w:t>
      </w:r>
      <w:r w:rsidR="00FE39A2">
        <w:t>he Ruiz Iban (2023)</w:t>
      </w:r>
      <w:r w:rsidR="00305369">
        <w:t xml:space="preserve"> trial</w:t>
      </w:r>
      <w:r w:rsidR="00FE39A2">
        <w:t xml:space="preserve"> showed superiority in imaging-based outcomes such as retear rates</w:t>
      </w:r>
      <w:r w:rsidR="00340592">
        <w:t xml:space="preserve"> </w:t>
      </w:r>
      <w:r w:rsidR="00DD2C0E">
        <w:t>but</w:t>
      </w:r>
      <w:r w:rsidR="00FE39A2">
        <w:t xml:space="preserve"> no significant differences in patient-reported outcomes (PROs) compared to standard of care</w:t>
      </w:r>
      <w:r w:rsidR="001A21D2">
        <w:t xml:space="preserve"> (</w:t>
      </w:r>
      <w:r w:rsidR="00413DBB">
        <w:t>surg</w:t>
      </w:r>
      <w:r w:rsidR="00BF1868">
        <w:t>ery without augmentation)</w:t>
      </w:r>
      <w:r w:rsidR="00340592">
        <w:t>.</w:t>
      </w:r>
      <w:r w:rsidR="004D421D">
        <w:t xml:space="preserve"> MSAC considered that </w:t>
      </w:r>
      <w:r w:rsidR="00556B53">
        <w:t xml:space="preserve">the claim of </w:t>
      </w:r>
      <w:r w:rsidR="004D421D">
        <w:t>non</w:t>
      </w:r>
      <w:r w:rsidR="00556B53">
        <w:t>-</w:t>
      </w:r>
      <w:r w:rsidR="004D421D">
        <w:t xml:space="preserve">inferiority </w:t>
      </w:r>
      <w:r w:rsidR="00915964">
        <w:t>in</w:t>
      </w:r>
      <w:r w:rsidR="004D421D">
        <w:t xml:space="preserve"> </w:t>
      </w:r>
      <w:r w:rsidR="00F109BA">
        <w:t>comparative</w:t>
      </w:r>
      <w:r w:rsidR="004D421D">
        <w:t xml:space="preserve"> safety </w:t>
      </w:r>
      <w:r w:rsidR="00184C23">
        <w:t>was</w:t>
      </w:r>
      <w:r w:rsidR="000914DD">
        <w:t xml:space="preserve"> likely but </w:t>
      </w:r>
      <w:r w:rsidR="006E06CA">
        <w:t>uncertain due to limited long</w:t>
      </w:r>
      <w:r w:rsidR="00C06C19">
        <w:t>-</w:t>
      </w:r>
      <w:r w:rsidR="006E06CA">
        <w:t xml:space="preserve">term safety data. MSAC noted that the </w:t>
      </w:r>
      <w:r w:rsidR="00E60CA4">
        <w:t>applicant</w:t>
      </w:r>
      <w:r w:rsidR="00C476FD">
        <w:t>’</w:t>
      </w:r>
      <w:r w:rsidR="00E60CA4">
        <w:t xml:space="preserve">s pre-MSAC response presented </w:t>
      </w:r>
      <w:r w:rsidR="00C43B34">
        <w:t xml:space="preserve">a conference abstract containing </w:t>
      </w:r>
      <w:r w:rsidR="00E60CA4">
        <w:t>2</w:t>
      </w:r>
      <w:r w:rsidR="00F50874">
        <w:t>-</w:t>
      </w:r>
      <w:r w:rsidR="00E60CA4">
        <w:t>year data from the Ruiz Iban study</w:t>
      </w:r>
      <w:r w:rsidR="00F50874">
        <w:t>.</w:t>
      </w:r>
      <w:r w:rsidR="00643EC5">
        <w:t xml:space="preserve"> </w:t>
      </w:r>
      <w:r w:rsidR="0090253C">
        <w:t>MSAC noted</w:t>
      </w:r>
      <w:r w:rsidR="00F402C6">
        <w:t xml:space="preserve"> </w:t>
      </w:r>
      <w:r w:rsidR="057BE230">
        <w:t xml:space="preserve">there was some </w:t>
      </w:r>
      <w:r w:rsidR="00F402C6">
        <w:t xml:space="preserve">evidence </w:t>
      </w:r>
      <w:r w:rsidR="1107C620">
        <w:t xml:space="preserve">that </w:t>
      </w:r>
      <w:r w:rsidR="00F402C6">
        <w:t xml:space="preserve">in </w:t>
      </w:r>
      <w:r w:rsidR="066377CC">
        <w:t xml:space="preserve">the </w:t>
      </w:r>
      <w:r w:rsidR="00F402C6">
        <w:t>FTRCT</w:t>
      </w:r>
      <w:r w:rsidR="2574A581">
        <w:t xml:space="preserve"> population</w:t>
      </w:r>
      <w:r w:rsidR="00F402C6">
        <w:t xml:space="preserve"> use of BCI </w:t>
      </w:r>
      <w:r w:rsidR="007A696F">
        <w:t xml:space="preserve">reduced </w:t>
      </w:r>
      <w:r w:rsidR="00A613BD">
        <w:t xml:space="preserve">imaging-based </w:t>
      </w:r>
      <w:r w:rsidR="007A696F">
        <w:t xml:space="preserve">retear rates </w:t>
      </w:r>
      <w:r w:rsidR="00C46D5A">
        <w:t>at 12 months</w:t>
      </w:r>
      <w:r w:rsidR="2C832A2B">
        <w:t>, compared to standard surgery,</w:t>
      </w:r>
      <w:r w:rsidR="00C46D5A">
        <w:t xml:space="preserve"> </w:t>
      </w:r>
      <w:r w:rsidR="007A696F">
        <w:t xml:space="preserve">and </w:t>
      </w:r>
      <w:r w:rsidR="00AB76AD">
        <w:t>may improve return to work.</w:t>
      </w:r>
    </w:p>
    <w:p w14:paraId="10CB0816" w14:textId="21585ED3" w:rsidR="006377A0" w:rsidRDefault="009E07E8" w:rsidP="0013698C">
      <w:pPr>
        <w:rPr>
          <w:lang w:eastAsia="en-AU"/>
        </w:rPr>
      </w:pPr>
      <w:r>
        <w:rPr>
          <w:lang w:eastAsia="en-AU"/>
        </w:rPr>
        <w:t xml:space="preserve">Regarding the economic evaluation, MSAC noted that </w:t>
      </w:r>
      <w:r w:rsidR="00570E11" w:rsidRPr="00570E11">
        <w:rPr>
          <w:lang w:eastAsia="en-AU"/>
        </w:rPr>
        <w:t>the re-application used the Camacho-Chacon 2023 trial to inform the economic evaluation for population 1 and the Ruiz Iban 2023 trial for population 2. However, MSAC noted that neither of these trials were conducted in Australia which might affect their applicability to Australian clinical practice.</w:t>
      </w:r>
    </w:p>
    <w:p w14:paraId="44C4913E" w14:textId="1B2D7DC4" w:rsidR="009E07E8" w:rsidRDefault="009E07E8" w:rsidP="009E07E8">
      <w:pPr>
        <w:rPr>
          <w:lang w:eastAsia="en-AU"/>
        </w:rPr>
      </w:pPr>
      <w:r>
        <w:rPr>
          <w:lang w:eastAsia="en-AU"/>
        </w:rPr>
        <w:t>MSAC noted that f</w:t>
      </w:r>
      <w:r w:rsidRPr="00815DAC">
        <w:rPr>
          <w:lang w:eastAsia="en-AU"/>
        </w:rPr>
        <w:t xml:space="preserve">or population 1 (PTRCT), the ADAR presented a </w:t>
      </w:r>
      <w:r>
        <w:rPr>
          <w:lang w:eastAsia="en-AU"/>
        </w:rPr>
        <w:t>cost-effectiveness analysis</w:t>
      </w:r>
      <w:r w:rsidRPr="00815DAC">
        <w:rPr>
          <w:lang w:eastAsia="en-AU"/>
        </w:rPr>
        <w:t xml:space="preserve">, with the health outcomes expressed </w:t>
      </w:r>
      <w:r w:rsidR="005D05C1">
        <w:rPr>
          <w:lang w:eastAsia="en-AU"/>
        </w:rPr>
        <w:t>as</w:t>
      </w:r>
      <w:r w:rsidR="005D05C1" w:rsidRPr="00815DAC">
        <w:rPr>
          <w:lang w:eastAsia="en-AU"/>
        </w:rPr>
        <w:t xml:space="preserve"> </w:t>
      </w:r>
      <w:r w:rsidRPr="00815DAC">
        <w:rPr>
          <w:lang w:eastAsia="en-AU"/>
        </w:rPr>
        <w:t xml:space="preserve">the </w:t>
      </w:r>
      <w:r w:rsidR="00517443">
        <w:rPr>
          <w:lang w:eastAsia="en-AU"/>
        </w:rPr>
        <w:t xml:space="preserve">incremental cost </w:t>
      </w:r>
      <w:r w:rsidR="007B4F61">
        <w:rPr>
          <w:lang w:eastAsia="en-AU"/>
        </w:rPr>
        <w:t xml:space="preserve">per </w:t>
      </w:r>
      <w:r w:rsidR="00FD0639">
        <w:rPr>
          <w:lang w:eastAsia="en-AU"/>
        </w:rPr>
        <w:t>‘</w:t>
      </w:r>
      <w:r w:rsidRPr="00815DAC">
        <w:rPr>
          <w:lang w:eastAsia="en-AU"/>
        </w:rPr>
        <w:t xml:space="preserve">change in the </w:t>
      </w:r>
      <w:r>
        <w:rPr>
          <w:lang w:eastAsia="en-AU"/>
        </w:rPr>
        <w:t>minimal clinical important difference</w:t>
      </w:r>
      <w:r w:rsidR="00FD0639">
        <w:rPr>
          <w:lang w:eastAsia="en-AU"/>
        </w:rPr>
        <w:t>’</w:t>
      </w:r>
      <w:r>
        <w:rPr>
          <w:lang w:eastAsia="en-AU"/>
        </w:rPr>
        <w:t xml:space="preserve"> (</w:t>
      </w:r>
      <w:r w:rsidRPr="00815DAC">
        <w:rPr>
          <w:lang w:eastAsia="en-AU"/>
        </w:rPr>
        <w:t>MCID</w:t>
      </w:r>
      <w:r w:rsidR="00F51AC9">
        <w:rPr>
          <w:lang w:eastAsia="en-AU"/>
        </w:rPr>
        <w:t>;</w:t>
      </w:r>
      <w:r w:rsidR="005A6838">
        <w:rPr>
          <w:lang w:eastAsia="en-AU"/>
        </w:rPr>
        <w:t xml:space="preserve"> </w:t>
      </w:r>
      <w:r w:rsidR="00F51AC9">
        <w:rPr>
          <w:lang w:eastAsia="en-AU"/>
        </w:rPr>
        <w:t xml:space="preserve">defined as </w:t>
      </w:r>
      <w:r w:rsidR="00FD0639" w:rsidRPr="008B6BB1">
        <w:rPr>
          <w:lang w:eastAsia="en-AU"/>
        </w:rPr>
        <w:t xml:space="preserve">15.5 points in </w:t>
      </w:r>
      <w:r w:rsidRPr="00815DAC">
        <w:rPr>
          <w:lang w:eastAsia="en-AU"/>
        </w:rPr>
        <w:t>the ASES score</w:t>
      </w:r>
      <w:r w:rsidR="005A6838">
        <w:rPr>
          <w:lang w:eastAsia="en-AU"/>
        </w:rPr>
        <w:t>)</w:t>
      </w:r>
      <w:r w:rsidRPr="00815DAC">
        <w:rPr>
          <w:lang w:eastAsia="en-AU"/>
        </w:rPr>
        <w:t xml:space="preserve">. </w:t>
      </w:r>
      <w:r>
        <w:rPr>
          <w:lang w:eastAsia="en-AU"/>
        </w:rPr>
        <w:t xml:space="preserve">MSAC </w:t>
      </w:r>
      <w:r w:rsidRPr="00815DAC">
        <w:rPr>
          <w:lang w:eastAsia="en-AU"/>
        </w:rPr>
        <w:t xml:space="preserve">considered </w:t>
      </w:r>
      <w:r w:rsidR="00F51AC9">
        <w:rPr>
          <w:lang w:eastAsia="en-AU"/>
        </w:rPr>
        <w:t>that whilst it was</w:t>
      </w:r>
      <w:r w:rsidRPr="00815DAC">
        <w:rPr>
          <w:lang w:eastAsia="en-AU"/>
        </w:rPr>
        <w:t xml:space="preserve"> reasonable to conduct a </w:t>
      </w:r>
      <w:r>
        <w:rPr>
          <w:lang w:eastAsia="en-AU"/>
        </w:rPr>
        <w:t xml:space="preserve">cost-effectiveness analysis </w:t>
      </w:r>
      <w:r w:rsidR="00D82191">
        <w:rPr>
          <w:lang w:eastAsia="en-AU"/>
        </w:rPr>
        <w:t>for</w:t>
      </w:r>
      <w:r w:rsidRPr="00815DAC">
        <w:rPr>
          <w:lang w:eastAsia="en-AU"/>
        </w:rPr>
        <w:t xml:space="preserve"> the PTRCT population</w:t>
      </w:r>
      <w:r w:rsidR="00F51AC9">
        <w:rPr>
          <w:lang w:eastAsia="en-AU"/>
        </w:rPr>
        <w:t xml:space="preserve">, the </w:t>
      </w:r>
      <w:r w:rsidR="00BA2D4C">
        <w:rPr>
          <w:lang w:eastAsia="en-AU"/>
        </w:rPr>
        <w:t>denominator for the incremental cost-effectiveness ratio (</w:t>
      </w:r>
      <w:r w:rsidR="00BA2D4C" w:rsidRPr="008B6BB1">
        <w:rPr>
          <w:lang w:eastAsia="en-AU"/>
        </w:rPr>
        <w:t>ICER</w:t>
      </w:r>
      <w:r w:rsidR="00BA2D4C">
        <w:rPr>
          <w:lang w:eastAsia="en-AU"/>
        </w:rPr>
        <w:t xml:space="preserve">) was difficult to interpret and would have been more </w:t>
      </w:r>
      <w:r w:rsidR="00962317">
        <w:rPr>
          <w:lang w:eastAsia="en-AU"/>
        </w:rPr>
        <w:t xml:space="preserve">meaningful if it had been expressed as the </w:t>
      </w:r>
      <w:r w:rsidR="00845BA0">
        <w:rPr>
          <w:lang w:eastAsia="en-AU"/>
        </w:rPr>
        <w:t xml:space="preserve">incremental </w:t>
      </w:r>
      <w:r w:rsidR="00962317">
        <w:rPr>
          <w:lang w:eastAsia="en-AU"/>
        </w:rPr>
        <w:t>cost per responder</w:t>
      </w:r>
      <w:r w:rsidR="00845BA0">
        <w:rPr>
          <w:lang w:eastAsia="en-AU"/>
        </w:rPr>
        <w:t xml:space="preserve"> (with responder status determined by achievement of </w:t>
      </w:r>
      <w:r w:rsidR="005A6838">
        <w:rPr>
          <w:lang w:eastAsia="en-AU"/>
        </w:rPr>
        <w:t>the MCID)</w:t>
      </w:r>
      <w:r w:rsidR="00BA2D4C">
        <w:rPr>
          <w:lang w:eastAsia="en-AU"/>
        </w:rPr>
        <w:t xml:space="preserve">. </w:t>
      </w:r>
      <w:r>
        <w:rPr>
          <w:lang w:eastAsia="en-AU"/>
        </w:rPr>
        <w:t>MSAC noted t</w:t>
      </w:r>
      <w:r w:rsidRPr="008B6BB1">
        <w:rPr>
          <w:lang w:eastAsia="en-AU"/>
        </w:rPr>
        <w:t xml:space="preserve">he ADAR reported that using REGENETEN in patients with symptomatic PTRCT who have failed at least </w:t>
      </w:r>
      <w:r>
        <w:rPr>
          <w:lang w:eastAsia="en-AU"/>
        </w:rPr>
        <w:t>3 </w:t>
      </w:r>
      <w:r w:rsidRPr="008B6BB1">
        <w:rPr>
          <w:lang w:eastAsia="en-AU"/>
        </w:rPr>
        <w:t>months of CM had an ICER</w:t>
      </w:r>
      <w:r w:rsidR="00BD5075">
        <w:rPr>
          <w:lang w:eastAsia="en-AU"/>
        </w:rPr>
        <w:t xml:space="preserve"> </w:t>
      </w:r>
      <w:r w:rsidRPr="008B6BB1">
        <w:rPr>
          <w:lang w:eastAsia="en-AU"/>
        </w:rPr>
        <w:t xml:space="preserve">of </w:t>
      </w:r>
      <w:r w:rsidR="00632D4F" w:rsidRPr="00E477C8">
        <w:rPr>
          <w:b/>
          <w:bCs/>
        </w:rPr>
        <w:t>redacted</w:t>
      </w:r>
      <w:r w:rsidR="00632D4F">
        <w:t xml:space="preserve"> </w:t>
      </w:r>
      <w:r w:rsidRPr="008B6BB1">
        <w:rPr>
          <w:lang w:eastAsia="en-AU"/>
        </w:rPr>
        <w:t>per</w:t>
      </w:r>
      <w:r w:rsidR="00BD5075">
        <w:rPr>
          <w:lang w:eastAsia="en-AU"/>
        </w:rPr>
        <w:t xml:space="preserve"> </w:t>
      </w:r>
      <w:r w:rsidR="00962317">
        <w:rPr>
          <w:lang w:eastAsia="en-AU"/>
        </w:rPr>
        <w:t xml:space="preserve">change of </w:t>
      </w:r>
      <w:r w:rsidRPr="008B6BB1">
        <w:rPr>
          <w:lang w:eastAsia="en-AU"/>
        </w:rPr>
        <w:t xml:space="preserve">15.5 points in the ASES score. </w:t>
      </w:r>
      <w:r>
        <w:rPr>
          <w:lang w:eastAsia="en-AU"/>
        </w:rPr>
        <w:lastRenderedPageBreak/>
        <w:t xml:space="preserve">MSAC noted that </w:t>
      </w:r>
      <w:r w:rsidR="001D0300">
        <w:rPr>
          <w:lang w:eastAsia="en-AU"/>
        </w:rPr>
        <w:t xml:space="preserve">in the </w:t>
      </w:r>
      <w:r w:rsidR="00106F61" w:rsidRPr="00106F61">
        <w:rPr>
          <w:lang w:eastAsia="en-AU"/>
        </w:rPr>
        <w:t>re-specified base-case</w:t>
      </w:r>
      <w:r w:rsidR="00D81D50">
        <w:rPr>
          <w:lang w:eastAsia="en-AU"/>
        </w:rPr>
        <w:t xml:space="preserve"> considered by ESC</w:t>
      </w:r>
      <w:r w:rsidR="00106F61" w:rsidRPr="00106F61">
        <w:rPr>
          <w:lang w:eastAsia="en-AU"/>
        </w:rPr>
        <w:t>,</w:t>
      </w:r>
      <w:r w:rsidR="00F379BD">
        <w:rPr>
          <w:lang w:eastAsia="en-AU"/>
        </w:rPr>
        <w:t xml:space="preserve"> </w:t>
      </w:r>
      <w:r w:rsidR="00106F61" w:rsidRPr="00106F61">
        <w:rPr>
          <w:lang w:eastAsia="en-AU"/>
        </w:rPr>
        <w:t xml:space="preserve">the incremental benefit became 0.465 per </w:t>
      </w:r>
      <w:r w:rsidR="00962317">
        <w:rPr>
          <w:lang w:eastAsia="en-AU"/>
        </w:rPr>
        <w:t xml:space="preserve">change of </w:t>
      </w:r>
      <w:r w:rsidR="00962317" w:rsidRPr="008B6BB1">
        <w:rPr>
          <w:lang w:eastAsia="en-AU"/>
        </w:rPr>
        <w:t>15.5 points in the ASES score</w:t>
      </w:r>
      <w:r w:rsidR="00962317" w:rsidRPr="00106F61" w:rsidDel="00962317">
        <w:rPr>
          <w:lang w:eastAsia="en-AU"/>
        </w:rPr>
        <w:t xml:space="preserve"> </w:t>
      </w:r>
      <w:r w:rsidR="00106F61" w:rsidRPr="00106F61">
        <w:rPr>
          <w:lang w:eastAsia="en-AU"/>
        </w:rPr>
        <w:t xml:space="preserve">and the ICER became </w:t>
      </w:r>
      <w:r w:rsidR="00632D4F" w:rsidRPr="00E477C8">
        <w:rPr>
          <w:b/>
          <w:bCs/>
        </w:rPr>
        <w:t>redacted</w:t>
      </w:r>
      <w:r w:rsidR="00632D4F">
        <w:t xml:space="preserve"> </w:t>
      </w:r>
      <w:r w:rsidR="00106F61" w:rsidRPr="00106F61">
        <w:rPr>
          <w:lang w:eastAsia="en-AU"/>
        </w:rPr>
        <w:t xml:space="preserve">per </w:t>
      </w:r>
      <w:r w:rsidR="00962317">
        <w:rPr>
          <w:lang w:eastAsia="en-AU"/>
        </w:rPr>
        <w:t xml:space="preserve">change of </w:t>
      </w:r>
      <w:r w:rsidR="00962317" w:rsidRPr="008B6BB1">
        <w:rPr>
          <w:lang w:eastAsia="en-AU"/>
        </w:rPr>
        <w:t>15.5 points in the ASES score</w:t>
      </w:r>
      <w:r w:rsidR="00106F61">
        <w:rPr>
          <w:lang w:eastAsia="en-AU"/>
        </w:rPr>
        <w:t>.</w:t>
      </w:r>
    </w:p>
    <w:p w14:paraId="2FF7395B" w14:textId="709596D2" w:rsidR="00205A3C" w:rsidRPr="00D90688" w:rsidRDefault="009E07E8" w:rsidP="00205A3C">
      <w:r>
        <w:rPr>
          <w:lang w:eastAsia="en-AU"/>
        </w:rPr>
        <w:t>MSAC noted that f</w:t>
      </w:r>
      <w:r w:rsidRPr="00815DAC">
        <w:rPr>
          <w:lang w:eastAsia="en-AU"/>
        </w:rPr>
        <w:t xml:space="preserve">or population 2 (FTRCT), the ADAR provided a </w:t>
      </w:r>
      <w:r>
        <w:rPr>
          <w:lang w:eastAsia="en-AU"/>
        </w:rPr>
        <w:t>cost-utility analysis</w:t>
      </w:r>
      <w:r w:rsidRPr="00815DAC">
        <w:rPr>
          <w:lang w:eastAsia="en-AU"/>
        </w:rPr>
        <w:t xml:space="preserve">, with the health outcomes expressed in quality-adjusted life years (QALYs) gained. </w:t>
      </w:r>
      <w:r w:rsidR="00B72939">
        <w:rPr>
          <w:lang w:eastAsia="en-AU"/>
        </w:rPr>
        <w:t>MSAC noted t</w:t>
      </w:r>
      <w:r w:rsidRPr="00815DAC">
        <w:rPr>
          <w:lang w:eastAsia="en-AU"/>
        </w:rPr>
        <w:t xml:space="preserve">he </w:t>
      </w:r>
      <w:r>
        <w:rPr>
          <w:lang w:eastAsia="en-AU"/>
        </w:rPr>
        <w:t>C</w:t>
      </w:r>
      <w:r w:rsidRPr="00815DAC">
        <w:rPr>
          <w:lang w:eastAsia="en-AU"/>
        </w:rPr>
        <w:t xml:space="preserve">ommentary considered the population, outcomes and the type of economic analysis were appropriate. </w:t>
      </w:r>
      <w:r>
        <w:rPr>
          <w:lang w:eastAsia="en-AU"/>
        </w:rPr>
        <w:t>MSAC</w:t>
      </w:r>
      <w:r w:rsidRPr="00815DAC">
        <w:rPr>
          <w:lang w:eastAsia="en-AU"/>
        </w:rPr>
        <w:t xml:space="preserve"> also considered the perspective and discount rate were appropriate for both subpopulations</w:t>
      </w:r>
      <w:r w:rsidR="005019BE">
        <w:rPr>
          <w:lang w:eastAsia="en-AU"/>
        </w:rPr>
        <w:t xml:space="preserve"> however, </w:t>
      </w:r>
      <w:r w:rsidR="00562F26">
        <w:rPr>
          <w:lang w:eastAsia="en-AU"/>
        </w:rPr>
        <w:t>MSAC agreed with E</w:t>
      </w:r>
      <w:r w:rsidR="00A318C1">
        <w:rPr>
          <w:lang w:eastAsia="en-AU"/>
        </w:rPr>
        <w:t xml:space="preserve">SC that </w:t>
      </w:r>
      <w:r w:rsidR="009E4E8A">
        <w:rPr>
          <w:lang w:eastAsia="en-AU"/>
        </w:rPr>
        <w:t>it was inappropriate t</w:t>
      </w:r>
      <w:r w:rsidR="00283589">
        <w:rPr>
          <w:lang w:eastAsia="en-AU"/>
        </w:rPr>
        <w:t xml:space="preserve">o </w:t>
      </w:r>
      <w:r w:rsidR="004A6A25">
        <w:rPr>
          <w:lang w:eastAsia="en-AU"/>
        </w:rPr>
        <w:t>extrapolate to a 5</w:t>
      </w:r>
      <w:r w:rsidR="0076480C">
        <w:rPr>
          <w:lang w:eastAsia="en-AU"/>
        </w:rPr>
        <w:t>-</w:t>
      </w:r>
      <w:r w:rsidR="004A6A25">
        <w:rPr>
          <w:lang w:eastAsia="en-AU"/>
        </w:rPr>
        <w:t>year time horizon</w:t>
      </w:r>
      <w:r w:rsidR="00962317">
        <w:rPr>
          <w:lang w:eastAsia="en-AU"/>
        </w:rPr>
        <w:t xml:space="preserve"> f</w:t>
      </w:r>
      <w:r w:rsidR="005A6838">
        <w:rPr>
          <w:lang w:eastAsia="en-AU"/>
        </w:rPr>
        <w:t>rom</w:t>
      </w:r>
      <w:r w:rsidR="00962317">
        <w:rPr>
          <w:lang w:eastAsia="en-AU"/>
        </w:rPr>
        <w:t xml:space="preserve"> the evidence available. </w:t>
      </w:r>
      <w:r w:rsidR="002B4432">
        <w:t xml:space="preserve">MSAC </w:t>
      </w:r>
      <w:r w:rsidR="00A16943">
        <w:t>noted that the base case ICER for population 2</w:t>
      </w:r>
      <w:r w:rsidR="000B4E50">
        <w:t xml:space="preserve"> </w:t>
      </w:r>
      <w:r w:rsidR="005A6838">
        <w:t>(</w:t>
      </w:r>
      <w:r w:rsidR="000B4E50">
        <w:t>FTRCT</w:t>
      </w:r>
      <w:r w:rsidR="005A6838">
        <w:t>)</w:t>
      </w:r>
      <w:r w:rsidR="00A16943">
        <w:t xml:space="preserve"> was </w:t>
      </w:r>
      <w:r w:rsidR="00632D4F" w:rsidRPr="00E477C8">
        <w:rPr>
          <w:b/>
          <w:bCs/>
        </w:rPr>
        <w:t>redacted</w:t>
      </w:r>
      <w:r w:rsidR="00632D4F">
        <w:t xml:space="preserve"> </w:t>
      </w:r>
      <w:r w:rsidR="00A16943">
        <w:t>/QALY.</w:t>
      </w:r>
      <w:r w:rsidR="00191A41">
        <w:t xml:space="preserve"> The</w:t>
      </w:r>
      <w:r w:rsidR="00A16943">
        <w:t xml:space="preserve"> key driver</w:t>
      </w:r>
      <w:r w:rsidR="00191A41">
        <w:t>s</w:t>
      </w:r>
      <w:r w:rsidR="00A16943">
        <w:t xml:space="preserve"> of the model for population 2 </w:t>
      </w:r>
      <w:r w:rsidR="00387FEE">
        <w:t>w</w:t>
      </w:r>
      <w:r w:rsidR="00166E17">
        <w:t>ere</w:t>
      </w:r>
      <w:r w:rsidR="00A16943">
        <w:t xml:space="preserve"> </w:t>
      </w:r>
      <w:r w:rsidR="00FE2670">
        <w:t>re</w:t>
      </w:r>
      <w:r w:rsidR="00A16943">
        <w:t>tear rates</w:t>
      </w:r>
      <w:r w:rsidR="004F0E34">
        <w:t xml:space="preserve">, </w:t>
      </w:r>
      <w:r w:rsidR="00962317">
        <w:t xml:space="preserve">the </w:t>
      </w:r>
      <w:r w:rsidR="00A547BE">
        <w:t>u</w:t>
      </w:r>
      <w:r w:rsidR="00A547BE" w:rsidRPr="00B821D3">
        <w:t xml:space="preserve">tility value </w:t>
      </w:r>
      <w:r w:rsidR="00962317">
        <w:t>applied to CM</w:t>
      </w:r>
      <w:r w:rsidR="00A93BDA">
        <w:t xml:space="preserve"> </w:t>
      </w:r>
      <w:r w:rsidR="00A547BE" w:rsidRPr="00B821D3">
        <w:t xml:space="preserve">after </w:t>
      </w:r>
      <w:r w:rsidR="00962317">
        <w:t xml:space="preserve">a </w:t>
      </w:r>
      <w:r w:rsidR="00A547BE" w:rsidRPr="00B821D3">
        <w:t>tear fails to he</w:t>
      </w:r>
      <w:r w:rsidR="00A547BE">
        <w:t>al,</w:t>
      </w:r>
      <w:r w:rsidR="00FD6ABE">
        <w:t xml:space="preserve"> </w:t>
      </w:r>
      <w:r w:rsidR="00A547BE">
        <w:t xml:space="preserve">and the </w:t>
      </w:r>
      <w:r w:rsidR="00B7585A">
        <w:t>co</w:t>
      </w:r>
      <w:r w:rsidR="00EF5213">
        <w:t>s</w:t>
      </w:r>
      <w:r w:rsidR="00B7585A">
        <w:t>t of</w:t>
      </w:r>
      <w:r w:rsidR="0011069E">
        <w:t xml:space="preserve"> </w:t>
      </w:r>
      <w:r w:rsidR="00874310">
        <w:t>th</w:t>
      </w:r>
      <w:r w:rsidR="0011069E">
        <w:t>e</w:t>
      </w:r>
      <w:r w:rsidR="00874310">
        <w:t xml:space="preserve"> BCI kit</w:t>
      </w:r>
      <w:r w:rsidR="0011069E">
        <w:t xml:space="preserve">, </w:t>
      </w:r>
      <w:proofErr w:type="gramStart"/>
      <w:r w:rsidR="0011069E">
        <w:t>all of</w:t>
      </w:r>
      <w:proofErr w:type="gramEnd"/>
      <w:r w:rsidR="0011069E">
        <w:t xml:space="preserve"> which MSAC considered to be uncertain</w:t>
      </w:r>
      <w:r w:rsidR="009563E0">
        <w:t xml:space="preserve">. </w:t>
      </w:r>
      <w:r w:rsidR="00EF5213">
        <w:t xml:space="preserve">MSAC considered that the </w:t>
      </w:r>
      <w:r w:rsidR="00977BE7">
        <w:t>model should include downstream</w:t>
      </w:r>
      <w:r w:rsidR="00CC3581">
        <w:t xml:space="preserve"> costs of</w:t>
      </w:r>
      <w:r w:rsidR="005019BE">
        <w:t xml:space="preserve"> non-surgical management.</w:t>
      </w:r>
      <w:r w:rsidR="00CC3581">
        <w:t xml:space="preserve"> </w:t>
      </w:r>
      <w:r w:rsidR="00DC5BD1">
        <w:t xml:space="preserve">MSAC noted that </w:t>
      </w:r>
      <w:r w:rsidR="00962317">
        <w:t xml:space="preserve">the ADAR estimated </w:t>
      </w:r>
      <w:r w:rsidR="00205A3C">
        <w:t xml:space="preserve">total </w:t>
      </w:r>
      <w:r w:rsidR="00205A3C" w:rsidRPr="00AF06E8">
        <w:t xml:space="preserve">savings to </w:t>
      </w:r>
      <w:r w:rsidR="00962317">
        <w:t xml:space="preserve">the </w:t>
      </w:r>
      <w:r w:rsidR="00205A3C" w:rsidRPr="00AF06E8">
        <w:t xml:space="preserve">MBS </w:t>
      </w:r>
      <w:r w:rsidR="00962317">
        <w:t>of</w:t>
      </w:r>
      <w:r w:rsidR="00205A3C" w:rsidRPr="00AF06E8">
        <w:t xml:space="preserve"> $0.12</w:t>
      </w:r>
      <w:r w:rsidR="00205A3C">
        <w:t xml:space="preserve"> million</w:t>
      </w:r>
      <w:r w:rsidR="00205A3C" w:rsidRPr="00AF06E8">
        <w:t xml:space="preserve"> in </w:t>
      </w:r>
      <w:r w:rsidR="00205A3C">
        <w:t>Y</w:t>
      </w:r>
      <w:r w:rsidR="00205A3C" w:rsidRPr="00AF06E8">
        <w:t>ear 1, r</w:t>
      </w:r>
      <w:r w:rsidR="00205A3C">
        <w:t>ising to</w:t>
      </w:r>
      <w:r w:rsidR="00205A3C" w:rsidRPr="00AF06E8">
        <w:t xml:space="preserve"> $0.90</w:t>
      </w:r>
      <w:r w:rsidR="00205A3C">
        <w:t xml:space="preserve"> million</w:t>
      </w:r>
      <w:r w:rsidR="00205A3C" w:rsidRPr="00AF06E8">
        <w:t xml:space="preserve"> in </w:t>
      </w:r>
      <w:r w:rsidR="00205A3C">
        <w:t>Y</w:t>
      </w:r>
      <w:r w:rsidR="00205A3C" w:rsidRPr="00AF06E8">
        <w:t>ear 6</w:t>
      </w:r>
      <w:r w:rsidR="00FA720E">
        <w:t>,</w:t>
      </w:r>
      <w:r w:rsidR="00B17ACB">
        <w:t xml:space="preserve"> </w:t>
      </w:r>
      <w:r w:rsidR="0091537F">
        <w:t xml:space="preserve">due to </w:t>
      </w:r>
      <w:r w:rsidR="00AB5BC8">
        <w:t xml:space="preserve">a reduced rate </w:t>
      </w:r>
      <w:r w:rsidR="00D34371">
        <w:t>of retear</w:t>
      </w:r>
      <w:r w:rsidR="00197437">
        <w:t>.</w:t>
      </w:r>
      <w:r w:rsidR="00B220ED">
        <w:t xml:space="preserve"> </w:t>
      </w:r>
    </w:p>
    <w:p w14:paraId="78AE1966" w14:textId="2DF83EF6" w:rsidR="0002037D" w:rsidRDefault="009E07E8" w:rsidP="0002037D">
      <w:r>
        <w:t>MSAC noted that t</w:t>
      </w:r>
      <w:r w:rsidRPr="007576F0">
        <w:t xml:space="preserve">he estimated cost to </w:t>
      </w:r>
      <w:r>
        <w:t>private health insurers</w:t>
      </w:r>
      <w:r w:rsidR="00DA2E55">
        <w:t xml:space="preserve"> (PHIs)</w:t>
      </w:r>
      <w:r w:rsidRPr="007576F0">
        <w:t xml:space="preserve"> to fund REGENETEN is expected to grow from around </w:t>
      </w:r>
      <w:r w:rsidR="00632D4F" w:rsidRPr="00E477C8">
        <w:rPr>
          <w:b/>
          <w:bCs/>
        </w:rPr>
        <w:t>redacted</w:t>
      </w:r>
      <w:r w:rsidR="00632D4F">
        <w:t xml:space="preserve"> </w:t>
      </w:r>
      <w:r>
        <w:t xml:space="preserve">in </w:t>
      </w:r>
      <w:r w:rsidR="008C46C2">
        <w:t>Y</w:t>
      </w:r>
      <w:r>
        <w:t xml:space="preserve">ear 1 </w:t>
      </w:r>
      <w:r w:rsidRPr="007576F0">
        <w:t xml:space="preserve">to </w:t>
      </w:r>
      <w:r w:rsidR="00632D4F" w:rsidRPr="00E477C8">
        <w:rPr>
          <w:b/>
          <w:bCs/>
        </w:rPr>
        <w:t>redacted</w:t>
      </w:r>
      <w:r w:rsidR="00632D4F">
        <w:t xml:space="preserve"> </w:t>
      </w:r>
      <w:r>
        <w:t>in</w:t>
      </w:r>
      <w:r w:rsidRPr="007576F0">
        <w:t xml:space="preserve"> </w:t>
      </w:r>
      <w:r w:rsidR="008C46C2">
        <w:t>Y</w:t>
      </w:r>
      <w:r w:rsidRPr="007576F0">
        <w:t>ear 6. Considering cost</w:t>
      </w:r>
      <w:r>
        <w:t>-</w:t>
      </w:r>
      <w:r w:rsidRPr="007576F0">
        <w:t>offsets, net costs to PHI</w:t>
      </w:r>
      <w:r w:rsidR="00DA2E55">
        <w:t>s</w:t>
      </w:r>
      <w:r w:rsidRPr="007576F0">
        <w:t xml:space="preserve"> are expected to reach $1.4</w:t>
      </w:r>
      <w:r>
        <w:t xml:space="preserve"> </w:t>
      </w:r>
      <w:r w:rsidRPr="00E00AEC">
        <w:t>million</w:t>
      </w:r>
      <w:r w:rsidRPr="007576F0">
        <w:t xml:space="preserve"> in </w:t>
      </w:r>
      <w:r w:rsidR="008C46C2">
        <w:t>Y</w:t>
      </w:r>
      <w:r w:rsidRPr="007576F0">
        <w:t xml:space="preserve">ear 1 and </w:t>
      </w:r>
      <w:r>
        <w:t xml:space="preserve">rise to </w:t>
      </w:r>
      <w:r w:rsidRPr="007576F0">
        <w:t>$8.7</w:t>
      </w:r>
      <w:r>
        <w:t> </w:t>
      </w:r>
      <w:r w:rsidRPr="00E00AEC">
        <w:t>million</w:t>
      </w:r>
      <w:r w:rsidRPr="007576F0">
        <w:t xml:space="preserve"> in </w:t>
      </w:r>
      <w:r w:rsidR="008C46C2">
        <w:t>Y</w:t>
      </w:r>
      <w:r w:rsidRPr="007576F0">
        <w:t>ear 6. Offsets to PHI</w:t>
      </w:r>
      <w:r w:rsidR="00DA2E55">
        <w:t>s</w:t>
      </w:r>
      <w:r w:rsidRPr="007576F0">
        <w:t xml:space="preserve"> are expected to reduce </w:t>
      </w:r>
      <w:r>
        <w:t xml:space="preserve">the </w:t>
      </w:r>
      <w:r w:rsidRPr="007576F0">
        <w:t xml:space="preserve">total costs by around </w:t>
      </w:r>
      <w:r w:rsidR="00632D4F" w:rsidRPr="00E477C8">
        <w:rPr>
          <w:b/>
          <w:bCs/>
        </w:rPr>
        <w:t>redacted</w:t>
      </w:r>
      <w:r w:rsidR="00632D4F">
        <w:t xml:space="preserve"> </w:t>
      </w:r>
      <w:r w:rsidRPr="007576F0">
        <w:t xml:space="preserve">in </w:t>
      </w:r>
      <w:r w:rsidR="000A14A4">
        <w:t>Y</w:t>
      </w:r>
      <w:r w:rsidRPr="007576F0">
        <w:t>ear 6</w:t>
      </w:r>
      <w:r>
        <w:t xml:space="preserve">. </w:t>
      </w:r>
      <w:r w:rsidR="0002037D">
        <w:t xml:space="preserve">MSAC </w:t>
      </w:r>
      <w:r w:rsidR="00C75C00">
        <w:t xml:space="preserve">considered that the </w:t>
      </w:r>
      <w:r w:rsidR="00E23C88">
        <w:t xml:space="preserve">financial estimates were uncertain and that </w:t>
      </w:r>
      <w:r w:rsidR="008532F5" w:rsidRPr="008532F5">
        <w:t>the likely uptake and utilisation of BCI was significantly underestimated</w:t>
      </w:r>
      <w:r w:rsidR="00AD104E">
        <w:t>.</w:t>
      </w:r>
    </w:p>
    <w:p w14:paraId="78E55F51" w14:textId="385D530A" w:rsidR="009E07E8" w:rsidRDefault="009E07E8" w:rsidP="009E07E8">
      <w:pPr>
        <w:rPr>
          <w:lang w:eastAsia="en-AU"/>
        </w:rPr>
      </w:pPr>
      <w:r>
        <w:rPr>
          <w:lang w:eastAsia="en-AU"/>
        </w:rPr>
        <w:t xml:space="preserve">MSAC noted the </w:t>
      </w:r>
      <w:r w:rsidR="003D0B4B">
        <w:rPr>
          <w:lang w:eastAsia="en-AU"/>
        </w:rPr>
        <w:t>applicant</w:t>
      </w:r>
      <w:r w:rsidR="007D0524">
        <w:rPr>
          <w:lang w:eastAsia="en-AU"/>
        </w:rPr>
        <w:t xml:space="preserve">’s agreement </w:t>
      </w:r>
      <w:r w:rsidR="004C19B9">
        <w:rPr>
          <w:lang w:eastAsia="en-AU"/>
        </w:rPr>
        <w:t xml:space="preserve">in its pre-MSAC response </w:t>
      </w:r>
      <w:r>
        <w:rPr>
          <w:lang w:eastAsia="en-AU"/>
        </w:rPr>
        <w:t xml:space="preserve">to </w:t>
      </w:r>
      <w:r w:rsidR="00741630">
        <w:rPr>
          <w:lang w:eastAsia="en-AU"/>
        </w:rPr>
        <w:t xml:space="preserve">add a </w:t>
      </w:r>
      <w:r>
        <w:rPr>
          <w:lang w:eastAsia="en-AU"/>
        </w:rPr>
        <w:t>limit</w:t>
      </w:r>
      <w:r w:rsidR="00741630">
        <w:rPr>
          <w:lang w:eastAsia="en-AU"/>
        </w:rPr>
        <w:t xml:space="preserve"> to </w:t>
      </w:r>
      <w:r>
        <w:rPr>
          <w:lang w:eastAsia="en-AU"/>
        </w:rPr>
        <w:t xml:space="preserve">the </w:t>
      </w:r>
      <w:r w:rsidR="00741630">
        <w:rPr>
          <w:lang w:eastAsia="en-AU"/>
        </w:rPr>
        <w:t>PL listing</w:t>
      </w:r>
      <w:r>
        <w:rPr>
          <w:lang w:eastAsia="en-AU"/>
        </w:rPr>
        <w:t xml:space="preserve"> </w:t>
      </w:r>
      <w:r w:rsidR="002F09B8">
        <w:rPr>
          <w:lang w:eastAsia="en-AU"/>
        </w:rPr>
        <w:t>(restriction</w:t>
      </w:r>
      <w:r>
        <w:rPr>
          <w:lang w:eastAsia="en-AU"/>
        </w:rPr>
        <w:t xml:space="preserve"> to on</w:t>
      </w:r>
      <w:r w:rsidR="00E02F54">
        <w:rPr>
          <w:lang w:eastAsia="en-AU"/>
        </w:rPr>
        <w:t>ce per shoulder</w:t>
      </w:r>
      <w:r w:rsidR="00C222BC">
        <w:rPr>
          <w:lang w:eastAsia="en-AU"/>
        </w:rPr>
        <w:t xml:space="preserve">) </w:t>
      </w:r>
      <w:r w:rsidR="004C19B9">
        <w:rPr>
          <w:lang w:eastAsia="en-AU"/>
        </w:rPr>
        <w:t>and/</w:t>
      </w:r>
      <w:r w:rsidR="00C222BC">
        <w:rPr>
          <w:lang w:eastAsia="en-AU"/>
        </w:rPr>
        <w:t>or to create an MBS item number for REGENETEN</w:t>
      </w:r>
      <w:r w:rsidR="0003095E">
        <w:rPr>
          <w:lang w:eastAsia="en-AU"/>
        </w:rPr>
        <w:t xml:space="preserve">. MSAC agreed with the department that </w:t>
      </w:r>
      <w:r w:rsidR="00C50061">
        <w:rPr>
          <w:lang w:eastAsia="en-AU"/>
        </w:rPr>
        <w:t>it is important</w:t>
      </w:r>
      <w:r>
        <w:rPr>
          <w:lang w:eastAsia="en-AU"/>
        </w:rPr>
        <w:t xml:space="preserve"> to prevent leakage, especially considering that REGENTEN is already being used in other parts of the body</w:t>
      </w:r>
      <w:r w:rsidR="001304BC">
        <w:rPr>
          <w:lang w:eastAsia="en-AU"/>
        </w:rPr>
        <w:t xml:space="preserve"> in clinical trials</w:t>
      </w:r>
      <w:r>
        <w:rPr>
          <w:lang w:eastAsia="en-AU"/>
        </w:rPr>
        <w:t xml:space="preserve">. </w:t>
      </w:r>
      <w:r w:rsidR="00CE24EE">
        <w:rPr>
          <w:lang w:eastAsia="en-AU"/>
        </w:rPr>
        <w:t xml:space="preserve">MSAC agreed with the department </w:t>
      </w:r>
      <w:r w:rsidR="00337794">
        <w:rPr>
          <w:lang w:eastAsia="en-AU"/>
        </w:rPr>
        <w:t xml:space="preserve">and considered </w:t>
      </w:r>
      <w:r w:rsidR="00717C0D">
        <w:rPr>
          <w:lang w:eastAsia="en-AU"/>
        </w:rPr>
        <w:t xml:space="preserve">it appropriate to </w:t>
      </w:r>
      <w:r w:rsidR="00337794">
        <w:rPr>
          <w:lang w:eastAsia="en-AU"/>
        </w:rPr>
        <w:t>restrict</w:t>
      </w:r>
      <w:r w:rsidR="00717C0D">
        <w:rPr>
          <w:lang w:eastAsia="en-AU"/>
        </w:rPr>
        <w:t xml:space="preserve"> </w:t>
      </w:r>
      <w:r w:rsidR="00337794">
        <w:rPr>
          <w:lang w:eastAsia="en-AU"/>
        </w:rPr>
        <w:t xml:space="preserve">the use of REGENETEN to once per </w:t>
      </w:r>
      <w:r w:rsidR="00717C0D">
        <w:rPr>
          <w:lang w:eastAsia="en-AU"/>
        </w:rPr>
        <w:t xml:space="preserve">shoulder per lifetime. </w:t>
      </w:r>
      <w:r w:rsidR="007D7AAB">
        <w:rPr>
          <w:lang w:eastAsia="en-AU"/>
        </w:rPr>
        <w:t>MSAC also noted</w:t>
      </w:r>
      <w:r w:rsidR="005C28EA">
        <w:rPr>
          <w:lang w:eastAsia="en-AU"/>
        </w:rPr>
        <w:t xml:space="preserve"> t</w:t>
      </w:r>
      <w:r>
        <w:rPr>
          <w:lang w:eastAsia="en-AU"/>
        </w:rPr>
        <w:t>he applicant</w:t>
      </w:r>
      <w:r w:rsidR="005C28EA">
        <w:rPr>
          <w:lang w:eastAsia="en-AU"/>
        </w:rPr>
        <w:t xml:space="preserve"> </w:t>
      </w:r>
      <w:r w:rsidR="00023CBA">
        <w:rPr>
          <w:lang w:eastAsia="en-AU"/>
        </w:rPr>
        <w:t xml:space="preserve">had </w:t>
      </w:r>
      <w:r w:rsidR="00577657">
        <w:rPr>
          <w:lang w:eastAsia="en-AU"/>
        </w:rPr>
        <w:t>express</w:t>
      </w:r>
      <w:r w:rsidR="00023CBA">
        <w:rPr>
          <w:lang w:eastAsia="en-AU"/>
        </w:rPr>
        <w:t>ed</w:t>
      </w:r>
      <w:r w:rsidR="00577657">
        <w:rPr>
          <w:lang w:eastAsia="en-AU"/>
        </w:rPr>
        <w:t xml:space="preserve"> </w:t>
      </w:r>
      <w:r w:rsidR="00023CBA">
        <w:rPr>
          <w:lang w:eastAsia="en-AU"/>
        </w:rPr>
        <w:t>a willingness</w:t>
      </w:r>
      <w:r w:rsidR="005C28EA">
        <w:rPr>
          <w:lang w:eastAsia="en-AU"/>
        </w:rPr>
        <w:t xml:space="preserve"> to </w:t>
      </w:r>
      <w:r w:rsidR="00577657">
        <w:rPr>
          <w:lang w:eastAsia="en-AU"/>
        </w:rPr>
        <w:t xml:space="preserve">discuss </w:t>
      </w:r>
      <w:r w:rsidR="00A74227">
        <w:rPr>
          <w:lang w:eastAsia="en-AU"/>
        </w:rPr>
        <w:t xml:space="preserve">restricting </w:t>
      </w:r>
      <w:r w:rsidR="00AB5F2C">
        <w:rPr>
          <w:lang w:eastAsia="en-AU"/>
        </w:rPr>
        <w:t xml:space="preserve">the use of REGENETEN </w:t>
      </w:r>
      <w:r w:rsidR="00EF4372">
        <w:rPr>
          <w:lang w:eastAsia="en-AU"/>
        </w:rPr>
        <w:t>to</w:t>
      </w:r>
      <w:r w:rsidR="00AB5F2C">
        <w:rPr>
          <w:lang w:eastAsia="en-AU"/>
        </w:rPr>
        <w:t xml:space="preserve"> a narrower patient population</w:t>
      </w:r>
      <w:r w:rsidR="00A74227">
        <w:rPr>
          <w:lang w:eastAsia="en-AU"/>
        </w:rPr>
        <w:t>, e.g.,</w:t>
      </w:r>
      <w:r w:rsidR="00EF4372">
        <w:rPr>
          <w:lang w:eastAsia="en-AU"/>
        </w:rPr>
        <w:t xml:space="preserve"> full thickness tears</w:t>
      </w:r>
      <w:r w:rsidR="00A74227">
        <w:rPr>
          <w:lang w:eastAsia="en-AU"/>
        </w:rPr>
        <w:t xml:space="preserve">, until </w:t>
      </w:r>
      <w:r w:rsidR="00041955">
        <w:rPr>
          <w:lang w:eastAsia="en-AU"/>
        </w:rPr>
        <w:t xml:space="preserve">further evidence on </w:t>
      </w:r>
      <w:r w:rsidR="00EF4372">
        <w:rPr>
          <w:lang w:eastAsia="en-AU"/>
        </w:rPr>
        <w:t>partial tears become available</w:t>
      </w:r>
      <w:r>
        <w:rPr>
          <w:lang w:eastAsia="en-AU"/>
        </w:rPr>
        <w:t>.</w:t>
      </w:r>
    </w:p>
    <w:p w14:paraId="1286A2BC" w14:textId="54A2B820" w:rsidR="009E07E8" w:rsidRDefault="009E07E8" w:rsidP="009E07E8">
      <w:pPr>
        <w:rPr>
          <w:lang w:eastAsia="en-AU"/>
        </w:rPr>
      </w:pPr>
      <w:r>
        <w:rPr>
          <w:lang w:eastAsia="en-AU"/>
        </w:rPr>
        <w:t xml:space="preserve">MSAC noted that </w:t>
      </w:r>
      <w:r w:rsidR="006F034C">
        <w:rPr>
          <w:lang w:eastAsia="en-AU"/>
        </w:rPr>
        <w:t xml:space="preserve">an expedited pathway via ESC </w:t>
      </w:r>
      <w:r w:rsidR="00F038C1">
        <w:rPr>
          <w:lang w:eastAsia="en-AU"/>
        </w:rPr>
        <w:t>then MSAC for a re</w:t>
      </w:r>
      <w:r w:rsidR="0013227E">
        <w:rPr>
          <w:lang w:eastAsia="en-AU"/>
        </w:rPr>
        <w:t>-</w:t>
      </w:r>
      <w:r w:rsidR="00F038C1">
        <w:rPr>
          <w:lang w:eastAsia="en-AU"/>
        </w:rPr>
        <w:t xml:space="preserve">application </w:t>
      </w:r>
      <w:r w:rsidR="008F741B">
        <w:rPr>
          <w:lang w:eastAsia="en-AU"/>
        </w:rPr>
        <w:t>based on the current ratified PICO confirmation</w:t>
      </w:r>
      <w:r w:rsidR="00F038C1">
        <w:rPr>
          <w:lang w:eastAsia="en-AU"/>
        </w:rPr>
        <w:t xml:space="preserve"> would be appropriate</w:t>
      </w:r>
      <w:r w:rsidR="008F741B">
        <w:rPr>
          <w:lang w:eastAsia="en-AU"/>
        </w:rPr>
        <w:t>. MSAC considered that</w:t>
      </w:r>
      <w:r w:rsidR="00044FE7">
        <w:rPr>
          <w:lang w:eastAsia="en-AU"/>
        </w:rPr>
        <w:t xml:space="preserve"> </w:t>
      </w:r>
      <w:r w:rsidR="00D75A07">
        <w:rPr>
          <w:lang w:eastAsia="en-AU"/>
        </w:rPr>
        <w:t>a re</w:t>
      </w:r>
      <w:r w:rsidR="0013227E">
        <w:rPr>
          <w:lang w:eastAsia="en-AU"/>
        </w:rPr>
        <w:t>-</w:t>
      </w:r>
      <w:r w:rsidR="00D75A07">
        <w:rPr>
          <w:lang w:eastAsia="en-AU"/>
        </w:rPr>
        <w:t xml:space="preserve">application </w:t>
      </w:r>
      <w:r w:rsidR="00807F1D">
        <w:rPr>
          <w:lang w:eastAsia="en-AU"/>
        </w:rPr>
        <w:t xml:space="preserve">to MSAC </w:t>
      </w:r>
      <w:r w:rsidR="00415C52">
        <w:rPr>
          <w:lang w:eastAsia="en-AU"/>
        </w:rPr>
        <w:t>should</w:t>
      </w:r>
      <w:r w:rsidR="001F071C">
        <w:rPr>
          <w:lang w:eastAsia="en-AU"/>
        </w:rPr>
        <w:t xml:space="preserve"> address the outstanding issues raised </w:t>
      </w:r>
      <w:r w:rsidR="00150BC0">
        <w:rPr>
          <w:lang w:eastAsia="en-AU"/>
        </w:rPr>
        <w:t>in the PSD,</w:t>
      </w:r>
      <w:r w:rsidR="00415C52">
        <w:rPr>
          <w:lang w:eastAsia="en-AU"/>
        </w:rPr>
        <w:t xml:space="preserve"> includ</w:t>
      </w:r>
      <w:r w:rsidR="00150BC0">
        <w:rPr>
          <w:lang w:eastAsia="en-AU"/>
        </w:rPr>
        <w:t xml:space="preserve">ing </w:t>
      </w:r>
      <w:r w:rsidR="00F7212F">
        <w:rPr>
          <w:lang w:eastAsia="en-AU"/>
        </w:rPr>
        <w:t>but not limited to</w:t>
      </w:r>
      <w:r>
        <w:rPr>
          <w:lang w:eastAsia="en-AU"/>
        </w:rPr>
        <w:t xml:space="preserve"> the following to address </w:t>
      </w:r>
      <w:r w:rsidR="00B52A27">
        <w:rPr>
          <w:lang w:eastAsia="en-AU"/>
        </w:rPr>
        <w:t xml:space="preserve">remaining </w:t>
      </w:r>
      <w:r>
        <w:rPr>
          <w:lang w:eastAsia="en-AU"/>
        </w:rPr>
        <w:t>key areas of uncertainty:</w:t>
      </w:r>
    </w:p>
    <w:p w14:paraId="521DC6F6" w14:textId="50E51AE9" w:rsidR="009E07E8" w:rsidRDefault="00C30405" w:rsidP="009E07E8">
      <w:pPr>
        <w:pStyle w:val="Bullet"/>
        <w:widowControl/>
        <w:numPr>
          <w:ilvl w:val="0"/>
          <w:numId w:val="16"/>
        </w:numPr>
        <w:tabs>
          <w:tab w:val="clear" w:pos="360"/>
          <w:tab w:val="num" w:pos="3478"/>
        </w:tabs>
        <w:spacing w:before="0"/>
        <w:ind w:left="720"/>
        <w:contextualSpacing w:val="0"/>
      </w:pPr>
      <w:r>
        <w:t>P</w:t>
      </w:r>
      <w:r w:rsidR="009E07E8">
        <w:t>rovide</w:t>
      </w:r>
      <w:r w:rsidR="00040915">
        <w:t xml:space="preserve"> </w:t>
      </w:r>
      <w:r w:rsidR="000A440D">
        <w:t xml:space="preserve">RCT evidence with </w:t>
      </w:r>
      <w:r w:rsidR="00040915">
        <w:rPr>
          <w:rFonts w:cstheme="minorHAnsi"/>
          <w:bCs/>
        </w:rPr>
        <w:t>non-radiological measures as primary outcomes</w:t>
      </w:r>
      <w:r w:rsidR="00D07AF7">
        <w:rPr>
          <w:rFonts w:cstheme="minorHAnsi"/>
          <w:bCs/>
        </w:rPr>
        <w:t>.</w:t>
      </w:r>
      <w:r w:rsidR="009E07E8">
        <w:t xml:space="preserve"> </w:t>
      </w:r>
    </w:p>
    <w:p w14:paraId="7B9CC3C7" w14:textId="70D0F5E8" w:rsidR="003C3F5E" w:rsidRDefault="00EA4842" w:rsidP="009E07E8">
      <w:pPr>
        <w:pStyle w:val="Bullet"/>
        <w:widowControl/>
        <w:numPr>
          <w:ilvl w:val="0"/>
          <w:numId w:val="16"/>
        </w:numPr>
        <w:tabs>
          <w:tab w:val="clear" w:pos="360"/>
          <w:tab w:val="num" w:pos="3478"/>
        </w:tabs>
        <w:spacing w:before="0"/>
        <w:ind w:left="720"/>
        <w:contextualSpacing w:val="0"/>
      </w:pPr>
      <w:r>
        <w:rPr>
          <w:rStyle w:val="normaltextrun"/>
          <w:rFonts w:cs="Segoe UI"/>
        </w:rPr>
        <w:t xml:space="preserve">Provide </w:t>
      </w:r>
      <w:r w:rsidR="00BA109A">
        <w:rPr>
          <w:rStyle w:val="normaltextrun"/>
          <w:rFonts w:cs="Segoe UI"/>
        </w:rPr>
        <w:t xml:space="preserve">evidence on the </w:t>
      </w:r>
      <w:r w:rsidR="003C3F5E">
        <w:rPr>
          <w:rStyle w:val="normaltextrun"/>
          <w:rFonts w:cs="Segoe UI"/>
        </w:rPr>
        <w:t xml:space="preserve">comparative </w:t>
      </w:r>
      <w:r w:rsidR="00BA109A">
        <w:rPr>
          <w:rStyle w:val="normaltextrun"/>
          <w:rFonts w:cs="Segoe UI"/>
        </w:rPr>
        <w:t>safety, clinical and cost-</w:t>
      </w:r>
      <w:r w:rsidR="003C3F5E">
        <w:rPr>
          <w:rStyle w:val="normaltextrun"/>
          <w:rFonts w:cs="Segoe UI"/>
        </w:rPr>
        <w:t xml:space="preserve">effectiveness </w:t>
      </w:r>
      <w:r w:rsidR="00EE3077">
        <w:rPr>
          <w:rStyle w:val="normaltextrun"/>
          <w:rFonts w:cs="Segoe UI"/>
        </w:rPr>
        <w:t>of</w:t>
      </w:r>
      <w:r w:rsidR="003C3F5E">
        <w:rPr>
          <w:rStyle w:val="normaltextrun"/>
          <w:rFonts w:cs="Segoe UI"/>
        </w:rPr>
        <w:t xml:space="preserve"> </w:t>
      </w:r>
      <w:r w:rsidR="00BA109A">
        <w:rPr>
          <w:rStyle w:val="normaltextrun"/>
          <w:rFonts w:cs="Segoe UI"/>
        </w:rPr>
        <w:t>surgical repair using</w:t>
      </w:r>
      <w:r w:rsidR="003C3F5E">
        <w:rPr>
          <w:rStyle w:val="normaltextrun"/>
          <w:rFonts w:cs="Segoe UI"/>
        </w:rPr>
        <w:t xml:space="preserve"> BCI against continued </w:t>
      </w:r>
      <w:r w:rsidR="00A01B1C">
        <w:rPr>
          <w:rStyle w:val="normaltextrun"/>
          <w:rFonts w:cs="Segoe UI"/>
        </w:rPr>
        <w:t>CM</w:t>
      </w:r>
      <w:r w:rsidR="003C3F5E">
        <w:rPr>
          <w:rStyle w:val="normaltextrun"/>
          <w:rFonts w:cs="Segoe UI"/>
        </w:rPr>
        <w:t xml:space="preserve"> in partial-thickness tears.</w:t>
      </w:r>
    </w:p>
    <w:p w14:paraId="5B669BD7" w14:textId="1F603356" w:rsidR="009E07E8" w:rsidRDefault="008F741B" w:rsidP="009E07E8">
      <w:pPr>
        <w:pStyle w:val="Bullet"/>
        <w:widowControl/>
        <w:numPr>
          <w:ilvl w:val="0"/>
          <w:numId w:val="16"/>
        </w:numPr>
        <w:tabs>
          <w:tab w:val="clear" w:pos="360"/>
          <w:tab w:val="num" w:pos="3478"/>
        </w:tabs>
        <w:spacing w:before="0"/>
        <w:ind w:left="720"/>
        <w:contextualSpacing w:val="0"/>
      </w:pPr>
      <w:r>
        <w:t xml:space="preserve">Consider </w:t>
      </w:r>
      <w:r w:rsidR="0050438D">
        <w:t xml:space="preserve">a </w:t>
      </w:r>
      <w:r w:rsidR="009E07E8">
        <w:t>focus on the clinical claim</w:t>
      </w:r>
      <w:r w:rsidR="008874A5">
        <w:t xml:space="preserve"> </w:t>
      </w:r>
      <w:r w:rsidR="009E07E8">
        <w:t xml:space="preserve">that REGENTEN </w:t>
      </w:r>
      <w:r w:rsidR="0050438D">
        <w:t xml:space="preserve">reduces </w:t>
      </w:r>
      <w:r w:rsidR="009E07E8">
        <w:t>time to recovery.</w:t>
      </w:r>
    </w:p>
    <w:p w14:paraId="0705B8A6" w14:textId="72F190C0" w:rsidR="0D0C7274" w:rsidRDefault="0D0C7274" w:rsidP="685E756D">
      <w:pPr>
        <w:pStyle w:val="Bullet"/>
        <w:widowControl/>
        <w:tabs>
          <w:tab w:val="num" w:pos="3478"/>
        </w:tabs>
        <w:spacing w:before="0"/>
        <w:ind w:left="720"/>
      </w:pPr>
      <w:r>
        <w:t xml:space="preserve">Consider respecifying the economic evaluation for FTRT </w:t>
      </w:r>
      <w:r w:rsidR="2BB8D819">
        <w:t>with</w:t>
      </w:r>
      <w:r w:rsidR="04F3F50D">
        <w:t xml:space="preserve"> </w:t>
      </w:r>
      <w:r>
        <w:t>the inclusion of appropriate downstream costs, use of trial-based or time trade-off utility weights</w:t>
      </w:r>
      <w:r w:rsidR="009B11EE">
        <w:t xml:space="preserve"> and</w:t>
      </w:r>
      <w:r w:rsidR="3B7BFCF1">
        <w:t xml:space="preserve"> </w:t>
      </w:r>
      <w:r>
        <w:t>shortening the time horizon to 1 year (as retear rates were only available at 12 months).</w:t>
      </w:r>
    </w:p>
    <w:p w14:paraId="6710B69D" w14:textId="49328AF2" w:rsidR="00772829" w:rsidRPr="00CE28E3" w:rsidRDefault="008D6BDA" w:rsidP="002A18BE">
      <w:pPr>
        <w:pStyle w:val="Heading2"/>
        <w:numPr>
          <w:ilvl w:val="0"/>
          <w:numId w:val="0"/>
        </w:numPr>
      </w:pPr>
      <w:bookmarkStart w:id="2" w:name="_Toc69491416"/>
      <w:bookmarkEnd w:id="1"/>
      <w:r>
        <w:t>4</w:t>
      </w:r>
      <w:r w:rsidR="00C36633">
        <w:t>.</w:t>
      </w:r>
      <w:r w:rsidR="00C36633">
        <w:tab/>
      </w:r>
      <w:r w:rsidR="00772829" w:rsidRPr="00CE28E3">
        <w:t>Background</w:t>
      </w:r>
      <w:bookmarkEnd w:id="2"/>
    </w:p>
    <w:p w14:paraId="092E7C33" w14:textId="0B5691BE" w:rsidR="003F33D9" w:rsidRDefault="00395D92" w:rsidP="003B4E46">
      <w:bookmarkStart w:id="3" w:name="_Hlk69734494"/>
      <w:r>
        <w:t xml:space="preserve">MSAC previously considered </w:t>
      </w:r>
      <w:r w:rsidRPr="00395D92">
        <w:t xml:space="preserve">REGENETEN </w:t>
      </w:r>
      <w:r w:rsidR="00B7440D">
        <w:t xml:space="preserve">bovine </w:t>
      </w:r>
      <w:r w:rsidR="00041890">
        <w:t>BCI</w:t>
      </w:r>
      <w:r w:rsidRPr="00395D92">
        <w:t xml:space="preserve"> for the repair of rotator cuff tear</w:t>
      </w:r>
      <w:r>
        <w:t xml:space="preserve"> in July 2020</w:t>
      </w:r>
      <w:r w:rsidR="00DD693D">
        <w:t xml:space="preserve"> (MSAC application 1593)</w:t>
      </w:r>
      <w:r>
        <w:t>.</w:t>
      </w:r>
      <w:r w:rsidR="00071A77">
        <w:t xml:space="preserve"> </w:t>
      </w:r>
      <w:r>
        <w:t xml:space="preserve">MSAC did not support public funding for bovine </w:t>
      </w:r>
      <w:r w:rsidR="00FA2AF3">
        <w:t xml:space="preserve">BCI </w:t>
      </w:r>
      <w:r>
        <w:t>(</w:t>
      </w:r>
      <w:r w:rsidR="00B7440D">
        <w:t>at that time, and</w:t>
      </w:r>
      <w:r>
        <w:t xml:space="preserve"> advised the</w:t>
      </w:r>
      <w:r w:rsidR="00B7440D">
        <w:t xml:space="preserve"> Prosthe</w:t>
      </w:r>
      <w:r w:rsidR="00D6582E">
        <w:t>ses List Advisory Committee</w:t>
      </w:r>
      <w:r>
        <w:t xml:space="preserve"> </w:t>
      </w:r>
      <w:r w:rsidR="00D6582E">
        <w:t>(</w:t>
      </w:r>
      <w:r>
        <w:t>PLAC</w:t>
      </w:r>
      <w:r w:rsidR="00D6582E">
        <w:t>; now the Medical Devices and Human Tissue Advisory Committee)</w:t>
      </w:r>
      <w:r>
        <w:t xml:space="preserve"> that the evidence for comparative safety</w:t>
      </w:r>
      <w:r w:rsidR="00995818">
        <w:t>,</w:t>
      </w:r>
      <w:r>
        <w:t xml:space="preserve"> effectiveness </w:t>
      </w:r>
      <w:r w:rsidR="00995818">
        <w:t>and cost-</w:t>
      </w:r>
      <w:r w:rsidR="00995818">
        <w:lastRenderedPageBreak/>
        <w:t xml:space="preserve">effectiveness </w:t>
      </w:r>
      <w:r w:rsidR="00664D6F">
        <w:t>was</w:t>
      </w:r>
      <w:r>
        <w:t xml:space="preserve"> highly uncertain relative to standard surgical repair in both subpopulations (</w:t>
      </w:r>
      <w:r w:rsidR="00907B5D">
        <w:t xml:space="preserve">i.e., </w:t>
      </w:r>
      <w:r w:rsidR="00895086">
        <w:t>Population 1</w:t>
      </w:r>
      <w:r w:rsidR="00907B5D">
        <w:t xml:space="preserve">: </w:t>
      </w:r>
      <w:r w:rsidR="00907B5D" w:rsidRPr="00907B5D">
        <w:t xml:space="preserve">patients with </w:t>
      </w:r>
      <w:r w:rsidR="00907B5D">
        <w:t>partial</w:t>
      </w:r>
      <w:r w:rsidR="00355718">
        <w:t>-</w:t>
      </w:r>
      <w:r w:rsidR="00907B5D" w:rsidRPr="00907B5D">
        <w:t>thickness rotator cuff tears (</w:t>
      </w:r>
      <w:r w:rsidR="00907B5D">
        <w:t>P</w:t>
      </w:r>
      <w:r w:rsidR="00907B5D" w:rsidRPr="00907B5D">
        <w:t>TRCT)</w:t>
      </w:r>
      <w:r w:rsidR="00907B5D">
        <w:t xml:space="preserve"> and </w:t>
      </w:r>
      <w:r w:rsidR="00895086">
        <w:t>Population 2</w:t>
      </w:r>
      <w:r w:rsidR="00907B5D">
        <w:t xml:space="preserve">: </w:t>
      </w:r>
      <w:r w:rsidR="00907B5D" w:rsidRPr="004E52F6">
        <w:rPr>
          <w:rFonts w:eastAsia="Calibri"/>
          <w:snapToGrid w:val="0"/>
        </w:rPr>
        <w:t>patients with full</w:t>
      </w:r>
      <w:r w:rsidR="00355718">
        <w:rPr>
          <w:rFonts w:eastAsia="Calibri"/>
          <w:snapToGrid w:val="0"/>
        </w:rPr>
        <w:t>-</w:t>
      </w:r>
      <w:r w:rsidR="00907B5D" w:rsidRPr="004E52F6">
        <w:rPr>
          <w:rFonts w:eastAsia="Calibri"/>
          <w:snapToGrid w:val="0"/>
        </w:rPr>
        <w:t>thickness rotator cuff tears (FTRCT)</w:t>
      </w:r>
      <w:r>
        <w:rPr>
          <w:rStyle w:val="FootnoteReference"/>
        </w:rPr>
        <w:footnoteReference w:id="4"/>
      </w:r>
      <w:r>
        <w:t>.</w:t>
      </w:r>
      <w:r w:rsidR="00802FAF">
        <w:t xml:space="preserve"> </w:t>
      </w:r>
      <w:r w:rsidR="007F08FC">
        <w:t xml:space="preserve">The key matters of concern from </w:t>
      </w:r>
      <w:r w:rsidR="00664D6F">
        <w:t xml:space="preserve">the </w:t>
      </w:r>
      <w:r w:rsidR="007F08FC">
        <w:t xml:space="preserve">previous MSAC consideration in July 2020 </w:t>
      </w:r>
      <w:r w:rsidR="00D6582E">
        <w:t>and how they have been addressed in the current re-application are</w:t>
      </w:r>
      <w:r w:rsidR="00A210C8">
        <w:t xml:space="preserve"> </w:t>
      </w:r>
      <w:r w:rsidR="007F08FC">
        <w:t xml:space="preserve">provided in </w:t>
      </w:r>
      <w:r w:rsidR="001008DA">
        <w:fldChar w:fldCharType="begin"/>
      </w:r>
      <w:r w:rsidR="001008DA">
        <w:instrText xml:space="preserve"> REF _Ref69480768 \h </w:instrText>
      </w:r>
      <w:r w:rsidR="001008DA">
        <w:fldChar w:fldCharType="separate"/>
      </w:r>
      <w:r w:rsidR="00EB12D3" w:rsidRPr="00CE28E3">
        <w:t>Table</w:t>
      </w:r>
      <w:r w:rsidR="00EB12D3">
        <w:t> </w:t>
      </w:r>
      <w:r w:rsidR="00EB12D3">
        <w:rPr>
          <w:noProof/>
        </w:rPr>
        <w:t>1</w:t>
      </w:r>
      <w:r w:rsidR="001008DA">
        <w:fldChar w:fldCharType="end"/>
      </w:r>
      <w:r w:rsidR="007F08FC">
        <w:t>.</w:t>
      </w:r>
    </w:p>
    <w:p w14:paraId="5FF79FAC" w14:textId="7E19B2EC" w:rsidR="00121F5E" w:rsidRDefault="0068682C" w:rsidP="00F6199E">
      <w:pPr>
        <w:pStyle w:val="Caption"/>
      </w:pPr>
      <w:bookmarkStart w:id="4" w:name="_Ref69480768"/>
      <w:bookmarkStart w:id="5" w:name="_Ref163179287"/>
      <w:bookmarkStart w:id="6" w:name="_Hlk69734557"/>
      <w:bookmarkEnd w:id="3"/>
      <w:r w:rsidRPr="00CE28E3">
        <w:t>Table</w:t>
      </w:r>
      <w:r w:rsidR="004A4FDF">
        <w:t> </w:t>
      </w:r>
      <w:r>
        <w:fldChar w:fldCharType="begin"/>
      </w:r>
      <w:r>
        <w:instrText xml:space="preserve"> SEQ Table \* ARABIC </w:instrText>
      </w:r>
      <w:r>
        <w:fldChar w:fldCharType="separate"/>
      </w:r>
      <w:r w:rsidR="00C3173B">
        <w:rPr>
          <w:noProof/>
        </w:rPr>
        <w:t>1</w:t>
      </w:r>
      <w:r>
        <w:rPr>
          <w:noProof/>
        </w:rPr>
        <w:fldChar w:fldCharType="end"/>
      </w:r>
      <w:bookmarkEnd w:id="4"/>
      <w:r w:rsidR="0051064D">
        <w:rPr>
          <w:noProof/>
        </w:rPr>
        <w:t>:</w:t>
      </w:r>
      <w:r w:rsidR="0051064D">
        <w:t xml:space="preserve"> </w:t>
      </w:r>
      <w:r w:rsidRPr="00CE28E3">
        <w:t>Summary of key matters of concern</w:t>
      </w:r>
      <w:bookmarkStart w:id="7" w:name="ColumnTitle_Table1"/>
      <w:bookmarkStart w:id="8" w:name="_Hlk68275617"/>
      <w:bookmarkEnd w:id="5"/>
      <w:bookmarkEnd w:id="7"/>
      <w:r w:rsidR="001955EC">
        <w:t xml:space="preserve"> in the previous and current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944"/>
        <w:gridCol w:w="3945"/>
      </w:tblGrid>
      <w:tr w:rsidR="00121F5E" w14:paraId="3DA034D1" w14:textId="77777777" w:rsidTr="00D6582E">
        <w:trPr>
          <w:tblHeader/>
        </w:trPr>
        <w:tc>
          <w:tcPr>
            <w:tcW w:w="625" w:type="pct"/>
            <w:tcBorders>
              <w:top w:val="single" w:sz="4" w:space="0" w:color="auto"/>
              <w:left w:val="single" w:sz="4" w:space="0" w:color="auto"/>
              <w:bottom w:val="single" w:sz="4" w:space="0" w:color="auto"/>
              <w:right w:val="single" w:sz="4" w:space="0" w:color="auto"/>
            </w:tcBorders>
            <w:hideMark/>
          </w:tcPr>
          <w:p w14:paraId="1EFB5F38" w14:textId="77777777" w:rsidR="00121F5E" w:rsidRPr="00F6199E" w:rsidRDefault="00121F5E" w:rsidP="00F6199E">
            <w:pPr>
              <w:pStyle w:val="Tabletext0"/>
              <w:rPr>
                <w:b/>
                <w:bCs/>
              </w:rPr>
            </w:pPr>
            <w:r w:rsidRPr="00F6199E">
              <w:rPr>
                <w:b/>
                <w:bCs/>
              </w:rPr>
              <w:t>Component</w:t>
            </w:r>
          </w:p>
        </w:tc>
        <w:tc>
          <w:tcPr>
            <w:tcW w:w="2187" w:type="pct"/>
            <w:tcBorders>
              <w:top w:val="single" w:sz="4" w:space="0" w:color="auto"/>
              <w:left w:val="single" w:sz="4" w:space="0" w:color="auto"/>
              <w:bottom w:val="single" w:sz="4" w:space="0" w:color="auto"/>
              <w:right w:val="single" w:sz="4" w:space="0" w:color="auto"/>
            </w:tcBorders>
            <w:hideMark/>
          </w:tcPr>
          <w:p w14:paraId="2C80B007" w14:textId="018A0B44" w:rsidR="00121F5E" w:rsidRPr="00F6199E" w:rsidRDefault="00121F5E" w:rsidP="00F6199E">
            <w:pPr>
              <w:pStyle w:val="Tabletext0"/>
              <w:rPr>
                <w:b/>
                <w:bCs/>
              </w:rPr>
            </w:pPr>
            <w:r w:rsidRPr="00F6199E">
              <w:rPr>
                <w:b/>
                <w:bCs/>
              </w:rPr>
              <w:t>Matter of concern</w:t>
            </w:r>
            <w:r w:rsidR="00B45A72">
              <w:rPr>
                <w:b/>
                <w:bCs/>
              </w:rPr>
              <w:t xml:space="preserve"> in the previous </w:t>
            </w:r>
            <w:r w:rsidR="001955EC">
              <w:rPr>
                <w:b/>
                <w:bCs/>
              </w:rPr>
              <w:t xml:space="preserve">application </w:t>
            </w:r>
            <w:r w:rsidR="00E23330">
              <w:rPr>
                <w:b/>
                <w:bCs/>
              </w:rPr>
              <w:t>(MSAC 1593, July 2020 MSAC meeting)</w:t>
            </w:r>
          </w:p>
        </w:tc>
        <w:tc>
          <w:tcPr>
            <w:tcW w:w="2188" w:type="pct"/>
            <w:tcBorders>
              <w:top w:val="single" w:sz="4" w:space="0" w:color="auto"/>
              <w:left w:val="single" w:sz="4" w:space="0" w:color="auto"/>
              <w:bottom w:val="single" w:sz="4" w:space="0" w:color="auto"/>
              <w:right w:val="single" w:sz="4" w:space="0" w:color="auto"/>
            </w:tcBorders>
            <w:hideMark/>
          </w:tcPr>
          <w:p w14:paraId="5FEDB75C" w14:textId="2AC44426" w:rsidR="00121F5E" w:rsidRPr="00F6199E" w:rsidRDefault="00121F5E" w:rsidP="00F6199E">
            <w:pPr>
              <w:pStyle w:val="Tabletext0"/>
              <w:rPr>
                <w:b/>
                <w:bCs/>
              </w:rPr>
            </w:pPr>
            <w:r w:rsidRPr="00F6199E">
              <w:rPr>
                <w:b/>
                <w:bCs/>
              </w:rPr>
              <w:t xml:space="preserve">How the current </w:t>
            </w:r>
            <w:r w:rsidR="001955EC">
              <w:rPr>
                <w:b/>
                <w:bCs/>
              </w:rPr>
              <w:t>re</w:t>
            </w:r>
            <w:r w:rsidR="006D27D7">
              <w:rPr>
                <w:b/>
                <w:bCs/>
              </w:rPr>
              <w:t>-</w:t>
            </w:r>
            <w:r w:rsidR="001955EC">
              <w:rPr>
                <w:b/>
                <w:bCs/>
              </w:rPr>
              <w:t>application</w:t>
            </w:r>
            <w:r w:rsidR="001955EC" w:rsidRPr="00F6199E">
              <w:rPr>
                <w:b/>
                <w:bCs/>
              </w:rPr>
              <w:t xml:space="preserve"> </w:t>
            </w:r>
            <w:r w:rsidR="00E23330">
              <w:rPr>
                <w:b/>
                <w:bCs/>
              </w:rPr>
              <w:t xml:space="preserve">(MSAC 1593.1) </w:t>
            </w:r>
            <w:r w:rsidRPr="00F6199E">
              <w:rPr>
                <w:b/>
                <w:bCs/>
              </w:rPr>
              <w:t>addresse</w:t>
            </w:r>
            <w:r w:rsidR="005C463C">
              <w:rPr>
                <w:b/>
                <w:bCs/>
              </w:rPr>
              <w:t>d</w:t>
            </w:r>
            <w:r w:rsidRPr="00F6199E">
              <w:rPr>
                <w:b/>
                <w:bCs/>
              </w:rPr>
              <w:t xml:space="preserve"> it</w:t>
            </w:r>
          </w:p>
        </w:tc>
      </w:tr>
      <w:tr w:rsidR="00071A77" w14:paraId="6E69EF58" w14:textId="77777777" w:rsidTr="00D6582E">
        <w:tc>
          <w:tcPr>
            <w:tcW w:w="625" w:type="pct"/>
            <w:vMerge w:val="restart"/>
            <w:tcBorders>
              <w:top w:val="single" w:sz="4" w:space="0" w:color="auto"/>
              <w:left w:val="single" w:sz="4" w:space="0" w:color="auto"/>
              <w:right w:val="single" w:sz="4" w:space="0" w:color="auto"/>
            </w:tcBorders>
            <w:hideMark/>
          </w:tcPr>
          <w:p w14:paraId="4616FB16" w14:textId="77777777" w:rsidR="00623E2D" w:rsidRPr="00121F5E" w:rsidRDefault="00623E2D" w:rsidP="00121F5E">
            <w:pPr>
              <w:pStyle w:val="Tabletext0"/>
              <w:rPr>
                <w:b/>
                <w:bCs/>
                <w:color w:val="258221"/>
              </w:rPr>
            </w:pPr>
            <w:r w:rsidRPr="00121F5E">
              <w:rPr>
                <w:b/>
                <w:bCs/>
                <w:color w:val="000000" w:themeColor="text1"/>
              </w:rPr>
              <w:t>Clinical evidence</w:t>
            </w:r>
          </w:p>
        </w:tc>
        <w:tc>
          <w:tcPr>
            <w:tcW w:w="2187" w:type="pct"/>
            <w:tcBorders>
              <w:top w:val="single" w:sz="4" w:space="0" w:color="auto"/>
              <w:left w:val="single" w:sz="4" w:space="0" w:color="auto"/>
              <w:bottom w:val="single" w:sz="4" w:space="0" w:color="auto"/>
              <w:right w:val="single" w:sz="4" w:space="0" w:color="auto"/>
            </w:tcBorders>
            <w:hideMark/>
          </w:tcPr>
          <w:p w14:paraId="7AAB4791" w14:textId="23008A4E" w:rsidR="00623E2D" w:rsidRDefault="00623E2D" w:rsidP="00121F5E">
            <w:pPr>
              <w:pStyle w:val="Tabletext0"/>
              <w:rPr>
                <w:rFonts w:cs="Arial"/>
                <w:snapToGrid w:val="0"/>
                <w:color w:val="258221"/>
              </w:rPr>
            </w:pPr>
            <w:r>
              <w:rPr>
                <w:rFonts w:eastAsia="Calibri" w:cstheme="minorHAnsi"/>
                <w:snapToGrid w:val="0"/>
              </w:rPr>
              <w:t>MSAC considered that the applicant would need to provide high quality evidence before they could resubmit to MSAC (p</w:t>
            </w:r>
            <w:r w:rsidR="007E2318">
              <w:rPr>
                <w:rFonts w:eastAsia="Calibri" w:cstheme="minorHAnsi"/>
                <w:snapToGrid w:val="0"/>
              </w:rPr>
              <w:t>g</w:t>
            </w:r>
            <w:r>
              <w:rPr>
                <w:rFonts w:eastAsia="Calibri" w:cstheme="minorHAnsi"/>
                <w:snapToGrid w:val="0"/>
              </w:rPr>
              <w:t>4</w:t>
            </w:r>
            <w:r w:rsidR="00103216">
              <w:rPr>
                <w:rFonts w:eastAsia="Calibri" w:cstheme="minorHAnsi"/>
                <w:snapToGrid w:val="0"/>
              </w:rPr>
              <w:t xml:space="preserve">, PSD for </w:t>
            </w:r>
            <w:r w:rsidR="00B36730">
              <w:rPr>
                <w:rFonts w:eastAsia="Calibri" w:cstheme="minorHAnsi"/>
                <w:snapToGrid w:val="0"/>
              </w:rPr>
              <w:t>MSAC application 159</w:t>
            </w:r>
            <w:r w:rsidR="00BE3127">
              <w:rPr>
                <w:rFonts w:eastAsia="Calibri" w:cstheme="minorHAnsi"/>
                <w:snapToGrid w:val="0"/>
              </w:rPr>
              <w:t xml:space="preserve">3, </w:t>
            </w:r>
            <w:r w:rsidR="00456CFE">
              <w:rPr>
                <w:rFonts w:eastAsia="Calibri" w:cstheme="minorHAnsi"/>
                <w:snapToGrid w:val="0"/>
              </w:rPr>
              <w:t>July 2020 MSAC meeting</w:t>
            </w:r>
            <w:r>
              <w:rPr>
                <w:rFonts w:eastAsia="Calibri" w:cstheme="minorHAnsi"/>
                <w:snapToGrid w:val="0"/>
              </w:rPr>
              <w:t>).</w:t>
            </w:r>
          </w:p>
        </w:tc>
        <w:tc>
          <w:tcPr>
            <w:tcW w:w="2188" w:type="pct"/>
            <w:vMerge w:val="restart"/>
            <w:tcBorders>
              <w:top w:val="single" w:sz="4" w:space="0" w:color="auto"/>
              <w:left w:val="single" w:sz="4" w:space="0" w:color="auto"/>
              <w:bottom w:val="single" w:sz="4" w:space="0" w:color="auto"/>
              <w:right w:val="single" w:sz="4" w:space="0" w:color="auto"/>
            </w:tcBorders>
            <w:hideMark/>
          </w:tcPr>
          <w:p w14:paraId="17E577F2" w14:textId="77777777" w:rsidR="00623E2D" w:rsidRDefault="00623E2D" w:rsidP="00121F5E">
            <w:pPr>
              <w:pStyle w:val="Tabletext0"/>
              <w:rPr>
                <w:rFonts w:eastAsia="Calibri" w:cstheme="minorBidi"/>
                <w:snapToGrid w:val="0"/>
              </w:rPr>
            </w:pPr>
            <w:r>
              <w:rPr>
                <w:rFonts w:eastAsia="Calibri"/>
                <w:snapToGrid w:val="0"/>
              </w:rPr>
              <w:t xml:space="preserve">Partially addressed. </w:t>
            </w:r>
          </w:p>
          <w:p w14:paraId="5937328A" w14:textId="77777777" w:rsidR="00623E2D" w:rsidRDefault="00623E2D" w:rsidP="00121F5E">
            <w:pPr>
              <w:pStyle w:val="Tabletext0"/>
              <w:rPr>
                <w:rFonts w:eastAsia="Calibri"/>
                <w:snapToGrid w:val="0"/>
              </w:rPr>
            </w:pPr>
            <w:r>
              <w:rPr>
                <w:rFonts w:eastAsia="Calibri"/>
                <w:snapToGrid w:val="0"/>
              </w:rPr>
              <w:t xml:space="preserve">The ADAR removed case study data and naïve indirect comparisons from the evidence base as advised by MSAC, and provided comparative effectiveness and safety based on three new RCTs. </w:t>
            </w:r>
          </w:p>
          <w:p w14:paraId="359AB7BE" w14:textId="66C68E0D" w:rsidR="00623E2D" w:rsidRDefault="00623E2D" w:rsidP="00121F5E">
            <w:pPr>
              <w:pStyle w:val="Tabletext0"/>
              <w:rPr>
                <w:rFonts w:eastAsia="Calibri"/>
                <w:snapToGrid w:val="0"/>
              </w:rPr>
            </w:pPr>
            <w:r>
              <w:rPr>
                <w:rFonts w:eastAsia="Calibri"/>
                <w:snapToGrid w:val="0"/>
              </w:rPr>
              <w:t xml:space="preserve">For </w:t>
            </w:r>
            <w:r w:rsidR="00895086">
              <w:rPr>
                <w:rFonts w:eastAsia="Calibri"/>
                <w:snapToGrid w:val="0"/>
              </w:rPr>
              <w:t>Population 1</w:t>
            </w:r>
            <w:r>
              <w:rPr>
                <w:rFonts w:eastAsia="Calibri"/>
                <w:snapToGrid w:val="0"/>
              </w:rPr>
              <w:t>:</w:t>
            </w:r>
            <w:r>
              <w:t xml:space="preserve"> p</w:t>
            </w:r>
            <w:r>
              <w:rPr>
                <w:rFonts w:eastAsia="Calibri"/>
                <w:snapToGrid w:val="0"/>
              </w:rPr>
              <w:t xml:space="preserve">atients with symptomatic PTRCT, the ADAR provided evidence from the PROCTOR Trial (Wang et al., 2023) and Camacho-Chacon et al., 2023 RCTs. </w:t>
            </w:r>
          </w:p>
          <w:p w14:paraId="0B87C52D" w14:textId="4972C1A4" w:rsidR="00623E2D" w:rsidRDefault="00623E2D" w:rsidP="00121F5E">
            <w:pPr>
              <w:pStyle w:val="Tabletext0"/>
              <w:rPr>
                <w:rFonts w:eastAsia="Calibri"/>
                <w:snapToGrid w:val="0"/>
              </w:rPr>
            </w:pPr>
            <w:r>
              <w:rPr>
                <w:rFonts w:eastAsia="Calibri"/>
                <w:snapToGrid w:val="0"/>
              </w:rPr>
              <w:t>The PROCTOR Trial provided only interim results for 29 patients with followed up of three months.</w:t>
            </w:r>
          </w:p>
          <w:p w14:paraId="72A3F7F5" w14:textId="60EFAD28" w:rsidR="00623E2D" w:rsidRDefault="00623E2D" w:rsidP="00121F5E">
            <w:pPr>
              <w:pStyle w:val="Tabletext0"/>
              <w:rPr>
                <w:rFonts w:eastAsia="Calibri"/>
                <w:snapToGrid w:val="0"/>
              </w:rPr>
            </w:pPr>
            <w:r>
              <w:rPr>
                <w:rFonts w:eastAsia="Calibri"/>
                <w:snapToGrid w:val="0"/>
              </w:rPr>
              <w:t xml:space="preserve">Also, the commentary considered that the Camacho-Chacon et al., 2023 RCT </w:t>
            </w:r>
            <w:r w:rsidR="00FA4652">
              <w:rPr>
                <w:rFonts w:eastAsia="Calibri"/>
                <w:snapToGrid w:val="0"/>
              </w:rPr>
              <w:t xml:space="preserve">was </w:t>
            </w:r>
            <w:r>
              <w:rPr>
                <w:rFonts w:eastAsia="Calibri"/>
                <w:snapToGrid w:val="0"/>
              </w:rPr>
              <w:t xml:space="preserve">not relevant for </w:t>
            </w:r>
            <w:r w:rsidR="00895086">
              <w:rPr>
                <w:rFonts w:eastAsia="Calibri"/>
                <w:snapToGrid w:val="0"/>
              </w:rPr>
              <w:t>Population 1</w:t>
            </w:r>
            <w:r>
              <w:rPr>
                <w:rFonts w:eastAsia="Calibri"/>
                <w:snapToGrid w:val="0"/>
              </w:rPr>
              <w:t xml:space="preserve"> as the study population </w:t>
            </w:r>
            <w:r w:rsidR="00FA4652">
              <w:rPr>
                <w:rFonts w:eastAsia="Calibri"/>
                <w:snapToGrid w:val="0"/>
              </w:rPr>
              <w:t xml:space="preserve">was </w:t>
            </w:r>
            <w:r>
              <w:rPr>
                <w:rFonts w:eastAsia="Calibri"/>
                <w:snapToGrid w:val="0"/>
              </w:rPr>
              <w:t>patients with FTRCT.</w:t>
            </w:r>
          </w:p>
          <w:p w14:paraId="176C5D14" w14:textId="77855478" w:rsidR="00623E2D" w:rsidRDefault="00623E2D" w:rsidP="00121F5E">
            <w:pPr>
              <w:pStyle w:val="Tabletext0"/>
              <w:rPr>
                <w:rFonts w:eastAsia="Calibri"/>
                <w:snapToGrid w:val="0"/>
              </w:rPr>
            </w:pPr>
            <w:r>
              <w:rPr>
                <w:rFonts w:eastAsia="Calibri"/>
                <w:snapToGrid w:val="0"/>
              </w:rPr>
              <w:t xml:space="preserve">For </w:t>
            </w:r>
            <w:r w:rsidR="00895086">
              <w:rPr>
                <w:rFonts w:eastAsia="Calibri"/>
                <w:snapToGrid w:val="0"/>
              </w:rPr>
              <w:t>Population 2</w:t>
            </w:r>
            <w:r>
              <w:rPr>
                <w:rFonts w:eastAsia="Calibri"/>
                <w:snapToGrid w:val="0"/>
              </w:rPr>
              <w:t xml:space="preserve">, the ADAR provided evidence from the published Ruiz </w:t>
            </w:r>
            <w:proofErr w:type="spellStart"/>
            <w:r w:rsidR="00262ECD">
              <w:rPr>
                <w:rFonts w:eastAsia="Calibri"/>
                <w:snapToGrid w:val="0"/>
              </w:rPr>
              <w:t>Ibán</w:t>
            </w:r>
            <w:proofErr w:type="spellEnd"/>
            <w:r>
              <w:rPr>
                <w:rFonts w:eastAsia="Calibri"/>
                <w:snapToGrid w:val="0"/>
              </w:rPr>
              <w:t xml:space="preserve"> et al., 2023 </w:t>
            </w:r>
            <w:r w:rsidR="003A0F7E">
              <w:rPr>
                <w:rFonts w:eastAsia="Calibri"/>
                <w:snapToGrid w:val="0"/>
              </w:rPr>
              <w:t xml:space="preserve">trial </w:t>
            </w:r>
            <w:r>
              <w:rPr>
                <w:rFonts w:eastAsia="Calibri"/>
                <w:snapToGrid w:val="0"/>
              </w:rPr>
              <w:t xml:space="preserve">and this </w:t>
            </w:r>
            <w:r w:rsidR="003A0F7E">
              <w:rPr>
                <w:rFonts w:eastAsia="Calibri"/>
                <w:snapToGrid w:val="0"/>
              </w:rPr>
              <w:t>trial</w:t>
            </w:r>
            <w:r>
              <w:rPr>
                <w:rFonts w:eastAsia="Calibri"/>
                <w:snapToGrid w:val="0"/>
              </w:rPr>
              <w:t xml:space="preserve"> </w:t>
            </w:r>
            <w:r w:rsidR="00FA4652">
              <w:rPr>
                <w:rFonts w:eastAsia="Calibri"/>
                <w:snapToGrid w:val="0"/>
              </w:rPr>
              <w:t xml:space="preserve">was </w:t>
            </w:r>
            <w:r>
              <w:rPr>
                <w:rFonts w:eastAsia="Calibri"/>
                <w:snapToGrid w:val="0"/>
              </w:rPr>
              <w:t xml:space="preserve">relevant for </w:t>
            </w:r>
            <w:r w:rsidR="00895086">
              <w:rPr>
                <w:rFonts w:eastAsia="Calibri"/>
                <w:snapToGrid w:val="0"/>
              </w:rPr>
              <w:t>Population 2</w:t>
            </w:r>
            <w:r>
              <w:rPr>
                <w:rFonts w:eastAsia="Calibri"/>
                <w:snapToGrid w:val="0"/>
              </w:rPr>
              <w:t>.</w:t>
            </w:r>
          </w:p>
          <w:p w14:paraId="333B9179" w14:textId="198731E2" w:rsidR="00623E2D" w:rsidRDefault="00623E2D" w:rsidP="00121F5E">
            <w:pPr>
              <w:pStyle w:val="Tabletext0"/>
              <w:rPr>
                <w:rFonts w:cstheme="minorHAnsi"/>
                <w:color w:val="000000"/>
              </w:rPr>
            </w:pPr>
            <w:r>
              <w:rPr>
                <w:rFonts w:cstheme="minorHAnsi"/>
                <w:color w:val="000000"/>
              </w:rPr>
              <w:t>The HIGHPATH cohort study (</w:t>
            </w:r>
            <w:r>
              <w:rPr>
                <w:rFonts w:eastAsia="Calibri" w:cstheme="minorHAnsi"/>
              </w:rPr>
              <w:t>NCT</w:t>
            </w:r>
            <w:proofErr w:type="gramStart"/>
            <w:r>
              <w:rPr>
                <w:rFonts w:eastAsia="Calibri" w:cstheme="minorHAnsi"/>
              </w:rPr>
              <w:t>03734536</w:t>
            </w:r>
            <w:r>
              <w:rPr>
                <w:rFonts w:cstheme="minorHAnsi"/>
                <w:color w:val="000000"/>
              </w:rPr>
              <w:t>)</w:t>
            </w:r>
            <w:r w:rsidR="009655DB">
              <w:rPr>
                <w:rFonts w:cstheme="minorHAnsi"/>
                <w:color w:val="000000"/>
              </w:rPr>
              <w:t>*</w:t>
            </w:r>
            <w:proofErr w:type="gramEnd"/>
            <w:r>
              <w:rPr>
                <w:rFonts w:cstheme="minorHAnsi"/>
                <w:color w:val="000000"/>
              </w:rPr>
              <w:t xml:space="preserve"> was not presented as it was terminated by the sponsor due to business reasons not related to patient safety.</w:t>
            </w:r>
          </w:p>
          <w:p w14:paraId="0F489432" w14:textId="510684E4" w:rsidR="00623E2D" w:rsidRDefault="00623E2D" w:rsidP="00121F5E">
            <w:pPr>
              <w:pStyle w:val="Tabletext0"/>
              <w:rPr>
                <w:rFonts w:eastAsiaTheme="minorHAnsi" w:cstheme="minorBidi"/>
                <w:color w:val="258221"/>
              </w:rPr>
            </w:pPr>
            <w:r>
              <w:rPr>
                <w:rFonts w:cstheme="minorHAnsi"/>
                <w:color w:val="000000"/>
              </w:rPr>
              <w:t xml:space="preserve">The commentary noted several issues in the clinical evidence provided in the ADAR and these </w:t>
            </w:r>
            <w:r w:rsidR="006909FF">
              <w:rPr>
                <w:rFonts w:cstheme="minorHAnsi"/>
                <w:color w:val="000000"/>
              </w:rPr>
              <w:t>we</w:t>
            </w:r>
            <w:r w:rsidR="00AE4A3D">
              <w:rPr>
                <w:rFonts w:cstheme="minorHAnsi"/>
                <w:color w:val="000000"/>
              </w:rPr>
              <w:t>re</w:t>
            </w:r>
            <w:r>
              <w:rPr>
                <w:rFonts w:cstheme="minorHAnsi"/>
                <w:color w:val="000000"/>
              </w:rPr>
              <w:t xml:space="preserve"> discussed in detail in relevant sections. Thus, the commentary </w:t>
            </w:r>
            <w:r w:rsidR="00A96C9B">
              <w:rPr>
                <w:rFonts w:cstheme="minorHAnsi"/>
                <w:color w:val="000000"/>
              </w:rPr>
              <w:t xml:space="preserve">considered </w:t>
            </w:r>
            <w:r>
              <w:rPr>
                <w:rFonts w:cstheme="minorHAnsi"/>
                <w:color w:val="000000"/>
              </w:rPr>
              <w:t xml:space="preserve">that the clinical evidence provided in this ADAR </w:t>
            </w:r>
            <w:r w:rsidR="00A96C9B">
              <w:rPr>
                <w:rFonts w:cstheme="minorHAnsi"/>
                <w:color w:val="000000"/>
              </w:rPr>
              <w:t xml:space="preserve">was </w:t>
            </w:r>
            <w:r>
              <w:rPr>
                <w:rFonts w:cstheme="minorHAnsi"/>
                <w:color w:val="000000"/>
              </w:rPr>
              <w:t>also uncertain.</w:t>
            </w:r>
          </w:p>
        </w:tc>
      </w:tr>
      <w:tr w:rsidR="00623E2D" w14:paraId="7CF3DE3E" w14:textId="77777777" w:rsidTr="00D6582E">
        <w:tc>
          <w:tcPr>
            <w:tcW w:w="625" w:type="pct"/>
            <w:vMerge/>
            <w:tcBorders>
              <w:left w:val="single" w:sz="4" w:space="0" w:color="auto"/>
              <w:right w:val="single" w:sz="4" w:space="0" w:color="auto"/>
            </w:tcBorders>
          </w:tcPr>
          <w:p w14:paraId="710FF11C" w14:textId="77777777" w:rsidR="00623E2D" w:rsidRDefault="00623E2D" w:rsidP="00121F5E">
            <w:pPr>
              <w:pStyle w:val="Tabletext0"/>
              <w:rPr>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0BA1BFFA" w14:textId="70A4DBD2" w:rsidR="00623E2D" w:rsidRDefault="00623E2D" w:rsidP="00121F5E">
            <w:pPr>
              <w:pStyle w:val="Tabletext0"/>
              <w:rPr>
                <w:rFonts w:cs="Arial"/>
                <w:snapToGrid w:val="0"/>
                <w:color w:val="258221"/>
              </w:rPr>
            </w:pPr>
            <w:r>
              <w:rPr>
                <w:rFonts w:eastAsia="Calibri" w:cstheme="minorHAnsi"/>
                <w:snapToGrid w:val="0"/>
              </w:rPr>
              <w:t>MSAC and ESC noted that the ADAR relied on low-quality evidence from na</w:t>
            </w:r>
            <w:r w:rsidR="00555014">
              <w:rPr>
                <w:rFonts w:eastAsia="Calibri" w:cstheme="minorHAnsi"/>
                <w:snapToGrid w:val="0"/>
              </w:rPr>
              <w:t>ï</w:t>
            </w:r>
            <w:r>
              <w:rPr>
                <w:rFonts w:eastAsia="Calibri" w:cstheme="minorHAnsi"/>
                <w:snapToGrid w:val="0"/>
              </w:rPr>
              <w:t xml:space="preserve">ve indirect comparisons </w:t>
            </w:r>
            <w:r w:rsidR="008875B5">
              <w:rPr>
                <w:rFonts w:eastAsia="Calibri" w:cstheme="minorHAnsi"/>
                <w:snapToGrid w:val="0"/>
              </w:rPr>
              <w:t>for</w:t>
            </w:r>
            <w:r>
              <w:rPr>
                <w:rFonts w:eastAsia="Calibri" w:cstheme="minorHAnsi"/>
                <w:snapToGrid w:val="0"/>
              </w:rPr>
              <w:t xml:space="preserve"> the comparative effectiveness and safety of REGENETEN versus standard surgery in both populations (p</w:t>
            </w:r>
            <w:r w:rsidR="007E2318">
              <w:rPr>
                <w:rFonts w:eastAsia="Calibri" w:cstheme="minorHAnsi"/>
                <w:snapToGrid w:val="0"/>
              </w:rPr>
              <w:t>g</w:t>
            </w:r>
            <w:r>
              <w:rPr>
                <w:rFonts w:eastAsia="Calibri" w:cstheme="minorHAnsi"/>
                <w:snapToGrid w:val="0"/>
              </w:rPr>
              <w:t>2</w:t>
            </w:r>
            <w:r w:rsidR="00357149">
              <w:rPr>
                <w:rFonts w:eastAsia="Calibri" w:cstheme="minorHAnsi"/>
                <w:snapToGrid w:val="0"/>
              </w:rPr>
              <w:t>,</w:t>
            </w:r>
            <w:r w:rsidR="00357149">
              <w:t xml:space="preserve"> </w:t>
            </w:r>
            <w:r w:rsidR="00357149" w:rsidRPr="00357149">
              <w:rPr>
                <w:rFonts w:eastAsia="Calibri" w:cstheme="minorHAnsi"/>
                <w:snapToGrid w:val="0"/>
              </w:rPr>
              <w:t>PSD for MSAC application 1593, July 2020 MSAC meeting</w:t>
            </w:r>
            <w:r>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574E9696" w14:textId="77777777" w:rsidR="00623E2D" w:rsidRDefault="00623E2D" w:rsidP="00121F5E">
            <w:pPr>
              <w:pStyle w:val="Tabletext0"/>
              <w:rPr>
                <w:color w:val="258221"/>
                <w:szCs w:val="22"/>
                <w:lang w:eastAsia="en-US"/>
              </w:rPr>
            </w:pPr>
          </w:p>
        </w:tc>
      </w:tr>
      <w:tr w:rsidR="00623E2D" w14:paraId="364F66A7" w14:textId="77777777" w:rsidTr="00D6582E">
        <w:tc>
          <w:tcPr>
            <w:tcW w:w="625" w:type="pct"/>
            <w:vMerge/>
            <w:tcBorders>
              <w:left w:val="single" w:sz="4" w:space="0" w:color="auto"/>
              <w:right w:val="single" w:sz="4" w:space="0" w:color="auto"/>
            </w:tcBorders>
          </w:tcPr>
          <w:p w14:paraId="32A1E3FD"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07B4374E" w14:textId="7F920B4F" w:rsidR="00623E2D" w:rsidRDefault="00623E2D" w:rsidP="00121F5E">
            <w:pPr>
              <w:pStyle w:val="Tabletext0"/>
              <w:rPr>
                <w:rFonts w:cs="Arial"/>
                <w:snapToGrid w:val="0"/>
                <w:color w:val="258221"/>
              </w:rPr>
            </w:pPr>
            <w:r>
              <w:rPr>
                <w:rFonts w:eastAsia="Calibri" w:cstheme="minorHAnsi"/>
              </w:rPr>
              <w:t xml:space="preserve">MSAC noted the upcoming cohort study that would provide comparative evidence of REGENETEN vs. standard surgery in PTRCT (NCT03734536) </w:t>
            </w:r>
            <w:r>
              <w:rPr>
                <w:rFonts w:eastAsia="Calibri" w:cstheme="minorHAnsi"/>
                <w:snapToGrid w:val="0"/>
              </w:rPr>
              <w:t>(p</w:t>
            </w:r>
            <w:r w:rsidR="007E2318">
              <w:rPr>
                <w:rFonts w:eastAsia="Calibri" w:cstheme="minorHAnsi"/>
                <w:snapToGrid w:val="0"/>
              </w:rPr>
              <w:t>g</w:t>
            </w:r>
            <w:r>
              <w:rPr>
                <w:rFonts w:eastAsia="Calibri" w:cstheme="minorHAnsi"/>
                <w:snapToGrid w:val="0"/>
              </w:rPr>
              <w:t>4</w:t>
            </w:r>
            <w:r w:rsidR="00357149">
              <w:rPr>
                <w:rFonts w:eastAsia="Calibri" w:cstheme="minorHAnsi"/>
                <w:snapToGrid w:val="0"/>
              </w:rPr>
              <w:t>, PSD for MSAC application 1593, July 2020 MSAC meeting</w:t>
            </w:r>
            <w:r>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27BA6F5F" w14:textId="77777777" w:rsidR="00623E2D" w:rsidRDefault="00623E2D" w:rsidP="00121F5E">
            <w:pPr>
              <w:pStyle w:val="Tabletext0"/>
              <w:rPr>
                <w:color w:val="258221"/>
                <w:szCs w:val="22"/>
                <w:lang w:eastAsia="en-US"/>
              </w:rPr>
            </w:pPr>
          </w:p>
        </w:tc>
      </w:tr>
      <w:tr w:rsidR="00623E2D" w14:paraId="62E77481" w14:textId="77777777" w:rsidTr="00D6582E">
        <w:tc>
          <w:tcPr>
            <w:tcW w:w="625" w:type="pct"/>
            <w:vMerge/>
            <w:tcBorders>
              <w:left w:val="single" w:sz="4" w:space="0" w:color="auto"/>
              <w:right w:val="single" w:sz="4" w:space="0" w:color="auto"/>
            </w:tcBorders>
          </w:tcPr>
          <w:p w14:paraId="1F21F806"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7534D279" w14:textId="54134D0B" w:rsidR="00623E2D" w:rsidRDefault="00623E2D" w:rsidP="00121F5E">
            <w:pPr>
              <w:pStyle w:val="Tabletext0"/>
              <w:rPr>
                <w:rFonts w:cs="Arial"/>
                <w:snapToGrid w:val="0"/>
                <w:color w:val="258221"/>
              </w:rPr>
            </w:pPr>
            <w:r>
              <w:rPr>
                <w:rFonts w:eastAsia="Calibri" w:cstheme="minorHAnsi"/>
              </w:rPr>
              <w:t xml:space="preserve">REGENETEN studies had small sample sizes </w:t>
            </w:r>
            <w:r>
              <w:rPr>
                <w:rFonts w:eastAsia="Calibri" w:cstheme="minorHAnsi"/>
                <w:snapToGrid w:val="0"/>
              </w:rPr>
              <w:t>(</w:t>
            </w:r>
            <w:r w:rsidR="007E2318">
              <w:rPr>
                <w:rFonts w:eastAsia="Calibri" w:cstheme="minorHAnsi"/>
                <w:snapToGrid w:val="0"/>
              </w:rPr>
              <w:t>pg</w:t>
            </w:r>
            <w:r>
              <w:rPr>
                <w:rFonts w:eastAsia="Calibri" w:cstheme="minorHAnsi"/>
                <w:snapToGrid w:val="0"/>
              </w:rPr>
              <w:t>2</w:t>
            </w:r>
            <w:r w:rsidR="00357149">
              <w:rPr>
                <w:rFonts w:eastAsia="Calibri" w:cstheme="minorHAnsi"/>
                <w:snapToGrid w:val="0"/>
              </w:rPr>
              <w:t>, PSD for MSAC application 1593, July 2020 MSAC meeting</w:t>
            </w:r>
            <w:r>
              <w:rPr>
                <w:rFonts w:eastAsia="Calibri" w:cstheme="minorHAnsi"/>
                <w:snapToGrid w:val="0"/>
              </w:rPr>
              <w:t>).</w:t>
            </w:r>
          </w:p>
        </w:tc>
        <w:tc>
          <w:tcPr>
            <w:tcW w:w="2188" w:type="pct"/>
            <w:tcBorders>
              <w:top w:val="single" w:sz="4" w:space="0" w:color="auto"/>
              <w:left w:val="single" w:sz="4" w:space="0" w:color="auto"/>
              <w:bottom w:val="single" w:sz="4" w:space="0" w:color="auto"/>
              <w:right w:val="single" w:sz="4" w:space="0" w:color="auto"/>
            </w:tcBorders>
            <w:hideMark/>
          </w:tcPr>
          <w:p w14:paraId="067B5310" w14:textId="77777777" w:rsidR="00623E2D" w:rsidRDefault="00623E2D" w:rsidP="00121F5E">
            <w:pPr>
              <w:pStyle w:val="Tabletext0"/>
              <w:rPr>
                <w:rFonts w:eastAsiaTheme="minorHAnsi" w:cstheme="minorBidi"/>
                <w:color w:val="000000" w:themeColor="text1"/>
              </w:rPr>
            </w:pPr>
            <w:r>
              <w:rPr>
                <w:color w:val="000000" w:themeColor="text1"/>
              </w:rPr>
              <w:t xml:space="preserve">Partially addressed. </w:t>
            </w:r>
          </w:p>
          <w:p w14:paraId="442E3DE4" w14:textId="037F7F0F" w:rsidR="00623E2D" w:rsidRDefault="00623E2D" w:rsidP="00121F5E">
            <w:pPr>
              <w:pStyle w:val="Tabletext0"/>
              <w:rPr>
                <w:color w:val="000000" w:themeColor="text1"/>
              </w:rPr>
            </w:pPr>
            <w:r>
              <w:rPr>
                <w:color w:val="000000" w:themeColor="text1"/>
              </w:rPr>
              <w:t>The ADAR provided evidence based on the three new RCTs with following sample sizes</w:t>
            </w:r>
            <w:r w:rsidR="006D479E">
              <w:rPr>
                <w:color w:val="000000" w:themeColor="text1"/>
              </w:rPr>
              <w:t>:</w:t>
            </w:r>
          </w:p>
          <w:p w14:paraId="3D092CB2" w14:textId="08641964" w:rsidR="00623E2D" w:rsidRDefault="00623E2D" w:rsidP="00121F5E">
            <w:pPr>
              <w:pStyle w:val="Tabletext0"/>
              <w:rPr>
                <w:color w:val="000000" w:themeColor="text1"/>
              </w:rPr>
            </w:pPr>
            <w:r>
              <w:rPr>
                <w:color w:val="000000" w:themeColor="text1"/>
              </w:rPr>
              <w:t>Wang et al.,2023</w:t>
            </w:r>
            <w:r w:rsidR="00067657">
              <w:rPr>
                <w:color w:val="000000" w:themeColor="text1"/>
              </w:rPr>
              <w:t xml:space="preserve"> </w:t>
            </w:r>
            <w:r>
              <w:rPr>
                <w:color w:val="000000" w:themeColor="text1"/>
              </w:rPr>
              <w:t>- Sample size of 29</w:t>
            </w:r>
          </w:p>
          <w:p w14:paraId="24046C7A" w14:textId="5713F93B" w:rsidR="00623E2D" w:rsidRDefault="00623E2D" w:rsidP="00121F5E">
            <w:pPr>
              <w:pStyle w:val="Tabletext0"/>
              <w:rPr>
                <w:color w:val="000000" w:themeColor="text1"/>
              </w:rPr>
            </w:pPr>
            <w:r>
              <w:rPr>
                <w:color w:val="000000" w:themeColor="text1"/>
              </w:rPr>
              <w:t>Camacho-Chacon et al.,2023 - Sample size of 60</w:t>
            </w:r>
          </w:p>
          <w:p w14:paraId="3019A54E" w14:textId="0224FE11" w:rsidR="00623E2D" w:rsidRDefault="00623E2D" w:rsidP="00191180">
            <w:pPr>
              <w:pStyle w:val="Tabletext0"/>
              <w:rPr>
                <w:color w:val="258221"/>
              </w:rPr>
            </w:pPr>
            <w:r>
              <w:rPr>
                <w:color w:val="000000" w:themeColor="text1"/>
              </w:rPr>
              <w:t xml:space="preserve">Ruiz </w:t>
            </w:r>
            <w:proofErr w:type="spellStart"/>
            <w:r w:rsidR="00262ECD">
              <w:rPr>
                <w:color w:val="000000" w:themeColor="text1"/>
              </w:rPr>
              <w:t>Ibán</w:t>
            </w:r>
            <w:proofErr w:type="spellEnd"/>
            <w:r>
              <w:rPr>
                <w:color w:val="000000" w:themeColor="text1"/>
              </w:rPr>
              <w:t xml:space="preserve"> et al.,2023 -</w:t>
            </w:r>
            <w:r w:rsidR="00067657">
              <w:rPr>
                <w:color w:val="000000" w:themeColor="text1"/>
              </w:rPr>
              <w:t xml:space="preserve"> </w:t>
            </w:r>
            <w:r>
              <w:rPr>
                <w:color w:val="000000" w:themeColor="text1"/>
              </w:rPr>
              <w:t>Sample Size of 124</w:t>
            </w:r>
          </w:p>
        </w:tc>
      </w:tr>
      <w:tr w:rsidR="00623E2D" w14:paraId="6626C6FD" w14:textId="77777777" w:rsidTr="00D6582E">
        <w:tc>
          <w:tcPr>
            <w:tcW w:w="625" w:type="pct"/>
            <w:vMerge/>
            <w:tcBorders>
              <w:left w:val="single" w:sz="4" w:space="0" w:color="auto"/>
              <w:right w:val="single" w:sz="4" w:space="0" w:color="auto"/>
            </w:tcBorders>
          </w:tcPr>
          <w:p w14:paraId="646D6A87" w14:textId="77777777" w:rsidR="00623E2D" w:rsidRDefault="00623E2D" w:rsidP="00121F5E">
            <w:pPr>
              <w:pStyle w:val="Tabletext0"/>
              <w:rPr>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549CABF0" w14:textId="73E2F3BD" w:rsidR="00623E2D" w:rsidRDefault="00623E2D" w:rsidP="00121F5E">
            <w:pPr>
              <w:pStyle w:val="Tabletext0"/>
              <w:rPr>
                <w:rFonts w:cs="Arial"/>
                <w:snapToGrid w:val="0"/>
                <w:color w:val="258221"/>
              </w:rPr>
            </w:pPr>
            <w:r>
              <w:rPr>
                <w:rFonts w:eastAsia="Calibri" w:cstheme="minorHAnsi"/>
                <w:snapToGrid w:val="0"/>
              </w:rPr>
              <w:t xml:space="preserve">MSAC noted that the </w:t>
            </w:r>
            <w:r w:rsidR="00135B9E">
              <w:rPr>
                <w:rFonts w:eastAsia="Calibri" w:cstheme="minorHAnsi"/>
                <w:snapToGrid w:val="0"/>
              </w:rPr>
              <w:t xml:space="preserve">naïve </w:t>
            </w:r>
            <w:r>
              <w:rPr>
                <w:rFonts w:eastAsia="Calibri" w:cstheme="minorHAnsi"/>
                <w:snapToGrid w:val="0"/>
              </w:rPr>
              <w:t xml:space="preserve">indirect comparisons did not have a common comparator and were not </w:t>
            </w:r>
            <w:r>
              <w:rPr>
                <w:rFonts w:eastAsia="Calibri" w:cstheme="minorHAnsi"/>
              </w:rPr>
              <w:t xml:space="preserve">adjusted </w:t>
            </w:r>
            <w:r>
              <w:rPr>
                <w:rFonts w:eastAsia="Calibri" w:cstheme="minorHAnsi"/>
                <w:snapToGrid w:val="0"/>
              </w:rPr>
              <w:t>(p</w:t>
            </w:r>
            <w:r w:rsidR="007E2318">
              <w:rPr>
                <w:rFonts w:eastAsia="Calibri" w:cstheme="minorHAnsi"/>
                <w:snapToGrid w:val="0"/>
              </w:rPr>
              <w:t>g</w:t>
            </w:r>
            <w:r>
              <w:rPr>
                <w:rFonts w:eastAsia="Calibri" w:cstheme="minorHAnsi"/>
                <w:snapToGrid w:val="0"/>
              </w:rPr>
              <w:t>2-3</w:t>
            </w:r>
            <w:r w:rsidR="00357149">
              <w:rPr>
                <w:rFonts w:eastAsia="Calibri" w:cstheme="minorHAnsi"/>
                <w:snapToGrid w:val="0"/>
              </w:rPr>
              <w:t>, PSD for MSAC application 1593, July 2020 MSAC meeting</w:t>
            </w:r>
            <w:r>
              <w:rPr>
                <w:rFonts w:eastAsia="Calibri" w:cstheme="minorHAnsi"/>
                <w:snapToGrid w:val="0"/>
              </w:rPr>
              <w:t>).</w:t>
            </w:r>
          </w:p>
        </w:tc>
        <w:tc>
          <w:tcPr>
            <w:tcW w:w="2188" w:type="pct"/>
            <w:tcBorders>
              <w:top w:val="single" w:sz="4" w:space="0" w:color="auto"/>
              <w:left w:val="single" w:sz="4" w:space="0" w:color="auto"/>
              <w:bottom w:val="single" w:sz="4" w:space="0" w:color="auto"/>
              <w:right w:val="single" w:sz="4" w:space="0" w:color="auto"/>
            </w:tcBorders>
            <w:hideMark/>
          </w:tcPr>
          <w:p w14:paraId="197CE96F" w14:textId="77777777" w:rsidR="00623E2D" w:rsidRDefault="00623E2D" w:rsidP="00121F5E">
            <w:pPr>
              <w:pStyle w:val="Tabletext0"/>
              <w:rPr>
                <w:rFonts w:eastAsia="Calibri" w:cstheme="minorHAnsi"/>
                <w:snapToGrid w:val="0"/>
              </w:rPr>
            </w:pPr>
            <w:r>
              <w:rPr>
                <w:rFonts w:eastAsia="Calibri" w:cstheme="minorHAnsi"/>
                <w:snapToGrid w:val="0"/>
              </w:rPr>
              <w:t>Addressed.</w:t>
            </w:r>
          </w:p>
          <w:p w14:paraId="68141998" w14:textId="022A66F2" w:rsidR="00623E2D" w:rsidRDefault="00623E2D" w:rsidP="00121F5E">
            <w:pPr>
              <w:pStyle w:val="Tabletext0"/>
              <w:rPr>
                <w:rFonts w:eastAsiaTheme="minorHAnsi" w:cstheme="minorBidi"/>
                <w:color w:val="258221"/>
              </w:rPr>
            </w:pPr>
            <w:r>
              <w:rPr>
                <w:rFonts w:eastAsia="Calibri" w:cstheme="minorHAnsi"/>
                <w:snapToGrid w:val="0"/>
              </w:rPr>
              <w:t>Data presented in the ADAR from 3 RCTs that provide</w:t>
            </w:r>
            <w:r w:rsidR="00497004">
              <w:rPr>
                <w:rFonts w:eastAsia="Calibri" w:cstheme="minorHAnsi"/>
                <w:snapToGrid w:val="0"/>
              </w:rPr>
              <w:t>d</w:t>
            </w:r>
            <w:r>
              <w:rPr>
                <w:rFonts w:eastAsia="Calibri" w:cstheme="minorHAnsi"/>
                <w:snapToGrid w:val="0"/>
              </w:rPr>
              <w:t xml:space="preserve"> direct comparison with standard of care</w:t>
            </w:r>
            <w:r w:rsidR="008C2266">
              <w:rPr>
                <w:rFonts w:eastAsia="Calibri" w:cstheme="minorHAnsi"/>
                <w:snapToGrid w:val="0"/>
              </w:rPr>
              <w:t xml:space="preserve"> (i.e. surgery)</w:t>
            </w:r>
            <w:r>
              <w:rPr>
                <w:rFonts w:eastAsia="Calibri" w:cstheme="minorHAnsi"/>
                <w:snapToGrid w:val="0"/>
              </w:rPr>
              <w:t>.</w:t>
            </w:r>
          </w:p>
        </w:tc>
      </w:tr>
      <w:tr w:rsidR="00623E2D" w14:paraId="512E15AF" w14:textId="77777777" w:rsidTr="00D6582E">
        <w:tc>
          <w:tcPr>
            <w:tcW w:w="625" w:type="pct"/>
            <w:vMerge/>
            <w:tcBorders>
              <w:left w:val="single" w:sz="4" w:space="0" w:color="auto"/>
              <w:right w:val="single" w:sz="4" w:space="0" w:color="auto"/>
            </w:tcBorders>
          </w:tcPr>
          <w:p w14:paraId="78ACD1E4" w14:textId="77777777" w:rsidR="00623E2D" w:rsidRDefault="00623E2D" w:rsidP="00121F5E">
            <w:pPr>
              <w:pStyle w:val="Tabletext0"/>
              <w:rPr>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18FD0CF2" w14:textId="00E9E30A" w:rsidR="00623E2D" w:rsidRDefault="00623E2D" w:rsidP="00121F5E">
            <w:pPr>
              <w:pStyle w:val="Tabletext0"/>
              <w:rPr>
                <w:rFonts w:cs="Arial"/>
                <w:snapToGrid w:val="0"/>
                <w:color w:val="258221"/>
              </w:rPr>
            </w:pPr>
            <w:r>
              <w:rPr>
                <w:rFonts w:eastAsia="Calibri" w:cstheme="minorHAnsi"/>
              </w:rPr>
              <w:t xml:space="preserve">MSAC also noted that the imaging results were problematic due to the lack of definitions for “retear,” “incomplete healing” and “treatment failure” </w:t>
            </w:r>
            <w:r>
              <w:rPr>
                <w:rFonts w:eastAsia="Calibri" w:cstheme="minorHAnsi"/>
                <w:snapToGrid w:val="0"/>
              </w:rPr>
              <w:t>(p</w:t>
            </w:r>
            <w:r w:rsidR="007E2318">
              <w:rPr>
                <w:rFonts w:eastAsia="Calibri" w:cstheme="minorHAnsi"/>
                <w:snapToGrid w:val="0"/>
              </w:rPr>
              <w:t>g</w:t>
            </w:r>
            <w:r>
              <w:rPr>
                <w:rFonts w:eastAsia="Calibri" w:cstheme="minorHAnsi"/>
                <w:snapToGrid w:val="0"/>
              </w:rPr>
              <w:t>3</w:t>
            </w:r>
            <w:r w:rsidR="00357149">
              <w:rPr>
                <w:rFonts w:eastAsia="Calibri" w:cstheme="minorHAnsi"/>
                <w:snapToGrid w:val="0"/>
              </w:rPr>
              <w:t>, PSD for MSAC application 1593, July 2020 MSAC meeting</w:t>
            </w:r>
            <w:r>
              <w:rPr>
                <w:rFonts w:eastAsia="Calibri" w:cstheme="minorHAnsi"/>
                <w:snapToGrid w:val="0"/>
              </w:rPr>
              <w:t xml:space="preserve">). </w:t>
            </w:r>
          </w:p>
        </w:tc>
        <w:tc>
          <w:tcPr>
            <w:tcW w:w="2188" w:type="pct"/>
            <w:vMerge w:val="restart"/>
            <w:tcBorders>
              <w:top w:val="single" w:sz="4" w:space="0" w:color="auto"/>
              <w:left w:val="single" w:sz="4" w:space="0" w:color="auto"/>
              <w:bottom w:val="single" w:sz="4" w:space="0" w:color="auto"/>
              <w:right w:val="single" w:sz="4" w:space="0" w:color="auto"/>
            </w:tcBorders>
            <w:hideMark/>
          </w:tcPr>
          <w:p w14:paraId="3EE64FCB" w14:textId="77777777" w:rsidR="00623E2D" w:rsidRDefault="00623E2D" w:rsidP="00121F5E">
            <w:pPr>
              <w:pStyle w:val="Tabletext0"/>
              <w:rPr>
                <w:rFonts w:eastAsia="Calibri" w:cstheme="minorHAnsi"/>
                <w:snapToGrid w:val="0"/>
              </w:rPr>
            </w:pPr>
            <w:r>
              <w:rPr>
                <w:rFonts w:eastAsia="Calibri" w:cstheme="minorHAnsi"/>
                <w:snapToGrid w:val="0"/>
              </w:rPr>
              <w:t xml:space="preserve">Partially addressed. </w:t>
            </w:r>
          </w:p>
          <w:p w14:paraId="248FFB36" w14:textId="3AE0DBAA" w:rsidR="00623E2D" w:rsidRDefault="00623E2D" w:rsidP="00121F5E">
            <w:pPr>
              <w:pStyle w:val="Tabletext0"/>
              <w:rPr>
                <w:rFonts w:eastAsia="Calibri" w:cstheme="minorHAnsi"/>
                <w:snapToGrid w:val="0"/>
              </w:rPr>
            </w:pPr>
            <w:r>
              <w:rPr>
                <w:rFonts w:eastAsia="Calibri" w:cstheme="minorHAnsi"/>
                <w:snapToGrid w:val="0"/>
              </w:rPr>
              <w:t xml:space="preserve">The literature suggests that there is still controversy around the lack of definition for “retear,” “incomplete healing” and “treatment failure”. </w:t>
            </w:r>
          </w:p>
          <w:p w14:paraId="42A4FFA3" w14:textId="1738BD0B" w:rsidR="00623E2D" w:rsidRDefault="00623E2D" w:rsidP="00121F5E">
            <w:pPr>
              <w:pStyle w:val="Tabletext0"/>
              <w:rPr>
                <w:rFonts w:eastAsia="Calibri" w:cstheme="minorHAnsi"/>
                <w:snapToGrid w:val="0"/>
              </w:rPr>
            </w:pPr>
            <w:r>
              <w:rPr>
                <w:rFonts w:eastAsia="Calibri" w:cstheme="minorHAnsi"/>
                <w:snapToGrid w:val="0"/>
              </w:rPr>
              <w:t xml:space="preserve">The ADAR approximated “tear fail to heal” to “retear rate” reported in RCTs. Of note, the ADAR did not </w:t>
            </w:r>
            <w:r>
              <w:rPr>
                <w:rFonts w:eastAsia="Calibri" w:cstheme="minorHAnsi"/>
                <w:snapToGrid w:val="0"/>
              </w:rPr>
              <w:lastRenderedPageBreak/>
              <w:t>provide justification for using “tear fail to heal” as “retear rate”. However, the commentary identified this as in line with the literature*</w:t>
            </w:r>
            <w:r w:rsidR="009655DB">
              <w:rPr>
                <w:rFonts w:eastAsia="Calibri" w:cstheme="minorHAnsi"/>
                <w:snapToGrid w:val="0"/>
              </w:rPr>
              <w:t>*</w:t>
            </w:r>
            <w:r>
              <w:rPr>
                <w:rFonts w:eastAsia="Calibri" w:cstheme="minorHAnsi"/>
                <w:snapToGrid w:val="0"/>
              </w:rPr>
              <w:t>.</w:t>
            </w:r>
          </w:p>
          <w:p w14:paraId="4EEFF2D2" w14:textId="77777777" w:rsidR="00623E2D" w:rsidRDefault="00623E2D" w:rsidP="00121F5E">
            <w:pPr>
              <w:pStyle w:val="Tabletext0"/>
              <w:rPr>
                <w:rFonts w:eastAsia="Calibri" w:cstheme="minorHAnsi"/>
                <w:snapToGrid w:val="0"/>
              </w:rPr>
            </w:pPr>
            <w:r>
              <w:rPr>
                <w:rFonts w:eastAsia="Calibri" w:cstheme="minorHAnsi"/>
                <w:snapToGrid w:val="0"/>
              </w:rPr>
              <w:t>Further, the ADAR provided evidence related to retear rates based on the industry standard Sugaya scoring system to assess imaging results. The Sugaya classification is the most common system used to evaluate rotator cuff repair.</w:t>
            </w:r>
          </w:p>
          <w:p w14:paraId="66433DA0" w14:textId="35DFC640" w:rsidR="00623E2D" w:rsidRDefault="00623E2D" w:rsidP="00121F5E">
            <w:pPr>
              <w:pStyle w:val="Tabletext0"/>
              <w:rPr>
                <w:rFonts w:eastAsia="Calibri" w:cstheme="minorHAnsi"/>
                <w:snapToGrid w:val="0"/>
              </w:rPr>
            </w:pPr>
            <w:r>
              <w:rPr>
                <w:rFonts w:eastAsia="Calibri" w:cstheme="minorHAnsi"/>
                <w:snapToGrid w:val="0"/>
              </w:rPr>
              <w:t xml:space="preserve">No evidence was provided to support correlating imaging results with patient-reported </w:t>
            </w:r>
            <w:r w:rsidR="00AE4A3D">
              <w:rPr>
                <w:rFonts w:eastAsia="Calibri" w:cstheme="minorHAnsi"/>
                <w:snapToGrid w:val="0"/>
              </w:rPr>
              <w:t>outcomes.</w:t>
            </w:r>
            <w:r>
              <w:rPr>
                <w:rFonts w:eastAsia="Calibri" w:cstheme="minorHAnsi"/>
                <w:snapToGrid w:val="0"/>
              </w:rPr>
              <w:t xml:space="preserve">  </w:t>
            </w:r>
          </w:p>
          <w:p w14:paraId="3CA00D13" w14:textId="77777777" w:rsidR="00623E2D" w:rsidRDefault="00623E2D" w:rsidP="00121F5E">
            <w:pPr>
              <w:pStyle w:val="Tabletext0"/>
              <w:rPr>
                <w:rFonts w:eastAsia="Calibri" w:cstheme="minorHAnsi"/>
                <w:snapToGrid w:val="0"/>
              </w:rPr>
            </w:pPr>
            <w:r>
              <w:rPr>
                <w:rFonts w:eastAsia="Calibri" w:cstheme="minorHAnsi"/>
                <w:snapToGrid w:val="0"/>
              </w:rPr>
              <w:t xml:space="preserve">The ADAR provided evidence related to pain reduction, function and adverse events based on RCTs. </w:t>
            </w:r>
          </w:p>
          <w:p w14:paraId="63226598" w14:textId="1CC6C7CD" w:rsidR="00623E2D" w:rsidRDefault="00623E2D" w:rsidP="00121F5E">
            <w:pPr>
              <w:pStyle w:val="Tabletext0"/>
              <w:rPr>
                <w:rFonts w:eastAsia="Calibri" w:cstheme="minorHAnsi"/>
                <w:snapToGrid w:val="0"/>
              </w:rPr>
            </w:pPr>
            <w:r>
              <w:rPr>
                <w:rFonts w:eastAsia="Calibri" w:cstheme="minorHAnsi"/>
                <w:snapToGrid w:val="0"/>
              </w:rPr>
              <w:t xml:space="preserve">The evidence suggests superiority of effectiveness in </w:t>
            </w:r>
            <w:r w:rsidR="00AE4A3D">
              <w:rPr>
                <w:rFonts w:eastAsia="Calibri" w:cstheme="minorHAnsi"/>
                <w:snapToGrid w:val="0"/>
              </w:rPr>
              <w:t>imaging-based</w:t>
            </w:r>
            <w:r>
              <w:rPr>
                <w:rFonts w:eastAsia="Calibri" w:cstheme="minorHAnsi"/>
                <w:snapToGrid w:val="0"/>
              </w:rPr>
              <w:t xml:space="preserve"> outcomes such as retear rates. However, no significant differences were reported in improvement in patient</w:t>
            </w:r>
            <w:r w:rsidR="00DF0EAE">
              <w:rPr>
                <w:rFonts w:eastAsia="Calibri" w:cstheme="minorHAnsi"/>
                <w:snapToGrid w:val="0"/>
              </w:rPr>
              <w:t>-</w:t>
            </w:r>
            <w:r>
              <w:rPr>
                <w:rFonts w:eastAsia="Calibri" w:cstheme="minorHAnsi"/>
                <w:snapToGrid w:val="0"/>
              </w:rPr>
              <w:t>reported outcomes between groups for patients with FTRCTs.</w:t>
            </w:r>
          </w:p>
          <w:p w14:paraId="39A0744D" w14:textId="4275A904" w:rsidR="00623E2D" w:rsidRDefault="00623E2D" w:rsidP="00121F5E">
            <w:pPr>
              <w:pStyle w:val="Tabletext0"/>
              <w:rPr>
                <w:rFonts w:eastAsiaTheme="minorHAnsi" w:cstheme="minorBidi"/>
              </w:rPr>
            </w:pPr>
            <w:r>
              <w:rPr>
                <w:rFonts w:eastAsia="Calibri"/>
                <w:snapToGrid w:val="0"/>
              </w:rPr>
              <w:t>The interim results from the Wang</w:t>
            </w:r>
            <w:r w:rsidR="00067657">
              <w:rPr>
                <w:rFonts w:eastAsia="Calibri"/>
                <w:snapToGrid w:val="0"/>
              </w:rPr>
              <w:t xml:space="preserve"> et al.</w:t>
            </w:r>
            <w:r>
              <w:rPr>
                <w:rFonts w:eastAsia="Calibri"/>
                <w:snapToGrid w:val="0"/>
              </w:rPr>
              <w:t xml:space="preserve">, 2023) </w:t>
            </w:r>
            <w:r w:rsidR="003A0F7E">
              <w:rPr>
                <w:rFonts w:eastAsia="Calibri"/>
                <w:snapToGrid w:val="0"/>
              </w:rPr>
              <w:t>trial</w:t>
            </w:r>
            <w:r w:rsidR="00AC24CA">
              <w:rPr>
                <w:rFonts w:eastAsia="Calibri"/>
                <w:snapToGrid w:val="0"/>
              </w:rPr>
              <w:t xml:space="preserve"> </w:t>
            </w:r>
            <w:r w:rsidR="00067657">
              <w:rPr>
                <w:rFonts w:eastAsia="Calibri"/>
                <w:snapToGrid w:val="0"/>
              </w:rPr>
              <w:t>was</w:t>
            </w:r>
            <w:r>
              <w:rPr>
                <w:rFonts w:eastAsia="Calibri"/>
                <w:snapToGrid w:val="0"/>
              </w:rPr>
              <w:t xml:space="preserve"> based on </w:t>
            </w:r>
            <w:r w:rsidR="007650B6">
              <w:rPr>
                <w:rFonts w:eastAsia="Calibri"/>
                <w:snapToGrid w:val="0"/>
              </w:rPr>
              <w:t>three</w:t>
            </w:r>
            <w:r>
              <w:rPr>
                <w:rFonts w:eastAsia="Calibri"/>
                <w:snapToGrid w:val="0"/>
              </w:rPr>
              <w:t xml:space="preserve"> months follow up. The Camacho-Chacon et al., 2023 results were based on </w:t>
            </w:r>
            <w:r w:rsidR="00AC24CA">
              <w:rPr>
                <w:rFonts w:eastAsia="Calibri"/>
                <w:snapToGrid w:val="0"/>
              </w:rPr>
              <w:t>two-year</w:t>
            </w:r>
            <w:r>
              <w:rPr>
                <w:rFonts w:eastAsia="Calibri"/>
                <w:snapToGrid w:val="0"/>
              </w:rPr>
              <w:t xml:space="preserve"> </w:t>
            </w:r>
            <w:r w:rsidR="00AC24CA">
              <w:rPr>
                <w:rFonts w:eastAsia="Calibri" w:cstheme="minorHAnsi"/>
                <w:snapToGrid w:val="0"/>
              </w:rPr>
              <w:t>follow up</w:t>
            </w:r>
            <w:r>
              <w:rPr>
                <w:rFonts w:eastAsia="Calibri" w:cstheme="minorHAnsi"/>
                <w:snapToGrid w:val="0"/>
              </w:rPr>
              <w:t>.</w:t>
            </w:r>
            <w:r>
              <w:rPr>
                <w:rFonts w:cstheme="minorHAnsi"/>
              </w:rPr>
              <w:t xml:space="preserve"> The Ruiz </w:t>
            </w:r>
            <w:proofErr w:type="spellStart"/>
            <w:r w:rsidR="00262ECD">
              <w:rPr>
                <w:rFonts w:cstheme="minorHAnsi"/>
              </w:rPr>
              <w:t>Ibán</w:t>
            </w:r>
            <w:proofErr w:type="spellEnd"/>
            <w:r>
              <w:rPr>
                <w:rFonts w:cstheme="minorHAnsi"/>
              </w:rPr>
              <w:t xml:space="preserve"> et al.,2023 follow up was only </w:t>
            </w:r>
            <w:r w:rsidR="007650B6">
              <w:rPr>
                <w:rFonts w:cstheme="minorHAnsi"/>
              </w:rPr>
              <w:t>one</w:t>
            </w:r>
            <w:r>
              <w:rPr>
                <w:rFonts w:cstheme="minorHAnsi"/>
              </w:rPr>
              <w:t xml:space="preserve"> year. </w:t>
            </w:r>
            <w:r>
              <w:t>Therefore, long</w:t>
            </w:r>
            <w:r w:rsidR="00DF0EAE">
              <w:t>-</w:t>
            </w:r>
            <w:r>
              <w:t>term safety and effectiveness</w:t>
            </w:r>
            <w:r w:rsidR="003F0B2A">
              <w:t xml:space="preserve"> were</w:t>
            </w:r>
            <w:r>
              <w:t xml:space="preserve"> uncertain.</w:t>
            </w:r>
          </w:p>
          <w:p w14:paraId="5B9A8005" w14:textId="36E1E33C" w:rsidR="00623E2D" w:rsidRDefault="00623E2D" w:rsidP="00121F5E">
            <w:pPr>
              <w:pStyle w:val="Tabletext0"/>
              <w:rPr>
                <w:rFonts w:eastAsia="Calibri"/>
                <w:snapToGrid w:val="0"/>
              </w:rPr>
            </w:pPr>
            <w:r>
              <w:t xml:space="preserve">The ADAR provided comparative safety evidence other than revision surgery rates based on Ruiz </w:t>
            </w:r>
            <w:proofErr w:type="spellStart"/>
            <w:r w:rsidR="00262ECD">
              <w:t>Ibán</w:t>
            </w:r>
            <w:proofErr w:type="spellEnd"/>
            <w:r>
              <w:t xml:space="preserve"> et al.,2023 RCT for </w:t>
            </w:r>
            <w:r w:rsidR="00895086">
              <w:t>Population 2</w:t>
            </w:r>
            <w:r>
              <w:t>.</w:t>
            </w:r>
          </w:p>
        </w:tc>
      </w:tr>
      <w:tr w:rsidR="00623E2D" w14:paraId="5CFD424C" w14:textId="77777777" w:rsidTr="00D6582E">
        <w:tc>
          <w:tcPr>
            <w:tcW w:w="625" w:type="pct"/>
            <w:vMerge/>
            <w:tcBorders>
              <w:left w:val="single" w:sz="4" w:space="0" w:color="auto"/>
              <w:right w:val="single" w:sz="4" w:space="0" w:color="auto"/>
            </w:tcBorders>
          </w:tcPr>
          <w:p w14:paraId="7002BA8E" w14:textId="77777777" w:rsidR="00623E2D" w:rsidRDefault="00623E2D" w:rsidP="00121F5E">
            <w:pPr>
              <w:pStyle w:val="Tabletext0"/>
              <w:rPr>
                <w:rFonts w:eastAsiaTheme="minorHAns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33BBCD93" w14:textId="285AFA56" w:rsidR="00623E2D" w:rsidRDefault="00623E2D" w:rsidP="00121F5E">
            <w:pPr>
              <w:pStyle w:val="Tabletext0"/>
              <w:rPr>
                <w:rFonts w:cs="Arial"/>
                <w:snapToGrid w:val="0"/>
                <w:color w:val="258221"/>
              </w:rPr>
            </w:pPr>
            <w:r>
              <w:rPr>
                <w:rFonts w:eastAsia="Calibri" w:cstheme="minorHAnsi"/>
              </w:rPr>
              <w:t xml:space="preserve">MSAC considered using imaging results as the </w:t>
            </w:r>
            <w:r>
              <w:rPr>
                <w:rFonts w:eastAsia="Calibri" w:cstheme="minorHAnsi"/>
              </w:rPr>
              <w:lastRenderedPageBreak/>
              <w:t xml:space="preserve">primary outcome to be inappropriate, as there is no evidence to support correlating imaging results to PROs, or to predict a reduced rate of osteoarthritis </w:t>
            </w:r>
            <w:r>
              <w:rPr>
                <w:rFonts w:eastAsia="Calibri" w:cstheme="minorHAnsi"/>
                <w:snapToGrid w:val="0"/>
              </w:rPr>
              <w:t>(p</w:t>
            </w:r>
            <w:r w:rsidR="007E2318">
              <w:rPr>
                <w:rFonts w:eastAsia="Calibri" w:cstheme="minorHAnsi"/>
                <w:snapToGrid w:val="0"/>
              </w:rPr>
              <w:t>g</w:t>
            </w:r>
            <w:r>
              <w:rPr>
                <w:rFonts w:eastAsia="Calibri" w:cstheme="minorHAnsi"/>
                <w:snapToGrid w:val="0"/>
              </w:rPr>
              <w:t>3</w:t>
            </w:r>
            <w:r w:rsidR="00357149">
              <w:rPr>
                <w:rFonts w:eastAsia="Calibri" w:cstheme="minorHAnsi"/>
                <w:snapToGrid w:val="0"/>
              </w:rPr>
              <w:t>, PSD for MSAC application 1593, July 2020 MSAC meeting</w:t>
            </w:r>
            <w:r>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46CA6122" w14:textId="77777777" w:rsidR="00623E2D" w:rsidRDefault="00623E2D" w:rsidP="00121F5E">
            <w:pPr>
              <w:pStyle w:val="Tabletext0"/>
              <w:rPr>
                <w:rFonts w:eastAsia="Calibri"/>
                <w:snapToGrid w:val="0"/>
                <w:szCs w:val="22"/>
                <w:lang w:eastAsia="en-US"/>
              </w:rPr>
            </w:pPr>
          </w:p>
        </w:tc>
      </w:tr>
      <w:tr w:rsidR="00623E2D" w14:paraId="19DB13CC" w14:textId="77777777" w:rsidTr="00D6582E">
        <w:tc>
          <w:tcPr>
            <w:tcW w:w="625" w:type="pct"/>
            <w:vMerge/>
            <w:tcBorders>
              <w:left w:val="single" w:sz="4" w:space="0" w:color="auto"/>
              <w:right w:val="single" w:sz="4" w:space="0" w:color="auto"/>
            </w:tcBorders>
          </w:tcPr>
          <w:p w14:paraId="7AE53B7E"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47284177" w14:textId="45427921" w:rsidR="00623E2D" w:rsidRDefault="00623E2D" w:rsidP="00121F5E">
            <w:pPr>
              <w:pStyle w:val="Tabletext0"/>
              <w:rPr>
                <w:rFonts w:cs="Arial"/>
                <w:snapToGrid w:val="0"/>
                <w:color w:val="258221"/>
              </w:rPr>
            </w:pPr>
            <w:r>
              <w:rPr>
                <w:rFonts w:eastAsia="Calibri" w:cstheme="minorHAnsi"/>
              </w:rPr>
              <w:t xml:space="preserve">MSAC and ESC considered the core outcomes (pain reduction, function and adverse events) to be the most important outcomes </w:t>
            </w:r>
            <w:r>
              <w:rPr>
                <w:rFonts w:eastAsia="Calibri" w:cstheme="minorHAnsi"/>
                <w:snapToGrid w:val="0"/>
              </w:rPr>
              <w:t>(p</w:t>
            </w:r>
            <w:r w:rsidR="007E2318">
              <w:rPr>
                <w:rFonts w:eastAsia="Calibri" w:cstheme="minorHAnsi"/>
                <w:snapToGrid w:val="0"/>
              </w:rPr>
              <w:t>g</w:t>
            </w:r>
            <w:r>
              <w:rPr>
                <w:rFonts w:eastAsia="Calibri" w:cstheme="minorHAnsi"/>
                <w:snapToGrid w:val="0"/>
              </w:rPr>
              <w:t>3</w:t>
            </w:r>
            <w:r w:rsidR="005225C5">
              <w:rPr>
                <w:rFonts w:eastAsia="Calibri" w:cstheme="minorHAnsi"/>
                <w:snapToGrid w:val="0"/>
              </w:rPr>
              <w:t>, PSD for MSAC application 1593, July 2020 MSAC meeting</w:t>
            </w:r>
            <w:r>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6E645343" w14:textId="77777777" w:rsidR="00623E2D" w:rsidRDefault="00623E2D" w:rsidP="00121F5E">
            <w:pPr>
              <w:pStyle w:val="Tabletext0"/>
              <w:rPr>
                <w:rFonts w:eastAsia="Calibri"/>
                <w:snapToGrid w:val="0"/>
                <w:szCs w:val="22"/>
                <w:lang w:eastAsia="en-US"/>
              </w:rPr>
            </w:pPr>
          </w:p>
        </w:tc>
      </w:tr>
      <w:tr w:rsidR="00623E2D" w14:paraId="2B415118" w14:textId="77777777" w:rsidTr="00D6582E">
        <w:tc>
          <w:tcPr>
            <w:tcW w:w="625" w:type="pct"/>
            <w:vMerge/>
            <w:tcBorders>
              <w:left w:val="single" w:sz="4" w:space="0" w:color="auto"/>
              <w:right w:val="single" w:sz="4" w:space="0" w:color="auto"/>
            </w:tcBorders>
          </w:tcPr>
          <w:p w14:paraId="049346AA"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210A9B29" w14:textId="77777777" w:rsidR="00623E2D" w:rsidRDefault="00623E2D" w:rsidP="00121F5E">
            <w:pPr>
              <w:pStyle w:val="Tabletext0"/>
              <w:rPr>
                <w:rFonts w:cs="Arial"/>
                <w:snapToGrid w:val="0"/>
                <w:color w:val="258221"/>
              </w:rPr>
            </w:pPr>
            <w:r>
              <w:rPr>
                <w:rFonts w:eastAsia="Calibri" w:cstheme="minorHAnsi"/>
              </w:rPr>
              <w:t xml:space="preserve">ESC and MSAC noted that the clinical claim of superior effectiveness was only supported for imaging outcomes rather than functional outcomes. </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2EEF3E99" w14:textId="77777777" w:rsidR="00623E2D" w:rsidRDefault="00623E2D" w:rsidP="00121F5E">
            <w:pPr>
              <w:pStyle w:val="Tabletext0"/>
              <w:rPr>
                <w:rFonts w:eastAsia="Calibri"/>
                <w:snapToGrid w:val="0"/>
                <w:szCs w:val="22"/>
                <w:lang w:eastAsia="en-US"/>
              </w:rPr>
            </w:pPr>
          </w:p>
        </w:tc>
      </w:tr>
      <w:tr w:rsidR="00623E2D" w14:paraId="7F143106" w14:textId="77777777" w:rsidTr="00D6582E">
        <w:tc>
          <w:tcPr>
            <w:tcW w:w="625" w:type="pct"/>
            <w:vMerge/>
            <w:tcBorders>
              <w:left w:val="single" w:sz="4" w:space="0" w:color="auto"/>
              <w:right w:val="single" w:sz="4" w:space="0" w:color="auto"/>
            </w:tcBorders>
          </w:tcPr>
          <w:p w14:paraId="03D0D393"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7D51574F" w14:textId="222DB032" w:rsidR="00623E2D" w:rsidRDefault="00623E2D" w:rsidP="00121F5E">
            <w:pPr>
              <w:pStyle w:val="Tabletext0"/>
              <w:rPr>
                <w:rFonts w:cs="Arial"/>
                <w:snapToGrid w:val="0"/>
                <w:color w:val="258221"/>
              </w:rPr>
            </w:pPr>
            <w:r>
              <w:rPr>
                <w:rFonts w:eastAsia="Calibri" w:cstheme="minorHAnsi"/>
                <w:snapToGrid w:val="0"/>
              </w:rPr>
              <w:t>Adverse events were not reported in the studies for standard surgery in patients with FTRCTs (p</w:t>
            </w:r>
            <w:r w:rsidR="007E2318">
              <w:rPr>
                <w:rFonts w:eastAsia="Calibri" w:cstheme="minorHAnsi"/>
                <w:snapToGrid w:val="0"/>
              </w:rPr>
              <w:t>g</w:t>
            </w:r>
            <w:r>
              <w:rPr>
                <w:rFonts w:eastAsia="Calibri" w:cstheme="minorHAnsi"/>
                <w:snapToGrid w:val="0"/>
              </w:rPr>
              <w:t>3</w:t>
            </w:r>
            <w:r w:rsidR="005225C5">
              <w:rPr>
                <w:rFonts w:eastAsia="Calibri" w:cstheme="minorHAnsi"/>
                <w:snapToGrid w:val="0"/>
              </w:rPr>
              <w:t>, PSD for MSAC application 1593, July 2020 MSAC meeting</w:t>
            </w:r>
            <w:r>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348F78A5" w14:textId="77777777" w:rsidR="00623E2D" w:rsidRDefault="00623E2D" w:rsidP="00121F5E">
            <w:pPr>
              <w:pStyle w:val="Tabletext0"/>
              <w:rPr>
                <w:rFonts w:eastAsia="Calibri"/>
                <w:snapToGrid w:val="0"/>
                <w:szCs w:val="22"/>
                <w:lang w:eastAsia="en-US"/>
              </w:rPr>
            </w:pPr>
          </w:p>
        </w:tc>
      </w:tr>
      <w:tr w:rsidR="00623E2D" w14:paraId="3EF53976" w14:textId="77777777" w:rsidTr="00D6582E">
        <w:tc>
          <w:tcPr>
            <w:tcW w:w="625" w:type="pct"/>
            <w:vMerge/>
            <w:tcBorders>
              <w:left w:val="single" w:sz="4" w:space="0" w:color="auto"/>
              <w:right w:val="single" w:sz="4" w:space="0" w:color="auto"/>
            </w:tcBorders>
          </w:tcPr>
          <w:p w14:paraId="44A9A046"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tcPr>
          <w:p w14:paraId="3A768941" w14:textId="77777777" w:rsidR="00623E2D" w:rsidRDefault="00623E2D" w:rsidP="00121F5E">
            <w:pPr>
              <w:pStyle w:val="Tabletext0"/>
              <w:rPr>
                <w:rFonts w:eastAsia="Calibri" w:cstheme="minorHAnsi"/>
                <w:snapToGrid w:val="0"/>
              </w:rPr>
            </w:pPr>
            <w:r>
              <w:rPr>
                <w:rFonts w:eastAsia="Calibri" w:cstheme="minorHAnsi"/>
                <w:snapToGrid w:val="0"/>
              </w:rPr>
              <w:t>MSAC and ESC noted limited long-term AEs (11 patients followed over 5 years); with no long-term adverse event data for use of REGENETEN in FTRCT patients.</w:t>
            </w:r>
          </w:p>
          <w:p w14:paraId="6A6468CE" w14:textId="47FB1A51" w:rsidR="00623E2D" w:rsidRDefault="00623E2D" w:rsidP="00121F5E">
            <w:pPr>
              <w:pStyle w:val="Tabletext0"/>
              <w:rPr>
                <w:rFonts w:cs="Arial"/>
                <w:snapToGrid w:val="0"/>
                <w:color w:val="258221"/>
              </w:rPr>
            </w:pPr>
            <w:r>
              <w:rPr>
                <w:rFonts w:eastAsia="Calibri" w:cstheme="minorHAnsi"/>
                <w:snapToGrid w:val="0"/>
              </w:rPr>
              <w:t>ESC also noted the clinical claim of non-inferiority in comparative safety for sub-</w:t>
            </w:r>
            <w:r w:rsidR="00895086">
              <w:rPr>
                <w:rFonts w:eastAsia="Calibri" w:cstheme="minorHAnsi"/>
                <w:snapToGrid w:val="0"/>
              </w:rPr>
              <w:t>Population 2</w:t>
            </w:r>
            <w:r>
              <w:rPr>
                <w:rFonts w:eastAsia="Calibri" w:cstheme="minorHAnsi"/>
                <w:snapToGrid w:val="0"/>
              </w:rPr>
              <w:t xml:space="preserve"> was not supported by statistically significant higher revision surgery rates</w:t>
            </w:r>
            <w:r w:rsidR="00A73015">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2915A8B0" w14:textId="77777777" w:rsidR="00623E2D" w:rsidRDefault="00623E2D" w:rsidP="00121F5E">
            <w:pPr>
              <w:pStyle w:val="Tabletext0"/>
              <w:rPr>
                <w:rFonts w:eastAsia="Calibri"/>
                <w:snapToGrid w:val="0"/>
                <w:szCs w:val="22"/>
                <w:lang w:eastAsia="en-US"/>
              </w:rPr>
            </w:pPr>
          </w:p>
        </w:tc>
      </w:tr>
      <w:tr w:rsidR="00623E2D" w14:paraId="67E23D6C" w14:textId="77777777" w:rsidTr="00D6582E">
        <w:tc>
          <w:tcPr>
            <w:tcW w:w="625" w:type="pct"/>
            <w:vMerge/>
            <w:tcBorders>
              <w:left w:val="single" w:sz="4" w:space="0" w:color="auto"/>
              <w:right w:val="single" w:sz="4" w:space="0" w:color="auto"/>
            </w:tcBorders>
          </w:tcPr>
          <w:p w14:paraId="60AA2F51"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7BE63341" w14:textId="4DCD3366" w:rsidR="00623E2D" w:rsidRDefault="00623E2D" w:rsidP="00121F5E">
            <w:pPr>
              <w:pStyle w:val="Tabletext0"/>
              <w:rPr>
                <w:rFonts w:cs="Arial"/>
                <w:snapToGrid w:val="0"/>
                <w:color w:val="258221"/>
              </w:rPr>
            </w:pPr>
            <w:r>
              <w:rPr>
                <w:rFonts w:eastAsia="Calibri" w:cstheme="minorHAnsi"/>
              </w:rPr>
              <w:t xml:space="preserve">MSAC noted the systematic review and meta-analysis which concluded that structural integrity of the rotator cuff after repair does not correlate with clinically important differences in validated functional outcome scores </w:t>
            </w:r>
            <w:r>
              <w:rPr>
                <w:rFonts w:eastAsia="Calibri" w:cstheme="minorHAnsi"/>
                <w:snapToGrid w:val="0"/>
              </w:rPr>
              <w:t>(p</w:t>
            </w:r>
            <w:r w:rsidR="007E2318">
              <w:rPr>
                <w:rFonts w:eastAsia="Calibri" w:cstheme="minorHAnsi"/>
                <w:snapToGrid w:val="0"/>
              </w:rPr>
              <w:t>g</w:t>
            </w:r>
            <w:r>
              <w:rPr>
                <w:rFonts w:eastAsia="Calibri" w:cstheme="minorHAnsi"/>
                <w:snapToGrid w:val="0"/>
              </w:rPr>
              <w:t>3</w:t>
            </w:r>
            <w:r w:rsidR="005225C5">
              <w:rPr>
                <w:rFonts w:eastAsia="Calibri" w:cstheme="minorHAnsi"/>
                <w:snapToGrid w:val="0"/>
              </w:rPr>
              <w:t>, PSD for MSAC application 1593, July 2020 MSAC meeting</w:t>
            </w:r>
            <w:r>
              <w:rPr>
                <w:rFonts w:eastAsia="Calibri" w:cstheme="minorHAnsi"/>
                <w:snapToGrid w:val="0"/>
              </w:rPr>
              <w:t>).</w:t>
            </w:r>
          </w:p>
        </w:tc>
        <w:tc>
          <w:tcPr>
            <w:tcW w:w="2188" w:type="pct"/>
            <w:tcBorders>
              <w:top w:val="single" w:sz="4" w:space="0" w:color="auto"/>
              <w:left w:val="single" w:sz="4" w:space="0" w:color="auto"/>
              <w:bottom w:val="single" w:sz="4" w:space="0" w:color="auto"/>
              <w:right w:val="single" w:sz="4" w:space="0" w:color="auto"/>
            </w:tcBorders>
            <w:hideMark/>
          </w:tcPr>
          <w:p w14:paraId="494935FB" w14:textId="77777777" w:rsidR="00623E2D" w:rsidRDefault="00623E2D" w:rsidP="00121F5E">
            <w:pPr>
              <w:pStyle w:val="Tabletext0"/>
              <w:rPr>
                <w:rFonts w:eastAsia="Calibri" w:cstheme="minorBidi"/>
                <w:snapToGrid w:val="0"/>
              </w:rPr>
            </w:pPr>
            <w:r>
              <w:rPr>
                <w:rFonts w:eastAsia="Calibri"/>
                <w:snapToGrid w:val="0"/>
              </w:rPr>
              <w:t>Partially addressed.</w:t>
            </w:r>
          </w:p>
          <w:p w14:paraId="18A8B148" w14:textId="77777777" w:rsidR="00623E2D" w:rsidRDefault="00623E2D" w:rsidP="00121F5E">
            <w:pPr>
              <w:pStyle w:val="Tabletext0"/>
              <w:rPr>
                <w:rFonts w:eastAsia="Calibri"/>
                <w:snapToGrid w:val="0"/>
              </w:rPr>
            </w:pPr>
            <w:r>
              <w:rPr>
                <w:rFonts w:eastAsia="Calibri"/>
                <w:snapToGrid w:val="0"/>
              </w:rPr>
              <w:t xml:space="preserve">The ADAR claimed that failed tendon healing was associated with reduced strength and function, especially in the longer term, based on single arm clinical trials. </w:t>
            </w:r>
          </w:p>
          <w:p w14:paraId="1AA5DB7E" w14:textId="45109DC6" w:rsidR="00623E2D" w:rsidRDefault="00623E2D" w:rsidP="00121F5E">
            <w:pPr>
              <w:pStyle w:val="Tabletext0"/>
              <w:rPr>
                <w:rFonts w:eastAsiaTheme="minorHAnsi"/>
                <w:color w:val="258221"/>
              </w:rPr>
            </w:pPr>
            <w:r>
              <w:rPr>
                <w:rFonts w:eastAsia="Calibri"/>
                <w:snapToGrid w:val="0"/>
              </w:rPr>
              <w:t xml:space="preserve">However, the ADAR provided evidence of superiority of effectiveness in </w:t>
            </w:r>
            <w:r w:rsidR="00AC24CA">
              <w:rPr>
                <w:rFonts w:eastAsia="Calibri"/>
                <w:snapToGrid w:val="0"/>
              </w:rPr>
              <w:t>imaging-based</w:t>
            </w:r>
            <w:r>
              <w:rPr>
                <w:rFonts w:eastAsia="Calibri"/>
                <w:snapToGrid w:val="0"/>
              </w:rPr>
              <w:t xml:space="preserve"> outcomes such as retear rates in </w:t>
            </w:r>
            <w:r w:rsidR="00895086">
              <w:rPr>
                <w:rFonts w:eastAsia="Calibri"/>
                <w:snapToGrid w:val="0"/>
              </w:rPr>
              <w:t>Population 2</w:t>
            </w:r>
            <w:r>
              <w:rPr>
                <w:rFonts w:eastAsia="Calibri"/>
                <w:snapToGrid w:val="0"/>
              </w:rPr>
              <w:t xml:space="preserve">. However, </w:t>
            </w:r>
            <w:r w:rsidR="00AC24CA">
              <w:rPr>
                <w:rFonts w:eastAsia="Calibri"/>
                <w:snapToGrid w:val="0"/>
              </w:rPr>
              <w:t xml:space="preserve">there were </w:t>
            </w:r>
            <w:r>
              <w:rPr>
                <w:rFonts w:eastAsia="Calibri"/>
                <w:snapToGrid w:val="0"/>
              </w:rPr>
              <w:t xml:space="preserve">no significant differences </w:t>
            </w:r>
            <w:r w:rsidR="00AC24CA">
              <w:rPr>
                <w:rFonts w:eastAsia="Calibri"/>
                <w:snapToGrid w:val="0"/>
              </w:rPr>
              <w:t>in clinical outcomes or</w:t>
            </w:r>
            <w:r>
              <w:rPr>
                <w:rFonts w:eastAsia="Calibri"/>
                <w:snapToGrid w:val="0"/>
              </w:rPr>
              <w:t xml:space="preserve"> in validated functional outcome scores. </w:t>
            </w:r>
          </w:p>
        </w:tc>
      </w:tr>
      <w:tr w:rsidR="00071A77" w14:paraId="7454BEB5" w14:textId="77777777" w:rsidTr="00D6582E">
        <w:tc>
          <w:tcPr>
            <w:tcW w:w="625" w:type="pct"/>
            <w:vMerge/>
            <w:tcBorders>
              <w:left w:val="single" w:sz="4" w:space="0" w:color="auto"/>
              <w:bottom w:val="single" w:sz="4" w:space="0" w:color="auto"/>
              <w:right w:val="single" w:sz="4" w:space="0" w:color="auto"/>
            </w:tcBorders>
          </w:tcPr>
          <w:p w14:paraId="6D5B5177" w14:textId="77777777" w:rsidR="00623E2D" w:rsidRDefault="00623E2D" w:rsidP="00121F5E">
            <w:pPr>
              <w:pStyle w:val="Tabletext0"/>
              <w:rPr>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63513E63" w14:textId="77777777" w:rsidR="00623E2D" w:rsidRDefault="00623E2D" w:rsidP="00121F5E">
            <w:pPr>
              <w:pStyle w:val="Tabletext0"/>
              <w:rPr>
                <w:rFonts w:cs="Arial"/>
                <w:snapToGrid w:val="0"/>
                <w:color w:val="258221"/>
              </w:rPr>
            </w:pPr>
            <w:r>
              <w:rPr>
                <w:rFonts w:eastAsia="Calibri" w:cstheme="minorHAnsi"/>
              </w:rPr>
              <w:t>ESC noted minor differences regarding the removal of footnotes in the ADARs clinical algorithm compared with the Ratified PICO confirmation algorithm.</w:t>
            </w:r>
          </w:p>
        </w:tc>
        <w:tc>
          <w:tcPr>
            <w:tcW w:w="2188" w:type="pct"/>
            <w:tcBorders>
              <w:top w:val="single" w:sz="4" w:space="0" w:color="auto"/>
              <w:left w:val="single" w:sz="4" w:space="0" w:color="auto"/>
              <w:bottom w:val="single" w:sz="4" w:space="0" w:color="auto"/>
              <w:right w:val="single" w:sz="4" w:space="0" w:color="auto"/>
            </w:tcBorders>
            <w:hideMark/>
          </w:tcPr>
          <w:p w14:paraId="3ED3350E" w14:textId="77777777" w:rsidR="00623E2D" w:rsidRDefault="00623E2D" w:rsidP="00121F5E">
            <w:pPr>
              <w:pStyle w:val="Tabletext0"/>
              <w:rPr>
                <w:rFonts w:eastAsia="Calibri" w:cstheme="minorHAnsi"/>
                <w:snapToGrid w:val="0"/>
              </w:rPr>
            </w:pPr>
            <w:r>
              <w:rPr>
                <w:rFonts w:eastAsia="Calibri" w:cstheme="minorHAnsi"/>
                <w:snapToGrid w:val="0"/>
              </w:rPr>
              <w:t>Not addressed</w:t>
            </w:r>
          </w:p>
          <w:p w14:paraId="47A732CD" w14:textId="64245971" w:rsidR="00623E2D" w:rsidRDefault="00623E2D" w:rsidP="00121F5E">
            <w:pPr>
              <w:pStyle w:val="Tabletext0"/>
              <w:rPr>
                <w:rFonts w:eastAsiaTheme="minorHAnsi" w:cstheme="minorBidi"/>
                <w:color w:val="258221"/>
              </w:rPr>
            </w:pPr>
            <w:r>
              <w:rPr>
                <w:rFonts w:eastAsia="Calibri" w:cstheme="minorHAnsi"/>
                <w:snapToGrid w:val="0"/>
              </w:rPr>
              <w:t xml:space="preserve">There were minor differences in the clinical algorithm </w:t>
            </w:r>
            <w:r w:rsidR="009655DB" w:rsidRPr="009655DB">
              <w:rPr>
                <w:rFonts w:eastAsia="Calibri" w:cstheme="minorHAnsi"/>
                <w:snapToGrid w:val="0"/>
              </w:rPr>
              <w:t xml:space="preserve">with the Ratified PICO confirmation algorithm </w:t>
            </w:r>
            <w:r w:rsidR="009655DB">
              <w:rPr>
                <w:rFonts w:eastAsia="Calibri" w:cstheme="minorHAnsi"/>
                <w:snapToGrid w:val="0"/>
              </w:rPr>
              <w:t>in resubmission ADAR (MSAC application 1593.1</w:t>
            </w:r>
            <w:r w:rsidR="008D54B4">
              <w:rPr>
                <w:rFonts w:eastAsia="Calibri" w:cstheme="minorHAnsi"/>
                <w:snapToGrid w:val="0"/>
              </w:rPr>
              <w:t>)</w:t>
            </w:r>
            <w:r w:rsidR="009655DB">
              <w:rPr>
                <w:rFonts w:eastAsia="Calibri" w:cstheme="minorHAnsi"/>
                <w:snapToGrid w:val="0"/>
              </w:rPr>
              <w:t xml:space="preserve"> as well </w:t>
            </w:r>
            <w:r>
              <w:rPr>
                <w:rFonts w:eastAsia="Calibri" w:cstheme="minorHAnsi"/>
                <w:snapToGrid w:val="0"/>
              </w:rPr>
              <w:t>and the ADAR provided justifications for the deviations.</w:t>
            </w:r>
            <w:r w:rsidR="009655DB">
              <w:rPr>
                <w:rFonts w:eastAsia="Calibri" w:cstheme="minorHAnsi"/>
                <w:snapToGrid w:val="0"/>
              </w:rPr>
              <w:t xml:space="preserve"> The commentary considered these deviations were not appropriate.</w:t>
            </w:r>
          </w:p>
        </w:tc>
      </w:tr>
      <w:tr w:rsidR="00071A77" w14:paraId="08352F7D" w14:textId="77777777" w:rsidTr="00D6582E">
        <w:tc>
          <w:tcPr>
            <w:tcW w:w="625" w:type="pct"/>
            <w:vMerge w:val="restart"/>
            <w:tcBorders>
              <w:top w:val="single" w:sz="4" w:space="0" w:color="auto"/>
              <w:left w:val="single" w:sz="4" w:space="0" w:color="auto"/>
              <w:right w:val="single" w:sz="4" w:space="0" w:color="auto"/>
            </w:tcBorders>
            <w:hideMark/>
          </w:tcPr>
          <w:p w14:paraId="72251698" w14:textId="77777777" w:rsidR="00623E2D" w:rsidRPr="00121F5E" w:rsidRDefault="00623E2D" w:rsidP="00121F5E">
            <w:pPr>
              <w:pStyle w:val="Tabletext0"/>
              <w:rPr>
                <w:b/>
                <w:bCs/>
                <w:color w:val="258221"/>
              </w:rPr>
            </w:pPr>
            <w:r w:rsidRPr="00121F5E">
              <w:rPr>
                <w:b/>
                <w:bCs/>
                <w:color w:val="000000" w:themeColor="text1"/>
              </w:rPr>
              <w:t>Clinical claim</w:t>
            </w:r>
          </w:p>
        </w:tc>
        <w:tc>
          <w:tcPr>
            <w:tcW w:w="2187" w:type="pct"/>
            <w:tcBorders>
              <w:top w:val="single" w:sz="4" w:space="0" w:color="auto"/>
              <w:left w:val="single" w:sz="4" w:space="0" w:color="auto"/>
              <w:bottom w:val="single" w:sz="4" w:space="0" w:color="auto"/>
              <w:right w:val="single" w:sz="4" w:space="0" w:color="auto"/>
            </w:tcBorders>
            <w:hideMark/>
          </w:tcPr>
          <w:p w14:paraId="13E0B457" w14:textId="5439A399" w:rsidR="00623E2D" w:rsidRDefault="00623E2D" w:rsidP="00121F5E">
            <w:pPr>
              <w:pStyle w:val="Tabletext0"/>
              <w:rPr>
                <w:rFonts w:eastAsia="Calibri" w:cstheme="minorHAnsi"/>
              </w:rPr>
            </w:pPr>
            <w:r>
              <w:rPr>
                <w:rFonts w:eastAsia="Calibri" w:cstheme="minorHAnsi"/>
                <w:snapToGrid w:val="0"/>
              </w:rPr>
              <w:t xml:space="preserve">MSAC noted that the pooled risk of revision of surgery rates was statistically significantly higher for REGENETEN for FTRCTs (0.069 vs. 0.027 for standard surgery). </w:t>
            </w:r>
            <w:r>
              <w:rPr>
                <w:rFonts w:eastAsia="Calibri" w:cstheme="minorHAnsi"/>
              </w:rPr>
              <w:t>MSAC noted that the same risk was higher for standard surgery than for REGENETEN for PTRCTs (0.018 vs. 0.078 for standard surgery)</w:t>
            </w:r>
            <w:r>
              <w:rPr>
                <w:rFonts w:eastAsia="Calibri" w:cstheme="minorHAnsi"/>
                <w:snapToGrid w:val="0"/>
              </w:rPr>
              <w:t xml:space="preserve"> (p</w:t>
            </w:r>
            <w:r w:rsidR="007E2318">
              <w:rPr>
                <w:rFonts w:eastAsia="Calibri" w:cstheme="minorHAnsi"/>
                <w:snapToGrid w:val="0"/>
              </w:rPr>
              <w:t>g</w:t>
            </w:r>
            <w:r>
              <w:rPr>
                <w:rFonts w:eastAsia="Calibri" w:cstheme="minorHAnsi"/>
                <w:snapToGrid w:val="0"/>
              </w:rPr>
              <w:t>3</w:t>
            </w:r>
            <w:r w:rsidR="005225C5">
              <w:rPr>
                <w:rFonts w:eastAsia="Calibri" w:cstheme="minorHAnsi"/>
                <w:snapToGrid w:val="0"/>
              </w:rPr>
              <w:t>, PSD for MSAC application 1593, July 2020 MSAC meeting</w:t>
            </w:r>
            <w:r>
              <w:rPr>
                <w:rFonts w:eastAsia="Calibri" w:cstheme="minorHAnsi"/>
                <w:snapToGrid w:val="0"/>
              </w:rPr>
              <w:t xml:space="preserve">). </w:t>
            </w:r>
          </w:p>
        </w:tc>
        <w:tc>
          <w:tcPr>
            <w:tcW w:w="2188" w:type="pct"/>
            <w:vMerge w:val="restart"/>
            <w:tcBorders>
              <w:top w:val="single" w:sz="4" w:space="0" w:color="auto"/>
              <w:left w:val="single" w:sz="4" w:space="0" w:color="auto"/>
              <w:bottom w:val="single" w:sz="4" w:space="0" w:color="auto"/>
              <w:right w:val="single" w:sz="4" w:space="0" w:color="auto"/>
            </w:tcBorders>
          </w:tcPr>
          <w:p w14:paraId="2E732F78" w14:textId="77777777" w:rsidR="00623E2D" w:rsidRDefault="00623E2D" w:rsidP="00121F5E">
            <w:pPr>
              <w:pStyle w:val="Tabletext0"/>
              <w:rPr>
                <w:rFonts w:eastAsia="Calibri" w:cstheme="minorHAnsi"/>
                <w:snapToGrid w:val="0"/>
              </w:rPr>
            </w:pPr>
            <w:r>
              <w:rPr>
                <w:rFonts w:eastAsia="Calibri" w:cstheme="minorHAnsi"/>
                <w:snapToGrid w:val="0"/>
              </w:rPr>
              <w:t>Partially addressed.</w:t>
            </w:r>
          </w:p>
          <w:p w14:paraId="13F0DB79" w14:textId="154943DD" w:rsidR="00623E2D" w:rsidRDefault="00623E2D" w:rsidP="00121F5E">
            <w:pPr>
              <w:pStyle w:val="Tabletext0"/>
              <w:rPr>
                <w:rFonts w:eastAsia="Calibri" w:cstheme="minorHAnsi"/>
                <w:snapToGrid w:val="0"/>
              </w:rPr>
            </w:pPr>
            <w:r>
              <w:rPr>
                <w:rFonts w:eastAsia="Calibri" w:cstheme="minorHAnsi"/>
                <w:snapToGrid w:val="0"/>
              </w:rPr>
              <w:t xml:space="preserve">Pooled risk of revision surgery rates </w:t>
            </w:r>
            <w:r w:rsidR="00A73015">
              <w:rPr>
                <w:rFonts w:eastAsia="Calibri" w:cstheme="minorHAnsi"/>
                <w:snapToGrid w:val="0"/>
              </w:rPr>
              <w:t>was</w:t>
            </w:r>
            <w:r w:rsidR="00AC24CA">
              <w:rPr>
                <w:rFonts w:eastAsia="Calibri" w:cstheme="minorHAnsi"/>
                <w:snapToGrid w:val="0"/>
              </w:rPr>
              <w:t xml:space="preserve"> </w:t>
            </w:r>
            <w:r>
              <w:rPr>
                <w:rFonts w:eastAsia="Calibri" w:cstheme="minorHAnsi"/>
                <w:snapToGrid w:val="0"/>
              </w:rPr>
              <w:t xml:space="preserve">not included in the ADAR’s clinical claims. However, the ADAR provided combined incidence of adverse events including retear rates for </w:t>
            </w:r>
            <w:r w:rsidR="00AC24CA">
              <w:rPr>
                <w:rFonts w:eastAsia="Calibri" w:cstheme="minorHAnsi"/>
                <w:snapToGrid w:val="0"/>
              </w:rPr>
              <w:t xml:space="preserve">the </w:t>
            </w:r>
            <w:r>
              <w:rPr>
                <w:rFonts w:eastAsia="Calibri" w:cstheme="minorHAnsi"/>
                <w:snapToGrid w:val="0"/>
              </w:rPr>
              <w:t>REGENETEN group only.</w:t>
            </w:r>
          </w:p>
          <w:p w14:paraId="1A20725F" w14:textId="77777777" w:rsidR="00623E2D" w:rsidRDefault="00623E2D" w:rsidP="00121F5E">
            <w:pPr>
              <w:pStyle w:val="Tabletext0"/>
              <w:rPr>
                <w:rFonts w:eastAsia="Calibri" w:cstheme="minorHAnsi"/>
                <w:snapToGrid w:val="0"/>
              </w:rPr>
            </w:pPr>
          </w:p>
          <w:p w14:paraId="69D06FF0" w14:textId="63A9A21E" w:rsidR="00623E2D" w:rsidRDefault="00623E2D" w:rsidP="00121F5E">
            <w:pPr>
              <w:pStyle w:val="Tabletext0"/>
              <w:rPr>
                <w:rFonts w:eastAsia="Calibri" w:cstheme="minorHAnsi"/>
                <w:snapToGrid w:val="0"/>
              </w:rPr>
            </w:pPr>
            <w:r>
              <w:rPr>
                <w:rFonts w:eastAsia="Calibri" w:cstheme="minorHAnsi"/>
                <w:snapToGrid w:val="0"/>
              </w:rPr>
              <w:t xml:space="preserve">The ADAR provided comparative evidence </w:t>
            </w:r>
            <w:r w:rsidR="00AC24CA">
              <w:rPr>
                <w:rFonts w:eastAsia="Calibri" w:cstheme="minorHAnsi"/>
                <w:snapToGrid w:val="0"/>
              </w:rPr>
              <w:t>for PROs</w:t>
            </w:r>
            <w:r>
              <w:rPr>
                <w:rFonts w:eastAsia="Calibri" w:cstheme="minorHAnsi"/>
                <w:snapToGrid w:val="0"/>
              </w:rPr>
              <w:t xml:space="preserve"> based on RCTs. For PTRCT, both the Wang </w:t>
            </w:r>
            <w:r>
              <w:rPr>
                <w:rFonts w:eastAsia="Calibri" w:cstheme="minorHAnsi"/>
                <w:snapToGrid w:val="0"/>
              </w:rPr>
              <w:lastRenderedPageBreak/>
              <w:t xml:space="preserve">et al., 2023 and Camacho-Chacon et al, 2023 </w:t>
            </w:r>
            <w:r w:rsidR="00AC24CA">
              <w:rPr>
                <w:rFonts w:eastAsia="Calibri" w:cstheme="minorHAnsi"/>
                <w:snapToGrid w:val="0"/>
              </w:rPr>
              <w:t>studies reported</w:t>
            </w:r>
            <w:r>
              <w:rPr>
                <w:rFonts w:eastAsia="Calibri" w:cstheme="minorHAnsi"/>
                <w:snapToGrid w:val="0"/>
              </w:rPr>
              <w:t xml:space="preserve"> better PROs for the REGENETEN group, however, Wang et al., 2023 had only three months follow up and Camacho-Chacon et al, 2023 was not relevant for this population.</w:t>
            </w:r>
          </w:p>
          <w:p w14:paraId="7C634AB0" w14:textId="67B47CBD" w:rsidR="00623E2D" w:rsidRDefault="00623E2D" w:rsidP="00121F5E">
            <w:pPr>
              <w:pStyle w:val="Tabletext0"/>
              <w:rPr>
                <w:rFonts w:eastAsia="Calibri" w:cstheme="minorHAnsi"/>
                <w:snapToGrid w:val="0"/>
              </w:rPr>
            </w:pPr>
            <w:r>
              <w:rPr>
                <w:rFonts w:eastAsia="Calibri" w:cstheme="minorHAnsi"/>
                <w:snapToGrid w:val="0"/>
              </w:rPr>
              <w:t xml:space="preserve">For FTRCT, the Ruiz </w:t>
            </w:r>
            <w:proofErr w:type="spellStart"/>
            <w:r w:rsidR="00262ECD">
              <w:rPr>
                <w:rFonts w:eastAsia="Calibri" w:cstheme="minorHAnsi"/>
                <w:snapToGrid w:val="0"/>
              </w:rPr>
              <w:t>Ibán</w:t>
            </w:r>
            <w:proofErr w:type="spellEnd"/>
            <w:r>
              <w:rPr>
                <w:rFonts w:eastAsia="Calibri" w:cstheme="minorHAnsi"/>
                <w:snapToGrid w:val="0"/>
              </w:rPr>
              <w:t xml:space="preserve"> et al., 2023 </w:t>
            </w:r>
            <w:r w:rsidR="003A0F7E">
              <w:rPr>
                <w:rFonts w:eastAsia="Calibri" w:cstheme="minorHAnsi"/>
                <w:snapToGrid w:val="0"/>
              </w:rPr>
              <w:t>trial</w:t>
            </w:r>
            <w:r>
              <w:rPr>
                <w:rFonts w:eastAsia="Calibri" w:cstheme="minorHAnsi"/>
                <w:snapToGrid w:val="0"/>
              </w:rPr>
              <w:t xml:space="preserve"> did not report significant improvement </w:t>
            </w:r>
            <w:r w:rsidR="00AC24CA">
              <w:rPr>
                <w:rFonts w:eastAsia="Calibri" w:cstheme="minorHAnsi"/>
                <w:snapToGrid w:val="0"/>
              </w:rPr>
              <w:t xml:space="preserve">in </w:t>
            </w:r>
            <w:r>
              <w:rPr>
                <w:rFonts w:eastAsia="Calibri" w:cstheme="minorHAnsi"/>
                <w:snapToGrid w:val="0"/>
              </w:rPr>
              <w:t>PROs between groups.</w:t>
            </w:r>
          </w:p>
        </w:tc>
      </w:tr>
      <w:tr w:rsidR="00623E2D" w14:paraId="0C18AF5C" w14:textId="77777777" w:rsidTr="00D6582E">
        <w:tc>
          <w:tcPr>
            <w:tcW w:w="625" w:type="pct"/>
            <w:vMerge/>
            <w:tcBorders>
              <w:left w:val="single" w:sz="4" w:space="0" w:color="auto"/>
              <w:right w:val="single" w:sz="4" w:space="0" w:color="auto"/>
            </w:tcBorders>
          </w:tcPr>
          <w:p w14:paraId="7B6B7119" w14:textId="77777777" w:rsidR="00623E2D" w:rsidRPr="00121F5E" w:rsidRDefault="00623E2D" w:rsidP="00121F5E">
            <w:pPr>
              <w:pStyle w:val="Tabletext0"/>
              <w:rPr>
                <w:rFonts w:eastAsiaTheme="minorHAnsi" w:cstheme="minorBidi"/>
                <w:b/>
                <w:bCs/>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63DED01B" w14:textId="111C7AAA" w:rsidR="00623E2D" w:rsidRDefault="00623E2D" w:rsidP="00121F5E">
            <w:pPr>
              <w:pStyle w:val="Tabletext0"/>
              <w:rPr>
                <w:rFonts w:eastAsia="Calibri" w:cstheme="minorHAnsi"/>
              </w:rPr>
            </w:pPr>
            <w:r>
              <w:rPr>
                <w:rFonts w:eastAsia="Calibri" w:cstheme="minorHAnsi"/>
              </w:rPr>
              <w:t xml:space="preserve">MSAC noted that there were no statistically significant differences in the pooled risk for core </w:t>
            </w:r>
            <w:r>
              <w:rPr>
                <w:rFonts w:eastAsia="Calibri" w:cstheme="minorHAnsi"/>
              </w:rPr>
              <w:lastRenderedPageBreak/>
              <w:t xml:space="preserve">functional outcomes for REGENETEN and standard surgery for either population over 12–24 months follow-up </w:t>
            </w:r>
            <w:r>
              <w:rPr>
                <w:rFonts w:eastAsia="Calibri" w:cstheme="minorHAnsi"/>
                <w:snapToGrid w:val="0"/>
              </w:rPr>
              <w:t>(p</w:t>
            </w:r>
            <w:r w:rsidR="007E2318">
              <w:rPr>
                <w:rFonts w:eastAsia="Calibri" w:cstheme="minorHAnsi"/>
                <w:snapToGrid w:val="0"/>
              </w:rPr>
              <w:t>g</w:t>
            </w:r>
            <w:r>
              <w:rPr>
                <w:rFonts w:eastAsia="Calibri" w:cstheme="minorHAnsi"/>
                <w:snapToGrid w:val="0"/>
              </w:rPr>
              <w:t>3</w:t>
            </w:r>
            <w:r w:rsidR="005225C5">
              <w:rPr>
                <w:rFonts w:eastAsia="Calibri" w:cstheme="minorHAnsi"/>
                <w:snapToGrid w:val="0"/>
              </w:rPr>
              <w:t>, PSD for MSAC application 1593, July 2020 MSAC meeting</w:t>
            </w:r>
            <w:r>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75E277BE" w14:textId="77777777" w:rsidR="00623E2D" w:rsidRDefault="00623E2D" w:rsidP="00121F5E">
            <w:pPr>
              <w:pStyle w:val="Tabletext0"/>
              <w:rPr>
                <w:rFonts w:eastAsia="Calibri" w:cstheme="minorHAnsi"/>
                <w:snapToGrid w:val="0"/>
                <w:szCs w:val="22"/>
                <w:lang w:eastAsia="en-US"/>
              </w:rPr>
            </w:pPr>
          </w:p>
        </w:tc>
      </w:tr>
      <w:tr w:rsidR="00071A77" w14:paraId="5D04B978" w14:textId="77777777" w:rsidTr="00D6582E">
        <w:tc>
          <w:tcPr>
            <w:tcW w:w="625" w:type="pct"/>
            <w:vMerge/>
            <w:tcBorders>
              <w:left w:val="single" w:sz="4" w:space="0" w:color="auto"/>
              <w:bottom w:val="single" w:sz="4" w:space="0" w:color="auto"/>
              <w:right w:val="single" w:sz="4" w:space="0" w:color="auto"/>
            </w:tcBorders>
          </w:tcPr>
          <w:p w14:paraId="2A0C0F4D" w14:textId="77777777" w:rsidR="00623E2D" w:rsidRPr="00121F5E" w:rsidRDefault="00623E2D" w:rsidP="00121F5E">
            <w:pPr>
              <w:pStyle w:val="Tabletext0"/>
              <w:rPr>
                <w:rFonts w:eastAsiaTheme="minorHAnsi" w:cstheme="minorBidi"/>
                <w:b/>
                <w:bCs/>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2BB3BD43" w14:textId="0C9A75DF" w:rsidR="00623E2D" w:rsidRDefault="00623E2D" w:rsidP="00121F5E">
            <w:pPr>
              <w:pStyle w:val="Tabletext0"/>
              <w:rPr>
                <w:rFonts w:eastAsia="Calibri" w:cstheme="minorHAnsi"/>
              </w:rPr>
            </w:pPr>
            <w:r>
              <w:rPr>
                <w:rFonts w:eastAsia="Calibri" w:cstheme="minorHAnsi"/>
              </w:rPr>
              <w:t xml:space="preserve">MSAC considered that the results trended towards better PROs for standard surgery </w:t>
            </w:r>
            <w:r>
              <w:rPr>
                <w:rFonts w:eastAsia="Calibri" w:cstheme="minorHAnsi"/>
                <w:snapToGrid w:val="0"/>
              </w:rPr>
              <w:t>(p</w:t>
            </w:r>
            <w:r w:rsidR="007E2318">
              <w:rPr>
                <w:rFonts w:eastAsia="Calibri" w:cstheme="minorHAnsi"/>
                <w:snapToGrid w:val="0"/>
              </w:rPr>
              <w:t>g</w:t>
            </w:r>
            <w:r>
              <w:rPr>
                <w:rFonts w:eastAsia="Calibri" w:cstheme="minorHAnsi"/>
                <w:snapToGrid w:val="0"/>
              </w:rPr>
              <w:t>3</w:t>
            </w:r>
            <w:r w:rsidR="005225C5">
              <w:rPr>
                <w:rFonts w:eastAsia="Calibri" w:cstheme="minorHAnsi"/>
                <w:snapToGrid w:val="0"/>
              </w:rPr>
              <w:t>, PSD for MSAC application 1593, July 2020 MSAC meeting</w:t>
            </w:r>
            <w:r>
              <w:rPr>
                <w:rFonts w:eastAsia="Calibri" w:cstheme="minorHAnsi"/>
                <w:snapToGrid w:val="0"/>
              </w:rPr>
              <w:t>).</w:t>
            </w:r>
          </w:p>
        </w:tc>
        <w:tc>
          <w:tcPr>
            <w:tcW w:w="2188" w:type="pct"/>
            <w:vMerge/>
            <w:tcBorders>
              <w:top w:val="single" w:sz="4" w:space="0" w:color="auto"/>
              <w:left w:val="single" w:sz="4" w:space="0" w:color="auto"/>
              <w:bottom w:val="single" w:sz="4" w:space="0" w:color="auto"/>
              <w:right w:val="single" w:sz="4" w:space="0" w:color="auto"/>
            </w:tcBorders>
            <w:vAlign w:val="center"/>
            <w:hideMark/>
          </w:tcPr>
          <w:p w14:paraId="29708756" w14:textId="77777777" w:rsidR="00623E2D" w:rsidRDefault="00623E2D" w:rsidP="00121F5E">
            <w:pPr>
              <w:pStyle w:val="Tabletext0"/>
              <w:rPr>
                <w:rFonts w:eastAsia="Calibri" w:cstheme="minorHAnsi"/>
                <w:snapToGrid w:val="0"/>
                <w:szCs w:val="22"/>
                <w:lang w:eastAsia="en-US"/>
              </w:rPr>
            </w:pPr>
          </w:p>
        </w:tc>
      </w:tr>
      <w:tr w:rsidR="00071A77" w14:paraId="2FA539FF" w14:textId="77777777" w:rsidTr="00D6582E">
        <w:tc>
          <w:tcPr>
            <w:tcW w:w="625" w:type="pct"/>
            <w:vMerge w:val="restart"/>
            <w:tcBorders>
              <w:top w:val="single" w:sz="4" w:space="0" w:color="auto"/>
              <w:left w:val="single" w:sz="4" w:space="0" w:color="auto"/>
              <w:right w:val="single" w:sz="4" w:space="0" w:color="auto"/>
            </w:tcBorders>
            <w:hideMark/>
          </w:tcPr>
          <w:p w14:paraId="194C1886" w14:textId="77777777" w:rsidR="00623E2D" w:rsidRPr="00121F5E" w:rsidRDefault="00623E2D" w:rsidP="00121F5E">
            <w:pPr>
              <w:pStyle w:val="Tabletext0"/>
              <w:rPr>
                <w:rFonts w:eastAsiaTheme="minorHAnsi" w:cstheme="minorBidi"/>
                <w:b/>
                <w:bCs/>
                <w:color w:val="258221"/>
              </w:rPr>
            </w:pPr>
            <w:r w:rsidRPr="00121F5E">
              <w:rPr>
                <w:b/>
                <w:bCs/>
                <w:color w:val="000000" w:themeColor="text1"/>
              </w:rPr>
              <w:t>Economic evaluation</w:t>
            </w:r>
          </w:p>
        </w:tc>
        <w:tc>
          <w:tcPr>
            <w:tcW w:w="2187" w:type="pct"/>
            <w:tcBorders>
              <w:top w:val="single" w:sz="4" w:space="0" w:color="auto"/>
              <w:left w:val="single" w:sz="4" w:space="0" w:color="auto"/>
              <w:bottom w:val="single" w:sz="4" w:space="0" w:color="auto"/>
              <w:right w:val="single" w:sz="4" w:space="0" w:color="auto"/>
            </w:tcBorders>
            <w:hideMark/>
          </w:tcPr>
          <w:p w14:paraId="17557DB0" w14:textId="1CA8A2A3" w:rsidR="00623E2D" w:rsidRDefault="00623E2D" w:rsidP="00121F5E">
            <w:pPr>
              <w:pStyle w:val="Tabletext0"/>
              <w:rPr>
                <w:rFonts w:eastAsia="Calibri" w:cstheme="minorHAnsi"/>
              </w:rPr>
            </w:pPr>
            <w:r>
              <w:rPr>
                <w:rFonts w:cstheme="minorHAnsi"/>
              </w:rPr>
              <w:t xml:space="preserve">MSAC noted that the uncertainties in clinical effectiveness led to key uncertainties in the economic evaluation, because very low-quality evidence was used to inform the key model inputs </w:t>
            </w:r>
            <w:r>
              <w:rPr>
                <w:rFonts w:cstheme="minorHAnsi"/>
                <w:snapToGrid w:val="0"/>
              </w:rPr>
              <w:t>(p</w:t>
            </w:r>
            <w:r w:rsidR="007E2318">
              <w:rPr>
                <w:rFonts w:cstheme="minorHAnsi"/>
                <w:snapToGrid w:val="0"/>
              </w:rPr>
              <w:t>g</w:t>
            </w:r>
            <w:r>
              <w:rPr>
                <w:rFonts w:cstheme="minorHAnsi"/>
                <w:snapToGrid w:val="0"/>
              </w:rPr>
              <w:t>3</w:t>
            </w:r>
            <w:r w:rsidR="005225C5">
              <w:rPr>
                <w:rFonts w:cstheme="minorHAnsi"/>
                <w:snapToGrid w:val="0"/>
              </w:rPr>
              <w:t xml:space="preserve">, </w:t>
            </w:r>
            <w:r w:rsidR="005225C5">
              <w:rPr>
                <w:rFonts w:eastAsia="Calibri" w:cstheme="minorHAnsi"/>
                <w:snapToGrid w:val="0"/>
              </w:rPr>
              <w:t>PSD for MSAC application 1593, July 2020 MSAC meeting</w:t>
            </w:r>
            <w:r>
              <w:rPr>
                <w:rFonts w:cstheme="minorHAnsi"/>
                <w:snapToGrid w:val="0"/>
              </w:rPr>
              <w:t>).</w:t>
            </w:r>
          </w:p>
        </w:tc>
        <w:tc>
          <w:tcPr>
            <w:tcW w:w="2188" w:type="pct"/>
            <w:tcBorders>
              <w:top w:val="single" w:sz="4" w:space="0" w:color="auto"/>
              <w:left w:val="single" w:sz="4" w:space="0" w:color="auto"/>
              <w:bottom w:val="single" w:sz="4" w:space="0" w:color="auto"/>
              <w:right w:val="single" w:sz="4" w:space="0" w:color="auto"/>
            </w:tcBorders>
          </w:tcPr>
          <w:p w14:paraId="45C37479" w14:textId="5F923FD9" w:rsidR="00623E2D" w:rsidRDefault="00623E2D" w:rsidP="00121F5E">
            <w:pPr>
              <w:pStyle w:val="Tabletext0"/>
              <w:rPr>
                <w:rFonts w:eastAsiaTheme="minorHAnsi" w:cstheme="minorHAnsi"/>
                <w:snapToGrid w:val="0"/>
              </w:rPr>
            </w:pPr>
            <w:r>
              <w:rPr>
                <w:rFonts w:cstheme="minorHAnsi"/>
                <w:snapToGrid w:val="0"/>
              </w:rPr>
              <w:t xml:space="preserve">Partially </w:t>
            </w:r>
            <w:r w:rsidR="00AC24CA">
              <w:rPr>
                <w:rFonts w:cstheme="minorHAnsi"/>
                <w:snapToGrid w:val="0"/>
              </w:rPr>
              <w:t>addressed.</w:t>
            </w:r>
          </w:p>
          <w:p w14:paraId="11F64441" w14:textId="467720BC" w:rsidR="00623E2D" w:rsidRDefault="00623E2D" w:rsidP="00121F5E">
            <w:pPr>
              <w:pStyle w:val="Tabletext0"/>
              <w:rPr>
                <w:rFonts w:eastAsia="Calibri" w:cstheme="minorHAnsi"/>
                <w:snapToGrid w:val="0"/>
              </w:rPr>
            </w:pPr>
            <w:r>
              <w:rPr>
                <w:rFonts w:cstheme="minorHAnsi"/>
                <w:snapToGrid w:val="0"/>
              </w:rPr>
              <w:t xml:space="preserve">The ADAR provided two new economic models for </w:t>
            </w:r>
            <w:r w:rsidR="00AC24CA">
              <w:rPr>
                <w:rFonts w:cstheme="minorHAnsi"/>
                <w:snapToGrid w:val="0"/>
              </w:rPr>
              <w:t xml:space="preserve">the </w:t>
            </w:r>
            <w:r>
              <w:rPr>
                <w:rFonts w:cstheme="minorHAnsi"/>
                <w:snapToGrid w:val="0"/>
              </w:rPr>
              <w:t xml:space="preserve">two populations based on published literature </w:t>
            </w:r>
            <w:r w:rsidR="00AC24CA">
              <w:rPr>
                <w:rFonts w:cstheme="minorHAnsi"/>
                <w:snapToGrid w:val="0"/>
              </w:rPr>
              <w:t>including</w:t>
            </w:r>
            <w:r>
              <w:rPr>
                <w:rFonts w:cstheme="minorHAnsi"/>
                <w:snapToGrid w:val="0"/>
              </w:rPr>
              <w:t xml:space="preserve"> two </w:t>
            </w:r>
            <w:r w:rsidR="00AC24CA">
              <w:rPr>
                <w:rFonts w:cstheme="minorHAnsi"/>
                <w:snapToGrid w:val="0"/>
              </w:rPr>
              <w:t xml:space="preserve">new </w:t>
            </w:r>
            <w:r>
              <w:rPr>
                <w:rFonts w:cstheme="minorHAnsi"/>
                <w:snapToGrid w:val="0"/>
              </w:rPr>
              <w:t xml:space="preserve">RCTs, one for </w:t>
            </w:r>
            <w:r w:rsidR="00895086">
              <w:rPr>
                <w:rFonts w:cstheme="minorHAnsi"/>
                <w:snapToGrid w:val="0"/>
              </w:rPr>
              <w:t>Population 1</w:t>
            </w:r>
            <w:r>
              <w:rPr>
                <w:rFonts w:cstheme="minorHAnsi"/>
                <w:snapToGrid w:val="0"/>
              </w:rPr>
              <w:t xml:space="preserve"> (PTRCT)</w:t>
            </w:r>
            <w:r w:rsidR="00AC24CA">
              <w:rPr>
                <w:rFonts w:cstheme="minorHAnsi"/>
                <w:snapToGrid w:val="0"/>
              </w:rPr>
              <w:t>,</w:t>
            </w:r>
            <w:r>
              <w:rPr>
                <w:rFonts w:cstheme="minorHAnsi"/>
                <w:snapToGrid w:val="0"/>
              </w:rPr>
              <w:t xml:space="preserve"> </w:t>
            </w:r>
            <w:r w:rsidR="00AC24CA">
              <w:rPr>
                <w:rFonts w:eastAsia="Calibri" w:cstheme="minorHAnsi"/>
                <w:snapToGrid w:val="0"/>
              </w:rPr>
              <w:t xml:space="preserve">Camacho-Chacon et al, 2023, </w:t>
            </w:r>
            <w:r>
              <w:rPr>
                <w:rFonts w:cstheme="minorHAnsi"/>
                <w:snapToGrid w:val="0"/>
              </w:rPr>
              <w:t xml:space="preserve">and one for </w:t>
            </w:r>
            <w:r w:rsidR="00895086">
              <w:rPr>
                <w:rFonts w:cstheme="minorHAnsi"/>
                <w:snapToGrid w:val="0"/>
              </w:rPr>
              <w:t>Population 2</w:t>
            </w:r>
            <w:r>
              <w:rPr>
                <w:rFonts w:cstheme="minorHAnsi"/>
                <w:snapToGrid w:val="0"/>
              </w:rPr>
              <w:t xml:space="preserve"> (FTRCT)</w:t>
            </w:r>
            <w:r w:rsidR="00AC24CA">
              <w:rPr>
                <w:rFonts w:cstheme="minorHAnsi"/>
                <w:snapToGrid w:val="0"/>
              </w:rPr>
              <w:t xml:space="preserve">, </w:t>
            </w:r>
            <w:r w:rsidR="00AC24CA">
              <w:rPr>
                <w:rFonts w:cstheme="minorHAnsi"/>
              </w:rPr>
              <w:t xml:space="preserve">Ruiz </w:t>
            </w:r>
            <w:proofErr w:type="spellStart"/>
            <w:r w:rsidR="00262ECD">
              <w:rPr>
                <w:rFonts w:cstheme="minorHAnsi"/>
              </w:rPr>
              <w:t>Ibán</w:t>
            </w:r>
            <w:proofErr w:type="spellEnd"/>
            <w:r w:rsidR="00AC24CA">
              <w:rPr>
                <w:rFonts w:cstheme="minorHAnsi"/>
              </w:rPr>
              <w:t xml:space="preserve"> et al.,2023</w:t>
            </w:r>
            <w:r>
              <w:rPr>
                <w:rFonts w:cstheme="minorHAnsi"/>
                <w:snapToGrid w:val="0"/>
              </w:rPr>
              <w:t>.</w:t>
            </w:r>
            <w:r w:rsidR="00A96C9B">
              <w:rPr>
                <w:rFonts w:cstheme="minorHAnsi"/>
                <w:snapToGrid w:val="0"/>
              </w:rPr>
              <w:t xml:space="preserve"> </w:t>
            </w:r>
            <w:r>
              <w:rPr>
                <w:rFonts w:cstheme="minorHAnsi"/>
                <w:snapToGrid w:val="0"/>
              </w:rPr>
              <w:t xml:space="preserve">These models differed from the previous </w:t>
            </w:r>
            <w:r w:rsidR="00DE0A5A">
              <w:rPr>
                <w:rFonts w:cstheme="minorHAnsi"/>
                <w:snapToGrid w:val="0"/>
              </w:rPr>
              <w:t>application</w:t>
            </w:r>
            <w:r>
              <w:rPr>
                <w:rFonts w:cstheme="minorHAnsi"/>
                <w:snapToGrid w:val="0"/>
              </w:rPr>
              <w:t>.</w:t>
            </w:r>
            <w:r w:rsidR="00AC24CA">
              <w:rPr>
                <w:rFonts w:cstheme="minorHAnsi"/>
                <w:snapToGrid w:val="0"/>
              </w:rPr>
              <w:t xml:space="preserve"> </w:t>
            </w:r>
            <w:r>
              <w:rPr>
                <w:rFonts w:eastAsia="Calibri" w:cstheme="minorHAnsi"/>
                <w:snapToGrid w:val="0"/>
              </w:rPr>
              <w:t xml:space="preserve">However, the commentary noted several issues with the economic evaluations, and these </w:t>
            </w:r>
            <w:r w:rsidR="00AC24CA">
              <w:rPr>
                <w:rFonts w:eastAsia="Calibri" w:cstheme="minorHAnsi"/>
                <w:snapToGrid w:val="0"/>
              </w:rPr>
              <w:t>are</w:t>
            </w:r>
            <w:r>
              <w:rPr>
                <w:rFonts w:eastAsia="Calibri" w:cstheme="minorHAnsi"/>
                <w:snapToGrid w:val="0"/>
              </w:rPr>
              <w:t xml:space="preserve"> discussed in detail in the relevant sections.</w:t>
            </w:r>
          </w:p>
        </w:tc>
      </w:tr>
      <w:tr w:rsidR="00623E2D" w14:paraId="44D0170B" w14:textId="77777777" w:rsidTr="00D6582E">
        <w:tc>
          <w:tcPr>
            <w:tcW w:w="625" w:type="pct"/>
            <w:vMerge/>
            <w:tcBorders>
              <w:left w:val="single" w:sz="4" w:space="0" w:color="auto"/>
              <w:right w:val="single" w:sz="4" w:space="0" w:color="auto"/>
            </w:tcBorders>
          </w:tcPr>
          <w:p w14:paraId="70AEB0F1"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78C70E6D" w14:textId="5AC96E6D" w:rsidR="00623E2D" w:rsidRDefault="00623E2D" w:rsidP="00121F5E">
            <w:pPr>
              <w:pStyle w:val="Tabletext0"/>
              <w:rPr>
                <w:rFonts w:eastAsia="Calibri" w:cstheme="minorHAnsi"/>
              </w:rPr>
            </w:pPr>
            <w:r>
              <w:rPr>
                <w:rFonts w:cstheme="minorHAnsi"/>
              </w:rPr>
              <w:t xml:space="preserve">The economic model assumes non-inferior safety, which is uncertain, and superior functional outcomes, for which there is no evidence </w:t>
            </w:r>
            <w:r>
              <w:rPr>
                <w:rFonts w:cstheme="minorHAnsi"/>
                <w:snapToGrid w:val="0"/>
              </w:rPr>
              <w:t>(p</w:t>
            </w:r>
            <w:r w:rsidR="007E2318">
              <w:rPr>
                <w:rFonts w:cstheme="minorHAnsi"/>
                <w:snapToGrid w:val="0"/>
              </w:rPr>
              <w:t>g</w:t>
            </w:r>
            <w:r>
              <w:rPr>
                <w:rFonts w:cstheme="minorHAnsi"/>
                <w:snapToGrid w:val="0"/>
              </w:rPr>
              <w:t>3</w:t>
            </w:r>
            <w:r w:rsidR="005225C5">
              <w:rPr>
                <w:rFonts w:cstheme="minorHAnsi"/>
                <w:snapToGrid w:val="0"/>
              </w:rPr>
              <w:t xml:space="preserve">, </w:t>
            </w:r>
            <w:r w:rsidR="005225C5">
              <w:rPr>
                <w:rFonts w:eastAsia="Calibri" w:cstheme="minorHAnsi"/>
                <w:snapToGrid w:val="0"/>
              </w:rPr>
              <w:t>PSD for MSAC application 1593, July 2020 MSAC meeting</w:t>
            </w:r>
            <w:r>
              <w:rPr>
                <w:rFonts w:cstheme="minorHAnsi"/>
                <w:snapToGrid w:val="0"/>
              </w:rPr>
              <w:t>).</w:t>
            </w:r>
          </w:p>
        </w:tc>
        <w:tc>
          <w:tcPr>
            <w:tcW w:w="2188" w:type="pct"/>
            <w:tcBorders>
              <w:top w:val="single" w:sz="4" w:space="0" w:color="auto"/>
              <w:left w:val="single" w:sz="4" w:space="0" w:color="auto"/>
              <w:bottom w:val="single" w:sz="4" w:space="0" w:color="auto"/>
              <w:right w:val="single" w:sz="4" w:space="0" w:color="auto"/>
            </w:tcBorders>
            <w:hideMark/>
          </w:tcPr>
          <w:p w14:paraId="078155A0" w14:textId="4A5A2EF4" w:rsidR="00623E2D" w:rsidRDefault="00623E2D" w:rsidP="00121F5E">
            <w:pPr>
              <w:pStyle w:val="Tabletext0"/>
              <w:rPr>
                <w:rFonts w:eastAsiaTheme="minorHAnsi" w:cstheme="minorHAnsi"/>
                <w:snapToGrid w:val="0"/>
              </w:rPr>
            </w:pPr>
            <w:r>
              <w:rPr>
                <w:rFonts w:cstheme="minorHAnsi"/>
                <w:snapToGrid w:val="0"/>
              </w:rPr>
              <w:t xml:space="preserve">Partially </w:t>
            </w:r>
            <w:r w:rsidR="00AC24CA">
              <w:rPr>
                <w:rFonts w:cstheme="minorHAnsi"/>
                <w:snapToGrid w:val="0"/>
              </w:rPr>
              <w:t>addressed.</w:t>
            </w:r>
          </w:p>
          <w:p w14:paraId="07BE8F81" w14:textId="632FB3F5" w:rsidR="00623E2D" w:rsidRDefault="00623E2D" w:rsidP="00121F5E">
            <w:pPr>
              <w:pStyle w:val="Tabletext0"/>
              <w:rPr>
                <w:rFonts w:cstheme="minorHAnsi"/>
                <w:snapToGrid w:val="0"/>
              </w:rPr>
            </w:pPr>
            <w:r>
              <w:rPr>
                <w:rFonts w:cstheme="minorHAnsi"/>
                <w:snapToGrid w:val="0"/>
              </w:rPr>
              <w:t xml:space="preserve">The ADAR addressed these issues. However, the commentary considered the safety and effectiveness evidence </w:t>
            </w:r>
            <w:r w:rsidR="00776C92">
              <w:rPr>
                <w:rFonts w:cstheme="minorHAnsi"/>
                <w:snapToGrid w:val="0"/>
              </w:rPr>
              <w:t xml:space="preserve">is </w:t>
            </w:r>
            <w:r>
              <w:rPr>
                <w:rFonts w:cstheme="minorHAnsi"/>
                <w:snapToGrid w:val="0"/>
              </w:rPr>
              <w:t xml:space="preserve">still uncertain due </w:t>
            </w:r>
            <w:proofErr w:type="gramStart"/>
            <w:r>
              <w:rPr>
                <w:rFonts w:cstheme="minorHAnsi"/>
                <w:snapToGrid w:val="0"/>
              </w:rPr>
              <w:t>to</w:t>
            </w:r>
            <w:r w:rsidR="007650B6">
              <w:rPr>
                <w:rFonts w:cstheme="minorHAnsi"/>
                <w:snapToGrid w:val="0"/>
              </w:rPr>
              <w:t>;</w:t>
            </w:r>
            <w:proofErr w:type="gramEnd"/>
          </w:p>
          <w:p w14:paraId="3493FA11" w14:textId="7C9E298E" w:rsidR="00623E2D" w:rsidRDefault="00623E2D" w:rsidP="005A42D2">
            <w:pPr>
              <w:pStyle w:val="Tabletext0"/>
              <w:numPr>
                <w:ilvl w:val="0"/>
                <w:numId w:val="14"/>
              </w:numPr>
              <w:ind w:left="173" w:hanging="142"/>
              <w:rPr>
                <w:rFonts w:cstheme="minorHAnsi"/>
                <w:snapToGrid w:val="0"/>
              </w:rPr>
            </w:pPr>
            <w:r>
              <w:rPr>
                <w:rFonts w:cstheme="minorHAnsi"/>
                <w:snapToGrid w:val="0"/>
              </w:rPr>
              <w:t xml:space="preserve">the Camacho-Chacon et al, 2023 </w:t>
            </w:r>
            <w:r w:rsidR="003A0F7E">
              <w:rPr>
                <w:rFonts w:cstheme="minorHAnsi"/>
                <w:snapToGrid w:val="0"/>
              </w:rPr>
              <w:t>trial</w:t>
            </w:r>
            <w:r>
              <w:rPr>
                <w:rFonts w:cstheme="minorHAnsi"/>
                <w:snapToGrid w:val="0"/>
              </w:rPr>
              <w:t xml:space="preserve"> not being relevant for </w:t>
            </w:r>
            <w:r w:rsidR="00895086">
              <w:rPr>
                <w:rFonts w:cstheme="minorHAnsi"/>
                <w:snapToGrid w:val="0"/>
              </w:rPr>
              <w:t>Population 1</w:t>
            </w:r>
            <w:r>
              <w:rPr>
                <w:rFonts w:cstheme="minorHAnsi"/>
                <w:snapToGrid w:val="0"/>
              </w:rPr>
              <w:t xml:space="preserve"> and the effectiveness measure calculations (i.e., average improvement in ASES score over time) in the model not being accurate.</w:t>
            </w:r>
          </w:p>
          <w:p w14:paraId="2BED2C7A" w14:textId="3817B67D" w:rsidR="00623E2D" w:rsidRDefault="00623E2D" w:rsidP="005A42D2">
            <w:pPr>
              <w:pStyle w:val="Tabletext0"/>
              <w:numPr>
                <w:ilvl w:val="0"/>
                <w:numId w:val="14"/>
              </w:numPr>
              <w:ind w:left="173" w:hanging="142"/>
              <w:rPr>
                <w:rFonts w:eastAsia="Calibri" w:cstheme="minorHAnsi"/>
                <w:snapToGrid w:val="0"/>
              </w:rPr>
            </w:pPr>
            <w:r w:rsidRPr="007523BA">
              <w:rPr>
                <w:rFonts w:cstheme="minorHAnsi"/>
                <w:snapToGrid w:val="0"/>
              </w:rPr>
              <w:t xml:space="preserve">In the </w:t>
            </w:r>
            <w:r w:rsidR="00895086" w:rsidRPr="007523BA">
              <w:rPr>
                <w:rFonts w:cstheme="minorHAnsi"/>
                <w:snapToGrid w:val="0"/>
              </w:rPr>
              <w:t>Population 2</w:t>
            </w:r>
            <w:r w:rsidRPr="007523BA">
              <w:rPr>
                <w:rFonts w:cstheme="minorHAnsi"/>
                <w:snapToGrid w:val="0"/>
              </w:rPr>
              <w:t xml:space="preserve"> economic model, the health state utilities </w:t>
            </w:r>
            <w:r w:rsidR="00067657">
              <w:rPr>
                <w:rFonts w:cstheme="minorHAnsi"/>
                <w:snapToGrid w:val="0"/>
              </w:rPr>
              <w:t xml:space="preserve">and </w:t>
            </w:r>
            <w:r w:rsidR="00067657" w:rsidRPr="007523BA">
              <w:rPr>
                <w:rFonts w:cstheme="minorHAnsi"/>
                <w:snapToGrid w:val="0"/>
              </w:rPr>
              <w:t xml:space="preserve">transition probabilities </w:t>
            </w:r>
            <w:r w:rsidRPr="007523BA">
              <w:rPr>
                <w:rFonts w:cstheme="minorHAnsi"/>
                <w:snapToGrid w:val="0"/>
              </w:rPr>
              <w:t xml:space="preserve">were </w:t>
            </w:r>
            <w:r w:rsidR="00A31049">
              <w:rPr>
                <w:rFonts w:cstheme="minorHAnsi"/>
                <w:snapToGrid w:val="0"/>
              </w:rPr>
              <w:t xml:space="preserve">not </w:t>
            </w:r>
            <w:r w:rsidRPr="007523BA">
              <w:rPr>
                <w:rFonts w:cstheme="minorHAnsi"/>
                <w:snapToGrid w:val="0"/>
              </w:rPr>
              <w:t>relevant</w:t>
            </w:r>
            <w:r w:rsidR="00067657">
              <w:rPr>
                <w:rFonts w:cstheme="minorHAnsi"/>
                <w:snapToGrid w:val="0"/>
              </w:rPr>
              <w:t>.</w:t>
            </w:r>
            <w:r w:rsidRPr="007523BA">
              <w:rPr>
                <w:rFonts w:cstheme="minorHAnsi"/>
                <w:snapToGrid w:val="0"/>
              </w:rPr>
              <w:t xml:space="preserve"> </w:t>
            </w:r>
          </w:p>
        </w:tc>
      </w:tr>
      <w:tr w:rsidR="00623E2D" w14:paraId="2DD99BFC" w14:textId="77777777" w:rsidTr="00D6582E">
        <w:tc>
          <w:tcPr>
            <w:tcW w:w="625" w:type="pct"/>
            <w:vMerge/>
            <w:tcBorders>
              <w:left w:val="single" w:sz="4" w:space="0" w:color="auto"/>
              <w:right w:val="single" w:sz="4" w:space="0" w:color="auto"/>
            </w:tcBorders>
            <w:vAlign w:val="center"/>
          </w:tcPr>
          <w:p w14:paraId="7E10C8D9"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vAlign w:val="center"/>
            <w:hideMark/>
          </w:tcPr>
          <w:p w14:paraId="1C45C099" w14:textId="3F5461E0" w:rsidR="00623E2D" w:rsidRDefault="00623E2D" w:rsidP="006D479E">
            <w:pPr>
              <w:pStyle w:val="Tabletext0"/>
              <w:spacing w:before="0"/>
              <w:rPr>
                <w:rFonts w:cstheme="minorHAnsi"/>
              </w:rPr>
            </w:pPr>
            <w:r>
              <w:rPr>
                <w:rFonts w:cstheme="minorHAnsi"/>
              </w:rPr>
              <w:t>MSAC considered it inappropriate that the ADAR model relied heavily on imaging outcomes (p</w:t>
            </w:r>
            <w:r w:rsidR="007E2318">
              <w:rPr>
                <w:rFonts w:cstheme="minorHAnsi"/>
              </w:rPr>
              <w:t>g</w:t>
            </w:r>
            <w:r>
              <w:rPr>
                <w:rFonts w:cstheme="minorHAnsi"/>
              </w:rPr>
              <w:t>3</w:t>
            </w:r>
            <w:r w:rsidR="005225C5">
              <w:rPr>
                <w:rFonts w:cstheme="minorHAnsi"/>
              </w:rPr>
              <w:t xml:space="preserve">, </w:t>
            </w:r>
            <w:r w:rsidR="005225C5">
              <w:rPr>
                <w:rFonts w:eastAsia="Calibri" w:cstheme="minorHAnsi"/>
                <w:snapToGrid w:val="0"/>
              </w:rPr>
              <w:t>PSD for MSAC application 1593, July 2020 MSAC meeting</w:t>
            </w:r>
            <w:r>
              <w:rPr>
                <w:rFonts w:cstheme="minorHAnsi"/>
              </w:rPr>
              <w:t>)</w:t>
            </w:r>
            <w:r w:rsidR="006D479E">
              <w:rPr>
                <w:rFonts w:cstheme="minorHAnsi"/>
              </w:rPr>
              <w:t>.</w:t>
            </w:r>
          </w:p>
          <w:p w14:paraId="64F63473" w14:textId="7E8749DB" w:rsidR="006D479E" w:rsidRDefault="006D479E" w:rsidP="00B821D3">
            <w:pPr>
              <w:pStyle w:val="Tabletext0"/>
              <w:spacing w:before="0"/>
              <w:rPr>
                <w:rFonts w:cstheme="minorHAnsi"/>
              </w:rPr>
            </w:pPr>
          </w:p>
        </w:tc>
        <w:tc>
          <w:tcPr>
            <w:tcW w:w="2188" w:type="pct"/>
            <w:tcBorders>
              <w:top w:val="single" w:sz="4" w:space="0" w:color="auto"/>
              <w:left w:val="single" w:sz="4" w:space="0" w:color="auto"/>
              <w:bottom w:val="single" w:sz="4" w:space="0" w:color="auto"/>
              <w:right w:val="single" w:sz="4" w:space="0" w:color="auto"/>
            </w:tcBorders>
            <w:hideMark/>
          </w:tcPr>
          <w:p w14:paraId="54471749" w14:textId="77777777" w:rsidR="00623E2D" w:rsidRDefault="00623E2D" w:rsidP="00121F5E">
            <w:pPr>
              <w:pStyle w:val="Tabletext0"/>
              <w:rPr>
                <w:rFonts w:cstheme="minorHAnsi"/>
                <w:snapToGrid w:val="0"/>
              </w:rPr>
            </w:pPr>
            <w:r>
              <w:rPr>
                <w:rFonts w:cstheme="minorHAnsi"/>
                <w:snapToGrid w:val="0"/>
              </w:rPr>
              <w:t>Partially addressed</w:t>
            </w:r>
          </w:p>
          <w:p w14:paraId="465540DB" w14:textId="77777777" w:rsidR="00623E2D" w:rsidRDefault="00623E2D" w:rsidP="00121F5E">
            <w:pPr>
              <w:pStyle w:val="Tabletext0"/>
              <w:rPr>
                <w:rFonts w:cstheme="minorHAnsi"/>
                <w:snapToGrid w:val="0"/>
              </w:rPr>
            </w:pPr>
            <w:r>
              <w:rPr>
                <w:rFonts w:cstheme="minorHAnsi"/>
                <w:snapToGrid w:val="0"/>
              </w:rPr>
              <w:t xml:space="preserve">For Population1, the main effectiveness measure was based on the ASES score, which is a functional score. </w:t>
            </w:r>
          </w:p>
          <w:p w14:paraId="4FA5FCA1" w14:textId="021995C4" w:rsidR="00623E2D" w:rsidRDefault="00623E2D" w:rsidP="00121F5E">
            <w:pPr>
              <w:pStyle w:val="Tabletext0"/>
              <w:rPr>
                <w:rFonts w:cstheme="minorHAnsi"/>
                <w:snapToGrid w:val="0"/>
              </w:rPr>
            </w:pPr>
            <w:r>
              <w:rPr>
                <w:rFonts w:cstheme="minorHAnsi"/>
                <w:snapToGrid w:val="0"/>
              </w:rPr>
              <w:t xml:space="preserve">However, for </w:t>
            </w:r>
            <w:r w:rsidR="00895086">
              <w:rPr>
                <w:rFonts w:cstheme="minorHAnsi"/>
                <w:snapToGrid w:val="0"/>
              </w:rPr>
              <w:t>Population 2</w:t>
            </w:r>
            <w:r>
              <w:rPr>
                <w:rFonts w:cstheme="minorHAnsi"/>
                <w:snapToGrid w:val="0"/>
              </w:rPr>
              <w:t xml:space="preserve">, the retear rates were assessed by MRI. </w:t>
            </w:r>
          </w:p>
        </w:tc>
      </w:tr>
      <w:tr w:rsidR="00623E2D" w14:paraId="2D484A91" w14:textId="77777777" w:rsidTr="00D6582E">
        <w:tc>
          <w:tcPr>
            <w:tcW w:w="625" w:type="pct"/>
            <w:vMerge/>
            <w:tcBorders>
              <w:left w:val="single" w:sz="4" w:space="0" w:color="auto"/>
              <w:right w:val="single" w:sz="4" w:space="0" w:color="auto"/>
            </w:tcBorders>
          </w:tcPr>
          <w:p w14:paraId="1041D0D1" w14:textId="77777777" w:rsidR="00623E2D" w:rsidRDefault="00623E2D" w:rsidP="00121F5E">
            <w:pPr>
              <w:pStyle w:val="Tabletext0"/>
              <w:rPr>
                <w:rFonts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47F4933A" w14:textId="233B91D0" w:rsidR="00623E2D" w:rsidRDefault="00623E2D" w:rsidP="00121F5E">
            <w:pPr>
              <w:pStyle w:val="Tabletext0"/>
              <w:rPr>
                <w:rFonts w:eastAsia="Calibri" w:cstheme="minorHAnsi"/>
              </w:rPr>
            </w:pPr>
            <w:r>
              <w:rPr>
                <w:rFonts w:cstheme="minorHAnsi"/>
              </w:rPr>
              <w:t xml:space="preserve">MSAC also agreed with ESC, which noted several other structural issues with the model </w:t>
            </w:r>
            <w:r>
              <w:rPr>
                <w:rFonts w:cstheme="minorHAnsi"/>
                <w:snapToGrid w:val="0"/>
              </w:rPr>
              <w:t>(p</w:t>
            </w:r>
            <w:r w:rsidR="007E2318">
              <w:rPr>
                <w:rFonts w:cstheme="minorHAnsi"/>
                <w:snapToGrid w:val="0"/>
              </w:rPr>
              <w:t>g</w:t>
            </w:r>
            <w:r>
              <w:rPr>
                <w:rFonts w:cstheme="minorHAnsi"/>
                <w:snapToGrid w:val="0"/>
              </w:rPr>
              <w:t>3</w:t>
            </w:r>
            <w:r w:rsidR="005225C5">
              <w:rPr>
                <w:rFonts w:cstheme="minorHAnsi"/>
                <w:snapToGrid w:val="0"/>
              </w:rPr>
              <w:t xml:space="preserve">, </w:t>
            </w:r>
            <w:r w:rsidR="005225C5">
              <w:rPr>
                <w:rFonts w:eastAsia="Calibri" w:cstheme="minorHAnsi"/>
                <w:snapToGrid w:val="0"/>
              </w:rPr>
              <w:t>PSD for MSAC application 1593, July 2020 MSAC meeting</w:t>
            </w:r>
            <w:r>
              <w:rPr>
                <w:rFonts w:cstheme="minorHAnsi"/>
                <w:snapToGrid w:val="0"/>
              </w:rPr>
              <w:t>).</w:t>
            </w:r>
          </w:p>
        </w:tc>
        <w:tc>
          <w:tcPr>
            <w:tcW w:w="2188" w:type="pct"/>
            <w:tcBorders>
              <w:top w:val="single" w:sz="4" w:space="0" w:color="auto"/>
              <w:left w:val="single" w:sz="4" w:space="0" w:color="auto"/>
              <w:bottom w:val="single" w:sz="4" w:space="0" w:color="auto"/>
              <w:right w:val="single" w:sz="4" w:space="0" w:color="auto"/>
            </w:tcBorders>
          </w:tcPr>
          <w:p w14:paraId="0CC105D8" w14:textId="77777777" w:rsidR="00623E2D" w:rsidRDefault="00623E2D" w:rsidP="00121F5E">
            <w:pPr>
              <w:pStyle w:val="Tabletext0"/>
              <w:rPr>
                <w:rFonts w:eastAsiaTheme="minorHAnsi" w:cstheme="minorHAnsi"/>
                <w:snapToGrid w:val="0"/>
              </w:rPr>
            </w:pPr>
            <w:r>
              <w:rPr>
                <w:rFonts w:cstheme="minorHAnsi"/>
                <w:snapToGrid w:val="0"/>
              </w:rPr>
              <w:t>Partially addressed</w:t>
            </w:r>
          </w:p>
          <w:p w14:paraId="6409E6EA" w14:textId="52A78DC0" w:rsidR="00623E2D" w:rsidRDefault="00623E2D" w:rsidP="00121F5E">
            <w:pPr>
              <w:pStyle w:val="Tabletext0"/>
              <w:rPr>
                <w:rFonts w:cstheme="minorHAnsi"/>
                <w:snapToGrid w:val="0"/>
              </w:rPr>
            </w:pPr>
            <w:r>
              <w:rPr>
                <w:rFonts w:cstheme="minorHAnsi"/>
                <w:snapToGrid w:val="0"/>
              </w:rPr>
              <w:t xml:space="preserve">A new model </w:t>
            </w:r>
            <w:r w:rsidR="00A96C9B">
              <w:rPr>
                <w:rFonts w:cstheme="minorHAnsi"/>
                <w:snapToGrid w:val="0"/>
              </w:rPr>
              <w:t xml:space="preserve">had </w:t>
            </w:r>
            <w:r>
              <w:rPr>
                <w:rFonts w:cstheme="minorHAnsi"/>
                <w:snapToGrid w:val="0"/>
              </w:rPr>
              <w:t xml:space="preserve">been developed and presented for both populations with a time horizon of </w:t>
            </w:r>
            <w:r w:rsidR="0046679D">
              <w:rPr>
                <w:rFonts w:cstheme="minorHAnsi"/>
                <w:snapToGrid w:val="0"/>
              </w:rPr>
              <w:t xml:space="preserve">two </w:t>
            </w:r>
            <w:r>
              <w:rPr>
                <w:rFonts w:cstheme="minorHAnsi"/>
                <w:snapToGrid w:val="0"/>
              </w:rPr>
              <w:t xml:space="preserve">years. </w:t>
            </w:r>
          </w:p>
          <w:p w14:paraId="6AEC88BB" w14:textId="75E2D8EE" w:rsidR="00623E2D" w:rsidRDefault="00623E2D" w:rsidP="00121F5E">
            <w:pPr>
              <w:pStyle w:val="Tabletext0"/>
              <w:rPr>
                <w:rFonts w:eastAsia="Calibri" w:cstheme="minorHAnsi"/>
              </w:rPr>
            </w:pPr>
            <w:r>
              <w:rPr>
                <w:rFonts w:eastAsia="Calibri" w:cstheme="minorHAnsi"/>
              </w:rPr>
              <w:t xml:space="preserve">For PTRCT, a cost effectiveness analysis was presented using a decision tree model with </w:t>
            </w:r>
            <w:r w:rsidR="002A1887">
              <w:rPr>
                <w:rFonts w:eastAsia="Calibri" w:cstheme="minorHAnsi"/>
              </w:rPr>
              <w:t>change in ‘</w:t>
            </w:r>
            <w:r w:rsidR="0022598A">
              <w:rPr>
                <w:rFonts w:eastAsia="Calibri" w:cstheme="minorHAnsi"/>
              </w:rPr>
              <w:t>MCID</w:t>
            </w:r>
            <w:r w:rsidR="002A1887">
              <w:rPr>
                <w:rFonts w:eastAsia="Calibri" w:cstheme="minorHAnsi"/>
              </w:rPr>
              <w:t>’</w:t>
            </w:r>
            <w:r w:rsidR="0022598A">
              <w:rPr>
                <w:rFonts w:eastAsia="Calibri" w:cstheme="minorHAnsi"/>
              </w:rPr>
              <w:t xml:space="preserve"> </w:t>
            </w:r>
            <w:r w:rsidR="002A1887">
              <w:rPr>
                <w:rFonts w:eastAsia="Calibri" w:cstheme="minorHAnsi"/>
              </w:rPr>
              <w:t xml:space="preserve">(defined as a </w:t>
            </w:r>
            <w:proofErr w:type="gramStart"/>
            <w:r w:rsidR="002A1887">
              <w:rPr>
                <w:rFonts w:eastAsia="Calibri" w:cstheme="minorHAnsi"/>
              </w:rPr>
              <w:t>15.5 point</w:t>
            </w:r>
            <w:proofErr w:type="gramEnd"/>
            <w:r w:rsidR="002A1887">
              <w:rPr>
                <w:rFonts w:eastAsia="Calibri" w:cstheme="minorHAnsi"/>
              </w:rPr>
              <w:t xml:space="preserve"> </w:t>
            </w:r>
            <w:r>
              <w:rPr>
                <w:rFonts w:eastAsia="Calibri" w:cstheme="minorHAnsi"/>
              </w:rPr>
              <w:t>change in the ASES score</w:t>
            </w:r>
            <w:r w:rsidR="002A1887">
              <w:rPr>
                <w:rFonts w:eastAsia="Calibri" w:cstheme="minorHAnsi"/>
              </w:rPr>
              <w:t>)</w:t>
            </w:r>
            <w:r>
              <w:rPr>
                <w:rFonts w:eastAsia="Calibri" w:cstheme="minorHAnsi"/>
              </w:rPr>
              <w:t xml:space="preserve"> as an outcome measure. Of note, the health outcome was sourced directly from an RCT</w:t>
            </w:r>
            <w:r>
              <w:rPr>
                <w:rFonts w:eastAsia="Calibri" w:cstheme="minorHAnsi"/>
              </w:rPr>
              <w:fldChar w:fldCharType="begin"/>
            </w:r>
            <w:r>
              <w:rPr>
                <w:rFonts w:eastAsia="Calibri" w:cstheme="minorHAnsi"/>
              </w:rPr>
              <w:instrText xml:space="preserve"> ADDIN EN.CITE &lt;EndNote&gt;&lt;Cite&gt;&lt;Author&gt;Camacho-Chacon&lt;/Author&gt;&lt;Year&gt;2022&lt;/Year&gt;&lt;RecNum&gt;48&lt;/RecNum&gt;&lt;DisplayText&gt;(Camacho-Chacon et al., 2022)&lt;/DisplayText&gt;&lt;record&gt;&lt;rec-number&gt;48&lt;/rec-number&gt;&lt;foreign-keys&gt;&lt;key app="EN" db-id="deepadt5vww2vpef95c5aps5fz05ewzfxtwz" timestamp="1679033063"&gt;48&lt;/key&gt;&lt;/foreign-keys&gt;&lt;ref-type name="Journal Article"&gt;17&lt;/ref-type&gt;&lt;contributors&gt;&lt;authors&gt;&lt;author&gt;Camacho-Chacon, J. A.&lt;/author&gt;&lt;author&gt;Cuenca-Espierrez, J.&lt;/author&gt;&lt;author&gt;Roda-Rojo, V.&lt;/author&gt;&lt;author&gt;Martin-Martinez, A.&lt;/author&gt;&lt;author&gt;Calderon-Meza, J. M.&lt;/author&gt;&lt;author&gt;Alvarez-Alegret, R.&lt;/author&gt;&lt;author&gt;Martin-Hernandez, C.&lt;/author&gt;&lt;/authors&gt;&lt;/contributors&gt;&lt;auth-address&gt;Instituto Aragones de ortopedia, traumatologia y medicina regenerativa (IATR), C/ Los Andes 1 Bajo 2, 50012, Zaragoza, Spain.&amp;#xD;Hospital Universitario Miguel Servet, IIS Aragon, Paseo Isabel la Catolica 1-3, 50009, Zaragoza, Spain.&amp;#xD;Hospital Universitario Miguel Servet, IIS Aragon, Paseo Isabel la Catolica 1-3, 50009, Zaragoza, Spain. cmartinh@me.com.&lt;/auth-address&gt;&lt;titles&gt;&lt;title&gt;Bioinductive collagen implants facilitate tendon regeneration in rotator cuff tears&lt;/title&gt;&lt;secondary-title&gt;J Exp Orthop&lt;/secondary-title&gt;&lt;/titles&gt;&lt;periodical&gt;&lt;full-title&gt;J Exp Orthop&lt;/full-title&gt;&lt;/periodical&gt;&lt;pages&gt;53&lt;/pages&gt;&lt;volume&gt;9&lt;/volume&gt;&lt;number&gt;1&lt;/number&gt;&lt;edition&gt;20220608&lt;/edition&gt;&lt;dates&gt;&lt;year&gt;2022&lt;/year&gt;&lt;pub-dates&gt;&lt;date&gt;Jun 8&lt;/date&gt;&lt;/pub-dates&gt;&lt;/dates&gt;&lt;isbn&gt;2197-1153 (Print)&amp;#xD;2197-1153 (Electronic)&amp;#xD;2197-1153 (Linking)&lt;/isbn&gt;&lt;accession-num&gt;35674990&lt;/accession-num&gt;&lt;urls&gt;&lt;related-urls&gt;&lt;url&gt;https://www.ncbi.nlm.nih.gov/pubmed/35674990&lt;/url&gt;&lt;url&gt;https://www.ncbi.nlm.nih.gov/pmc/articles/PMC9177905/pdf/40634_2022_Article_495.pdf&lt;/url&gt;&lt;/related-urls&gt;&lt;/urls&gt;&lt;custom1&gt;Authors report no conflict of interest.&lt;/custom1&gt;&lt;custom2&gt;PMC9177905&lt;/custom2&gt;&lt;electronic-resource-num&gt;10.1186/s40634-022-00495-7&lt;/electronic-resource-num&gt;&lt;/record&gt;&lt;/Cite&gt;&lt;/EndNote&gt;</w:instrText>
            </w:r>
            <w:r>
              <w:rPr>
                <w:rFonts w:eastAsia="Calibri" w:cstheme="minorHAnsi"/>
              </w:rPr>
              <w:fldChar w:fldCharType="separate"/>
            </w:r>
            <w:r>
              <w:rPr>
                <w:rFonts w:eastAsia="Calibri" w:cstheme="minorHAnsi"/>
                <w:noProof/>
              </w:rPr>
              <w:t>(Camacho-Chacon et al., 2023)</w:t>
            </w:r>
            <w:r>
              <w:rPr>
                <w:rFonts w:eastAsia="Calibri" w:cstheme="minorHAnsi"/>
              </w:rPr>
              <w:fldChar w:fldCharType="end"/>
            </w:r>
            <w:r>
              <w:rPr>
                <w:rFonts w:eastAsia="Calibri" w:cstheme="minorHAnsi"/>
              </w:rPr>
              <w:t xml:space="preserve">, which </w:t>
            </w:r>
            <w:r w:rsidR="0046679D">
              <w:rPr>
                <w:rFonts w:eastAsia="Calibri" w:cstheme="minorHAnsi"/>
              </w:rPr>
              <w:t>was</w:t>
            </w:r>
            <w:r>
              <w:rPr>
                <w:rFonts w:eastAsia="Calibri" w:cstheme="minorHAnsi"/>
              </w:rPr>
              <w:t xml:space="preserve"> not relevant for this population.</w:t>
            </w:r>
          </w:p>
          <w:p w14:paraId="17EE553A" w14:textId="67AC86DD" w:rsidR="00623E2D" w:rsidRDefault="00623E2D" w:rsidP="00121F5E">
            <w:pPr>
              <w:pStyle w:val="Tabletext0"/>
              <w:rPr>
                <w:rFonts w:eastAsia="Calibri" w:cstheme="minorHAnsi"/>
                <w:snapToGrid w:val="0"/>
              </w:rPr>
            </w:pPr>
            <w:r>
              <w:rPr>
                <w:rFonts w:eastAsia="Calibri" w:cstheme="minorHAnsi"/>
              </w:rPr>
              <w:t>For FTRCT, a cost utility analysis was presented using a decision tree model that was based on a recent publication by McIntyre</w:t>
            </w:r>
            <w:r w:rsidR="0046679D">
              <w:rPr>
                <w:rFonts w:eastAsia="Calibri" w:cstheme="minorHAnsi"/>
              </w:rPr>
              <w:t xml:space="preserve"> et al., 2023</w:t>
            </w:r>
            <w:r>
              <w:rPr>
                <w:rFonts w:eastAsia="Calibri" w:cstheme="minorHAnsi"/>
              </w:rPr>
              <w:t xml:space="preserve"> and the model </w:t>
            </w:r>
            <w:r w:rsidR="00A96C9B">
              <w:rPr>
                <w:rFonts w:eastAsia="Calibri" w:cstheme="minorHAnsi"/>
              </w:rPr>
              <w:t xml:space="preserve">was </w:t>
            </w:r>
            <w:r>
              <w:rPr>
                <w:rFonts w:eastAsia="Calibri" w:cstheme="minorHAnsi"/>
              </w:rPr>
              <w:t>modified to include QALYs as the health outcome.</w:t>
            </w:r>
          </w:p>
        </w:tc>
      </w:tr>
      <w:tr w:rsidR="00071A77" w14:paraId="11FE0B65" w14:textId="77777777" w:rsidTr="00D6582E">
        <w:tc>
          <w:tcPr>
            <w:tcW w:w="625" w:type="pct"/>
            <w:vMerge/>
            <w:tcBorders>
              <w:left w:val="single" w:sz="4" w:space="0" w:color="auto"/>
              <w:bottom w:val="single" w:sz="4" w:space="0" w:color="auto"/>
              <w:right w:val="single" w:sz="4" w:space="0" w:color="auto"/>
            </w:tcBorders>
          </w:tcPr>
          <w:p w14:paraId="496174DE" w14:textId="77777777" w:rsidR="00623E2D" w:rsidRDefault="00623E2D" w:rsidP="00121F5E">
            <w:pPr>
              <w:pStyle w:val="Tabletext0"/>
              <w:rPr>
                <w:rFonts w:eastAsiaTheme="minorHAnsi" w:cstheme="minorBidi"/>
                <w:color w:val="258221"/>
              </w:rPr>
            </w:pPr>
          </w:p>
        </w:tc>
        <w:tc>
          <w:tcPr>
            <w:tcW w:w="2187" w:type="pct"/>
            <w:tcBorders>
              <w:top w:val="single" w:sz="4" w:space="0" w:color="auto"/>
              <w:left w:val="single" w:sz="4" w:space="0" w:color="auto"/>
              <w:bottom w:val="single" w:sz="4" w:space="0" w:color="auto"/>
              <w:right w:val="single" w:sz="4" w:space="0" w:color="auto"/>
            </w:tcBorders>
            <w:hideMark/>
          </w:tcPr>
          <w:p w14:paraId="3ACD3A79" w14:textId="77777777" w:rsidR="00623E2D" w:rsidRDefault="00623E2D" w:rsidP="00121F5E">
            <w:pPr>
              <w:pStyle w:val="Tabletext0"/>
              <w:rPr>
                <w:rFonts w:cstheme="minorHAnsi"/>
              </w:rPr>
            </w:pPr>
            <w:r>
              <w:rPr>
                <w:rFonts w:cstheme="minorHAnsi"/>
              </w:rPr>
              <w:t xml:space="preserve">ESC noted a heavy reliance on expert opinion added significant uncertainty to the original economic evaluation submitted in the previous </w:t>
            </w:r>
            <w:r>
              <w:rPr>
                <w:rFonts w:cstheme="minorHAnsi"/>
              </w:rPr>
              <w:lastRenderedPageBreak/>
              <w:t>ADAR.</w:t>
            </w:r>
          </w:p>
        </w:tc>
        <w:tc>
          <w:tcPr>
            <w:tcW w:w="2188" w:type="pct"/>
            <w:tcBorders>
              <w:top w:val="single" w:sz="4" w:space="0" w:color="auto"/>
              <w:left w:val="single" w:sz="4" w:space="0" w:color="auto"/>
              <w:bottom w:val="single" w:sz="4" w:space="0" w:color="auto"/>
              <w:right w:val="single" w:sz="4" w:space="0" w:color="auto"/>
            </w:tcBorders>
            <w:hideMark/>
          </w:tcPr>
          <w:p w14:paraId="6E48F4EB" w14:textId="77777777" w:rsidR="00623E2D" w:rsidRDefault="00623E2D" w:rsidP="00121F5E">
            <w:pPr>
              <w:pStyle w:val="Tabletext0"/>
              <w:rPr>
                <w:rFonts w:cstheme="minorHAnsi"/>
                <w:snapToGrid w:val="0"/>
              </w:rPr>
            </w:pPr>
            <w:r>
              <w:rPr>
                <w:rFonts w:cstheme="minorHAnsi"/>
                <w:snapToGrid w:val="0"/>
              </w:rPr>
              <w:lastRenderedPageBreak/>
              <w:t>Addressed.</w:t>
            </w:r>
          </w:p>
          <w:p w14:paraId="38939D15" w14:textId="2D1F52AC" w:rsidR="00623E2D" w:rsidRDefault="00623E2D" w:rsidP="00A73015">
            <w:pPr>
              <w:pStyle w:val="Tabletext0"/>
              <w:rPr>
                <w:rFonts w:cstheme="minorHAnsi"/>
                <w:snapToGrid w:val="0"/>
              </w:rPr>
            </w:pPr>
            <w:r>
              <w:rPr>
                <w:rFonts w:cstheme="minorHAnsi"/>
                <w:snapToGrid w:val="0"/>
              </w:rPr>
              <w:t>The ADAR did not use expert opinion in the economic evaluation</w:t>
            </w:r>
            <w:r w:rsidR="00A73015">
              <w:rPr>
                <w:rFonts w:cstheme="minorHAnsi"/>
                <w:snapToGrid w:val="0"/>
              </w:rPr>
              <w:t xml:space="preserve"> </w:t>
            </w:r>
            <w:r>
              <w:rPr>
                <w:rFonts w:cstheme="minorHAnsi"/>
                <w:snapToGrid w:val="0"/>
              </w:rPr>
              <w:t>(The expert opinion</w:t>
            </w:r>
            <w:r w:rsidR="00A73015">
              <w:rPr>
                <w:rFonts w:cstheme="minorHAnsi"/>
                <w:snapToGrid w:val="0"/>
              </w:rPr>
              <w:t xml:space="preserve"> and </w:t>
            </w:r>
            <w:r>
              <w:rPr>
                <w:rFonts w:cstheme="minorHAnsi"/>
                <w:snapToGrid w:val="0"/>
              </w:rPr>
              <w:lastRenderedPageBreak/>
              <w:t>qualitative research quote</w:t>
            </w:r>
            <w:r w:rsidR="00A73015">
              <w:rPr>
                <w:rFonts w:cstheme="minorHAnsi"/>
                <w:snapToGrid w:val="0"/>
              </w:rPr>
              <w:t xml:space="preserve">s, </w:t>
            </w:r>
            <w:r>
              <w:rPr>
                <w:rFonts w:cstheme="minorHAnsi"/>
                <w:snapToGrid w:val="0"/>
              </w:rPr>
              <w:t>to validate findings in published literature</w:t>
            </w:r>
            <w:r w:rsidR="00A73015">
              <w:rPr>
                <w:rFonts w:cstheme="minorHAnsi"/>
                <w:snapToGrid w:val="0"/>
              </w:rPr>
              <w:t>,</w:t>
            </w:r>
            <w:r>
              <w:rPr>
                <w:rFonts w:cstheme="minorHAnsi"/>
                <w:snapToGrid w:val="0"/>
              </w:rPr>
              <w:t xml:space="preserve"> </w:t>
            </w:r>
            <w:r w:rsidR="00A73015">
              <w:rPr>
                <w:rFonts w:cstheme="minorHAnsi"/>
                <w:snapToGrid w:val="0"/>
              </w:rPr>
              <w:t>presented</w:t>
            </w:r>
            <w:r>
              <w:rPr>
                <w:rFonts w:cstheme="minorHAnsi"/>
                <w:snapToGrid w:val="0"/>
              </w:rPr>
              <w:t xml:space="preserve"> only in </w:t>
            </w:r>
            <w:r w:rsidR="000A512E">
              <w:rPr>
                <w:rFonts w:cstheme="minorHAnsi"/>
                <w:snapToGrid w:val="0"/>
              </w:rPr>
              <w:t>the clinical</w:t>
            </w:r>
            <w:r>
              <w:rPr>
                <w:rFonts w:cstheme="minorHAnsi"/>
                <w:snapToGrid w:val="0"/>
              </w:rPr>
              <w:t xml:space="preserve"> evidence section).</w:t>
            </w:r>
          </w:p>
        </w:tc>
      </w:tr>
      <w:tr w:rsidR="00071A77" w14:paraId="094B0BE2" w14:textId="77777777" w:rsidTr="00D6582E">
        <w:trPr>
          <w:trHeight w:val="1253"/>
        </w:trPr>
        <w:tc>
          <w:tcPr>
            <w:tcW w:w="625" w:type="pct"/>
            <w:vMerge w:val="restart"/>
            <w:tcBorders>
              <w:top w:val="single" w:sz="4" w:space="0" w:color="auto"/>
              <w:left w:val="single" w:sz="4" w:space="0" w:color="auto"/>
              <w:right w:val="single" w:sz="4" w:space="0" w:color="auto"/>
            </w:tcBorders>
            <w:hideMark/>
          </w:tcPr>
          <w:p w14:paraId="5A07D038" w14:textId="77777777" w:rsidR="00623E2D" w:rsidRPr="00121F5E" w:rsidRDefault="00623E2D" w:rsidP="00121F5E">
            <w:pPr>
              <w:pStyle w:val="Tabletext0"/>
              <w:rPr>
                <w:rFonts w:cstheme="minorBidi"/>
                <w:b/>
                <w:bCs/>
                <w:color w:val="258221"/>
              </w:rPr>
            </w:pPr>
            <w:r w:rsidRPr="00121F5E">
              <w:rPr>
                <w:b/>
                <w:bCs/>
                <w:color w:val="000000" w:themeColor="text1"/>
              </w:rPr>
              <w:lastRenderedPageBreak/>
              <w:t>Financial impact</w:t>
            </w:r>
          </w:p>
        </w:tc>
        <w:tc>
          <w:tcPr>
            <w:tcW w:w="2187" w:type="pct"/>
            <w:tcBorders>
              <w:top w:val="single" w:sz="4" w:space="0" w:color="auto"/>
              <w:left w:val="single" w:sz="4" w:space="0" w:color="auto"/>
              <w:bottom w:val="single" w:sz="4" w:space="0" w:color="auto"/>
              <w:right w:val="single" w:sz="4" w:space="0" w:color="auto"/>
            </w:tcBorders>
          </w:tcPr>
          <w:p w14:paraId="42495DDA" w14:textId="6BE0C7E7" w:rsidR="00623E2D" w:rsidRDefault="00623E2D" w:rsidP="00A73015">
            <w:pPr>
              <w:pStyle w:val="Tabletext0"/>
              <w:rPr>
                <w:rFonts w:eastAsia="Calibri" w:cstheme="minorHAnsi"/>
              </w:rPr>
            </w:pPr>
            <w:r>
              <w:rPr>
                <w:rFonts w:cstheme="minorHAnsi"/>
              </w:rPr>
              <w:t xml:space="preserve">MSAC and ESC considered the ADAR’s original estimate of prevalence of PTRCT (71%) vs. FTRCT (29%) to be uncertain </w:t>
            </w:r>
            <w:r>
              <w:rPr>
                <w:rFonts w:cstheme="minorHAnsi"/>
                <w:snapToGrid w:val="0"/>
              </w:rPr>
              <w:t>(p</w:t>
            </w:r>
            <w:r w:rsidR="007E2318">
              <w:rPr>
                <w:rFonts w:cstheme="minorHAnsi"/>
                <w:snapToGrid w:val="0"/>
              </w:rPr>
              <w:t>g</w:t>
            </w:r>
            <w:r>
              <w:rPr>
                <w:rFonts w:cstheme="minorHAnsi"/>
                <w:snapToGrid w:val="0"/>
              </w:rPr>
              <w:t>4</w:t>
            </w:r>
            <w:r w:rsidR="005225C5">
              <w:rPr>
                <w:rFonts w:cstheme="minorHAnsi"/>
                <w:snapToGrid w:val="0"/>
              </w:rPr>
              <w:t xml:space="preserve">, </w:t>
            </w:r>
            <w:r w:rsidR="005225C5">
              <w:rPr>
                <w:rFonts w:eastAsia="Calibri" w:cstheme="minorHAnsi"/>
                <w:snapToGrid w:val="0"/>
              </w:rPr>
              <w:t>PSD for MSAC application 1593, July 2020 MSAC meeting</w:t>
            </w:r>
            <w:r>
              <w:rPr>
                <w:rFonts w:cstheme="minorHAnsi"/>
                <w:snapToGrid w:val="0"/>
              </w:rPr>
              <w:t>).</w:t>
            </w:r>
          </w:p>
        </w:tc>
        <w:tc>
          <w:tcPr>
            <w:tcW w:w="2188" w:type="pct"/>
            <w:tcBorders>
              <w:top w:val="single" w:sz="4" w:space="0" w:color="auto"/>
              <w:left w:val="single" w:sz="4" w:space="0" w:color="auto"/>
              <w:bottom w:val="single" w:sz="4" w:space="0" w:color="auto"/>
              <w:right w:val="single" w:sz="4" w:space="0" w:color="auto"/>
            </w:tcBorders>
            <w:hideMark/>
          </w:tcPr>
          <w:p w14:paraId="13A25023" w14:textId="77777777" w:rsidR="00623E2D" w:rsidRDefault="00623E2D" w:rsidP="00121F5E">
            <w:pPr>
              <w:pStyle w:val="Tabletext0"/>
              <w:rPr>
                <w:rFonts w:eastAsiaTheme="minorHAnsi" w:cstheme="minorHAnsi"/>
                <w:snapToGrid w:val="0"/>
              </w:rPr>
            </w:pPr>
            <w:r>
              <w:rPr>
                <w:rFonts w:cstheme="minorHAnsi"/>
                <w:snapToGrid w:val="0"/>
              </w:rPr>
              <w:t>Addressed.</w:t>
            </w:r>
          </w:p>
          <w:p w14:paraId="54E8FD52" w14:textId="5E777126" w:rsidR="00623E2D" w:rsidRDefault="00623E2D" w:rsidP="00121F5E">
            <w:pPr>
              <w:pStyle w:val="Tabletext0"/>
              <w:rPr>
                <w:rFonts w:eastAsia="Calibri" w:cstheme="minorHAnsi"/>
                <w:snapToGrid w:val="0"/>
              </w:rPr>
            </w:pPr>
            <w:r>
              <w:rPr>
                <w:rFonts w:cstheme="minorHAnsi"/>
                <w:snapToGrid w:val="0"/>
              </w:rPr>
              <w:t>The proportion of PTRCT and FTRCT was based on an Australian cohort study Yeo et al., 2017, which reported 39% PTRCT and 61% FTRCT among 1624 patients who had undergone arthroscopic rotator cuff repair.</w:t>
            </w:r>
          </w:p>
        </w:tc>
      </w:tr>
      <w:tr w:rsidR="00071A77" w14:paraId="0B89E3E8" w14:textId="77777777" w:rsidTr="00D6582E">
        <w:tc>
          <w:tcPr>
            <w:tcW w:w="625" w:type="pct"/>
            <w:vMerge/>
            <w:tcBorders>
              <w:left w:val="single" w:sz="4" w:space="0" w:color="auto"/>
              <w:right w:val="single" w:sz="4" w:space="0" w:color="auto"/>
            </w:tcBorders>
          </w:tcPr>
          <w:p w14:paraId="1F138F75" w14:textId="77777777" w:rsidR="00623E2D" w:rsidRDefault="00623E2D" w:rsidP="00B821D3">
            <w:pPr>
              <w:pStyle w:val="Tabletext0"/>
              <w:spacing w:before="0"/>
              <w:rPr>
                <w:rFonts w:eastAsiaTheme="minorHAnsi" w:cstheme="minorBidi"/>
                <w:color w:val="000000" w:themeColor="text1"/>
              </w:rPr>
            </w:pPr>
          </w:p>
        </w:tc>
        <w:tc>
          <w:tcPr>
            <w:tcW w:w="2187" w:type="pct"/>
            <w:tcBorders>
              <w:top w:val="single" w:sz="4" w:space="0" w:color="auto"/>
              <w:left w:val="single" w:sz="4" w:space="0" w:color="auto"/>
              <w:bottom w:val="single" w:sz="4" w:space="0" w:color="auto"/>
              <w:right w:val="single" w:sz="4" w:space="0" w:color="auto"/>
            </w:tcBorders>
            <w:hideMark/>
          </w:tcPr>
          <w:p w14:paraId="4C733160" w14:textId="2961E78C" w:rsidR="00623E2D" w:rsidRDefault="00623E2D" w:rsidP="00B821D3">
            <w:pPr>
              <w:pStyle w:val="Tabletext0"/>
              <w:spacing w:before="0"/>
              <w:rPr>
                <w:rFonts w:eastAsia="Calibri" w:cstheme="minorHAnsi"/>
              </w:rPr>
            </w:pPr>
            <w:r>
              <w:rPr>
                <w:rFonts w:cstheme="minorHAnsi"/>
              </w:rPr>
              <w:t xml:space="preserve">MSAC noted that the financial impact presented in the commentary, which was re-calculated using costs to private payers and inclusion of costs related to other items (MBS) and showed that the total budget impact may be 20% higher in the respecified base case financial model than that presented in the ADAR </w:t>
            </w:r>
            <w:r>
              <w:rPr>
                <w:rFonts w:cstheme="minorHAnsi"/>
                <w:snapToGrid w:val="0"/>
              </w:rPr>
              <w:t>(p</w:t>
            </w:r>
            <w:r w:rsidR="007E2318">
              <w:rPr>
                <w:rFonts w:cstheme="minorHAnsi"/>
                <w:snapToGrid w:val="0"/>
              </w:rPr>
              <w:t>g</w:t>
            </w:r>
            <w:r>
              <w:rPr>
                <w:rFonts w:cstheme="minorHAnsi"/>
                <w:snapToGrid w:val="0"/>
              </w:rPr>
              <w:t>4</w:t>
            </w:r>
            <w:r w:rsidR="005225C5">
              <w:rPr>
                <w:rFonts w:cstheme="minorHAnsi"/>
                <w:snapToGrid w:val="0"/>
              </w:rPr>
              <w:t xml:space="preserve">, </w:t>
            </w:r>
            <w:r w:rsidR="005225C5">
              <w:rPr>
                <w:rFonts w:eastAsia="Calibri" w:cstheme="minorHAnsi"/>
                <w:snapToGrid w:val="0"/>
              </w:rPr>
              <w:t>PSD for MSAC application 1593, July 2020 MSAC meeting</w:t>
            </w:r>
            <w:r>
              <w:rPr>
                <w:rFonts w:cstheme="minorHAnsi"/>
                <w:snapToGrid w:val="0"/>
              </w:rPr>
              <w:t>).</w:t>
            </w:r>
          </w:p>
        </w:tc>
        <w:tc>
          <w:tcPr>
            <w:tcW w:w="2188" w:type="pct"/>
            <w:tcBorders>
              <w:top w:val="single" w:sz="4" w:space="0" w:color="auto"/>
              <w:left w:val="single" w:sz="4" w:space="0" w:color="auto"/>
              <w:bottom w:val="single" w:sz="4" w:space="0" w:color="auto"/>
              <w:right w:val="single" w:sz="4" w:space="0" w:color="auto"/>
            </w:tcBorders>
            <w:hideMark/>
          </w:tcPr>
          <w:p w14:paraId="7A3A20B7" w14:textId="77777777" w:rsidR="00623E2D" w:rsidRDefault="00623E2D" w:rsidP="00B821D3">
            <w:pPr>
              <w:pStyle w:val="Tabletext0"/>
              <w:spacing w:before="0"/>
              <w:rPr>
                <w:rFonts w:eastAsiaTheme="minorHAnsi" w:cstheme="minorHAnsi"/>
                <w:snapToGrid w:val="0"/>
              </w:rPr>
            </w:pPr>
            <w:r>
              <w:rPr>
                <w:rFonts w:cstheme="minorHAnsi"/>
                <w:snapToGrid w:val="0"/>
              </w:rPr>
              <w:t>Partially addressed.</w:t>
            </w:r>
          </w:p>
          <w:p w14:paraId="2305FB74" w14:textId="1A308941" w:rsidR="00623E2D" w:rsidRDefault="00623E2D" w:rsidP="00B821D3">
            <w:pPr>
              <w:pStyle w:val="Tabletext0"/>
              <w:spacing w:before="0"/>
              <w:rPr>
                <w:rFonts w:cstheme="minorHAnsi"/>
                <w:snapToGrid w:val="0"/>
              </w:rPr>
            </w:pPr>
            <w:r>
              <w:rPr>
                <w:rFonts w:cstheme="minorHAnsi"/>
                <w:snapToGrid w:val="0"/>
              </w:rPr>
              <w:t xml:space="preserve">The ADAR presented a new budget impact model.  However, the commentary noted financial estimates were uncertain </w:t>
            </w:r>
            <w:r>
              <w:t>due to</w:t>
            </w:r>
            <w:r w:rsidR="006D479E">
              <w:rPr>
                <w:rFonts w:cstheme="minorHAnsi"/>
                <w:snapToGrid w:val="0"/>
              </w:rPr>
              <w:t>:</w:t>
            </w:r>
          </w:p>
          <w:p w14:paraId="378C4511" w14:textId="77777777" w:rsidR="00623E2D" w:rsidRDefault="00623E2D" w:rsidP="005A42D2">
            <w:pPr>
              <w:pStyle w:val="Tabletext0"/>
              <w:numPr>
                <w:ilvl w:val="0"/>
                <w:numId w:val="13"/>
              </w:numPr>
              <w:spacing w:before="0"/>
              <w:ind w:left="173" w:hanging="142"/>
              <w:rPr>
                <w:rFonts w:cstheme="minorBidi"/>
              </w:rPr>
            </w:pPr>
            <w:r>
              <w:t>The incidence rate for the rotator cuff repair in the Australian population was based on incidence data reported for the year 2011 based on a Finland national registry study.</w:t>
            </w:r>
          </w:p>
          <w:p w14:paraId="1B42724C" w14:textId="19F74BA2" w:rsidR="00623E2D" w:rsidRDefault="00623E2D" w:rsidP="005A42D2">
            <w:pPr>
              <w:pStyle w:val="Tabletext0"/>
              <w:numPr>
                <w:ilvl w:val="0"/>
                <w:numId w:val="13"/>
              </w:numPr>
              <w:spacing w:before="0"/>
              <w:ind w:left="173" w:hanging="142"/>
            </w:pPr>
            <w:r>
              <w:t xml:space="preserve">The ADAR </w:t>
            </w:r>
            <w:r w:rsidR="00492A2F">
              <w:t>assumed an annual increase of</w:t>
            </w:r>
            <w:r>
              <w:t xml:space="preserve"> </w:t>
            </w:r>
            <w:r w:rsidR="006414CA" w:rsidRPr="00240FC1">
              <w:rPr>
                <w:b/>
                <w:bCs/>
              </w:rPr>
              <w:t>redacted</w:t>
            </w:r>
            <w:r>
              <w:t xml:space="preserve"> in </w:t>
            </w:r>
            <w:r w:rsidR="00492A2F">
              <w:t xml:space="preserve">the </w:t>
            </w:r>
            <w:r>
              <w:t>uptake of rotator cuff repairs for REGENETEN.</w:t>
            </w:r>
          </w:p>
          <w:p w14:paraId="5F278E45" w14:textId="4A492EE0" w:rsidR="00623E2D" w:rsidRDefault="00067657" w:rsidP="005A42D2">
            <w:pPr>
              <w:pStyle w:val="Tabletext0"/>
              <w:numPr>
                <w:ilvl w:val="0"/>
                <w:numId w:val="13"/>
              </w:numPr>
              <w:spacing w:before="0"/>
              <w:ind w:left="173" w:hanging="142"/>
              <w:rPr>
                <w:rFonts w:eastAsia="Calibri" w:cstheme="minorHAnsi"/>
                <w:snapToGrid w:val="0"/>
              </w:rPr>
            </w:pPr>
            <w:r>
              <w:rPr>
                <w:color w:val="000000" w:themeColor="text1"/>
              </w:rPr>
              <w:t>The d</w:t>
            </w:r>
            <w:r w:rsidRPr="00F350E9">
              <w:rPr>
                <w:color w:val="000000" w:themeColor="text1"/>
              </w:rPr>
              <w:t>ata used to calculate the percentage of patients receiving different management options after retear i.e., revision of rotator cuff tear repair, reverse total shoulder arthroplasty and CM were not relevant for the calculations</w:t>
            </w:r>
            <w:r>
              <w:rPr>
                <w:color w:val="000000" w:themeColor="text1"/>
              </w:rPr>
              <w:t>.</w:t>
            </w:r>
          </w:p>
        </w:tc>
      </w:tr>
      <w:tr w:rsidR="0017211C" w14:paraId="680C9588" w14:textId="77777777" w:rsidTr="00D6582E">
        <w:tc>
          <w:tcPr>
            <w:tcW w:w="625" w:type="pct"/>
            <w:tcBorders>
              <w:left w:val="single" w:sz="4" w:space="0" w:color="auto"/>
              <w:bottom w:val="single" w:sz="4" w:space="0" w:color="auto"/>
              <w:right w:val="single" w:sz="4" w:space="0" w:color="auto"/>
            </w:tcBorders>
          </w:tcPr>
          <w:p w14:paraId="63657A5B" w14:textId="7DBFAA2F" w:rsidR="0017211C" w:rsidRDefault="0017211C" w:rsidP="003B4E46">
            <w:pPr>
              <w:pStyle w:val="Tabletext0"/>
              <w:spacing w:before="0"/>
              <w:jc w:val="left"/>
              <w:rPr>
                <w:rFonts w:eastAsiaTheme="minorHAnsi" w:cstheme="minorBidi"/>
                <w:color w:val="000000" w:themeColor="text1"/>
              </w:rPr>
            </w:pPr>
            <w:r w:rsidRPr="0017211C">
              <w:rPr>
                <w:rFonts w:eastAsiaTheme="minorHAnsi" w:cstheme="minorBidi"/>
                <w:color w:val="000000" w:themeColor="text1"/>
              </w:rPr>
              <w:t>MBS items do not restrict access</w:t>
            </w:r>
          </w:p>
        </w:tc>
        <w:tc>
          <w:tcPr>
            <w:tcW w:w="2187" w:type="pct"/>
            <w:tcBorders>
              <w:top w:val="single" w:sz="4" w:space="0" w:color="auto"/>
              <w:left w:val="single" w:sz="4" w:space="0" w:color="auto"/>
              <w:bottom w:val="single" w:sz="4" w:space="0" w:color="auto"/>
              <w:right w:val="single" w:sz="4" w:space="0" w:color="auto"/>
            </w:tcBorders>
          </w:tcPr>
          <w:p w14:paraId="4713E4C7" w14:textId="01D2A53A" w:rsidR="0017211C" w:rsidRDefault="00C7141F" w:rsidP="00B821D3">
            <w:pPr>
              <w:pStyle w:val="Tabletext0"/>
              <w:spacing w:before="0"/>
              <w:rPr>
                <w:rFonts w:cstheme="minorHAnsi"/>
              </w:rPr>
            </w:pPr>
            <w:r w:rsidRPr="00C7141F">
              <w:rPr>
                <w:rFonts w:cstheme="minorHAnsi"/>
              </w:rPr>
              <w:t>The ADAR was based on a once-only graft, but its use is not restricted in any form on the MBS. Hence, leakage could be an issue, or it could be used multiple times (although there is no evidence for this). Private insurers may want to stipulate limits on use (e.g. once per lifetime).</w:t>
            </w:r>
          </w:p>
        </w:tc>
        <w:tc>
          <w:tcPr>
            <w:tcW w:w="2188" w:type="pct"/>
            <w:tcBorders>
              <w:top w:val="single" w:sz="4" w:space="0" w:color="auto"/>
              <w:left w:val="single" w:sz="4" w:space="0" w:color="auto"/>
              <w:bottom w:val="single" w:sz="4" w:space="0" w:color="auto"/>
              <w:right w:val="single" w:sz="4" w:space="0" w:color="auto"/>
            </w:tcBorders>
          </w:tcPr>
          <w:p w14:paraId="4CE6B0A7" w14:textId="10BA0EAC" w:rsidR="007859D1" w:rsidRDefault="007859D1" w:rsidP="00F345AF">
            <w:pPr>
              <w:pStyle w:val="Tabletext0"/>
              <w:spacing w:before="0"/>
              <w:rPr>
                <w:rFonts w:cstheme="minorHAnsi"/>
                <w:snapToGrid w:val="0"/>
              </w:rPr>
            </w:pPr>
            <w:r>
              <w:rPr>
                <w:rFonts w:cstheme="minorHAnsi"/>
                <w:snapToGrid w:val="0"/>
              </w:rPr>
              <w:t>Concern remained.</w:t>
            </w:r>
          </w:p>
          <w:p w14:paraId="2B02554E" w14:textId="00C0B640" w:rsidR="00F345AF" w:rsidRDefault="00553063" w:rsidP="00F345AF">
            <w:pPr>
              <w:pStyle w:val="Tabletext0"/>
              <w:spacing w:before="0"/>
              <w:rPr>
                <w:rFonts w:cstheme="minorHAnsi"/>
                <w:snapToGrid w:val="0"/>
              </w:rPr>
            </w:pPr>
            <w:r w:rsidRPr="00553063">
              <w:rPr>
                <w:rFonts w:cstheme="minorHAnsi"/>
                <w:snapToGrid w:val="0"/>
              </w:rPr>
              <w:t>PASC for the current re</w:t>
            </w:r>
            <w:r w:rsidR="00DE0A5A">
              <w:rPr>
                <w:rFonts w:cstheme="minorHAnsi"/>
                <w:snapToGrid w:val="0"/>
              </w:rPr>
              <w:t>application</w:t>
            </w:r>
            <w:r w:rsidRPr="00553063">
              <w:rPr>
                <w:rFonts w:cstheme="minorHAnsi"/>
                <w:snapToGrid w:val="0"/>
              </w:rPr>
              <w:t xml:space="preserve"> noted the applicant stating its willingness to work with the relevant authorities to ensure a “once-per-shoulder” restriction (</w:t>
            </w:r>
            <w:r w:rsidR="00A835A3" w:rsidRPr="00553063">
              <w:rPr>
                <w:rFonts w:cstheme="minorHAnsi"/>
                <w:snapToGrid w:val="0"/>
              </w:rPr>
              <w:t>MSAC 1593.1</w:t>
            </w:r>
            <w:r w:rsidR="00A835A3">
              <w:rPr>
                <w:rFonts w:cstheme="minorHAnsi"/>
                <w:snapToGrid w:val="0"/>
              </w:rPr>
              <w:t xml:space="preserve"> </w:t>
            </w:r>
            <w:r w:rsidRPr="00553063">
              <w:rPr>
                <w:rFonts w:cstheme="minorHAnsi"/>
                <w:snapToGrid w:val="0"/>
              </w:rPr>
              <w:t>Ratified PICO Confirmation</w:t>
            </w:r>
            <w:r w:rsidR="00A835A3">
              <w:rPr>
                <w:rFonts w:cstheme="minorHAnsi"/>
                <w:snapToGrid w:val="0"/>
              </w:rPr>
              <w:t>,</w:t>
            </w:r>
            <w:r w:rsidRPr="00553063">
              <w:rPr>
                <w:rFonts w:cstheme="minorHAnsi"/>
                <w:snapToGrid w:val="0"/>
              </w:rPr>
              <w:t xml:space="preserve"> </w:t>
            </w:r>
            <w:r w:rsidR="00A835A3" w:rsidRPr="00553063">
              <w:rPr>
                <w:rFonts w:cstheme="minorHAnsi"/>
                <w:snapToGrid w:val="0"/>
              </w:rPr>
              <w:t>pg10-11</w:t>
            </w:r>
            <w:r w:rsidR="00A835A3">
              <w:rPr>
                <w:rFonts w:cstheme="minorHAnsi"/>
                <w:snapToGrid w:val="0"/>
              </w:rPr>
              <w:t>).</w:t>
            </w:r>
          </w:p>
          <w:p w14:paraId="613C7976" w14:textId="41D58709" w:rsidR="0017211C" w:rsidRDefault="00553063" w:rsidP="00F345AF">
            <w:pPr>
              <w:pStyle w:val="Tabletext0"/>
              <w:spacing w:before="0"/>
              <w:rPr>
                <w:rFonts w:cstheme="minorHAnsi"/>
                <w:snapToGrid w:val="0"/>
              </w:rPr>
            </w:pPr>
            <w:r w:rsidRPr="00553063">
              <w:rPr>
                <w:rFonts w:cstheme="minorHAnsi"/>
                <w:snapToGrid w:val="0"/>
              </w:rPr>
              <w:t xml:space="preserve">The </w:t>
            </w:r>
            <w:r w:rsidR="00C311AD">
              <w:rPr>
                <w:rFonts w:cstheme="minorHAnsi"/>
                <w:snapToGrid w:val="0"/>
              </w:rPr>
              <w:t>ADAR</w:t>
            </w:r>
            <w:r w:rsidRPr="00553063">
              <w:rPr>
                <w:rFonts w:cstheme="minorHAnsi"/>
                <w:snapToGrid w:val="0"/>
              </w:rPr>
              <w:t xml:space="preserve"> stated that “REGENETEN </w:t>
            </w:r>
            <w:proofErr w:type="gramStart"/>
            <w:r w:rsidRPr="00553063">
              <w:rPr>
                <w:rFonts w:cstheme="minorHAnsi"/>
                <w:snapToGrid w:val="0"/>
              </w:rPr>
              <w:t>is considered to be</w:t>
            </w:r>
            <w:proofErr w:type="gramEnd"/>
            <w:r w:rsidRPr="00553063">
              <w:rPr>
                <w:rFonts w:cstheme="minorHAnsi"/>
                <w:snapToGrid w:val="0"/>
              </w:rPr>
              <w:t xml:space="preserve"> a ‘once-only’ procedure per tendon”</w:t>
            </w:r>
            <w:r w:rsidR="003F0B2A">
              <w:rPr>
                <w:rFonts w:cstheme="minorHAnsi"/>
                <w:snapToGrid w:val="0"/>
              </w:rPr>
              <w:t xml:space="preserve">. </w:t>
            </w:r>
            <w:r w:rsidR="00C311AD">
              <w:rPr>
                <w:rFonts w:cstheme="minorHAnsi"/>
                <w:snapToGrid w:val="0"/>
              </w:rPr>
              <w:t xml:space="preserve">No further details </w:t>
            </w:r>
            <w:r w:rsidR="00FA291B">
              <w:rPr>
                <w:rFonts w:cstheme="minorHAnsi"/>
                <w:snapToGrid w:val="0"/>
              </w:rPr>
              <w:t>provided</w:t>
            </w:r>
            <w:r w:rsidR="003F0B2A">
              <w:t xml:space="preserve"> </w:t>
            </w:r>
            <w:r w:rsidR="003F0B2A" w:rsidRPr="003F0B2A">
              <w:rPr>
                <w:rFonts w:cstheme="minorHAnsi"/>
                <w:snapToGrid w:val="0"/>
              </w:rPr>
              <w:t xml:space="preserve">in the ADAR other than </w:t>
            </w:r>
            <w:r w:rsidR="003F0B2A">
              <w:rPr>
                <w:rFonts w:cstheme="minorHAnsi"/>
                <w:snapToGrid w:val="0"/>
              </w:rPr>
              <w:t xml:space="preserve">stating that </w:t>
            </w:r>
            <w:r w:rsidR="003F0B2A" w:rsidRPr="003F0B2A">
              <w:rPr>
                <w:rFonts w:cstheme="minorHAnsi"/>
                <w:snapToGrid w:val="0"/>
              </w:rPr>
              <w:t>conventional surgery may be an option if REGENETEN fails on the first attempt.</w:t>
            </w:r>
            <w:r w:rsidR="002942A0">
              <w:rPr>
                <w:rFonts w:cstheme="minorHAnsi"/>
                <w:snapToGrid w:val="0"/>
              </w:rPr>
              <w:t xml:space="preserve"> </w:t>
            </w:r>
            <w:r w:rsidR="007859D1">
              <w:rPr>
                <w:rFonts w:cstheme="minorHAnsi"/>
                <w:snapToGrid w:val="0"/>
              </w:rPr>
              <w:t xml:space="preserve">There is a difference </w:t>
            </w:r>
            <w:r w:rsidR="00E64C88">
              <w:rPr>
                <w:rFonts w:cstheme="minorHAnsi"/>
                <w:snapToGrid w:val="0"/>
              </w:rPr>
              <w:t xml:space="preserve">in </w:t>
            </w:r>
            <w:r w:rsidR="00F9141F">
              <w:rPr>
                <w:rFonts w:cstheme="minorHAnsi"/>
                <w:snapToGrid w:val="0"/>
              </w:rPr>
              <w:t>costs</w:t>
            </w:r>
            <w:r w:rsidR="00E64C88">
              <w:rPr>
                <w:rFonts w:cstheme="minorHAnsi"/>
                <w:snapToGrid w:val="0"/>
              </w:rPr>
              <w:t xml:space="preserve"> </w:t>
            </w:r>
            <w:r w:rsidR="007859D1">
              <w:rPr>
                <w:rFonts w:cstheme="minorHAnsi"/>
                <w:snapToGrid w:val="0"/>
              </w:rPr>
              <w:t xml:space="preserve">between </w:t>
            </w:r>
            <w:r w:rsidR="00D82240">
              <w:rPr>
                <w:rFonts w:cstheme="minorHAnsi"/>
                <w:snapToGrid w:val="0"/>
              </w:rPr>
              <w:t xml:space="preserve">receiving the proposed device </w:t>
            </w:r>
            <w:r w:rsidR="00E64C88">
              <w:rPr>
                <w:rFonts w:cstheme="minorHAnsi"/>
                <w:snapToGrid w:val="0"/>
              </w:rPr>
              <w:t>once per lifetime, once per shoulder</w:t>
            </w:r>
            <w:r w:rsidR="00CF25D5">
              <w:rPr>
                <w:rFonts w:cstheme="minorHAnsi"/>
                <w:snapToGrid w:val="0"/>
              </w:rPr>
              <w:t xml:space="preserve"> </w:t>
            </w:r>
            <w:r w:rsidR="004C1D6D">
              <w:rPr>
                <w:rFonts w:cstheme="minorHAnsi"/>
                <w:snapToGrid w:val="0"/>
              </w:rPr>
              <w:t>and</w:t>
            </w:r>
            <w:r w:rsidR="00CF25D5">
              <w:rPr>
                <w:rFonts w:cstheme="minorHAnsi"/>
                <w:snapToGrid w:val="0"/>
              </w:rPr>
              <w:t xml:space="preserve"> once per tendon</w:t>
            </w:r>
            <w:r w:rsidR="004C1D6D">
              <w:rPr>
                <w:rFonts w:cstheme="minorHAnsi"/>
                <w:snapToGrid w:val="0"/>
              </w:rPr>
              <w:t xml:space="preserve">, with potential flow-on impact on downstream </w:t>
            </w:r>
            <w:r w:rsidR="002806ED">
              <w:rPr>
                <w:rFonts w:cstheme="minorHAnsi"/>
                <w:snapToGrid w:val="0"/>
              </w:rPr>
              <w:t>costs and consequences.</w:t>
            </w:r>
          </w:p>
        </w:tc>
      </w:tr>
    </w:tbl>
    <w:p w14:paraId="4679D725" w14:textId="68089E36" w:rsidR="007F08FC" w:rsidRDefault="007D1813" w:rsidP="00B821D3">
      <w:pPr>
        <w:pStyle w:val="Tablenotes"/>
        <w:jc w:val="both"/>
      </w:pPr>
      <w:r>
        <w:t xml:space="preserve">Source: Table 8 of </w:t>
      </w:r>
      <w:r w:rsidR="001C5BAA">
        <w:t>pg22</w:t>
      </w:r>
      <w:r>
        <w:t xml:space="preserve">-23, Table 9 of </w:t>
      </w:r>
      <w:r w:rsidR="001C5BAA">
        <w:t xml:space="preserve">pg23 </w:t>
      </w:r>
      <w:r>
        <w:t>and Table 10 of p</w:t>
      </w:r>
      <w:r w:rsidR="001C5BAA">
        <w:t>g</w:t>
      </w:r>
      <w:r>
        <w:t>23-24 of the MSAC application 1593.1 ADAR + inline commentary</w:t>
      </w:r>
      <w:r w:rsidR="00C7141F">
        <w:t>; pg26 of</w:t>
      </w:r>
      <w:r w:rsidR="00213D40">
        <w:t xml:space="preserve"> </w:t>
      </w:r>
      <w:r w:rsidR="00D23D8F">
        <w:t xml:space="preserve">PSD </w:t>
      </w:r>
      <w:r w:rsidR="00AF309D">
        <w:t>for MSAC 1593, July 2020 MSAC meeting.</w:t>
      </w:r>
    </w:p>
    <w:p w14:paraId="0374D4D6" w14:textId="1609ED48" w:rsidR="007F08FC" w:rsidRDefault="007F08FC" w:rsidP="00B821D3">
      <w:pPr>
        <w:pStyle w:val="Tablenotes"/>
        <w:jc w:val="both"/>
      </w:pPr>
      <w:r>
        <w:t xml:space="preserve">Abbreviations: </w:t>
      </w:r>
      <w:r w:rsidR="0039618A">
        <w:t xml:space="preserve">ADAR = Applicant developed assessment report; </w:t>
      </w:r>
      <w:r w:rsidR="006D479E">
        <w:t xml:space="preserve">AE = adverse event; </w:t>
      </w:r>
      <w:r w:rsidR="0039618A">
        <w:t xml:space="preserve">ASES = </w:t>
      </w:r>
      <w:bookmarkStart w:id="9" w:name="_Hlk163635257"/>
      <w:r w:rsidR="0039618A" w:rsidRPr="0039618A">
        <w:t xml:space="preserve">American Shoulder and Elbow </w:t>
      </w:r>
      <w:bookmarkEnd w:id="9"/>
      <w:r w:rsidR="00316E24">
        <w:t>Society</w:t>
      </w:r>
      <w:r w:rsidR="0039618A">
        <w:t>;</w:t>
      </w:r>
      <w:r w:rsidR="0039618A" w:rsidRPr="0039618A">
        <w:t xml:space="preserve"> </w:t>
      </w:r>
      <w:r w:rsidR="006D479E">
        <w:t xml:space="preserve">CM = conservative management; </w:t>
      </w:r>
      <w:r w:rsidR="00DF7EBF">
        <w:t xml:space="preserve">CSR = clinical study report; </w:t>
      </w:r>
      <w:r w:rsidR="0039618A">
        <w:t xml:space="preserve">ESC = Evaluation subcommittee; </w:t>
      </w:r>
      <w:r w:rsidR="00C602FA" w:rsidRPr="00C602FA">
        <w:t>FTRCT</w:t>
      </w:r>
      <w:r w:rsidR="00C602FA">
        <w:t xml:space="preserve"> </w:t>
      </w:r>
      <w:r w:rsidR="00380050">
        <w:t xml:space="preserve">= </w:t>
      </w:r>
      <w:r w:rsidR="00C602FA" w:rsidRPr="00C602FA">
        <w:t>full</w:t>
      </w:r>
      <w:r w:rsidR="00A45045">
        <w:t>-</w:t>
      </w:r>
      <w:r w:rsidR="00C602FA" w:rsidRPr="00C602FA">
        <w:t>thickness rotator cuff tears</w:t>
      </w:r>
      <w:r w:rsidR="00C602FA">
        <w:t>;</w:t>
      </w:r>
      <w:r w:rsidR="00C602FA" w:rsidRPr="00C602FA">
        <w:t xml:space="preserve"> </w:t>
      </w:r>
      <w:r w:rsidR="006D479E">
        <w:t xml:space="preserve">MBS = </w:t>
      </w:r>
      <w:r w:rsidR="006D479E" w:rsidRPr="006D479E">
        <w:t>Medicare Benefits Schedule</w:t>
      </w:r>
      <w:r w:rsidR="006D479E">
        <w:t xml:space="preserve">; </w:t>
      </w:r>
      <w:r w:rsidRPr="00CE28E3">
        <w:t xml:space="preserve">MSAC = Medical Services Advisory Committee; </w:t>
      </w:r>
      <w:r w:rsidR="00380050">
        <w:t xml:space="preserve">MRI = magnetic resonance imaging; </w:t>
      </w:r>
      <w:r w:rsidR="0022598A">
        <w:t xml:space="preserve">MCID = Minimum clinically important difference; </w:t>
      </w:r>
      <w:r w:rsidR="0046679D">
        <w:t xml:space="preserve">PICO = Population Intervention Comparator Outcome; </w:t>
      </w:r>
      <w:r w:rsidR="00C602FA">
        <w:t xml:space="preserve">PRO = </w:t>
      </w:r>
      <w:r w:rsidR="00C602FA" w:rsidRPr="00C602FA">
        <w:t>patient-reported outcomes</w:t>
      </w:r>
      <w:r w:rsidR="00C602FA">
        <w:t>;</w:t>
      </w:r>
      <w:r w:rsidR="00C602FA" w:rsidRPr="00C602FA">
        <w:t xml:space="preserve"> </w:t>
      </w:r>
      <w:r w:rsidR="00C602FA">
        <w:t xml:space="preserve">PTRCT = </w:t>
      </w:r>
      <w:r w:rsidR="00C602FA" w:rsidRPr="00C602FA">
        <w:t>partial</w:t>
      </w:r>
      <w:r w:rsidR="007A3183">
        <w:t>-</w:t>
      </w:r>
      <w:r w:rsidR="00C602FA" w:rsidRPr="00C602FA">
        <w:t>thickness rotator cuff tears</w:t>
      </w:r>
      <w:r w:rsidR="00C602FA">
        <w:t xml:space="preserve">; </w:t>
      </w:r>
      <w:r w:rsidRPr="00CE28E3">
        <w:t>PSD = Public Summary Document</w:t>
      </w:r>
      <w:r w:rsidR="00907B5D">
        <w:t>:</w:t>
      </w:r>
      <w:r w:rsidR="00C602FA">
        <w:t xml:space="preserve"> </w:t>
      </w:r>
      <w:r w:rsidR="00907B5D" w:rsidRPr="00907B5D">
        <w:t>RCT = Randomised controlled trial</w:t>
      </w:r>
      <w:r w:rsidR="0022598A">
        <w:t>; QALY = Quality adjusted life years.</w:t>
      </w:r>
    </w:p>
    <w:p w14:paraId="0C56C34A" w14:textId="15E0A6D2" w:rsidR="009655DB" w:rsidRDefault="00387912" w:rsidP="00B821D3">
      <w:pPr>
        <w:pStyle w:val="Tablenotes"/>
        <w:jc w:val="both"/>
      </w:pPr>
      <w:r>
        <w:t>Notes:</w:t>
      </w:r>
      <w:r w:rsidR="009655DB" w:rsidRPr="009655DB">
        <w:t xml:space="preserve"> </w:t>
      </w:r>
      <w:r w:rsidR="009655DB">
        <w:t>*</w:t>
      </w:r>
      <w:r w:rsidR="009655DB" w:rsidRPr="009655DB">
        <w:t>th</w:t>
      </w:r>
      <w:r w:rsidR="009655DB">
        <w:t>is</w:t>
      </w:r>
      <w:r w:rsidR="009655DB" w:rsidRPr="009655DB">
        <w:t xml:space="preserve"> study was previously noted by </w:t>
      </w:r>
      <w:r w:rsidR="008D54B4" w:rsidRPr="009655DB">
        <w:t>PASC,</w:t>
      </w:r>
      <w:r w:rsidR="009655DB" w:rsidRPr="009655DB">
        <w:t xml:space="preserve"> and it was one of the </w:t>
      </w:r>
      <w:r w:rsidR="009655DB">
        <w:t>three</w:t>
      </w:r>
      <w:r w:rsidR="009655DB" w:rsidRPr="009655DB">
        <w:t xml:space="preserve"> studies</w:t>
      </w:r>
      <w:r w:rsidR="00A835A3">
        <w:t xml:space="preserve">, which </w:t>
      </w:r>
      <w:r w:rsidR="008D54B4" w:rsidRPr="008D54B4">
        <w:t xml:space="preserve">Therapeutic Goods Administration </w:t>
      </w:r>
      <w:r w:rsidR="009655DB" w:rsidRPr="009655DB">
        <w:t>requ</w:t>
      </w:r>
      <w:r w:rsidR="00A835A3">
        <w:t>ired updates on</w:t>
      </w:r>
      <w:r w:rsidR="009655DB" w:rsidRPr="009655DB">
        <w:t xml:space="preserve"> </w:t>
      </w:r>
      <w:r w:rsidR="008D54B4">
        <w:t xml:space="preserve">for the </w:t>
      </w:r>
      <w:r w:rsidR="008D54B4" w:rsidRPr="008D54B4">
        <w:t>Australian Register of Therapeutic Goods</w:t>
      </w:r>
      <w:r w:rsidR="008D54B4">
        <w:t xml:space="preserve"> entries 340095 and 340096</w:t>
      </w:r>
    </w:p>
    <w:p w14:paraId="6C915119" w14:textId="26BED902" w:rsidR="00205942" w:rsidRDefault="00387912" w:rsidP="00205942">
      <w:pPr>
        <w:pStyle w:val="Tablenotes"/>
        <w:spacing w:after="240"/>
        <w:contextualSpacing w:val="0"/>
        <w:jc w:val="both"/>
      </w:pPr>
      <w:r>
        <w:t>*</w:t>
      </w:r>
      <w:r w:rsidR="009655DB">
        <w:t>*</w:t>
      </w:r>
      <w:r>
        <w:t xml:space="preserve">This approach was used </w:t>
      </w:r>
      <w:r w:rsidR="00380050">
        <w:t>in McIntyre</w:t>
      </w:r>
      <w:r>
        <w:t xml:space="preserve"> </w:t>
      </w:r>
      <w:r w:rsidR="00F6199E">
        <w:t>et al.,</w:t>
      </w:r>
      <w:r>
        <w:t xml:space="preserve">2023 study. </w:t>
      </w:r>
      <w:r w:rsidR="00205942">
        <w:br w:type="page"/>
      </w:r>
    </w:p>
    <w:p w14:paraId="4AD19A7E" w14:textId="582AD77E" w:rsidR="007D1813" w:rsidRPr="00CE28E3" w:rsidRDefault="00FA2AF3" w:rsidP="003B4E46">
      <w:r>
        <w:lastRenderedPageBreak/>
        <w:t xml:space="preserve">For the </w:t>
      </w:r>
      <w:r w:rsidR="0022598A">
        <w:t>A</w:t>
      </w:r>
      <w:r w:rsidR="00995818">
        <w:t xml:space="preserve">pplicant </w:t>
      </w:r>
      <w:r w:rsidR="0022598A">
        <w:t>D</w:t>
      </w:r>
      <w:r w:rsidR="00995818">
        <w:t xml:space="preserve">eveloped </w:t>
      </w:r>
      <w:r w:rsidR="0022598A">
        <w:t>A</w:t>
      </w:r>
      <w:r w:rsidR="00995818">
        <w:t xml:space="preserve">ssessment </w:t>
      </w:r>
      <w:r w:rsidR="0022598A">
        <w:t>R</w:t>
      </w:r>
      <w:r w:rsidR="00995818">
        <w:t>eport (</w:t>
      </w:r>
      <w:r w:rsidR="00867444">
        <w:t>ADAR</w:t>
      </w:r>
      <w:r w:rsidR="00995818">
        <w:t>)</w:t>
      </w:r>
      <w:r>
        <w:t xml:space="preserve">, the applicant requested an expedited pathway assessment </w:t>
      </w:r>
      <w:r w:rsidR="008477D2">
        <w:t>as</w:t>
      </w:r>
      <w:r>
        <w:t xml:space="preserve"> the proposed PICO </w:t>
      </w:r>
      <w:r w:rsidR="0046679D">
        <w:t>was</w:t>
      </w:r>
      <w:r>
        <w:t xml:space="preserve"> closely aligned to the previously </w:t>
      </w:r>
      <w:r w:rsidR="00BC2E3C">
        <w:t xml:space="preserve">Ratified </w:t>
      </w:r>
      <w:r>
        <w:t xml:space="preserve">PICO </w:t>
      </w:r>
      <w:r w:rsidR="008477D2">
        <w:t xml:space="preserve">confirmation </w:t>
      </w:r>
      <w:r>
        <w:t>(September 2019).</w:t>
      </w:r>
      <w:r w:rsidR="001C5BAA">
        <w:t xml:space="preserve"> </w:t>
      </w:r>
      <w:r w:rsidR="005363F5">
        <w:t xml:space="preserve">The </w:t>
      </w:r>
      <w:r w:rsidR="00D5306E">
        <w:t>d</w:t>
      </w:r>
      <w:r w:rsidR="000C26DC">
        <w:t xml:space="preserve">epartment </w:t>
      </w:r>
      <w:r w:rsidR="005363F5">
        <w:t xml:space="preserve">sought MSAC Executive advice for the progression of the planned </w:t>
      </w:r>
      <w:r w:rsidR="00867444">
        <w:t>ADAR</w:t>
      </w:r>
      <w:r w:rsidR="001C5BAA">
        <w:t>.</w:t>
      </w:r>
      <w:r w:rsidR="005363F5">
        <w:t xml:space="preserve"> </w:t>
      </w:r>
      <w:r w:rsidR="001C5BAA">
        <w:t>At</w:t>
      </w:r>
      <w:r>
        <w:t xml:space="preserve"> its </w:t>
      </w:r>
      <w:r w:rsidR="007F08FC">
        <w:t xml:space="preserve">21 </w:t>
      </w:r>
      <w:r>
        <w:t xml:space="preserve">April </w:t>
      </w:r>
      <w:r w:rsidR="007F08FC">
        <w:t>2023</w:t>
      </w:r>
      <w:r>
        <w:t xml:space="preserve"> meeting, </w:t>
      </w:r>
      <w:r w:rsidRPr="00435501">
        <w:t xml:space="preserve">the MSAC Executive advised that </w:t>
      </w:r>
      <w:r w:rsidR="00885A86" w:rsidRPr="00435501">
        <w:t>consideration</w:t>
      </w:r>
      <w:r w:rsidR="00885A86" w:rsidRPr="00B821D3" w:rsidDel="00885A86">
        <w:rPr>
          <w:rFonts w:cs="Helvetica"/>
          <w:color w:val="222222"/>
          <w:shd w:val="clear" w:color="auto" w:fill="FFFFFF"/>
        </w:rPr>
        <w:t xml:space="preserve"> </w:t>
      </w:r>
      <w:r w:rsidR="00885A86">
        <w:rPr>
          <w:rFonts w:cs="Helvetica"/>
          <w:color w:val="222222"/>
          <w:shd w:val="clear" w:color="auto" w:fill="FFFFFF"/>
        </w:rPr>
        <w:t xml:space="preserve">by </w:t>
      </w:r>
      <w:r w:rsidR="00D600C6" w:rsidRPr="00B821D3">
        <w:rPr>
          <w:rFonts w:cs="Helvetica"/>
          <w:color w:val="222222"/>
          <w:shd w:val="clear" w:color="auto" w:fill="FFFFFF"/>
        </w:rPr>
        <w:t>PASC</w:t>
      </w:r>
      <w:r w:rsidRPr="00435501">
        <w:t xml:space="preserve"> </w:t>
      </w:r>
      <w:r w:rsidR="0046679D" w:rsidRPr="00435501">
        <w:t>was</w:t>
      </w:r>
      <w:r w:rsidRPr="00435501">
        <w:t xml:space="preserve"> required</w:t>
      </w:r>
      <w:r>
        <w:t xml:space="preserve"> to confirm the PICO for the </w:t>
      </w:r>
      <w:r w:rsidR="00867444">
        <w:t>ADAR</w:t>
      </w:r>
      <w:r w:rsidR="001C5BAA">
        <w:t xml:space="preserve"> particularly to </w:t>
      </w:r>
      <w:r w:rsidR="001C5BAA" w:rsidRPr="00B821D3">
        <w:t>define the duration of failure to CM)</w:t>
      </w:r>
      <w:r w:rsidR="006F2BA2">
        <w:t xml:space="preserve"> </w:t>
      </w:r>
      <w:r w:rsidR="001C5BAA" w:rsidRPr="00B821D3">
        <w:t xml:space="preserve">in the eligible population and </w:t>
      </w:r>
      <w:r w:rsidR="0098046F">
        <w:t xml:space="preserve">whether to </w:t>
      </w:r>
      <w:r w:rsidR="001C5BAA" w:rsidRPr="00B821D3">
        <w:t xml:space="preserve">consider </w:t>
      </w:r>
      <w:r w:rsidR="00DC5D7F">
        <w:t xml:space="preserve">continued </w:t>
      </w:r>
      <w:r w:rsidR="001C5BAA" w:rsidRPr="00B821D3">
        <w:t>CM as an additional comparator in Population 1 (PTRCT)</w:t>
      </w:r>
      <w:r w:rsidR="001C5BAA" w:rsidRPr="001C5BAA">
        <w:t xml:space="preserve"> </w:t>
      </w:r>
      <w:r w:rsidR="001C5BAA" w:rsidRPr="00B821D3">
        <w:t xml:space="preserve">due to the intervention being used without standard surgical repair </w:t>
      </w:r>
      <w:r w:rsidR="001C5BAA" w:rsidRPr="001C5BAA">
        <w:t xml:space="preserve">(MSAC 1593.1 Ratified PICO confirmation, </w:t>
      </w:r>
      <w:r w:rsidR="007E2318">
        <w:t>pg</w:t>
      </w:r>
      <w:r w:rsidR="001C5BAA" w:rsidRPr="001C5BAA">
        <w:t>5-6)</w:t>
      </w:r>
      <w:r w:rsidR="001C5BAA" w:rsidRPr="00B821D3">
        <w:t>.</w:t>
      </w:r>
    </w:p>
    <w:p w14:paraId="6F52500A" w14:textId="7EE28B2D" w:rsidR="00772829" w:rsidRPr="00CE28E3" w:rsidRDefault="008D6BDA" w:rsidP="002A18BE">
      <w:pPr>
        <w:pStyle w:val="Heading2"/>
        <w:numPr>
          <w:ilvl w:val="0"/>
          <w:numId w:val="0"/>
        </w:numPr>
      </w:pPr>
      <w:bookmarkStart w:id="10" w:name="_Toc69491417"/>
      <w:bookmarkEnd w:id="6"/>
      <w:bookmarkEnd w:id="8"/>
      <w:r>
        <w:t>5</w:t>
      </w:r>
      <w:r w:rsidR="00C36633">
        <w:t>.</w:t>
      </w:r>
      <w:r w:rsidR="00C36633">
        <w:tab/>
      </w:r>
      <w:r w:rsidR="00772829" w:rsidRPr="00CE28E3">
        <w:t>Prerequisites to implementation of any funding advice</w:t>
      </w:r>
      <w:bookmarkEnd w:id="10"/>
    </w:p>
    <w:p w14:paraId="34C40139" w14:textId="58453E8E" w:rsidR="00D65115" w:rsidRDefault="00A66F55" w:rsidP="003B4E46">
      <w:r>
        <w:t xml:space="preserve">The </w:t>
      </w:r>
      <w:r w:rsidR="00A91B39" w:rsidRPr="00435501">
        <w:t>REGENETEN</w:t>
      </w:r>
      <w:r>
        <w:t xml:space="preserve"> </w:t>
      </w:r>
      <w:r w:rsidR="00E54F75">
        <w:t>B</w:t>
      </w:r>
      <w:r>
        <w:t>ioinductive implant</w:t>
      </w:r>
      <w:r w:rsidR="00A91B39" w:rsidRPr="00435501">
        <w:t xml:space="preserve"> is a </w:t>
      </w:r>
      <w:r w:rsidR="00953FDC" w:rsidRPr="00435501">
        <w:t>Therapeutic Goods Administration (</w:t>
      </w:r>
      <w:r w:rsidR="00A91B39" w:rsidRPr="00435501">
        <w:t>TGA</w:t>
      </w:r>
      <w:r w:rsidR="00953FDC" w:rsidRPr="00435501">
        <w:t>)</w:t>
      </w:r>
      <w:r w:rsidR="00A91B39" w:rsidRPr="00435501">
        <w:t xml:space="preserve"> approved Class III Medical Device and has been on the Australian Register of Therapeutic Goods (ARTG) since 2</w:t>
      </w:r>
      <w:r w:rsidR="002F615D">
        <w:t>4</w:t>
      </w:r>
      <w:r w:rsidR="00A91B39" w:rsidRPr="00435501">
        <w:rPr>
          <w:vertAlign w:val="superscript"/>
        </w:rPr>
        <w:t>th</w:t>
      </w:r>
      <w:r w:rsidR="00A91B39" w:rsidRPr="00435501">
        <w:t xml:space="preserve"> July 2020. </w:t>
      </w:r>
      <w:r w:rsidR="008724AB" w:rsidRPr="00435501">
        <w:rPr>
          <w:lang w:val="en-US"/>
        </w:rPr>
        <w:t xml:space="preserve">The </w:t>
      </w:r>
      <w:r w:rsidR="00D77A50">
        <w:rPr>
          <w:lang w:val="en-US"/>
        </w:rPr>
        <w:t xml:space="preserve">intended purpose </w:t>
      </w:r>
      <w:r w:rsidR="008724AB" w:rsidRPr="00435501">
        <w:rPr>
          <w:lang w:val="en-US"/>
        </w:rPr>
        <w:t xml:space="preserve">for </w:t>
      </w:r>
      <w:r w:rsidR="008724AB" w:rsidRPr="00435501">
        <w:t>REGENETEN</w:t>
      </w:r>
      <w:r w:rsidR="008724AB" w:rsidRPr="00435501">
        <w:rPr>
          <w:lang w:val="en-US"/>
        </w:rPr>
        <w:t xml:space="preserve"> as per the ARTG entry (ARTG ID: 340095</w:t>
      </w:r>
      <w:r w:rsidR="00FE77F1">
        <w:rPr>
          <w:lang w:val="en-US"/>
        </w:rPr>
        <w:t xml:space="preserve"> </w:t>
      </w:r>
      <w:r w:rsidR="008724AB" w:rsidRPr="00435501">
        <w:rPr>
          <w:lang w:val="en-US"/>
        </w:rPr>
        <w:t xml:space="preserve">- </w:t>
      </w:r>
      <w:r w:rsidR="008724AB" w:rsidRPr="00435501">
        <w:t>REGENETEN Arthroscopic Bioinductive Implant</w:t>
      </w:r>
      <w:r w:rsidR="00A835A3">
        <w:t xml:space="preserve"> and</w:t>
      </w:r>
      <w:r w:rsidR="00A835A3" w:rsidRPr="00435501">
        <w:t xml:space="preserve"> </w:t>
      </w:r>
      <w:r w:rsidR="008724AB" w:rsidRPr="00435501">
        <w:t>ARTG ID 340096</w:t>
      </w:r>
      <w:r w:rsidR="00FE77F1">
        <w:t xml:space="preserve"> </w:t>
      </w:r>
      <w:r w:rsidR="008724AB" w:rsidRPr="00435501">
        <w:t>- REGENETEN Mini-Open Bioinductive Implant</w:t>
      </w:r>
      <w:r w:rsidR="00D24D63">
        <w:t xml:space="preserve">) is for </w:t>
      </w:r>
      <w:r w:rsidR="00AF38A8">
        <w:t>the management and protection of tendon injuries.</w:t>
      </w:r>
      <w:r w:rsidR="00B00CCA" w:rsidRPr="00435501">
        <w:t xml:space="preserve"> </w:t>
      </w:r>
    </w:p>
    <w:p w14:paraId="2AF40618" w14:textId="7AC602CC" w:rsidR="008724AB" w:rsidRPr="00435501" w:rsidRDefault="00D81345" w:rsidP="003B4E46">
      <w:r>
        <w:t xml:space="preserve">A third entry </w:t>
      </w:r>
      <w:r w:rsidR="00F14FE7">
        <w:t>from the same sponsor</w:t>
      </w:r>
      <w:r w:rsidR="00B72AB3">
        <w:t xml:space="preserve"> (</w:t>
      </w:r>
      <w:r w:rsidR="00B00CCA" w:rsidRPr="00435501">
        <w:t>ARTG ID 384118</w:t>
      </w:r>
      <w:r w:rsidR="00FE77F1">
        <w:t xml:space="preserve"> </w:t>
      </w:r>
      <w:r w:rsidR="00B00CCA" w:rsidRPr="00435501">
        <w:t>- Bioinductive Implant with Arthroscopic Delivery System</w:t>
      </w:r>
      <w:r w:rsidR="00860A3C">
        <w:t>, effective date 16 February 2022</w:t>
      </w:r>
      <w:r w:rsidR="008724AB" w:rsidRPr="00435501">
        <w:rPr>
          <w:lang w:val="en-US"/>
        </w:rPr>
        <w:t>)</w:t>
      </w:r>
      <w:r w:rsidR="004A3109">
        <w:rPr>
          <w:lang w:val="en-US"/>
        </w:rPr>
        <w:t xml:space="preserve"> </w:t>
      </w:r>
      <w:r w:rsidR="00DB014B">
        <w:rPr>
          <w:lang w:val="en-US"/>
        </w:rPr>
        <w:t xml:space="preserve">with the same GMDN </w:t>
      </w:r>
      <w:r w:rsidR="00CC4818">
        <w:rPr>
          <w:lang w:val="en-US"/>
        </w:rPr>
        <w:t>has an additional i</w:t>
      </w:r>
      <w:r w:rsidR="00D31956">
        <w:rPr>
          <w:lang w:val="en-US"/>
        </w:rPr>
        <w:t>ntended purpose</w:t>
      </w:r>
      <w:r w:rsidR="008724AB" w:rsidRPr="00435501">
        <w:rPr>
          <w:lang w:val="en-US"/>
        </w:rPr>
        <w:t>:</w:t>
      </w:r>
    </w:p>
    <w:p w14:paraId="3D72D991" w14:textId="39B782D1" w:rsidR="008724AB" w:rsidRPr="003B4E46" w:rsidRDefault="008724AB" w:rsidP="00205942">
      <w:pPr>
        <w:pStyle w:val="Bullet"/>
        <w:spacing w:before="0"/>
      </w:pPr>
      <w:r w:rsidRPr="008724AB">
        <w:rPr>
          <w:lang w:val="en-US"/>
        </w:rPr>
        <w:t xml:space="preserve">The REGENETEN Bioinductive Implant is </w:t>
      </w:r>
      <w:r w:rsidR="00706F28">
        <w:rPr>
          <w:lang w:val="en-US"/>
        </w:rPr>
        <w:t>indicated</w:t>
      </w:r>
      <w:r w:rsidRPr="008724AB">
        <w:rPr>
          <w:lang w:val="en-US"/>
        </w:rPr>
        <w:t xml:space="preserve"> for the management and protection of </w:t>
      </w:r>
      <w:r w:rsidR="009D0464">
        <w:rPr>
          <w:lang w:val="en-US"/>
        </w:rPr>
        <w:t xml:space="preserve">rotator </w:t>
      </w:r>
      <w:r w:rsidR="00A03310">
        <w:rPr>
          <w:lang w:val="en-US"/>
        </w:rPr>
        <w:t xml:space="preserve">cuff </w:t>
      </w:r>
      <w:r w:rsidRPr="008724AB">
        <w:rPr>
          <w:lang w:val="en-US"/>
        </w:rPr>
        <w:t>injuries</w:t>
      </w:r>
      <w:r w:rsidR="00A03310">
        <w:rPr>
          <w:lang w:val="en-US"/>
        </w:rPr>
        <w:t xml:space="preserve"> in which there has been no substantial loss of tendon tissue</w:t>
      </w:r>
      <w:r w:rsidRPr="008724AB">
        <w:rPr>
          <w:lang w:val="en-US"/>
        </w:rPr>
        <w:t>.</w:t>
      </w:r>
    </w:p>
    <w:p w14:paraId="43D29B2D" w14:textId="338EAE93" w:rsidR="00590F71" w:rsidRDefault="00590F71" w:rsidP="003B4E46">
      <w:r>
        <w:t xml:space="preserve">The </w:t>
      </w:r>
      <w:r w:rsidR="00514EC7">
        <w:t xml:space="preserve">entry has the following specific conditions: The </w:t>
      </w:r>
      <w:r>
        <w:t>sponsor must provide the TGA the study "Clinical Trial on the Effect of REGENETEN Bioinductive Implant in the Supraspinatus Tendon Repair</w:t>
      </w:r>
      <w:r w:rsidR="001B1FB8">
        <w:t xml:space="preserve"> </w:t>
      </w:r>
      <w:r>
        <w:t>(NCT04444076)"</w:t>
      </w:r>
      <w:r w:rsidR="003254A9">
        <w:rPr>
          <w:rStyle w:val="FootnoteReference"/>
        </w:rPr>
        <w:footnoteReference w:id="5"/>
      </w:r>
      <w:r>
        <w:t xml:space="preserve"> within three months of the clinical trial's completion.</w:t>
      </w:r>
    </w:p>
    <w:p w14:paraId="7699F5BD" w14:textId="5DE940F6" w:rsidR="00A91B39" w:rsidRPr="00330A0A" w:rsidRDefault="008724AB" w:rsidP="003B4E46">
      <w:r w:rsidRPr="00A91B39">
        <w:t>The device is currently available in Australia</w:t>
      </w:r>
      <w:r>
        <w:t xml:space="preserve"> and t</w:t>
      </w:r>
      <w:r w:rsidR="00A91B39" w:rsidRPr="00A91B39">
        <w:t xml:space="preserve">here are </w:t>
      </w:r>
      <w:r w:rsidR="00454FEF" w:rsidRPr="00A91B39">
        <w:t>current</w:t>
      </w:r>
      <w:r w:rsidR="00454FEF">
        <w:t>ly</w:t>
      </w:r>
      <w:r w:rsidR="00454FEF" w:rsidRPr="00A91B39">
        <w:t xml:space="preserve"> </w:t>
      </w:r>
      <w:r w:rsidR="00A91B39" w:rsidRPr="00A91B39">
        <w:t>no prerequisites to implement funding advice.</w:t>
      </w:r>
    </w:p>
    <w:p w14:paraId="44C3B242" w14:textId="749E605D" w:rsidR="00772829" w:rsidRPr="00CE28E3" w:rsidRDefault="008D6BDA" w:rsidP="002A18BE">
      <w:pPr>
        <w:pStyle w:val="Heading2"/>
        <w:numPr>
          <w:ilvl w:val="0"/>
          <w:numId w:val="0"/>
        </w:numPr>
      </w:pPr>
      <w:bookmarkStart w:id="11" w:name="_Toc69491418"/>
      <w:r>
        <w:t>6</w:t>
      </w:r>
      <w:r w:rsidR="00C36633">
        <w:t>.</w:t>
      </w:r>
      <w:r w:rsidR="00C36633">
        <w:tab/>
      </w:r>
      <w:r w:rsidR="00772829" w:rsidRPr="00CE28E3">
        <w:t>Proposal for public funding</w:t>
      </w:r>
      <w:bookmarkEnd w:id="11"/>
    </w:p>
    <w:p w14:paraId="4889065C" w14:textId="7E37ADF4" w:rsidR="008477D2" w:rsidRDefault="009866A5" w:rsidP="003B4E46">
      <w:r w:rsidRPr="009866A5">
        <w:t xml:space="preserve">This </w:t>
      </w:r>
      <w:r w:rsidR="00A20409">
        <w:t>ADAR</w:t>
      </w:r>
      <w:r w:rsidR="00DB701E" w:rsidRPr="009866A5">
        <w:t xml:space="preserve"> </w:t>
      </w:r>
      <w:r w:rsidR="00435501">
        <w:t>was</w:t>
      </w:r>
      <w:r w:rsidR="00435501" w:rsidRPr="009866A5">
        <w:t xml:space="preserve"> </w:t>
      </w:r>
      <w:r w:rsidRPr="009866A5">
        <w:t xml:space="preserve">for a PL listing of REGENETEN for use in the surgical repair of rotator cuff tears in conjunction with existing MBS items. Consistent with the </w:t>
      </w:r>
      <w:r w:rsidR="00BC2E3C">
        <w:t>Ratified</w:t>
      </w:r>
      <w:r w:rsidR="00BC2E3C" w:rsidRPr="009866A5">
        <w:t xml:space="preserve"> </w:t>
      </w:r>
      <w:r w:rsidRPr="009866A5">
        <w:t>PICO</w:t>
      </w:r>
      <w:r w:rsidR="008477D2">
        <w:t xml:space="preserve"> confirmation</w:t>
      </w:r>
      <w:r w:rsidR="00454FEF">
        <w:t>,</w:t>
      </w:r>
      <w:r w:rsidRPr="009866A5">
        <w:t xml:space="preserve"> and as agreed by PASC, there are already relevant and clinically appropriate MBS items available that </w:t>
      </w:r>
      <w:r w:rsidR="00E7624E">
        <w:t xml:space="preserve">would </w:t>
      </w:r>
      <w:r w:rsidRPr="009866A5">
        <w:t xml:space="preserve">allow the use of REGENETEN </w:t>
      </w:r>
      <w:r w:rsidR="00E7624E">
        <w:t>if</w:t>
      </w:r>
      <w:r w:rsidR="00E7624E" w:rsidRPr="009866A5">
        <w:t xml:space="preserve"> </w:t>
      </w:r>
      <w:r w:rsidRPr="009866A5">
        <w:t xml:space="preserve">the product obtains </w:t>
      </w:r>
      <w:r w:rsidR="00E7624E">
        <w:t xml:space="preserve">a </w:t>
      </w:r>
      <w:r w:rsidRPr="009866A5">
        <w:t xml:space="preserve">listing on the </w:t>
      </w:r>
      <w:r w:rsidR="00953FDC">
        <w:t>PL</w:t>
      </w:r>
      <w:r w:rsidRPr="009866A5">
        <w:t xml:space="preserve">. </w:t>
      </w:r>
      <w:r w:rsidR="008477D2">
        <w:t xml:space="preserve">PASC considered MBS item 48960 the most applicable item amongst the three MBS items (MBS items 48960, 48906 and 48909) proposed by the applicant </w:t>
      </w:r>
      <w:r w:rsidR="008477D2">
        <w:rPr>
          <w:shd w:val="clear" w:color="auto" w:fill="FFFFFF" w:themeFill="background1"/>
        </w:rPr>
        <w:t>(</w:t>
      </w:r>
      <w:bookmarkStart w:id="12" w:name="_Hlk165551708"/>
      <w:r w:rsidR="008477D2">
        <w:rPr>
          <w:shd w:val="clear" w:color="auto" w:fill="FFFFFF" w:themeFill="background1"/>
        </w:rPr>
        <w:t xml:space="preserve">MSAC 1593.1 </w:t>
      </w:r>
      <w:bookmarkEnd w:id="12"/>
      <w:r w:rsidR="008477D2">
        <w:rPr>
          <w:shd w:val="clear" w:color="auto" w:fill="FFFFFF" w:themeFill="background1"/>
        </w:rPr>
        <w:t>Ratified PICO</w:t>
      </w:r>
      <w:r w:rsidR="007E2318">
        <w:rPr>
          <w:shd w:val="clear" w:color="auto" w:fill="FFFFFF" w:themeFill="background1"/>
        </w:rPr>
        <w:t xml:space="preserve"> confirmation</w:t>
      </w:r>
      <w:r w:rsidR="008477D2">
        <w:rPr>
          <w:shd w:val="clear" w:color="auto" w:fill="FFFFFF" w:themeFill="background1"/>
        </w:rPr>
        <w:t>, p</w:t>
      </w:r>
      <w:r w:rsidR="007E2318">
        <w:rPr>
          <w:shd w:val="clear" w:color="auto" w:fill="FFFFFF" w:themeFill="background1"/>
        </w:rPr>
        <w:t>g</w:t>
      </w:r>
      <w:r w:rsidR="008477D2">
        <w:rPr>
          <w:shd w:val="clear" w:color="auto" w:fill="FFFFFF" w:themeFill="background1"/>
        </w:rPr>
        <w:t>25),</w:t>
      </w:r>
      <w:r w:rsidR="008477D2">
        <w:t xml:space="preserve"> given it refers to arthroscopic repair, which is more common over mini-open technique. </w:t>
      </w:r>
      <w:r w:rsidR="008477D2" w:rsidRPr="008477D2">
        <w:t>Of note, ‘mini-open’ and arthroscopic rotator cuff surgical repair techniques attract the same MBS fee (MBS item 48960), though evidence</w:t>
      </w:r>
      <w:r w:rsidR="005A71DA">
        <w:rPr>
          <w:rStyle w:val="FootnoteReference"/>
        </w:rPr>
        <w:footnoteReference w:id="6"/>
      </w:r>
      <w:r w:rsidR="008477D2" w:rsidRPr="008477D2">
        <w:t xml:space="preserve"> suggests that arthroscopy is more expensive and requires more operative time than the ‘mini-open’ technique (</w:t>
      </w:r>
      <w:r w:rsidR="007E2318" w:rsidRPr="007E2318">
        <w:t xml:space="preserve">MSAC 1593.1 </w:t>
      </w:r>
      <w:r w:rsidR="008477D2" w:rsidRPr="008477D2">
        <w:t xml:space="preserve">Ratified PICO </w:t>
      </w:r>
      <w:r w:rsidR="007E2318" w:rsidRPr="007E2318">
        <w:t xml:space="preserve">confirmation </w:t>
      </w:r>
      <w:r w:rsidR="008477D2" w:rsidRPr="008477D2">
        <w:t>p</w:t>
      </w:r>
      <w:r w:rsidR="007E2318">
        <w:t>g</w:t>
      </w:r>
      <w:r w:rsidR="008477D2" w:rsidRPr="008477D2">
        <w:t>25).</w:t>
      </w:r>
    </w:p>
    <w:p w14:paraId="4EC45572" w14:textId="4D7389A4" w:rsidR="005A71DA" w:rsidRPr="00427A00" w:rsidRDefault="005A71DA" w:rsidP="003B4E46">
      <w:r w:rsidRPr="00256D58">
        <w:t xml:space="preserve">Orthopaedic </w:t>
      </w:r>
      <w:r>
        <w:t>s</w:t>
      </w:r>
      <w:r w:rsidRPr="00256D58">
        <w:t xml:space="preserve">urgeons perform the procedure. </w:t>
      </w:r>
      <w:r w:rsidR="00067657">
        <w:t>Therefore, n</w:t>
      </w:r>
      <w:r w:rsidRPr="00256D58">
        <w:t>o additional training is required by the surgeon to use REGENETEN in appropriate patients.</w:t>
      </w:r>
    </w:p>
    <w:p w14:paraId="08AECA84" w14:textId="3DF075CF" w:rsidR="00B90EC5" w:rsidRDefault="00B90EC5" w:rsidP="00877B0C">
      <w:pPr>
        <w:spacing w:after="120"/>
      </w:pPr>
      <w:r>
        <w:lastRenderedPageBreak/>
        <w:t xml:space="preserve">As noted in </w:t>
      </w:r>
      <w:bookmarkStart w:id="13" w:name="_Hlk165624985"/>
      <w:r>
        <w:t>MSAC 1593.1</w:t>
      </w:r>
      <w:bookmarkEnd w:id="13"/>
      <w:r>
        <w:t xml:space="preserve"> Ratified PICO confirmation, </w:t>
      </w:r>
      <w:r>
        <w:fldChar w:fldCharType="begin"/>
      </w:r>
      <w:r>
        <w:instrText xml:space="preserve"> REF _Ref163179341 \h </w:instrText>
      </w:r>
      <w:r>
        <w:fldChar w:fldCharType="separate"/>
      </w:r>
      <w:r w:rsidR="00EB12D3">
        <w:t xml:space="preserve">Table </w:t>
      </w:r>
      <w:r w:rsidR="00EB12D3">
        <w:rPr>
          <w:noProof/>
        </w:rPr>
        <w:t>2</w:t>
      </w:r>
      <w:r>
        <w:fldChar w:fldCharType="end"/>
      </w:r>
      <w:r>
        <w:t xml:space="preserve"> summarise</w:t>
      </w:r>
      <w:r w:rsidR="00B6445E">
        <w:t>d</w:t>
      </w:r>
      <w:r>
        <w:t xml:space="preserve"> the existing MBS item</w:t>
      </w:r>
      <w:r w:rsidR="001C0E39">
        <w:t>s</w:t>
      </w:r>
      <w:r>
        <w:t xml:space="preserve"> relevant for this application.</w:t>
      </w:r>
    </w:p>
    <w:p w14:paraId="795BF82E" w14:textId="2CA04E64" w:rsidR="00077F93" w:rsidRDefault="00077F93" w:rsidP="00205942">
      <w:pPr>
        <w:pStyle w:val="Caption"/>
        <w:spacing w:before="0"/>
      </w:pPr>
      <w:bookmarkStart w:id="14" w:name="_Ref163179341"/>
      <w:r>
        <w:t xml:space="preserve">Table </w:t>
      </w:r>
      <w:r>
        <w:fldChar w:fldCharType="begin"/>
      </w:r>
      <w:r>
        <w:instrText xml:space="preserve"> SEQ Table \* ARABIC </w:instrText>
      </w:r>
      <w:r>
        <w:fldChar w:fldCharType="separate"/>
      </w:r>
      <w:r w:rsidR="00C3173B">
        <w:rPr>
          <w:noProof/>
        </w:rPr>
        <w:t>2</w:t>
      </w:r>
      <w:r>
        <w:rPr>
          <w:noProof/>
        </w:rPr>
        <w:fldChar w:fldCharType="end"/>
      </w:r>
      <w:bookmarkEnd w:id="14"/>
      <w:r>
        <w:t>:</w:t>
      </w:r>
      <w:r w:rsidRPr="00077F93">
        <w:t xml:space="preserve"> </w:t>
      </w:r>
      <w:r>
        <w:t>Presentation of existing MBS items relevant for the application</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9866A5" w:rsidRPr="009866A5" w14:paraId="42CF57CB" w14:textId="77777777" w:rsidTr="007316D0">
        <w:trPr>
          <w:tblHeader/>
        </w:trPr>
        <w:tc>
          <w:tcPr>
            <w:tcW w:w="0" w:type="auto"/>
          </w:tcPr>
          <w:p w14:paraId="63800F14" w14:textId="77777777" w:rsidR="009866A5" w:rsidRPr="00427A00" w:rsidRDefault="009866A5" w:rsidP="003B4E46">
            <w:pPr>
              <w:pStyle w:val="TableText"/>
              <w:keepNext/>
              <w:rPr>
                <w:b/>
                <w:bCs/>
              </w:rPr>
            </w:pPr>
            <w:r w:rsidRPr="00427A00">
              <w:rPr>
                <w:b/>
                <w:bCs/>
              </w:rPr>
              <w:t>Category 3 THERAPEUTIC PROCEDURES</w:t>
            </w:r>
          </w:p>
        </w:tc>
      </w:tr>
      <w:tr w:rsidR="009866A5" w:rsidRPr="009866A5" w14:paraId="26D40368" w14:textId="77777777" w:rsidTr="007316D0">
        <w:trPr>
          <w:tblHeader/>
        </w:trPr>
        <w:tc>
          <w:tcPr>
            <w:tcW w:w="0" w:type="auto"/>
          </w:tcPr>
          <w:p w14:paraId="2767E54F" w14:textId="77777777" w:rsidR="009866A5" w:rsidRPr="009866A5" w:rsidRDefault="009866A5" w:rsidP="003B4E46">
            <w:pPr>
              <w:pStyle w:val="TableText"/>
              <w:keepNext/>
            </w:pPr>
            <w:r w:rsidRPr="009866A5">
              <w:t>MBS item 48960</w:t>
            </w:r>
          </w:p>
          <w:p w14:paraId="57D4C404" w14:textId="6DCFADA0" w:rsidR="009866A5" w:rsidRPr="009866A5" w:rsidRDefault="009866A5" w:rsidP="003B4E46">
            <w:pPr>
              <w:pStyle w:val="TableText"/>
              <w:keepNext/>
            </w:pPr>
            <w:r w:rsidRPr="009866A5">
              <w:t xml:space="preserve">SHOULDER, reconstruction or repair of, including repair of rotator cuff by arthroscopic, arthroscopic assisted or mini open </w:t>
            </w:r>
            <w:r w:rsidR="00357149" w:rsidRPr="009866A5">
              <w:t>means</w:t>
            </w:r>
            <w:r w:rsidR="00357149">
              <w:rPr>
                <w:vertAlign w:val="superscript"/>
              </w:rPr>
              <w:t>*</w:t>
            </w:r>
            <w:r w:rsidRPr="009866A5">
              <w:t>; arthroscopic acromioplasty; or resection of acromioclavicular joint by separate approach when performed - not being a service associated with any other procedure of the shoulder region (H)</w:t>
            </w:r>
          </w:p>
          <w:p w14:paraId="1870AFC3" w14:textId="77777777" w:rsidR="009866A5" w:rsidRPr="009866A5" w:rsidRDefault="009866A5" w:rsidP="003B4E46">
            <w:pPr>
              <w:pStyle w:val="TableText"/>
              <w:keepNext/>
            </w:pPr>
            <w:r w:rsidRPr="009866A5">
              <w:t>Multiple Operations Rule</w:t>
            </w:r>
          </w:p>
          <w:p w14:paraId="36138B4E" w14:textId="77777777" w:rsidR="009866A5" w:rsidRPr="009866A5" w:rsidRDefault="009866A5" w:rsidP="003B4E46">
            <w:pPr>
              <w:pStyle w:val="TableText"/>
              <w:keepNext/>
            </w:pPr>
            <w:r w:rsidRPr="009866A5">
              <w:t>(Anaes.) (Assist.)</w:t>
            </w:r>
          </w:p>
        </w:tc>
      </w:tr>
      <w:tr w:rsidR="009866A5" w:rsidRPr="009866A5" w14:paraId="6B7B209F" w14:textId="77777777" w:rsidTr="007316D0">
        <w:trPr>
          <w:tblHeader/>
        </w:trPr>
        <w:tc>
          <w:tcPr>
            <w:tcW w:w="0" w:type="auto"/>
          </w:tcPr>
          <w:p w14:paraId="2E937EFB" w14:textId="646DAF76" w:rsidR="009866A5" w:rsidRPr="009866A5" w:rsidRDefault="004A1893" w:rsidP="003B4E46">
            <w:pPr>
              <w:pStyle w:val="TableText"/>
              <w:keepNext/>
            </w:pPr>
            <w:r w:rsidRPr="004A1893">
              <w:t>Fee: $1,036.25 Benefit: 75% = $777.20</w:t>
            </w:r>
          </w:p>
        </w:tc>
      </w:tr>
      <w:tr w:rsidR="009866A5" w:rsidRPr="009866A5" w14:paraId="18E0201A" w14:textId="77777777" w:rsidTr="007316D0">
        <w:trPr>
          <w:tblHeader/>
        </w:trPr>
        <w:tc>
          <w:tcPr>
            <w:tcW w:w="0" w:type="auto"/>
          </w:tcPr>
          <w:p w14:paraId="6D9F71DD" w14:textId="77777777" w:rsidR="009866A5" w:rsidRPr="00427A00" w:rsidRDefault="009866A5" w:rsidP="003B4E46">
            <w:pPr>
              <w:pStyle w:val="TableText"/>
              <w:keepNext/>
              <w:rPr>
                <w:b/>
                <w:bCs/>
              </w:rPr>
            </w:pPr>
            <w:r w:rsidRPr="00427A00">
              <w:rPr>
                <w:b/>
                <w:bCs/>
              </w:rPr>
              <w:t>APPLICANT</w:t>
            </w:r>
          </w:p>
        </w:tc>
      </w:tr>
      <w:tr w:rsidR="009866A5" w:rsidRPr="009866A5" w14:paraId="4768FB82" w14:textId="77777777" w:rsidTr="007316D0">
        <w:trPr>
          <w:tblHeader/>
        </w:trPr>
        <w:tc>
          <w:tcPr>
            <w:tcW w:w="0" w:type="auto"/>
          </w:tcPr>
          <w:p w14:paraId="693C3FD0" w14:textId="5344C0AB" w:rsidR="009866A5" w:rsidRPr="009866A5" w:rsidRDefault="00253171" w:rsidP="003B4E46">
            <w:pPr>
              <w:pStyle w:val="TableText"/>
              <w:keepNext/>
            </w:pPr>
            <w:r w:rsidRPr="00253171">
              <w:t xml:space="preserve">Prescribed List </w:t>
            </w:r>
            <w:r w:rsidR="009866A5" w:rsidRPr="009866A5">
              <w:t>rebate: bovine BCI (REGENETEN)</w:t>
            </w:r>
          </w:p>
        </w:tc>
      </w:tr>
      <w:tr w:rsidR="009866A5" w:rsidRPr="009866A5" w14:paraId="1AC38ADE" w14:textId="77777777" w:rsidTr="007316D0">
        <w:trPr>
          <w:tblHeader/>
        </w:trPr>
        <w:tc>
          <w:tcPr>
            <w:tcW w:w="0" w:type="auto"/>
            <w:shd w:val="clear" w:color="auto" w:fill="auto"/>
          </w:tcPr>
          <w:p w14:paraId="2185881D" w14:textId="684C5A88" w:rsidR="009866A5" w:rsidRPr="009866A5" w:rsidRDefault="009866A5" w:rsidP="003B4E46">
            <w:pPr>
              <w:pStyle w:val="TableText"/>
              <w:keepNext/>
            </w:pPr>
            <w:r w:rsidRPr="009866A5">
              <w:t xml:space="preserve">Fee: </w:t>
            </w:r>
            <w:r w:rsidR="00FA6590" w:rsidRPr="00DF6528">
              <w:rPr>
                <w:b/>
                <w:bCs/>
              </w:rPr>
              <w:t>redacted</w:t>
            </w:r>
            <w:r w:rsidRPr="009866A5">
              <w:t xml:space="preserve"> Benefit: </w:t>
            </w:r>
            <w:r w:rsidR="00FA6590" w:rsidRPr="00D62413">
              <w:rPr>
                <w:b/>
                <w:bCs/>
              </w:rPr>
              <w:t>redacted</w:t>
            </w:r>
          </w:p>
        </w:tc>
      </w:tr>
      <w:tr w:rsidR="009866A5" w:rsidRPr="009866A5" w14:paraId="251202E2" w14:textId="77777777" w:rsidTr="007316D0">
        <w:trPr>
          <w:tblHeader/>
        </w:trPr>
        <w:tc>
          <w:tcPr>
            <w:tcW w:w="0" w:type="auto"/>
          </w:tcPr>
          <w:p w14:paraId="5AB32151" w14:textId="77777777" w:rsidR="009866A5" w:rsidRPr="00427A00" w:rsidRDefault="009866A5" w:rsidP="003B4E46">
            <w:pPr>
              <w:pStyle w:val="TableText"/>
              <w:keepNext/>
              <w:rPr>
                <w:b/>
                <w:bCs/>
              </w:rPr>
            </w:pPr>
            <w:r w:rsidRPr="00427A00">
              <w:rPr>
                <w:b/>
                <w:bCs/>
              </w:rPr>
              <w:t>Category 3 THERAPEUTIC PROCEDURES</w:t>
            </w:r>
          </w:p>
        </w:tc>
      </w:tr>
      <w:tr w:rsidR="009866A5" w:rsidRPr="009866A5" w14:paraId="65920AA6" w14:textId="77777777" w:rsidTr="007316D0">
        <w:trPr>
          <w:tblHeader/>
        </w:trPr>
        <w:tc>
          <w:tcPr>
            <w:tcW w:w="0" w:type="auto"/>
          </w:tcPr>
          <w:p w14:paraId="3F056581" w14:textId="77777777" w:rsidR="009866A5" w:rsidRPr="009866A5" w:rsidRDefault="009866A5" w:rsidP="003B4E46">
            <w:pPr>
              <w:pStyle w:val="TableText"/>
              <w:keepNext/>
            </w:pPr>
            <w:r w:rsidRPr="009866A5">
              <w:t>MBS item 17610</w:t>
            </w:r>
          </w:p>
          <w:p w14:paraId="4D13D1B1" w14:textId="77777777" w:rsidR="009866A5" w:rsidRPr="009866A5" w:rsidRDefault="009866A5" w:rsidP="003B4E46">
            <w:pPr>
              <w:pStyle w:val="TableText"/>
              <w:keepNext/>
            </w:pPr>
            <w:r w:rsidRPr="009866A5">
              <w:t>ANAESTHETIST, PRE-ANAESTHESIA CONSULTATION</w:t>
            </w:r>
          </w:p>
          <w:p w14:paraId="0C604640" w14:textId="012DCD8A" w:rsidR="009866A5" w:rsidRPr="009866A5" w:rsidRDefault="009866A5" w:rsidP="003B4E46">
            <w:pPr>
              <w:pStyle w:val="TableText"/>
              <w:keepNext/>
            </w:pPr>
            <w:r w:rsidRPr="009866A5">
              <w:t>(Professional attendance by a medical practitioner in the practice of ANAESTHESIA)</w:t>
            </w:r>
          </w:p>
          <w:p w14:paraId="6473BBA5" w14:textId="77777777" w:rsidR="009866A5" w:rsidRPr="009866A5" w:rsidRDefault="009866A5" w:rsidP="003B4E46">
            <w:pPr>
              <w:pStyle w:val="TableText"/>
              <w:keepNext/>
            </w:pPr>
            <w:r w:rsidRPr="009866A5">
              <w:t>-    a BRIEF consultation involving a targeted history and limited examination (including the cardio-respiratory system)</w:t>
            </w:r>
          </w:p>
          <w:p w14:paraId="46F2A433" w14:textId="77777777" w:rsidR="009866A5" w:rsidRPr="009866A5" w:rsidRDefault="009866A5" w:rsidP="003B4E46">
            <w:pPr>
              <w:pStyle w:val="TableText"/>
              <w:keepNext/>
            </w:pPr>
            <w:r w:rsidRPr="009866A5">
              <w:t>-    AND of not more than 15 minutes s duration, not being a service associated with a service to which items 2801 - 3000 apply</w:t>
            </w:r>
          </w:p>
        </w:tc>
      </w:tr>
      <w:tr w:rsidR="009866A5" w:rsidRPr="009866A5" w14:paraId="18E1C3F1" w14:textId="77777777" w:rsidTr="007316D0">
        <w:trPr>
          <w:tblHeader/>
        </w:trPr>
        <w:tc>
          <w:tcPr>
            <w:tcW w:w="0" w:type="auto"/>
          </w:tcPr>
          <w:p w14:paraId="2EAF5F24" w14:textId="2053996F" w:rsidR="009866A5" w:rsidRPr="009866A5" w:rsidRDefault="004A1893" w:rsidP="003B4E46">
            <w:pPr>
              <w:pStyle w:val="TableText"/>
              <w:keepNext/>
            </w:pPr>
            <w:r w:rsidRPr="004A1893">
              <w:t>Fee: $48.05 Benefit: 75% = $36.05 85% = $40.85</w:t>
            </w:r>
          </w:p>
        </w:tc>
      </w:tr>
      <w:tr w:rsidR="009866A5" w:rsidRPr="009866A5" w14:paraId="7202786E" w14:textId="77777777" w:rsidTr="007316D0">
        <w:trPr>
          <w:tblHeader/>
        </w:trPr>
        <w:tc>
          <w:tcPr>
            <w:tcW w:w="0" w:type="auto"/>
          </w:tcPr>
          <w:p w14:paraId="2826C28E" w14:textId="77777777" w:rsidR="009866A5" w:rsidRPr="00427A00" w:rsidRDefault="009866A5" w:rsidP="003B4E46">
            <w:pPr>
              <w:pStyle w:val="TableText"/>
              <w:keepNext/>
              <w:rPr>
                <w:b/>
                <w:bCs/>
              </w:rPr>
            </w:pPr>
            <w:r w:rsidRPr="00427A00">
              <w:rPr>
                <w:b/>
                <w:bCs/>
              </w:rPr>
              <w:t>Category 3 THERAPEUTIC PROCEDURES</w:t>
            </w:r>
          </w:p>
        </w:tc>
      </w:tr>
      <w:tr w:rsidR="009866A5" w:rsidRPr="009866A5" w14:paraId="73FB9641" w14:textId="77777777" w:rsidTr="007316D0">
        <w:trPr>
          <w:tblHeader/>
        </w:trPr>
        <w:tc>
          <w:tcPr>
            <w:tcW w:w="0" w:type="auto"/>
          </w:tcPr>
          <w:p w14:paraId="63D312AA" w14:textId="77777777" w:rsidR="009866A5" w:rsidRPr="009866A5" w:rsidRDefault="009866A5" w:rsidP="003B4E46">
            <w:pPr>
              <w:pStyle w:val="TableText"/>
              <w:keepNext/>
            </w:pPr>
            <w:r w:rsidRPr="009866A5">
              <w:t>MBS item 21622</w:t>
            </w:r>
          </w:p>
          <w:p w14:paraId="337FE398" w14:textId="77777777" w:rsidR="009866A5" w:rsidRPr="009866A5" w:rsidRDefault="009866A5" w:rsidP="003B4E46">
            <w:pPr>
              <w:pStyle w:val="TableText"/>
              <w:keepNext/>
            </w:pPr>
            <w:r w:rsidRPr="009866A5">
              <w:t>INITIATION OF MANAGEMENT OF ANAESTHESIA for arthroscopic procedures of shoulder joint</w:t>
            </w:r>
          </w:p>
          <w:p w14:paraId="4C4AFDE8" w14:textId="77777777" w:rsidR="009866A5" w:rsidRPr="009866A5" w:rsidRDefault="009866A5" w:rsidP="003B4E46">
            <w:pPr>
              <w:pStyle w:val="TableText"/>
              <w:keepNext/>
            </w:pPr>
            <w:r w:rsidRPr="009866A5">
              <w:t>(5 basic units)</w:t>
            </w:r>
          </w:p>
        </w:tc>
      </w:tr>
      <w:tr w:rsidR="009866A5" w:rsidRPr="009866A5" w14:paraId="07C41522" w14:textId="77777777" w:rsidTr="007316D0">
        <w:trPr>
          <w:tblHeader/>
        </w:trPr>
        <w:tc>
          <w:tcPr>
            <w:tcW w:w="0" w:type="auto"/>
          </w:tcPr>
          <w:p w14:paraId="15C027D0" w14:textId="31CC918F" w:rsidR="009866A5" w:rsidRPr="00B1076E" w:rsidRDefault="00427A00" w:rsidP="003B4E46">
            <w:pPr>
              <w:pStyle w:val="TableText"/>
              <w:keepNext/>
            </w:pPr>
            <w:r w:rsidRPr="00B821D3">
              <w:rPr>
                <w:rFonts w:cstheme="minorHAnsi"/>
                <w:color w:val="222222"/>
                <w:szCs w:val="20"/>
                <w:shd w:val="clear" w:color="auto" w:fill="FBFBFB"/>
              </w:rPr>
              <w:t>Fee: $109.00 Benefit: 75% = $81.75 85% = $92.65</w:t>
            </w:r>
          </w:p>
        </w:tc>
      </w:tr>
      <w:tr w:rsidR="009866A5" w:rsidRPr="009866A5" w14:paraId="1A55088C" w14:textId="77777777" w:rsidTr="007316D0">
        <w:trPr>
          <w:tblHeader/>
        </w:trPr>
        <w:tc>
          <w:tcPr>
            <w:tcW w:w="0" w:type="auto"/>
          </w:tcPr>
          <w:p w14:paraId="086B602B" w14:textId="77777777" w:rsidR="009866A5" w:rsidRPr="00427A00" w:rsidRDefault="009866A5" w:rsidP="003B4E46">
            <w:pPr>
              <w:pStyle w:val="TableText"/>
              <w:keepNext/>
              <w:rPr>
                <w:b/>
                <w:bCs/>
              </w:rPr>
            </w:pPr>
            <w:r w:rsidRPr="00427A00">
              <w:rPr>
                <w:b/>
                <w:bCs/>
              </w:rPr>
              <w:t>Category 3 THERAPEUTIC PROCEDURES</w:t>
            </w:r>
          </w:p>
        </w:tc>
      </w:tr>
      <w:tr w:rsidR="009866A5" w:rsidRPr="009866A5" w14:paraId="3D23466B" w14:textId="77777777" w:rsidTr="007316D0">
        <w:trPr>
          <w:tblHeader/>
        </w:trPr>
        <w:tc>
          <w:tcPr>
            <w:tcW w:w="0" w:type="auto"/>
          </w:tcPr>
          <w:p w14:paraId="4B359BCE" w14:textId="5532C7CD" w:rsidR="009866A5" w:rsidRPr="009866A5" w:rsidRDefault="009866A5" w:rsidP="003B4E46">
            <w:pPr>
              <w:pStyle w:val="TableText"/>
              <w:keepNext/>
            </w:pPr>
            <w:r w:rsidRPr="009866A5">
              <w:t>MBS item 17615</w:t>
            </w:r>
          </w:p>
          <w:p w14:paraId="62A70979" w14:textId="4D819644" w:rsidR="009866A5" w:rsidRPr="009866A5" w:rsidRDefault="009866A5" w:rsidP="003B4E46">
            <w:pPr>
              <w:pStyle w:val="TableText"/>
              <w:keepNext/>
            </w:pPr>
            <w:r w:rsidRPr="009866A5">
              <w:t xml:space="preserve">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 - and of more than 15 minutes but not more than 30 minutes </w:t>
            </w:r>
            <w:r w:rsidR="00357149" w:rsidRPr="009866A5">
              <w:t>duration</w:t>
            </w:r>
            <w:r w:rsidR="00357149">
              <w:rPr>
                <w:vertAlign w:val="superscript"/>
              </w:rPr>
              <w:t>***</w:t>
            </w:r>
            <w:r w:rsidRPr="009866A5">
              <w:t xml:space="preserve">, not being a service associated with a service to which items 2801 - 3000 </w:t>
            </w:r>
            <w:r w:rsidR="00B90EC5" w:rsidRPr="009866A5">
              <w:t>appl</w:t>
            </w:r>
            <w:r w:rsidR="00B90EC5">
              <w:t>y</w:t>
            </w:r>
          </w:p>
        </w:tc>
      </w:tr>
      <w:tr w:rsidR="009866A5" w:rsidRPr="009866A5" w14:paraId="002E0EDA" w14:textId="77777777" w:rsidTr="007316D0">
        <w:trPr>
          <w:tblHeader/>
        </w:trPr>
        <w:tc>
          <w:tcPr>
            <w:tcW w:w="0" w:type="auto"/>
          </w:tcPr>
          <w:p w14:paraId="0D513A16" w14:textId="7F53B92F" w:rsidR="009866A5" w:rsidRPr="009866A5" w:rsidRDefault="009866A5" w:rsidP="003B4E46">
            <w:pPr>
              <w:pStyle w:val="TableText"/>
              <w:keepNext/>
            </w:pPr>
            <w:r w:rsidRPr="009866A5">
              <w:t>Fee: $</w:t>
            </w:r>
            <w:r w:rsidR="001C3845">
              <w:t>95.60</w:t>
            </w:r>
            <w:r w:rsidRPr="009866A5">
              <w:t xml:space="preserve"> Benefit: 75% = $</w:t>
            </w:r>
            <w:r w:rsidR="00916816" w:rsidRPr="00916816">
              <w:t>71.</w:t>
            </w:r>
            <w:proofErr w:type="gramStart"/>
            <w:r w:rsidR="00916816" w:rsidRPr="00916816">
              <w:t>70</w:t>
            </w:r>
            <w:r w:rsidR="00916816">
              <w:rPr>
                <w:rFonts w:ascii="Helvetica" w:hAnsi="Helvetica"/>
                <w:color w:val="222222"/>
                <w:szCs w:val="20"/>
                <w:shd w:val="clear" w:color="auto" w:fill="FBFBFB"/>
              </w:rPr>
              <w:t xml:space="preserve"> </w:t>
            </w:r>
            <w:r w:rsidRPr="009866A5">
              <w:t xml:space="preserve"> 85</w:t>
            </w:r>
            <w:proofErr w:type="gramEnd"/>
            <w:r w:rsidRPr="009866A5">
              <w:t xml:space="preserve">% = </w:t>
            </w:r>
            <w:r w:rsidR="00916816" w:rsidRPr="00916816">
              <w:t>$81.30</w:t>
            </w:r>
          </w:p>
        </w:tc>
      </w:tr>
      <w:tr w:rsidR="000F2670" w:rsidRPr="009866A5" w14:paraId="53926AE3" w14:textId="77777777" w:rsidTr="007316D0">
        <w:trPr>
          <w:tblHeader/>
        </w:trPr>
        <w:tc>
          <w:tcPr>
            <w:tcW w:w="0" w:type="auto"/>
          </w:tcPr>
          <w:p w14:paraId="5BEAA395" w14:textId="3EE80C9C" w:rsidR="000F2670" w:rsidRPr="00B821D3" w:rsidRDefault="000F2670" w:rsidP="003B4E46">
            <w:pPr>
              <w:pStyle w:val="TableText"/>
              <w:keepNext/>
              <w:rPr>
                <w:b/>
                <w:bCs/>
              </w:rPr>
            </w:pPr>
            <w:r w:rsidRPr="00B821D3">
              <w:rPr>
                <w:b/>
                <w:bCs/>
              </w:rPr>
              <w:t>Category 3 THERAPEUTIC PROCEDURES</w:t>
            </w:r>
          </w:p>
        </w:tc>
      </w:tr>
      <w:tr w:rsidR="000F2670" w:rsidRPr="009866A5" w14:paraId="7F0F26D4" w14:textId="77777777" w:rsidTr="007316D0">
        <w:trPr>
          <w:tblHeader/>
        </w:trPr>
        <w:tc>
          <w:tcPr>
            <w:tcW w:w="0" w:type="auto"/>
          </w:tcPr>
          <w:p w14:paraId="7F1E2F6B" w14:textId="265F0DB1" w:rsidR="000F2670" w:rsidRDefault="000F2670" w:rsidP="003B4E46">
            <w:pPr>
              <w:pStyle w:val="TableText"/>
              <w:keepNext/>
            </w:pPr>
            <w:r w:rsidRPr="000F2670">
              <w:t>MBS item</w:t>
            </w:r>
            <w:bookmarkStart w:id="15" w:name="_Hlk165042118"/>
            <w:r w:rsidRPr="000F2670">
              <w:t xml:space="preserve"> </w:t>
            </w:r>
            <w:r>
              <w:t>51303</w:t>
            </w:r>
            <w:bookmarkEnd w:id="15"/>
          </w:p>
          <w:p w14:paraId="5437CA4B" w14:textId="29FDE963" w:rsidR="001C3845" w:rsidRDefault="001C3845" w:rsidP="003B4E46">
            <w:pPr>
              <w:pStyle w:val="TableText"/>
              <w:keepNext/>
            </w:pPr>
            <w:r>
              <w:t>Assistance at any operation mentioned in an item in Group T8 that includes “(Assist.)” for which the fee exceeds $614.55 or at a series or combination of operations mentioned in an item in Group T8 that include “(Assist.)” for which the aggregate fee exceeds $614.55</w:t>
            </w:r>
          </w:p>
          <w:p w14:paraId="25BDD7DE" w14:textId="02024CFE" w:rsidR="000F2670" w:rsidRPr="009866A5" w:rsidRDefault="001C3845" w:rsidP="003B4E46">
            <w:pPr>
              <w:pStyle w:val="TableText"/>
              <w:keepNext/>
            </w:pPr>
            <w:r>
              <w:t>one fifth of the established fee for the operation or combination of operations</w:t>
            </w:r>
          </w:p>
        </w:tc>
      </w:tr>
      <w:tr w:rsidR="000F2670" w:rsidRPr="009866A5" w14:paraId="21E16B12" w14:textId="77777777" w:rsidTr="007316D0">
        <w:trPr>
          <w:tblHeader/>
        </w:trPr>
        <w:tc>
          <w:tcPr>
            <w:tcW w:w="0" w:type="auto"/>
          </w:tcPr>
          <w:p w14:paraId="645EBF65" w14:textId="4EE4CA2D" w:rsidR="000F2670" w:rsidRPr="009866A5" w:rsidRDefault="007160EC" w:rsidP="003B4E46">
            <w:pPr>
              <w:pStyle w:val="TableText"/>
              <w:keepNext/>
            </w:pPr>
            <w:r w:rsidRPr="007160EC">
              <w:t>Fee: $207.25</w:t>
            </w:r>
            <w:r w:rsidR="00D9209D">
              <w:t>***</w:t>
            </w:r>
            <w:proofErr w:type="gramStart"/>
            <w:r w:rsidR="00D9209D">
              <w:t>*</w:t>
            </w:r>
            <w:r w:rsidRPr="007160EC">
              <w:t xml:space="preserve">  Benefit</w:t>
            </w:r>
            <w:proofErr w:type="gramEnd"/>
            <w:r w:rsidRPr="007160EC">
              <w:t>: 75% = $155.44  85% = $176.16</w:t>
            </w:r>
          </w:p>
        </w:tc>
      </w:tr>
    </w:tbl>
    <w:p w14:paraId="5F64F886" w14:textId="2DF5F3F7" w:rsidR="005B195B" w:rsidRDefault="005B195B" w:rsidP="00205942">
      <w:pPr>
        <w:pStyle w:val="Tablenotes"/>
        <w:spacing w:before="0"/>
        <w:jc w:val="both"/>
      </w:pPr>
      <w:r>
        <w:t>Source: Table 17, p</w:t>
      </w:r>
      <w:r w:rsidR="005A05C6">
        <w:t>g</w:t>
      </w:r>
      <w:r>
        <w:t>65</w:t>
      </w:r>
      <w:r w:rsidR="00854096">
        <w:t>-66</w:t>
      </w:r>
      <w:r>
        <w:t xml:space="preserve"> of MSAC 1593.1 ADAR+ in</w:t>
      </w:r>
      <w:r w:rsidR="00D95B0D">
        <w:t>-</w:t>
      </w:r>
      <w:r>
        <w:t>line commentary</w:t>
      </w:r>
      <w:r w:rsidR="00D95B0D">
        <w:t>;</w:t>
      </w:r>
      <w:r w:rsidR="00427A00">
        <w:t xml:space="preserve"> fees were updated based on current MBS item fees </w:t>
      </w:r>
      <w:r w:rsidR="00D95B0D">
        <w:t xml:space="preserve">on the </w:t>
      </w:r>
      <w:r w:rsidR="00427A00">
        <w:t xml:space="preserve">MBS </w:t>
      </w:r>
      <w:r w:rsidR="00D95B0D">
        <w:t xml:space="preserve">(MBS </w:t>
      </w:r>
      <w:r w:rsidR="00427A00">
        <w:t>online</w:t>
      </w:r>
      <w:r w:rsidR="001D0DD2">
        <w:t>)</w:t>
      </w:r>
      <w:r w:rsidR="00435501">
        <w:t xml:space="preserve"> </w:t>
      </w:r>
      <w:r w:rsidR="007160EC">
        <w:t xml:space="preserve">(accessed 2 April 2024) </w:t>
      </w:r>
    </w:p>
    <w:p w14:paraId="01FC5ECC" w14:textId="4F9D283E" w:rsidR="009866A5" w:rsidRPr="009866A5" w:rsidRDefault="00E66A02" w:rsidP="00B821D3">
      <w:pPr>
        <w:pStyle w:val="Tablenotes"/>
        <w:jc w:val="both"/>
      </w:pPr>
      <w:r>
        <w:t xml:space="preserve">Abbreviations: </w:t>
      </w:r>
      <w:r w:rsidR="00427A00">
        <w:t xml:space="preserve">BCI= </w:t>
      </w:r>
      <w:proofErr w:type="spellStart"/>
      <w:r w:rsidR="00427A00">
        <w:t>bio</w:t>
      </w:r>
      <w:r w:rsidR="0046679D">
        <w:t>inductive</w:t>
      </w:r>
      <w:proofErr w:type="spellEnd"/>
      <w:r w:rsidR="0046679D">
        <w:t xml:space="preserve"> </w:t>
      </w:r>
      <w:r w:rsidR="00427A00">
        <w:t xml:space="preserve">collagen implant; </w:t>
      </w:r>
      <w:r w:rsidR="009866A5" w:rsidRPr="009866A5">
        <w:t>MBS</w:t>
      </w:r>
      <w:r w:rsidR="00427A00">
        <w:t>=</w:t>
      </w:r>
      <w:r w:rsidR="009866A5" w:rsidRPr="009866A5">
        <w:t xml:space="preserve">Medicare Benefits Schedule. </w:t>
      </w:r>
    </w:p>
    <w:p w14:paraId="49CD61EC" w14:textId="5B1DA05F" w:rsidR="009866A5" w:rsidRDefault="00E66A02" w:rsidP="00B821D3">
      <w:pPr>
        <w:pStyle w:val="Tablenotes"/>
        <w:jc w:val="both"/>
      </w:pPr>
      <w:r w:rsidRPr="004A1893">
        <w:t>Notes:</w:t>
      </w:r>
      <w:r>
        <w:rPr>
          <w:vertAlign w:val="superscript"/>
        </w:rPr>
        <w:t xml:space="preserve"> </w:t>
      </w:r>
      <w:r w:rsidR="00357149">
        <w:rPr>
          <w:vertAlign w:val="superscript"/>
        </w:rPr>
        <w:t>*</w:t>
      </w:r>
      <w:r w:rsidR="00357149" w:rsidRPr="009866A5">
        <w:rPr>
          <w:vertAlign w:val="superscript"/>
        </w:rPr>
        <w:t xml:space="preserve"> </w:t>
      </w:r>
      <w:r w:rsidR="009866A5" w:rsidRPr="009866A5">
        <w:t xml:space="preserve">This approach is also included in MBS item 48960 (i.e., same MBS fee/rebate for arthroscopic or mini-open technique). </w:t>
      </w:r>
    </w:p>
    <w:p w14:paraId="4782FAB6" w14:textId="3BB07D24" w:rsidR="00357149" w:rsidRPr="009866A5" w:rsidRDefault="00357149" w:rsidP="00B821D3">
      <w:pPr>
        <w:pStyle w:val="Tablenotes"/>
        <w:jc w:val="both"/>
      </w:pPr>
      <w:r w:rsidRPr="00B821D3">
        <w:rPr>
          <w:vertAlign w:val="superscript"/>
        </w:rPr>
        <w:t>**</w:t>
      </w:r>
      <w:r w:rsidRPr="00357149">
        <w:t xml:space="preserve"> Prescribed List rebate: bovine BCI (REGENETEN)</w:t>
      </w:r>
      <w:r>
        <w:t xml:space="preserve"> was </w:t>
      </w:r>
      <w:r w:rsidR="00513C8A" w:rsidRPr="00E477C8">
        <w:rPr>
          <w:b/>
          <w:bCs/>
        </w:rPr>
        <w:t>redacted</w:t>
      </w:r>
      <w:r w:rsidR="00513C8A">
        <w:t xml:space="preserve"> </w:t>
      </w:r>
      <w:r>
        <w:t xml:space="preserve">in the </w:t>
      </w:r>
      <w:r w:rsidR="00435501" w:rsidRPr="00435501">
        <w:t>MSAC 1593.1</w:t>
      </w:r>
      <w:r w:rsidR="00435501">
        <w:t xml:space="preserve"> </w:t>
      </w:r>
      <w:r w:rsidR="007E2318">
        <w:t>R</w:t>
      </w:r>
      <w:r>
        <w:t>atified PICO confirmation.</w:t>
      </w:r>
    </w:p>
    <w:p w14:paraId="67326A38" w14:textId="7AE3C92A" w:rsidR="009866A5" w:rsidRDefault="00357149" w:rsidP="00B821D3">
      <w:pPr>
        <w:pStyle w:val="Tablenotes"/>
        <w:jc w:val="both"/>
      </w:pPr>
      <w:r>
        <w:rPr>
          <w:vertAlign w:val="superscript"/>
        </w:rPr>
        <w:t>***</w:t>
      </w:r>
      <w:r w:rsidRPr="004A1893">
        <w:rPr>
          <w:szCs w:val="18"/>
        </w:rPr>
        <w:t xml:space="preserve"> </w:t>
      </w:r>
      <w:r w:rsidR="004A1893" w:rsidRPr="312981A1">
        <w:rPr>
          <w:szCs w:val="18"/>
        </w:rPr>
        <w:t>Applicant advised that</w:t>
      </w:r>
      <w:r w:rsidR="009866A5" w:rsidRPr="009866A5">
        <w:rPr>
          <w:vertAlign w:val="superscript"/>
        </w:rPr>
        <w:t xml:space="preserve"> </w:t>
      </w:r>
      <w:r w:rsidR="004A1893">
        <w:t>t</w:t>
      </w:r>
      <w:r w:rsidR="009866A5" w:rsidRPr="009866A5">
        <w:t xml:space="preserve">he estimated time of the surgical procedure (application of REGENETEN) is 15-30 minutes. </w:t>
      </w:r>
      <w:r w:rsidR="00435501" w:rsidRPr="00435501">
        <w:t xml:space="preserve">MBS item 23010 </w:t>
      </w:r>
      <w:r w:rsidR="00435501">
        <w:t xml:space="preserve">included in the MSAC 1593.1 ratified PICO confirmation is </w:t>
      </w:r>
      <w:r w:rsidR="00435501" w:rsidRPr="00435501">
        <w:t xml:space="preserve">relevant for the procedures related to less than 15 minutes. Therefore, </w:t>
      </w:r>
      <w:r w:rsidR="00435501">
        <w:t>the ADAR</w:t>
      </w:r>
      <w:r w:rsidR="00435501" w:rsidRPr="00435501">
        <w:t xml:space="preserve"> included relevant MBS item 17615 instead of 23010 based on the procedure time of 15-30 minutes.</w:t>
      </w:r>
    </w:p>
    <w:p w14:paraId="54EE743C" w14:textId="5715BEC1" w:rsidR="00D9209D" w:rsidRDefault="00D9209D" w:rsidP="00B821D3">
      <w:pPr>
        <w:pStyle w:val="Tablenotes"/>
        <w:jc w:val="both"/>
      </w:pPr>
      <w:r>
        <w:t xml:space="preserve">****Calculated based on the one fifth of the fee for the </w:t>
      </w:r>
      <w:r w:rsidRPr="00D9209D">
        <w:t>MBS item 48960</w:t>
      </w:r>
    </w:p>
    <w:p w14:paraId="33965619" w14:textId="39195683" w:rsidR="00552215" w:rsidRPr="006607F4" w:rsidRDefault="3393F6B7" w:rsidP="28CAC1C0">
      <w:pPr>
        <w:rPr>
          <w:i/>
          <w:iCs/>
        </w:rPr>
      </w:pPr>
      <w:bookmarkStart w:id="16" w:name="_Hlk166582895"/>
      <w:r>
        <w:lastRenderedPageBreak/>
        <w:t xml:space="preserve">The </w:t>
      </w:r>
      <w:r w:rsidR="2543445D">
        <w:t>ADAR included MBS item 17615 based on the procedure time of 15-30 minutes instead of MBS item 23010 mentioned during the Ratified PICO confirmation</w:t>
      </w:r>
      <w:r w:rsidR="5D3FAA46">
        <w:t xml:space="preserve">. </w:t>
      </w:r>
      <w:r w:rsidR="6A56142E" w:rsidRPr="28CAC1C0">
        <w:rPr>
          <w:i/>
          <w:iCs/>
        </w:rPr>
        <w:t xml:space="preserve">ESC </w:t>
      </w:r>
      <w:r w:rsidR="2CCC604B" w:rsidRPr="28CAC1C0">
        <w:rPr>
          <w:i/>
          <w:iCs/>
        </w:rPr>
        <w:t xml:space="preserve">considered </w:t>
      </w:r>
      <w:r w:rsidR="6A56142E" w:rsidRPr="28CAC1C0">
        <w:rPr>
          <w:i/>
          <w:iCs/>
        </w:rPr>
        <w:t xml:space="preserve">that </w:t>
      </w:r>
      <w:r w:rsidR="78C91D19" w:rsidRPr="28CAC1C0">
        <w:rPr>
          <w:i/>
          <w:iCs/>
        </w:rPr>
        <w:t xml:space="preserve">both </w:t>
      </w:r>
      <w:r w:rsidR="40F58001" w:rsidRPr="28CAC1C0">
        <w:rPr>
          <w:i/>
          <w:iCs/>
        </w:rPr>
        <w:t>anaesthesia</w:t>
      </w:r>
      <w:r w:rsidR="028D8D5A" w:rsidRPr="28CAC1C0">
        <w:rPr>
          <w:i/>
          <w:iCs/>
        </w:rPr>
        <w:t xml:space="preserve"> con</w:t>
      </w:r>
      <w:r w:rsidR="472F3BB7" w:rsidRPr="28CAC1C0">
        <w:rPr>
          <w:i/>
          <w:iCs/>
        </w:rPr>
        <w:t xml:space="preserve">sultation (MBS item </w:t>
      </w:r>
      <w:r w:rsidR="0DCCB3DD" w:rsidRPr="28CAC1C0">
        <w:rPr>
          <w:i/>
          <w:iCs/>
        </w:rPr>
        <w:t>17615</w:t>
      </w:r>
      <w:r w:rsidR="01A7A07E" w:rsidRPr="28CAC1C0">
        <w:rPr>
          <w:i/>
          <w:iCs/>
        </w:rPr>
        <w:t>)</w:t>
      </w:r>
      <w:r w:rsidR="244989FA" w:rsidRPr="28CAC1C0">
        <w:rPr>
          <w:i/>
          <w:iCs/>
        </w:rPr>
        <w:t xml:space="preserve"> and </w:t>
      </w:r>
      <w:r w:rsidR="5DD14006" w:rsidRPr="28CAC1C0">
        <w:rPr>
          <w:i/>
          <w:iCs/>
        </w:rPr>
        <w:t xml:space="preserve">anaesthesia </w:t>
      </w:r>
      <w:r w:rsidR="08196E8C" w:rsidRPr="28CAC1C0">
        <w:rPr>
          <w:i/>
          <w:iCs/>
        </w:rPr>
        <w:t>items (MBS</w:t>
      </w:r>
      <w:r w:rsidR="528C5138" w:rsidRPr="28CAC1C0">
        <w:rPr>
          <w:i/>
          <w:iCs/>
        </w:rPr>
        <w:t xml:space="preserve"> </w:t>
      </w:r>
      <w:r w:rsidR="0C439071" w:rsidRPr="28CAC1C0">
        <w:rPr>
          <w:i/>
          <w:iCs/>
        </w:rPr>
        <w:t>23010, 23025</w:t>
      </w:r>
      <w:r w:rsidR="397149D3" w:rsidRPr="28CAC1C0">
        <w:rPr>
          <w:i/>
          <w:iCs/>
        </w:rPr>
        <w:t>, 230</w:t>
      </w:r>
      <w:r w:rsidR="1A5AB262" w:rsidRPr="28CAC1C0">
        <w:rPr>
          <w:i/>
          <w:iCs/>
        </w:rPr>
        <w:t>3</w:t>
      </w:r>
      <w:r w:rsidR="7FB11E89" w:rsidRPr="28CAC1C0">
        <w:rPr>
          <w:i/>
          <w:iCs/>
        </w:rPr>
        <w:t>5</w:t>
      </w:r>
      <w:r w:rsidR="361F4979" w:rsidRPr="28CAC1C0">
        <w:rPr>
          <w:i/>
          <w:iCs/>
        </w:rPr>
        <w:t xml:space="preserve"> </w:t>
      </w:r>
      <w:r w:rsidR="35DC684A" w:rsidRPr="28CAC1C0">
        <w:rPr>
          <w:i/>
          <w:iCs/>
        </w:rPr>
        <w:t xml:space="preserve">depending on the </w:t>
      </w:r>
      <w:r w:rsidR="65722147" w:rsidRPr="28CAC1C0">
        <w:rPr>
          <w:i/>
          <w:iCs/>
        </w:rPr>
        <w:t xml:space="preserve">length </w:t>
      </w:r>
      <w:r w:rsidR="5C52854D" w:rsidRPr="28CAC1C0">
        <w:rPr>
          <w:i/>
          <w:iCs/>
        </w:rPr>
        <w:t xml:space="preserve">of anaesthesia) </w:t>
      </w:r>
      <w:r w:rsidR="6316987D" w:rsidRPr="28CAC1C0">
        <w:rPr>
          <w:i/>
          <w:iCs/>
        </w:rPr>
        <w:t xml:space="preserve">may be associated with </w:t>
      </w:r>
      <w:r w:rsidR="41E1A087" w:rsidRPr="28CAC1C0">
        <w:rPr>
          <w:i/>
          <w:iCs/>
        </w:rPr>
        <w:t>the surgical repair. ESC noted that these items were not directly used in the economic evaluation of either population.</w:t>
      </w:r>
    </w:p>
    <w:p w14:paraId="1382BF36" w14:textId="611D48FF" w:rsidR="00784876" w:rsidRDefault="002D7EE3" w:rsidP="004744F7">
      <w:r>
        <w:t xml:space="preserve">MSAC </w:t>
      </w:r>
      <w:r w:rsidR="00817EC4">
        <w:t xml:space="preserve">was </w:t>
      </w:r>
      <w:r>
        <w:t xml:space="preserve">previously </w:t>
      </w:r>
      <w:r w:rsidR="00817EC4">
        <w:t xml:space="preserve">concerned </w:t>
      </w:r>
      <w:r w:rsidR="00BD5B1E">
        <w:t xml:space="preserve">that </w:t>
      </w:r>
      <w:r w:rsidR="00CE648A">
        <w:t>the proposed device</w:t>
      </w:r>
      <w:r w:rsidR="001D18CE">
        <w:t xml:space="preserve">, </w:t>
      </w:r>
      <w:r w:rsidR="00D84AC6">
        <w:t xml:space="preserve">intended </w:t>
      </w:r>
      <w:r w:rsidR="009525E8">
        <w:t xml:space="preserve">as </w:t>
      </w:r>
      <w:r w:rsidR="00D84AC6">
        <w:t xml:space="preserve">once-only </w:t>
      </w:r>
      <w:r w:rsidR="009525E8">
        <w:t xml:space="preserve">use, </w:t>
      </w:r>
      <w:r w:rsidR="00D072ED">
        <w:t xml:space="preserve">might be used multiple times </w:t>
      </w:r>
      <w:r w:rsidR="00B0414A">
        <w:t>a</w:t>
      </w:r>
      <w:r w:rsidR="00E214E5">
        <w:t>nd</w:t>
      </w:r>
      <w:r w:rsidR="00BF6C39">
        <w:t xml:space="preserve"> considered the potential leakage </w:t>
      </w:r>
      <w:r w:rsidR="00B76352">
        <w:t xml:space="preserve">issue might be mitigated by </w:t>
      </w:r>
      <w:r w:rsidR="009C24C9">
        <w:t xml:space="preserve">the private health insurers imposing </w:t>
      </w:r>
      <w:r w:rsidR="00B76352">
        <w:t>limits o</w:t>
      </w:r>
      <w:r w:rsidR="009C24C9">
        <w:t>n us</w:t>
      </w:r>
      <w:r w:rsidR="008C3D16">
        <w:t>age</w:t>
      </w:r>
      <w:r w:rsidR="009C24C9">
        <w:t xml:space="preserve"> (e.g., once per lifetime) (pg</w:t>
      </w:r>
      <w:r w:rsidR="00B607AB">
        <w:t>26</w:t>
      </w:r>
      <w:r w:rsidR="00551007">
        <w:t xml:space="preserve"> of</w:t>
      </w:r>
      <w:r w:rsidR="00B607AB">
        <w:t xml:space="preserve"> PSD for </w:t>
      </w:r>
      <w:r w:rsidR="004F6C6A">
        <w:t>MSAC</w:t>
      </w:r>
      <w:r w:rsidR="00B607AB">
        <w:t xml:space="preserve"> 1593, July 2020 MSAC meeting).</w:t>
      </w:r>
      <w:r w:rsidR="00111133">
        <w:t xml:space="preserve"> </w:t>
      </w:r>
    </w:p>
    <w:p w14:paraId="0B7A4207" w14:textId="1C18B696" w:rsidR="000E6A57" w:rsidRPr="009866A5" w:rsidRDefault="003E5E64" w:rsidP="003B4E46">
      <w:r>
        <w:t xml:space="preserve">PASC </w:t>
      </w:r>
      <w:r w:rsidR="00D933B9">
        <w:t xml:space="preserve">for </w:t>
      </w:r>
      <w:r w:rsidR="0020398C">
        <w:t>the current re</w:t>
      </w:r>
      <w:r w:rsidR="00DE0A5A">
        <w:t>application</w:t>
      </w:r>
      <w:r w:rsidR="0020398C">
        <w:t xml:space="preserve"> noted the applicant </w:t>
      </w:r>
      <w:r w:rsidR="008A68EC">
        <w:t xml:space="preserve">stating </w:t>
      </w:r>
      <w:r w:rsidR="00C2526F">
        <w:t xml:space="preserve">its willingness to work with the relevant </w:t>
      </w:r>
      <w:r w:rsidR="00416EA7">
        <w:t xml:space="preserve">authorities to ensure a </w:t>
      </w:r>
      <w:r w:rsidR="009110DD">
        <w:t xml:space="preserve">“once-per-shoulder” restriction </w:t>
      </w:r>
      <w:r w:rsidR="00DD78F0">
        <w:t>(</w:t>
      </w:r>
      <w:r w:rsidR="003F0B2A">
        <w:t xml:space="preserve">MSAC 1593.1 </w:t>
      </w:r>
      <w:r w:rsidR="00DD78F0">
        <w:t xml:space="preserve">Ratified PICO </w:t>
      </w:r>
      <w:r w:rsidR="00262894">
        <w:t>Confirmation</w:t>
      </w:r>
      <w:r w:rsidR="003F0B2A">
        <w:t>,</w:t>
      </w:r>
      <w:r w:rsidR="003F0B2A" w:rsidRPr="003F0B2A">
        <w:t xml:space="preserve"> </w:t>
      </w:r>
      <w:r w:rsidR="003F0B2A">
        <w:t>pg10-11</w:t>
      </w:r>
      <w:r w:rsidR="00915E06">
        <w:t>)</w:t>
      </w:r>
      <w:r w:rsidR="00A75211">
        <w:t>.</w:t>
      </w:r>
      <w:r w:rsidR="00DD78F0">
        <w:t xml:space="preserve"> </w:t>
      </w:r>
      <w:r w:rsidR="00A75211">
        <w:t xml:space="preserve">The </w:t>
      </w:r>
      <w:r w:rsidR="00EB2F56">
        <w:t>ADAR</w:t>
      </w:r>
      <w:r w:rsidR="006A468B">
        <w:t xml:space="preserve"> stated that </w:t>
      </w:r>
      <w:r w:rsidR="00FC1EB7">
        <w:t>“</w:t>
      </w:r>
      <w:r w:rsidR="00FC1EB7" w:rsidRPr="00FC1EB7">
        <w:t xml:space="preserve">REGENETEN </w:t>
      </w:r>
      <w:proofErr w:type="gramStart"/>
      <w:r w:rsidR="00FC1EB7" w:rsidRPr="00FC1EB7">
        <w:t>is considered to be</w:t>
      </w:r>
      <w:proofErr w:type="gramEnd"/>
      <w:r w:rsidR="00FC1EB7" w:rsidRPr="00FC1EB7">
        <w:t xml:space="preserve"> a ‘once-only’ procedure per tendon</w:t>
      </w:r>
      <w:r w:rsidR="00FC1EB7">
        <w:t>”</w:t>
      </w:r>
      <w:r w:rsidR="003F0B2A">
        <w:t>.</w:t>
      </w:r>
      <w:r w:rsidR="00FC1EB7">
        <w:t xml:space="preserve"> </w:t>
      </w:r>
      <w:r w:rsidR="00784876" w:rsidRPr="00784876">
        <w:t>No further details provided</w:t>
      </w:r>
      <w:r w:rsidR="00C75F35" w:rsidRPr="00C75F35">
        <w:t xml:space="preserve"> </w:t>
      </w:r>
      <w:r w:rsidR="00C75F35">
        <w:t xml:space="preserve">in the ADAR </w:t>
      </w:r>
      <w:r w:rsidR="00C75F35" w:rsidRPr="00C75F35">
        <w:t xml:space="preserve">other than </w:t>
      </w:r>
      <w:r w:rsidR="003F0B2A">
        <w:t xml:space="preserve">stating that </w:t>
      </w:r>
      <w:r w:rsidR="00C75F35" w:rsidRPr="00C75F35">
        <w:t>conventional surgery may be an option if REGENETEN fails on the first attempt</w:t>
      </w:r>
      <w:r w:rsidR="00784876" w:rsidRPr="00784876">
        <w:t xml:space="preserve">. There is a difference </w:t>
      </w:r>
      <w:r w:rsidR="002C3570">
        <w:t>in</w:t>
      </w:r>
      <w:r w:rsidR="00784876" w:rsidRPr="00784876">
        <w:t xml:space="preserve"> </w:t>
      </w:r>
      <w:r w:rsidR="002C3570">
        <w:t xml:space="preserve">costs </w:t>
      </w:r>
      <w:r w:rsidR="00784876" w:rsidRPr="00784876">
        <w:t>between receiving the proposed device once per lifetime, once per shoulder and once per tendon, with potential flow-on impact on downstream costs and consequences.</w:t>
      </w:r>
      <w:r w:rsidR="00A75211">
        <w:t xml:space="preserve"> </w:t>
      </w:r>
    </w:p>
    <w:p w14:paraId="34E0B08F" w14:textId="6EFBFF8A" w:rsidR="00772829" w:rsidRPr="00CE28E3" w:rsidRDefault="008D6BDA" w:rsidP="002A18BE">
      <w:pPr>
        <w:pStyle w:val="Heading2"/>
        <w:numPr>
          <w:ilvl w:val="0"/>
          <w:numId w:val="0"/>
        </w:numPr>
      </w:pPr>
      <w:bookmarkStart w:id="17" w:name="_Toc69491419"/>
      <w:bookmarkEnd w:id="16"/>
      <w:r>
        <w:t>7</w:t>
      </w:r>
      <w:r w:rsidR="00C36633">
        <w:t>.</w:t>
      </w:r>
      <w:r w:rsidR="00C36633">
        <w:tab/>
      </w:r>
      <w:r w:rsidR="00772829" w:rsidRPr="00CE28E3">
        <w:t>Population</w:t>
      </w:r>
      <w:bookmarkEnd w:id="17"/>
      <w:r w:rsidR="00772829" w:rsidRPr="00CE28E3">
        <w:t xml:space="preserve"> </w:t>
      </w:r>
    </w:p>
    <w:p w14:paraId="594BA316" w14:textId="06F50A9E" w:rsidR="00C26201" w:rsidRPr="00C26201" w:rsidRDefault="004F2203" w:rsidP="00136CAE">
      <w:pPr>
        <w:jc w:val="both"/>
      </w:pPr>
      <w:r>
        <w:t xml:space="preserve">There </w:t>
      </w:r>
      <w:r w:rsidR="00FC4827">
        <w:t>were 2 PICO sets, with 2</w:t>
      </w:r>
      <w:r w:rsidR="00C26201" w:rsidRPr="00C26201">
        <w:t xml:space="preserve"> distinct populations </w:t>
      </w:r>
      <w:r w:rsidR="00DB701E">
        <w:t xml:space="preserve">based on the </w:t>
      </w:r>
      <w:r w:rsidR="00C26201" w:rsidRPr="00C26201">
        <w:t>depth of the rotator cuff tear:</w:t>
      </w:r>
    </w:p>
    <w:p w14:paraId="45BC648C" w14:textId="5774EF79" w:rsidR="00C26201" w:rsidRPr="00C26201" w:rsidRDefault="00895086" w:rsidP="005A42D2">
      <w:pPr>
        <w:pStyle w:val="ListParagraph"/>
        <w:numPr>
          <w:ilvl w:val="0"/>
          <w:numId w:val="10"/>
        </w:numPr>
      </w:pPr>
      <w:r>
        <w:t>Population 1</w:t>
      </w:r>
      <w:r w:rsidR="00C5276E">
        <w:t xml:space="preserve"> (PICO set 1)</w:t>
      </w:r>
      <w:r w:rsidR="00C26201" w:rsidRPr="00C26201">
        <w:t>: Patients with symptomatic PTRCT</w:t>
      </w:r>
      <w:r w:rsidR="004E52F6">
        <w:t xml:space="preserve"> </w:t>
      </w:r>
      <w:r w:rsidR="00503F96" w:rsidRPr="00503F96">
        <w:t xml:space="preserve">where there is no substantial loss of </w:t>
      </w:r>
      <w:r w:rsidR="00BC50B6">
        <w:t xml:space="preserve">tendon </w:t>
      </w:r>
      <w:r w:rsidR="00503F96" w:rsidRPr="00503F96">
        <w:t xml:space="preserve">tissue </w:t>
      </w:r>
      <w:r w:rsidR="00652588">
        <w:t xml:space="preserve">and </w:t>
      </w:r>
      <w:r w:rsidR="00C26201" w:rsidRPr="00C26201">
        <w:t>who have failed at least three months of non-surgical CM and are considered eligible for (or indicated for) surgical repair.</w:t>
      </w:r>
    </w:p>
    <w:p w14:paraId="676A3BBA" w14:textId="55BE1DBF" w:rsidR="00C26201" w:rsidRPr="007C7A40" w:rsidRDefault="00895086" w:rsidP="005A42D2">
      <w:pPr>
        <w:pStyle w:val="ListParagraph"/>
        <w:numPr>
          <w:ilvl w:val="0"/>
          <w:numId w:val="10"/>
        </w:numPr>
        <w:rPr>
          <w:i/>
          <w:iCs/>
        </w:rPr>
      </w:pPr>
      <w:r>
        <w:t>Population 2</w:t>
      </w:r>
      <w:r w:rsidR="00C5276E">
        <w:t xml:space="preserve"> (PICO set 2)</w:t>
      </w:r>
      <w:r w:rsidR="00C26201" w:rsidRPr="00C26201">
        <w:t xml:space="preserve">: Patients with symptomatic FTRCT </w:t>
      </w:r>
      <w:r w:rsidR="00BC50B6" w:rsidRPr="00BC50B6">
        <w:t xml:space="preserve">where there is no substantial loss of </w:t>
      </w:r>
      <w:r w:rsidR="00BC50B6">
        <w:t xml:space="preserve">tendon </w:t>
      </w:r>
      <w:r w:rsidR="00BC50B6" w:rsidRPr="00BC50B6">
        <w:t xml:space="preserve">tissue </w:t>
      </w:r>
      <w:r w:rsidR="00652588">
        <w:t xml:space="preserve">and </w:t>
      </w:r>
      <w:r w:rsidR="00C26201" w:rsidRPr="00C26201">
        <w:t xml:space="preserve">who have failed at least three months of non-surgical CM and are considered eligible for (or indicated for) surgical repair. </w:t>
      </w:r>
    </w:p>
    <w:p w14:paraId="50E331A1" w14:textId="6BCB9096" w:rsidR="00F23093" w:rsidRDefault="008477D2" w:rsidP="003B4E46">
      <w:r>
        <w:t>The</w:t>
      </w:r>
      <w:r w:rsidR="00DB701E">
        <w:t xml:space="preserve"> </w:t>
      </w:r>
      <w:r w:rsidR="00BF131C" w:rsidRPr="00BF131C">
        <w:t>current approaches to surgical management differ based on thickness</w:t>
      </w:r>
      <w:r w:rsidR="00BF131C">
        <w:t xml:space="preserve"> of the rotator cuff tear i.e., PTRCT or FTRCT</w:t>
      </w:r>
      <w:r w:rsidR="00432207">
        <w:t>.</w:t>
      </w:r>
      <w:r w:rsidR="00432207">
        <w:rPr>
          <w:rStyle w:val="FootnoteReference"/>
        </w:rPr>
        <w:footnoteReference w:id="7"/>
      </w:r>
      <w:r w:rsidR="00432207">
        <w:t xml:space="preserve"> </w:t>
      </w:r>
      <w:r w:rsidR="00432207">
        <w:rPr>
          <w:rStyle w:val="cf01"/>
          <w:rFonts w:ascii="Franklin Gothic Book" w:hAnsi="Franklin Gothic Book"/>
          <w:sz w:val="22"/>
          <w:szCs w:val="22"/>
        </w:rPr>
        <w:t>P</w:t>
      </w:r>
      <w:r w:rsidR="00B96198" w:rsidRPr="00B96198">
        <w:rPr>
          <w:rStyle w:val="cf01"/>
          <w:rFonts w:ascii="Franklin Gothic Book" w:hAnsi="Franklin Gothic Book"/>
          <w:sz w:val="22"/>
          <w:szCs w:val="22"/>
        </w:rPr>
        <w:t>TRCT do not extend through the full thickness of the tendon</w:t>
      </w:r>
      <w:r w:rsidR="00B90EC5">
        <w:rPr>
          <w:rStyle w:val="cf01"/>
          <w:rFonts w:ascii="Franklin Gothic Book" w:hAnsi="Franklin Gothic Book"/>
          <w:sz w:val="22"/>
          <w:szCs w:val="22"/>
        </w:rPr>
        <w:t>,</w:t>
      </w:r>
      <w:r w:rsidR="00B96198" w:rsidRPr="00B96198">
        <w:rPr>
          <w:rStyle w:val="cf01"/>
          <w:rFonts w:ascii="Franklin Gothic Book" w:hAnsi="Franklin Gothic Book"/>
          <w:sz w:val="22"/>
          <w:szCs w:val="22"/>
        </w:rPr>
        <w:t xml:space="preserve"> whereas FTRCT </w:t>
      </w:r>
      <w:r w:rsidR="00B96198" w:rsidRPr="00B96198">
        <w:t>extends the full detachment of the tendon that attaches the muscles from the shoulder blade to the head of the humerus.</w:t>
      </w:r>
      <w:r w:rsidR="00B96198">
        <w:rPr>
          <w:rStyle w:val="cf01"/>
          <w:rFonts w:ascii="Franklin Gothic Book" w:hAnsi="Franklin Gothic Book" w:cstheme="minorBidi"/>
          <w:sz w:val="22"/>
          <w:szCs w:val="22"/>
        </w:rPr>
        <w:t xml:space="preserve"> </w:t>
      </w:r>
      <w:r w:rsidR="000D294E" w:rsidRPr="000D294E">
        <w:t>The bovine BCI</w:t>
      </w:r>
      <w:r w:rsidR="006C14A6">
        <w:t xml:space="preserve"> will be</w:t>
      </w:r>
      <w:r w:rsidR="000D294E" w:rsidRPr="000D294E">
        <w:t xml:space="preserve"> performed in addition </w:t>
      </w:r>
      <w:r w:rsidR="000D294E" w:rsidRPr="00F52E30">
        <w:t xml:space="preserve">to arthroscopic surgery </w:t>
      </w:r>
      <w:r w:rsidR="000D294E" w:rsidRPr="000D294E">
        <w:t>(debridement and bursectomy) in</w:t>
      </w:r>
      <w:r w:rsidR="006C14A6">
        <w:t xml:space="preserve"> </w:t>
      </w:r>
      <w:r w:rsidR="00895086">
        <w:t>Population 1</w:t>
      </w:r>
      <w:r w:rsidR="000D294E" w:rsidRPr="000D294E">
        <w:t xml:space="preserve"> and in addition to standard arthroscopic or mini-open surgical repair in </w:t>
      </w:r>
      <w:r w:rsidR="00895086">
        <w:t>Population 2</w:t>
      </w:r>
      <w:r w:rsidR="000D294E">
        <w:t>.</w:t>
      </w:r>
    </w:p>
    <w:p w14:paraId="60EDBABA" w14:textId="01A5110A" w:rsidR="00BF131C" w:rsidRDefault="00DB701E" w:rsidP="003B4E46">
      <w:r>
        <w:t>Patients</w:t>
      </w:r>
      <w:r w:rsidR="00725694">
        <w:t xml:space="preserve"> with symptomatic PTRCT or FTRCT</w:t>
      </w:r>
      <w:r>
        <w:t xml:space="preserve"> should fail</w:t>
      </w:r>
      <w:r w:rsidR="00725694">
        <w:t xml:space="preserve"> </w:t>
      </w:r>
      <w:r w:rsidR="00ED4163">
        <w:t>CM</w:t>
      </w:r>
      <w:r w:rsidR="00725694">
        <w:t xml:space="preserve"> </w:t>
      </w:r>
      <w:r w:rsidR="00A20409">
        <w:t xml:space="preserve">(i.e., </w:t>
      </w:r>
      <w:r w:rsidR="00A20409" w:rsidRPr="00A20409">
        <w:t>pain relief, modified daily activities and physical therapy</w:t>
      </w:r>
      <w:r w:rsidR="00A20409">
        <w:t>)</w:t>
      </w:r>
      <w:r w:rsidR="00A20409" w:rsidRPr="00A20409">
        <w:t xml:space="preserve"> </w:t>
      </w:r>
      <w:r w:rsidR="00725694">
        <w:t>for at least three months to become eligible for surgery.</w:t>
      </w:r>
      <w:r w:rsidR="00725694" w:rsidRPr="00725694">
        <w:t xml:space="preserve"> </w:t>
      </w:r>
      <w:r w:rsidR="00725694">
        <w:t xml:space="preserve">PASC noted that according to clinician advice, the time from first onset of symptoms to presentation to an orthopaedic surgeon </w:t>
      </w:r>
      <w:r w:rsidR="00F40EC6">
        <w:t>wa</w:t>
      </w:r>
      <w:r w:rsidR="00725694">
        <w:t xml:space="preserve">s highly variable. However, it </w:t>
      </w:r>
      <w:r w:rsidR="005A33D9">
        <w:t xml:space="preserve">was </w:t>
      </w:r>
      <w:r w:rsidR="00725694">
        <w:t>agreed that</w:t>
      </w:r>
      <w:r w:rsidR="00725694" w:rsidRPr="00725694">
        <w:t xml:space="preserve"> </w:t>
      </w:r>
      <w:r w:rsidR="00725694">
        <w:t xml:space="preserve">that the time frame of a minimum of three months of </w:t>
      </w:r>
      <w:r w:rsidR="00ED4163">
        <w:t>CM</w:t>
      </w:r>
      <w:r w:rsidR="00725694">
        <w:t xml:space="preserve"> </w:t>
      </w:r>
      <w:r w:rsidR="0046679D">
        <w:t>was</w:t>
      </w:r>
      <w:r w:rsidR="00725694">
        <w:t xml:space="preserve"> reasonable</w:t>
      </w:r>
      <w:r w:rsidR="00725694" w:rsidRPr="00725694">
        <w:t xml:space="preserve"> </w:t>
      </w:r>
      <w:r w:rsidR="00725694">
        <w:t>given the variable nature of rotator cuff tears.</w:t>
      </w:r>
    </w:p>
    <w:p w14:paraId="1A3AC20F" w14:textId="53DE586B" w:rsidR="00B90EC5" w:rsidRDefault="005A33D9" w:rsidP="003B4E46">
      <w:bookmarkStart w:id="18" w:name="_Hlk162263906"/>
      <w:r>
        <w:t xml:space="preserve">The </w:t>
      </w:r>
      <w:r w:rsidR="003B77C5">
        <w:t>ADAR provided</w:t>
      </w:r>
      <w:r w:rsidR="00094F32">
        <w:t xml:space="preserve"> amended </w:t>
      </w:r>
      <w:r w:rsidR="00094F32" w:rsidRPr="00094F32">
        <w:t>current and proposed clinical management algorithm</w:t>
      </w:r>
      <w:r w:rsidR="00094F32">
        <w:t xml:space="preserve">, which </w:t>
      </w:r>
      <w:r w:rsidR="0010622F">
        <w:t>was deviated</w:t>
      </w:r>
      <w:r w:rsidR="00094F32">
        <w:t xml:space="preserve"> from </w:t>
      </w:r>
      <w:r w:rsidR="00DB701E">
        <w:t xml:space="preserve">the </w:t>
      </w:r>
      <w:r w:rsidR="00094F32" w:rsidRPr="003B77C5">
        <w:t>PASC suggested clinical management algorithm</w:t>
      </w:r>
      <w:r w:rsidR="00DB701E">
        <w:t>.</w:t>
      </w:r>
      <w:r w:rsidR="007340AF">
        <w:t xml:space="preserve"> PASC algorithm </w:t>
      </w:r>
      <w:r w:rsidR="00094F32" w:rsidRPr="003B77C5">
        <w:t xml:space="preserve">implied that patients who </w:t>
      </w:r>
      <w:r w:rsidR="0046679D">
        <w:t>were</w:t>
      </w:r>
      <w:r w:rsidR="00094F32" w:rsidRPr="003B77C5">
        <w:t xml:space="preserve"> part of the ‘no surgery’ group, would then go on to receive arthroscopic surgery at some point in time.</w:t>
      </w:r>
      <w:r w:rsidR="00094F32">
        <w:t xml:space="preserve"> The ADAR highlighted that </w:t>
      </w:r>
      <w:r w:rsidR="007340AF">
        <w:t xml:space="preserve">it </w:t>
      </w:r>
      <w:r w:rsidR="0046679D">
        <w:t>was</w:t>
      </w:r>
      <w:r w:rsidR="00094F32" w:rsidRPr="003B77C5">
        <w:t xml:space="preserve"> not practical or feasible for a patient who at one point opt</w:t>
      </w:r>
      <w:r w:rsidR="00E94265">
        <w:t>ed</w:t>
      </w:r>
      <w:r w:rsidR="00094F32" w:rsidRPr="003B77C5">
        <w:t xml:space="preserve"> for ‘no surgery’ to then receive arthroscopic or mini open surgery (with or without BCI)</w:t>
      </w:r>
      <w:r w:rsidR="00094F32">
        <w:t xml:space="preserve"> as </w:t>
      </w:r>
      <w:r w:rsidR="00094F32" w:rsidRPr="003B77C5">
        <w:t xml:space="preserve">it </w:t>
      </w:r>
      <w:r w:rsidR="0046679D">
        <w:t>was</w:t>
      </w:r>
      <w:r w:rsidR="00094F32" w:rsidRPr="003B77C5">
        <w:t xml:space="preserve"> unlikely that patients who would choose to continue with </w:t>
      </w:r>
      <w:r w:rsidR="00ED4163">
        <w:t>CM</w:t>
      </w:r>
      <w:r w:rsidR="00094F32" w:rsidRPr="003B77C5">
        <w:t xml:space="preserve"> would opt to receive the proposed intervention</w:t>
      </w:r>
      <w:r w:rsidR="007340AF">
        <w:t>.</w:t>
      </w:r>
      <w:r w:rsidR="00094F32">
        <w:t xml:space="preserve"> </w:t>
      </w:r>
      <w:r>
        <w:t>The</w:t>
      </w:r>
      <w:r w:rsidR="00B90EC5">
        <w:t xml:space="preserve"> ADAR claimed that the clinical management </w:t>
      </w:r>
      <w:r w:rsidR="00B90EC5">
        <w:lastRenderedPageBreak/>
        <w:t xml:space="preserve">algorithm did not reflect the possibility of patients who improve post </w:t>
      </w:r>
      <w:r w:rsidR="00ED4163">
        <w:t>CM</w:t>
      </w:r>
      <w:r w:rsidR="00B90EC5">
        <w:t xml:space="preserve"> relapse at some point in time and restart the treatment algorithm. However, the commentary considered that the PASC suggested algorithm already included a treatment arm for patients who improve post </w:t>
      </w:r>
      <w:r w:rsidR="00ED4163">
        <w:t>CM</w:t>
      </w:r>
      <w:r w:rsidR="00B90EC5">
        <w:t xml:space="preserve"> relapse at some point in time going back to the </w:t>
      </w:r>
      <w:r>
        <w:t>‘</w:t>
      </w:r>
      <w:r w:rsidR="00B90EC5">
        <w:t>no improvement stage</w:t>
      </w:r>
      <w:r>
        <w:t>’</w:t>
      </w:r>
      <w:r w:rsidR="00B90EC5">
        <w:t xml:space="preserve"> and following the treatment pathways, whereas the amended algorithm included the relapse patients going back to the start of the treatment algorithm. The commentary considered that the relapsed </w:t>
      </w:r>
      <w:r w:rsidR="00ED4163">
        <w:t>CM</w:t>
      </w:r>
      <w:r w:rsidR="00B90EC5">
        <w:t xml:space="preserve"> patients d</w:t>
      </w:r>
      <w:r w:rsidR="0046679D">
        <w:t>id</w:t>
      </w:r>
      <w:r w:rsidR="00B90EC5">
        <w:t xml:space="preserve"> not require establishment for evidence of cuff disease as it was already established, hence the pathway proposed in the PASC algorithm for </w:t>
      </w:r>
      <w:r w:rsidR="00ED4163">
        <w:t>CM</w:t>
      </w:r>
      <w:r w:rsidR="00B90EC5">
        <w:t xml:space="preserve"> relapse patients would be more appropriate.</w:t>
      </w:r>
    </w:p>
    <w:p w14:paraId="66BDFCC1" w14:textId="6639C2B5" w:rsidR="00772829" w:rsidRPr="00CE28E3" w:rsidRDefault="008D6BDA" w:rsidP="002A18BE">
      <w:pPr>
        <w:pStyle w:val="Heading2"/>
        <w:numPr>
          <w:ilvl w:val="0"/>
          <w:numId w:val="0"/>
        </w:numPr>
      </w:pPr>
      <w:bookmarkStart w:id="19" w:name="_Toc69491420"/>
      <w:bookmarkEnd w:id="18"/>
      <w:r>
        <w:t>8</w:t>
      </w:r>
      <w:r w:rsidR="00C36633">
        <w:t>.</w:t>
      </w:r>
      <w:r w:rsidR="00C36633">
        <w:tab/>
      </w:r>
      <w:r w:rsidR="00772829" w:rsidRPr="00CE28E3">
        <w:t>Comparator</w:t>
      </w:r>
      <w:bookmarkEnd w:id="19"/>
    </w:p>
    <w:p w14:paraId="6BE2BAD5" w14:textId="4D57E4C2" w:rsidR="00F53D21" w:rsidRPr="00B1275F" w:rsidRDefault="00A60269" w:rsidP="003B4E46">
      <w:r w:rsidRPr="00B1275F">
        <w:t xml:space="preserve">Standard surgical repair (take-down and repair - i.e., suture anchors alone, without use of REGENETEN) </w:t>
      </w:r>
      <w:r w:rsidR="0046679D">
        <w:t>was</w:t>
      </w:r>
      <w:r w:rsidRPr="00B1275F">
        <w:t xml:space="preserve"> the nominated comparator</w:t>
      </w:r>
      <w:r>
        <w:t xml:space="preserve"> in the ADAR</w:t>
      </w:r>
      <w:r w:rsidR="00F23093">
        <w:t xml:space="preserve"> for both </w:t>
      </w:r>
      <w:r w:rsidR="00F23093" w:rsidRPr="00F23093">
        <w:t>Population 1 (PTRCT)</w:t>
      </w:r>
      <w:r w:rsidR="00F23093">
        <w:t xml:space="preserve"> and Population 2 (FTRCT)</w:t>
      </w:r>
      <w:r w:rsidR="005A3F0A">
        <w:t>. It</w:t>
      </w:r>
      <w:r w:rsidR="005A3F0A" w:rsidRPr="005A3F0A">
        <w:t xml:space="preserve"> is the current standard of care for patients who failed </w:t>
      </w:r>
      <w:r w:rsidR="00ED4163">
        <w:t>CM</w:t>
      </w:r>
      <w:r w:rsidR="005A3F0A" w:rsidRPr="005A3F0A">
        <w:t xml:space="preserve"> </w:t>
      </w:r>
      <w:r w:rsidR="00BD0240">
        <w:t>(</w:t>
      </w:r>
      <w:r w:rsidR="00BD0240" w:rsidRPr="005206D1">
        <w:t>not responded to pain relief, modified daily activities and physical therapy</w:t>
      </w:r>
      <w:r w:rsidR="00BD0240">
        <w:t xml:space="preserve">) </w:t>
      </w:r>
      <w:r w:rsidR="005A3F0A" w:rsidRPr="005A3F0A">
        <w:t xml:space="preserve">for 3 months and </w:t>
      </w:r>
      <w:r w:rsidR="00B90EC5">
        <w:t xml:space="preserve">are </w:t>
      </w:r>
      <w:r w:rsidR="005A3F0A" w:rsidRPr="005A3F0A">
        <w:t>eligible for surgical repair</w:t>
      </w:r>
      <w:r w:rsidR="005A3F0A">
        <w:t>.</w:t>
      </w:r>
      <w:r w:rsidR="00540A7C">
        <w:t xml:space="preserve"> </w:t>
      </w:r>
      <w:r w:rsidR="00F53D21">
        <w:t xml:space="preserve">The comparator is currently funded by the MBS (Please refer </w:t>
      </w:r>
      <w:r w:rsidR="00B90EC5">
        <w:t>to</w:t>
      </w:r>
      <w:r w:rsidR="00B90EC5" w:rsidRPr="00F53D21">
        <w:t xml:space="preserve"> </w:t>
      </w:r>
      <w:r w:rsidR="001008DA">
        <w:fldChar w:fldCharType="begin"/>
      </w:r>
      <w:r w:rsidR="001008DA">
        <w:instrText xml:space="preserve"> REF _Ref163179341 \h </w:instrText>
      </w:r>
      <w:r w:rsidR="001008DA">
        <w:fldChar w:fldCharType="separate"/>
      </w:r>
      <w:r w:rsidR="00EB12D3">
        <w:t xml:space="preserve">Table </w:t>
      </w:r>
      <w:r w:rsidR="00EB12D3">
        <w:rPr>
          <w:noProof/>
        </w:rPr>
        <w:t>2</w:t>
      </w:r>
      <w:r w:rsidR="001008DA">
        <w:fldChar w:fldCharType="end"/>
      </w:r>
      <w:r w:rsidR="001008DA">
        <w:t xml:space="preserve"> </w:t>
      </w:r>
      <w:r w:rsidR="00F53D21">
        <w:t xml:space="preserve">for </w:t>
      </w:r>
      <w:r w:rsidR="00F53D21" w:rsidRPr="00F53D21">
        <w:t xml:space="preserve">the existing MBS item relevant for </w:t>
      </w:r>
      <w:r w:rsidR="00B90EC5">
        <w:t xml:space="preserve">the </w:t>
      </w:r>
      <w:r w:rsidR="00F53D21">
        <w:t xml:space="preserve">comparator (as well as the intervention)). </w:t>
      </w:r>
    </w:p>
    <w:p w14:paraId="06BAC3C8" w14:textId="634C1B19" w:rsidR="00BD0240" w:rsidRPr="00F53D21" w:rsidRDefault="005A3F0A" w:rsidP="003B4E46">
      <w:r w:rsidRPr="00BD0240">
        <w:rPr>
          <w:rFonts w:cstheme="minorHAnsi"/>
        </w:rPr>
        <w:t>At the PASC meeting</w:t>
      </w:r>
      <w:r w:rsidR="00897937" w:rsidRPr="00897937">
        <w:t xml:space="preserve"> </w:t>
      </w:r>
      <w:r w:rsidR="00897937" w:rsidRPr="00BD0240">
        <w:rPr>
          <w:rFonts w:cstheme="minorHAnsi"/>
        </w:rPr>
        <w:t>in August 2023</w:t>
      </w:r>
      <w:r w:rsidRPr="00BD0240">
        <w:rPr>
          <w:rFonts w:cstheme="minorHAnsi"/>
        </w:rPr>
        <w:t xml:space="preserve">, it was proposed to include </w:t>
      </w:r>
      <w:r w:rsidR="00270A1C">
        <w:rPr>
          <w:rFonts w:cstheme="minorHAnsi"/>
        </w:rPr>
        <w:t xml:space="preserve">continued </w:t>
      </w:r>
      <w:r w:rsidR="00ED4163" w:rsidRPr="00BD0240">
        <w:rPr>
          <w:rFonts w:cstheme="minorHAnsi"/>
        </w:rPr>
        <w:t>CM</w:t>
      </w:r>
      <w:r w:rsidRPr="00BD0240">
        <w:rPr>
          <w:rFonts w:cstheme="minorHAnsi"/>
        </w:rPr>
        <w:t xml:space="preserve"> </w:t>
      </w:r>
      <w:r w:rsidR="00324244">
        <w:rPr>
          <w:rFonts w:cstheme="minorHAnsi"/>
        </w:rPr>
        <w:t xml:space="preserve">without surgical repair </w:t>
      </w:r>
      <w:r w:rsidRPr="00BD0240">
        <w:rPr>
          <w:rFonts w:cstheme="minorHAnsi"/>
        </w:rPr>
        <w:t xml:space="preserve">as </w:t>
      </w:r>
      <w:r w:rsidR="009E34AA" w:rsidRPr="00BD0240">
        <w:rPr>
          <w:rFonts w:cstheme="minorHAnsi"/>
        </w:rPr>
        <w:t xml:space="preserve">an </w:t>
      </w:r>
      <w:r w:rsidRPr="00BD0240">
        <w:rPr>
          <w:rFonts w:cstheme="minorHAnsi"/>
        </w:rPr>
        <w:t xml:space="preserve">additional comparator in </w:t>
      </w:r>
      <w:r w:rsidR="00895086" w:rsidRPr="00BD0240">
        <w:rPr>
          <w:rFonts w:cstheme="minorHAnsi"/>
        </w:rPr>
        <w:t>Population 1</w:t>
      </w:r>
      <w:r w:rsidRPr="00BD0240">
        <w:rPr>
          <w:rFonts w:cstheme="minorHAnsi"/>
        </w:rPr>
        <w:t xml:space="preserve">, given that </w:t>
      </w:r>
      <w:r w:rsidR="009061D1" w:rsidRPr="00BD0240">
        <w:rPr>
          <w:rFonts w:cstheme="minorHAnsi"/>
        </w:rPr>
        <w:t xml:space="preserve">the </w:t>
      </w:r>
      <w:r w:rsidRPr="00CD76DA">
        <w:t xml:space="preserve">introduction of the implant may reduce the threshold for surgery among patients who opt for </w:t>
      </w:r>
      <w:r w:rsidR="00ED4163">
        <w:t>CM</w:t>
      </w:r>
      <w:r w:rsidR="006B360A" w:rsidRPr="00DC619B">
        <w:t xml:space="preserve"> </w:t>
      </w:r>
      <w:r w:rsidRPr="00CD76DA">
        <w:t>due to the lower burden of rehabilitation post-surgery</w:t>
      </w:r>
      <w:r w:rsidR="006B360A" w:rsidRPr="00DC619B">
        <w:t xml:space="preserve"> (</w:t>
      </w:r>
      <w:bookmarkStart w:id="20" w:name="_Hlk166582686"/>
      <w:r w:rsidR="00BC6323" w:rsidRPr="00BC6323">
        <w:t>MSAC 1593.1 Ratified PICO confirmation, pg</w:t>
      </w:r>
      <w:r w:rsidR="00BC6323">
        <w:t>16</w:t>
      </w:r>
      <w:bookmarkEnd w:id="20"/>
      <w:r w:rsidR="006B360A" w:rsidRPr="00BD0240">
        <w:rPr>
          <w:rStyle w:val="eop"/>
          <w:rFonts w:cstheme="minorHAnsi"/>
          <w:shd w:val="clear" w:color="auto" w:fill="FFFFFF"/>
        </w:rPr>
        <w:t>)</w:t>
      </w:r>
      <w:r w:rsidRPr="00CD76DA">
        <w:t xml:space="preserve">. </w:t>
      </w:r>
      <w:r w:rsidR="00002034">
        <w:t>T</w:t>
      </w:r>
      <w:r w:rsidR="00002034" w:rsidRPr="00002034">
        <w:t xml:space="preserve">he </w:t>
      </w:r>
      <w:r w:rsidR="00DC619B" w:rsidRPr="00BD0240">
        <w:rPr>
          <w:rFonts w:cstheme="minorHAnsi"/>
        </w:rPr>
        <w:t>ADAR deviated from PASC’s recommendation to include</w:t>
      </w:r>
      <w:r w:rsidR="00ED5FEC">
        <w:rPr>
          <w:rFonts w:cstheme="minorHAnsi"/>
        </w:rPr>
        <w:t xml:space="preserve"> continued</w:t>
      </w:r>
      <w:r w:rsidR="00DC619B" w:rsidRPr="00BD0240">
        <w:rPr>
          <w:rFonts w:cstheme="minorHAnsi"/>
        </w:rPr>
        <w:t xml:space="preserve"> </w:t>
      </w:r>
      <w:r w:rsidR="00ED4163" w:rsidRPr="00BD0240">
        <w:rPr>
          <w:rFonts w:cstheme="minorHAnsi"/>
        </w:rPr>
        <w:t>CM</w:t>
      </w:r>
      <w:r w:rsidR="00DC619B" w:rsidRPr="00BD0240">
        <w:rPr>
          <w:rFonts w:cstheme="minorHAnsi"/>
        </w:rPr>
        <w:t xml:space="preserve"> as an additional comparator </w:t>
      </w:r>
      <w:r w:rsidR="00540A7C" w:rsidRPr="00BD0240">
        <w:rPr>
          <w:rFonts w:cstheme="minorHAnsi"/>
        </w:rPr>
        <w:t xml:space="preserve">for </w:t>
      </w:r>
      <w:r w:rsidR="00895086" w:rsidRPr="00BD0240">
        <w:rPr>
          <w:rFonts w:cstheme="minorHAnsi"/>
        </w:rPr>
        <w:t>Population 1</w:t>
      </w:r>
      <w:r w:rsidR="00BD0240" w:rsidRPr="00BD0240">
        <w:rPr>
          <w:rFonts w:cstheme="minorHAnsi"/>
        </w:rPr>
        <w:t xml:space="preserve">. </w:t>
      </w:r>
    </w:p>
    <w:p w14:paraId="0835E8B2" w14:textId="090AB4D9" w:rsidR="00877B0C" w:rsidRDefault="00BD0240" w:rsidP="00877B0C">
      <w:r w:rsidRPr="00BD0240">
        <w:rPr>
          <w:rFonts w:cstheme="minorHAnsi"/>
        </w:rPr>
        <w:t xml:space="preserve">The ADAR argued that </w:t>
      </w:r>
      <w:r>
        <w:t>t</w:t>
      </w:r>
      <w:r w:rsidR="00897937">
        <w:t xml:space="preserve">he </w:t>
      </w:r>
      <w:r w:rsidR="00897937" w:rsidRPr="00897937">
        <w:t xml:space="preserve">target population are those who have experienced significant impact to their quality of life </w:t>
      </w:r>
      <w:r w:rsidR="009C114D">
        <w:t xml:space="preserve">(QoL) </w:t>
      </w:r>
      <w:proofErr w:type="gramStart"/>
      <w:r w:rsidR="00897937" w:rsidRPr="00897937">
        <w:t>as a result of</w:t>
      </w:r>
      <w:proofErr w:type="gramEnd"/>
      <w:r w:rsidR="00897937" w:rsidRPr="00897937">
        <w:t xml:space="preserve"> the symptomatic nature of their tear, and upon failing non-surgical management, have requested further intervention via surgical means.</w:t>
      </w:r>
      <w:r>
        <w:t xml:space="preserve"> The ADAR stated that </w:t>
      </w:r>
      <w:r w:rsidR="00DC619B" w:rsidRPr="00CD76DA">
        <w:t xml:space="preserve">it does not make practical sense for a patient who is eligible and indicated for, and who is willing to and has provided consent to undergo surgical repair based on surgeon recommendation to instead continue </w:t>
      </w:r>
      <w:r w:rsidR="00ED4163">
        <w:t>CM</w:t>
      </w:r>
      <w:r w:rsidR="00DC619B" w:rsidRPr="00CD76DA">
        <w:t xml:space="preserve"> post failure.</w:t>
      </w:r>
      <w:r>
        <w:t xml:space="preserve"> It further claimed that e</w:t>
      </w:r>
      <w:r w:rsidR="00DC619B" w:rsidRPr="00CD76DA">
        <w:t>vidence from the studies and expert opinion suggested that of those PTRCT patients who do not improve after initial conservative treatment, some will progress to full</w:t>
      </w:r>
      <w:r w:rsidR="00A45045">
        <w:t>-</w:t>
      </w:r>
      <w:r w:rsidR="00DC619B" w:rsidRPr="00CD76DA">
        <w:t>thickness tears, and their condition commonly worsens or shows no significant improvement in signs and/or symptoms upon clinical re-evaluation.</w:t>
      </w:r>
      <w:r>
        <w:t xml:space="preserve"> The ADAR argued that </w:t>
      </w:r>
      <w:r w:rsidR="009E34AA">
        <w:t xml:space="preserve">it is </w:t>
      </w:r>
      <w:r w:rsidR="00890D65" w:rsidRPr="00F53D21">
        <w:t xml:space="preserve">unethical and inappropriate to randomise symptomatic patients despite </w:t>
      </w:r>
      <w:r w:rsidR="00ED4163">
        <w:t>CM</w:t>
      </w:r>
      <w:r w:rsidR="00890D65" w:rsidRPr="00F53D21">
        <w:t xml:space="preserve"> failure to a no-surgery arm of a </w:t>
      </w:r>
      <w:r w:rsidR="003A0F7E">
        <w:t>trial</w:t>
      </w:r>
      <w:r w:rsidR="00890D65" w:rsidRPr="00F53D21">
        <w:t>.</w:t>
      </w:r>
      <w:r w:rsidR="00553E06">
        <w:t xml:space="preserve"> T</w:t>
      </w:r>
      <w:r w:rsidR="00B90EC5">
        <w:t xml:space="preserve">he commentary considered that it is still appropriate to consider </w:t>
      </w:r>
      <w:r w:rsidR="000E44CF">
        <w:t xml:space="preserve">continued </w:t>
      </w:r>
      <w:r w:rsidR="00ED4163">
        <w:t>CM</w:t>
      </w:r>
      <w:r w:rsidR="00B90EC5">
        <w:t xml:space="preserve"> as a comparator </w:t>
      </w:r>
      <w:r w:rsidR="00E075E8">
        <w:t xml:space="preserve">for </w:t>
      </w:r>
      <w:r w:rsidR="00B90EC5">
        <w:t xml:space="preserve">patients who do not opt for surgical treatment </w:t>
      </w:r>
      <w:r w:rsidR="00E81877">
        <w:t xml:space="preserve">(e.g., personal preference) </w:t>
      </w:r>
      <w:r w:rsidR="00B90EC5">
        <w:t xml:space="preserve">as per the proposed algorithm. </w:t>
      </w:r>
      <w:r w:rsidR="00E81877">
        <w:t>In terms of ethics, the commentary noted that</w:t>
      </w:r>
      <w:r w:rsidR="00B90EC5">
        <w:t xml:space="preserve"> there are studies that have evaluated non-surgical and surgical treatments for rotator cuff disease</w:t>
      </w:r>
      <w:r w:rsidR="00D3725B">
        <w:t xml:space="preserve">, which reported no significant difference in outcomes in surgical treatments compared to </w:t>
      </w:r>
      <w:r w:rsidR="00A73042">
        <w:t xml:space="preserve">continued </w:t>
      </w:r>
      <w:r w:rsidR="00D3725B">
        <w:t xml:space="preserve">CM among patients with rotator cuff </w:t>
      </w:r>
      <w:r w:rsidR="00D3725B" w:rsidRPr="006B2392">
        <w:t>tears</w:t>
      </w:r>
      <w:r w:rsidR="006B2392" w:rsidRPr="006B2392">
        <w:t xml:space="preserve"> </w:t>
      </w:r>
      <w:r w:rsidR="00DC619B" w:rsidRPr="006B2392">
        <w:rPr>
          <w:rStyle w:val="FootnoteReference"/>
        </w:rPr>
        <w:footnoteReference w:id="8"/>
      </w:r>
      <w:r w:rsidR="00DC619B" w:rsidRPr="00B821D3">
        <w:rPr>
          <w:vertAlign w:val="superscript"/>
        </w:rPr>
        <w:t>,</w:t>
      </w:r>
      <w:r w:rsidR="00DC619B" w:rsidRPr="006B2392">
        <w:rPr>
          <w:rStyle w:val="FootnoteReference"/>
        </w:rPr>
        <w:footnoteReference w:id="9"/>
      </w:r>
      <w:r w:rsidR="006B2392" w:rsidRPr="006B2392">
        <w:t>.</w:t>
      </w:r>
      <w:r w:rsidR="006B2392">
        <w:t xml:space="preserve"> </w:t>
      </w:r>
      <w:r w:rsidR="00877B0C">
        <w:br w:type="page"/>
      </w:r>
    </w:p>
    <w:p w14:paraId="501BEDB7" w14:textId="77777777" w:rsidR="008D6BDA" w:rsidRPr="00CE28E3" w:rsidRDefault="008D6BDA" w:rsidP="008D6BDA">
      <w:pPr>
        <w:pStyle w:val="Heading2"/>
        <w:numPr>
          <w:ilvl w:val="0"/>
          <w:numId w:val="0"/>
        </w:numPr>
      </w:pPr>
      <w:bookmarkStart w:id="21" w:name="_Toc69491421"/>
      <w:r>
        <w:lastRenderedPageBreak/>
        <w:t>9.</w:t>
      </w:r>
      <w:r>
        <w:tab/>
      </w:r>
      <w:r w:rsidRPr="00CE28E3">
        <w:t xml:space="preserve">Summary of public consultation </w:t>
      </w:r>
      <w:r>
        <w:t>input</w:t>
      </w:r>
      <w:bookmarkEnd w:id="21"/>
    </w:p>
    <w:p w14:paraId="163E9F4B" w14:textId="2F1960B6" w:rsidR="008D6BDA" w:rsidRPr="008D6BDA" w:rsidRDefault="008D6BDA" w:rsidP="008D6BDA">
      <w:pPr>
        <w:pStyle w:val="paragraph"/>
        <w:spacing w:before="0" w:beforeAutospacing="0" w:after="0" w:afterAutospacing="0"/>
        <w:textAlignment w:val="baseline"/>
        <w:rPr>
          <w:rFonts w:ascii="Franklin Gothic Book" w:hAnsi="Franklin Gothic Book" w:cs="Segoe UI"/>
          <w:sz w:val="18"/>
          <w:szCs w:val="18"/>
        </w:rPr>
      </w:pPr>
      <w:r w:rsidRPr="008D6BDA">
        <w:rPr>
          <w:rStyle w:val="normaltextrun"/>
          <w:rFonts w:ascii="Franklin Gothic Book" w:hAnsi="Franklin Gothic Book" w:cs="Calibri"/>
          <w:sz w:val="22"/>
          <w:szCs w:val="22"/>
        </w:rPr>
        <w:t xml:space="preserve">Consultation input was </w:t>
      </w:r>
      <w:r w:rsidR="003E01C6">
        <w:rPr>
          <w:rStyle w:val="normaltextrun"/>
          <w:rFonts w:ascii="Franklin Gothic Book" w:hAnsi="Franklin Gothic Book" w:cs="Calibri"/>
          <w:sz w:val="22"/>
          <w:szCs w:val="22"/>
        </w:rPr>
        <w:t>receiv</w:t>
      </w:r>
      <w:r w:rsidR="003E01C6" w:rsidRPr="008D6BDA">
        <w:rPr>
          <w:rStyle w:val="normaltextrun"/>
          <w:rFonts w:ascii="Franklin Gothic Book" w:hAnsi="Franklin Gothic Book" w:cs="Calibri"/>
          <w:sz w:val="22"/>
          <w:szCs w:val="22"/>
        </w:rPr>
        <w:t xml:space="preserve">ed </w:t>
      </w:r>
      <w:r w:rsidRPr="008D6BDA">
        <w:rPr>
          <w:rStyle w:val="normaltextrun"/>
          <w:rFonts w:ascii="Franklin Gothic Book" w:hAnsi="Franklin Gothic Book" w:cs="Calibri"/>
          <w:sz w:val="22"/>
          <w:szCs w:val="22"/>
        </w:rPr>
        <w:t>from two (2) professional organisations</w:t>
      </w:r>
      <w:r w:rsidR="00F055B4">
        <w:rPr>
          <w:rStyle w:val="normaltextrun"/>
          <w:rFonts w:ascii="Franklin Gothic Book" w:hAnsi="Franklin Gothic Book" w:cs="Calibri"/>
          <w:sz w:val="22"/>
          <w:szCs w:val="22"/>
        </w:rPr>
        <w:t>,</w:t>
      </w:r>
      <w:r w:rsidRPr="008D6BDA">
        <w:rPr>
          <w:rStyle w:val="normaltextrun"/>
          <w:rFonts w:ascii="Franklin Gothic Book" w:hAnsi="Franklin Gothic Book" w:cs="Calibri"/>
          <w:sz w:val="22"/>
          <w:szCs w:val="22"/>
        </w:rPr>
        <w:t xml:space="preserve"> and twelve (12) individuals</w:t>
      </w:r>
      <w:r w:rsidR="00F055B4">
        <w:rPr>
          <w:rStyle w:val="normaltextrun"/>
          <w:rFonts w:ascii="Franklin Gothic Book" w:hAnsi="Franklin Gothic Book" w:cs="Calibri"/>
          <w:sz w:val="22"/>
          <w:szCs w:val="22"/>
        </w:rPr>
        <w:t xml:space="preserve"> (</w:t>
      </w:r>
      <w:r w:rsidRPr="008D6BDA">
        <w:rPr>
          <w:rStyle w:val="normaltextrun"/>
          <w:rFonts w:ascii="Franklin Gothic Book" w:hAnsi="Franklin Gothic Book" w:cs="Calibri"/>
          <w:sz w:val="22"/>
          <w:szCs w:val="22"/>
        </w:rPr>
        <w:t>all of whom were medical specialists</w:t>
      </w:r>
      <w:r w:rsidR="00F055B4">
        <w:rPr>
          <w:rStyle w:val="normaltextrun"/>
          <w:rFonts w:ascii="Franklin Gothic Book" w:hAnsi="Franklin Gothic Book" w:cs="Calibri"/>
          <w:sz w:val="22"/>
          <w:szCs w:val="22"/>
        </w:rPr>
        <w:t>)</w:t>
      </w:r>
      <w:r w:rsidRPr="008D6BDA">
        <w:rPr>
          <w:rStyle w:val="normaltextrun"/>
          <w:rFonts w:ascii="Franklin Gothic Book" w:hAnsi="Franklin Gothic Book" w:cs="Calibri"/>
          <w:sz w:val="22"/>
          <w:szCs w:val="22"/>
        </w:rPr>
        <w:t>. </w:t>
      </w:r>
      <w:r w:rsidRPr="008D6BDA">
        <w:rPr>
          <w:rStyle w:val="eop"/>
          <w:rFonts w:ascii="Franklin Gothic Book" w:hAnsi="Franklin Gothic Book" w:cs="Calibri"/>
          <w:sz w:val="22"/>
          <w:szCs w:val="22"/>
        </w:rPr>
        <w:t> </w:t>
      </w:r>
      <w:r w:rsidRPr="008D6BDA">
        <w:rPr>
          <w:rStyle w:val="normaltextrun"/>
          <w:rFonts w:ascii="Franklin Gothic Book" w:hAnsi="Franklin Gothic Book" w:cs="Calibri"/>
          <w:sz w:val="22"/>
          <w:szCs w:val="22"/>
        </w:rPr>
        <w:t>The 2 organisations that submitted input were:</w:t>
      </w:r>
      <w:r w:rsidRPr="008D6BDA">
        <w:rPr>
          <w:rStyle w:val="eop"/>
          <w:rFonts w:ascii="Franklin Gothic Book" w:hAnsi="Franklin Gothic Book" w:cs="Calibri"/>
          <w:sz w:val="22"/>
          <w:szCs w:val="22"/>
        </w:rPr>
        <w:t> </w:t>
      </w:r>
    </w:p>
    <w:p w14:paraId="7B71C10E" w14:textId="77777777" w:rsidR="008D6BDA" w:rsidRPr="008D6BDA" w:rsidRDefault="008D6BDA" w:rsidP="005A42D2">
      <w:pPr>
        <w:pStyle w:val="paragraph"/>
        <w:numPr>
          <w:ilvl w:val="0"/>
          <w:numId w:val="27"/>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Private Healthcare Australia (PHA), the peak representative body for private health insurance in Australia; and</w:t>
      </w:r>
      <w:r w:rsidRPr="008D6BDA">
        <w:rPr>
          <w:rStyle w:val="eop"/>
          <w:rFonts w:ascii="Franklin Gothic Book" w:hAnsi="Franklin Gothic Book" w:cs="Calibri"/>
          <w:sz w:val="22"/>
          <w:szCs w:val="22"/>
        </w:rPr>
        <w:t> </w:t>
      </w:r>
    </w:p>
    <w:p w14:paraId="56083ADC" w14:textId="77777777" w:rsidR="008D6BDA" w:rsidRPr="008D6BDA" w:rsidRDefault="008D6BDA" w:rsidP="005A42D2">
      <w:pPr>
        <w:pStyle w:val="paragraph"/>
        <w:numPr>
          <w:ilvl w:val="0"/>
          <w:numId w:val="27"/>
        </w:numPr>
        <w:spacing w:before="0" w:beforeAutospacing="0" w:after="0" w:afterAutospacing="0"/>
        <w:textAlignment w:val="baseline"/>
        <w:rPr>
          <w:rFonts w:ascii="Franklin Gothic Book" w:hAnsi="Franklin Gothic Book" w:cs="Calibri"/>
          <w:sz w:val="22"/>
          <w:szCs w:val="22"/>
        </w:rPr>
      </w:pPr>
      <w:proofErr w:type="spellStart"/>
      <w:r w:rsidRPr="008D6BDA">
        <w:rPr>
          <w:rStyle w:val="normaltextrun"/>
          <w:rFonts w:ascii="Franklin Gothic Book" w:hAnsi="Franklin Gothic Book" w:cs="Calibri"/>
          <w:sz w:val="22"/>
          <w:szCs w:val="22"/>
        </w:rPr>
        <w:t>PrecisionMed</w:t>
      </w:r>
      <w:proofErr w:type="spellEnd"/>
      <w:r w:rsidRPr="008D6BDA">
        <w:rPr>
          <w:rStyle w:val="normaltextrun"/>
          <w:rFonts w:ascii="Franklin Gothic Book" w:hAnsi="Franklin Gothic Book" w:cs="Calibri"/>
          <w:sz w:val="22"/>
          <w:szCs w:val="22"/>
        </w:rPr>
        <w:t>, a leading supplier of high-quality human biological material for research.</w:t>
      </w:r>
      <w:r w:rsidRPr="008D6BDA">
        <w:rPr>
          <w:rStyle w:val="eop"/>
          <w:rFonts w:ascii="Franklin Gothic Book" w:hAnsi="Franklin Gothic Book" w:cs="Calibri"/>
          <w:sz w:val="22"/>
          <w:szCs w:val="22"/>
        </w:rPr>
        <w:t> </w:t>
      </w:r>
    </w:p>
    <w:p w14:paraId="14C6DEAB" w14:textId="747A8A0C" w:rsidR="008D6BDA" w:rsidRPr="008D6BDA" w:rsidRDefault="00F055B4" w:rsidP="005A42D2">
      <w:pPr>
        <w:pStyle w:val="paragraph"/>
        <w:spacing w:before="240" w:beforeAutospacing="0" w:after="0" w:afterAutospacing="0"/>
        <w:textAlignment w:val="baseline"/>
        <w:rPr>
          <w:rFonts w:ascii="Franklin Gothic Book" w:hAnsi="Franklin Gothic Book" w:cs="Segoe UI"/>
          <w:sz w:val="18"/>
          <w:szCs w:val="18"/>
        </w:rPr>
      </w:pPr>
      <w:r>
        <w:rPr>
          <w:rStyle w:val="normaltextrun"/>
          <w:rFonts w:ascii="Franklin Gothic Book" w:hAnsi="Franklin Gothic Book" w:cs="Calibri"/>
          <w:sz w:val="22"/>
          <w:szCs w:val="22"/>
        </w:rPr>
        <w:t>A</w:t>
      </w:r>
      <w:r w:rsidR="007F69BB">
        <w:rPr>
          <w:rStyle w:val="normaltextrun"/>
          <w:rFonts w:ascii="Franklin Gothic Book" w:hAnsi="Franklin Gothic Book" w:cs="Calibri"/>
          <w:sz w:val="22"/>
          <w:szCs w:val="22"/>
        </w:rPr>
        <w:t>l</w:t>
      </w:r>
      <w:r>
        <w:rPr>
          <w:rStyle w:val="normaltextrun"/>
          <w:rFonts w:ascii="Franklin Gothic Book" w:hAnsi="Franklin Gothic Book" w:cs="Calibri"/>
          <w:sz w:val="22"/>
          <w:szCs w:val="22"/>
        </w:rPr>
        <w:t>l</w:t>
      </w:r>
      <w:r w:rsidR="008D6BDA" w:rsidRPr="008D6BDA">
        <w:rPr>
          <w:rStyle w:val="normaltextrun"/>
          <w:rFonts w:ascii="Franklin Gothic Book" w:hAnsi="Franklin Gothic Book" w:cs="Calibri"/>
          <w:sz w:val="22"/>
          <w:szCs w:val="22"/>
        </w:rPr>
        <w:t xml:space="preserve"> consultation feedback received from the medical specialists (orthopaedic surgeons) was supportive of the application. Private Healthcare Australia (PHA) raised concerns with the application and did not support the proposed listing (see below). The feedback from </w:t>
      </w:r>
      <w:proofErr w:type="spellStart"/>
      <w:r w:rsidR="008D6BDA" w:rsidRPr="008D6BDA">
        <w:rPr>
          <w:rStyle w:val="normaltextrun"/>
          <w:rFonts w:ascii="Franklin Gothic Book" w:hAnsi="Franklin Gothic Book" w:cs="Calibri"/>
          <w:sz w:val="22"/>
          <w:szCs w:val="22"/>
        </w:rPr>
        <w:t>PrecisionMed</w:t>
      </w:r>
      <w:proofErr w:type="spellEnd"/>
      <w:r w:rsidR="008D6BDA" w:rsidRPr="008D6BDA">
        <w:rPr>
          <w:rStyle w:val="normaltextrun"/>
          <w:rFonts w:ascii="Franklin Gothic Book" w:hAnsi="Franklin Gothic Book" w:cs="Calibri"/>
          <w:sz w:val="22"/>
          <w:szCs w:val="22"/>
        </w:rPr>
        <w:t xml:space="preserve"> contained a quasi-registry level analysis on the cost-effective benefit value of the </w:t>
      </w:r>
      <w:r>
        <w:rPr>
          <w:rStyle w:val="normaltextrun"/>
          <w:rFonts w:ascii="Franklin Gothic Book" w:hAnsi="Franklin Gothic Book" w:cs="Calibri"/>
          <w:sz w:val="22"/>
          <w:szCs w:val="22"/>
        </w:rPr>
        <w:t>REGENETEN</w:t>
      </w:r>
      <w:r w:rsidRPr="008D6BDA">
        <w:rPr>
          <w:rStyle w:val="normaltextrun"/>
          <w:rFonts w:ascii="Franklin Gothic Book" w:hAnsi="Franklin Gothic Book" w:cs="Calibri"/>
          <w:sz w:val="22"/>
          <w:szCs w:val="22"/>
        </w:rPr>
        <w:t xml:space="preserve"> </w:t>
      </w:r>
      <w:r w:rsidR="008D6BDA" w:rsidRPr="008D6BDA">
        <w:rPr>
          <w:rStyle w:val="normaltextrun"/>
          <w:rFonts w:ascii="Franklin Gothic Book" w:hAnsi="Franklin Gothic Book" w:cs="Calibri"/>
          <w:sz w:val="22"/>
          <w:szCs w:val="22"/>
        </w:rPr>
        <w:t>implant.</w:t>
      </w:r>
      <w:r w:rsidR="008D6BDA" w:rsidRPr="008D6BDA">
        <w:rPr>
          <w:rStyle w:val="eop"/>
          <w:rFonts w:ascii="Franklin Gothic Book" w:hAnsi="Franklin Gothic Book" w:cs="Calibri"/>
          <w:sz w:val="22"/>
          <w:szCs w:val="22"/>
        </w:rPr>
        <w:t> </w:t>
      </w:r>
    </w:p>
    <w:p w14:paraId="2C590A4F" w14:textId="77777777" w:rsidR="008D6BDA" w:rsidRPr="008D6BDA" w:rsidRDefault="008D6BDA" w:rsidP="008D6BDA">
      <w:pPr>
        <w:pStyle w:val="paragraph"/>
        <w:spacing w:before="240" w:beforeAutospacing="0" w:after="0" w:afterAutospacing="0"/>
        <w:textAlignment w:val="baseline"/>
        <w:rPr>
          <w:rFonts w:ascii="Franklin Gothic Book" w:hAnsi="Franklin Gothic Book" w:cs="Segoe UI"/>
          <w:sz w:val="18"/>
          <w:szCs w:val="18"/>
        </w:rPr>
      </w:pPr>
      <w:r w:rsidRPr="008D6BDA">
        <w:rPr>
          <w:rStyle w:val="normaltextrun"/>
          <w:rFonts w:ascii="Franklin Gothic Book" w:hAnsi="Franklin Gothic Book" w:cs="Calibri"/>
          <w:b/>
          <w:bCs/>
          <w:sz w:val="22"/>
          <w:szCs w:val="22"/>
        </w:rPr>
        <w:t>Benefits </w:t>
      </w:r>
      <w:r w:rsidRPr="008D6BDA">
        <w:rPr>
          <w:rStyle w:val="eop"/>
          <w:rFonts w:ascii="Franklin Gothic Book" w:hAnsi="Franklin Gothic Book" w:cs="Calibri"/>
          <w:sz w:val="22"/>
          <w:szCs w:val="22"/>
        </w:rPr>
        <w:t> </w:t>
      </w:r>
    </w:p>
    <w:p w14:paraId="6EED3769" w14:textId="5D7547FF" w:rsidR="008D6BDA" w:rsidRPr="008D6BDA" w:rsidRDefault="008D6BDA" w:rsidP="005A42D2">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 xml:space="preserve">The implant </w:t>
      </w:r>
      <w:proofErr w:type="gramStart"/>
      <w:r w:rsidRPr="008D6BDA">
        <w:rPr>
          <w:rStyle w:val="normaltextrun"/>
          <w:rFonts w:ascii="Franklin Gothic Book" w:hAnsi="Franklin Gothic Book" w:cs="Calibri"/>
          <w:sz w:val="22"/>
          <w:szCs w:val="22"/>
        </w:rPr>
        <w:t>is considered to be</w:t>
      </w:r>
      <w:proofErr w:type="gramEnd"/>
      <w:r w:rsidRPr="008D6BDA">
        <w:rPr>
          <w:rStyle w:val="normaltextrun"/>
          <w:rFonts w:ascii="Franklin Gothic Book" w:hAnsi="Franklin Gothic Book" w:cs="Calibri"/>
          <w:sz w:val="22"/>
          <w:szCs w:val="22"/>
        </w:rPr>
        <w:t xml:space="preserve"> safe, with low probability of graft reaction, </w:t>
      </w:r>
      <w:r w:rsidR="00F055B4">
        <w:rPr>
          <w:rStyle w:val="normaltextrun"/>
          <w:rFonts w:ascii="Franklin Gothic Book" w:hAnsi="Franklin Gothic Book" w:cs="Calibri"/>
          <w:sz w:val="22"/>
          <w:szCs w:val="22"/>
        </w:rPr>
        <w:t xml:space="preserve">is </w:t>
      </w:r>
      <w:r w:rsidRPr="008D6BDA">
        <w:rPr>
          <w:rStyle w:val="normaltextrun"/>
          <w:rFonts w:ascii="Franklin Gothic Book" w:hAnsi="Franklin Gothic Book" w:cs="Calibri"/>
          <w:sz w:val="22"/>
          <w:szCs w:val="22"/>
        </w:rPr>
        <w:t>well tolerated and is completely resorbed.</w:t>
      </w:r>
      <w:r w:rsidRPr="008D6BDA">
        <w:rPr>
          <w:rStyle w:val="eop"/>
          <w:rFonts w:ascii="Franklin Gothic Book" w:hAnsi="Franklin Gothic Book" w:cs="Calibri"/>
          <w:sz w:val="22"/>
          <w:szCs w:val="22"/>
        </w:rPr>
        <w:t> </w:t>
      </w:r>
    </w:p>
    <w:p w14:paraId="1D73B8A0" w14:textId="77777777" w:rsidR="008D6BDA" w:rsidRPr="008D6BDA" w:rsidRDefault="008D6BDA" w:rsidP="005A42D2">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The implant provides some structural support, aims to assist the tendon healing process, and results in improved patient outcomes, shorter recovery time and earlier return to work. </w:t>
      </w:r>
      <w:r w:rsidRPr="008D6BDA">
        <w:rPr>
          <w:rStyle w:val="eop"/>
          <w:rFonts w:ascii="Franklin Gothic Book" w:hAnsi="Franklin Gothic Book" w:cs="Calibri"/>
          <w:sz w:val="22"/>
          <w:szCs w:val="22"/>
        </w:rPr>
        <w:t> </w:t>
      </w:r>
    </w:p>
    <w:p w14:paraId="7B7E80CD" w14:textId="77777777" w:rsidR="008D6BDA" w:rsidRPr="008D6BDA" w:rsidRDefault="008D6BDA" w:rsidP="005A42D2">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Lowers the risk of revision surgery if the repair does not heal, and therefore more cost-effective.</w:t>
      </w:r>
      <w:r w:rsidRPr="008D6BDA">
        <w:rPr>
          <w:rStyle w:val="eop"/>
          <w:rFonts w:ascii="Franklin Gothic Book" w:hAnsi="Franklin Gothic Book" w:cs="Calibri"/>
          <w:sz w:val="22"/>
          <w:szCs w:val="22"/>
        </w:rPr>
        <w:t> </w:t>
      </w:r>
    </w:p>
    <w:p w14:paraId="3F203EE5" w14:textId="77777777" w:rsidR="008D6BDA" w:rsidRPr="008D6BDA" w:rsidRDefault="008D6BDA" w:rsidP="005A42D2">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Some specialists noted that the implant had good results in patients with partial-thickness tear.</w:t>
      </w:r>
      <w:r w:rsidRPr="008D6BDA">
        <w:rPr>
          <w:rStyle w:val="eop"/>
          <w:rFonts w:ascii="Franklin Gothic Book" w:hAnsi="Franklin Gothic Book" w:cs="Calibri"/>
          <w:sz w:val="22"/>
          <w:szCs w:val="22"/>
        </w:rPr>
        <w:t> </w:t>
      </w:r>
    </w:p>
    <w:p w14:paraId="5319ABEF" w14:textId="77777777" w:rsidR="008D6BDA" w:rsidRPr="008D6BDA" w:rsidRDefault="008D6BDA" w:rsidP="005A42D2">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The implant is useful for patients with partial rotator cuff tears of sufficient severity to be symptomatic, but not large enough to require a complete repair</w:t>
      </w:r>
      <w:r w:rsidRPr="008D6BDA">
        <w:rPr>
          <w:rStyle w:val="eop"/>
          <w:rFonts w:ascii="Franklin Gothic Book" w:hAnsi="Franklin Gothic Book" w:cs="Calibri"/>
          <w:sz w:val="22"/>
          <w:szCs w:val="22"/>
        </w:rPr>
        <w:t> </w:t>
      </w:r>
    </w:p>
    <w:p w14:paraId="7EF75396" w14:textId="74A5642A" w:rsidR="008D6BDA" w:rsidRPr="008D6BDA" w:rsidRDefault="008D6BDA" w:rsidP="005A42D2">
      <w:pPr>
        <w:pStyle w:val="paragraph"/>
        <w:numPr>
          <w:ilvl w:val="0"/>
          <w:numId w:val="28"/>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Improving equity of access, as currently patients who would benefit from the device do not have the financial means to access it.</w:t>
      </w:r>
      <w:r w:rsidRPr="008D6BDA">
        <w:rPr>
          <w:rStyle w:val="eop"/>
          <w:rFonts w:ascii="Franklin Gothic Book" w:hAnsi="Franklin Gothic Book" w:cs="Calibri"/>
          <w:sz w:val="22"/>
          <w:szCs w:val="22"/>
        </w:rPr>
        <w:t> </w:t>
      </w:r>
    </w:p>
    <w:p w14:paraId="714EA2F7" w14:textId="77777777" w:rsidR="008D6BDA" w:rsidRPr="008D6BDA" w:rsidRDefault="008D6BDA" w:rsidP="008D6BDA">
      <w:pPr>
        <w:pStyle w:val="paragraph"/>
        <w:spacing w:before="240" w:beforeAutospacing="0" w:after="0" w:afterAutospacing="0"/>
        <w:textAlignment w:val="baseline"/>
        <w:rPr>
          <w:rFonts w:ascii="Franklin Gothic Book" w:hAnsi="Franklin Gothic Book" w:cs="Segoe UI"/>
          <w:sz w:val="18"/>
          <w:szCs w:val="18"/>
        </w:rPr>
      </w:pPr>
      <w:r w:rsidRPr="008D6BDA">
        <w:rPr>
          <w:rStyle w:val="normaltextrun"/>
          <w:rFonts w:ascii="Franklin Gothic Book" w:hAnsi="Franklin Gothic Book" w:cs="Calibri"/>
          <w:b/>
          <w:bCs/>
          <w:sz w:val="22"/>
          <w:szCs w:val="22"/>
        </w:rPr>
        <w:t>Disadvantages </w:t>
      </w:r>
      <w:r w:rsidRPr="008D6BDA">
        <w:rPr>
          <w:rStyle w:val="eop"/>
          <w:rFonts w:ascii="Franklin Gothic Book" w:hAnsi="Franklin Gothic Book" w:cs="Calibri"/>
          <w:sz w:val="22"/>
          <w:szCs w:val="22"/>
        </w:rPr>
        <w:t> </w:t>
      </w:r>
    </w:p>
    <w:p w14:paraId="70CED922" w14:textId="77777777" w:rsidR="008D6BDA" w:rsidRPr="008D6BDA" w:rsidRDefault="008D6BDA" w:rsidP="005A42D2">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Listing of this device would increase private health insurance premiums (implant costs, hospital costs and medical rebates).</w:t>
      </w:r>
      <w:r w:rsidRPr="008D6BDA">
        <w:rPr>
          <w:rStyle w:val="eop"/>
          <w:rFonts w:ascii="Franklin Gothic Book" w:hAnsi="Franklin Gothic Book" w:cs="Calibri"/>
          <w:sz w:val="22"/>
          <w:szCs w:val="22"/>
        </w:rPr>
        <w:t> </w:t>
      </w:r>
    </w:p>
    <w:p w14:paraId="4A6CF3D9" w14:textId="77777777" w:rsidR="008D6BDA" w:rsidRPr="008D6BDA" w:rsidRDefault="008D6BDA" w:rsidP="008D6BDA">
      <w:pPr>
        <w:pStyle w:val="paragraph"/>
        <w:spacing w:before="240" w:beforeAutospacing="0" w:after="0" w:afterAutospacing="0"/>
        <w:textAlignment w:val="baseline"/>
        <w:rPr>
          <w:rFonts w:ascii="Franklin Gothic Book" w:hAnsi="Franklin Gothic Book" w:cs="Segoe UI"/>
          <w:sz w:val="18"/>
          <w:szCs w:val="18"/>
        </w:rPr>
      </w:pPr>
      <w:r w:rsidRPr="008D6BDA">
        <w:rPr>
          <w:rStyle w:val="normaltextrun"/>
          <w:rFonts w:ascii="Franklin Gothic Book" w:hAnsi="Franklin Gothic Book" w:cs="Calibri"/>
          <w:b/>
          <w:bCs/>
          <w:sz w:val="22"/>
          <w:szCs w:val="22"/>
        </w:rPr>
        <w:t>Additional Comments </w:t>
      </w:r>
      <w:r w:rsidRPr="008D6BDA">
        <w:rPr>
          <w:rStyle w:val="eop"/>
          <w:rFonts w:ascii="Franklin Gothic Book" w:hAnsi="Franklin Gothic Book" w:cs="Calibri"/>
          <w:sz w:val="22"/>
          <w:szCs w:val="22"/>
        </w:rPr>
        <w:t> </w:t>
      </w:r>
    </w:p>
    <w:p w14:paraId="50D3A778" w14:textId="77777777" w:rsidR="008D6BDA" w:rsidRPr="008D6BDA" w:rsidRDefault="008D6BDA" w:rsidP="005A42D2">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Early results promising but long-term data are required.</w:t>
      </w:r>
      <w:r w:rsidRPr="008D6BDA">
        <w:rPr>
          <w:rStyle w:val="eop"/>
          <w:rFonts w:ascii="Franklin Gothic Book" w:hAnsi="Franklin Gothic Book" w:cs="Calibri"/>
          <w:sz w:val="22"/>
          <w:szCs w:val="22"/>
        </w:rPr>
        <w:t> </w:t>
      </w:r>
    </w:p>
    <w:p w14:paraId="62CC860D" w14:textId="77777777" w:rsidR="008D6BDA" w:rsidRPr="008D6BDA" w:rsidRDefault="008D6BDA" w:rsidP="005A42D2">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There are gaps in clinical evidence of reduction in revisions, biological evidence of enriched tissue strength and data to support patient satisfaction.</w:t>
      </w:r>
      <w:r w:rsidRPr="008D6BDA">
        <w:rPr>
          <w:rStyle w:val="eop"/>
          <w:rFonts w:ascii="Franklin Gothic Book" w:hAnsi="Franklin Gothic Book" w:cs="Calibri"/>
          <w:sz w:val="22"/>
          <w:szCs w:val="22"/>
        </w:rPr>
        <w:t> </w:t>
      </w:r>
    </w:p>
    <w:p w14:paraId="5B3F8A4C" w14:textId="77777777" w:rsidR="008D6BDA" w:rsidRPr="008D6BDA" w:rsidRDefault="008D6BDA" w:rsidP="005A42D2">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Cost of the implant cited as a current barrier to access.</w:t>
      </w:r>
      <w:r w:rsidRPr="008D6BDA">
        <w:rPr>
          <w:rStyle w:val="eop"/>
          <w:rFonts w:ascii="Franklin Gothic Book" w:hAnsi="Franklin Gothic Book" w:cs="Calibri"/>
          <w:sz w:val="22"/>
          <w:szCs w:val="22"/>
        </w:rPr>
        <w:t> </w:t>
      </w:r>
    </w:p>
    <w:p w14:paraId="2FA95CD4" w14:textId="77777777" w:rsidR="008D6BDA" w:rsidRPr="008D6BDA" w:rsidRDefault="008D6BDA" w:rsidP="005A42D2">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Routine conservative management would include physiotherapy before and after surgery.</w:t>
      </w:r>
      <w:r w:rsidRPr="008D6BDA">
        <w:rPr>
          <w:rStyle w:val="eop"/>
          <w:rFonts w:ascii="Franklin Gothic Book" w:hAnsi="Franklin Gothic Book" w:cs="Calibri"/>
          <w:sz w:val="22"/>
          <w:szCs w:val="22"/>
        </w:rPr>
        <w:t> </w:t>
      </w:r>
    </w:p>
    <w:p w14:paraId="0F5AF4FB" w14:textId="77777777" w:rsidR="008D6BDA" w:rsidRPr="008D6BDA" w:rsidRDefault="008D6BDA" w:rsidP="005A42D2">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The funding for pre- and post-operative physiotherapy is important.</w:t>
      </w:r>
      <w:r w:rsidRPr="008D6BDA">
        <w:rPr>
          <w:rStyle w:val="eop"/>
          <w:rFonts w:ascii="Franklin Gothic Book" w:hAnsi="Franklin Gothic Book" w:cs="Calibri"/>
          <w:sz w:val="22"/>
          <w:szCs w:val="22"/>
        </w:rPr>
        <w:t> </w:t>
      </w:r>
    </w:p>
    <w:p w14:paraId="4D7FA87B" w14:textId="57FD7523" w:rsidR="00F055B4" w:rsidRPr="007F69BB" w:rsidRDefault="007F69BB" w:rsidP="007F69BB">
      <w:pPr>
        <w:pStyle w:val="paragraph"/>
        <w:numPr>
          <w:ilvl w:val="0"/>
          <w:numId w:val="29"/>
        </w:numPr>
        <w:spacing w:before="0" w:beforeAutospacing="0" w:after="0" w:afterAutospacing="0"/>
        <w:textAlignment w:val="baseline"/>
        <w:rPr>
          <w:rStyle w:val="normaltextrun"/>
          <w:rFonts w:ascii="Franklin Gothic Book" w:hAnsi="Franklin Gothic Book" w:cs="Calibri"/>
          <w:sz w:val="22"/>
          <w:szCs w:val="22"/>
        </w:rPr>
      </w:pPr>
      <w:r>
        <w:rPr>
          <w:rStyle w:val="normaltextrun"/>
          <w:rFonts w:ascii="Franklin Gothic Book" w:hAnsi="Franklin Gothic Book" w:cs="Calibri"/>
          <w:sz w:val="22"/>
          <w:szCs w:val="22"/>
        </w:rPr>
        <w:t>A h</w:t>
      </w:r>
      <w:r w:rsidR="008D6BDA" w:rsidRPr="007F69BB">
        <w:rPr>
          <w:rStyle w:val="normaltextrun"/>
          <w:rFonts w:ascii="Franklin Gothic Book" w:hAnsi="Franklin Gothic Book" w:cs="Calibri"/>
          <w:sz w:val="22"/>
          <w:szCs w:val="22"/>
        </w:rPr>
        <w:t xml:space="preserve">igh-quality study </w:t>
      </w:r>
      <w:r>
        <w:rPr>
          <w:rStyle w:val="normaltextrun"/>
          <w:rFonts w:ascii="Franklin Gothic Book" w:hAnsi="Franklin Gothic Book" w:cs="Calibri"/>
          <w:sz w:val="22"/>
          <w:szCs w:val="22"/>
        </w:rPr>
        <w:t xml:space="preserve">is need </w:t>
      </w:r>
      <w:r w:rsidR="008D6BDA" w:rsidRPr="007F69BB">
        <w:rPr>
          <w:rStyle w:val="normaltextrun"/>
          <w:rFonts w:ascii="Franklin Gothic Book" w:hAnsi="Franklin Gothic Book" w:cs="Calibri"/>
          <w:sz w:val="22"/>
          <w:szCs w:val="22"/>
        </w:rPr>
        <w:t xml:space="preserve">that is </w:t>
      </w:r>
      <w:r w:rsidR="00D278A0" w:rsidRPr="007F69BB">
        <w:rPr>
          <w:rStyle w:val="normaltextrun"/>
          <w:rFonts w:ascii="Franklin Gothic Book" w:hAnsi="Franklin Gothic Book" w:cs="Calibri"/>
          <w:sz w:val="22"/>
          <w:szCs w:val="22"/>
        </w:rPr>
        <w:t xml:space="preserve">independent of </w:t>
      </w:r>
      <w:r w:rsidR="008D6BDA" w:rsidRPr="007F69BB">
        <w:rPr>
          <w:rStyle w:val="normaltextrun"/>
          <w:rFonts w:ascii="Franklin Gothic Book" w:hAnsi="Franklin Gothic Book" w:cs="Calibri"/>
          <w:sz w:val="22"/>
          <w:szCs w:val="22"/>
        </w:rPr>
        <w:t xml:space="preserve">consultant surgeons </w:t>
      </w:r>
      <w:r w:rsidR="00D278A0" w:rsidRPr="007F69BB">
        <w:rPr>
          <w:rStyle w:val="normaltextrun"/>
          <w:rFonts w:ascii="Franklin Gothic Book" w:hAnsi="Franklin Gothic Book" w:cs="Calibri"/>
          <w:sz w:val="22"/>
          <w:szCs w:val="22"/>
        </w:rPr>
        <w:t xml:space="preserve">associated with </w:t>
      </w:r>
      <w:r w:rsidR="008D6BDA" w:rsidRPr="007F69BB">
        <w:rPr>
          <w:rStyle w:val="normaltextrun"/>
          <w:rFonts w:ascii="Franklin Gothic Book" w:hAnsi="Franklin Gothic Book" w:cs="Calibri"/>
          <w:sz w:val="22"/>
          <w:szCs w:val="22"/>
        </w:rPr>
        <w:t>the sponsor</w:t>
      </w:r>
    </w:p>
    <w:p w14:paraId="2F74EAFF" w14:textId="244D20F7" w:rsidR="008D6BDA" w:rsidRPr="008D6BDA" w:rsidRDefault="007F69BB" w:rsidP="005A42D2">
      <w:pPr>
        <w:pStyle w:val="paragraph"/>
        <w:numPr>
          <w:ilvl w:val="0"/>
          <w:numId w:val="29"/>
        </w:numPr>
        <w:spacing w:before="0" w:beforeAutospacing="0" w:after="0" w:afterAutospacing="0"/>
        <w:textAlignment w:val="baseline"/>
        <w:rPr>
          <w:rFonts w:ascii="Franklin Gothic Book" w:hAnsi="Franklin Gothic Book" w:cs="Calibri"/>
          <w:sz w:val="22"/>
          <w:szCs w:val="22"/>
        </w:rPr>
      </w:pPr>
      <w:r w:rsidRPr="008D6BDA">
        <w:rPr>
          <w:rStyle w:val="normaltextrun"/>
          <w:rFonts w:ascii="Franklin Gothic Book" w:hAnsi="Franklin Gothic Book" w:cs="Calibri"/>
          <w:sz w:val="22"/>
          <w:szCs w:val="22"/>
        </w:rPr>
        <w:t>c</w:t>
      </w:r>
      <w:r>
        <w:rPr>
          <w:rStyle w:val="normaltextrun"/>
          <w:rFonts w:ascii="Franklin Gothic Book" w:hAnsi="Franklin Gothic Book" w:cs="Calibri"/>
          <w:sz w:val="22"/>
          <w:szCs w:val="22"/>
        </w:rPr>
        <w:t>o</w:t>
      </w:r>
      <w:r w:rsidRPr="008D6BDA">
        <w:rPr>
          <w:rStyle w:val="normaltextrun"/>
          <w:rFonts w:ascii="Franklin Gothic Book" w:hAnsi="Franklin Gothic Book" w:cs="Calibri"/>
          <w:sz w:val="22"/>
          <w:szCs w:val="22"/>
        </w:rPr>
        <w:t>ncerns</w:t>
      </w:r>
      <w:r w:rsidR="008D6BDA" w:rsidRPr="008D6BDA">
        <w:rPr>
          <w:rStyle w:val="normaltextrun"/>
          <w:rFonts w:ascii="Franklin Gothic Book" w:hAnsi="Franklin Gothic Book" w:cs="Calibri"/>
          <w:sz w:val="22"/>
          <w:szCs w:val="22"/>
        </w:rPr>
        <w:t xml:space="preserve"> that this device would </w:t>
      </w:r>
      <w:r w:rsidR="00453977">
        <w:rPr>
          <w:rStyle w:val="normaltextrun"/>
          <w:rFonts w:ascii="Franklin Gothic Book" w:hAnsi="Franklin Gothic Book" w:cs="Calibri"/>
          <w:sz w:val="22"/>
          <w:szCs w:val="22"/>
        </w:rPr>
        <w:t>be used in</w:t>
      </w:r>
      <w:r w:rsidR="008D6BDA" w:rsidRPr="008D6BDA">
        <w:rPr>
          <w:rStyle w:val="normaltextrun"/>
          <w:rFonts w:ascii="Franklin Gothic Book" w:hAnsi="Franklin Gothic Book" w:cs="Calibri"/>
          <w:sz w:val="22"/>
          <w:szCs w:val="22"/>
        </w:rPr>
        <w:t xml:space="preserve"> all parts of the body where ligaments/tendons exist.</w:t>
      </w:r>
      <w:r w:rsidR="008D6BDA" w:rsidRPr="008D6BDA">
        <w:rPr>
          <w:rStyle w:val="eop"/>
          <w:rFonts w:ascii="Franklin Gothic Book" w:hAnsi="Franklin Gothic Book" w:cs="Calibri"/>
          <w:sz w:val="22"/>
          <w:szCs w:val="22"/>
        </w:rPr>
        <w:t> </w:t>
      </w:r>
    </w:p>
    <w:p w14:paraId="2F247EED" w14:textId="1C804072" w:rsidR="00877B0C" w:rsidRPr="00877B0C" w:rsidRDefault="00D278A0" w:rsidP="00877B0C">
      <w:pPr>
        <w:pStyle w:val="paragraph"/>
        <w:numPr>
          <w:ilvl w:val="0"/>
          <w:numId w:val="29"/>
        </w:numPr>
        <w:spacing w:before="0" w:beforeAutospacing="0" w:after="0" w:afterAutospacing="0"/>
        <w:textAlignment w:val="baseline"/>
        <w:rPr>
          <w:rStyle w:val="normaltextrun"/>
          <w:rFonts w:ascii="Franklin Gothic Book" w:hAnsi="Franklin Gothic Book" w:cs="Calibri"/>
          <w:sz w:val="22"/>
          <w:szCs w:val="22"/>
        </w:rPr>
      </w:pPr>
      <w:r>
        <w:rPr>
          <w:rStyle w:val="normaltextrun"/>
          <w:rFonts w:ascii="Franklin Gothic Book" w:hAnsi="Franklin Gothic Book" w:cs="Calibri"/>
          <w:sz w:val="22"/>
          <w:szCs w:val="22"/>
        </w:rPr>
        <w:t>E</w:t>
      </w:r>
      <w:r w:rsidR="008D6BDA" w:rsidRPr="008D6BDA">
        <w:rPr>
          <w:rStyle w:val="normaltextrun"/>
          <w:rFonts w:ascii="Franklin Gothic Book" w:hAnsi="Franklin Gothic Book" w:cs="Calibri"/>
          <w:sz w:val="22"/>
          <w:szCs w:val="22"/>
        </w:rPr>
        <w:t xml:space="preserve">mpirical, quasi registry level data </w:t>
      </w:r>
      <w:r w:rsidR="00AA60BD">
        <w:rPr>
          <w:rStyle w:val="normaltextrun"/>
          <w:rFonts w:ascii="Franklin Gothic Book" w:hAnsi="Franklin Gothic Book" w:cs="Calibri"/>
          <w:sz w:val="22"/>
          <w:szCs w:val="22"/>
        </w:rPr>
        <w:t xml:space="preserve">suggests </w:t>
      </w:r>
      <w:r w:rsidR="008D6BDA" w:rsidRPr="008D6BDA">
        <w:rPr>
          <w:rStyle w:val="normaltextrun"/>
          <w:rFonts w:ascii="Franklin Gothic Book" w:hAnsi="Franklin Gothic Book" w:cs="Calibri"/>
          <w:sz w:val="22"/>
          <w:szCs w:val="22"/>
        </w:rPr>
        <w:t xml:space="preserve">the cost-effective </w:t>
      </w:r>
      <w:r w:rsidR="00AA60BD">
        <w:rPr>
          <w:rStyle w:val="normaltextrun"/>
          <w:rFonts w:ascii="Franklin Gothic Book" w:hAnsi="Franklin Gothic Book" w:cs="Calibri"/>
          <w:sz w:val="22"/>
          <w:szCs w:val="22"/>
        </w:rPr>
        <w:t xml:space="preserve">PL </w:t>
      </w:r>
      <w:r w:rsidR="008D6BDA" w:rsidRPr="008D6BDA">
        <w:rPr>
          <w:rStyle w:val="normaltextrun"/>
          <w:rFonts w:ascii="Franklin Gothic Book" w:hAnsi="Franklin Gothic Book" w:cs="Calibri"/>
          <w:sz w:val="22"/>
          <w:szCs w:val="22"/>
        </w:rPr>
        <w:t xml:space="preserve">benefit value of the </w:t>
      </w:r>
      <w:r w:rsidR="00AA60BD">
        <w:rPr>
          <w:rStyle w:val="normaltextrun"/>
          <w:rFonts w:ascii="Franklin Gothic Book" w:hAnsi="Franklin Gothic Book" w:cs="Calibri"/>
          <w:sz w:val="22"/>
          <w:szCs w:val="22"/>
        </w:rPr>
        <w:t>REGENETEN</w:t>
      </w:r>
      <w:r w:rsidR="00AA60BD" w:rsidRPr="008D6BDA">
        <w:rPr>
          <w:rStyle w:val="normaltextrun"/>
          <w:rFonts w:ascii="Franklin Gothic Book" w:hAnsi="Franklin Gothic Book" w:cs="Calibri"/>
          <w:sz w:val="22"/>
          <w:szCs w:val="22"/>
        </w:rPr>
        <w:t xml:space="preserve"> </w:t>
      </w:r>
      <w:r w:rsidR="008D6BDA" w:rsidRPr="008D6BDA">
        <w:rPr>
          <w:rStyle w:val="normaltextrun"/>
          <w:rFonts w:ascii="Franklin Gothic Book" w:hAnsi="Franklin Gothic Book" w:cs="Calibri"/>
          <w:sz w:val="22"/>
          <w:szCs w:val="22"/>
        </w:rPr>
        <w:t>patch, assuming it was used prophylactically is likely to be between $0 and $350.</w:t>
      </w:r>
      <w:r w:rsidR="00877B0C" w:rsidRPr="00877B0C">
        <w:rPr>
          <w:rStyle w:val="normaltextrun"/>
          <w:rFonts w:ascii="Franklin Gothic Book" w:hAnsi="Franklin Gothic Book" w:cs="Calibri"/>
          <w:sz w:val="22"/>
          <w:szCs w:val="22"/>
        </w:rPr>
        <w:br w:type="page"/>
      </w:r>
    </w:p>
    <w:p w14:paraId="03C7A1F1" w14:textId="1E2BE8FC" w:rsidR="00772829" w:rsidRPr="00CE28E3" w:rsidRDefault="005A42D2" w:rsidP="002A18BE">
      <w:pPr>
        <w:pStyle w:val="Heading2"/>
        <w:numPr>
          <w:ilvl w:val="0"/>
          <w:numId w:val="0"/>
        </w:numPr>
      </w:pPr>
      <w:bookmarkStart w:id="22" w:name="_Toc69491422"/>
      <w:r>
        <w:lastRenderedPageBreak/>
        <w:t>10</w:t>
      </w:r>
      <w:r w:rsidR="00C36633">
        <w:t>.</w:t>
      </w:r>
      <w:r w:rsidR="00C36633">
        <w:tab/>
      </w:r>
      <w:r w:rsidR="00772829" w:rsidRPr="00CE28E3">
        <w:t>Characteristics of the evidence base</w:t>
      </w:r>
      <w:bookmarkEnd w:id="22"/>
    </w:p>
    <w:p w14:paraId="4A43769A" w14:textId="2498812C" w:rsidR="0056415C" w:rsidRDefault="00406D52" w:rsidP="003B4E46">
      <w:r w:rsidRPr="00406D52">
        <w:t>In response to MSAC recommendations in the previous application (MSAC application 1593),</w:t>
      </w:r>
      <w:r>
        <w:t xml:space="preserve"> t</w:t>
      </w:r>
      <w:r w:rsidR="00CB27FC" w:rsidRPr="004077A8">
        <w:t>he ADAR provided evidence for using</w:t>
      </w:r>
      <w:r w:rsidR="003A1250" w:rsidRPr="004077A8">
        <w:t xml:space="preserve"> bovine BCI to repair </w:t>
      </w:r>
      <w:bookmarkStart w:id="23" w:name="_Hlk161823347"/>
      <w:r w:rsidR="003A1250" w:rsidRPr="004077A8">
        <w:rPr>
          <w:rFonts w:eastAsia="Times New Roman" w:cs="Tahoma"/>
          <w:lang w:eastAsia="en-AU"/>
        </w:rPr>
        <w:t>PTRCT</w:t>
      </w:r>
      <w:bookmarkEnd w:id="23"/>
      <w:r w:rsidR="003A1250" w:rsidRPr="004077A8">
        <w:rPr>
          <w:rFonts w:eastAsia="Times New Roman" w:cs="Tahoma"/>
          <w:lang w:eastAsia="en-AU"/>
        </w:rPr>
        <w:t xml:space="preserve"> and FTRCT</w:t>
      </w:r>
      <w:r w:rsidR="003A1250" w:rsidRPr="004077A8">
        <w:t xml:space="preserve"> </w:t>
      </w:r>
      <w:r w:rsidR="00CB27FC" w:rsidRPr="004077A8">
        <w:t xml:space="preserve">based on </w:t>
      </w:r>
      <w:r w:rsidR="003A1250" w:rsidRPr="004077A8">
        <w:t xml:space="preserve">three main </w:t>
      </w:r>
      <w:r w:rsidR="004077A8" w:rsidRPr="004077A8">
        <w:t>randomised controlled trials (</w:t>
      </w:r>
      <w:r w:rsidR="003A1250" w:rsidRPr="004077A8">
        <w:t>RCTs</w:t>
      </w:r>
      <w:r w:rsidR="004077A8" w:rsidRPr="004077A8">
        <w:t>)</w:t>
      </w:r>
      <w:r w:rsidR="003A1250" w:rsidRPr="004077A8">
        <w:t xml:space="preserve"> identified through a systematic literature search</w:t>
      </w:r>
      <w:r w:rsidR="001C429D">
        <w:t>,</w:t>
      </w:r>
      <w:r w:rsidR="003A1250" w:rsidRPr="004077A8">
        <w:t xml:space="preserve"> and </w:t>
      </w:r>
      <w:bookmarkStart w:id="24" w:name="_Hlk161831956"/>
      <w:r w:rsidR="003A1250" w:rsidRPr="004077A8">
        <w:t>unpublished literature made available by the manufacturer or lead investigator</w:t>
      </w:r>
      <w:bookmarkEnd w:id="24"/>
      <w:r w:rsidR="003A1250" w:rsidRPr="004077A8">
        <w:t xml:space="preserve">. </w:t>
      </w:r>
      <w:r w:rsidR="001C429D">
        <w:t>T</w:t>
      </w:r>
      <w:r w:rsidR="00300533">
        <w:t xml:space="preserve">he ADAR provided evidence related to </w:t>
      </w:r>
      <w:r w:rsidR="003A1250" w:rsidRPr="004077A8">
        <w:t>PTRC</w:t>
      </w:r>
      <w:r w:rsidR="00B115F1">
        <w:t>T</w:t>
      </w:r>
      <w:r w:rsidR="00994DB2" w:rsidRPr="004077A8">
        <w:t xml:space="preserve"> </w:t>
      </w:r>
      <w:r w:rsidR="00300533">
        <w:t xml:space="preserve">based on </w:t>
      </w:r>
      <w:r w:rsidR="00681680">
        <w:t xml:space="preserve">two </w:t>
      </w:r>
      <w:r w:rsidR="00300533">
        <w:t xml:space="preserve">RCTs </w:t>
      </w:r>
      <w:r w:rsidR="00994DB2" w:rsidRPr="004077A8">
        <w:t>(Wang et al.,2023</w:t>
      </w:r>
      <w:r w:rsidR="00A565D3">
        <w:rPr>
          <w:rStyle w:val="FootnoteReference"/>
        </w:rPr>
        <w:footnoteReference w:id="10"/>
      </w:r>
      <w:r w:rsidR="00994DB2" w:rsidRPr="004077A8">
        <w:t xml:space="preserve"> and Camacho-Chacon et al.,2023</w:t>
      </w:r>
      <w:r w:rsidR="008B78B3">
        <w:rPr>
          <w:rStyle w:val="FootnoteReference"/>
        </w:rPr>
        <w:footnoteReference w:id="11"/>
      </w:r>
      <w:r w:rsidR="00994DB2" w:rsidRPr="004077A8">
        <w:t xml:space="preserve">) </w:t>
      </w:r>
      <w:r w:rsidR="003A1250" w:rsidRPr="004077A8">
        <w:t xml:space="preserve">and </w:t>
      </w:r>
      <w:r w:rsidR="00300533">
        <w:t xml:space="preserve">evidence related to </w:t>
      </w:r>
      <w:r w:rsidR="003A1250" w:rsidRPr="004077A8">
        <w:t xml:space="preserve">FTRCT </w:t>
      </w:r>
      <w:r w:rsidR="00300533">
        <w:t xml:space="preserve">based on one RCT </w:t>
      </w:r>
      <w:r w:rsidR="00994DB2" w:rsidRPr="004077A8">
        <w:t xml:space="preserve">(Ruiz </w:t>
      </w:r>
      <w:proofErr w:type="spellStart"/>
      <w:r w:rsidR="00262ECD">
        <w:t>Ibán</w:t>
      </w:r>
      <w:proofErr w:type="spellEnd"/>
      <w:r w:rsidR="00994DB2" w:rsidRPr="004077A8">
        <w:t xml:space="preserve"> et al.,2023</w:t>
      </w:r>
      <w:r w:rsidR="008B78B3">
        <w:rPr>
          <w:rStyle w:val="FootnoteReference"/>
        </w:rPr>
        <w:footnoteReference w:id="12"/>
      </w:r>
      <w:r w:rsidR="002A55CE">
        <w:t>,</w:t>
      </w:r>
      <w:r w:rsidR="0016241B">
        <w:rPr>
          <w:rStyle w:val="FootnoteReference"/>
        </w:rPr>
        <w:footnoteReference w:id="13"/>
      </w:r>
      <w:r w:rsidR="00994DB2" w:rsidRPr="004077A8">
        <w:t>).</w:t>
      </w:r>
      <w:r w:rsidR="00AF1AB1">
        <w:t xml:space="preserve"> </w:t>
      </w:r>
      <w:r w:rsidR="005D7B06">
        <w:t xml:space="preserve">Data from </w:t>
      </w:r>
      <w:r w:rsidR="00E52C55" w:rsidRPr="00E52C55">
        <w:t>Camacho-Chacon et al.,2023</w:t>
      </w:r>
      <w:r w:rsidR="00E52C55">
        <w:t xml:space="preserve"> </w:t>
      </w:r>
      <w:r w:rsidR="005D7B06">
        <w:t>were used to inform the economic evaluation for Population 1</w:t>
      </w:r>
      <w:r w:rsidR="00E52C55">
        <w:t xml:space="preserve"> and data from </w:t>
      </w:r>
      <w:r w:rsidR="00E52C55" w:rsidRPr="00E52C55">
        <w:t xml:space="preserve">Ruiz </w:t>
      </w:r>
      <w:proofErr w:type="spellStart"/>
      <w:r w:rsidR="00262ECD">
        <w:t>Ibán</w:t>
      </w:r>
      <w:proofErr w:type="spellEnd"/>
      <w:r w:rsidR="00E52C55" w:rsidRPr="00E52C55">
        <w:t xml:space="preserve"> et al.,2023</w:t>
      </w:r>
      <w:r w:rsidR="00E52C55">
        <w:t xml:space="preserve"> were used to inform the</w:t>
      </w:r>
      <w:r w:rsidR="00E52C55" w:rsidRPr="00E52C55">
        <w:t xml:space="preserve"> economic evaluation for Population </w:t>
      </w:r>
      <w:r w:rsidR="00E52C55">
        <w:t>2.</w:t>
      </w:r>
      <w:r w:rsidR="00B115F1">
        <w:t xml:space="preserve"> </w:t>
      </w:r>
      <w:r w:rsidR="00F1098A">
        <w:t>In addition to these RCTs, the ADAR provided safety and effectiveness evidence based on other clinical trials identified in the systematic literature search.</w:t>
      </w:r>
      <w:r w:rsidR="000676D1">
        <w:t xml:space="preserve"> </w:t>
      </w:r>
      <w:r w:rsidR="001008DA" w:rsidRPr="00C743D3">
        <w:rPr>
          <w:color w:val="000000" w:themeColor="text1"/>
          <w:highlight w:val="yellow"/>
        </w:rPr>
        <w:fldChar w:fldCharType="begin"/>
      </w:r>
      <w:r w:rsidR="001008DA" w:rsidRPr="00C743D3">
        <w:rPr>
          <w:color w:val="000000" w:themeColor="text1"/>
          <w:highlight w:val="yellow"/>
        </w:rPr>
        <w:instrText xml:space="preserve"> REF _Ref69725651 \h </w:instrText>
      </w:r>
      <w:r w:rsidR="000676D1">
        <w:rPr>
          <w:color w:val="000000" w:themeColor="text1"/>
          <w:highlight w:val="yellow"/>
        </w:rPr>
        <w:instrText xml:space="preserve"> \* MERGEFORMAT </w:instrText>
      </w:r>
      <w:r w:rsidR="001008DA" w:rsidRPr="00C743D3">
        <w:rPr>
          <w:color w:val="000000" w:themeColor="text1"/>
          <w:highlight w:val="yellow"/>
        </w:rPr>
      </w:r>
      <w:r w:rsidR="001008DA" w:rsidRPr="00C743D3">
        <w:rPr>
          <w:color w:val="000000" w:themeColor="text1"/>
          <w:highlight w:val="yellow"/>
        </w:rPr>
        <w:fldChar w:fldCharType="separate"/>
      </w:r>
      <w:r w:rsidR="00EB12D3" w:rsidRPr="00B821D3">
        <w:rPr>
          <w:color w:val="000000" w:themeColor="text1"/>
        </w:rPr>
        <w:t>Table 3</w:t>
      </w:r>
      <w:r w:rsidR="001008DA" w:rsidRPr="00C743D3">
        <w:rPr>
          <w:color w:val="000000" w:themeColor="text1"/>
          <w:highlight w:val="yellow"/>
        </w:rPr>
        <w:fldChar w:fldCharType="end"/>
      </w:r>
      <w:r w:rsidR="001008DA" w:rsidRPr="00305AB5">
        <w:rPr>
          <w:color w:val="000000" w:themeColor="text1"/>
        </w:rPr>
        <w:t xml:space="preserve"> </w:t>
      </w:r>
      <w:r w:rsidR="00B6445E" w:rsidRPr="00EC0208">
        <w:rPr>
          <w:color w:val="000000" w:themeColor="text1"/>
        </w:rPr>
        <w:t>summarise</w:t>
      </w:r>
      <w:r w:rsidR="00B6445E">
        <w:rPr>
          <w:color w:val="000000" w:themeColor="text1"/>
        </w:rPr>
        <w:t>d</w:t>
      </w:r>
      <w:r w:rsidR="00B6445E" w:rsidRPr="00EC0208">
        <w:rPr>
          <w:color w:val="000000" w:themeColor="text1"/>
        </w:rPr>
        <w:t xml:space="preserve"> </w:t>
      </w:r>
      <w:r w:rsidR="0056415C" w:rsidRPr="00EC0208">
        <w:rPr>
          <w:color w:val="000000" w:themeColor="text1"/>
        </w:rPr>
        <w:t>the key features of the included evidence</w:t>
      </w:r>
      <w:r w:rsidR="00F1098A">
        <w:rPr>
          <w:color w:val="000000" w:themeColor="text1"/>
        </w:rPr>
        <w:t xml:space="preserve"> based on RCT</w:t>
      </w:r>
      <w:r w:rsidR="00B53A74">
        <w:rPr>
          <w:color w:val="000000" w:themeColor="text1"/>
        </w:rPr>
        <w:t>s</w:t>
      </w:r>
      <w:r w:rsidR="0056415C" w:rsidRPr="00EC0208">
        <w:rPr>
          <w:color w:val="000000" w:themeColor="text1"/>
        </w:rPr>
        <w:t>.</w:t>
      </w:r>
    </w:p>
    <w:p w14:paraId="1929C053" w14:textId="1891BDA5" w:rsidR="0056415C" w:rsidRPr="00330A0A" w:rsidRDefault="0056415C" w:rsidP="0056415C">
      <w:pPr>
        <w:pStyle w:val="Caption"/>
        <w:rPr>
          <w:color w:val="538135" w:themeColor="accent6" w:themeShade="BF"/>
          <w:sz w:val="16"/>
          <w:szCs w:val="16"/>
        </w:rPr>
      </w:pPr>
      <w:bookmarkStart w:id="25" w:name="_Ref69725651"/>
      <w:r w:rsidRPr="00CE28E3">
        <w:t>Table</w:t>
      </w:r>
      <w:r>
        <w:t> </w:t>
      </w:r>
      <w:r>
        <w:fldChar w:fldCharType="begin"/>
      </w:r>
      <w:r>
        <w:instrText xml:space="preserve"> SEQ Table \* ARABIC </w:instrText>
      </w:r>
      <w:r>
        <w:fldChar w:fldCharType="separate"/>
      </w:r>
      <w:r w:rsidR="00C3173B">
        <w:rPr>
          <w:noProof/>
        </w:rPr>
        <w:t>3</w:t>
      </w:r>
      <w:r>
        <w:rPr>
          <w:noProof/>
        </w:rPr>
        <w:fldChar w:fldCharType="end"/>
      </w:r>
      <w:bookmarkEnd w:id="25"/>
      <w:r w:rsidR="00FC11A4">
        <w:rPr>
          <w:noProof/>
        </w:rPr>
        <w:t>:</w:t>
      </w:r>
      <w:r w:rsidR="00AB1165">
        <w:rPr>
          <w:noProof/>
        </w:rPr>
        <w:t xml:space="preserve"> </w:t>
      </w:r>
      <w:r w:rsidRPr="00CE28E3">
        <w:t>Key features of the included evidence</w:t>
      </w:r>
      <w:r w:rsidRPr="00330A0A">
        <w:rPr>
          <w:color w:val="538135" w:themeColor="accent6" w:themeShade="B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7"/>
        <w:gridCol w:w="330"/>
        <w:gridCol w:w="1205"/>
        <w:gridCol w:w="463"/>
        <w:gridCol w:w="1417"/>
        <w:gridCol w:w="1414"/>
        <w:gridCol w:w="1134"/>
        <w:gridCol w:w="1149"/>
        <w:gridCol w:w="927"/>
      </w:tblGrid>
      <w:tr w:rsidR="009A0930" w:rsidRPr="00CE28E3" w14:paraId="1A255D05" w14:textId="77777777" w:rsidTr="00BB198F">
        <w:trPr>
          <w:cantSplit/>
          <w:tblHeader/>
        </w:trPr>
        <w:tc>
          <w:tcPr>
            <w:tcW w:w="542" w:type="pct"/>
            <w:shd w:val="clear" w:color="auto" w:fill="auto"/>
            <w:vAlign w:val="center"/>
          </w:tcPr>
          <w:p w14:paraId="71C3E37A" w14:textId="77777777" w:rsidR="00125B3D" w:rsidRPr="00CE28E3" w:rsidRDefault="00125B3D" w:rsidP="00B821D3">
            <w:pPr>
              <w:pStyle w:val="In-tableHeading"/>
              <w:jc w:val="center"/>
            </w:pPr>
            <w:r w:rsidRPr="00CE28E3">
              <w:t>References</w:t>
            </w:r>
          </w:p>
        </w:tc>
        <w:tc>
          <w:tcPr>
            <w:tcW w:w="183" w:type="pct"/>
            <w:shd w:val="clear" w:color="auto" w:fill="auto"/>
            <w:vAlign w:val="center"/>
          </w:tcPr>
          <w:p w14:paraId="02FAA96C" w14:textId="77777777" w:rsidR="00125B3D" w:rsidRPr="00CE28E3" w:rsidRDefault="00125B3D" w:rsidP="00CF47E6">
            <w:pPr>
              <w:pStyle w:val="In-tableHeading"/>
              <w:jc w:val="center"/>
            </w:pPr>
            <w:r w:rsidRPr="00CE28E3">
              <w:t>N</w:t>
            </w:r>
          </w:p>
        </w:tc>
        <w:tc>
          <w:tcPr>
            <w:tcW w:w="668" w:type="pct"/>
            <w:shd w:val="clear" w:color="auto" w:fill="auto"/>
            <w:vAlign w:val="center"/>
          </w:tcPr>
          <w:p w14:paraId="4ED34600" w14:textId="77777777" w:rsidR="00B115F1" w:rsidRDefault="00125B3D" w:rsidP="00CF47E6">
            <w:pPr>
              <w:pStyle w:val="In-tableHeading"/>
              <w:jc w:val="center"/>
            </w:pPr>
            <w:r w:rsidRPr="00CE28E3">
              <w:t>Design/</w:t>
            </w:r>
          </w:p>
          <w:p w14:paraId="65424F80" w14:textId="70DC4F18" w:rsidR="00125B3D" w:rsidRPr="00CE28E3" w:rsidRDefault="00125B3D" w:rsidP="00CF47E6">
            <w:pPr>
              <w:pStyle w:val="In-tableHeading"/>
              <w:jc w:val="center"/>
            </w:pPr>
            <w:r w:rsidRPr="00CE28E3">
              <w:t>duration</w:t>
            </w:r>
          </w:p>
        </w:tc>
        <w:tc>
          <w:tcPr>
            <w:tcW w:w="257" w:type="pct"/>
            <w:shd w:val="clear" w:color="auto" w:fill="auto"/>
            <w:vAlign w:val="center"/>
          </w:tcPr>
          <w:p w14:paraId="3BF0D558" w14:textId="552BCF23" w:rsidR="00125B3D" w:rsidRPr="00CE28E3" w:rsidRDefault="00125B3D" w:rsidP="00CF47E6">
            <w:pPr>
              <w:pStyle w:val="In-tableHeading"/>
              <w:jc w:val="center"/>
            </w:pPr>
            <w:r w:rsidRPr="00CE28E3">
              <w:t>Risk of bias</w:t>
            </w:r>
            <w:r>
              <w:t>*</w:t>
            </w:r>
          </w:p>
        </w:tc>
        <w:tc>
          <w:tcPr>
            <w:tcW w:w="786" w:type="pct"/>
            <w:shd w:val="clear" w:color="auto" w:fill="auto"/>
            <w:vAlign w:val="center"/>
          </w:tcPr>
          <w:p w14:paraId="21355468" w14:textId="77777777" w:rsidR="00125B3D" w:rsidRPr="00CE28E3" w:rsidRDefault="00125B3D" w:rsidP="00CF47E6">
            <w:pPr>
              <w:pStyle w:val="In-tableHeading"/>
              <w:jc w:val="center"/>
            </w:pPr>
            <w:r w:rsidRPr="00CE28E3">
              <w:t>Patient population</w:t>
            </w:r>
          </w:p>
        </w:tc>
        <w:tc>
          <w:tcPr>
            <w:tcW w:w="784" w:type="pct"/>
            <w:shd w:val="clear" w:color="auto" w:fill="auto"/>
            <w:vAlign w:val="center"/>
          </w:tcPr>
          <w:p w14:paraId="15F3DF8B" w14:textId="77777777" w:rsidR="00125B3D" w:rsidRPr="00CE28E3" w:rsidRDefault="00125B3D" w:rsidP="00CF47E6">
            <w:pPr>
              <w:pStyle w:val="In-tableHeading"/>
              <w:jc w:val="center"/>
            </w:pPr>
            <w:r w:rsidRPr="00CE28E3">
              <w:t>Outcome(s)</w:t>
            </w:r>
          </w:p>
        </w:tc>
        <w:tc>
          <w:tcPr>
            <w:tcW w:w="629" w:type="pct"/>
            <w:vAlign w:val="center"/>
          </w:tcPr>
          <w:p w14:paraId="71EC766D" w14:textId="221B4015" w:rsidR="00125B3D" w:rsidRDefault="00125B3D" w:rsidP="00CF47E6">
            <w:pPr>
              <w:pStyle w:val="In-tableHeading"/>
              <w:jc w:val="center"/>
            </w:pPr>
            <w:r>
              <w:t>Intervention</w:t>
            </w:r>
          </w:p>
        </w:tc>
        <w:tc>
          <w:tcPr>
            <w:tcW w:w="637" w:type="pct"/>
            <w:vAlign w:val="center"/>
          </w:tcPr>
          <w:p w14:paraId="40D6DD8E" w14:textId="5259706B" w:rsidR="00125B3D" w:rsidRPr="00CE28E3" w:rsidRDefault="009A0930" w:rsidP="00CF47E6">
            <w:pPr>
              <w:pStyle w:val="In-tableHeading"/>
              <w:jc w:val="center"/>
            </w:pPr>
            <w:r>
              <w:t>C</w:t>
            </w:r>
            <w:r w:rsidR="00125B3D">
              <w:t>omparator</w:t>
            </w:r>
          </w:p>
        </w:tc>
        <w:tc>
          <w:tcPr>
            <w:tcW w:w="514" w:type="pct"/>
            <w:shd w:val="clear" w:color="auto" w:fill="auto"/>
            <w:vAlign w:val="center"/>
          </w:tcPr>
          <w:p w14:paraId="47D38F18" w14:textId="4C3A96D5" w:rsidR="00125B3D" w:rsidRPr="00CE28E3" w:rsidRDefault="00125B3D" w:rsidP="00CF47E6">
            <w:pPr>
              <w:pStyle w:val="In-tableHeading"/>
              <w:jc w:val="center"/>
            </w:pPr>
            <w:r w:rsidRPr="00CE28E3">
              <w:t xml:space="preserve">Use in </w:t>
            </w:r>
            <w:r w:rsidR="00B115F1">
              <w:t>economic</w:t>
            </w:r>
            <w:r w:rsidR="00B115F1" w:rsidRPr="00CE28E3">
              <w:t xml:space="preserve"> </w:t>
            </w:r>
            <w:r w:rsidRPr="00CE28E3">
              <w:t>evaluation</w:t>
            </w:r>
          </w:p>
        </w:tc>
      </w:tr>
      <w:tr w:rsidR="00125B3D" w:rsidRPr="00CE28E3" w14:paraId="6E81B59D" w14:textId="77777777" w:rsidTr="00BB198F">
        <w:trPr>
          <w:cantSplit/>
        </w:trPr>
        <w:tc>
          <w:tcPr>
            <w:tcW w:w="5000" w:type="pct"/>
            <w:gridSpan w:val="9"/>
          </w:tcPr>
          <w:p w14:paraId="266E3F5E" w14:textId="17882844" w:rsidR="00125B3D" w:rsidRPr="00CE28E3" w:rsidRDefault="00125B3D" w:rsidP="0078185D">
            <w:pPr>
              <w:pStyle w:val="In-tableHeading"/>
            </w:pPr>
            <w:r>
              <w:t>Population 1 (PTRCT)</w:t>
            </w:r>
          </w:p>
        </w:tc>
      </w:tr>
      <w:tr w:rsidR="009A0930" w:rsidRPr="00CE28E3" w14:paraId="19561BED" w14:textId="77777777" w:rsidTr="00C63DB8">
        <w:trPr>
          <w:cantSplit/>
        </w:trPr>
        <w:tc>
          <w:tcPr>
            <w:tcW w:w="542" w:type="pct"/>
            <w:shd w:val="clear" w:color="auto" w:fill="auto"/>
            <w:vAlign w:val="center"/>
          </w:tcPr>
          <w:p w14:paraId="01213848" w14:textId="77777777" w:rsidR="00125B3D" w:rsidRPr="00CE28E3" w:rsidRDefault="00125B3D" w:rsidP="00125B3D">
            <w:pPr>
              <w:pStyle w:val="TableText"/>
              <w:rPr>
                <w:lang w:val="en-US"/>
              </w:rPr>
            </w:pPr>
            <w:r>
              <w:rPr>
                <w:lang w:val="en-US"/>
              </w:rPr>
              <w:t>Wang et al. (2023)</w:t>
            </w:r>
          </w:p>
        </w:tc>
        <w:tc>
          <w:tcPr>
            <w:tcW w:w="183" w:type="pct"/>
            <w:shd w:val="clear" w:color="auto" w:fill="auto"/>
            <w:vAlign w:val="center"/>
          </w:tcPr>
          <w:p w14:paraId="7278D987" w14:textId="77777777" w:rsidR="00125B3D" w:rsidRPr="00CE28E3" w:rsidRDefault="00125B3D" w:rsidP="00125B3D">
            <w:pPr>
              <w:pStyle w:val="TableText"/>
              <w:jc w:val="center"/>
              <w:rPr>
                <w:lang w:val="en-US"/>
              </w:rPr>
            </w:pPr>
            <w:r>
              <w:rPr>
                <w:lang w:val="en-US"/>
              </w:rPr>
              <w:t>29</w:t>
            </w:r>
          </w:p>
        </w:tc>
        <w:tc>
          <w:tcPr>
            <w:tcW w:w="668" w:type="pct"/>
            <w:shd w:val="clear" w:color="auto" w:fill="auto"/>
            <w:vAlign w:val="center"/>
          </w:tcPr>
          <w:p w14:paraId="213DF2CD" w14:textId="77777777" w:rsidR="00125B3D" w:rsidRPr="00CE28E3" w:rsidRDefault="00125B3D" w:rsidP="00125B3D">
            <w:pPr>
              <w:pStyle w:val="TableText"/>
              <w:jc w:val="center"/>
              <w:rPr>
                <w:lang w:val="en-US"/>
              </w:rPr>
            </w:pPr>
            <w:r w:rsidRPr="0071679C">
              <w:rPr>
                <w:lang w:val="en-US"/>
              </w:rPr>
              <w:t xml:space="preserve">Australian, </w:t>
            </w:r>
            <w:r>
              <w:rPr>
                <w:lang w:val="en-US"/>
              </w:rPr>
              <w:t>p</w:t>
            </w:r>
            <w:r w:rsidRPr="0071679C">
              <w:rPr>
                <w:lang w:val="en-US"/>
              </w:rPr>
              <w:t xml:space="preserve">rospective, </w:t>
            </w:r>
            <w:r>
              <w:rPr>
                <w:lang w:val="en-US"/>
              </w:rPr>
              <w:t>MC</w:t>
            </w:r>
            <w:r w:rsidRPr="0071679C">
              <w:rPr>
                <w:lang w:val="en-US"/>
              </w:rPr>
              <w:t xml:space="preserve"> </w:t>
            </w:r>
            <w:r>
              <w:rPr>
                <w:lang w:val="en-US"/>
              </w:rPr>
              <w:t>RCT</w:t>
            </w:r>
            <w:r w:rsidRPr="0071679C">
              <w:rPr>
                <w:lang w:val="en-US"/>
              </w:rPr>
              <w:t xml:space="preserve"> of two-year duration.</w:t>
            </w:r>
          </w:p>
        </w:tc>
        <w:tc>
          <w:tcPr>
            <w:tcW w:w="257" w:type="pct"/>
            <w:shd w:val="clear" w:color="auto" w:fill="auto"/>
            <w:vAlign w:val="center"/>
          </w:tcPr>
          <w:p w14:paraId="609870EC" w14:textId="65787A8F" w:rsidR="00125B3D" w:rsidRPr="00CE28E3" w:rsidRDefault="00125B3D" w:rsidP="00B821D3">
            <w:pPr>
              <w:pStyle w:val="TableText"/>
              <w:jc w:val="center"/>
              <w:rPr>
                <w:lang w:val="en-US"/>
              </w:rPr>
            </w:pPr>
            <w:r>
              <w:rPr>
                <w:lang w:val="en-US"/>
              </w:rPr>
              <w:t>High</w:t>
            </w:r>
          </w:p>
        </w:tc>
        <w:tc>
          <w:tcPr>
            <w:tcW w:w="786" w:type="pct"/>
            <w:shd w:val="clear" w:color="auto" w:fill="auto"/>
            <w:vAlign w:val="center"/>
          </w:tcPr>
          <w:p w14:paraId="5330EE64" w14:textId="230CDBC3" w:rsidR="00125B3D" w:rsidRPr="00CE28E3" w:rsidRDefault="00125B3D" w:rsidP="00125B3D">
            <w:pPr>
              <w:pStyle w:val="TableText"/>
              <w:jc w:val="center"/>
              <w:rPr>
                <w:lang w:val="en-US"/>
              </w:rPr>
            </w:pPr>
            <w:r w:rsidRPr="0071679C">
              <w:rPr>
                <w:lang w:val="en-US"/>
              </w:rPr>
              <w:t xml:space="preserve">High-grade (≥50%) </w:t>
            </w:r>
            <w:r w:rsidR="00406D52">
              <w:rPr>
                <w:lang w:val="en-US"/>
              </w:rPr>
              <w:t>PTRCT</w:t>
            </w:r>
            <w:r w:rsidRPr="0071679C">
              <w:rPr>
                <w:lang w:val="en-US"/>
              </w:rPr>
              <w:t xml:space="preserve"> as noted on a 3-Tesla MRI scan</w:t>
            </w:r>
          </w:p>
        </w:tc>
        <w:tc>
          <w:tcPr>
            <w:tcW w:w="784" w:type="pct"/>
            <w:shd w:val="clear" w:color="auto" w:fill="auto"/>
            <w:vAlign w:val="center"/>
          </w:tcPr>
          <w:p w14:paraId="1736584F" w14:textId="3F57844F" w:rsidR="00125B3D" w:rsidRPr="00CE28E3" w:rsidRDefault="00125B3D" w:rsidP="00125B3D">
            <w:pPr>
              <w:pStyle w:val="TableText"/>
              <w:jc w:val="center"/>
              <w:rPr>
                <w:lang w:val="en-US"/>
              </w:rPr>
            </w:pPr>
            <w:r w:rsidRPr="0071679C">
              <w:rPr>
                <w:lang w:val="en-US"/>
              </w:rPr>
              <w:t>ASES score; SANE; CMS; VR-12; MRI; AEs GRC</w:t>
            </w:r>
          </w:p>
        </w:tc>
        <w:tc>
          <w:tcPr>
            <w:tcW w:w="629" w:type="pct"/>
            <w:vAlign w:val="center"/>
          </w:tcPr>
          <w:p w14:paraId="74A39144" w14:textId="2DAE4D91" w:rsidR="00125B3D" w:rsidRDefault="00125B3D" w:rsidP="00E234DB">
            <w:pPr>
              <w:pStyle w:val="TableText"/>
              <w:jc w:val="center"/>
              <w:rPr>
                <w:lang w:val="en-US"/>
              </w:rPr>
            </w:pPr>
            <w:r>
              <w:rPr>
                <w:lang w:val="en-US"/>
              </w:rPr>
              <w:t>I</w:t>
            </w:r>
            <w:r w:rsidRPr="00464428">
              <w:rPr>
                <w:lang w:val="en-US"/>
              </w:rPr>
              <w:t xml:space="preserve">solated REGENETEN </w:t>
            </w:r>
            <w:r>
              <w:rPr>
                <w:lang w:val="en-US"/>
              </w:rPr>
              <w:t>implant</w:t>
            </w:r>
          </w:p>
        </w:tc>
        <w:tc>
          <w:tcPr>
            <w:tcW w:w="637" w:type="pct"/>
            <w:vAlign w:val="center"/>
          </w:tcPr>
          <w:p w14:paraId="77989B7D" w14:textId="500C9CAB" w:rsidR="00125B3D" w:rsidRDefault="00125B3D" w:rsidP="00E234DB">
            <w:pPr>
              <w:pStyle w:val="TableText"/>
              <w:jc w:val="center"/>
              <w:rPr>
                <w:lang w:val="en-US"/>
              </w:rPr>
            </w:pPr>
            <w:r>
              <w:rPr>
                <w:lang w:val="en-US"/>
              </w:rPr>
              <w:t>R</w:t>
            </w:r>
            <w:r w:rsidRPr="00464428">
              <w:rPr>
                <w:lang w:val="en-US"/>
              </w:rPr>
              <w:t>epair using suture anchors</w:t>
            </w:r>
          </w:p>
        </w:tc>
        <w:tc>
          <w:tcPr>
            <w:tcW w:w="514" w:type="pct"/>
            <w:shd w:val="clear" w:color="auto" w:fill="auto"/>
            <w:vAlign w:val="center"/>
          </w:tcPr>
          <w:p w14:paraId="1AE68A58" w14:textId="7FE46236" w:rsidR="00125B3D" w:rsidRPr="00CE28E3" w:rsidRDefault="00125B3D" w:rsidP="00125B3D">
            <w:pPr>
              <w:pStyle w:val="TableText"/>
              <w:jc w:val="center"/>
              <w:rPr>
                <w:lang w:val="en-US"/>
              </w:rPr>
            </w:pPr>
            <w:r>
              <w:rPr>
                <w:lang w:val="en-US"/>
              </w:rPr>
              <w:t>No</w:t>
            </w:r>
          </w:p>
        </w:tc>
      </w:tr>
      <w:tr w:rsidR="009A0930" w:rsidRPr="00CE28E3" w14:paraId="313E8C6A" w14:textId="77777777" w:rsidTr="00BB198F">
        <w:trPr>
          <w:cantSplit/>
        </w:trPr>
        <w:tc>
          <w:tcPr>
            <w:tcW w:w="542" w:type="pct"/>
            <w:shd w:val="clear" w:color="auto" w:fill="auto"/>
            <w:vAlign w:val="center"/>
          </w:tcPr>
          <w:p w14:paraId="177A114A" w14:textId="77777777" w:rsidR="00125B3D" w:rsidRDefault="00125B3D" w:rsidP="00125B3D">
            <w:pPr>
              <w:pStyle w:val="TableText"/>
              <w:rPr>
                <w:lang w:val="en-US"/>
              </w:rPr>
            </w:pPr>
            <w:r>
              <w:rPr>
                <w:lang w:val="en-US"/>
              </w:rPr>
              <w:t>Camacho-Chacon et al. (2023)</w:t>
            </w:r>
          </w:p>
        </w:tc>
        <w:tc>
          <w:tcPr>
            <w:tcW w:w="183" w:type="pct"/>
            <w:shd w:val="clear" w:color="auto" w:fill="auto"/>
            <w:vAlign w:val="center"/>
          </w:tcPr>
          <w:p w14:paraId="40F61495" w14:textId="77777777" w:rsidR="00125B3D" w:rsidRPr="00CE28E3" w:rsidRDefault="00125B3D" w:rsidP="00125B3D">
            <w:pPr>
              <w:pStyle w:val="TableText"/>
              <w:jc w:val="center"/>
              <w:rPr>
                <w:lang w:val="en-US"/>
              </w:rPr>
            </w:pPr>
            <w:r>
              <w:rPr>
                <w:lang w:val="en-US"/>
              </w:rPr>
              <w:t>60</w:t>
            </w:r>
          </w:p>
        </w:tc>
        <w:tc>
          <w:tcPr>
            <w:tcW w:w="668" w:type="pct"/>
            <w:shd w:val="clear" w:color="auto" w:fill="auto"/>
            <w:vAlign w:val="center"/>
          </w:tcPr>
          <w:p w14:paraId="3B8063A8" w14:textId="2FD3EB94" w:rsidR="00125B3D" w:rsidRPr="0071679C" w:rsidRDefault="00125B3D" w:rsidP="00125B3D">
            <w:pPr>
              <w:pStyle w:val="TableText"/>
              <w:jc w:val="center"/>
              <w:rPr>
                <w:lang w:val="en-US"/>
              </w:rPr>
            </w:pPr>
            <w:r w:rsidRPr="0071679C">
              <w:rPr>
                <w:lang w:val="en-US"/>
              </w:rPr>
              <w:t xml:space="preserve">Prospective, </w:t>
            </w:r>
            <w:r>
              <w:rPr>
                <w:lang w:val="en-US"/>
              </w:rPr>
              <w:t>patient-</w:t>
            </w:r>
            <w:r w:rsidRPr="0071679C">
              <w:rPr>
                <w:lang w:val="en-US"/>
              </w:rPr>
              <w:t xml:space="preserve">blinded, single surgeon </w:t>
            </w:r>
            <w:r>
              <w:rPr>
                <w:lang w:val="en-US"/>
              </w:rPr>
              <w:t>RCT</w:t>
            </w:r>
            <w:r w:rsidRPr="0071679C">
              <w:rPr>
                <w:lang w:val="en-US"/>
              </w:rPr>
              <w:t xml:space="preserve"> of two-year duration.</w:t>
            </w:r>
          </w:p>
        </w:tc>
        <w:tc>
          <w:tcPr>
            <w:tcW w:w="257" w:type="pct"/>
            <w:shd w:val="clear" w:color="auto" w:fill="auto"/>
            <w:vAlign w:val="center"/>
          </w:tcPr>
          <w:p w14:paraId="477C0177" w14:textId="3EDDE197" w:rsidR="00125B3D" w:rsidRPr="0071679C" w:rsidRDefault="00125B3D" w:rsidP="00B821D3">
            <w:pPr>
              <w:pStyle w:val="TableText"/>
              <w:jc w:val="center"/>
              <w:rPr>
                <w:highlight w:val="yellow"/>
                <w:lang w:val="en-US"/>
              </w:rPr>
            </w:pPr>
            <w:r w:rsidRPr="00333B11">
              <w:rPr>
                <w:lang w:val="en-US"/>
              </w:rPr>
              <w:t>L</w:t>
            </w:r>
            <w:r>
              <w:rPr>
                <w:lang w:val="en-US"/>
              </w:rPr>
              <w:t>ow</w:t>
            </w:r>
          </w:p>
        </w:tc>
        <w:tc>
          <w:tcPr>
            <w:tcW w:w="786" w:type="pct"/>
            <w:shd w:val="clear" w:color="auto" w:fill="auto"/>
            <w:vAlign w:val="center"/>
          </w:tcPr>
          <w:p w14:paraId="7B511F79" w14:textId="4F62871B" w:rsidR="00125B3D" w:rsidRPr="0071679C" w:rsidRDefault="00125B3D" w:rsidP="00125B3D">
            <w:pPr>
              <w:pStyle w:val="TableText"/>
              <w:jc w:val="center"/>
              <w:rPr>
                <w:lang w:val="en-US"/>
              </w:rPr>
            </w:pPr>
            <w:r w:rsidRPr="0071679C">
              <w:rPr>
                <w:lang w:val="en-US"/>
              </w:rPr>
              <w:t xml:space="preserve">Patients presenting with a small to medium posterosuperior </w:t>
            </w:r>
            <w:r w:rsidR="00406D52">
              <w:rPr>
                <w:lang w:val="en-US"/>
              </w:rPr>
              <w:t>FTRCT</w:t>
            </w:r>
          </w:p>
        </w:tc>
        <w:tc>
          <w:tcPr>
            <w:tcW w:w="784" w:type="pct"/>
            <w:shd w:val="clear" w:color="auto" w:fill="auto"/>
            <w:vAlign w:val="center"/>
          </w:tcPr>
          <w:p w14:paraId="72315EB6" w14:textId="77777777" w:rsidR="00125B3D" w:rsidRPr="0071679C" w:rsidRDefault="00125B3D" w:rsidP="00125B3D">
            <w:pPr>
              <w:pStyle w:val="TableText"/>
              <w:jc w:val="center"/>
              <w:rPr>
                <w:lang w:val="en-US"/>
              </w:rPr>
            </w:pPr>
            <w:r w:rsidRPr="0071679C">
              <w:rPr>
                <w:lang w:val="en-US"/>
              </w:rPr>
              <w:t>ASES Score; VAS; CMS; Biopsy; MRI; Satisfaction; Work Status; AEs</w:t>
            </w:r>
          </w:p>
        </w:tc>
        <w:tc>
          <w:tcPr>
            <w:tcW w:w="629" w:type="pct"/>
          </w:tcPr>
          <w:p w14:paraId="67F10DB7" w14:textId="0F2DC0B3" w:rsidR="00125B3D" w:rsidRDefault="00125B3D" w:rsidP="00125B3D">
            <w:pPr>
              <w:pStyle w:val="TableText"/>
              <w:jc w:val="center"/>
              <w:rPr>
                <w:lang w:val="en-US"/>
              </w:rPr>
            </w:pPr>
            <w:r>
              <w:rPr>
                <w:lang w:val="en-US"/>
              </w:rPr>
              <w:t>I</w:t>
            </w:r>
            <w:r w:rsidRPr="00B64AA7">
              <w:rPr>
                <w:lang w:val="en-US"/>
              </w:rPr>
              <w:t xml:space="preserve">solated REGENETEN implant </w:t>
            </w:r>
          </w:p>
        </w:tc>
        <w:tc>
          <w:tcPr>
            <w:tcW w:w="637" w:type="pct"/>
          </w:tcPr>
          <w:p w14:paraId="5FB9D148" w14:textId="3EC88E12" w:rsidR="00125B3D" w:rsidRDefault="00125B3D" w:rsidP="00125B3D">
            <w:pPr>
              <w:pStyle w:val="TableText"/>
              <w:jc w:val="center"/>
              <w:rPr>
                <w:lang w:val="en-US"/>
              </w:rPr>
            </w:pPr>
            <w:r>
              <w:rPr>
                <w:lang w:val="en-US"/>
              </w:rPr>
              <w:t>Repair</w:t>
            </w:r>
            <w:r w:rsidRPr="0026014A">
              <w:rPr>
                <w:lang w:val="en-US"/>
              </w:rPr>
              <w:t xml:space="preserve"> using HEALICOIL REGENESORB anchors and suture </w:t>
            </w:r>
            <w:r>
              <w:rPr>
                <w:lang w:val="en-US"/>
              </w:rPr>
              <w:t>anchors</w:t>
            </w:r>
          </w:p>
        </w:tc>
        <w:tc>
          <w:tcPr>
            <w:tcW w:w="514" w:type="pct"/>
            <w:shd w:val="clear" w:color="auto" w:fill="auto"/>
            <w:vAlign w:val="center"/>
          </w:tcPr>
          <w:p w14:paraId="6B0B72C3" w14:textId="3491FD93" w:rsidR="00125B3D" w:rsidRDefault="00125B3D" w:rsidP="00125B3D">
            <w:pPr>
              <w:pStyle w:val="TableText"/>
              <w:jc w:val="center"/>
              <w:rPr>
                <w:lang w:val="en-US"/>
              </w:rPr>
            </w:pPr>
            <w:r>
              <w:rPr>
                <w:lang w:val="en-US"/>
              </w:rPr>
              <w:t>Yes</w:t>
            </w:r>
          </w:p>
        </w:tc>
      </w:tr>
      <w:tr w:rsidR="00125B3D" w:rsidRPr="00CE28E3" w14:paraId="0388A468" w14:textId="77777777" w:rsidTr="00BB198F">
        <w:trPr>
          <w:cantSplit/>
        </w:trPr>
        <w:tc>
          <w:tcPr>
            <w:tcW w:w="5000" w:type="pct"/>
            <w:gridSpan w:val="9"/>
          </w:tcPr>
          <w:p w14:paraId="479D95CD" w14:textId="25A81221" w:rsidR="00125B3D" w:rsidRPr="0071679C" w:rsidRDefault="00125B3D" w:rsidP="00125B3D">
            <w:pPr>
              <w:pStyle w:val="TableText"/>
              <w:rPr>
                <w:b/>
                <w:bCs/>
                <w:lang w:val="en-US"/>
              </w:rPr>
            </w:pPr>
            <w:r>
              <w:rPr>
                <w:b/>
                <w:bCs/>
                <w:lang w:val="en-US"/>
              </w:rPr>
              <w:t>Population 2 (FTRCT)</w:t>
            </w:r>
          </w:p>
        </w:tc>
      </w:tr>
      <w:tr w:rsidR="009A0930" w:rsidRPr="00CE28E3" w14:paraId="0331B1BC" w14:textId="77777777" w:rsidTr="00BB198F">
        <w:trPr>
          <w:cantSplit/>
        </w:trPr>
        <w:tc>
          <w:tcPr>
            <w:tcW w:w="542" w:type="pct"/>
            <w:shd w:val="clear" w:color="auto" w:fill="auto"/>
            <w:vAlign w:val="center"/>
          </w:tcPr>
          <w:p w14:paraId="2C17CF79" w14:textId="1F4FB8E2" w:rsidR="00125B3D" w:rsidRDefault="00125B3D" w:rsidP="00125B3D">
            <w:pPr>
              <w:pStyle w:val="TableText"/>
              <w:rPr>
                <w:lang w:val="en-US"/>
              </w:rPr>
            </w:pPr>
            <w:r>
              <w:rPr>
                <w:lang w:val="en-US"/>
              </w:rPr>
              <w:t xml:space="preserve">Ruiz </w:t>
            </w:r>
            <w:proofErr w:type="spellStart"/>
            <w:r w:rsidR="00262ECD">
              <w:rPr>
                <w:lang w:val="en-US"/>
              </w:rPr>
              <w:t>Ibán</w:t>
            </w:r>
            <w:proofErr w:type="spellEnd"/>
            <w:r>
              <w:rPr>
                <w:lang w:val="en-US"/>
              </w:rPr>
              <w:t xml:space="preserve"> et al. (2023)</w:t>
            </w:r>
          </w:p>
        </w:tc>
        <w:tc>
          <w:tcPr>
            <w:tcW w:w="183" w:type="pct"/>
            <w:shd w:val="clear" w:color="auto" w:fill="auto"/>
            <w:vAlign w:val="center"/>
          </w:tcPr>
          <w:p w14:paraId="287F1672" w14:textId="11E5F7C5" w:rsidR="00125B3D" w:rsidRPr="00CE28E3" w:rsidRDefault="00125B3D" w:rsidP="00125B3D">
            <w:pPr>
              <w:pStyle w:val="TableText"/>
              <w:jc w:val="center"/>
              <w:rPr>
                <w:lang w:val="en-US"/>
              </w:rPr>
            </w:pPr>
            <w:r>
              <w:rPr>
                <w:lang w:val="en-US"/>
              </w:rPr>
              <w:t>120</w:t>
            </w:r>
          </w:p>
        </w:tc>
        <w:tc>
          <w:tcPr>
            <w:tcW w:w="668" w:type="pct"/>
            <w:shd w:val="clear" w:color="auto" w:fill="auto"/>
            <w:vAlign w:val="center"/>
          </w:tcPr>
          <w:p w14:paraId="2E8CE3D0" w14:textId="2DD0621B" w:rsidR="00125B3D" w:rsidRPr="00CE28E3" w:rsidRDefault="00125B3D" w:rsidP="00125B3D">
            <w:pPr>
              <w:pStyle w:val="TableText"/>
              <w:jc w:val="center"/>
              <w:rPr>
                <w:lang w:val="en-US"/>
              </w:rPr>
            </w:pPr>
            <w:r w:rsidRPr="0071679C">
              <w:rPr>
                <w:lang w:val="en-US"/>
              </w:rPr>
              <w:t xml:space="preserve">Prospective, </w:t>
            </w:r>
            <w:r>
              <w:rPr>
                <w:lang w:val="en-US"/>
              </w:rPr>
              <w:t>MC</w:t>
            </w:r>
            <w:r w:rsidRPr="0071679C">
              <w:rPr>
                <w:lang w:val="en-US"/>
              </w:rPr>
              <w:t xml:space="preserve">, triple blinded </w:t>
            </w:r>
            <w:r w:rsidR="00B53A74">
              <w:rPr>
                <w:lang w:val="en-US"/>
              </w:rPr>
              <w:t>RCT</w:t>
            </w:r>
            <w:r w:rsidRPr="0071679C">
              <w:rPr>
                <w:lang w:val="en-US"/>
              </w:rPr>
              <w:t xml:space="preserve"> of one year’s duration.</w:t>
            </w:r>
          </w:p>
        </w:tc>
        <w:tc>
          <w:tcPr>
            <w:tcW w:w="257" w:type="pct"/>
            <w:shd w:val="clear" w:color="auto" w:fill="auto"/>
            <w:vAlign w:val="center"/>
          </w:tcPr>
          <w:p w14:paraId="6E0C7894" w14:textId="2E507C47" w:rsidR="00125B3D" w:rsidRPr="00CE28E3" w:rsidRDefault="00125B3D" w:rsidP="00B821D3">
            <w:pPr>
              <w:pStyle w:val="TableText"/>
              <w:jc w:val="center"/>
              <w:rPr>
                <w:lang w:val="en-US"/>
              </w:rPr>
            </w:pPr>
            <w:r>
              <w:rPr>
                <w:lang w:val="en-US"/>
              </w:rPr>
              <w:t>Low</w:t>
            </w:r>
          </w:p>
        </w:tc>
        <w:tc>
          <w:tcPr>
            <w:tcW w:w="786" w:type="pct"/>
            <w:shd w:val="clear" w:color="auto" w:fill="auto"/>
            <w:vAlign w:val="center"/>
          </w:tcPr>
          <w:p w14:paraId="6F7AB3AF" w14:textId="39BFB721" w:rsidR="00125B3D" w:rsidRPr="00CE28E3" w:rsidRDefault="00125B3D" w:rsidP="00125B3D">
            <w:pPr>
              <w:pStyle w:val="TableText"/>
              <w:jc w:val="center"/>
              <w:rPr>
                <w:lang w:val="en-US"/>
              </w:rPr>
            </w:pPr>
            <w:r w:rsidRPr="0071679C">
              <w:rPr>
                <w:lang w:val="en-US"/>
              </w:rPr>
              <w:t xml:space="preserve">Non-acute symptomatic (&gt;3 months) posterosuperior </w:t>
            </w:r>
            <w:r w:rsidR="00406D52">
              <w:rPr>
                <w:lang w:val="en-US"/>
              </w:rPr>
              <w:t>FTRCT</w:t>
            </w:r>
            <w:r w:rsidRPr="0071679C">
              <w:rPr>
                <w:lang w:val="en-US"/>
              </w:rPr>
              <w:t xml:space="preserve"> with anteroposterior size between 1 and 4 cm</w:t>
            </w:r>
          </w:p>
        </w:tc>
        <w:tc>
          <w:tcPr>
            <w:tcW w:w="784" w:type="pct"/>
            <w:shd w:val="clear" w:color="auto" w:fill="auto"/>
            <w:vAlign w:val="center"/>
          </w:tcPr>
          <w:p w14:paraId="514C2C65" w14:textId="6F5D4502" w:rsidR="00125B3D" w:rsidRPr="00CE28E3" w:rsidRDefault="00125B3D" w:rsidP="00125B3D">
            <w:pPr>
              <w:pStyle w:val="TableText"/>
              <w:jc w:val="center"/>
              <w:rPr>
                <w:lang w:val="en-US"/>
              </w:rPr>
            </w:pPr>
            <w:r w:rsidRPr="0071679C">
              <w:rPr>
                <w:lang w:val="en-US"/>
              </w:rPr>
              <w:t xml:space="preserve">CMS; ASES Score; EQ-5D-5L; Brief Pain Inventory; MRI – integrity of repaired tendon using the </w:t>
            </w:r>
            <w:r>
              <w:rPr>
                <w:lang w:val="en-US"/>
              </w:rPr>
              <w:t>S</w:t>
            </w:r>
            <w:r w:rsidRPr="0071679C">
              <w:rPr>
                <w:lang w:val="en-US"/>
              </w:rPr>
              <w:t>ugaya score; AEs</w:t>
            </w:r>
          </w:p>
        </w:tc>
        <w:tc>
          <w:tcPr>
            <w:tcW w:w="629" w:type="pct"/>
          </w:tcPr>
          <w:p w14:paraId="5655EB18" w14:textId="0AE150B9" w:rsidR="00125B3D" w:rsidRDefault="00125B3D" w:rsidP="00125B3D">
            <w:pPr>
              <w:pStyle w:val="TableText"/>
              <w:jc w:val="center"/>
              <w:rPr>
                <w:lang w:val="en-US"/>
              </w:rPr>
            </w:pPr>
            <w:r>
              <w:rPr>
                <w:lang w:val="en-US"/>
              </w:rPr>
              <w:t xml:space="preserve">Surgical procedure + </w:t>
            </w:r>
            <w:r w:rsidRPr="0026014A">
              <w:rPr>
                <w:lang w:val="en-US"/>
              </w:rPr>
              <w:t>augmentation with the REGENETEN Bioinductive Implant</w:t>
            </w:r>
          </w:p>
        </w:tc>
        <w:tc>
          <w:tcPr>
            <w:tcW w:w="637" w:type="pct"/>
          </w:tcPr>
          <w:p w14:paraId="10CC3F0E" w14:textId="77777777" w:rsidR="00125B3D" w:rsidRDefault="00125B3D" w:rsidP="00125B3D">
            <w:pPr>
              <w:pStyle w:val="TableText"/>
              <w:jc w:val="center"/>
              <w:rPr>
                <w:lang w:val="en-US"/>
              </w:rPr>
            </w:pPr>
            <w:r>
              <w:rPr>
                <w:lang w:val="en-US"/>
              </w:rPr>
              <w:t>Surgical procedure only.</w:t>
            </w:r>
          </w:p>
          <w:p w14:paraId="2D3351DF" w14:textId="069BA467" w:rsidR="00125B3D" w:rsidRDefault="00125B3D" w:rsidP="00125B3D">
            <w:pPr>
              <w:pStyle w:val="TableText"/>
              <w:jc w:val="center"/>
              <w:rPr>
                <w:lang w:val="en-US"/>
              </w:rPr>
            </w:pPr>
            <w:r>
              <w:rPr>
                <w:lang w:val="en-US"/>
              </w:rPr>
              <w:t>No augmentation with REGENETEN</w:t>
            </w:r>
          </w:p>
        </w:tc>
        <w:tc>
          <w:tcPr>
            <w:tcW w:w="514" w:type="pct"/>
            <w:shd w:val="clear" w:color="auto" w:fill="auto"/>
            <w:vAlign w:val="center"/>
          </w:tcPr>
          <w:p w14:paraId="72500737" w14:textId="29EE11F3" w:rsidR="00125B3D" w:rsidRPr="00CE28E3" w:rsidRDefault="00125B3D" w:rsidP="00125B3D">
            <w:pPr>
              <w:pStyle w:val="TableText"/>
              <w:jc w:val="center"/>
              <w:rPr>
                <w:lang w:val="en-US"/>
              </w:rPr>
            </w:pPr>
            <w:r>
              <w:rPr>
                <w:lang w:val="en-US"/>
              </w:rPr>
              <w:t>Yes</w:t>
            </w:r>
          </w:p>
        </w:tc>
      </w:tr>
    </w:tbl>
    <w:p w14:paraId="4BBEC445" w14:textId="50747E2F" w:rsidR="00156C71" w:rsidRPr="00861119" w:rsidRDefault="00156C71" w:rsidP="00861119">
      <w:pPr>
        <w:pStyle w:val="Tablenotes"/>
      </w:pPr>
      <w:r w:rsidRPr="00861119">
        <w:t>Source: Table 18, p</w:t>
      </w:r>
      <w:r w:rsidR="002D7FCB" w:rsidRPr="00861119">
        <w:t>g</w:t>
      </w:r>
      <w:r w:rsidRPr="00861119">
        <w:t>7</w:t>
      </w:r>
      <w:r w:rsidR="00854096" w:rsidRPr="00861119">
        <w:t>0</w:t>
      </w:r>
      <w:r w:rsidRPr="00861119">
        <w:t xml:space="preserve"> of the MSAC application 1593.1 ADAR + inline commentary and Ruiz </w:t>
      </w:r>
      <w:proofErr w:type="spellStart"/>
      <w:r w:rsidR="00262ECD">
        <w:t>Ibán</w:t>
      </w:r>
      <w:proofErr w:type="spellEnd"/>
      <w:r w:rsidRPr="00861119">
        <w:t xml:space="preserve"> </w:t>
      </w:r>
      <w:r w:rsidR="00F6199E" w:rsidRPr="00861119">
        <w:t>et al.,</w:t>
      </w:r>
      <w:r w:rsidRPr="00861119">
        <w:t xml:space="preserve"> 2023</w:t>
      </w:r>
    </w:p>
    <w:p w14:paraId="247C2A60" w14:textId="6FC48FF5" w:rsidR="0056415C" w:rsidRPr="00861119" w:rsidRDefault="00156C71" w:rsidP="00861119">
      <w:pPr>
        <w:pStyle w:val="Tablenotes"/>
      </w:pPr>
      <w:r w:rsidRPr="00861119">
        <w:t xml:space="preserve">Abbreviations: </w:t>
      </w:r>
      <w:r w:rsidR="0056415C" w:rsidRPr="00861119">
        <w:t xml:space="preserve">AEs = Adverse Events; ASES = American Shoulder and Elbow </w:t>
      </w:r>
      <w:r w:rsidR="00316E24" w:rsidRPr="00861119">
        <w:t>Society</w:t>
      </w:r>
      <w:r w:rsidR="0056415C" w:rsidRPr="00861119">
        <w:t xml:space="preserve">; CMS = Constant Murley Score; EQ-5D-5L = </w:t>
      </w:r>
      <w:proofErr w:type="spellStart"/>
      <w:r w:rsidR="0056415C" w:rsidRPr="00861119">
        <w:t>EuroQol</w:t>
      </w:r>
      <w:proofErr w:type="spellEnd"/>
      <w:r w:rsidR="0056415C" w:rsidRPr="00861119">
        <w:t xml:space="preserve">-five dimension scale- </w:t>
      </w:r>
      <w:r w:rsidR="00652588">
        <w:t>5</w:t>
      </w:r>
      <w:r w:rsidR="00652588" w:rsidRPr="00861119">
        <w:t xml:space="preserve"> </w:t>
      </w:r>
      <w:r w:rsidR="0056415C" w:rsidRPr="00861119">
        <w:t xml:space="preserve">level; </w:t>
      </w:r>
      <w:r w:rsidR="00406D52" w:rsidRPr="00861119">
        <w:t>FTRCT = Full</w:t>
      </w:r>
      <w:r w:rsidR="007A3183">
        <w:t>-</w:t>
      </w:r>
      <w:r w:rsidR="00406D52" w:rsidRPr="00861119">
        <w:t xml:space="preserve">thickness rotator cuff tear; </w:t>
      </w:r>
      <w:r w:rsidR="0056415C" w:rsidRPr="00861119">
        <w:t xml:space="preserve">GRC = Global Rating of Change Scale; MRI = Magnetic Resonance Imaging; MC = Multicentre; </w:t>
      </w:r>
      <w:bookmarkStart w:id="26" w:name="_Hlk165466592"/>
      <w:r w:rsidR="00406D52" w:rsidRPr="00861119">
        <w:t>PTRCT = Partial</w:t>
      </w:r>
      <w:r w:rsidR="007A3183">
        <w:t>-</w:t>
      </w:r>
      <w:r w:rsidR="00406D52" w:rsidRPr="00861119">
        <w:t xml:space="preserve">thickness rotator cuff tear; </w:t>
      </w:r>
      <w:bookmarkEnd w:id="26"/>
      <w:r w:rsidR="0056415C" w:rsidRPr="00861119">
        <w:t xml:space="preserve">RCT = Randomised controlled trial; SANE = Single Assessment Numeric Evaluation score, </w:t>
      </w:r>
      <w:r w:rsidR="00637B08" w:rsidRPr="00861119">
        <w:t xml:space="preserve">VAS = Visual Analogue Scale; </w:t>
      </w:r>
      <w:r w:rsidR="0056415C" w:rsidRPr="00861119">
        <w:t>VR-12 = Veterans Rand-12.</w:t>
      </w:r>
    </w:p>
    <w:p w14:paraId="6A3F3517" w14:textId="552B33A1" w:rsidR="00877B0C" w:rsidRDefault="002B289A" w:rsidP="00877B0C">
      <w:pPr>
        <w:pStyle w:val="Tablenotes"/>
        <w:spacing w:after="240"/>
        <w:contextualSpacing w:val="0"/>
      </w:pPr>
      <w:r w:rsidRPr="00861119">
        <w:t xml:space="preserve">Notes: * The risk of bias of the three RCTs was assessed </w:t>
      </w:r>
      <w:r w:rsidR="00C75DB1" w:rsidRPr="00861119">
        <w:t xml:space="preserve">by the assessment group </w:t>
      </w:r>
      <w:r w:rsidRPr="00861119">
        <w:t>using the Cochrane Risk of Bias tool v2.0</w:t>
      </w:r>
      <w:r w:rsidR="00C75DB1" w:rsidRPr="00861119">
        <w:t xml:space="preserve">. </w:t>
      </w:r>
      <w:r w:rsidR="00877B0C">
        <w:br w:type="page"/>
      </w:r>
    </w:p>
    <w:p w14:paraId="02BD466B" w14:textId="123D7603" w:rsidR="00B90EC5" w:rsidRDefault="00B90EC5" w:rsidP="003B4E46">
      <w:r>
        <w:lastRenderedPageBreak/>
        <w:t xml:space="preserve">Wang et al.,2023 and Ruiz </w:t>
      </w:r>
      <w:proofErr w:type="spellStart"/>
      <w:r w:rsidR="00262ECD">
        <w:t>Ibán</w:t>
      </w:r>
      <w:proofErr w:type="spellEnd"/>
      <w:r>
        <w:t xml:space="preserve"> et al.,2023 were sponsored by the applicant whereas Camacho-Chacon et al.,2023 was </w:t>
      </w:r>
      <w:r w:rsidR="00862C42">
        <w:t xml:space="preserve">an </w:t>
      </w:r>
      <w:r>
        <w:t xml:space="preserve">unpublished literature made available by the lead investigator upon </w:t>
      </w:r>
      <w:r w:rsidR="0072211D">
        <w:t>the</w:t>
      </w:r>
      <w:r w:rsidR="00862C42">
        <w:t xml:space="preserve"> </w:t>
      </w:r>
      <w:r w:rsidR="000C1884">
        <w:t>a</w:t>
      </w:r>
      <w:r w:rsidR="00112CB1">
        <w:t xml:space="preserve">pplicant’s </w:t>
      </w:r>
      <w:r>
        <w:t>request</w:t>
      </w:r>
      <w:r w:rsidR="00112CB1">
        <w:t xml:space="preserve">. </w:t>
      </w:r>
      <w:r>
        <w:rPr>
          <w:color w:val="000000" w:themeColor="text1"/>
        </w:rPr>
        <w:t xml:space="preserve">Wang et al., 2023 was conducted in Australia whereas both Camacho-Chacon et al., 2023 and Ruiz </w:t>
      </w:r>
      <w:proofErr w:type="spellStart"/>
      <w:r w:rsidR="00262ECD">
        <w:rPr>
          <w:color w:val="000000" w:themeColor="text1"/>
        </w:rPr>
        <w:t>Ibán</w:t>
      </w:r>
      <w:proofErr w:type="spellEnd"/>
      <w:r>
        <w:rPr>
          <w:color w:val="000000" w:themeColor="text1"/>
        </w:rPr>
        <w:t xml:space="preserve"> et al., </w:t>
      </w:r>
      <w:r>
        <w:t>2023 were conducted in Spain.</w:t>
      </w:r>
    </w:p>
    <w:p w14:paraId="329C5DDC" w14:textId="7F8AF607" w:rsidR="00406D52" w:rsidRDefault="00221DAF" w:rsidP="003B4E46">
      <w:r>
        <w:t xml:space="preserve">Participants in the Wang et al., 2023 trial had symptomatic high-grade PTRCT based on magnetic resonance imaging (MRI) scans. </w:t>
      </w:r>
      <w:r w:rsidR="00112CB1">
        <w:t>This</w:t>
      </w:r>
      <w:r>
        <w:t xml:space="preserve"> trial included a higher percentage of males (57%) in the REGENETEN group compared to the control group (40%). The mean age of study participants was slightly higher in the REGENETEN group compared to the control group (</w:t>
      </w:r>
      <w:r>
        <w:rPr>
          <w:rFonts w:cs="Verdana"/>
          <w:spacing w:val="-4"/>
        </w:rPr>
        <w:t xml:space="preserve">57.6 years vs 56.3 years). </w:t>
      </w:r>
      <w:r w:rsidR="00B90EC5" w:rsidRPr="000A512E">
        <w:t xml:space="preserve">Wang et al., 2023 only reported interim data with three months of follow up because only 29 patients were enrolled over the three-year </w:t>
      </w:r>
      <w:r w:rsidR="003A0F7E">
        <w:t>trial</w:t>
      </w:r>
      <w:r w:rsidR="00B90EC5" w:rsidRPr="000A512E">
        <w:t xml:space="preserve"> period. </w:t>
      </w:r>
      <w:r w:rsidR="00F255E7" w:rsidRPr="000A512E">
        <w:t xml:space="preserve">Therefore, the evidence provided based on the Wang et al, 2023 </w:t>
      </w:r>
      <w:r w:rsidR="003A0F7E">
        <w:t>trial</w:t>
      </w:r>
      <w:r w:rsidR="00F255E7" w:rsidRPr="000A512E">
        <w:t xml:space="preserve"> was </w:t>
      </w:r>
      <w:r w:rsidR="00BF3993" w:rsidRPr="000A512E">
        <w:t xml:space="preserve">deemed to be of low </w:t>
      </w:r>
      <w:r w:rsidR="00FF2C0E">
        <w:t xml:space="preserve">certainty </w:t>
      </w:r>
      <w:r w:rsidR="00BF3993" w:rsidRPr="000A512E">
        <w:t>due to the high risk of bias</w:t>
      </w:r>
      <w:r w:rsidR="002757F0" w:rsidRPr="000A512E">
        <w:t xml:space="preserve"> including patients were not blinded for treatment allocation</w:t>
      </w:r>
      <w:r w:rsidR="00BF3993" w:rsidRPr="000A512E">
        <w:t xml:space="preserve">, </w:t>
      </w:r>
      <w:r w:rsidR="00F255E7" w:rsidRPr="000A512E">
        <w:t>small sample size and short follow up duration.</w:t>
      </w:r>
      <w:r w:rsidR="00862C42">
        <w:t xml:space="preserve"> </w:t>
      </w:r>
      <w:r w:rsidR="00406D52">
        <w:t xml:space="preserve">Participants in Camacho-Chacon et al., 2023 trial had small-to-medium size </w:t>
      </w:r>
      <w:r w:rsidR="000676D1">
        <w:t>posterosuperior FTRCT</w:t>
      </w:r>
      <w:r w:rsidR="00406D52">
        <w:t xml:space="preserve"> confirmed by MRI. This </w:t>
      </w:r>
      <w:r w:rsidR="003A0F7E">
        <w:t>trial</w:t>
      </w:r>
      <w:r w:rsidR="00406D52">
        <w:t xml:space="preserve"> did not report any significant difference in demographic characteristics in terms of employment status, nicotine us</w:t>
      </w:r>
      <w:r w:rsidR="00BE64F6">
        <w:t>age</w:t>
      </w:r>
      <w:r w:rsidR="00406D52">
        <w:t xml:space="preserve"> and diabetes or baseline tear characteristics between groups. Of note, the evidence from</w:t>
      </w:r>
      <w:r w:rsidR="00406D52" w:rsidRPr="005A7CAC">
        <w:t xml:space="preserve"> Camacho-Chacon et al, 2023 </w:t>
      </w:r>
      <w:r w:rsidR="00406D52">
        <w:t xml:space="preserve">was </w:t>
      </w:r>
      <w:r w:rsidR="00406D52" w:rsidRPr="005A7CAC">
        <w:t xml:space="preserve">based on the </w:t>
      </w:r>
      <w:r w:rsidR="00CF47E6">
        <w:t xml:space="preserve">study clinical report </w:t>
      </w:r>
      <w:r w:rsidR="00112CB1">
        <w:t xml:space="preserve">(CSR) </w:t>
      </w:r>
      <w:r w:rsidR="00406D52" w:rsidRPr="005A7CAC">
        <w:t xml:space="preserve">and </w:t>
      </w:r>
      <w:r w:rsidR="00406D52">
        <w:t xml:space="preserve">no data were provided for </w:t>
      </w:r>
      <w:r w:rsidR="00862C42">
        <w:t xml:space="preserve">the differences in </w:t>
      </w:r>
      <w:r w:rsidR="00406D52">
        <w:t>c</w:t>
      </w:r>
      <w:r w:rsidR="00406D52" w:rsidRPr="005A7CAC">
        <w:t xml:space="preserve">ertain characteristics </w:t>
      </w:r>
      <w:r w:rsidR="00406D52">
        <w:t xml:space="preserve">such as age and gender </w:t>
      </w:r>
      <w:r w:rsidR="00406D52" w:rsidRPr="005A7CAC">
        <w:t>between the two arms</w:t>
      </w:r>
      <w:r w:rsidR="00406D52">
        <w:t xml:space="preserve"> that </w:t>
      </w:r>
      <w:r w:rsidR="00406D52" w:rsidRPr="005A7CAC">
        <w:t>m</w:t>
      </w:r>
      <w:r w:rsidR="00406D52">
        <w:t>ight</w:t>
      </w:r>
      <w:r w:rsidR="00406D52" w:rsidRPr="005A7CAC">
        <w:t xml:space="preserve"> influence response to treatment</w:t>
      </w:r>
      <w:r w:rsidR="00406D52">
        <w:t>.</w:t>
      </w:r>
      <w:r w:rsidR="00862C42">
        <w:t xml:space="preserve"> </w:t>
      </w:r>
    </w:p>
    <w:p w14:paraId="611D6791" w14:textId="2AAAB46B" w:rsidR="00AD6C75" w:rsidRDefault="006A06B2" w:rsidP="00652588">
      <w:pPr>
        <w:rPr>
          <w:color w:val="000000" w:themeColor="text1"/>
        </w:rPr>
      </w:pPr>
      <w:r w:rsidRPr="00402630">
        <w:t>Camacho-Chacon et al.,2023 was a single-surgeon, patient blinded</w:t>
      </w:r>
      <w:r w:rsidR="00300533" w:rsidRPr="00402630">
        <w:t xml:space="preserve"> RCT</w:t>
      </w:r>
      <w:r w:rsidRPr="00402630">
        <w:t xml:space="preserve"> designed to evaluate tendon integrity following surgical treatment for </w:t>
      </w:r>
      <w:r w:rsidR="00221DAF">
        <w:t>FTRCT</w:t>
      </w:r>
      <w:r w:rsidR="00300533" w:rsidRPr="00402630">
        <w:t>.</w:t>
      </w:r>
      <w:r w:rsidR="00652588">
        <w:rPr>
          <w:rStyle w:val="FootnoteReference"/>
          <w:color w:val="000000" w:themeColor="text1"/>
        </w:rPr>
        <w:t>8</w:t>
      </w:r>
      <w:r w:rsidRPr="00402630">
        <w:t xml:space="preserve"> </w:t>
      </w:r>
      <w:r w:rsidR="00221DAF">
        <w:t>However,</w:t>
      </w:r>
      <w:r w:rsidR="00300533" w:rsidRPr="00402630">
        <w:t xml:space="preserve"> the </w:t>
      </w:r>
      <w:r w:rsidR="003C699E" w:rsidRPr="00402630">
        <w:t xml:space="preserve">ADAR </w:t>
      </w:r>
      <w:r w:rsidR="00300533" w:rsidRPr="00402630">
        <w:t xml:space="preserve">used </w:t>
      </w:r>
      <w:r w:rsidR="00221DAF" w:rsidRPr="00406D52">
        <w:t xml:space="preserve">Camacho-Chacon et al.,2023 </w:t>
      </w:r>
      <w:r w:rsidR="00221DAF">
        <w:t xml:space="preserve">trial </w:t>
      </w:r>
      <w:r w:rsidR="00300533" w:rsidRPr="00402630">
        <w:t xml:space="preserve">to provide evidence related to the PTRCT. The ADAR </w:t>
      </w:r>
      <w:r w:rsidR="003C699E" w:rsidRPr="00402630">
        <w:t>claimed</w:t>
      </w:r>
      <w:r w:rsidR="00300533" w:rsidRPr="00402630">
        <w:t xml:space="preserve"> that </w:t>
      </w:r>
      <w:r w:rsidR="003C699E" w:rsidRPr="00402630">
        <w:t xml:space="preserve">this </w:t>
      </w:r>
      <w:r w:rsidR="002A3FF9">
        <w:t>trial</w:t>
      </w:r>
      <w:r w:rsidR="002A3FF9" w:rsidRPr="00402630">
        <w:t xml:space="preserve"> </w:t>
      </w:r>
      <w:r w:rsidR="003C699E" w:rsidRPr="00402630">
        <w:rPr>
          <w:rFonts w:eastAsia="Times New Roman" w:cstheme="minorHAnsi"/>
          <w:color w:val="000000"/>
          <w:szCs w:val="18"/>
        </w:rPr>
        <w:t>demonstrate</w:t>
      </w:r>
      <w:r w:rsidR="00852829">
        <w:rPr>
          <w:rFonts w:eastAsia="Times New Roman" w:cstheme="minorHAnsi"/>
          <w:color w:val="000000"/>
          <w:szCs w:val="18"/>
        </w:rPr>
        <w:t>d</w:t>
      </w:r>
      <w:r w:rsidR="003C699E" w:rsidRPr="00402630">
        <w:rPr>
          <w:rFonts w:eastAsia="Times New Roman" w:cstheme="minorHAnsi"/>
          <w:color w:val="000000"/>
          <w:szCs w:val="18"/>
        </w:rPr>
        <w:t xml:space="preserve"> the effectiveness of isolated </w:t>
      </w:r>
      <w:proofErr w:type="spellStart"/>
      <w:r w:rsidR="003C699E" w:rsidRPr="00402630">
        <w:rPr>
          <w:rFonts w:eastAsia="Times New Roman" w:cstheme="minorHAnsi"/>
          <w:color w:val="000000"/>
          <w:szCs w:val="18"/>
        </w:rPr>
        <w:t>bioinductive</w:t>
      </w:r>
      <w:proofErr w:type="spellEnd"/>
      <w:r w:rsidR="003C699E" w:rsidRPr="00402630">
        <w:rPr>
          <w:rFonts w:eastAsia="Times New Roman" w:cstheme="minorHAnsi"/>
          <w:color w:val="000000"/>
          <w:szCs w:val="18"/>
        </w:rPr>
        <w:t xml:space="preserve"> repair (IBR) intervention</w:t>
      </w:r>
      <w:r w:rsidR="00547C3C">
        <w:rPr>
          <w:rFonts w:eastAsia="Times New Roman" w:cstheme="minorHAnsi"/>
          <w:color w:val="000000"/>
          <w:szCs w:val="18"/>
        </w:rPr>
        <w:t>, which used</w:t>
      </w:r>
      <w:r w:rsidR="003C699E" w:rsidRPr="00402630">
        <w:rPr>
          <w:rFonts w:eastAsia="Times New Roman" w:cstheme="minorHAnsi"/>
          <w:color w:val="000000"/>
          <w:szCs w:val="18"/>
        </w:rPr>
        <w:t xml:space="preserve"> REGENETEN without underlying suture anchors</w:t>
      </w:r>
      <w:r w:rsidR="003E283B">
        <w:rPr>
          <w:rFonts w:eastAsia="Times New Roman" w:cstheme="minorHAnsi"/>
          <w:color w:val="000000"/>
          <w:szCs w:val="18"/>
        </w:rPr>
        <w:t xml:space="preserve"> and</w:t>
      </w:r>
      <w:r w:rsidR="00D54F47">
        <w:rPr>
          <w:rFonts w:eastAsia="Times New Roman" w:cstheme="minorHAnsi"/>
          <w:color w:val="000000"/>
          <w:szCs w:val="18"/>
        </w:rPr>
        <w:t xml:space="preserve"> </w:t>
      </w:r>
      <w:proofErr w:type="gramStart"/>
      <w:r w:rsidR="00D54F47">
        <w:rPr>
          <w:rFonts w:eastAsia="Times New Roman" w:cstheme="minorHAnsi"/>
          <w:color w:val="000000"/>
          <w:szCs w:val="18"/>
        </w:rPr>
        <w:t xml:space="preserve">similar </w:t>
      </w:r>
      <w:r w:rsidR="00B90EC5">
        <w:rPr>
          <w:rFonts w:eastAsia="Times New Roman" w:cstheme="minorHAnsi"/>
          <w:color w:val="000000"/>
          <w:szCs w:val="18"/>
        </w:rPr>
        <w:t>to</w:t>
      </w:r>
      <w:proofErr w:type="gramEnd"/>
      <w:r w:rsidR="00B90EC5">
        <w:rPr>
          <w:rFonts w:eastAsia="Times New Roman" w:cstheme="minorHAnsi"/>
          <w:color w:val="000000"/>
          <w:szCs w:val="18"/>
        </w:rPr>
        <w:t xml:space="preserve"> the </w:t>
      </w:r>
      <w:r w:rsidR="00D54F47">
        <w:rPr>
          <w:rFonts w:eastAsia="Times New Roman" w:cstheme="minorHAnsi"/>
          <w:color w:val="000000"/>
          <w:szCs w:val="18"/>
        </w:rPr>
        <w:t>procedure used to repair PTRCT</w:t>
      </w:r>
      <w:r w:rsidR="003C699E" w:rsidRPr="00402630">
        <w:rPr>
          <w:rFonts w:eastAsia="Times New Roman" w:cstheme="minorHAnsi"/>
          <w:color w:val="000000"/>
          <w:szCs w:val="18"/>
        </w:rPr>
        <w:t xml:space="preserve">. The ADAR justified using this </w:t>
      </w:r>
      <w:r w:rsidR="002A3FF9">
        <w:rPr>
          <w:rFonts w:eastAsia="Times New Roman" w:cstheme="minorHAnsi"/>
          <w:color w:val="000000"/>
          <w:szCs w:val="18"/>
        </w:rPr>
        <w:t>trial</w:t>
      </w:r>
      <w:r w:rsidR="003C699E" w:rsidRPr="00402630">
        <w:rPr>
          <w:rFonts w:eastAsia="Times New Roman" w:cstheme="minorHAnsi"/>
          <w:color w:val="000000"/>
          <w:szCs w:val="18"/>
        </w:rPr>
        <w:t xml:space="preserve"> </w:t>
      </w:r>
      <w:r w:rsidR="003E283B">
        <w:rPr>
          <w:rFonts w:eastAsia="Times New Roman" w:cstheme="minorHAnsi"/>
          <w:color w:val="000000"/>
          <w:szCs w:val="18"/>
        </w:rPr>
        <w:t>as</w:t>
      </w:r>
      <w:r w:rsidR="003C699E" w:rsidRPr="00402630">
        <w:rPr>
          <w:rFonts w:eastAsia="Times New Roman" w:cstheme="minorHAnsi"/>
          <w:color w:val="000000"/>
          <w:szCs w:val="18"/>
        </w:rPr>
        <w:t xml:space="preserve"> evidence related to </w:t>
      </w:r>
      <w:r w:rsidR="009C114D">
        <w:rPr>
          <w:rFonts w:eastAsia="Times New Roman" w:cstheme="minorHAnsi"/>
          <w:color w:val="000000"/>
          <w:szCs w:val="18"/>
        </w:rPr>
        <w:t>PTRCT</w:t>
      </w:r>
      <w:r w:rsidR="00402630" w:rsidRPr="00402630">
        <w:rPr>
          <w:rFonts w:eastAsia="Times New Roman" w:cstheme="minorHAnsi"/>
          <w:color w:val="000000"/>
          <w:szCs w:val="18"/>
        </w:rPr>
        <w:t xml:space="preserve"> by stating that in the extreme case of a small/medium full-thickness tears</w:t>
      </w:r>
      <w:r w:rsidR="00DD61FC">
        <w:rPr>
          <w:rFonts w:eastAsia="Times New Roman" w:cstheme="minorHAnsi"/>
          <w:color w:val="000000"/>
          <w:szCs w:val="18"/>
        </w:rPr>
        <w:t>,</w:t>
      </w:r>
      <w:r w:rsidR="00402630" w:rsidRPr="00402630">
        <w:rPr>
          <w:rFonts w:eastAsia="Times New Roman" w:cstheme="minorHAnsi"/>
          <w:color w:val="000000"/>
          <w:szCs w:val="18"/>
        </w:rPr>
        <w:t xml:space="preserve"> stability remains intact through the rotator cuff cable</w:t>
      </w:r>
      <w:r w:rsidR="00DD61FC">
        <w:rPr>
          <w:rFonts w:eastAsia="Times New Roman" w:cstheme="minorHAnsi"/>
          <w:color w:val="000000"/>
          <w:szCs w:val="18"/>
        </w:rPr>
        <w:t>. Thus,</w:t>
      </w:r>
      <w:r w:rsidR="00402630" w:rsidRPr="00402630">
        <w:rPr>
          <w:rFonts w:eastAsia="Times New Roman" w:cstheme="minorHAnsi"/>
          <w:color w:val="000000"/>
          <w:szCs w:val="18"/>
        </w:rPr>
        <w:t xml:space="preserve"> the </w:t>
      </w:r>
      <w:r w:rsidR="00DD61FC">
        <w:rPr>
          <w:rFonts w:eastAsia="Times New Roman" w:cstheme="minorHAnsi"/>
          <w:color w:val="000000"/>
          <w:szCs w:val="18"/>
        </w:rPr>
        <w:t xml:space="preserve">ADAR believed that the </w:t>
      </w:r>
      <w:r w:rsidR="00402630" w:rsidRPr="00402630">
        <w:rPr>
          <w:rFonts w:eastAsia="Times New Roman" w:cstheme="minorHAnsi"/>
          <w:color w:val="000000"/>
          <w:szCs w:val="18"/>
        </w:rPr>
        <w:t xml:space="preserve">results </w:t>
      </w:r>
      <w:r w:rsidR="00333944">
        <w:rPr>
          <w:rFonts w:eastAsia="Times New Roman" w:cstheme="minorHAnsi"/>
          <w:color w:val="000000"/>
          <w:szCs w:val="18"/>
        </w:rPr>
        <w:t>we</w:t>
      </w:r>
      <w:r w:rsidR="00402630" w:rsidRPr="00402630">
        <w:rPr>
          <w:rFonts w:eastAsia="Times New Roman" w:cstheme="minorHAnsi"/>
          <w:color w:val="000000"/>
          <w:szCs w:val="18"/>
        </w:rPr>
        <w:t xml:space="preserve">re easily generalisable to the less severe, high-grade </w:t>
      </w:r>
      <w:r w:rsidR="00D54F47">
        <w:rPr>
          <w:rFonts w:eastAsia="Times New Roman" w:cstheme="minorHAnsi"/>
          <w:color w:val="000000"/>
          <w:szCs w:val="18"/>
        </w:rPr>
        <w:t>PTRCT</w:t>
      </w:r>
      <w:r w:rsidR="00112CB1">
        <w:rPr>
          <w:rFonts w:eastAsia="Times New Roman" w:cstheme="minorHAnsi"/>
          <w:color w:val="000000"/>
          <w:szCs w:val="18"/>
        </w:rPr>
        <w:t>.</w:t>
      </w:r>
      <w:r w:rsidR="00402630" w:rsidRPr="00402630">
        <w:rPr>
          <w:rFonts w:eastAsia="Times New Roman" w:cstheme="minorHAnsi"/>
          <w:color w:val="000000"/>
          <w:szCs w:val="18"/>
        </w:rPr>
        <w:t xml:space="preserve">  </w:t>
      </w:r>
      <w:r w:rsidR="00DD61FC">
        <w:rPr>
          <w:rFonts w:eastAsia="Times New Roman" w:cstheme="minorHAnsi"/>
          <w:color w:val="000000"/>
          <w:szCs w:val="18"/>
        </w:rPr>
        <w:t xml:space="preserve">The </w:t>
      </w:r>
      <w:r w:rsidR="00F103E1">
        <w:rPr>
          <w:rFonts w:eastAsia="Times New Roman" w:cstheme="minorHAnsi"/>
          <w:color w:val="000000"/>
          <w:szCs w:val="18"/>
        </w:rPr>
        <w:t xml:space="preserve">commentary </w:t>
      </w:r>
      <w:r w:rsidR="00DD61FC">
        <w:rPr>
          <w:rFonts w:eastAsia="Times New Roman" w:cstheme="minorHAnsi"/>
          <w:color w:val="000000"/>
          <w:szCs w:val="18"/>
        </w:rPr>
        <w:t>noted that the i</w:t>
      </w:r>
      <w:r w:rsidR="00DD61FC" w:rsidRPr="00DD61FC">
        <w:rPr>
          <w:rFonts w:eastAsia="Times New Roman" w:cstheme="minorHAnsi"/>
          <w:color w:val="000000"/>
          <w:szCs w:val="18"/>
        </w:rPr>
        <w:t xml:space="preserve">solated </w:t>
      </w:r>
      <w:r w:rsidR="002757F0">
        <w:rPr>
          <w:rFonts w:eastAsia="Times New Roman" w:cstheme="minorHAnsi"/>
          <w:color w:val="000000"/>
          <w:szCs w:val="18"/>
        </w:rPr>
        <w:t>IBR</w:t>
      </w:r>
      <w:r w:rsidR="002757F0" w:rsidRPr="00DD61FC">
        <w:rPr>
          <w:rFonts w:eastAsia="Times New Roman" w:cstheme="minorHAnsi"/>
          <w:color w:val="000000"/>
          <w:szCs w:val="18"/>
        </w:rPr>
        <w:t xml:space="preserve"> </w:t>
      </w:r>
      <w:r w:rsidR="00DD61FC" w:rsidRPr="00DD61FC">
        <w:rPr>
          <w:rFonts w:eastAsia="Times New Roman" w:cstheme="minorHAnsi"/>
          <w:color w:val="000000"/>
          <w:szCs w:val="18"/>
        </w:rPr>
        <w:t xml:space="preserve">procedure used </w:t>
      </w:r>
      <w:r w:rsidR="00DD61FC">
        <w:rPr>
          <w:rFonts w:eastAsia="Times New Roman" w:cstheme="minorHAnsi"/>
          <w:color w:val="000000"/>
          <w:szCs w:val="18"/>
        </w:rPr>
        <w:t xml:space="preserve">in that </w:t>
      </w:r>
      <w:r w:rsidR="00A838ED">
        <w:rPr>
          <w:rFonts w:eastAsia="Times New Roman" w:cstheme="minorHAnsi"/>
          <w:color w:val="000000"/>
          <w:szCs w:val="18"/>
        </w:rPr>
        <w:t xml:space="preserve">trial </w:t>
      </w:r>
      <w:r w:rsidR="00534CC1">
        <w:rPr>
          <w:rFonts w:eastAsia="Times New Roman" w:cstheme="minorHAnsi"/>
          <w:color w:val="000000"/>
          <w:szCs w:val="18"/>
        </w:rPr>
        <w:t>wa</w:t>
      </w:r>
      <w:r w:rsidR="00DD61FC">
        <w:rPr>
          <w:rFonts w:eastAsia="Times New Roman" w:cstheme="minorHAnsi"/>
          <w:color w:val="000000"/>
          <w:szCs w:val="18"/>
        </w:rPr>
        <w:t>s</w:t>
      </w:r>
      <w:r w:rsidR="00D54F47">
        <w:rPr>
          <w:rFonts w:eastAsia="Times New Roman" w:cstheme="minorHAnsi"/>
          <w:color w:val="000000"/>
          <w:szCs w:val="18"/>
        </w:rPr>
        <w:t xml:space="preserve"> </w:t>
      </w:r>
      <w:r w:rsidR="00DD61FC">
        <w:rPr>
          <w:rFonts w:eastAsia="Times New Roman" w:cstheme="minorHAnsi"/>
          <w:color w:val="000000"/>
          <w:szCs w:val="18"/>
        </w:rPr>
        <w:t xml:space="preserve">a procedure commonly used </w:t>
      </w:r>
      <w:r w:rsidR="00DD61FC" w:rsidRPr="00DD61FC">
        <w:rPr>
          <w:rFonts w:eastAsia="Times New Roman" w:cstheme="minorHAnsi"/>
          <w:color w:val="000000"/>
          <w:szCs w:val="18"/>
        </w:rPr>
        <w:t>to repair PTRCT with no sutures/suture anchors or other mechanical/structural devices</w:t>
      </w:r>
      <w:r w:rsidR="00DD61FC">
        <w:rPr>
          <w:rFonts w:eastAsia="Times New Roman" w:cstheme="minorHAnsi"/>
          <w:color w:val="000000"/>
          <w:szCs w:val="18"/>
        </w:rPr>
        <w:t>, and hence t</w:t>
      </w:r>
      <w:r w:rsidR="00DD61FC" w:rsidRPr="00DD61FC">
        <w:rPr>
          <w:rFonts w:eastAsia="Times New Roman" w:cstheme="minorHAnsi"/>
          <w:color w:val="000000"/>
          <w:szCs w:val="18"/>
        </w:rPr>
        <w:t xml:space="preserve">he procedure outlined in the Camacho-Chacon et al.,2023 </w:t>
      </w:r>
      <w:r w:rsidR="00C40371">
        <w:rPr>
          <w:rFonts w:eastAsia="Times New Roman" w:cstheme="minorHAnsi"/>
          <w:color w:val="000000"/>
          <w:szCs w:val="18"/>
        </w:rPr>
        <w:t>trial wa</w:t>
      </w:r>
      <w:r w:rsidR="00DD61FC" w:rsidRPr="00DD61FC">
        <w:rPr>
          <w:rFonts w:eastAsia="Times New Roman" w:cstheme="minorHAnsi"/>
          <w:color w:val="000000"/>
          <w:szCs w:val="18"/>
        </w:rPr>
        <w:t xml:space="preserve">s in line with the </w:t>
      </w:r>
      <w:r w:rsidR="00DD61FC">
        <w:rPr>
          <w:rFonts w:eastAsia="Times New Roman" w:cstheme="minorHAnsi"/>
          <w:color w:val="000000"/>
          <w:szCs w:val="18"/>
        </w:rPr>
        <w:t>procedures reported</w:t>
      </w:r>
      <w:r w:rsidR="00DD61FC" w:rsidRPr="00DD61FC">
        <w:rPr>
          <w:rFonts w:eastAsia="Times New Roman" w:cstheme="minorHAnsi"/>
          <w:color w:val="000000"/>
          <w:szCs w:val="18"/>
        </w:rPr>
        <w:t xml:space="preserve"> in other PTRCT studies. </w:t>
      </w:r>
      <w:r w:rsidR="00D54F47">
        <w:rPr>
          <w:rFonts w:eastAsia="Times New Roman" w:cstheme="minorHAnsi"/>
          <w:color w:val="000000"/>
          <w:szCs w:val="18"/>
        </w:rPr>
        <w:t>However,</w:t>
      </w:r>
      <w:r w:rsidR="00B90EC5">
        <w:rPr>
          <w:rFonts w:eastAsia="Times New Roman" w:cstheme="minorHAnsi"/>
          <w:color w:val="000000"/>
          <w:szCs w:val="18"/>
        </w:rPr>
        <w:t xml:space="preserve"> the </w:t>
      </w:r>
      <w:r w:rsidR="00B90EC5">
        <w:rPr>
          <w:color w:val="000000" w:themeColor="text1"/>
        </w:rPr>
        <w:t xml:space="preserve">Camacho-Chacon et al., 2023 </w:t>
      </w:r>
      <w:r w:rsidR="00606B71">
        <w:rPr>
          <w:color w:val="000000" w:themeColor="text1"/>
        </w:rPr>
        <w:t xml:space="preserve">trial </w:t>
      </w:r>
      <w:r w:rsidR="00B90EC5">
        <w:rPr>
          <w:color w:val="000000" w:themeColor="text1"/>
        </w:rPr>
        <w:t xml:space="preserve">included patients with supraspinatus full-thickness tear and the lesions were either small (&lt;1cm) or medium (1-3cm) based on Cofield Classification, which </w:t>
      </w:r>
      <w:r w:rsidR="00213C1B">
        <w:rPr>
          <w:color w:val="000000" w:themeColor="text1"/>
        </w:rPr>
        <w:t>wa</w:t>
      </w:r>
      <w:r w:rsidR="00B90EC5">
        <w:rPr>
          <w:color w:val="000000" w:themeColor="text1"/>
        </w:rPr>
        <w:t xml:space="preserve">s used to classify FTRCT. </w:t>
      </w:r>
      <w:r w:rsidR="00B90EC5">
        <w:rPr>
          <w:rFonts w:cstheme="minorHAnsi"/>
        </w:rPr>
        <w:t xml:space="preserve">The Camacho-Chacon et al., 2023 </w:t>
      </w:r>
      <w:r w:rsidR="00213C1B">
        <w:rPr>
          <w:rFonts w:cstheme="minorHAnsi"/>
        </w:rPr>
        <w:t>trial wa</w:t>
      </w:r>
      <w:r w:rsidR="00B90EC5">
        <w:rPr>
          <w:rFonts w:cstheme="minorHAnsi"/>
        </w:rPr>
        <w:t xml:space="preserve">s a single surgeon </w:t>
      </w:r>
      <w:r w:rsidR="00DD2409">
        <w:rPr>
          <w:rFonts w:cstheme="minorHAnsi"/>
        </w:rPr>
        <w:t>trial</w:t>
      </w:r>
      <w:r w:rsidR="00B90EC5">
        <w:rPr>
          <w:rFonts w:cstheme="minorHAnsi"/>
        </w:rPr>
        <w:t xml:space="preserve">, and therefore, </w:t>
      </w:r>
      <w:r w:rsidR="00862C42">
        <w:rPr>
          <w:rFonts w:cstheme="minorHAnsi"/>
        </w:rPr>
        <w:t xml:space="preserve">the </w:t>
      </w:r>
      <w:r w:rsidR="00B90EC5">
        <w:rPr>
          <w:rFonts w:cstheme="minorHAnsi"/>
        </w:rPr>
        <w:t>use of PTRCT technique to repair FTRCT m</w:t>
      </w:r>
      <w:r w:rsidR="00DD2409">
        <w:rPr>
          <w:rFonts w:cstheme="minorHAnsi"/>
        </w:rPr>
        <w:t>ight</w:t>
      </w:r>
      <w:r w:rsidR="00B90EC5">
        <w:rPr>
          <w:rFonts w:cstheme="minorHAnsi"/>
        </w:rPr>
        <w:t xml:space="preserve"> not reflect actual practice in the clinical setting. </w:t>
      </w:r>
      <w:r w:rsidR="00B90EC5">
        <w:rPr>
          <w:color w:val="000000" w:themeColor="text1"/>
        </w:rPr>
        <w:t xml:space="preserve">Thus, the commentary considered the study population in the Camacho-Chacon et al., 2023 </w:t>
      </w:r>
      <w:r w:rsidR="00ED13DA">
        <w:rPr>
          <w:color w:val="000000" w:themeColor="text1"/>
        </w:rPr>
        <w:t>trial wa</w:t>
      </w:r>
      <w:r w:rsidR="00B90EC5">
        <w:rPr>
          <w:color w:val="000000" w:themeColor="text1"/>
        </w:rPr>
        <w:t xml:space="preserve">s in line with </w:t>
      </w:r>
      <w:r w:rsidR="00CF47E6">
        <w:rPr>
          <w:color w:val="000000" w:themeColor="text1"/>
        </w:rPr>
        <w:t>Population 2</w:t>
      </w:r>
      <w:r w:rsidR="00B90EC5">
        <w:rPr>
          <w:color w:val="000000" w:themeColor="text1"/>
        </w:rPr>
        <w:t xml:space="preserve"> </w:t>
      </w:r>
      <w:r w:rsidR="009C114D">
        <w:rPr>
          <w:color w:val="000000" w:themeColor="text1"/>
        </w:rPr>
        <w:t xml:space="preserve">(FTRCT) </w:t>
      </w:r>
      <w:r w:rsidR="00B90EC5">
        <w:rPr>
          <w:color w:val="000000" w:themeColor="text1"/>
        </w:rPr>
        <w:t xml:space="preserve">and it </w:t>
      </w:r>
      <w:r w:rsidR="007B05B2">
        <w:rPr>
          <w:color w:val="000000" w:themeColor="text1"/>
        </w:rPr>
        <w:t>wa</w:t>
      </w:r>
      <w:r w:rsidR="00B90EC5">
        <w:rPr>
          <w:color w:val="000000" w:themeColor="text1"/>
        </w:rPr>
        <w:t xml:space="preserve">s therefore </w:t>
      </w:r>
      <w:r w:rsidR="007B05B2">
        <w:rPr>
          <w:color w:val="000000" w:themeColor="text1"/>
        </w:rPr>
        <w:t>in</w:t>
      </w:r>
      <w:r w:rsidR="00B90EC5">
        <w:rPr>
          <w:color w:val="000000" w:themeColor="text1"/>
        </w:rPr>
        <w:t xml:space="preserve">appropriate </w:t>
      </w:r>
      <w:bookmarkStart w:id="27" w:name="_Hlk162862893"/>
      <w:r w:rsidR="00AD6C75">
        <w:rPr>
          <w:color w:val="000000" w:themeColor="text1"/>
        </w:rPr>
        <w:t xml:space="preserve">to </w:t>
      </w:r>
      <w:r w:rsidR="0064756D">
        <w:rPr>
          <w:color w:val="000000" w:themeColor="text1"/>
        </w:rPr>
        <w:t xml:space="preserve">be </w:t>
      </w:r>
      <w:r w:rsidR="00D65CAB">
        <w:rPr>
          <w:color w:val="000000" w:themeColor="text1"/>
        </w:rPr>
        <w:t>use</w:t>
      </w:r>
      <w:r w:rsidR="0064756D">
        <w:rPr>
          <w:color w:val="000000" w:themeColor="text1"/>
        </w:rPr>
        <w:t>d</w:t>
      </w:r>
      <w:r w:rsidR="00D65CAB">
        <w:rPr>
          <w:color w:val="000000" w:themeColor="text1"/>
        </w:rPr>
        <w:t xml:space="preserve"> </w:t>
      </w:r>
      <w:r w:rsidR="00862C42">
        <w:rPr>
          <w:color w:val="000000" w:themeColor="text1"/>
        </w:rPr>
        <w:t>for</w:t>
      </w:r>
      <w:r w:rsidR="00AD6C75">
        <w:rPr>
          <w:color w:val="000000" w:themeColor="text1"/>
        </w:rPr>
        <w:t xml:space="preserve"> </w:t>
      </w:r>
      <w:r w:rsidR="007523BA">
        <w:rPr>
          <w:color w:val="000000" w:themeColor="text1"/>
        </w:rPr>
        <w:t>Population 1</w:t>
      </w:r>
      <w:r w:rsidR="009C114D">
        <w:rPr>
          <w:color w:val="000000" w:themeColor="text1"/>
        </w:rPr>
        <w:t xml:space="preserve"> (PTRCT)</w:t>
      </w:r>
      <w:r w:rsidR="00AD6C75">
        <w:rPr>
          <w:color w:val="000000" w:themeColor="text1"/>
        </w:rPr>
        <w:t>.</w:t>
      </w:r>
      <w:bookmarkEnd w:id="27"/>
      <w:r w:rsidR="00D65CAB">
        <w:rPr>
          <w:color w:val="000000" w:themeColor="text1"/>
        </w:rPr>
        <w:t xml:space="preserve"> </w:t>
      </w:r>
    </w:p>
    <w:p w14:paraId="35FD9A28" w14:textId="1C9D7380" w:rsidR="00075438" w:rsidRDefault="00075438" w:rsidP="003B4E46">
      <w:bookmarkStart w:id="28" w:name="_Hlk163564914"/>
      <w:bookmarkStart w:id="29" w:name="_Toc69491423"/>
      <w:r>
        <w:rPr>
          <w:lang w:val="en-US"/>
        </w:rPr>
        <w:t xml:space="preserve">The Ruiz </w:t>
      </w:r>
      <w:proofErr w:type="spellStart"/>
      <w:r w:rsidR="00262ECD">
        <w:rPr>
          <w:lang w:val="en-US"/>
        </w:rPr>
        <w:t>Ibán</w:t>
      </w:r>
      <w:proofErr w:type="spellEnd"/>
      <w:r>
        <w:rPr>
          <w:lang w:val="en-US"/>
        </w:rPr>
        <w:t xml:space="preserve"> et al., 2023 </w:t>
      </w:r>
      <w:r w:rsidR="003A0F7E">
        <w:rPr>
          <w:lang w:val="en-US"/>
        </w:rPr>
        <w:t xml:space="preserve">trial </w:t>
      </w:r>
      <w:r>
        <w:rPr>
          <w:lang w:val="en-US"/>
        </w:rPr>
        <w:t xml:space="preserve">included patients with </w:t>
      </w:r>
      <w:r w:rsidR="0071254B">
        <w:t>FTRCT</w:t>
      </w:r>
      <w:r>
        <w:t xml:space="preserve"> with an intraoperative anterior</w:t>
      </w:r>
      <w:r>
        <w:rPr>
          <w:rFonts w:cs="AdvPS44A44B"/>
        </w:rPr>
        <w:t xml:space="preserve"> </w:t>
      </w:r>
      <w:r>
        <w:t xml:space="preserve">posterior size between 1 and 4 cm (medium to large). The commentary noted that this study population did not include patients with small (less than 1cm) and massive FTRCT lesions, which could affect its applicability to all patients under </w:t>
      </w:r>
      <w:r w:rsidR="00895086">
        <w:t>Population 2</w:t>
      </w:r>
      <w:r>
        <w:t xml:space="preserve">. Of note, there were no significant differences between groups at baseline in related to demographic characteristics and functional outcomes including </w:t>
      </w:r>
      <w:r w:rsidRPr="00075438">
        <w:t>patient reported outcomes</w:t>
      </w:r>
      <w:r w:rsidR="00CF47E6">
        <w:t xml:space="preserve"> (PROs)</w:t>
      </w:r>
      <w:r>
        <w:t>.</w:t>
      </w:r>
    </w:p>
    <w:p w14:paraId="545F8BD7" w14:textId="3CFAC362" w:rsidR="008C4B28" w:rsidRDefault="00075438" w:rsidP="003B4E46">
      <w:r>
        <w:t xml:space="preserve">Both the Camacho-Chacon et al., 2023 and Ruiz </w:t>
      </w:r>
      <w:proofErr w:type="spellStart"/>
      <w:r w:rsidR="00262ECD">
        <w:t>Ibán</w:t>
      </w:r>
      <w:proofErr w:type="spellEnd"/>
      <w:r>
        <w:t xml:space="preserve"> et al., 2023 studies were not conducted in the Australian setting</w:t>
      </w:r>
      <w:r w:rsidR="0071254B">
        <w:t>, which could affect their applicability to the Australian practice.</w:t>
      </w:r>
      <w:r>
        <w:t xml:space="preserve"> Evidence suggests more than 50% of those aged over 50 years have either symptomatic or asymptomatic </w:t>
      </w:r>
      <w:r>
        <w:lastRenderedPageBreak/>
        <w:t>tears in Australia.</w:t>
      </w:r>
      <w:r>
        <w:rPr>
          <w:rStyle w:val="FootnoteReference"/>
        </w:rPr>
        <w:footnoteReference w:id="14"/>
      </w:r>
      <w:r>
        <w:t xml:space="preserve"> Furthermore, 13% of all shoulder problems presented to </w:t>
      </w:r>
      <w:r w:rsidR="00CF47E6">
        <w:t>general practitioners (</w:t>
      </w:r>
      <w:r>
        <w:t>GPs</w:t>
      </w:r>
      <w:r w:rsidR="00CF47E6">
        <w:t>)</w:t>
      </w:r>
      <w:r>
        <w:t xml:space="preserve"> are work-related and occupations which involve the use of arms repetitively resulted in higher incidence of reported rotator cuff syndrome. The incidence of rotator cuff syndrome presented to GPs was approximately 13.3 per 1000 patients per year.</w:t>
      </w:r>
      <w:r>
        <w:rPr>
          <w:rStyle w:val="FootnoteReference"/>
        </w:rPr>
        <w:footnoteReference w:id="15"/>
      </w:r>
      <w:r>
        <w:t xml:space="preserve"> Poor prognosis is associated with increasing age, female sex, severe </w:t>
      </w:r>
      <w:r w:rsidR="00520072">
        <w:t xml:space="preserve">and </w:t>
      </w:r>
      <w:r>
        <w:t>recurrent symptoms at presentation</w:t>
      </w:r>
      <w:r w:rsidR="00520072">
        <w:t>.</w:t>
      </w:r>
      <w:r>
        <w:t xml:space="preserve"> As Camacho-Chacon et al., 2023 did not report age and sex distribution of the study sample, it </w:t>
      </w:r>
      <w:r w:rsidR="004B00D1">
        <w:t>was</w:t>
      </w:r>
      <w:r>
        <w:t xml:space="preserve"> not possible to comment on applicability of this </w:t>
      </w:r>
      <w:r w:rsidR="003A0F7E">
        <w:t>trial</w:t>
      </w:r>
      <w:r>
        <w:t xml:space="preserve"> to the Australian setting in terms of demographic characteristics. However, 63% of the participants in both groups of the Camacho-Chacon et al., 2023 </w:t>
      </w:r>
      <w:r w:rsidR="003A0F7E">
        <w:t>trial</w:t>
      </w:r>
      <w:r>
        <w:t xml:space="preserve"> reported type of employment as heavy work. The Ruiz </w:t>
      </w:r>
      <w:proofErr w:type="spellStart"/>
      <w:r w:rsidR="00262ECD">
        <w:t>Ibán</w:t>
      </w:r>
      <w:proofErr w:type="spellEnd"/>
      <w:r>
        <w:t xml:space="preserve"> et al., 2023 </w:t>
      </w:r>
      <w:r w:rsidR="003A0F7E">
        <w:t>trial</w:t>
      </w:r>
      <w:r>
        <w:t xml:space="preserve"> reported a mean age of 56.6 years in the REGENETEN group </w:t>
      </w:r>
      <w:r w:rsidR="0071254B">
        <w:t>and 58.7</w:t>
      </w:r>
      <w:r>
        <w:t xml:space="preserve"> years in the control group, which </w:t>
      </w:r>
      <w:r w:rsidR="004B00D1">
        <w:t>was</w:t>
      </w:r>
      <w:r>
        <w:t xml:space="preserve"> comparable to 50% of those aged over 50 years having either symptomatic or asymptomatic tears in Australia. Furthermore, 82% of the REGENETEN group and 73% of the control group were from the active labour force in the Ruiz </w:t>
      </w:r>
      <w:proofErr w:type="spellStart"/>
      <w:r w:rsidR="00262ECD">
        <w:t>Ibán</w:t>
      </w:r>
      <w:proofErr w:type="spellEnd"/>
      <w:r>
        <w:t xml:space="preserve"> et al., 2023 </w:t>
      </w:r>
      <w:r w:rsidR="003A0F7E">
        <w:t>trial</w:t>
      </w:r>
      <w:r>
        <w:t>.</w:t>
      </w:r>
    </w:p>
    <w:bookmarkEnd w:id="28"/>
    <w:p w14:paraId="3B9FC2AD" w14:textId="51AF1962" w:rsidR="00772829" w:rsidRPr="00CE28E3" w:rsidRDefault="005A42D2" w:rsidP="00CD76DA">
      <w:pPr>
        <w:pStyle w:val="Heading2"/>
        <w:numPr>
          <w:ilvl w:val="0"/>
          <w:numId w:val="0"/>
        </w:numPr>
        <w:jc w:val="both"/>
      </w:pPr>
      <w:r>
        <w:t>11</w:t>
      </w:r>
      <w:r w:rsidR="00C36633">
        <w:t>.</w:t>
      </w:r>
      <w:r w:rsidR="00C36633">
        <w:tab/>
      </w:r>
      <w:r w:rsidR="00772829" w:rsidRPr="00CE28E3">
        <w:t>Comparative safety</w:t>
      </w:r>
      <w:bookmarkEnd w:id="29"/>
    </w:p>
    <w:p w14:paraId="51F974B0" w14:textId="62414ECF" w:rsidR="00976E99" w:rsidRDefault="000676D1" w:rsidP="00CE5156">
      <w:bookmarkStart w:id="30" w:name="_Hlk161231000"/>
      <w:r>
        <w:t xml:space="preserve">The </w:t>
      </w:r>
      <w:r w:rsidR="002A55CE">
        <w:t>ADAR provided safety outcomes for both population</w:t>
      </w:r>
      <w:r w:rsidR="00C8649D">
        <w:t>s</w:t>
      </w:r>
      <w:r w:rsidR="002A55CE">
        <w:t xml:space="preserve"> based on two RCTs</w:t>
      </w:r>
      <w:r w:rsidR="001978F4" w:rsidRPr="001978F4">
        <w:t xml:space="preserve"> (Ruiz </w:t>
      </w:r>
      <w:proofErr w:type="spellStart"/>
      <w:r w:rsidR="00262ECD">
        <w:t>Ibán</w:t>
      </w:r>
      <w:proofErr w:type="spellEnd"/>
      <w:r w:rsidR="001978F4" w:rsidRPr="001978F4">
        <w:t xml:space="preserve"> </w:t>
      </w:r>
      <w:r w:rsidR="002757F0">
        <w:t>et al</w:t>
      </w:r>
      <w:r w:rsidR="00075438">
        <w:t>.</w:t>
      </w:r>
      <w:r w:rsidR="001978F4" w:rsidRPr="001978F4">
        <w:t xml:space="preserve">, 2023; </w:t>
      </w:r>
      <w:r w:rsidR="00C8649D">
        <w:t xml:space="preserve">and </w:t>
      </w:r>
      <w:r w:rsidR="00595AB0" w:rsidRPr="00595AB0">
        <w:t>Camacho-Chacon</w:t>
      </w:r>
      <w:r w:rsidR="002757F0">
        <w:t xml:space="preserve"> </w:t>
      </w:r>
      <w:r w:rsidR="00F6199E">
        <w:t>et al.,</w:t>
      </w:r>
      <w:r w:rsidR="00595AB0">
        <w:t xml:space="preserve"> </w:t>
      </w:r>
      <w:r w:rsidR="00595AB0" w:rsidRPr="00595AB0">
        <w:t>2023</w:t>
      </w:r>
      <w:r w:rsidR="001978F4" w:rsidRPr="001978F4">
        <w:t>)</w:t>
      </w:r>
      <w:r w:rsidR="001978F4">
        <w:t>.</w:t>
      </w:r>
      <w:r w:rsidR="002A55CE">
        <w:t xml:space="preserve"> The main safety outcomes presented were</w:t>
      </w:r>
      <w:r w:rsidR="00B53A74">
        <w:t xml:space="preserve"> </w:t>
      </w:r>
      <w:r w:rsidR="000C2E4B">
        <w:t>a</w:t>
      </w:r>
      <w:r w:rsidR="000C2E4B" w:rsidRPr="00B1275F">
        <w:t>dhesive capsulitis</w:t>
      </w:r>
      <w:r w:rsidR="000C2E4B">
        <w:t xml:space="preserve">, symptomatic re-tear/failure to heal, </w:t>
      </w:r>
      <w:r w:rsidR="0046679D">
        <w:t>i</w:t>
      </w:r>
      <w:r w:rsidR="000C2E4B">
        <w:t>nfection</w:t>
      </w:r>
      <w:r w:rsidR="000C2E4B" w:rsidRPr="000C2E4B">
        <w:t xml:space="preserve"> </w:t>
      </w:r>
      <w:r w:rsidR="000C2E4B">
        <w:t>(deep/superficial),</w:t>
      </w:r>
      <w:r w:rsidR="00112CB1">
        <w:t xml:space="preserve"> </w:t>
      </w:r>
      <w:r w:rsidR="000C2E4B">
        <w:t>death, superficial skin issues (burn),</w:t>
      </w:r>
      <w:r w:rsidR="000C2E4B" w:rsidRPr="000C2E4B">
        <w:t xml:space="preserve"> </w:t>
      </w:r>
      <w:r>
        <w:t>mass (</w:t>
      </w:r>
      <w:r w:rsidR="000C2E4B">
        <w:t>defined as a</w:t>
      </w:r>
      <w:r w:rsidR="000C2E4B" w:rsidRPr="004203F0">
        <w:t>n 8x2x4mm mass on one-year MRI</w:t>
      </w:r>
      <w:r w:rsidR="000C2E4B">
        <w:t>) and extrusion of anchor.</w:t>
      </w:r>
      <w:bookmarkEnd w:id="30"/>
      <w:r w:rsidR="0039506A">
        <w:t xml:space="preserve"> </w:t>
      </w:r>
    </w:p>
    <w:p w14:paraId="0E28ABAA" w14:textId="77777777" w:rsidR="00AF009B" w:rsidRDefault="00FB0C41" w:rsidP="00CE5156">
      <w:r>
        <w:t xml:space="preserve">The ADAR provided evidence of safety for </w:t>
      </w:r>
      <w:r w:rsidR="00895086">
        <w:t>Population 1</w:t>
      </w:r>
      <w:r>
        <w:t xml:space="preserve">: PTRCT based on Camacho-Chacon et al., 2023 </w:t>
      </w:r>
      <w:r w:rsidR="003A0F7E">
        <w:t>trial</w:t>
      </w:r>
      <w:r>
        <w:t xml:space="preserve">. The </w:t>
      </w:r>
      <w:r w:rsidR="000676D1">
        <w:t xml:space="preserve">commentary assessed the </w:t>
      </w:r>
      <w:r>
        <w:t xml:space="preserve">safety evidence for </w:t>
      </w:r>
      <w:r w:rsidR="00895086">
        <w:t>Population 1</w:t>
      </w:r>
      <w:r>
        <w:t xml:space="preserve"> </w:t>
      </w:r>
      <w:r w:rsidR="004B00D1">
        <w:t>was</w:t>
      </w:r>
      <w:r>
        <w:t xml:space="preserve"> uncertain as Camacho-Chacon </w:t>
      </w:r>
      <w:r w:rsidR="00CC663A">
        <w:t>et al.,</w:t>
      </w:r>
      <w:r>
        <w:t xml:space="preserve"> 2023 is not relevant for </w:t>
      </w:r>
      <w:r w:rsidR="00895086">
        <w:t>Population 1</w:t>
      </w:r>
      <w:r>
        <w:t xml:space="preserve">. Of note, the </w:t>
      </w:r>
      <w:r>
        <w:rPr>
          <w:rFonts w:cstheme="minorHAnsi"/>
        </w:rPr>
        <w:t xml:space="preserve">Wang </w:t>
      </w:r>
      <w:r w:rsidR="00F6199E">
        <w:rPr>
          <w:rFonts w:cstheme="minorHAnsi"/>
        </w:rPr>
        <w:t>et al.,</w:t>
      </w:r>
      <w:r>
        <w:rPr>
          <w:rFonts w:cstheme="minorHAnsi"/>
        </w:rPr>
        <w:t xml:space="preserve"> 2023 </w:t>
      </w:r>
      <w:r w:rsidR="003A0F7E">
        <w:rPr>
          <w:rFonts w:cstheme="minorHAnsi"/>
        </w:rPr>
        <w:t>trial</w:t>
      </w:r>
      <w:r>
        <w:rPr>
          <w:rFonts w:cstheme="minorHAnsi"/>
        </w:rPr>
        <w:t xml:space="preserve"> reported no complications in either group for hospital indicators such as death, readmission, return to surgery and outlier length of stay. However, </w:t>
      </w:r>
      <w:r>
        <w:t xml:space="preserve">the ADAR did not include the Wang et al., 2023 </w:t>
      </w:r>
      <w:r w:rsidR="003A0F7E">
        <w:t>trial</w:t>
      </w:r>
      <w:r>
        <w:t xml:space="preserve"> in the comparative safety evidence because it reported only interim results. The commentary considered this to be reasonable as the interim results were based on a smaller sample size and shorter follow up duration.</w:t>
      </w:r>
      <w:r w:rsidR="000676D1">
        <w:t xml:space="preserve"> </w:t>
      </w:r>
    </w:p>
    <w:p w14:paraId="06ACECD0" w14:textId="2CA1273C" w:rsidR="006F3C37" w:rsidRDefault="00B47DCA" w:rsidP="003B4E46">
      <w:pPr>
        <w:rPr>
          <w:rFonts w:cstheme="minorHAnsi"/>
        </w:rPr>
      </w:pPr>
      <w:r>
        <w:rPr>
          <w:rFonts w:cstheme="minorHAnsi"/>
        </w:rPr>
        <w:t xml:space="preserve">For </w:t>
      </w:r>
      <w:r w:rsidR="00895086">
        <w:rPr>
          <w:rFonts w:cstheme="minorHAnsi"/>
        </w:rPr>
        <w:t>Population 2</w:t>
      </w:r>
      <w:r w:rsidR="00C96FF4">
        <w:rPr>
          <w:rFonts w:cstheme="minorHAnsi"/>
        </w:rPr>
        <w:t xml:space="preserve">, the results from </w:t>
      </w:r>
      <w:r w:rsidR="006F3C37" w:rsidRPr="00255736">
        <w:rPr>
          <w:rFonts w:cstheme="minorHAnsi"/>
        </w:rPr>
        <w:t xml:space="preserve">Ruiz </w:t>
      </w:r>
      <w:proofErr w:type="spellStart"/>
      <w:r w:rsidR="00262ECD">
        <w:rPr>
          <w:rFonts w:cstheme="minorHAnsi"/>
        </w:rPr>
        <w:t>Ibán</w:t>
      </w:r>
      <w:proofErr w:type="spellEnd"/>
      <w:r w:rsidR="006F3C37" w:rsidRPr="00255736">
        <w:rPr>
          <w:rFonts w:cstheme="minorHAnsi"/>
        </w:rPr>
        <w:t xml:space="preserve"> et al</w:t>
      </w:r>
      <w:r w:rsidR="00F6199E">
        <w:rPr>
          <w:rFonts w:cstheme="minorHAnsi"/>
        </w:rPr>
        <w:t>.</w:t>
      </w:r>
      <w:r w:rsidR="006F3C37" w:rsidRPr="00255736">
        <w:rPr>
          <w:rFonts w:cstheme="minorHAnsi"/>
        </w:rPr>
        <w:t xml:space="preserve">, 2023 </w:t>
      </w:r>
      <w:r w:rsidR="00C96FF4">
        <w:rPr>
          <w:rFonts w:cstheme="minorHAnsi"/>
        </w:rPr>
        <w:t>indicated</w:t>
      </w:r>
      <w:r w:rsidR="006F3C37" w:rsidRPr="00255736">
        <w:rPr>
          <w:rFonts w:cstheme="minorHAnsi"/>
        </w:rPr>
        <w:t xml:space="preserve"> that </w:t>
      </w:r>
      <w:r w:rsidR="006F3C37">
        <w:rPr>
          <w:rFonts w:cstheme="minorHAnsi"/>
        </w:rPr>
        <w:t xml:space="preserve">there was no significant difference in </w:t>
      </w:r>
      <w:r w:rsidR="006F3C37" w:rsidRPr="00255736">
        <w:rPr>
          <w:rFonts w:cstheme="minorHAnsi"/>
        </w:rPr>
        <w:t xml:space="preserve">incidence of safety outcomes in </w:t>
      </w:r>
      <w:r w:rsidR="00C96FF4">
        <w:rPr>
          <w:rFonts w:cstheme="minorHAnsi"/>
        </w:rPr>
        <w:t xml:space="preserve">the </w:t>
      </w:r>
      <w:r w:rsidR="006F3C37" w:rsidRPr="00255736">
        <w:rPr>
          <w:rFonts w:cstheme="minorHAnsi"/>
        </w:rPr>
        <w:t>intervention and control group</w:t>
      </w:r>
      <w:r w:rsidR="006F3C37">
        <w:rPr>
          <w:rFonts w:cstheme="minorHAnsi"/>
        </w:rPr>
        <w:t xml:space="preserve">s. </w:t>
      </w:r>
      <w:r w:rsidR="006F3C37" w:rsidRPr="00255736">
        <w:t xml:space="preserve">The ADAR claimed that </w:t>
      </w:r>
      <w:r w:rsidR="006F3C37" w:rsidRPr="00255736">
        <w:rPr>
          <w:rFonts w:cstheme="minorHAnsi"/>
        </w:rPr>
        <w:t xml:space="preserve">REGENETEN </w:t>
      </w:r>
      <w:r w:rsidR="0046679D">
        <w:rPr>
          <w:rFonts w:cstheme="minorHAnsi"/>
        </w:rPr>
        <w:t>was</w:t>
      </w:r>
      <w:r w:rsidR="006F3C37" w:rsidRPr="00255736">
        <w:rPr>
          <w:rFonts w:cstheme="minorHAnsi"/>
        </w:rPr>
        <w:t xml:space="preserve"> deemed to be no less safe than standard of care rotator cuff repair</w:t>
      </w:r>
      <w:r w:rsidR="006F3C37">
        <w:rPr>
          <w:rFonts w:cstheme="minorHAnsi"/>
        </w:rPr>
        <w:t xml:space="preserve"> based on the </w:t>
      </w:r>
      <w:r w:rsidR="006F3C37" w:rsidRPr="00255736">
        <w:t xml:space="preserve">Ruiz </w:t>
      </w:r>
      <w:proofErr w:type="spellStart"/>
      <w:r w:rsidR="00262ECD">
        <w:t>Ibán</w:t>
      </w:r>
      <w:proofErr w:type="spellEnd"/>
      <w:r w:rsidR="006F3C37" w:rsidRPr="00255736">
        <w:t xml:space="preserve"> </w:t>
      </w:r>
      <w:r w:rsidR="00F6199E">
        <w:t>et al.,</w:t>
      </w:r>
      <w:r w:rsidR="006F3C37" w:rsidRPr="00255736">
        <w:t xml:space="preserve"> 2023</w:t>
      </w:r>
      <w:r w:rsidR="006F3C37">
        <w:t xml:space="preserve"> </w:t>
      </w:r>
      <w:r w:rsidR="003A0F7E">
        <w:t>trial</w:t>
      </w:r>
      <w:r w:rsidR="006F3C37">
        <w:t xml:space="preserve"> in </w:t>
      </w:r>
      <w:r w:rsidR="00895086">
        <w:t>Population 2</w:t>
      </w:r>
      <w:r w:rsidR="006F3C37" w:rsidRPr="00255736">
        <w:rPr>
          <w:rFonts w:cstheme="minorHAnsi"/>
        </w:rPr>
        <w:t xml:space="preserve">. </w:t>
      </w:r>
      <w:r w:rsidR="00C96FF4">
        <w:rPr>
          <w:rFonts w:cstheme="minorHAnsi"/>
        </w:rPr>
        <w:t>The</w:t>
      </w:r>
      <w:r w:rsidR="006F3C37">
        <w:rPr>
          <w:rFonts w:cstheme="minorHAnsi"/>
        </w:rPr>
        <w:t xml:space="preserve"> commentary considered this </w:t>
      </w:r>
      <w:r w:rsidR="00330E1F">
        <w:rPr>
          <w:rFonts w:cstheme="minorHAnsi"/>
        </w:rPr>
        <w:t xml:space="preserve">was </w:t>
      </w:r>
      <w:r w:rsidR="006F3C37">
        <w:rPr>
          <w:rFonts w:cstheme="minorHAnsi"/>
        </w:rPr>
        <w:t>reasonabl</w:t>
      </w:r>
      <w:r w:rsidR="00B2433F">
        <w:rPr>
          <w:rFonts w:cstheme="minorHAnsi"/>
        </w:rPr>
        <w:t xml:space="preserve">e. Of note, the previous </w:t>
      </w:r>
      <w:r w:rsidR="00DE0A5A">
        <w:rPr>
          <w:rFonts w:cstheme="minorHAnsi"/>
        </w:rPr>
        <w:t>application</w:t>
      </w:r>
      <w:r w:rsidR="00B2433F">
        <w:rPr>
          <w:rFonts w:cstheme="minorHAnsi"/>
        </w:rPr>
        <w:t xml:space="preserve"> (MSAC application 1593) also claimed non-inferior safety based on i</w:t>
      </w:r>
      <w:r w:rsidR="00330E1F">
        <w:rPr>
          <w:rFonts w:cstheme="minorHAnsi"/>
        </w:rPr>
        <w:t>ndirect comparison</w:t>
      </w:r>
      <w:r w:rsidR="00B2433F">
        <w:rPr>
          <w:rFonts w:cstheme="minorHAnsi"/>
        </w:rPr>
        <w:t>s.</w:t>
      </w:r>
      <w:r w:rsidR="00330E1F">
        <w:rPr>
          <w:rFonts w:cstheme="minorHAnsi"/>
        </w:rPr>
        <w:t xml:space="preserve"> </w:t>
      </w:r>
    </w:p>
    <w:p w14:paraId="114DB874" w14:textId="4BDB49B3" w:rsidR="00AC079F" w:rsidRDefault="00075438" w:rsidP="003B4E46">
      <w:r>
        <w:t xml:space="preserve">In addition to the evidence present in the RCTs, the ADAR provided combined incidence of adverse events for REGENETEN group only for </w:t>
      </w:r>
      <w:r w:rsidR="00895086">
        <w:t>Population 1</w:t>
      </w:r>
      <w:r>
        <w:t xml:space="preserve"> and </w:t>
      </w:r>
      <w:r w:rsidR="00895086">
        <w:t>Population 2</w:t>
      </w:r>
      <w:r>
        <w:t xml:space="preserve"> based on the Ruiz </w:t>
      </w:r>
      <w:proofErr w:type="spellStart"/>
      <w:r w:rsidR="00262ECD">
        <w:t>Ibán</w:t>
      </w:r>
      <w:proofErr w:type="spellEnd"/>
      <w:r>
        <w:t xml:space="preserve"> </w:t>
      </w:r>
      <w:r w:rsidR="00F6199E">
        <w:t>et al.,</w:t>
      </w:r>
      <w:r>
        <w:t>2023 RCT and BCI single arm clinical trials</w:t>
      </w:r>
      <w:r w:rsidR="00FB0C41">
        <w:t xml:space="preserve">. </w:t>
      </w:r>
      <w:r>
        <w:t>The approach used to combine the incidence in single arm trials and RCT was not clear from the ADAR. Furthermore,</w:t>
      </w:r>
      <w:r w:rsidRPr="00075438">
        <w:t xml:space="preserve"> </w:t>
      </w:r>
      <w:r>
        <w:t>single arm studies did not provide comparative evidence for the safety outcomes in REGENETEN and control groups.</w:t>
      </w:r>
      <w:r w:rsidRPr="00075438">
        <w:rPr>
          <w:color w:val="000000" w:themeColor="text1"/>
        </w:rPr>
        <w:t xml:space="preserve"> </w:t>
      </w:r>
      <w:r w:rsidR="00C96FF4">
        <w:t xml:space="preserve">Importantly, </w:t>
      </w:r>
      <w:r w:rsidR="00310B54">
        <w:t xml:space="preserve">as in the </w:t>
      </w:r>
      <w:r w:rsidR="00310B54" w:rsidRPr="00310B54">
        <w:t xml:space="preserve">previous </w:t>
      </w:r>
      <w:r w:rsidR="00DE0A5A">
        <w:t>application</w:t>
      </w:r>
      <w:r w:rsidR="00310B54" w:rsidRPr="00310B54">
        <w:t xml:space="preserve"> (MSAC application 1593)</w:t>
      </w:r>
      <w:r w:rsidR="00310B54">
        <w:t>,</w:t>
      </w:r>
      <w:r w:rsidR="00310B54" w:rsidRPr="00310B54">
        <w:t xml:space="preserve"> </w:t>
      </w:r>
      <w:r w:rsidR="00C96FF4">
        <w:t xml:space="preserve">the </w:t>
      </w:r>
      <w:r w:rsidR="00AC079F" w:rsidRPr="005972E0">
        <w:t xml:space="preserve">safety outcomes </w:t>
      </w:r>
      <w:r w:rsidR="002D7DC2">
        <w:t xml:space="preserve">reported in the </w:t>
      </w:r>
      <w:r w:rsidR="00310B54">
        <w:t>re</w:t>
      </w:r>
      <w:r w:rsidR="00DE0A5A">
        <w:t>application</w:t>
      </w:r>
      <w:r w:rsidR="00310B54">
        <w:t xml:space="preserve"> </w:t>
      </w:r>
      <w:r w:rsidR="00BC2E3C">
        <w:t xml:space="preserve">ADAR </w:t>
      </w:r>
      <w:r w:rsidR="002D7DC2">
        <w:t xml:space="preserve">were </w:t>
      </w:r>
      <w:r w:rsidR="00310B54">
        <w:t xml:space="preserve">also </w:t>
      </w:r>
      <w:r w:rsidR="002D7DC2">
        <w:t xml:space="preserve">based on studies with </w:t>
      </w:r>
      <w:r w:rsidR="00C96FF4">
        <w:t xml:space="preserve">a relatively </w:t>
      </w:r>
      <w:r w:rsidR="00AC079F" w:rsidRPr="005972E0">
        <w:t>short duration</w:t>
      </w:r>
      <w:r w:rsidR="002D7DC2">
        <w:t xml:space="preserve"> of follow up</w:t>
      </w:r>
      <w:r w:rsidR="00C96FF4">
        <w:t xml:space="preserve"> (less than two years)</w:t>
      </w:r>
      <w:r w:rsidR="00AC079F" w:rsidRPr="005972E0">
        <w:t>.</w:t>
      </w:r>
      <w:r w:rsidR="00310B54">
        <w:t xml:space="preserve"> </w:t>
      </w:r>
      <w:r w:rsidR="00AC079F" w:rsidRPr="005972E0">
        <w:t xml:space="preserve">Therefore, </w:t>
      </w:r>
      <w:r w:rsidR="00764671">
        <w:t xml:space="preserve">the commentary </w:t>
      </w:r>
      <w:r w:rsidR="00310B54">
        <w:t xml:space="preserve">considered </w:t>
      </w:r>
      <w:r w:rsidR="00764671">
        <w:t xml:space="preserve">the </w:t>
      </w:r>
      <w:r w:rsidR="00A20958" w:rsidRPr="005972E0">
        <w:t>long-term</w:t>
      </w:r>
      <w:r w:rsidR="00AC079F" w:rsidRPr="005972E0">
        <w:t xml:space="preserve"> safety</w:t>
      </w:r>
      <w:r w:rsidR="00764671">
        <w:t xml:space="preserve"> of REGEN</w:t>
      </w:r>
      <w:r w:rsidR="00FB0C41">
        <w:t>E</w:t>
      </w:r>
      <w:r w:rsidR="00764671">
        <w:t>TEN</w:t>
      </w:r>
      <w:r w:rsidR="00AC079F" w:rsidRPr="005972E0">
        <w:t xml:space="preserve"> </w:t>
      </w:r>
      <w:r w:rsidR="002D7DC2">
        <w:t xml:space="preserve">in both </w:t>
      </w:r>
      <w:r w:rsidR="0071254B">
        <w:t>p</w:t>
      </w:r>
      <w:r w:rsidR="00895086">
        <w:t>opulation</w:t>
      </w:r>
      <w:r w:rsidR="0071254B">
        <w:t>s</w:t>
      </w:r>
      <w:r w:rsidR="00895086">
        <w:t xml:space="preserve"> 1</w:t>
      </w:r>
      <w:r w:rsidR="002D7DC2">
        <w:t xml:space="preserve"> and 2 </w:t>
      </w:r>
      <w:r w:rsidR="00BE6DBB">
        <w:t xml:space="preserve">was </w:t>
      </w:r>
      <w:r w:rsidR="00AC079F" w:rsidRPr="005972E0">
        <w:t>uncertain.</w:t>
      </w:r>
    </w:p>
    <w:p w14:paraId="3717AA01" w14:textId="711BD174" w:rsidR="00772829" w:rsidRDefault="005A42D2" w:rsidP="002A18BE">
      <w:pPr>
        <w:pStyle w:val="Heading2"/>
        <w:numPr>
          <w:ilvl w:val="0"/>
          <w:numId w:val="0"/>
        </w:numPr>
      </w:pPr>
      <w:bookmarkStart w:id="31" w:name="_Toc69491424"/>
      <w:r>
        <w:lastRenderedPageBreak/>
        <w:t>12</w:t>
      </w:r>
      <w:r w:rsidR="00C36633">
        <w:t>.</w:t>
      </w:r>
      <w:r w:rsidR="00C36633">
        <w:tab/>
      </w:r>
      <w:r w:rsidR="00772829" w:rsidRPr="00CE28E3">
        <w:t>Comparative effectiveness</w:t>
      </w:r>
      <w:bookmarkEnd w:id="31"/>
    </w:p>
    <w:p w14:paraId="21D8192A" w14:textId="712DCB96" w:rsidR="009C4955" w:rsidRPr="009C4955" w:rsidRDefault="009C4955" w:rsidP="003B4E46">
      <w:r w:rsidRPr="009C4955">
        <w:t xml:space="preserve">The </w:t>
      </w:r>
      <w:r w:rsidR="00867444">
        <w:t>ADAR</w:t>
      </w:r>
      <w:r w:rsidRPr="009C4955">
        <w:t xml:space="preserve"> provided comparative evidence based on functional outcomes including patient reported </w:t>
      </w:r>
      <w:r w:rsidR="00AA60BD">
        <w:t xml:space="preserve">outcomes (PROs) </w:t>
      </w:r>
      <w:r w:rsidRPr="009C4955">
        <w:t xml:space="preserve">and </w:t>
      </w:r>
      <w:r w:rsidR="0071254B" w:rsidRPr="009C4955">
        <w:t>imaging-based</w:t>
      </w:r>
      <w:r w:rsidRPr="009C4955">
        <w:t xml:space="preserve"> outcomes. </w:t>
      </w:r>
      <w:r w:rsidR="00AC4546">
        <w:t xml:space="preserve">PROs </w:t>
      </w:r>
      <w:r w:rsidRPr="009C4955">
        <w:t xml:space="preserve">were based on commonly used measures such as </w:t>
      </w:r>
      <w:r w:rsidR="00354FDE" w:rsidRPr="00354FDE">
        <w:t xml:space="preserve">Western Ontario Rotator Cuff Index </w:t>
      </w:r>
      <w:r w:rsidR="00354FDE">
        <w:t>(</w:t>
      </w:r>
      <w:r w:rsidR="00B47DCA">
        <w:t>WOR</w:t>
      </w:r>
      <w:r w:rsidR="004E7C4D">
        <w:t>C</w:t>
      </w:r>
      <w:r w:rsidR="00354FDE">
        <w:t>)</w:t>
      </w:r>
      <w:r w:rsidR="00B47DCA">
        <w:t xml:space="preserve">, </w:t>
      </w:r>
      <w:r w:rsidR="00354FDE" w:rsidRPr="00354FDE">
        <w:t xml:space="preserve">American Shoulder and Elbow Society </w:t>
      </w:r>
      <w:r w:rsidR="00354FDE">
        <w:t>(</w:t>
      </w:r>
      <w:r w:rsidR="00B47DCA">
        <w:t>ASES</w:t>
      </w:r>
      <w:r w:rsidR="00354FDE">
        <w:t>)</w:t>
      </w:r>
      <w:r w:rsidR="00B47DCA">
        <w:t xml:space="preserve"> and </w:t>
      </w:r>
      <w:r w:rsidR="00354FDE" w:rsidRPr="00354FDE">
        <w:t xml:space="preserve">Single Assessment Numeric Evaluation </w:t>
      </w:r>
      <w:r w:rsidR="00354FDE">
        <w:t>(</w:t>
      </w:r>
      <w:r w:rsidR="00B47DCA">
        <w:t>SANE</w:t>
      </w:r>
      <w:r w:rsidR="00354FDE">
        <w:t>)</w:t>
      </w:r>
      <w:r w:rsidR="00B47DCA">
        <w:t xml:space="preserve"> scores </w:t>
      </w:r>
      <w:r w:rsidRPr="009C4955">
        <w:t>among patients with PTRCT or FTRCT.</w:t>
      </w:r>
    </w:p>
    <w:p w14:paraId="4E15CF3D" w14:textId="35A78FC1" w:rsidR="00344D67" w:rsidRPr="00A37941" w:rsidRDefault="00895086" w:rsidP="00B821D3">
      <w:pPr>
        <w:pStyle w:val="Heading3"/>
      </w:pPr>
      <w:r>
        <w:t>Population 1</w:t>
      </w:r>
      <w:r w:rsidR="00344D67" w:rsidRPr="00A37941">
        <w:t xml:space="preserve"> – PTRCT Patients</w:t>
      </w:r>
      <w:r w:rsidR="00F14806">
        <w:t xml:space="preserve"> (PICO set 1)</w:t>
      </w:r>
    </w:p>
    <w:p w14:paraId="702A3F57" w14:textId="31349015" w:rsidR="00FB0C41" w:rsidRDefault="00FB0C41" w:rsidP="003B4E46">
      <w:r>
        <w:t xml:space="preserve">The ADAR </w:t>
      </w:r>
      <w:r w:rsidR="00AA60BD">
        <w:t xml:space="preserve">presented two RCTS as the primary evidence </w:t>
      </w:r>
      <w:r w:rsidR="000E1182">
        <w:t>of</w:t>
      </w:r>
      <w:r>
        <w:t xml:space="preserve"> effectiveness for </w:t>
      </w:r>
      <w:r w:rsidR="00895086">
        <w:t>Population 1</w:t>
      </w:r>
      <w:r>
        <w:t xml:space="preserve">: </w:t>
      </w:r>
      <w:r>
        <w:rPr>
          <w:rFonts w:eastAsia="Times New Roman"/>
        </w:rPr>
        <w:t>Wang et al., 2023 and Camacho-Chacon et al., 2023.</w:t>
      </w:r>
      <w:r w:rsidR="000E1182">
        <w:rPr>
          <w:rFonts w:eastAsia="Times New Roman"/>
        </w:rPr>
        <w:t xml:space="preserve"> </w:t>
      </w:r>
      <w:r w:rsidR="00D01461">
        <w:rPr>
          <w:rFonts w:eastAsia="Times New Roman"/>
        </w:rPr>
        <w:t xml:space="preserve">However, </w:t>
      </w:r>
      <w:r w:rsidR="000E1182">
        <w:rPr>
          <w:rFonts w:eastAsia="Times New Roman"/>
        </w:rPr>
        <w:t xml:space="preserve">MSAC did not accept </w:t>
      </w:r>
      <w:r w:rsidR="00D01461">
        <w:rPr>
          <w:rFonts w:eastAsia="Times New Roman"/>
        </w:rPr>
        <w:t xml:space="preserve">that the Camacho-Chacon et al., 2023 trial was relevant to Population 1. </w:t>
      </w:r>
      <w:r>
        <w:t xml:space="preserve"> </w:t>
      </w:r>
      <w:r>
        <w:fldChar w:fldCharType="begin"/>
      </w:r>
      <w:r>
        <w:instrText xml:space="preserve"> REF _Ref163179581 \h  \* MERGEFORMAT </w:instrText>
      </w:r>
      <w:r>
        <w:fldChar w:fldCharType="separate"/>
      </w:r>
      <w:r w:rsidR="00EB12D3" w:rsidRPr="00B821D3">
        <w:rPr>
          <w:rFonts w:eastAsia="Times New Roman" w:cs="Times New Roman"/>
          <w:szCs w:val="20"/>
        </w:rPr>
        <w:t xml:space="preserve">Table </w:t>
      </w:r>
      <w:r w:rsidR="00EB12D3" w:rsidRPr="00B821D3">
        <w:rPr>
          <w:rFonts w:eastAsia="Times New Roman" w:cs="Times New Roman"/>
          <w:noProof/>
          <w:szCs w:val="20"/>
        </w:rPr>
        <w:t>4</w:t>
      </w:r>
      <w:r>
        <w:fldChar w:fldCharType="end"/>
      </w:r>
      <w:r>
        <w:t xml:space="preserve"> summarise</w:t>
      </w:r>
      <w:r w:rsidR="000E1182">
        <w:t>s</w:t>
      </w:r>
      <w:r>
        <w:t xml:space="preserve"> the comparative efficacy results based on the interim results of Wang et al., 2023 for </w:t>
      </w:r>
      <w:r w:rsidR="00895086">
        <w:t>Population 1</w:t>
      </w:r>
      <w:r>
        <w:t>.</w:t>
      </w:r>
      <w:r w:rsidR="00D20C2D">
        <w:t xml:space="preserve"> None of the data from Wang et al, 2023 trial </w:t>
      </w:r>
      <w:r w:rsidR="0072211D">
        <w:t>w</w:t>
      </w:r>
      <w:r w:rsidR="00D01461">
        <w:t>ere</w:t>
      </w:r>
      <w:r w:rsidR="0072211D">
        <w:t xml:space="preserve"> </w:t>
      </w:r>
      <w:r w:rsidR="00D20C2D">
        <w:t>used in the economic evaluation.</w:t>
      </w:r>
    </w:p>
    <w:p w14:paraId="5D5CA325" w14:textId="3B1CCF77" w:rsidR="00D5186E" w:rsidRDefault="00D5186E" w:rsidP="003E1887">
      <w:pPr>
        <w:pStyle w:val="Caption"/>
      </w:pPr>
      <w:bookmarkStart w:id="32" w:name="_Ref163179581"/>
      <w:r w:rsidRPr="009B4DB6">
        <w:t xml:space="preserve">Table </w:t>
      </w:r>
      <w:r>
        <w:fldChar w:fldCharType="begin"/>
      </w:r>
      <w:r>
        <w:instrText xml:space="preserve"> SEQ Table \* ARABIC </w:instrText>
      </w:r>
      <w:r>
        <w:fldChar w:fldCharType="separate"/>
      </w:r>
      <w:r w:rsidR="00C3173B">
        <w:rPr>
          <w:noProof/>
        </w:rPr>
        <w:t>4</w:t>
      </w:r>
      <w:r>
        <w:rPr>
          <w:noProof/>
        </w:rPr>
        <w:fldChar w:fldCharType="end"/>
      </w:r>
      <w:bookmarkEnd w:id="32"/>
      <w:r w:rsidR="00FB0C41">
        <w:t>:</w:t>
      </w:r>
      <w:r w:rsidRPr="009B4DB6">
        <w:t xml:space="preserve"> </w:t>
      </w:r>
      <w:r>
        <w:t xml:space="preserve">Comparative efficacy results of </w:t>
      </w:r>
      <w:r w:rsidRPr="009B4DB6">
        <w:t xml:space="preserve">REGENETEN </w:t>
      </w:r>
      <w:r w:rsidR="00BF262A">
        <w:t>vs.</w:t>
      </w:r>
      <w:r>
        <w:t xml:space="preserve"> </w:t>
      </w:r>
      <w:r w:rsidR="00BF262A">
        <w:t>SOC</w:t>
      </w:r>
      <w:r>
        <w:t xml:space="preserve"> from Wang et al. (CSR Interim; 2023) for </w:t>
      </w:r>
      <w:r w:rsidR="00895086">
        <w:t>Population 1</w:t>
      </w:r>
    </w:p>
    <w:tbl>
      <w:tblPr>
        <w:tblStyle w:val="TableGrid"/>
        <w:tblW w:w="5000" w:type="pct"/>
        <w:tblLayout w:type="fixed"/>
        <w:tblLook w:val="04A0" w:firstRow="1" w:lastRow="0" w:firstColumn="1" w:lastColumn="0" w:noHBand="0" w:noVBand="1"/>
      </w:tblPr>
      <w:tblGrid>
        <w:gridCol w:w="2403"/>
        <w:gridCol w:w="1102"/>
        <w:gridCol w:w="1168"/>
        <w:gridCol w:w="1035"/>
        <w:gridCol w:w="1091"/>
        <w:gridCol w:w="1113"/>
        <w:gridCol w:w="1104"/>
      </w:tblGrid>
      <w:tr w:rsidR="00744BA0" w:rsidRPr="00C44C41" w14:paraId="2B1EC659" w14:textId="77777777" w:rsidTr="00B821D3">
        <w:trPr>
          <w:trHeight w:val="168"/>
          <w:tblHeader/>
        </w:trPr>
        <w:tc>
          <w:tcPr>
            <w:tcW w:w="1333" w:type="pct"/>
            <w:vMerge w:val="restart"/>
            <w:shd w:val="clear" w:color="auto" w:fill="auto"/>
            <w:vAlign w:val="center"/>
          </w:tcPr>
          <w:p w14:paraId="45EBA5A5" w14:textId="77777777" w:rsidR="00D5186E" w:rsidRPr="00C44C41" w:rsidRDefault="00D5186E" w:rsidP="0078185D">
            <w:pPr>
              <w:pStyle w:val="TableText"/>
            </w:pPr>
          </w:p>
        </w:tc>
        <w:tc>
          <w:tcPr>
            <w:tcW w:w="1259" w:type="pct"/>
            <w:gridSpan w:val="2"/>
            <w:shd w:val="clear" w:color="auto" w:fill="auto"/>
            <w:vAlign w:val="center"/>
          </w:tcPr>
          <w:p w14:paraId="7C3E97A9" w14:textId="77777777" w:rsidR="00D5186E" w:rsidRPr="00CB27FC" w:rsidRDefault="00D5186E" w:rsidP="0078185D">
            <w:pPr>
              <w:pStyle w:val="TableText"/>
              <w:jc w:val="center"/>
              <w:rPr>
                <w:szCs w:val="20"/>
              </w:rPr>
            </w:pPr>
            <w:r w:rsidRPr="009B4DB6">
              <w:rPr>
                <w:b/>
                <w:szCs w:val="20"/>
              </w:rPr>
              <w:t>Baseline</w:t>
            </w:r>
          </w:p>
        </w:tc>
        <w:tc>
          <w:tcPr>
            <w:tcW w:w="1179" w:type="pct"/>
            <w:gridSpan w:val="2"/>
            <w:shd w:val="clear" w:color="auto" w:fill="auto"/>
            <w:vAlign w:val="center"/>
          </w:tcPr>
          <w:p w14:paraId="084D1DBE" w14:textId="77777777" w:rsidR="00D5186E" w:rsidRPr="00CB27FC" w:rsidRDefault="00D5186E" w:rsidP="0078185D">
            <w:pPr>
              <w:pStyle w:val="TableText"/>
              <w:jc w:val="center"/>
              <w:rPr>
                <w:szCs w:val="20"/>
              </w:rPr>
            </w:pPr>
            <w:r w:rsidRPr="009B4DB6">
              <w:rPr>
                <w:b/>
                <w:szCs w:val="20"/>
              </w:rPr>
              <w:t>6</w:t>
            </w:r>
            <w:r>
              <w:rPr>
                <w:b/>
                <w:szCs w:val="20"/>
              </w:rPr>
              <w:t xml:space="preserve"> weeks</w:t>
            </w:r>
          </w:p>
        </w:tc>
        <w:tc>
          <w:tcPr>
            <w:tcW w:w="1229" w:type="pct"/>
            <w:gridSpan w:val="2"/>
            <w:shd w:val="clear" w:color="auto" w:fill="auto"/>
            <w:vAlign w:val="center"/>
          </w:tcPr>
          <w:p w14:paraId="117AB281" w14:textId="77777777" w:rsidR="00D5186E" w:rsidRPr="00CB27FC" w:rsidRDefault="00D5186E" w:rsidP="0078185D">
            <w:pPr>
              <w:pStyle w:val="TableText"/>
              <w:jc w:val="center"/>
              <w:rPr>
                <w:szCs w:val="20"/>
              </w:rPr>
            </w:pPr>
            <w:r w:rsidRPr="009B4DB6">
              <w:rPr>
                <w:b/>
                <w:szCs w:val="20"/>
              </w:rPr>
              <w:t>3</w:t>
            </w:r>
            <w:r>
              <w:rPr>
                <w:b/>
                <w:szCs w:val="20"/>
              </w:rPr>
              <w:t xml:space="preserve"> months</w:t>
            </w:r>
          </w:p>
        </w:tc>
      </w:tr>
      <w:tr w:rsidR="00744BA0" w:rsidRPr="00C44C41" w14:paraId="64F50128" w14:textId="77777777" w:rsidTr="00B821D3">
        <w:trPr>
          <w:trHeight w:val="168"/>
          <w:tblHeader/>
        </w:trPr>
        <w:tc>
          <w:tcPr>
            <w:tcW w:w="1333" w:type="pct"/>
            <w:vMerge/>
            <w:tcBorders>
              <w:bottom w:val="single" w:sz="4" w:space="0" w:color="auto"/>
            </w:tcBorders>
            <w:shd w:val="clear" w:color="auto" w:fill="auto"/>
            <w:vAlign w:val="center"/>
          </w:tcPr>
          <w:p w14:paraId="56AC02BF" w14:textId="77777777" w:rsidR="00D5186E" w:rsidRPr="00C44C41" w:rsidRDefault="00D5186E" w:rsidP="0078185D">
            <w:pPr>
              <w:pStyle w:val="TableText"/>
            </w:pPr>
          </w:p>
        </w:tc>
        <w:tc>
          <w:tcPr>
            <w:tcW w:w="611" w:type="pct"/>
            <w:tcBorders>
              <w:bottom w:val="single" w:sz="4" w:space="0" w:color="auto"/>
            </w:tcBorders>
            <w:shd w:val="clear" w:color="auto" w:fill="auto"/>
            <w:vAlign w:val="center"/>
          </w:tcPr>
          <w:p w14:paraId="5EB6DFB2" w14:textId="77777777" w:rsidR="00D5186E" w:rsidRPr="00C679C3" w:rsidRDefault="00D5186E" w:rsidP="0078185D">
            <w:pPr>
              <w:pStyle w:val="TableText"/>
              <w:jc w:val="center"/>
              <w:rPr>
                <w:b/>
                <w:szCs w:val="20"/>
              </w:rPr>
            </w:pPr>
            <w:r w:rsidRPr="00C679C3">
              <w:rPr>
                <w:b/>
                <w:szCs w:val="20"/>
              </w:rPr>
              <w:t>REG</w:t>
            </w:r>
          </w:p>
          <w:p w14:paraId="1FF23EFE" w14:textId="37683F51" w:rsidR="00EB5B25" w:rsidRPr="00B821D3" w:rsidRDefault="00EB5B25" w:rsidP="0078185D">
            <w:pPr>
              <w:pStyle w:val="TableText"/>
              <w:jc w:val="center"/>
              <w:rPr>
                <w:b/>
                <w:szCs w:val="20"/>
              </w:rPr>
            </w:pPr>
            <w:r w:rsidRPr="00C679C3">
              <w:rPr>
                <w:b/>
                <w:szCs w:val="20"/>
              </w:rPr>
              <w:t xml:space="preserve">N = </w:t>
            </w:r>
            <w:r w:rsidR="00C679C3" w:rsidRPr="00C679C3">
              <w:rPr>
                <w:b/>
                <w:szCs w:val="20"/>
              </w:rPr>
              <w:t>14</w:t>
            </w:r>
          </w:p>
        </w:tc>
        <w:tc>
          <w:tcPr>
            <w:tcW w:w="648" w:type="pct"/>
            <w:tcBorders>
              <w:bottom w:val="single" w:sz="4" w:space="0" w:color="auto"/>
            </w:tcBorders>
            <w:shd w:val="clear" w:color="auto" w:fill="auto"/>
            <w:vAlign w:val="center"/>
          </w:tcPr>
          <w:p w14:paraId="3A13900C" w14:textId="77777777" w:rsidR="00D5186E" w:rsidRPr="00C679C3" w:rsidRDefault="00D5186E" w:rsidP="0078185D">
            <w:pPr>
              <w:pStyle w:val="TableText"/>
              <w:jc w:val="center"/>
              <w:rPr>
                <w:b/>
                <w:szCs w:val="20"/>
              </w:rPr>
            </w:pPr>
            <w:r w:rsidRPr="00C679C3">
              <w:rPr>
                <w:b/>
                <w:szCs w:val="20"/>
              </w:rPr>
              <w:t>SOC</w:t>
            </w:r>
          </w:p>
          <w:p w14:paraId="2B675571" w14:textId="3551D374" w:rsidR="00055373" w:rsidRPr="00B821D3" w:rsidRDefault="00055373" w:rsidP="0078185D">
            <w:pPr>
              <w:pStyle w:val="TableText"/>
              <w:jc w:val="center"/>
              <w:rPr>
                <w:b/>
                <w:szCs w:val="20"/>
              </w:rPr>
            </w:pPr>
            <w:r w:rsidRPr="00C679C3">
              <w:rPr>
                <w:b/>
                <w:szCs w:val="20"/>
              </w:rPr>
              <w:t xml:space="preserve">N = </w:t>
            </w:r>
            <w:r w:rsidR="00C679C3" w:rsidRPr="00C679C3">
              <w:rPr>
                <w:b/>
                <w:szCs w:val="20"/>
              </w:rPr>
              <w:t>15</w:t>
            </w:r>
          </w:p>
        </w:tc>
        <w:tc>
          <w:tcPr>
            <w:tcW w:w="574" w:type="pct"/>
            <w:tcBorders>
              <w:bottom w:val="single" w:sz="4" w:space="0" w:color="auto"/>
            </w:tcBorders>
            <w:shd w:val="clear" w:color="auto" w:fill="auto"/>
            <w:vAlign w:val="center"/>
          </w:tcPr>
          <w:p w14:paraId="29167F1E" w14:textId="77777777" w:rsidR="00D5186E" w:rsidRPr="00C679C3" w:rsidRDefault="00D5186E" w:rsidP="0078185D">
            <w:pPr>
              <w:pStyle w:val="TableText"/>
              <w:jc w:val="center"/>
              <w:rPr>
                <w:b/>
                <w:szCs w:val="20"/>
              </w:rPr>
            </w:pPr>
            <w:r w:rsidRPr="00C679C3">
              <w:rPr>
                <w:b/>
                <w:szCs w:val="20"/>
              </w:rPr>
              <w:t>REG</w:t>
            </w:r>
          </w:p>
          <w:p w14:paraId="3645883F" w14:textId="5E6D66BE" w:rsidR="00C679C3" w:rsidRPr="00B821D3" w:rsidRDefault="00C679C3" w:rsidP="0078185D">
            <w:pPr>
              <w:pStyle w:val="TableText"/>
              <w:jc w:val="center"/>
              <w:rPr>
                <w:b/>
                <w:szCs w:val="20"/>
              </w:rPr>
            </w:pPr>
            <w:r w:rsidRPr="00B821D3">
              <w:rPr>
                <w:b/>
                <w:szCs w:val="20"/>
              </w:rPr>
              <w:t>N = 14</w:t>
            </w:r>
          </w:p>
        </w:tc>
        <w:tc>
          <w:tcPr>
            <w:tcW w:w="605" w:type="pct"/>
            <w:tcBorders>
              <w:bottom w:val="single" w:sz="4" w:space="0" w:color="auto"/>
            </w:tcBorders>
            <w:shd w:val="clear" w:color="auto" w:fill="auto"/>
            <w:vAlign w:val="center"/>
          </w:tcPr>
          <w:p w14:paraId="3A04B39D" w14:textId="77777777" w:rsidR="00D5186E" w:rsidRPr="00C679C3" w:rsidRDefault="00D5186E" w:rsidP="0078185D">
            <w:pPr>
              <w:pStyle w:val="TableText"/>
              <w:jc w:val="center"/>
              <w:rPr>
                <w:b/>
                <w:szCs w:val="20"/>
              </w:rPr>
            </w:pPr>
            <w:r w:rsidRPr="00C679C3">
              <w:rPr>
                <w:b/>
                <w:szCs w:val="20"/>
              </w:rPr>
              <w:t>SOC</w:t>
            </w:r>
          </w:p>
          <w:p w14:paraId="2488BB92" w14:textId="6A286714" w:rsidR="00C679C3" w:rsidRPr="00B821D3" w:rsidRDefault="00C679C3" w:rsidP="0078185D">
            <w:pPr>
              <w:pStyle w:val="TableText"/>
              <w:jc w:val="center"/>
              <w:rPr>
                <w:b/>
                <w:szCs w:val="20"/>
              </w:rPr>
            </w:pPr>
            <w:r w:rsidRPr="00B821D3">
              <w:rPr>
                <w:b/>
                <w:szCs w:val="20"/>
              </w:rPr>
              <w:t>N = 13</w:t>
            </w:r>
          </w:p>
        </w:tc>
        <w:tc>
          <w:tcPr>
            <w:tcW w:w="617" w:type="pct"/>
            <w:tcBorders>
              <w:bottom w:val="single" w:sz="4" w:space="0" w:color="auto"/>
            </w:tcBorders>
            <w:shd w:val="clear" w:color="auto" w:fill="auto"/>
            <w:vAlign w:val="center"/>
          </w:tcPr>
          <w:p w14:paraId="6EE7F503" w14:textId="77777777" w:rsidR="00D5186E" w:rsidRPr="00C679C3" w:rsidRDefault="00D5186E" w:rsidP="0078185D">
            <w:pPr>
              <w:pStyle w:val="TableText"/>
              <w:jc w:val="center"/>
              <w:rPr>
                <w:b/>
                <w:szCs w:val="20"/>
              </w:rPr>
            </w:pPr>
            <w:r w:rsidRPr="00C679C3">
              <w:rPr>
                <w:b/>
                <w:szCs w:val="20"/>
              </w:rPr>
              <w:t>REG</w:t>
            </w:r>
          </w:p>
          <w:p w14:paraId="2C908BFC" w14:textId="136441C5" w:rsidR="00C679C3" w:rsidRPr="00B821D3" w:rsidRDefault="00C679C3" w:rsidP="0078185D">
            <w:pPr>
              <w:pStyle w:val="TableText"/>
              <w:jc w:val="center"/>
              <w:rPr>
                <w:b/>
                <w:szCs w:val="20"/>
              </w:rPr>
            </w:pPr>
            <w:r w:rsidRPr="00B821D3">
              <w:rPr>
                <w:b/>
                <w:szCs w:val="20"/>
              </w:rPr>
              <w:t>N = 13</w:t>
            </w:r>
          </w:p>
        </w:tc>
        <w:tc>
          <w:tcPr>
            <w:tcW w:w="612" w:type="pct"/>
            <w:tcBorders>
              <w:bottom w:val="single" w:sz="4" w:space="0" w:color="auto"/>
            </w:tcBorders>
            <w:shd w:val="clear" w:color="auto" w:fill="auto"/>
            <w:vAlign w:val="center"/>
          </w:tcPr>
          <w:p w14:paraId="63D08CC0" w14:textId="77777777" w:rsidR="00D5186E" w:rsidRPr="00C679C3" w:rsidRDefault="00D5186E" w:rsidP="0078185D">
            <w:pPr>
              <w:pStyle w:val="TableText"/>
              <w:jc w:val="center"/>
              <w:rPr>
                <w:b/>
                <w:szCs w:val="20"/>
              </w:rPr>
            </w:pPr>
            <w:r w:rsidRPr="00C679C3">
              <w:rPr>
                <w:b/>
                <w:szCs w:val="20"/>
              </w:rPr>
              <w:t>SOC</w:t>
            </w:r>
          </w:p>
          <w:p w14:paraId="40570203" w14:textId="484F6676" w:rsidR="00C679C3" w:rsidRPr="00B821D3" w:rsidRDefault="00C679C3" w:rsidP="0078185D">
            <w:pPr>
              <w:pStyle w:val="TableText"/>
              <w:jc w:val="center"/>
              <w:rPr>
                <w:b/>
                <w:szCs w:val="20"/>
              </w:rPr>
            </w:pPr>
            <w:r w:rsidRPr="00B821D3">
              <w:rPr>
                <w:b/>
                <w:szCs w:val="20"/>
              </w:rPr>
              <w:t>N = 12</w:t>
            </w:r>
          </w:p>
        </w:tc>
      </w:tr>
      <w:tr w:rsidR="00F94AC5" w:rsidRPr="00C44C41" w14:paraId="40E18AFB" w14:textId="77777777" w:rsidTr="00B821D3">
        <w:trPr>
          <w:trHeight w:val="168"/>
        </w:trPr>
        <w:tc>
          <w:tcPr>
            <w:tcW w:w="5000" w:type="pct"/>
            <w:gridSpan w:val="7"/>
          </w:tcPr>
          <w:p w14:paraId="2CAB40CC" w14:textId="5B51FB6A" w:rsidR="00F94AC5" w:rsidRPr="009B4DB6" w:rsidRDefault="00F94AC5" w:rsidP="00F94AC5">
            <w:pPr>
              <w:pStyle w:val="TableText"/>
              <w:rPr>
                <w:b/>
                <w:bCs/>
              </w:rPr>
            </w:pPr>
            <w:r w:rsidRPr="003B3F04">
              <w:rPr>
                <w:b/>
                <w:bCs/>
              </w:rPr>
              <w:t>Functional outcomes including patient reported outcomes</w:t>
            </w:r>
            <w:r w:rsidR="00BE6DBB">
              <w:rPr>
                <w:b/>
                <w:bCs/>
              </w:rPr>
              <w:t>*</w:t>
            </w:r>
          </w:p>
        </w:tc>
      </w:tr>
      <w:tr w:rsidR="00744BA0" w:rsidRPr="00C44C41" w14:paraId="10C9D1AD" w14:textId="77777777" w:rsidTr="00B821D3">
        <w:trPr>
          <w:trHeight w:val="168"/>
        </w:trPr>
        <w:tc>
          <w:tcPr>
            <w:tcW w:w="1333" w:type="pct"/>
            <w:vAlign w:val="center"/>
          </w:tcPr>
          <w:p w14:paraId="263A5418" w14:textId="23631AF7" w:rsidR="00D5186E" w:rsidRPr="00C44C41" w:rsidRDefault="00D5186E" w:rsidP="0078185D">
            <w:pPr>
              <w:pStyle w:val="TableText"/>
            </w:pPr>
            <w:r w:rsidRPr="00C44C41">
              <w:t xml:space="preserve">WORC </w:t>
            </w:r>
            <w:r w:rsidR="0071254B" w:rsidRPr="00C44C41">
              <w:t>Score</w:t>
            </w:r>
            <w:r w:rsidR="0071254B">
              <w:t xml:space="preserve">; </w:t>
            </w:r>
            <w:r>
              <w:t>mean (SD)</w:t>
            </w:r>
          </w:p>
        </w:tc>
        <w:tc>
          <w:tcPr>
            <w:tcW w:w="611" w:type="pct"/>
            <w:vAlign w:val="center"/>
          </w:tcPr>
          <w:p w14:paraId="26B8DA29" w14:textId="42C82AE1" w:rsidR="00D5186E" w:rsidRPr="009B4DB6" w:rsidRDefault="00D5186E" w:rsidP="0078185D">
            <w:pPr>
              <w:pStyle w:val="TableText"/>
              <w:jc w:val="center"/>
              <w:rPr>
                <w:highlight w:val="yellow"/>
              </w:rPr>
            </w:pPr>
            <w:r w:rsidRPr="00CD76DA">
              <w:t>1</w:t>
            </w:r>
            <w:r w:rsidR="004C04A4">
              <w:t>,</w:t>
            </w:r>
            <w:r w:rsidRPr="00CD76DA">
              <w:t>167 (283)</w:t>
            </w:r>
          </w:p>
        </w:tc>
        <w:tc>
          <w:tcPr>
            <w:tcW w:w="648" w:type="pct"/>
            <w:vAlign w:val="center"/>
          </w:tcPr>
          <w:p w14:paraId="1C962EA3" w14:textId="11BEA6DC" w:rsidR="00D5186E" w:rsidRPr="00C44C41" w:rsidRDefault="00D5186E" w:rsidP="0078185D">
            <w:pPr>
              <w:pStyle w:val="TableText"/>
              <w:jc w:val="center"/>
            </w:pPr>
            <w:r w:rsidRPr="00C44C41">
              <w:t>1</w:t>
            </w:r>
            <w:r w:rsidR="004C04A4">
              <w:t>,</w:t>
            </w:r>
            <w:r w:rsidRPr="00C44C41">
              <w:t>280 (296)</w:t>
            </w:r>
          </w:p>
        </w:tc>
        <w:tc>
          <w:tcPr>
            <w:tcW w:w="574" w:type="pct"/>
            <w:vAlign w:val="center"/>
          </w:tcPr>
          <w:p w14:paraId="4887F197" w14:textId="77777777" w:rsidR="00D5186E" w:rsidRPr="00600185" w:rsidRDefault="00D5186E" w:rsidP="0078185D">
            <w:pPr>
              <w:pStyle w:val="TableText"/>
              <w:jc w:val="center"/>
              <w:rPr>
                <w:b/>
                <w:bCs/>
              </w:rPr>
            </w:pPr>
            <w:r w:rsidRPr="00600185">
              <w:rPr>
                <w:b/>
                <w:bCs/>
              </w:rPr>
              <w:t>905 (320)</w:t>
            </w:r>
          </w:p>
        </w:tc>
        <w:tc>
          <w:tcPr>
            <w:tcW w:w="605" w:type="pct"/>
            <w:vAlign w:val="center"/>
          </w:tcPr>
          <w:p w14:paraId="224C078C" w14:textId="19F87A5C" w:rsidR="00D5186E" w:rsidRPr="00600185" w:rsidRDefault="00D5186E" w:rsidP="0078185D">
            <w:pPr>
              <w:pStyle w:val="TableText"/>
              <w:jc w:val="center"/>
              <w:rPr>
                <w:b/>
                <w:bCs/>
              </w:rPr>
            </w:pPr>
            <w:r w:rsidRPr="00600185">
              <w:rPr>
                <w:b/>
                <w:bCs/>
              </w:rPr>
              <w:t>1</w:t>
            </w:r>
            <w:r w:rsidR="00492A4D">
              <w:rPr>
                <w:b/>
                <w:bCs/>
              </w:rPr>
              <w:t>,</w:t>
            </w:r>
            <w:r w:rsidRPr="00600185">
              <w:rPr>
                <w:b/>
                <w:bCs/>
              </w:rPr>
              <w:t>347 (249)</w:t>
            </w:r>
          </w:p>
        </w:tc>
        <w:tc>
          <w:tcPr>
            <w:tcW w:w="617" w:type="pct"/>
            <w:vAlign w:val="center"/>
          </w:tcPr>
          <w:p w14:paraId="59CA4998" w14:textId="77777777" w:rsidR="00D5186E" w:rsidRPr="00600185" w:rsidRDefault="00D5186E" w:rsidP="0078185D">
            <w:pPr>
              <w:pStyle w:val="TableText"/>
              <w:jc w:val="center"/>
              <w:rPr>
                <w:b/>
                <w:bCs/>
              </w:rPr>
            </w:pPr>
            <w:r w:rsidRPr="00600185">
              <w:rPr>
                <w:b/>
                <w:bCs/>
              </w:rPr>
              <w:t>579 (428)</w:t>
            </w:r>
          </w:p>
        </w:tc>
        <w:tc>
          <w:tcPr>
            <w:tcW w:w="612" w:type="pct"/>
            <w:vAlign w:val="center"/>
          </w:tcPr>
          <w:p w14:paraId="40762DDA" w14:textId="77777777" w:rsidR="00D5186E" w:rsidRPr="00600185" w:rsidRDefault="00D5186E" w:rsidP="0078185D">
            <w:pPr>
              <w:pStyle w:val="TableText"/>
              <w:jc w:val="center"/>
              <w:rPr>
                <w:b/>
                <w:bCs/>
              </w:rPr>
            </w:pPr>
            <w:r w:rsidRPr="00600185">
              <w:rPr>
                <w:b/>
                <w:bCs/>
              </w:rPr>
              <w:t>916 (345)</w:t>
            </w:r>
          </w:p>
        </w:tc>
      </w:tr>
      <w:tr w:rsidR="00744BA0" w:rsidRPr="00C44C41" w14:paraId="6497E371" w14:textId="77777777" w:rsidTr="00B821D3">
        <w:trPr>
          <w:trHeight w:val="168"/>
        </w:trPr>
        <w:tc>
          <w:tcPr>
            <w:tcW w:w="1333" w:type="pct"/>
            <w:vAlign w:val="center"/>
          </w:tcPr>
          <w:p w14:paraId="297D8648" w14:textId="3677E61E" w:rsidR="00D5186E" w:rsidRPr="00C44C41" w:rsidRDefault="00D5186E" w:rsidP="0078185D">
            <w:pPr>
              <w:pStyle w:val="TableText"/>
            </w:pPr>
            <w:r w:rsidRPr="00C44C41">
              <w:t xml:space="preserve">WORC </w:t>
            </w:r>
            <w:r w:rsidR="0071254B" w:rsidRPr="00C44C41">
              <w:t>Symptom</w:t>
            </w:r>
            <w:r w:rsidR="0071254B">
              <w:t>;</w:t>
            </w:r>
            <w:r>
              <w:t xml:space="preserve"> mean (SD)</w:t>
            </w:r>
          </w:p>
        </w:tc>
        <w:tc>
          <w:tcPr>
            <w:tcW w:w="611" w:type="pct"/>
            <w:vAlign w:val="center"/>
          </w:tcPr>
          <w:p w14:paraId="4F9546FB" w14:textId="77777777" w:rsidR="00D5186E" w:rsidRPr="00C44C41" w:rsidRDefault="00D5186E" w:rsidP="0078185D">
            <w:pPr>
              <w:pStyle w:val="TableText"/>
              <w:jc w:val="center"/>
            </w:pPr>
            <w:r w:rsidRPr="00C44C41">
              <w:t>49.4</w:t>
            </w:r>
            <w:r>
              <w:t xml:space="preserve"> </w:t>
            </w:r>
            <w:r w:rsidRPr="00C44C41">
              <w:t>(19.0)</w:t>
            </w:r>
          </w:p>
        </w:tc>
        <w:tc>
          <w:tcPr>
            <w:tcW w:w="648" w:type="pct"/>
            <w:vAlign w:val="center"/>
          </w:tcPr>
          <w:p w14:paraId="2CD0E852" w14:textId="77777777" w:rsidR="00D5186E" w:rsidRPr="00C44C41" w:rsidRDefault="00D5186E" w:rsidP="0078185D">
            <w:pPr>
              <w:pStyle w:val="TableText"/>
              <w:jc w:val="center"/>
            </w:pPr>
            <w:r w:rsidRPr="00C44C41">
              <w:t>48.5</w:t>
            </w:r>
            <w:r>
              <w:t xml:space="preserve"> </w:t>
            </w:r>
            <w:r w:rsidRPr="00C44C41">
              <w:t>(17.6)</w:t>
            </w:r>
          </w:p>
        </w:tc>
        <w:tc>
          <w:tcPr>
            <w:tcW w:w="574" w:type="pct"/>
            <w:vAlign w:val="center"/>
          </w:tcPr>
          <w:p w14:paraId="656D6329" w14:textId="77777777" w:rsidR="00D5186E" w:rsidRPr="00600185" w:rsidRDefault="00D5186E" w:rsidP="0078185D">
            <w:pPr>
              <w:pStyle w:val="TableText"/>
              <w:jc w:val="center"/>
              <w:rPr>
                <w:b/>
                <w:bCs/>
              </w:rPr>
            </w:pPr>
            <w:r w:rsidRPr="00600185">
              <w:rPr>
                <w:b/>
                <w:bCs/>
              </w:rPr>
              <w:t>24.1 (14.5)</w:t>
            </w:r>
          </w:p>
        </w:tc>
        <w:tc>
          <w:tcPr>
            <w:tcW w:w="605" w:type="pct"/>
            <w:vAlign w:val="center"/>
          </w:tcPr>
          <w:p w14:paraId="3081FFC6" w14:textId="77777777" w:rsidR="00D5186E" w:rsidRPr="00600185" w:rsidRDefault="00D5186E" w:rsidP="0078185D">
            <w:pPr>
              <w:pStyle w:val="TableText"/>
              <w:jc w:val="center"/>
              <w:rPr>
                <w:b/>
                <w:bCs/>
              </w:rPr>
            </w:pPr>
            <w:r w:rsidRPr="00600185">
              <w:rPr>
                <w:b/>
                <w:bCs/>
              </w:rPr>
              <w:t>39.6 (17.6)</w:t>
            </w:r>
          </w:p>
        </w:tc>
        <w:tc>
          <w:tcPr>
            <w:tcW w:w="617" w:type="pct"/>
            <w:vAlign w:val="center"/>
          </w:tcPr>
          <w:p w14:paraId="063E2DA5" w14:textId="77777777" w:rsidR="00D5186E" w:rsidRPr="00722F91" w:rsidRDefault="00D5186E" w:rsidP="0078185D">
            <w:pPr>
              <w:pStyle w:val="TableText"/>
              <w:jc w:val="center"/>
            </w:pPr>
            <w:r w:rsidRPr="00722F91">
              <w:t>20.8 (19.3)</w:t>
            </w:r>
          </w:p>
        </w:tc>
        <w:tc>
          <w:tcPr>
            <w:tcW w:w="612" w:type="pct"/>
            <w:vAlign w:val="center"/>
          </w:tcPr>
          <w:p w14:paraId="1A69B6D6" w14:textId="77777777" w:rsidR="00D5186E" w:rsidRPr="00722F91" w:rsidRDefault="00D5186E" w:rsidP="0078185D">
            <w:pPr>
              <w:pStyle w:val="TableText"/>
              <w:jc w:val="center"/>
            </w:pPr>
            <w:r w:rsidRPr="00722F91">
              <w:t>25.4 (14.1)</w:t>
            </w:r>
          </w:p>
        </w:tc>
      </w:tr>
      <w:tr w:rsidR="00744BA0" w:rsidRPr="00C44C41" w14:paraId="68D69C09" w14:textId="77777777" w:rsidTr="00B821D3">
        <w:trPr>
          <w:trHeight w:val="168"/>
        </w:trPr>
        <w:tc>
          <w:tcPr>
            <w:tcW w:w="1333" w:type="pct"/>
            <w:vAlign w:val="center"/>
          </w:tcPr>
          <w:p w14:paraId="31FD4CA1" w14:textId="6380D479" w:rsidR="00D5186E" w:rsidRPr="00C44C41" w:rsidRDefault="00D5186E" w:rsidP="0078185D">
            <w:pPr>
              <w:pStyle w:val="TableText"/>
            </w:pPr>
            <w:r w:rsidRPr="00C44C41">
              <w:t xml:space="preserve">WORC </w:t>
            </w:r>
            <w:r w:rsidR="0071254B" w:rsidRPr="00C44C41">
              <w:t>Lifestyle</w:t>
            </w:r>
            <w:r w:rsidR="0071254B">
              <w:t>;</w:t>
            </w:r>
            <w:r>
              <w:t xml:space="preserve"> mean (SD)</w:t>
            </w:r>
          </w:p>
        </w:tc>
        <w:tc>
          <w:tcPr>
            <w:tcW w:w="611" w:type="pct"/>
            <w:vAlign w:val="center"/>
          </w:tcPr>
          <w:p w14:paraId="5D718983" w14:textId="77777777" w:rsidR="00D5186E" w:rsidRPr="00C44C41" w:rsidRDefault="00D5186E" w:rsidP="0078185D">
            <w:pPr>
              <w:pStyle w:val="TableText"/>
              <w:jc w:val="center"/>
            </w:pPr>
            <w:r w:rsidRPr="00C44C41">
              <w:t>55.7</w:t>
            </w:r>
            <w:r>
              <w:t xml:space="preserve"> </w:t>
            </w:r>
            <w:r w:rsidRPr="00C44C41">
              <w:t>(20.0)</w:t>
            </w:r>
          </w:p>
        </w:tc>
        <w:tc>
          <w:tcPr>
            <w:tcW w:w="648" w:type="pct"/>
            <w:vAlign w:val="center"/>
          </w:tcPr>
          <w:p w14:paraId="67B55C4D" w14:textId="77777777" w:rsidR="00D5186E" w:rsidRPr="00C44C41" w:rsidRDefault="00D5186E" w:rsidP="0078185D">
            <w:pPr>
              <w:pStyle w:val="TableText"/>
              <w:jc w:val="center"/>
            </w:pPr>
            <w:r w:rsidRPr="00C44C41">
              <w:t>60.3</w:t>
            </w:r>
            <w:r>
              <w:t xml:space="preserve"> </w:t>
            </w:r>
            <w:r w:rsidRPr="00C44C41">
              <w:t>(25.2)</w:t>
            </w:r>
          </w:p>
        </w:tc>
        <w:tc>
          <w:tcPr>
            <w:tcW w:w="574" w:type="pct"/>
            <w:vAlign w:val="center"/>
          </w:tcPr>
          <w:p w14:paraId="33A2DD86" w14:textId="77777777" w:rsidR="00D5186E" w:rsidRPr="00722F91" w:rsidRDefault="00D5186E" w:rsidP="0078185D">
            <w:pPr>
              <w:pStyle w:val="TableText"/>
              <w:jc w:val="center"/>
              <w:rPr>
                <w:b/>
                <w:bCs/>
              </w:rPr>
            </w:pPr>
            <w:r w:rsidRPr="00722F91">
              <w:rPr>
                <w:b/>
                <w:bCs/>
              </w:rPr>
              <w:t>41.5 (25.3)</w:t>
            </w:r>
          </w:p>
        </w:tc>
        <w:tc>
          <w:tcPr>
            <w:tcW w:w="605" w:type="pct"/>
            <w:vAlign w:val="center"/>
          </w:tcPr>
          <w:p w14:paraId="0A193892" w14:textId="77777777" w:rsidR="00D5186E" w:rsidRPr="00722F91" w:rsidRDefault="00D5186E" w:rsidP="0078185D">
            <w:pPr>
              <w:pStyle w:val="TableText"/>
              <w:jc w:val="center"/>
              <w:rPr>
                <w:b/>
                <w:bCs/>
              </w:rPr>
            </w:pPr>
            <w:r w:rsidRPr="00722F91">
              <w:rPr>
                <w:b/>
                <w:bCs/>
              </w:rPr>
              <w:t>67.0 (24.6)</w:t>
            </w:r>
          </w:p>
        </w:tc>
        <w:tc>
          <w:tcPr>
            <w:tcW w:w="617" w:type="pct"/>
            <w:vAlign w:val="center"/>
          </w:tcPr>
          <w:p w14:paraId="049BF92E" w14:textId="77777777" w:rsidR="00D5186E" w:rsidRPr="00722F91" w:rsidRDefault="00D5186E" w:rsidP="0078185D">
            <w:pPr>
              <w:pStyle w:val="TableText"/>
              <w:jc w:val="center"/>
              <w:rPr>
                <w:b/>
                <w:bCs/>
              </w:rPr>
            </w:pPr>
            <w:r w:rsidRPr="00722F91">
              <w:rPr>
                <w:b/>
                <w:bCs/>
              </w:rPr>
              <w:t>25.3 (22.5)</w:t>
            </w:r>
          </w:p>
        </w:tc>
        <w:tc>
          <w:tcPr>
            <w:tcW w:w="612" w:type="pct"/>
            <w:vAlign w:val="center"/>
          </w:tcPr>
          <w:p w14:paraId="6EB31FC4" w14:textId="77777777" w:rsidR="00D5186E" w:rsidRPr="00722F91" w:rsidRDefault="00D5186E" w:rsidP="0078185D">
            <w:pPr>
              <w:pStyle w:val="TableText"/>
              <w:jc w:val="center"/>
              <w:rPr>
                <w:b/>
                <w:bCs/>
              </w:rPr>
            </w:pPr>
            <w:r w:rsidRPr="00722F91">
              <w:rPr>
                <w:b/>
                <w:bCs/>
              </w:rPr>
              <w:t>37.3 (22.9)</w:t>
            </w:r>
          </w:p>
        </w:tc>
      </w:tr>
      <w:tr w:rsidR="00744BA0" w:rsidRPr="00C44C41" w14:paraId="037DB4DE" w14:textId="77777777" w:rsidTr="00B821D3">
        <w:trPr>
          <w:trHeight w:val="168"/>
        </w:trPr>
        <w:tc>
          <w:tcPr>
            <w:tcW w:w="1333" w:type="pct"/>
            <w:vAlign w:val="center"/>
          </w:tcPr>
          <w:p w14:paraId="0C2CEC99" w14:textId="77777777" w:rsidR="00D5186E" w:rsidRPr="00C44C41" w:rsidRDefault="00D5186E" w:rsidP="0078185D">
            <w:pPr>
              <w:pStyle w:val="TableText"/>
            </w:pPr>
            <w:r w:rsidRPr="00C44C41">
              <w:t>ASES</w:t>
            </w:r>
            <w:r>
              <w:t>; mean (SD)</w:t>
            </w:r>
          </w:p>
        </w:tc>
        <w:tc>
          <w:tcPr>
            <w:tcW w:w="611" w:type="pct"/>
            <w:vAlign w:val="center"/>
          </w:tcPr>
          <w:p w14:paraId="327D6F91" w14:textId="77777777" w:rsidR="00D5186E" w:rsidRPr="00C44C41" w:rsidRDefault="00D5186E" w:rsidP="0078185D">
            <w:pPr>
              <w:pStyle w:val="TableText"/>
              <w:jc w:val="center"/>
            </w:pPr>
            <w:r w:rsidRPr="00C44C41">
              <w:t>53.2</w:t>
            </w:r>
            <w:r>
              <w:t xml:space="preserve"> </w:t>
            </w:r>
            <w:r w:rsidRPr="00C44C41">
              <w:t>(15.1)</w:t>
            </w:r>
          </w:p>
        </w:tc>
        <w:tc>
          <w:tcPr>
            <w:tcW w:w="648" w:type="pct"/>
            <w:vAlign w:val="center"/>
          </w:tcPr>
          <w:p w14:paraId="112DDA2E" w14:textId="77777777" w:rsidR="00D5186E" w:rsidRPr="00C44C41" w:rsidRDefault="00D5186E" w:rsidP="0078185D">
            <w:pPr>
              <w:pStyle w:val="TableText"/>
              <w:jc w:val="center"/>
            </w:pPr>
            <w:r w:rsidRPr="00C44C41">
              <w:t>54.2</w:t>
            </w:r>
            <w:r>
              <w:t xml:space="preserve"> </w:t>
            </w:r>
            <w:r w:rsidRPr="00C44C41">
              <w:t>(17.0)</w:t>
            </w:r>
          </w:p>
        </w:tc>
        <w:tc>
          <w:tcPr>
            <w:tcW w:w="574" w:type="pct"/>
            <w:vAlign w:val="center"/>
          </w:tcPr>
          <w:p w14:paraId="2717DBA6" w14:textId="77777777" w:rsidR="00D5186E" w:rsidRPr="00722F91" w:rsidRDefault="00D5186E" w:rsidP="0078185D">
            <w:pPr>
              <w:pStyle w:val="TableText"/>
              <w:jc w:val="center"/>
              <w:rPr>
                <w:b/>
                <w:bCs/>
              </w:rPr>
            </w:pPr>
            <w:r w:rsidRPr="00722F91">
              <w:rPr>
                <w:b/>
                <w:bCs/>
              </w:rPr>
              <w:t>67.6 (11.8)</w:t>
            </w:r>
          </w:p>
        </w:tc>
        <w:tc>
          <w:tcPr>
            <w:tcW w:w="605" w:type="pct"/>
            <w:vAlign w:val="center"/>
          </w:tcPr>
          <w:p w14:paraId="595226FA" w14:textId="77777777" w:rsidR="00D5186E" w:rsidRPr="00722F91" w:rsidRDefault="00D5186E" w:rsidP="0078185D">
            <w:pPr>
              <w:pStyle w:val="TableText"/>
              <w:jc w:val="center"/>
              <w:rPr>
                <w:b/>
                <w:bCs/>
              </w:rPr>
            </w:pPr>
            <w:r w:rsidRPr="00722F91">
              <w:rPr>
                <w:b/>
                <w:bCs/>
              </w:rPr>
              <w:t>48.0 (15.1)</w:t>
            </w:r>
          </w:p>
        </w:tc>
        <w:tc>
          <w:tcPr>
            <w:tcW w:w="617" w:type="pct"/>
            <w:vAlign w:val="center"/>
          </w:tcPr>
          <w:p w14:paraId="3FAE1D16" w14:textId="77777777" w:rsidR="00D5186E" w:rsidRPr="00722F91" w:rsidRDefault="00D5186E" w:rsidP="0078185D">
            <w:pPr>
              <w:pStyle w:val="TableText"/>
              <w:jc w:val="center"/>
            </w:pPr>
            <w:r w:rsidRPr="00722F91">
              <w:t>79.4 (13.4)</w:t>
            </w:r>
          </w:p>
        </w:tc>
        <w:tc>
          <w:tcPr>
            <w:tcW w:w="612" w:type="pct"/>
            <w:vAlign w:val="center"/>
          </w:tcPr>
          <w:p w14:paraId="159EADC9" w14:textId="77777777" w:rsidR="00D5186E" w:rsidRPr="00722F91" w:rsidRDefault="00D5186E" w:rsidP="0078185D">
            <w:pPr>
              <w:pStyle w:val="TableText"/>
              <w:jc w:val="center"/>
            </w:pPr>
            <w:r w:rsidRPr="00722F91">
              <w:t>72.2 (12.8)</w:t>
            </w:r>
          </w:p>
        </w:tc>
      </w:tr>
      <w:tr w:rsidR="00744BA0" w:rsidRPr="00C44C41" w14:paraId="0E49FC07" w14:textId="77777777" w:rsidTr="00B821D3">
        <w:trPr>
          <w:trHeight w:val="168"/>
        </w:trPr>
        <w:tc>
          <w:tcPr>
            <w:tcW w:w="1333" w:type="pct"/>
            <w:vAlign w:val="center"/>
          </w:tcPr>
          <w:p w14:paraId="089048A6" w14:textId="77777777" w:rsidR="00D5186E" w:rsidRPr="00C44C41" w:rsidRDefault="00D5186E" w:rsidP="0078185D">
            <w:pPr>
              <w:pStyle w:val="TableText"/>
            </w:pPr>
            <w:r w:rsidRPr="00C44C41">
              <w:t>SANE</w:t>
            </w:r>
            <w:r>
              <w:t>; mean (SD)</w:t>
            </w:r>
          </w:p>
        </w:tc>
        <w:tc>
          <w:tcPr>
            <w:tcW w:w="611" w:type="pct"/>
            <w:vAlign w:val="center"/>
          </w:tcPr>
          <w:p w14:paraId="223FAAEC" w14:textId="77777777" w:rsidR="00D5186E" w:rsidRPr="00C44C41" w:rsidRDefault="00D5186E" w:rsidP="0078185D">
            <w:pPr>
              <w:pStyle w:val="TableText"/>
              <w:jc w:val="center"/>
            </w:pPr>
            <w:r w:rsidRPr="00C44C41">
              <w:t>45.4</w:t>
            </w:r>
            <w:r>
              <w:t xml:space="preserve"> </w:t>
            </w:r>
            <w:r w:rsidRPr="00C44C41">
              <w:t>(19.5)</w:t>
            </w:r>
          </w:p>
        </w:tc>
        <w:tc>
          <w:tcPr>
            <w:tcW w:w="648" w:type="pct"/>
            <w:vAlign w:val="center"/>
          </w:tcPr>
          <w:p w14:paraId="7F8CF66C" w14:textId="77777777" w:rsidR="00D5186E" w:rsidRPr="00C44C41" w:rsidRDefault="00D5186E" w:rsidP="0078185D">
            <w:pPr>
              <w:pStyle w:val="TableText"/>
              <w:jc w:val="center"/>
            </w:pPr>
            <w:r w:rsidRPr="00C44C41">
              <w:t>43.5</w:t>
            </w:r>
            <w:r>
              <w:t xml:space="preserve"> </w:t>
            </w:r>
            <w:r w:rsidRPr="00C44C41">
              <w:t>(18.4)</w:t>
            </w:r>
          </w:p>
        </w:tc>
        <w:tc>
          <w:tcPr>
            <w:tcW w:w="574" w:type="pct"/>
            <w:vAlign w:val="center"/>
          </w:tcPr>
          <w:p w14:paraId="5DD69381" w14:textId="77777777" w:rsidR="00D5186E" w:rsidRPr="00722F91" w:rsidRDefault="00D5186E" w:rsidP="0078185D">
            <w:pPr>
              <w:pStyle w:val="TableText"/>
              <w:jc w:val="center"/>
              <w:rPr>
                <w:b/>
                <w:bCs/>
              </w:rPr>
            </w:pPr>
            <w:r w:rsidRPr="00722F91">
              <w:rPr>
                <w:b/>
                <w:bCs/>
              </w:rPr>
              <w:t>54.2 (20.3)</w:t>
            </w:r>
          </w:p>
        </w:tc>
        <w:tc>
          <w:tcPr>
            <w:tcW w:w="605" w:type="pct"/>
            <w:vAlign w:val="center"/>
          </w:tcPr>
          <w:p w14:paraId="0BE5A8E3" w14:textId="77777777" w:rsidR="00D5186E" w:rsidRPr="00722F91" w:rsidRDefault="00D5186E" w:rsidP="0078185D">
            <w:pPr>
              <w:pStyle w:val="TableText"/>
              <w:jc w:val="center"/>
              <w:rPr>
                <w:b/>
                <w:bCs/>
              </w:rPr>
            </w:pPr>
            <w:r w:rsidRPr="00722F91">
              <w:rPr>
                <w:b/>
                <w:bCs/>
              </w:rPr>
              <w:t>38.1 (23.1)</w:t>
            </w:r>
          </w:p>
        </w:tc>
        <w:tc>
          <w:tcPr>
            <w:tcW w:w="617" w:type="pct"/>
            <w:vAlign w:val="center"/>
          </w:tcPr>
          <w:p w14:paraId="048CCAF6" w14:textId="77777777" w:rsidR="00D5186E" w:rsidRPr="00722F91" w:rsidRDefault="00D5186E" w:rsidP="0078185D">
            <w:pPr>
              <w:pStyle w:val="TableText"/>
              <w:jc w:val="center"/>
              <w:rPr>
                <w:b/>
                <w:bCs/>
              </w:rPr>
            </w:pPr>
            <w:r w:rsidRPr="00722F91">
              <w:rPr>
                <w:b/>
                <w:bCs/>
              </w:rPr>
              <w:t>76.9 (19.4)</w:t>
            </w:r>
          </w:p>
        </w:tc>
        <w:tc>
          <w:tcPr>
            <w:tcW w:w="612" w:type="pct"/>
            <w:vAlign w:val="center"/>
          </w:tcPr>
          <w:p w14:paraId="2852DF37" w14:textId="77777777" w:rsidR="00D5186E" w:rsidRPr="00722F91" w:rsidRDefault="00D5186E" w:rsidP="0078185D">
            <w:pPr>
              <w:pStyle w:val="TableText"/>
              <w:jc w:val="center"/>
              <w:rPr>
                <w:b/>
                <w:bCs/>
              </w:rPr>
            </w:pPr>
            <w:r w:rsidRPr="00722F91">
              <w:rPr>
                <w:b/>
                <w:bCs/>
              </w:rPr>
              <w:t>65.8 (19.9)</w:t>
            </w:r>
          </w:p>
        </w:tc>
      </w:tr>
      <w:tr w:rsidR="00744BA0" w:rsidRPr="00C44C41" w14:paraId="1523E3AA" w14:textId="77777777" w:rsidTr="00B821D3">
        <w:trPr>
          <w:trHeight w:val="168"/>
        </w:trPr>
        <w:tc>
          <w:tcPr>
            <w:tcW w:w="1333" w:type="pct"/>
            <w:vAlign w:val="center"/>
          </w:tcPr>
          <w:p w14:paraId="4756511D" w14:textId="77777777" w:rsidR="00D5186E" w:rsidRPr="00C44C41" w:rsidRDefault="00D5186E" w:rsidP="0078185D">
            <w:pPr>
              <w:pStyle w:val="TableText"/>
            </w:pPr>
            <w:r w:rsidRPr="00C44C41">
              <w:t>VR-12 PCS</w:t>
            </w:r>
            <w:r>
              <w:t>; mean (SD)</w:t>
            </w:r>
          </w:p>
        </w:tc>
        <w:tc>
          <w:tcPr>
            <w:tcW w:w="611" w:type="pct"/>
            <w:vAlign w:val="center"/>
          </w:tcPr>
          <w:p w14:paraId="5572A4B1" w14:textId="77777777" w:rsidR="00D5186E" w:rsidRPr="00C44C41" w:rsidRDefault="00D5186E" w:rsidP="0078185D">
            <w:pPr>
              <w:pStyle w:val="TableText"/>
              <w:jc w:val="center"/>
            </w:pPr>
            <w:r w:rsidRPr="00C44C41">
              <w:t>39.9</w:t>
            </w:r>
            <w:r>
              <w:t xml:space="preserve"> </w:t>
            </w:r>
            <w:r w:rsidRPr="00C44C41">
              <w:t>(10.0)</w:t>
            </w:r>
          </w:p>
        </w:tc>
        <w:tc>
          <w:tcPr>
            <w:tcW w:w="648" w:type="pct"/>
            <w:vAlign w:val="center"/>
          </w:tcPr>
          <w:p w14:paraId="2A250E5E" w14:textId="77777777" w:rsidR="00D5186E" w:rsidRPr="00C44C41" w:rsidRDefault="00D5186E" w:rsidP="0078185D">
            <w:pPr>
              <w:pStyle w:val="TableText"/>
              <w:jc w:val="center"/>
            </w:pPr>
            <w:r w:rsidRPr="00C44C41">
              <w:t>39.5</w:t>
            </w:r>
            <w:r>
              <w:t xml:space="preserve"> </w:t>
            </w:r>
            <w:r w:rsidRPr="00C44C41">
              <w:t>(8.2)</w:t>
            </w:r>
          </w:p>
        </w:tc>
        <w:tc>
          <w:tcPr>
            <w:tcW w:w="574" w:type="pct"/>
            <w:vAlign w:val="center"/>
          </w:tcPr>
          <w:p w14:paraId="6AA4ED7C" w14:textId="77777777" w:rsidR="00D5186E" w:rsidRPr="00722F91" w:rsidRDefault="00D5186E" w:rsidP="0078185D">
            <w:pPr>
              <w:pStyle w:val="TableText"/>
              <w:jc w:val="center"/>
            </w:pPr>
            <w:r w:rsidRPr="00722F91">
              <w:t>41.2 (10.6)</w:t>
            </w:r>
          </w:p>
        </w:tc>
        <w:tc>
          <w:tcPr>
            <w:tcW w:w="605" w:type="pct"/>
            <w:vAlign w:val="center"/>
          </w:tcPr>
          <w:p w14:paraId="543796DF" w14:textId="77777777" w:rsidR="00D5186E" w:rsidRPr="00722F91" w:rsidRDefault="00D5186E" w:rsidP="0078185D">
            <w:pPr>
              <w:pStyle w:val="TableText"/>
              <w:jc w:val="center"/>
            </w:pPr>
            <w:r w:rsidRPr="00722F91">
              <w:t>35.5 (7.6)</w:t>
            </w:r>
          </w:p>
        </w:tc>
        <w:tc>
          <w:tcPr>
            <w:tcW w:w="617" w:type="pct"/>
            <w:vAlign w:val="center"/>
          </w:tcPr>
          <w:p w14:paraId="73A3C745" w14:textId="77777777" w:rsidR="00D5186E" w:rsidRPr="00722F91" w:rsidRDefault="00D5186E" w:rsidP="0078185D">
            <w:pPr>
              <w:pStyle w:val="TableText"/>
              <w:jc w:val="center"/>
            </w:pPr>
            <w:r w:rsidRPr="00722F91">
              <w:t>51.5 (9.0)</w:t>
            </w:r>
          </w:p>
        </w:tc>
        <w:tc>
          <w:tcPr>
            <w:tcW w:w="612" w:type="pct"/>
            <w:vAlign w:val="center"/>
          </w:tcPr>
          <w:p w14:paraId="6D208F3C" w14:textId="77777777" w:rsidR="00D5186E" w:rsidRPr="00722F91" w:rsidRDefault="00D5186E" w:rsidP="0078185D">
            <w:pPr>
              <w:pStyle w:val="TableText"/>
              <w:jc w:val="center"/>
            </w:pPr>
            <w:r w:rsidRPr="00722F91">
              <w:t>43.4 (8.7)</w:t>
            </w:r>
          </w:p>
        </w:tc>
      </w:tr>
      <w:tr w:rsidR="00744BA0" w:rsidRPr="00C44C41" w14:paraId="30753A56" w14:textId="77777777" w:rsidTr="00B821D3">
        <w:trPr>
          <w:trHeight w:val="168"/>
        </w:trPr>
        <w:tc>
          <w:tcPr>
            <w:tcW w:w="1333" w:type="pct"/>
            <w:vAlign w:val="center"/>
          </w:tcPr>
          <w:p w14:paraId="1CE1B5C5" w14:textId="77777777" w:rsidR="00D5186E" w:rsidRPr="00C44C41" w:rsidRDefault="00D5186E" w:rsidP="0078185D">
            <w:pPr>
              <w:pStyle w:val="TableText"/>
            </w:pPr>
            <w:r w:rsidRPr="00C44C41">
              <w:t>VR-12 MCS</w:t>
            </w:r>
            <w:r>
              <w:t>; mean (SD)</w:t>
            </w:r>
          </w:p>
        </w:tc>
        <w:tc>
          <w:tcPr>
            <w:tcW w:w="611" w:type="pct"/>
            <w:vAlign w:val="center"/>
          </w:tcPr>
          <w:p w14:paraId="1A070536" w14:textId="77777777" w:rsidR="00D5186E" w:rsidRPr="00C44C41" w:rsidRDefault="00D5186E" w:rsidP="0078185D">
            <w:pPr>
              <w:pStyle w:val="TableText"/>
              <w:jc w:val="center"/>
            </w:pPr>
            <w:r w:rsidRPr="00C44C41">
              <w:t>42.8</w:t>
            </w:r>
            <w:r>
              <w:t xml:space="preserve"> </w:t>
            </w:r>
            <w:r w:rsidRPr="00C44C41">
              <w:t>(9.8)</w:t>
            </w:r>
          </w:p>
        </w:tc>
        <w:tc>
          <w:tcPr>
            <w:tcW w:w="648" w:type="pct"/>
            <w:vAlign w:val="center"/>
          </w:tcPr>
          <w:p w14:paraId="1A5F9667" w14:textId="77777777" w:rsidR="00D5186E" w:rsidRPr="00C44C41" w:rsidRDefault="00D5186E" w:rsidP="0078185D">
            <w:pPr>
              <w:pStyle w:val="TableText"/>
              <w:jc w:val="center"/>
            </w:pPr>
            <w:r w:rsidRPr="00C44C41">
              <w:t>41.7</w:t>
            </w:r>
            <w:r>
              <w:t xml:space="preserve"> </w:t>
            </w:r>
            <w:r w:rsidRPr="00C44C41">
              <w:t>(4.6)</w:t>
            </w:r>
          </w:p>
        </w:tc>
        <w:tc>
          <w:tcPr>
            <w:tcW w:w="574" w:type="pct"/>
            <w:vAlign w:val="center"/>
          </w:tcPr>
          <w:p w14:paraId="6019A038" w14:textId="77777777" w:rsidR="00D5186E" w:rsidRPr="00C44C41" w:rsidRDefault="00D5186E" w:rsidP="0078185D">
            <w:pPr>
              <w:pStyle w:val="TableText"/>
              <w:jc w:val="center"/>
            </w:pPr>
            <w:r w:rsidRPr="00C44C41">
              <w:t>46.3</w:t>
            </w:r>
            <w:r>
              <w:t xml:space="preserve"> </w:t>
            </w:r>
            <w:r w:rsidRPr="00C44C41">
              <w:t>(8.6)</w:t>
            </w:r>
          </w:p>
        </w:tc>
        <w:tc>
          <w:tcPr>
            <w:tcW w:w="605" w:type="pct"/>
            <w:vAlign w:val="center"/>
          </w:tcPr>
          <w:p w14:paraId="52246407" w14:textId="77777777" w:rsidR="00D5186E" w:rsidRPr="00C44C41" w:rsidRDefault="00D5186E" w:rsidP="0078185D">
            <w:pPr>
              <w:pStyle w:val="TableText"/>
              <w:jc w:val="center"/>
            </w:pPr>
            <w:r w:rsidRPr="00C44C41">
              <w:t>43.3</w:t>
            </w:r>
            <w:r>
              <w:t xml:space="preserve"> </w:t>
            </w:r>
            <w:r w:rsidRPr="00C44C41">
              <w:t>(6.8)</w:t>
            </w:r>
          </w:p>
        </w:tc>
        <w:tc>
          <w:tcPr>
            <w:tcW w:w="617" w:type="pct"/>
            <w:vAlign w:val="center"/>
          </w:tcPr>
          <w:p w14:paraId="591E38A8" w14:textId="77777777" w:rsidR="00D5186E" w:rsidRPr="00C44C41" w:rsidRDefault="00D5186E" w:rsidP="0078185D">
            <w:pPr>
              <w:pStyle w:val="TableText"/>
              <w:jc w:val="center"/>
            </w:pPr>
            <w:r w:rsidRPr="00C44C41">
              <w:t>41.7</w:t>
            </w:r>
            <w:r>
              <w:t xml:space="preserve"> </w:t>
            </w:r>
            <w:r w:rsidRPr="00C44C41">
              <w:t>(6.1)</w:t>
            </w:r>
          </w:p>
        </w:tc>
        <w:tc>
          <w:tcPr>
            <w:tcW w:w="612" w:type="pct"/>
            <w:vAlign w:val="center"/>
          </w:tcPr>
          <w:p w14:paraId="7770763F" w14:textId="77777777" w:rsidR="00D5186E" w:rsidRPr="00C44C41" w:rsidRDefault="00D5186E" w:rsidP="0078185D">
            <w:pPr>
              <w:pStyle w:val="TableText"/>
              <w:jc w:val="center"/>
            </w:pPr>
            <w:r w:rsidRPr="00C44C41">
              <w:t>42.8</w:t>
            </w:r>
            <w:r>
              <w:t xml:space="preserve"> </w:t>
            </w:r>
            <w:r w:rsidRPr="00C44C41">
              <w:t>(5.8)</w:t>
            </w:r>
          </w:p>
        </w:tc>
      </w:tr>
    </w:tbl>
    <w:p w14:paraId="1C4BBB01" w14:textId="60640D22" w:rsidR="00D5186E" w:rsidRPr="00C44C41" w:rsidRDefault="00D5186E" w:rsidP="00B821D3">
      <w:pPr>
        <w:pStyle w:val="Tablenotes"/>
        <w:jc w:val="both"/>
      </w:pPr>
      <w:r w:rsidRPr="00C44C41">
        <w:t>Source: Table 22, p</w:t>
      </w:r>
      <w:r w:rsidR="002D7FCB">
        <w:t>g</w:t>
      </w:r>
      <w:r w:rsidRPr="00C44C41">
        <w:t>8</w:t>
      </w:r>
      <w:r w:rsidR="00854096">
        <w:t>3</w:t>
      </w:r>
      <w:r w:rsidRPr="00C44C41">
        <w:t xml:space="preserve"> of the MSAC 1593.1</w:t>
      </w:r>
      <w:r>
        <w:t xml:space="preserve"> </w:t>
      </w:r>
      <w:bookmarkStart w:id="33" w:name="_Hlk163123771"/>
      <w:r>
        <w:t>application</w:t>
      </w:r>
      <w:r w:rsidRPr="00C44C41">
        <w:t xml:space="preserve"> ADAR</w:t>
      </w:r>
      <w:r>
        <w:t xml:space="preserve"> + inline commentary</w:t>
      </w:r>
      <w:bookmarkEnd w:id="33"/>
    </w:p>
    <w:p w14:paraId="437BEEF9" w14:textId="153835F9" w:rsidR="00AB1165" w:rsidRDefault="00D5186E" w:rsidP="00B821D3">
      <w:pPr>
        <w:pStyle w:val="Tablenotes"/>
        <w:jc w:val="both"/>
        <w:rPr>
          <w:b/>
          <w:bCs/>
        </w:rPr>
      </w:pPr>
      <w:r w:rsidRPr="00C44C41">
        <w:t xml:space="preserve">ASES = American Shoulder and Elbow </w:t>
      </w:r>
      <w:r w:rsidR="00316E24">
        <w:t>Society</w:t>
      </w:r>
      <w:r w:rsidRPr="00C44C41">
        <w:t xml:space="preserve">; </w:t>
      </w:r>
      <w:r w:rsidR="00637B08">
        <w:t xml:space="preserve">CSR = Study clinical report; </w:t>
      </w:r>
      <w:r w:rsidRPr="00C44C41">
        <w:t>MCS = Mental Component; PCS = Physical Component;</w:t>
      </w:r>
      <w:r>
        <w:t xml:space="preserve"> REG = </w:t>
      </w:r>
      <w:r w:rsidRPr="00D40358">
        <w:t>REGENETEN</w:t>
      </w:r>
      <w:r>
        <w:t xml:space="preserve">; </w:t>
      </w:r>
      <w:r w:rsidRPr="00C44C41">
        <w:t xml:space="preserve">SANE = Single Assessment Numeric Evaluation; </w:t>
      </w:r>
      <w:r>
        <w:t xml:space="preserve">SD = Standard deviation; SOC = Standard of Care; </w:t>
      </w:r>
      <w:r w:rsidRPr="00C44C41">
        <w:t xml:space="preserve">VR = Veterans Rand; WORC = </w:t>
      </w:r>
      <w:bookmarkStart w:id="34" w:name="_Hlk165297677"/>
      <w:r w:rsidRPr="00C44C41">
        <w:t>Western Ontario Rotator Cuff Index</w:t>
      </w:r>
      <w:bookmarkEnd w:id="34"/>
    </w:p>
    <w:p w14:paraId="2D26A7C3" w14:textId="658714A3" w:rsidR="00AB1165" w:rsidRPr="00722F91" w:rsidRDefault="00C679C3" w:rsidP="00B821D3">
      <w:pPr>
        <w:pStyle w:val="Tablenotes"/>
        <w:jc w:val="both"/>
      </w:pPr>
      <w:r w:rsidRPr="00B821D3">
        <w:t>Notes:</w:t>
      </w:r>
      <w:r>
        <w:rPr>
          <w:b/>
          <w:bCs/>
        </w:rPr>
        <w:t xml:space="preserve"> </w:t>
      </w:r>
      <w:r w:rsidR="00D5186E" w:rsidRPr="009B4DB6">
        <w:rPr>
          <w:b/>
          <w:bCs/>
        </w:rPr>
        <w:t>Bold</w:t>
      </w:r>
      <w:r w:rsidR="00D5186E" w:rsidRPr="00C44C41">
        <w:t xml:space="preserve"> </w:t>
      </w:r>
      <w:r w:rsidR="00D5186E">
        <w:t xml:space="preserve">indicates </w:t>
      </w:r>
      <w:r w:rsidR="00722F91" w:rsidRPr="00722F91">
        <w:t xml:space="preserve">groups are significantly different to each other at the </w:t>
      </w:r>
      <w:proofErr w:type="gramStart"/>
      <w:r w:rsidR="00722F91" w:rsidRPr="00722F91">
        <w:t>time period</w:t>
      </w:r>
      <w:proofErr w:type="gramEnd"/>
      <w:r w:rsidR="00722F91" w:rsidRPr="00722F91">
        <w:t>, determined by an independent t-test</w:t>
      </w:r>
      <w:r w:rsidR="00AB1165">
        <w:t>.</w:t>
      </w:r>
    </w:p>
    <w:p w14:paraId="1100D2D3" w14:textId="1872A45B" w:rsidR="00D5186E" w:rsidRPr="00AB1165" w:rsidRDefault="00BE6DBB" w:rsidP="00B821D3">
      <w:pPr>
        <w:pStyle w:val="Tablenotes"/>
        <w:jc w:val="both"/>
      </w:pPr>
      <w:r>
        <w:t>*</w:t>
      </w:r>
      <w:r w:rsidR="001315C7">
        <w:t xml:space="preserve">Maximum score for the WORC is 2100 and the </w:t>
      </w:r>
      <w:r w:rsidR="001315C7" w:rsidRPr="001315C7">
        <w:t>lower scores indicates greater function</w:t>
      </w:r>
      <w:r w:rsidR="001315C7">
        <w:t xml:space="preserve">. For the ASES, SANE and VR, </w:t>
      </w:r>
      <w:r w:rsidR="001315C7" w:rsidRPr="001315C7">
        <w:t xml:space="preserve">higher scores </w:t>
      </w:r>
      <w:r w:rsidR="001315C7">
        <w:t xml:space="preserve">indicate </w:t>
      </w:r>
      <w:r w:rsidR="001315C7" w:rsidRPr="001315C7">
        <w:t>better outcomes for patients.</w:t>
      </w:r>
    </w:p>
    <w:p w14:paraId="706140FD" w14:textId="679B30D2" w:rsidR="00714B53" w:rsidRDefault="00893760" w:rsidP="003B4E46">
      <w:pPr>
        <w:rPr>
          <w:rFonts w:cstheme="minorHAnsi"/>
        </w:rPr>
      </w:pPr>
      <w:r>
        <w:t>Wang et al., 2023 reported that the REGENETEN group achieved a significantly lower WORC score (indicates greater function)</w:t>
      </w:r>
      <w:r w:rsidR="00714B53">
        <w:t>,</w:t>
      </w:r>
      <w:r>
        <w:t xml:space="preserve"> higher SANE score </w:t>
      </w:r>
      <w:r w:rsidR="00714B53">
        <w:t>at both six weeks and three months and higher ASES score at six weeks</w:t>
      </w:r>
      <w:r>
        <w:t xml:space="preserve"> compared to the control group. </w:t>
      </w:r>
    </w:p>
    <w:p w14:paraId="6980BCA8" w14:textId="210F4338" w:rsidR="00063FD5" w:rsidRDefault="00893760" w:rsidP="003B4E46">
      <w:r>
        <w:t xml:space="preserve">The ADAR also summarised the comparative efficacy results </w:t>
      </w:r>
      <w:r w:rsidR="00D01461">
        <w:t>from</w:t>
      </w:r>
      <w:r>
        <w:t xml:space="preserve"> the Camacho-Chacon et al.</w:t>
      </w:r>
      <w:r w:rsidR="003E16EF">
        <w:t>,2023</w:t>
      </w:r>
      <w:r w:rsidR="001769D2">
        <w:t xml:space="preserve"> et al., trial</w:t>
      </w:r>
      <w:r>
        <w:t xml:space="preserve"> for </w:t>
      </w:r>
      <w:r w:rsidR="00895086">
        <w:t>Population 1</w:t>
      </w:r>
      <w:r>
        <w:t xml:space="preserve"> (</w:t>
      </w:r>
      <w:r w:rsidRPr="002D7FCB">
        <w:fldChar w:fldCharType="begin"/>
      </w:r>
      <w:r w:rsidRPr="002D7FCB">
        <w:instrText xml:space="preserve"> REF _Ref163179613 \h  \* MERGEFORMAT </w:instrText>
      </w:r>
      <w:r w:rsidRPr="002D7FCB">
        <w:fldChar w:fldCharType="separate"/>
      </w:r>
      <w:r w:rsidR="00EB12D3" w:rsidRPr="00B821D3">
        <w:rPr>
          <w:rFonts w:eastAsia="Times New Roman" w:cs="Times New Roman"/>
          <w:szCs w:val="20"/>
        </w:rPr>
        <w:t xml:space="preserve">Table </w:t>
      </w:r>
      <w:r w:rsidR="00EB12D3" w:rsidRPr="00B821D3">
        <w:rPr>
          <w:rFonts w:eastAsia="Times New Roman" w:cs="Times New Roman"/>
          <w:noProof/>
          <w:szCs w:val="20"/>
        </w:rPr>
        <w:t>5</w:t>
      </w:r>
      <w:r w:rsidRPr="002D7FCB">
        <w:fldChar w:fldCharType="end"/>
      </w:r>
      <w:r w:rsidRPr="002D7FCB">
        <w:t>).</w:t>
      </w:r>
      <w:r w:rsidR="00D20C2D">
        <w:t xml:space="preserve"> Improvement in the ASES score from the </w:t>
      </w:r>
      <w:r w:rsidR="00D20C2D" w:rsidRPr="00D20C2D">
        <w:t>Camacho-Chacon et al</w:t>
      </w:r>
      <w:r w:rsidR="00D20C2D">
        <w:t>., 2023 trial w</w:t>
      </w:r>
      <w:r w:rsidR="00714B53">
        <w:t>ere</w:t>
      </w:r>
      <w:r w:rsidR="00D20C2D">
        <w:t xml:space="preserve"> used in the economic evaluation of the </w:t>
      </w:r>
      <w:r w:rsidR="004B00D1">
        <w:t>P</w:t>
      </w:r>
      <w:r w:rsidR="00D20C2D">
        <w:t>opulation 1.</w:t>
      </w:r>
    </w:p>
    <w:p w14:paraId="53DBB8AB" w14:textId="417E9DFD" w:rsidR="00D5186E" w:rsidRDefault="00D5186E" w:rsidP="00877B0C">
      <w:pPr>
        <w:pStyle w:val="Caption"/>
        <w:keepLines/>
      </w:pPr>
      <w:bookmarkStart w:id="35" w:name="_Ref163179613"/>
      <w:r w:rsidRPr="00B25254">
        <w:lastRenderedPageBreak/>
        <w:t xml:space="preserve">Table </w:t>
      </w:r>
      <w:r>
        <w:fldChar w:fldCharType="begin"/>
      </w:r>
      <w:r>
        <w:instrText xml:space="preserve"> SEQ Table \* ARABIC </w:instrText>
      </w:r>
      <w:r>
        <w:fldChar w:fldCharType="separate"/>
      </w:r>
      <w:r w:rsidR="00C3173B">
        <w:rPr>
          <w:noProof/>
        </w:rPr>
        <w:t>5</w:t>
      </w:r>
      <w:r>
        <w:rPr>
          <w:noProof/>
        </w:rPr>
        <w:fldChar w:fldCharType="end"/>
      </w:r>
      <w:bookmarkEnd w:id="35"/>
      <w:r w:rsidR="00FB0C41">
        <w:t>:</w:t>
      </w:r>
      <w:r w:rsidRPr="00B25254">
        <w:t xml:space="preserve"> </w:t>
      </w:r>
      <w:r>
        <w:t xml:space="preserve">Comparative efficacy results of </w:t>
      </w:r>
      <w:r w:rsidRPr="00B25254">
        <w:t xml:space="preserve">REGENETEN </w:t>
      </w:r>
      <w:r>
        <w:t>v</w:t>
      </w:r>
      <w:r w:rsidR="00BF262A">
        <w:t>s</w:t>
      </w:r>
      <w:r>
        <w:t xml:space="preserve"> </w:t>
      </w:r>
      <w:r w:rsidR="00BF262A">
        <w:t>SOC</w:t>
      </w:r>
      <w:r>
        <w:t xml:space="preserve"> </w:t>
      </w:r>
      <w:bookmarkStart w:id="36" w:name="_Hlk163123518"/>
      <w:r>
        <w:t>from Camacho-Chacon et al</w:t>
      </w:r>
      <w:r w:rsidR="001769D2">
        <w:t>., 2023</w:t>
      </w:r>
      <w:bookmarkEnd w:id="36"/>
      <w:r w:rsidR="001769D2">
        <w:t xml:space="preserve"> </w:t>
      </w:r>
      <w:r>
        <w:t xml:space="preserve">for </w:t>
      </w:r>
      <w:r w:rsidR="00895086">
        <w:t>Population 1</w:t>
      </w:r>
    </w:p>
    <w:tbl>
      <w:tblPr>
        <w:tblStyle w:val="TableGrid"/>
        <w:tblW w:w="5000" w:type="pct"/>
        <w:tblLayout w:type="fixed"/>
        <w:tblLook w:val="04A0" w:firstRow="1" w:lastRow="0" w:firstColumn="1" w:lastColumn="0" w:noHBand="0" w:noVBand="1"/>
      </w:tblPr>
      <w:tblGrid>
        <w:gridCol w:w="1984"/>
        <w:gridCol w:w="849"/>
        <w:gridCol w:w="851"/>
        <w:gridCol w:w="849"/>
        <w:gridCol w:w="997"/>
        <w:gridCol w:w="848"/>
        <w:gridCol w:w="851"/>
        <w:gridCol w:w="849"/>
        <w:gridCol w:w="938"/>
      </w:tblGrid>
      <w:tr w:rsidR="003261B0" w:rsidRPr="00C44C41" w14:paraId="5AA3DA85" w14:textId="77777777" w:rsidTr="001769D2">
        <w:trPr>
          <w:trHeight w:val="168"/>
          <w:tblHeader/>
        </w:trPr>
        <w:tc>
          <w:tcPr>
            <w:tcW w:w="1100" w:type="pct"/>
            <w:vMerge w:val="restart"/>
            <w:shd w:val="clear" w:color="auto" w:fill="auto"/>
            <w:vAlign w:val="center"/>
          </w:tcPr>
          <w:p w14:paraId="2F485AF4" w14:textId="77777777" w:rsidR="00D5186E" w:rsidRPr="00C44C41" w:rsidRDefault="00D5186E" w:rsidP="00877B0C">
            <w:pPr>
              <w:pStyle w:val="TableText"/>
              <w:keepNext/>
              <w:keepLines/>
            </w:pPr>
          </w:p>
        </w:tc>
        <w:tc>
          <w:tcPr>
            <w:tcW w:w="943" w:type="pct"/>
            <w:gridSpan w:val="2"/>
            <w:shd w:val="clear" w:color="auto" w:fill="auto"/>
            <w:vAlign w:val="center"/>
          </w:tcPr>
          <w:p w14:paraId="05D60C86" w14:textId="77777777" w:rsidR="00D5186E" w:rsidRPr="00B25254" w:rsidRDefault="00D5186E" w:rsidP="00877B0C">
            <w:pPr>
              <w:pStyle w:val="TableText"/>
              <w:keepNext/>
              <w:keepLines/>
              <w:jc w:val="center"/>
              <w:rPr>
                <w:b/>
                <w:szCs w:val="20"/>
              </w:rPr>
            </w:pPr>
            <w:r w:rsidRPr="00B25254">
              <w:rPr>
                <w:b/>
                <w:szCs w:val="20"/>
              </w:rPr>
              <w:t>Baseline</w:t>
            </w:r>
          </w:p>
        </w:tc>
        <w:tc>
          <w:tcPr>
            <w:tcW w:w="1024" w:type="pct"/>
            <w:gridSpan w:val="2"/>
            <w:shd w:val="clear" w:color="auto" w:fill="auto"/>
          </w:tcPr>
          <w:p w14:paraId="7FAB27E6" w14:textId="77777777" w:rsidR="00D5186E" w:rsidRPr="00B25254" w:rsidRDefault="00D5186E" w:rsidP="00877B0C">
            <w:pPr>
              <w:pStyle w:val="TableText"/>
              <w:keepNext/>
              <w:keepLines/>
              <w:jc w:val="center"/>
              <w:rPr>
                <w:b/>
                <w:szCs w:val="20"/>
              </w:rPr>
            </w:pPr>
            <w:r>
              <w:rPr>
                <w:b/>
                <w:szCs w:val="20"/>
              </w:rPr>
              <w:t>6</w:t>
            </w:r>
            <w:r w:rsidRPr="00A61116">
              <w:rPr>
                <w:b/>
                <w:szCs w:val="20"/>
              </w:rPr>
              <w:t xml:space="preserve"> months</w:t>
            </w:r>
          </w:p>
        </w:tc>
        <w:tc>
          <w:tcPr>
            <w:tcW w:w="942" w:type="pct"/>
            <w:gridSpan w:val="2"/>
            <w:shd w:val="clear" w:color="auto" w:fill="auto"/>
          </w:tcPr>
          <w:p w14:paraId="64269DBC" w14:textId="77777777" w:rsidR="00D5186E" w:rsidRPr="00B25254" w:rsidRDefault="00D5186E" w:rsidP="00877B0C">
            <w:pPr>
              <w:pStyle w:val="TableText"/>
              <w:keepNext/>
              <w:keepLines/>
              <w:jc w:val="center"/>
              <w:rPr>
                <w:b/>
                <w:szCs w:val="20"/>
              </w:rPr>
            </w:pPr>
            <w:r>
              <w:rPr>
                <w:b/>
                <w:szCs w:val="20"/>
              </w:rPr>
              <w:t>12</w:t>
            </w:r>
            <w:r w:rsidRPr="00A61116">
              <w:rPr>
                <w:b/>
                <w:szCs w:val="20"/>
              </w:rPr>
              <w:t xml:space="preserve"> months</w:t>
            </w:r>
          </w:p>
        </w:tc>
        <w:tc>
          <w:tcPr>
            <w:tcW w:w="991" w:type="pct"/>
            <w:gridSpan w:val="2"/>
          </w:tcPr>
          <w:p w14:paraId="387E26D0" w14:textId="77777777" w:rsidR="00D5186E" w:rsidRPr="00B25254" w:rsidRDefault="00D5186E" w:rsidP="00877B0C">
            <w:pPr>
              <w:pStyle w:val="TableText"/>
              <w:keepNext/>
              <w:keepLines/>
              <w:jc w:val="center"/>
              <w:rPr>
                <w:b/>
                <w:szCs w:val="20"/>
              </w:rPr>
            </w:pPr>
            <w:r>
              <w:rPr>
                <w:b/>
                <w:szCs w:val="20"/>
              </w:rPr>
              <w:t>24</w:t>
            </w:r>
            <w:r w:rsidRPr="00A61116">
              <w:rPr>
                <w:b/>
                <w:szCs w:val="20"/>
              </w:rPr>
              <w:t xml:space="preserve"> months</w:t>
            </w:r>
          </w:p>
        </w:tc>
      </w:tr>
      <w:tr w:rsidR="003261B0" w:rsidRPr="00C44C41" w14:paraId="3DB5CCAB" w14:textId="77777777" w:rsidTr="001769D2">
        <w:trPr>
          <w:trHeight w:val="168"/>
          <w:tblHeader/>
        </w:trPr>
        <w:tc>
          <w:tcPr>
            <w:tcW w:w="1100" w:type="pct"/>
            <w:vMerge/>
            <w:tcBorders>
              <w:bottom w:val="single" w:sz="4" w:space="0" w:color="auto"/>
            </w:tcBorders>
            <w:shd w:val="clear" w:color="auto" w:fill="auto"/>
            <w:vAlign w:val="center"/>
          </w:tcPr>
          <w:p w14:paraId="5B02FBCD" w14:textId="77777777" w:rsidR="00D5186E" w:rsidRPr="00C44C41" w:rsidRDefault="00D5186E" w:rsidP="00877B0C">
            <w:pPr>
              <w:pStyle w:val="TableText"/>
              <w:keepNext/>
              <w:keepLines/>
            </w:pPr>
          </w:p>
        </w:tc>
        <w:tc>
          <w:tcPr>
            <w:tcW w:w="471" w:type="pct"/>
            <w:tcBorders>
              <w:bottom w:val="single" w:sz="4" w:space="0" w:color="auto"/>
            </w:tcBorders>
            <w:shd w:val="clear" w:color="auto" w:fill="auto"/>
            <w:vAlign w:val="center"/>
          </w:tcPr>
          <w:p w14:paraId="24CEF608" w14:textId="77777777" w:rsidR="00A83CE3" w:rsidRDefault="00D5186E" w:rsidP="00877B0C">
            <w:pPr>
              <w:pStyle w:val="TableText"/>
              <w:keepNext/>
              <w:keepLines/>
              <w:jc w:val="center"/>
              <w:rPr>
                <w:b/>
                <w:szCs w:val="20"/>
              </w:rPr>
            </w:pPr>
            <w:r w:rsidRPr="00B25254">
              <w:rPr>
                <w:b/>
                <w:szCs w:val="20"/>
              </w:rPr>
              <w:t>REG</w:t>
            </w:r>
          </w:p>
          <w:p w14:paraId="1C82DF5C" w14:textId="09AF4AA3" w:rsidR="00D5186E" w:rsidRPr="00B25254" w:rsidRDefault="00A83CE3" w:rsidP="00877B0C">
            <w:pPr>
              <w:pStyle w:val="TableText"/>
              <w:keepNext/>
              <w:keepLines/>
              <w:jc w:val="center"/>
              <w:rPr>
                <w:b/>
                <w:szCs w:val="20"/>
              </w:rPr>
            </w:pPr>
            <w:r>
              <w:rPr>
                <w:b/>
                <w:szCs w:val="20"/>
              </w:rPr>
              <w:t xml:space="preserve"> N=30</w:t>
            </w:r>
          </w:p>
        </w:tc>
        <w:tc>
          <w:tcPr>
            <w:tcW w:w="472" w:type="pct"/>
            <w:tcBorders>
              <w:bottom w:val="single" w:sz="4" w:space="0" w:color="auto"/>
            </w:tcBorders>
            <w:shd w:val="clear" w:color="auto" w:fill="auto"/>
            <w:vAlign w:val="center"/>
          </w:tcPr>
          <w:p w14:paraId="3346E173" w14:textId="77777777" w:rsidR="00A83CE3" w:rsidRDefault="00D5186E" w:rsidP="00877B0C">
            <w:pPr>
              <w:pStyle w:val="TableText"/>
              <w:keepNext/>
              <w:keepLines/>
              <w:jc w:val="center"/>
            </w:pPr>
            <w:r>
              <w:rPr>
                <w:b/>
                <w:szCs w:val="20"/>
              </w:rPr>
              <w:t>SOC</w:t>
            </w:r>
            <w:r w:rsidR="00A83CE3">
              <w:t xml:space="preserve"> </w:t>
            </w:r>
          </w:p>
          <w:p w14:paraId="63BF97DF" w14:textId="7E62E70D" w:rsidR="00D5186E" w:rsidRPr="00B25254" w:rsidRDefault="00A83CE3" w:rsidP="00877B0C">
            <w:pPr>
              <w:pStyle w:val="TableText"/>
              <w:keepNext/>
              <w:keepLines/>
              <w:jc w:val="center"/>
              <w:rPr>
                <w:b/>
                <w:szCs w:val="20"/>
              </w:rPr>
            </w:pPr>
            <w:r w:rsidRPr="00A83CE3">
              <w:rPr>
                <w:b/>
                <w:szCs w:val="20"/>
              </w:rPr>
              <w:t>N=30</w:t>
            </w:r>
          </w:p>
        </w:tc>
        <w:tc>
          <w:tcPr>
            <w:tcW w:w="471" w:type="pct"/>
            <w:tcBorders>
              <w:bottom w:val="single" w:sz="4" w:space="0" w:color="auto"/>
            </w:tcBorders>
            <w:shd w:val="clear" w:color="auto" w:fill="auto"/>
            <w:vAlign w:val="center"/>
          </w:tcPr>
          <w:p w14:paraId="0FE14F12" w14:textId="77777777" w:rsidR="00A83CE3" w:rsidRDefault="00D5186E" w:rsidP="00877B0C">
            <w:pPr>
              <w:pStyle w:val="TableText"/>
              <w:keepNext/>
              <w:keepLines/>
              <w:jc w:val="center"/>
            </w:pPr>
            <w:r w:rsidRPr="00B25254">
              <w:rPr>
                <w:b/>
                <w:szCs w:val="20"/>
              </w:rPr>
              <w:t>REG</w:t>
            </w:r>
            <w:r w:rsidR="00A83CE3">
              <w:t xml:space="preserve"> </w:t>
            </w:r>
          </w:p>
          <w:p w14:paraId="483242D8" w14:textId="207DA9A1" w:rsidR="00D5186E" w:rsidRPr="00B25254" w:rsidRDefault="00A83CE3" w:rsidP="00877B0C">
            <w:pPr>
              <w:pStyle w:val="TableText"/>
              <w:keepNext/>
              <w:keepLines/>
              <w:jc w:val="center"/>
              <w:rPr>
                <w:b/>
                <w:szCs w:val="20"/>
              </w:rPr>
            </w:pPr>
            <w:r w:rsidRPr="00A83CE3">
              <w:rPr>
                <w:b/>
                <w:szCs w:val="20"/>
              </w:rPr>
              <w:t>N=30</w:t>
            </w:r>
          </w:p>
        </w:tc>
        <w:tc>
          <w:tcPr>
            <w:tcW w:w="553" w:type="pct"/>
            <w:tcBorders>
              <w:bottom w:val="single" w:sz="4" w:space="0" w:color="auto"/>
            </w:tcBorders>
            <w:shd w:val="clear" w:color="auto" w:fill="auto"/>
            <w:vAlign w:val="center"/>
          </w:tcPr>
          <w:p w14:paraId="2605DE14" w14:textId="77777777" w:rsidR="00A83CE3" w:rsidRDefault="00D5186E" w:rsidP="00877B0C">
            <w:pPr>
              <w:pStyle w:val="TableText"/>
              <w:keepNext/>
              <w:keepLines/>
              <w:jc w:val="center"/>
            </w:pPr>
            <w:r>
              <w:rPr>
                <w:b/>
                <w:szCs w:val="20"/>
              </w:rPr>
              <w:t>SOC</w:t>
            </w:r>
            <w:r w:rsidR="00A83CE3">
              <w:t xml:space="preserve"> </w:t>
            </w:r>
          </w:p>
          <w:p w14:paraId="4B3B2379" w14:textId="1E1BA7EC" w:rsidR="00D5186E" w:rsidRPr="00B25254" w:rsidRDefault="00A83CE3" w:rsidP="00877B0C">
            <w:pPr>
              <w:pStyle w:val="TableText"/>
              <w:keepNext/>
              <w:keepLines/>
              <w:jc w:val="center"/>
              <w:rPr>
                <w:b/>
                <w:szCs w:val="20"/>
              </w:rPr>
            </w:pPr>
            <w:r w:rsidRPr="00A83CE3">
              <w:rPr>
                <w:b/>
                <w:szCs w:val="20"/>
              </w:rPr>
              <w:t>N=30</w:t>
            </w:r>
          </w:p>
        </w:tc>
        <w:tc>
          <w:tcPr>
            <w:tcW w:w="470" w:type="pct"/>
            <w:tcBorders>
              <w:bottom w:val="single" w:sz="4" w:space="0" w:color="auto"/>
            </w:tcBorders>
            <w:shd w:val="clear" w:color="auto" w:fill="auto"/>
            <w:vAlign w:val="center"/>
          </w:tcPr>
          <w:p w14:paraId="36CCABFA" w14:textId="3A089A4D" w:rsidR="00D5186E" w:rsidRPr="00B25254" w:rsidRDefault="00D5186E" w:rsidP="00877B0C">
            <w:pPr>
              <w:pStyle w:val="TableText"/>
              <w:keepNext/>
              <w:keepLines/>
              <w:jc w:val="center"/>
              <w:rPr>
                <w:b/>
                <w:szCs w:val="20"/>
              </w:rPr>
            </w:pPr>
            <w:r w:rsidRPr="00B25254">
              <w:rPr>
                <w:b/>
                <w:szCs w:val="20"/>
              </w:rPr>
              <w:t>REG</w:t>
            </w:r>
            <w:r w:rsidR="00A83CE3">
              <w:t xml:space="preserve"> </w:t>
            </w:r>
            <w:r w:rsidR="00A83CE3" w:rsidRPr="00A83CE3">
              <w:rPr>
                <w:b/>
                <w:szCs w:val="20"/>
              </w:rPr>
              <w:t>N=30</w:t>
            </w:r>
          </w:p>
        </w:tc>
        <w:tc>
          <w:tcPr>
            <w:tcW w:w="472" w:type="pct"/>
            <w:tcBorders>
              <w:bottom w:val="single" w:sz="4" w:space="0" w:color="auto"/>
            </w:tcBorders>
            <w:shd w:val="clear" w:color="auto" w:fill="auto"/>
            <w:vAlign w:val="center"/>
          </w:tcPr>
          <w:p w14:paraId="64EE798C" w14:textId="3E53050F" w:rsidR="00D5186E" w:rsidRPr="00B25254" w:rsidRDefault="00D5186E" w:rsidP="00877B0C">
            <w:pPr>
              <w:pStyle w:val="TableText"/>
              <w:keepNext/>
              <w:keepLines/>
              <w:jc w:val="center"/>
              <w:rPr>
                <w:b/>
                <w:szCs w:val="20"/>
              </w:rPr>
            </w:pPr>
            <w:r>
              <w:rPr>
                <w:b/>
                <w:szCs w:val="20"/>
              </w:rPr>
              <w:t>SOC</w:t>
            </w:r>
            <w:r w:rsidR="00A83CE3">
              <w:t xml:space="preserve"> </w:t>
            </w:r>
            <w:r w:rsidR="00A83CE3" w:rsidRPr="00A83CE3">
              <w:rPr>
                <w:b/>
                <w:szCs w:val="20"/>
              </w:rPr>
              <w:t>N=30</w:t>
            </w:r>
          </w:p>
        </w:tc>
        <w:tc>
          <w:tcPr>
            <w:tcW w:w="471" w:type="pct"/>
            <w:vAlign w:val="center"/>
          </w:tcPr>
          <w:p w14:paraId="2BB9E6FF" w14:textId="449A6451" w:rsidR="00D5186E" w:rsidRDefault="00D5186E" w:rsidP="00877B0C">
            <w:pPr>
              <w:pStyle w:val="TableText"/>
              <w:keepNext/>
              <w:keepLines/>
              <w:jc w:val="center"/>
              <w:rPr>
                <w:b/>
                <w:szCs w:val="20"/>
              </w:rPr>
            </w:pPr>
            <w:r w:rsidRPr="00B25254">
              <w:rPr>
                <w:b/>
                <w:szCs w:val="20"/>
              </w:rPr>
              <w:t>REG</w:t>
            </w:r>
            <w:r w:rsidR="00A83CE3">
              <w:t xml:space="preserve"> </w:t>
            </w:r>
            <w:r w:rsidR="00A83CE3" w:rsidRPr="00A83CE3">
              <w:rPr>
                <w:b/>
                <w:szCs w:val="20"/>
              </w:rPr>
              <w:t>N=30</w:t>
            </w:r>
          </w:p>
        </w:tc>
        <w:tc>
          <w:tcPr>
            <w:tcW w:w="520" w:type="pct"/>
            <w:vAlign w:val="center"/>
          </w:tcPr>
          <w:p w14:paraId="15DF9723" w14:textId="0DB65854" w:rsidR="00D5186E" w:rsidRDefault="00D5186E" w:rsidP="00877B0C">
            <w:pPr>
              <w:pStyle w:val="TableText"/>
              <w:keepNext/>
              <w:keepLines/>
              <w:jc w:val="center"/>
              <w:rPr>
                <w:b/>
                <w:szCs w:val="20"/>
              </w:rPr>
            </w:pPr>
            <w:r>
              <w:rPr>
                <w:b/>
                <w:szCs w:val="20"/>
              </w:rPr>
              <w:t>SOC</w:t>
            </w:r>
            <w:r w:rsidR="00A83CE3">
              <w:t xml:space="preserve"> </w:t>
            </w:r>
            <w:r w:rsidR="00A83CE3" w:rsidRPr="00A83CE3">
              <w:rPr>
                <w:b/>
                <w:szCs w:val="20"/>
              </w:rPr>
              <w:t>N=30</w:t>
            </w:r>
          </w:p>
        </w:tc>
      </w:tr>
      <w:tr w:rsidR="00CD71E3" w:rsidRPr="00C44C41" w14:paraId="5538DF98" w14:textId="77777777" w:rsidTr="001769D2">
        <w:trPr>
          <w:trHeight w:val="168"/>
        </w:trPr>
        <w:tc>
          <w:tcPr>
            <w:tcW w:w="5000" w:type="pct"/>
            <w:gridSpan w:val="9"/>
            <w:vAlign w:val="center"/>
          </w:tcPr>
          <w:p w14:paraId="71CCB496" w14:textId="21C128F0" w:rsidR="00CD71E3" w:rsidRPr="00F94AC5" w:rsidRDefault="00F94AC5" w:rsidP="00877B0C">
            <w:pPr>
              <w:pStyle w:val="TableText"/>
              <w:keepNext/>
              <w:keepLines/>
              <w:rPr>
                <w:b/>
                <w:bCs/>
              </w:rPr>
            </w:pPr>
            <w:r w:rsidRPr="00F94AC5">
              <w:rPr>
                <w:b/>
                <w:bCs/>
              </w:rPr>
              <w:t>Functional outcomes including p</w:t>
            </w:r>
            <w:r w:rsidR="00CD71E3" w:rsidRPr="00F94AC5">
              <w:rPr>
                <w:b/>
                <w:bCs/>
              </w:rPr>
              <w:t>atient reported outcomes</w:t>
            </w:r>
          </w:p>
        </w:tc>
      </w:tr>
      <w:tr w:rsidR="00BA2DE5" w:rsidRPr="00C44C41" w14:paraId="6CDB69C1" w14:textId="77777777" w:rsidTr="00BA2DE5">
        <w:trPr>
          <w:trHeight w:val="168"/>
        </w:trPr>
        <w:tc>
          <w:tcPr>
            <w:tcW w:w="5000" w:type="pct"/>
            <w:gridSpan w:val="9"/>
            <w:vAlign w:val="center"/>
          </w:tcPr>
          <w:p w14:paraId="14C88D24" w14:textId="5E51ECFF" w:rsidR="00BA2DE5" w:rsidRPr="00F013C5" w:rsidRDefault="00BA2DE5" w:rsidP="00877B0C">
            <w:pPr>
              <w:pStyle w:val="TableText"/>
              <w:keepNext/>
              <w:keepLines/>
              <w:rPr>
                <w:b/>
                <w:bCs/>
              </w:rPr>
            </w:pPr>
            <w:r w:rsidRPr="00B821D3">
              <w:rPr>
                <w:b/>
                <w:bCs/>
              </w:rPr>
              <w:t>ASES score</w:t>
            </w:r>
          </w:p>
        </w:tc>
      </w:tr>
      <w:tr w:rsidR="003261B0" w:rsidRPr="00F658DF" w14:paraId="0DAE7C1D" w14:textId="77777777" w:rsidTr="001769D2">
        <w:trPr>
          <w:trHeight w:val="168"/>
        </w:trPr>
        <w:tc>
          <w:tcPr>
            <w:tcW w:w="1100" w:type="pct"/>
            <w:vAlign w:val="center"/>
          </w:tcPr>
          <w:p w14:paraId="570F8E4D" w14:textId="2BA64434" w:rsidR="005225C5" w:rsidRPr="00C44C41" w:rsidRDefault="0072211D" w:rsidP="00877B0C">
            <w:pPr>
              <w:pStyle w:val="TableText"/>
              <w:keepNext/>
              <w:keepLines/>
            </w:pPr>
            <w:r>
              <w:t>M</w:t>
            </w:r>
            <w:r w:rsidR="005225C5">
              <w:t>edian (IQR)</w:t>
            </w:r>
          </w:p>
        </w:tc>
        <w:tc>
          <w:tcPr>
            <w:tcW w:w="471" w:type="pct"/>
          </w:tcPr>
          <w:p w14:paraId="0AD2F47F" w14:textId="24935B0E" w:rsidR="005225C5" w:rsidRPr="00F013C5" w:rsidRDefault="005225C5" w:rsidP="00877B0C">
            <w:pPr>
              <w:pStyle w:val="TableText"/>
              <w:keepNext/>
              <w:keepLines/>
              <w:jc w:val="center"/>
              <w:rPr>
                <w:b/>
                <w:bCs/>
              </w:rPr>
            </w:pPr>
            <w:r w:rsidRPr="00722F91">
              <w:t>49.0 (4.0)</w:t>
            </w:r>
          </w:p>
        </w:tc>
        <w:tc>
          <w:tcPr>
            <w:tcW w:w="472" w:type="pct"/>
          </w:tcPr>
          <w:p w14:paraId="59FA5B6A" w14:textId="4418EB99" w:rsidR="005225C5" w:rsidRPr="00F013C5" w:rsidRDefault="005225C5" w:rsidP="00877B0C">
            <w:pPr>
              <w:pStyle w:val="TableText"/>
              <w:keepNext/>
              <w:keepLines/>
              <w:jc w:val="center"/>
              <w:rPr>
                <w:b/>
                <w:bCs/>
              </w:rPr>
            </w:pPr>
            <w:r w:rsidRPr="00722F91">
              <w:t>48.0 (2.0)</w:t>
            </w:r>
          </w:p>
        </w:tc>
        <w:tc>
          <w:tcPr>
            <w:tcW w:w="471" w:type="pct"/>
          </w:tcPr>
          <w:p w14:paraId="7491E2F2" w14:textId="0B131950" w:rsidR="005225C5" w:rsidRPr="00F013C5" w:rsidRDefault="005225C5" w:rsidP="00877B0C">
            <w:pPr>
              <w:pStyle w:val="TableText"/>
              <w:keepNext/>
              <w:keepLines/>
              <w:jc w:val="center"/>
              <w:rPr>
                <w:b/>
                <w:bCs/>
              </w:rPr>
            </w:pPr>
            <w:r w:rsidRPr="00F013C5">
              <w:rPr>
                <w:b/>
                <w:bCs/>
              </w:rPr>
              <w:t>82.0 (5.0)</w:t>
            </w:r>
          </w:p>
        </w:tc>
        <w:tc>
          <w:tcPr>
            <w:tcW w:w="553" w:type="pct"/>
          </w:tcPr>
          <w:p w14:paraId="78C7C448" w14:textId="77777777" w:rsidR="00151BC1" w:rsidRDefault="005225C5" w:rsidP="00877B0C">
            <w:pPr>
              <w:pStyle w:val="TableText"/>
              <w:keepNext/>
              <w:keepLines/>
              <w:jc w:val="center"/>
              <w:rPr>
                <w:b/>
                <w:bCs/>
              </w:rPr>
            </w:pPr>
            <w:r w:rsidRPr="00F013C5">
              <w:rPr>
                <w:b/>
                <w:bCs/>
              </w:rPr>
              <w:t>68.0</w:t>
            </w:r>
          </w:p>
          <w:p w14:paraId="1BBC5E45" w14:textId="76BEC589" w:rsidR="005225C5" w:rsidRPr="00F013C5" w:rsidRDefault="005225C5" w:rsidP="00877B0C">
            <w:pPr>
              <w:pStyle w:val="TableText"/>
              <w:keepNext/>
              <w:keepLines/>
              <w:jc w:val="center"/>
              <w:rPr>
                <w:b/>
                <w:bCs/>
              </w:rPr>
            </w:pPr>
            <w:r w:rsidRPr="00F013C5">
              <w:rPr>
                <w:b/>
                <w:bCs/>
              </w:rPr>
              <w:t xml:space="preserve"> (5.0)</w:t>
            </w:r>
          </w:p>
        </w:tc>
        <w:tc>
          <w:tcPr>
            <w:tcW w:w="470" w:type="pct"/>
          </w:tcPr>
          <w:p w14:paraId="24793663" w14:textId="0FAD10CF" w:rsidR="005225C5" w:rsidRPr="00F013C5" w:rsidRDefault="005225C5" w:rsidP="00877B0C">
            <w:pPr>
              <w:pStyle w:val="TableText"/>
              <w:keepNext/>
              <w:keepLines/>
              <w:jc w:val="center"/>
              <w:rPr>
                <w:b/>
                <w:bCs/>
              </w:rPr>
            </w:pPr>
            <w:r w:rsidRPr="00F013C5">
              <w:rPr>
                <w:b/>
                <w:bCs/>
              </w:rPr>
              <w:t>87.0 (5.0)</w:t>
            </w:r>
          </w:p>
        </w:tc>
        <w:tc>
          <w:tcPr>
            <w:tcW w:w="472" w:type="pct"/>
          </w:tcPr>
          <w:p w14:paraId="59284C14" w14:textId="7D6A885F" w:rsidR="005225C5" w:rsidRPr="00F013C5" w:rsidRDefault="005225C5" w:rsidP="00877B0C">
            <w:pPr>
              <w:pStyle w:val="TableText"/>
              <w:keepNext/>
              <w:keepLines/>
              <w:jc w:val="center"/>
              <w:rPr>
                <w:b/>
                <w:bCs/>
              </w:rPr>
            </w:pPr>
            <w:r w:rsidRPr="00F013C5">
              <w:rPr>
                <w:b/>
                <w:bCs/>
              </w:rPr>
              <w:t>75.0 (2.0)</w:t>
            </w:r>
          </w:p>
        </w:tc>
        <w:tc>
          <w:tcPr>
            <w:tcW w:w="471" w:type="pct"/>
          </w:tcPr>
          <w:p w14:paraId="79FB8C7B" w14:textId="7AFEA709" w:rsidR="005225C5" w:rsidRPr="00F013C5" w:rsidRDefault="005225C5" w:rsidP="00877B0C">
            <w:pPr>
              <w:pStyle w:val="TableText"/>
              <w:keepNext/>
              <w:keepLines/>
              <w:jc w:val="center"/>
              <w:rPr>
                <w:b/>
                <w:bCs/>
              </w:rPr>
            </w:pPr>
            <w:r w:rsidRPr="00F013C5">
              <w:rPr>
                <w:b/>
                <w:bCs/>
              </w:rPr>
              <w:t>88.0 (5.0)</w:t>
            </w:r>
          </w:p>
        </w:tc>
        <w:tc>
          <w:tcPr>
            <w:tcW w:w="520" w:type="pct"/>
          </w:tcPr>
          <w:p w14:paraId="13F12C6A" w14:textId="77777777" w:rsidR="00151BC1" w:rsidRDefault="005225C5" w:rsidP="00877B0C">
            <w:pPr>
              <w:pStyle w:val="TableText"/>
              <w:keepNext/>
              <w:keepLines/>
              <w:jc w:val="center"/>
              <w:rPr>
                <w:b/>
                <w:bCs/>
              </w:rPr>
            </w:pPr>
            <w:r w:rsidRPr="00F013C5">
              <w:rPr>
                <w:b/>
                <w:bCs/>
              </w:rPr>
              <w:t xml:space="preserve">80.0 </w:t>
            </w:r>
          </w:p>
          <w:p w14:paraId="42493622" w14:textId="165AEE4C" w:rsidR="005225C5" w:rsidRPr="00F658DF" w:rsidRDefault="005225C5" w:rsidP="00877B0C">
            <w:pPr>
              <w:pStyle w:val="TableText"/>
              <w:keepNext/>
              <w:keepLines/>
              <w:jc w:val="center"/>
              <w:rPr>
                <w:b/>
                <w:bCs/>
              </w:rPr>
            </w:pPr>
            <w:r w:rsidRPr="00F013C5">
              <w:rPr>
                <w:b/>
                <w:bCs/>
              </w:rPr>
              <w:t>(5.0)</w:t>
            </w:r>
          </w:p>
        </w:tc>
      </w:tr>
      <w:tr w:rsidR="003261B0" w:rsidRPr="00F658DF" w14:paraId="41C88792" w14:textId="77777777" w:rsidTr="001769D2">
        <w:trPr>
          <w:trHeight w:val="168"/>
        </w:trPr>
        <w:tc>
          <w:tcPr>
            <w:tcW w:w="1100" w:type="pct"/>
            <w:vAlign w:val="center"/>
          </w:tcPr>
          <w:p w14:paraId="32D181FB" w14:textId="0CDF96D4" w:rsidR="005225C5" w:rsidRDefault="005225C5" w:rsidP="005225C5">
            <w:pPr>
              <w:pStyle w:val="TableText"/>
            </w:pPr>
            <w:r w:rsidRPr="005225C5">
              <w:t>Percentage of patients meeting the MCID</w:t>
            </w:r>
          </w:p>
        </w:tc>
        <w:tc>
          <w:tcPr>
            <w:tcW w:w="471" w:type="pct"/>
          </w:tcPr>
          <w:p w14:paraId="2A74457D" w14:textId="2A57475A" w:rsidR="005225C5" w:rsidRPr="00B821D3" w:rsidRDefault="005225C5" w:rsidP="005225C5">
            <w:pPr>
              <w:pStyle w:val="TableText"/>
              <w:jc w:val="center"/>
            </w:pPr>
            <w:r w:rsidRPr="00B821D3">
              <w:t>N/A</w:t>
            </w:r>
          </w:p>
        </w:tc>
        <w:tc>
          <w:tcPr>
            <w:tcW w:w="472" w:type="pct"/>
          </w:tcPr>
          <w:p w14:paraId="499A94F1" w14:textId="6937424E" w:rsidR="005225C5" w:rsidRPr="00B821D3" w:rsidRDefault="005225C5" w:rsidP="005225C5">
            <w:pPr>
              <w:pStyle w:val="TableText"/>
              <w:jc w:val="center"/>
            </w:pPr>
            <w:r w:rsidRPr="00B821D3">
              <w:t>N/A</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A50B4CC" w14:textId="0553AB0C" w:rsidR="005225C5" w:rsidRPr="00F013C5" w:rsidRDefault="005225C5" w:rsidP="005225C5">
            <w:pPr>
              <w:pStyle w:val="TableText"/>
              <w:jc w:val="center"/>
              <w:rPr>
                <w:b/>
                <w:bCs/>
              </w:rPr>
            </w:pPr>
            <w:r w:rsidRPr="00634E65">
              <w:rPr>
                <w:szCs w:val="20"/>
              </w:rPr>
              <w:t>30 (100%)</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534C862" w14:textId="39748DFC" w:rsidR="005225C5" w:rsidRPr="00F013C5" w:rsidRDefault="005225C5" w:rsidP="005225C5">
            <w:pPr>
              <w:pStyle w:val="TableText"/>
              <w:jc w:val="center"/>
              <w:rPr>
                <w:b/>
                <w:bCs/>
              </w:rPr>
            </w:pPr>
            <w:r w:rsidRPr="00634E65">
              <w:rPr>
                <w:szCs w:val="20"/>
              </w:rPr>
              <w:t>29 (96.7%</w:t>
            </w:r>
            <w:r w:rsidR="0072211D">
              <w:rPr>
                <w:szCs w:val="20"/>
              </w:rPr>
              <w: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4F81C03" w14:textId="397BB368" w:rsidR="005225C5" w:rsidRPr="00F013C5" w:rsidRDefault="005225C5" w:rsidP="005225C5">
            <w:pPr>
              <w:pStyle w:val="TableText"/>
              <w:jc w:val="center"/>
              <w:rPr>
                <w:b/>
                <w:bCs/>
              </w:rPr>
            </w:pPr>
            <w:r w:rsidRPr="00634E65">
              <w:rPr>
                <w:szCs w:val="20"/>
              </w:rPr>
              <w:t>30 (100%)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5D5772B5" w14:textId="599E6756" w:rsidR="005225C5" w:rsidRPr="00F013C5" w:rsidRDefault="005225C5" w:rsidP="005225C5">
            <w:pPr>
              <w:pStyle w:val="TableText"/>
              <w:jc w:val="center"/>
              <w:rPr>
                <w:b/>
                <w:bCs/>
              </w:rPr>
            </w:pPr>
            <w:r w:rsidRPr="00634E65">
              <w:rPr>
                <w:szCs w:val="20"/>
              </w:rPr>
              <w:t>30 (100%)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ED87EDD" w14:textId="123A8DB7" w:rsidR="005225C5" w:rsidRPr="00F013C5" w:rsidRDefault="005225C5" w:rsidP="005225C5">
            <w:pPr>
              <w:pStyle w:val="TableText"/>
              <w:jc w:val="center"/>
              <w:rPr>
                <w:b/>
                <w:bCs/>
              </w:rPr>
            </w:pPr>
            <w:r w:rsidRPr="00634E65">
              <w:rPr>
                <w:szCs w:val="20"/>
              </w:rPr>
              <w:t>30 (100%)</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5287E0D1" w14:textId="6B5B6A43" w:rsidR="005225C5" w:rsidRPr="00F658DF" w:rsidRDefault="005225C5" w:rsidP="005225C5">
            <w:pPr>
              <w:pStyle w:val="TableText"/>
              <w:jc w:val="center"/>
              <w:rPr>
                <w:b/>
                <w:bCs/>
              </w:rPr>
            </w:pPr>
            <w:r w:rsidRPr="00634E65">
              <w:rPr>
                <w:szCs w:val="20"/>
              </w:rPr>
              <w:t>30 (100%)</w:t>
            </w:r>
          </w:p>
        </w:tc>
      </w:tr>
      <w:tr w:rsidR="003261B0" w:rsidRPr="00F658DF" w14:paraId="22046932" w14:textId="77777777" w:rsidTr="001769D2">
        <w:trPr>
          <w:trHeight w:val="631"/>
        </w:trPr>
        <w:tc>
          <w:tcPr>
            <w:tcW w:w="1100" w:type="pct"/>
            <w:vAlign w:val="center"/>
          </w:tcPr>
          <w:p w14:paraId="3BC3C01B" w14:textId="387CD0CA" w:rsidR="00FE7893" w:rsidRDefault="00FE7893" w:rsidP="00FE7893">
            <w:pPr>
              <w:pStyle w:val="TableText"/>
            </w:pPr>
            <w:r w:rsidRPr="005225C5">
              <w:t xml:space="preserve">Percentage of patients meeting the </w:t>
            </w:r>
            <w:r>
              <w:t>SCB</w:t>
            </w:r>
          </w:p>
        </w:tc>
        <w:tc>
          <w:tcPr>
            <w:tcW w:w="471" w:type="pct"/>
          </w:tcPr>
          <w:p w14:paraId="5FAD9A08" w14:textId="77D95E55" w:rsidR="00FE7893" w:rsidRPr="00B821D3" w:rsidRDefault="00FE7893" w:rsidP="00FE7893">
            <w:pPr>
              <w:pStyle w:val="TableText"/>
              <w:jc w:val="center"/>
            </w:pPr>
            <w:r w:rsidRPr="00B821D3">
              <w:t>N/A</w:t>
            </w:r>
          </w:p>
        </w:tc>
        <w:tc>
          <w:tcPr>
            <w:tcW w:w="472" w:type="pct"/>
          </w:tcPr>
          <w:p w14:paraId="21FB1706" w14:textId="78FFA754" w:rsidR="00FE7893" w:rsidRPr="00B821D3" w:rsidRDefault="00FE7893" w:rsidP="00FE7893">
            <w:pPr>
              <w:pStyle w:val="TableText"/>
              <w:jc w:val="center"/>
            </w:pPr>
            <w:r w:rsidRPr="00B821D3">
              <w:t>N/A</w:t>
            </w:r>
          </w:p>
        </w:tc>
        <w:tc>
          <w:tcPr>
            <w:tcW w:w="471" w:type="pct"/>
          </w:tcPr>
          <w:p w14:paraId="38AF0D28" w14:textId="113D291C" w:rsidR="00FE7893" w:rsidRPr="00B821D3" w:rsidRDefault="00FE7893" w:rsidP="00FE7893">
            <w:pPr>
              <w:pStyle w:val="TableText"/>
              <w:jc w:val="center"/>
            </w:pPr>
            <w:r w:rsidRPr="00B821D3">
              <w:t>30 (100%)</w:t>
            </w:r>
          </w:p>
        </w:tc>
        <w:tc>
          <w:tcPr>
            <w:tcW w:w="553" w:type="pct"/>
          </w:tcPr>
          <w:p w14:paraId="2E98986A" w14:textId="1618A44C" w:rsidR="00FE7893" w:rsidRPr="00B821D3" w:rsidRDefault="00FE7893" w:rsidP="00FE7893">
            <w:pPr>
              <w:pStyle w:val="TableText"/>
              <w:jc w:val="center"/>
            </w:pPr>
            <w:r w:rsidRPr="00B821D3">
              <w:t>26 (86.67%)</w:t>
            </w:r>
          </w:p>
        </w:tc>
        <w:tc>
          <w:tcPr>
            <w:tcW w:w="470" w:type="pct"/>
            <w:tcBorders>
              <w:top w:val="single" w:sz="4" w:space="0" w:color="auto"/>
              <w:left w:val="single" w:sz="4" w:space="0" w:color="auto"/>
              <w:bottom w:val="single" w:sz="4" w:space="0" w:color="auto"/>
              <w:right w:val="single" w:sz="4" w:space="0" w:color="auto"/>
            </w:tcBorders>
          </w:tcPr>
          <w:p w14:paraId="2F1BEF07" w14:textId="20133D3D" w:rsidR="00FE7893" w:rsidRPr="00F013C5" w:rsidRDefault="00FE7893" w:rsidP="00FE7893">
            <w:pPr>
              <w:pStyle w:val="TableText"/>
              <w:jc w:val="center"/>
              <w:rPr>
                <w:b/>
                <w:bCs/>
              </w:rPr>
            </w:pPr>
            <w:r w:rsidRPr="00634E65">
              <w:rPr>
                <w:szCs w:val="20"/>
              </w:rPr>
              <w:t>30 (100%)</w:t>
            </w:r>
          </w:p>
        </w:tc>
        <w:tc>
          <w:tcPr>
            <w:tcW w:w="472" w:type="pct"/>
            <w:tcBorders>
              <w:top w:val="single" w:sz="4" w:space="0" w:color="auto"/>
              <w:left w:val="single" w:sz="4" w:space="0" w:color="auto"/>
              <w:bottom w:val="single" w:sz="4" w:space="0" w:color="auto"/>
              <w:right w:val="single" w:sz="4" w:space="0" w:color="auto"/>
            </w:tcBorders>
          </w:tcPr>
          <w:p w14:paraId="5DADB52F" w14:textId="1D211EC2" w:rsidR="00FE7893" w:rsidRPr="00F013C5" w:rsidRDefault="00FE7893" w:rsidP="00FE7893">
            <w:pPr>
              <w:pStyle w:val="TableText"/>
              <w:jc w:val="center"/>
              <w:rPr>
                <w:b/>
                <w:bCs/>
              </w:rPr>
            </w:pPr>
            <w:r w:rsidRPr="00634E65">
              <w:rPr>
                <w:szCs w:val="20"/>
              </w:rPr>
              <w:t>30 (100%)</w:t>
            </w:r>
          </w:p>
        </w:tc>
        <w:tc>
          <w:tcPr>
            <w:tcW w:w="471" w:type="pct"/>
            <w:tcBorders>
              <w:top w:val="single" w:sz="4" w:space="0" w:color="auto"/>
              <w:left w:val="single" w:sz="4" w:space="0" w:color="auto"/>
              <w:bottom w:val="single" w:sz="4" w:space="0" w:color="auto"/>
              <w:right w:val="single" w:sz="4" w:space="0" w:color="auto"/>
            </w:tcBorders>
          </w:tcPr>
          <w:p w14:paraId="6C0CBD83" w14:textId="1066E9C4" w:rsidR="00FE7893" w:rsidRPr="00F013C5" w:rsidRDefault="00FE7893" w:rsidP="00FE7893">
            <w:pPr>
              <w:pStyle w:val="TableText"/>
              <w:jc w:val="center"/>
              <w:rPr>
                <w:b/>
                <w:bCs/>
              </w:rPr>
            </w:pPr>
            <w:r w:rsidRPr="00634E65">
              <w:rPr>
                <w:szCs w:val="20"/>
              </w:rPr>
              <w:t>30 (100%)</w:t>
            </w:r>
          </w:p>
        </w:tc>
        <w:tc>
          <w:tcPr>
            <w:tcW w:w="520" w:type="pct"/>
            <w:tcBorders>
              <w:top w:val="single" w:sz="4" w:space="0" w:color="auto"/>
              <w:left w:val="single" w:sz="4" w:space="0" w:color="auto"/>
              <w:bottom w:val="single" w:sz="4" w:space="0" w:color="auto"/>
              <w:right w:val="single" w:sz="4" w:space="0" w:color="auto"/>
            </w:tcBorders>
          </w:tcPr>
          <w:p w14:paraId="3FCF4AF1" w14:textId="5722B701" w:rsidR="00FE7893" w:rsidRPr="00F658DF" w:rsidRDefault="00FE7893" w:rsidP="00FE7893">
            <w:pPr>
              <w:pStyle w:val="TableText"/>
              <w:jc w:val="center"/>
              <w:rPr>
                <w:b/>
                <w:bCs/>
              </w:rPr>
            </w:pPr>
            <w:r w:rsidRPr="00634E65">
              <w:rPr>
                <w:szCs w:val="20"/>
              </w:rPr>
              <w:t>30 (100%)</w:t>
            </w:r>
          </w:p>
        </w:tc>
      </w:tr>
      <w:tr w:rsidR="00BA2DE5" w:rsidRPr="00F658DF" w14:paraId="2B585726" w14:textId="77777777" w:rsidTr="00BA2DE5">
        <w:trPr>
          <w:trHeight w:val="168"/>
        </w:trPr>
        <w:tc>
          <w:tcPr>
            <w:tcW w:w="5000" w:type="pct"/>
            <w:gridSpan w:val="9"/>
            <w:vAlign w:val="center"/>
          </w:tcPr>
          <w:p w14:paraId="4EB25AF5" w14:textId="5055E604" w:rsidR="00BA2DE5" w:rsidRPr="00F658DF" w:rsidRDefault="00BA2DE5" w:rsidP="00B821D3">
            <w:pPr>
              <w:pStyle w:val="TableText"/>
              <w:rPr>
                <w:b/>
                <w:bCs/>
              </w:rPr>
            </w:pPr>
            <w:r w:rsidRPr="00B821D3">
              <w:rPr>
                <w:b/>
                <w:bCs/>
              </w:rPr>
              <w:t>CMS score</w:t>
            </w:r>
          </w:p>
        </w:tc>
      </w:tr>
      <w:tr w:rsidR="003261B0" w:rsidRPr="00F658DF" w14:paraId="2C508FB1" w14:textId="77777777" w:rsidTr="001769D2">
        <w:trPr>
          <w:trHeight w:val="168"/>
        </w:trPr>
        <w:tc>
          <w:tcPr>
            <w:tcW w:w="1100" w:type="pct"/>
            <w:vAlign w:val="center"/>
          </w:tcPr>
          <w:p w14:paraId="03EA72C4" w14:textId="4777D51D" w:rsidR="00FE7893" w:rsidRDefault="0072211D" w:rsidP="00FE7893">
            <w:pPr>
              <w:pStyle w:val="TableText"/>
            </w:pPr>
            <w:r>
              <w:t>M</w:t>
            </w:r>
            <w:r w:rsidR="00FE7893" w:rsidRPr="00A22D4E">
              <w:t>edian (IQR)</w:t>
            </w:r>
          </w:p>
        </w:tc>
        <w:tc>
          <w:tcPr>
            <w:tcW w:w="471" w:type="pct"/>
          </w:tcPr>
          <w:p w14:paraId="544185F8" w14:textId="11E2E947" w:rsidR="00FE7893" w:rsidRPr="00F013C5" w:rsidRDefault="00FE7893" w:rsidP="00FE7893">
            <w:pPr>
              <w:pStyle w:val="TableText"/>
              <w:jc w:val="center"/>
              <w:rPr>
                <w:b/>
                <w:bCs/>
              </w:rPr>
            </w:pPr>
            <w:r w:rsidRPr="00F013C5">
              <w:rPr>
                <w:b/>
                <w:bCs/>
              </w:rPr>
              <w:t>59.0 (2.0)</w:t>
            </w:r>
          </w:p>
        </w:tc>
        <w:tc>
          <w:tcPr>
            <w:tcW w:w="472" w:type="pct"/>
          </w:tcPr>
          <w:p w14:paraId="70BD60D8" w14:textId="491BF467" w:rsidR="00FE7893" w:rsidRPr="00F013C5" w:rsidRDefault="00FE7893" w:rsidP="00FE7893">
            <w:pPr>
              <w:pStyle w:val="TableText"/>
              <w:jc w:val="center"/>
              <w:rPr>
                <w:b/>
                <w:bCs/>
              </w:rPr>
            </w:pPr>
            <w:r w:rsidRPr="00F013C5">
              <w:rPr>
                <w:b/>
                <w:bCs/>
              </w:rPr>
              <w:t>57.0 (4.0)</w:t>
            </w:r>
          </w:p>
        </w:tc>
        <w:tc>
          <w:tcPr>
            <w:tcW w:w="471" w:type="pct"/>
          </w:tcPr>
          <w:p w14:paraId="2C3931EF" w14:textId="507BE251" w:rsidR="00FE7893" w:rsidRPr="00F013C5" w:rsidRDefault="00FE7893" w:rsidP="00FE7893">
            <w:pPr>
              <w:pStyle w:val="TableText"/>
              <w:jc w:val="center"/>
              <w:rPr>
                <w:b/>
                <w:bCs/>
              </w:rPr>
            </w:pPr>
            <w:r w:rsidRPr="00F013C5">
              <w:rPr>
                <w:b/>
                <w:bCs/>
              </w:rPr>
              <w:t>76.0 (4.0)</w:t>
            </w:r>
          </w:p>
        </w:tc>
        <w:tc>
          <w:tcPr>
            <w:tcW w:w="553" w:type="pct"/>
          </w:tcPr>
          <w:p w14:paraId="3DFBC7BA" w14:textId="77777777" w:rsidR="00151BC1" w:rsidRDefault="00FE7893" w:rsidP="00FE7893">
            <w:pPr>
              <w:pStyle w:val="TableText"/>
              <w:jc w:val="center"/>
              <w:rPr>
                <w:b/>
                <w:bCs/>
              </w:rPr>
            </w:pPr>
            <w:r w:rsidRPr="00F013C5">
              <w:rPr>
                <w:b/>
                <w:bCs/>
              </w:rPr>
              <w:t>63.0</w:t>
            </w:r>
          </w:p>
          <w:p w14:paraId="293D7438" w14:textId="1D8CCF5C" w:rsidR="00FE7893" w:rsidRPr="00F013C5" w:rsidRDefault="00FE7893" w:rsidP="00FE7893">
            <w:pPr>
              <w:pStyle w:val="TableText"/>
              <w:jc w:val="center"/>
              <w:rPr>
                <w:b/>
                <w:bCs/>
              </w:rPr>
            </w:pPr>
            <w:r w:rsidRPr="00F013C5">
              <w:rPr>
                <w:b/>
                <w:bCs/>
              </w:rPr>
              <w:t xml:space="preserve"> (5.0)</w:t>
            </w:r>
          </w:p>
        </w:tc>
        <w:tc>
          <w:tcPr>
            <w:tcW w:w="470" w:type="pct"/>
          </w:tcPr>
          <w:p w14:paraId="35A04C61" w14:textId="6F612BA8" w:rsidR="00FE7893" w:rsidRPr="00F013C5" w:rsidRDefault="00FE7893" w:rsidP="00FE7893">
            <w:pPr>
              <w:pStyle w:val="TableText"/>
              <w:jc w:val="center"/>
              <w:rPr>
                <w:b/>
                <w:bCs/>
              </w:rPr>
            </w:pPr>
            <w:r w:rsidRPr="00F013C5">
              <w:rPr>
                <w:b/>
                <w:bCs/>
              </w:rPr>
              <w:t>86.0 (5.0)</w:t>
            </w:r>
          </w:p>
        </w:tc>
        <w:tc>
          <w:tcPr>
            <w:tcW w:w="472" w:type="pct"/>
          </w:tcPr>
          <w:p w14:paraId="619EFC61" w14:textId="7DD4B048" w:rsidR="00FE7893" w:rsidRPr="00F013C5" w:rsidRDefault="00FE7893" w:rsidP="00FE7893">
            <w:pPr>
              <w:pStyle w:val="TableText"/>
              <w:jc w:val="center"/>
              <w:rPr>
                <w:b/>
                <w:bCs/>
              </w:rPr>
            </w:pPr>
            <w:r w:rsidRPr="00F013C5">
              <w:rPr>
                <w:b/>
                <w:bCs/>
              </w:rPr>
              <w:t>72.0 (4.0)</w:t>
            </w:r>
          </w:p>
        </w:tc>
        <w:tc>
          <w:tcPr>
            <w:tcW w:w="471" w:type="pct"/>
          </w:tcPr>
          <w:p w14:paraId="2B44F898" w14:textId="637BBBDB" w:rsidR="00FE7893" w:rsidRPr="00F013C5" w:rsidRDefault="00FE7893" w:rsidP="00FE7893">
            <w:pPr>
              <w:pStyle w:val="TableText"/>
              <w:jc w:val="center"/>
              <w:rPr>
                <w:b/>
                <w:bCs/>
              </w:rPr>
            </w:pPr>
            <w:r w:rsidRPr="00F013C5">
              <w:rPr>
                <w:b/>
                <w:bCs/>
              </w:rPr>
              <w:t>88.0 (2.0)</w:t>
            </w:r>
          </w:p>
        </w:tc>
        <w:tc>
          <w:tcPr>
            <w:tcW w:w="520" w:type="pct"/>
          </w:tcPr>
          <w:p w14:paraId="75CB44ED" w14:textId="125BFCB2" w:rsidR="00151BC1" w:rsidRDefault="00FE7893" w:rsidP="00FE7893">
            <w:pPr>
              <w:pStyle w:val="TableText"/>
              <w:jc w:val="center"/>
              <w:rPr>
                <w:b/>
                <w:bCs/>
              </w:rPr>
            </w:pPr>
            <w:r w:rsidRPr="00F658DF">
              <w:rPr>
                <w:b/>
                <w:bCs/>
              </w:rPr>
              <w:t>7</w:t>
            </w:r>
            <w:r w:rsidR="001769D2">
              <w:rPr>
                <w:b/>
                <w:bCs/>
              </w:rPr>
              <w:t>7</w:t>
            </w:r>
            <w:r w:rsidRPr="00F658DF">
              <w:rPr>
                <w:b/>
                <w:bCs/>
              </w:rPr>
              <w:t xml:space="preserve">.0 </w:t>
            </w:r>
          </w:p>
          <w:p w14:paraId="1001B384" w14:textId="6DB938F7" w:rsidR="00FE7893" w:rsidRPr="00F658DF" w:rsidRDefault="00FE7893" w:rsidP="00FE7893">
            <w:pPr>
              <w:pStyle w:val="TableText"/>
              <w:jc w:val="center"/>
              <w:rPr>
                <w:b/>
                <w:bCs/>
              </w:rPr>
            </w:pPr>
            <w:r w:rsidRPr="00F658DF">
              <w:rPr>
                <w:b/>
                <w:bCs/>
              </w:rPr>
              <w:t>(3.0)</w:t>
            </w:r>
          </w:p>
        </w:tc>
      </w:tr>
      <w:tr w:rsidR="003261B0" w:rsidRPr="00F658DF" w14:paraId="4C328667" w14:textId="77777777" w:rsidTr="001769D2">
        <w:trPr>
          <w:trHeight w:val="168"/>
        </w:trPr>
        <w:tc>
          <w:tcPr>
            <w:tcW w:w="1100" w:type="pct"/>
            <w:vAlign w:val="center"/>
          </w:tcPr>
          <w:p w14:paraId="61A18487" w14:textId="5935DD95" w:rsidR="00FE7893" w:rsidRDefault="00FE7893" w:rsidP="00FE7893">
            <w:pPr>
              <w:pStyle w:val="TableText"/>
            </w:pPr>
            <w:r w:rsidRPr="005225C5">
              <w:t>Percentage of patients meeting the MCID</w:t>
            </w:r>
          </w:p>
        </w:tc>
        <w:tc>
          <w:tcPr>
            <w:tcW w:w="471" w:type="pct"/>
          </w:tcPr>
          <w:p w14:paraId="0C6622E3" w14:textId="1A4240E2" w:rsidR="00FE7893" w:rsidRPr="00B821D3" w:rsidRDefault="00FE7893" w:rsidP="00FE7893">
            <w:pPr>
              <w:pStyle w:val="TableText"/>
              <w:jc w:val="center"/>
            </w:pPr>
            <w:r w:rsidRPr="00B821D3">
              <w:t>N/A</w:t>
            </w:r>
          </w:p>
        </w:tc>
        <w:tc>
          <w:tcPr>
            <w:tcW w:w="472" w:type="pct"/>
          </w:tcPr>
          <w:p w14:paraId="45550AE6" w14:textId="0DBD0265" w:rsidR="00FE7893" w:rsidRPr="00B821D3" w:rsidRDefault="00FE7893" w:rsidP="00FE7893">
            <w:pPr>
              <w:pStyle w:val="TableText"/>
              <w:jc w:val="center"/>
            </w:pPr>
            <w:r w:rsidRPr="00B821D3">
              <w:t>N/A</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A8FE861" w14:textId="19B7EFF9" w:rsidR="00FE7893" w:rsidRPr="00F013C5" w:rsidRDefault="00FE7893" w:rsidP="00FE7893">
            <w:pPr>
              <w:pStyle w:val="TableText"/>
              <w:jc w:val="center"/>
              <w:rPr>
                <w:b/>
                <w:bCs/>
              </w:rPr>
            </w:pPr>
            <w:r w:rsidRPr="00634E65">
              <w:rPr>
                <w:szCs w:val="20"/>
              </w:rPr>
              <w:t>30 (100%)</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DD2AE60" w14:textId="407DEB04" w:rsidR="00FE7893" w:rsidRPr="00F013C5" w:rsidRDefault="00FE7893" w:rsidP="00FE7893">
            <w:pPr>
              <w:pStyle w:val="TableText"/>
              <w:jc w:val="center"/>
              <w:rPr>
                <w:b/>
                <w:bCs/>
              </w:rPr>
            </w:pPr>
            <w:r w:rsidRPr="00634E65">
              <w:rPr>
                <w:szCs w:val="20"/>
              </w:rPr>
              <w:t>5 (16.67%)</w:t>
            </w:r>
          </w:p>
        </w:tc>
        <w:tc>
          <w:tcPr>
            <w:tcW w:w="470" w:type="pct"/>
            <w:tcBorders>
              <w:top w:val="single" w:sz="4" w:space="0" w:color="auto"/>
              <w:left w:val="single" w:sz="4" w:space="0" w:color="auto"/>
              <w:bottom w:val="single" w:sz="4" w:space="0" w:color="auto"/>
              <w:right w:val="single" w:sz="4" w:space="0" w:color="auto"/>
            </w:tcBorders>
          </w:tcPr>
          <w:p w14:paraId="06786A40" w14:textId="1DCFE0F2" w:rsidR="00FE7893" w:rsidRPr="00F013C5" w:rsidRDefault="00FE7893" w:rsidP="00FE7893">
            <w:pPr>
              <w:pStyle w:val="TableText"/>
              <w:jc w:val="center"/>
              <w:rPr>
                <w:b/>
                <w:bCs/>
              </w:rPr>
            </w:pPr>
            <w:r w:rsidRPr="00634E65">
              <w:rPr>
                <w:szCs w:val="20"/>
              </w:rPr>
              <w:t>30 (100%)</w:t>
            </w:r>
          </w:p>
        </w:tc>
        <w:tc>
          <w:tcPr>
            <w:tcW w:w="472" w:type="pct"/>
            <w:tcBorders>
              <w:top w:val="single" w:sz="4" w:space="0" w:color="auto"/>
              <w:left w:val="single" w:sz="4" w:space="0" w:color="auto"/>
              <w:bottom w:val="single" w:sz="4" w:space="0" w:color="auto"/>
              <w:right w:val="single" w:sz="4" w:space="0" w:color="auto"/>
            </w:tcBorders>
          </w:tcPr>
          <w:p w14:paraId="5490D6C4" w14:textId="4AF55B96" w:rsidR="00FE7893" w:rsidRPr="00F013C5" w:rsidRDefault="00FE7893" w:rsidP="00FE7893">
            <w:pPr>
              <w:pStyle w:val="TableText"/>
              <w:jc w:val="center"/>
              <w:rPr>
                <w:b/>
                <w:bCs/>
              </w:rPr>
            </w:pPr>
            <w:r w:rsidRPr="00634E65">
              <w:rPr>
                <w:szCs w:val="20"/>
              </w:rPr>
              <w:t>30 (100%)</w:t>
            </w:r>
          </w:p>
        </w:tc>
        <w:tc>
          <w:tcPr>
            <w:tcW w:w="471" w:type="pct"/>
            <w:tcBorders>
              <w:top w:val="single" w:sz="4" w:space="0" w:color="auto"/>
              <w:left w:val="single" w:sz="4" w:space="0" w:color="auto"/>
              <w:bottom w:val="single" w:sz="4" w:space="0" w:color="auto"/>
              <w:right w:val="single" w:sz="4" w:space="0" w:color="auto"/>
            </w:tcBorders>
          </w:tcPr>
          <w:p w14:paraId="538BFBE9" w14:textId="00DE4B2B" w:rsidR="00FE7893" w:rsidRPr="00F013C5" w:rsidRDefault="00FE7893" w:rsidP="00FE7893">
            <w:pPr>
              <w:pStyle w:val="TableText"/>
              <w:jc w:val="center"/>
              <w:rPr>
                <w:b/>
                <w:bCs/>
              </w:rPr>
            </w:pPr>
            <w:r w:rsidRPr="00634E65">
              <w:rPr>
                <w:szCs w:val="20"/>
              </w:rPr>
              <w:t>30 (100%)</w:t>
            </w:r>
          </w:p>
        </w:tc>
        <w:tc>
          <w:tcPr>
            <w:tcW w:w="520" w:type="pct"/>
            <w:tcBorders>
              <w:top w:val="single" w:sz="4" w:space="0" w:color="auto"/>
              <w:left w:val="single" w:sz="4" w:space="0" w:color="auto"/>
              <w:bottom w:val="single" w:sz="4" w:space="0" w:color="auto"/>
              <w:right w:val="single" w:sz="4" w:space="0" w:color="auto"/>
            </w:tcBorders>
          </w:tcPr>
          <w:p w14:paraId="3C4C0A43" w14:textId="6AF66DD6" w:rsidR="00FE7893" w:rsidRPr="00F658DF" w:rsidRDefault="00FE7893" w:rsidP="00FE7893">
            <w:pPr>
              <w:pStyle w:val="TableText"/>
              <w:jc w:val="center"/>
              <w:rPr>
                <w:b/>
                <w:bCs/>
              </w:rPr>
            </w:pPr>
            <w:r w:rsidRPr="00634E65">
              <w:rPr>
                <w:szCs w:val="20"/>
              </w:rPr>
              <w:t>30 (100%)</w:t>
            </w:r>
          </w:p>
        </w:tc>
      </w:tr>
      <w:tr w:rsidR="003261B0" w:rsidRPr="00F658DF" w14:paraId="708BC48F" w14:textId="77777777" w:rsidTr="001769D2">
        <w:trPr>
          <w:trHeight w:val="168"/>
        </w:trPr>
        <w:tc>
          <w:tcPr>
            <w:tcW w:w="1100" w:type="pct"/>
            <w:vAlign w:val="center"/>
          </w:tcPr>
          <w:p w14:paraId="713F926A" w14:textId="02827FF7" w:rsidR="00FE7893" w:rsidRDefault="00FE7893" w:rsidP="00FE7893">
            <w:pPr>
              <w:pStyle w:val="TableText"/>
            </w:pPr>
            <w:r w:rsidRPr="005225C5">
              <w:t xml:space="preserve">Percentage of patients meeting the </w:t>
            </w:r>
            <w:r>
              <w:t>SCB</w:t>
            </w:r>
          </w:p>
        </w:tc>
        <w:tc>
          <w:tcPr>
            <w:tcW w:w="471" w:type="pct"/>
          </w:tcPr>
          <w:p w14:paraId="2EE0DD0D" w14:textId="62E07029" w:rsidR="00FE7893" w:rsidRPr="00B821D3" w:rsidRDefault="00FE7893" w:rsidP="00FE7893">
            <w:pPr>
              <w:pStyle w:val="TableText"/>
              <w:jc w:val="center"/>
            </w:pPr>
            <w:r w:rsidRPr="00B821D3">
              <w:t>N/A</w:t>
            </w:r>
          </w:p>
        </w:tc>
        <w:tc>
          <w:tcPr>
            <w:tcW w:w="472" w:type="pct"/>
          </w:tcPr>
          <w:p w14:paraId="038D0EF9" w14:textId="6BACF28E" w:rsidR="00FE7893" w:rsidRPr="00B821D3" w:rsidRDefault="00FE7893" w:rsidP="00FE7893">
            <w:pPr>
              <w:pStyle w:val="TableText"/>
              <w:jc w:val="center"/>
            </w:pPr>
            <w:r w:rsidRPr="00B821D3">
              <w:t>N/A</w:t>
            </w:r>
          </w:p>
        </w:tc>
        <w:tc>
          <w:tcPr>
            <w:tcW w:w="471" w:type="pct"/>
            <w:tcBorders>
              <w:top w:val="single" w:sz="4" w:space="0" w:color="auto"/>
              <w:left w:val="single" w:sz="4" w:space="0" w:color="auto"/>
              <w:bottom w:val="single" w:sz="4" w:space="0" w:color="auto"/>
              <w:right w:val="single" w:sz="4" w:space="0" w:color="auto"/>
            </w:tcBorders>
          </w:tcPr>
          <w:p w14:paraId="5584125D" w14:textId="42C1A0E1" w:rsidR="00FE7893" w:rsidRPr="00F013C5" w:rsidRDefault="00FE7893" w:rsidP="00FE7893">
            <w:pPr>
              <w:pStyle w:val="TableText"/>
              <w:jc w:val="center"/>
              <w:rPr>
                <w:b/>
                <w:bCs/>
              </w:rPr>
            </w:pPr>
            <w:r w:rsidRPr="00634E65">
              <w:rPr>
                <w:szCs w:val="20"/>
              </w:rPr>
              <w:t>30 (100%)</w:t>
            </w:r>
          </w:p>
        </w:tc>
        <w:tc>
          <w:tcPr>
            <w:tcW w:w="553" w:type="pct"/>
            <w:tcBorders>
              <w:top w:val="single" w:sz="4" w:space="0" w:color="auto"/>
              <w:left w:val="single" w:sz="4" w:space="0" w:color="auto"/>
              <w:bottom w:val="single" w:sz="4" w:space="0" w:color="auto"/>
              <w:right w:val="single" w:sz="4" w:space="0" w:color="auto"/>
            </w:tcBorders>
          </w:tcPr>
          <w:p w14:paraId="46C1648F" w14:textId="1945BEEB" w:rsidR="00FE7893" w:rsidRPr="00F013C5" w:rsidRDefault="00FE7893" w:rsidP="00FE7893">
            <w:pPr>
              <w:pStyle w:val="TableText"/>
              <w:jc w:val="center"/>
              <w:rPr>
                <w:b/>
                <w:bCs/>
              </w:rPr>
            </w:pPr>
            <w:r w:rsidRPr="00634E65">
              <w:rPr>
                <w:szCs w:val="20"/>
              </w:rPr>
              <w:t>20 (66.67%)</w:t>
            </w:r>
          </w:p>
        </w:tc>
        <w:tc>
          <w:tcPr>
            <w:tcW w:w="470" w:type="pct"/>
            <w:tcBorders>
              <w:top w:val="single" w:sz="4" w:space="0" w:color="auto"/>
              <w:left w:val="single" w:sz="4" w:space="0" w:color="auto"/>
              <w:bottom w:val="single" w:sz="4" w:space="0" w:color="auto"/>
              <w:right w:val="single" w:sz="4" w:space="0" w:color="auto"/>
            </w:tcBorders>
          </w:tcPr>
          <w:p w14:paraId="043B9593" w14:textId="048C9515" w:rsidR="00FE7893" w:rsidRPr="00F013C5" w:rsidRDefault="00FE7893" w:rsidP="00FE7893">
            <w:pPr>
              <w:pStyle w:val="TableText"/>
              <w:jc w:val="center"/>
              <w:rPr>
                <w:b/>
                <w:bCs/>
              </w:rPr>
            </w:pPr>
            <w:r w:rsidRPr="00634E65">
              <w:rPr>
                <w:szCs w:val="20"/>
              </w:rPr>
              <w:t>30 (100%)</w:t>
            </w:r>
          </w:p>
        </w:tc>
        <w:tc>
          <w:tcPr>
            <w:tcW w:w="472" w:type="pct"/>
            <w:tcBorders>
              <w:top w:val="single" w:sz="4" w:space="0" w:color="auto"/>
              <w:left w:val="single" w:sz="4" w:space="0" w:color="auto"/>
              <w:bottom w:val="single" w:sz="4" w:space="0" w:color="auto"/>
              <w:right w:val="single" w:sz="4" w:space="0" w:color="auto"/>
            </w:tcBorders>
          </w:tcPr>
          <w:p w14:paraId="7CE5D0C9" w14:textId="203FF610" w:rsidR="00FE7893" w:rsidRPr="00F013C5" w:rsidRDefault="00FE7893" w:rsidP="00FE7893">
            <w:pPr>
              <w:pStyle w:val="TableText"/>
              <w:jc w:val="center"/>
              <w:rPr>
                <w:b/>
                <w:bCs/>
              </w:rPr>
            </w:pPr>
            <w:r w:rsidRPr="00634E65">
              <w:rPr>
                <w:szCs w:val="20"/>
              </w:rPr>
              <w:t>30 (100%)</w:t>
            </w:r>
          </w:p>
        </w:tc>
        <w:tc>
          <w:tcPr>
            <w:tcW w:w="471" w:type="pct"/>
            <w:tcBorders>
              <w:top w:val="single" w:sz="4" w:space="0" w:color="auto"/>
              <w:left w:val="single" w:sz="4" w:space="0" w:color="auto"/>
              <w:bottom w:val="single" w:sz="4" w:space="0" w:color="auto"/>
              <w:right w:val="single" w:sz="4" w:space="0" w:color="auto"/>
            </w:tcBorders>
          </w:tcPr>
          <w:p w14:paraId="1787AB8E" w14:textId="6A99B1B0" w:rsidR="00FE7893" w:rsidRPr="00F013C5" w:rsidRDefault="00FE7893" w:rsidP="00FE7893">
            <w:pPr>
              <w:pStyle w:val="TableText"/>
              <w:jc w:val="center"/>
              <w:rPr>
                <w:b/>
                <w:bCs/>
              </w:rPr>
            </w:pPr>
            <w:r w:rsidRPr="00634E65">
              <w:rPr>
                <w:szCs w:val="20"/>
              </w:rPr>
              <w:t>30 (100%)</w:t>
            </w:r>
          </w:p>
        </w:tc>
        <w:tc>
          <w:tcPr>
            <w:tcW w:w="520" w:type="pct"/>
            <w:tcBorders>
              <w:top w:val="single" w:sz="4" w:space="0" w:color="auto"/>
              <w:left w:val="single" w:sz="4" w:space="0" w:color="auto"/>
              <w:bottom w:val="single" w:sz="4" w:space="0" w:color="auto"/>
              <w:right w:val="single" w:sz="4" w:space="0" w:color="auto"/>
            </w:tcBorders>
          </w:tcPr>
          <w:p w14:paraId="4ACD15DE" w14:textId="2542A7AC" w:rsidR="00FE7893" w:rsidRPr="00F658DF" w:rsidRDefault="00FE7893" w:rsidP="00FE7893">
            <w:pPr>
              <w:pStyle w:val="TableText"/>
              <w:jc w:val="center"/>
              <w:rPr>
                <w:b/>
                <w:bCs/>
              </w:rPr>
            </w:pPr>
            <w:r w:rsidRPr="00634E65">
              <w:rPr>
                <w:szCs w:val="20"/>
              </w:rPr>
              <w:t>30 (100%)</w:t>
            </w:r>
          </w:p>
        </w:tc>
      </w:tr>
      <w:tr w:rsidR="003261B0" w:rsidRPr="00C44C41" w14:paraId="7FC7DB19" w14:textId="77777777" w:rsidTr="001769D2">
        <w:trPr>
          <w:trHeight w:val="168"/>
        </w:trPr>
        <w:tc>
          <w:tcPr>
            <w:tcW w:w="1100" w:type="pct"/>
            <w:vAlign w:val="center"/>
          </w:tcPr>
          <w:p w14:paraId="79DC1C21" w14:textId="4E16A710" w:rsidR="00FE7893" w:rsidRPr="00B821D3" w:rsidRDefault="00FE7893" w:rsidP="00FE7893">
            <w:pPr>
              <w:pStyle w:val="TableText"/>
              <w:rPr>
                <w:b/>
                <w:bCs/>
              </w:rPr>
            </w:pPr>
            <w:r w:rsidRPr="00B821D3">
              <w:rPr>
                <w:b/>
                <w:bCs/>
              </w:rPr>
              <w:t>VAS</w:t>
            </w:r>
          </w:p>
        </w:tc>
        <w:tc>
          <w:tcPr>
            <w:tcW w:w="471" w:type="pct"/>
            <w:vAlign w:val="center"/>
          </w:tcPr>
          <w:p w14:paraId="0C3015A7" w14:textId="5613E28F" w:rsidR="00FE7893" w:rsidRPr="00600185" w:rsidRDefault="00FE7893" w:rsidP="00FE7893">
            <w:pPr>
              <w:pStyle w:val="TableText"/>
              <w:jc w:val="center"/>
            </w:pPr>
            <w:r w:rsidRPr="00722F91">
              <w:t>7.0 (1.0)</w:t>
            </w:r>
          </w:p>
        </w:tc>
        <w:tc>
          <w:tcPr>
            <w:tcW w:w="472" w:type="pct"/>
            <w:vAlign w:val="center"/>
          </w:tcPr>
          <w:p w14:paraId="2BBB5E4B" w14:textId="53E7684E" w:rsidR="00FE7893" w:rsidRPr="00600185" w:rsidRDefault="00FE7893" w:rsidP="00FE7893">
            <w:pPr>
              <w:pStyle w:val="TableText"/>
              <w:jc w:val="center"/>
            </w:pPr>
            <w:r w:rsidRPr="00722F91">
              <w:t>6.5 (1.0)</w:t>
            </w:r>
          </w:p>
        </w:tc>
        <w:tc>
          <w:tcPr>
            <w:tcW w:w="471" w:type="pct"/>
            <w:vAlign w:val="center"/>
          </w:tcPr>
          <w:p w14:paraId="4E1D26AE" w14:textId="6F9968CD" w:rsidR="00FE7893" w:rsidRPr="00F013C5" w:rsidRDefault="00FE7893" w:rsidP="00FE7893">
            <w:pPr>
              <w:pStyle w:val="TableText"/>
              <w:jc w:val="center"/>
              <w:rPr>
                <w:b/>
                <w:bCs/>
              </w:rPr>
            </w:pPr>
            <w:r w:rsidRPr="00F013C5">
              <w:rPr>
                <w:b/>
                <w:bCs/>
              </w:rPr>
              <w:t>0.0 (0.0)</w:t>
            </w:r>
          </w:p>
        </w:tc>
        <w:tc>
          <w:tcPr>
            <w:tcW w:w="553" w:type="pct"/>
            <w:vAlign w:val="center"/>
          </w:tcPr>
          <w:p w14:paraId="4F61CD55" w14:textId="6B5672F6" w:rsidR="00FE7893" w:rsidRPr="00F013C5" w:rsidRDefault="00FE7893" w:rsidP="00FE7893">
            <w:pPr>
              <w:pStyle w:val="TableText"/>
              <w:jc w:val="center"/>
              <w:rPr>
                <w:b/>
                <w:bCs/>
              </w:rPr>
            </w:pPr>
            <w:r w:rsidRPr="00F013C5">
              <w:rPr>
                <w:b/>
                <w:bCs/>
              </w:rPr>
              <w:t>1.0 (1.0)</w:t>
            </w:r>
          </w:p>
        </w:tc>
        <w:tc>
          <w:tcPr>
            <w:tcW w:w="470" w:type="pct"/>
            <w:vAlign w:val="center"/>
          </w:tcPr>
          <w:p w14:paraId="760F13D6" w14:textId="6E85362F" w:rsidR="00FE7893" w:rsidRPr="00F013C5" w:rsidRDefault="00FE7893" w:rsidP="00FE7893">
            <w:pPr>
              <w:pStyle w:val="TableText"/>
              <w:jc w:val="center"/>
              <w:rPr>
                <w:b/>
                <w:bCs/>
              </w:rPr>
            </w:pPr>
            <w:r w:rsidRPr="00F013C5">
              <w:rPr>
                <w:b/>
                <w:bCs/>
              </w:rPr>
              <w:t>0.0 (0.0)</w:t>
            </w:r>
          </w:p>
        </w:tc>
        <w:tc>
          <w:tcPr>
            <w:tcW w:w="472" w:type="pct"/>
            <w:vAlign w:val="center"/>
          </w:tcPr>
          <w:p w14:paraId="3B78F067" w14:textId="077C9BCB" w:rsidR="00FE7893" w:rsidRPr="00F013C5" w:rsidRDefault="00FE7893" w:rsidP="00FE7893">
            <w:pPr>
              <w:pStyle w:val="TableText"/>
              <w:jc w:val="center"/>
              <w:rPr>
                <w:b/>
                <w:bCs/>
              </w:rPr>
            </w:pPr>
            <w:r w:rsidRPr="00F013C5">
              <w:rPr>
                <w:b/>
                <w:bCs/>
              </w:rPr>
              <w:t>1.0 (1.0)</w:t>
            </w:r>
          </w:p>
        </w:tc>
        <w:tc>
          <w:tcPr>
            <w:tcW w:w="471" w:type="pct"/>
            <w:vAlign w:val="center"/>
          </w:tcPr>
          <w:p w14:paraId="29AB7C68" w14:textId="527171D1" w:rsidR="00FE7893" w:rsidRPr="00600185" w:rsidRDefault="00FE7893" w:rsidP="00FE7893">
            <w:pPr>
              <w:pStyle w:val="TableText"/>
              <w:jc w:val="center"/>
            </w:pPr>
            <w:r w:rsidRPr="00722F91">
              <w:t>0.0 (0.0)</w:t>
            </w:r>
          </w:p>
        </w:tc>
        <w:tc>
          <w:tcPr>
            <w:tcW w:w="520" w:type="pct"/>
            <w:vAlign w:val="center"/>
          </w:tcPr>
          <w:p w14:paraId="32D06538" w14:textId="5B3787D5" w:rsidR="00FE7893" w:rsidRPr="00600185" w:rsidRDefault="00FE7893" w:rsidP="00B821D3">
            <w:pPr>
              <w:pStyle w:val="TableText"/>
            </w:pPr>
            <w:r w:rsidRPr="00722F91">
              <w:t>0.0</w:t>
            </w:r>
            <w:r w:rsidR="003261B0">
              <w:t xml:space="preserve"> </w:t>
            </w:r>
            <w:r w:rsidRPr="00722F91">
              <w:t>(0.0)</w:t>
            </w:r>
          </w:p>
        </w:tc>
      </w:tr>
      <w:tr w:rsidR="001769D2" w:rsidRPr="00C44C41" w14:paraId="19F4E2F9" w14:textId="77777777" w:rsidTr="00B821D3">
        <w:trPr>
          <w:trHeight w:val="168"/>
        </w:trPr>
        <w:tc>
          <w:tcPr>
            <w:tcW w:w="1100" w:type="pct"/>
            <w:tcBorders>
              <w:bottom w:val="single" w:sz="4" w:space="0" w:color="auto"/>
            </w:tcBorders>
            <w:vAlign w:val="center"/>
          </w:tcPr>
          <w:p w14:paraId="312D5268" w14:textId="7C62EF76" w:rsidR="001769D2" w:rsidRPr="00B821D3" w:rsidRDefault="001769D2" w:rsidP="001769D2">
            <w:pPr>
              <w:pStyle w:val="TableText"/>
              <w:rPr>
                <w:b/>
                <w:bCs/>
              </w:rPr>
            </w:pPr>
            <w:r w:rsidRPr="001769D2">
              <w:rPr>
                <w:b/>
                <w:bCs/>
              </w:rPr>
              <w:t>Satisfaction (N</w:t>
            </w:r>
            <w:r>
              <w:rPr>
                <w:b/>
                <w:bCs/>
              </w:rPr>
              <w:t>e</w:t>
            </w:r>
            <w:r w:rsidRPr="00B821D3">
              <w:rPr>
                <w:b/>
                <w:bCs/>
              </w:rPr>
              <w:t>/S/VS)</w:t>
            </w:r>
          </w:p>
        </w:tc>
        <w:tc>
          <w:tcPr>
            <w:tcW w:w="471" w:type="pct"/>
            <w:tcBorders>
              <w:bottom w:val="single" w:sz="4" w:space="0" w:color="auto"/>
            </w:tcBorders>
            <w:vAlign w:val="center"/>
          </w:tcPr>
          <w:p w14:paraId="32BF313B" w14:textId="6F0659F6" w:rsidR="001769D2" w:rsidRPr="00722F91" w:rsidRDefault="001769D2" w:rsidP="001769D2">
            <w:pPr>
              <w:pStyle w:val="TableText"/>
              <w:jc w:val="center"/>
            </w:pPr>
            <w:r w:rsidRPr="00722F91">
              <w:t>N/A</w:t>
            </w:r>
          </w:p>
        </w:tc>
        <w:tc>
          <w:tcPr>
            <w:tcW w:w="472" w:type="pct"/>
            <w:tcBorders>
              <w:bottom w:val="single" w:sz="4" w:space="0" w:color="auto"/>
            </w:tcBorders>
            <w:vAlign w:val="center"/>
          </w:tcPr>
          <w:p w14:paraId="6BD068EA" w14:textId="61B633FE" w:rsidR="001769D2" w:rsidRPr="00722F91" w:rsidRDefault="001769D2" w:rsidP="001769D2">
            <w:pPr>
              <w:pStyle w:val="TableText"/>
              <w:jc w:val="center"/>
            </w:pPr>
            <w:r w:rsidRPr="00722F91">
              <w:t>N/A</w:t>
            </w:r>
          </w:p>
        </w:tc>
        <w:tc>
          <w:tcPr>
            <w:tcW w:w="471" w:type="pct"/>
            <w:tcBorders>
              <w:bottom w:val="single" w:sz="4" w:space="0" w:color="auto"/>
            </w:tcBorders>
            <w:vAlign w:val="center"/>
          </w:tcPr>
          <w:p w14:paraId="3555D9F6" w14:textId="1086DECD" w:rsidR="001769D2" w:rsidRPr="00F013C5" w:rsidRDefault="001769D2" w:rsidP="001769D2">
            <w:pPr>
              <w:pStyle w:val="TableText"/>
              <w:jc w:val="center"/>
              <w:rPr>
                <w:b/>
                <w:bCs/>
              </w:rPr>
            </w:pPr>
            <w:r w:rsidRPr="00722F91">
              <w:t>N/A</w:t>
            </w:r>
          </w:p>
        </w:tc>
        <w:tc>
          <w:tcPr>
            <w:tcW w:w="553" w:type="pct"/>
            <w:tcBorders>
              <w:bottom w:val="single" w:sz="4" w:space="0" w:color="auto"/>
            </w:tcBorders>
            <w:vAlign w:val="center"/>
          </w:tcPr>
          <w:p w14:paraId="39977D12" w14:textId="2603F705" w:rsidR="001769D2" w:rsidRPr="00F013C5" w:rsidRDefault="001769D2" w:rsidP="001769D2">
            <w:pPr>
              <w:pStyle w:val="TableText"/>
              <w:jc w:val="center"/>
              <w:rPr>
                <w:b/>
                <w:bCs/>
              </w:rPr>
            </w:pPr>
            <w:r w:rsidRPr="00722F91">
              <w:t>N/A</w:t>
            </w:r>
          </w:p>
        </w:tc>
        <w:tc>
          <w:tcPr>
            <w:tcW w:w="470" w:type="pct"/>
            <w:tcBorders>
              <w:bottom w:val="single" w:sz="4" w:space="0" w:color="auto"/>
            </w:tcBorders>
            <w:vAlign w:val="center"/>
          </w:tcPr>
          <w:p w14:paraId="03A5F90E" w14:textId="4F7D57EF" w:rsidR="001769D2" w:rsidRPr="00600185" w:rsidRDefault="001769D2" w:rsidP="001769D2">
            <w:pPr>
              <w:pStyle w:val="TableText"/>
              <w:jc w:val="center"/>
            </w:pPr>
            <w:r w:rsidRPr="00F013C5">
              <w:rPr>
                <w:b/>
                <w:bCs/>
              </w:rPr>
              <w:t>0/3/27</w:t>
            </w:r>
          </w:p>
        </w:tc>
        <w:tc>
          <w:tcPr>
            <w:tcW w:w="472" w:type="pct"/>
            <w:tcBorders>
              <w:bottom w:val="single" w:sz="4" w:space="0" w:color="auto"/>
            </w:tcBorders>
            <w:vAlign w:val="center"/>
          </w:tcPr>
          <w:p w14:paraId="11503594" w14:textId="26B72A79" w:rsidR="001769D2" w:rsidRPr="00600185" w:rsidRDefault="001769D2" w:rsidP="001769D2">
            <w:pPr>
              <w:pStyle w:val="TableText"/>
              <w:jc w:val="center"/>
            </w:pPr>
            <w:r w:rsidRPr="00F013C5">
              <w:rPr>
                <w:b/>
                <w:bCs/>
              </w:rPr>
              <w:t>2/22/6</w:t>
            </w:r>
          </w:p>
        </w:tc>
        <w:tc>
          <w:tcPr>
            <w:tcW w:w="471" w:type="pct"/>
            <w:tcBorders>
              <w:bottom w:val="single" w:sz="4" w:space="0" w:color="auto"/>
            </w:tcBorders>
            <w:vAlign w:val="center"/>
          </w:tcPr>
          <w:p w14:paraId="4D2417AD" w14:textId="7E40A420" w:rsidR="001769D2" w:rsidRPr="00600185" w:rsidRDefault="001769D2" w:rsidP="001769D2">
            <w:pPr>
              <w:pStyle w:val="TableText"/>
              <w:jc w:val="center"/>
              <w:rPr>
                <w:b/>
                <w:bCs/>
              </w:rPr>
            </w:pPr>
            <w:r w:rsidRPr="00F013C5">
              <w:rPr>
                <w:b/>
                <w:bCs/>
              </w:rPr>
              <w:t>0/3/27</w:t>
            </w:r>
          </w:p>
        </w:tc>
        <w:tc>
          <w:tcPr>
            <w:tcW w:w="520" w:type="pct"/>
            <w:tcBorders>
              <w:bottom w:val="single" w:sz="4" w:space="0" w:color="auto"/>
            </w:tcBorders>
            <w:vAlign w:val="center"/>
          </w:tcPr>
          <w:p w14:paraId="7CAD286D" w14:textId="10E56141" w:rsidR="001769D2" w:rsidRPr="00600185" w:rsidRDefault="001769D2" w:rsidP="001769D2">
            <w:pPr>
              <w:pStyle w:val="TableText"/>
              <w:jc w:val="center"/>
              <w:rPr>
                <w:b/>
                <w:bCs/>
              </w:rPr>
            </w:pPr>
            <w:r w:rsidRPr="00F013C5">
              <w:rPr>
                <w:b/>
                <w:bCs/>
              </w:rPr>
              <w:t>0/19/11</w:t>
            </w:r>
          </w:p>
        </w:tc>
      </w:tr>
      <w:tr w:rsidR="001769D2" w:rsidRPr="00C44C41" w14:paraId="328D65B5" w14:textId="77777777" w:rsidTr="00B821D3">
        <w:trPr>
          <w:trHeight w:val="168"/>
        </w:trPr>
        <w:tc>
          <w:tcPr>
            <w:tcW w:w="5000" w:type="pct"/>
            <w:gridSpan w:val="9"/>
            <w:tcBorders>
              <w:top w:val="single" w:sz="4" w:space="0" w:color="auto"/>
              <w:left w:val="single" w:sz="4" w:space="0" w:color="auto"/>
              <w:bottom w:val="single" w:sz="4" w:space="0" w:color="auto"/>
              <w:right w:val="single" w:sz="4" w:space="0" w:color="auto"/>
            </w:tcBorders>
            <w:vAlign w:val="center"/>
          </w:tcPr>
          <w:p w14:paraId="1B5BF9DD" w14:textId="7A897015" w:rsidR="001769D2" w:rsidRPr="00F94AC5" w:rsidRDefault="001769D2" w:rsidP="001769D2">
            <w:pPr>
              <w:pStyle w:val="TableText"/>
              <w:rPr>
                <w:b/>
                <w:bCs/>
              </w:rPr>
            </w:pPr>
            <w:r w:rsidRPr="00F94AC5">
              <w:rPr>
                <w:b/>
                <w:bCs/>
              </w:rPr>
              <w:t>Imaging</w:t>
            </w:r>
            <w:r>
              <w:rPr>
                <w:b/>
                <w:bCs/>
              </w:rPr>
              <w:t>-</w:t>
            </w:r>
            <w:r w:rsidRPr="00F94AC5">
              <w:rPr>
                <w:b/>
                <w:bCs/>
              </w:rPr>
              <w:t>based outcomes</w:t>
            </w:r>
          </w:p>
        </w:tc>
      </w:tr>
      <w:tr w:rsidR="001769D2" w:rsidRPr="00C44C41" w14:paraId="22AC4D6B" w14:textId="77777777" w:rsidTr="00B821D3">
        <w:trPr>
          <w:trHeight w:val="168"/>
        </w:trPr>
        <w:tc>
          <w:tcPr>
            <w:tcW w:w="1100" w:type="pct"/>
            <w:tcBorders>
              <w:top w:val="single" w:sz="4" w:space="0" w:color="auto"/>
              <w:left w:val="single" w:sz="4" w:space="0" w:color="auto"/>
              <w:bottom w:val="single" w:sz="4" w:space="0" w:color="auto"/>
              <w:right w:val="single" w:sz="4" w:space="0" w:color="auto"/>
            </w:tcBorders>
          </w:tcPr>
          <w:p w14:paraId="2337E3C6" w14:textId="059DDD54" w:rsidR="001769D2" w:rsidRPr="00B821D3" w:rsidRDefault="001769D2" w:rsidP="001769D2">
            <w:pPr>
              <w:pStyle w:val="TableText"/>
              <w:rPr>
                <w:b/>
                <w:bCs/>
              </w:rPr>
            </w:pPr>
            <w:r w:rsidRPr="00B821D3">
              <w:rPr>
                <w:b/>
                <w:bCs/>
              </w:rPr>
              <w:t>Tendon thickness (mm)</w:t>
            </w:r>
            <w:r w:rsidR="00AE511B">
              <w:t xml:space="preserve"> </w:t>
            </w:r>
            <w:r w:rsidR="00AE511B" w:rsidRPr="00AE511B">
              <w:rPr>
                <w:b/>
                <w:bCs/>
              </w:rPr>
              <w:t>Median (IQR)</w:t>
            </w:r>
          </w:p>
        </w:tc>
        <w:tc>
          <w:tcPr>
            <w:tcW w:w="471" w:type="pct"/>
            <w:tcBorders>
              <w:top w:val="single" w:sz="4" w:space="0" w:color="auto"/>
              <w:left w:val="single" w:sz="4" w:space="0" w:color="auto"/>
              <w:bottom w:val="single" w:sz="4" w:space="0" w:color="auto"/>
              <w:right w:val="single" w:sz="4" w:space="0" w:color="auto"/>
            </w:tcBorders>
          </w:tcPr>
          <w:p w14:paraId="3229F5BA" w14:textId="0913E069" w:rsidR="001769D2" w:rsidRPr="00722F91" w:rsidRDefault="001769D2" w:rsidP="001769D2">
            <w:pPr>
              <w:pStyle w:val="TableText"/>
              <w:jc w:val="center"/>
            </w:pPr>
            <w:r w:rsidRPr="00722F91">
              <w:t>4.19 (0.03)</w:t>
            </w:r>
          </w:p>
        </w:tc>
        <w:tc>
          <w:tcPr>
            <w:tcW w:w="472" w:type="pct"/>
            <w:tcBorders>
              <w:top w:val="single" w:sz="4" w:space="0" w:color="auto"/>
              <w:left w:val="single" w:sz="4" w:space="0" w:color="auto"/>
              <w:bottom w:val="single" w:sz="4" w:space="0" w:color="auto"/>
              <w:right w:val="single" w:sz="4" w:space="0" w:color="auto"/>
            </w:tcBorders>
          </w:tcPr>
          <w:p w14:paraId="0EC4AF66" w14:textId="5A94C6A1" w:rsidR="001769D2" w:rsidRPr="00722F91" w:rsidRDefault="001769D2" w:rsidP="001769D2">
            <w:pPr>
              <w:pStyle w:val="TableText"/>
              <w:jc w:val="center"/>
            </w:pPr>
            <w:r w:rsidRPr="00722F91">
              <w:t>4.18 (0.03)</w:t>
            </w:r>
          </w:p>
        </w:tc>
        <w:tc>
          <w:tcPr>
            <w:tcW w:w="471" w:type="pct"/>
            <w:tcBorders>
              <w:top w:val="single" w:sz="4" w:space="0" w:color="auto"/>
              <w:left w:val="single" w:sz="4" w:space="0" w:color="auto"/>
              <w:bottom w:val="single" w:sz="4" w:space="0" w:color="auto"/>
              <w:right w:val="single" w:sz="4" w:space="0" w:color="auto"/>
            </w:tcBorders>
          </w:tcPr>
          <w:p w14:paraId="2A8992D4" w14:textId="1894E7F5" w:rsidR="001769D2" w:rsidRPr="00722F91" w:rsidRDefault="001769D2" w:rsidP="001769D2">
            <w:pPr>
              <w:pStyle w:val="TableText"/>
              <w:jc w:val="center"/>
              <w:rPr>
                <w:b/>
                <w:bCs/>
              </w:rPr>
            </w:pPr>
            <w:r w:rsidRPr="00722F91">
              <w:rPr>
                <w:b/>
                <w:bCs/>
              </w:rPr>
              <w:t>6.21 (0.32)</w:t>
            </w:r>
          </w:p>
        </w:tc>
        <w:tc>
          <w:tcPr>
            <w:tcW w:w="553" w:type="pct"/>
            <w:tcBorders>
              <w:top w:val="single" w:sz="4" w:space="0" w:color="auto"/>
              <w:left w:val="single" w:sz="4" w:space="0" w:color="auto"/>
              <w:bottom w:val="single" w:sz="4" w:space="0" w:color="auto"/>
              <w:right w:val="single" w:sz="4" w:space="0" w:color="auto"/>
            </w:tcBorders>
          </w:tcPr>
          <w:p w14:paraId="7AD2A062" w14:textId="239350D6" w:rsidR="001769D2" w:rsidRPr="00722F91" w:rsidRDefault="001769D2" w:rsidP="001769D2">
            <w:pPr>
              <w:pStyle w:val="TableText"/>
              <w:jc w:val="center"/>
              <w:rPr>
                <w:b/>
                <w:bCs/>
              </w:rPr>
            </w:pPr>
            <w:r w:rsidRPr="00722F91">
              <w:rPr>
                <w:b/>
                <w:bCs/>
              </w:rPr>
              <w:t>5.01 (0.22)</w:t>
            </w:r>
          </w:p>
        </w:tc>
        <w:tc>
          <w:tcPr>
            <w:tcW w:w="470" w:type="pct"/>
            <w:tcBorders>
              <w:top w:val="single" w:sz="4" w:space="0" w:color="auto"/>
              <w:left w:val="single" w:sz="4" w:space="0" w:color="auto"/>
              <w:bottom w:val="single" w:sz="4" w:space="0" w:color="auto"/>
              <w:right w:val="single" w:sz="4" w:space="0" w:color="auto"/>
            </w:tcBorders>
          </w:tcPr>
          <w:p w14:paraId="7D5FD9D7" w14:textId="6590E95F" w:rsidR="001769D2" w:rsidRPr="00600185" w:rsidRDefault="001769D2" w:rsidP="001769D2">
            <w:pPr>
              <w:pStyle w:val="TableText"/>
              <w:jc w:val="center"/>
              <w:rPr>
                <w:b/>
                <w:bCs/>
              </w:rPr>
            </w:pPr>
            <w:r w:rsidRPr="00722F91">
              <w:rPr>
                <w:b/>
                <w:bCs/>
              </w:rPr>
              <w:t>6.28 (0.29)</w:t>
            </w:r>
          </w:p>
        </w:tc>
        <w:tc>
          <w:tcPr>
            <w:tcW w:w="472" w:type="pct"/>
            <w:tcBorders>
              <w:top w:val="single" w:sz="4" w:space="0" w:color="auto"/>
              <w:left w:val="single" w:sz="4" w:space="0" w:color="auto"/>
              <w:bottom w:val="single" w:sz="4" w:space="0" w:color="auto"/>
              <w:right w:val="single" w:sz="4" w:space="0" w:color="auto"/>
            </w:tcBorders>
          </w:tcPr>
          <w:p w14:paraId="61351240" w14:textId="0355D43B" w:rsidR="001769D2" w:rsidRPr="00600185" w:rsidRDefault="001769D2" w:rsidP="001769D2">
            <w:pPr>
              <w:pStyle w:val="TableText"/>
              <w:jc w:val="center"/>
              <w:rPr>
                <w:b/>
                <w:bCs/>
              </w:rPr>
            </w:pPr>
            <w:r w:rsidRPr="00722F91">
              <w:rPr>
                <w:b/>
                <w:bCs/>
              </w:rPr>
              <w:t>5.04 (0.14)</w:t>
            </w:r>
          </w:p>
        </w:tc>
        <w:tc>
          <w:tcPr>
            <w:tcW w:w="471" w:type="pct"/>
            <w:tcBorders>
              <w:top w:val="single" w:sz="4" w:space="0" w:color="auto"/>
              <w:left w:val="single" w:sz="4" w:space="0" w:color="auto"/>
              <w:bottom w:val="single" w:sz="4" w:space="0" w:color="auto"/>
              <w:right w:val="single" w:sz="4" w:space="0" w:color="auto"/>
            </w:tcBorders>
          </w:tcPr>
          <w:p w14:paraId="4C0A18E9" w14:textId="0EBB926F" w:rsidR="001769D2" w:rsidRPr="00722F91" w:rsidRDefault="001769D2" w:rsidP="001769D2">
            <w:pPr>
              <w:pStyle w:val="TableText"/>
              <w:jc w:val="center"/>
              <w:rPr>
                <w:b/>
                <w:bCs/>
              </w:rPr>
            </w:pPr>
            <w:r w:rsidRPr="00722F91">
              <w:rPr>
                <w:b/>
                <w:bCs/>
              </w:rPr>
              <w:t>6.28 (0.25)</w:t>
            </w:r>
          </w:p>
        </w:tc>
        <w:tc>
          <w:tcPr>
            <w:tcW w:w="520" w:type="pct"/>
            <w:tcBorders>
              <w:top w:val="single" w:sz="4" w:space="0" w:color="auto"/>
              <w:left w:val="single" w:sz="4" w:space="0" w:color="auto"/>
              <w:bottom w:val="single" w:sz="4" w:space="0" w:color="auto"/>
              <w:right w:val="single" w:sz="4" w:space="0" w:color="auto"/>
            </w:tcBorders>
          </w:tcPr>
          <w:p w14:paraId="3A6A7F8E" w14:textId="4CED6C3D" w:rsidR="001769D2" w:rsidRPr="00722F91" w:rsidRDefault="001769D2" w:rsidP="001769D2">
            <w:pPr>
              <w:pStyle w:val="TableText"/>
              <w:jc w:val="center"/>
              <w:rPr>
                <w:b/>
                <w:bCs/>
              </w:rPr>
            </w:pPr>
            <w:r w:rsidRPr="00722F91">
              <w:rPr>
                <w:b/>
                <w:bCs/>
              </w:rPr>
              <w:t>5.04 (0.15)</w:t>
            </w:r>
          </w:p>
        </w:tc>
      </w:tr>
    </w:tbl>
    <w:p w14:paraId="3CA99E33" w14:textId="305C96A9" w:rsidR="00691407" w:rsidRDefault="00D5186E" w:rsidP="00B821D3">
      <w:pPr>
        <w:pStyle w:val="Tablenotes"/>
        <w:jc w:val="both"/>
      </w:pPr>
      <w:r w:rsidRPr="00C44C41">
        <w:t>Source: Table 2</w:t>
      </w:r>
      <w:r>
        <w:t>0</w:t>
      </w:r>
      <w:r w:rsidRPr="00C44C41">
        <w:t xml:space="preserve">, </w:t>
      </w:r>
      <w:r w:rsidR="002D7FCB">
        <w:t>p</w:t>
      </w:r>
      <w:r w:rsidR="00854096">
        <w:t>g</w:t>
      </w:r>
      <w:r>
        <w:t>80</w:t>
      </w:r>
      <w:r w:rsidR="00854096">
        <w:t>-81</w:t>
      </w:r>
      <w:r w:rsidR="00FE7893">
        <w:t xml:space="preserve">, </w:t>
      </w:r>
      <w:bookmarkStart w:id="37" w:name="_Hlk165633018"/>
      <w:r w:rsidR="009918C0">
        <w:t>Table 31, pg9</w:t>
      </w:r>
      <w:r w:rsidR="00854096">
        <w:t>2</w:t>
      </w:r>
      <w:bookmarkEnd w:id="37"/>
      <w:r w:rsidR="009918C0">
        <w:t xml:space="preserve">, </w:t>
      </w:r>
      <w:r w:rsidR="00FE7893">
        <w:t>Table 32, p</w:t>
      </w:r>
      <w:r w:rsidR="002D7FCB">
        <w:t>g</w:t>
      </w:r>
      <w:r w:rsidR="00FE7893">
        <w:t>9</w:t>
      </w:r>
      <w:r w:rsidR="00854096">
        <w:t>2</w:t>
      </w:r>
      <w:r w:rsidR="009918C0">
        <w:t>,</w:t>
      </w:r>
      <w:r w:rsidR="00FE7893">
        <w:t xml:space="preserve"> </w:t>
      </w:r>
      <w:r w:rsidR="009918C0">
        <w:t>Table 33, pg</w:t>
      </w:r>
      <w:r w:rsidR="00854096">
        <w:t>93</w:t>
      </w:r>
      <w:r w:rsidR="009918C0">
        <w:t xml:space="preserve">, </w:t>
      </w:r>
      <w:r w:rsidR="00FE7893">
        <w:t>Table 34, p</w:t>
      </w:r>
      <w:r w:rsidR="002D7FCB">
        <w:t>g</w:t>
      </w:r>
      <w:r w:rsidR="00FE7893">
        <w:t>9</w:t>
      </w:r>
      <w:r w:rsidR="00854096">
        <w:t>4,</w:t>
      </w:r>
      <w:r w:rsidRPr="00C44C41">
        <w:t xml:space="preserve"> </w:t>
      </w:r>
      <w:r w:rsidR="009918C0">
        <w:t>Table 35, pg9</w:t>
      </w:r>
      <w:r w:rsidR="00854096">
        <w:t>4</w:t>
      </w:r>
      <w:r w:rsidR="009918C0">
        <w:t xml:space="preserve"> </w:t>
      </w:r>
      <w:r w:rsidRPr="00C44C41">
        <w:t xml:space="preserve">of the </w:t>
      </w:r>
      <w:bookmarkStart w:id="38" w:name="_Hlk163640037"/>
      <w:r w:rsidRPr="00C44C41">
        <w:t xml:space="preserve">MSAC 1593.1 </w:t>
      </w:r>
      <w:r w:rsidR="00CD71E3">
        <w:t>application</w:t>
      </w:r>
      <w:r w:rsidR="00CD71E3" w:rsidRPr="00C44C41">
        <w:t xml:space="preserve"> ADAR</w:t>
      </w:r>
      <w:r w:rsidR="00CD71E3">
        <w:t xml:space="preserve"> + inline commentary</w:t>
      </w:r>
      <w:r w:rsidR="00CD71E3" w:rsidRPr="00C44C41" w:rsidDel="00CD71E3">
        <w:t xml:space="preserve"> </w:t>
      </w:r>
      <w:bookmarkEnd w:id="38"/>
    </w:p>
    <w:p w14:paraId="6609AF98" w14:textId="39B6A2C7" w:rsidR="00D20C2D" w:rsidRDefault="00691407" w:rsidP="00B821D3">
      <w:pPr>
        <w:pStyle w:val="Tablenotes"/>
        <w:jc w:val="both"/>
      </w:pPr>
      <w:r>
        <w:t xml:space="preserve">Abbreviations: </w:t>
      </w:r>
      <w:r w:rsidRPr="00CF0841">
        <w:t xml:space="preserve">ASES = American Shoulder and Elbow </w:t>
      </w:r>
      <w:r w:rsidR="00316E24">
        <w:t>Society</w:t>
      </w:r>
      <w:r w:rsidRPr="00CF0841">
        <w:t>;</w:t>
      </w:r>
      <w:r>
        <w:t xml:space="preserve"> CMS = </w:t>
      </w:r>
      <w:r w:rsidRPr="00CF0841">
        <w:t>Constant-Murley Score</w:t>
      </w:r>
      <w:r>
        <w:t>;</w:t>
      </w:r>
      <w:r w:rsidRPr="00CF0841">
        <w:t xml:space="preserve"> </w:t>
      </w:r>
      <w:r w:rsidR="000D1981">
        <w:t xml:space="preserve">IQR = </w:t>
      </w:r>
      <w:r w:rsidR="00A83CE3">
        <w:t xml:space="preserve">Inter quartile </w:t>
      </w:r>
      <w:r w:rsidR="00A83CE3" w:rsidRPr="00FE7893">
        <w:t>range</w:t>
      </w:r>
      <w:r w:rsidR="000D1981" w:rsidRPr="00FE7893">
        <w:t xml:space="preserve">; </w:t>
      </w:r>
      <w:r w:rsidR="00FE7893" w:rsidRPr="00FE7893">
        <w:t>MCID = minimal clinical</w:t>
      </w:r>
      <w:r w:rsidR="00637B08">
        <w:t>ly</w:t>
      </w:r>
      <w:r w:rsidR="00FE7893" w:rsidRPr="00FE7893">
        <w:t xml:space="preserve"> important difference</w:t>
      </w:r>
      <w:r w:rsidR="00FE7893" w:rsidRPr="00F91A53">
        <w:t xml:space="preserve">; </w:t>
      </w:r>
      <w:r w:rsidRPr="00F91A53">
        <w:t>N</w:t>
      </w:r>
      <w:r w:rsidR="00F91A53" w:rsidRPr="00B821D3">
        <w:t>e</w:t>
      </w:r>
      <w:r w:rsidRPr="00F91A53">
        <w:t xml:space="preserve"> = neutral;</w:t>
      </w:r>
      <w:r w:rsidRPr="00CF0841">
        <w:t xml:space="preserve"> </w:t>
      </w:r>
      <w:r>
        <w:t xml:space="preserve">N/A = not applicable; REG = </w:t>
      </w:r>
      <w:r w:rsidRPr="00D40358">
        <w:t>REGENETEN</w:t>
      </w:r>
      <w:r>
        <w:t xml:space="preserve">; </w:t>
      </w:r>
      <w:r w:rsidRPr="00CF0841">
        <w:t xml:space="preserve">S = Satisfied; </w:t>
      </w:r>
      <w:r w:rsidR="00FE7893" w:rsidRPr="00FE7893">
        <w:t xml:space="preserve">SCB = substantial clinical benefit; </w:t>
      </w:r>
      <w:r>
        <w:t xml:space="preserve">SOC = Standard of Care; </w:t>
      </w:r>
      <w:r w:rsidRPr="00CF0841">
        <w:t>VAS = Visual Analogue Scale</w:t>
      </w:r>
      <w:r>
        <w:t xml:space="preserve">; </w:t>
      </w:r>
      <w:r w:rsidRPr="00CF0841">
        <w:t>VS = Very Satisfied</w:t>
      </w:r>
      <w:r>
        <w:t>.</w:t>
      </w:r>
    </w:p>
    <w:p w14:paraId="35BB429E" w14:textId="77777777" w:rsidR="00D20C2D" w:rsidRPr="00AB1165" w:rsidRDefault="00691407" w:rsidP="00B821D3">
      <w:pPr>
        <w:pStyle w:val="Tablenotes"/>
        <w:jc w:val="both"/>
      </w:pPr>
      <w:r w:rsidRPr="00063FD5">
        <w:t xml:space="preserve">Notes: </w:t>
      </w:r>
      <w:r w:rsidRPr="00B821D3">
        <w:rPr>
          <w:b/>
          <w:bCs/>
        </w:rPr>
        <w:t>Bold</w:t>
      </w:r>
      <w:r w:rsidRPr="00063FD5">
        <w:t xml:space="preserve"> indicates significant differences </w:t>
      </w:r>
      <w:r w:rsidR="00722F91" w:rsidRPr="00063FD5">
        <w:t>between groups at each evaluation</w:t>
      </w:r>
      <w:r w:rsidR="00063FD5">
        <w:t>.</w:t>
      </w:r>
      <w:r w:rsidR="00D20C2D">
        <w:t xml:space="preserve"> Except for VAS, higher scores in other measures indicate </w:t>
      </w:r>
      <w:r w:rsidR="00D20C2D" w:rsidRPr="001315C7">
        <w:t>better outcomes for patients.</w:t>
      </w:r>
    </w:p>
    <w:p w14:paraId="654587C5" w14:textId="77777777" w:rsidR="00B821D3" w:rsidRDefault="00CD71E3" w:rsidP="003B4E46">
      <w:r w:rsidRPr="00350C65">
        <w:t xml:space="preserve">Camacho-Chacon </w:t>
      </w:r>
      <w:r w:rsidR="00F6199E">
        <w:t>et al.,</w:t>
      </w:r>
      <w:r w:rsidRPr="00350C65">
        <w:t xml:space="preserve"> 2023 </w:t>
      </w:r>
      <w:r w:rsidRPr="00A37941">
        <w:t xml:space="preserve">reported </w:t>
      </w:r>
      <w:r w:rsidR="00043A2A">
        <w:t xml:space="preserve">a </w:t>
      </w:r>
      <w:r w:rsidR="00691407" w:rsidRPr="00A37941">
        <w:t xml:space="preserve">significant improvement </w:t>
      </w:r>
      <w:r w:rsidR="009A51EA">
        <w:t xml:space="preserve">in the </w:t>
      </w:r>
      <w:r w:rsidR="00691407" w:rsidRPr="00A37941">
        <w:t xml:space="preserve">ASES </w:t>
      </w:r>
      <w:r w:rsidR="009A51EA">
        <w:t xml:space="preserve">and the </w:t>
      </w:r>
      <w:r w:rsidR="00457EE8" w:rsidRPr="00350C65">
        <w:t>CMS</w:t>
      </w:r>
      <w:r w:rsidR="00457EE8" w:rsidRPr="00A37941">
        <w:t xml:space="preserve"> </w:t>
      </w:r>
      <w:r w:rsidR="00043A2A">
        <w:t xml:space="preserve">scores </w:t>
      </w:r>
      <w:r w:rsidR="00F013C5">
        <w:t xml:space="preserve">of patients in </w:t>
      </w:r>
      <w:r w:rsidR="00043A2A">
        <w:t xml:space="preserve">the </w:t>
      </w:r>
      <w:r w:rsidR="00F013C5">
        <w:t xml:space="preserve">REGENETEN group compared to </w:t>
      </w:r>
      <w:r w:rsidR="00043A2A">
        <w:t xml:space="preserve">the </w:t>
      </w:r>
      <w:r w:rsidR="00F013C5">
        <w:t>control group at each evaluation point</w:t>
      </w:r>
      <w:r w:rsidR="00457EE8" w:rsidRPr="00A37941">
        <w:t xml:space="preserve">. </w:t>
      </w:r>
      <w:r w:rsidR="00FE7893">
        <w:t xml:space="preserve">The </w:t>
      </w:r>
      <w:r w:rsidR="00714B53" w:rsidRPr="00CF1C2A">
        <w:t>minimal clinical</w:t>
      </w:r>
      <w:r w:rsidR="00714B53">
        <w:t>ly</w:t>
      </w:r>
      <w:r w:rsidR="00714B53" w:rsidRPr="00CF1C2A">
        <w:t xml:space="preserve"> important difference </w:t>
      </w:r>
      <w:r w:rsidR="00714B53">
        <w:t xml:space="preserve">(MCID) and </w:t>
      </w:r>
      <w:r w:rsidR="00714B53" w:rsidRPr="009124C2">
        <w:t xml:space="preserve">substantial clinical benefit </w:t>
      </w:r>
      <w:r w:rsidR="00714B53">
        <w:t xml:space="preserve">(SCB) for </w:t>
      </w:r>
      <w:r w:rsidR="009124C2">
        <w:t xml:space="preserve">ASES were </w:t>
      </w:r>
      <w:r w:rsidR="009124C2" w:rsidRPr="009124C2">
        <w:t>improvement</w:t>
      </w:r>
      <w:r w:rsidR="00043A2A">
        <w:t>s</w:t>
      </w:r>
      <w:r w:rsidR="009124C2" w:rsidRPr="009124C2">
        <w:t xml:space="preserve"> in ASES score</w:t>
      </w:r>
      <w:r w:rsidR="00043A2A">
        <w:t>s</w:t>
      </w:r>
      <w:r w:rsidR="009124C2" w:rsidRPr="009124C2">
        <w:t xml:space="preserve"> of 15.5</w:t>
      </w:r>
      <w:r w:rsidR="009124C2">
        <w:t xml:space="preserve"> and 17.5</w:t>
      </w:r>
      <w:r w:rsidR="00043A2A">
        <w:t>,</w:t>
      </w:r>
      <w:r w:rsidR="009124C2">
        <w:t xml:space="preserve"> respectively. </w:t>
      </w:r>
      <w:r w:rsidR="00043A2A">
        <w:t xml:space="preserve">The </w:t>
      </w:r>
      <w:r w:rsidR="009124C2" w:rsidRPr="009124C2">
        <w:t xml:space="preserve">MCID and SCB for </w:t>
      </w:r>
      <w:r w:rsidR="009124C2">
        <w:t xml:space="preserve">CMS </w:t>
      </w:r>
      <w:r w:rsidR="009124C2" w:rsidRPr="009124C2">
        <w:t xml:space="preserve">were </w:t>
      </w:r>
      <w:r w:rsidR="009124C2">
        <w:t>10.4</w:t>
      </w:r>
      <w:r w:rsidR="009124C2" w:rsidRPr="009124C2">
        <w:t xml:space="preserve"> and </w:t>
      </w:r>
      <w:r w:rsidR="009124C2">
        <w:t>5.5</w:t>
      </w:r>
      <w:r w:rsidR="00043A2A">
        <w:t>,</w:t>
      </w:r>
      <w:r w:rsidR="009124C2" w:rsidRPr="009124C2">
        <w:t xml:space="preserve"> respectively.</w:t>
      </w:r>
      <w:r w:rsidR="009378A3" w:rsidRPr="009378A3">
        <w:t xml:space="preserve"> </w:t>
      </w:r>
      <w:r w:rsidR="00ED4D20" w:rsidRPr="00350C65">
        <w:t>Camacho-Chacon et al</w:t>
      </w:r>
      <w:r w:rsidR="00ED4D20">
        <w:t xml:space="preserve">., 2023 </w:t>
      </w:r>
      <w:r w:rsidR="00ED4D20" w:rsidRPr="00F94AC5">
        <w:t xml:space="preserve">reported that patients in the REGENETEN arm presented with a median of 0 pain as per the </w:t>
      </w:r>
      <w:r w:rsidR="00ED4D20">
        <w:t>Visual Analogue Scale (</w:t>
      </w:r>
      <w:r w:rsidR="00ED4D20" w:rsidRPr="00F94AC5">
        <w:t>VAS</w:t>
      </w:r>
      <w:r w:rsidR="00ED4D20">
        <w:t>)</w:t>
      </w:r>
      <w:r w:rsidR="00ED4D20" w:rsidRPr="00F94AC5">
        <w:t xml:space="preserve"> </w:t>
      </w:r>
      <w:r w:rsidR="00ED4D20">
        <w:t>- p</w:t>
      </w:r>
      <w:r w:rsidR="00ED4D20" w:rsidRPr="00F94AC5">
        <w:t xml:space="preserve">ain </w:t>
      </w:r>
      <w:r w:rsidR="00ED4D20">
        <w:t>s</w:t>
      </w:r>
      <w:r w:rsidR="00ED4D20" w:rsidRPr="00F94AC5">
        <w:t>cale at the 6, 12 and 24-month evaluation</w:t>
      </w:r>
      <w:r w:rsidR="00ED4D20">
        <w:t>s</w:t>
      </w:r>
      <w:r w:rsidR="00ED4D20" w:rsidRPr="00F94AC5">
        <w:t>, whereas the control group did not reach a median of 0 pain until the 24-month evaluation.</w:t>
      </w:r>
      <w:r w:rsidR="00ED4D20">
        <w:t xml:space="preserve"> Patient satisfaction scores were significantly better in the REGENETEN arm of the </w:t>
      </w:r>
      <w:r w:rsidR="003A0F7E">
        <w:t>trial</w:t>
      </w:r>
      <w:r w:rsidR="00ED4D20">
        <w:t xml:space="preserve"> in comparison to the control group at both the 12-month and 24-month evaluations. The Camacho-Chacon et al., 2023 </w:t>
      </w:r>
      <w:r w:rsidR="003A0F7E">
        <w:t>trial</w:t>
      </w:r>
      <w:r w:rsidR="00ED4D20">
        <w:t xml:space="preserve"> also reported a significant improvement in tendon thickness measured by post operative MRI in the REGENETEN group compared to the control group. </w:t>
      </w:r>
      <w:r w:rsidR="009378A3">
        <w:t xml:space="preserve"> </w:t>
      </w:r>
    </w:p>
    <w:p w14:paraId="2206F95A" w14:textId="069D8D61" w:rsidR="004D4E32" w:rsidRPr="00E70E9B" w:rsidRDefault="00ED4D20" w:rsidP="00893760">
      <w:pPr>
        <w:jc w:val="both"/>
        <w:rPr>
          <w:b/>
          <w:bCs/>
        </w:rPr>
      </w:pPr>
      <w:r>
        <w:rPr>
          <w:b/>
          <w:bCs/>
        </w:rPr>
        <w:t>S</w:t>
      </w:r>
      <w:r w:rsidR="00F94AC5" w:rsidRPr="00E70E9B">
        <w:rPr>
          <w:b/>
          <w:bCs/>
        </w:rPr>
        <w:t xml:space="preserve">econdary effectiveness outcomes: </w:t>
      </w:r>
      <w:r w:rsidR="00350C65" w:rsidRPr="00E70E9B">
        <w:rPr>
          <w:b/>
          <w:bCs/>
        </w:rPr>
        <w:t>Post-Operative Return to Function and Return to Work</w:t>
      </w:r>
    </w:p>
    <w:p w14:paraId="7C1570AC" w14:textId="6F5C4BFF" w:rsidR="004D4E32" w:rsidRDefault="00893760" w:rsidP="00CD76DA">
      <w:pPr>
        <w:jc w:val="both"/>
      </w:pPr>
      <w:r>
        <w:t xml:space="preserve">The </w:t>
      </w:r>
      <w:r w:rsidR="00350C65" w:rsidRPr="00350C65">
        <w:t>Camacho-Chacon et al</w:t>
      </w:r>
      <w:r>
        <w:t>.</w:t>
      </w:r>
      <w:r w:rsidR="00350C65" w:rsidRPr="00350C65">
        <w:t xml:space="preserve">, </w:t>
      </w:r>
      <w:r w:rsidR="009A51EA" w:rsidRPr="00350C65">
        <w:t xml:space="preserve">2023 </w:t>
      </w:r>
      <w:r w:rsidR="001769D2">
        <w:t xml:space="preserve">trial </w:t>
      </w:r>
      <w:r w:rsidR="00350C65">
        <w:t>reported significantly better p</w:t>
      </w:r>
      <w:r w:rsidR="00350C65" w:rsidRPr="00B1275F">
        <w:t>ost-</w:t>
      </w:r>
      <w:r w:rsidR="009A51EA">
        <w:t>o</w:t>
      </w:r>
      <w:r w:rsidR="00350C65" w:rsidRPr="00B1275F">
        <w:t xml:space="preserve">perative </w:t>
      </w:r>
      <w:r w:rsidR="00350C65">
        <w:t>r</w:t>
      </w:r>
      <w:r w:rsidR="00350C65" w:rsidRPr="00B1275F">
        <w:t xml:space="preserve">eturn to </w:t>
      </w:r>
      <w:r w:rsidR="00350C65">
        <w:t>f</w:t>
      </w:r>
      <w:r w:rsidR="00350C65" w:rsidRPr="00B1275F">
        <w:t xml:space="preserve">unction </w:t>
      </w:r>
      <w:r w:rsidR="00350C65">
        <w:t xml:space="preserve">outcomes in </w:t>
      </w:r>
      <w:r w:rsidR="00043A2A">
        <w:t xml:space="preserve">the </w:t>
      </w:r>
      <w:r w:rsidR="00350C65" w:rsidRPr="00350C65">
        <w:t xml:space="preserve">REGENETEN arm </w:t>
      </w:r>
      <w:r w:rsidR="00350C65">
        <w:t xml:space="preserve">compared to </w:t>
      </w:r>
      <w:r w:rsidR="00350C65" w:rsidRPr="00350C65">
        <w:t>the control arm</w:t>
      </w:r>
      <w:r w:rsidR="00350C65">
        <w:t xml:space="preserve"> (</w:t>
      </w:r>
      <w:r w:rsidR="001008DA">
        <w:fldChar w:fldCharType="begin"/>
      </w:r>
      <w:r w:rsidR="001008DA">
        <w:instrText xml:space="preserve"> REF _Ref163179650 \h </w:instrText>
      </w:r>
      <w:r w:rsidR="001008DA">
        <w:fldChar w:fldCharType="separate"/>
      </w:r>
      <w:r w:rsidR="00EB12D3">
        <w:t xml:space="preserve">Table </w:t>
      </w:r>
      <w:r w:rsidR="00EB12D3">
        <w:rPr>
          <w:noProof/>
        </w:rPr>
        <w:t>6</w:t>
      </w:r>
      <w:r w:rsidR="001008DA">
        <w:fldChar w:fldCharType="end"/>
      </w:r>
      <w:r w:rsidR="001008DA">
        <w:t>).</w:t>
      </w:r>
      <w:r w:rsidR="009378A3" w:rsidRPr="009378A3">
        <w:t xml:space="preserve"> Return to </w:t>
      </w:r>
      <w:r w:rsidR="009378A3">
        <w:t xml:space="preserve">work data were used in the scenario analysis </w:t>
      </w:r>
      <w:r w:rsidR="009378A3" w:rsidRPr="009378A3">
        <w:t xml:space="preserve">in the economic evaluation for </w:t>
      </w:r>
      <w:r w:rsidR="00043A2A">
        <w:t>Population</w:t>
      </w:r>
      <w:r w:rsidR="009378A3" w:rsidRPr="009378A3">
        <w:t xml:space="preserve"> 1.</w:t>
      </w:r>
    </w:p>
    <w:p w14:paraId="2B8C503A" w14:textId="623B6C0B" w:rsidR="00350C65" w:rsidRPr="007A6598" w:rsidRDefault="00350C65" w:rsidP="00170F32">
      <w:pPr>
        <w:pStyle w:val="Caption"/>
      </w:pPr>
      <w:bookmarkStart w:id="39" w:name="_Ref163179650"/>
      <w:r w:rsidRPr="007A6598">
        <w:lastRenderedPageBreak/>
        <w:t xml:space="preserve">Table </w:t>
      </w:r>
      <w:r>
        <w:fldChar w:fldCharType="begin"/>
      </w:r>
      <w:r>
        <w:instrText xml:space="preserve"> SEQ Table \* ARABIC </w:instrText>
      </w:r>
      <w:r>
        <w:fldChar w:fldCharType="separate"/>
      </w:r>
      <w:r w:rsidR="00C3173B" w:rsidRPr="003E1887">
        <w:t>6</w:t>
      </w:r>
      <w:r>
        <w:fldChar w:fldCharType="end"/>
      </w:r>
      <w:bookmarkEnd w:id="39"/>
      <w:r w:rsidRPr="007A6598">
        <w:t xml:space="preserve">: </w:t>
      </w:r>
      <w:bookmarkStart w:id="40" w:name="_Hlk163126359"/>
      <w:bookmarkStart w:id="41" w:name="_Hlk163126187"/>
      <w:r w:rsidRPr="007A6598">
        <w:t xml:space="preserve">Post-Operative </w:t>
      </w:r>
      <w:bookmarkStart w:id="42" w:name="_Hlk165302235"/>
      <w:r w:rsidRPr="007A6598">
        <w:t xml:space="preserve">Return to Function </w:t>
      </w:r>
      <w:bookmarkEnd w:id="40"/>
      <w:r w:rsidRPr="007A6598">
        <w:t>and Work</w:t>
      </w:r>
      <w:bookmarkEnd w:id="41"/>
      <w:bookmarkEnd w:id="42"/>
      <w:r w:rsidRPr="007A6598">
        <w:t xml:space="preserve"> by Group </w:t>
      </w:r>
      <w:r w:rsidR="00F658DF" w:rsidRPr="007A6598">
        <w:t>from Camacho-Chacon et al.</w:t>
      </w:r>
      <w:r w:rsidR="001769D2" w:rsidRPr="007A6598">
        <w:t>,</w:t>
      </w:r>
      <w:r w:rsidR="00BF262A" w:rsidRPr="007A6598">
        <w:t xml:space="preserve"> </w:t>
      </w:r>
      <w:r w:rsidR="001769D2" w:rsidRPr="007A6598">
        <w:t>2023</w:t>
      </w:r>
      <w:r w:rsidR="00F658DF" w:rsidRPr="007A6598">
        <w:t xml:space="preserve"> for </w:t>
      </w:r>
      <w:r w:rsidR="00895086" w:rsidRPr="007A6598">
        <w:t>Population 1</w:t>
      </w:r>
      <w:r w:rsidR="00F658DF" w:rsidRPr="007A6598" w:rsidDel="00F658DF">
        <w:t xml:space="preserve"> </w:t>
      </w:r>
    </w:p>
    <w:tbl>
      <w:tblPr>
        <w:tblStyle w:val="TableGrid"/>
        <w:tblW w:w="0" w:type="auto"/>
        <w:tblLook w:val="04A0" w:firstRow="1" w:lastRow="0" w:firstColumn="1" w:lastColumn="0" w:noHBand="0" w:noVBand="1"/>
      </w:tblPr>
      <w:tblGrid>
        <w:gridCol w:w="3530"/>
        <w:gridCol w:w="1950"/>
        <w:gridCol w:w="1845"/>
        <w:gridCol w:w="1691"/>
      </w:tblGrid>
      <w:tr w:rsidR="00F9784F" w:rsidRPr="00B1275F" w14:paraId="0DCA1D35" w14:textId="77777777" w:rsidTr="00F9784F">
        <w:trPr>
          <w:trHeight w:val="245"/>
          <w:tblHeader/>
        </w:trPr>
        <w:tc>
          <w:tcPr>
            <w:tcW w:w="3530" w:type="dxa"/>
            <w:shd w:val="clear" w:color="auto" w:fill="auto"/>
            <w:vAlign w:val="center"/>
          </w:tcPr>
          <w:p w14:paraId="32A03864" w14:textId="77777777" w:rsidR="00350C65" w:rsidRPr="00CD76DA" w:rsidRDefault="00350C65" w:rsidP="00CD76DA">
            <w:pPr>
              <w:pStyle w:val="TableText"/>
              <w:rPr>
                <w:b/>
                <w:bCs/>
              </w:rPr>
            </w:pPr>
            <w:r w:rsidRPr="00CD76DA">
              <w:rPr>
                <w:b/>
                <w:bCs/>
              </w:rPr>
              <w:t>Characteristic</w:t>
            </w:r>
          </w:p>
        </w:tc>
        <w:tc>
          <w:tcPr>
            <w:tcW w:w="1950" w:type="dxa"/>
            <w:shd w:val="clear" w:color="auto" w:fill="auto"/>
            <w:vAlign w:val="center"/>
          </w:tcPr>
          <w:p w14:paraId="47A0178A" w14:textId="77777777" w:rsidR="00350C65" w:rsidRPr="00CD76DA" w:rsidRDefault="00350C65" w:rsidP="00B821D3">
            <w:pPr>
              <w:pStyle w:val="TableText"/>
              <w:jc w:val="center"/>
              <w:rPr>
                <w:b/>
                <w:bCs/>
              </w:rPr>
            </w:pPr>
            <w:r w:rsidRPr="00CD76DA">
              <w:rPr>
                <w:rFonts w:eastAsia="Times New Roman"/>
                <w:b/>
                <w:bCs/>
                <w:color w:val="000000"/>
                <w:spacing w:val="5"/>
                <w:kern w:val="28"/>
              </w:rPr>
              <w:t>REGENETEN</w:t>
            </w:r>
          </w:p>
        </w:tc>
        <w:tc>
          <w:tcPr>
            <w:tcW w:w="1845" w:type="dxa"/>
            <w:shd w:val="clear" w:color="auto" w:fill="auto"/>
            <w:vAlign w:val="center"/>
          </w:tcPr>
          <w:p w14:paraId="63B3E059" w14:textId="77777777" w:rsidR="00350C65" w:rsidRPr="00CD76DA" w:rsidRDefault="00350C65" w:rsidP="00B821D3">
            <w:pPr>
              <w:pStyle w:val="TableText"/>
              <w:jc w:val="center"/>
              <w:rPr>
                <w:b/>
                <w:bCs/>
              </w:rPr>
            </w:pPr>
            <w:r w:rsidRPr="00CD76DA">
              <w:rPr>
                <w:rFonts w:eastAsia="Times New Roman"/>
                <w:b/>
                <w:bCs/>
                <w:color w:val="000000"/>
                <w:spacing w:val="5"/>
                <w:kern w:val="28"/>
              </w:rPr>
              <w:t>Control</w:t>
            </w:r>
          </w:p>
        </w:tc>
        <w:tc>
          <w:tcPr>
            <w:tcW w:w="1691" w:type="dxa"/>
            <w:shd w:val="clear" w:color="auto" w:fill="auto"/>
            <w:vAlign w:val="center"/>
          </w:tcPr>
          <w:p w14:paraId="06B2A0A9" w14:textId="77777777" w:rsidR="00350C65" w:rsidRPr="00CD76DA" w:rsidRDefault="00350C65" w:rsidP="00B821D3">
            <w:pPr>
              <w:pStyle w:val="TableText"/>
              <w:jc w:val="center"/>
              <w:rPr>
                <w:b/>
                <w:bCs/>
              </w:rPr>
            </w:pPr>
            <w:r w:rsidRPr="00CD76DA">
              <w:rPr>
                <w:rFonts w:eastAsia="Times New Roman"/>
                <w:b/>
                <w:bCs/>
                <w:color w:val="000000"/>
                <w:spacing w:val="5"/>
                <w:kern w:val="28"/>
              </w:rPr>
              <w:t>p-value</w:t>
            </w:r>
          </w:p>
        </w:tc>
      </w:tr>
      <w:tr w:rsidR="00350C65" w:rsidRPr="00B1275F" w14:paraId="2517FE86" w14:textId="77777777" w:rsidTr="003D26E2">
        <w:trPr>
          <w:trHeight w:val="250"/>
        </w:trPr>
        <w:tc>
          <w:tcPr>
            <w:tcW w:w="3530" w:type="dxa"/>
          </w:tcPr>
          <w:p w14:paraId="1DCF3B5E" w14:textId="77777777" w:rsidR="00350C65" w:rsidRPr="00634E65" w:rsidRDefault="00350C65" w:rsidP="00CD76DA">
            <w:pPr>
              <w:pStyle w:val="TableText"/>
              <w:rPr>
                <w:szCs w:val="16"/>
              </w:rPr>
            </w:pPr>
            <w:r w:rsidRPr="00634E65">
              <w:rPr>
                <w:szCs w:val="16"/>
              </w:rPr>
              <w:t>Employment status [n (%)]</w:t>
            </w:r>
          </w:p>
        </w:tc>
        <w:tc>
          <w:tcPr>
            <w:tcW w:w="1950" w:type="dxa"/>
            <w:vAlign w:val="center"/>
          </w:tcPr>
          <w:p w14:paraId="32255912" w14:textId="77777777" w:rsidR="00350C65" w:rsidRPr="00634E65" w:rsidRDefault="00350C65" w:rsidP="00CD76DA">
            <w:pPr>
              <w:pStyle w:val="TableText"/>
              <w:rPr>
                <w:szCs w:val="16"/>
              </w:rPr>
            </w:pPr>
          </w:p>
        </w:tc>
        <w:tc>
          <w:tcPr>
            <w:tcW w:w="1845" w:type="dxa"/>
            <w:vAlign w:val="center"/>
          </w:tcPr>
          <w:p w14:paraId="5DD6CBCC" w14:textId="77777777" w:rsidR="00350C65" w:rsidRPr="00634E65" w:rsidRDefault="00350C65" w:rsidP="00CD76DA">
            <w:pPr>
              <w:pStyle w:val="TableText"/>
              <w:rPr>
                <w:szCs w:val="16"/>
              </w:rPr>
            </w:pPr>
          </w:p>
        </w:tc>
        <w:tc>
          <w:tcPr>
            <w:tcW w:w="1691" w:type="dxa"/>
          </w:tcPr>
          <w:p w14:paraId="14553D29" w14:textId="77777777" w:rsidR="00350C65" w:rsidRPr="00634E65" w:rsidRDefault="00350C65" w:rsidP="00634E65">
            <w:pPr>
              <w:pStyle w:val="TableText"/>
              <w:jc w:val="center"/>
              <w:rPr>
                <w:szCs w:val="16"/>
              </w:rPr>
            </w:pPr>
            <w:r w:rsidRPr="00634E65">
              <w:rPr>
                <w:szCs w:val="16"/>
              </w:rPr>
              <w:t>0.731</w:t>
            </w:r>
          </w:p>
        </w:tc>
      </w:tr>
      <w:tr w:rsidR="00350C65" w:rsidRPr="00B1275F" w14:paraId="23FB0F83" w14:textId="77777777" w:rsidTr="003D26E2">
        <w:trPr>
          <w:trHeight w:val="208"/>
        </w:trPr>
        <w:tc>
          <w:tcPr>
            <w:tcW w:w="3530" w:type="dxa"/>
          </w:tcPr>
          <w:p w14:paraId="248C301A" w14:textId="77777777" w:rsidR="00350C65" w:rsidRPr="00634E65" w:rsidRDefault="00350C65" w:rsidP="00CD76DA">
            <w:pPr>
              <w:pStyle w:val="TableText"/>
              <w:rPr>
                <w:szCs w:val="16"/>
              </w:rPr>
            </w:pPr>
            <w:r w:rsidRPr="00634E65">
              <w:rPr>
                <w:szCs w:val="16"/>
              </w:rPr>
              <w:t>Full-time</w:t>
            </w:r>
          </w:p>
        </w:tc>
        <w:tc>
          <w:tcPr>
            <w:tcW w:w="1950" w:type="dxa"/>
            <w:vAlign w:val="center"/>
          </w:tcPr>
          <w:p w14:paraId="311E0B9F" w14:textId="77777777" w:rsidR="00350C65" w:rsidRPr="00634E65" w:rsidRDefault="00350C65" w:rsidP="00634E65">
            <w:pPr>
              <w:pStyle w:val="TableText"/>
              <w:jc w:val="center"/>
              <w:rPr>
                <w:szCs w:val="16"/>
              </w:rPr>
            </w:pPr>
            <w:r w:rsidRPr="00634E65">
              <w:rPr>
                <w:szCs w:val="16"/>
              </w:rPr>
              <w:t>26 (86.7%)</w:t>
            </w:r>
          </w:p>
        </w:tc>
        <w:tc>
          <w:tcPr>
            <w:tcW w:w="1845" w:type="dxa"/>
            <w:vAlign w:val="center"/>
          </w:tcPr>
          <w:p w14:paraId="68B092C0" w14:textId="77777777" w:rsidR="00350C65" w:rsidRPr="00634E65" w:rsidRDefault="00350C65" w:rsidP="00634E65">
            <w:pPr>
              <w:pStyle w:val="TableText"/>
              <w:jc w:val="center"/>
              <w:rPr>
                <w:szCs w:val="16"/>
              </w:rPr>
            </w:pPr>
            <w:r w:rsidRPr="00634E65">
              <w:rPr>
                <w:szCs w:val="16"/>
              </w:rPr>
              <w:t>24 (80.0%)</w:t>
            </w:r>
          </w:p>
        </w:tc>
        <w:tc>
          <w:tcPr>
            <w:tcW w:w="1691" w:type="dxa"/>
          </w:tcPr>
          <w:p w14:paraId="58FAAE3C" w14:textId="77777777" w:rsidR="00350C65" w:rsidRPr="00634E65" w:rsidRDefault="00350C65" w:rsidP="00634E65">
            <w:pPr>
              <w:pStyle w:val="TableText"/>
              <w:jc w:val="center"/>
              <w:rPr>
                <w:szCs w:val="16"/>
              </w:rPr>
            </w:pPr>
          </w:p>
        </w:tc>
      </w:tr>
      <w:tr w:rsidR="00350C65" w:rsidRPr="00B1275F" w14:paraId="211EA55A" w14:textId="77777777" w:rsidTr="003D26E2">
        <w:trPr>
          <w:trHeight w:val="208"/>
        </w:trPr>
        <w:tc>
          <w:tcPr>
            <w:tcW w:w="3530" w:type="dxa"/>
          </w:tcPr>
          <w:p w14:paraId="718ED4A7" w14:textId="77777777" w:rsidR="00350C65" w:rsidRPr="00634E65" w:rsidRDefault="00350C65" w:rsidP="00CD76DA">
            <w:pPr>
              <w:pStyle w:val="TableText"/>
              <w:rPr>
                <w:szCs w:val="16"/>
              </w:rPr>
            </w:pPr>
            <w:r w:rsidRPr="00634E65">
              <w:rPr>
                <w:szCs w:val="16"/>
              </w:rPr>
              <w:t>Part-time</w:t>
            </w:r>
          </w:p>
        </w:tc>
        <w:tc>
          <w:tcPr>
            <w:tcW w:w="1950" w:type="dxa"/>
            <w:vAlign w:val="center"/>
          </w:tcPr>
          <w:p w14:paraId="0F80F020" w14:textId="77777777" w:rsidR="00350C65" w:rsidRPr="00634E65" w:rsidRDefault="00350C65" w:rsidP="00634E65">
            <w:pPr>
              <w:pStyle w:val="TableText"/>
              <w:jc w:val="center"/>
              <w:rPr>
                <w:szCs w:val="16"/>
              </w:rPr>
            </w:pPr>
            <w:r w:rsidRPr="00634E65">
              <w:rPr>
                <w:szCs w:val="16"/>
              </w:rPr>
              <w:t>4 (13.3%)</w:t>
            </w:r>
          </w:p>
        </w:tc>
        <w:tc>
          <w:tcPr>
            <w:tcW w:w="1845" w:type="dxa"/>
            <w:vAlign w:val="center"/>
          </w:tcPr>
          <w:p w14:paraId="6088AD00" w14:textId="77777777" w:rsidR="00350C65" w:rsidRPr="00634E65" w:rsidRDefault="00350C65" w:rsidP="00634E65">
            <w:pPr>
              <w:pStyle w:val="TableText"/>
              <w:jc w:val="center"/>
              <w:rPr>
                <w:szCs w:val="16"/>
              </w:rPr>
            </w:pPr>
            <w:r w:rsidRPr="00634E65">
              <w:rPr>
                <w:szCs w:val="16"/>
              </w:rPr>
              <w:t>6 (20.0%)</w:t>
            </w:r>
          </w:p>
        </w:tc>
        <w:tc>
          <w:tcPr>
            <w:tcW w:w="1691" w:type="dxa"/>
          </w:tcPr>
          <w:p w14:paraId="7661CDBC" w14:textId="77777777" w:rsidR="00350C65" w:rsidRPr="00634E65" w:rsidRDefault="00350C65" w:rsidP="00634E65">
            <w:pPr>
              <w:pStyle w:val="TableText"/>
              <w:jc w:val="center"/>
              <w:rPr>
                <w:szCs w:val="16"/>
              </w:rPr>
            </w:pPr>
          </w:p>
        </w:tc>
      </w:tr>
      <w:tr w:rsidR="00350C65" w:rsidRPr="00B1275F" w14:paraId="7B197E0F" w14:textId="77777777" w:rsidTr="003D26E2">
        <w:trPr>
          <w:trHeight w:val="208"/>
        </w:trPr>
        <w:tc>
          <w:tcPr>
            <w:tcW w:w="3530" w:type="dxa"/>
          </w:tcPr>
          <w:p w14:paraId="2FBA3182" w14:textId="77777777" w:rsidR="00350C65" w:rsidRPr="00634E65" w:rsidRDefault="00350C65" w:rsidP="00CD76DA">
            <w:pPr>
              <w:pStyle w:val="TableText"/>
              <w:rPr>
                <w:szCs w:val="16"/>
              </w:rPr>
            </w:pPr>
            <w:r w:rsidRPr="00634E65">
              <w:rPr>
                <w:szCs w:val="16"/>
              </w:rPr>
              <w:t>Employment status change [n (%)]</w:t>
            </w:r>
          </w:p>
        </w:tc>
        <w:tc>
          <w:tcPr>
            <w:tcW w:w="1950" w:type="dxa"/>
            <w:vAlign w:val="center"/>
          </w:tcPr>
          <w:p w14:paraId="150A0A77" w14:textId="77777777" w:rsidR="00350C65" w:rsidRPr="00634E65" w:rsidRDefault="00350C65" w:rsidP="00634E65">
            <w:pPr>
              <w:pStyle w:val="TableText"/>
              <w:jc w:val="center"/>
              <w:rPr>
                <w:szCs w:val="16"/>
              </w:rPr>
            </w:pPr>
          </w:p>
        </w:tc>
        <w:tc>
          <w:tcPr>
            <w:tcW w:w="1845" w:type="dxa"/>
            <w:vAlign w:val="center"/>
          </w:tcPr>
          <w:p w14:paraId="3D404096" w14:textId="77777777" w:rsidR="00350C65" w:rsidRPr="00634E65" w:rsidRDefault="00350C65" w:rsidP="00634E65">
            <w:pPr>
              <w:pStyle w:val="TableText"/>
              <w:jc w:val="center"/>
              <w:rPr>
                <w:szCs w:val="16"/>
              </w:rPr>
            </w:pPr>
          </w:p>
        </w:tc>
        <w:tc>
          <w:tcPr>
            <w:tcW w:w="1691" w:type="dxa"/>
          </w:tcPr>
          <w:p w14:paraId="64FA8DA9" w14:textId="77777777" w:rsidR="00350C65" w:rsidRPr="00634E65" w:rsidRDefault="00350C65" w:rsidP="00634E65">
            <w:pPr>
              <w:pStyle w:val="TableText"/>
              <w:jc w:val="center"/>
              <w:rPr>
                <w:szCs w:val="16"/>
              </w:rPr>
            </w:pPr>
            <w:r w:rsidRPr="00634E65">
              <w:rPr>
                <w:szCs w:val="16"/>
              </w:rPr>
              <w:t>0.314</w:t>
            </w:r>
          </w:p>
        </w:tc>
      </w:tr>
      <w:tr w:rsidR="00350C65" w:rsidRPr="00B1275F" w14:paraId="22C2C6CD" w14:textId="77777777" w:rsidTr="003D26E2">
        <w:trPr>
          <w:trHeight w:val="208"/>
        </w:trPr>
        <w:tc>
          <w:tcPr>
            <w:tcW w:w="3530" w:type="dxa"/>
          </w:tcPr>
          <w:p w14:paraId="1C05F458" w14:textId="77777777" w:rsidR="00350C65" w:rsidRPr="00634E65" w:rsidRDefault="00350C65" w:rsidP="00CD76DA">
            <w:pPr>
              <w:pStyle w:val="TableText"/>
              <w:rPr>
                <w:szCs w:val="16"/>
              </w:rPr>
            </w:pPr>
            <w:r w:rsidRPr="00634E65">
              <w:rPr>
                <w:szCs w:val="16"/>
              </w:rPr>
              <w:t>No Change in Status</w:t>
            </w:r>
          </w:p>
        </w:tc>
        <w:tc>
          <w:tcPr>
            <w:tcW w:w="1950" w:type="dxa"/>
            <w:vAlign w:val="center"/>
          </w:tcPr>
          <w:p w14:paraId="2B7BA737" w14:textId="77777777" w:rsidR="00350C65" w:rsidRPr="00634E65" w:rsidRDefault="00350C65" w:rsidP="00634E65">
            <w:pPr>
              <w:pStyle w:val="TableText"/>
              <w:jc w:val="center"/>
              <w:rPr>
                <w:szCs w:val="16"/>
              </w:rPr>
            </w:pPr>
            <w:r w:rsidRPr="00634E65">
              <w:rPr>
                <w:szCs w:val="16"/>
              </w:rPr>
              <w:t>22 (84.6%)</w:t>
            </w:r>
          </w:p>
        </w:tc>
        <w:tc>
          <w:tcPr>
            <w:tcW w:w="1845" w:type="dxa"/>
            <w:vAlign w:val="center"/>
          </w:tcPr>
          <w:p w14:paraId="41CABB40" w14:textId="77777777" w:rsidR="00350C65" w:rsidRPr="00634E65" w:rsidRDefault="00350C65" w:rsidP="00634E65">
            <w:pPr>
              <w:pStyle w:val="TableText"/>
              <w:jc w:val="center"/>
              <w:rPr>
                <w:szCs w:val="16"/>
              </w:rPr>
            </w:pPr>
            <w:r w:rsidRPr="00634E65">
              <w:rPr>
                <w:szCs w:val="16"/>
              </w:rPr>
              <w:t>17 (70.8%)</w:t>
            </w:r>
          </w:p>
        </w:tc>
        <w:tc>
          <w:tcPr>
            <w:tcW w:w="1691" w:type="dxa"/>
          </w:tcPr>
          <w:p w14:paraId="197E7107" w14:textId="77777777" w:rsidR="00350C65" w:rsidRPr="00634E65" w:rsidRDefault="00350C65" w:rsidP="00634E65">
            <w:pPr>
              <w:pStyle w:val="TableText"/>
              <w:jc w:val="center"/>
              <w:rPr>
                <w:szCs w:val="16"/>
              </w:rPr>
            </w:pPr>
          </w:p>
        </w:tc>
      </w:tr>
      <w:tr w:rsidR="00350C65" w:rsidRPr="00B1275F" w14:paraId="3F81BD66" w14:textId="77777777" w:rsidTr="003D26E2">
        <w:trPr>
          <w:trHeight w:val="208"/>
        </w:trPr>
        <w:tc>
          <w:tcPr>
            <w:tcW w:w="3530" w:type="dxa"/>
          </w:tcPr>
          <w:p w14:paraId="25517539" w14:textId="7EC9C8C9" w:rsidR="00350C65" w:rsidRPr="00634E65" w:rsidRDefault="00350C65" w:rsidP="00CD76DA">
            <w:pPr>
              <w:pStyle w:val="TableText"/>
              <w:rPr>
                <w:szCs w:val="16"/>
              </w:rPr>
            </w:pPr>
            <w:r w:rsidRPr="00634E65">
              <w:rPr>
                <w:szCs w:val="16"/>
              </w:rPr>
              <w:t xml:space="preserve">Time to RTW </w:t>
            </w:r>
            <w:r w:rsidR="00D47362" w:rsidRPr="00634E65">
              <w:rPr>
                <w:szCs w:val="16"/>
              </w:rPr>
              <w:t>number of days - median (IQR)</w:t>
            </w:r>
          </w:p>
        </w:tc>
        <w:tc>
          <w:tcPr>
            <w:tcW w:w="1950" w:type="dxa"/>
            <w:vAlign w:val="center"/>
          </w:tcPr>
          <w:p w14:paraId="410AE1E0" w14:textId="08C48684" w:rsidR="00350C65" w:rsidRPr="00634E65" w:rsidRDefault="00350C65" w:rsidP="00634E65">
            <w:pPr>
              <w:pStyle w:val="TableText"/>
              <w:jc w:val="center"/>
              <w:rPr>
                <w:b/>
                <w:szCs w:val="16"/>
              </w:rPr>
            </w:pPr>
            <w:r w:rsidRPr="00634E65">
              <w:rPr>
                <w:b/>
                <w:szCs w:val="16"/>
              </w:rPr>
              <w:t xml:space="preserve">90.0 </w:t>
            </w:r>
            <w:r w:rsidR="00AE511B">
              <w:rPr>
                <w:b/>
                <w:szCs w:val="16"/>
              </w:rPr>
              <w:t>(</w:t>
            </w:r>
            <w:r w:rsidRPr="00634E65">
              <w:rPr>
                <w:b/>
                <w:szCs w:val="16"/>
              </w:rPr>
              <w:t>25.0</w:t>
            </w:r>
            <w:r w:rsidR="00AE511B">
              <w:rPr>
                <w:b/>
                <w:szCs w:val="16"/>
              </w:rPr>
              <w:t>)</w:t>
            </w:r>
          </w:p>
        </w:tc>
        <w:tc>
          <w:tcPr>
            <w:tcW w:w="1845" w:type="dxa"/>
            <w:vAlign w:val="center"/>
          </w:tcPr>
          <w:p w14:paraId="598823DE" w14:textId="39C0A5A5" w:rsidR="00350C65" w:rsidRPr="00634E65" w:rsidRDefault="00350C65" w:rsidP="00634E65">
            <w:pPr>
              <w:pStyle w:val="TableText"/>
              <w:jc w:val="center"/>
              <w:rPr>
                <w:b/>
                <w:szCs w:val="16"/>
              </w:rPr>
            </w:pPr>
            <w:r w:rsidRPr="00634E65">
              <w:rPr>
                <w:b/>
                <w:szCs w:val="16"/>
              </w:rPr>
              <w:t xml:space="preserve">163.5 </w:t>
            </w:r>
            <w:r w:rsidR="00AE511B">
              <w:rPr>
                <w:b/>
                <w:szCs w:val="16"/>
              </w:rPr>
              <w:t>(</w:t>
            </w:r>
            <w:r w:rsidRPr="00634E65">
              <w:rPr>
                <w:b/>
                <w:szCs w:val="16"/>
              </w:rPr>
              <w:t>24.0</w:t>
            </w:r>
            <w:r w:rsidR="00AE511B">
              <w:rPr>
                <w:b/>
                <w:szCs w:val="16"/>
              </w:rPr>
              <w:t>)</w:t>
            </w:r>
          </w:p>
        </w:tc>
        <w:tc>
          <w:tcPr>
            <w:tcW w:w="1691" w:type="dxa"/>
          </w:tcPr>
          <w:p w14:paraId="56D4DF27" w14:textId="77777777" w:rsidR="00350C65" w:rsidRPr="00634E65" w:rsidRDefault="00350C65" w:rsidP="00634E65">
            <w:pPr>
              <w:pStyle w:val="TableText"/>
              <w:jc w:val="center"/>
              <w:rPr>
                <w:szCs w:val="16"/>
              </w:rPr>
            </w:pPr>
            <w:r w:rsidRPr="00634E65">
              <w:rPr>
                <w:szCs w:val="16"/>
              </w:rPr>
              <w:t>&lt;0.0001</w:t>
            </w:r>
          </w:p>
        </w:tc>
      </w:tr>
      <w:tr w:rsidR="00350C65" w:rsidRPr="00B1275F" w14:paraId="0DBDAF46" w14:textId="77777777" w:rsidTr="003D26E2">
        <w:trPr>
          <w:trHeight w:val="208"/>
        </w:trPr>
        <w:tc>
          <w:tcPr>
            <w:tcW w:w="3530" w:type="dxa"/>
          </w:tcPr>
          <w:p w14:paraId="6F4BD0E9" w14:textId="1E28BEC2" w:rsidR="00350C65" w:rsidRPr="00634E65" w:rsidRDefault="00350C65" w:rsidP="00CD76DA">
            <w:pPr>
              <w:pStyle w:val="TableText"/>
              <w:rPr>
                <w:szCs w:val="16"/>
              </w:rPr>
            </w:pPr>
            <w:r w:rsidRPr="00634E65">
              <w:rPr>
                <w:szCs w:val="16"/>
              </w:rPr>
              <w:t xml:space="preserve">Sling Time </w:t>
            </w:r>
            <w:r w:rsidR="00D47362" w:rsidRPr="00634E65">
              <w:rPr>
                <w:szCs w:val="16"/>
              </w:rPr>
              <w:t xml:space="preserve">number </w:t>
            </w:r>
            <w:r w:rsidRPr="00634E65">
              <w:rPr>
                <w:szCs w:val="16"/>
              </w:rPr>
              <w:t xml:space="preserve">of </w:t>
            </w:r>
            <w:r w:rsidR="00D47362" w:rsidRPr="00634E65">
              <w:rPr>
                <w:szCs w:val="16"/>
              </w:rPr>
              <w:t>days - median (IQR)</w:t>
            </w:r>
          </w:p>
        </w:tc>
        <w:tc>
          <w:tcPr>
            <w:tcW w:w="1950" w:type="dxa"/>
            <w:vAlign w:val="center"/>
          </w:tcPr>
          <w:p w14:paraId="4A9A7933" w14:textId="3773CCD0" w:rsidR="00350C65" w:rsidRPr="00634E65" w:rsidRDefault="00350C65" w:rsidP="00634E65">
            <w:pPr>
              <w:pStyle w:val="TableText"/>
              <w:jc w:val="center"/>
              <w:rPr>
                <w:b/>
                <w:szCs w:val="16"/>
              </w:rPr>
            </w:pPr>
            <w:r w:rsidRPr="00634E65">
              <w:rPr>
                <w:b/>
                <w:szCs w:val="16"/>
              </w:rPr>
              <w:t xml:space="preserve">12.5 </w:t>
            </w:r>
            <w:r w:rsidR="00AE511B">
              <w:rPr>
                <w:b/>
                <w:szCs w:val="16"/>
              </w:rPr>
              <w:t>(</w:t>
            </w:r>
            <w:r w:rsidRPr="00634E65">
              <w:rPr>
                <w:b/>
                <w:szCs w:val="16"/>
              </w:rPr>
              <w:t>3.0</w:t>
            </w:r>
            <w:r w:rsidR="00AE511B">
              <w:rPr>
                <w:b/>
                <w:szCs w:val="16"/>
              </w:rPr>
              <w:t>0)</w:t>
            </w:r>
          </w:p>
        </w:tc>
        <w:tc>
          <w:tcPr>
            <w:tcW w:w="1845" w:type="dxa"/>
            <w:vAlign w:val="center"/>
          </w:tcPr>
          <w:p w14:paraId="23286B6D" w14:textId="3E7BFCCC" w:rsidR="00350C65" w:rsidRPr="00634E65" w:rsidRDefault="00350C65" w:rsidP="00634E65">
            <w:pPr>
              <w:pStyle w:val="TableText"/>
              <w:jc w:val="center"/>
              <w:rPr>
                <w:b/>
                <w:szCs w:val="16"/>
              </w:rPr>
            </w:pPr>
            <w:r w:rsidRPr="00634E65">
              <w:rPr>
                <w:b/>
                <w:szCs w:val="16"/>
              </w:rPr>
              <w:t xml:space="preserve">27.0 </w:t>
            </w:r>
            <w:r w:rsidR="00AE511B">
              <w:rPr>
                <w:b/>
                <w:szCs w:val="16"/>
              </w:rPr>
              <w:t>(</w:t>
            </w:r>
            <w:r w:rsidRPr="00634E65">
              <w:rPr>
                <w:b/>
                <w:szCs w:val="16"/>
              </w:rPr>
              <w:t>3.0</w:t>
            </w:r>
            <w:r w:rsidR="00AE511B">
              <w:rPr>
                <w:b/>
                <w:szCs w:val="16"/>
              </w:rPr>
              <w:t>)</w:t>
            </w:r>
          </w:p>
        </w:tc>
        <w:tc>
          <w:tcPr>
            <w:tcW w:w="1691" w:type="dxa"/>
          </w:tcPr>
          <w:p w14:paraId="60ADFC87" w14:textId="77777777" w:rsidR="00350C65" w:rsidRPr="00634E65" w:rsidRDefault="00350C65" w:rsidP="00634E65">
            <w:pPr>
              <w:pStyle w:val="TableText"/>
              <w:jc w:val="center"/>
              <w:rPr>
                <w:szCs w:val="16"/>
              </w:rPr>
            </w:pPr>
            <w:r w:rsidRPr="00634E65">
              <w:rPr>
                <w:szCs w:val="16"/>
              </w:rPr>
              <w:t>&lt;0.0001</w:t>
            </w:r>
          </w:p>
        </w:tc>
      </w:tr>
    </w:tbl>
    <w:p w14:paraId="50020819" w14:textId="359DF4A7" w:rsidR="003D26E2" w:rsidRPr="006467A7" w:rsidRDefault="003D26E2" w:rsidP="00CD76DA">
      <w:pPr>
        <w:pStyle w:val="Tablenotes"/>
      </w:pPr>
      <w:r w:rsidRPr="00CD76DA">
        <w:rPr>
          <w:rFonts w:eastAsia="Calibri"/>
          <w:szCs w:val="18"/>
        </w:rPr>
        <w:t xml:space="preserve">Source: </w:t>
      </w:r>
      <w:r w:rsidRPr="006467A7">
        <w:t xml:space="preserve"> Table 36, p</w:t>
      </w:r>
      <w:r w:rsidR="002D7FCB">
        <w:t>g</w:t>
      </w:r>
      <w:r w:rsidRPr="006467A7">
        <w:t>9</w:t>
      </w:r>
      <w:r w:rsidR="00854096">
        <w:t>5</w:t>
      </w:r>
      <w:r w:rsidRPr="006467A7">
        <w:t xml:space="preserve"> of the </w:t>
      </w:r>
      <w:bookmarkStart w:id="43" w:name="_Hlk163130887"/>
      <w:r w:rsidRPr="006467A7">
        <w:t>MSAC 1593.1 application ADAR + inline commentary</w:t>
      </w:r>
      <w:r w:rsidRPr="006467A7" w:rsidDel="00CD71E3">
        <w:t xml:space="preserve"> </w:t>
      </w:r>
      <w:bookmarkEnd w:id="43"/>
    </w:p>
    <w:p w14:paraId="78FD881C" w14:textId="0266D293" w:rsidR="003D26E2" w:rsidRPr="006467A7" w:rsidRDefault="003D26E2" w:rsidP="00CD76DA">
      <w:pPr>
        <w:pStyle w:val="Tablenotes"/>
      </w:pPr>
      <w:r w:rsidRPr="006467A7">
        <w:t xml:space="preserve">Abbreviations: </w:t>
      </w:r>
      <w:r w:rsidR="00D47362">
        <w:t xml:space="preserve">IQR = </w:t>
      </w:r>
      <w:r w:rsidR="00D47362" w:rsidRPr="00CD76DA">
        <w:rPr>
          <w:rFonts w:eastAsia="Calibri"/>
          <w:szCs w:val="18"/>
        </w:rPr>
        <w:t>interquartile range</w:t>
      </w:r>
      <w:r w:rsidR="00D47362">
        <w:rPr>
          <w:rFonts w:eastAsia="Calibri"/>
          <w:szCs w:val="18"/>
        </w:rPr>
        <w:t>;</w:t>
      </w:r>
      <w:r w:rsidR="00D47362" w:rsidRPr="006467A7">
        <w:t xml:space="preserve"> </w:t>
      </w:r>
      <w:r w:rsidRPr="006467A7">
        <w:t>RTW=return to work</w:t>
      </w:r>
    </w:p>
    <w:p w14:paraId="315BA2FE" w14:textId="522F6C7C" w:rsidR="003D26E2" w:rsidRPr="006467A7" w:rsidRDefault="003D26E2" w:rsidP="00CD76DA">
      <w:pPr>
        <w:pStyle w:val="Tablenotes"/>
      </w:pPr>
      <w:r w:rsidRPr="006467A7">
        <w:t xml:space="preserve">Notes: </w:t>
      </w:r>
      <w:r w:rsidRPr="00CD76DA">
        <w:rPr>
          <w:rFonts w:eastAsia="Calibri"/>
          <w:szCs w:val="18"/>
        </w:rPr>
        <w:t xml:space="preserve">Change in employment status is a comparison of pre-operative work status to post-operative works status. Numbers in </w:t>
      </w:r>
      <w:r w:rsidRPr="00CD76DA">
        <w:rPr>
          <w:rFonts w:eastAsia="Calibri"/>
          <w:b/>
          <w:szCs w:val="18"/>
        </w:rPr>
        <w:t>bold</w:t>
      </w:r>
      <w:r w:rsidRPr="00CD76DA">
        <w:rPr>
          <w:rFonts w:eastAsia="Calibri"/>
          <w:szCs w:val="18"/>
        </w:rPr>
        <w:t xml:space="preserve"> indicate significant differences </w:t>
      </w:r>
      <w:r w:rsidR="00D47362" w:rsidRPr="00D47362">
        <w:rPr>
          <w:rFonts w:eastAsia="Calibri"/>
          <w:szCs w:val="18"/>
        </w:rPr>
        <w:t xml:space="preserve">between groups </w:t>
      </w:r>
    </w:p>
    <w:p w14:paraId="3CD19D6E" w14:textId="3CF4B6D9" w:rsidR="00E04504" w:rsidRDefault="00E04504" w:rsidP="003B4E46">
      <w:r w:rsidRPr="00B821D3">
        <w:t xml:space="preserve">The commentary considered that the clinical effectiveness evidence for Population 1 </w:t>
      </w:r>
      <w:r w:rsidR="00DC293C">
        <w:t>was</w:t>
      </w:r>
      <w:r w:rsidRPr="00B821D3">
        <w:t xml:space="preserve"> uncertain as </w:t>
      </w:r>
      <w:r>
        <w:t xml:space="preserve">Wang et al., 2023 provided interim results with a small sample size and </w:t>
      </w:r>
      <w:proofErr w:type="gramStart"/>
      <w:r>
        <w:t>short term</w:t>
      </w:r>
      <w:proofErr w:type="gramEnd"/>
      <w:r>
        <w:t xml:space="preserve"> follow</w:t>
      </w:r>
      <w:r w:rsidR="00DC293C">
        <w:t>-</w:t>
      </w:r>
      <w:r>
        <w:t>up</w:t>
      </w:r>
      <w:r w:rsidR="00DC293C">
        <w:t>. Moreover,</w:t>
      </w:r>
      <w:r>
        <w:t xml:space="preserve"> the study population of Camacho-Chacon et al., 2023 is not relevant for Population 1 because this </w:t>
      </w:r>
      <w:r w:rsidR="00DC293C">
        <w:t>trial</w:t>
      </w:r>
      <w:r>
        <w:t xml:space="preserve"> included patients with FTRCT.</w:t>
      </w:r>
      <w:r>
        <w:tab/>
      </w:r>
    </w:p>
    <w:p w14:paraId="441356EA" w14:textId="2191A872" w:rsidR="003D26E2" w:rsidRDefault="003A7EF9" w:rsidP="003B4E46">
      <w:pPr>
        <w:rPr>
          <w:rFonts w:cstheme="minorHAnsi"/>
        </w:rPr>
      </w:pPr>
      <w:r>
        <w:t>In addition to the evidence based on Wang et al</w:t>
      </w:r>
      <w:r w:rsidR="00893760">
        <w:t>.</w:t>
      </w:r>
      <w:r>
        <w:t xml:space="preserve">, 2023 and </w:t>
      </w:r>
      <w:r w:rsidRPr="003A7EF9">
        <w:t>Camacho-Chacon et al.,</w:t>
      </w:r>
      <w:r w:rsidR="00893760">
        <w:t xml:space="preserve"> </w:t>
      </w:r>
      <w:r w:rsidRPr="003A7EF9">
        <w:t>2023</w:t>
      </w:r>
      <w:r>
        <w:t xml:space="preserve">, the ADAR provided </w:t>
      </w:r>
      <w:r w:rsidR="007D4227">
        <w:t xml:space="preserve">additional </w:t>
      </w:r>
      <w:r>
        <w:t>evidence for r</w:t>
      </w:r>
      <w:r w:rsidRPr="003A7EF9">
        <w:t xml:space="preserve">educed </w:t>
      </w:r>
      <w:r w:rsidR="009F5983">
        <w:t>r</w:t>
      </w:r>
      <w:r w:rsidRPr="003A7EF9">
        <w:t xml:space="preserve">ehabilitation </w:t>
      </w:r>
      <w:r w:rsidR="007D4227">
        <w:t>b</w:t>
      </w:r>
      <w:r w:rsidR="007D4227" w:rsidRPr="003A7EF9">
        <w:t>urden</w:t>
      </w:r>
      <w:r w:rsidR="007D4227">
        <w:t xml:space="preserve">, </w:t>
      </w:r>
      <w:r w:rsidR="00DC293C">
        <w:t>time to</w:t>
      </w:r>
      <w:r w:rsidR="00DC293C" w:rsidRPr="003A7EF9">
        <w:rPr>
          <w:rFonts w:cstheme="minorHAnsi"/>
        </w:rPr>
        <w:t xml:space="preserve"> </w:t>
      </w:r>
      <w:r>
        <w:rPr>
          <w:rFonts w:cstheme="minorHAnsi"/>
        </w:rPr>
        <w:t>r</w:t>
      </w:r>
      <w:r w:rsidRPr="003A7EF9">
        <w:rPr>
          <w:rFonts w:cstheme="minorHAnsi"/>
        </w:rPr>
        <w:t xml:space="preserve">eturn to </w:t>
      </w:r>
      <w:r>
        <w:rPr>
          <w:rFonts w:cstheme="minorHAnsi"/>
        </w:rPr>
        <w:t>w</w:t>
      </w:r>
      <w:r w:rsidRPr="003A7EF9">
        <w:rPr>
          <w:rFonts w:cstheme="minorHAnsi"/>
        </w:rPr>
        <w:t>ork</w:t>
      </w:r>
      <w:r>
        <w:rPr>
          <w:rFonts w:cstheme="minorHAnsi"/>
        </w:rPr>
        <w:t xml:space="preserve">, </w:t>
      </w:r>
      <w:r w:rsidR="00DC293C">
        <w:rPr>
          <w:rFonts w:cstheme="minorHAnsi"/>
        </w:rPr>
        <w:t xml:space="preserve">time to </w:t>
      </w:r>
      <w:r>
        <w:rPr>
          <w:rFonts w:cstheme="minorHAnsi"/>
        </w:rPr>
        <w:t xml:space="preserve">return to </w:t>
      </w:r>
      <w:r w:rsidR="00DC293C">
        <w:rPr>
          <w:rFonts w:cstheme="minorHAnsi"/>
        </w:rPr>
        <w:t xml:space="preserve">daily </w:t>
      </w:r>
      <w:r>
        <w:rPr>
          <w:rFonts w:cstheme="minorHAnsi"/>
        </w:rPr>
        <w:t xml:space="preserve">activities and </w:t>
      </w:r>
      <w:r w:rsidR="009F5983">
        <w:rPr>
          <w:rFonts w:cstheme="minorHAnsi"/>
        </w:rPr>
        <w:t>physiotherapy</w:t>
      </w:r>
      <w:r>
        <w:rPr>
          <w:rFonts w:cstheme="minorHAnsi"/>
        </w:rPr>
        <w:t xml:space="preserve"> visits based on single arm </w:t>
      </w:r>
      <w:r w:rsidR="00316E24">
        <w:rPr>
          <w:rFonts w:cstheme="minorHAnsi"/>
        </w:rPr>
        <w:t>studies</w:t>
      </w:r>
      <w:r w:rsidR="00FE7893">
        <w:rPr>
          <w:rFonts w:cstheme="minorHAnsi"/>
        </w:rPr>
        <w:t>.</w:t>
      </w:r>
      <w:r w:rsidR="00316E24">
        <w:rPr>
          <w:rFonts w:cstheme="minorHAnsi"/>
        </w:rPr>
        <w:t xml:space="preserve"> </w:t>
      </w:r>
      <w:r w:rsidR="00FE7893">
        <w:rPr>
          <w:rFonts w:cstheme="minorHAnsi"/>
        </w:rPr>
        <w:t>However, the commentary considered that t</w:t>
      </w:r>
      <w:r w:rsidR="00FE7893" w:rsidRPr="00FE7893">
        <w:rPr>
          <w:rFonts w:cstheme="minorHAnsi"/>
        </w:rPr>
        <w:t xml:space="preserve">his evidence </w:t>
      </w:r>
      <w:r w:rsidR="00DC293C">
        <w:rPr>
          <w:rFonts w:cstheme="minorHAnsi"/>
        </w:rPr>
        <w:t>was uncertain given the non-comparative nature of the single arm studies presented.</w:t>
      </w:r>
    </w:p>
    <w:p w14:paraId="34FA1CDC" w14:textId="181B7654" w:rsidR="003D26E2" w:rsidRPr="00E70E9B" w:rsidRDefault="00895086" w:rsidP="00B821D3">
      <w:pPr>
        <w:pStyle w:val="Heading3"/>
      </w:pPr>
      <w:r w:rsidRPr="00E70E9B">
        <w:t>Population 2</w:t>
      </w:r>
      <w:r w:rsidR="003D26E2" w:rsidRPr="00E70E9B">
        <w:t xml:space="preserve"> – FTRCT Patients</w:t>
      </w:r>
      <w:r w:rsidR="00F14806">
        <w:t xml:space="preserve"> (PICO set 2)</w:t>
      </w:r>
    </w:p>
    <w:p w14:paraId="2CEF9A7B" w14:textId="64FFC62E" w:rsidR="00877B0C" w:rsidRDefault="003D26E2" w:rsidP="00877B0C">
      <w:r w:rsidRPr="00366F65">
        <w:t xml:space="preserve">The ADAR </w:t>
      </w:r>
      <w:r w:rsidR="00D01461">
        <w:t>presented findings from the</w:t>
      </w:r>
      <w:r w:rsidR="00D01461" w:rsidRPr="00D01461">
        <w:t xml:space="preserve"> </w:t>
      </w:r>
      <w:r w:rsidR="00D01461" w:rsidRPr="009C7DED">
        <w:t xml:space="preserve">Ruiz </w:t>
      </w:r>
      <w:proofErr w:type="spellStart"/>
      <w:r w:rsidR="00D01461">
        <w:t>Ibán</w:t>
      </w:r>
      <w:proofErr w:type="spellEnd"/>
      <w:r w:rsidR="00D01461" w:rsidRPr="009C7DED">
        <w:t xml:space="preserve"> </w:t>
      </w:r>
      <w:r w:rsidR="00D01461">
        <w:t xml:space="preserve">et al., 2023 RCT as the primary </w:t>
      </w:r>
      <w:r w:rsidR="00843AF0">
        <w:t>evidence of</w:t>
      </w:r>
      <w:r w:rsidRPr="00366F65">
        <w:t xml:space="preserve"> effectiveness for </w:t>
      </w:r>
      <w:r w:rsidR="00895086">
        <w:t>Population 2</w:t>
      </w:r>
      <w:r w:rsidRPr="00366F65">
        <w:t xml:space="preserve"> </w:t>
      </w:r>
      <w:r>
        <w:t>(</w:t>
      </w:r>
      <w:r w:rsidR="001008DA" w:rsidRPr="00600185">
        <w:fldChar w:fldCharType="begin"/>
      </w:r>
      <w:r w:rsidR="001008DA" w:rsidRPr="00600185">
        <w:instrText xml:space="preserve"> REF _Ref163179717 \h </w:instrText>
      </w:r>
      <w:r w:rsidR="00264448" w:rsidRPr="00600185">
        <w:instrText xml:space="preserve"> \* MERGEFORMAT </w:instrText>
      </w:r>
      <w:r w:rsidR="001008DA" w:rsidRPr="00600185">
        <w:fldChar w:fldCharType="separate"/>
      </w:r>
      <w:r w:rsidR="00EB12D3" w:rsidRPr="00B821D3">
        <w:rPr>
          <w:rFonts w:eastAsia="Times New Roman" w:cs="Times New Roman"/>
          <w:szCs w:val="20"/>
        </w:rPr>
        <w:t>Table</w:t>
      </w:r>
      <w:r w:rsidR="00EB12D3" w:rsidRPr="00B821D3">
        <w:rPr>
          <w:rFonts w:eastAsia="Times New Roman" w:cs="Times New Roman"/>
          <w:noProof/>
          <w:szCs w:val="20"/>
        </w:rPr>
        <w:t xml:space="preserve"> </w:t>
      </w:r>
      <w:r w:rsidR="00EB12D3" w:rsidRPr="00B821D3">
        <w:rPr>
          <w:rFonts w:eastAsia="Times New Roman" w:cs="Times New Roman"/>
          <w:szCs w:val="20"/>
        </w:rPr>
        <w:t>7</w:t>
      </w:r>
      <w:r w:rsidR="001008DA" w:rsidRPr="00600185">
        <w:fldChar w:fldCharType="end"/>
      </w:r>
      <w:r>
        <w:t>).</w:t>
      </w:r>
      <w:r w:rsidR="008F2269" w:rsidRPr="008F2269">
        <w:t xml:space="preserve"> </w:t>
      </w:r>
      <w:r w:rsidR="003A3710">
        <w:t xml:space="preserve">The </w:t>
      </w:r>
      <w:r w:rsidR="009A3949">
        <w:t>imaging-based</w:t>
      </w:r>
      <w:r w:rsidR="003A3710">
        <w:t xml:space="preserve"> retear rates </w:t>
      </w:r>
      <w:r w:rsidR="00714B53">
        <w:t xml:space="preserve">from this trial </w:t>
      </w:r>
      <w:r w:rsidR="003A3710">
        <w:t xml:space="preserve">were used in the economic evaluation </w:t>
      </w:r>
      <w:r w:rsidR="00843AF0">
        <w:t>for</w:t>
      </w:r>
      <w:r w:rsidR="003A3710">
        <w:t xml:space="preserve"> </w:t>
      </w:r>
      <w:r w:rsidR="00714B53">
        <w:t>P</w:t>
      </w:r>
      <w:r w:rsidR="003A3710">
        <w:t>opulation 2.</w:t>
      </w:r>
      <w:bookmarkStart w:id="44" w:name="_Ref163179717"/>
      <w:r w:rsidR="00877B0C">
        <w:br w:type="page"/>
      </w:r>
    </w:p>
    <w:p w14:paraId="6A5CE331" w14:textId="3ECB088A" w:rsidR="004B0CEE" w:rsidRPr="00B25254" w:rsidRDefault="00A37941" w:rsidP="00877B0C">
      <w:pPr>
        <w:pStyle w:val="Caption"/>
        <w:keepLines/>
      </w:pPr>
      <w:bookmarkStart w:id="45" w:name="_Ref165987380"/>
      <w:bookmarkStart w:id="46" w:name="_Ref165987374"/>
      <w:r w:rsidRPr="00B25254">
        <w:lastRenderedPageBreak/>
        <w:t xml:space="preserve">Table </w:t>
      </w:r>
      <w:r>
        <w:fldChar w:fldCharType="begin"/>
      </w:r>
      <w:r>
        <w:instrText xml:space="preserve"> SEQ Table \* ARABIC </w:instrText>
      </w:r>
      <w:r>
        <w:fldChar w:fldCharType="separate"/>
      </w:r>
      <w:r w:rsidR="00C3173B">
        <w:rPr>
          <w:noProof/>
        </w:rPr>
        <w:t>7</w:t>
      </w:r>
      <w:r>
        <w:rPr>
          <w:noProof/>
        </w:rPr>
        <w:fldChar w:fldCharType="end"/>
      </w:r>
      <w:bookmarkEnd w:id="44"/>
      <w:bookmarkEnd w:id="45"/>
      <w:r w:rsidR="00893760">
        <w:t>:</w:t>
      </w:r>
      <w:r w:rsidRPr="00B25254">
        <w:t xml:space="preserve"> </w:t>
      </w:r>
      <w:r>
        <w:t xml:space="preserve">Comparative efficacy results of </w:t>
      </w:r>
      <w:r w:rsidRPr="00B25254">
        <w:t xml:space="preserve">REGENETEN </w:t>
      </w:r>
      <w:r w:rsidR="00BF262A">
        <w:t>vs.</w:t>
      </w:r>
      <w:r>
        <w:t xml:space="preserve"> </w:t>
      </w:r>
      <w:r w:rsidR="00BF262A">
        <w:t>SOC</w:t>
      </w:r>
      <w:r>
        <w:t xml:space="preserve"> from </w:t>
      </w:r>
      <w:r w:rsidR="009C7DED" w:rsidRPr="009C7DED">
        <w:t xml:space="preserve">Ruiz </w:t>
      </w:r>
      <w:proofErr w:type="spellStart"/>
      <w:r w:rsidR="00262ECD">
        <w:t>Ibán</w:t>
      </w:r>
      <w:proofErr w:type="spellEnd"/>
      <w:r w:rsidR="009C7DED" w:rsidRPr="009C7DED">
        <w:t xml:space="preserve"> </w:t>
      </w:r>
      <w:r w:rsidR="00F6199E">
        <w:t>et al.,</w:t>
      </w:r>
      <w:r w:rsidR="00BF262A">
        <w:t xml:space="preserve"> </w:t>
      </w:r>
      <w:r w:rsidR="009C7DED" w:rsidRPr="009C7DED">
        <w:t>2023</w:t>
      </w:r>
      <w:r w:rsidR="009C7DED">
        <w:t xml:space="preserve"> for </w:t>
      </w:r>
      <w:r w:rsidR="00895086">
        <w:t>Population 2</w:t>
      </w:r>
      <w:bookmarkEnd w:id="46"/>
    </w:p>
    <w:tbl>
      <w:tblPr>
        <w:tblStyle w:val="TableGrid"/>
        <w:tblW w:w="5000" w:type="pct"/>
        <w:tblLayout w:type="fixed"/>
        <w:tblLook w:val="04A0" w:firstRow="1" w:lastRow="0" w:firstColumn="1" w:lastColumn="0" w:noHBand="0" w:noVBand="1"/>
      </w:tblPr>
      <w:tblGrid>
        <w:gridCol w:w="1528"/>
        <w:gridCol w:w="1019"/>
        <w:gridCol w:w="1134"/>
        <w:gridCol w:w="1134"/>
        <w:gridCol w:w="1134"/>
        <w:gridCol w:w="1565"/>
        <w:gridCol w:w="1502"/>
      </w:tblGrid>
      <w:tr w:rsidR="00AC4546" w:rsidRPr="00C44C41" w14:paraId="69ECBE8B" w14:textId="77777777" w:rsidTr="00B821D3">
        <w:trPr>
          <w:trHeight w:val="168"/>
          <w:tblHeader/>
        </w:trPr>
        <w:tc>
          <w:tcPr>
            <w:tcW w:w="847" w:type="pct"/>
            <w:vMerge w:val="restart"/>
            <w:shd w:val="clear" w:color="auto" w:fill="auto"/>
            <w:vAlign w:val="center"/>
          </w:tcPr>
          <w:p w14:paraId="62850DEC" w14:textId="77777777" w:rsidR="00A37941" w:rsidRPr="00C44C41" w:rsidRDefault="00A37941" w:rsidP="00877B0C">
            <w:pPr>
              <w:pStyle w:val="TableText"/>
              <w:keepNext/>
              <w:keepLines/>
            </w:pPr>
          </w:p>
        </w:tc>
        <w:tc>
          <w:tcPr>
            <w:tcW w:w="1194" w:type="pct"/>
            <w:gridSpan w:val="2"/>
            <w:shd w:val="clear" w:color="auto" w:fill="auto"/>
            <w:vAlign w:val="center"/>
          </w:tcPr>
          <w:p w14:paraId="25741118" w14:textId="77777777" w:rsidR="00A37941" w:rsidRPr="00B25254" w:rsidRDefault="00A37941" w:rsidP="00877B0C">
            <w:pPr>
              <w:pStyle w:val="TableText"/>
              <w:keepNext/>
              <w:keepLines/>
              <w:jc w:val="center"/>
              <w:rPr>
                <w:b/>
                <w:szCs w:val="20"/>
              </w:rPr>
            </w:pPr>
            <w:r>
              <w:rPr>
                <w:b/>
                <w:szCs w:val="20"/>
              </w:rPr>
              <w:t>3 months</w:t>
            </w:r>
          </w:p>
        </w:tc>
        <w:tc>
          <w:tcPr>
            <w:tcW w:w="1258" w:type="pct"/>
            <w:gridSpan w:val="2"/>
            <w:shd w:val="clear" w:color="auto" w:fill="auto"/>
          </w:tcPr>
          <w:p w14:paraId="70C090F2" w14:textId="77777777" w:rsidR="00A37941" w:rsidRPr="00B25254" w:rsidRDefault="00A37941" w:rsidP="00877B0C">
            <w:pPr>
              <w:pStyle w:val="TableText"/>
              <w:keepNext/>
              <w:keepLines/>
              <w:jc w:val="center"/>
              <w:rPr>
                <w:b/>
                <w:szCs w:val="20"/>
              </w:rPr>
            </w:pPr>
            <w:r>
              <w:rPr>
                <w:b/>
                <w:szCs w:val="20"/>
              </w:rPr>
              <w:t>6</w:t>
            </w:r>
            <w:r w:rsidRPr="00A61116">
              <w:rPr>
                <w:b/>
                <w:szCs w:val="20"/>
              </w:rPr>
              <w:t xml:space="preserve"> months</w:t>
            </w:r>
          </w:p>
        </w:tc>
        <w:tc>
          <w:tcPr>
            <w:tcW w:w="1701" w:type="pct"/>
            <w:gridSpan w:val="2"/>
            <w:shd w:val="clear" w:color="auto" w:fill="auto"/>
          </w:tcPr>
          <w:p w14:paraId="26857BD7" w14:textId="77777777" w:rsidR="00A37941" w:rsidRPr="00B25254" w:rsidRDefault="00A37941" w:rsidP="00877B0C">
            <w:pPr>
              <w:pStyle w:val="TableText"/>
              <w:keepNext/>
              <w:keepLines/>
              <w:jc w:val="center"/>
              <w:rPr>
                <w:b/>
                <w:szCs w:val="20"/>
              </w:rPr>
            </w:pPr>
            <w:r>
              <w:rPr>
                <w:b/>
                <w:szCs w:val="20"/>
              </w:rPr>
              <w:t>12</w:t>
            </w:r>
            <w:r w:rsidRPr="00A61116">
              <w:rPr>
                <w:b/>
                <w:szCs w:val="20"/>
              </w:rPr>
              <w:t xml:space="preserve"> months</w:t>
            </w:r>
          </w:p>
        </w:tc>
      </w:tr>
      <w:tr w:rsidR="00BF262A" w:rsidRPr="00C44C41" w14:paraId="25419317" w14:textId="77777777" w:rsidTr="00B821D3">
        <w:trPr>
          <w:trHeight w:val="168"/>
          <w:tblHeader/>
        </w:trPr>
        <w:tc>
          <w:tcPr>
            <w:tcW w:w="847" w:type="pct"/>
            <w:vMerge/>
            <w:tcBorders>
              <w:bottom w:val="single" w:sz="4" w:space="0" w:color="auto"/>
            </w:tcBorders>
            <w:shd w:val="clear" w:color="auto" w:fill="auto"/>
            <w:vAlign w:val="center"/>
          </w:tcPr>
          <w:p w14:paraId="3A56D9BA" w14:textId="77777777" w:rsidR="00A37941" w:rsidRPr="00C44C41" w:rsidRDefault="00A37941" w:rsidP="00877B0C">
            <w:pPr>
              <w:pStyle w:val="TableText"/>
              <w:keepNext/>
              <w:keepLines/>
            </w:pPr>
          </w:p>
        </w:tc>
        <w:tc>
          <w:tcPr>
            <w:tcW w:w="565" w:type="pct"/>
            <w:tcBorders>
              <w:bottom w:val="single" w:sz="4" w:space="0" w:color="auto"/>
            </w:tcBorders>
            <w:shd w:val="clear" w:color="auto" w:fill="auto"/>
            <w:vAlign w:val="center"/>
          </w:tcPr>
          <w:p w14:paraId="30EB7862" w14:textId="1C58DBC5" w:rsidR="00A37941" w:rsidRPr="00B25254" w:rsidRDefault="00A37941" w:rsidP="00877B0C">
            <w:pPr>
              <w:pStyle w:val="TableText"/>
              <w:keepNext/>
              <w:keepLines/>
              <w:jc w:val="center"/>
              <w:rPr>
                <w:b/>
                <w:szCs w:val="20"/>
              </w:rPr>
            </w:pPr>
            <w:r w:rsidRPr="00B25254">
              <w:rPr>
                <w:b/>
                <w:szCs w:val="20"/>
              </w:rPr>
              <w:t>REG</w:t>
            </w:r>
            <w:r w:rsidR="00EE1F8C">
              <w:rPr>
                <w:b/>
                <w:szCs w:val="20"/>
              </w:rPr>
              <w:t xml:space="preserve"> N=61</w:t>
            </w:r>
          </w:p>
        </w:tc>
        <w:tc>
          <w:tcPr>
            <w:tcW w:w="629" w:type="pct"/>
            <w:tcBorders>
              <w:bottom w:val="single" w:sz="4" w:space="0" w:color="auto"/>
            </w:tcBorders>
            <w:shd w:val="clear" w:color="auto" w:fill="auto"/>
            <w:vAlign w:val="center"/>
          </w:tcPr>
          <w:p w14:paraId="547609D6" w14:textId="173E0DF2" w:rsidR="00A37941" w:rsidRPr="00B25254" w:rsidRDefault="00A37941" w:rsidP="00877B0C">
            <w:pPr>
              <w:pStyle w:val="TableText"/>
              <w:keepNext/>
              <w:keepLines/>
              <w:jc w:val="center"/>
              <w:rPr>
                <w:b/>
                <w:szCs w:val="20"/>
              </w:rPr>
            </w:pPr>
            <w:r>
              <w:rPr>
                <w:b/>
                <w:szCs w:val="20"/>
              </w:rPr>
              <w:t>SOC</w:t>
            </w:r>
            <w:r w:rsidR="00EE1F8C">
              <w:rPr>
                <w:b/>
                <w:szCs w:val="20"/>
              </w:rPr>
              <w:t xml:space="preserve"> N=63</w:t>
            </w:r>
          </w:p>
        </w:tc>
        <w:tc>
          <w:tcPr>
            <w:tcW w:w="629" w:type="pct"/>
            <w:tcBorders>
              <w:bottom w:val="single" w:sz="4" w:space="0" w:color="auto"/>
            </w:tcBorders>
            <w:shd w:val="clear" w:color="auto" w:fill="auto"/>
            <w:vAlign w:val="center"/>
          </w:tcPr>
          <w:p w14:paraId="4F644676" w14:textId="7500974E" w:rsidR="00A37941" w:rsidRPr="00B25254" w:rsidRDefault="00A37941" w:rsidP="00877B0C">
            <w:pPr>
              <w:pStyle w:val="TableText"/>
              <w:keepNext/>
              <w:keepLines/>
              <w:jc w:val="center"/>
              <w:rPr>
                <w:b/>
                <w:szCs w:val="20"/>
              </w:rPr>
            </w:pPr>
            <w:r w:rsidRPr="00B25254">
              <w:rPr>
                <w:b/>
                <w:szCs w:val="20"/>
              </w:rPr>
              <w:t>REG</w:t>
            </w:r>
            <w:r w:rsidR="003A3710">
              <w:rPr>
                <w:b/>
                <w:szCs w:val="20"/>
              </w:rPr>
              <w:t xml:space="preserve"> N=61</w:t>
            </w:r>
          </w:p>
        </w:tc>
        <w:tc>
          <w:tcPr>
            <w:tcW w:w="629" w:type="pct"/>
            <w:tcBorders>
              <w:bottom w:val="single" w:sz="4" w:space="0" w:color="auto"/>
            </w:tcBorders>
            <w:shd w:val="clear" w:color="auto" w:fill="auto"/>
            <w:vAlign w:val="center"/>
          </w:tcPr>
          <w:p w14:paraId="54EFF009" w14:textId="3BBB8409" w:rsidR="00A37941" w:rsidRPr="00B25254" w:rsidRDefault="00A37941" w:rsidP="00877B0C">
            <w:pPr>
              <w:pStyle w:val="TableText"/>
              <w:keepNext/>
              <w:keepLines/>
              <w:jc w:val="center"/>
              <w:rPr>
                <w:b/>
                <w:szCs w:val="20"/>
              </w:rPr>
            </w:pPr>
            <w:r>
              <w:rPr>
                <w:b/>
                <w:szCs w:val="20"/>
              </w:rPr>
              <w:t>SOC</w:t>
            </w:r>
            <w:r w:rsidR="003A3710">
              <w:rPr>
                <w:b/>
                <w:szCs w:val="20"/>
              </w:rPr>
              <w:t xml:space="preserve"> N=63</w:t>
            </w:r>
          </w:p>
        </w:tc>
        <w:tc>
          <w:tcPr>
            <w:tcW w:w="868" w:type="pct"/>
            <w:tcBorders>
              <w:bottom w:val="single" w:sz="4" w:space="0" w:color="auto"/>
            </w:tcBorders>
            <w:shd w:val="clear" w:color="auto" w:fill="auto"/>
            <w:vAlign w:val="center"/>
          </w:tcPr>
          <w:p w14:paraId="13D87AF0" w14:textId="3D3DBA7B" w:rsidR="00A37941" w:rsidRPr="00B25254" w:rsidRDefault="00A37941" w:rsidP="00877B0C">
            <w:pPr>
              <w:pStyle w:val="TableText"/>
              <w:keepNext/>
              <w:keepLines/>
              <w:jc w:val="center"/>
              <w:rPr>
                <w:b/>
                <w:szCs w:val="20"/>
              </w:rPr>
            </w:pPr>
            <w:r w:rsidRPr="00B25254">
              <w:rPr>
                <w:b/>
                <w:szCs w:val="20"/>
              </w:rPr>
              <w:t>REG</w:t>
            </w:r>
            <w:r w:rsidR="00EE1F8C">
              <w:rPr>
                <w:b/>
                <w:szCs w:val="20"/>
              </w:rPr>
              <w:t xml:space="preserve"> N=60</w:t>
            </w:r>
          </w:p>
        </w:tc>
        <w:tc>
          <w:tcPr>
            <w:tcW w:w="833" w:type="pct"/>
            <w:tcBorders>
              <w:bottom w:val="single" w:sz="4" w:space="0" w:color="auto"/>
            </w:tcBorders>
            <w:shd w:val="clear" w:color="auto" w:fill="auto"/>
            <w:vAlign w:val="center"/>
          </w:tcPr>
          <w:p w14:paraId="72F111B7" w14:textId="671531BC" w:rsidR="00A37941" w:rsidRPr="00B25254" w:rsidRDefault="00A37941" w:rsidP="00877B0C">
            <w:pPr>
              <w:pStyle w:val="TableText"/>
              <w:keepNext/>
              <w:keepLines/>
              <w:jc w:val="center"/>
              <w:rPr>
                <w:b/>
                <w:szCs w:val="20"/>
              </w:rPr>
            </w:pPr>
            <w:r>
              <w:rPr>
                <w:b/>
                <w:szCs w:val="20"/>
              </w:rPr>
              <w:t>SOC</w:t>
            </w:r>
            <w:r w:rsidR="00EE1F8C">
              <w:rPr>
                <w:b/>
                <w:szCs w:val="20"/>
              </w:rPr>
              <w:t xml:space="preserve"> N=62</w:t>
            </w:r>
          </w:p>
        </w:tc>
      </w:tr>
      <w:tr w:rsidR="009C7DED" w:rsidRPr="00C44C41" w14:paraId="33987EC0" w14:textId="77777777" w:rsidTr="00B821D3">
        <w:trPr>
          <w:trHeight w:val="168"/>
        </w:trPr>
        <w:tc>
          <w:tcPr>
            <w:tcW w:w="5000" w:type="pct"/>
            <w:gridSpan w:val="7"/>
            <w:vAlign w:val="center"/>
          </w:tcPr>
          <w:p w14:paraId="6EEDCB2D" w14:textId="4E3D705E" w:rsidR="009C7DED" w:rsidRPr="009C7DED" w:rsidRDefault="00F94AC5" w:rsidP="00877B0C">
            <w:pPr>
              <w:pStyle w:val="TableText"/>
              <w:keepNext/>
              <w:keepLines/>
              <w:rPr>
                <w:b/>
                <w:bCs/>
                <w:highlight w:val="yellow"/>
              </w:rPr>
            </w:pPr>
            <w:r>
              <w:rPr>
                <w:b/>
                <w:bCs/>
              </w:rPr>
              <w:t>Functional outcomes including p</w:t>
            </w:r>
            <w:r w:rsidR="009C7DED" w:rsidRPr="009C7DED">
              <w:rPr>
                <w:b/>
                <w:bCs/>
              </w:rPr>
              <w:t>atient reported outcomes</w:t>
            </w:r>
          </w:p>
        </w:tc>
      </w:tr>
      <w:tr w:rsidR="00BF262A" w:rsidRPr="00C44C41" w14:paraId="6FB21318" w14:textId="77777777" w:rsidTr="00B821D3">
        <w:trPr>
          <w:trHeight w:val="168"/>
        </w:trPr>
        <w:tc>
          <w:tcPr>
            <w:tcW w:w="847" w:type="pct"/>
            <w:vAlign w:val="center"/>
          </w:tcPr>
          <w:p w14:paraId="2FDB58EC" w14:textId="0D5C8540" w:rsidR="00F94AC5" w:rsidRPr="00C44C41" w:rsidRDefault="00F94AC5" w:rsidP="00877B0C">
            <w:pPr>
              <w:pStyle w:val="TableText"/>
              <w:keepNext/>
              <w:keepLines/>
            </w:pPr>
            <w:r>
              <w:t>Pain progression; mean (SD)</w:t>
            </w:r>
          </w:p>
        </w:tc>
        <w:tc>
          <w:tcPr>
            <w:tcW w:w="565" w:type="pct"/>
            <w:vAlign w:val="center"/>
          </w:tcPr>
          <w:p w14:paraId="0CEF2A7B" w14:textId="74695C60" w:rsidR="00F94AC5" w:rsidRPr="009B4DB6" w:rsidRDefault="00741D8F" w:rsidP="00877B0C">
            <w:pPr>
              <w:pStyle w:val="TableText"/>
              <w:keepNext/>
              <w:keepLines/>
              <w:jc w:val="center"/>
              <w:rPr>
                <w:b/>
                <w:bCs/>
                <w:highlight w:val="yellow"/>
              </w:rPr>
            </w:pPr>
            <w:r w:rsidRPr="00741D8F">
              <w:t>3.02</w:t>
            </w:r>
            <w:r w:rsidR="00BF7CA2">
              <w:t xml:space="preserve"> </w:t>
            </w:r>
            <w:r>
              <w:t>(2.0)</w:t>
            </w:r>
          </w:p>
        </w:tc>
        <w:tc>
          <w:tcPr>
            <w:tcW w:w="629" w:type="pct"/>
            <w:vAlign w:val="center"/>
          </w:tcPr>
          <w:p w14:paraId="4E3D74DE" w14:textId="4B35542A" w:rsidR="00F94AC5" w:rsidRPr="009B4DB6" w:rsidRDefault="00741D8F" w:rsidP="00877B0C">
            <w:pPr>
              <w:pStyle w:val="TableText"/>
              <w:keepNext/>
              <w:keepLines/>
              <w:jc w:val="center"/>
              <w:rPr>
                <w:b/>
                <w:bCs/>
                <w:highlight w:val="yellow"/>
              </w:rPr>
            </w:pPr>
            <w:r w:rsidRPr="00741D8F">
              <w:t>3.35</w:t>
            </w:r>
            <w:r>
              <w:t xml:space="preserve"> (</w:t>
            </w:r>
            <w:r w:rsidRPr="00741D8F">
              <w:t>2.31</w:t>
            </w:r>
            <w:r>
              <w:t>)</w:t>
            </w:r>
          </w:p>
        </w:tc>
        <w:tc>
          <w:tcPr>
            <w:tcW w:w="629" w:type="pct"/>
            <w:vAlign w:val="center"/>
          </w:tcPr>
          <w:p w14:paraId="26B94DBB" w14:textId="57EA9E3C" w:rsidR="00F94AC5" w:rsidRPr="009B4DB6" w:rsidRDefault="00741D8F" w:rsidP="00877B0C">
            <w:pPr>
              <w:pStyle w:val="TableText"/>
              <w:keepNext/>
              <w:keepLines/>
              <w:jc w:val="center"/>
              <w:rPr>
                <w:b/>
                <w:bCs/>
                <w:highlight w:val="yellow"/>
              </w:rPr>
            </w:pPr>
            <w:r>
              <w:t>2</w:t>
            </w:r>
            <w:r w:rsidRPr="00741D8F">
              <w:t>.08</w:t>
            </w:r>
            <w:r>
              <w:t xml:space="preserve"> (</w:t>
            </w:r>
            <w:r w:rsidRPr="00741D8F">
              <w:t>1.97</w:t>
            </w:r>
            <w:r>
              <w:t>)</w:t>
            </w:r>
          </w:p>
        </w:tc>
        <w:tc>
          <w:tcPr>
            <w:tcW w:w="629" w:type="pct"/>
            <w:vAlign w:val="center"/>
          </w:tcPr>
          <w:p w14:paraId="2DE7B3AF" w14:textId="5EC53F82" w:rsidR="00F94AC5" w:rsidRPr="009B4DB6" w:rsidRDefault="00741D8F" w:rsidP="00877B0C">
            <w:pPr>
              <w:pStyle w:val="TableText"/>
              <w:keepNext/>
              <w:keepLines/>
              <w:jc w:val="center"/>
              <w:rPr>
                <w:b/>
                <w:bCs/>
                <w:highlight w:val="yellow"/>
              </w:rPr>
            </w:pPr>
            <w:r w:rsidRPr="00741D8F">
              <w:t>2.18</w:t>
            </w:r>
            <w:r>
              <w:t xml:space="preserve"> (</w:t>
            </w:r>
            <w:r w:rsidRPr="00741D8F">
              <w:t>2.10</w:t>
            </w:r>
            <w:r>
              <w:t>)</w:t>
            </w:r>
          </w:p>
        </w:tc>
        <w:tc>
          <w:tcPr>
            <w:tcW w:w="868" w:type="pct"/>
            <w:vAlign w:val="center"/>
          </w:tcPr>
          <w:p w14:paraId="2CE5159F" w14:textId="3990545D" w:rsidR="00F94AC5" w:rsidRPr="00FA0E56" w:rsidRDefault="00F94AC5" w:rsidP="00877B0C">
            <w:pPr>
              <w:pStyle w:val="TableText"/>
              <w:keepNext/>
              <w:keepLines/>
              <w:jc w:val="center"/>
              <w:rPr>
                <w:highlight w:val="yellow"/>
              </w:rPr>
            </w:pPr>
            <w:r w:rsidRPr="00FA0E56">
              <w:t>1.50 (2.07)</w:t>
            </w:r>
          </w:p>
        </w:tc>
        <w:tc>
          <w:tcPr>
            <w:tcW w:w="833" w:type="pct"/>
            <w:vAlign w:val="center"/>
          </w:tcPr>
          <w:p w14:paraId="6B7B2E74" w14:textId="71013FFC" w:rsidR="00F94AC5" w:rsidRPr="00FA0E56" w:rsidRDefault="00F94AC5" w:rsidP="00877B0C">
            <w:pPr>
              <w:pStyle w:val="TableText"/>
              <w:keepNext/>
              <w:keepLines/>
              <w:jc w:val="center"/>
              <w:rPr>
                <w:highlight w:val="yellow"/>
              </w:rPr>
            </w:pPr>
            <w:r w:rsidRPr="00FA0E56">
              <w:t>1.52 (2.27)</w:t>
            </w:r>
          </w:p>
        </w:tc>
      </w:tr>
      <w:tr w:rsidR="00BF262A" w:rsidRPr="00C44C41" w14:paraId="0EC5E3FE" w14:textId="77777777" w:rsidTr="00B821D3">
        <w:trPr>
          <w:trHeight w:val="168"/>
        </w:trPr>
        <w:tc>
          <w:tcPr>
            <w:tcW w:w="847" w:type="pct"/>
            <w:vAlign w:val="center"/>
          </w:tcPr>
          <w:p w14:paraId="4DE47F99" w14:textId="25BD2F54" w:rsidR="00F94AC5" w:rsidRPr="00C44C41" w:rsidRDefault="00F94AC5" w:rsidP="00877B0C">
            <w:pPr>
              <w:pStyle w:val="TableText"/>
              <w:keepNext/>
              <w:keepLines/>
            </w:pPr>
            <w:r w:rsidRPr="00C44C41">
              <w:t>ASES</w:t>
            </w:r>
            <w:r>
              <w:t>; mean (SD)</w:t>
            </w:r>
          </w:p>
        </w:tc>
        <w:tc>
          <w:tcPr>
            <w:tcW w:w="565" w:type="pct"/>
            <w:vAlign w:val="center"/>
          </w:tcPr>
          <w:p w14:paraId="51FFE626" w14:textId="65CD6D66" w:rsidR="00F94AC5" w:rsidRPr="00FA0E56" w:rsidRDefault="00F94AC5" w:rsidP="00877B0C">
            <w:pPr>
              <w:pStyle w:val="TableText"/>
              <w:keepNext/>
              <w:keepLines/>
              <w:jc w:val="center"/>
            </w:pPr>
            <w:r w:rsidRPr="00FA0E56">
              <w:t>53.0 (18.0)</w:t>
            </w:r>
          </w:p>
        </w:tc>
        <w:tc>
          <w:tcPr>
            <w:tcW w:w="629" w:type="pct"/>
            <w:vAlign w:val="center"/>
          </w:tcPr>
          <w:p w14:paraId="612D2A47" w14:textId="14EAD1A0" w:rsidR="00F94AC5" w:rsidRPr="00FA0E56" w:rsidRDefault="00F94AC5" w:rsidP="00877B0C">
            <w:pPr>
              <w:pStyle w:val="TableText"/>
              <w:keepNext/>
              <w:keepLines/>
              <w:jc w:val="center"/>
            </w:pPr>
            <w:r w:rsidRPr="00FA0E56">
              <w:t>53.9 (18.9)</w:t>
            </w:r>
          </w:p>
        </w:tc>
        <w:tc>
          <w:tcPr>
            <w:tcW w:w="629" w:type="pct"/>
            <w:vAlign w:val="center"/>
          </w:tcPr>
          <w:p w14:paraId="1CBBC3E8" w14:textId="0F78AC5D" w:rsidR="00F94AC5" w:rsidRPr="00FA0E56" w:rsidRDefault="00F94AC5" w:rsidP="00877B0C">
            <w:pPr>
              <w:pStyle w:val="TableText"/>
              <w:keepNext/>
              <w:keepLines/>
              <w:jc w:val="center"/>
            </w:pPr>
            <w:r w:rsidRPr="00FA0E56">
              <w:t>71.0 (20.8)</w:t>
            </w:r>
          </w:p>
        </w:tc>
        <w:tc>
          <w:tcPr>
            <w:tcW w:w="629" w:type="pct"/>
            <w:vAlign w:val="center"/>
          </w:tcPr>
          <w:p w14:paraId="6A575426" w14:textId="237918F8" w:rsidR="00F94AC5" w:rsidRPr="00FA0E56" w:rsidRDefault="00F94AC5" w:rsidP="00877B0C">
            <w:pPr>
              <w:pStyle w:val="TableText"/>
              <w:keepNext/>
              <w:keepLines/>
              <w:jc w:val="center"/>
            </w:pPr>
            <w:r w:rsidRPr="00FA0E56">
              <w:t>70.8 (20.8)</w:t>
            </w:r>
          </w:p>
        </w:tc>
        <w:tc>
          <w:tcPr>
            <w:tcW w:w="868" w:type="pct"/>
            <w:vAlign w:val="center"/>
          </w:tcPr>
          <w:p w14:paraId="334430D7" w14:textId="77BFA9DF" w:rsidR="00F94AC5" w:rsidRPr="00FA0E56" w:rsidRDefault="00F94AC5" w:rsidP="00877B0C">
            <w:pPr>
              <w:pStyle w:val="TableText"/>
              <w:keepNext/>
              <w:keepLines/>
              <w:jc w:val="center"/>
            </w:pPr>
            <w:r w:rsidRPr="00FA0E56">
              <w:t>78.4 (23.0)</w:t>
            </w:r>
          </w:p>
        </w:tc>
        <w:tc>
          <w:tcPr>
            <w:tcW w:w="833" w:type="pct"/>
            <w:vAlign w:val="center"/>
          </w:tcPr>
          <w:p w14:paraId="5A126552" w14:textId="0EE4D0AB" w:rsidR="00F94AC5" w:rsidRPr="00FA0E56" w:rsidRDefault="00F94AC5" w:rsidP="00877B0C">
            <w:pPr>
              <w:pStyle w:val="TableText"/>
              <w:keepNext/>
              <w:keepLines/>
              <w:jc w:val="center"/>
            </w:pPr>
            <w:r w:rsidRPr="00FA0E56">
              <w:t>78.7 (24.5)</w:t>
            </w:r>
          </w:p>
        </w:tc>
      </w:tr>
      <w:tr w:rsidR="00BF262A" w:rsidRPr="00C44C41" w14:paraId="6B6C6656" w14:textId="77777777" w:rsidTr="00B821D3">
        <w:trPr>
          <w:trHeight w:val="168"/>
        </w:trPr>
        <w:tc>
          <w:tcPr>
            <w:tcW w:w="847" w:type="pct"/>
            <w:vAlign w:val="center"/>
          </w:tcPr>
          <w:p w14:paraId="6BF9E316" w14:textId="77777777" w:rsidR="00F94AC5" w:rsidRPr="00C44C41" w:rsidRDefault="00F94AC5" w:rsidP="00877B0C">
            <w:pPr>
              <w:pStyle w:val="TableText"/>
              <w:keepNext/>
              <w:keepLines/>
            </w:pPr>
            <w:r>
              <w:t>CMS; mean (SD)</w:t>
            </w:r>
          </w:p>
        </w:tc>
        <w:tc>
          <w:tcPr>
            <w:tcW w:w="565" w:type="pct"/>
            <w:vAlign w:val="center"/>
          </w:tcPr>
          <w:p w14:paraId="6C89A48C" w14:textId="77777777" w:rsidR="00F94AC5" w:rsidRPr="00FA0E56" w:rsidRDefault="00F94AC5" w:rsidP="00877B0C">
            <w:pPr>
              <w:pStyle w:val="TableText"/>
              <w:keepNext/>
              <w:keepLines/>
              <w:jc w:val="center"/>
            </w:pPr>
            <w:r w:rsidRPr="00FA0E56">
              <w:t>44.6 (16.5)</w:t>
            </w:r>
          </w:p>
        </w:tc>
        <w:tc>
          <w:tcPr>
            <w:tcW w:w="629" w:type="pct"/>
            <w:vAlign w:val="center"/>
          </w:tcPr>
          <w:p w14:paraId="777A7BE1" w14:textId="77777777" w:rsidR="00F94AC5" w:rsidRPr="00FA0E56" w:rsidRDefault="00F94AC5" w:rsidP="00877B0C">
            <w:pPr>
              <w:pStyle w:val="TableText"/>
              <w:keepNext/>
              <w:keepLines/>
              <w:jc w:val="center"/>
            </w:pPr>
            <w:r w:rsidRPr="00FA0E56">
              <w:t>46.3 (16.0)</w:t>
            </w:r>
          </w:p>
        </w:tc>
        <w:tc>
          <w:tcPr>
            <w:tcW w:w="629" w:type="pct"/>
            <w:vAlign w:val="center"/>
          </w:tcPr>
          <w:p w14:paraId="30EF4BAB" w14:textId="77777777" w:rsidR="00F94AC5" w:rsidRPr="00FA0E56" w:rsidRDefault="00F94AC5" w:rsidP="00877B0C">
            <w:pPr>
              <w:pStyle w:val="TableText"/>
              <w:keepNext/>
              <w:keepLines/>
              <w:jc w:val="center"/>
            </w:pPr>
            <w:r w:rsidRPr="00FA0E56">
              <w:t>65.3 (18.9)</w:t>
            </w:r>
          </w:p>
        </w:tc>
        <w:tc>
          <w:tcPr>
            <w:tcW w:w="629" w:type="pct"/>
            <w:vAlign w:val="center"/>
          </w:tcPr>
          <w:p w14:paraId="6736AC5F" w14:textId="77777777" w:rsidR="00F94AC5" w:rsidRPr="00FA0E56" w:rsidRDefault="00F94AC5" w:rsidP="00877B0C">
            <w:pPr>
              <w:pStyle w:val="TableText"/>
              <w:keepNext/>
              <w:keepLines/>
              <w:jc w:val="center"/>
            </w:pPr>
            <w:r w:rsidRPr="00FA0E56">
              <w:t>64.7 (19.0)</w:t>
            </w:r>
          </w:p>
        </w:tc>
        <w:tc>
          <w:tcPr>
            <w:tcW w:w="868" w:type="pct"/>
            <w:vAlign w:val="center"/>
          </w:tcPr>
          <w:p w14:paraId="377F9CC4" w14:textId="77777777" w:rsidR="00F94AC5" w:rsidRPr="00FA0E56" w:rsidRDefault="00F94AC5" w:rsidP="00877B0C">
            <w:pPr>
              <w:pStyle w:val="TableText"/>
              <w:keepNext/>
              <w:keepLines/>
              <w:jc w:val="center"/>
            </w:pPr>
            <w:r w:rsidRPr="00FA0E56">
              <w:t>75.8 (20.2)</w:t>
            </w:r>
          </w:p>
        </w:tc>
        <w:tc>
          <w:tcPr>
            <w:tcW w:w="833" w:type="pct"/>
            <w:vAlign w:val="center"/>
          </w:tcPr>
          <w:p w14:paraId="35ADE664" w14:textId="77777777" w:rsidR="00F94AC5" w:rsidRPr="00FA0E56" w:rsidRDefault="00F94AC5" w:rsidP="00877B0C">
            <w:pPr>
              <w:pStyle w:val="TableText"/>
              <w:keepNext/>
              <w:keepLines/>
              <w:jc w:val="center"/>
            </w:pPr>
            <w:r w:rsidRPr="00FA0E56">
              <w:t>77.2 (18.5)</w:t>
            </w:r>
          </w:p>
        </w:tc>
      </w:tr>
      <w:tr w:rsidR="00BF262A" w:rsidRPr="00C44C41" w14:paraId="3747D3C3" w14:textId="77777777" w:rsidTr="00B821D3">
        <w:trPr>
          <w:trHeight w:val="168"/>
        </w:trPr>
        <w:tc>
          <w:tcPr>
            <w:tcW w:w="847" w:type="pct"/>
            <w:vAlign w:val="center"/>
          </w:tcPr>
          <w:p w14:paraId="389EF38B" w14:textId="0529101B" w:rsidR="00F94AC5" w:rsidRDefault="00F94AC5" w:rsidP="00877B0C">
            <w:pPr>
              <w:pStyle w:val="TableText"/>
              <w:keepNext/>
              <w:keepLines/>
            </w:pPr>
            <w:r>
              <w:t>EQ-5D-5L (TTO)</w:t>
            </w:r>
          </w:p>
        </w:tc>
        <w:tc>
          <w:tcPr>
            <w:tcW w:w="565" w:type="pct"/>
            <w:vAlign w:val="center"/>
          </w:tcPr>
          <w:p w14:paraId="44F1F08A" w14:textId="135B8493" w:rsidR="00F94AC5" w:rsidRPr="00FA0E56" w:rsidRDefault="00F94AC5" w:rsidP="00877B0C">
            <w:pPr>
              <w:pStyle w:val="TableText"/>
              <w:keepNext/>
              <w:keepLines/>
              <w:jc w:val="center"/>
            </w:pPr>
            <w:r w:rsidRPr="00FA0E56">
              <w:t>2.1 (0.7)</w:t>
            </w:r>
          </w:p>
        </w:tc>
        <w:tc>
          <w:tcPr>
            <w:tcW w:w="629" w:type="pct"/>
            <w:vAlign w:val="center"/>
          </w:tcPr>
          <w:p w14:paraId="10A5BE32" w14:textId="38F9A7B0" w:rsidR="00F94AC5" w:rsidRPr="00FA0E56" w:rsidRDefault="00F94AC5" w:rsidP="00877B0C">
            <w:pPr>
              <w:pStyle w:val="TableText"/>
              <w:keepNext/>
              <w:keepLines/>
              <w:jc w:val="center"/>
            </w:pPr>
            <w:r w:rsidRPr="00FA0E56">
              <w:t>2.1 (0.6)</w:t>
            </w:r>
          </w:p>
        </w:tc>
        <w:tc>
          <w:tcPr>
            <w:tcW w:w="629" w:type="pct"/>
            <w:vAlign w:val="center"/>
          </w:tcPr>
          <w:p w14:paraId="417E3265" w14:textId="5CA2CBD3" w:rsidR="00F94AC5" w:rsidRPr="00FA0E56" w:rsidRDefault="00F94AC5" w:rsidP="00877B0C">
            <w:pPr>
              <w:pStyle w:val="TableText"/>
              <w:keepNext/>
              <w:keepLines/>
              <w:jc w:val="center"/>
            </w:pPr>
            <w:r w:rsidRPr="00FA0E56">
              <w:t>1.8 (0.6)</w:t>
            </w:r>
          </w:p>
        </w:tc>
        <w:tc>
          <w:tcPr>
            <w:tcW w:w="629" w:type="pct"/>
            <w:vAlign w:val="center"/>
          </w:tcPr>
          <w:p w14:paraId="2160294E" w14:textId="6C724307" w:rsidR="00F94AC5" w:rsidRPr="00FA0E56" w:rsidRDefault="00F94AC5" w:rsidP="00877B0C">
            <w:pPr>
              <w:pStyle w:val="TableText"/>
              <w:keepNext/>
              <w:keepLines/>
              <w:jc w:val="center"/>
            </w:pPr>
            <w:r w:rsidRPr="00FA0E56">
              <w:t>1.8 (0.7)</w:t>
            </w:r>
          </w:p>
        </w:tc>
        <w:tc>
          <w:tcPr>
            <w:tcW w:w="868" w:type="pct"/>
            <w:vAlign w:val="center"/>
          </w:tcPr>
          <w:p w14:paraId="011D5C4C" w14:textId="76825A87" w:rsidR="00F94AC5" w:rsidRPr="00FA0E56" w:rsidRDefault="00F94AC5" w:rsidP="00877B0C">
            <w:pPr>
              <w:pStyle w:val="TableText"/>
              <w:keepNext/>
              <w:keepLines/>
              <w:jc w:val="center"/>
            </w:pPr>
            <w:r w:rsidRPr="00FA0E56">
              <w:t>1.6 (0.6)</w:t>
            </w:r>
          </w:p>
        </w:tc>
        <w:tc>
          <w:tcPr>
            <w:tcW w:w="833" w:type="pct"/>
            <w:vAlign w:val="center"/>
          </w:tcPr>
          <w:p w14:paraId="5E6A839C" w14:textId="01D7D7F8" w:rsidR="00F94AC5" w:rsidRPr="00FA0E56" w:rsidRDefault="00F94AC5" w:rsidP="00877B0C">
            <w:pPr>
              <w:pStyle w:val="TableText"/>
              <w:keepNext/>
              <w:keepLines/>
              <w:jc w:val="center"/>
            </w:pPr>
            <w:r w:rsidRPr="00FA0E56">
              <w:t>1.6 (0.6)</w:t>
            </w:r>
          </w:p>
        </w:tc>
      </w:tr>
      <w:tr w:rsidR="00BF262A" w:rsidRPr="00C44C41" w14:paraId="35C856FB" w14:textId="77777777" w:rsidTr="00B821D3">
        <w:trPr>
          <w:trHeight w:val="168"/>
        </w:trPr>
        <w:tc>
          <w:tcPr>
            <w:tcW w:w="847" w:type="pct"/>
            <w:vAlign w:val="center"/>
          </w:tcPr>
          <w:p w14:paraId="5993A7D8" w14:textId="5085005D" w:rsidR="00F94AC5" w:rsidRPr="00C44C41" w:rsidRDefault="00F94AC5" w:rsidP="00F94AC5">
            <w:pPr>
              <w:pStyle w:val="TableText"/>
            </w:pPr>
            <w:r>
              <w:t>EQ-5D-5L (VAS)</w:t>
            </w:r>
          </w:p>
        </w:tc>
        <w:tc>
          <w:tcPr>
            <w:tcW w:w="565" w:type="pct"/>
            <w:vAlign w:val="center"/>
          </w:tcPr>
          <w:p w14:paraId="109AF8AA" w14:textId="196BBD44" w:rsidR="00F94AC5" w:rsidRPr="00FA0E56" w:rsidRDefault="00F94AC5" w:rsidP="00BF7CA2">
            <w:pPr>
              <w:pStyle w:val="TableText"/>
              <w:jc w:val="center"/>
            </w:pPr>
            <w:r w:rsidRPr="00FA0E56">
              <w:t>73.2 (15.2)</w:t>
            </w:r>
          </w:p>
        </w:tc>
        <w:tc>
          <w:tcPr>
            <w:tcW w:w="629" w:type="pct"/>
            <w:vAlign w:val="center"/>
          </w:tcPr>
          <w:p w14:paraId="24425A84" w14:textId="55489D23" w:rsidR="00F94AC5" w:rsidRPr="00FA0E56" w:rsidRDefault="00F94AC5" w:rsidP="00BF7CA2">
            <w:pPr>
              <w:pStyle w:val="TableText"/>
              <w:jc w:val="center"/>
            </w:pPr>
            <w:r w:rsidRPr="00FA0E56">
              <w:t>68.0 (17.5)</w:t>
            </w:r>
          </w:p>
        </w:tc>
        <w:tc>
          <w:tcPr>
            <w:tcW w:w="629" w:type="pct"/>
            <w:vAlign w:val="center"/>
          </w:tcPr>
          <w:p w14:paraId="20973BBE" w14:textId="5DC133D6" w:rsidR="00F94AC5" w:rsidRPr="00FA0E56" w:rsidRDefault="00F94AC5" w:rsidP="00BF7CA2">
            <w:pPr>
              <w:pStyle w:val="TableText"/>
              <w:jc w:val="center"/>
            </w:pPr>
            <w:r w:rsidRPr="00FA0E56">
              <w:t>77.0 (16.9)</w:t>
            </w:r>
          </w:p>
        </w:tc>
        <w:tc>
          <w:tcPr>
            <w:tcW w:w="629" w:type="pct"/>
            <w:vAlign w:val="center"/>
          </w:tcPr>
          <w:p w14:paraId="64DBADEE" w14:textId="57EE76B3" w:rsidR="00F94AC5" w:rsidRPr="00FA0E56" w:rsidRDefault="00F94AC5" w:rsidP="00BF7CA2">
            <w:pPr>
              <w:pStyle w:val="TableText"/>
              <w:jc w:val="center"/>
            </w:pPr>
            <w:r w:rsidRPr="00FA0E56">
              <w:t>74.2 (17.3)</w:t>
            </w:r>
          </w:p>
        </w:tc>
        <w:tc>
          <w:tcPr>
            <w:tcW w:w="868" w:type="pct"/>
            <w:vAlign w:val="center"/>
          </w:tcPr>
          <w:p w14:paraId="5AAC6F5B" w14:textId="724CA8AF" w:rsidR="00F94AC5" w:rsidRPr="00FA0E56" w:rsidRDefault="00F94AC5" w:rsidP="00BF7CA2">
            <w:pPr>
              <w:pStyle w:val="TableText"/>
              <w:jc w:val="center"/>
            </w:pPr>
            <w:r w:rsidRPr="00FA0E56">
              <w:t>78.1 (16.5)</w:t>
            </w:r>
          </w:p>
        </w:tc>
        <w:tc>
          <w:tcPr>
            <w:tcW w:w="833" w:type="pct"/>
            <w:vAlign w:val="center"/>
          </w:tcPr>
          <w:p w14:paraId="2438E57B" w14:textId="01F044DA" w:rsidR="00F94AC5" w:rsidRPr="00FA0E56" w:rsidRDefault="00F94AC5" w:rsidP="00BF7CA2">
            <w:pPr>
              <w:pStyle w:val="TableText"/>
              <w:jc w:val="center"/>
            </w:pPr>
            <w:r w:rsidRPr="00FA0E56">
              <w:t>74.9 (20.8)</w:t>
            </w:r>
          </w:p>
        </w:tc>
      </w:tr>
      <w:tr w:rsidR="00F94AC5" w:rsidRPr="00C44C41" w14:paraId="40656D55" w14:textId="77777777" w:rsidTr="00B821D3">
        <w:trPr>
          <w:trHeight w:val="168"/>
        </w:trPr>
        <w:tc>
          <w:tcPr>
            <w:tcW w:w="5000" w:type="pct"/>
            <w:gridSpan w:val="7"/>
            <w:vAlign w:val="center"/>
          </w:tcPr>
          <w:p w14:paraId="321A9225" w14:textId="5C238B33" w:rsidR="00F94AC5" w:rsidRPr="00F94AC5" w:rsidRDefault="00F94AC5" w:rsidP="00F94AC5">
            <w:pPr>
              <w:pStyle w:val="TableText"/>
              <w:jc w:val="both"/>
              <w:rPr>
                <w:b/>
                <w:bCs/>
              </w:rPr>
            </w:pPr>
            <w:r w:rsidRPr="00F94AC5">
              <w:rPr>
                <w:b/>
                <w:bCs/>
              </w:rPr>
              <w:t>Imaging based outcomes</w:t>
            </w:r>
          </w:p>
        </w:tc>
      </w:tr>
      <w:tr w:rsidR="00BF262A" w:rsidRPr="00C44C41" w14:paraId="725329F6" w14:textId="77777777" w:rsidTr="00B821D3">
        <w:trPr>
          <w:trHeight w:val="168"/>
        </w:trPr>
        <w:tc>
          <w:tcPr>
            <w:tcW w:w="847" w:type="pct"/>
          </w:tcPr>
          <w:p w14:paraId="6B09177A" w14:textId="77777777" w:rsidR="00BF7CA2" w:rsidRDefault="00F94AC5" w:rsidP="00F94AC5">
            <w:pPr>
              <w:pStyle w:val="TableText"/>
            </w:pPr>
            <w:r>
              <w:t xml:space="preserve">Retear rates </w:t>
            </w:r>
          </w:p>
          <w:p w14:paraId="0E203232" w14:textId="3170906A" w:rsidR="00F94AC5" w:rsidRDefault="00F94AC5" w:rsidP="00F94AC5">
            <w:pPr>
              <w:pStyle w:val="TableText"/>
            </w:pPr>
            <w:r>
              <w:t>(n/N</w:t>
            </w:r>
            <w:r w:rsidR="00AC4546">
              <w:t xml:space="preserve"> </w:t>
            </w:r>
            <w:r>
              <w:t>(%))</w:t>
            </w:r>
          </w:p>
        </w:tc>
        <w:tc>
          <w:tcPr>
            <w:tcW w:w="565" w:type="pct"/>
          </w:tcPr>
          <w:p w14:paraId="04325340" w14:textId="6A3E5826" w:rsidR="00F94AC5" w:rsidRDefault="00F94AC5" w:rsidP="00B821D3">
            <w:pPr>
              <w:pStyle w:val="TableText"/>
              <w:jc w:val="center"/>
            </w:pPr>
            <w:r w:rsidRPr="009B4DB6">
              <w:t>N/A</w:t>
            </w:r>
          </w:p>
        </w:tc>
        <w:tc>
          <w:tcPr>
            <w:tcW w:w="629" w:type="pct"/>
          </w:tcPr>
          <w:p w14:paraId="19B082BD" w14:textId="74C8A3EF" w:rsidR="00F94AC5" w:rsidRDefault="00F94AC5" w:rsidP="00B821D3">
            <w:pPr>
              <w:pStyle w:val="TableText"/>
              <w:jc w:val="center"/>
            </w:pPr>
            <w:r w:rsidRPr="00B25254">
              <w:t>N/A</w:t>
            </w:r>
          </w:p>
        </w:tc>
        <w:tc>
          <w:tcPr>
            <w:tcW w:w="629" w:type="pct"/>
          </w:tcPr>
          <w:p w14:paraId="239440E3" w14:textId="50460AE0" w:rsidR="00F94AC5" w:rsidRDefault="00F94AC5" w:rsidP="00B821D3">
            <w:pPr>
              <w:pStyle w:val="TableText"/>
              <w:jc w:val="center"/>
              <w:rPr>
                <w:b/>
                <w:bCs/>
              </w:rPr>
            </w:pPr>
            <w:r w:rsidRPr="00B25254">
              <w:t>N/A</w:t>
            </w:r>
          </w:p>
        </w:tc>
        <w:tc>
          <w:tcPr>
            <w:tcW w:w="629" w:type="pct"/>
          </w:tcPr>
          <w:p w14:paraId="098A0F19" w14:textId="2A1C0161" w:rsidR="00F94AC5" w:rsidRDefault="00F94AC5" w:rsidP="00B821D3">
            <w:pPr>
              <w:pStyle w:val="TableText"/>
              <w:jc w:val="center"/>
              <w:rPr>
                <w:b/>
                <w:bCs/>
              </w:rPr>
            </w:pPr>
            <w:r w:rsidRPr="00B25254">
              <w:t>N/A</w:t>
            </w:r>
          </w:p>
        </w:tc>
        <w:tc>
          <w:tcPr>
            <w:tcW w:w="868" w:type="pct"/>
          </w:tcPr>
          <w:p w14:paraId="1071E244" w14:textId="0F6D9D17" w:rsidR="00F94AC5" w:rsidRPr="002C5019" w:rsidRDefault="00F94AC5" w:rsidP="00634E65">
            <w:pPr>
              <w:pStyle w:val="TableText"/>
              <w:jc w:val="center"/>
              <w:rPr>
                <w:b/>
                <w:bCs/>
              </w:rPr>
            </w:pPr>
            <w:r>
              <w:rPr>
                <w:b/>
                <w:bCs/>
              </w:rPr>
              <w:t>5/60 (8.3%)</w:t>
            </w:r>
          </w:p>
        </w:tc>
        <w:tc>
          <w:tcPr>
            <w:tcW w:w="833" w:type="pct"/>
          </w:tcPr>
          <w:p w14:paraId="7C01F64F" w14:textId="7B302D54" w:rsidR="00F94AC5" w:rsidRPr="002C5019" w:rsidRDefault="00F94AC5" w:rsidP="00634E65">
            <w:pPr>
              <w:pStyle w:val="TableText"/>
              <w:jc w:val="center"/>
              <w:rPr>
                <w:b/>
                <w:bCs/>
              </w:rPr>
            </w:pPr>
            <w:r>
              <w:rPr>
                <w:b/>
                <w:bCs/>
              </w:rPr>
              <w:t>16/62 (25.8%)</w:t>
            </w:r>
          </w:p>
        </w:tc>
      </w:tr>
      <w:tr w:rsidR="00BF262A" w:rsidRPr="00C44C41" w14:paraId="66D08159" w14:textId="77777777" w:rsidTr="00B821D3">
        <w:trPr>
          <w:trHeight w:val="168"/>
        </w:trPr>
        <w:tc>
          <w:tcPr>
            <w:tcW w:w="847" w:type="pct"/>
            <w:vAlign w:val="center"/>
          </w:tcPr>
          <w:p w14:paraId="7B7DA68B" w14:textId="63D12F72" w:rsidR="00F94AC5" w:rsidRDefault="00F94AC5" w:rsidP="00F94AC5">
            <w:pPr>
              <w:pStyle w:val="TableText"/>
            </w:pPr>
            <w:r w:rsidRPr="00363127">
              <w:t>Tendon Thickness (mm)</w:t>
            </w:r>
          </w:p>
        </w:tc>
        <w:tc>
          <w:tcPr>
            <w:tcW w:w="565" w:type="pct"/>
          </w:tcPr>
          <w:p w14:paraId="1E6B1D28" w14:textId="2BC06266" w:rsidR="00F94AC5" w:rsidRDefault="00F94AC5" w:rsidP="00B821D3">
            <w:pPr>
              <w:pStyle w:val="TableText"/>
              <w:jc w:val="center"/>
            </w:pPr>
            <w:r w:rsidRPr="00B25254">
              <w:t>N/A</w:t>
            </w:r>
          </w:p>
        </w:tc>
        <w:tc>
          <w:tcPr>
            <w:tcW w:w="629" w:type="pct"/>
          </w:tcPr>
          <w:p w14:paraId="0E4A4859" w14:textId="0E8BA1C6" w:rsidR="00F94AC5" w:rsidRDefault="00F94AC5" w:rsidP="00B821D3">
            <w:pPr>
              <w:pStyle w:val="TableText"/>
              <w:jc w:val="center"/>
            </w:pPr>
            <w:r w:rsidRPr="00B25254">
              <w:t>N/A</w:t>
            </w:r>
          </w:p>
        </w:tc>
        <w:tc>
          <w:tcPr>
            <w:tcW w:w="629" w:type="pct"/>
          </w:tcPr>
          <w:p w14:paraId="52C63661" w14:textId="1DC9DDAE" w:rsidR="00F94AC5" w:rsidRPr="002C5019" w:rsidRDefault="00F94AC5" w:rsidP="00B821D3">
            <w:pPr>
              <w:pStyle w:val="TableText"/>
              <w:jc w:val="center"/>
              <w:rPr>
                <w:b/>
                <w:bCs/>
              </w:rPr>
            </w:pPr>
            <w:r w:rsidRPr="00B25254">
              <w:t>N/A</w:t>
            </w:r>
          </w:p>
        </w:tc>
        <w:tc>
          <w:tcPr>
            <w:tcW w:w="629" w:type="pct"/>
          </w:tcPr>
          <w:p w14:paraId="1920FBFC" w14:textId="644A3141" w:rsidR="00F94AC5" w:rsidRDefault="00F94AC5" w:rsidP="00B821D3">
            <w:pPr>
              <w:pStyle w:val="TableText"/>
              <w:jc w:val="center"/>
              <w:rPr>
                <w:b/>
                <w:bCs/>
              </w:rPr>
            </w:pPr>
            <w:r w:rsidRPr="00B25254">
              <w:t>N/A</w:t>
            </w:r>
          </w:p>
        </w:tc>
        <w:tc>
          <w:tcPr>
            <w:tcW w:w="868" w:type="pct"/>
            <w:vAlign w:val="center"/>
          </w:tcPr>
          <w:p w14:paraId="0D506AAD" w14:textId="1074AE6D" w:rsidR="00F94AC5" w:rsidRPr="00FA0E56" w:rsidRDefault="00F94AC5" w:rsidP="00BF262A">
            <w:pPr>
              <w:pStyle w:val="TableText"/>
              <w:rPr>
                <w:b/>
                <w:bCs/>
              </w:rPr>
            </w:pPr>
            <w:r w:rsidRPr="00FA0E56">
              <w:rPr>
                <w:b/>
                <w:bCs/>
              </w:rPr>
              <w:t>Footprint:4.5</w:t>
            </w:r>
          </w:p>
          <w:p w14:paraId="61191D14" w14:textId="6754479D" w:rsidR="00F94AC5" w:rsidRPr="00FA0E56" w:rsidRDefault="00F94AC5" w:rsidP="00BF262A">
            <w:pPr>
              <w:pStyle w:val="TableText"/>
              <w:rPr>
                <w:b/>
                <w:bCs/>
              </w:rPr>
            </w:pPr>
            <w:r w:rsidRPr="00FA0E56">
              <w:rPr>
                <w:b/>
                <w:bCs/>
              </w:rPr>
              <w:t xml:space="preserve">10mm medial to footprint: </w:t>
            </w:r>
            <w:r w:rsidR="00BF262A">
              <w:rPr>
                <w:b/>
                <w:bCs/>
              </w:rPr>
              <w:t>4</w:t>
            </w:r>
            <w:r w:rsidRPr="00FA0E56">
              <w:rPr>
                <w:b/>
                <w:bCs/>
              </w:rPr>
              <w:t>.86</w:t>
            </w:r>
          </w:p>
          <w:p w14:paraId="0FE09335" w14:textId="274C3ED5" w:rsidR="00F94AC5" w:rsidRPr="002C5019" w:rsidRDefault="00F94AC5" w:rsidP="00BF262A">
            <w:pPr>
              <w:pStyle w:val="TableText"/>
              <w:rPr>
                <w:b/>
                <w:bCs/>
              </w:rPr>
            </w:pPr>
            <w:r w:rsidRPr="009B4DB6">
              <w:t>20mm medial to footprint:</w:t>
            </w:r>
            <w:r w:rsidR="00AC4546">
              <w:t xml:space="preserve"> </w:t>
            </w:r>
            <w:r w:rsidRPr="009B4DB6">
              <w:t>6.12</w:t>
            </w:r>
          </w:p>
        </w:tc>
        <w:tc>
          <w:tcPr>
            <w:tcW w:w="833" w:type="pct"/>
            <w:vAlign w:val="center"/>
          </w:tcPr>
          <w:p w14:paraId="3493D2B2" w14:textId="33134154" w:rsidR="00F94AC5" w:rsidRPr="00FA0E56" w:rsidRDefault="00F94AC5" w:rsidP="00BF262A">
            <w:pPr>
              <w:pStyle w:val="TableText"/>
              <w:rPr>
                <w:b/>
                <w:bCs/>
              </w:rPr>
            </w:pPr>
            <w:r w:rsidRPr="00FA0E56">
              <w:rPr>
                <w:b/>
                <w:bCs/>
              </w:rPr>
              <w:t>Footprint:3.9</w:t>
            </w:r>
          </w:p>
          <w:p w14:paraId="2606D108" w14:textId="77777777" w:rsidR="00F94AC5" w:rsidRPr="00FA0E56" w:rsidRDefault="00F94AC5" w:rsidP="00BF262A">
            <w:pPr>
              <w:pStyle w:val="TableText"/>
              <w:rPr>
                <w:b/>
                <w:bCs/>
              </w:rPr>
            </w:pPr>
            <w:r w:rsidRPr="00FA0E56">
              <w:rPr>
                <w:b/>
                <w:bCs/>
              </w:rPr>
              <w:t>10mm medial to footprint: 4.33</w:t>
            </w:r>
          </w:p>
          <w:p w14:paraId="3ECD58B2" w14:textId="04BE0617" w:rsidR="00F94AC5" w:rsidRDefault="00F94AC5" w:rsidP="00BF262A">
            <w:pPr>
              <w:pStyle w:val="TableText"/>
              <w:rPr>
                <w:b/>
                <w:bCs/>
              </w:rPr>
            </w:pPr>
            <w:r w:rsidRPr="009B4DB6">
              <w:t>20mm medial to footprint:5.78</w:t>
            </w:r>
          </w:p>
        </w:tc>
      </w:tr>
    </w:tbl>
    <w:p w14:paraId="67FF279E" w14:textId="39DE80AC" w:rsidR="00A37941" w:rsidRPr="00C44C41" w:rsidRDefault="00A37941" w:rsidP="00D26AEE">
      <w:pPr>
        <w:pStyle w:val="Tablenotes"/>
      </w:pPr>
      <w:r w:rsidRPr="00C44C41">
        <w:t>Source: Table 2</w:t>
      </w:r>
      <w:r>
        <w:t>0</w:t>
      </w:r>
      <w:r w:rsidRPr="00C44C41">
        <w:t xml:space="preserve">, </w:t>
      </w:r>
      <w:r w:rsidR="002D7FCB">
        <w:t>p</w:t>
      </w:r>
      <w:r w:rsidR="00854096">
        <w:t>80-81</w:t>
      </w:r>
      <w:r w:rsidR="005F4ABA">
        <w:t>, Table 39, p</w:t>
      </w:r>
      <w:r w:rsidR="002D7FCB">
        <w:t>g</w:t>
      </w:r>
      <w:r w:rsidR="00854096">
        <w:t>99</w:t>
      </w:r>
      <w:r w:rsidR="005F4ABA">
        <w:t>, Figure 15,</w:t>
      </w:r>
      <w:r w:rsidR="00854096">
        <w:t xml:space="preserve"> </w:t>
      </w:r>
      <w:r w:rsidR="005F4ABA">
        <w:t>p</w:t>
      </w:r>
      <w:r w:rsidR="002D7FCB">
        <w:t>g</w:t>
      </w:r>
      <w:r w:rsidR="005F4ABA">
        <w:t>10</w:t>
      </w:r>
      <w:r w:rsidR="00854096">
        <w:t>0</w:t>
      </w:r>
      <w:r w:rsidR="005F4ABA">
        <w:t xml:space="preserve">, </w:t>
      </w:r>
      <w:r w:rsidR="00280982">
        <w:t>Table 41,42,43, p</w:t>
      </w:r>
      <w:r w:rsidR="002D7FCB">
        <w:t>g</w:t>
      </w:r>
      <w:r w:rsidR="00280982">
        <w:t>10</w:t>
      </w:r>
      <w:r w:rsidR="00854096">
        <w:t>3</w:t>
      </w:r>
      <w:r w:rsidR="00280982">
        <w:t xml:space="preserve"> </w:t>
      </w:r>
      <w:r w:rsidRPr="00C44C41">
        <w:t xml:space="preserve">of the </w:t>
      </w:r>
      <w:r w:rsidR="00280982" w:rsidRPr="00C44C41">
        <w:t xml:space="preserve">MSAC 1593.1 </w:t>
      </w:r>
      <w:r w:rsidR="00280982">
        <w:t>application</w:t>
      </w:r>
      <w:r w:rsidR="00280982" w:rsidRPr="00C44C41">
        <w:t xml:space="preserve"> ADAR</w:t>
      </w:r>
      <w:r w:rsidR="00280982">
        <w:t xml:space="preserve"> + inline commentary</w:t>
      </w:r>
    </w:p>
    <w:p w14:paraId="429FD501" w14:textId="043FD2BF" w:rsidR="00A37941" w:rsidRDefault="003D26E2" w:rsidP="00D26AEE">
      <w:pPr>
        <w:pStyle w:val="Tablenotes"/>
      </w:pPr>
      <w:r w:rsidRPr="00796698">
        <w:t>Abbreviations</w:t>
      </w:r>
      <w:r>
        <w:t xml:space="preserve">: </w:t>
      </w:r>
      <w:r w:rsidR="00A37941" w:rsidRPr="00CF0841">
        <w:t xml:space="preserve">ASES = American Shoulder and Elbow </w:t>
      </w:r>
      <w:r w:rsidR="00316E24">
        <w:t>Society</w:t>
      </w:r>
      <w:r w:rsidR="00A37941" w:rsidRPr="00CF0841">
        <w:t>;</w:t>
      </w:r>
      <w:r w:rsidR="00A37941">
        <w:t xml:space="preserve"> CMS = </w:t>
      </w:r>
      <w:r w:rsidR="00A37941" w:rsidRPr="00CF0841">
        <w:t xml:space="preserve">Constant-Murley Score; </w:t>
      </w:r>
      <w:r w:rsidR="00A37941">
        <w:t>EQ-5D-5L =</w:t>
      </w:r>
      <w:r w:rsidR="00A37941" w:rsidRPr="00363127">
        <w:t xml:space="preserve"> </w:t>
      </w:r>
      <w:bookmarkStart w:id="47" w:name="_Hlk165556924"/>
      <w:proofErr w:type="spellStart"/>
      <w:r w:rsidR="00A37941" w:rsidRPr="00363127">
        <w:t>EuroQol</w:t>
      </w:r>
      <w:proofErr w:type="spellEnd"/>
      <w:r w:rsidR="00A37941" w:rsidRPr="00363127">
        <w:t>-</w:t>
      </w:r>
      <w:proofErr w:type="gramStart"/>
      <w:r w:rsidR="00A37941" w:rsidRPr="00363127">
        <w:t>five dimension</w:t>
      </w:r>
      <w:proofErr w:type="gramEnd"/>
      <w:r w:rsidR="00A37941" w:rsidRPr="00363127">
        <w:t xml:space="preserve"> scale</w:t>
      </w:r>
      <w:bookmarkEnd w:id="47"/>
      <w:r w:rsidR="00A37941">
        <w:t xml:space="preserve">-five level; N/A = not applicable; REG = </w:t>
      </w:r>
      <w:r w:rsidR="00A37941" w:rsidRPr="00D40358">
        <w:t>REGENETEN</w:t>
      </w:r>
      <w:r w:rsidR="00A37941">
        <w:t xml:space="preserve">; SD = Standard deviation; SOC = Standard of Care; TTO = Time-trade off; </w:t>
      </w:r>
      <w:r w:rsidR="00A37941" w:rsidRPr="00CF0841">
        <w:t>VAS = Visual Analogue Scale</w:t>
      </w:r>
      <w:r w:rsidR="00A37941">
        <w:t>.</w:t>
      </w:r>
    </w:p>
    <w:p w14:paraId="08BB63D4" w14:textId="2D945B65" w:rsidR="00A37941" w:rsidRPr="00C44C41" w:rsidRDefault="003D26E2" w:rsidP="00B821D3">
      <w:pPr>
        <w:pStyle w:val="Tablenotes"/>
        <w:jc w:val="both"/>
      </w:pPr>
      <w:r w:rsidRPr="00FA0E56">
        <w:t>Notes:</w:t>
      </w:r>
      <w:r>
        <w:rPr>
          <w:b/>
          <w:bCs/>
        </w:rPr>
        <w:t xml:space="preserve"> </w:t>
      </w:r>
      <w:r w:rsidR="00A37941" w:rsidRPr="00B25254">
        <w:rPr>
          <w:b/>
          <w:bCs/>
        </w:rPr>
        <w:t>Bold</w:t>
      </w:r>
      <w:r w:rsidR="00A37941" w:rsidRPr="00CF0841">
        <w:t xml:space="preserve"> indicate</w:t>
      </w:r>
      <w:r w:rsidR="00A37941">
        <w:t>s</w:t>
      </w:r>
      <w:r w:rsidR="00A37941" w:rsidRPr="00CF0841">
        <w:t xml:space="preserve"> significant differences </w:t>
      </w:r>
      <w:r w:rsidR="00FA0E56" w:rsidRPr="00FA0E56">
        <w:t>between groups</w:t>
      </w:r>
      <w:r w:rsidR="00A37941" w:rsidRPr="00CF0841">
        <w:t>.</w:t>
      </w:r>
    </w:p>
    <w:p w14:paraId="4BD4A230" w14:textId="04C4CB2F" w:rsidR="00441FC0" w:rsidRPr="00280982" w:rsidRDefault="00441FC0" w:rsidP="003B4E46">
      <w:bookmarkStart w:id="48" w:name="_Hlk162864931"/>
      <w:r w:rsidRPr="00280982">
        <w:t xml:space="preserve">Ruiz </w:t>
      </w:r>
      <w:proofErr w:type="spellStart"/>
      <w:r w:rsidR="00262ECD">
        <w:t>Ibán</w:t>
      </w:r>
      <w:proofErr w:type="spellEnd"/>
      <w:r w:rsidR="005F4ABA">
        <w:t xml:space="preserve"> </w:t>
      </w:r>
      <w:r w:rsidR="00F6199E">
        <w:t>et al.,</w:t>
      </w:r>
      <w:r w:rsidR="005F4ABA">
        <w:t>2023</w:t>
      </w:r>
      <w:r w:rsidRPr="00280982">
        <w:t xml:space="preserve"> reported </w:t>
      </w:r>
      <w:r w:rsidR="00EF73BE">
        <w:t>a significant improvement</w:t>
      </w:r>
      <w:r w:rsidRPr="00280982">
        <w:t xml:space="preserve"> </w:t>
      </w:r>
      <w:r w:rsidR="00EF73BE">
        <w:t xml:space="preserve">in </w:t>
      </w:r>
      <w:r w:rsidR="00AC4546">
        <w:t>PROs</w:t>
      </w:r>
      <w:r w:rsidR="003F5979">
        <w:t xml:space="preserve"> (</w:t>
      </w:r>
      <w:r w:rsidR="003F5979" w:rsidRPr="00280982">
        <w:rPr>
          <w:rStyle w:val="normaltextrun"/>
          <w:rFonts w:cstheme="minorHAnsi"/>
          <w:color w:val="000000" w:themeColor="text1"/>
          <w:shd w:val="clear" w:color="auto" w:fill="FFFFFF"/>
        </w:rPr>
        <w:t>pain scores</w:t>
      </w:r>
      <w:r w:rsidR="003F5979" w:rsidRPr="00280982">
        <w:rPr>
          <w:rStyle w:val="normaltextrun"/>
          <w:rFonts w:cstheme="minorHAnsi"/>
          <w:i/>
          <w:iCs/>
          <w:color w:val="2F5496" w:themeColor="accent5" w:themeShade="BF"/>
          <w:shd w:val="clear" w:color="auto" w:fill="FFFFFF"/>
        </w:rPr>
        <w:t xml:space="preserve">, </w:t>
      </w:r>
      <w:r w:rsidR="003F5979" w:rsidRPr="00280982">
        <w:t>CM</w:t>
      </w:r>
      <w:r w:rsidR="002518DD">
        <w:t>S</w:t>
      </w:r>
      <w:r w:rsidR="003F5979" w:rsidRPr="00280982">
        <w:t xml:space="preserve">, ASES score or </w:t>
      </w:r>
      <w:proofErr w:type="spellStart"/>
      <w:r w:rsidR="00F91A53" w:rsidRPr="00F91A53">
        <w:t>EuroQol</w:t>
      </w:r>
      <w:proofErr w:type="spellEnd"/>
      <w:r w:rsidR="00F91A53" w:rsidRPr="00F91A53">
        <w:t>-</w:t>
      </w:r>
      <w:proofErr w:type="gramStart"/>
      <w:r w:rsidR="00F91A53" w:rsidRPr="00F91A53">
        <w:t>five dimension</w:t>
      </w:r>
      <w:proofErr w:type="gramEnd"/>
      <w:r w:rsidR="00F91A53" w:rsidRPr="00F91A53">
        <w:t xml:space="preserve"> scale </w:t>
      </w:r>
      <w:r w:rsidR="00F91A53">
        <w:t>(</w:t>
      </w:r>
      <w:r w:rsidR="003F5979" w:rsidRPr="00280982">
        <w:t>EQ-5D-5L</w:t>
      </w:r>
      <w:r w:rsidR="00F91A53">
        <w:t>)</w:t>
      </w:r>
      <w:r w:rsidR="003F5979">
        <w:t>)</w:t>
      </w:r>
      <w:r w:rsidRPr="00280982">
        <w:t xml:space="preserve"> from baseline</w:t>
      </w:r>
      <w:r w:rsidR="003F5979">
        <w:t xml:space="preserve"> in the intervention and control groups</w:t>
      </w:r>
      <w:r w:rsidR="00F91A53">
        <w:t>.</w:t>
      </w:r>
      <w:r w:rsidR="00F91A53" w:rsidRPr="00280982">
        <w:t xml:space="preserve"> </w:t>
      </w:r>
      <w:r w:rsidR="00F91A53">
        <w:t>H</w:t>
      </w:r>
      <w:r w:rsidR="00F91A53" w:rsidRPr="00280982">
        <w:t>owever</w:t>
      </w:r>
      <w:r w:rsidRPr="00280982">
        <w:t xml:space="preserve">, there were no significant differences between </w:t>
      </w:r>
      <w:r w:rsidRPr="00280982">
        <w:rPr>
          <w:rStyle w:val="normaltextrun"/>
          <w:rFonts w:cstheme="minorHAnsi"/>
          <w:color w:val="000000" w:themeColor="text1"/>
          <w:shd w:val="clear" w:color="auto" w:fill="FFFFFF"/>
        </w:rPr>
        <w:t xml:space="preserve">REGENETEN and </w:t>
      </w:r>
      <w:r w:rsidR="00B87CD7">
        <w:rPr>
          <w:rStyle w:val="normaltextrun"/>
          <w:rFonts w:cstheme="minorHAnsi"/>
          <w:color w:val="000000" w:themeColor="text1"/>
          <w:shd w:val="clear" w:color="auto" w:fill="FFFFFF"/>
        </w:rPr>
        <w:t xml:space="preserve">the </w:t>
      </w:r>
      <w:r w:rsidRPr="00280982">
        <w:rPr>
          <w:rStyle w:val="normaltextrun"/>
          <w:rFonts w:cstheme="minorHAnsi"/>
          <w:color w:val="000000" w:themeColor="text1"/>
          <w:shd w:val="clear" w:color="auto" w:fill="FFFFFF"/>
        </w:rPr>
        <w:t>control</w:t>
      </w:r>
      <w:r w:rsidRPr="00280982">
        <w:rPr>
          <w:rStyle w:val="normaltextrun"/>
          <w:rFonts w:cstheme="minorHAnsi"/>
          <w:i/>
          <w:iCs/>
          <w:color w:val="000000" w:themeColor="text1"/>
          <w:shd w:val="clear" w:color="auto" w:fill="FFFFFF"/>
        </w:rPr>
        <w:t xml:space="preserve"> </w:t>
      </w:r>
      <w:r w:rsidRPr="00280982">
        <w:t xml:space="preserve">group in </w:t>
      </w:r>
      <w:r w:rsidR="003F5979">
        <w:t>those outcomes</w:t>
      </w:r>
      <w:r w:rsidRPr="00280982">
        <w:t xml:space="preserve"> at any timepoint. </w:t>
      </w:r>
      <w:r w:rsidR="004E3122">
        <w:t>A</w:t>
      </w:r>
      <w:r w:rsidR="00280982" w:rsidRPr="00280982">
        <w:t xml:space="preserve">ll patients </w:t>
      </w:r>
      <w:r w:rsidR="00280982" w:rsidRPr="00280982">
        <w:rPr>
          <w:rFonts w:eastAsiaTheme="majorEastAsia" w:cstheme="minorHAnsi"/>
        </w:rPr>
        <w:t xml:space="preserve">improved approximately 30-points in the CMS and 24-points in the ASES score and achieved </w:t>
      </w:r>
      <w:r w:rsidR="004E3122">
        <w:rPr>
          <w:rFonts w:eastAsiaTheme="majorEastAsia" w:cstheme="minorHAnsi"/>
        </w:rPr>
        <w:t xml:space="preserve">the </w:t>
      </w:r>
      <w:r w:rsidR="00280982" w:rsidRPr="00280982">
        <w:rPr>
          <w:rFonts w:eastAsiaTheme="majorEastAsia" w:cstheme="minorHAnsi"/>
        </w:rPr>
        <w:t xml:space="preserve">MCID (15.5 </w:t>
      </w:r>
      <w:r w:rsidR="004E3122" w:rsidRPr="00280982">
        <w:rPr>
          <w:rFonts w:eastAsiaTheme="majorEastAsia" w:cstheme="minorHAnsi"/>
        </w:rPr>
        <w:t xml:space="preserve">in ASES score </w:t>
      </w:r>
      <w:r w:rsidR="00280982" w:rsidRPr="00280982">
        <w:rPr>
          <w:rFonts w:eastAsiaTheme="majorEastAsia" w:cstheme="minorHAnsi"/>
        </w:rPr>
        <w:t xml:space="preserve">and </w:t>
      </w:r>
      <w:r w:rsidR="004E3122" w:rsidRPr="00FA0E56">
        <w:rPr>
          <w:rFonts w:eastAsiaTheme="majorEastAsia" w:cstheme="minorHAnsi"/>
        </w:rPr>
        <w:t>10.4</w:t>
      </w:r>
      <w:r w:rsidR="004E3122">
        <w:rPr>
          <w:rFonts w:eastAsiaTheme="majorEastAsia" w:cstheme="minorHAnsi"/>
        </w:rPr>
        <w:t xml:space="preserve"> in the </w:t>
      </w:r>
      <w:r w:rsidR="00280982" w:rsidRPr="00280982">
        <w:rPr>
          <w:rFonts w:eastAsiaTheme="majorEastAsia" w:cstheme="minorHAnsi"/>
        </w:rPr>
        <w:t>CMS score).</w:t>
      </w:r>
    </w:p>
    <w:p w14:paraId="70DA3222" w14:textId="3AE44692" w:rsidR="00714B53" w:rsidRDefault="005F4ABA" w:rsidP="003B4E46">
      <w:r w:rsidRPr="005F4ABA">
        <w:t xml:space="preserve">In terms of imaging based outcomes, Ruiz </w:t>
      </w:r>
      <w:proofErr w:type="spellStart"/>
      <w:r w:rsidR="00262ECD">
        <w:t>Ibán</w:t>
      </w:r>
      <w:proofErr w:type="spellEnd"/>
      <w:r w:rsidRPr="005F4ABA">
        <w:t xml:space="preserve"> </w:t>
      </w:r>
      <w:r w:rsidR="00F6199E">
        <w:t>et al.,</w:t>
      </w:r>
      <w:r w:rsidRPr="005F4ABA">
        <w:t>2023 reported a significantly lower retear rate (8.3 vs 25.8%; p=0.01), a three times lower risk of re-tear (</w:t>
      </w:r>
      <w:r w:rsidR="00D600C6">
        <w:t>Relative risk (</w:t>
      </w:r>
      <w:r w:rsidRPr="005F4ABA">
        <w:t>RR</w:t>
      </w:r>
      <w:r w:rsidR="00D600C6">
        <w:t>)</w:t>
      </w:r>
      <w:r w:rsidRPr="005F4ABA">
        <w:t>=0.32; 95% CI:0.13–0.83) and a significant increase in tendon thickness in the REGENETEN group compared to the control group at both the footprint (p=0.025) and 10mm medial to the footprint (p=0.049).</w:t>
      </w:r>
      <w:r w:rsidR="003F5979">
        <w:t xml:space="preserve"> </w:t>
      </w:r>
      <w:r w:rsidR="00B87CD7">
        <w:t xml:space="preserve">The commentary </w:t>
      </w:r>
      <w:r w:rsidR="00AC4546">
        <w:t xml:space="preserve">noted </w:t>
      </w:r>
      <w:r w:rsidR="00B87CD7">
        <w:t>that</w:t>
      </w:r>
      <w:r w:rsidR="003F5979">
        <w:t xml:space="preserve"> the improvement in the imaging-based outcomes </w:t>
      </w:r>
      <w:r w:rsidR="00B87CD7">
        <w:t xml:space="preserve">in the REGENTEN group compared with standard of care </w:t>
      </w:r>
      <w:r w:rsidR="00843AF0">
        <w:t>were not correlated with</w:t>
      </w:r>
      <w:r w:rsidR="00B87CD7">
        <w:t xml:space="preserve"> an improvement in </w:t>
      </w:r>
      <w:proofErr w:type="spellStart"/>
      <w:r w:rsidR="004D3075">
        <w:t>PROs.</w:t>
      </w:r>
      <w:bookmarkEnd w:id="48"/>
      <w:proofErr w:type="spellEnd"/>
      <w:r w:rsidR="004E3122">
        <w:t xml:space="preserve"> </w:t>
      </w:r>
    </w:p>
    <w:p w14:paraId="02C7F2C8" w14:textId="053483E4" w:rsidR="00893760" w:rsidRDefault="00893760" w:rsidP="003B4E46">
      <w:r>
        <w:t xml:space="preserve">In addition to the effectiveness evidence based on the Ruiz </w:t>
      </w:r>
      <w:proofErr w:type="spellStart"/>
      <w:r w:rsidR="00262ECD">
        <w:t>Ibán</w:t>
      </w:r>
      <w:proofErr w:type="spellEnd"/>
      <w:r>
        <w:t xml:space="preserve"> et al., 2023 </w:t>
      </w:r>
      <w:r w:rsidR="003A0F7E">
        <w:t>trial</w:t>
      </w:r>
      <w:r>
        <w:t xml:space="preserve">, the ADAR provided </w:t>
      </w:r>
      <w:r w:rsidR="0082725A">
        <w:t xml:space="preserve">evidence from single arm studies suggesting </w:t>
      </w:r>
      <w:r>
        <w:t>improved tendon integrity and thickness</w:t>
      </w:r>
      <w:r w:rsidR="00EB6919">
        <w:t>,</w:t>
      </w:r>
      <w:r>
        <w:t xml:space="preserve"> reduced retear rates </w:t>
      </w:r>
      <w:r w:rsidR="00EB6919">
        <w:t xml:space="preserve">and </w:t>
      </w:r>
      <w:r w:rsidR="00EB6919" w:rsidRPr="00EB6919">
        <w:t xml:space="preserve">improvement in </w:t>
      </w:r>
      <w:r w:rsidR="009C114D">
        <w:t>QoL</w:t>
      </w:r>
      <w:r w:rsidR="00EB6919" w:rsidRPr="00EB6919">
        <w:t xml:space="preserve"> </w:t>
      </w:r>
      <w:r w:rsidR="0082725A">
        <w:t xml:space="preserve">with </w:t>
      </w:r>
      <w:r>
        <w:t>REGENETEN</w:t>
      </w:r>
      <w:r w:rsidR="00EB6919">
        <w:t>.</w:t>
      </w:r>
      <w:r>
        <w:t xml:space="preserve"> </w:t>
      </w:r>
      <w:r w:rsidR="00EB6919" w:rsidRPr="00EB6919">
        <w:t xml:space="preserve">However, the commentary considered that </w:t>
      </w:r>
      <w:proofErr w:type="gramStart"/>
      <w:r>
        <w:t>with the exception of</w:t>
      </w:r>
      <w:proofErr w:type="gramEnd"/>
      <w:r>
        <w:t xml:space="preserve"> the Ferreira Barros, 2022 </w:t>
      </w:r>
      <w:r w:rsidR="002518DD">
        <w:t>trial</w:t>
      </w:r>
      <w:r>
        <w:t xml:space="preserve">, which reported interim results, </w:t>
      </w:r>
      <w:r w:rsidR="00EB6919">
        <w:t xml:space="preserve">single arm studies </w:t>
      </w:r>
      <w:r>
        <w:t xml:space="preserve">did not provide comparative evidence for the REGENETEN and </w:t>
      </w:r>
      <w:r w:rsidR="0082725A">
        <w:t xml:space="preserve">the </w:t>
      </w:r>
      <w:r>
        <w:t>control groups.</w:t>
      </w:r>
      <w:r w:rsidR="00EB6919" w:rsidRPr="00EB6919">
        <w:t xml:space="preserve"> </w:t>
      </w:r>
    </w:p>
    <w:p w14:paraId="213924C6" w14:textId="04B04999" w:rsidR="00772829" w:rsidRPr="00223664" w:rsidRDefault="5EC52103" w:rsidP="00B821D3">
      <w:pPr>
        <w:pStyle w:val="Heading3"/>
        <w:rPr>
          <w:b/>
          <w:bCs/>
        </w:rPr>
      </w:pPr>
      <w:r w:rsidRPr="28CAC1C0">
        <w:rPr>
          <w:b/>
          <w:bCs/>
        </w:rPr>
        <w:t>Clinical claim</w:t>
      </w:r>
    </w:p>
    <w:p w14:paraId="3D5B025E" w14:textId="2F4F8AA6" w:rsidR="001800D4" w:rsidRPr="004C74C5" w:rsidRDefault="009B4DB6" w:rsidP="003B4E46">
      <w:pPr>
        <w:rPr>
          <w:rFonts w:cstheme="minorHAnsi"/>
          <w:bCs/>
        </w:rPr>
      </w:pPr>
      <w:r w:rsidRPr="009B4DB6">
        <w:t xml:space="preserve">The clinical claim is that </w:t>
      </w:r>
      <w:r>
        <w:t>t</w:t>
      </w:r>
      <w:r w:rsidRPr="00B1275F">
        <w:t>he REGENETEN results in superior health outcomes for patients with rotator cuff tears through improved efficacy and a non-inferior safety in comparison to treatment with standard surgical repair.</w:t>
      </w:r>
      <w:r w:rsidR="008F2269" w:rsidRPr="008F2269">
        <w:t xml:space="preserve"> </w:t>
      </w:r>
      <w:r w:rsidR="001800D4" w:rsidRPr="004C74C5">
        <w:rPr>
          <w:rFonts w:cstheme="minorHAnsi"/>
          <w:bCs/>
        </w:rPr>
        <w:t xml:space="preserve">The clinical claim of superior effectiveness </w:t>
      </w:r>
      <w:r w:rsidR="001800D4" w:rsidRPr="004C74C5">
        <w:rPr>
          <w:rFonts w:cstheme="minorHAnsi"/>
        </w:rPr>
        <w:t xml:space="preserve">and noninferior safety </w:t>
      </w:r>
      <w:r w:rsidR="001800D4" w:rsidRPr="004C74C5">
        <w:rPr>
          <w:rFonts w:cstheme="minorHAnsi"/>
        </w:rPr>
        <w:lastRenderedPageBreak/>
        <w:t xml:space="preserve">for </w:t>
      </w:r>
      <w:r w:rsidR="00895086">
        <w:rPr>
          <w:rFonts w:cstheme="minorHAnsi"/>
        </w:rPr>
        <w:t>Population 1</w:t>
      </w:r>
      <w:r w:rsidR="001800D4" w:rsidRPr="004C74C5">
        <w:rPr>
          <w:rFonts w:cstheme="minorHAnsi"/>
        </w:rPr>
        <w:t xml:space="preserve"> is uncertain</w:t>
      </w:r>
      <w:r w:rsidR="001800D4" w:rsidRPr="004C74C5">
        <w:rPr>
          <w:rFonts w:cstheme="minorHAnsi"/>
          <w:bCs/>
        </w:rPr>
        <w:t xml:space="preserve"> because:</w:t>
      </w:r>
    </w:p>
    <w:p w14:paraId="053CECE5" w14:textId="3D56E3DF" w:rsidR="006F1ECB" w:rsidRDefault="006F1ECB" w:rsidP="005A42D2">
      <w:pPr>
        <w:pStyle w:val="ListParagraph"/>
        <w:numPr>
          <w:ilvl w:val="0"/>
          <w:numId w:val="11"/>
        </w:numPr>
        <w:spacing w:line="256" w:lineRule="auto"/>
      </w:pPr>
      <w:r>
        <w:t xml:space="preserve">Wang et al., 2023 has a high risk of bias, </w:t>
      </w:r>
      <w:r w:rsidR="00316E24">
        <w:t xml:space="preserve">a small </w:t>
      </w:r>
      <w:r>
        <w:t xml:space="preserve">sample size </w:t>
      </w:r>
      <w:r w:rsidR="00316E24">
        <w:t xml:space="preserve">(n =29) </w:t>
      </w:r>
      <w:r w:rsidR="0082725A">
        <w:t xml:space="preserve">and </w:t>
      </w:r>
      <w:r w:rsidR="00316E24">
        <w:t>a</w:t>
      </w:r>
      <w:r>
        <w:t xml:space="preserve"> </w:t>
      </w:r>
      <w:r w:rsidR="0082725A">
        <w:t>short-term</w:t>
      </w:r>
      <w:r>
        <w:t xml:space="preserve"> follow</w:t>
      </w:r>
      <w:r w:rsidR="002518DD">
        <w:t>-</w:t>
      </w:r>
      <w:r>
        <w:t xml:space="preserve">up </w:t>
      </w:r>
      <w:r w:rsidR="00316E24">
        <w:t xml:space="preserve">of </w:t>
      </w:r>
      <w:r>
        <w:t xml:space="preserve">three months. </w:t>
      </w:r>
    </w:p>
    <w:p w14:paraId="22FFB851" w14:textId="473AD018" w:rsidR="00BF262A" w:rsidRDefault="006F1ECB" w:rsidP="00877B0C">
      <w:pPr>
        <w:pStyle w:val="ListParagraph"/>
        <w:numPr>
          <w:ilvl w:val="0"/>
          <w:numId w:val="11"/>
        </w:numPr>
        <w:spacing w:line="256" w:lineRule="auto"/>
      </w:pPr>
      <w:r>
        <w:t xml:space="preserve">The study population of Camacho-Chacon et al., 2023 is not relevant for </w:t>
      </w:r>
      <w:r w:rsidR="00895086">
        <w:t>Population 1</w:t>
      </w:r>
      <w:r w:rsidR="00C063A2">
        <w:t xml:space="preserve"> (PTRCT)</w:t>
      </w:r>
      <w:r>
        <w:t xml:space="preserve"> because this </w:t>
      </w:r>
      <w:r w:rsidR="0082725A">
        <w:t xml:space="preserve">trial </w:t>
      </w:r>
      <w:r>
        <w:t>included patients with FTRCT.</w:t>
      </w:r>
    </w:p>
    <w:p w14:paraId="02F612E8" w14:textId="1986BD80" w:rsidR="006F1ECB" w:rsidRDefault="006F1ECB" w:rsidP="003B4E46">
      <w:r>
        <w:t xml:space="preserve">The clinical claim of </w:t>
      </w:r>
      <w:r>
        <w:rPr>
          <w:bCs/>
        </w:rPr>
        <w:t xml:space="preserve">superior effectiveness </w:t>
      </w:r>
      <w:r>
        <w:t xml:space="preserve">and noninferior safety for </w:t>
      </w:r>
      <w:r w:rsidR="00895086">
        <w:t>Population 2</w:t>
      </w:r>
      <w:r>
        <w:t xml:space="preserve"> is uncertain because:</w:t>
      </w:r>
    </w:p>
    <w:p w14:paraId="74CF52CB" w14:textId="0B2F6BAB" w:rsidR="006F1ECB" w:rsidRDefault="00316E24" w:rsidP="005A42D2">
      <w:pPr>
        <w:pStyle w:val="ListParagraph"/>
        <w:numPr>
          <w:ilvl w:val="0"/>
          <w:numId w:val="12"/>
        </w:numPr>
        <w:spacing w:line="256" w:lineRule="auto"/>
      </w:pPr>
      <w:r>
        <w:t>The results from the main tri</w:t>
      </w:r>
      <w:r w:rsidR="00C0471A">
        <w:t>a</w:t>
      </w:r>
      <w:r>
        <w:t xml:space="preserve">l, Ruiz </w:t>
      </w:r>
      <w:proofErr w:type="spellStart"/>
      <w:r w:rsidR="00262ECD">
        <w:t>Ibán</w:t>
      </w:r>
      <w:proofErr w:type="spellEnd"/>
      <w:r>
        <w:t xml:space="preserve"> et al., 2023, showed </w:t>
      </w:r>
      <w:r w:rsidR="006F1ECB">
        <w:t xml:space="preserve">superiority </w:t>
      </w:r>
      <w:r>
        <w:t xml:space="preserve">in </w:t>
      </w:r>
      <w:r w:rsidR="006F1ECB">
        <w:t>imaging</w:t>
      </w:r>
      <w:r>
        <w:t>-</w:t>
      </w:r>
      <w:r w:rsidR="006F1ECB">
        <w:t xml:space="preserve">based outcomes such as retear rates. However, no significant differences were reported in </w:t>
      </w:r>
      <w:r w:rsidR="00C063A2">
        <w:t>PROs</w:t>
      </w:r>
      <w:r w:rsidR="006F1ECB">
        <w:t xml:space="preserve"> </w:t>
      </w:r>
      <w:r>
        <w:t>compared to standard of care</w:t>
      </w:r>
      <w:r w:rsidR="006F1ECB">
        <w:t xml:space="preserve"> </w:t>
      </w:r>
      <w:r w:rsidR="006F1ECB">
        <w:rPr>
          <w:rFonts w:eastAsiaTheme="majorEastAsia"/>
        </w:rPr>
        <w:t xml:space="preserve">(e.g., </w:t>
      </w:r>
      <w:r w:rsidR="006F1ECB">
        <w:t>the CM</w:t>
      </w:r>
      <w:r w:rsidR="002518DD">
        <w:t>S</w:t>
      </w:r>
      <w:r w:rsidR="006F1ECB">
        <w:t xml:space="preserve">, ASES score or EQ-5D-5L). </w:t>
      </w:r>
    </w:p>
    <w:p w14:paraId="50A8290F" w14:textId="3542470E" w:rsidR="006F1ECB" w:rsidRPr="00493500" w:rsidRDefault="006F1ECB" w:rsidP="005A42D2">
      <w:pPr>
        <w:pStyle w:val="ListParagraph"/>
        <w:numPr>
          <w:ilvl w:val="0"/>
          <w:numId w:val="12"/>
        </w:numPr>
        <w:spacing w:line="256" w:lineRule="auto"/>
        <w:rPr>
          <w:rFonts w:asciiTheme="minorHAnsi" w:hAnsiTheme="minorHAnsi" w:cstheme="minorHAnsi"/>
        </w:rPr>
      </w:pPr>
      <w:r>
        <w:t>The noninferiority in safety is reasonable</w:t>
      </w:r>
      <w:r w:rsidR="0082725A">
        <w:t>; however</w:t>
      </w:r>
      <w:r>
        <w:t xml:space="preserve">, the long-term outcomes of safety and effectiveness </w:t>
      </w:r>
      <w:r w:rsidR="00C063A2">
        <w:t xml:space="preserve">were </w:t>
      </w:r>
      <w:r>
        <w:t xml:space="preserve">uncertain because </w:t>
      </w:r>
      <w:r>
        <w:rPr>
          <w:rFonts w:eastAsiaTheme="majorEastAsia"/>
        </w:rPr>
        <w:t xml:space="preserve">Ruiz </w:t>
      </w:r>
      <w:proofErr w:type="spellStart"/>
      <w:r w:rsidR="00262ECD">
        <w:rPr>
          <w:rFonts w:eastAsiaTheme="majorEastAsia"/>
        </w:rPr>
        <w:t>Ibán</w:t>
      </w:r>
      <w:proofErr w:type="spellEnd"/>
      <w:r>
        <w:rPr>
          <w:rFonts w:eastAsiaTheme="majorEastAsia"/>
        </w:rPr>
        <w:t xml:space="preserve"> et al., 2023 </w:t>
      </w:r>
      <w:r w:rsidR="00C063A2">
        <w:t xml:space="preserve">had </w:t>
      </w:r>
      <w:r>
        <w:t xml:space="preserve">only 12 </w:t>
      </w:r>
      <w:r w:rsidR="0082725A">
        <w:t xml:space="preserve">months of </w:t>
      </w:r>
      <w:r>
        <w:t>follow</w:t>
      </w:r>
      <w:r w:rsidR="0082725A">
        <w:t>-</w:t>
      </w:r>
      <w:r>
        <w:t>up.</w:t>
      </w:r>
    </w:p>
    <w:p w14:paraId="0D09C9E4" w14:textId="3FB9AA5F" w:rsidR="00772829" w:rsidRPr="00CE28E3" w:rsidRDefault="00B27795" w:rsidP="002A18BE">
      <w:pPr>
        <w:pStyle w:val="Heading2"/>
        <w:numPr>
          <w:ilvl w:val="0"/>
          <w:numId w:val="0"/>
        </w:numPr>
      </w:pPr>
      <w:bookmarkStart w:id="49" w:name="_Toc69491425"/>
      <w:r>
        <w:t>1</w:t>
      </w:r>
      <w:r w:rsidR="005A42D2">
        <w:t>3</w:t>
      </w:r>
      <w:r w:rsidR="00C36633">
        <w:t>.</w:t>
      </w:r>
      <w:r w:rsidR="00C36633">
        <w:tab/>
      </w:r>
      <w:r w:rsidR="00772829" w:rsidRPr="00CE28E3">
        <w:t>Economic evaluation</w:t>
      </w:r>
      <w:bookmarkEnd w:id="49"/>
    </w:p>
    <w:p w14:paraId="494B8CE4" w14:textId="63A60A86" w:rsidR="0021028B" w:rsidRDefault="003E6BF0" w:rsidP="003B4E46">
      <w:bookmarkStart w:id="50" w:name="Title_Table5"/>
      <w:bookmarkStart w:id="51" w:name="Title_Table6"/>
      <w:bookmarkEnd w:id="50"/>
      <w:bookmarkEnd w:id="51"/>
      <w:r>
        <w:t>T</w:t>
      </w:r>
      <w:r w:rsidR="002B4F0C">
        <w:t xml:space="preserve">he previous </w:t>
      </w:r>
      <w:r w:rsidR="00DE0A5A">
        <w:t>application</w:t>
      </w:r>
      <w:r w:rsidR="002B4F0C">
        <w:t xml:space="preserve"> (MSAC application 1593)</w:t>
      </w:r>
      <w:r w:rsidR="002B4F0C">
        <w:rPr>
          <w:rStyle w:val="FootnoteReference"/>
        </w:rPr>
        <w:t>1</w:t>
      </w:r>
      <w:r>
        <w:t xml:space="preserve"> presented</w:t>
      </w:r>
      <w:r w:rsidR="002B4F0C">
        <w:t xml:space="preserve"> a single economic evaluation </w:t>
      </w:r>
      <w:r w:rsidR="00A84B86">
        <w:t>(</w:t>
      </w:r>
      <w:r w:rsidR="002B4F0C">
        <w:t>cost-utility analysis) for both populations with a 2-year time horizon.</w:t>
      </w:r>
      <w:r w:rsidR="002D7FCB">
        <w:t xml:space="preserve"> </w:t>
      </w:r>
      <w:r w:rsidR="002D7FCB">
        <w:fldChar w:fldCharType="begin"/>
      </w:r>
      <w:r w:rsidR="002D7FCB">
        <w:instrText xml:space="preserve"> REF _Ref163554791 \h </w:instrText>
      </w:r>
      <w:r w:rsidR="002D7FCB">
        <w:fldChar w:fldCharType="separate"/>
      </w:r>
      <w:r w:rsidR="00EB12D3">
        <w:t xml:space="preserve">Table </w:t>
      </w:r>
      <w:r w:rsidR="00EB12D3">
        <w:rPr>
          <w:noProof/>
        </w:rPr>
        <w:t>8</w:t>
      </w:r>
      <w:r w:rsidR="002D7FCB">
        <w:fldChar w:fldCharType="end"/>
      </w:r>
      <w:r w:rsidR="002B4F0C">
        <w:t xml:space="preserve"> summarise</w:t>
      </w:r>
      <w:r w:rsidR="00DE0A5A">
        <w:t>s</w:t>
      </w:r>
      <w:r w:rsidR="002B4F0C">
        <w:t xml:space="preserve"> </w:t>
      </w:r>
      <w:r w:rsidR="00EF3086">
        <w:t>the economic</w:t>
      </w:r>
      <w:r w:rsidR="002B4F0C" w:rsidRPr="002B4F0C">
        <w:t xml:space="preserve"> evaluation</w:t>
      </w:r>
      <w:r w:rsidR="00DE0A5A">
        <w:t>s</w:t>
      </w:r>
      <w:r w:rsidR="002B4F0C" w:rsidRPr="002B4F0C">
        <w:t xml:space="preserve"> presented in the previous </w:t>
      </w:r>
      <w:r w:rsidR="00DE0A5A">
        <w:t xml:space="preserve">application </w:t>
      </w:r>
      <w:r w:rsidR="009044EE">
        <w:t xml:space="preserve">and the current </w:t>
      </w:r>
      <w:r w:rsidR="00DE0A5A">
        <w:t>re</w:t>
      </w:r>
      <w:r w:rsidR="00F7566F">
        <w:t>-</w:t>
      </w:r>
      <w:r w:rsidR="00DE0A5A">
        <w:t>application</w:t>
      </w:r>
      <w:r w:rsidR="002B4F0C">
        <w:t>.</w:t>
      </w:r>
      <w:r w:rsidR="002B4F0C" w:rsidRPr="002B4F0C">
        <w:t xml:space="preserve"> </w:t>
      </w:r>
    </w:p>
    <w:p w14:paraId="008DA9F9" w14:textId="236461E5" w:rsidR="002B4F0C" w:rsidRPr="00796698" w:rsidRDefault="002B4F0C" w:rsidP="00796698">
      <w:pPr>
        <w:pStyle w:val="Caption"/>
      </w:pPr>
      <w:bookmarkStart w:id="52" w:name="_Ref163554791"/>
      <w:r w:rsidRPr="00796698">
        <w:t xml:space="preserve">Table </w:t>
      </w:r>
      <w:r>
        <w:fldChar w:fldCharType="begin"/>
      </w:r>
      <w:r>
        <w:instrText xml:space="preserve"> SEQ Table \* ARABIC </w:instrText>
      </w:r>
      <w:r>
        <w:fldChar w:fldCharType="separate"/>
      </w:r>
      <w:r w:rsidR="00C3173B" w:rsidRPr="003E1887">
        <w:t>8</w:t>
      </w:r>
      <w:r>
        <w:fldChar w:fldCharType="end"/>
      </w:r>
      <w:bookmarkEnd w:id="52"/>
      <w:r w:rsidRPr="00796698">
        <w:t xml:space="preserve">: Summary of the economic evaluation presented in the previous </w:t>
      </w:r>
      <w:r w:rsidR="00DE0A5A">
        <w:t>application</w:t>
      </w:r>
      <w:r w:rsidR="00340A84" w:rsidRPr="00796698">
        <w:t xml:space="preserve"> and the current re</w:t>
      </w:r>
      <w:r w:rsidR="00DE0A5A">
        <w:t>application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689"/>
        <w:gridCol w:w="2126"/>
        <w:gridCol w:w="1984"/>
        <w:gridCol w:w="2217"/>
      </w:tblGrid>
      <w:tr w:rsidR="00EB6919" w:rsidRPr="00CE28E3" w14:paraId="631D4AF1" w14:textId="77777777" w:rsidTr="00B821D3">
        <w:trPr>
          <w:tblHeader/>
        </w:trPr>
        <w:tc>
          <w:tcPr>
            <w:tcW w:w="2689" w:type="dxa"/>
          </w:tcPr>
          <w:p w14:paraId="131C835B" w14:textId="0674F81A" w:rsidR="00EB6919" w:rsidRPr="000449D1" w:rsidRDefault="00EB6919" w:rsidP="0078185D">
            <w:pPr>
              <w:pStyle w:val="TableHeading"/>
              <w:rPr>
                <w:szCs w:val="20"/>
              </w:rPr>
            </w:pPr>
            <w:r w:rsidRPr="000449D1">
              <w:rPr>
                <w:szCs w:val="20"/>
              </w:rPr>
              <w:t>Component</w:t>
            </w:r>
          </w:p>
        </w:tc>
        <w:tc>
          <w:tcPr>
            <w:tcW w:w="2126" w:type="dxa"/>
          </w:tcPr>
          <w:p w14:paraId="47E7F4CD" w14:textId="5D0C4C75" w:rsidR="00EB6919" w:rsidRPr="000449D1" w:rsidRDefault="00EB6919" w:rsidP="0078185D">
            <w:pPr>
              <w:pStyle w:val="TableHeading"/>
              <w:rPr>
                <w:szCs w:val="20"/>
              </w:rPr>
            </w:pPr>
            <w:r>
              <w:rPr>
                <w:szCs w:val="20"/>
              </w:rPr>
              <w:t xml:space="preserve">Previous </w:t>
            </w:r>
            <w:r w:rsidR="00DE0A5A">
              <w:rPr>
                <w:szCs w:val="20"/>
              </w:rPr>
              <w:t>application</w:t>
            </w:r>
            <w:r>
              <w:rPr>
                <w:szCs w:val="20"/>
              </w:rPr>
              <w:t xml:space="preserve"> (application 1593)</w:t>
            </w:r>
          </w:p>
        </w:tc>
        <w:tc>
          <w:tcPr>
            <w:tcW w:w="4201" w:type="dxa"/>
            <w:gridSpan w:val="2"/>
          </w:tcPr>
          <w:p w14:paraId="343151D6" w14:textId="3BDDFC2C" w:rsidR="00EB6919" w:rsidRPr="000449D1" w:rsidRDefault="00EB6919" w:rsidP="0078185D">
            <w:pPr>
              <w:pStyle w:val="TableHeading"/>
              <w:rPr>
                <w:szCs w:val="20"/>
              </w:rPr>
            </w:pPr>
            <w:r>
              <w:rPr>
                <w:szCs w:val="20"/>
              </w:rPr>
              <w:t>Current re</w:t>
            </w:r>
            <w:r w:rsidR="00F7566F">
              <w:rPr>
                <w:szCs w:val="20"/>
              </w:rPr>
              <w:t>-</w:t>
            </w:r>
            <w:r w:rsidR="00DE0A5A">
              <w:rPr>
                <w:szCs w:val="20"/>
              </w:rPr>
              <w:t>application</w:t>
            </w:r>
            <w:r>
              <w:rPr>
                <w:szCs w:val="20"/>
              </w:rPr>
              <w:t xml:space="preserve"> (application 1593.1)</w:t>
            </w:r>
          </w:p>
        </w:tc>
      </w:tr>
      <w:tr w:rsidR="00F0166A" w:rsidRPr="00CE28E3" w14:paraId="5EF3E4EE" w14:textId="77777777" w:rsidTr="00B821D3">
        <w:trPr>
          <w:tblHeader/>
        </w:trPr>
        <w:tc>
          <w:tcPr>
            <w:tcW w:w="2689" w:type="dxa"/>
          </w:tcPr>
          <w:p w14:paraId="22AA28B2" w14:textId="77777777" w:rsidR="00F0166A" w:rsidRPr="000449D1" w:rsidRDefault="00F0166A" w:rsidP="0078185D">
            <w:pPr>
              <w:pStyle w:val="TableHeading"/>
              <w:rPr>
                <w:szCs w:val="20"/>
              </w:rPr>
            </w:pPr>
          </w:p>
        </w:tc>
        <w:tc>
          <w:tcPr>
            <w:tcW w:w="2126" w:type="dxa"/>
          </w:tcPr>
          <w:p w14:paraId="74E7E870" w14:textId="58389C49" w:rsidR="00F0166A" w:rsidRDefault="00F0166A" w:rsidP="0078185D">
            <w:pPr>
              <w:pStyle w:val="TableHeading"/>
              <w:rPr>
                <w:szCs w:val="20"/>
              </w:rPr>
            </w:pPr>
            <w:r>
              <w:rPr>
                <w:szCs w:val="20"/>
              </w:rPr>
              <w:t>PTRCT &amp; FTRCT</w:t>
            </w:r>
          </w:p>
        </w:tc>
        <w:tc>
          <w:tcPr>
            <w:tcW w:w="1984" w:type="dxa"/>
          </w:tcPr>
          <w:p w14:paraId="7FCCFE3B" w14:textId="1080EA2A" w:rsidR="00F0166A" w:rsidRDefault="00F0166A" w:rsidP="0078185D">
            <w:pPr>
              <w:pStyle w:val="TableHeading"/>
              <w:rPr>
                <w:szCs w:val="20"/>
              </w:rPr>
            </w:pPr>
            <w:r>
              <w:rPr>
                <w:szCs w:val="20"/>
              </w:rPr>
              <w:t>P</w:t>
            </w:r>
            <w:r w:rsidR="00340A84">
              <w:rPr>
                <w:szCs w:val="20"/>
              </w:rPr>
              <w:t>TRCT (Population 1)</w:t>
            </w:r>
          </w:p>
        </w:tc>
        <w:tc>
          <w:tcPr>
            <w:tcW w:w="2217" w:type="dxa"/>
          </w:tcPr>
          <w:p w14:paraId="76420CD9" w14:textId="158B3DCD" w:rsidR="00F0166A" w:rsidRPr="000449D1" w:rsidRDefault="00340A84" w:rsidP="0078185D">
            <w:pPr>
              <w:pStyle w:val="TableHeading"/>
              <w:rPr>
                <w:szCs w:val="20"/>
              </w:rPr>
            </w:pPr>
            <w:r>
              <w:rPr>
                <w:szCs w:val="20"/>
              </w:rPr>
              <w:t>FTRCT (Population 2)</w:t>
            </w:r>
          </w:p>
        </w:tc>
      </w:tr>
      <w:tr w:rsidR="00803DD3" w:rsidRPr="000449D1" w14:paraId="6662C1AF" w14:textId="3F6AF552" w:rsidTr="00B821D3">
        <w:tc>
          <w:tcPr>
            <w:tcW w:w="2689" w:type="dxa"/>
          </w:tcPr>
          <w:p w14:paraId="4131BE81" w14:textId="77777777" w:rsidR="00803DD3" w:rsidRPr="000449D1" w:rsidRDefault="00803DD3" w:rsidP="0078185D">
            <w:pPr>
              <w:pStyle w:val="TableText"/>
              <w:keepNext/>
              <w:rPr>
                <w:szCs w:val="20"/>
              </w:rPr>
            </w:pPr>
            <w:r w:rsidRPr="000449D1">
              <w:rPr>
                <w:szCs w:val="20"/>
              </w:rPr>
              <w:t>Perspective</w:t>
            </w:r>
          </w:p>
        </w:tc>
        <w:tc>
          <w:tcPr>
            <w:tcW w:w="2126" w:type="dxa"/>
          </w:tcPr>
          <w:p w14:paraId="2C6629EA" w14:textId="77777777" w:rsidR="00803DD3" w:rsidRPr="005D3468" w:rsidRDefault="00803DD3" w:rsidP="0078185D">
            <w:pPr>
              <w:pStyle w:val="TableText"/>
              <w:keepNext/>
              <w:rPr>
                <w:szCs w:val="20"/>
              </w:rPr>
            </w:pPr>
            <w:r w:rsidRPr="005D3468">
              <w:rPr>
                <w:szCs w:val="20"/>
              </w:rPr>
              <w:t>Health care system perspective</w:t>
            </w:r>
            <w:r>
              <w:t xml:space="preserve"> </w:t>
            </w:r>
          </w:p>
        </w:tc>
        <w:tc>
          <w:tcPr>
            <w:tcW w:w="1984" w:type="dxa"/>
          </w:tcPr>
          <w:p w14:paraId="3095F9FC" w14:textId="252D1DD6" w:rsidR="00803DD3" w:rsidRPr="005D3468" w:rsidRDefault="00EB6919" w:rsidP="0078185D">
            <w:pPr>
              <w:pStyle w:val="TableText"/>
              <w:keepNext/>
              <w:rPr>
                <w:szCs w:val="20"/>
              </w:rPr>
            </w:pPr>
            <w:r w:rsidRPr="00EB6919">
              <w:rPr>
                <w:szCs w:val="20"/>
              </w:rPr>
              <w:t>Health care system perspective</w:t>
            </w:r>
          </w:p>
        </w:tc>
        <w:tc>
          <w:tcPr>
            <w:tcW w:w="2217" w:type="dxa"/>
          </w:tcPr>
          <w:p w14:paraId="05523292" w14:textId="37188AD8" w:rsidR="00803DD3" w:rsidRPr="005D3468" w:rsidRDefault="00EB6919" w:rsidP="0078185D">
            <w:pPr>
              <w:pStyle w:val="TableText"/>
              <w:keepNext/>
              <w:rPr>
                <w:szCs w:val="20"/>
              </w:rPr>
            </w:pPr>
            <w:r w:rsidRPr="00EB6919">
              <w:rPr>
                <w:szCs w:val="20"/>
              </w:rPr>
              <w:t>Health care system perspective</w:t>
            </w:r>
          </w:p>
        </w:tc>
      </w:tr>
      <w:tr w:rsidR="00803DD3" w:rsidRPr="000449D1" w14:paraId="009693A8" w14:textId="3F8B0076" w:rsidTr="00B821D3">
        <w:tc>
          <w:tcPr>
            <w:tcW w:w="2689" w:type="dxa"/>
          </w:tcPr>
          <w:p w14:paraId="011C86BF" w14:textId="77777777" w:rsidR="00803DD3" w:rsidRPr="000449D1" w:rsidRDefault="00803DD3" w:rsidP="0078185D">
            <w:pPr>
              <w:pStyle w:val="TableText"/>
              <w:keepNext/>
              <w:rPr>
                <w:szCs w:val="20"/>
              </w:rPr>
            </w:pPr>
            <w:r w:rsidRPr="000449D1">
              <w:rPr>
                <w:szCs w:val="20"/>
              </w:rPr>
              <w:t>Type(s) of analysis</w:t>
            </w:r>
          </w:p>
        </w:tc>
        <w:tc>
          <w:tcPr>
            <w:tcW w:w="2126" w:type="dxa"/>
          </w:tcPr>
          <w:p w14:paraId="3E69EC2F" w14:textId="24C9A75B" w:rsidR="00803DD3" w:rsidRPr="005D3468" w:rsidRDefault="00CC489C" w:rsidP="0078185D">
            <w:pPr>
              <w:pStyle w:val="TableText"/>
              <w:keepNext/>
              <w:rPr>
                <w:szCs w:val="20"/>
              </w:rPr>
            </w:pPr>
            <w:r>
              <w:rPr>
                <w:szCs w:val="20"/>
              </w:rPr>
              <w:t>CUA</w:t>
            </w:r>
          </w:p>
        </w:tc>
        <w:tc>
          <w:tcPr>
            <w:tcW w:w="1984" w:type="dxa"/>
          </w:tcPr>
          <w:p w14:paraId="7CB8B1E4" w14:textId="204C5701" w:rsidR="00803DD3" w:rsidRPr="005D3468" w:rsidRDefault="00CC489C" w:rsidP="0078185D">
            <w:pPr>
              <w:pStyle w:val="TableText"/>
              <w:keepNext/>
              <w:rPr>
                <w:szCs w:val="20"/>
              </w:rPr>
            </w:pPr>
            <w:r>
              <w:rPr>
                <w:szCs w:val="20"/>
              </w:rPr>
              <w:t>CEA</w:t>
            </w:r>
          </w:p>
        </w:tc>
        <w:tc>
          <w:tcPr>
            <w:tcW w:w="2217" w:type="dxa"/>
          </w:tcPr>
          <w:p w14:paraId="529D77C6" w14:textId="7D014022" w:rsidR="00803DD3" w:rsidRPr="005D3468" w:rsidRDefault="00CC489C" w:rsidP="0078185D">
            <w:pPr>
              <w:pStyle w:val="TableText"/>
              <w:keepNext/>
              <w:rPr>
                <w:szCs w:val="20"/>
              </w:rPr>
            </w:pPr>
            <w:r>
              <w:rPr>
                <w:szCs w:val="20"/>
              </w:rPr>
              <w:t>CUA</w:t>
            </w:r>
          </w:p>
        </w:tc>
      </w:tr>
      <w:tr w:rsidR="00825AD7" w:rsidRPr="000449D1" w14:paraId="4005110E" w14:textId="58566E00" w:rsidTr="00B821D3">
        <w:tc>
          <w:tcPr>
            <w:tcW w:w="2689" w:type="dxa"/>
          </w:tcPr>
          <w:p w14:paraId="2BAB4509" w14:textId="495E69AC" w:rsidR="00825AD7" w:rsidRPr="000449D1" w:rsidRDefault="00825AD7" w:rsidP="00825AD7">
            <w:pPr>
              <w:pStyle w:val="TableText"/>
              <w:keepNext/>
              <w:rPr>
                <w:szCs w:val="20"/>
              </w:rPr>
            </w:pPr>
            <w:r w:rsidRPr="000449D1">
              <w:rPr>
                <w:szCs w:val="20"/>
              </w:rPr>
              <w:t>Time horizon</w:t>
            </w:r>
          </w:p>
        </w:tc>
        <w:tc>
          <w:tcPr>
            <w:tcW w:w="2126" w:type="dxa"/>
          </w:tcPr>
          <w:p w14:paraId="64843C2A" w14:textId="4608CDB7" w:rsidR="00825AD7" w:rsidRPr="005D3468" w:rsidRDefault="00825AD7" w:rsidP="00825AD7">
            <w:pPr>
              <w:pStyle w:val="TableText"/>
              <w:keepNext/>
              <w:rPr>
                <w:szCs w:val="20"/>
              </w:rPr>
            </w:pPr>
            <w:r w:rsidRPr="005D3468">
              <w:rPr>
                <w:szCs w:val="20"/>
              </w:rPr>
              <w:t>2 years</w:t>
            </w:r>
          </w:p>
        </w:tc>
        <w:tc>
          <w:tcPr>
            <w:tcW w:w="1984" w:type="dxa"/>
          </w:tcPr>
          <w:p w14:paraId="0636D485" w14:textId="2F5DE562" w:rsidR="00825AD7" w:rsidRPr="005D3468" w:rsidRDefault="00CC489C" w:rsidP="00825AD7">
            <w:pPr>
              <w:pStyle w:val="TableText"/>
              <w:keepNext/>
              <w:rPr>
                <w:szCs w:val="20"/>
              </w:rPr>
            </w:pPr>
            <w:r w:rsidRPr="00CC489C">
              <w:rPr>
                <w:szCs w:val="20"/>
              </w:rPr>
              <w:t>2 years</w:t>
            </w:r>
          </w:p>
        </w:tc>
        <w:tc>
          <w:tcPr>
            <w:tcW w:w="2217" w:type="dxa"/>
          </w:tcPr>
          <w:p w14:paraId="06C6DADB" w14:textId="624DDD14" w:rsidR="00825AD7" w:rsidRPr="005D3468" w:rsidRDefault="00CC489C" w:rsidP="00825AD7">
            <w:pPr>
              <w:pStyle w:val="TableText"/>
              <w:keepNext/>
              <w:rPr>
                <w:szCs w:val="20"/>
              </w:rPr>
            </w:pPr>
            <w:r w:rsidRPr="00CC489C">
              <w:rPr>
                <w:szCs w:val="20"/>
              </w:rPr>
              <w:t>2 years</w:t>
            </w:r>
          </w:p>
        </w:tc>
      </w:tr>
      <w:tr w:rsidR="00825AD7" w:rsidRPr="000449D1" w14:paraId="5DBCE29F" w14:textId="1176509C" w:rsidTr="00B821D3">
        <w:tc>
          <w:tcPr>
            <w:tcW w:w="2689" w:type="dxa"/>
          </w:tcPr>
          <w:p w14:paraId="1D6C1690" w14:textId="5AC8C457" w:rsidR="00825AD7" w:rsidRPr="000449D1" w:rsidRDefault="00825AD7" w:rsidP="00825AD7">
            <w:pPr>
              <w:pStyle w:val="TableText"/>
              <w:keepNext/>
              <w:rPr>
                <w:szCs w:val="20"/>
              </w:rPr>
            </w:pPr>
            <w:r>
              <w:rPr>
                <w:szCs w:val="20"/>
              </w:rPr>
              <w:t>Outcomes</w:t>
            </w:r>
          </w:p>
        </w:tc>
        <w:tc>
          <w:tcPr>
            <w:tcW w:w="2126" w:type="dxa"/>
          </w:tcPr>
          <w:p w14:paraId="56AA48EF" w14:textId="67260CD9" w:rsidR="00825AD7" w:rsidRPr="005D3468" w:rsidRDefault="00825AD7" w:rsidP="00825AD7">
            <w:pPr>
              <w:pStyle w:val="TableText"/>
              <w:keepNext/>
              <w:rPr>
                <w:szCs w:val="20"/>
              </w:rPr>
            </w:pPr>
            <w:r>
              <w:t xml:space="preserve">Retear rate, </w:t>
            </w:r>
            <w:r w:rsidR="0082725A">
              <w:t>i</w:t>
            </w:r>
            <w:r>
              <w:t>ncomplete healing rates, QALY</w:t>
            </w:r>
          </w:p>
        </w:tc>
        <w:tc>
          <w:tcPr>
            <w:tcW w:w="1984" w:type="dxa"/>
          </w:tcPr>
          <w:p w14:paraId="2164B10B" w14:textId="012AE0D5" w:rsidR="00825AD7" w:rsidRDefault="00CC489C" w:rsidP="00825AD7">
            <w:pPr>
              <w:pStyle w:val="TableText"/>
              <w:keepNext/>
            </w:pPr>
            <w:r w:rsidRPr="00CC489C">
              <w:t>Change in MCID of ASES score</w:t>
            </w:r>
          </w:p>
        </w:tc>
        <w:tc>
          <w:tcPr>
            <w:tcW w:w="2217" w:type="dxa"/>
          </w:tcPr>
          <w:p w14:paraId="02FF2979" w14:textId="6346101B" w:rsidR="00825AD7" w:rsidRDefault="00CC489C" w:rsidP="00825AD7">
            <w:pPr>
              <w:pStyle w:val="TableText"/>
              <w:keepNext/>
            </w:pPr>
            <w:r w:rsidRPr="00CC489C">
              <w:t>QALY</w:t>
            </w:r>
          </w:p>
        </w:tc>
      </w:tr>
      <w:tr w:rsidR="00825AD7" w:rsidRPr="000449D1" w14:paraId="080EE41D" w14:textId="36E2F5BE" w:rsidTr="00B821D3">
        <w:tc>
          <w:tcPr>
            <w:tcW w:w="2689" w:type="dxa"/>
          </w:tcPr>
          <w:p w14:paraId="324ED9E2" w14:textId="074E04EF" w:rsidR="00825AD7" w:rsidRPr="000449D1" w:rsidRDefault="00825AD7" w:rsidP="00825AD7">
            <w:pPr>
              <w:pStyle w:val="TableText"/>
              <w:keepNext/>
              <w:rPr>
                <w:szCs w:val="20"/>
              </w:rPr>
            </w:pPr>
            <w:r>
              <w:rPr>
                <w:szCs w:val="20"/>
              </w:rPr>
              <w:t>M</w:t>
            </w:r>
            <w:r w:rsidRPr="002B4F0C">
              <w:rPr>
                <w:szCs w:val="20"/>
              </w:rPr>
              <w:t xml:space="preserve">ethods used to generate results </w:t>
            </w:r>
          </w:p>
        </w:tc>
        <w:tc>
          <w:tcPr>
            <w:tcW w:w="2126" w:type="dxa"/>
          </w:tcPr>
          <w:p w14:paraId="16099111" w14:textId="572005C9" w:rsidR="00825AD7" w:rsidRPr="005D3468" w:rsidRDefault="00825AD7" w:rsidP="00825AD7">
            <w:pPr>
              <w:pStyle w:val="TableText"/>
              <w:keepNext/>
              <w:rPr>
                <w:szCs w:val="20"/>
              </w:rPr>
            </w:pPr>
            <w:r>
              <w:t>Expected value analysis</w:t>
            </w:r>
          </w:p>
        </w:tc>
        <w:tc>
          <w:tcPr>
            <w:tcW w:w="1984" w:type="dxa"/>
          </w:tcPr>
          <w:p w14:paraId="3A8BEFD1" w14:textId="39ECB39E" w:rsidR="00825AD7" w:rsidRDefault="00CC489C" w:rsidP="00825AD7">
            <w:pPr>
              <w:pStyle w:val="TableText"/>
              <w:keepNext/>
            </w:pPr>
            <w:r>
              <w:t>Decision tree</w:t>
            </w:r>
          </w:p>
        </w:tc>
        <w:tc>
          <w:tcPr>
            <w:tcW w:w="2217" w:type="dxa"/>
          </w:tcPr>
          <w:p w14:paraId="3BFA4F38" w14:textId="0B4FE298" w:rsidR="00825AD7" w:rsidRDefault="00CC489C" w:rsidP="00825AD7">
            <w:pPr>
              <w:pStyle w:val="TableText"/>
              <w:keepNext/>
            </w:pPr>
            <w:r>
              <w:t>Decision tree</w:t>
            </w:r>
          </w:p>
        </w:tc>
      </w:tr>
      <w:tr w:rsidR="00825AD7" w:rsidRPr="000449D1" w14:paraId="43B61EDF" w14:textId="42411A58" w:rsidTr="00B821D3">
        <w:tc>
          <w:tcPr>
            <w:tcW w:w="2689" w:type="dxa"/>
          </w:tcPr>
          <w:p w14:paraId="527ACBF9" w14:textId="77777777" w:rsidR="00825AD7" w:rsidRPr="000449D1" w:rsidRDefault="00825AD7" w:rsidP="00825AD7">
            <w:pPr>
              <w:pStyle w:val="TableText"/>
              <w:keepNext/>
              <w:rPr>
                <w:szCs w:val="20"/>
              </w:rPr>
            </w:pPr>
            <w:r w:rsidRPr="000449D1">
              <w:rPr>
                <w:szCs w:val="20"/>
              </w:rPr>
              <w:t>Health states</w:t>
            </w:r>
          </w:p>
        </w:tc>
        <w:tc>
          <w:tcPr>
            <w:tcW w:w="2126" w:type="dxa"/>
          </w:tcPr>
          <w:p w14:paraId="038A9B1A" w14:textId="64CE3CEB" w:rsidR="00825AD7" w:rsidRDefault="00825AD7" w:rsidP="00825AD7">
            <w:pPr>
              <w:pStyle w:val="TableText"/>
              <w:keepNext/>
            </w:pPr>
            <w:r>
              <w:t xml:space="preserve">PTRCT: Re-tear, successful surgery </w:t>
            </w:r>
          </w:p>
          <w:p w14:paraId="4D1542F2" w14:textId="18E8A19B" w:rsidR="00825AD7" w:rsidRPr="005D3468" w:rsidRDefault="00825AD7" w:rsidP="00825AD7">
            <w:pPr>
              <w:pStyle w:val="TableText"/>
              <w:keepNext/>
              <w:rPr>
                <w:szCs w:val="20"/>
              </w:rPr>
            </w:pPr>
            <w:r>
              <w:t xml:space="preserve">FTRCT: Incomplete healing (comprised of full re-tears and partial re-tears), successful surgery </w:t>
            </w:r>
          </w:p>
        </w:tc>
        <w:tc>
          <w:tcPr>
            <w:tcW w:w="1984" w:type="dxa"/>
          </w:tcPr>
          <w:p w14:paraId="3F9C0035" w14:textId="273C4DEC" w:rsidR="00CC489C" w:rsidRDefault="00CC489C" w:rsidP="00CC489C">
            <w:pPr>
              <w:pStyle w:val="TableText"/>
              <w:keepNext/>
            </w:pPr>
            <w:r>
              <w:t>MCID change in ASES score from baseline</w:t>
            </w:r>
          </w:p>
          <w:p w14:paraId="6EA22A7F" w14:textId="46D8C87E" w:rsidR="00825AD7" w:rsidRDefault="00CC489C" w:rsidP="00CC489C">
            <w:pPr>
              <w:pStyle w:val="TableText"/>
              <w:keepNext/>
            </w:pPr>
            <w:r>
              <w:t>No MCID change in ASES score from baseline</w:t>
            </w:r>
          </w:p>
        </w:tc>
        <w:tc>
          <w:tcPr>
            <w:tcW w:w="2217" w:type="dxa"/>
          </w:tcPr>
          <w:p w14:paraId="569C8865" w14:textId="27B03A16" w:rsidR="00825AD7" w:rsidRDefault="00CC489C" w:rsidP="00BF262A">
            <w:pPr>
              <w:pStyle w:val="TableText"/>
              <w:keepNext/>
            </w:pPr>
            <w:r>
              <w:t>Tear heals</w:t>
            </w:r>
            <w:r w:rsidR="00BF262A">
              <w:t xml:space="preserve">; </w:t>
            </w:r>
            <w:r>
              <w:t>Tear fails to heal</w:t>
            </w:r>
            <w:r w:rsidR="00BF262A">
              <w:t xml:space="preserve">; </w:t>
            </w:r>
            <w:r>
              <w:t>Revision surgery</w:t>
            </w:r>
            <w:r w:rsidR="00BF262A">
              <w:t xml:space="preserve">; </w:t>
            </w:r>
            <w:r>
              <w:t>Reverse total shoulder arthroplasty</w:t>
            </w:r>
            <w:r w:rsidR="00BF262A">
              <w:t xml:space="preserve">; </w:t>
            </w:r>
            <w:r>
              <w:t>Conservative management</w:t>
            </w:r>
          </w:p>
        </w:tc>
      </w:tr>
      <w:tr w:rsidR="00825AD7" w:rsidRPr="000449D1" w14:paraId="0BE078C5" w14:textId="31A700B6" w:rsidTr="00B821D3">
        <w:tc>
          <w:tcPr>
            <w:tcW w:w="2689" w:type="dxa"/>
          </w:tcPr>
          <w:p w14:paraId="11DC4652" w14:textId="77777777" w:rsidR="00825AD7" w:rsidRPr="000449D1" w:rsidRDefault="00825AD7" w:rsidP="00825AD7">
            <w:pPr>
              <w:pStyle w:val="TableText"/>
              <w:keepNext/>
              <w:rPr>
                <w:szCs w:val="20"/>
              </w:rPr>
            </w:pPr>
            <w:r w:rsidRPr="000449D1">
              <w:rPr>
                <w:szCs w:val="20"/>
              </w:rPr>
              <w:t>Discount rate</w:t>
            </w:r>
          </w:p>
        </w:tc>
        <w:tc>
          <w:tcPr>
            <w:tcW w:w="2126" w:type="dxa"/>
          </w:tcPr>
          <w:p w14:paraId="4A8282CB" w14:textId="39C7C2EA" w:rsidR="00825AD7" w:rsidRPr="005D3468" w:rsidRDefault="00825AD7" w:rsidP="00825AD7">
            <w:pPr>
              <w:pStyle w:val="TableText"/>
              <w:keepNext/>
              <w:rPr>
                <w:szCs w:val="20"/>
              </w:rPr>
            </w:pPr>
            <w:r w:rsidRPr="005D3468">
              <w:t xml:space="preserve">5% </w:t>
            </w:r>
          </w:p>
        </w:tc>
        <w:tc>
          <w:tcPr>
            <w:tcW w:w="1984" w:type="dxa"/>
          </w:tcPr>
          <w:p w14:paraId="3CD52CA8" w14:textId="3F8D5BEE" w:rsidR="00825AD7" w:rsidRPr="005D3468" w:rsidRDefault="00CC489C" w:rsidP="00825AD7">
            <w:pPr>
              <w:pStyle w:val="TableText"/>
              <w:keepNext/>
            </w:pPr>
            <w:r w:rsidRPr="00CC489C">
              <w:t xml:space="preserve">5% </w:t>
            </w:r>
          </w:p>
        </w:tc>
        <w:tc>
          <w:tcPr>
            <w:tcW w:w="2217" w:type="dxa"/>
          </w:tcPr>
          <w:p w14:paraId="6ED301AF" w14:textId="5778B743" w:rsidR="00825AD7" w:rsidRPr="005D3468" w:rsidRDefault="00CC489C" w:rsidP="00825AD7">
            <w:pPr>
              <w:pStyle w:val="TableText"/>
              <w:keepNext/>
            </w:pPr>
            <w:r w:rsidRPr="00CC489C">
              <w:t xml:space="preserve">5% </w:t>
            </w:r>
          </w:p>
        </w:tc>
      </w:tr>
      <w:tr w:rsidR="00825AD7" w:rsidRPr="000449D1" w14:paraId="79BE6713" w14:textId="0FCA7136" w:rsidTr="00B821D3">
        <w:tc>
          <w:tcPr>
            <w:tcW w:w="2689" w:type="dxa"/>
          </w:tcPr>
          <w:p w14:paraId="3D85DAEF" w14:textId="77777777" w:rsidR="00825AD7" w:rsidRPr="000449D1" w:rsidRDefault="00825AD7" w:rsidP="00825AD7">
            <w:pPr>
              <w:pStyle w:val="TableText"/>
              <w:keepNext/>
              <w:rPr>
                <w:szCs w:val="20"/>
              </w:rPr>
            </w:pPr>
            <w:r w:rsidRPr="000449D1">
              <w:rPr>
                <w:szCs w:val="20"/>
              </w:rPr>
              <w:t>Software</w:t>
            </w:r>
          </w:p>
        </w:tc>
        <w:tc>
          <w:tcPr>
            <w:tcW w:w="2126" w:type="dxa"/>
          </w:tcPr>
          <w:p w14:paraId="532CD399" w14:textId="77777777" w:rsidR="00825AD7" w:rsidRPr="005D3468" w:rsidRDefault="00825AD7" w:rsidP="00825AD7">
            <w:pPr>
              <w:pStyle w:val="TableText"/>
              <w:keepNext/>
              <w:rPr>
                <w:szCs w:val="20"/>
              </w:rPr>
            </w:pPr>
            <w:r w:rsidRPr="005D3468">
              <w:t>Microsoft Excel</w:t>
            </w:r>
          </w:p>
        </w:tc>
        <w:tc>
          <w:tcPr>
            <w:tcW w:w="1984" w:type="dxa"/>
          </w:tcPr>
          <w:p w14:paraId="72728FAF" w14:textId="4471F237" w:rsidR="00825AD7" w:rsidRPr="005D3468" w:rsidRDefault="00CC489C" w:rsidP="00825AD7">
            <w:pPr>
              <w:pStyle w:val="TableText"/>
              <w:keepNext/>
            </w:pPr>
            <w:r w:rsidRPr="00CC489C">
              <w:t>Microsoft Excel</w:t>
            </w:r>
          </w:p>
        </w:tc>
        <w:tc>
          <w:tcPr>
            <w:tcW w:w="2217" w:type="dxa"/>
          </w:tcPr>
          <w:p w14:paraId="6465EB6C" w14:textId="05A7C877" w:rsidR="00825AD7" w:rsidRPr="005D3468" w:rsidRDefault="00CC489C" w:rsidP="00825AD7">
            <w:pPr>
              <w:pStyle w:val="TableText"/>
              <w:keepNext/>
            </w:pPr>
            <w:r w:rsidRPr="00CC489C">
              <w:t>Microsoft Excel</w:t>
            </w:r>
          </w:p>
        </w:tc>
      </w:tr>
    </w:tbl>
    <w:p w14:paraId="3E812B8F" w14:textId="09528F47" w:rsidR="002B4F0C" w:rsidRDefault="002B4F0C" w:rsidP="0021028B">
      <w:pPr>
        <w:pStyle w:val="Tablenotes"/>
      </w:pPr>
      <w:r>
        <w:t>Source: Table 7, p</w:t>
      </w:r>
      <w:r w:rsidR="002D7FCB">
        <w:t>g</w:t>
      </w:r>
      <w:r>
        <w:t xml:space="preserve">17 of the </w:t>
      </w:r>
      <w:r w:rsidRPr="002B4F0C">
        <w:t xml:space="preserve">MSAC application 1593 </w:t>
      </w:r>
      <w:r>
        <w:t xml:space="preserve">public summary document </w:t>
      </w:r>
      <w:r w:rsidR="00854096">
        <w:t xml:space="preserve">and Table 52, pg133, Table 63, pg148 </w:t>
      </w:r>
      <w:r w:rsidR="00854096" w:rsidRPr="00854096">
        <w:t>of the MSAC 1593.1 application ADAR + inline commentar</w:t>
      </w:r>
      <w:r w:rsidR="00854096">
        <w:t xml:space="preserve">y. </w:t>
      </w:r>
    </w:p>
    <w:p w14:paraId="7EFA4B11" w14:textId="20253129" w:rsidR="002B4F0C" w:rsidRDefault="002B4F0C" w:rsidP="00B821D3">
      <w:pPr>
        <w:pStyle w:val="Tablenotes"/>
        <w:jc w:val="both"/>
      </w:pPr>
      <w:r>
        <w:t xml:space="preserve">Abbreviations: </w:t>
      </w:r>
      <w:r w:rsidR="00C97290">
        <w:t xml:space="preserve">ASES = American Shoulder and Elbow Society; </w:t>
      </w:r>
      <w:r w:rsidR="00CC489C">
        <w:t>CEA=</w:t>
      </w:r>
      <w:r w:rsidR="00CC489C" w:rsidRPr="00CC489C">
        <w:t xml:space="preserve"> Cost-effectiveness analysis</w:t>
      </w:r>
      <w:r w:rsidR="00CC489C">
        <w:t xml:space="preserve">; CUA = Cost utility analysis; </w:t>
      </w:r>
      <w:r w:rsidR="0021028B">
        <w:t>F</w:t>
      </w:r>
      <w:r w:rsidR="0021028B" w:rsidRPr="0021028B">
        <w:t xml:space="preserve">TRCT = </w:t>
      </w:r>
      <w:r w:rsidR="0021028B">
        <w:t>Full</w:t>
      </w:r>
      <w:r w:rsidR="00626AC9">
        <w:t>-</w:t>
      </w:r>
      <w:r w:rsidR="0021028B" w:rsidRPr="0021028B">
        <w:t>thickness rotator cuff tear</w:t>
      </w:r>
      <w:r w:rsidR="0021028B">
        <w:t xml:space="preserve">; </w:t>
      </w:r>
      <w:r w:rsidR="00CC489C">
        <w:t xml:space="preserve">MCID = Minimal </w:t>
      </w:r>
      <w:r w:rsidR="00637B08">
        <w:t>clinically important</w:t>
      </w:r>
      <w:r w:rsidR="00CC489C">
        <w:t xml:space="preserve"> difference; </w:t>
      </w:r>
      <w:r w:rsidR="0021028B" w:rsidRPr="0021028B">
        <w:t>PTRCT = Partial-thickness rotator cuff tear</w:t>
      </w:r>
      <w:r w:rsidR="0021028B">
        <w:t>; QALY = Quality adjusted life years</w:t>
      </w:r>
      <w:r w:rsidR="00280CCE">
        <w:t>.</w:t>
      </w:r>
    </w:p>
    <w:p w14:paraId="219CC9AF" w14:textId="4E1FEB64" w:rsidR="00063FD5" w:rsidRDefault="0021028B" w:rsidP="005A42D2">
      <w:pPr>
        <w:spacing w:before="240"/>
        <w:rPr>
          <w:b/>
          <w:bCs/>
        </w:rPr>
      </w:pPr>
      <w:r>
        <w:t xml:space="preserve">The key assumptions in the previous ADAR model structure were proxy re-tear rates for revision surgery for both subpopulations, prevalence of PTRCTs of 71% and FTRCTs of 29% in the pooled incremental cost-effectiveness ratio (ICER) and the entire </w:t>
      </w:r>
      <w:r w:rsidR="002518DD">
        <w:t xml:space="preserve">two </w:t>
      </w:r>
      <w:r>
        <w:t xml:space="preserve">years spent with pre-op utility for </w:t>
      </w:r>
      <w:r>
        <w:lastRenderedPageBreak/>
        <w:t xml:space="preserve">re-tears. Overall, MSAC considered that the previous model structure was not well justified due to issues with the chosen health states and the ability to accurately reflect utility values for these health states and the relationship between revision surgery, incomplete healing and re-tear rates </w:t>
      </w:r>
      <w:r w:rsidR="0067372B">
        <w:t>wa</w:t>
      </w:r>
      <w:r>
        <w:t xml:space="preserve">s not well defined or supported by the evidence </w:t>
      </w:r>
      <w:r w:rsidRPr="002518DD">
        <w:t>(MSAC 1593 PSD</w:t>
      </w:r>
      <w:r w:rsidR="002518DD" w:rsidRPr="002518DD">
        <w:t>, pg17-18</w:t>
      </w:r>
      <w:r w:rsidRPr="002518DD">
        <w:t>).</w:t>
      </w:r>
      <w:r w:rsidR="00B61290">
        <w:t xml:space="preserve"> </w:t>
      </w:r>
      <w:r w:rsidR="00EE293E">
        <w:t xml:space="preserve">The </w:t>
      </w:r>
      <w:r w:rsidR="002B4F0C" w:rsidRPr="00841AFA">
        <w:t>re</w:t>
      </w:r>
      <w:r w:rsidR="00F7566F">
        <w:t>-</w:t>
      </w:r>
      <w:r w:rsidR="00DE0A5A">
        <w:t>application</w:t>
      </w:r>
      <w:r w:rsidR="002B4F0C">
        <w:t xml:space="preserve"> </w:t>
      </w:r>
      <w:r w:rsidR="002B4F0C" w:rsidRPr="00385939">
        <w:t xml:space="preserve">presented </w:t>
      </w:r>
      <w:r w:rsidR="002B4F0C">
        <w:t>a cost</w:t>
      </w:r>
      <w:r w:rsidR="008A07F5">
        <w:t>-</w:t>
      </w:r>
      <w:r w:rsidR="002B4F0C">
        <w:t>effectiveness analysis (</w:t>
      </w:r>
      <w:r w:rsidR="002B4F0C" w:rsidRPr="00D55060">
        <w:t>CEA</w:t>
      </w:r>
      <w:r w:rsidR="002B4F0C">
        <w:t xml:space="preserve">) for </w:t>
      </w:r>
      <w:r w:rsidR="00895086">
        <w:t>Population 1</w:t>
      </w:r>
      <w:r w:rsidR="002B4F0C">
        <w:t xml:space="preserve"> </w:t>
      </w:r>
      <w:r w:rsidR="00F54D75">
        <w:t xml:space="preserve">(PTRCT) </w:t>
      </w:r>
      <w:r w:rsidR="002B4F0C">
        <w:t xml:space="preserve">and a </w:t>
      </w:r>
      <w:r w:rsidR="00C162CB">
        <w:t>cost-utility analysis (</w:t>
      </w:r>
      <w:r w:rsidR="002B4F0C">
        <w:t>CUA</w:t>
      </w:r>
      <w:r w:rsidR="00C162CB">
        <w:t>)</w:t>
      </w:r>
      <w:r w:rsidR="002B4F0C">
        <w:t xml:space="preserve"> for </w:t>
      </w:r>
      <w:r w:rsidR="00895086">
        <w:t>Population 2</w:t>
      </w:r>
      <w:r w:rsidR="00F54D75">
        <w:t xml:space="preserve"> (FTRCT)</w:t>
      </w:r>
      <w:r w:rsidR="002B4F0C">
        <w:t xml:space="preserve">, based on the clinical claim of </w:t>
      </w:r>
      <w:r w:rsidR="002B4F0C" w:rsidRPr="00794B7D">
        <w:t xml:space="preserve">superior effectiveness </w:t>
      </w:r>
      <w:r w:rsidR="002B4F0C">
        <w:t xml:space="preserve">and </w:t>
      </w:r>
      <w:r w:rsidR="002B4F0C" w:rsidRPr="00794B7D">
        <w:t xml:space="preserve">non-inferior safety compared with </w:t>
      </w:r>
      <w:r w:rsidR="002B4F0C">
        <w:t>standard surgical repair.</w:t>
      </w:r>
      <w:r w:rsidR="00064A84" w:rsidRPr="00064A84">
        <w:t xml:space="preserve"> </w:t>
      </w:r>
    </w:p>
    <w:p w14:paraId="089978FE" w14:textId="01E34B97" w:rsidR="002B4F0C" w:rsidRPr="00511FA3" w:rsidRDefault="00BA5A7C" w:rsidP="003B4E46">
      <w:r>
        <w:t>For Population 1</w:t>
      </w:r>
      <w:r w:rsidR="00F54D75">
        <w:t xml:space="preserve"> (PTRCT)</w:t>
      </w:r>
      <w:r>
        <w:t xml:space="preserve">, </w:t>
      </w:r>
      <w:r w:rsidR="00064A84">
        <w:t>the</w:t>
      </w:r>
      <w:r w:rsidR="006F1ECB">
        <w:t xml:space="preserve"> ADAR presented a CEA, with the health outcomes expressed in the change in the MCID of the ASES score. The ADAR justified this approach by claiming </w:t>
      </w:r>
      <w:r w:rsidR="008A07F5">
        <w:t xml:space="preserve">that </w:t>
      </w:r>
      <w:r w:rsidR="006F1ECB">
        <w:t xml:space="preserve">the MCID is considered a suitable proxy for treatment success in PTRCT given there is no validated approach for mapping ASES scores into utility values to perform a CUA. The ASES score is an important functional outcome used to assess the clinical effectiveness of patients with symptomatic PTRCT. Therefore, the commentary considered it </w:t>
      </w:r>
      <w:r w:rsidR="00C063A2">
        <w:t>was</w:t>
      </w:r>
      <w:r w:rsidR="002518DD">
        <w:t xml:space="preserve"> </w:t>
      </w:r>
      <w:r w:rsidR="006F1ECB">
        <w:t>reasonable to conduct a CEA in the PTRCT population.</w:t>
      </w:r>
      <w:r w:rsidR="008C1F09" w:rsidRPr="008C1F09">
        <w:t xml:space="preserve"> </w:t>
      </w:r>
      <w:r w:rsidR="008C1F09" w:rsidRPr="008D5ED1">
        <w:t xml:space="preserve">For Population 2 (FTRCT), </w:t>
      </w:r>
      <w:r w:rsidR="008C1F09">
        <w:t xml:space="preserve">the </w:t>
      </w:r>
      <w:r w:rsidR="008C1F09" w:rsidRPr="008D5ED1">
        <w:t xml:space="preserve">ADAR provided a CUA, with the health outcomes expressed in quality-adjusted life years (QALYs) gained. </w:t>
      </w:r>
      <w:bookmarkStart w:id="53" w:name="_Hlk162437647"/>
      <w:bookmarkStart w:id="54" w:name="_Hlk161230620"/>
      <w:bookmarkStart w:id="55" w:name="_Hlk68276459"/>
      <w:r w:rsidR="00832472" w:rsidRPr="00957FA3">
        <w:t xml:space="preserve">The commentary considered the population, outcomes and the type of economic analysis </w:t>
      </w:r>
      <w:r w:rsidR="002518DD">
        <w:t xml:space="preserve">were </w:t>
      </w:r>
      <w:r w:rsidR="00832472" w:rsidRPr="00957FA3">
        <w:t>appropriate and in line with MSAC 1</w:t>
      </w:r>
      <w:r w:rsidR="00832472">
        <w:t>593.1</w:t>
      </w:r>
      <w:r w:rsidR="00832472" w:rsidRPr="00957FA3">
        <w:t xml:space="preserve"> Ratified PICO Confirmation. The commentary </w:t>
      </w:r>
      <w:r w:rsidR="002518DD">
        <w:t xml:space="preserve">also </w:t>
      </w:r>
      <w:r w:rsidR="00832472" w:rsidRPr="00957FA3">
        <w:t xml:space="preserve">considered the perspective and discount rate </w:t>
      </w:r>
      <w:r w:rsidR="002518DD">
        <w:t xml:space="preserve">were </w:t>
      </w:r>
      <w:r w:rsidR="00832472" w:rsidRPr="00957FA3">
        <w:t>appropriate</w:t>
      </w:r>
      <w:r w:rsidR="00B625FE" w:rsidRPr="00B625FE">
        <w:t xml:space="preserve"> </w:t>
      </w:r>
      <w:r w:rsidR="00B625FE">
        <w:t>for both subpopulations</w:t>
      </w:r>
      <w:r w:rsidR="00832472" w:rsidRPr="00957FA3">
        <w:t xml:space="preserve">. </w:t>
      </w:r>
      <w:r w:rsidR="00B625FE">
        <w:t xml:space="preserve">However, </w:t>
      </w:r>
      <w:r w:rsidR="00F96489">
        <w:t xml:space="preserve">the ADAR did not include </w:t>
      </w:r>
      <w:r w:rsidR="002E3A07">
        <w:t xml:space="preserve">continued </w:t>
      </w:r>
      <w:r w:rsidR="00F96489">
        <w:t xml:space="preserve">CM as an additional comparator for the Population 1 as suggested by the PASC. Also, </w:t>
      </w:r>
      <w:r w:rsidR="00B625FE">
        <w:t>t</w:t>
      </w:r>
      <w:r w:rsidR="00832472" w:rsidRPr="00CD76DA">
        <w:t xml:space="preserve">he commentary identified issues </w:t>
      </w:r>
      <w:r w:rsidR="00CA7395">
        <w:t xml:space="preserve">with </w:t>
      </w:r>
      <w:r w:rsidR="00832472" w:rsidRPr="00CD76DA">
        <w:t>the model and the model input parameters</w:t>
      </w:r>
      <w:r w:rsidR="00CA7395">
        <w:t xml:space="preserve"> (</w:t>
      </w:r>
      <w:r w:rsidR="00556695">
        <w:t>to be</w:t>
      </w:r>
      <w:r w:rsidR="00832472" w:rsidRPr="00CD76DA">
        <w:t xml:space="preserve"> discussed in detail in </w:t>
      </w:r>
      <w:r w:rsidR="00556695">
        <w:t xml:space="preserve">the </w:t>
      </w:r>
      <w:r w:rsidR="00832472" w:rsidRPr="00CD76DA">
        <w:t>relevant sections below</w:t>
      </w:r>
      <w:r w:rsidR="00556695">
        <w:t>)</w:t>
      </w:r>
      <w:r w:rsidR="00832472" w:rsidRPr="00CD76DA">
        <w:t>.</w:t>
      </w:r>
      <w:r w:rsidR="00B625FE" w:rsidRPr="00B625FE">
        <w:t xml:space="preserve"> </w:t>
      </w:r>
    </w:p>
    <w:p w14:paraId="13ECADEF" w14:textId="57D44F67" w:rsidR="00511FA3" w:rsidRPr="000E1D6D" w:rsidRDefault="00511FA3" w:rsidP="00B821D3">
      <w:pPr>
        <w:pStyle w:val="Heading3"/>
      </w:pPr>
      <w:r w:rsidRPr="000E1D6D">
        <w:t>Population 1: PTRCT</w:t>
      </w:r>
      <w:r w:rsidR="0083120A">
        <w:t xml:space="preserve"> (PICO set 1)</w:t>
      </w:r>
    </w:p>
    <w:p w14:paraId="4FF840BE" w14:textId="1CE181C8" w:rsidR="00511FA3" w:rsidRPr="000E1D6D" w:rsidRDefault="00511FA3" w:rsidP="00B821D3">
      <w:pPr>
        <w:pStyle w:val="Heading4"/>
      </w:pPr>
      <w:r w:rsidRPr="000E1D6D">
        <w:t>Method</w:t>
      </w:r>
    </w:p>
    <w:p w14:paraId="02C355AF" w14:textId="11736B6B" w:rsidR="002B4F0C" w:rsidRPr="003B4E46" w:rsidRDefault="002B4F0C" w:rsidP="003B4E46">
      <w:pPr>
        <w:pStyle w:val="NormalBeforeBullet"/>
        <w:rPr>
          <w:b/>
          <w:bCs/>
        </w:rPr>
      </w:pPr>
      <w:r w:rsidRPr="003B4E46">
        <w:rPr>
          <w:b/>
          <w:bCs/>
        </w:rPr>
        <w:t>Model structure</w:t>
      </w:r>
    </w:p>
    <w:p w14:paraId="0BECD57C" w14:textId="21ACA69C" w:rsidR="002B4F0C" w:rsidRPr="00957FA3" w:rsidRDefault="009465E5" w:rsidP="003B4E46">
      <w:pPr>
        <w:rPr>
          <w:rFonts w:eastAsia="Times New Roman" w:cs="Arial"/>
        </w:rPr>
      </w:pPr>
      <w:r>
        <w:t>The ADAR</w:t>
      </w:r>
      <w:r w:rsidR="006F1ECB">
        <w:t xml:space="preserve"> presented an economic evaluation using a decision tree model over a two</w:t>
      </w:r>
      <w:r w:rsidR="0013623F">
        <w:t>-</w:t>
      </w:r>
      <w:r w:rsidR="006F1ECB">
        <w:t xml:space="preserve">year time horizon. </w:t>
      </w:r>
      <w:r w:rsidR="002B4F0C" w:rsidRPr="00960BFB">
        <w:t xml:space="preserve">This was consistent with </w:t>
      </w:r>
      <w:r w:rsidR="002B4F0C">
        <w:t xml:space="preserve">the </w:t>
      </w:r>
      <w:r w:rsidR="002B4F0C" w:rsidRPr="00960BFB">
        <w:t>published literature. The decision tree model included costs of treatment for an average patient and the health outcomes were based on the percentage of patients achieving MCID change in the ASES score. Therefore, the decision tree consisted of two health states: MCID change in ASES score achieved following surgery and no MCID change in ASES score.</w:t>
      </w:r>
      <w:r w:rsidR="00B625FE">
        <w:rPr>
          <w:rFonts w:eastAsia="Times New Roman" w:cs="Arial"/>
        </w:rPr>
        <w:t xml:space="preserve"> </w:t>
      </w:r>
      <w:r w:rsidR="00F96489">
        <w:rPr>
          <w:rFonts w:eastAsia="Times New Roman" w:cs="Arial"/>
        </w:rPr>
        <w:fldChar w:fldCharType="begin"/>
      </w:r>
      <w:r w:rsidR="00F96489">
        <w:rPr>
          <w:rFonts w:eastAsia="Times New Roman" w:cs="Arial"/>
        </w:rPr>
        <w:instrText xml:space="preserve"> REF _Ref166027865 \h </w:instrText>
      </w:r>
      <w:r w:rsidR="00F96489">
        <w:rPr>
          <w:rFonts w:eastAsia="Times New Roman" w:cs="Arial"/>
        </w:rPr>
      </w:r>
      <w:r w:rsidR="00F96489">
        <w:rPr>
          <w:rFonts w:eastAsia="Times New Roman" w:cs="Arial"/>
        </w:rPr>
        <w:fldChar w:fldCharType="separate"/>
      </w:r>
      <w:r w:rsidR="00F96489">
        <w:t xml:space="preserve">Figure </w:t>
      </w:r>
      <w:r w:rsidR="00F96489">
        <w:rPr>
          <w:noProof/>
        </w:rPr>
        <w:t>1</w:t>
      </w:r>
      <w:r w:rsidR="00F96489">
        <w:rPr>
          <w:rFonts w:eastAsia="Times New Roman" w:cs="Arial"/>
        </w:rPr>
        <w:fldChar w:fldCharType="end"/>
      </w:r>
      <w:r w:rsidR="00F96489">
        <w:rPr>
          <w:rFonts w:eastAsia="Times New Roman" w:cs="Arial"/>
        </w:rPr>
        <w:t xml:space="preserve"> </w:t>
      </w:r>
      <w:r w:rsidR="0013623F" w:rsidRPr="00957FA3">
        <w:rPr>
          <w:rFonts w:eastAsia="Times New Roman" w:cs="Arial"/>
        </w:rPr>
        <w:t>pr</w:t>
      </w:r>
      <w:r w:rsidR="0013623F">
        <w:rPr>
          <w:rFonts w:eastAsia="Times New Roman" w:cs="Arial"/>
        </w:rPr>
        <w:t>esented</w:t>
      </w:r>
      <w:r w:rsidR="0013623F" w:rsidRPr="00957FA3">
        <w:rPr>
          <w:rFonts w:eastAsia="Times New Roman" w:cs="Arial"/>
        </w:rPr>
        <w:t xml:space="preserve"> </w:t>
      </w:r>
      <w:r w:rsidR="002B4F0C">
        <w:rPr>
          <w:rFonts w:eastAsia="Times New Roman" w:cs="Arial"/>
        </w:rPr>
        <w:t xml:space="preserve">the </w:t>
      </w:r>
      <w:r w:rsidR="002B4F0C" w:rsidRPr="00CD321D">
        <w:t xml:space="preserve">structure of the </w:t>
      </w:r>
      <w:r w:rsidR="002B4F0C">
        <w:t xml:space="preserve">decision tree model </w:t>
      </w:r>
      <w:r w:rsidR="002B4F0C" w:rsidRPr="00AF5C47">
        <w:t xml:space="preserve">in </w:t>
      </w:r>
      <w:r w:rsidR="00895086">
        <w:t>Population 1</w:t>
      </w:r>
      <w:r w:rsidR="002B4F0C">
        <w:t xml:space="preserve">: </w:t>
      </w:r>
      <w:r w:rsidR="002B4F0C" w:rsidRPr="00AF5C47">
        <w:t>PTRCT</w:t>
      </w:r>
      <w:r w:rsidR="002B4F0C">
        <w:t xml:space="preserve">. </w:t>
      </w:r>
      <w:bookmarkEnd w:id="53"/>
    </w:p>
    <w:p w14:paraId="3009A85A" w14:textId="5A40CC9D" w:rsidR="00B923FD" w:rsidRDefault="00B923FD" w:rsidP="00877B0C">
      <w:pPr>
        <w:pStyle w:val="TableHeading"/>
        <w:spacing w:after="0"/>
      </w:pPr>
      <w:bookmarkStart w:id="56" w:name="_Ref166027865"/>
      <w:r>
        <w:t xml:space="preserve">Figure </w:t>
      </w:r>
      <w:r>
        <w:fldChar w:fldCharType="begin"/>
      </w:r>
      <w:r>
        <w:instrText xml:space="preserve"> SEQ Figure \* ARABIC </w:instrText>
      </w:r>
      <w:r>
        <w:fldChar w:fldCharType="separate"/>
      </w:r>
      <w:r w:rsidR="00EB12D3">
        <w:rPr>
          <w:noProof/>
        </w:rPr>
        <w:t>1</w:t>
      </w:r>
      <w:r>
        <w:rPr>
          <w:noProof/>
        </w:rPr>
        <w:fldChar w:fldCharType="end"/>
      </w:r>
      <w:bookmarkEnd w:id="56"/>
      <w:r>
        <w:rPr>
          <w:noProof/>
        </w:rPr>
        <w:t>:</w:t>
      </w:r>
      <w:r>
        <w:t xml:space="preserve"> </w:t>
      </w:r>
      <w:r w:rsidRPr="00453108">
        <w:t xml:space="preserve">Decision tree structure of the economic evaluation for </w:t>
      </w:r>
      <w:r>
        <w:t>Population 1</w:t>
      </w:r>
      <w:r w:rsidRPr="00453108">
        <w:t xml:space="preserve"> (PTRCT)</w:t>
      </w:r>
    </w:p>
    <w:p w14:paraId="1AC1877E" w14:textId="164D25EF" w:rsidR="008C1F09" w:rsidRDefault="006D6CCF" w:rsidP="00B821D3">
      <w:pPr>
        <w:pStyle w:val="TableFigureFooter"/>
        <w:spacing w:after="0"/>
        <w:rPr>
          <w:color w:val="258221"/>
        </w:rPr>
      </w:pPr>
      <w:r w:rsidRPr="00B1275F">
        <w:rPr>
          <w:rFonts w:asciiTheme="minorHAnsi" w:hAnsiTheme="minorHAnsi" w:cstheme="minorHAnsi"/>
          <w:noProof/>
          <w:color w:val="2B579A"/>
          <w:szCs w:val="20"/>
          <w:shd w:val="clear" w:color="auto" w:fill="E6E6E6"/>
        </w:rPr>
        <w:drawing>
          <wp:inline distT="0" distB="0" distL="0" distR="0" wp14:anchorId="75366AF9" wp14:editId="3E722A8F">
            <wp:extent cx="5731510" cy="2400300"/>
            <wp:effectExtent l="19050" t="19050" r="21590" b="19050"/>
            <wp:docPr id="1207298566" name="Picture 1207298566" descr="P339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98566" name="Picture 1207298566" descr="P3396#yIS1"/>
                    <pic:cNvPicPr/>
                  </pic:nvPicPr>
                  <pic:blipFill>
                    <a:blip r:embed="rId9"/>
                    <a:stretch>
                      <a:fillRect/>
                    </a:stretch>
                  </pic:blipFill>
                  <pic:spPr>
                    <a:xfrm>
                      <a:off x="0" y="0"/>
                      <a:ext cx="5731510" cy="2400300"/>
                    </a:xfrm>
                    <a:prstGeom prst="rect">
                      <a:avLst/>
                    </a:prstGeom>
                    <a:ln w="3175">
                      <a:solidFill>
                        <a:schemeClr val="tx1"/>
                      </a:solidFill>
                    </a:ln>
                  </pic:spPr>
                </pic:pic>
              </a:graphicData>
            </a:graphic>
          </wp:inline>
        </w:drawing>
      </w:r>
    </w:p>
    <w:p w14:paraId="562EB6C4" w14:textId="42B48B51" w:rsidR="002B4F0C" w:rsidRPr="00924252" w:rsidRDefault="002B4F0C" w:rsidP="00877B0C">
      <w:pPr>
        <w:pStyle w:val="Tablenotes"/>
        <w:spacing w:before="0"/>
        <w:jc w:val="both"/>
      </w:pPr>
      <w:r w:rsidRPr="00924252">
        <w:t>Source:</w:t>
      </w:r>
      <w:r>
        <w:t xml:space="preserve"> Figure 17, </w:t>
      </w:r>
      <w:r w:rsidR="00F96489">
        <w:t>pg</w:t>
      </w:r>
      <w:r>
        <w:t>1</w:t>
      </w:r>
      <w:r w:rsidR="00854096">
        <w:t>36</w:t>
      </w:r>
      <w:r>
        <w:t xml:space="preserve"> of the MSAC application 1593.1 ADAR + In line commentary</w:t>
      </w:r>
    </w:p>
    <w:p w14:paraId="59265FBC" w14:textId="4DDBA286" w:rsidR="002B4F0C" w:rsidRPr="00924252" w:rsidRDefault="002B4F0C" w:rsidP="00B821D3">
      <w:pPr>
        <w:pStyle w:val="Tablenotes"/>
        <w:jc w:val="both"/>
      </w:pPr>
      <w:r w:rsidRPr="00924252">
        <w:t xml:space="preserve">Abbreviations: ASES = American Shoulder and Elbow score; MCID = Minimal clinically important difference; </w:t>
      </w:r>
      <w:r>
        <w:t>PTT = Partial</w:t>
      </w:r>
      <w:r w:rsidR="007A3183">
        <w:t>-</w:t>
      </w:r>
      <w:r>
        <w:t xml:space="preserve">thickness tear; </w:t>
      </w:r>
      <w:r w:rsidRPr="00924252">
        <w:t>PTRCT = Partial-thickness rotator cuff tear.</w:t>
      </w:r>
    </w:p>
    <w:p w14:paraId="43AEB1CA" w14:textId="77777777" w:rsidR="00026BAE" w:rsidRPr="003B4E46" w:rsidRDefault="00026BAE" w:rsidP="00026BAE">
      <w:pPr>
        <w:rPr>
          <w:b/>
          <w:bCs/>
        </w:rPr>
      </w:pPr>
      <w:r w:rsidRPr="003B4E46">
        <w:rPr>
          <w:b/>
          <w:bCs/>
        </w:rPr>
        <w:lastRenderedPageBreak/>
        <w:t>Model input parameters</w:t>
      </w:r>
    </w:p>
    <w:p w14:paraId="6EB21F15" w14:textId="12206EF4" w:rsidR="00B50533" w:rsidRDefault="002B4F0C" w:rsidP="00B50533">
      <w:r w:rsidRPr="00960BFB">
        <w:t xml:space="preserve">The </w:t>
      </w:r>
      <w:r w:rsidR="00600185">
        <w:t>ADAR</w:t>
      </w:r>
      <w:r>
        <w:t xml:space="preserve"> </w:t>
      </w:r>
      <w:r w:rsidRPr="00960BFB">
        <w:t xml:space="preserve">sourced </w:t>
      </w:r>
      <w:r>
        <w:t xml:space="preserve">the </w:t>
      </w:r>
      <w:r w:rsidRPr="00960BFB">
        <w:t>following model input parameter</w:t>
      </w:r>
      <w:r>
        <w:t>s</w:t>
      </w:r>
      <w:r w:rsidR="00D12623">
        <w:t>, predominantly</w:t>
      </w:r>
      <w:r w:rsidRPr="00960BFB">
        <w:t xml:space="preserve"> </w:t>
      </w:r>
      <w:r w:rsidR="00ED523B" w:rsidRPr="00960BFB">
        <w:t>f</w:t>
      </w:r>
      <w:r w:rsidR="00ED523B">
        <w:t>rom</w:t>
      </w:r>
      <w:r w:rsidR="00ED523B" w:rsidRPr="00960BFB">
        <w:t xml:space="preserve"> </w:t>
      </w:r>
      <w:r w:rsidRPr="00960BFB">
        <w:t>Camacho-Chacon et al., 2023.</w:t>
      </w:r>
    </w:p>
    <w:p w14:paraId="425F610A" w14:textId="092788C3" w:rsidR="00B50533" w:rsidRPr="00960BFB" w:rsidRDefault="0059180D" w:rsidP="0059180D">
      <w:pPr>
        <w:spacing w:after="0"/>
      </w:pPr>
      <w:r>
        <w:t>Base case</w:t>
      </w:r>
      <w:r w:rsidR="007D09B1">
        <w:t>:</w:t>
      </w:r>
      <w:r w:rsidR="00B50533">
        <w:t xml:space="preserve"> </w:t>
      </w:r>
    </w:p>
    <w:p w14:paraId="4892DE56" w14:textId="4C94AC01" w:rsidR="002B4F0C" w:rsidRPr="004C6040" w:rsidRDefault="002B4F0C" w:rsidP="00E37FD3">
      <w:pPr>
        <w:pStyle w:val="Bullet"/>
        <w:spacing w:before="0"/>
      </w:pPr>
      <w:r w:rsidRPr="004C6040">
        <w:t>Percentage of patients achieving MCID change in ASES score after 6, 12 and 24 months from baseline for REGENETEN and standard of care</w:t>
      </w:r>
      <w:r w:rsidR="00B61290">
        <w:t>.</w:t>
      </w:r>
    </w:p>
    <w:p w14:paraId="3D9AC39A" w14:textId="77777777" w:rsidR="00557E8F" w:rsidRDefault="002B4F0C" w:rsidP="00E37FD3">
      <w:pPr>
        <w:pStyle w:val="Bullet"/>
      </w:pPr>
      <w:r w:rsidRPr="004C6040">
        <w:t>Mean change in ASES score after 6, 12 and 24 months from baseline for REGENETEN and standard of care</w:t>
      </w:r>
      <w:r w:rsidR="00B61290">
        <w:t>.</w:t>
      </w:r>
    </w:p>
    <w:p w14:paraId="06E2FB18" w14:textId="437AC0F7" w:rsidR="002E63ED" w:rsidRDefault="002E63ED" w:rsidP="00E37FD3">
      <w:pPr>
        <w:pStyle w:val="Bullet"/>
      </w:pPr>
      <w:r>
        <w:t>MCID</w:t>
      </w:r>
      <w:r w:rsidR="005D704B">
        <w:t xml:space="preserve"> of ASES score</w:t>
      </w:r>
      <w:r w:rsidR="00590834">
        <w:t xml:space="preserve"> (Jones 2020).</w:t>
      </w:r>
    </w:p>
    <w:p w14:paraId="754ECB00" w14:textId="583BFC88" w:rsidR="00557E8F" w:rsidRPr="004C6040" w:rsidRDefault="0059180D" w:rsidP="0059180D">
      <w:pPr>
        <w:spacing w:after="0"/>
      </w:pPr>
      <w:r>
        <w:t xml:space="preserve">Scenario </w:t>
      </w:r>
      <w:r w:rsidR="00557E8F">
        <w:t>analysis</w:t>
      </w:r>
      <w:r w:rsidR="007D09B1">
        <w:t>:</w:t>
      </w:r>
      <w:r w:rsidR="00557E8F">
        <w:t xml:space="preserve"> </w:t>
      </w:r>
    </w:p>
    <w:p w14:paraId="49688A3D" w14:textId="17C0C8B1" w:rsidR="002B4F0C" w:rsidRPr="004C6040" w:rsidRDefault="002B4F0C" w:rsidP="00E37FD3">
      <w:pPr>
        <w:pStyle w:val="Bullet"/>
      </w:pPr>
      <w:r w:rsidRPr="004C6040">
        <w:t>Employments status</w:t>
      </w:r>
      <w:r w:rsidR="00B61290">
        <w:t>.</w:t>
      </w:r>
    </w:p>
    <w:p w14:paraId="4A8C1163" w14:textId="069E4577" w:rsidR="002B4F0C" w:rsidRPr="004C6040" w:rsidRDefault="002B4F0C" w:rsidP="00E37FD3">
      <w:pPr>
        <w:pStyle w:val="Bullet"/>
      </w:pPr>
      <w:r w:rsidRPr="004C6040">
        <w:t>Time to return to work</w:t>
      </w:r>
      <w:r w:rsidR="00B61290">
        <w:t>.</w:t>
      </w:r>
    </w:p>
    <w:p w14:paraId="7A83EAE3" w14:textId="66AB2176" w:rsidR="002B4F0C" w:rsidRDefault="002B4F0C" w:rsidP="00CE5156">
      <w:bookmarkStart w:id="57" w:name="_Hlk162443234"/>
      <w:r>
        <w:t xml:space="preserve">As mentioned earlier, </w:t>
      </w:r>
      <w:r w:rsidRPr="00960BFB">
        <w:t>Camacho-Chacon et al., 2023</w:t>
      </w:r>
      <w:r>
        <w:t xml:space="preserve"> </w:t>
      </w:r>
      <w:r w:rsidR="00F96489">
        <w:t>was</w:t>
      </w:r>
      <w:r>
        <w:t xml:space="preserve"> not relevant for </w:t>
      </w:r>
      <w:r w:rsidR="00895086">
        <w:t>Population 1</w:t>
      </w:r>
      <w:r>
        <w:t>: PTRCT.</w:t>
      </w:r>
    </w:p>
    <w:bookmarkEnd w:id="57"/>
    <w:p w14:paraId="20C8C436" w14:textId="77777777" w:rsidR="002B4F0C" w:rsidRPr="003B4E46" w:rsidRDefault="002B4F0C" w:rsidP="003B4E46">
      <w:pPr>
        <w:rPr>
          <w:b/>
          <w:bCs/>
        </w:rPr>
      </w:pPr>
      <w:r w:rsidRPr="003B4E46">
        <w:rPr>
          <w:b/>
          <w:bCs/>
        </w:rPr>
        <w:t>Model transition probabilities</w:t>
      </w:r>
    </w:p>
    <w:p w14:paraId="511C217C" w14:textId="6E3BDAFA" w:rsidR="002B4F0C" w:rsidRPr="00CD76DA" w:rsidRDefault="002B4F0C" w:rsidP="003B4E46">
      <w:r w:rsidRPr="00CD76DA">
        <w:t xml:space="preserve">The percentage of patients in each of </w:t>
      </w:r>
      <w:r>
        <w:t xml:space="preserve">the </w:t>
      </w:r>
      <w:r w:rsidRPr="00CD76DA">
        <w:t xml:space="preserve">two health states (i.e., MCID change in ASES score achieved following surgery and no MCID change in ASES score) over </w:t>
      </w:r>
      <w:r w:rsidR="002518DD">
        <w:t>two</w:t>
      </w:r>
      <w:r w:rsidR="002518DD" w:rsidRPr="00CD76DA">
        <w:t xml:space="preserve"> </w:t>
      </w:r>
      <w:r w:rsidRPr="00CD76DA">
        <w:t xml:space="preserve">years for the base case were derived </w:t>
      </w:r>
      <w:r w:rsidR="006F1ECB">
        <w:t>from Camacho-Chacon et al., 2023. Of note, 100% of patients in both the REGENETEN and control groups achieved MCID change in the ASES score by 12 months.</w:t>
      </w:r>
    </w:p>
    <w:p w14:paraId="334C6A88" w14:textId="77777777" w:rsidR="002B4F0C" w:rsidRPr="003B4E46" w:rsidRDefault="002B4F0C" w:rsidP="003B4E46">
      <w:pPr>
        <w:rPr>
          <w:b/>
          <w:bCs/>
        </w:rPr>
      </w:pPr>
      <w:r w:rsidRPr="003B4E46">
        <w:rPr>
          <w:b/>
          <w:bCs/>
        </w:rPr>
        <w:t>Health outcomes</w:t>
      </w:r>
    </w:p>
    <w:p w14:paraId="4C549663" w14:textId="0FAC0D75" w:rsidR="006F1ECB" w:rsidRDefault="006F1ECB" w:rsidP="003B4E46">
      <w:pPr>
        <w:rPr>
          <w:color w:val="000000" w:themeColor="text1"/>
        </w:rPr>
      </w:pPr>
      <w:r>
        <w:t xml:space="preserve">The ADAR used </w:t>
      </w:r>
      <w:r w:rsidR="007E2759">
        <w:t xml:space="preserve">MCID </w:t>
      </w:r>
      <w:r>
        <w:t xml:space="preserve">change in the ASES score as the main outcome for the economic model for </w:t>
      </w:r>
      <w:r w:rsidR="00895086">
        <w:t>Population 1</w:t>
      </w:r>
      <w:r>
        <w:t xml:space="preserve">. </w:t>
      </w:r>
      <w:r w:rsidR="003D2CD5">
        <w:t xml:space="preserve">The commentary considered the use of ASES reasonable as </w:t>
      </w:r>
      <w:r>
        <w:t xml:space="preserve">the studies recommend using ASES over </w:t>
      </w:r>
      <w:r w:rsidR="003D2CD5">
        <w:t xml:space="preserve">other PROs such as </w:t>
      </w:r>
      <w:r>
        <w:t xml:space="preserve">WORC in patients undergoing rotator cuff repair due to less responder and administrative burden in </w:t>
      </w:r>
      <w:r w:rsidRPr="00C94E99">
        <w:t>ASES</w:t>
      </w:r>
      <w:r w:rsidRPr="00C94E99">
        <w:rPr>
          <w:rStyle w:val="FootnoteReference"/>
          <w:rFonts w:cstheme="minorHAnsi"/>
        </w:rPr>
        <w:footnoteReference w:id="16"/>
      </w:r>
      <w:r w:rsidRPr="00C94E99">
        <w:t>.</w:t>
      </w:r>
      <w:r>
        <w:t xml:space="preserve"> </w:t>
      </w:r>
      <w:r>
        <w:rPr>
          <w:color w:val="000000" w:themeColor="text1"/>
        </w:rPr>
        <w:t xml:space="preserve">The data for MCID change in the ASES was derived from Camacho-Chacon et al., 2023, which was not relevant for </w:t>
      </w:r>
      <w:r w:rsidR="00895086">
        <w:rPr>
          <w:color w:val="000000" w:themeColor="text1"/>
        </w:rPr>
        <w:t>Population 1</w:t>
      </w:r>
      <w:r>
        <w:rPr>
          <w:color w:val="000000" w:themeColor="text1"/>
        </w:rPr>
        <w:t xml:space="preserve">. The ADAR considered that </w:t>
      </w:r>
      <w:r w:rsidR="009465E5">
        <w:rPr>
          <w:color w:val="000000" w:themeColor="text1"/>
        </w:rPr>
        <w:t xml:space="preserve">the </w:t>
      </w:r>
      <w:r>
        <w:rPr>
          <w:color w:val="000000" w:themeColor="text1"/>
        </w:rPr>
        <w:t xml:space="preserve">MCID </w:t>
      </w:r>
      <w:r w:rsidR="009465E5">
        <w:rPr>
          <w:color w:val="000000" w:themeColor="text1"/>
        </w:rPr>
        <w:t>in</w:t>
      </w:r>
      <w:r>
        <w:rPr>
          <w:color w:val="000000" w:themeColor="text1"/>
        </w:rPr>
        <w:t xml:space="preserve"> ASES is equivalent to a score of 15.5. </w:t>
      </w:r>
      <w:r w:rsidR="003D2CD5">
        <w:rPr>
          <w:color w:val="000000" w:themeColor="text1"/>
        </w:rPr>
        <w:t>The MCID of 15.5 was based on systematic review</w:t>
      </w:r>
      <w:r w:rsidR="00972CE7">
        <w:rPr>
          <w:rStyle w:val="FootnoteReference"/>
          <w:rFonts w:cstheme="minorHAnsi"/>
          <w:color w:val="000000" w:themeColor="text1"/>
        </w:rPr>
        <w:footnoteReference w:id="17"/>
      </w:r>
      <w:r w:rsidR="003D2CD5">
        <w:rPr>
          <w:color w:val="000000" w:themeColor="text1"/>
        </w:rPr>
        <w:t xml:space="preserve"> which reported crude average of MCIDs in six included studies, hence the credibility </w:t>
      </w:r>
      <w:r w:rsidR="00F96489">
        <w:rPr>
          <w:color w:val="000000" w:themeColor="text1"/>
        </w:rPr>
        <w:t>was</w:t>
      </w:r>
      <w:r w:rsidR="003D2CD5">
        <w:rPr>
          <w:color w:val="000000" w:themeColor="text1"/>
        </w:rPr>
        <w:t xml:space="preserve"> questionable. </w:t>
      </w:r>
      <w:r>
        <w:rPr>
          <w:color w:val="000000" w:themeColor="text1"/>
        </w:rPr>
        <w:t xml:space="preserve">Of </w:t>
      </w:r>
      <w:r w:rsidR="009465E5">
        <w:rPr>
          <w:color w:val="000000" w:themeColor="text1"/>
        </w:rPr>
        <w:t>note, other studies</w:t>
      </w:r>
      <w:r>
        <w:rPr>
          <w:color w:val="000000" w:themeColor="text1"/>
        </w:rPr>
        <w:t xml:space="preserve"> reported different values such as 11.1</w:t>
      </w:r>
      <w:r>
        <w:rPr>
          <w:rStyle w:val="FootnoteReference"/>
          <w:rFonts w:cstheme="minorHAnsi"/>
          <w:color w:val="000000" w:themeColor="text1"/>
        </w:rPr>
        <w:footnoteReference w:id="18"/>
      </w:r>
      <w:r>
        <w:rPr>
          <w:color w:val="000000" w:themeColor="text1"/>
        </w:rPr>
        <w:t>,</w:t>
      </w:r>
      <w:r>
        <w:rPr>
          <w:rStyle w:val="FootnoteReference"/>
          <w:rFonts w:cstheme="minorHAnsi"/>
          <w:color w:val="000000" w:themeColor="text1"/>
        </w:rPr>
        <w:footnoteReference w:id="19"/>
      </w:r>
      <w:r>
        <w:rPr>
          <w:color w:val="000000" w:themeColor="text1"/>
        </w:rPr>
        <w:t xml:space="preserve"> for MCID</w:t>
      </w:r>
      <w:r w:rsidR="00972CE7">
        <w:rPr>
          <w:color w:val="000000" w:themeColor="text1"/>
        </w:rPr>
        <w:t xml:space="preserve"> in ASES.</w:t>
      </w:r>
    </w:p>
    <w:p w14:paraId="641A2868" w14:textId="282BE7B1" w:rsidR="006F1ECB" w:rsidRDefault="006F1ECB" w:rsidP="006632A4">
      <w:r>
        <w:fldChar w:fldCharType="begin"/>
      </w:r>
      <w:r>
        <w:instrText xml:space="preserve"> REF _Ref163179893 \h </w:instrText>
      </w:r>
      <w:r>
        <w:fldChar w:fldCharType="separate"/>
      </w:r>
      <w:r w:rsidR="00EB12D3">
        <w:t xml:space="preserve">Table </w:t>
      </w:r>
      <w:r w:rsidR="00EB12D3">
        <w:rPr>
          <w:noProof/>
        </w:rPr>
        <w:t>9</w:t>
      </w:r>
      <w:r>
        <w:fldChar w:fldCharType="end"/>
      </w:r>
      <w:r>
        <w:t xml:space="preserve"> summarise</w:t>
      </w:r>
      <w:r w:rsidR="00D5306E">
        <w:t>d</w:t>
      </w:r>
      <w:r>
        <w:t xml:space="preserve"> the inputs used in the economic evaluation for PTRCT based on the average ASES score. The ADAR calculated average ASES score using the ASES score at the beginning and end of each period</w:t>
      </w:r>
      <w:r w:rsidR="009465E5">
        <w:t>,</w:t>
      </w:r>
      <w:r>
        <w:t xml:space="preserve"> and MCID change was calculated by dividing the average ASES score by MCID (MCI</w:t>
      </w:r>
      <w:r w:rsidR="007E2759">
        <w:t>D</w:t>
      </w:r>
      <w:r>
        <w:t>=15.5). The commentary considered that</w:t>
      </w:r>
      <w:r w:rsidRPr="007523BA">
        <w:t xml:space="preserve"> </w:t>
      </w:r>
      <w:r>
        <w:t xml:space="preserve">average ASES score and MCID change should be </w:t>
      </w:r>
      <w:r w:rsidR="00B61290">
        <w:t>referred</w:t>
      </w:r>
      <w:r>
        <w:t xml:space="preserve"> to as</w:t>
      </w:r>
      <w:r w:rsidRPr="007523BA">
        <w:t xml:space="preserve"> </w:t>
      </w:r>
      <w:r>
        <w:t>change in ASES from the previous period</w:t>
      </w:r>
      <w:r w:rsidRPr="007523BA">
        <w:t xml:space="preserve"> and number of unit changes in MCIDs</w:t>
      </w:r>
      <w:r>
        <w:t xml:space="preserve">, respectively. The commentary </w:t>
      </w:r>
      <w:r w:rsidR="006632A4">
        <w:t xml:space="preserve">also </w:t>
      </w:r>
      <w:r>
        <w:t>considered that MCID represents the smallest change in an outcome that a patient would perceive as clinically meaningful</w:t>
      </w:r>
      <w:r w:rsidR="00B61290">
        <w:t>, and</w:t>
      </w:r>
      <w:r>
        <w:t xml:space="preserve"> therefore</w:t>
      </w:r>
      <w:r w:rsidR="009465E5">
        <w:t>,</w:t>
      </w:r>
      <w:r>
        <w:t xml:space="preserve"> </w:t>
      </w:r>
      <w:r w:rsidR="00B61290">
        <w:t xml:space="preserve">the MCID </w:t>
      </w:r>
      <w:r>
        <w:t xml:space="preserve">offers a threshold to dichotomise data for </w:t>
      </w:r>
      <w:r w:rsidR="00B61290">
        <w:t xml:space="preserve">the </w:t>
      </w:r>
      <w:r>
        <w:t xml:space="preserve">assessment of response. It was evident that 100% of the patients in the REGENETEN group and 97% of the patients in the control group achieved MCID by six months in Camacho-Chacon et al., 2023. </w:t>
      </w:r>
      <w:r w:rsidR="009465E5">
        <w:t>Thus</w:t>
      </w:r>
      <w:r>
        <w:t xml:space="preserve">, the commentary </w:t>
      </w:r>
      <w:r w:rsidR="00564218">
        <w:t>considered</w:t>
      </w:r>
      <w:r>
        <w:t xml:space="preserve"> it </w:t>
      </w:r>
      <w:r w:rsidR="00F96489">
        <w:t>was</w:t>
      </w:r>
      <w:r w:rsidR="00A74A0B">
        <w:t xml:space="preserve"> </w:t>
      </w:r>
      <w:r w:rsidR="00564218">
        <w:lastRenderedPageBreak/>
        <w:t>in</w:t>
      </w:r>
      <w:r>
        <w:t xml:space="preserve">appropriate to calculate </w:t>
      </w:r>
      <w:r w:rsidR="00666580">
        <w:t xml:space="preserve">the number of </w:t>
      </w:r>
      <w:r>
        <w:t xml:space="preserve">MCIDs achieved. </w:t>
      </w:r>
    </w:p>
    <w:p w14:paraId="5BAFE499" w14:textId="3CD78A50" w:rsidR="006911B4" w:rsidRDefault="006F1ECB" w:rsidP="005A42D2">
      <w:r>
        <w:t xml:space="preserve">Camacho-Chacon et al., 2023 CSR reported only median and inter-quartile range </w:t>
      </w:r>
      <w:r w:rsidR="00ED523B">
        <w:t xml:space="preserve">(IQR) </w:t>
      </w:r>
      <w:r>
        <w:t>of ASES scores between REGENETEN and the control group over time (</w:t>
      </w:r>
      <w:r>
        <w:fldChar w:fldCharType="begin"/>
      </w:r>
      <w:r>
        <w:instrText xml:space="preserve"> REF _Ref163179613 \h  \* MERGEFORMAT </w:instrText>
      </w:r>
      <w:r>
        <w:fldChar w:fldCharType="separate"/>
      </w:r>
      <w:r w:rsidR="00B57AEB" w:rsidRPr="000C42B8">
        <w:rPr>
          <w:rFonts w:eastAsia="Times New Roman" w:cs="Times New Roman"/>
          <w:noProof/>
          <w:szCs w:val="20"/>
        </w:rPr>
        <w:t>Table</w:t>
      </w:r>
      <w:r w:rsidR="00B57AEB" w:rsidRPr="000C42B8">
        <w:rPr>
          <w:rFonts w:eastAsia="Times New Roman" w:cs="Times New Roman"/>
          <w:b/>
          <w:bCs/>
          <w:szCs w:val="20"/>
        </w:rPr>
        <w:t xml:space="preserve"> </w:t>
      </w:r>
      <w:r w:rsidR="00B57AEB" w:rsidRPr="000C42B8">
        <w:rPr>
          <w:rFonts w:eastAsia="Times New Roman" w:cs="Times New Roman"/>
          <w:noProof/>
          <w:szCs w:val="20"/>
        </w:rPr>
        <w:t>5</w:t>
      </w:r>
      <w:r>
        <w:fldChar w:fldCharType="end"/>
      </w:r>
      <w:r>
        <w:t xml:space="preserve">). Of note, the median values indicated that there was a higher improvement from baseline to six months followed by six months to 12 months in both the REGENETEN and control groups. Furthermore, median and IQR indicated that there was a very slight improvement in ASES from 12 months to 24 months in REGENETEN group. The </w:t>
      </w:r>
      <w:r w:rsidR="00C87BC2">
        <w:t xml:space="preserve">commentary initially did not </w:t>
      </w:r>
      <w:r w:rsidR="00BA67AD">
        <w:t xml:space="preserve">consider </w:t>
      </w:r>
      <w:r w:rsidR="003C69F2">
        <w:t xml:space="preserve">the </w:t>
      </w:r>
      <w:r>
        <w:t xml:space="preserve">average ASES score improvement reported in the economic evaluation for </w:t>
      </w:r>
      <w:r w:rsidR="00895086">
        <w:t>Population 1</w:t>
      </w:r>
      <w:r>
        <w:t xml:space="preserve"> (</w:t>
      </w:r>
      <w:r w:rsidR="00AD6F6C">
        <w:t xml:space="preserve">Table 56, </w:t>
      </w:r>
      <w:r w:rsidR="00575D58">
        <w:t xml:space="preserve">pg140 of </w:t>
      </w:r>
      <w:r w:rsidR="00AD6F6C">
        <w:t>ADAR + in-line commentary</w:t>
      </w:r>
      <w:r>
        <w:t xml:space="preserve">) </w:t>
      </w:r>
      <w:r w:rsidR="00A91A35">
        <w:t xml:space="preserve">in the ADAR </w:t>
      </w:r>
      <w:r w:rsidR="00E040DB">
        <w:t>consistent</w:t>
      </w:r>
      <w:r>
        <w:t xml:space="preserve"> with the ASES score</w:t>
      </w:r>
      <w:r w:rsidR="00AA47A3">
        <w:t>s</w:t>
      </w:r>
      <w:r>
        <w:t xml:space="preserve"> reported in Camacho-Chacon et al., 2023.</w:t>
      </w:r>
      <w:r w:rsidR="004A73E7">
        <w:t xml:space="preserve"> </w:t>
      </w:r>
      <w:r w:rsidR="00575D58">
        <w:fldChar w:fldCharType="begin"/>
      </w:r>
      <w:r w:rsidR="00575D58">
        <w:instrText xml:space="preserve"> REF _Ref170207482 \h </w:instrText>
      </w:r>
      <w:r w:rsidR="00575D58">
        <w:fldChar w:fldCharType="separate"/>
      </w:r>
      <w:r w:rsidR="00575D58">
        <w:t xml:space="preserve">Table </w:t>
      </w:r>
      <w:r w:rsidR="00575D58">
        <w:rPr>
          <w:noProof/>
        </w:rPr>
        <w:t>9</w:t>
      </w:r>
      <w:r w:rsidR="00575D58">
        <w:fldChar w:fldCharType="end"/>
      </w:r>
      <w:r w:rsidR="00575D58">
        <w:t xml:space="preserve"> </w:t>
      </w:r>
      <w:r w:rsidR="00402E18">
        <w:t xml:space="preserve">presents further details of ADAR’s calculations </w:t>
      </w:r>
      <w:r w:rsidR="00A163C8">
        <w:t xml:space="preserve">as explained in the </w:t>
      </w:r>
      <w:r w:rsidR="00683675">
        <w:t xml:space="preserve">applicant’s Pre-ESC Response. </w:t>
      </w:r>
    </w:p>
    <w:p w14:paraId="18B13278" w14:textId="51C16EF9" w:rsidR="008925BC" w:rsidRDefault="00575D58" w:rsidP="00E37FD3">
      <w:pPr>
        <w:pStyle w:val="Caption"/>
      </w:pPr>
      <w:bookmarkStart w:id="58" w:name="_Ref170207482"/>
      <w:bookmarkStart w:id="59" w:name="_Hlk163594530"/>
      <w:r>
        <w:t xml:space="preserve">Table </w:t>
      </w:r>
      <w:r>
        <w:fldChar w:fldCharType="begin"/>
      </w:r>
      <w:r>
        <w:instrText xml:space="preserve"> SEQ Table \* ARABIC </w:instrText>
      </w:r>
      <w:r>
        <w:fldChar w:fldCharType="separate"/>
      </w:r>
      <w:r>
        <w:rPr>
          <w:noProof/>
        </w:rPr>
        <w:t>9</w:t>
      </w:r>
      <w:r>
        <w:rPr>
          <w:noProof/>
        </w:rPr>
        <w:fldChar w:fldCharType="end"/>
      </w:r>
      <w:bookmarkEnd w:id="58"/>
      <w:r>
        <w:tab/>
      </w:r>
      <w:bookmarkEnd w:id="59"/>
      <w:r w:rsidR="002622F8">
        <w:t>ADAR’s c</w:t>
      </w:r>
      <w:r w:rsidR="003E1887" w:rsidRPr="003E1887">
        <w:t>alculation of units of MCID of ASES score by treatment group - Population 1 (PTRCT)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2188"/>
        <w:gridCol w:w="2340"/>
      </w:tblGrid>
      <w:tr w:rsidR="008925BC" w:rsidRPr="008925BC" w14:paraId="168EB740" w14:textId="77777777">
        <w:trPr>
          <w:trHeight w:val="113"/>
          <w:tblHeader/>
        </w:trPr>
        <w:tc>
          <w:tcPr>
            <w:tcW w:w="2489" w:type="pct"/>
            <w:shd w:val="clear" w:color="auto" w:fill="auto"/>
            <w:noWrap/>
            <w:vAlign w:val="center"/>
            <w:hideMark/>
          </w:tcPr>
          <w:p w14:paraId="31A14014" w14:textId="77777777" w:rsidR="008925BC" w:rsidRPr="008925BC" w:rsidRDefault="008925BC" w:rsidP="008925BC">
            <w:pPr>
              <w:widowControl/>
              <w:spacing w:before="40" w:after="40" w:line="240" w:lineRule="auto"/>
              <w:rPr>
                <w:rFonts w:ascii="Arial Narrow" w:hAnsi="Arial Narrow"/>
                <w:b/>
                <w:bCs/>
                <w:sz w:val="20"/>
                <w:szCs w:val="20"/>
              </w:rPr>
            </w:pPr>
            <w:r w:rsidRPr="008925BC">
              <w:rPr>
                <w:rFonts w:ascii="Arial Narrow" w:hAnsi="Arial Narrow"/>
                <w:b/>
                <w:bCs/>
                <w:sz w:val="20"/>
                <w:szCs w:val="20"/>
              </w:rPr>
              <w:t>Parameters</w:t>
            </w:r>
          </w:p>
        </w:tc>
        <w:tc>
          <w:tcPr>
            <w:tcW w:w="1213" w:type="pct"/>
            <w:noWrap/>
            <w:vAlign w:val="center"/>
            <w:hideMark/>
          </w:tcPr>
          <w:p w14:paraId="12240135" w14:textId="77777777" w:rsidR="008925BC" w:rsidRPr="008925BC" w:rsidRDefault="008925BC" w:rsidP="008925BC">
            <w:pPr>
              <w:widowControl/>
              <w:spacing w:before="40" w:after="40" w:line="240" w:lineRule="auto"/>
              <w:jc w:val="center"/>
              <w:rPr>
                <w:rFonts w:ascii="Arial Narrow" w:hAnsi="Arial Narrow"/>
                <w:b/>
                <w:bCs/>
                <w:sz w:val="20"/>
                <w:szCs w:val="20"/>
              </w:rPr>
            </w:pPr>
            <w:r w:rsidRPr="008925BC">
              <w:rPr>
                <w:rFonts w:ascii="Arial Narrow" w:hAnsi="Arial Narrow"/>
                <w:b/>
                <w:bCs/>
                <w:sz w:val="20"/>
                <w:szCs w:val="20"/>
              </w:rPr>
              <w:t>Standard surgical repair with REGENETEN</w:t>
            </w:r>
          </w:p>
        </w:tc>
        <w:tc>
          <w:tcPr>
            <w:tcW w:w="1298" w:type="pct"/>
            <w:noWrap/>
            <w:vAlign w:val="center"/>
            <w:hideMark/>
          </w:tcPr>
          <w:p w14:paraId="0A4F12BE" w14:textId="77777777" w:rsidR="008925BC" w:rsidRPr="008925BC" w:rsidRDefault="008925BC" w:rsidP="008925BC">
            <w:pPr>
              <w:widowControl/>
              <w:spacing w:before="40" w:after="40" w:line="240" w:lineRule="auto"/>
              <w:jc w:val="center"/>
              <w:rPr>
                <w:rFonts w:ascii="Arial Narrow" w:hAnsi="Arial Narrow"/>
                <w:b/>
                <w:bCs/>
                <w:sz w:val="20"/>
                <w:szCs w:val="20"/>
              </w:rPr>
            </w:pPr>
            <w:r w:rsidRPr="008925BC">
              <w:rPr>
                <w:rFonts w:ascii="Arial Narrow" w:hAnsi="Arial Narrow"/>
                <w:b/>
                <w:bCs/>
                <w:sz w:val="20"/>
                <w:szCs w:val="20"/>
              </w:rPr>
              <w:t>Standard surgical repair without REGENETEN</w:t>
            </w:r>
          </w:p>
        </w:tc>
      </w:tr>
      <w:tr w:rsidR="008925BC" w:rsidRPr="008925BC" w14:paraId="60DE7A47" w14:textId="77777777">
        <w:trPr>
          <w:trHeight w:val="60"/>
        </w:trPr>
        <w:tc>
          <w:tcPr>
            <w:tcW w:w="5000" w:type="pct"/>
            <w:gridSpan w:val="3"/>
            <w:tcBorders>
              <w:bottom w:val="single" w:sz="4" w:space="0" w:color="auto"/>
            </w:tcBorders>
            <w:shd w:val="clear" w:color="auto" w:fill="auto"/>
            <w:noWrap/>
            <w:vAlign w:val="center"/>
          </w:tcPr>
          <w:p w14:paraId="7C18DCE0"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Step 1: ASES score from Camacho-Chacon et al., 2023 trial</w:t>
            </w:r>
          </w:p>
        </w:tc>
      </w:tr>
      <w:tr w:rsidR="008925BC" w:rsidRPr="008925BC" w14:paraId="76A6AC7D" w14:textId="77777777">
        <w:trPr>
          <w:trHeight w:val="60"/>
        </w:trPr>
        <w:tc>
          <w:tcPr>
            <w:tcW w:w="2489" w:type="pct"/>
            <w:tcBorders>
              <w:bottom w:val="nil"/>
            </w:tcBorders>
            <w:shd w:val="clear" w:color="auto" w:fill="auto"/>
            <w:noWrap/>
            <w:vAlign w:val="center"/>
            <w:hideMark/>
          </w:tcPr>
          <w:p w14:paraId="5205EE34"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Baseline [A]</w:t>
            </w:r>
          </w:p>
        </w:tc>
        <w:tc>
          <w:tcPr>
            <w:tcW w:w="1213" w:type="pct"/>
            <w:tcBorders>
              <w:bottom w:val="nil"/>
            </w:tcBorders>
            <w:shd w:val="clear" w:color="auto" w:fill="auto"/>
            <w:noWrap/>
            <w:vAlign w:val="center"/>
          </w:tcPr>
          <w:p w14:paraId="489016C2"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49</w:t>
            </w:r>
          </w:p>
        </w:tc>
        <w:tc>
          <w:tcPr>
            <w:tcW w:w="1298" w:type="pct"/>
            <w:tcBorders>
              <w:bottom w:val="nil"/>
            </w:tcBorders>
            <w:shd w:val="clear" w:color="auto" w:fill="auto"/>
            <w:noWrap/>
            <w:vAlign w:val="center"/>
          </w:tcPr>
          <w:p w14:paraId="5AC5F075"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48</w:t>
            </w:r>
          </w:p>
        </w:tc>
      </w:tr>
      <w:tr w:rsidR="008925BC" w:rsidRPr="008925BC" w14:paraId="31C21615" w14:textId="77777777">
        <w:trPr>
          <w:trHeight w:val="60"/>
        </w:trPr>
        <w:tc>
          <w:tcPr>
            <w:tcW w:w="2489" w:type="pct"/>
            <w:tcBorders>
              <w:top w:val="nil"/>
              <w:bottom w:val="nil"/>
            </w:tcBorders>
            <w:shd w:val="clear" w:color="auto" w:fill="auto"/>
            <w:noWrap/>
            <w:vAlign w:val="center"/>
            <w:hideMark/>
          </w:tcPr>
          <w:p w14:paraId="73343E81"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6 months [B]</w:t>
            </w:r>
          </w:p>
        </w:tc>
        <w:tc>
          <w:tcPr>
            <w:tcW w:w="1213" w:type="pct"/>
            <w:tcBorders>
              <w:top w:val="nil"/>
              <w:bottom w:val="nil"/>
            </w:tcBorders>
            <w:shd w:val="clear" w:color="auto" w:fill="auto"/>
            <w:noWrap/>
            <w:vAlign w:val="center"/>
          </w:tcPr>
          <w:p w14:paraId="364EC7E3"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82</w:t>
            </w:r>
          </w:p>
        </w:tc>
        <w:tc>
          <w:tcPr>
            <w:tcW w:w="1298" w:type="pct"/>
            <w:tcBorders>
              <w:top w:val="nil"/>
              <w:bottom w:val="nil"/>
            </w:tcBorders>
            <w:shd w:val="clear" w:color="auto" w:fill="auto"/>
            <w:noWrap/>
            <w:vAlign w:val="center"/>
          </w:tcPr>
          <w:p w14:paraId="07570E09"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68</w:t>
            </w:r>
          </w:p>
        </w:tc>
      </w:tr>
      <w:tr w:rsidR="008925BC" w:rsidRPr="008925BC" w14:paraId="1AFF5846" w14:textId="77777777">
        <w:trPr>
          <w:trHeight w:val="60"/>
        </w:trPr>
        <w:tc>
          <w:tcPr>
            <w:tcW w:w="2489" w:type="pct"/>
            <w:tcBorders>
              <w:top w:val="nil"/>
              <w:bottom w:val="nil"/>
            </w:tcBorders>
            <w:shd w:val="clear" w:color="auto" w:fill="auto"/>
            <w:noWrap/>
            <w:vAlign w:val="center"/>
            <w:hideMark/>
          </w:tcPr>
          <w:p w14:paraId="7DD600E9"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12 months [C]</w:t>
            </w:r>
          </w:p>
        </w:tc>
        <w:tc>
          <w:tcPr>
            <w:tcW w:w="1213" w:type="pct"/>
            <w:tcBorders>
              <w:top w:val="nil"/>
              <w:bottom w:val="nil"/>
            </w:tcBorders>
            <w:shd w:val="clear" w:color="auto" w:fill="auto"/>
            <w:noWrap/>
            <w:vAlign w:val="center"/>
          </w:tcPr>
          <w:p w14:paraId="15EDF052"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87</w:t>
            </w:r>
          </w:p>
        </w:tc>
        <w:tc>
          <w:tcPr>
            <w:tcW w:w="1298" w:type="pct"/>
            <w:tcBorders>
              <w:top w:val="nil"/>
              <w:bottom w:val="nil"/>
            </w:tcBorders>
            <w:shd w:val="clear" w:color="auto" w:fill="auto"/>
            <w:noWrap/>
            <w:vAlign w:val="center"/>
          </w:tcPr>
          <w:p w14:paraId="64292F10"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75</w:t>
            </w:r>
          </w:p>
        </w:tc>
      </w:tr>
      <w:tr w:rsidR="008925BC" w:rsidRPr="008925BC" w14:paraId="268712B7" w14:textId="77777777">
        <w:trPr>
          <w:trHeight w:val="60"/>
        </w:trPr>
        <w:tc>
          <w:tcPr>
            <w:tcW w:w="2489" w:type="pct"/>
            <w:tcBorders>
              <w:top w:val="nil"/>
            </w:tcBorders>
            <w:shd w:val="clear" w:color="auto" w:fill="auto"/>
            <w:noWrap/>
            <w:vAlign w:val="center"/>
          </w:tcPr>
          <w:p w14:paraId="50EA38A4"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24 months [D]</w:t>
            </w:r>
          </w:p>
        </w:tc>
        <w:tc>
          <w:tcPr>
            <w:tcW w:w="1213" w:type="pct"/>
            <w:tcBorders>
              <w:top w:val="nil"/>
            </w:tcBorders>
            <w:shd w:val="clear" w:color="auto" w:fill="auto"/>
            <w:noWrap/>
            <w:vAlign w:val="center"/>
          </w:tcPr>
          <w:p w14:paraId="448BC2CB"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88</w:t>
            </w:r>
          </w:p>
        </w:tc>
        <w:tc>
          <w:tcPr>
            <w:tcW w:w="1298" w:type="pct"/>
            <w:tcBorders>
              <w:top w:val="nil"/>
            </w:tcBorders>
            <w:shd w:val="clear" w:color="auto" w:fill="auto"/>
            <w:noWrap/>
            <w:vAlign w:val="center"/>
          </w:tcPr>
          <w:p w14:paraId="40BCD012"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80</w:t>
            </w:r>
          </w:p>
        </w:tc>
      </w:tr>
      <w:tr w:rsidR="008925BC" w:rsidRPr="008925BC" w14:paraId="55C11623" w14:textId="77777777">
        <w:trPr>
          <w:trHeight w:val="60"/>
        </w:trPr>
        <w:tc>
          <w:tcPr>
            <w:tcW w:w="5000" w:type="pct"/>
            <w:gridSpan w:val="3"/>
            <w:tcBorders>
              <w:bottom w:val="single" w:sz="4" w:space="0" w:color="auto"/>
            </w:tcBorders>
            <w:shd w:val="clear" w:color="auto" w:fill="auto"/>
            <w:vAlign w:val="center"/>
          </w:tcPr>
          <w:p w14:paraId="26E5B798"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 xml:space="preserve">Step 2: ASES gain for each period </w:t>
            </w:r>
            <w:r w:rsidRPr="00E37FD3">
              <w:rPr>
                <w:rFonts w:ascii="Arial Narrow" w:hAnsi="Arial Narrow"/>
                <w:sz w:val="20"/>
                <w:szCs w:val="20"/>
              </w:rPr>
              <w:t>from baseline</w:t>
            </w:r>
          </w:p>
        </w:tc>
      </w:tr>
      <w:tr w:rsidR="008925BC" w:rsidRPr="008925BC" w14:paraId="3B09899C" w14:textId="77777777">
        <w:trPr>
          <w:trHeight w:val="60"/>
        </w:trPr>
        <w:tc>
          <w:tcPr>
            <w:tcW w:w="2489" w:type="pct"/>
            <w:tcBorders>
              <w:bottom w:val="nil"/>
            </w:tcBorders>
            <w:shd w:val="clear" w:color="auto" w:fill="auto"/>
            <w:vAlign w:val="center"/>
            <w:hideMark/>
          </w:tcPr>
          <w:p w14:paraId="6B7B2756"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Baseline [E = A]</w:t>
            </w:r>
          </w:p>
        </w:tc>
        <w:tc>
          <w:tcPr>
            <w:tcW w:w="1213" w:type="pct"/>
            <w:tcBorders>
              <w:bottom w:val="nil"/>
            </w:tcBorders>
            <w:shd w:val="clear" w:color="auto" w:fill="auto"/>
            <w:vAlign w:val="center"/>
            <w:hideMark/>
          </w:tcPr>
          <w:p w14:paraId="6EA0FA49"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0</w:t>
            </w:r>
          </w:p>
        </w:tc>
        <w:tc>
          <w:tcPr>
            <w:tcW w:w="1298" w:type="pct"/>
            <w:tcBorders>
              <w:bottom w:val="nil"/>
            </w:tcBorders>
            <w:shd w:val="clear" w:color="auto" w:fill="auto"/>
            <w:vAlign w:val="center"/>
            <w:hideMark/>
          </w:tcPr>
          <w:p w14:paraId="30AEC007"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0</w:t>
            </w:r>
          </w:p>
        </w:tc>
      </w:tr>
      <w:tr w:rsidR="008925BC" w:rsidRPr="008925BC" w14:paraId="712664F4" w14:textId="77777777">
        <w:trPr>
          <w:trHeight w:val="60"/>
        </w:trPr>
        <w:tc>
          <w:tcPr>
            <w:tcW w:w="2489" w:type="pct"/>
            <w:tcBorders>
              <w:top w:val="nil"/>
              <w:bottom w:val="nil"/>
            </w:tcBorders>
            <w:shd w:val="clear" w:color="auto" w:fill="auto"/>
            <w:noWrap/>
            <w:vAlign w:val="center"/>
            <w:hideMark/>
          </w:tcPr>
          <w:p w14:paraId="77F100EE"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6 months [F = B – A]</w:t>
            </w:r>
          </w:p>
        </w:tc>
        <w:tc>
          <w:tcPr>
            <w:tcW w:w="1213" w:type="pct"/>
            <w:tcBorders>
              <w:top w:val="nil"/>
              <w:bottom w:val="nil"/>
            </w:tcBorders>
            <w:shd w:val="clear" w:color="auto" w:fill="auto"/>
            <w:noWrap/>
            <w:vAlign w:val="center"/>
            <w:hideMark/>
          </w:tcPr>
          <w:p w14:paraId="73BDB3CD"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33</w:t>
            </w:r>
          </w:p>
        </w:tc>
        <w:tc>
          <w:tcPr>
            <w:tcW w:w="1298" w:type="pct"/>
            <w:tcBorders>
              <w:top w:val="nil"/>
              <w:bottom w:val="nil"/>
            </w:tcBorders>
            <w:shd w:val="clear" w:color="auto" w:fill="auto"/>
            <w:noWrap/>
            <w:vAlign w:val="center"/>
            <w:hideMark/>
          </w:tcPr>
          <w:p w14:paraId="4FA7BDBA"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20</w:t>
            </w:r>
          </w:p>
        </w:tc>
      </w:tr>
      <w:tr w:rsidR="008925BC" w:rsidRPr="008925BC" w14:paraId="2D3F7FF8" w14:textId="77777777">
        <w:trPr>
          <w:trHeight w:val="60"/>
        </w:trPr>
        <w:tc>
          <w:tcPr>
            <w:tcW w:w="2489" w:type="pct"/>
            <w:tcBorders>
              <w:top w:val="nil"/>
              <w:bottom w:val="nil"/>
            </w:tcBorders>
            <w:shd w:val="clear" w:color="auto" w:fill="auto"/>
            <w:noWrap/>
            <w:vAlign w:val="center"/>
            <w:hideMark/>
          </w:tcPr>
          <w:p w14:paraId="68FBE36B"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12 months [G = C – A]</w:t>
            </w:r>
          </w:p>
        </w:tc>
        <w:tc>
          <w:tcPr>
            <w:tcW w:w="1213" w:type="pct"/>
            <w:tcBorders>
              <w:top w:val="nil"/>
              <w:bottom w:val="nil"/>
            </w:tcBorders>
            <w:shd w:val="clear" w:color="auto" w:fill="auto"/>
            <w:noWrap/>
            <w:vAlign w:val="center"/>
            <w:hideMark/>
          </w:tcPr>
          <w:p w14:paraId="2250669A"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38</w:t>
            </w:r>
          </w:p>
        </w:tc>
        <w:tc>
          <w:tcPr>
            <w:tcW w:w="1298" w:type="pct"/>
            <w:tcBorders>
              <w:top w:val="nil"/>
              <w:bottom w:val="nil"/>
            </w:tcBorders>
            <w:shd w:val="clear" w:color="auto" w:fill="auto"/>
            <w:noWrap/>
            <w:vAlign w:val="center"/>
            <w:hideMark/>
          </w:tcPr>
          <w:p w14:paraId="017CD68D"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27</w:t>
            </w:r>
          </w:p>
        </w:tc>
      </w:tr>
      <w:tr w:rsidR="008925BC" w:rsidRPr="008925BC" w14:paraId="434B939C" w14:textId="77777777">
        <w:trPr>
          <w:trHeight w:val="60"/>
        </w:trPr>
        <w:tc>
          <w:tcPr>
            <w:tcW w:w="2489" w:type="pct"/>
            <w:tcBorders>
              <w:top w:val="nil"/>
            </w:tcBorders>
            <w:shd w:val="clear" w:color="auto" w:fill="auto"/>
            <w:noWrap/>
            <w:vAlign w:val="center"/>
          </w:tcPr>
          <w:p w14:paraId="781D0F07"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24 months [H = D – A]</w:t>
            </w:r>
          </w:p>
        </w:tc>
        <w:tc>
          <w:tcPr>
            <w:tcW w:w="1213" w:type="pct"/>
            <w:tcBorders>
              <w:top w:val="nil"/>
            </w:tcBorders>
            <w:shd w:val="clear" w:color="auto" w:fill="auto"/>
            <w:noWrap/>
            <w:vAlign w:val="center"/>
          </w:tcPr>
          <w:p w14:paraId="0DD68542"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39</w:t>
            </w:r>
          </w:p>
        </w:tc>
        <w:tc>
          <w:tcPr>
            <w:tcW w:w="1298" w:type="pct"/>
            <w:tcBorders>
              <w:top w:val="nil"/>
            </w:tcBorders>
            <w:shd w:val="clear" w:color="auto" w:fill="auto"/>
            <w:noWrap/>
            <w:vAlign w:val="center"/>
          </w:tcPr>
          <w:p w14:paraId="79C2DAAA"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32</w:t>
            </w:r>
          </w:p>
        </w:tc>
      </w:tr>
      <w:tr w:rsidR="008925BC" w:rsidRPr="008925BC" w14:paraId="255E804D" w14:textId="77777777">
        <w:trPr>
          <w:trHeight w:val="60"/>
        </w:trPr>
        <w:tc>
          <w:tcPr>
            <w:tcW w:w="5000" w:type="pct"/>
            <w:gridSpan w:val="3"/>
            <w:tcBorders>
              <w:bottom w:val="single" w:sz="4" w:space="0" w:color="auto"/>
            </w:tcBorders>
            <w:shd w:val="clear" w:color="auto" w:fill="auto"/>
            <w:noWrap/>
            <w:vAlign w:val="center"/>
          </w:tcPr>
          <w:p w14:paraId="456A9838"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Step 3: Average ASES gain considering the ASES score in the beginning and end of each period</w:t>
            </w:r>
          </w:p>
        </w:tc>
      </w:tr>
      <w:tr w:rsidR="008925BC" w:rsidRPr="008925BC" w14:paraId="683146E2" w14:textId="77777777">
        <w:trPr>
          <w:trHeight w:val="60"/>
        </w:trPr>
        <w:tc>
          <w:tcPr>
            <w:tcW w:w="2489" w:type="pct"/>
            <w:tcBorders>
              <w:bottom w:val="nil"/>
            </w:tcBorders>
            <w:shd w:val="clear" w:color="auto" w:fill="auto"/>
            <w:noWrap/>
            <w:vAlign w:val="center"/>
            <w:hideMark/>
          </w:tcPr>
          <w:p w14:paraId="356CC94A"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Baseline to 6 months [I = average(</w:t>
            </w:r>
            <w:proofErr w:type="gramStart"/>
            <w:r w:rsidRPr="008925BC">
              <w:rPr>
                <w:rFonts w:ascii="Arial Narrow" w:hAnsi="Arial Narrow"/>
                <w:sz w:val="20"/>
                <w:szCs w:val="20"/>
              </w:rPr>
              <w:t>E,F</w:t>
            </w:r>
            <w:proofErr w:type="gramEnd"/>
            <w:r w:rsidRPr="008925BC">
              <w:rPr>
                <w:rFonts w:ascii="Arial Narrow" w:hAnsi="Arial Narrow"/>
                <w:sz w:val="20"/>
                <w:szCs w:val="20"/>
              </w:rPr>
              <w:t>)]</w:t>
            </w:r>
          </w:p>
        </w:tc>
        <w:tc>
          <w:tcPr>
            <w:tcW w:w="1213" w:type="pct"/>
            <w:tcBorders>
              <w:bottom w:val="nil"/>
            </w:tcBorders>
            <w:shd w:val="clear" w:color="auto" w:fill="auto"/>
            <w:noWrap/>
            <w:vAlign w:val="center"/>
            <w:hideMark/>
          </w:tcPr>
          <w:p w14:paraId="2972E204"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16.5</w:t>
            </w:r>
          </w:p>
        </w:tc>
        <w:tc>
          <w:tcPr>
            <w:tcW w:w="1298" w:type="pct"/>
            <w:tcBorders>
              <w:bottom w:val="nil"/>
            </w:tcBorders>
            <w:shd w:val="clear" w:color="auto" w:fill="auto"/>
            <w:noWrap/>
            <w:vAlign w:val="center"/>
            <w:hideMark/>
          </w:tcPr>
          <w:p w14:paraId="37558DE4"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10.0</w:t>
            </w:r>
          </w:p>
        </w:tc>
      </w:tr>
      <w:tr w:rsidR="008925BC" w:rsidRPr="008925BC" w14:paraId="427EEEB1" w14:textId="77777777">
        <w:trPr>
          <w:trHeight w:val="60"/>
        </w:trPr>
        <w:tc>
          <w:tcPr>
            <w:tcW w:w="2489" w:type="pct"/>
            <w:tcBorders>
              <w:top w:val="nil"/>
              <w:bottom w:val="nil"/>
            </w:tcBorders>
            <w:shd w:val="clear" w:color="auto" w:fill="auto"/>
            <w:noWrap/>
            <w:vAlign w:val="center"/>
            <w:hideMark/>
          </w:tcPr>
          <w:p w14:paraId="45792AE3"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6 to 12 months [J = average(</w:t>
            </w:r>
            <w:proofErr w:type="gramStart"/>
            <w:r w:rsidRPr="008925BC">
              <w:rPr>
                <w:rFonts w:ascii="Arial Narrow" w:hAnsi="Arial Narrow"/>
                <w:sz w:val="20"/>
                <w:szCs w:val="20"/>
              </w:rPr>
              <w:t>F,G</w:t>
            </w:r>
            <w:proofErr w:type="gramEnd"/>
            <w:r w:rsidRPr="008925BC">
              <w:rPr>
                <w:rFonts w:ascii="Arial Narrow" w:hAnsi="Arial Narrow"/>
                <w:sz w:val="20"/>
                <w:szCs w:val="20"/>
              </w:rPr>
              <w:t>)]</w:t>
            </w:r>
          </w:p>
        </w:tc>
        <w:tc>
          <w:tcPr>
            <w:tcW w:w="1213" w:type="pct"/>
            <w:tcBorders>
              <w:top w:val="nil"/>
              <w:bottom w:val="nil"/>
            </w:tcBorders>
            <w:shd w:val="clear" w:color="auto" w:fill="auto"/>
            <w:noWrap/>
            <w:vAlign w:val="center"/>
            <w:hideMark/>
          </w:tcPr>
          <w:p w14:paraId="546F17B0"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35.5</w:t>
            </w:r>
          </w:p>
        </w:tc>
        <w:tc>
          <w:tcPr>
            <w:tcW w:w="1298" w:type="pct"/>
            <w:tcBorders>
              <w:top w:val="nil"/>
              <w:bottom w:val="nil"/>
            </w:tcBorders>
            <w:shd w:val="clear" w:color="auto" w:fill="auto"/>
            <w:noWrap/>
            <w:vAlign w:val="center"/>
            <w:hideMark/>
          </w:tcPr>
          <w:p w14:paraId="44EC90E1"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23.5</w:t>
            </w:r>
          </w:p>
        </w:tc>
      </w:tr>
      <w:tr w:rsidR="008925BC" w:rsidRPr="008925BC" w14:paraId="5B203E19" w14:textId="77777777">
        <w:trPr>
          <w:trHeight w:val="60"/>
        </w:trPr>
        <w:tc>
          <w:tcPr>
            <w:tcW w:w="2489" w:type="pct"/>
            <w:tcBorders>
              <w:top w:val="nil"/>
            </w:tcBorders>
            <w:shd w:val="clear" w:color="auto" w:fill="auto"/>
            <w:noWrap/>
            <w:vAlign w:val="center"/>
            <w:hideMark/>
          </w:tcPr>
          <w:p w14:paraId="1A97C5CF"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12 to 24 months [K = average(</w:t>
            </w:r>
            <w:proofErr w:type="gramStart"/>
            <w:r w:rsidRPr="008925BC">
              <w:rPr>
                <w:rFonts w:ascii="Arial Narrow" w:hAnsi="Arial Narrow"/>
                <w:sz w:val="20"/>
                <w:szCs w:val="20"/>
              </w:rPr>
              <w:t>G,H</w:t>
            </w:r>
            <w:proofErr w:type="gramEnd"/>
            <w:r w:rsidRPr="008925BC">
              <w:rPr>
                <w:rFonts w:ascii="Arial Narrow" w:hAnsi="Arial Narrow"/>
                <w:sz w:val="20"/>
                <w:szCs w:val="20"/>
              </w:rPr>
              <w:t>) x (1-discount rate)]</w:t>
            </w:r>
          </w:p>
        </w:tc>
        <w:tc>
          <w:tcPr>
            <w:tcW w:w="1213" w:type="pct"/>
            <w:tcBorders>
              <w:top w:val="nil"/>
            </w:tcBorders>
            <w:shd w:val="clear" w:color="auto" w:fill="auto"/>
            <w:noWrap/>
            <w:vAlign w:val="center"/>
            <w:hideMark/>
          </w:tcPr>
          <w:p w14:paraId="4B8C50F1"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36.6</w:t>
            </w:r>
          </w:p>
        </w:tc>
        <w:tc>
          <w:tcPr>
            <w:tcW w:w="1298" w:type="pct"/>
            <w:tcBorders>
              <w:top w:val="nil"/>
            </w:tcBorders>
            <w:shd w:val="clear" w:color="auto" w:fill="auto"/>
            <w:noWrap/>
            <w:vAlign w:val="center"/>
            <w:hideMark/>
          </w:tcPr>
          <w:p w14:paraId="610A16F9" w14:textId="05F89CAD"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2</w:t>
            </w:r>
            <w:r w:rsidR="002D24E7">
              <w:rPr>
                <w:rFonts w:ascii="Arial Narrow" w:hAnsi="Arial Narrow"/>
                <w:sz w:val="20"/>
                <w:szCs w:val="20"/>
              </w:rPr>
              <w:t>8.0</w:t>
            </w:r>
          </w:p>
        </w:tc>
      </w:tr>
      <w:tr w:rsidR="008925BC" w:rsidRPr="008925BC" w14:paraId="0692AABC" w14:textId="77777777">
        <w:trPr>
          <w:trHeight w:val="60"/>
        </w:trPr>
        <w:tc>
          <w:tcPr>
            <w:tcW w:w="5000" w:type="pct"/>
            <w:gridSpan w:val="3"/>
            <w:tcBorders>
              <w:bottom w:val="single" w:sz="4" w:space="0" w:color="auto"/>
            </w:tcBorders>
            <w:shd w:val="clear" w:color="auto" w:fill="auto"/>
            <w:vAlign w:val="center"/>
          </w:tcPr>
          <w:p w14:paraId="7EFB37A5"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Step 4: Transforming ASES gain into MCID (1 MCID = 15.5 points in ASES = L)</w:t>
            </w:r>
          </w:p>
        </w:tc>
      </w:tr>
      <w:tr w:rsidR="008925BC" w:rsidRPr="008925BC" w14:paraId="1AC7249E" w14:textId="77777777">
        <w:trPr>
          <w:trHeight w:val="60"/>
        </w:trPr>
        <w:tc>
          <w:tcPr>
            <w:tcW w:w="2489" w:type="pct"/>
            <w:tcBorders>
              <w:bottom w:val="nil"/>
            </w:tcBorders>
            <w:shd w:val="clear" w:color="auto" w:fill="auto"/>
            <w:vAlign w:val="center"/>
            <w:hideMark/>
          </w:tcPr>
          <w:p w14:paraId="43AC9017"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Baseline to 6 months [M = I ÷ L]</w:t>
            </w:r>
          </w:p>
        </w:tc>
        <w:tc>
          <w:tcPr>
            <w:tcW w:w="1213" w:type="pct"/>
            <w:tcBorders>
              <w:bottom w:val="nil"/>
            </w:tcBorders>
            <w:shd w:val="clear" w:color="auto" w:fill="auto"/>
            <w:vAlign w:val="center"/>
            <w:hideMark/>
          </w:tcPr>
          <w:p w14:paraId="4E20991F"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1.06</w:t>
            </w:r>
          </w:p>
        </w:tc>
        <w:tc>
          <w:tcPr>
            <w:tcW w:w="1298" w:type="pct"/>
            <w:tcBorders>
              <w:bottom w:val="nil"/>
            </w:tcBorders>
            <w:shd w:val="clear" w:color="auto" w:fill="auto"/>
            <w:vAlign w:val="center"/>
            <w:hideMark/>
          </w:tcPr>
          <w:p w14:paraId="539F2123" w14:textId="290FFE6E"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0.6</w:t>
            </w:r>
            <w:r w:rsidR="002553FF">
              <w:rPr>
                <w:rFonts w:ascii="Arial Narrow" w:hAnsi="Arial Narrow"/>
                <w:sz w:val="20"/>
                <w:szCs w:val="20"/>
              </w:rPr>
              <w:t>5</w:t>
            </w:r>
          </w:p>
        </w:tc>
      </w:tr>
      <w:tr w:rsidR="008925BC" w:rsidRPr="008925BC" w14:paraId="139222CC" w14:textId="77777777">
        <w:trPr>
          <w:trHeight w:val="60"/>
        </w:trPr>
        <w:tc>
          <w:tcPr>
            <w:tcW w:w="2489" w:type="pct"/>
            <w:tcBorders>
              <w:top w:val="nil"/>
              <w:bottom w:val="nil"/>
            </w:tcBorders>
            <w:shd w:val="clear" w:color="auto" w:fill="auto"/>
            <w:noWrap/>
            <w:vAlign w:val="center"/>
            <w:hideMark/>
          </w:tcPr>
          <w:p w14:paraId="64D48043"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6 to 12 months [N = J ÷ L]</w:t>
            </w:r>
          </w:p>
        </w:tc>
        <w:tc>
          <w:tcPr>
            <w:tcW w:w="1213" w:type="pct"/>
            <w:tcBorders>
              <w:top w:val="nil"/>
              <w:bottom w:val="nil"/>
            </w:tcBorders>
            <w:shd w:val="clear" w:color="auto" w:fill="auto"/>
            <w:noWrap/>
            <w:vAlign w:val="center"/>
            <w:hideMark/>
          </w:tcPr>
          <w:p w14:paraId="47497364"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2.29</w:t>
            </w:r>
          </w:p>
        </w:tc>
        <w:tc>
          <w:tcPr>
            <w:tcW w:w="1298" w:type="pct"/>
            <w:tcBorders>
              <w:top w:val="nil"/>
              <w:bottom w:val="nil"/>
            </w:tcBorders>
            <w:shd w:val="clear" w:color="auto" w:fill="auto"/>
            <w:noWrap/>
            <w:vAlign w:val="center"/>
            <w:hideMark/>
          </w:tcPr>
          <w:p w14:paraId="67DC9021" w14:textId="313175A3"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1.5</w:t>
            </w:r>
            <w:r w:rsidR="002553FF">
              <w:rPr>
                <w:rFonts w:ascii="Arial Narrow" w:hAnsi="Arial Narrow"/>
                <w:sz w:val="20"/>
                <w:szCs w:val="20"/>
              </w:rPr>
              <w:t>2</w:t>
            </w:r>
          </w:p>
        </w:tc>
      </w:tr>
      <w:tr w:rsidR="008925BC" w:rsidRPr="008925BC" w14:paraId="10BD9019" w14:textId="77777777">
        <w:trPr>
          <w:trHeight w:val="60"/>
        </w:trPr>
        <w:tc>
          <w:tcPr>
            <w:tcW w:w="2489" w:type="pct"/>
            <w:tcBorders>
              <w:top w:val="nil"/>
            </w:tcBorders>
            <w:shd w:val="clear" w:color="auto" w:fill="auto"/>
            <w:noWrap/>
            <w:vAlign w:val="center"/>
            <w:hideMark/>
          </w:tcPr>
          <w:p w14:paraId="684DB9A8"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12 to 24 months [O = K ÷ L]</w:t>
            </w:r>
          </w:p>
        </w:tc>
        <w:tc>
          <w:tcPr>
            <w:tcW w:w="1213" w:type="pct"/>
            <w:tcBorders>
              <w:top w:val="nil"/>
            </w:tcBorders>
            <w:shd w:val="clear" w:color="auto" w:fill="auto"/>
            <w:noWrap/>
            <w:vAlign w:val="center"/>
            <w:hideMark/>
          </w:tcPr>
          <w:p w14:paraId="08D8622A"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2.36</w:t>
            </w:r>
          </w:p>
        </w:tc>
        <w:tc>
          <w:tcPr>
            <w:tcW w:w="1298" w:type="pct"/>
            <w:tcBorders>
              <w:top w:val="nil"/>
            </w:tcBorders>
            <w:shd w:val="clear" w:color="auto" w:fill="auto"/>
            <w:noWrap/>
            <w:vAlign w:val="center"/>
            <w:hideMark/>
          </w:tcPr>
          <w:p w14:paraId="703A8998" w14:textId="7800B299"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w:t>
            </w:r>
            <w:r w:rsidR="002553FF">
              <w:rPr>
                <w:rFonts w:ascii="Arial Narrow" w:hAnsi="Arial Narrow"/>
                <w:sz w:val="20"/>
                <w:szCs w:val="20"/>
              </w:rPr>
              <w:t>81</w:t>
            </w:r>
          </w:p>
        </w:tc>
      </w:tr>
      <w:tr w:rsidR="008925BC" w:rsidRPr="008925BC" w14:paraId="6761CE50" w14:textId="77777777">
        <w:trPr>
          <w:trHeight w:val="60"/>
        </w:trPr>
        <w:tc>
          <w:tcPr>
            <w:tcW w:w="5000" w:type="pct"/>
            <w:gridSpan w:val="3"/>
            <w:tcBorders>
              <w:bottom w:val="single" w:sz="4" w:space="0" w:color="auto"/>
            </w:tcBorders>
            <w:shd w:val="clear" w:color="auto" w:fill="auto"/>
            <w:noWrap/>
            <w:vAlign w:val="center"/>
          </w:tcPr>
          <w:p w14:paraId="534DB692"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Percentage of patients achieving MCID change in ASES score from Camacho-Chacon et al., 2023 trial</w:t>
            </w:r>
          </w:p>
        </w:tc>
      </w:tr>
      <w:tr w:rsidR="008925BC" w:rsidRPr="008925BC" w14:paraId="6382465C" w14:textId="77777777">
        <w:trPr>
          <w:trHeight w:val="60"/>
        </w:trPr>
        <w:tc>
          <w:tcPr>
            <w:tcW w:w="2489" w:type="pct"/>
            <w:tcBorders>
              <w:bottom w:val="nil"/>
            </w:tcBorders>
            <w:shd w:val="clear" w:color="auto" w:fill="auto"/>
            <w:noWrap/>
            <w:vAlign w:val="center"/>
          </w:tcPr>
          <w:p w14:paraId="2E34B3A5"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Baseline to 6 months [P]</w:t>
            </w:r>
          </w:p>
        </w:tc>
        <w:tc>
          <w:tcPr>
            <w:tcW w:w="1213" w:type="pct"/>
            <w:tcBorders>
              <w:bottom w:val="nil"/>
            </w:tcBorders>
            <w:shd w:val="clear" w:color="auto" w:fill="auto"/>
            <w:noWrap/>
            <w:vAlign w:val="center"/>
          </w:tcPr>
          <w:p w14:paraId="36DC9FF4"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100%</w:t>
            </w:r>
          </w:p>
        </w:tc>
        <w:tc>
          <w:tcPr>
            <w:tcW w:w="1298" w:type="pct"/>
            <w:tcBorders>
              <w:bottom w:val="nil"/>
            </w:tcBorders>
            <w:shd w:val="clear" w:color="auto" w:fill="auto"/>
            <w:noWrap/>
            <w:vAlign w:val="center"/>
          </w:tcPr>
          <w:p w14:paraId="48F11368"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96.7%</w:t>
            </w:r>
          </w:p>
        </w:tc>
      </w:tr>
      <w:tr w:rsidR="008925BC" w:rsidRPr="008925BC" w14:paraId="3BA07083" w14:textId="77777777">
        <w:trPr>
          <w:trHeight w:val="60"/>
        </w:trPr>
        <w:tc>
          <w:tcPr>
            <w:tcW w:w="2489" w:type="pct"/>
            <w:tcBorders>
              <w:top w:val="nil"/>
              <w:bottom w:val="nil"/>
            </w:tcBorders>
            <w:shd w:val="clear" w:color="auto" w:fill="auto"/>
            <w:noWrap/>
            <w:vAlign w:val="center"/>
          </w:tcPr>
          <w:p w14:paraId="17D21F80"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6 to 12 months [Q]</w:t>
            </w:r>
          </w:p>
        </w:tc>
        <w:tc>
          <w:tcPr>
            <w:tcW w:w="1213" w:type="pct"/>
            <w:tcBorders>
              <w:top w:val="nil"/>
              <w:bottom w:val="nil"/>
            </w:tcBorders>
            <w:shd w:val="clear" w:color="auto" w:fill="auto"/>
            <w:noWrap/>
          </w:tcPr>
          <w:p w14:paraId="730F3070"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100%</w:t>
            </w:r>
          </w:p>
        </w:tc>
        <w:tc>
          <w:tcPr>
            <w:tcW w:w="1298" w:type="pct"/>
            <w:tcBorders>
              <w:top w:val="nil"/>
              <w:bottom w:val="nil"/>
            </w:tcBorders>
            <w:shd w:val="clear" w:color="auto" w:fill="auto"/>
            <w:noWrap/>
          </w:tcPr>
          <w:p w14:paraId="28C228B5"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100%</w:t>
            </w:r>
          </w:p>
        </w:tc>
      </w:tr>
      <w:tr w:rsidR="008925BC" w:rsidRPr="008925BC" w14:paraId="3A4273A9" w14:textId="77777777">
        <w:trPr>
          <w:trHeight w:val="60"/>
        </w:trPr>
        <w:tc>
          <w:tcPr>
            <w:tcW w:w="2489" w:type="pct"/>
            <w:tcBorders>
              <w:top w:val="nil"/>
            </w:tcBorders>
            <w:shd w:val="clear" w:color="auto" w:fill="auto"/>
            <w:noWrap/>
            <w:vAlign w:val="center"/>
          </w:tcPr>
          <w:p w14:paraId="15091361" w14:textId="77777777" w:rsidR="008925BC" w:rsidRPr="008925BC" w:rsidRDefault="008925BC" w:rsidP="008925BC">
            <w:pPr>
              <w:widowControl/>
              <w:spacing w:before="40" w:after="40" w:line="240" w:lineRule="auto"/>
              <w:rPr>
                <w:rFonts w:ascii="Arial Narrow" w:hAnsi="Arial Narrow"/>
                <w:sz w:val="20"/>
                <w:szCs w:val="20"/>
              </w:rPr>
            </w:pPr>
            <w:r w:rsidRPr="008925BC">
              <w:rPr>
                <w:rFonts w:ascii="Arial Narrow" w:hAnsi="Arial Narrow"/>
                <w:sz w:val="20"/>
                <w:szCs w:val="20"/>
              </w:rPr>
              <w:t>12 to 24 months [R]</w:t>
            </w:r>
          </w:p>
        </w:tc>
        <w:tc>
          <w:tcPr>
            <w:tcW w:w="1213" w:type="pct"/>
            <w:tcBorders>
              <w:top w:val="nil"/>
            </w:tcBorders>
            <w:shd w:val="clear" w:color="auto" w:fill="auto"/>
            <w:noWrap/>
          </w:tcPr>
          <w:p w14:paraId="18393626"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100%</w:t>
            </w:r>
          </w:p>
        </w:tc>
        <w:tc>
          <w:tcPr>
            <w:tcW w:w="1298" w:type="pct"/>
            <w:tcBorders>
              <w:top w:val="nil"/>
            </w:tcBorders>
            <w:shd w:val="clear" w:color="auto" w:fill="auto"/>
            <w:noWrap/>
          </w:tcPr>
          <w:p w14:paraId="65DF1556" w14:textId="77777777" w:rsidR="008925BC" w:rsidRPr="008925BC" w:rsidRDefault="008925BC" w:rsidP="008925BC">
            <w:pPr>
              <w:widowControl/>
              <w:spacing w:before="40" w:after="40" w:line="240" w:lineRule="auto"/>
              <w:jc w:val="center"/>
              <w:rPr>
                <w:rFonts w:ascii="Arial Narrow" w:hAnsi="Arial Narrow"/>
                <w:sz w:val="20"/>
                <w:szCs w:val="20"/>
              </w:rPr>
            </w:pPr>
            <w:r w:rsidRPr="008925BC">
              <w:rPr>
                <w:rFonts w:ascii="Arial Narrow" w:hAnsi="Arial Narrow"/>
                <w:sz w:val="20"/>
                <w:szCs w:val="20"/>
              </w:rPr>
              <w:t>100%</w:t>
            </w:r>
          </w:p>
        </w:tc>
      </w:tr>
      <w:tr w:rsidR="008925BC" w:rsidRPr="008925BC" w14:paraId="1E6FDB1E" w14:textId="77777777">
        <w:trPr>
          <w:trHeight w:val="60"/>
        </w:trPr>
        <w:tc>
          <w:tcPr>
            <w:tcW w:w="2489" w:type="pct"/>
            <w:shd w:val="clear" w:color="auto" w:fill="auto"/>
            <w:noWrap/>
            <w:vAlign w:val="center"/>
            <w:hideMark/>
          </w:tcPr>
          <w:p w14:paraId="225BF80F" w14:textId="77777777" w:rsidR="008925BC" w:rsidRPr="008925BC" w:rsidRDefault="008925BC" w:rsidP="008925BC">
            <w:pPr>
              <w:widowControl/>
              <w:spacing w:before="40" w:after="40" w:line="240" w:lineRule="auto"/>
              <w:rPr>
                <w:rFonts w:ascii="Arial Narrow" w:hAnsi="Arial Narrow"/>
                <w:b/>
                <w:sz w:val="20"/>
                <w:szCs w:val="20"/>
              </w:rPr>
            </w:pPr>
            <w:r w:rsidRPr="008925BC">
              <w:rPr>
                <w:rFonts w:ascii="Arial Narrow" w:hAnsi="Arial Narrow"/>
                <w:b/>
                <w:sz w:val="20"/>
                <w:szCs w:val="20"/>
              </w:rPr>
              <w:t>Total units of MCID of ASES score weighted for period [S = (MxPx6 + NxQx6 + OxRx12) ÷ 24]</w:t>
            </w:r>
          </w:p>
        </w:tc>
        <w:tc>
          <w:tcPr>
            <w:tcW w:w="1213" w:type="pct"/>
            <w:shd w:val="clear" w:color="auto" w:fill="auto"/>
            <w:vAlign w:val="center"/>
          </w:tcPr>
          <w:p w14:paraId="3D480CE0" w14:textId="77777777" w:rsidR="008925BC" w:rsidRPr="008925BC" w:rsidRDefault="008925BC" w:rsidP="008925BC">
            <w:pPr>
              <w:widowControl/>
              <w:spacing w:before="40" w:after="40" w:line="240" w:lineRule="auto"/>
              <w:jc w:val="center"/>
              <w:rPr>
                <w:rFonts w:ascii="Arial Narrow" w:hAnsi="Arial Narrow"/>
                <w:b/>
                <w:sz w:val="20"/>
                <w:szCs w:val="20"/>
              </w:rPr>
            </w:pPr>
            <w:r w:rsidRPr="008925BC">
              <w:rPr>
                <w:rFonts w:ascii="Arial Narrow" w:hAnsi="Arial Narrow"/>
                <w:b/>
                <w:sz w:val="20"/>
                <w:szCs w:val="20"/>
              </w:rPr>
              <w:t>2.02</w:t>
            </w:r>
          </w:p>
        </w:tc>
        <w:tc>
          <w:tcPr>
            <w:tcW w:w="1298" w:type="pct"/>
            <w:shd w:val="clear" w:color="auto" w:fill="auto"/>
            <w:vAlign w:val="center"/>
          </w:tcPr>
          <w:p w14:paraId="1022B469" w14:textId="77777777" w:rsidR="008925BC" w:rsidRPr="008925BC" w:rsidRDefault="008925BC" w:rsidP="008925BC">
            <w:pPr>
              <w:widowControl/>
              <w:spacing w:before="40" w:after="40" w:line="240" w:lineRule="auto"/>
              <w:jc w:val="center"/>
              <w:rPr>
                <w:rFonts w:ascii="Arial Narrow" w:hAnsi="Arial Narrow"/>
                <w:b/>
                <w:sz w:val="20"/>
                <w:szCs w:val="20"/>
              </w:rPr>
            </w:pPr>
            <w:r w:rsidRPr="008925BC">
              <w:rPr>
                <w:rFonts w:ascii="Arial Narrow" w:hAnsi="Arial Narrow"/>
                <w:b/>
                <w:sz w:val="20"/>
                <w:szCs w:val="20"/>
              </w:rPr>
              <w:t>1.44</w:t>
            </w:r>
          </w:p>
        </w:tc>
      </w:tr>
    </w:tbl>
    <w:p w14:paraId="29F8AEE0" w14:textId="77777777" w:rsidR="00FF7403" w:rsidRPr="00FF7403" w:rsidRDefault="00FF7403" w:rsidP="00E37FD3">
      <w:pPr>
        <w:pStyle w:val="Tablenotes"/>
      </w:pPr>
      <w:r w:rsidRPr="00FF7403">
        <w:t xml:space="preserve">Source: Table 59, pg144 of the MSAC application 1593.1 ADAR + In line commentary; Table 1, pg6 of applicant’s Pre-ESC </w:t>
      </w:r>
      <w:proofErr w:type="spellStart"/>
      <w:proofErr w:type="gramStart"/>
      <w:r w:rsidRPr="00FF7403">
        <w:t>Response;Tab</w:t>
      </w:r>
      <w:proofErr w:type="spellEnd"/>
      <w:proofErr w:type="gramEnd"/>
      <w:r w:rsidRPr="00FF7403">
        <w:t xml:space="preserve"> “5. </w:t>
      </w:r>
      <w:proofErr w:type="spellStart"/>
      <w:r w:rsidRPr="00FF7403">
        <w:t>PTT_Calculations</w:t>
      </w:r>
      <w:proofErr w:type="spellEnd"/>
      <w:r w:rsidRPr="00FF7403">
        <w:t xml:space="preserve">” in Excel workbook titled “Economic </w:t>
      </w:r>
      <w:proofErr w:type="spellStart"/>
      <w:r w:rsidRPr="00FF7403">
        <w:t>Evaluation_REGENETEN</w:t>
      </w:r>
      <w:proofErr w:type="spellEnd"/>
      <w:r w:rsidRPr="00FF7403">
        <w:t>” supplied with the ADAR.</w:t>
      </w:r>
    </w:p>
    <w:p w14:paraId="4459966D" w14:textId="77777777" w:rsidR="00FF7403" w:rsidRPr="00FF7403" w:rsidRDefault="00FF7403" w:rsidP="00E812C7">
      <w:pPr>
        <w:pStyle w:val="Tablenotes"/>
        <w:spacing w:after="240"/>
        <w:contextualSpacing w:val="0"/>
      </w:pPr>
      <w:r w:rsidRPr="00FF7403">
        <w:t>Abbreviations: ADAR = Applicant Developed Assessment Report; ASES = American Shoulder and Elbow Society; MCID = Minimal clinically important difference.</w:t>
      </w:r>
    </w:p>
    <w:p w14:paraId="2DB66C5E" w14:textId="56309E70" w:rsidR="00F55EB1" w:rsidRPr="00FF7403" w:rsidRDefault="00F55EB1" w:rsidP="00E37FD3">
      <w:r>
        <w:fldChar w:fldCharType="begin"/>
      </w:r>
      <w:r>
        <w:instrText xml:space="preserve"> REF _Ref170207612 \h </w:instrText>
      </w:r>
      <w:r>
        <w:fldChar w:fldCharType="separate"/>
      </w:r>
      <w:r>
        <w:t xml:space="preserve">Table </w:t>
      </w:r>
      <w:r>
        <w:rPr>
          <w:noProof/>
        </w:rPr>
        <w:t>10</w:t>
      </w:r>
      <w:r>
        <w:fldChar w:fldCharType="end"/>
      </w:r>
      <w:r>
        <w:t xml:space="preserve"> presents </w:t>
      </w:r>
      <w:r w:rsidRPr="00F55EB1">
        <w:t xml:space="preserve">the </w:t>
      </w:r>
      <w:r w:rsidR="000A1091">
        <w:t xml:space="preserve">commentary’s </w:t>
      </w:r>
      <w:r w:rsidRPr="00F55EB1">
        <w:t xml:space="preserve">calculations performed during the evaluation for the change in ASES from the previous period, based on the ASES scores in </w:t>
      </w:r>
      <w:r w:rsidR="003D5728">
        <w:fldChar w:fldCharType="begin"/>
      </w:r>
      <w:r w:rsidR="003D5728">
        <w:instrText xml:space="preserve"> REF _Ref163179613 \h </w:instrText>
      </w:r>
      <w:r w:rsidR="003D5728">
        <w:fldChar w:fldCharType="separate"/>
      </w:r>
      <w:r w:rsidR="003D5728" w:rsidRPr="00B25254">
        <w:t xml:space="preserve">Table </w:t>
      </w:r>
      <w:r w:rsidR="003D5728">
        <w:rPr>
          <w:noProof/>
        </w:rPr>
        <w:t>5</w:t>
      </w:r>
      <w:r w:rsidR="003D5728">
        <w:fldChar w:fldCharType="end"/>
      </w:r>
      <w:r w:rsidRPr="00F55EB1">
        <w:t>.</w:t>
      </w:r>
    </w:p>
    <w:p w14:paraId="40CFA128" w14:textId="62FC56E5" w:rsidR="00612E70" w:rsidRPr="00612E70" w:rsidRDefault="00612E70" w:rsidP="00E37FD3">
      <w:pPr>
        <w:pStyle w:val="Caption"/>
      </w:pPr>
      <w:bookmarkStart w:id="60" w:name="_Ref170207612"/>
      <w:r>
        <w:lastRenderedPageBreak/>
        <w:t xml:space="preserve">Table </w:t>
      </w:r>
      <w:r>
        <w:fldChar w:fldCharType="begin"/>
      </w:r>
      <w:r>
        <w:instrText xml:space="preserve"> SEQ Table \* ARABIC </w:instrText>
      </w:r>
      <w:r>
        <w:fldChar w:fldCharType="separate"/>
      </w:r>
      <w:r w:rsidR="00F55EB1">
        <w:rPr>
          <w:noProof/>
        </w:rPr>
        <w:t>10</w:t>
      </w:r>
      <w:r>
        <w:rPr>
          <w:noProof/>
        </w:rPr>
        <w:fldChar w:fldCharType="end"/>
      </w:r>
      <w:bookmarkEnd w:id="60"/>
      <w:r>
        <w:tab/>
      </w:r>
      <w:r w:rsidRPr="00612E70">
        <w:t>Commentary’s respecified base case analysis - Population 1 (PTRCT)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2046"/>
        <w:gridCol w:w="2186"/>
      </w:tblGrid>
      <w:tr w:rsidR="00612E70" w:rsidRPr="00612E70" w14:paraId="1489E873" w14:textId="77777777" w:rsidTr="00E37FD3">
        <w:trPr>
          <w:trHeight w:val="113"/>
          <w:tblHeader/>
        </w:trPr>
        <w:tc>
          <w:tcPr>
            <w:tcW w:w="2487" w:type="pct"/>
            <w:shd w:val="clear" w:color="auto" w:fill="auto"/>
            <w:noWrap/>
            <w:vAlign w:val="center"/>
            <w:hideMark/>
          </w:tcPr>
          <w:p w14:paraId="78665332" w14:textId="77777777" w:rsidR="00612E70" w:rsidRPr="00612E70" w:rsidRDefault="00612E70" w:rsidP="00612E70">
            <w:pPr>
              <w:widowControl/>
              <w:spacing w:before="40" w:after="40" w:line="240" w:lineRule="auto"/>
              <w:rPr>
                <w:rFonts w:ascii="Arial Narrow" w:hAnsi="Arial Narrow"/>
                <w:b/>
                <w:bCs/>
                <w:sz w:val="20"/>
                <w:szCs w:val="20"/>
              </w:rPr>
            </w:pPr>
            <w:r w:rsidRPr="00612E70">
              <w:rPr>
                <w:rFonts w:ascii="Arial Narrow" w:hAnsi="Arial Narrow"/>
                <w:b/>
                <w:bCs/>
                <w:sz w:val="20"/>
                <w:szCs w:val="20"/>
              </w:rPr>
              <w:t>Parameters</w:t>
            </w:r>
          </w:p>
        </w:tc>
        <w:tc>
          <w:tcPr>
            <w:tcW w:w="1215" w:type="pct"/>
            <w:noWrap/>
            <w:vAlign w:val="center"/>
            <w:hideMark/>
          </w:tcPr>
          <w:p w14:paraId="089292F0" w14:textId="77777777" w:rsidR="00612E70" w:rsidRPr="00612E70" w:rsidRDefault="00612E70" w:rsidP="00612E70">
            <w:pPr>
              <w:widowControl/>
              <w:spacing w:before="40" w:after="40" w:line="240" w:lineRule="auto"/>
              <w:jc w:val="center"/>
              <w:rPr>
                <w:rFonts w:ascii="Arial Narrow" w:hAnsi="Arial Narrow"/>
                <w:b/>
                <w:bCs/>
                <w:sz w:val="20"/>
                <w:szCs w:val="20"/>
              </w:rPr>
            </w:pPr>
            <w:r w:rsidRPr="00612E70">
              <w:rPr>
                <w:rFonts w:ascii="Arial Narrow" w:hAnsi="Arial Narrow"/>
                <w:b/>
                <w:bCs/>
                <w:sz w:val="20"/>
                <w:szCs w:val="20"/>
              </w:rPr>
              <w:t>Standard surgical repair with REGENETEN</w:t>
            </w:r>
          </w:p>
        </w:tc>
        <w:tc>
          <w:tcPr>
            <w:tcW w:w="1298" w:type="pct"/>
            <w:noWrap/>
            <w:vAlign w:val="center"/>
            <w:hideMark/>
          </w:tcPr>
          <w:p w14:paraId="7A1BB8B5" w14:textId="77777777" w:rsidR="00612E70" w:rsidRPr="00612E70" w:rsidRDefault="00612E70" w:rsidP="00612E70">
            <w:pPr>
              <w:widowControl/>
              <w:spacing w:before="40" w:after="40" w:line="240" w:lineRule="auto"/>
              <w:jc w:val="center"/>
              <w:rPr>
                <w:rFonts w:ascii="Arial Narrow" w:hAnsi="Arial Narrow"/>
                <w:b/>
                <w:bCs/>
                <w:sz w:val="20"/>
                <w:szCs w:val="20"/>
              </w:rPr>
            </w:pPr>
            <w:r w:rsidRPr="00612E70">
              <w:rPr>
                <w:rFonts w:ascii="Arial Narrow" w:hAnsi="Arial Narrow"/>
                <w:b/>
                <w:bCs/>
                <w:sz w:val="20"/>
                <w:szCs w:val="20"/>
              </w:rPr>
              <w:t>Standard surgical repair without REGENETEN</w:t>
            </w:r>
          </w:p>
        </w:tc>
      </w:tr>
      <w:tr w:rsidR="00612E70" w:rsidRPr="00612E70" w14:paraId="70137DDE" w14:textId="77777777" w:rsidTr="00E37FD3">
        <w:trPr>
          <w:trHeight w:val="60"/>
          <w:tblHeader/>
        </w:trPr>
        <w:tc>
          <w:tcPr>
            <w:tcW w:w="5000" w:type="pct"/>
            <w:gridSpan w:val="3"/>
            <w:tcBorders>
              <w:bottom w:val="single" w:sz="4" w:space="0" w:color="auto"/>
            </w:tcBorders>
            <w:shd w:val="clear" w:color="auto" w:fill="auto"/>
            <w:noWrap/>
            <w:vAlign w:val="center"/>
          </w:tcPr>
          <w:p w14:paraId="09A73E73"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Step 1: ASES score from Camacho-Chacon et al., 2023 trial (same as ADAR)</w:t>
            </w:r>
          </w:p>
        </w:tc>
      </w:tr>
      <w:tr w:rsidR="00612E70" w:rsidRPr="00612E70" w14:paraId="3D8B5917" w14:textId="77777777" w:rsidTr="00E37FD3">
        <w:trPr>
          <w:trHeight w:val="60"/>
          <w:tblHeader/>
        </w:trPr>
        <w:tc>
          <w:tcPr>
            <w:tcW w:w="2487" w:type="pct"/>
            <w:tcBorders>
              <w:bottom w:val="nil"/>
            </w:tcBorders>
            <w:shd w:val="clear" w:color="auto" w:fill="auto"/>
            <w:noWrap/>
            <w:vAlign w:val="center"/>
            <w:hideMark/>
          </w:tcPr>
          <w:p w14:paraId="36D0A16A"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Baseline [A]</w:t>
            </w:r>
          </w:p>
        </w:tc>
        <w:tc>
          <w:tcPr>
            <w:tcW w:w="1215" w:type="pct"/>
            <w:tcBorders>
              <w:bottom w:val="nil"/>
            </w:tcBorders>
            <w:shd w:val="clear" w:color="auto" w:fill="auto"/>
            <w:noWrap/>
            <w:vAlign w:val="center"/>
          </w:tcPr>
          <w:p w14:paraId="7CCD2B68"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49</w:t>
            </w:r>
          </w:p>
        </w:tc>
        <w:tc>
          <w:tcPr>
            <w:tcW w:w="1298" w:type="pct"/>
            <w:tcBorders>
              <w:bottom w:val="nil"/>
            </w:tcBorders>
            <w:shd w:val="clear" w:color="auto" w:fill="auto"/>
            <w:noWrap/>
            <w:vAlign w:val="center"/>
          </w:tcPr>
          <w:p w14:paraId="6607350E"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48</w:t>
            </w:r>
          </w:p>
        </w:tc>
      </w:tr>
      <w:tr w:rsidR="00612E70" w:rsidRPr="00612E70" w14:paraId="649F5535" w14:textId="77777777" w:rsidTr="00E37FD3">
        <w:trPr>
          <w:trHeight w:val="60"/>
          <w:tblHeader/>
        </w:trPr>
        <w:tc>
          <w:tcPr>
            <w:tcW w:w="2487" w:type="pct"/>
            <w:tcBorders>
              <w:top w:val="nil"/>
              <w:bottom w:val="nil"/>
            </w:tcBorders>
            <w:shd w:val="clear" w:color="auto" w:fill="auto"/>
            <w:noWrap/>
            <w:vAlign w:val="center"/>
            <w:hideMark/>
          </w:tcPr>
          <w:p w14:paraId="25E59CA0"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6 months [B]</w:t>
            </w:r>
          </w:p>
        </w:tc>
        <w:tc>
          <w:tcPr>
            <w:tcW w:w="1215" w:type="pct"/>
            <w:tcBorders>
              <w:top w:val="nil"/>
              <w:bottom w:val="nil"/>
            </w:tcBorders>
            <w:shd w:val="clear" w:color="auto" w:fill="auto"/>
            <w:noWrap/>
            <w:vAlign w:val="center"/>
          </w:tcPr>
          <w:p w14:paraId="74B674B9"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82</w:t>
            </w:r>
          </w:p>
        </w:tc>
        <w:tc>
          <w:tcPr>
            <w:tcW w:w="1298" w:type="pct"/>
            <w:tcBorders>
              <w:top w:val="nil"/>
              <w:bottom w:val="nil"/>
            </w:tcBorders>
            <w:shd w:val="clear" w:color="auto" w:fill="auto"/>
            <w:noWrap/>
            <w:vAlign w:val="center"/>
          </w:tcPr>
          <w:p w14:paraId="16A8CBCE"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68</w:t>
            </w:r>
          </w:p>
        </w:tc>
      </w:tr>
      <w:tr w:rsidR="00612E70" w:rsidRPr="00612E70" w14:paraId="0AC8A034" w14:textId="77777777" w:rsidTr="00E37FD3">
        <w:trPr>
          <w:trHeight w:val="60"/>
          <w:tblHeader/>
        </w:trPr>
        <w:tc>
          <w:tcPr>
            <w:tcW w:w="2487" w:type="pct"/>
            <w:tcBorders>
              <w:top w:val="nil"/>
              <w:bottom w:val="nil"/>
            </w:tcBorders>
            <w:shd w:val="clear" w:color="auto" w:fill="auto"/>
            <w:noWrap/>
            <w:vAlign w:val="center"/>
            <w:hideMark/>
          </w:tcPr>
          <w:p w14:paraId="4F94B502"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12 months [C]</w:t>
            </w:r>
          </w:p>
        </w:tc>
        <w:tc>
          <w:tcPr>
            <w:tcW w:w="1215" w:type="pct"/>
            <w:tcBorders>
              <w:top w:val="nil"/>
              <w:bottom w:val="nil"/>
            </w:tcBorders>
            <w:shd w:val="clear" w:color="auto" w:fill="auto"/>
            <w:noWrap/>
            <w:vAlign w:val="center"/>
          </w:tcPr>
          <w:p w14:paraId="16F0F701"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87</w:t>
            </w:r>
          </w:p>
        </w:tc>
        <w:tc>
          <w:tcPr>
            <w:tcW w:w="1298" w:type="pct"/>
            <w:tcBorders>
              <w:top w:val="nil"/>
              <w:bottom w:val="nil"/>
            </w:tcBorders>
            <w:shd w:val="clear" w:color="auto" w:fill="auto"/>
            <w:noWrap/>
            <w:vAlign w:val="center"/>
          </w:tcPr>
          <w:p w14:paraId="35409CB5"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75</w:t>
            </w:r>
          </w:p>
        </w:tc>
      </w:tr>
      <w:tr w:rsidR="00612E70" w:rsidRPr="00612E70" w14:paraId="0A87153A" w14:textId="77777777" w:rsidTr="00E37FD3">
        <w:trPr>
          <w:trHeight w:val="60"/>
          <w:tblHeader/>
        </w:trPr>
        <w:tc>
          <w:tcPr>
            <w:tcW w:w="2487" w:type="pct"/>
            <w:tcBorders>
              <w:top w:val="nil"/>
            </w:tcBorders>
            <w:shd w:val="clear" w:color="auto" w:fill="auto"/>
            <w:noWrap/>
            <w:vAlign w:val="center"/>
          </w:tcPr>
          <w:p w14:paraId="4DB69334"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24 months [D]</w:t>
            </w:r>
          </w:p>
        </w:tc>
        <w:tc>
          <w:tcPr>
            <w:tcW w:w="1215" w:type="pct"/>
            <w:tcBorders>
              <w:top w:val="nil"/>
            </w:tcBorders>
            <w:shd w:val="clear" w:color="auto" w:fill="auto"/>
            <w:noWrap/>
            <w:vAlign w:val="center"/>
          </w:tcPr>
          <w:p w14:paraId="703A0116"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88</w:t>
            </w:r>
          </w:p>
        </w:tc>
        <w:tc>
          <w:tcPr>
            <w:tcW w:w="1298" w:type="pct"/>
            <w:tcBorders>
              <w:top w:val="nil"/>
            </w:tcBorders>
            <w:shd w:val="clear" w:color="auto" w:fill="auto"/>
            <w:noWrap/>
            <w:vAlign w:val="center"/>
          </w:tcPr>
          <w:p w14:paraId="7C48A8F7"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80</w:t>
            </w:r>
          </w:p>
        </w:tc>
      </w:tr>
      <w:tr w:rsidR="00612E70" w:rsidRPr="00612E70" w14:paraId="4A1B88D7" w14:textId="77777777" w:rsidTr="00E37FD3">
        <w:trPr>
          <w:trHeight w:val="60"/>
          <w:tblHeader/>
        </w:trPr>
        <w:tc>
          <w:tcPr>
            <w:tcW w:w="5000" w:type="pct"/>
            <w:gridSpan w:val="3"/>
            <w:tcBorders>
              <w:bottom w:val="single" w:sz="4" w:space="0" w:color="auto"/>
            </w:tcBorders>
            <w:shd w:val="clear" w:color="auto" w:fill="auto"/>
            <w:vAlign w:val="center"/>
          </w:tcPr>
          <w:p w14:paraId="7B461188"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 xml:space="preserve">Step 2: Change in ASES </w:t>
            </w:r>
            <w:r w:rsidRPr="00E37FD3">
              <w:rPr>
                <w:rFonts w:ascii="Arial Narrow" w:hAnsi="Arial Narrow"/>
                <w:sz w:val="20"/>
                <w:szCs w:val="20"/>
              </w:rPr>
              <w:t>from the previous period</w:t>
            </w:r>
          </w:p>
        </w:tc>
      </w:tr>
      <w:tr w:rsidR="00612E70" w:rsidRPr="00612E70" w14:paraId="00EC590E" w14:textId="77777777" w:rsidTr="00E37FD3">
        <w:trPr>
          <w:trHeight w:val="60"/>
          <w:tblHeader/>
        </w:trPr>
        <w:tc>
          <w:tcPr>
            <w:tcW w:w="2487" w:type="pct"/>
            <w:tcBorders>
              <w:top w:val="nil"/>
              <w:bottom w:val="nil"/>
            </w:tcBorders>
            <w:shd w:val="clear" w:color="auto" w:fill="auto"/>
            <w:noWrap/>
            <w:vAlign w:val="center"/>
            <w:hideMark/>
          </w:tcPr>
          <w:p w14:paraId="1D5D7274"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6 months [F = B – A]</w:t>
            </w:r>
          </w:p>
        </w:tc>
        <w:tc>
          <w:tcPr>
            <w:tcW w:w="1215" w:type="pct"/>
            <w:tcBorders>
              <w:top w:val="nil"/>
              <w:bottom w:val="nil"/>
            </w:tcBorders>
            <w:shd w:val="clear" w:color="auto" w:fill="auto"/>
            <w:noWrap/>
            <w:vAlign w:val="center"/>
            <w:hideMark/>
          </w:tcPr>
          <w:p w14:paraId="24FC9785" w14:textId="1177E8EB"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33</w:t>
            </w:r>
            <w:r w:rsidR="001E098E">
              <w:rPr>
                <w:rFonts w:ascii="Arial Narrow" w:hAnsi="Arial Narrow"/>
                <w:sz w:val="20"/>
                <w:szCs w:val="20"/>
              </w:rPr>
              <w:t>.0</w:t>
            </w:r>
          </w:p>
        </w:tc>
        <w:tc>
          <w:tcPr>
            <w:tcW w:w="1298" w:type="pct"/>
            <w:tcBorders>
              <w:top w:val="nil"/>
              <w:bottom w:val="nil"/>
            </w:tcBorders>
            <w:shd w:val="clear" w:color="auto" w:fill="auto"/>
            <w:noWrap/>
            <w:vAlign w:val="center"/>
            <w:hideMark/>
          </w:tcPr>
          <w:p w14:paraId="094D98D2" w14:textId="02E0FCC4"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20</w:t>
            </w:r>
            <w:r w:rsidR="00413498">
              <w:rPr>
                <w:rFonts w:ascii="Arial Narrow" w:hAnsi="Arial Narrow"/>
                <w:sz w:val="20"/>
                <w:szCs w:val="20"/>
              </w:rPr>
              <w:t>.0</w:t>
            </w:r>
          </w:p>
        </w:tc>
      </w:tr>
      <w:tr w:rsidR="00612E70" w:rsidRPr="00612E70" w14:paraId="05D65E22" w14:textId="77777777" w:rsidTr="00E37FD3">
        <w:trPr>
          <w:trHeight w:val="60"/>
          <w:tblHeader/>
        </w:trPr>
        <w:tc>
          <w:tcPr>
            <w:tcW w:w="2487" w:type="pct"/>
            <w:tcBorders>
              <w:top w:val="nil"/>
              <w:bottom w:val="nil"/>
            </w:tcBorders>
            <w:shd w:val="clear" w:color="auto" w:fill="auto"/>
            <w:noWrap/>
            <w:vAlign w:val="center"/>
            <w:hideMark/>
          </w:tcPr>
          <w:p w14:paraId="06211A5F"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12 months [G = C – A]</w:t>
            </w:r>
          </w:p>
        </w:tc>
        <w:tc>
          <w:tcPr>
            <w:tcW w:w="1215" w:type="pct"/>
            <w:tcBorders>
              <w:top w:val="nil"/>
              <w:bottom w:val="nil"/>
            </w:tcBorders>
            <w:shd w:val="clear" w:color="auto" w:fill="auto"/>
            <w:noWrap/>
            <w:vAlign w:val="center"/>
            <w:hideMark/>
          </w:tcPr>
          <w:p w14:paraId="3EFD6F67" w14:textId="34E73A12"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5</w:t>
            </w:r>
            <w:r w:rsidR="00C0007D">
              <w:rPr>
                <w:rFonts w:ascii="Arial Narrow" w:hAnsi="Arial Narrow"/>
                <w:sz w:val="20"/>
                <w:szCs w:val="20"/>
              </w:rPr>
              <w:t>.0</w:t>
            </w:r>
          </w:p>
        </w:tc>
        <w:tc>
          <w:tcPr>
            <w:tcW w:w="1298" w:type="pct"/>
            <w:tcBorders>
              <w:top w:val="nil"/>
              <w:bottom w:val="nil"/>
            </w:tcBorders>
            <w:shd w:val="clear" w:color="auto" w:fill="auto"/>
            <w:noWrap/>
            <w:vAlign w:val="center"/>
            <w:hideMark/>
          </w:tcPr>
          <w:p w14:paraId="1BA78CEF" w14:textId="28D71F86"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7</w:t>
            </w:r>
            <w:r w:rsidR="00413498">
              <w:rPr>
                <w:rFonts w:ascii="Arial Narrow" w:hAnsi="Arial Narrow"/>
                <w:sz w:val="20"/>
                <w:szCs w:val="20"/>
              </w:rPr>
              <w:t>.0</w:t>
            </w:r>
          </w:p>
        </w:tc>
      </w:tr>
      <w:tr w:rsidR="00612E70" w:rsidRPr="00612E70" w14:paraId="4CFF82DC" w14:textId="77777777" w:rsidTr="00E37FD3">
        <w:trPr>
          <w:trHeight w:val="60"/>
          <w:tblHeader/>
        </w:trPr>
        <w:tc>
          <w:tcPr>
            <w:tcW w:w="2487" w:type="pct"/>
            <w:tcBorders>
              <w:top w:val="nil"/>
            </w:tcBorders>
            <w:shd w:val="clear" w:color="auto" w:fill="auto"/>
            <w:noWrap/>
            <w:vAlign w:val="center"/>
          </w:tcPr>
          <w:p w14:paraId="0BE5DF66" w14:textId="53BA5D6D"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24 months [H = D – A]</w:t>
            </w:r>
            <w:r w:rsidR="00645184">
              <w:rPr>
                <w:rFonts w:ascii="Arial Narrow" w:hAnsi="Arial Narrow"/>
                <w:sz w:val="20"/>
                <w:szCs w:val="20"/>
              </w:rPr>
              <w:t xml:space="preserve"> </w:t>
            </w:r>
            <w:r w:rsidR="00645184" w:rsidRPr="008925BC">
              <w:rPr>
                <w:rFonts w:ascii="Arial Narrow" w:hAnsi="Arial Narrow"/>
                <w:sz w:val="20"/>
                <w:szCs w:val="20"/>
              </w:rPr>
              <w:t>x (1-discount rate)]</w:t>
            </w:r>
          </w:p>
        </w:tc>
        <w:tc>
          <w:tcPr>
            <w:tcW w:w="1215" w:type="pct"/>
            <w:tcBorders>
              <w:top w:val="nil"/>
            </w:tcBorders>
            <w:shd w:val="clear" w:color="auto" w:fill="auto"/>
            <w:noWrap/>
            <w:vAlign w:val="center"/>
          </w:tcPr>
          <w:p w14:paraId="0CB80381" w14:textId="2915D4B5"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1</w:t>
            </w:r>
            <w:r w:rsidR="00C0007D">
              <w:rPr>
                <w:rFonts w:ascii="Arial Narrow" w:hAnsi="Arial Narrow"/>
                <w:sz w:val="20"/>
                <w:szCs w:val="20"/>
              </w:rPr>
              <w:t>.0</w:t>
            </w:r>
          </w:p>
        </w:tc>
        <w:tc>
          <w:tcPr>
            <w:tcW w:w="1298" w:type="pct"/>
            <w:tcBorders>
              <w:top w:val="nil"/>
            </w:tcBorders>
            <w:shd w:val="clear" w:color="auto" w:fill="auto"/>
            <w:noWrap/>
            <w:vAlign w:val="center"/>
          </w:tcPr>
          <w:p w14:paraId="0A6B2F3A" w14:textId="7888A9D7" w:rsidR="00612E70" w:rsidRPr="00612E70" w:rsidRDefault="00413498" w:rsidP="00612E70">
            <w:pPr>
              <w:widowControl/>
              <w:spacing w:before="40" w:after="40" w:line="240" w:lineRule="auto"/>
              <w:jc w:val="center"/>
              <w:rPr>
                <w:rFonts w:ascii="Arial Narrow" w:hAnsi="Arial Narrow"/>
                <w:sz w:val="20"/>
                <w:szCs w:val="20"/>
              </w:rPr>
            </w:pPr>
            <w:r>
              <w:rPr>
                <w:rFonts w:ascii="Arial Narrow" w:hAnsi="Arial Narrow"/>
                <w:sz w:val="20"/>
                <w:szCs w:val="20"/>
              </w:rPr>
              <w:t>4.8</w:t>
            </w:r>
          </w:p>
        </w:tc>
      </w:tr>
      <w:tr w:rsidR="00612E70" w:rsidRPr="00612E70" w14:paraId="5EA83B49" w14:textId="77777777" w:rsidTr="00E37FD3">
        <w:trPr>
          <w:trHeight w:val="60"/>
          <w:tblHeader/>
        </w:trPr>
        <w:tc>
          <w:tcPr>
            <w:tcW w:w="5000" w:type="pct"/>
            <w:gridSpan w:val="3"/>
            <w:tcBorders>
              <w:bottom w:val="single" w:sz="4" w:space="0" w:color="auto"/>
            </w:tcBorders>
            <w:shd w:val="clear" w:color="auto" w:fill="auto"/>
            <w:vAlign w:val="center"/>
          </w:tcPr>
          <w:p w14:paraId="014C1402"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 xml:space="preserve">Step 3: Number of </w:t>
            </w:r>
            <w:proofErr w:type="gramStart"/>
            <w:r w:rsidRPr="00612E70">
              <w:rPr>
                <w:rFonts w:ascii="Arial Narrow" w:hAnsi="Arial Narrow"/>
                <w:sz w:val="20"/>
                <w:szCs w:val="20"/>
              </w:rPr>
              <w:t>unit</w:t>
            </w:r>
            <w:proofErr w:type="gramEnd"/>
            <w:r w:rsidRPr="00612E70">
              <w:rPr>
                <w:rFonts w:ascii="Arial Narrow" w:hAnsi="Arial Narrow"/>
                <w:sz w:val="20"/>
                <w:szCs w:val="20"/>
              </w:rPr>
              <w:t xml:space="preserve"> change of MCID [1 MCID = 15.5 points in ASES = L]</w:t>
            </w:r>
          </w:p>
        </w:tc>
      </w:tr>
      <w:tr w:rsidR="00612E70" w:rsidRPr="00612E70" w14:paraId="6EF8F561" w14:textId="77777777" w:rsidTr="00E37FD3">
        <w:trPr>
          <w:trHeight w:val="60"/>
          <w:tblHeader/>
        </w:trPr>
        <w:tc>
          <w:tcPr>
            <w:tcW w:w="2487" w:type="pct"/>
            <w:tcBorders>
              <w:bottom w:val="nil"/>
            </w:tcBorders>
            <w:shd w:val="clear" w:color="auto" w:fill="auto"/>
            <w:vAlign w:val="center"/>
            <w:hideMark/>
          </w:tcPr>
          <w:p w14:paraId="76F73FF3"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Baseline to 6 months [M = F ÷ L]</w:t>
            </w:r>
          </w:p>
        </w:tc>
        <w:tc>
          <w:tcPr>
            <w:tcW w:w="1215" w:type="pct"/>
            <w:tcBorders>
              <w:bottom w:val="nil"/>
            </w:tcBorders>
            <w:shd w:val="clear" w:color="auto" w:fill="auto"/>
            <w:vAlign w:val="center"/>
            <w:hideMark/>
          </w:tcPr>
          <w:p w14:paraId="065D502E"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2.13</w:t>
            </w:r>
          </w:p>
        </w:tc>
        <w:tc>
          <w:tcPr>
            <w:tcW w:w="1298" w:type="pct"/>
            <w:tcBorders>
              <w:bottom w:val="nil"/>
            </w:tcBorders>
            <w:shd w:val="clear" w:color="auto" w:fill="auto"/>
            <w:vAlign w:val="center"/>
          </w:tcPr>
          <w:p w14:paraId="44D9B4C6"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1.29</w:t>
            </w:r>
          </w:p>
        </w:tc>
      </w:tr>
      <w:tr w:rsidR="00612E70" w:rsidRPr="00612E70" w14:paraId="64623B9D" w14:textId="77777777" w:rsidTr="00E37FD3">
        <w:trPr>
          <w:trHeight w:val="60"/>
          <w:tblHeader/>
        </w:trPr>
        <w:tc>
          <w:tcPr>
            <w:tcW w:w="2487" w:type="pct"/>
            <w:tcBorders>
              <w:top w:val="nil"/>
              <w:bottom w:val="nil"/>
            </w:tcBorders>
            <w:shd w:val="clear" w:color="auto" w:fill="auto"/>
            <w:noWrap/>
            <w:vAlign w:val="center"/>
            <w:hideMark/>
          </w:tcPr>
          <w:p w14:paraId="5FEA8831"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6 to 12 months [N = G ÷ L]</w:t>
            </w:r>
          </w:p>
        </w:tc>
        <w:tc>
          <w:tcPr>
            <w:tcW w:w="1215" w:type="pct"/>
            <w:tcBorders>
              <w:top w:val="nil"/>
              <w:bottom w:val="nil"/>
            </w:tcBorders>
            <w:shd w:val="clear" w:color="auto" w:fill="auto"/>
            <w:noWrap/>
            <w:vAlign w:val="center"/>
          </w:tcPr>
          <w:p w14:paraId="4377A6AD"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0.32</w:t>
            </w:r>
          </w:p>
        </w:tc>
        <w:tc>
          <w:tcPr>
            <w:tcW w:w="1298" w:type="pct"/>
            <w:tcBorders>
              <w:top w:val="nil"/>
              <w:bottom w:val="nil"/>
            </w:tcBorders>
            <w:shd w:val="clear" w:color="auto" w:fill="auto"/>
            <w:noWrap/>
            <w:vAlign w:val="center"/>
          </w:tcPr>
          <w:p w14:paraId="604223BF"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0.45</w:t>
            </w:r>
          </w:p>
        </w:tc>
      </w:tr>
      <w:tr w:rsidR="00612E70" w:rsidRPr="00612E70" w14:paraId="19A4E424" w14:textId="77777777" w:rsidTr="00E37FD3">
        <w:trPr>
          <w:trHeight w:val="60"/>
          <w:tblHeader/>
        </w:trPr>
        <w:tc>
          <w:tcPr>
            <w:tcW w:w="2487" w:type="pct"/>
            <w:tcBorders>
              <w:top w:val="nil"/>
            </w:tcBorders>
            <w:shd w:val="clear" w:color="auto" w:fill="auto"/>
            <w:noWrap/>
            <w:vAlign w:val="center"/>
            <w:hideMark/>
          </w:tcPr>
          <w:p w14:paraId="2795DF16"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12 to 24 months [O = H ÷ L]</w:t>
            </w:r>
          </w:p>
        </w:tc>
        <w:tc>
          <w:tcPr>
            <w:tcW w:w="1215" w:type="pct"/>
            <w:tcBorders>
              <w:top w:val="nil"/>
            </w:tcBorders>
            <w:shd w:val="clear" w:color="auto" w:fill="auto"/>
            <w:noWrap/>
            <w:vAlign w:val="center"/>
          </w:tcPr>
          <w:p w14:paraId="3B9C1BCB"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0.06</w:t>
            </w:r>
          </w:p>
        </w:tc>
        <w:tc>
          <w:tcPr>
            <w:tcW w:w="1298" w:type="pct"/>
            <w:tcBorders>
              <w:top w:val="nil"/>
            </w:tcBorders>
            <w:shd w:val="clear" w:color="auto" w:fill="auto"/>
            <w:noWrap/>
            <w:vAlign w:val="center"/>
          </w:tcPr>
          <w:p w14:paraId="6EE31B8D" w14:textId="5ACAF5E9"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0.3</w:t>
            </w:r>
            <w:r w:rsidR="00232092">
              <w:rPr>
                <w:rFonts w:ascii="Arial Narrow" w:hAnsi="Arial Narrow"/>
                <w:sz w:val="20"/>
                <w:szCs w:val="20"/>
              </w:rPr>
              <w:t>1</w:t>
            </w:r>
          </w:p>
        </w:tc>
      </w:tr>
      <w:tr w:rsidR="00612E70" w:rsidRPr="00612E70" w14:paraId="1B0FD543" w14:textId="77777777" w:rsidTr="00E37FD3">
        <w:trPr>
          <w:trHeight w:val="60"/>
          <w:tblHeader/>
        </w:trPr>
        <w:tc>
          <w:tcPr>
            <w:tcW w:w="5000" w:type="pct"/>
            <w:gridSpan w:val="3"/>
            <w:tcBorders>
              <w:bottom w:val="single" w:sz="4" w:space="0" w:color="auto"/>
            </w:tcBorders>
            <w:shd w:val="clear" w:color="auto" w:fill="auto"/>
            <w:noWrap/>
            <w:vAlign w:val="center"/>
          </w:tcPr>
          <w:p w14:paraId="65D0EC8D"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Percentage of patients achieving MCID change in ASES score from Camacho-Chacon et al., 2023 trial (same as ADAR)</w:t>
            </w:r>
          </w:p>
        </w:tc>
      </w:tr>
      <w:tr w:rsidR="00612E70" w:rsidRPr="00612E70" w14:paraId="64033C77" w14:textId="77777777" w:rsidTr="00E37FD3">
        <w:trPr>
          <w:trHeight w:val="60"/>
          <w:tblHeader/>
        </w:trPr>
        <w:tc>
          <w:tcPr>
            <w:tcW w:w="2487" w:type="pct"/>
            <w:tcBorders>
              <w:bottom w:val="nil"/>
            </w:tcBorders>
            <w:shd w:val="clear" w:color="auto" w:fill="auto"/>
            <w:noWrap/>
            <w:vAlign w:val="center"/>
          </w:tcPr>
          <w:p w14:paraId="49751E5E"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Baseline to 6 months [P]</w:t>
            </w:r>
          </w:p>
        </w:tc>
        <w:tc>
          <w:tcPr>
            <w:tcW w:w="1215" w:type="pct"/>
            <w:tcBorders>
              <w:bottom w:val="nil"/>
            </w:tcBorders>
            <w:shd w:val="clear" w:color="auto" w:fill="auto"/>
            <w:noWrap/>
            <w:vAlign w:val="center"/>
          </w:tcPr>
          <w:p w14:paraId="2D1ACA60"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100%</w:t>
            </w:r>
          </w:p>
        </w:tc>
        <w:tc>
          <w:tcPr>
            <w:tcW w:w="1298" w:type="pct"/>
            <w:tcBorders>
              <w:bottom w:val="nil"/>
            </w:tcBorders>
            <w:shd w:val="clear" w:color="auto" w:fill="auto"/>
            <w:noWrap/>
            <w:vAlign w:val="center"/>
          </w:tcPr>
          <w:p w14:paraId="77D290A0"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96.7%</w:t>
            </w:r>
          </w:p>
        </w:tc>
      </w:tr>
      <w:tr w:rsidR="00612E70" w:rsidRPr="00612E70" w14:paraId="2ACE8629" w14:textId="77777777" w:rsidTr="00E37FD3">
        <w:trPr>
          <w:trHeight w:val="60"/>
          <w:tblHeader/>
        </w:trPr>
        <w:tc>
          <w:tcPr>
            <w:tcW w:w="2487" w:type="pct"/>
            <w:tcBorders>
              <w:top w:val="nil"/>
              <w:bottom w:val="nil"/>
            </w:tcBorders>
            <w:shd w:val="clear" w:color="auto" w:fill="auto"/>
            <w:noWrap/>
            <w:vAlign w:val="center"/>
          </w:tcPr>
          <w:p w14:paraId="6B338243"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6 to 12 months [Q]</w:t>
            </w:r>
          </w:p>
        </w:tc>
        <w:tc>
          <w:tcPr>
            <w:tcW w:w="1215" w:type="pct"/>
            <w:tcBorders>
              <w:top w:val="nil"/>
              <w:bottom w:val="nil"/>
            </w:tcBorders>
            <w:shd w:val="clear" w:color="auto" w:fill="auto"/>
            <w:noWrap/>
          </w:tcPr>
          <w:p w14:paraId="321926CC"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100%</w:t>
            </w:r>
          </w:p>
        </w:tc>
        <w:tc>
          <w:tcPr>
            <w:tcW w:w="1298" w:type="pct"/>
            <w:tcBorders>
              <w:top w:val="nil"/>
              <w:bottom w:val="nil"/>
            </w:tcBorders>
            <w:shd w:val="clear" w:color="auto" w:fill="auto"/>
            <w:noWrap/>
          </w:tcPr>
          <w:p w14:paraId="09F22DAA"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100%</w:t>
            </w:r>
          </w:p>
        </w:tc>
      </w:tr>
      <w:tr w:rsidR="00612E70" w:rsidRPr="00612E70" w14:paraId="29D13251" w14:textId="77777777" w:rsidTr="00E37FD3">
        <w:trPr>
          <w:trHeight w:val="60"/>
          <w:tblHeader/>
        </w:trPr>
        <w:tc>
          <w:tcPr>
            <w:tcW w:w="2487" w:type="pct"/>
            <w:tcBorders>
              <w:top w:val="nil"/>
            </w:tcBorders>
            <w:shd w:val="clear" w:color="auto" w:fill="auto"/>
            <w:noWrap/>
            <w:vAlign w:val="center"/>
          </w:tcPr>
          <w:p w14:paraId="4FFD9D99" w14:textId="77777777" w:rsidR="00612E70" w:rsidRPr="00612E70" w:rsidRDefault="00612E70" w:rsidP="00612E70">
            <w:pPr>
              <w:widowControl/>
              <w:spacing w:before="40" w:after="40" w:line="240" w:lineRule="auto"/>
              <w:rPr>
                <w:rFonts w:ascii="Arial Narrow" w:hAnsi="Arial Narrow"/>
                <w:sz w:val="20"/>
                <w:szCs w:val="20"/>
              </w:rPr>
            </w:pPr>
            <w:r w:rsidRPr="00612E70">
              <w:rPr>
                <w:rFonts w:ascii="Arial Narrow" w:hAnsi="Arial Narrow"/>
                <w:sz w:val="20"/>
                <w:szCs w:val="20"/>
              </w:rPr>
              <w:t>12 to 24 months [R]</w:t>
            </w:r>
          </w:p>
        </w:tc>
        <w:tc>
          <w:tcPr>
            <w:tcW w:w="1215" w:type="pct"/>
            <w:tcBorders>
              <w:top w:val="nil"/>
            </w:tcBorders>
            <w:shd w:val="clear" w:color="auto" w:fill="auto"/>
            <w:noWrap/>
          </w:tcPr>
          <w:p w14:paraId="4F93D418"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100%</w:t>
            </w:r>
          </w:p>
        </w:tc>
        <w:tc>
          <w:tcPr>
            <w:tcW w:w="1298" w:type="pct"/>
            <w:tcBorders>
              <w:top w:val="nil"/>
            </w:tcBorders>
            <w:shd w:val="clear" w:color="auto" w:fill="auto"/>
            <w:noWrap/>
          </w:tcPr>
          <w:p w14:paraId="753C6A91" w14:textId="77777777" w:rsidR="00612E70" w:rsidRPr="00612E70" w:rsidRDefault="00612E70" w:rsidP="00612E70">
            <w:pPr>
              <w:widowControl/>
              <w:spacing w:before="40" w:after="40" w:line="240" w:lineRule="auto"/>
              <w:jc w:val="center"/>
              <w:rPr>
                <w:rFonts w:ascii="Arial Narrow" w:hAnsi="Arial Narrow"/>
                <w:sz w:val="20"/>
                <w:szCs w:val="20"/>
              </w:rPr>
            </w:pPr>
            <w:r w:rsidRPr="00612E70">
              <w:rPr>
                <w:rFonts w:ascii="Arial Narrow" w:hAnsi="Arial Narrow"/>
                <w:sz w:val="20"/>
                <w:szCs w:val="20"/>
              </w:rPr>
              <w:t>100%</w:t>
            </w:r>
          </w:p>
        </w:tc>
      </w:tr>
      <w:tr w:rsidR="00612E70" w:rsidRPr="00612E70" w14:paraId="78478AC3" w14:textId="77777777" w:rsidTr="00E37FD3">
        <w:trPr>
          <w:trHeight w:val="60"/>
          <w:tblHeader/>
        </w:trPr>
        <w:tc>
          <w:tcPr>
            <w:tcW w:w="2487" w:type="pct"/>
            <w:shd w:val="clear" w:color="auto" w:fill="auto"/>
            <w:noWrap/>
            <w:vAlign w:val="center"/>
            <w:hideMark/>
          </w:tcPr>
          <w:p w14:paraId="598407CB" w14:textId="77777777" w:rsidR="00612E70" w:rsidRPr="00612E70" w:rsidRDefault="00612E70" w:rsidP="00612E70">
            <w:pPr>
              <w:widowControl/>
              <w:spacing w:before="40" w:after="40" w:line="240" w:lineRule="auto"/>
              <w:rPr>
                <w:rFonts w:ascii="Arial Narrow" w:hAnsi="Arial Narrow"/>
                <w:b/>
                <w:sz w:val="20"/>
                <w:szCs w:val="20"/>
                <w:highlight w:val="yellow"/>
              </w:rPr>
            </w:pPr>
            <w:r w:rsidRPr="00612E70">
              <w:rPr>
                <w:rFonts w:ascii="Arial Narrow" w:hAnsi="Arial Narrow"/>
                <w:b/>
                <w:sz w:val="20"/>
                <w:szCs w:val="20"/>
              </w:rPr>
              <w:t>Commentary: Total units of MCID of ASES score weighted for period [S = (MxPx6 + NxQx6 + OxRx12) ÷ 24]</w:t>
            </w:r>
          </w:p>
        </w:tc>
        <w:tc>
          <w:tcPr>
            <w:tcW w:w="1215" w:type="pct"/>
            <w:shd w:val="clear" w:color="auto" w:fill="auto"/>
            <w:vAlign w:val="center"/>
          </w:tcPr>
          <w:p w14:paraId="392BE3B1" w14:textId="77777777" w:rsidR="00612E70" w:rsidRPr="00612E70" w:rsidRDefault="00612E70" w:rsidP="00612E70">
            <w:pPr>
              <w:widowControl/>
              <w:spacing w:before="40" w:after="40" w:line="240" w:lineRule="auto"/>
              <w:jc w:val="center"/>
              <w:rPr>
                <w:rFonts w:ascii="Arial Narrow" w:hAnsi="Arial Narrow"/>
                <w:b/>
                <w:sz w:val="20"/>
                <w:szCs w:val="20"/>
              </w:rPr>
            </w:pPr>
            <w:r w:rsidRPr="00612E70">
              <w:rPr>
                <w:rFonts w:ascii="Arial Narrow" w:hAnsi="Arial Narrow"/>
                <w:b/>
                <w:sz w:val="20"/>
                <w:szCs w:val="20"/>
              </w:rPr>
              <w:t>0.64</w:t>
            </w:r>
          </w:p>
        </w:tc>
        <w:tc>
          <w:tcPr>
            <w:tcW w:w="1298" w:type="pct"/>
            <w:shd w:val="clear" w:color="auto" w:fill="auto"/>
            <w:vAlign w:val="center"/>
          </w:tcPr>
          <w:p w14:paraId="63CADB2F" w14:textId="77777777" w:rsidR="00612E70" w:rsidRPr="00612E70" w:rsidRDefault="00612E70" w:rsidP="00612E70">
            <w:pPr>
              <w:widowControl/>
              <w:spacing w:before="40" w:after="40" w:line="240" w:lineRule="auto"/>
              <w:jc w:val="center"/>
              <w:rPr>
                <w:rFonts w:ascii="Arial Narrow" w:hAnsi="Arial Narrow"/>
                <w:b/>
                <w:sz w:val="20"/>
                <w:szCs w:val="20"/>
              </w:rPr>
            </w:pPr>
            <w:r w:rsidRPr="00612E70">
              <w:rPr>
                <w:rFonts w:ascii="Arial Narrow" w:hAnsi="Arial Narrow"/>
                <w:b/>
                <w:sz w:val="20"/>
                <w:szCs w:val="20"/>
              </w:rPr>
              <w:t>0.58</w:t>
            </w:r>
          </w:p>
        </w:tc>
      </w:tr>
      <w:tr w:rsidR="00612E70" w:rsidRPr="00612E70" w14:paraId="4876F81E" w14:textId="77777777" w:rsidTr="00E37FD3">
        <w:trPr>
          <w:trHeight w:val="60"/>
          <w:tblHeader/>
        </w:trPr>
        <w:tc>
          <w:tcPr>
            <w:tcW w:w="2487" w:type="pct"/>
            <w:shd w:val="clear" w:color="auto" w:fill="auto"/>
            <w:noWrap/>
            <w:vAlign w:val="center"/>
          </w:tcPr>
          <w:p w14:paraId="6BA3623C" w14:textId="1D5D1B39" w:rsidR="00612E70" w:rsidRPr="006C19B7" w:rsidRDefault="00F41629" w:rsidP="00612E70">
            <w:pPr>
              <w:widowControl/>
              <w:spacing w:before="40" w:after="40" w:line="240" w:lineRule="auto"/>
              <w:rPr>
                <w:rFonts w:ascii="Arial Narrow" w:hAnsi="Arial Narrow"/>
                <w:b/>
                <w:i/>
                <w:iCs/>
                <w:sz w:val="20"/>
                <w:szCs w:val="20"/>
              </w:rPr>
            </w:pPr>
            <w:r w:rsidRPr="006C19B7">
              <w:rPr>
                <w:rFonts w:ascii="Arial Narrow" w:hAnsi="Arial Narrow"/>
                <w:b/>
                <w:i/>
                <w:iCs/>
                <w:sz w:val="20"/>
                <w:szCs w:val="20"/>
              </w:rPr>
              <w:t xml:space="preserve">ESC </w:t>
            </w:r>
            <w:r w:rsidR="006C19B7">
              <w:rPr>
                <w:rFonts w:ascii="Arial Narrow" w:hAnsi="Arial Narrow"/>
                <w:b/>
                <w:i/>
                <w:iCs/>
                <w:sz w:val="20"/>
                <w:szCs w:val="20"/>
              </w:rPr>
              <w:t>corrected</w:t>
            </w:r>
            <w:r w:rsidR="00612E70" w:rsidRPr="006C19B7">
              <w:rPr>
                <w:rFonts w:ascii="Arial Narrow" w:hAnsi="Arial Narrow"/>
                <w:b/>
                <w:i/>
                <w:iCs/>
                <w:sz w:val="20"/>
                <w:szCs w:val="20"/>
              </w:rPr>
              <w:t xml:space="preserve"> [T = M + N + O]</w:t>
            </w:r>
          </w:p>
        </w:tc>
        <w:tc>
          <w:tcPr>
            <w:tcW w:w="1215" w:type="pct"/>
            <w:shd w:val="clear" w:color="auto" w:fill="auto"/>
            <w:vAlign w:val="center"/>
          </w:tcPr>
          <w:p w14:paraId="75FC7A53" w14:textId="75B32597" w:rsidR="00612E70" w:rsidRPr="006C19B7" w:rsidRDefault="00612E70" w:rsidP="00612E70">
            <w:pPr>
              <w:widowControl/>
              <w:spacing w:before="40" w:after="40" w:line="240" w:lineRule="auto"/>
              <w:jc w:val="center"/>
              <w:rPr>
                <w:rFonts w:ascii="Arial Narrow" w:hAnsi="Arial Narrow"/>
                <w:b/>
                <w:i/>
                <w:iCs/>
                <w:sz w:val="20"/>
                <w:szCs w:val="20"/>
              </w:rPr>
            </w:pPr>
            <w:r w:rsidRPr="006C19B7">
              <w:rPr>
                <w:rFonts w:ascii="Arial Narrow" w:hAnsi="Arial Narrow"/>
                <w:b/>
                <w:i/>
                <w:iCs/>
                <w:sz w:val="20"/>
                <w:szCs w:val="20"/>
              </w:rPr>
              <w:t>2.5</w:t>
            </w:r>
            <w:r w:rsidR="004163B6" w:rsidRPr="006C19B7">
              <w:rPr>
                <w:rFonts w:ascii="Arial Narrow" w:hAnsi="Arial Narrow"/>
                <w:b/>
                <w:i/>
                <w:iCs/>
                <w:sz w:val="20"/>
                <w:szCs w:val="20"/>
              </w:rPr>
              <w:t>1</w:t>
            </w:r>
          </w:p>
        </w:tc>
        <w:tc>
          <w:tcPr>
            <w:tcW w:w="1298" w:type="pct"/>
            <w:shd w:val="clear" w:color="auto" w:fill="auto"/>
            <w:vAlign w:val="center"/>
          </w:tcPr>
          <w:p w14:paraId="71EDBCF5" w14:textId="77634C69" w:rsidR="00612E70" w:rsidRPr="006C19B7" w:rsidRDefault="00612E70" w:rsidP="00612E70">
            <w:pPr>
              <w:widowControl/>
              <w:spacing w:before="40" w:after="40" w:line="240" w:lineRule="auto"/>
              <w:jc w:val="center"/>
              <w:rPr>
                <w:rFonts w:ascii="Arial Narrow" w:hAnsi="Arial Narrow"/>
                <w:b/>
                <w:i/>
                <w:iCs/>
                <w:sz w:val="20"/>
                <w:szCs w:val="20"/>
              </w:rPr>
            </w:pPr>
            <w:r w:rsidRPr="006C19B7">
              <w:rPr>
                <w:rFonts w:ascii="Arial Narrow" w:hAnsi="Arial Narrow"/>
                <w:b/>
                <w:i/>
                <w:iCs/>
                <w:sz w:val="20"/>
                <w:szCs w:val="20"/>
              </w:rPr>
              <w:t>2.0</w:t>
            </w:r>
            <w:r w:rsidR="004163B6" w:rsidRPr="006C19B7">
              <w:rPr>
                <w:rFonts w:ascii="Arial Narrow" w:hAnsi="Arial Narrow"/>
                <w:b/>
                <w:i/>
                <w:iCs/>
                <w:sz w:val="20"/>
                <w:szCs w:val="20"/>
              </w:rPr>
              <w:t>5</w:t>
            </w:r>
          </w:p>
        </w:tc>
      </w:tr>
    </w:tbl>
    <w:p w14:paraId="17196D25" w14:textId="563B27E2" w:rsidR="00612E70" w:rsidRPr="00612E70" w:rsidRDefault="00612E70" w:rsidP="00612E70">
      <w:pPr>
        <w:widowControl/>
        <w:spacing w:after="240"/>
        <w:contextualSpacing/>
        <w:jc w:val="both"/>
        <w:rPr>
          <w:rFonts w:ascii="Arial Narrow" w:hAnsi="Arial Narrow" w:cs="Arial"/>
          <w:sz w:val="18"/>
        </w:rPr>
      </w:pPr>
      <w:r w:rsidRPr="00612E70">
        <w:rPr>
          <w:rFonts w:ascii="Arial Narrow" w:hAnsi="Arial Narrow" w:cs="Arial"/>
          <w:sz w:val="18"/>
        </w:rPr>
        <w:t>Source: Commentary Table 3 and Table 59, pp141 and 144 of the MSAC application 1593.1 ADAR + In line commentary; Table 1, pg6 of applicant’s Pre-ESC Response;</w:t>
      </w:r>
      <w:r w:rsidR="00006904">
        <w:rPr>
          <w:rFonts w:ascii="Arial Narrow" w:hAnsi="Arial Narrow" w:cs="Arial"/>
          <w:sz w:val="18"/>
        </w:rPr>
        <w:t xml:space="preserve"> </w:t>
      </w:r>
      <w:r w:rsidRPr="00612E70">
        <w:rPr>
          <w:rFonts w:ascii="Arial Narrow" w:hAnsi="Arial Narrow" w:cs="Arial"/>
          <w:sz w:val="18"/>
        </w:rPr>
        <w:t xml:space="preserve">Tab “5. </w:t>
      </w:r>
      <w:proofErr w:type="spellStart"/>
      <w:r w:rsidRPr="00612E70">
        <w:rPr>
          <w:rFonts w:ascii="Arial Narrow" w:hAnsi="Arial Narrow" w:cs="Arial"/>
          <w:sz w:val="18"/>
        </w:rPr>
        <w:t>PTT_Calculations</w:t>
      </w:r>
      <w:proofErr w:type="spellEnd"/>
      <w:r w:rsidRPr="00612E70">
        <w:rPr>
          <w:rFonts w:ascii="Arial Narrow" w:hAnsi="Arial Narrow" w:cs="Arial"/>
          <w:sz w:val="18"/>
        </w:rPr>
        <w:t xml:space="preserve">” in Excel workbook titled “Economic </w:t>
      </w:r>
      <w:proofErr w:type="spellStart"/>
      <w:r w:rsidRPr="00612E70">
        <w:rPr>
          <w:rFonts w:ascii="Arial Narrow" w:hAnsi="Arial Narrow" w:cs="Arial"/>
          <w:sz w:val="18"/>
        </w:rPr>
        <w:t>Evaluation_REGENETEN</w:t>
      </w:r>
      <w:proofErr w:type="spellEnd"/>
      <w:r w:rsidRPr="00612E70">
        <w:rPr>
          <w:rFonts w:ascii="Arial Narrow" w:hAnsi="Arial Narrow" w:cs="Arial"/>
          <w:sz w:val="18"/>
        </w:rPr>
        <w:t>” supplied with the ADAR.</w:t>
      </w:r>
    </w:p>
    <w:p w14:paraId="21387DFD" w14:textId="5B9C740D" w:rsidR="00265020" w:rsidRPr="00E812C7" w:rsidRDefault="00612E70" w:rsidP="00E812C7">
      <w:pPr>
        <w:widowControl/>
        <w:spacing w:after="240"/>
        <w:jc w:val="both"/>
        <w:rPr>
          <w:rFonts w:ascii="Arial Narrow" w:hAnsi="Arial Narrow" w:cs="Arial"/>
          <w:sz w:val="18"/>
        </w:rPr>
      </w:pPr>
      <w:r w:rsidRPr="00612E70">
        <w:rPr>
          <w:rFonts w:ascii="Arial Narrow" w:hAnsi="Arial Narrow" w:cs="Arial"/>
          <w:sz w:val="18"/>
        </w:rPr>
        <w:t>Abbreviations: ADAR = Applicant Developed Assessment Report; ASES = American Shoulder and Elbow Society; MCID = Minimal clinically important difference.</w:t>
      </w:r>
    </w:p>
    <w:p w14:paraId="13E95AD3" w14:textId="523B2BB5" w:rsidR="002B4F0C" w:rsidRPr="003B4E46" w:rsidRDefault="002B4F0C" w:rsidP="003B4E46">
      <w:pPr>
        <w:rPr>
          <w:b/>
          <w:bCs/>
          <w:i/>
          <w:iCs/>
          <w:color w:val="0070C0"/>
        </w:rPr>
      </w:pPr>
      <w:r w:rsidRPr="003B4E46">
        <w:rPr>
          <w:b/>
          <w:bCs/>
        </w:rPr>
        <w:t>Health care resource use and costs</w:t>
      </w:r>
    </w:p>
    <w:p w14:paraId="26C1B644" w14:textId="523302BA" w:rsidR="0027134C" w:rsidRDefault="0027134C" w:rsidP="003B4E46">
      <w:r>
        <w:t>The ADAR included relevant device and material costs in both intervention and comparator arms and the commentary considered these costs appropriate</w:t>
      </w:r>
      <w:r w:rsidR="00EB1F6E">
        <w:t>.</w:t>
      </w:r>
      <w:r w:rsidR="00F96489">
        <w:t xml:space="preserve"> </w:t>
      </w:r>
      <w:r w:rsidR="00EB1F6E">
        <w:t>H</w:t>
      </w:r>
      <w:r w:rsidR="00F96489">
        <w:t>owever, cost inputs needed to be updated based most recent fee updates</w:t>
      </w:r>
      <w:r>
        <w:t xml:space="preserve">. The ADAR did not include costs based on surgical time as REGENETEN </w:t>
      </w:r>
      <w:r w:rsidR="002C3C98">
        <w:t>wa</w:t>
      </w:r>
      <w:r>
        <w:t xml:space="preserve">s not expected to increase surgical time for </w:t>
      </w:r>
      <w:r w:rsidR="00895086">
        <w:t>Population 1</w:t>
      </w:r>
      <w:r>
        <w:t xml:space="preserve">. The ADAR also assumed that the costs associated with operating theatre and with rehabilitation following the surgical procedure were the same between REGENETEN and standard of care. Hence, these costs were not included in the model, which </w:t>
      </w:r>
      <w:r w:rsidR="008862EA">
        <w:t>wa</w:t>
      </w:r>
      <w:r>
        <w:t>s reasonable.</w:t>
      </w:r>
    </w:p>
    <w:p w14:paraId="5F9B3C68" w14:textId="77777777" w:rsidR="002B4F0C" w:rsidRPr="006F15B1" w:rsidRDefault="002B4F0C" w:rsidP="00B821D3">
      <w:pPr>
        <w:pStyle w:val="Heading4"/>
      </w:pPr>
      <w:r w:rsidRPr="006F15B1">
        <w:t>Results of the economic evaluation</w:t>
      </w:r>
    </w:p>
    <w:p w14:paraId="7C43CF49" w14:textId="651919CB" w:rsidR="00A01DA2" w:rsidRPr="00B821D3" w:rsidRDefault="00A01DA2" w:rsidP="006F15B1">
      <w:pPr>
        <w:rPr>
          <w:b/>
          <w:bCs/>
        </w:rPr>
      </w:pPr>
      <w:r w:rsidRPr="00B821D3">
        <w:rPr>
          <w:b/>
          <w:bCs/>
        </w:rPr>
        <w:t>Base case</w:t>
      </w:r>
    </w:p>
    <w:p w14:paraId="75385D89" w14:textId="0A041BE5" w:rsidR="00430AB0" w:rsidRDefault="0027134C" w:rsidP="003B4E46">
      <w:r>
        <w:t xml:space="preserve">The ADAR presented a trial-based analysis for a </w:t>
      </w:r>
      <w:r w:rsidR="009465E5">
        <w:t>two-year</w:t>
      </w:r>
      <w:r>
        <w:t xml:space="preserve"> time </w:t>
      </w:r>
      <w:r w:rsidR="002B4F0C">
        <w:t xml:space="preserve">horizon to obtain the base case results. </w:t>
      </w:r>
      <w:r w:rsidR="002B4F0C" w:rsidRPr="00305AB5">
        <w:fldChar w:fldCharType="begin"/>
      </w:r>
      <w:r w:rsidR="002B4F0C" w:rsidRPr="00305AB5">
        <w:instrText xml:space="preserve"> REF _Ref163179940 \h  \* MERGEFORMAT </w:instrText>
      </w:r>
      <w:r w:rsidR="002B4F0C" w:rsidRPr="00305AB5">
        <w:fldChar w:fldCharType="separate"/>
      </w:r>
      <w:r w:rsidR="00BC66E4" w:rsidRPr="00E37FD3">
        <w:rPr>
          <w:rFonts w:eastAsia="Times New Roman" w:cstheme="minorHAnsi"/>
        </w:rPr>
        <w:t xml:space="preserve">Table </w:t>
      </w:r>
      <w:r w:rsidR="005E0D5F" w:rsidRPr="00E37FD3">
        <w:rPr>
          <w:rFonts w:eastAsia="Times New Roman" w:cstheme="minorHAnsi"/>
          <w:noProof/>
        </w:rPr>
        <w:t>11</w:t>
      </w:r>
      <w:r w:rsidR="002B4F0C" w:rsidRPr="00305AB5">
        <w:fldChar w:fldCharType="end"/>
      </w:r>
      <w:r w:rsidR="002B4F0C">
        <w:t xml:space="preserve"> </w:t>
      </w:r>
      <w:r w:rsidR="00BC66E4">
        <w:t xml:space="preserve">presents </w:t>
      </w:r>
      <w:r w:rsidR="000C6BD2">
        <w:t xml:space="preserve">the </w:t>
      </w:r>
      <w:r w:rsidR="00BC66E4">
        <w:t>results in the base case</w:t>
      </w:r>
      <w:r w:rsidR="002B4F0C">
        <w:t xml:space="preserve">. </w:t>
      </w:r>
    </w:p>
    <w:p w14:paraId="225118B0" w14:textId="79A0F7C8" w:rsidR="002B4F0C" w:rsidRPr="00634E65" w:rsidRDefault="002B4F0C" w:rsidP="007F5E94">
      <w:pPr>
        <w:keepNext/>
        <w:spacing w:before="360" w:after="120" w:line="240" w:lineRule="auto"/>
        <w:rPr>
          <w:rFonts w:ascii="Arial Narrow" w:eastAsia="Times New Roman" w:hAnsi="Arial Narrow" w:cs="Times New Roman"/>
          <w:b/>
          <w:bCs/>
          <w:sz w:val="20"/>
          <w:szCs w:val="20"/>
        </w:rPr>
      </w:pPr>
      <w:bookmarkStart w:id="61" w:name="_Ref163179940"/>
      <w:r w:rsidRPr="00634E65">
        <w:rPr>
          <w:rFonts w:ascii="Arial Narrow" w:eastAsia="Times New Roman" w:hAnsi="Arial Narrow" w:cs="Times New Roman"/>
          <w:b/>
          <w:bCs/>
          <w:sz w:val="20"/>
          <w:szCs w:val="20"/>
        </w:rPr>
        <w:lastRenderedPageBreak/>
        <w:t xml:space="preserve">Table </w:t>
      </w:r>
      <w:r w:rsidRPr="00634E65">
        <w:rPr>
          <w:rFonts w:ascii="Arial Narrow" w:eastAsia="Times New Roman" w:hAnsi="Arial Narrow" w:cs="Times New Roman"/>
          <w:b/>
          <w:bCs/>
          <w:sz w:val="20"/>
          <w:szCs w:val="20"/>
        </w:rPr>
        <w:fldChar w:fldCharType="begin"/>
      </w:r>
      <w:r w:rsidRPr="00634E65">
        <w:rPr>
          <w:rFonts w:ascii="Arial Narrow" w:eastAsia="Times New Roman" w:hAnsi="Arial Narrow" w:cs="Times New Roman"/>
          <w:b/>
          <w:bCs/>
          <w:sz w:val="20"/>
          <w:szCs w:val="20"/>
        </w:rPr>
        <w:instrText xml:space="preserve"> SEQ Table \* ARABIC </w:instrText>
      </w:r>
      <w:r w:rsidRPr="00634E65">
        <w:rPr>
          <w:rFonts w:ascii="Arial Narrow" w:eastAsia="Times New Roman" w:hAnsi="Arial Narrow" w:cs="Times New Roman"/>
          <w:b/>
          <w:bCs/>
          <w:sz w:val="20"/>
          <w:szCs w:val="20"/>
        </w:rPr>
        <w:fldChar w:fldCharType="separate"/>
      </w:r>
      <w:r w:rsidR="005E0D5F">
        <w:rPr>
          <w:rFonts w:ascii="Arial Narrow" w:eastAsia="Times New Roman" w:hAnsi="Arial Narrow" w:cs="Times New Roman"/>
          <w:b/>
          <w:bCs/>
          <w:noProof/>
          <w:sz w:val="20"/>
          <w:szCs w:val="20"/>
        </w:rPr>
        <w:t>11</w:t>
      </w:r>
      <w:r w:rsidRPr="00634E65">
        <w:rPr>
          <w:rFonts w:ascii="Arial Narrow" w:eastAsia="Times New Roman" w:hAnsi="Arial Narrow" w:cs="Times New Roman"/>
          <w:b/>
          <w:bCs/>
          <w:sz w:val="20"/>
          <w:szCs w:val="20"/>
        </w:rPr>
        <w:fldChar w:fldCharType="end"/>
      </w:r>
      <w:bookmarkEnd w:id="61"/>
      <w:r w:rsidRPr="00634E65">
        <w:rPr>
          <w:rFonts w:ascii="Arial Narrow" w:eastAsia="Times New Roman" w:hAnsi="Arial Narrow" w:cs="Times New Roman"/>
          <w:b/>
          <w:bCs/>
          <w:sz w:val="20"/>
          <w:szCs w:val="20"/>
        </w:rPr>
        <w:t xml:space="preserve">: </w:t>
      </w:r>
      <w:r w:rsidR="00895086">
        <w:rPr>
          <w:rFonts w:ascii="Arial Narrow" w:eastAsia="Times New Roman" w:hAnsi="Arial Narrow" w:cs="Times New Roman"/>
          <w:b/>
          <w:bCs/>
          <w:sz w:val="20"/>
          <w:szCs w:val="20"/>
        </w:rPr>
        <w:t>Population 1</w:t>
      </w:r>
      <w:r w:rsidRPr="00634E65">
        <w:rPr>
          <w:rFonts w:ascii="Arial Narrow" w:eastAsia="Times New Roman" w:hAnsi="Arial Narrow" w:cs="Times New Roman"/>
          <w:b/>
          <w:bCs/>
          <w:sz w:val="20"/>
          <w:szCs w:val="20"/>
        </w:rPr>
        <w:t xml:space="preserve"> (PTRCT): base-case results </w:t>
      </w:r>
    </w:p>
    <w:tbl>
      <w:tblPr>
        <w:tblStyle w:val="TableGrid"/>
        <w:tblW w:w="5000" w:type="pct"/>
        <w:tblLook w:val="04A0" w:firstRow="1" w:lastRow="0" w:firstColumn="1" w:lastColumn="0" w:noHBand="0" w:noVBand="1"/>
      </w:tblPr>
      <w:tblGrid>
        <w:gridCol w:w="1221"/>
        <w:gridCol w:w="1931"/>
        <w:gridCol w:w="1544"/>
        <w:gridCol w:w="1544"/>
        <w:gridCol w:w="1544"/>
        <w:gridCol w:w="1232"/>
      </w:tblGrid>
      <w:tr w:rsidR="00BC66E4" w:rsidRPr="00BC66E4" w14:paraId="26D65F9C" w14:textId="77777777" w:rsidTr="00921BA1">
        <w:trPr>
          <w:tblHeader/>
        </w:trPr>
        <w:tc>
          <w:tcPr>
            <w:tcW w:w="677" w:type="pct"/>
          </w:tcPr>
          <w:p w14:paraId="40A6FAA6" w14:textId="77777777" w:rsidR="00BC66E4" w:rsidRPr="00BC66E4" w:rsidRDefault="00BC66E4" w:rsidP="00BC66E4">
            <w:pPr>
              <w:widowControl/>
              <w:spacing w:before="40" w:after="40"/>
              <w:rPr>
                <w:rFonts w:ascii="Arial Narrow" w:hAnsi="Arial Narrow"/>
                <w:b/>
                <w:bCs/>
                <w:sz w:val="20"/>
              </w:rPr>
            </w:pPr>
          </w:p>
        </w:tc>
        <w:tc>
          <w:tcPr>
            <w:tcW w:w="1071" w:type="pct"/>
            <w:vAlign w:val="center"/>
          </w:tcPr>
          <w:p w14:paraId="60EA8240" w14:textId="77777777" w:rsidR="00BC66E4" w:rsidRPr="00BC66E4" w:rsidRDefault="00BC66E4" w:rsidP="00BC66E4">
            <w:pPr>
              <w:widowControl/>
              <w:spacing w:before="40" w:after="40"/>
              <w:rPr>
                <w:rFonts w:ascii="Arial Narrow" w:hAnsi="Arial Narrow"/>
                <w:b/>
                <w:bCs/>
                <w:sz w:val="20"/>
              </w:rPr>
            </w:pPr>
            <w:r w:rsidRPr="00BC66E4">
              <w:rPr>
                <w:rFonts w:ascii="Arial Narrow" w:hAnsi="Arial Narrow"/>
                <w:b/>
                <w:bCs/>
                <w:sz w:val="20"/>
              </w:rPr>
              <w:t>Outcome measure</w:t>
            </w:r>
          </w:p>
        </w:tc>
        <w:tc>
          <w:tcPr>
            <w:tcW w:w="856" w:type="pct"/>
            <w:vAlign w:val="center"/>
          </w:tcPr>
          <w:p w14:paraId="1F93CA30" w14:textId="77777777" w:rsidR="00BC66E4" w:rsidRPr="00BC66E4" w:rsidRDefault="00BC66E4" w:rsidP="00BC66E4">
            <w:pPr>
              <w:widowControl/>
              <w:spacing w:before="40" w:after="40"/>
              <w:jc w:val="center"/>
              <w:rPr>
                <w:rFonts w:ascii="Arial Narrow" w:hAnsi="Arial Narrow"/>
                <w:b/>
                <w:bCs/>
                <w:sz w:val="20"/>
              </w:rPr>
            </w:pPr>
            <w:r w:rsidRPr="00BC66E4">
              <w:rPr>
                <w:rFonts w:ascii="Arial Narrow" w:hAnsi="Arial Narrow"/>
                <w:b/>
                <w:bCs/>
                <w:sz w:val="20"/>
                <w:szCs w:val="20"/>
              </w:rPr>
              <w:t>Standard surgical repair with REGENETEN</w:t>
            </w:r>
          </w:p>
        </w:tc>
        <w:tc>
          <w:tcPr>
            <w:tcW w:w="856" w:type="pct"/>
            <w:vAlign w:val="center"/>
          </w:tcPr>
          <w:p w14:paraId="03C04D5C" w14:textId="77777777" w:rsidR="00BC66E4" w:rsidRPr="00BC66E4" w:rsidRDefault="00BC66E4" w:rsidP="00BC66E4">
            <w:pPr>
              <w:widowControl/>
              <w:spacing w:before="40" w:after="40"/>
              <w:jc w:val="center"/>
              <w:rPr>
                <w:rFonts w:ascii="Arial Narrow" w:hAnsi="Arial Narrow"/>
                <w:b/>
                <w:bCs/>
                <w:sz w:val="20"/>
              </w:rPr>
            </w:pPr>
            <w:r w:rsidRPr="00BC66E4">
              <w:rPr>
                <w:rFonts w:ascii="Arial Narrow" w:hAnsi="Arial Narrow"/>
                <w:b/>
                <w:bCs/>
                <w:sz w:val="20"/>
                <w:szCs w:val="20"/>
              </w:rPr>
              <w:t>Standard surgical repair without REGENETEN</w:t>
            </w:r>
          </w:p>
        </w:tc>
        <w:tc>
          <w:tcPr>
            <w:tcW w:w="856" w:type="pct"/>
            <w:vAlign w:val="center"/>
          </w:tcPr>
          <w:p w14:paraId="03648590" w14:textId="77777777" w:rsidR="00BC66E4" w:rsidRPr="00BC66E4" w:rsidRDefault="00BC66E4" w:rsidP="00BC66E4">
            <w:pPr>
              <w:widowControl/>
              <w:spacing w:before="40" w:after="40"/>
              <w:jc w:val="center"/>
              <w:rPr>
                <w:rFonts w:ascii="Arial Narrow" w:hAnsi="Arial Narrow"/>
                <w:b/>
                <w:bCs/>
                <w:sz w:val="20"/>
              </w:rPr>
            </w:pPr>
            <w:r w:rsidRPr="00BC66E4">
              <w:rPr>
                <w:rFonts w:ascii="Arial Narrow" w:hAnsi="Arial Narrow"/>
                <w:b/>
                <w:bCs/>
                <w:sz w:val="20"/>
              </w:rPr>
              <w:t>Difference</w:t>
            </w:r>
          </w:p>
        </w:tc>
        <w:tc>
          <w:tcPr>
            <w:tcW w:w="683" w:type="pct"/>
            <w:vAlign w:val="center"/>
          </w:tcPr>
          <w:p w14:paraId="42648F33" w14:textId="77777777" w:rsidR="00BC66E4" w:rsidRPr="00BC66E4" w:rsidRDefault="00BC66E4" w:rsidP="00BC66E4">
            <w:pPr>
              <w:widowControl/>
              <w:spacing w:before="40" w:after="40"/>
              <w:jc w:val="center"/>
              <w:rPr>
                <w:rFonts w:ascii="Arial Narrow" w:hAnsi="Arial Narrow"/>
                <w:b/>
                <w:bCs/>
                <w:sz w:val="20"/>
              </w:rPr>
            </w:pPr>
            <w:r w:rsidRPr="00BC66E4">
              <w:rPr>
                <w:rFonts w:ascii="Arial Narrow" w:hAnsi="Arial Narrow"/>
                <w:b/>
                <w:bCs/>
                <w:sz w:val="20"/>
              </w:rPr>
              <w:t>ICER (per additional unit of MCID of ASES score)</w:t>
            </w:r>
          </w:p>
        </w:tc>
      </w:tr>
      <w:tr w:rsidR="00BC66E4" w:rsidRPr="00BC66E4" w14:paraId="67931F6F" w14:textId="77777777" w:rsidTr="00921BA1">
        <w:tc>
          <w:tcPr>
            <w:tcW w:w="677" w:type="pct"/>
          </w:tcPr>
          <w:p w14:paraId="091EB379" w14:textId="1CF6A13D" w:rsidR="00BC66E4" w:rsidRPr="00BC66E4" w:rsidRDefault="00863B69" w:rsidP="00BC66E4">
            <w:pPr>
              <w:widowControl/>
              <w:spacing w:before="40" w:after="40"/>
              <w:rPr>
                <w:rFonts w:ascii="Arial Narrow" w:hAnsi="Arial Narrow"/>
                <w:sz w:val="20"/>
                <w:szCs w:val="20"/>
                <w:lang w:eastAsia="en-AU"/>
              </w:rPr>
            </w:pPr>
            <w:r>
              <w:rPr>
                <w:rFonts w:ascii="Arial Narrow" w:hAnsi="Arial Narrow"/>
                <w:sz w:val="20"/>
                <w:szCs w:val="20"/>
                <w:lang w:eastAsia="en-AU"/>
              </w:rPr>
              <w:t>Base case</w:t>
            </w:r>
          </w:p>
        </w:tc>
        <w:tc>
          <w:tcPr>
            <w:tcW w:w="1071" w:type="pct"/>
            <w:vAlign w:val="center"/>
          </w:tcPr>
          <w:p w14:paraId="79D7ED97" w14:textId="77777777" w:rsidR="00BC66E4" w:rsidRPr="00BC66E4" w:rsidRDefault="00BC66E4" w:rsidP="00BC66E4">
            <w:pPr>
              <w:widowControl/>
              <w:spacing w:before="40" w:after="40"/>
              <w:rPr>
                <w:rFonts w:ascii="Arial Narrow" w:hAnsi="Arial Narrow"/>
                <w:sz w:val="20"/>
              </w:rPr>
            </w:pPr>
            <w:r w:rsidRPr="00BC66E4">
              <w:rPr>
                <w:rFonts w:ascii="Arial Narrow" w:hAnsi="Arial Narrow"/>
                <w:sz w:val="20"/>
                <w:szCs w:val="20"/>
                <w:lang w:eastAsia="en-AU"/>
              </w:rPr>
              <w:t>Costs with surgical devices</w:t>
            </w:r>
          </w:p>
        </w:tc>
        <w:tc>
          <w:tcPr>
            <w:tcW w:w="856" w:type="pct"/>
            <w:vAlign w:val="center"/>
          </w:tcPr>
          <w:p w14:paraId="6BC2A261" w14:textId="7CBD96C2" w:rsidR="00BC66E4" w:rsidRPr="00BC66E4" w:rsidRDefault="00052DE7" w:rsidP="00BC66E4">
            <w:pPr>
              <w:widowControl/>
              <w:spacing w:before="40" w:after="40"/>
              <w:jc w:val="center"/>
              <w:rPr>
                <w:rFonts w:ascii="Arial Narrow" w:hAnsi="Arial Narrow"/>
                <w:sz w:val="20"/>
              </w:rPr>
            </w:pPr>
            <w:r>
              <w:rPr>
                <w:b/>
                <w:bCs/>
              </w:rPr>
              <w:t>$</w:t>
            </w:r>
            <w:r w:rsidR="006414CA" w:rsidRPr="00DC01E7">
              <w:rPr>
                <w:b/>
                <w:bCs/>
              </w:rPr>
              <w:t>redacted</w:t>
            </w:r>
          </w:p>
        </w:tc>
        <w:tc>
          <w:tcPr>
            <w:tcW w:w="856" w:type="pct"/>
            <w:shd w:val="clear" w:color="auto" w:fill="auto"/>
            <w:vAlign w:val="center"/>
          </w:tcPr>
          <w:p w14:paraId="24DC4C11" w14:textId="649B9A4C" w:rsidR="00BC66E4" w:rsidRPr="00BC66E4" w:rsidRDefault="00052DE7" w:rsidP="00BC66E4">
            <w:pPr>
              <w:widowControl/>
              <w:spacing w:before="40" w:after="40"/>
              <w:jc w:val="center"/>
              <w:rPr>
                <w:rFonts w:ascii="Arial Narrow" w:hAnsi="Arial Narrow"/>
                <w:sz w:val="20"/>
              </w:rPr>
            </w:pPr>
            <w:r>
              <w:rPr>
                <w:b/>
                <w:bCs/>
              </w:rPr>
              <w:t>$</w:t>
            </w:r>
            <w:r w:rsidR="00BC66E4" w:rsidRPr="00BC66E4">
              <w:rPr>
                <w:rFonts w:ascii="Arial Narrow" w:hAnsi="Arial Narrow"/>
                <w:sz w:val="20"/>
                <w:szCs w:val="20"/>
                <w:lang w:eastAsia="en-AU"/>
              </w:rPr>
              <w:t>$2,136</w:t>
            </w:r>
          </w:p>
        </w:tc>
        <w:tc>
          <w:tcPr>
            <w:tcW w:w="856" w:type="pct"/>
            <w:vAlign w:val="center"/>
          </w:tcPr>
          <w:p w14:paraId="325EE026" w14:textId="104D88AA" w:rsidR="00BC66E4" w:rsidRPr="00BC66E4" w:rsidRDefault="00052DE7" w:rsidP="00BC66E4">
            <w:pPr>
              <w:widowControl/>
              <w:spacing w:before="40" w:after="40"/>
              <w:jc w:val="center"/>
              <w:rPr>
                <w:rFonts w:ascii="Arial Narrow" w:hAnsi="Arial Narrow"/>
                <w:sz w:val="20"/>
              </w:rPr>
            </w:pPr>
            <w:r>
              <w:rPr>
                <w:b/>
                <w:bCs/>
              </w:rPr>
              <w:t>$</w:t>
            </w:r>
            <w:r w:rsidR="00CC3FF1" w:rsidRPr="00DC01E7">
              <w:rPr>
                <w:b/>
                <w:bCs/>
              </w:rPr>
              <w:t>redacted</w:t>
            </w:r>
            <w:r w:rsidR="00BC66E4" w:rsidRPr="00BC66E4">
              <w:rPr>
                <w:rFonts w:ascii="Arial Narrow" w:hAnsi="Arial Narrow"/>
                <w:sz w:val="20"/>
                <w:szCs w:val="20"/>
                <w:lang w:eastAsia="en-AU"/>
              </w:rPr>
              <w:t xml:space="preserve"> [A]</w:t>
            </w:r>
          </w:p>
        </w:tc>
        <w:tc>
          <w:tcPr>
            <w:tcW w:w="683" w:type="pct"/>
            <w:vAlign w:val="center"/>
          </w:tcPr>
          <w:p w14:paraId="7CC9DF94" w14:textId="77777777" w:rsidR="00BC66E4" w:rsidRPr="00BC66E4" w:rsidRDefault="00BC66E4" w:rsidP="00BC66E4">
            <w:pPr>
              <w:widowControl/>
              <w:spacing w:before="40" w:after="40"/>
              <w:jc w:val="center"/>
              <w:rPr>
                <w:rFonts w:ascii="Arial Narrow" w:hAnsi="Arial Narrow"/>
                <w:sz w:val="20"/>
                <w:szCs w:val="20"/>
                <w:lang w:eastAsia="en-AU"/>
              </w:rPr>
            </w:pPr>
            <w:r w:rsidRPr="00BC66E4">
              <w:rPr>
                <w:rFonts w:ascii="Arial Narrow" w:hAnsi="Arial Narrow"/>
                <w:sz w:val="20"/>
                <w:szCs w:val="20"/>
                <w:lang w:eastAsia="en-AU"/>
              </w:rPr>
              <w:t>–</w:t>
            </w:r>
          </w:p>
        </w:tc>
      </w:tr>
      <w:tr w:rsidR="00921BA1" w:rsidRPr="00BC66E4" w14:paraId="57E069E6" w14:textId="77777777" w:rsidTr="00240FC1">
        <w:tc>
          <w:tcPr>
            <w:tcW w:w="677" w:type="pct"/>
            <w:vAlign w:val="center"/>
          </w:tcPr>
          <w:p w14:paraId="1229CA1B" w14:textId="2DAECC90" w:rsidR="00921BA1" w:rsidRPr="00BC66E4" w:rsidRDefault="00921BA1" w:rsidP="00921BA1">
            <w:pPr>
              <w:widowControl/>
              <w:spacing w:before="40" w:after="40"/>
              <w:rPr>
                <w:rFonts w:ascii="Arial Narrow" w:hAnsi="Arial Narrow"/>
                <w:bCs/>
                <w:sz w:val="20"/>
                <w:szCs w:val="20"/>
              </w:rPr>
            </w:pPr>
            <w:r w:rsidRPr="00BC66E4">
              <w:rPr>
                <w:rFonts w:ascii="Arial Narrow" w:hAnsi="Arial Narrow"/>
                <w:sz w:val="20"/>
              </w:rPr>
              <w:t>ADAR’s base case</w:t>
            </w:r>
          </w:p>
        </w:tc>
        <w:tc>
          <w:tcPr>
            <w:tcW w:w="1071" w:type="pct"/>
            <w:shd w:val="clear" w:color="auto" w:fill="auto"/>
            <w:vAlign w:val="center"/>
          </w:tcPr>
          <w:p w14:paraId="683B2D0C" w14:textId="27AB9319" w:rsidR="00921BA1" w:rsidRPr="00BC66E4" w:rsidRDefault="00921BA1" w:rsidP="00921BA1">
            <w:pPr>
              <w:widowControl/>
              <w:spacing w:before="40" w:after="40"/>
              <w:rPr>
                <w:rFonts w:ascii="Arial Narrow" w:hAnsi="Arial Narrow"/>
                <w:bCs/>
                <w:sz w:val="20"/>
              </w:rPr>
            </w:pPr>
            <w:r w:rsidRPr="00BC66E4">
              <w:rPr>
                <w:rFonts w:ascii="Arial Narrow" w:hAnsi="Arial Narrow"/>
                <w:bCs/>
                <w:sz w:val="20"/>
                <w:szCs w:val="20"/>
              </w:rPr>
              <w:t>Total units of MCID of ASES score weighted for period</w:t>
            </w:r>
            <w:r>
              <w:rPr>
                <w:rFonts w:ascii="Arial Narrow" w:hAnsi="Arial Narrow"/>
                <w:bCs/>
                <w:sz w:val="20"/>
                <w:szCs w:val="20"/>
              </w:rPr>
              <w:t xml:space="preserve"> (</w:t>
            </w:r>
            <w:r w:rsidRPr="00DA5A4E">
              <w:rPr>
                <w:rFonts w:ascii="Arial Narrow" w:hAnsi="Arial Narrow"/>
                <w:bCs/>
                <w:sz w:val="20"/>
                <w:szCs w:val="20"/>
              </w:rPr>
              <w:fldChar w:fldCharType="begin"/>
            </w:r>
            <w:r w:rsidRPr="00DA5A4E">
              <w:rPr>
                <w:rFonts w:ascii="Arial Narrow" w:hAnsi="Arial Narrow"/>
                <w:bCs/>
                <w:sz w:val="20"/>
                <w:szCs w:val="20"/>
              </w:rPr>
              <w:instrText xml:space="preserve"> REF _Ref170207482 \h  \* MERGEFORMAT </w:instrText>
            </w:r>
            <w:r w:rsidRPr="00DA5A4E">
              <w:rPr>
                <w:rFonts w:ascii="Arial Narrow" w:hAnsi="Arial Narrow"/>
                <w:bCs/>
                <w:sz w:val="20"/>
                <w:szCs w:val="20"/>
              </w:rPr>
            </w:r>
            <w:r w:rsidRPr="00DA5A4E">
              <w:rPr>
                <w:rFonts w:ascii="Arial Narrow" w:hAnsi="Arial Narrow"/>
                <w:bCs/>
                <w:sz w:val="20"/>
                <w:szCs w:val="20"/>
              </w:rPr>
              <w:fldChar w:fldCharType="separate"/>
            </w:r>
            <w:r w:rsidRPr="00E37FD3">
              <w:rPr>
                <w:rFonts w:ascii="Arial Narrow" w:hAnsi="Arial Narrow"/>
                <w:sz w:val="20"/>
                <w:szCs w:val="20"/>
              </w:rPr>
              <w:t>Table 9</w:t>
            </w:r>
            <w:r w:rsidRPr="00DA5A4E">
              <w:rPr>
                <w:rFonts w:ascii="Arial Narrow" w:hAnsi="Arial Narrow"/>
                <w:bCs/>
                <w:sz w:val="20"/>
                <w:szCs w:val="20"/>
              </w:rPr>
              <w:fldChar w:fldCharType="end"/>
            </w:r>
            <w:r>
              <w:rPr>
                <w:rFonts w:ascii="Arial Narrow" w:hAnsi="Arial Narrow"/>
                <w:bCs/>
                <w:sz w:val="20"/>
                <w:szCs w:val="20"/>
              </w:rPr>
              <w:t>)</w:t>
            </w:r>
          </w:p>
        </w:tc>
        <w:tc>
          <w:tcPr>
            <w:tcW w:w="856" w:type="pct"/>
            <w:shd w:val="clear" w:color="auto" w:fill="auto"/>
          </w:tcPr>
          <w:p w14:paraId="413C0AE3" w14:textId="1F23AECA" w:rsidR="00921BA1" w:rsidRPr="00BC66E4" w:rsidRDefault="00921BA1" w:rsidP="00921BA1">
            <w:pPr>
              <w:widowControl/>
              <w:spacing w:before="40" w:after="40"/>
              <w:jc w:val="center"/>
              <w:rPr>
                <w:rFonts w:ascii="Arial Narrow" w:hAnsi="Arial Narrow"/>
                <w:bCs/>
                <w:sz w:val="20"/>
              </w:rPr>
            </w:pPr>
            <w:r w:rsidRPr="00BC66E4">
              <w:rPr>
                <w:rFonts w:ascii="Arial Narrow" w:hAnsi="Arial Narrow"/>
                <w:bCs/>
                <w:sz w:val="20"/>
                <w:szCs w:val="20"/>
              </w:rPr>
              <w:t>2.019</w:t>
            </w:r>
          </w:p>
        </w:tc>
        <w:tc>
          <w:tcPr>
            <w:tcW w:w="856" w:type="pct"/>
            <w:shd w:val="clear" w:color="auto" w:fill="auto"/>
          </w:tcPr>
          <w:p w14:paraId="377A8506" w14:textId="519CE610" w:rsidR="00921BA1" w:rsidRPr="00BC66E4" w:rsidRDefault="00921BA1" w:rsidP="00921BA1">
            <w:pPr>
              <w:widowControl/>
              <w:spacing w:before="40" w:after="40"/>
              <w:jc w:val="center"/>
              <w:rPr>
                <w:rFonts w:ascii="Arial Narrow" w:hAnsi="Arial Narrow"/>
                <w:bCs/>
                <w:sz w:val="20"/>
              </w:rPr>
            </w:pPr>
            <w:r w:rsidRPr="00BC66E4">
              <w:rPr>
                <w:rFonts w:ascii="Arial Narrow" w:hAnsi="Arial Narrow"/>
                <w:bCs/>
                <w:sz w:val="20"/>
                <w:szCs w:val="20"/>
              </w:rPr>
              <w:t>1.439</w:t>
            </w:r>
          </w:p>
        </w:tc>
        <w:tc>
          <w:tcPr>
            <w:tcW w:w="856" w:type="pct"/>
            <w:vAlign w:val="center"/>
          </w:tcPr>
          <w:p w14:paraId="724E19DC" w14:textId="719FEA35" w:rsidR="00921BA1" w:rsidRPr="00BC66E4" w:rsidRDefault="00921BA1" w:rsidP="00921BA1">
            <w:pPr>
              <w:widowControl/>
              <w:spacing w:before="40" w:after="40"/>
              <w:jc w:val="center"/>
              <w:rPr>
                <w:rFonts w:ascii="Arial Narrow" w:hAnsi="Arial Narrow"/>
                <w:bCs/>
                <w:sz w:val="20"/>
              </w:rPr>
            </w:pPr>
            <w:r w:rsidRPr="00BC66E4">
              <w:rPr>
                <w:rFonts w:ascii="Arial Narrow" w:hAnsi="Arial Narrow"/>
                <w:bCs/>
                <w:sz w:val="20"/>
              </w:rPr>
              <w:t>0.580 [B]</w:t>
            </w:r>
          </w:p>
        </w:tc>
        <w:tc>
          <w:tcPr>
            <w:tcW w:w="683" w:type="pct"/>
            <w:vAlign w:val="center"/>
          </w:tcPr>
          <w:p w14:paraId="3942EF3B" w14:textId="0980A2B9" w:rsidR="00921BA1" w:rsidRPr="00BC66E4" w:rsidRDefault="00052DE7" w:rsidP="00921BA1">
            <w:pPr>
              <w:widowControl/>
              <w:spacing w:before="40" w:after="40"/>
              <w:jc w:val="center"/>
              <w:rPr>
                <w:rFonts w:ascii="Arial Narrow" w:hAnsi="Arial Narrow"/>
                <w:bCs/>
                <w:sz w:val="20"/>
              </w:rPr>
            </w:pPr>
            <w:r>
              <w:rPr>
                <w:b/>
                <w:bCs/>
              </w:rPr>
              <w:t>$</w:t>
            </w:r>
            <w:r w:rsidR="00921BA1" w:rsidRPr="00E477C8">
              <w:rPr>
                <w:b/>
                <w:bCs/>
              </w:rPr>
              <w:t>redacted</w:t>
            </w:r>
            <w:r w:rsidR="00921BA1">
              <w:t xml:space="preserve"> </w:t>
            </w:r>
            <w:r w:rsidR="00921BA1" w:rsidRPr="00BC66E4">
              <w:rPr>
                <w:rFonts w:ascii="Arial Narrow" w:hAnsi="Arial Narrow"/>
                <w:sz w:val="20"/>
              </w:rPr>
              <w:t>[A/B]</w:t>
            </w:r>
          </w:p>
        </w:tc>
      </w:tr>
      <w:tr w:rsidR="00921BA1" w:rsidRPr="00BC66E4" w14:paraId="7B9EDC36" w14:textId="77777777" w:rsidTr="00240FC1">
        <w:tc>
          <w:tcPr>
            <w:tcW w:w="677" w:type="pct"/>
            <w:vAlign w:val="center"/>
          </w:tcPr>
          <w:p w14:paraId="574B70A0" w14:textId="77777777" w:rsidR="00921BA1" w:rsidRPr="00BC66E4" w:rsidRDefault="00921BA1" w:rsidP="00921BA1">
            <w:pPr>
              <w:widowControl/>
              <w:spacing w:before="40" w:after="40"/>
              <w:rPr>
                <w:rFonts w:ascii="Arial Narrow" w:hAnsi="Arial Narrow"/>
                <w:bCs/>
                <w:sz w:val="20"/>
                <w:szCs w:val="20"/>
              </w:rPr>
            </w:pPr>
            <w:r w:rsidRPr="00BC66E4">
              <w:rPr>
                <w:rFonts w:ascii="Arial Narrow" w:hAnsi="Arial Narrow"/>
                <w:sz w:val="20"/>
              </w:rPr>
              <w:t>Commentary alternative base case analysis</w:t>
            </w:r>
          </w:p>
        </w:tc>
        <w:tc>
          <w:tcPr>
            <w:tcW w:w="1071" w:type="pct"/>
            <w:shd w:val="clear" w:color="auto" w:fill="auto"/>
            <w:vAlign w:val="center"/>
          </w:tcPr>
          <w:p w14:paraId="042C7C53" w14:textId="5A160F86" w:rsidR="00921BA1" w:rsidRPr="00BC66E4" w:rsidRDefault="00921BA1" w:rsidP="00921BA1">
            <w:pPr>
              <w:widowControl/>
              <w:spacing w:before="40" w:after="40"/>
              <w:rPr>
                <w:rFonts w:ascii="Arial Narrow" w:hAnsi="Arial Narrow"/>
                <w:bCs/>
                <w:sz w:val="20"/>
              </w:rPr>
            </w:pPr>
            <w:r w:rsidRPr="00BC66E4">
              <w:rPr>
                <w:rFonts w:ascii="Arial Narrow" w:hAnsi="Arial Narrow"/>
                <w:bCs/>
                <w:sz w:val="20"/>
                <w:szCs w:val="20"/>
              </w:rPr>
              <w:t xml:space="preserve">Total units of MCID of ASES score weighted for period </w:t>
            </w:r>
            <w:r w:rsidRPr="00DA5A4E">
              <w:rPr>
                <w:rFonts w:ascii="Arial Narrow" w:hAnsi="Arial Narrow"/>
                <w:bCs/>
                <w:sz w:val="20"/>
                <w:szCs w:val="20"/>
              </w:rPr>
              <w:t>(</w:t>
            </w:r>
            <w:r w:rsidRPr="00DA5A4E">
              <w:rPr>
                <w:rFonts w:ascii="Arial Narrow" w:hAnsi="Arial Narrow"/>
                <w:bCs/>
                <w:sz w:val="20"/>
                <w:szCs w:val="20"/>
              </w:rPr>
              <w:fldChar w:fldCharType="begin"/>
            </w:r>
            <w:r w:rsidRPr="00DA5A4E">
              <w:rPr>
                <w:rFonts w:ascii="Arial Narrow" w:hAnsi="Arial Narrow"/>
                <w:bCs/>
                <w:sz w:val="20"/>
                <w:szCs w:val="20"/>
              </w:rPr>
              <w:instrText xml:space="preserve"> REF _Ref170207612 \h  \* MERGEFORMAT </w:instrText>
            </w:r>
            <w:r w:rsidRPr="00DA5A4E">
              <w:rPr>
                <w:rFonts w:ascii="Arial Narrow" w:hAnsi="Arial Narrow"/>
                <w:bCs/>
                <w:sz w:val="20"/>
                <w:szCs w:val="20"/>
              </w:rPr>
            </w:r>
            <w:r w:rsidRPr="00DA5A4E">
              <w:rPr>
                <w:rFonts w:ascii="Arial Narrow" w:hAnsi="Arial Narrow"/>
                <w:bCs/>
                <w:sz w:val="20"/>
                <w:szCs w:val="20"/>
              </w:rPr>
              <w:fldChar w:fldCharType="separate"/>
            </w:r>
            <w:r w:rsidRPr="00E37FD3">
              <w:rPr>
                <w:rFonts w:ascii="Arial Narrow" w:hAnsi="Arial Narrow"/>
                <w:sz w:val="20"/>
                <w:szCs w:val="20"/>
              </w:rPr>
              <w:t>Table 10</w:t>
            </w:r>
            <w:r w:rsidRPr="00DA5A4E">
              <w:rPr>
                <w:rFonts w:ascii="Arial Narrow" w:hAnsi="Arial Narrow"/>
                <w:bCs/>
                <w:sz w:val="20"/>
                <w:szCs w:val="20"/>
              </w:rPr>
              <w:fldChar w:fldCharType="end"/>
            </w:r>
            <w:r>
              <w:rPr>
                <w:rFonts w:ascii="Arial Narrow" w:hAnsi="Arial Narrow"/>
                <w:bCs/>
                <w:sz w:val="20"/>
                <w:szCs w:val="20"/>
              </w:rPr>
              <w:t>)</w:t>
            </w:r>
          </w:p>
        </w:tc>
        <w:tc>
          <w:tcPr>
            <w:tcW w:w="856" w:type="pct"/>
            <w:shd w:val="clear" w:color="auto" w:fill="auto"/>
          </w:tcPr>
          <w:p w14:paraId="39AA3998" w14:textId="10D39B16" w:rsidR="00921BA1" w:rsidRPr="00BC66E4" w:rsidRDefault="00921BA1" w:rsidP="00921BA1">
            <w:pPr>
              <w:widowControl/>
              <w:spacing w:before="40" w:after="40"/>
              <w:jc w:val="center"/>
              <w:rPr>
                <w:rFonts w:ascii="Arial Narrow" w:hAnsi="Arial Narrow"/>
                <w:bCs/>
                <w:sz w:val="20"/>
              </w:rPr>
            </w:pPr>
            <w:r w:rsidRPr="00BC66E4">
              <w:rPr>
                <w:rFonts w:ascii="Arial Narrow" w:hAnsi="Arial Narrow"/>
                <w:bCs/>
                <w:sz w:val="20"/>
                <w:szCs w:val="20"/>
              </w:rPr>
              <w:t>0.644</w:t>
            </w:r>
          </w:p>
        </w:tc>
        <w:tc>
          <w:tcPr>
            <w:tcW w:w="856" w:type="pct"/>
            <w:shd w:val="clear" w:color="auto" w:fill="auto"/>
          </w:tcPr>
          <w:p w14:paraId="527053F5" w14:textId="3513A63C" w:rsidR="00921BA1" w:rsidRPr="00BC66E4" w:rsidRDefault="00921BA1" w:rsidP="00921BA1">
            <w:pPr>
              <w:widowControl/>
              <w:spacing w:before="40" w:after="40"/>
              <w:jc w:val="center"/>
              <w:rPr>
                <w:rFonts w:ascii="Arial Narrow" w:hAnsi="Arial Narrow"/>
                <w:bCs/>
                <w:sz w:val="20"/>
              </w:rPr>
            </w:pPr>
            <w:r w:rsidRPr="00BC66E4">
              <w:rPr>
                <w:rFonts w:ascii="Arial Narrow" w:hAnsi="Arial Narrow"/>
                <w:bCs/>
                <w:sz w:val="20"/>
                <w:szCs w:val="20"/>
              </w:rPr>
              <w:t>0.578</w:t>
            </w:r>
          </w:p>
        </w:tc>
        <w:tc>
          <w:tcPr>
            <w:tcW w:w="856" w:type="pct"/>
            <w:vAlign w:val="center"/>
          </w:tcPr>
          <w:p w14:paraId="3A51D2BE" w14:textId="59178816" w:rsidR="00921BA1" w:rsidRPr="00BC66E4" w:rsidRDefault="00921BA1" w:rsidP="00921BA1">
            <w:pPr>
              <w:widowControl/>
              <w:spacing w:before="40" w:after="40"/>
              <w:jc w:val="center"/>
              <w:rPr>
                <w:rFonts w:ascii="Arial Narrow" w:hAnsi="Arial Narrow"/>
                <w:bCs/>
                <w:sz w:val="20"/>
              </w:rPr>
            </w:pPr>
            <w:r w:rsidRPr="00BC66E4">
              <w:rPr>
                <w:rFonts w:ascii="Arial Narrow" w:hAnsi="Arial Narrow"/>
                <w:bCs/>
                <w:sz w:val="20"/>
              </w:rPr>
              <w:t>0.065 [C]</w:t>
            </w:r>
          </w:p>
        </w:tc>
        <w:tc>
          <w:tcPr>
            <w:tcW w:w="683" w:type="pct"/>
            <w:vAlign w:val="center"/>
          </w:tcPr>
          <w:p w14:paraId="700E9CB6" w14:textId="26EF5931" w:rsidR="00921BA1" w:rsidRPr="00BC66E4" w:rsidRDefault="00052DE7" w:rsidP="00921BA1">
            <w:pPr>
              <w:widowControl/>
              <w:spacing w:before="40" w:after="40"/>
              <w:jc w:val="center"/>
              <w:rPr>
                <w:rFonts w:ascii="Arial Narrow" w:hAnsi="Arial Narrow"/>
                <w:bCs/>
                <w:sz w:val="20"/>
              </w:rPr>
            </w:pPr>
            <w:r>
              <w:rPr>
                <w:b/>
                <w:bCs/>
              </w:rPr>
              <w:t>$</w:t>
            </w:r>
            <w:r w:rsidR="00921BA1" w:rsidRPr="00E477C8">
              <w:rPr>
                <w:b/>
                <w:bCs/>
              </w:rPr>
              <w:t>redacted</w:t>
            </w:r>
            <w:r w:rsidR="00921BA1">
              <w:t xml:space="preserve"> </w:t>
            </w:r>
            <w:r w:rsidR="00921BA1" w:rsidRPr="00BC66E4">
              <w:rPr>
                <w:rFonts w:ascii="Arial Narrow" w:hAnsi="Arial Narrow"/>
                <w:sz w:val="20"/>
              </w:rPr>
              <w:t>[A/C]</w:t>
            </w:r>
          </w:p>
        </w:tc>
      </w:tr>
      <w:tr w:rsidR="00921BA1" w:rsidRPr="005A585E" w14:paraId="467B1452" w14:textId="77777777" w:rsidTr="00240FC1">
        <w:tc>
          <w:tcPr>
            <w:tcW w:w="677" w:type="pct"/>
            <w:tcBorders>
              <w:bottom w:val="single" w:sz="4" w:space="0" w:color="auto"/>
            </w:tcBorders>
            <w:shd w:val="clear" w:color="auto" w:fill="auto"/>
            <w:vAlign w:val="center"/>
          </w:tcPr>
          <w:p w14:paraId="5E004BCA" w14:textId="77777777" w:rsidR="00921BA1" w:rsidRPr="005A585E" w:rsidRDefault="00921BA1" w:rsidP="00921BA1">
            <w:pPr>
              <w:widowControl/>
              <w:spacing w:before="40" w:after="40"/>
              <w:rPr>
                <w:rFonts w:ascii="Arial Narrow" w:hAnsi="Arial Narrow"/>
                <w:bCs/>
                <w:i/>
                <w:iCs/>
                <w:sz w:val="20"/>
                <w:szCs w:val="20"/>
              </w:rPr>
            </w:pPr>
            <w:r w:rsidRPr="005A585E">
              <w:rPr>
                <w:rFonts w:ascii="Arial Narrow" w:hAnsi="Arial Narrow"/>
                <w:i/>
                <w:iCs/>
                <w:sz w:val="20"/>
              </w:rPr>
              <w:t>ESC</w:t>
            </w:r>
          </w:p>
        </w:tc>
        <w:tc>
          <w:tcPr>
            <w:tcW w:w="1071" w:type="pct"/>
            <w:tcBorders>
              <w:bottom w:val="single" w:sz="4" w:space="0" w:color="auto"/>
            </w:tcBorders>
            <w:shd w:val="clear" w:color="auto" w:fill="auto"/>
            <w:vAlign w:val="center"/>
          </w:tcPr>
          <w:p w14:paraId="4C686364" w14:textId="51659971" w:rsidR="00921BA1" w:rsidRPr="005A585E" w:rsidRDefault="00921BA1" w:rsidP="00921BA1">
            <w:pPr>
              <w:widowControl/>
              <w:spacing w:before="40" w:after="40"/>
              <w:rPr>
                <w:rFonts w:ascii="Arial Narrow" w:hAnsi="Arial Narrow"/>
                <w:bCs/>
                <w:i/>
                <w:iCs/>
                <w:sz w:val="20"/>
                <w:szCs w:val="20"/>
              </w:rPr>
            </w:pPr>
            <w:r w:rsidRPr="005A585E">
              <w:rPr>
                <w:rFonts w:ascii="Arial Narrow" w:hAnsi="Arial Narrow"/>
                <w:bCs/>
                <w:i/>
                <w:iCs/>
                <w:sz w:val="20"/>
                <w:szCs w:val="20"/>
              </w:rPr>
              <w:t xml:space="preserve">Using Commentary’s approach but correcting an error </w:t>
            </w:r>
            <w:r w:rsidRPr="004008AA">
              <w:rPr>
                <w:rFonts w:ascii="Arial Narrow" w:hAnsi="Arial Narrow"/>
                <w:bCs/>
                <w:i/>
                <w:iCs/>
                <w:sz w:val="20"/>
                <w:szCs w:val="20"/>
              </w:rPr>
              <w:t>(</w:t>
            </w:r>
            <w:r w:rsidRPr="004008AA">
              <w:rPr>
                <w:rFonts w:ascii="Arial Narrow" w:hAnsi="Arial Narrow"/>
                <w:bCs/>
                <w:i/>
                <w:iCs/>
                <w:sz w:val="20"/>
                <w:szCs w:val="20"/>
              </w:rPr>
              <w:fldChar w:fldCharType="begin"/>
            </w:r>
            <w:r w:rsidRPr="004008AA">
              <w:rPr>
                <w:rFonts w:ascii="Arial Narrow" w:hAnsi="Arial Narrow"/>
                <w:bCs/>
                <w:i/>
                <w:iCs/>
                <w:sz w:val="20"/>
                <w:szCs w:val="20"/>
              </w:rPr>
              <w:instrText xml:space="preserve"> REF _Ref170207612 \h </w:instrText>
            </w:r>
            <w:r w:rsidRPr="00E37FD3">
              <w:rPr>
                <w:rFonts w:ascii="Arial Narrow" w:hAnsi="Arial Narrow"/>
                <w:i/>
                <w:sz w:val="20"/>
                <w:szCs w:val="20"/>
              </w:rPr>
              <w:instrText xml:space="preserve"> \* MERGEFORMAT</w:instrText>
            </w:r>
            <w:r w:rsidRPr="004008AA">
              <w:rPr>
                <w:rFonts w:ascii="Arial Narrow" w:hAnsi="Arial Narrow"/>
                <w:i/>
                <w:sz w:val="20"/>
                <w:szCs w:val="20"/>
              </w:rPr>
              <w:instrText xml:space="preserve"> </w:instrText>
            </w:r>
            <w:r w:rsidRPr="004008AA">
              <w:rPr>
                <w:rFonts w:ascii="Arial Narrow" w:hAnsi="Arial Narrow"/>
                <w:bCs/>
                <w:i/>
                <w:iCs/>
                <w:sz w:val="20"/>
                <w:szCs w:val="20"/>
              </w:rPr>
            </w:r>
            <w:r w:rsidRPr="004008AA">
              <w:rPr>
                <w:rFonts w:ascii="Arial Narrow" w:hAnsi="Arial Narrow"/>
                <w:bCs/>
                <w:i/>
                <w:iCs/>
                <w:sz w:val="20"/>
                <w:szCs w:val="20"/>
              </w:rPr>
              <w:fldChar w:fldCharType="separate"/>
            </w:r>
            <w:r w:rsidRPr="00E37FD3">
              <w:rPr>
                <w:rFonts w:ascii="Arial Narrow" w:hAnsi="Arial Narrow"/>
                <w:i/>
                <w:sz w:val="20"/>
                <w:szCs w:val="20"/>
              </w:rPr>
              <w:t>Table 10</w:t>
            </w:r>
            <w:r w:rsidRPr="004008AA">
              <w:rPr>
                <w:rFonts w:ascii="Arial Narrow" w:hAnsi="Arial Narrow"/>
                <w:bCs/>
                <w:i/>
                <w:iCs/>
                <w:sz w:val="20"/>
                <w:szCs w:val="20"/>
              </w:rPr>
              <w:fldChar w:fldCharType="end"/>
            </w:r>
            <w:r>
              <w:rPr>
                <w:rFonts w:ascii="Arial Narrow" w:hAnsi="Arial Narrow"/>
                <w:bCs/>
                <w:i/>
                <w:iCs/>
                <w:sz w:val="20"/>
                <w:szCs w:val="20"/>
              </w:rPr>
              <w:t>)</w:t>
            </w:r>
          </w:p>
        </w:tc>
        <w:tc>
          <w:tcPr>
            <w:tcW w:w="856" w:type="pct"/>
            <w:tcBorders>
              <w:bottom w:val="single" w:sz="4" w:space="0" w:color="auto"/>
            </w:tcBorders>
            <w:shd w:val="clear" w:color="auto" w:fill="auto"/>
          </w:tcPr>
          <w:p w14:paraId="5BB9D974" w14:textId="5A9EBB69" w:rsidR="00921BA1" w:rsidRPr="00E37FD3" w:rsidRDefault="00921BA1" w:rsidP="00921BA1">
            <w:pPr>
              <w:widowControl/>
              <w:spacing w:before="40" w:after="40"/>
              <w:jc w:val="center"/>
              <w:rPr>
                <w:rFonts w:ascii="Arial Narrow" w:hAnsi="Arial Narrow"/>
                <w:i/>
                <w:sz w:val="20"/>
                <w:szCs w:val="20"/>
              </w:rPr>
            </w:pPr>
            <w:r w:rsidRPr="00E37FD3">
              <w:rPr>
                <w:rFonts w:ascii="Arial Narrow" w:hAnsi="Arial Narrow"/>
                <w:i/>
                <w:sz w:val="20"/>
                <w:szCs w:val="20"/>
              </w:rPr>
              <w:t>2.513</w:t>
            </w:r>
          </w:p>
        </w:tc>
        <w:tc>
          <w:tcPr>
            <w:tcW w:w="856" w:type="pct"/>
            <w:tcBorders>
              <w:bottom w:val="single" w:sz="4" w:space="0" w:color="auto"/>
            </w:tcBorders>
            <w:shd w:val="clear" w:color="auto" w:fill="auto"/>
          </w:tcPr>
          <w:p w14:paraId="03D82716" w14:textId="57BB311F" w:rsidR="00921BA1" w:rsidRPr="00E37FD3" w:rsidRDefault="00921BA1" w:rsidP="00921BA1">
            <w:pPr>
              <w:widowControl/>
              <w:spacing w:before="40" w:after="40"/>
              <w:jc w:val="center"/>
              <w:rPr>
                <w:rFonts w:ascii="Arial Narrow" w:hAnsi="Arial Narrow"/>
                <w:i/>
                <w:sz w:val="20"/>
                <w:szCs w:val="20"/>
              </w:rPr>
            </w:pPr>
            <w:r w:rsidRPr="00E37FD3">
              <w:rPr>
                <w:rFonts w:ascii="Arial Narrow" w:hAnsi="Arial Narrow"/>
                <w:i/>
                <w:sz w:val="20"/>
                <w:szCs w:val="20"/>
              </w:rPr>
              <w:t>2.048</w:t>
            </w:r>
          </w:p>
        </w:tc>
        <w:tc>
          <w:tcPr>
            <w:tcW w:w="856" w:type="pct"/>
            <w:tcBorders>
              <w:bottom w:val="single" w:sz="4" w:space="0" w:color="auto"/>
            </w:tcBorders>
            <w:shd w:val="clear" w:color="auto" w:fill="auto"/>
            <w:vAlign w:val="center"/>
          </w:tcPr>
          <w:p w14:paraId="166038B5" w14:textId="25B0322A" w:rsidR="00921BA1" w:rsidRPr="00E37FD3" w:rsidRDefault="00921BA1" w:rsidP="00921BA1">
            <w:pPr>
              <w:widowControl/>
              <w:spacing w:before="40" w:after="40"/>
              <w:jc w:val="center"/>
              <w:rPr>
                <w:rFonts w:ascii="Arial Narrow" w:hAnsi="Arial Narrow"/>
                <w:i/>
                <w:sz w:val="20"/>
              </w:rPr>
            </w:pPr>
            <w:r w:rsidRPr="00E37FD3">
              <w:rPr>
                <w:rFonts w:ascii="Arial Narrow" w:hAnsi="Arial Narrow"/>
                <w:i/>
                <w:sz w:val="20"/>
              </w:rPr>
              <w:t>0.465 [E]</w:t>
            </w:r>
          </w:p>
        </w:tc>
        <w:tc>
          <w:tcPr>
            <w:tcW w:w="683" w:type="pct"/>
            <w:tcBorders>
              <w:bottom w:val="single" w:sz="4" w:space="0" w:color="auto"/>
            </w:tcBorders>
            <w:shd w:val="clear" w:color="auto" w:fill="auto"/>
            <w:vAlign w:val="center"/>
          </w:tcPr>
          <w:p w14:paraId="046C36B3" w14:textId="473D794D" w:rsidR="00921BA1" w:rsidRPr="00E37FD3" w:rsidRDefault="00052DE7" w:rsidP="00921BA1">
            <w:pPr>
              <w:widowControl/>
              <w:spacing w:before="40" w:after="40"/>
              <w:jc w:val="center"/>
              <w:rPr>
                <w:rFonts w:ascii="Arial Narrow" w:hAnsi="Arial Narrow"/>
                <w:i/>
                <w:sz w:val="20"/>
              </w:rPr>
            </w:pPr>
            <w:r>
              <w:rPr>
                <w:b/>
                <w:bCs/>
              </w:rPr>
              <w:t>$</w:t>
            </w:r>
            <w:r w:rsidR="00921BA1" w:rsidRPr="00E477C8">
              <w:rPr>
                <w:b/>
                <w:bCs/>
              </w:rPr>
              <w:t>redacted</w:t>
            </w:r>
            <w:r w:rsidR="00921BA1">
              <w:t xml:space="preserve"> </w:t>
            </w:r>
            <w:r w:rsidR="00921BA1" w:rsidRPr="00E37FD3">
              <w:rPr>
                <w:rFonts w:ascii="Arial Narrow" w:hAnsi="Arial Narrow"/>
                <w:i/>
                <w:sz w:val="20"/>
              </w:rPr>
              <w:t>[A/E]</w:t>
            </w:r>
          </w:p>
        </w:tc>
      </w:tr>
    </w:tbl>
    <w:p w14:paraId="126D81A2" w14:textId="5A34756E" w:rsidR="002B4F0C" w:rsidRPr="00AA38E7" w:rsidRDefault="002B4F0C" w:rsidP="002B4F0C">
      <w:pPr>
        <w:pStyle w:val="Tablenotes"/>
        <w:rPr>
          <w:highlight w:val="yellow"/>
        </w:rPr>
      </w:pPr>
      <w:r w:rsidRPr="004008AA">
        <w:t xml:space="preserve">Source: </w:t>
      </w:r>
      <w:r w:rsidR="00D13079" w:rsidRPr="00AA38E7">
        <w:t>Table</w:t>
      </w:r>
      <w:r w:rsidR="006725F1" w:rsidRPr="00AA38E7">
        <w:t xml:space="preserve">s </w:t>
      </w:r>
      <w:r w:rsidR="007F7370" w:rsidRPr="00AA38E7">
        <w:t xml:space="preserve">58, </w:t>
      </w:r>
      <w:r w:rsidR="004B1817" w:rsidRPr="00AA38E7">
        <w:t>and Commentary Table 4,</w:t>
      </w:r>
      <w:r w:rsidR="007F7370" w:rsidRPr="00AA38E7">
        <w:t xml:space="preserve"> pp</w:t>
      </w:r>
      <w:r w:rsidR="007A001F" w:rsidRPr="00AA38E7">
        <w:t>144-145</w:t>
      </w:r>
      <w:r w:rsidR="00D13079" w:rsidRPr="00AA38E7" w:rsidDel="007A001F">
        <w:t xml:space="preserve"> </w:t>
      </w:r>
      <w:r w:rsidRPr="004008AA">
        <w:t>of MSAC application 1593.1 ADAR + In line commentary</w:t>
      </w:r>
      <w:r w:rsidR="00006904" w:rsidRPr="00AA38E7">
        <w:t xml:space="preserve">; </w:t>
      </w:r>
      <w:r w:rsidR="00006904" w:rsidRPr="004008AA">
        <w:t xml:space="preserve">Table 2, </w:t>
      </w:r>
      <w:r w:rsidR="00006904" w:rsidRPr="00006904">
        <w:t>p</w:t>
      </w:r>
      <w:r w:rsidR="00162138">
        <w:t>g</w:t>
      </w:r>
      <w:r w:rsidR="00006904" w:rsidRPr="00006904">
        <w:t>6 of applicant’s Pre-ESC Response;</w:t>
      </w:r>
      <w:r w:rsidR="00F72D6B">
        <w:t xml:space="preserve"> ESC calculations.</w:t>
      </w:r>
    </w:p>
    <w:p w14:paraId="09D4BDB1" w14:textId="73AA4C3E" w:rsidR="00063FD5" w:rsidRPr="000D03A2" w:rsidRDefault="002B4F0C" w:rsidP="002B4F0C">
      <w:pPr>
        <w:pStyle w:val="Tablenotes"/>
      </w:pPr>
      <w:r w:rsidRPr="000D03A2">
        <w:t xml:space="preserve">Abbreviations: </w:t>
      </w:r>
      <w:r w:rsidR="000D03A2">
        <w:t xml:space="preserve">ADAR = Applicant-Developed Assessment Report; </w:t>
      </w:r>
      <w:r w:rsidRPr="000D03A2">
        <w:t xml:space="preserve">ASES </w:t>
      </w:r>
      <w:bookmarkStart w:id="62" w:name="_Hlk166580373"/>
      <w:r w:rsidRPr="000D03A2">
        <w:t xml:space="preserve">= American Shoulder and Elbow </w:t>
      </w:r>
      <w:r w:rsidR="00316E24" w:rsidRPr="000D03A2">
        <w:t>Society</w:t>
      </w:r>
      <w:r w:rsidRPr="000D03A2">
        <w:t xml:space="preserve">; </w:t>
      </w:r>
      <w:bookmarkEnd w:id="62"/>
      <w:r w:rsidR="00053FE8">
        <w:t xml:space="preserve">ESC = </w:t>
      </w:r>
      <w:r w:rsidR="00053FE8" w:rsidRPr="00053FE8">
        <w:t>Evaluation Sub-committee</w:t>
      </w:r>
      <w:r w:rsidR="00053FE8">
        <w:t>;</w:t>
      </w:r>
      <w:r w:rsidR="00053FE8" w:rsidRPr="00053FE8">
        <w:t xml:space="preserve"> </w:t>
      </w:r>
      <w:r w:rsidRPr="000D03A2">
        <w:t>MCID = Minimal clinically important difference; PTRCT = Partial-thickness rotator cuff tear.</w:t>
      </w:r>
    </w:p>
    <w:p w14:paraId="33AFBB1B" w14:textId="2CF0B71A" w:rsidR="000C6BD2" w:rsidRDefault="002B4F0C" w:rsidP="003B4E46">
      <w:r>
        <w:t>The</w:t>
      </w:r>
      <w:r w:rsidRPr="0096392F">
        <w:t xml:space="preserve"> </w:t>
      </w:r>
      <w:r w:rsidR="00600185">
        <w:t>ADAR</w:t>
      </w:r>
      <w:r w:rsidRPr="0096392F">
        <w:t xml:space="preserve"> </w:t>
      </w:r>
      <w:r w:rsidR="009465E5">
        <w:t>reported</w:t>
      </w:r>
      <w:r w:rsidR="009465E5" w:rsidRPr="0096392F">
        <w:t xml:space="preserve"> </w:t>
      </w:r>
      <w:r w:rsidRPr="0096392F">
        <w:t xml:space="preserve">that using </w:t>
      </w:r>
      <w:r w:rsidR="006408AB">
        <w:t xml:space="preserve">standard surgical repair with </w:t>
      </w:r>
      <w:r w:rsidRPr="0096392F">
        <w:t xml:space="preserve">REGENETEN in patients with symptomatic PTRCT who have failed at least three months of </w:t>
      </w:r>
      <w:r w:rsidR="00ED4163">
        <w:t>CM</w:t>
      </w:r>
      <w:r w:rsidRPr="0096392F">
        <w:t xml:space="preserve"> </w:t>
      </w:r>
      <w:r w:rsidR="004457BB">
        <w:t xml:space="preserve">would result in </w:t>
      </w:r>
      <w:r w:rsidR="00C638C8">
        <w:t xml:space="preserve">an incremental benefit of </w:t>
      </w:r>
      <w:r w:rsidR="00F463BC">
        <w:t>0.58</w:t>
      </w:r>
      <w:r w:rsidR="0097519D">
        <w:t xml:space="preserve"> </w:t>
      </w:r>
      <w:r w:rsidR="002701FD">
        <w:t>unit of MCID of ASES gained</w:t>
      </w:r>
      <w:r w:rsidR="00D46D37">
        <w:t xml:space="preserve"> over a 2-year period</w:t>
      </w:r>
      <w:r w:rsidR="00FD0B9F">
        <w:t xml:space="preserve"> when compared to standard surgical repair without REGENETEN, resulting in </w:t>
      </w:r>
      <w:r w:rsidR="002176FB">
        <w:t>a</w:t>
      </w:r>
      <w:r w:rsidRPr="0096392F">
        <w:t xml:space="preserve">n ICER of </w:t>
      </w:r>
      <w:r w:rsidR="00052DE7">
        <w:t>$</w:t>
      </w:r>
      <w:r w:rsidR="00D13C4A" w:rsidRPr="00E477C8">
        <w:rPr>
          <w:b/>
          <w:bCs/>
        </w:rPr>
        <w:t>redacted</w:t>
      </w:r>
      <w:r w:rsidR="00D13C4A">
        <w:t xml:space="preserve"> </w:t>
      </w:r>
      <w:r w:rsidRPr="0096392F">
        <w:t xml:space="preserve">per MCID </w:t>
      </w:r>
      <w:r w:rsidR="002176FB">
        <w:t xml:space="preserve">of AES </w:t>
      </w:r>
      <w:r w:rsidRPr="0096392F">
        <w:t>(15.5 points in the ASES score)</w:t>
      </w:r>
      <w:r w:rsidR="00A6184A">
        <w:t xml:space="preserve"> gained</w:t>
      </w:r>
      <w:r w:rsidRPr="0096392F">
        <w:t>. That is, treatment with REGENETEN w</w:t>
      </w:r>
      <w:r w:rsidR="002169A8">
        <w:t>ould</w:t>
      </w:r>
      <w:r w:rsidRPr="0096392F">
        <w:t xml:space="preserve"> generate an additional treatment success (defined as a patient achieving the MCID in the ASES score) for </w:t>
      </w:r>
      <w:r w:rsidR="00052DE7">
        <w:t>$</w:t>
      </w:r>
      <w:r w:rsidR="00B14F57" w:rsidRPr="00E477C8">
        <w:rPr>
          <w:b/>
          <w:bCs/>
        </w:rPr>
        <w:t>redacted</w:t>
      </w:r>
      <w:r w:rsidRPr="0096392F">
        <w:t>.</w:t>
      </w:r>
      <w:r>
        <w:t xml:space="preserve"> </w:t>
      </w:r>
    </w:p>
    <w:p w14:paraId="5164944F" w14:textId="508F857C" w:rsidR="00BB198F" w:rsidRDefault="005A2B7F" w:rsidP="003B4E46">
      <w:pPr>
        <w:rPr>
          <w:rFonts w:eastAsia="Times New Roman" w:cs="Calibri"/>
          <w:color w:val="000000"/>
          <w:lang w:eastAsia="en-AU"/>
        </w:rPr>
      </w:pPr>
      <w:r>
        <w:rPr>
          <w:color w:val="000000" w:themeColor="text1"/>
        </w:rPr>
        <w:t xml:space="preserve">The commentary noted that the results of the </w:t>
      </w:r>
      <w:r w:rsidR="00A10ECC">
        <w:rPr>
          <w:color w:val="000000" w:themeColor="text1"/>
        </w:rPr>
        <w:t xml:space="preserve">ADAR’s </w:t>
      </w:r>
      <w:r>
        <w:rPr>
          <w:color w:val="000000" w:themeColor="text1"/>
        </w:rPr>
        <w:t xml:space="preserve">base case analysis were highly uncertain because the Camacho-Chacon et al., 2023 </w:t>
      </w:r>
      <w:r w:rsidRPr="0063496A">
        <w:rPr>
          <w:color w:val="000000" w:themeColor="text1"/>
        </w:rPr>
        <w:t xml:space="preserve">trial included </w:t>
      </w:r>
      <w:r w:rsidR="00E12210">
        <w:rPr>
          <w:color w:val="000000" w:themeColor="text1"/>
        </w:rPr>
        <w:t xml:space="preserve">entirely </w:t>
      </w:r>
      <w:r w:rsidRPr="0063496A">
        <w:rPr>
          <w:color w:val="000000" w:themeColor="text1"/>
        </w:rPr>
        <w:t xml:space="preserve">FTRCT patients </w:t>
      </w:r>
      <w:r>
        <w:rPr>
          <w:color w:val="000000" w:themeColor="text1"/>
        </w:rPr>
        <w:t xml:space="preserve">and was therefore not relevant for Population 1. In addition, </w:t>
      </w:r>
      <w:r w:rsidR="00E0605B">
        <w:rPr>
          <w:color w:val="000000" w:themeColor="text1"/>
        </w:rPr>
        <w:t xml:space="preserve">the commentary considered </w:t>
      </w:r>
      <w:r>
        <w:rPr>
          <w:color w:val="000000" w:themeColor="text1"/>
        </w:rPr>
        <w:t xml:space="preserve">the </w:t>
      </w:r>
      <w:r w:rsidRPr="0063496A">
        <w:rPr>
          <w:color w:val="000000" w:themeColor="text1"/>
        </w:rPr>
        <w:t xml:space="preserve">ADAR inaccurately calculated the change in ASES score and inappropriately used the number of unit changes in MCID of ASES as the outcome of the cost-effectiveness analysis. </w:t>
      </w:r>
      <w:r w:rsidR="001B0D0D">
        <w:rPr>
          <w:color w:val="000000" w:themeColor="text1"/>
        </w:rPr>
        <w:t xml:space="preserve">Nevertheless, </w:t>
      </w:r>
      <w:r w:rsidR="00AA3B35">
        <w:rPr>
          <w:color w:val="000000" w:themeColor="text1"/>
        </w:rPr>
        <w:t>u</w:t>
      </w:r>
      <w:r w:rsidR="00652F6A">
        <w:rPr>
          <w:color w:val="000000" w:themeColor="text1"/>
        </w:rPr>
        <w:t xml:space="preserve">sing </w:t>
      </w:r>
      <w:r w:rsidR="001A4B46">
        <w:rPr>
          <w:color w:val="000000" w:themeColor="text1"/>
        </w:rPr>
        <w:t xml:space="preserve">the same </w:t>
      </w:r>
      <w:r w:rsidR="00CF4AB5">
        <w:rPr>
          <w:color w:val="000000" w:themeColor="text1"/>
        </w:rPr>
        <w:t>approach</w:t>
      </w:r>
      <w:r w:rsidR="001A4B46">
        <w:rPr>
          <w:color w:val="000000" w:themeColor="text1"/>
        </w:rPr>
        <w:t xml:space="preserve"> in the ADAR</w:t>
      </w:r>
      <w:r w:rsidR="0057668C">
        <w:rPr>
          <w:color w:val="000000" w:themeColor="text1"/>
        </w:rPr>
        <w:t>,</w:t>
      </w:r>
      <w:r w:rsidR="001A4B46">
        <w:rPr>
          <w:color w:val="000000" w:themeColor="text1"/>
        </w:rPr>
        <w:t xml:space="preserve"> but </w:t>
      </w:r>
      <w:r w:rsidR="008B5BDE">
        <w:rPr>
          <w:color w:val="000000" w:themeColor="text1"/>
        </w:rPr>
        <w:t xml:space="preserve">an </w:t>
      </w:r>
      <w:r w:rsidR="001A4B46">
        <w:rPr>
          <w:color w:val="000000" w:themeColor="text1"/>
        </w:rPr>
        <w:t xml:space="preserve">alternative </w:t>
      </w:r>
      <w:r w:rsidR="008B5BDE">
        <w:rPr>
          <w:color w:val="000000" w:themeColor="text1"/>
        </w:rPr>
        <w:t>method</w:t>
      </w:r>
      <w:r w:rsidR="006165BF">
        <w:rPr>
          <w:color w:val="000000" w:themeColor="text1"/>
        </w:rPr>
        <w:t xml:space="preserve"> of </w:t>
      </w:r>
      <w:r w:rsidR="008B5BDE">
        <w:rPr>
          <w:color w:val="000000" w:themeColor="text1"/>
        </w:rPr>
        <w:t xml:space="preserve">calculation </w:t>
      </w:r>
      <w:r w:rsidR="000F7020">
        <w:rPr>
          <w:color w:val="000000" w:themeColor="text1"/>
        </w:rPr>
        <w:t xml:space="preserve">of </w:t>
      </w:r>
      <w:r w:rsidR="00780AEA">
        <w:rPr>
          <w:color w:val="000000" w:themeColor="text1"/>
        </w:rPr>
        <w:t xml:space="preserve">change in </w:t>
      </w:r>
      <w:r w:rsidR="006165BF">
        <w:rPr>
          <w:color w:val="000000" w:themeColor="text1"/>
        </w:rPr>
        <w:t xml:space="preserve">MCID of ASES scores </w:t>
      </w:r>
      <w:r w:rsidR="00D870DB">
        <w:rPr>
          <w:color w:val="000000" w:themeColor="text1"/>
        </w:rPr>
        <w:t xml:space="preserve">during the evaluation </w:t>
      </w:r>
      <w:r w:rsidR="00114280">
        <w:rPr>
          <w:color w:val="000000" w:themeColor="text1"/>
        </w:rPr>
        <w:t xml:space="preserve">based on the </w:t>
      </w:r>
      <w:r w:rsidR="00C82D2B">
        <w:rPr>
          <w:color w:val="000000" w:themeColor="text1"/>
        </w:rPr>
        <w:t>ASES score</w:t>
      </w:r>
      <w:r w:rsidR="00A74A0B">
        <w:rPr>
          <w:color w:val="000000" w:themeColor="text1"/>
        </w:rPr>
        <w:t>s</w:t>
      </w:r>
      <w:r w:rsidR="00B923FD">
        <w:rPr>
          <w:color w:val="000000" w:themeColor="text1"/>
        </w:rPr>
        <w:t xml:space="preserve"> provided in </w:t>
      </w:r>
      <w:r w:rsidR="0067201E">
        <w:rPr>
          <w:color w:val="000000" w:themeColor="text1"/>
        </w:rPr>
        <w:fldChar w:fldCharType="begin"/>
      </w:r>
      <w:r w:rsidR="0067201E">
        <w:rPr>
          <w:color w:val="000000" w:themeColor="text1"/>
        </w:rPr>
        <w:instrText xml:space="preserve"> REF _Ref163179613 \h </w:instrText>
      </w:r>
      <w:r w:rsidR="0067201E">
        <w:rPr>
          <w:color w:val="000000" w:themeColor="text1"/>
        </w:rPr>
      </w:r>
      <w:r w:rsidR="0067201E">
        <w:rPr>
          <w:color w:val="000000" w:themeColor="text1"/>
        </w:rPr>
        <w:fldChar w:fldCharType="separate"/>
      </w:r>
      <w:r w:rsidR="0067201E" w:rsidRPr="00B25254">
        <w:t xml:space="preserve">Table </w:t>
      </w:r>
      <w:r w:rsidR="0067201E">
        <w:rPr>
          <w:noProof/>
        </w:rPr>
        <w:t>5</w:t>
      </w:r>
      <w:r w:rsidR="0067201E">
        <w:rPr>
          <w:color w:val="000000" w:themeColor="text1"/>
        </w:rPr>
        <w:fldChar w:fldCharType="end"/>
      </w:r>
      <w:r w:rsidR="00D870DB">
        <w:rPr>
          <w:color w:val="000000" w:themeColor="text1"/>
        </w:rPr>
        <w:t xml:space="preserve">, the </w:t>
      </w:r>
      <w:r w:rsidR="00DE7C11">
        <w:rPr>
          <w:color w:val="000000" w:themeColor="text1"/>
        </w:rPr>
        <w:t xml:space="preserve">incremental benefit </w:t>
      </w:r>
      <w:r w:rsidR="00B778E3">
        <w:rPr>
          <w:color w:val="000000" w:themeColor="text1"/>
        </w:rPr>
        <w:t xml:space="preserve">of standard surgical repair with REGENETEN decreased to </w:t>
      </w:r>
      <w:r w:rsidR="00777555">
        <w:rPr>
          <w:color w:val="000000" w:themeColor="text1"/>
        </w:rPr>
        <w:t>0.065</w:t>
      </w:r>
      <w:r w:rsidR="00D91BDD">
        <w:rPr>
          <w:color w:val="000000" w:themeColor="text1"/>
        </w:rPr>
        <w:t xml:space="preserve"> </w:t>
      </w:r>
      <w:r w:rsidR="00D91BDD" w:rsidRPr="00D91BDD">
        <w:rPr>
          <w:color w:val="000000" w:themeColor="text1"/>
        </w:rPr>
        <w:t xml:space="preserve">unit of MCID of ASES gained over a 2-year period when compared to standard surgical repair without REGENETEN, </w:t>
      </w:r>
      <w:r w:rsidR="00D91BDD">
        <w:rPr>
          <w:color w:val="000000" w:themeColor="text1"/>
        </w:rPr>
        <w:t xml:space="preserve">and the </w:t>
      </w:r>
      <w:r w:rsidR="00D91BDD" w:rsidRPr="00D91BDD">
        <w:rPr>
          <w:color w:val="000000" w:themeColor="text1"/>
        </w:rPr>
        <w:t>result</w:t>
      </w:r>
      <w:r w:rsidR="00D91BDD">
        <w:rPr>
          <w:color w:val="000000" w:themeColor="text1"/>
        </w:rPr>
        <w:t>ant</w:t>
      </w:r>
      <w:r w:rsidR="00D91BDD" w:rsidRPr="00D91BDD">
        <w:rPr>
          <w:color w:val="000000" w:themeColor="text1"/>
        </w:rPr>
        <w:t xml:space="preserve"> </w:t>
      </w:r>
      <w:r w:rsidR="00A74A0B">
        <w:rPr>
          <w:color w:val="000000" w:themeColor="text1"/>
        </w:rPr>
        <w:t>ICER</w:t>
      </w:r>
      <w:r w:rsidR="00D870DB">
        <w:rPr>
          <w:color w:val="000000" w:themeColor="text1"/>
        </w:rPr>
        <w:t xml:space="preserve"> increased </w:t>
      </w:r>
      <w:r w:rsidRPr="001521DB">
        <w:t xml:space="preserve">to </w:t>
      </w:r>
      <w:r w:rsidR="00052DE7">
        <w:t>$</w:t>
      </w:r>
      <w:r w:rsidR="00D13C4A" w:rsidRPr="00E477C8">
        <w:rPr>
          <w:b/>
          <w:bCs/>
        </w:rPr>
        <w:t>redacted</w:t>
      </w:r>
      <w:r w:rsidR="00D13C4A">
        <w:t xml:space="preserve"> </w:t>
      </w:r>
      <w:r w:rsidR="00D870DB">
        <w:rPr>
          <w:rFonts w:eastAsia="Times New Roman" w:cs="Calibri"/>
          <w:color w:val="000000"/>
          <w:lang w:eastAsia="en-AU"/>
        </w:rPr>
        <w:t xml:space="preserve">per </w:t>
      </w:r>
      <w:r w:rsidR="001F00F7">
        <w:rPr>
          <w:rFonts w:eastAsia="Times New Roman" w:cs="Calibri"/>
          <w:color w:val="000000"/>
          <w:lang w:eastAsia="en-AU"/>
        </w:rPr>
        <w:t>M</w:t>
      </w:r>
      <w:r w:rsidR="0057668C">
        <w:rPr>
          <w:rFonts w:eastAsia="Times New Roman" w:cs="Calibri"/>
          <w:color w:val="000000"/>
          <w:lang w:eastAsia="en-AU"/>
        </w:rPr>
        <w:t>CI</w:t>
      </w:r>
      <w:r w:rsidR="001F00F7">
        <w:rPr>
          <w:rFonts w:eastAsia="Times New Roman" w:cs="Calibri"/>
          <w:color w:val="000000"/>
          <w:lang w:eastAsia="en-AU"/>
        </w:rPr>
        <w:t>D</w:t>
      </w:r>
      <w:r w:rsidR="00AE511B">
        <w:rPr>
          <w:rFonts w:eastAsia="Times New Roman" w:cs="Calibri"/>
          <w:color w:val="000000"/>
          <w:lang w:eastAsia="en-AU"/>
        </w:rPr>
        <w:t xml:space="preserve"> gain</w:t>
      </w:r>
      <w:r w:rsidR="0061781E">
        <w:rPr>
          <w:rFonts w:eastAsia="Times New Roman" w:cs="Calibri"/>
          <w:color w:val="000000"/>
          <w:lang w:eastAsia="en-AU"/>
        </w:rPr>
        <w:t>ed</w:t>
      </w:r>
      <w:r w:rsidRPr="001521DB">
        <w:rPr>
          <w:rFonts w:eastAsia="Times New Roman" w:cs="Calibri"/>
          <w:color w:val="000000"/>
          <w:lang w:eastAsia="en-AU"/>
        </w:rPr>
        <w:t>.</w:t>
      </w:r>
      <w:r w:rsidR="003F0B1D">
        <w:rPr>
          <w:rFonts w:eastAsia="Times New Roman" w:cs="Calibri"/>
          <w:color w:val="000000"/>
          <w:lang w:eastAsia="en-AU"/>
        </w:rPr>
        <w:t xml:space="preserve"> </w:t>
      </w:r>
    </w:p>
    <w:p w14:paraId="43269537" w14:textId="13A2988D" w:rsidR="003F0B1D" w:rsidRPr="00AA38E7" w:rsidRDefault="00D108FD" w:rsidP="003B4E46">
      <w:pPr>
        <w:rPr>
          <w:rFonts w:eastAsia="Times New Roman" w:cs="Calibri"/>
          <w:i/>
          <w:color w:val="000000" w:themeColor="text1"/>
          <w:lang w:eastAsia="en-AU"/>
        </w:rPr>
      </w:pPr>
      <w:r w:rsidRPr="00C944F7">
        <w:rPr>
          <w:rFonts w:eastAsia="Times New Roman" w:cs="Calibri"/>
          <w:i/>
          <w:iCs/>
          <w:color w:val="000000" w:themeColor="text1"/>
          <w:lang w:eastAsia="en-AU"/>
        </w:rPr>
        <w:t>ESC considered the commentary’s approach reasonable but agreed with the Pre-</w:t>
      </w:r>
      <w:r w:rsidR="00321C9D" w:rsidRPr="00C944F7">
        <w:rPr>
          <w:rFonts w:eastAsia="Times New Roman" w:cs="Calibri"/>
          <w:i/>
          <w:iCs/>
          <w:color w:val="000000" w:themeColor="text1"/>
          <w:lang w:eastAsia="en-AU"/>
        </w:rPr>
        <w:t>ESC Response regarding an error in the last step</w:t>
      </w:r>
      <w:r w:rsidR="00ED1E4A" w:rsidRPr="00C944F7">
        <w:rPr>
          <w:rFonts w:eastAsia="Times New Roman" w:cs="Calibri"/>
          <w:i/>
          <w:iCs/>
          <w:color w:val="000000" w:themeColor="text1"/>
          <w:lang w:eastAsia="en-AU"/>
        </w:rPr>
        <w:t xml:space="preserve"> and </w:t>
      </w:r>
      <w:r w:rsidR="00ED1E4A" w:rsidRPr="00AA38E7">
        <w:rPr>
          <w:rFonts w:eastAsia="Times New Roman" w:cs="Calibri"/>
          <w:i/>
          <w:color w:val="000000" w:themeColor="text1"/>
          <w:lang w:eastAsia="en-AU"/>
        </w:rPr>
        <w:t xml:space="preserve">considered that the commentary should have added the gains in MCID for each period to get the total gain for the entire period of 24 month. The </w:t>
      </w:r>
      <w:r w:rsidR="00B877E9">
        <w:rPr>
          <w:rFonts w:eastAsia="Times New Roman" w:cs="Calibri"/>
          <w:i/>
          <w:color w:val="000000" w:themeColor="text1"/>
          <w:lang w:eastAsia="en-AU"/>
        </w:rPr>
        <w:t xml:space="preserve">Pre-ESC Response reported that the </w:t>
      </w:r>
      <w:r w:rsidR="00ED1E4A" w:rsidRPr="00AA38E7">
        <w:rPr>
          <w:rFonts w:eastAsia="Times New Roman" w:cs="Calibri"/>
          <w:i/>
          <w:color w:val="000000" w:themeColor="text1"/>
          <w:lang w:eastAsia="en-AU"/>
        </w:rPr>
        <w:t xml:space="preserve">incremental benefit should therefore be 0.50 per MCID of ASES score, resulting in an ICER of </w:t>
      </w:r>
      <w:r w:rsidR="00052DE7">
        <w:rPr>
          <w:rFonts w:eastAsia="Times New Roman" w:cs="Calibri"/>
          <w:i/>
          <w:color w:val="000000" w:themeColor="text1"/>
          <w:lang w:eastAsia="en-AU"/>
        </w:rPr>
        <w:t>$</w:t>
      </w:r>
      <w:r w:rsidR="00D13C4A" w:rsidRPr="00E477C8">
        <w:rPr>
          <w:b/>
          <w:bCs/>
        </w:rPr>
        <w:t>redacted</w:t>
      </w:r>
      <w:r w:rsidR="00D13C4A">
        <w:t xml:space="preserve"> </w:t>
      </w:r>
      <w:r w:rsidR="00ED1E4A" w:rsidRPr="00AA38E7">
        <w:rPr>
          <w:rFonts w:eastAsia="Times New Roman" w:cs="Calibri"/>
          <w:i/>
          <w:color w:val="000000" w:themeColor="text1"/>
          <w:lang w:eastAsia="en-AU"/>
        </w:rPr>
        <w:t>per M</w:t>
      </w:r>
      <w:r w:rsidR="00E930DD" w:rsidRPr="00AA38E7">
        <w:rPr>
          <w:rFonts w:eastAsia="Times New Roman" w:cs="Calibri"/>
          <w:i/>
          <w:color w:val="000000" w:themeColor="text1"/>
          <w:lang w:eastAsia="en-AU"/>
        </w:rPr>
        <w:t>C</w:t>
      </w:r>
      <w:r w:rsidR="00ED1E4A" w:rsidRPr="00AA38E7">
        <w:rPr>
          <w:rFonts w:eastAsia="Times New Roman" w:cs="Calibri"/>
          <w:i/>
          <w:color w:val="000000" w:themeColor="text1"/>
          <w:lang w:eastAsia="en-AU"/>
        </w:rPr>
        <w:t>ID</w:t>
      </w:r>
      <w:r w:rsidR="00E930DD" w:rsidRPr="00AA38E7">
        <w:rPr>
          <w:rFonts w:eastAsia="Times New Roman" w:cs="Calibri"/>
          <w:i/>
          <w:color w:val="000000" w:themeColor="text1"/>
          <w:lang w:eastAsia="en-AU"/>
        </w:rPr>
        <w:t>.</w:t>
      </w:r>
      <w:r w:rsidR="00B4442E" w:rsidRPr="00C944F7" w:rsidDel="00E930DD">
        <w:rPr>
          <w:rFonts w:eastAsia="Times New Roman" w:cs="Calibri"/>
          <w:i/>
          <w:iCs/>
          <w:color w:val="000000" w:themeColor="text1"/>
          <w:lang w:eastAsia="en-AU"/>
        </w:rPr>
        <w:t xml:space="preserve"> </w:t>
      </w:r>
      <w:r w:rsidR="00321C9D" w:rsidRPr="00C944F7">
        <w:rPr>
          <w:rFonts w:eastAsia="Times New Roman" w:cs="Calibri"/>
          <w:i/>
          <w:iCs/>
          <w:color w:val="000000" w:themeColor="text1"/>
          <w:lang w:eastAsia="en-AU"/>
        </w:rPr>
        <w:t xml:space="preserve">ESC </w:t>
      </w:r>
      <w:r w:rsidR="0032228C" w:rsidRPr="00C944F7">
        <w:rPr>
          <w:rFonts w:eastAsia="Times New Roman" w:cs="Calibri"/>
          <w:i/>
          <w:iCs/>
          <w:color w:val="000000" w:themeColor="text1"/>
          <w:lang w:eastAsia="en-AU"/>
        </w:rPr>
        <w:t>considered</w:t>
      </w:r>
      <w:r w:rsidR="00D92CE9" w:rsidRPr="00C944F7">
        <w:rPr>
          <w:rFonts w:eastAsia="Times New Roman" w:cs="Calibri"/>
          <w:i/>
          <w:iCs/>
          <w:color w:val="000000" w:themeColor="text1"/>
          <w:lang w:eastAsia="en-AU"/>
        </w:rPr>
        <w:t xml:space="preserve"> that using the commentary’s approach but correcting the error in the last step resulted in an incremental benefit of </w:t>
      </w:r>
      <w:r w:rsidR="005439C4" w:rsidRPr="00C944F7">
        <w:rPr>
          <w:rFonts w:eastAsia="Times New Roman" w:cs="Calibri"/>
          <w:i/>
          <w:iCs/>
          <w:color w:val="000000" w:themeColor="text1"/>
          <w:lang w:eastAsia="en-AU"/>
        </w:rPr>
        <w:t>0.</w:t>
      </w:r>
      <w:r w:rsidR="00C74EF5" w:rsidRPr="00C944F7">
        <w:rPr>
          <w:rFonts w:eastAsia="Times New Roman" w:cs="Calibri"/>
          <w:i/>
          <w:iCs/>
          <w:color w:val="000000" w:themeColor="text1"/>
          <w:lang w:eastAsia="en-AU"/>
        </w:rPr>
        <w:t>465</w:t>
      </w:r>
      <w:r w:rsidR="00F32044" w:rsidRPr="00C944F7">
        <w:rPr>
          <w:rFonts w:eastAsia="Times New Roman" w:cs="Calibri"/>
          <w:i/>
          <w:iCs/>
          <w:color w:val="000000" w:themeColor="text1"/>
          <w:lang w:eastAsia="en-AU"/>
        </w:rPr>
        <w:t xml:space="preserve"> </w:t>
      </w:r>
      <w:r w:rsidR="009D6222" w:rsidRPr="00C944F7">
        <w:rPr>
          <w:rFonts w:eastAsia="Times New Roman" w:cs="Calibri"/>
          <w:i/>
          <w:iCs/>
          <w:color w:val="000000" w:themeColor="text1"/>
          <w:lang w:eastAsia="en-AU"/>
        </w:rPr>
        <w:t xml:space="preserve">and an ICER of </w:t>
      </w:r>
      <w:r w:rsidR="00052DE7">
        <w:rPr>
          <w:rFonts w:eastAsia="Times New Roman" w:cs="Calibri"/>
          <w:i/>
          <w:iCs/>
          <w:color w:val="000000" w:themeColor="text1"/>
          <w:lang w:eastAsia="en-AU"/>
        </w:rPr>
        <w:t>$</w:t>
      </w:r>
      <w:r w:rsidR="00D13C4A" w:rsidRPr="00E477C8">
        <w:rPr>
          <w:b/>
          <w:bCs/>
        </w:rPr>
        <w:t>redacted</w:t>
      </w:r>
      <w:r w:rsidR="00D13C4A">
        <w:t xml:space="preserve"> </w:t>
      </w:r>
      <w:r w:rsidR="009D6222" w:rsidRPr="00C944F7">
        <w:rPr>
          <w:rFonts w:eastAsia="Times New Roman" w:cs="Calibri"/>
          <w:i/>
          <w:iCs/>
          <w:color w:val="000000" w:themeColor="text1"/>
          <w:lang w:eastAsia="en-AU"/>
        </w:rPr>
        <w:t xml:space="preserve">per unit MCID of ASES gained </w:t>
      </w:r>
      <w:r w:rsidR="00942357" w:rsidRPr="00AA38E7">
        <w:rPr>
          <w:rFonts w:eastAsia="Times New Roman" w:cs="Calibri"/>
          <w:i/>
          <w:color w:val="000000" w:themeColor="text1"/>
          <w:lang w:eastAsia="en-AU"/>
        </w:rPr>
        <w:t>(</w:t>
      </w:r>
      <w:r w:rsidR="00BF54B7" w:rsidRPr="00AA38E7">
        <w:rPr>
          <w:rFonts w:eastAsia="Times New Roman" w:cs="Calibri"/>
          <w:i/>
          <w:color w:val="000000" w:themeColor="text1"/>
          <w:lang w:eastAsia="en-AU"/>
        </w:rPr>
        <w:fldChar w:fldCharType="begin"/>
      </w:r>
      <w:r w:rsidR="00BF54B7" w:rsidRPr="00AA38E7">
        <w:rPr>
          <w:rFonts w:eastAsia="Times New Roman" w:cs="Calibri"/>
          <w:i/>
          <w:color w:val="000000" w:themeColor="text1"/>
          <w:lang w:eastAsia="en-AU"/>
        </w:rPr>
        <w:instrText xml:space="preserve"> REF _Ref170200091 \h </w:instrText>
      </w:r>
      <w:r w:rsidR="009D6222" w:rsidRPr="00AA38E7">
        <w:rPr>
          <w:rFonts w:eastAsia="Times New Roman" w:cs="Calibri"/>
          <w:i/>
          <w:color w:val="000000" w:themeColor="text1"/>
          <w:lang w:eastAsia="en-AU"/>
        </w:rPr>
        <w:instrText xml:space="preserve"> \* MERGEFORMAT</w:instrText>
      </w:r>
      <w:r w:rsidR="009D6222" w:rsidRPr="00C944F7">
        <w:rPr>
          <w:rFonts w:eastAsia="Times New Roman" w:cs="Calibri"/>
          <w:i/>
          <w:iCs/>
          <w:color w:val="000000" w:themeColor="text1"/>
          <w:lang w:eastAsia="en-AU"/>
        </w:rPr>
        <w:instrText xml:space="preserve"> </w:instrText>
      </w:r>
      <w:r w:rsidR="00BF54B7" w:rsidRPr="00AA38E7">
        <w:rPr>
          <w:rFonts w:eastAsia="Times New Roman" w:cs="Calibri"/>
          <w:i/>
          <w:color w:val="000000" w:themeColor="text1"/>
          <w:lang w:eastAsia="en-AU"/>
        </w:rPr>
      </w:r>
      <w:r w:rsidR="00BF54B7" w:rsidRPr="00AA38E7">
        <w:rPr>
          <w:rFonts w:eastAsia="Times New Roman" w:cs="Calibri"/>
          <w:i/>
          <w:color w:val="000000" w:themeColor="text1"/>
          <w:lang w:eastAsia="en-AU"/>
        </w:rPr>
        <w:fldChar w:fldCharType="separate"/>
      </w:r>
      <w:r w:rsidR="00BF54B7" w:rsidRPr="00AA38E7">
        <w:rPr>
          <w:i/>
        </w:rPr>
        <w:t>Table 11</w:t>
      </w:r>
      <w:r w:rsidR="00BF54B7" w:rsidRPr="00AA38E7">
        <w:rPr>
          <w:rFonts w:eastAsia="Times New Roman" w:cs="Calibri"/>
          <w:i/>
          <w:color w:val="000000" w:themeColor="text1"/>
          <w:lang w:eastAsia="en-AU"/>
        </w:rPr>
        <w:fldChar w:fldCharType="end"/>
      </w:r>
      <w:r w:rsidR="001B3012" w:rsidRPr="00AA38E7">
        <w:rPr>
          <w:rFonts w:eastAsia="Times New Roman" w:cs="Calibri"/>
          <w:i/>
          <w:color w:val="000000" w:themeColor="text1"/>
          <w:lang w:eastAsia="en-AU"/>
        </w:rPr>
        <w:t>)</w:t>
      </w:r>
      <w:r w:rsidR="009D6222" w:rsidRPr="00AA38E7">
        <w:rPr>
          <w:rFonts w:eastAsia="Times New Roman" w:cs="Calibri"/>
          <w:i/>
          <w:color w:val="000000" w:themeColor="text1"/>
          <w:lang w:eastAsia="en-AU"/>
        </w:rPr>
        <w:t>.</w:t>
      </w:r>
    </w:p>
    <w:p w14:paraId="23959157" w14:textId="0699B294" w:rsidR="002B4F0C" w:rsidRPr="00B821D3" w:rsidRDefault="002B4F0C" w:rsidP="00B821D3">
      <w:pPr>
        <w:jc w:val="both"/>
        <w:rPr>
          <w:b/>
          <w:bCs/>
        </w:rPr>
      </w:pPr>
      <w:r w:rsidRPr="00B821D3">
        <w:rPr>
          <w:b/>
          <w:bCs/>
        </w:rPr>
        <w:t>Scenario analys</w:t>
      </w:r>
      <w:r w:rsidR="00A01DA2" w:rsidRPr="00B821D3">
        <w:rPr>
          <w:b/>
          <w:bCs/>
        </w:rPr>
        <w:t>e</w:t>
      </w:r>
      <w:r w:rsidRPr="00B821D3">
        <w:rPr>
          <w:b/>
          <w:bCs/>
        </w:rPr>
        <w:t xml:space="preserve">s </w:t>
      </w:r>
    </w:p>
    <w:p w14:paraId="3BF576F8" w14:textId="394A50F5" w:rsidR="002B4F0C" w:rsidRPr="00F20272" w:rsidRDefault="002B4F0C" w:rsidP="003B4E46">
      <w:r w:rsidRPr="00F20272">
        <w:t xml:space="preserve">The </w:t>
      </w:r>
      <w:r w:rsidR="00600185">
        <w:t>ADAR</w:t>
      </w:r>
      <w:r w:rsidRPr="00F20272">
        <w:t xml:space="preserve"> presented two scenario analys</w:t>
      </w:r>
      <w:r>
        <w:t>e</w:t>
      </w:r>
      <w:r w:rsidR="00644A4D">
        <w:t>s</w:t>
      </w:r>
      <w:r w:rsidR="00415B9A">
        <w:t xml:space="preserve"> for the </w:t>
      </w:r>
      <w:r w:rsidR="00BF7CA2">
        <w:t>P</w:t>
      </w:r>
      <w:r w:rsidR="00415B9A">
        <w:t>opulation 1</w:t>
      </w:r>
      <w:r w:rsidR="00644A4D">
        <w:t>:</w:t>
      </w:r>
    </w:p>
    <w:p w14:paraId="57342B04" w14:textId="73108E1C" w:rsidR="00EE6C3D" w:rsidRPr="008D5ED1" w:rsidRDefault="00AB1165" w:rsidP="00B821D3">
      <w:pPr>
        <w:pStyle w:val="Bullet"/>
      </w:pPr>
      <w:r w:rsidRPr="008D5ED1">
        <w:lastRenderedPageBreak/>
        <w:t>S</w:t>
      </w:r>
      <w:r w:rsidR="00EE6C3D" w:rsidRPr="008D5ED1">
        <w:t>cenario analys</w:t>
      </w:r>
      <w:r w:rsidR="009325E2" w:rsidRPr="008D5ED1">
        <w:t>i</w:t>
      </w:r>
      <w:r w:rsidR="00EE6C3D" w:rsidRPr="008D5ED1">
        <w:t>s based on societal perspective</w:t>
      </w:r>
      <w:r w:rsidR="009325E2" w:rsidRPr="008D5ED1">
        <w:t>:</w:t>
      </w:r>
    </w:p>
    <w:p w14:paraId="798B515B" w14:textId="6D66E034" w:rsidR="008D5ED1" w:rsidRDefault="0027134C" w:rsidP="00AA38E7">
      <w:pPr>
        <w:ind w:left="714"/>
      </w:pPr>
      <w:r>
        <w:t xml:space="preserve">The ADAR presented a scenario analysis </w:t>
      </w:r>
      <w:r>
        <w:rPr>
          <w:rFonts w:eastAsia="Calibri"/>
        </w:rPr>
        <w:t xml:space="preserve">in societal perspective </w:t>
      </w:r>
      <w:r>
        <w:t>by including productivity costs. These costs were estimated using the time return to work for REGENETEN</w:t>
      </w:r>
      <w:r w:rsidR="008D5ED1" w:rsidRPr="008D5ED1">
        <w:t xml:space="preserve"> </w:t>
      </w:r>
      <w:r w:rsidR="008D5ED1">
        <w:t>and standard of care,</w:t>
      </w:r>
      <w:r>
        <w:t xml:space="preserve"> </w:t>
      </w:r>
      <w:r w:rsidR="008D5ED1">
        <w:t>the percentage of each population that would be employed</w:t>
      </w:r>
      <w:r w:rsidR="008D5ED1" w:rsidRPr="008D5ED1">
        <w:t xml:space="preserve"> </w:t>
      </w:r>
      <w:r w:rsidR="008D5ED1">
        <w:t>based on the Camacho-Chacon et al., 2023 trial and</w:t>
      </w:r>
      <w:r>
        <w:t xml:space="preserve"> the weekly wage in Australia</w:t>
      </w:r>
      <w:r w:rsidR="008D5ED1">
        <w:t>.</w:t>
      </w:r>
      <w:r>
        <w:t xml:space="preserve"> </w:t>
      </w:r>
      <w:r w:rsidR="0061781E">
        <w:t>The REGENETEN arm dominated in the ICER based on societal perspective.</w:t>
      </w:r>
    </w:p>
    <w:p w14:paraId="053DC427" w14:textId="1EB40B2D" w:rsidR="009325E2" w:rsidRPr="00B821D3" w:rsidRDefault="009325E2" w:rsidP="00B821D3">
      <w:pPr>
        <w:pStyle w:val="Bullet"/>
        <w:rPr>
          <w:rFonts w:eastAsia="Calibri"/>
        </w:rPr>
      </w:pPr>
      <w:r w:rsidRPr="00B821D3">
        <w:t>Scenario analys</w:t>
      </w:r>
      <w:r w:rsidRPr="008D5ED1">
        <w:t>i</w:t>
      </w:r>
      <w:r w:rsidRPr="00B821D3">
        <w:t>s based on SCB</w:t>
      </w:r>
      <w:r w:rsidRPr="008D5ED1">
        <w:t>:</w:t>
      </w:r>
    </w:p>
    <w:p w14:paraId="31E98F5C" w14:textId="67EC2A94" w:rsidR="002B4F0C" w:rsidRPr="00842035" w:rsidRDefault="00143FFC" w:rsidP="00AA38E7">
      <w:pPr>
        <w:ind w:left="714"/>
        <w:rPr>
          <w:b/>
          <w:color w:val="000000" w:themeColor="text1"/>
        </w:rPr>
      </w:pPr>
      <w:r>
        <w:t>A scenario analysis presented using the SCB in the ASES score (change in ASES score of 17.5 was considered as achieving SCB) for Population 1. The ADAR claimed that the SCB is the larger change in an outcome measure that represents a more significant improvement in the patient’s condition.</w:t>
      </w:r>
      <w:r w:rsidR="00BE0391">
        <w:t xml:space="preserve"> </w:t>
      </w:r>
      <w:r w:rsidR="0061781E">
        <w:t>T</w:t>
      </w:r>
      <w:r w:rsidR="0061781E" w:rsidRPr="0061781E">
        <w:t xml:space="preserve">he ICER increased from </w:t>
      </w:r>
      <w:r w:rsidR="00052DE7">
        <w:t>$</w:t>
      </w:r>
      <w:r w:rsidR="00D13C4A" w:rsidRPr="00E477C8">
        <w:rPr>
          <w:b/>
          <w:bCs/>
        </w:rPr>
        <w:t>redacted</w:t>
      </w:r>
      <w:r w:rsidR="00D13C4A">
        <w:t xml:space="preserve"> </w:t>
      </w:r>
      <w:r w:rsidR="0061781E" w:rsidRPr="0061781E">
        <w:t xml:space="preserve">to </w:t>
      </w:r>
      <w:r w:rsidR="00052DE7">
        <w:t>$</w:t>
      </w:r>
      <w:r w:rsidR="00D13C4A" w:rsidRPr="00E477C8">
        <w:rPr>
          <w:b/>
          <w:bCs/>
        </w:rPr>
        <w:t>redacted</w:t>
      </w:r>
      <w:r w:rsidR="00D13C4A">
        <w:t xml:space="preserve"> </w:t>
      </w:r>
      <w:r w:rsidR="0061781E" w:rsidRPr="0061781E">
        <w:t xml:space="preserve">per </w:t>
      </w:r>
      <w:r w:rsidR="0061781E">
        <w:t>SCB</w:t>
      </w:r>
      <w:r w:rsidR="0061781E" w:rsidRPr="0061781E">
        <w:t xml:space="preserve"> gain</w:t>
      </w:r>
      <w:r w:rsidR="0061781E">
        <w:t>ed in the scenario analysis</w:t>
      </w:r>
      <w:r w:rsidR="0061781E" w:rsidRPr="0061781E">
        <w:t>.</w:t>
      </w:r>
      <w:r w:rsidR="006B2392">
        <w:t xml:space="preserve"> </w:t>
      </w:r>
      <w:r w:rsidR="006B2392">
        <w:rPr>
          <w:color w:val="000000" w:themeColor="text1"/>
        </w:rPr>
        <w:t>T</w:t>
      </w:r>
      <w:r w:rsidR="002B4F0C" w:rsidRPr="00842035">
        <w:rPr>
          <w:color w:val="000000" w:themeColor="text1"/>
        </w:rPr>
        <w:t>he commentary noted that the results of the scenario analys</w:t>
      </w:r>
      <w:r w:rsidR="00CF4AB5">
        <w:rPr>
          <w:color w:val="000000" w:themeColor="text1"/>
        </w:rPr>
        <w:t>e</w:t>
      </w:r>
      <w:r w:rsidR="002B4F0C" w:rsidRPr="00842035">
        <w:rPr>
          <w:color w:val="000000" w:themeColor="text1"/>
        </w:rPr>
        <w:t xml:space="preserve">s </w:t>
      </w:r>
      <w:r w:rsidR="0001362D">
        <w:rPr>
          <w:color w:val="000000" w:themeColor="text1"/>
        </w:rPr>
        <w:t>we</w:t>
      </w:r>
      <w:r w:rsidR="002B4F0C" w:rsidRPr="00842035">
        <w:rPr>
          <w:color w:val="000000" w:themeColor="text1"/>
        </w:rPr>
        <w:t xml:space="preserve">re highly uncertain as Camacho-Chacon </w:t>
      </w:r>
      <w:r w:rsidR="00F6199E">
        <w:rPr>
          <w:color w:val="000000" w:themeColor="text1"/>
        </w:rPr>
        <w:t>et al.,</w:t>
      </w:r>
      <w:r w:rsidR="002B4F0C" w:rsidRPr="00842035">
        <w:rPr>
          <w:color w:val="000000" w:themeColor="text1"/>
        </w:rPr>
        <w:t xml:space="preserve"> 2023 was not relevant for the </w:t>
      </w:r>
      <w:r w:rsidR="0057668C">
        <w:rPr>
          <w:color w:val="000000" w:themeColor="text1"/>
        </w:rPr>
        <w:t>P</w:t>
      </w:r>
      <w:r w:rsidR="002B4F0C" w:rsidRPr="00842035">
        <w:rPr>
          <w:color w:val="000000" w:themeColor="text1"/>
        </w:rPr>
        <w:t xml:space="preserve">opulation </w:t>
      </w:r>
      <w:r w:rsidR="0057668C">
        <w:rPr>
          <w:color w:val="000000" w:themeColor="text1"/>
        </w:rPr>
        <w:t xml:space="preserve">1 </w:t>
      </w:r>
      <w:r w:rsidR="002B4F0C" w:rsidRPr="00842035">
        <w:rPr>
          <w:color w:val="000000" w:themeColor="text1"/>
        </w:rPr>
        <w:t xml:space="preserve">as well </w:t>
      </w:r>
      <w:bookmarkStart w:id="63" w:name="_Hlk162948565"/>
      <w:r w:rsidR="002B4F0C" w:rsidRPr="00842035">
        <w:rPr>
          <w:color w:val="000000" w:themeColor="text1"/>
        </w:rPr>
        <w:t xml:space="preserve">as the effectiveness measure calculations (i.e., </w:t>
      </w:r>
      <w:r w:rsidR="007008E7">
        <w:rPr>
          <w:color w:val="000000" w:themeColor="text1"/>
        </w:rPr>
        <w:t>c</w:t>
      </w:r>
      <w:r w:rsidR="00D31326" w:rsidRPr="00D31326">
        <w:rPr>
          <w:color w:val="000000" w:themeColor="text1"/>
        </w:rPr>
        <w:t>hange in ASES from the previous period</w:t>
      </w:r>
      <w:r w:rsidR="002B4F0C" w:rsidRPr="00842035">
        <w:rPr>
          <w:color w:val="000000" w:themeColor="text1"/>
        </w:rPr>
        <w:t xml:space="preserve">) included in the model </w:t>
      </w:r>
      <w:r w:rsidR="0001362D">
        <w:rPr>
          <w:color w:val="000000" w:themeColor="text1"/>
        </w:rPr>
        <w:t>we</w:t>
      </w:r>
      <w:r w:rsidR="002B4F0C" w:rsidRPr="00842035">
        <w:rPr>
          <w:color w:val="000000" w:themeColor="text1"/>
        </w:rPr>
        <w:t>re not accurate.</w:t>
      </w:r>
    </w:p>
    <w:bookmarkEnd w:id="63"/>
    <w:p w14:paraId="239F87BF" w14:textId="77777777" w:rsidR="002B4F0C" w:rsidRPr="006F15B1" w:rsidRDefault="002B4F0C" w:rsidP="00B821D3">
      <w:pPr>
        <w:pStyle w:val="Heading4"/>
      </w:pPr>
      <w:r w:rsidRPr="006F15B1">
        <w:t>Sensitivity analyses</w:t>
      </w:r>
    </w:p>
    <w:p w14:paraId="7FFF7BAA" w14:textId="36F58181" w:rsidR="0057668C" w:rsidRPr="00B1275F" w:rsidRDefault="002B4F0C" w:rsidP="003B4E46">
      <w:r>
        <w:t xml:space="preserve">The </w:t>
      </w:r>
      <w:r w:rsidR="00600185">
        <w:t>ADAR</w:t>
      </w:r>
      <w:r>
        <w:t xml:space="preserve"> presented univariate sensitivity analys</w:t>
      </w:r>
      <w:r w:rsidR="003067A2">
        <w:t>e</w:t>
      </w:r>
      <w:r>
        <w:t xml:space="preserve">s </w:t>
      </w:r>
      <w:r w:rsidRPr="00B1275F">
        <w:t xml:space="preserve">for key inputs to the economic model for </w:t>
      </w:r>
      <w:r w:rsidR="00895086">
        <w:t>Population 1</w:t>
      </w:r>
      <w:r w:rsidRPr="00B1275F">
        <w:t xml:space="preserve"> (PTRCT). The input with the biggest impact on the ICER was </w:t>
      </w:r>
      <w:r w:rsidR="009A3249" w:rsidRPr="009A3249">
        <w:t>MCID value for ASES score</w:t>
      </w:r>
      <w:r w:rsidR="009A3249">
        <w:t>,</w:t>
      </w:r>
      <w:r w:rsidR="009A3249" w:rsidRPr="009A3249">
        <w:t xml:space="preserve"> </w:t>
      </w:r>
      <w:r w:rsidRPr="00B1275F">
        <w:t>REGENETEN kit price, followed by the cost of standard of care</w:t>
      </w:r>
      <w:r>
        <w:t xml:space="preserve">. </w:t>
      </w:r>
      <w:r>
        <w:fldChar w:fldCharType="begin"/>
      </w:r>
      <w:r>
        <w:instrText xml:space="preserve"> REF _Ref163180205 \h </w:instrText>
      </w:r>
      <w:r>
        <w:fldChar w:fldCharType="separate"/>
      </w:r>
      <w:r w:rsidR="001D1281" w:rsidRPr="00CE28E3">
        <w:t>Table</w:t>
      </w:r>
      <w:r w:rsidR="001D1281">
        <w:t> </w:t>
      </w:r>
      <w:r w:rsidR="00D55042">
        <w:rPr>
          <w:noProof/>
        </w:rPr>
        <w:t>12</w:t>
      </w:r>
      <w:r>
        <w:fldChar w:fldCharType="end"/>
      </w:r>
      <w:r>
        <w:t xml:space="preserve"> summarise</w:t>
      </w:r>
      <w:r w:rsidR="00962A92">
        <w:t>d</w:t>
      </w:r>
      <w:r>
        <w:t xml:space="preserve"> the key drivers of the model. </w:t>
      </w:r>
      <w:r w:rsidRPr="00B1275F">
        <w:t xml:space="preserve"> </w:t>
      </w:r>
    </w:p>
    <w:p w14:paraId="13291A62" w14:textId="59718DB9" w:rsidR="002B4F0C" w:rsidRPr="00CE28E3" w:rsidRDefault="002B4F0C" w:rsidP="00A6552C">
      <w:pPr>
        <w:pStyle w:val="Caption"/>
        <w:spacing w:before="0"/>
      </w:pPr>
      <w:bookmarkStart w:id="64" w:name="_Ref163180205"/>
      <w:r w:rsidRPr="00CE28E3">
        <w:t>Table</w:t>
      </w:r>
      <w:r>
        <w:t> </w:t>
      </w:r>
      <w:r>
        <w:fldChar w:fldCharType="begin"/>
      </w:r>
      <w:r>
        <w:instrText xml:space="preserve"> SEQ Table \* ARABIC </w:instrText>
      </w:r>
      <w:r>
        <w:fldChar w:fldCharType="separate"/>
      </w:r>
      <w:r w:rsidR="00D55042">
        <w:rPr>
          <w:noProof/>
        </w:rPr>
        <w:t>12</w:t>
      </w:r>
      <w:r>
        <w:rPr>
          <w:noProof/>
        </w:rPr>
        <w:fldChar w:fldCharType="end"/>
      </w:r>
      <w:bookmarkEnd w:id="64"/>
      <w:r>
        <w:rPr>
          <w:noProof/>
        </w:rPr>
        <w:t>:</w:t>
      </w:r>
      <w:r w:rsidRPr="00CE28E3">
        <w:tab/>
      </w:r>
      <w:r w:rsidR="00BF7CA2">
        <w:t xml:space="preserve"> </w:t>
      </w:r>
      <w:r w:rsidRPr="00CE28E3">
        <w:t>Key drivers of the model</w:t>
      </w:r>
      <w:r w:rsidR="007D6C06">
        <w:t xml:space="preserve"> (</w:t>
      </w:r>
      <w:r w:rsidR="00E86C01">
        <w:t xml:space="preserve">Population 1: </w:t>
      </w:r>
      <w:r w:rsidR="007D6C06">
        <w:t>PTRCT)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8"/>
        <w:gridCol w:w="2204"/>
        <w:gridCol w:w="2842"/>
        <w:gridCol w:w="2842"/>
      </w:tblGrid>
      <w:tr w:rsidR="002B4F0C" w:rsidRPr="00CE28E3" w14:paraId="6BDB8120" w14:textId="3892DC66" w:rsidTr="00AA38E7">
        <w:trPr>
          <w:tblHeader/>
        </w:trPr>
        <w:tc>
          <w:tcPr>
            <w:tcW w:w="626" w:type="pct"/>
            <w:shd w:val="clear" w:color="auto" w:fill="auto"/>
          </w:tcPr>
          <w:p w14:paraId="2AE5DB99" w14:textId="6974B5A5" w:rsidR="002B4F0C" w:rsidRPr="00CE28E3" w:rsidRDefault="00927961" w:rsidP="00B821D3">
            <w:pPr>
              <w:pStyle w:val="In-tableHeading"/>
              <w:spacing w:before="40" w:after="40"/>
            </w:pPr>
            <w:r>
              <w:t>Parameter</w:t>
            </w:r>
          </w:p>
        </w:tc>
        <w:tc>
          <w:tcPr>
            <w:tcW w:w="1222" w:type="pct"/>
            <w:shd w:val="clear" w:color="auto" w:fill="auto"/>
          </w:tcPr>
          <w:p w14:paraId="4F2646AF" w14:textId="3D696EEE" w:rsidR="002B4F0C" w:rsidRPr="00CE28E3" w:rsidRDefault="003F41E5" w:rsidP="00B821D3">
            <w:pPr>
              <w:pStyle w:val="In-tableHeading"/>
              <w:spacing w:before="40" w:after="40"/>
            </w:pPr>
            <w:r>
              <w:t>Description</w:t>
            </w:r>
          </w:p>
        </w:tc>
        <w:tc>
          <w:tcPr>
            <w:tcW w:w="1576" w:type="pct"/>
            <w:shd w:val="clear" w:color="auto" w:fill="auto"/>
          </w:tcPr>
          <w:p w14:paraId="0A729A11" w14:textId="77777777" w:rsidR="002B4F0C" w:rsidRPr="00CE28E3" w:rsidRDefault="002B4F0C" w:rsidP="00B821D3">
            <w:pPr>
              <w:pStyle w:val="In-tableHeading"/>
              <w:spacing w:before="40" w:after="40"/>
            </w:pPr>
            <w:r w:rsidRPr="00CE28E3">
              <w:t>Impact</w:t>
            </w:r>
          </w:p>
          <w:p w14:paraId="698D46A1" w14:textId="6A2A5C56" w:rsidR="002B4F0C" w:rsidRPr="00CE28E3" w:rsidRDefault="002B4F0C" w:rsidP="00B821D3">
            <w:pPr>
              <w:pStyle w:val="In-tableHeading"/>
              <w:spacing w:before="40" w:after="40"/>
            </w:pPr>
            <w:r w:rsidRPr="00CE28E3">
              <w:rPr>
                <w:rFonts w:cs="Arial"/>
                <w:szCs w:val="20"/>
              </w:rPr>
              <w:t xml:space="preserve">Base case: </w:t>
            </w:r>
            <w:r w:rsidR="00052DE7">
              <w:rPr>
                <w:rFonts w:cs="Arial"/>
                <w:szCs w:val="20"/>
              </w:rPr>
              <w:t>$</w:t>
            </w:r>
            <w:r w:rsidR="00857E48" w:rsidRPr="00E477C8">
              <w:rPr>
                <w:b w:val="0"/>
                <w:bCs/>
              </w:rPr>
              <w:t>redacted</w:t>
            </w:r>
            <w:r w:rsidR="00857E48">
              <w:t xml:space="preserve"> </w:t>
            </w:r>
            <w:r w:rsidRPr="00CE28E3">
              <w:rPr>
                <w:rFonts w:cs="Arial"/>
                <w:szCs w:val="20"/>
              </w:rPr>
              <w:t>/</w:t>
            </w:r>
            <w:r w:rsidR="0050578F">
              <w:rPr>
                <w:rFonts w:cs="Arial"/>
                <w:szCs w:val="20"/>
              </w:rPr>
              <w:t xml:space="preserve">unit of </w:t>
            </w:r>
            <w:r>
              <w:rPr>
                <w:rFonts w:cs="Arial"/>
                <w:szCs w:val="20"/>
              </w:rPr>
              <w:t>MCID</w:t>
            </w:r>
            <w:r w:rsidRPr="00CE28E3">
              <w:rPr>
                <w:rFonts w:cs="Arial"/>
                <w:szCs w:val="20"/>
              </w:rPr>
              <w:t xml:space="preserve"> gained</w:t>
            </w:r>
          </w:p>
        </w:tc>
        <w:tc>
          <w:tcPr>
            <w:tcW w:w="1576" w:type="pct"/>
          </w:tcPr>
          <w:p w14:paraId="245DD93F" w14:textId="6D29F069" w:rsidR="00CE3ED5" w:rsidRDefault="008E24F8" w:rsidP="00B821D3">
            <w:pPr>
              <w:pStyle w:val="In-tableHeading"/>
              <w:spacing w:before="40" w:after="40"/>
            </w:pPr>
            <w:r>
              <w:t>Impact</w:t>
            </w:r>
          </w:p>
          <w:p w14:paraId="5486655B" w14:textId="762530A5" w:rsidR="00CE3ED5" w:rsidRPr="00CE28E3" w:rsidRDefault="009671F3" w:rsidP="00B821D3">
            <w:pPr>
              <w:pStyle w:val="In-tableHeading"/>
              <w:spacing w:before="40" w:after="40"/>
            </w:pPr>
            <w:r>
              <w:t>ESC</w:t>
            </w:r>
            <w:r w:rsidR="005158FE">
              <w:t xml:space="preserve"> (using commentary’s </w:t>
            </w:r>
            <w:r w:rsidR="00ED58DC">
              <w:t xml:space="preserve">re-specified base case and correcting </w:t>
            </w:r>
            <w:r w:rsidR="00C36E79">
              <w:t xml:space="preserve">an error: </w:t>
            </w:r>
            <w:r w:rsidR="00052DE7">
              <w:t>$</w:t>
            </w:r>
            <w:r w:rsidR="00857E48" w:rsidRPr="00E477C8">
              <w:rPr>
                <w:b w:val="0"/>
                <w:bCs/>
              </w:rPr>
              <w:t>redacted</w:t>
            </w:r>
            <w:r w:rsidR="00857E48">
              <w:t xml:space="preserve"> </w:t>
            </w:r>
            <w:r w:rsidR="008503C5">
              <w:t>/</w:t>
            </w:r>
            <w:r w:rsidR="0050578F">
              <w:t xml:space="preserve">unit of </w:t>
            </w:r>
            <w:r w:rsidR="009B29CF">
              <w:t>M</w:t>
            </w:r>
            <w:r w:rsidR="0050578F">
              <w:t>CID gained)</w:t>
            </w:r>
          </w:p>
        </w:tc>
      </w:tr>
      <w:tr w:rsidR="002B4F0C" w:rsidRPr="00CE28E3" w14:paraId="34B60D02" w14:textId="0C3F1474" w:rsidTr="00AA38E7">
        <w:tc>
          <w:tcPr>
            <w:tcW w:w="626" w:type="pct"/>
            <w:shd w:val="clear" w:color="auto" w:fill="auto"/>
          </w:tcPr>
          <w:p w14:paraId="5EF5A561" w14:textId="77777777" w:rsidR="002B4F0C" w:rsidRPr="00CE28E3" w:rsidRDefault="002B4F0C" w:rsidP="00B821D3">
            <w:pPr>
              <w:pStyle w:val="TableText"/>
              <w:rPr>
                <w:lang w:val="en-US"/>
              </w:rPr>
            </w:pPr>
            <w:r w:rsidRPr="00F20272">
              <w:rPr>
                <w:lang w:val="en-US"/>
              </w:rPr>
              <w:t>Cost of intervention for Standard of care</w:t>
            </w:r>
          </w:p>
        </w:tc>
        <w:tc>
          <w:tcPr>
            <w:tcW w:w="1222" w:type="pct"/>
            <w:shd w:val="clear" w:color="auto" w:fill="auto"/>
          </w:tcPr>
          <w:p w14:paraId="10D664B7" w14:textId="19C91666" w:rsidR="002B4F0C" w:rsidRPr="00A77552" w:rsidRDefault="00BA2424" w:rsidP="00E47F5C">
            <w:pPr>
              <w:pStyle w:val="TableText"/>
              <w:rPr>
                <w:lang w:val="en-US"/>
              </w:rPr>
            </w:pPr>
            <w:r w:rsidRPr="00A77552">
              <w:rPr>
                <w:lang w:val="en-US"/>
              </w:rPr>
              <w:t xml:space="preserve">Increase by 20% (BC = </w:t>
            </w:r>
            <w:r w:rsidR="00052DE7">
              <w:rPr>
                <w:lang w:val="en-US"/>
              </w:rPr>
              <w:t>$</w:t>
            </w:r>
            <w:r w:rsidR="00254658" w:rsidRPr="00E477C8">
              <w:rPr>
                <w:b/>
                <w:bCs/>
              </w:rPr>
              <w:t>redacted</w:t>
            </w:r>
            <w:r w:rsidR="00036F34" w:rsidRPr="00A77552">
              <w:rPr>
                <w:lang w:val="en-US"/>
              </w:rPr>
              <w:t>)</w:t>
            </w:r>
          </w:p>
        </w:tc>
        <w:tc>
          <w:tcPr>
            <w:tcW w:w="1576" w:type="pct"/>
            <w:shd w:val="clear" w:color="auto" w:fill="auto"/>
          </w:tcPr>
          <w:p w14:paraId="0BE2783B" w14:textId="2D7B8883" w:rsidR="002B4F0C" w:rsidRPr="00A77552" w:rsidRDefault="002B4F0C" w:rsidP="00E47F5C">
            <w:pPr>
              <w:pStyle w:val="TableText"/>
              <w:rPr>
                <w:lang w:val="en-US"/>
              </w:rPr>
            </w:pPr>
            <w:r w:rsidRPr="00A77552">
              <w:rPr>
                <w:lang w:val="en-US"/>
              </w:rPr>
              <w:t xml:space="preserve">High, </w:t>
            </w:r>
            <w:proofErr w:type="spellStart"/>
            <w:r w:rsidR="0050578F" w:rsidRPr="00A77552">
              <w:rPr>
                <w:lang w:val="en-US"/>
              </w:rPr>
              <w:t>favour</w:t>
            </w:r>
            <w:r w:rsidR="003F41E5" w:rsidRPr="00A77552">
              <w:rPr>
                <w:lang w:val="en-US"/>
              </w:rPr>
              <w:t>ed</w:t>
            </w:r>
            <w:proofErr w:type="spellEnd"/>
            <w:r w:rsidRPr="00A77552">
              <w:rPr>
                <w:lang w:val="en-US"/>
              </w:rPr>
              <w:t xml:space="preserve"> REGENETEN</w:t>
            </w:r>
          </w:p>
          <w:p w14:paraId="0A2B284F" w14:textId="390DAE01" w:rsidR="002B4F0C" w:rsidRPr="00A77552" w:rsidRDefault="0050578F" w:rsidP="00B821D3">
            <w:pPr>
              <w:pStyle w:val="TableText"/>
              <w:rPr>
                <w:lang w:val="en-US"/>
              </w:rPr>
            </w:pPr>
            <w:r w:rsidRPr="00A77552">
              <w:rPr>
                <w:lang w:val="en-US"/>
              </w:rPr>
              <w:t>Use</w:t>
            </w:r>
            <w:r w:rsidR="002B4F0C" w:rsidRPr="00A77552">
              <w:rPr>
                <w:lang w:val="en-US"/>
              </w:rPr>
              <w:t xml:space="preserve"> of 20% high value for the </w:t>
            </w:r>
            <w:r w:rsidR="00C80126" w:rsidRPr="00A77552">
              <w:rPr>
                <w:lang w:val="en-US"/>
              </w:rPr>
              <w:t xml:space="preserve">cost of </w:t>
            </w:r>
            <w:r w:rsidR="002B4F0C" w:rsidRPr="00A77552">
              <w:rPr>
                <w:lang w:val="en-US"/>
              </w:rPr>
              <w:t xml:space="preserve">standard care </w:t>
            </w:r>
            <w:r w:rsidRPr="00A77552">
              <w:rPr>
                <w:lang w:val="en-US"/>
              </w:rPr>
              <w:t>reduce</w:t>
            </w:r>
            <w:r w:rsidR="00C80126" w:rsidRPr="00A77552">
              <w:rPr>
                <w:lang w:val="en-US"/>
              </w:rPr>
              <w:t>d</w:t>
            </w:r>
            <w:r w:rsidR="002B4F0C" w:rsidRPr="00A77552">
              <w:rPr>
                <w:lang w:val="en-US"/>
              </w:rPr>
              <w:t xml:space="preserve"> the ICER to </w:t>
            </w:r>
            <w:r w:rsidR="00052DE7">
              <w:rPr>
                <w:lang w:val="en-US"/>
              </w:rPr>
              <w:t>$</w:t>
            </w:r>
            <w:r w:rsidR="00254658" w:rsidRPr="00E477C8">
              <w:rPr>
                <w:b/>
                <w:bCs/>
              </w:rPr>
              <w:t>redacted</w:t>
            </w:r>
            <w:r w:rsidR="00254658">
              <w:t xml:space="preserve"> </w:t>
            </w:r>
            <w:r w:rsidR="002B4F0C" w:rsidRPr="00A77552">
              <w:rPr>
                <w:lang w:val="en-US"/>
              </w:rPr>
              <w:t>/</w:t>
            </w:r>
            <w:r w:rsidR="00C80126" w:rsidRPr="00A77552">
              <w:rPr>
                <w:lang w:val="en-US"/>
              </w:rPr>
              <w:t xml:space="preserve">unit of </w:t>
            </w:r>
            <w:r w:rsidR="002B4F0C" w:rsidRPr="00A77552">
              <w:rPr>
                <w:lang w:val="en-US"/>
              </w:rPr>
              <w:t>MCID</w:t>
            </w:r>
            <w:r w:rsidR="0061781E" w:rsidRPr="00A77552">
              <w:rPr>
                <w:lang w:val="en-US"/>
              </w:rPr>
              <w:t xml:space="preserve"> gained</w:t>
            </w:r>
            <w:r w:rsidR="002B4F0C" w:rsidRPr="00A77552">
              <w:rPr>
                <w:lang w:val="en-US"/>
              </w:rPr>
              <w:t>.</w:t>
            </w:r>
          </w:p>
        </w:tc>
        <w:tc>
          <w:tcPr>
            <w:tcW w:w="1576" w:type="pct"/>
            <w:shd w:val="clear" w:color="auto" w:fill="auto"/>
          </w:tcPr>
          <w:p w14:paraId="58EFE39C" w14:textId="0A7AA36B" w:rsidR="0050578F" w:rsidRPr="00A77552" w:rsidRDefault="0050578F" w:rsidP="0050578F">
            <w:pPr>
              <w:pStyle w:val="TableText"/>
              <w:rPr>
                <w:lang w:val="en-US"/>
              </w:rPr>
            </w:pPr>
            <w:r w:rsidRPr="00A77552">
              <w:rPr>
                <w:lang w:val="en-US"/>
              </w:rPr>
              <w:t xml:space="preserve">High, </w:t>
            </w:r>
            <w:proofErr w:type="spellStart"/>
            <w:r w:rsidRPr="00A77552">
              <w:rPr>
                <w:lang w:val="en-US"/>
              </w:rPr>
              <w:t>favour</w:t>
            </w:r>
            <w:r w:rsidR="00C80126" w:rsidRPr="00A77552">
              <w:rPr>
                <w:lang w:val="en-US"/>
              </w:rPr>
              <w:t>ed</w:t>
            </w:r>
            <w:proofErr w:type="spellEnd"/>
            <w:r w:rsidRPr="00A77552">
              <w:rPr>
                <w:lang w:val="en-US"/>
              </w:rPr>
              <w:t xml:space="preserve"> REGENETEN</w:t>
            </w:r>
          </w:p>
          <w:p w14:paraId="2C746B16" w14:textId="108EC245" w:rsidR="00CE3ED5" w:rsidRPr="00A77552" w:rsidRDefault="0050578F" w:rsidP="00E47F5C">
            <w:pPr>
              <w:pStyle w:val="TableText"/>
              <w:rPr>
                <w:lang w:val="en-US"/>
              </w:rPr>
            </w:pPr>
            <w:r w:rsidRPr="00A77552">
              <w:rPr>
                <w:lang w:val="en-US"/>
              </w:rPr>
              <w:t xml:space="preserve">Use of 20% high value for the </w:t>
            </w:r>
            <w:r w:rsidR="008322A0" w:rsidRPr="00A77552">
              <w:rPr>
                <w:lang w:val="en-US"/>
              </w:rPr>
              <w:t xml:space="preserve">cost of </w:t>
            </w:r>
            <w:r w:rsidRPr="00A77552">
              <w:rPr>
                <w:lang w:val="en-US"/>
              </w:rPr>
              <w:t>standard care reduce</w:t>
            </w:r>
            <w:r w:rsidR="008322A0" w:rsidRPr="00A77552">
              <w:rPr>
                <w:lang w:val="en-US"/>
              </w:rPr>
              <w:t>d</w:t>
            </w:r>
            <w:r w:rsidRPr="00A77552">
              <w:rPr>
                <w:lang w:val="en-US"/>
              </w:rPr>
              <w:t xml:space="preserve"> the ICER to </w:t>
            </w:r>
            <w:r w:rsidR="00052DE7">
              <w:rPr>
                <w:lang w:val="en-US"/>
              </w:rPr>
              <w:t>$</w:t>
            </w:r>
            <w:r w:rsidR="00254658" w:rsidRPr="00E477C8">
              <w:rPr>
                <w:b/>
                <w:bCs/>
              </w:rPr>
              <w:t>redacted</w:t>
            </w:r>
            <w:r w:rsidR="00254658">
              <w:t xml:space="preserve"> </w:t>
            </w:r>
            <w:r w:rsidRPr="00A77552">
              <w:rPr>
                <w:lang w:val="en-US"/>
              </w:rPr>
              <w:t>/</w:t>
            </w:r>
            <w:r w:rsidR="00DA35C6" w:rsidRPr="00A77552">
              <w:rPr>
                <w:lang w:val="en-US"/>
              </w:rPr>
              <w:t xml:space="preserve">unit of </w:t>
            </w:r>
            <w:r w:rsidRPr="00A77552">
              <w:rPr>
                <w:lang w:val="en-US"/>
              </w:rPr>
              <w:t>MCID gained.</w:t>
            </w:r>
          </w:p>
        </w:tc>
      </w:tr>
      <w:tr w:rsidR="002B4F0C" w:rsidRPr="00CE28E3" w14:paraId="2349CC1F" w14:textId="2FB80E4E" w:rsidTr="00AA38E7">
        <w:tc>
          <w:tcPr>
            <w:tcW w:w="626" w:type="pct"/>
            <w:shd w:val="clear" w:color="auto" w:fill="auto"/>
          </w:tcPr>
          <w:p w14:paraId="471DC2F1" w14:textId="77777777" w:rsidR="002B4F0C" w:rsidRPr="00CE28E3" w:rsidRDefault="002B4F0C" w:rsidP="00B821D3">
            <w:pPr>
              <w:pStyle w:val="TableText"/>
              <w:rPr>
                <w:lang w:val="en-US"/>
              </w:rPr>
            </w:pPr>
            <w:r w:rsidRPr="00F20272">
              <w:rPr>
                <w:lang w:val="en-US"/>
              </w:rPr>
              <w:t>Cost of REGENETEN Kit</w:t>
            </w:r>
          </w:p>
        </w:tc>
        <w:tc>
          <w:tcPr>
            <w:tcW w:w="1222" w:type="pct"/>
            <w:shd w:val="clear" w:color="auto" w:fill="auto"/>
          </w:tcPr>
          <w:p w14:paraId="5BCC80C0" w14:textId="4FBF8345" w:rsidR="002B4F0C" w:rsidRPr="00A77552" w:rsidRDefault="00036F34" w:rsidP="00E47F5C">
            <w:pPr>
              <w:pStyle w:val="TableText"/>
              <w:rPr>
                <w:lang w:val="en-US"/>
              </w:rPr>
            </w:pPr>
            <w:r w:rsidRPr="00A77552">
              <w:rPr>
                <w:lang w:val="en-US"/>
              </w:rPr>
              <w:t>Increase by 20% (BC = $</w:t>
            </w:r>
            <w:r w:rsidR="00CC3FF1" w:rsidRPr="00DC01E7">
              <w:rPr>
                <w:b/>
                <w:bCs/>
              </w:rPr>
              <w:t xml:space="preserve"> </w:t>
            </w:r>
            <w:r w:rsidR="00052DE7">
              <w:rPr>
                <w:b/>
                <w:bCs/>
              </w:rPr>
              <w:t>$</w:t>
            </w:r>
            <w:r w:rsidR="00CC3FF1" w:rsidRPr="00DC01E7">
              <w:rPr>
                <w:b/>
                <w:bCs/>
              </w:rPr>
              <w:t>redacted</w:t>
            </w:r>
            <w:r w:rsidR="003F41E5" w:rsidRPr="00A77552">
              <w:rPr>
                <w:lang w:val="en-US"/>
              </w:rPr>
              <w:t>)</w:t>
            </w:r>
          </w:p>
        </w:tc>
        <w:tc>
          <w:tcPr>
            <w:tcW w:w="1576" w:type="pct"/>
            <w:shd w:val="clear" w:color="auto" w:fill="auto"/>
          </w:tcPr>
          <w:p w14:paraId="4F74207D" w14:textId="5A241C1F" w:rsidR="002B4F0C" w:rsidRPr="00A77552" w:rsidRDefault="002B4F0C" w:rsidP="00E47F5C">
            <w:pPr>
              <w:pStyle w:val="TableText"/>
            </w:pPr>
            <w:r w:rsidRPr="00A77552">
              <w:rPr>
                <w:lang w:val="en-US"/>
              </w:rPr>
              <w:t xml:space="preserve">High, </w:t>
            </w:r>
            <w:proofErr w:type="spellStart"/>
            <w:r w:rsidR="0050578F" w:rsidRPr="00A77552">
              <w:rPr>
                <w:lang w:val="en-US"/>
              </w:rPr>
              <w:t>favour</w:t>
            </w:r>
            <w:r w:rsidR="00745115" w:rsidRPr="00A77552">
              <w:rPr>
                <w:lang w:val="en-US"/>
              </w:rPr>
              <w:t>ed</w:t>
            </w:r>
            <w:proofErr w:type="spellEnd"/>
            <w:r w:rsidRPr="00A77552">
              <w:rPr>
                <w:lang w:val="en-US"/>
              </w:rPr>
              <w:t xml:space="preserve"> standard care</w:t>
            </w:r>
            <w:r w:rsidRPr="00A77552">
              <w:t xml:space="preserve"> </w:t>
            </w:r>
          </w:p>
          <w:p w14:paraId="350F33FA" w14:textId="201634DF" w:rsidR="002B4F0C" w:rsidRPr="00A77552" w:rsidRDefault="002B4F0C" w:rsidP="00B821D3">
            <w:pPr>
              <w:pStyle w:val="TableText"/>
              <w:rPr>
                <w:lang w:val="en-US"/>
              </w:rPr>
            </w:pPr>
            <w:r w:rsidRPr="00A77552">
              <w:rPr>
                <w:lang w:val="en-US"/>
              </w:rPr>
              <w:t xml:space="preserve">Use of 20% high value for the </w:t>
            </w:r>
            <w:r w:rsidR="008B5887" w:rsidRPr="00A77552">
              <w:rPr>
                <w:lang w:val="en-US"/>
              </w:rPr>
              <w:t xml:space="preserve">cost of </w:t>
            </w:r>
            <w:r w:rsidRPr="00A77552">
              <w:rPr>
                <w:lang w:val="en-US"/>
              </w:rPr>
              <w:t xml:space="preserve">REGENETEN kit </w:t>
            </w:r>
            <w:r w:rsidR="0050578F" w:rsidRPr="00A77552">
              <w:rPr>
                <w:lang w:val="en-US"/>
              </w:rPr>
              <w:t>increase</w:t>
            </w:r>
            <w:r w:rsidR="002A2732" w:rsidRPr="00A77552">
              <w:rPr>
                <w:lang w:val="en-US"/>
              </w:rPr>
              <w:t>d</w:t>
            </w:r>
            <w:r w:rsidRPr="00A77552">
              <w:rPr>
                <w:lang w:val="en-US"/>
              </w:rPr>
              <w:t xml:space="preserve"> the ICER to </w:t>
            </w:r>
            <w:r w:rsidR="00052DE7">
              <w:rPr>
                <w:lang w:val="en-US"/>
              </w:rPr>
              <w:t>$</w:t>
            </w:r>
            <w:r w:rsidR="00254658" w:rsidRPr="00E477C8">
              <w:rPr>
                <w:b/>
                <w:bCs/>
              </w:rPr>
              <w:t>redacted</w:t>
            </w:r>
            <w:r w:rsidR="00254658">
              <w:t xml:space="preserve"> </w:t>
            </w:r>
            <w:r w:rsidRPr="00A77552">
              <w:rPr>
                <w:lang w:val="en-US"/>
              </w:rPr>
              <w:t>/MCID</w:t>
            </w:r>
            <w:r w:rsidR="0061781E" w:rsidRPr="00A77552">
              <w:rPr>
                <w:lang w:val="en-US"/>
              </w:rPr>
              <w:t xml:space="preserve"> gained</w:t>
            </w:r>
            <w:r w:rsidRPr="00A77552">
              <w:rPr>
                <w:lang w:val="en-US"/>
              </w:rPr>
              <w:t>.</w:t>
            </w:r>
            <w:r w:rsidRPr="00A77552">
              <w:rPr>
                <w:rFonts w:cs="Arial"/>
                <w:color w:val="538135" w:themeColor="accent6" w:themeShade="BF"/>
                <w:szCs w:val="20"/>
              </w:rPr>
              <w:t xml:space="preserve"> </w:t>
            </w:r>
          </w:p>
        </w:tc>
        <w:tc>
          <w:tcPr>
            <w:tcW w:w="1576" w:type="pct"/>
            <w:shd w:val="clear" w:color="auto" w:fill="auto"/>
          </w:tcPr>
          <w:p w14:paraId="26E67CF5" w14:textId="799439CE" w:rsidR="0050578F" w:rsidRPr="00A77552" w:rsidRDefault="0050578F" w:rsidP="0050578F">
            <w:pPr>
              <w:pStyle w:val="TableText"/>
            </w:pPr>
            <w:r w:rsidRPr="00A77552">
              <w:rPr>
                <w:lang w:val="en-US"/>
              </w:rPr>
              <w:t xml:space="preserve">High, </w:t>
            </w:r>
            <w:proofErr w:type="spellStart"/>
            <w:r w:rsidRPr="00A77552">
              <w:rPr>
                <w:lang w:val="en-US"/>
              </w:rPr>
              <w:t>favour</w:t>
            </w:r>
            <w:r w:rsidR="00745115" w:rsidRPr="00A77552">
              <w:rPr>
                <w:lang w:val="en-US"/>
              </w:rPr>
              <w:t>ed</w:t>
            </w:r>
            <w:proofErr w:type="spellEnd"/>
            <w:r w:rsidRPr="00A77552">
              <w:rPr>
                <w:lang w:val="en-US"/>
              </w:rPr>
              <w:t xml:space="preserve"> standard care</w:t>
            </w:r>
            <w:r w:rsidRPr="00A77552">
              <w:t xml:space="preserve"> </w:t>
            </w:r>
          </w:p>
          <w:p w14:paraId="1580BBB1" w14:textId="2446A573" w:rsidR="00CE3ED5" w:rsidRPr="00A77552" w:rsidRDefault="0050578F" w:rsidP="00E47F5C">
            <w:pPr>
              <w:pStyle w:val="TableText"/>
              <w:rPr>
                <w:lang w:val="en-US"/>
              </w:rPr>
            </w:pPr>
            <w:r w:rsidRPr="00A77552">
              <w:rPr>
                <w:lang w:val="en-US"/>
              </w:rPr>
              <w:t xml:space="preserve">Use of 20% high value for the </w:t>
            </w:r>
            <w:r w:rsidR="008322A0" w:rsidRPr="00A77552">
              <w:rPr>
                <w:lang w:val="en-US"/>
              </w:rPr>
              <w:t xml:space="preserve">cost </w:t>
            </w:r>
            <w:r w:rsidR="00197A84" w:rsidRPr="00A77552">
              <w:rPr>
                <w:lang w:val="en-US"/>
              </w:rPr>
              <w:t xml:space="preserve">of </w:t>
            </w:r>
            <w:r w:rsidRPr="00A77552">
              <w:rPr>
                <w:lang w:val="en-US"/>
              </w:rPr>
              <w:t>REGENETEN kit increase</w:t>
            </w:r>
            <w:r w:rsidR="00197A84" w:rsidRPr="00A77552">
              <w:rPr>
                <w:lang w:val="en-US"/>
              </w:rPr>
              <w:t>d</w:t>
            </w:r>
            <w:r w:rsidRPr="00A77552">
              <w:rPr>
                <w:lang w:val="en-US"/>
              </w:rPr>
              <w:t xml:space="preserve"> the ICER to </w:t>
            </w:r>
            <w:r w:rsidR="00052DE7">
              <w:rPr>
                <w:lang w:val="en-US"/>
              </w:rPr>
              <w:t>$</w:t>
            </w:r>
            <w:r w:rsidR="00254658" w:rsidRPr="00E477C8">
              <w:rPr>
                <w:b/>
                <w:bCs/>
              </w:rPr>
              <w:t>redacted</w:t>
            </w:r>
            <w:r w:rsidR="00254658">
              <w:t xml:space="preserve"> </w:t>
            </w:r>
            <w:r w:rsidRPr="00A77552">
              <w:rPr>
                <w:lang w:val="en-US"/>
              </w:rPr>
              <w:t>/</w:t>
            </w:r>
            <w:r w:rsidR="00D328F8" w:rsidRPr="00A77552">
              <w:rPr>
                <w:lang w:val="en-US"/>
              </w:rPr>
              <w:t xml:space="preserve">unit of </w:t>
            </w:r>
            <w:r w:rsidRPr="00A77552">
              <w:rPr>
                <w:lang w:val="en-US"/>
              </w:rPr>
              <w:t>MCID gained.</w:t>
            </w:r>
            <w:r w:rsidRPr="00A77552">
              <w:rPr>
                <w:rFonts w:cs="Arial"/>
                <w:color w:val="538135" w:themeColor="accent6" w:themeShade="BF"/>
                <w:szCs w:val="20"/>
              </w:rPr>
              <w:t xml:space="preserve"> </w:t>
            </w:r>
          </w:p>
        </w:tc>
      </w:tr>
      <w:tr w:rsidR="009A3249" w:rsidRPr="00CE28E3" w14:paraId="0E49238D" w14:textId="58F3FDF4" w:rsidTr="00AA38E7">
        <w:tc>
          <w:tcPr>
            <w:tcW w:w="626" w:type="pct"/>
            <w:shd w:val="clear" w:color="auto" w:fill="auto"/>
          </w:tcPr>
          <w:p w14:paraId="22494633" w14:textId="02923D94" w:rsidR="009A3249" w:rsidRPr="00F20272" w:rsidRDefault="009A3249" w:rsidP="00B821D3">
            <w:pPr>
              <w:pStyle w:val="TableText"/>
              <w:rPr>
                <w:lang w:val="en-US"/>
              </w:rPr>
            </w:pPr>
            <w:bookmarkStart w:id="65" w:name="_Hlk166580406"/>
            <w:r>
              <w:rPr>
                <w:lang w:val="en-US"/>
              </w:rPr>
              <w:t>MCID value for ASES score</w:t>
            </w:r>
            <w:bookmarkEnd w:id="65"/>
          </w:p>
        </w:tc>
        <w:tc>
          <w:tcPr>
            <w:tcW w:w="1222" w:type="pct"/>
            <w:shd w:val="clear" w:color="auto" w:fill="auto"/>
          </w:tcPr>
          <w:p w14:paraId="7016E399" w14:textId="20A0BB30" w:rsidR="009A3249" w:rsidRPr="00A77552" w:rsidRDefault="004E30FF" w:rsidP="00E47F5C">
            <w:pPr>
              <w:pStyle w:val="TableText"/>
              <w:rPr>
                <w:lang w:val="en-US"/>
              </w:rPr>
            </w:pPr>
            <w:r w:rsidRPr="00A77552">
              <w:rPr>
                <w:lang w:val="en-US"/>
              </w:rPr>
              <w:t>Use maximal MCID value (21.9) reported in the 6 included studies in Jones et al., 2020 revie (BC = 15.5)</w:t>
            </w:r>
          </w:p>
        </w:tc>
        <w:tc>
          <w:tcPr>
            <w:tcW w:w="1576" w:type="pct"/>
            <w:shd w:val="clear" w:color="auto" w:fill="auto"/>
          </w:tcPr>
          <w:p w14:paraId="2BF7EE5C" w14:textId="5139D7CF" w:rsidR="009A3249" w:rsidRPr="00A77552" w:rsidRDefault="009A3249" w:rsidP="009A3249">
            <w:pPr>
              <w:pStyle w:val="TableText"/>
              <w:rPr>
                <w:lang w:val="en-US"/>
              </w:rPr>
            </w:pPr>
            <w:r w:rsidRPr="00A77552">
              <w:rPr>
                <w:lang w:val="en-US"/>
              </w:rPr>
              <w:t xml:space="preserve">High, </w:t>
            </w:r>
            <w:proofErr w:type="spellStart"/>
            <w:r w:rsidR="0050578F" w:rsidRPr="00A77552">
              <w:rPr>
                <w:lang w:val="en-US"/>
              </w:rPr>
              <w:t>favour</w:t>
            </w:r>
            <w:r w:rsidR="00745115" w:rsidRPr="00A77552">
              <w:rPr>
                <w:lang w:val="en-US"/>
              </w:rPr>
              <w:t>ed</w:t>
            </w:r>
            <w:proofErr w:type="spellEnd"/>
            <w:r w:rsidRPr="00A77552">
              <w:rPr>
                <w:lang w:val="en-US"/>
              </w:rPr>
              <w:t xml:space="preserve"> </w:t>
            </w:r>
            <w:r w:rsidR="001F764F" w:rsidRPr="00A77552">
              <w:rPr>
                <w:lang w:val="en-US"/>
              </w:rPr>
              <w:t>REGENETEN</w:t>
            </w:r>
            <w:r w:rsidRPr="00A77552">
              <w:rPr>
                <w:lang w:val="en-US"/>
              </w:rPr>
              <w:t xml:space="preserve"> </w:t>
            </w:r>
          </w:p>
          <w:p w14:paraId="392652F4" w14:textId="29143D1C" w:rsidR="009A3249" w:rsidRPr="00A77552" w:rsidRDefault="009A3249" w:rsidP="009A3249">
            <w:pPr>
              <w:pStyle w:val="TableText"/>
              <w:rPr>
                <w:lang w:val="en-US"/>
              </w:rPr>
            </w:pPr>
            <w:r w:rsidRPr="00A77552">
              <w:rPr>
                <w:lang w:val="en-US"/>
              </w:rPr>
              <w:t xml:space="preserve">ICER </w:t>
            </w:r>
            <w:r w:rsidR="004E30FF" w:rsidRPr="00A77552">
              <w:rPr>
                <w:lang w:val="en-US"/>
              </w:rPr>
              <w:t xml:space="preserve">increased </w:t>
            </w:r>
            <w:r w:rsidRPr="00A77552">
              <w:rPr>
                <w:lang w:val="en-US"/>
              </w:rPr>
              <w:t xml:space="preserve">to </w:t>
            </w:r>
            <w:r w:rsidR="00052DE7">
              <w:rPr>
                <w:lang w:val="en-US"/>
              </w:rPr>
              <w:t>$</w:t>
            </w:r>
            <w:r w:rsidR="00254658" w:rsidRPr="00E477C8">
              <w:rPr>
                <w:b/>
                <w:bCs/>
              </w:rPr>
              <w:t>redacted</w:t>
            </w:r>
            <w:r w:rsidR="00254658">
              <w:t xml:space="preserve"> </w:t>
            </w:r>
            <w:r w:rsidRPr="00A77552">
              <w:rPr>
                <w:lang w:val="en-US"/>
              </w:rPr>
              <w:t>/</w:t>
            </w:r>
            <w:r w:rsidR="004E30FF" w:rsidRPr="00A77552">
              <w:rPr>
                <w:lang w:val="en-US"/>
              </w:rPr>
              <w:t xml:space="preserve">unit of </w:t>
            </w:r>
            <w:r w:rsidRPr="00A77552">
              <w:rPr>
                <w:lang w:val="en-US"/>
              </w:rPr>
              <w:t>MCID gained.</w:t>
            </w:r>
          </w:p>
        </w:tc>
        <w:tc>
          <w:tcPr>
            <w:tcW w:w="1576" w:type="pct"/>
            <w:shd w:val="clear" w:color="auto" w:fill="auto"/>
          </w:tcPr>
          <w:p w14:paraId="0E209284" w14:textId="1E03A85C" w:rsidR="0050578F" w:rsidRPr="00A77552" w:rsidRDefault="0050578F" w:rsidP="0050578F">
            <w:pPr>
              <w:pStyle w:val="TableText"/>
              <w:rPr>
                <w:lang w:val="en-US"/>
              </w:rPr>
            </w:pPr>
            <w:r w:rsidRPr="00A77552">
              <w:rPr>
                <w:lang w:val="en-US"/>
              </w:rPr>
              <w:t xml:space="preserve">High, </w:t>
            </w:r>
            <w:proofErr w:type="spellStart"/>
            <w:r w:rsidRPr="00A77552">
              <w:rPr>
                <w:lang w:val="en-US"/>
              </w:rPr>
              <w:t>favour</w:t>
            </w:r>
            <w:r w:rsidR="00745115" w:rsidRPr="00A77552">
              <w:rPr>
                <w:lang w:val="en-US"/>
              </w:rPr>
              <w:t>ed</w:t>
            </w:r>
            <w:proofErr w:type="spellEnd"/>
            <w:r w:rsidRPr="00A77552">
              <w:rPr>
                <w:lang w:val="en-US"/>
              </w:rPr>
              <w:t xml:space="preserve"> REGENETEN </w:t>
            </w:r>
          </w:p>
          <w:p w14:paraId="4931C933" w14:textId="28F9F38B" w:rsidR="00CE3ED5" w:rsidRPr="00A77552" w:rsidRDefault="0050578F" w:rsidP="009A3249">
            <w:pPr>
              <w:pStyle w:val="TableText"/>
              <w:rPr>
                <w:lang w:val="en-US"/>
              </w:rPr>
            </w:pPr>
            <w:r w:rsidRPr="00A77552">
              <w:rPr>
                <w:lang w:val="en-US"/>
              </w:rPr>
              <w:t xml:space="preserve">ICER </w:t>
            </w:r>
            <w:r w:rsidR="006069CA" w:rsidRPr="00A77552">
              <w:rPr>
                <w:lang w:val="en-US"/>
              </w:rPr>
              <w:t xml:space="preserve">increased </w:t>
            </w:r>
            <w:r w:rsidRPr="00A77552">
              <w:rPr>
                <w:lang w:val="en-US"/>
              </w:rPr>
              <w:t xml:space="preserve">to </w:t>
            </w:r>
            <w:r w:rsidR="00052DE7">
              <w:rPr>
                <w:lang w:val="en-US"/>
              </w:rPr>
              <w:t>$</w:t>
            </w:r>
            <w:r w:rsidR="00254658" w:rsidRPr="00E477C8">
              <w:rPr>
                <w:b/>
                <w:bCs/>
              </w:rPr>
              <w:t>redacted</w:t>
            </w:r>
            <w:r w:rsidR="00254658">
              <w:t xml:space="preserve"> </w:t>
            </w:r>
            <w:r w:rsidRPr="00A77552">
              <w:rPr>
                <w:lang w:val="en-US"/>
              </w:rPr>
              <w:t>/</w:t>
            </w:r>
            <w:r w:rsidR="00B50AFC" w:rsidRPr="00A77552">
              <w:rPr>
                <w:lang w:val="en-US"/>
              </w:rPr>
              <w:t xml:space="preserve">unit of </w:t>
            </w:r>
            <w:r w:rsidRPr="00A77552">
              <w:rPr>
                <w:lang w:val="en-US"/>
              </w:rPr>
              <w:t>MCID gained.</w:t>
            </w:r>
          </w:p>
        </w:tc>
      </w:tr>
    </w:tbl>
    <w:p w14:paraId="612893FB" w14:textId="40C16702" w:rsidR="002B4F0C" w:rsidRDefault="002B4F0C" w:rsidP="002B4F0C">
      <w:pPr>
        <w:pStyle w:val="Tablenotes"/>
      </w:pPr>
      <w:r>
        <w:t xml:space="preserve">Source: </w:t>
      </w:r>
      <w:bookmarkStart w:id="66" w:name="_Hlk162433561"/>
      <w:r w:rsidR="00854096">
        <w:t>Adapted from T</w:t>
      </w:r>
      <w:r w:rsidRPr="00B419B6">
        <w:t>able 6</w:t>
      </w:r>
      <w:r>
        <w:t>2</w:t>
      </w:r>
      <w:r w:rsidRPr="00B419B6">
        <w:t>, p</w:t>
      </w:r>
      <w:r w:rsidR="002D7FCB">
        <w:t>g</w:t>
      </w:r>
      <w:r w:rsidRPr="00B419B6">
        <w:t>1</w:t>
      </w:r>
      <w:r w:rsidR="00854096">
        <w:t>44</w:t>
      </w:r>
      <w:r w:rsidRPr="00B419B6">
        <w:t xml:space="preserve"> of the MSAC application 1593.1 ADAR + In line commentary</w:t>
      </w:r>
    </w:p>
    <w:bookmarkEnd w:id="66"/>
    <w:p w14:paraId="6CC1F267" w14:textId="321AA740" w:rsidR="002B4F0C" w:rsidRPr="006228C4" w:rsidRDefault="002B4F0C" w:rsidP="002B4F0C">
      <w:pPr>
        <w:pStyle w:val="Tablenotes"/>
      </w:pPr>
      <w:r>
        <w:t>Abbreviations:</w:t>
      </w:r>
      <w:r w:rsidR="009A3249" w:rsidRPr="009A3249">
        <w:t xml:space="preserve"> ASES</w:t>
      </w:r>
      <w:r w:rsidR="009A3249">
        <w:t xml:space="preserve"> </w:t>
      </w:r>
      <w:r w:rsidR="009A3249" w:rsidRPr="009A3249">
        <w:t xml:space="preserve">= American Shoulder and Elbow Society; </w:t>
      </w:r>
      <w:r w:rsidR="00036F34">
        <w:t xml:space="preserve">BC = base case; </w:t>
      </w:r>
      <w:r w:rsidRPr="006228C4">
        <w:t xml:space="preserve">ICER = incremental cost-effectiveness ratio; </w:t>
      </w:r>
      <w:r w:rsidRPr="00B419B6">
        <w:t>MCID = Minimal clinically important difference</w:t>
      </w:r>
    </w:p>
    <w:p w14:paraId="4A40CFFF" w14:textId="53A38034" w:rsidR="002B4F0C" w:rsidRDefault="002B4F0C" w:rsidP="002B4F0C">
      <w:r w:rsidRPr="00CE28E3">
        <w:t xml:space="preserve">The results of key </w:t>
      </w:r>
      <w:r w:rsidRPr="00B419B6">
        <w:rPr>
          <w:rStyle w:val="InstructionaltextChar"/>
          <w:color w:val="auto"/>
        </w:rPr>
        <w:t>univariate</w:t>
      </w:r>
      <w:r>
        <w:rPr>
          <w:rStyle w:val="InstructionaltextChar"/>
        </w:rPr>
        <w:t xml:space="preserve"> </w:t>
      </w:r>
      <w:r w:rsidRPr="00CE28E3">
        <w:t xml:space="preserve">sensitivity analyses </w:t>
      </w:r>
      <w:r w:rsidR="00E47F5C">
        <w:t>we</w:t>
      </w:r>
      <w:r w:rsidRPr="00CE28E3">
        <w:t xml:space="preserve">re summarised </w:t>
      </w:r>
      <w:r>
        <w:t xml:space="preserve">in </w:t>
      </w:r>
      <w:r>
        <w:fldChar w:fldCharType="begin"/>
      </w:r>
      <w:r>
        <w:instrText xml:space="preserve"> REF _Ref163180236 \h </w:instrText>
      </w:r>
      <w:r>
        <w:fldChar w:fldCharType="separate"/>
      </w:r>
      <w:r w:rsidR="001D1281" w:rsidRPr="00CE28E3">
        <w:t>Table</w:t>
      </w:r>
      <w:r w:rsidR="001D1281">
        <w:t> </w:t>
      </w:r>
      <w:r w:rsidR="001B6192">
        <w:rPr>
          <w:noProof/>
        </w:rPr>
        <w:t>13</w:t>
      </w:r>
      <w:r>
        <w:fldChar w:fldCharType="end"/>
      </w:r>
      <w:r>
        <w:t>.</w:t>
      </w:r>
      <w:r w:rsidRPr="00CE28E3">
        <w:t xml:space="preserve"> </w:t>
      </w:r>
    </w:p>
    <w:p w14:paraId="3378389D" w14:textId="39451134" w:rsidR="002B4F0C" w:rsidRPr="00CE28E3" w:rsidRDefault="002B4F0C" w:rsidP="002B4F0C">
      <w:pPr>
        <w:pStyle w:val="Caption"/>
      </w:pPr>
      <w:bookmarkStart w:id="67" w:name="_Ref163180236"/>
      <w:r w:rsidRPr="00CE28E3">
        <w:lastRenderedPageBreak/>
        <w:t>Table</w:t>
      </w:r>
      <w:r>
        <w:t> </w:t>
      </w:r>
      <w:r>
        <w:fldChar w:fldCharType="begin"/>
      </w:r>
      <w:r>
        <w:instrText xml:space="preserve"> SEQ Table \* ARABIC </w:instrText>
      </w:r>
      <w:r>
        <w:fldChar w:fldCharType="separate"/>
      </w:r>
      <w:r w:rsidR="001B6192">
        <w:rPr>
          <w:noProof/>
        </w:rPr>
        <w:t>13</w:t>
      </w:r>
      <w:r>
        <w:rPr>
          <w:noProof/>
        </w:rPr>
        <w:fldChar w:fldCharType="end"/>
      </w:r>
      <w:bookmarkEnd w:id="67"/>
      <w:r>
        <w:rPr>
          <w:noProof/>
        </w:rPr>
        <w:t>:</w:t>
      </w:r>
      <w:r w:rsidR="00BF7CA2">
        <w:rPr>
          <w:noProof/>
        </w:rPr>
        <w:t xml:space="preserve"> </w:t>
      </w:r>
      <w:r w:rsidRPr="00CE28E3">
        <w:t>Sensitivity analyses</w:t>
      </w:r>
      <w:r>
        <w:t xml:space="preserve"> for </w:t>
      </w:r>
      <w:r w:rsidR="00895086">
        <w:t>Population 1</w:t>
      </w:r>
      <w:r>
        <w:t xml:space="preserve"> (PTRCT)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404"/>
        <w:gridCol w:w="1212"/>
        <w:gridCol w:w="1212"/>
        <w:gridCol w:w="1210"/>
      </w:tblGrid>
      <w:tr w:rsidR="00804E5C" w:rsidRPr="00CE28E3" w14:paraId="2A401F85" w14:textId="77777777" w:rsidTr="00142FAD">
        <w:trPr>
          <w:cantSplit/>
          <w:trHeight w:val="420"/>
          <w:tblHeader/>
        </w:trPr>
        <w:tc>
          <w:tcPr>
            <w:tcW w:w="1097" w:type="pct"/>
            <w:tcBorders>
              <w:bottom w:val="single" w:sz="4" w:space="0" w:color="auto"/>
              <w:right w:val="nil"/>
            </w:tcBorders>
            <w:vAlign w:val="center"/>
          </w:tcPr>
          <w:p w14:paraId="76BB28F3" w14:textId="4E028D4D" w:rsidR="00C7743B" w:rsidRPr="00CE28E3" w:rsidRDefault="00C7743B" w:rsidP="00C7743B">
            <w:pPr>
              <w:pStyle w:val="In-tableHeading"/>
            </w:pPr>
            <w:r w:rsidRPr="00CE28E3">
              <w:t>Analyses</w:t>
            </w:r>
          </w:p>
        </w:tc>
        <w:tc>
          <w:tcPr>
            <w:tcW w:w="1888" w:type="pct"/>
            <w:tcBorders>
              <w:left w:val="nil"/>
              <w:bottom w:val="single" w:sz="4" w:space="0" w:color="auto"/>
            </w:tcBorders>
            <w:vAlign w:val="center"/>
          </w:tcPr>
          <w:p w14:paraId="2620A3BF" w14:textId="2BE06928" w:rsidR="00C7743B" w:rsidRPr="00CE28E3" w:rsidRDefault="00C7743B" w:rsidP="00C7743B">
            <w:pPr>
              <w:pStyle w:val="In-tableHeading"/>
            </w:pPr>
          </w:p>
        </w:tc>
        <w:tc>
          <w:tcPr>
            <w:tcW w:w="672" w:type="pct"/>
            <w:vAlign w:val="center"/>
          </w:tcPr>
          <w:p w14:paraId="4D369F84" w14:textId="77777777" w:rsidR="00C7743B" w:rsidRPr="00CE28E3" w:rsidRDefault="00C7743B" w:rsidP="00C7743B">
            <w:pPr>
              <w:pStyle w:val="In-tableHeading"/>
              <w:jc w:val="center"/>
            </w:pPr>
            <w:r w:rsidRPr="00CE28E3">
              <w:t>Incremental cost</w:t>
            </w:r>
          </w:p>
        </w:tc>
        <w:tc>
          <w:tcPr>
            <w:tcW w:w="672" w:type="pct"/>
            <w:vAlign w:val="center"/>
          </w:tcPr>
          <w:p w14:paraId="43926F95" w14:textId="5ECA4F13" w:rsidR="00C7743B" w:rsidRPr="00CE28E3" w:rsidRDefault="00C7743B" w:rsidP="00C7743B">
            <w:pPr>
              <w:pStyle w:val="In-tableHeading"/>
              <w:jc w:val="center"/>
            </w:pPr>
            <w:r w:rsidRPr="00CE28E3">
              <w:t xml:space="preserve">Incremental </w:t>
            </w:r>
            <w:r>
              <w:t>outcomes</w:t>
            </w:r>
          </w:p>
        </w:tc>
        <w:tc>
          <w:tcPr>
            <w:tcW w:w="671" w:type="pct"/>
            <w:vAlign w:val="center"/>
          </w:tcPr>
          <w:p w14:paraId="63CF7ECB" w14:textId="2F4408DB" w:rsidR="00C7743B" w:rsidRPr="00CE28E3" w:rsidRDefault="00C7743B" w:rsidP="00C7743B">
            <w:pPr>
              <w:pStyle w:val="In-tableHeading"/>
              <w:jc w:val="center"/>
            </w:pPr>
            <w:r w:rsidRPr="00CE28E3">
              <w:t>ICER</w:t>
            </w:r>
            <w:r>
              <w:t xml:space="preserve"> per </w:t>
            </w:r>
            <w:r w:rsidRPr="00D31326">
              <w:t>unit change of MCIDs</w:t>
            </w:r>
          </w:p>
        </w:tc>
      </w:tr>
      <w:tr w:rsidR="00804E5C" w:rsidRPr="00CE28E3" w14:paraId="21A7A5C0" w14:textId="77777777" w:rsidTr="00142FAD">
        <w:trPr>
          <w:cantSplit/>
        </w:trPr>
        <w:tc>
          <w:tcPr>
            <w:tcW w:w="1097" w:type="pct"/>
            <w:tcBorders>
              <w:right w:val="nil"/>
            </w:tcBorders>
          </w:tcPr>
          <w:p w14:paraId="0B7FA3BB" w14:textId="40D6F600" w:rsidR="00C7743B" w:rsidRPr="00CE28E3" w:rsidRDefault="00C7743B" w:rsidP="00C7743B">
            <w:pPr>
              <w:pStyle w:val="TableText"/>
              <w:keepNext/>
              <w:rPr>
                <w:b/>
              </w:rPr>
            </w:pPr>
            <w:r w:rsidRPr="00CE28E3">
              <w:rPr>
                <w:b/>
              </w:rPr>
              <w:t>Base case</w:t>
            </w:r>
          </w:p>
        </w:tc>
        <w:tc>
          <w:tcPr>
            <w:tcW w:w="1888" w:type="pct"/>
            <w:tcBorders>
              <w:left w:val="nil"/>
            </w:tcBorders>
          </w:tcPr>
          <w:p w14:paraId="7905E8C3" w14:textId="5B2EECCF" w:rsidR="00C7743B" w:rsidRPr="00CE28E3" w:rsidRDefault="00C7743B" w:rsidP="00C7743B">
            <w:pPr>
              <w:pStyle w:val="TableText"/>
              <w:keepNext/>
              <w:rPr>
                <w:b/>
              </w:rPr>
            </w:pPr>
          </w:p>
        </w:tc>
        <w:tc>
          <w:tcPr>
            <w:tcW w:w="672" w:type="pct"/>
          </w:tcPr>
          <w:p w14:paraId="72BF6A90" w14:textId="1800F5F0" w:rsidR="00C7743B" w:rsidRPr="00D22BBA" w:rsidRDefault="0076452D" w:rsidP="00C7743B">
            <w:pPr>
              <w:pStyle w:val="TableText"/>
              <w:keepNext/>
              <w:jc w:val="center"/>
              <w:rPr>
                <w:b/>
                <w:bCs/>
                <w:highlight w:val="black"/>
              </w:rPr>
            </w:pPr>
            <w:r w:rsidRPr="00E477C8">
              <w:rPr>
                <w:b/>
                <w:bCs/>
              </w:rPr>
              <w:t>redacted</w:t>
            </w:r>
          </w:p>
        </w:tc>
        <w:tc>
          <w:tcPr>
            <w:tcW w:w="672" w:type="pct"/>
          </w:tcPr>
          <w:p w14:paraId="3467FB8B" w14:textId="115A822D" w:rsidR="00C7743B" w:rsidRPr="00D22BBA" w:rsidRDefault="00C7743B" w:rsidP="00C7743B">
            <w:pPr>
              <w:pStyle w:val="TableText"/>
              <w:keepNext/>
              <w:jc w:val="center"/>
              <w:rPr>
                <w:b/>
                <w:bCs/>
              </w:rPr>
            </w:pPr>
            <w:r w:rsidRPr="00D22BBA">
              <w:rPr>
                <w:b/>
                <w:bCs/>
              </w:rPr>
              <w:t>0.58</w:t>
            </w:r>
          </w:p>
        </w:tc>
        <w:tc>
          <w:tcPr>
            <w:tcW w:w="671" w:type="pct"/>
          </w:tcPr>
          <w:p w14:paraId="1429C643" w14:textId="77E7B4E0" w:rsidR="00C7743B" w:rsidRPr="00D22BBA" w:rsidRDefault="0076452D" w:rsidP="00C7743B">
            <w:pPr>
              <w:pStyle w:val="TableText"/>
              <w:keepNext/>
              <w:jc w:val="center"/>
              <w:rPr>
                <w:b/>
                <w:bCs/>
                <w:highlight w:val="black"/>
              </w:rPr>
            </w:pPr>
            <w:r w:rsidRPr="00E477C8">
              <w:rPr>
                <w:b/>
                <w:bCs/>
              </w:rPr>
              <w:t>redacted</w:t>
            </w:r>
          </w:p>
        </w:tc>
      </w:tr>
      <w:tr w:rsidR="00C7743B" w:rsidRPr="00CE28E3" w14:paraId="17F2FC57" w14:textId="77777777" w:rsidTr="003B4E46">
        <w:trPr>
          <w:cantSplit/>
        </w:trPr>
        <w:tc>
          <w:tcPr>
            <w:tcW w:w="5000" w:type="pct"/>
            <w:gridSpan w:val="5"/>
            <w:vAlign w:val="center"/>
          </w:tcPr>
          <w:p w14:paraId="4FD776BC" w14:textId="3516F1C6" w:rsidR="00C7743B" w:rsidRPr="00447D06" w:rsidRDefault="00C7743B" w:rsidP="00B821D3">
            <w:pPr>
              <w:pStyle w:val="TableText"/>
              <w:keepNext/>
            </w:pPr>
            <w:r w:rsidRPr="00132CB0">
              <w:rPr>
                <w:b/>
                <w:bCs/>
              </w:rPr>
              <w:t>Sensitivity analyses presented in the ADAR</w:t>
            </w:r>
          </w:p>
        </w:tc>
      </w:tr>
      <w:tr w:rsidR="00B1139F" w:rsidRPr="00CE28E3" w14:paraId="50DA14D1" w14:textId="77777777" w:rsidTr="00142FAD">
        <w:trPr>
          <w:cantSplit/>
        </w:trPr>
        <w:tc>
          <w:tcPr>
            <w:tcW w:w="1097" w:type="pct"/>
            <w:vMerge w:val="restart"/>
          </w:tcPr>
          <w:p w14:paraId="3E63170E" w14:textId="21F73C9F" w:rsidR="00B1139F" w:rsidRDefault="00B1139F" w:rsidP="00B1139F">
            <w:pPr>
              <w:pStyle w:val="TableText"/>
              <w:keepNext/>
            </w:pPr>
            <w:r>
              <w:t>Discount rate for both costs and outcomes (base case: 5%)</w:t>
            </w:r>
          </w:p>
        </w:tc>
        <w:tc>
          <w:tcPr>
            <w:tcW w:w="1888" w:type="pct"/>
          </w:tcPr>
          <w:p w14:paraId="5ACC7E42" w14:textId="1F208A37" w:rsidR="00B1139F" w:rsidRPr="00CE28E3" w:rsidRDefault="00B1139F" w:rsidP="00B1139F">
            <w:pPr>
              <w:pStyle w:val="TableText"/>
              <w:keepNext/>
            </w:pPr>
            <w:r>
              <w:t>3.5%</w:t>
            </w:r>
          </w:p>
        </w:tc>
        <w:tc>
          <w:tcPr>
            <w:tcW w:w="672" w:type="pct"/>
          </w:tcPr>
          <w:p w14:paraId="72148683" w14:textId="0F12FA87" w:rsidR="00B1139F" w:rsidRPr="00447D06" w:rsidRDefault="00B1139F" w:rsidP="00B1139F">
            <w:pPr>
              <w:pStyle w:val="TableText"/>
              <w:keepNext/>
              <w:jc w:val="center"/>
              <w:rPr>
                <w:b/>
                <w:bCs/>
                <w:highlight w:val="black"/>
              </w:rPr>
            </w:pPr>
            <w:r w:rsidRPr="00DF1D36">
              <w:rPr>
                <w:b/>
                <w:bCs/>
              </w:rPr>
              <w:t>redacted</w:t>
            </w:r>
            <w:r w:rsidRPr="00DF1D36">
              <w:t xml:space="preserve"> </w:t>
            </w:r>
          </w:p>
        </w:tc>
        <w:tc>
          <w:tcPr>
            <w:tcW w:w="672" w:type="pct"/>
          </w:tcPr>
          <w:p w14:paraId="187935F2" w14:textId="610C7555" w:rsidR="00B1139F" w:rsidRPr="00CE28E3" w:rsidRDefault="00B1139F" w:rsidP="00B1139F">
            <w:pPr>
              <w:pStyle w:val="TableText"/>
              <w:keepNext/>
              <w:jc w:val="center"/>
            </w:pPr>
            <w:r>
              <w:rPr>
                <w:rFonts w:eastAsia="Calibri"/>
                <w:szCs w:val="20"/>
              </w:rPr>
              <w:t>0.58</w:t>
            </w:r>
          </w:p>
        </w:tc>
        <w:tc>
          <w:tcPr>
            <w:tcW w:w="671" w:type="pct"/>
          </w:tcPr>
          <w:p w14:paraId="7D173D2F" w14:textId="369BCEBB" w:rsidR="00B1139F" w:rsidRPr="00D22BBA" w:rsidRDefault="00B1139F" w:rsidP="00B1139F">
            <w:pPr>
              <w:pStyle w:val="TableText"/>
              <w:keepNext/>
              <w:jc w:val="center"/>
              <w:rPr>
                <w:highlight w:val="black"/>
              </w:rPr>
            </w:pPr>
            <w:r w:rsidRPr="007A118F">
              <w:rPr>
                <w:b/>
                <w:bCs/>
              </w:rPr>
              <w:t>redacted</w:t>
            </w:r>
            <w:r w:rsidRPr="007A118F">
              <w:t xml:space="preserve"> </w:t>
            </w:r>
          </w:p>
        </w:tc>
      </w:tr>
      <w:tr w:rsidR="00B1139F" w:rsidRPr="00CE28E3" w14:paraId="129AD2D7" w14:textId="77777777" w:rsidTr="00142FAD">
        <w:trPr>
          <w:cantSplit/>
          <w:trHeight w:val="283"/>
        </w:trPr>
        <w:tc>
          <w:tcPr>
            <w:tcW w:w="1097" w:type="pct"/>
            <w:vMerge/>
          </w:tcPr>
          <w:p w14:paraId="4B5685E0" w14:textId="77777777" w:rsidR="00B1139F" w:rsidRDefault="00B1139F" w:rsidP="00B1139F">
            <w:pPr>
              <w:pStyle w:val="TableText"/>
              <w:keepNext/>
            </w:pPr>
          </w:p>
        </w:tc>
        <w:tc>
          <w:tcPr>
            <w:tcW w:w="1888" w:type="pct"/>
          </w:tcPr>
          <w:p w14:paraId="49E8208B" w14:textId="190E0EB2" w:rsidR="00B1139F" w:rsidRPr="00CE28E3" w:rsidRDefault="00B1139F" w:rsidP="00B1139F">
            <w:pPr>
              <w:pStyle w:val="TableText"/>
              <w:keepNext/>
            </w:pPr>
            <w:r>
              <w:t>0%</w:t>
            </w:r>
          </w:p>
        </w:tc>
        <w:tc>
          <w:tcPr>
            <w:tcW w:w="672" w:type="pct"/>
          </w:tcPr>
          <w:p w14:paraId="69354258" w14:textId="1256BEC4" w:rsidR="00B1139F" w:rsidRPr="00447D06" w:rsidRDefault="00B1139F" w:rsidP="00B1139F">
            <w:pPr>
              <w:pStyle w:val="TableText"/>
              <w:keepNext/>
              <w:jc w:val="center"/>
              <w:rPr>
                <w:b/>
                <w:bCs/>
                <w:highlight w:val="black"/>
              </w:rPr>
            </w:pPr>
            <w:r w:rsidRPr="00DF1D36">
              <w:rPr>
                <w:b/>
                <w:bCs/>
              </w:rPr>
              <w:t>redacted</w:t>
            </w:r>
            <w:r w:rsidRPr="00DF1D36">
              <w:t xml:space="preserve"> </w:t>
            </w:r>
          </w:p>
        </w:tc>
        <w:tc>
          <w:tcPr>
            <w:tcW w:w="672" w:type="pct"/>
          </w:tcPr>
          <w:p w14:paraId="3B3F1F9B" w14:textId="1CA64437" w:rsidR="00B1139F" w:rsidRPr="00CE28E3" w:rsidRDefault="00B1139F" w:rsidP="00B1139F">
            <w:pPr>
              <w:pStyle w:val="TableText"/>
              <w:keepNext/>
              <w:jc w:val="center"/>
            </w:pPr>
            <w:r>
              <w:rPr>
                <w:rFonts w:eastAsia="Calibri"/>
                <w:szCs w:val="20"/>
              </w:rPr>
              <w:t>0.59</w:t>
            </w:r>
          </w:p>
        </w:tc>
        <w:tc>
          <w:tcPr>
            <w:tcW w:w="671" w:type="pct"/>
          </w:tcPr>
          <w:p w14:paraId="7FAC5DE3" w14:textId="436653A0" w:rsidR="00B1139F" w:rsidRPr="00D22BBA" w:rsidRDefault="00B1139F" w:rsidP="00B1139F">
            <w:pPr>
              <w:pStyle w:val="TableText"/>
              <w:keepNext/>
              <w:jc w:val="center"/>
              <w:rPr>
                <w:highlight w:val="black"/>
              </w:rPr>
            </w:pPr>
            <w:r w:rsidRPr="007A118F">
              <w:rPr>
                <w:b/>
                <w:bCs/>
              </w:rPr>
              <w:t>redacted</w:t>
            </w:r>
            <w:r w:rsidRPr="007A118F">
              <w:t xml:space="preserve"> </w:t>
            </w:r>
          </w:p>
        </w:tc>
      </w:tr>
      <w:tr w:rsidR="00B1139F" w:rsidRPr="00CE28E3" w14:paraId="19D74D13" w14:textId="77777777" w:rsidTr="00142FAD">
        <w:trPr>
          <w:cantSplit/>
          <w:trHeight w:val="111"/>
        </w:trPr>
        <w:tc>
          <w:tcPr>
            <w:tcW w:w="1097" w:type="pct"/>
            <w:vMerge w:val="restart"/>
          </w:tcPr>
          <w:p w14:paraId="3F6AF008" w14:textId="4F940B13" w:rsidR="00B1139F" w:rsidRPr="00350FE1" w:rsidRDefault="00B1139F" w:rsidP="00B1139F">
            <w:pPr>
              <w:pStyle w:val="TableText"/>
              <w:keepNext/>
            </w:pPr>
            <w:r w:rsidRPr="00D22BBA">
              <w:rPr>
                <w:rFonts w:eastAsia="Calibri"/>
                <w:szCs w:val="20"/>
              </w:rPr>
              <w:t>Cost of intervention for Standard of care</w:t>
            </w:r>
            <w:r>
              <w:rPr>
                <w:rFonts w:eastAsia="Calibri"/>
                <w:szCs w:val="20"/>
              </w:rPr>
              <w:t xml:space="preserve"> (base case: $2,136)</w:t>
            </w:r>
          </w:p>
        </w:tc>
        <w:tc>
          <w:tcPr>
            <w:tcW w:w="1888" w:type="pct"/>
          </w:tcPr>
          <w:p w14:paraId="0F6375EF" w14:textId="484F82DA" w:rsidR="00B1139F" w:rsidRDefault="00B1139F" w:rsidP="00B1139F">
            <w:pPr>
              <w:pStyle w:val="TableText"/>
              <w:keepNext/>
            </w:pPr>
            <w:r w:rsidRPr="00350FE1">
              <w:t>20% increase: $2,563</w:t>
            </w:r>
          </w:p>
        </w:tc>
        <w:tc>
          <w:tcPr>
            <w:tcW w:w="672" w:type="pct"/>
          </w:tcPr>
          <w:p w14:paraId="75B010C3" w14:textId="47A30215" w:rsidR="00B1139F" w:rsidRPr="00CE28E3" w:rsidRDefault="00B1139F" w:rsidP="00B1139F">
            <w:pPr>
              <w:pStyle w:val="TableText"/>
              <w:keepNext/>
              <w:jc w:val="center"/>
              <w:rPr>
                <w:rFonts w:eastAsia="Calibri"/>
                <w:szCs w:val="20"/>
              </w:rPr>
            </w:pPr>
            <w:r w:rsidRPr="00DF1D36">
              <w:rPr>
                <w:b/>
                <w:bCs/>
              </w:rPr>
              <w:t>redacted</w:t>
            </w:r>
            <w:r w:rsidRPr="00DF1D36">
              <w:t xml:space="preserve"> </w:t>
            </w:r>
          </w:p>
        </w:tc>
        <w:tc>
          <w:tcPr>
            <w:tcW w:w="672" w:type="pct"/>
          </w:tcPr>
          <w:p w14:paraId="7E7FF8DB" w14:textId="3C02A6F4" w:rsidR="00B1139F" w:rsidRPr="00CE28E3" w:rsidRDefault="00B1139F" w:rsidP="00B1139F">
            <w:pPr>
              <w:pStyle w:val="TableText"/>
              <w:keepNext/>
              <w:jc w:val="center"/>
              <w:rPr>
                <w:rFonts w:eastAsia="Calibri"/>
                <w:szCs w:val="20"/>
              </w:rPr>
            </w:pPr>
            <w:r w:rsidRPr="00994BC8">
              <w:rPr>
                <w:rFonts w:eastAsia="Calibri"/>
                <w:szCs w:val="20"/>
              </w:rPr>
              <w:t>0.58</w:t>
            </w:r>
          </w:p>
        </w:tc>
        <w:tc>
          <w:tcPr>
            <w:tcW w:w="671" w:type="pct"/>
          </w:tcPr>
          <w:p w14:paraId="0E7AD8AE" w14:textId="5393BB1E" w:rsidR="00B1139F" w:rsidRPr="00CE28E3" w:rsidRDefault="00B1139F" w:rsidP="00B1139F">
            <w:pPr>
              <w:pStyle w:val="TableText"/>
              <w:keepNext/>
              <w:jc w:val="center"/>
              <w:rPr>
                <w:rFonts w:eastAsia="Calibri"/>
                <w:szCs w:val="20"/>
              </w:rPr>
            </w:pPr>
            <w:r w:rsidRPr="007A118F">
              <w:rPr>
                <w:b/>
                <w:bCs/>
              </w:rPr>
              <w:t>redacted</w:t>
            </w:r>
            <w:r w:rsidRPr="007A118F">
              <w:t xml:space="preserve"> </w:t>
            </w:r>
          </w:p>
        </w:tc>
      </w:tr>
      <w:tr w:rsidR="00B1139F" w:rsidRPr="00CE28E3" w14:paraId="6245B5BD" w14:textId="77777777" w:rsidTr="00142FAD">
        <w:trPr>
          <w:cantSplit/>
          <w:trHeight w:val="111"/>
        </w:trPr>
        <w:tc>
          <w:tcPr>
            <w:tcW w:w="1097" w:type="pct"/>
            <w:vMerge/>
          </w:tcPr>
          <w:p w14:paraId="3CBAA5BF" w14:textId="77777777" w:rsidR="00B1139F" w:rsidRPr="00350FE1" w:rsidRDefault="00B1139F" w:rsidP="00B1139F">
            <w:pPr>
              <w:pStyle w:val="TableText"/>
              <w:keepNext/>
            </w:pPr>
          </w:p>
        </w:tc>
        <w:tc>
          <w:tcPr>
            <w:tcW w:w="1888" w:type="pct"/>
          </w:tcPr>
          <w:p w14:paraId="73B49EC7" w14:textId="3AB9B477" w:rsidR="00B1139F" w:rsidRDefault="00B1139F" w:rsidP="00B1139F">
            <w:pPr>
              <w:pStyle w:val="TableText"/>
              <w:keepNext/>
            </w:pPr>
            <w:r w:rsidRPr="00350FE1">
              <w:t>20% reduction: $1,709</w:t>
            </w:r>
          </w:p>
        </w:tc>
        <w:tc>
          <w:tcPr>
            <w:tcW w:w="672" w:type="pct"/>
          </w:tcPr>
          <w:p w14:paraId="733C2011" w14:textId="657E3F6B" w:rsidR="00B1139F" w:rsidRPr="00CE28E3" w:rsidRDefault="00B1139F" w:rsidP="00B1139F">
            <w:pPr>
              <w:pStyle w:val="TableText"/>
              <w:keepNext/>
              <w:jc w:val="center"/>
              <w:rPr>
                <w:rFonts w:eastAsia="Calibri"/>
                <w:szCs w:val="20"/>
              </w:rPr>
            </w:pPr>
            <w:r w:rsidRPr="00DF1D36">
              <w:rPr>
                <w:b/>
                <w:bCs/>
              </w:rPr>
              <w:t>redacted</w:t>
            </w:r>
            <w:r w:rsidRPr="00DF1D36">
              <w:t xml:space="preserve"> </w:t>
            </w:r>
          </w:p>
        </w:tc>
        <w:tc>
          <w:tcPr>
            <w:tcW w:w="672" w:type="pct"/>
          </w:tcPr>
          <w:p w14:paraId="64A71C0B" w14:textId="54BA3103" w:rsidR="00B1139F" w:rsidRPr="00CE28E3" w:rsidRDefault="00B1139F" w:rsidP="00B1139F">
            <w:pPr>
              <w:pStyle w:val="TableText"/>
              <w:keepNext/>
              <w:jc w:val="center"/>
              <w:rPr>
                <w:rFonts w:eastAsia="Calibri"/>
                <w:szCs w:val="20"/>
              </w:rPr>
            </w:pPr>
            <w:r w:rsidRPr="00994BC8">
              <w:rPr>
                <w:rFonts w:eastAsia="Calibri"/>
                <w:szCs w:val="20"/>
              </w:rPr>
              <w:t>0.58</w:t>
            </w:r>
          </w:p>
        </w:tc>
        <w:tc>
          <w:tcPr>
            <w:tcW w:w="671" w:type="pct"/>
          </w:tcPr>
          <w:p w14:paraId="79EBB32D" w14:textId="3753DDB0" w:rsidR="00B1139F" w:rsidRPr="00CE28E3" w:rsidRDefault="00B1139F" w:rsidP="00B1139F">
            <w:pPr>
              <w:pStyle w:val="TableText"/>
              <w:keepNext/>
              <w:jc w:val="center"/>
              <w:rPr>
                <w:rFonts w:eastAsia="Calibri"/>
                <w:szCs w:val="20"/>
              </w:rPr>
            </w:pPr>
            <w:r w:rsidRPr="007A118F">
              <w:rPr>
                <w:b/>
                <w:bCs/>
              </w:rPr>
              <w:t>redacted</w:t>
            </w:r>
            <w:r w:rsidRPr="007A118F">
              <w:t xml:space="preserve"> </w:t>
            </w:r>
          </w:p>
        </w:tc>
      </w:tr>
      <w:tr w:rsidR="00B1139F" w:rsidRPr="00CE28E3" w14:paraId="6F345E58" w14:textId="77777777" w:rsidTr="00142FAD">
        <w:trPr>
          <w:cantSplit/>
          <w:trHeight w:val="111"/>
        </w:trPr>
        <w:tc>
          <w:tcPr>
            <w:tcW w:w="1097" w:type="pct"/>
            <w:vMerge w:val="restart"/>
          </w:tcPr>
          <w:p w14:paraId="79B625D8" w14:textId="276C7F68" w:rsidR="00B1139F" w:rsidRPr="00E25B6E" w:rsidRDefault="00B1139F" w:rsidP="00B1139F">
            <w:pPr>
              <w:pStyle w:val="TableText"/>
              <w:keepNext/>
            </w:pPr>
            <w:r w:rsidRPr="00447D06">
              <w:rPr>
                <w:rFonts w:eastAsia="Calibri"/>
                <w:szCs w:val="20"/>
              </w:rPr>
              <w:t>Cost of REGENETEN Kit (base case: $</w:t>
            </w:r>
            <w:r w:rsidRPr="00DC01E7">
              <w:rPr>
                <w:b/>
                <w:bCs/>
              </w:rPr>
              <w:t xml:space="preserve"> redacted</w:t>
            </w:r>
            <w:r w:rsidRPr="00447D06">
              <w:rPr>
                <w:rFonts w:eastAsia="Calibri"/>
                <w:szCs w:val="20"/>
              </w:rPr>
              <w:t>)</w:t>
            </w:r>
          </w:p>
        </w:tc>
        <w:tc>
          <w:tcPr>
            <w:tcW w:w="1888" w:type="pct"/>
          </w:tcPr>
          <w:p w14:paraId="7B312491" w14:textId="086083CA" w:rsidR="00B1139F" w:rsidRDefault="00B1139F" w:rsidP="00B1139F">
            <w:pPr>
              <w:pStyle w:val="TableText"/>
              <w:keepNext/>
            </w:pPr>
            <w:r w:rsidRPr="00E25B6E">
              <w:t>20% increase: $</w:t>
            </w:r>
            <w:r w:rsidRPr="00DC01E7">
              <w:rPr>
                <w:b/>
                <w:bCs/>
              </w:rPr>
              <w:t xml:space="preserve"> redacted</w:t>
            </w:r>
          </w:p>
        </w:tc>
        <w:tc>
          <w:tcPr>
            <w:tcW w:w="672" w:type="pct"/>
          </w:tcPr>
          <w:p w14:paraId="2754CEF4" w14:textId="79AC8909" w:rsidR="00B1139F" w:rsidRPr="00CE28E3" w:rsidRDefault="00B1139F" w:rsidP="00B1139F">
            <w:pPr>
              <w:pStyle w:val="TableText"/>
              <w:keepNext/>
              <w:jc w:val="center"/>
              <w:rPr>
                <w:rFonts w:eastAsia="Calibri"/>
                <w:szCs w:val="20"/>
              </w:rPr>
            </w:pPr>
            <w:r w:rsidRPr="00DF1D36">
              <w:rPr>
                <w:b/>
                <w:bCs/>
              </w:rPr>
              <w:t>redacted</w:t>
            </w:r>
            <w:r w:rsidRPr="00DF1D36">
              <w:t xml:space="preserve"> </w:t>
            </w:r>
          </w:p>
        </w:tc>
        <w:tc>
          <w:tcPr>
            <w:tcW w:w="672" w:type="pct"/>
          </w:tcPr>
          <w:p w14:paraId="7B943F47" w14:textId="741BA7C7" w:rsidR="00B1139F" w:rsidRPr="00CE28E3" w:rsidRDefault="00B1139F" w:rsidP="00B1139F">
            <w:pPr>
              <w:pStyle w:val="TableText"/>
              <w:keepNext/>
              <w:jc w:val="center"/>
              <w:rPr>
                <w:rFonts w:eastAsia="Calibri"/>
                <w:szCs w:val="20"/>
              </w:rPr>
            </w:pPr>
            <w:r w:rsidRPr="005B6EEA">
              <w:rPr>
                <w:rFonts w:eastAsia="Calibri"/>
                <w:szCs w:val="20"/>
              </w:rPr>
              <w:t>0.58</w:t>
            </w:r>
          </w:p>
        </w:tc>
        <w:tc>
          <w:tcPr>
            <w:tcW w:w="671" w:type="pct"/>
          </w:tcPr>
          <w:p w14:paraId="014C826E" w14:textId="6B12285C" w:rsidR="00B1139F" w:rsidRPr="00CE28E3" w:rsidRDefault="00B1139F" w:rsidP="00B1139F">
            <w:pPr>
              <w:pStyle w:val="TableText"/>
              <w:keepNext/>
              <w:jc w:val="center"/>
              <w:rPr>
                <w:rFonts w:eastAsia="Calibri"/>
                <w:szCs w:val="20"/>
              </w:rPr>
            </w:pPr>
            <w:r w:rsidRPr="007A118F">
              <w:rPr>
                <w:b/>
                <w:bCs/>
              </w:rPr>
              <w:t>redacted</w:t>
            </w:r>
            <w:r w:rsidRPr="007A118F">
              <w:t xml:space="preserve"> </w:t>
            </w:r>
          </w:p>
        </w:tc>
      </w:tr>
      <w:tr w:rsidR="00B1139F" w:rsidRPr="00CE28E3" w14:paraId="093F2283" w14:textId="77777777" w:rsidTr="43C5C4AC">
        <w:trPr>
          <w:cantSplit/>
          <w:trHeight w:val="111"/>
        </w:trPr>
        <w:tc>
          <w:tcPr>
            <w:tcW w:w="1097" w:type="pct"/>
            <w:vMerge/>
          </w:tcPr>
          <w:p w14:paraId="2A3430B6" w14:textId="77777777" w:rsidR="00B1139F" w:rsidRPr="00E25B6E" w:rsidRDefault="00B1139F" w:rsidP="00B1139F">
            <w:pPr>
              <w:pStyle w:val="TableText"/>
              <w:keepNext/>
            </w:pPr>
          </w:p>
        </w:tc>
        <w:tc>
          <w:tcPr>
            <w:tcW w:w="1888" w:type="pct"/>
            <w:tcBorders>
              <w:bottom w:val="single" w:sz="4" w:space="0" w:color="auto"/>
            </w:tcBorders>
          </w:tcPr>
          <w:p w14:paraId="47145280" w14:textId="32A348A2" w:rsidR="00B1139F" w:rsidRDefault="00B1139F" w:rsidP="00B1139F">
            <w:pPr>
              <w:pStyle w:val="TableText"/>
              <w:keepNext/>
            </w:pPr>
            <w:r w:rsidRPr="00E25B6E">
              <w:t>20% reduction: $</w:t>
            </w:r>
            <w:r w:rsidRPr="00DC01E7">
              <w:rPr>
                <w:b/>
                <w:bCs/>
              </w:rPr>
              <w:t xml:space="preserve"> redacted</w:t>
            </w:r>
          </w:p>
        </w:tc>
        <w:tc>
          <w:tcPr>
            <w:tcW w:w="672" w:type="pct"/>
            <w:tcBorders>
              <w:bottom w:val="single" w:sz="4" w:space="0" w:color="auto"/>
            </w:tcBorders>
          </w:tcPr>
          <w:p w14:paraId="71ADD988" w14:textId="3D264864" w:rsidR="00B1139F" w:rsidRPr="00CE28E3" w:rsidRDefault="00B1139F" w:rsidP="00B1139F">
            <w:pPr>
              <w:pStyle w:val="TableText"/>
              <w:keepNext/>
              <w:jc w:val="center"/>
              <w:rPr>
                <w:rFonts w:eastAsia="Calibri"/>
                <w:szCs w:val="20"/>
              </w:rPr>
            </w:pPr>
            <w:r w:rsidRPr="00DF1D36">
              <w:rPr>
                <w:b/>
                <w:bCs/>
              </w:rPr>
              <w:t>redacted</w:t>
            </w:r>
            <w:r w:rsidRPr="00DF1D36">
              <w:t xml:space="preserve"> </w:t>
            </w:r>
          </w:p>
        </w:tc>
        <w:tc>
          <w:tcPr>
            <w:tcW w:w="672" w:type="pct"/>
            <w:tcBorders>
              <w:bottom w:val="single" w:sz="4" w:space="0" w:color="auto"/>
            </w:tcBorders>
          </w:tcPr>
          <w:p w14:paraId="357F18DD" w14:textId="24048E02" w:rsidR="00B1139F" w:rsidRPr="00CE28E3" w:rsidRDefault="00B1139F" w:rsidP="00B1139F">
            <w:pPr>
              <w:pStyle w:val="TableText"/>
              <w:keepNext/>
              <w:jc w:val="center"/>
              <w:rPr>
                <w:rFonts w:eastAsia="Calibri"/>
                <w:szCs w:val="20"/>
              </w:rPr>
            </w:pPr>
            <w:r w:rsidRPr="005B6EEA">
              <w:rPr>
                <w:rFonts w:eastAsia="Calibri"/>
                <w:szCs w:val="20"/>
              </w:rPr>
              <w:t>0.58</w:t>
            </w:r>
          </w:p>
        </w:tc>
        <w:tc>
          <w:tcPr>
            <w:tcW w:w="671" w:type="pct"/>
            <w:tcBorders>
              <w:bottom w:val="single" w:sz="4" w:space="0" w:color="auto"/>
            </w:tcBorders>
          </w:tcPr>
          <w:p w14:paraId="67E9A3D5" w14:textId="00B4007E" w:rsidR="00B1139F" w:rsidRPr="00CE28E3" w:rsidRDefault="00B1139F" w:rsidP="00B1139F">
            <w:pPr>
              <w:pStyle w:val="TableText"/>
              <w:keepNext/>
              <w:jc w:val="center"/>
              <w:rPr>
                <w:rFonts w:eastAsia="Calibri"/>
                <w:szCs w:val="20"/>
              </w:rPr>
            </w:pPr>
            <w:r w:rsidRPr="007A118F">
              <w:rPr>
                <w:b/>
                <w:bCs/>
              </w:rPr>
              <w:t>redacted</w:t>
            </w:r>
            <w:r w:rsidRPr="007A118F">
              <w:t xml:space="preserve"> </w:t>
            </w:r>
          </w:p>
        </w:tc>
      </w:tr>
      <w:tr w:rsidR="00C7743B" w:rsidRPr="00CE28E3" w14:paraId="678E1487" w14:textId="77777777" w:rsidTr="003B4E46">
        <w:trPr>
          <w:cantSplit/>
          <w:trHeight w:val="111"/>
        </w:trPr>
        <w:tc>
          <w:tcPr>
            <w:tcW w:w="5000" w:type="pct"/>
            <w:gridSpan w:val="5"/>
            <w:vAlign w:val="center"/>
          </w:tcPr>
          <w:p w14:paraId="79AC7193" w14:textId="02761891" w:rsidR="00C7743B" w:rsidRPr="00B47D80" w:rsidRDefault="00C7743B" w:rsidP="00B821D3">
            <w:pPr>
              <w:pStyle w:val="TableText"/>
              <w:keepNext/>
              <w:rPr>
                <w:rFonts w:eastAsia="Calibri"/>
                <w:bCs/>
                <w:szCs w:val="20"/>
              </w:rPr>
            </w:pPr>
            <w:r w:rsidRPr="00B47D80">
              <w:rPr>
                <w:b/>
                <w:bCs/>
              </w:rPr>
              <w:t>Additional sensitivity analyses conducted during the evaluation</w:t>
            </w:r>
          </w:p>
        </w:tc>
      </w:tr>
      <w:tr w:rsidR="000B0B27" w:rsidRPr="00CE28E3" w14:paraId="3D2665AC" w14:textId="77777777" w:rsidTr="003B4E46">
        <w:trPr>
          <w:cantSplit/>
          <w:trHeight w:val="111"/>
        </w:trPr>
        <w:tc>
          <w:tcPr>
            <w:tcW w:w="5000" w:type="pct"/>
            <w:gridSpan w:val="5"/>
            <w:vAlign w:val="center"/>
          </w:tcPr>
          <w:p w14:paraId="03A71D94" w14:textId="22332163" w:rsidR="000B0B27" w:rsidRPr="00B47D80" w:rsidRDefault="000B0B27" w:rsidP="00B821D3">
            <w:pPr>
              <w:pStyle w:val="TableText"/>
              <w:keepNext/>
              <w:rPr>
                <w:b/>
                <w:bCs/>
              </w:rPr>
            </w:pPr>
            <w:r>
              <w:rPr>
                <w:b/>
                <w:bCs/>
              </w:rPr>
              <w:t>Using base case analysis provided in the ADAR</w:t>
            </w:r>
          </w:p>
        </w:tc>
      </w:tr>
      <w:tr w:rsidR="00B1139F" w:rsidRPr="00CE28E3" w14:paraId="345C5937" w14:textId="77777777" w:rsidTr="00142FAD">
        <w:trPr>
          <w:cantSplit/>
          <w:trHeight w:val="111"/>
        </w:trPr>
        <w:tc>
          <w:tcPr>
            <w:tcW w:w="2985" w:type="pct"/>
            <w:gridSpan w:val="2"/>
          </w:tcPr>
          <w:p w14:paraId="58F5CDB6" w14:textId="08473F80" w:rsidR="00B1139F" w:rsidRPr="00B47D80" w:rsidRDefault="00B1139F" w:rsidP="00B1139F">
            <w:pPr>
              <w:pStyle w:val="TableText"/>
              <w:keepNext/>
            </w:pPr>
            <w:r w:rsidRPr="000B0B27">
              <w:t xml:space="preserve">MCID for ASES score = 6.4 (minimal value of the </w:t>
            </w:r>
            <w:r>
              <w:t>six</w:t>
            </w:r>
            <w:r w:rsidRPr="000B0B27">
              <w:t xml:space="preserve"> included studies in the </w:t>
            </w:r>
            <w:r w:rsidRPr="006C3A15">
              <w:t>Jones et al., 2020 systematic review</w:t>
            </w:r>
            <w:r w:rsidRPr="000B0B27">
              <w:t>) (base case = 15.5)</w:t>
            </w:r>
          </w:p>
        </w:tc>
        <w:tc>
          <w:tcPr>
            <w:tcW w:w="672" w:type="pct"/>
            <w:shd w:val="clear" w:color="auto" w:fill="auto"/>
          </w:tcPr>
          <w:p w14:paraId="68E1ACCF" w14:textId="1483A549" w:rsidR="00B1139F" w:rsidRPr="00B47D80" w:rsidRDefault="00B1139F" w:rsidP="00B1139F">
            <w:pPr>
              <w:pStyle w:val="TableText"/>
              <w:keepNext/>
              <w:jc w:val="center"/>
            </w:pPr>
            <w:r w:rsidRPr="006B6304">
              <w:rPr>
                <w:b/>
                <w:bCs/>
              </w:rPr>
              <w:t>redacted</w:t>
            </w:r>
            <w:r w:rsidRPr="006B6304">
              <w:t xml:space="preserve"> </w:t>
            </w:r>
          </w:p>
        </w:tc>
        <w:tc>
          <w:tcPr>
            <w:tcW w:w="672" w:type="pct"/>
            <w:shd w:val="clear" w:color="auto" w:fill="auto"/>
          </w:tcPr>
          <w:p w14:paraId="34AF7E68" w14:textId="0489C406" w:rsidR="00B1139F" w:rsidRPr="00B47D80" w:rsidRDefault="00B1139F" w:rsidP="00B1139F">
            <w:pPr>
              <w:pStyle w:val="TableText"/>
              <w:keepNext/>
              <w:jc w:val="center"/>
            </w:pPr>
            <w:r>
              <w:t>1.40</w:t>
            </w:r>
          </w:p>
        </w:tc>
        <w:tc>
          <w:tcPr>
            <w:tcW w:w="671" w:type="pct"/>
            <w:shd w:val="clear" w:color="auto" w:fill="auto"/>
          </w:tcPr>
          <w:p w14:paraId="4B912343" w14:textId="1968AE40" w:rsidR="00B1139F" w:rsidRPr="00B821D3" w:rsidRDefault="00B1139F" w:rsidP="00B1139F">
            <w:pPr>
              <w:pStyle w:val="TableText"/>
              <w:keepNext/>
              <w:jc w:val="center"/>
              <w:rPr>
                <w:rFonts w:eastAsia="Calibri"/>
                <w:bCs/>
                <w:szCs w:val="20"/>
              </w:rPr>
            </w:pPr>
            <w:r w:rsidRPr="007E5E2C">
              <w:rPr>
                <w:b/>
                <w:bCs/>
              </w:rPr>
              <w:t>redacted</w:t>
            </w:r>
            <w:r w:rsidRPr="007E5E2C">
              <w:t xml:space="preserve"> </w:t>
            </w:r>
          </w:p>
        </w:tc>
      </w:tr>
      <w:tr w:rsidR="00B1139F" w:rsidRPr="00CE28E3" w14:paraId="2B9FF9A4" w14:textId="77777777" w:rsidTr="00142FAD">
        <w:trPr>
          <w:cantSplit/>
          <w:trHeight w:val="111"/>
        </w:trPr>
        <w:tc>
          <w:tcPr>
            <w:tcW w:w="2985" w:type="pct"/>
            <w:gridSpan w:val="2"/>
          </w:tcPr>
          <w:p w14:paraId="6697A7DF" w14:textId="70DEB5B4" w:rsidR="00B1139F" w:rsidRPr="00B47D80" w:rsidRDefault="00B1139F" w:rsidP="00B1139F">
            <w:pPr>
              <w:pStyle w:val="TableText"/>
              <w:keepNext/>
            </w:pPr>
            <w:r w:rsidRPr="000B0B27">
              <w:t xml:space="preserve">MCID for ASES score = 21.9 (maximal value of the </w:t>
            </w:r>
            <w:r>
              <w:t>six</w:t>
            </w:r>
            <w:r w:rsidRPr="000B0B27">
              <w:t xml:space="preserve"> included studies in the </w:t>
            </w:r>
            <w:r w:rsidRPr="006C3A15">
              <w:t>Jones et al., 2020 systematic review</w:t>
            </w:r>
            <w:r w:rsidRPr="000B0B27">
              <w:t>) (base case = 15.5)</w:t>
            </w:r>
          </w:p>
        </w:tc>
        <w:tc>
          <w:tcPr>
            <w:tcW w:w="672" w:type="pct"/>
            <w:shd w:val="clear" w:color="auto" w:fill="auto"/>
          </w:tcPr>
          <w:p w14:paraId="630FFAF0" w14:textId="5FF18C3A" w:rsidR="00B1139F" w:rsidRPr="00B47D80" w:rsidRDefault="00B1139F" w:rsidP="00B1139F">
            <w:pPr>
              <w:pStyle w:val="TableText"/>
              <w:keepNext/>
              <w:jc w:val="center"/>
            </w:pPr>
            <w:r w:rsidRPr="006B6304">
              <w:rPr>
                <w:b/>
                <w:bCs/>
              </w:rPr>
              <w:t>redacted</w:t>
            </w:r>
            <w:r w:rsidRPr="006B6304">
              <w:t xml:space="preserve"> </w:t>
            </w:r>
          </w:p>
        </w:tc>
        <w:tc>
          <w:tcPr>
            <w:tcW w:w="672" w:type="pct"/>
            <w:shd w:val="clear" w:color="auto" w:fill="auto"/>
          </w:tcPr>
          <w:p w14:paraId="771ABCB9" w14:textId="1400029D" w:rsidR="00B1139F" w:rsidRPr="00B47D80" w:rsidRDefault="00B1139F" w:rsidP="00B1139F">
            <w:pPr>
              <w:pStyle w:val="TableText"/>
              <w:keepNext/>
              <w:jc w:val="center"/>
            </w:pPr>
            <w:r>
              <w:t>0.41</w:t>
            </w:r>
          </w:p>
        </w:tc>
        <w:tc>
          <w:tcPr>
            <w:tcW w:w="671" w:type="pct"/>
            <w:shd w:val="clear" w:color="auto" w:fill="auto"/>
          </w:tcPr>
          <w:p w14:paraId="57C708DB" w14:textId="509D6D64" w:rsidR="00B1139F" w:rsidRPr="00B821D3" w:rsidRDefault="00B1139F" w:rsidP="00B1139F">
            <w:pPr>
              <w:pStyle w:val="TableText"/>
              <w:keepNext/>
              <w:jc w:val="center"/>
              <w:rPr>
                <w:rFonts w:eastAsia="Calibri"/>
                <w:bCs/>
                <w:szCs w:val="20"/>
              </w:rPr>
            </w:pPr>
            <w:r w:rsidRPr="007E5E2C">
              <w:rPr>
                <w:b/>
                <w:bCs/>
              </w:rPr>
              <w:t>redacted</w:t>
            </w:r>
            <w:r w:rsidRPr="007E5E2C">
              <w:t xml:space="preserve"> </w:t>
            </w:r>
          </w:p>
        </w:tc>
      </w:tr>
      <w:tr w:rsidR="006C3A15" w:rsidRPr="00CE28E3" w14:paraId="4A147434" w14:textId="77777777" w:rsidTr="003B4E46">
        <w:trPr>
          <w:cantSplit/>
          <w:trHeight w:val="111"/>
        </w:trPr>
        <w:tc>
          <w:tcPr>
            <w:tcW w:w="5000" w:type="pct"/>
            <w:gridSpan w:val="5"/>
          </w:tcPr>
          <w:p w14:paraId="25B9202F" w14:textId="2F3DDE74" w:rsidR="006C3A15" w:rsidRPr="003B4E46" w:rsidRDefault="006C3A15" w:rsidP="003B4E46">
            <w:pPr>
              <w:pStyle w:val="TableText"/>
              <w:keepNext/>
              <w:rPr>
                <w:rFonts w:eastAsia="Calibri"/>
                <w:b/>
                <w:szCs w:val="20"/>
              </w:rPr>
            </w:pPr>
            <w:r w:rsidRPr="003B4E46">
              <w:rPr>
                <w:rFonts w:eastAsia="Calibri"/>
                <w:b/>
                <w:szCs w:val="20"/>
              </w:rPr>
              <w:t xml:space="preserve">Using </w:t>
            </w:r>
            <w:r w:rsidR="00F53510">
              <w:rPr>
                <w:rFonts w:eastAsia="Calibri"/>
                <w:b/>
                <w:szCs w:val="20"/>
              </w:rPr>
              <w:t>a</w:t>
            </w:r>
            <w:r w:rsidRPr="003B4E46">
              <w:rPr>
                <w:rFonts w:eastAsia="Calibri"/>
                <w:b/>
                <w:szCs w:val="20"/>
              </w:rPr>
              <w:t>lternative base case analysis in commentary</w:t>
            </w:r>
          </w:p>
        </w:tc>
      </w:tr>
      <w:tr w:rsidR="00B1139F" w:rsidRPr="00CE28E3" w14:paraId="297FCECE" w14:textId="77777777" w:rsidTr="00142FAD">
        <w:trPr>
          <w:cantSplit/>
          <w:trHeight w:val="111"/>
        </w:trPr>
        <w:tc>
          <w:tcPr>
            <w:tcW w:w="2985" w:type="pct"/>
            <w:gridSpan w:val="2"/>
          </w:tcPr>
          <w:p w14:paraId="6FAD0546" w14:textId="16048A85" w:rsidR="00B1139F" w:rsidRPr="00B47D80" w:rsidRDefault="00B1139F" w:rsidP="00B1139F">
            <w:pPr>
              <w:pStyle w:val="TableText"/>
              <w:keepNext/>
            </w:pPr>
            <w:r w:rsidRPr="00B47D80">
              <w:t>Alternative base case analysis in commentary</w:t>
            </w:r>
            <w:r>
              <w:t xml:space="preserve"> </w:t>
            </w:r>
          </w:p>
        </w:tc>
        <w:tc>
          <w:tcPr>
            <w:tcW w:w="672" w:type="pct"/>
            <w:shd w:val="clear" w:color="auto" w:fill="auto"/>
          </w:tcPr>
          <w:p w14:paraId="5BB03CF3" w14:textId="427A6F18" w:rsidR="00B1139F" w:rsidRPr="00B47D80" w:rsidRDefault="00B1139F" w:rsidP="00B1139F">
            <w:pPr>
              <w:pStyle w:val="TableText"/>
              <w:keepNext/>
              <w:jc w:val="center"/>
            </w:pPr>
            <w:r w:rsidRPr="0090046D">
              <w:rPr>
                <w:b/>
                <w:bCs/>
              </w:rPr>
              <w:t>redacted</w:t>
            </w:r>
            <w:r w:rsidRPr="0090046D">
              <w:t xml:space="preserve"> </w:t>
            </w:r>
          </w:p>
        </w:tc>
        <w:tc>
          <w:tcPr>
            <w:tcW w:w="672" w:type="pct"/>
            <w:shd w:val="clear" w:color="auto" w:fill="auto"/>
          </w:tcPr>
          <w:p w14:paraId="131F0D1F" w14:textId="62648385" w:rsidR="00B1139F" w:rsidRPr="00B47D80" w:rsidRDefault="00B1139F" w:rsidP="00B1139F">
            <w:pPr>
              <w:pStyle w:val="TableText"/>
              <w:keepNext/>
              <w:jc w:val="center"/>
              <w:rPr>
                <w:rFonts w:eastAsia="Calibri"/>
                <w:szCs w:val="20"/>
              </w:rPr>
            </w:pPr>
            <w:r w:rsidRPr="00B47D80">
              <w:t>0.0</w:t>
            </w:r>
            <w:r>
              <w:t>7</w:t>
            </w:r>
          </w:p>
        </w:tc>
        <w:tc>
          <w:tcPr>
            <w:tcW w:w="671" w:type="pct"/>
            <w:shd w:val="clear" w:color="auto" w:fill="auto"/>
          </w:tcPr>
          <w:p w14:paraId="294725BF" w14:textId="45D72ABF" w:rsidR="00B1139F" w:rsidRPr="00B47D80" w:rsidRDefault="00B1139F" w:rsidP="00B1139F">
            <w:pPr>
              <w:pStyle w:val="TableText"/>
              <w:keepNext/>
              <w:jc w:val="center"/>
            </w:pPr>
            <w:r w:rsidRPr="006E7759">
              <w:rPr>
                <w:b/>
                <w:bCs/>
              </w:rPr>
              <w:t>redacted</w:t>
            </w:r>
            <w:r w:rsidRPr="006E7759">
              <w:t xml:space="preserve"> </w:t>
            </w:r>
          </w:p>
        </w:tc>
      </w:tr>
      <w:tr w:rsidR="00B1139F" w:rsidRPr="009D0873" w14:paraId="79FFF0FA" w14:textId="77777777" w:rsidTr="00142FAD">
        <w:trPr>
          <w:cantSplit/>
          <w:trHeight w:val="111"/>
        </w:trPr>
        <w:tc>
          <w:tcPr>
            <w:tcW w:w="2985" w:type="pct"/>
            <w:gridSpan w:val="2"/>
          </w:tcPr>
          <w:p w14:paraId="4F1BA42C" w14:textId="471DF73D" w:rsidR="00B1139F" w:rsidRPr="00AA38E7" w:rsidRDefault="00B1139F" w:rsidP="00B1139F">
            <w:pPr>
              <w:pStyle w:val="TableText"/>
              <w:keepNext/>
              <w:jc w:val="right"/>
              <w:rPr>
                <w:i/>
              </w:rPr>
            </w:pPr>
            <w:r>
              <w:rPr>
                <w:i/>
                <w:iCs/>
              </w:rPr>
              <w:t>ESC recalculation</w:t>
            </w:r>
          </w:p>
        </w:tc>
        <w:tc>
          <w:tcPr>
            <w:tcW w:w="672" w:type="pct"/>
            <w:shd w:val="clear" w:color="auto" w:fill="auto"/>
          </w:tcPr>
          <w:p w14:paraId="7276000D" w14:textId="6A8FAF3C" w:rsidR="00B1139F" w:rsidRPr="00AA38E7" w:rsidRDefault="00B1139F" w:rsidP="00B1139F">
            <w:pPr>
              <w:pStyle w:val="TableText"/>
              <w:keepNext/>
              <w:jc w:val="center"/>
              <w:rPr>
                <w:i/>
              </w:rPr>
            </w:pPr>
            <w:r w:rsidRPr="0090046D">
              <w:rPr>
                <w:b/>
                <w:bCs/>
              </w:rPr>
              <w:t>redacted</w:t>
            </w:r>
            <w:r w:rsidRPr="0090046D">
              <w:t xml:space="preserve"> </w:t>
            </w:r>
          </w:p>
        </w:tc>
        <w:tc>
          <w:tcPr>
            <w:tcW w:w="672" w:type="pct"/>
            <w:shd w:val="clear" w:color="auto" w:fill="auto"/>
          </w:tcPr>
          <w:p w14:paraId="33ECEB49" w14:textId="78D5F4F5" w:rsidR="00B1139F" w:rsidRPr="00AA38E7" w:rsidRDefault="00B1139F" w:rsidP="00B1139F">
            <w:pPr>
              <w:pStyle w:val="TableText"/>
              <w:keepNext/>
              <w:jc w:val="center"/>
              <w:rPr>
                <w:i/>
              </w:rPr>
            </w:pPr>
            <w:r>
              <w:rPr>
                <w:i/>
                <w:iCs/>
              </w:rPr>
              <w:t>0.46</w:t>
            </w:r>
          </w:p>
        </w:tc>
        <w:tc>
          <w:tcPr>
            <w:tcW w:w="671" w:type="pct"/>
            <w:shd w:val="clear" w:color="auto" w:fill="auto"/>
          </w:tcPr>
          <w:p w14:paraId="230B0D0A" w14:textId="25428670" w:rsidR="00B1139F" w:rsidRPr="00AA38E7" w:rsidRDefault="00B1139F" w:rsidP="00B1139F">
            <w:pPr>
              <w:pStyle w:val="TableText"/>
              <w:keepNext/>
              <w:jc w:val="center"/>
              <w:rPr>
                <w:rFonts w:eastAsia="Calibri"/>
                <w:i/>
                <w:szCs w:val="20"/>
              </w:rPr>
            </w:pPr>
            <w:r w:rsidRPr="006E7759">
              <w:rPr>
                <w:b/>
                <w:bCs/>
              </w:rPr>
              <w:t>redacted</w:t>
            </w:r>
            <w:r w:rsidRPr="006E7759">
              <w:t xml:space="preserve"> </w:t>
            </w:r>
          </w:p>
        </w:tc>
      </w:tr>
      <w:tr w:rsidR="00B1139F" w:rsidRPr="00CE28E3" w14:paraId="78688A4C" w14:textId="77777777" w:rsidTr="00142FAD">
        <w:trPr>
          <w:cantSplit/>
          <w:trHeight w:val="111"/>
        </w:trPr>
        <w:tc>
          <w:tcPr>
            <w:tcW w:w="2985" w:type="pct"/>
            <w:gridSpan w:val="2"/>
          </w:tcPr>
          <w:p w14:paraId="65C0F6FB" w14:textId="142E818C" w:rsidR="00B1139F" w:rsidRPr="00B47D80" w:rsidRDefault="00B1139F" w:rsidP="00B1139F">
            <w:pPr>
              <w:pStyle w:val="TableText"/>
              <w:keepNext/>
            </w:pPr>
            <w:r>
              <w:t xml:space="preserve">MCID for ASES score = 6.4 (minimal value of the six included studies in the </w:t>
            </w:r>
            <w:r w:rsidRPr="006C3A15">
              <w:t>Jones et al., 2020 systematic review</w:t>
            </w:r>
            <w:r>
              <w:t xml:space="preserve">) (base case = 15.5) </w:t>
            </w:r>
          </w:p>
        </w:tc>
        <w:tc>
          <w:tcPr>
            <w:tcW w:w="672" w:type="pct"/>
            <w:shd w:val="clear" w:color="auto" w:fill="auto"/>
          </w:tcPr>
          <w:p w14:paraId="36CFD745" w14:textId="042C30E9" w:rsidR="00B1139F" w:rsidRPr="00B47D80" w:rsidRDefault="00B1139F" w:rsidP="00B1139F">
            <w:pPr>
              <w:pStyle w:val="TableText"/>
              <w:keepNext/>
              <w:jc w:val="center"/>
            </w:pPr>
            <w:r w:rsidRPr="0090046D">
              <w:rPr>
                <w:b/>
                <w:bCs/>
              </w:rPr>
              <w:t>redacted</w:t>
            </w:r>
            <w:r w:rsidRPr="0090046D">
              <w:t xml:space="preserve"> </w:t>
            </w:r>
          </w:p>
        </w:tc>
        <w:tc>
          <w:tcPr>
            <w:tcW w:w="672" w:type="pct"/>
            <w:shd w:val="clear" w:color="auto" w:fill="auto"/>
          </w:tcPr>
          <w:p w14:paraId="5E8254F8" w14:textId="69EDA898" w:rsidR="00B1139F" w:rsidRPr="00B47D80" w:rsidRDefault="00B1139F" w:rsidP="00B1139F">
            <w:pPr>
              <w:pStyle w:val="TableText"/>
              <w:keepNext/>
              <w:jc w:val="center"/>
            </w:pPr>
            <w:r>
              <w:t>0.16</w:t>
            </w:r>
          </w:p>
        </w:tc>
        <w:tc>
          <w:tcPr>
            <w:tcW w:w="671" w:type="pct"/>
            <w:shd w:val="clear" w:color="auto" w:fill="auto"/>
          </w:tcPr>
          <w:p w14:paraId="4902A54E" w14:textId="2E5D134B" w:rsidR="00B1139F" w:rsidRPr="00B821D3" w:rsidRDefault="00B1139F" w:rsidP="00B1139F">
            <w:pPr>
              <w:pStyle w:val="TableText"/>
              <w:keepNext/>
              <w:jc w:val="center"/>
              <w:rPr>
                <w:rFonts w:eastAsia="Calibri"/>
                <w:bCs/>
                <w:szCs w:val="20"/>
              </w:rPr>
            </w:pPr>
            <w:r w:rsidRPr="006E7759">
              <w:rPr>
                <w:b/>
                <w:bCs/>
              </w:rPr>
              <w:t>redacted</w:t>
            </w:r>
            <w:r w:rsidRPr="006E7759">
              <w:t xml:space="preserve"> </w:t>
            </w:r>
          </w:p>
        </w:tc>
      </w:tr>
      <w:tr w:rsidR="00B1139F" w:rsidRPr="00A77C3B" w14:paraId="7B1EC495" w14:textId="77777777" w:rsidTr="00142FAD">
        <w:trPr>
          <w:cantSplit/>
          <w:trHeight w:val="111"/>
        </w:trPr>
        <w:tc>
          <w:tcPr>
            <w:tcW w:w="2985" w:type="pct"/>
            <w:gridSpan w:val="2"/>
          </w:tcPr>
          <w:p w14:paraId="3091EC08" w14:textId="77777777" w:rsidR="00B1139F" w:rsidRPr="00A77C3B" w:rsidRDefault="00B1139F" w:rsidP="00B1139F">
            <w:pPr>
              <w:pStyle w:val="TableText"/>
              <w:keepNext/>
              <w:jc w:val="right"/>
              <w:rPr>
                <w:i/>
                <w:iCs/>
              </w:rPr>
            </w:pPr>
            <w:r>
              <w:rPr>
                <w:i/>
                <w:iCs/>
              </w:rPr>
              <w:t>ESC recalculation</w:t>
            </w:r>
          </w:p>
        </w:tc>
        <w:tc>
          <w:tcPr>
            <w:tcW w:w="672" w:type="pct"/>
            <w:shd w:val="clear" w:color="auto" w:fill="auto"/>
          </w:tcPr>
          <w:p w14:paraId="6918C4C6" w14:textId="43B9E403" w:rsidR="00B1139F" w:rsidRPr="00A77C3B" w:rsidRDefault="00B1139F" w:rsidP="00B1139F">
            <w:pPr>
              <w:pStyle w:val="TableText"/>
              <w:keepNext/>
              <w:jc w:val="center"/>
              <w:rPr>
                <w:i/>
                <w:iCs/>
              </w:rPr>
            </w:pPr>
            <w:r w:rsidRPr="0090046D">
              <w:rPr>
                <w:b/>
                <w:bCs/>
              </w:rPr>
              <w:t>redacted</w:t>
            </w:r>
            <w:r w:rsidRPr="0090046D">
              <w:t xml:space="preserve"> </w:t>
            </w:r>
          </w:p>
        </w:tc>
        <w:tc>
          <w:tcPr>
            <w:tcW w:w="672" w:type="pct"/>
            <w:shd w:val="clear" w:color="auto" w:fill="auto"/>
          </w:tcPr>
          <w:p w14:paraId="7641BFE9" w14:textId="6E51B49C" w:rsidR="00B1139F" w:rsidRPr="00A77C3B" w:rsidRDefault="00B1139F" w:rsidP="00B1139F">
            <w:pPr>
              <w:pStyle w:val="TableText"/>
              <w:keepNext/>
              <w:jc w:val="center"/>
              <w:rPr>
                <w:i/>
                <w:iCs/>
              </w:rPr>
            </w:pPr>
            <w:r>
              <w:rPr>
                <w:i/>
                <w:iCs/>
              </w:rPr>
              <w:t>1.13</w:t>
            </w:r>
          </w:p>
        </w:tc>
        <w:tc>
          <w:tcPr>
            <w:tcW w:w="671" w:type="pct"/>
            <w:shd w:val="clear" w:color="auto" w:fill="auto"/>
          </w:tcPr>
          <w:p w14:paraId="536C41A2" w14:textId="4D6D10AB" w:rsidR="00B1139F" w:rsidRPr="00A77C3B" w:rsidRDefault="00B1139F" w:rsidP="00B1139F">
            <w:pPr>
              <w:pStyle w:val="TableText"/>
              <w:keepNext/>
              <w:jc w:val="center"/>
              <w:rPr>
                <w:rFonts w:eastAsia="Calibri"/>
                <w:bCs/>
                <w:i/>
                <w:iCs/>
                <w:szCs w:val="20"/>
              </w:rPr>
            </w:pPr>
            <w:r w:rsidRPr="006E7759">
              <w:rPr>
                <w:b/>
                <w:bCs/>
              </w:rPr>
              <w:t>redacted</w:t>
            </w:r>
            <w:r w:rsidRPr="006E7759">
              <w:t xml:space="preserve"> </w:t>
            </w:r>
          </w:p>
        </w:tc>
      </w:tr>
      <w:tr w:rsidR="00B1139F" w:rsidRPr="00CE28E3" w14:paraId="1DE6BE92" w14:textId="77777777" w:rsidTr="00142FAD">
        <w:trPr>
          <w:cantSplit/>
          <w:trHeight w:val="111"/>
        </w:trPr>
        <w:tc>
          <w:tcPr>
            <w:tcW w:w="2985" w:type="pct"/>
            <w:gridSpan w:val="2"/>
          </w:tcPr>
          <w:p w14:paraId="44D79D51" w14:textId="708FE6C9" w:rsidR="00B1139F" w:rsidRPr="00B47D80" w:rsidRDefault="00B1139F" w:rsidP="00B1139F">
            <w:pPr>
              <w:pStyle w:val="TableText"/>
              <w:keepNext/>
            </w:pPr>
            <w:r>
              <w:t xml:space="preserve">MCID for ASES score = 21.9 </w:t>
            </w:r>
            <w:r w:rsidRPr="00E35751">
              <w:t>(m</w:t>
            </w:r>
            <w:r>
              <w:t>axim</w:t>
            </w:r>
            <w:r w:rsidRPr="00E35751">
              <w:t>al</w:t>
            </w:r>
            <w:r>
              <w:t xml:space="preserve"> </w:t>
            </w:r>
            <w:r w:rsidRPr="00E35751">
              <w:t xml:space="preserve">value of the </w:t>
            </w:r>
            <w:r>
              <w:t>six</w:t>
            </w:r>
            <w:r w:rsidRPr="00E35751">
              <w:t xml:space="preserve"> included studies in the </w:t>
            </w:r>
            <w:r w:rsidRPr="006C3A15">
              <w:t>Jones et al., 2020 systematic review</w:t>
            </w:r>
            <w:r w:rsidRPr="00E35751">
              <w:t xml:space="preserve">) </w:t>
            </w:r>
            <w:r>
              <w:t xml:space="preserve">(base case = 15.5) </w:t>
            </w:r>
          </w:p>
        </w:tc>
        <w:tc>
          <w:tcPr>
            <w:tcW w:w="672" w:type="pct"/>
            <w:shd w:val="clear" w:color="auto" w:fill="auto"/>
          </w:tcPr>
          <w:p w14:paraId="1EBB0571" w14:textId="6C255832" w:rsidR="00B1139F" w:rsidRPr="00B47D80" w:rsidRDefault="00B1139F" w:rsidP="00B1139F">
            <w:pPr>
              <w:pStyle w:val="TableText"/>
              <w:keepNext/>
              <w:jc w:val="center"/>
            </w:pPr>
            <w:r w:rsidRPr="0090046D">
              <w:rPr>
                <w:b/>
                <w:bCs/>
              </w:rPr>
              <w:t>redacted</w:t>
            </w:r>
            <w:r w:rsidRPr="0090046D">
              <w:t xml:space="preserve"> </w:t>
            </w:r>
          </w:p>
        </w:tc>
        <w:tc>
          <w:tcPr>
            <w:tcW w:w="672" w:type="pct"/>
            <w:shd w:val="clear" w:color="auto" w:fill="auto"/>
          </w:tcPr>
          <w:p w14:paraId="07CC91CD" w14:textId="35EC8F79" w:rsidR="00B1139F" w:rsidRPr="00B47D80" w:rsidRDefault="00B1139F" w:rsidP="00B1139F">
            <w:pPr>
              <w:pStyle w:val="TableText"/>
              <w:keepNext/>
              <w:jc w:val="center"/>
            </w:pPr>
            <w:r>
              <w:t>0.05</w:t>
            </w:r>
          </w:p>
        </w:tc>
        <w:tc>
          <w:tcPr>
            <w:tcW w:w="671" w:type="pct"/>
            <w:shd w:val="clear" w:color="auto" w:fill="auto"/>
          </w:tcPr>
          <w:p w14:paraId="4E021F77" w14:textId="6FB55B77" w:rsidR="00B1139F" w:rsidRPr="00B821D3" w:rsidRDefault="00B1139F" w:rsidP="00B1139F">
            <w:pPr>
              <w:pStyle w:val="TableText"/>
              <w:keepNext/>
              <w:jc w:val="center"/>
              <w:rPr>
                <w:rFonts w:eastAsia="Calibri"/>
                <w:bCs/>
                <w:szCs w:val="20"/>
              </w:rPr>
            </w:pPr>
            <w:r w:rsidRPr="006E7759">
              <w:rPr>
                <w:b/>
                <w:bCs/>
              </w:rPr>
              <w:t>redacted</w:t>
            </w:r>
            <w:r w:rsidRPr="006E7759">
              <w:t xml:space="preserve"> </w:t>
            </w:r>
          </w:p>
        </w:tc>
      </w:tr>
      <w:tr w:rsidR="00B1139F" w:rsidRPr="00A77C3B" w14:paraId="79D0E34E" w14:textId="77777777" w:rsidTr="00142FAD">
        <w:trPr>
          <w:cantSplit/>
          <w:trHeight w:val="111"/>
        </w:trPr>
        <w:tc>
          <w:tcPr>
            <w:tcW w:w="2985" w:type="pct"/>
            <w:gridSpan w:val="2"/>
          </w:tcPr>
          <w:p w14:paraId="5A47B8CC" w14:textId="77777777" w:rsidR="00B1139F" w:rsidRPr="00A77C3B" w:rsidRDefault="00B1139F" w:rsidP="00B1139F">
            <w:pPr>
              <w:pStyle w:val="TableText"/>
              <w:keepNext/>
              <w:jc w:val="right"/>
              <w:rPr>
                <w:i/>
                <w:iCs/>
              </w:rPr>
            </w:pPr>
            <w:r>
              <w:rPr>
                <w:i/>
                <w:iCs/>
              </w:rPr>
              <w:t>ESC recalculation</w:t>
            </w:r>
          </w:p>
        </w:tc>
        <w:tc>
          <w:tcPr>
            <w:tcW w:w="672" w:type="pct"/>
            <w:shd w:val="clear" w:color="auto" w:fill="auto"/>
          </w:tcPr>
          <w:p w14:paraId="0C89485F" w14:textId="1B82D440" w:rsidR="00B1139F" w:rsidRPr="00A77C3B" w:rsidRDefault="00B1139F" w:rsidP="00B1139F">
            <w:pPr>
              <w:pStyle w:val="TableText"/>
              <w:keepNext/>
              <w:jc w:val="center"/>
              <w:rPr>
                <w:i/>
                <w:iCs/>
              </w:rPr>
            </w:pPr>
            <w:r w:rsidRPr="0090046D">
              <w:rPr>
                <w:b/>
                <w:bCs/>
              </w:rPr>
              <w:t>redacted</w:t>
            </w:r>
            <w:r w:rsidRPr="0090046D">
              <w:t xml:space="preserve"> </w:t>
            </w:r>
          </w:p>
        </w:tc>
        <w:tc>
          <w:tcPr>
            <w:tcW w:w="672" w:type="pct"/>
            <w:shd w:val="clear" w:color="auto" w:fill="auto"/>
          </w:tcPr>
          <w:p w14:paraId="09AA2B53" w14:textId="00F404D9" w:rsidR="00B1139F" w:rsidRPr="00A77C3B" w:rsidRDefault="00B1139F" w:rsidP="00B1139F">
            <w:pPr>
              <w:pStyle w:val="TableText"/>
              <w:keepNext/>
              <w:jc w:val="center"/>
              <w:rPr>
                <w:i/>
                <w:iCs/>
              </w:rPr>
            </w:pPr>
            <w:r>
              <w:rPr>
                <w:i/>
                <w:iCs/>
              </w:rPr>
              <w:t>0.33</w:t>
            </w:r>
          </w:p>
        </w:tc>
        <w:tc>
          <w:tcPr>
            <w:tcW w:w="671" w:type="pct"/>
            <w:shd w:val="clear" w:color="auto" w:fill="auto"/>
          </w:tcPr>
          <w:p w14:paraId="604CB537" w14:textId="05156402" w:rsidR="00B1139F" w:rsidRPr="00A77C3B" w:rsidRDefault="00B1139F" w:rsidP="00B1139F">
            <w:pPr>
              <w:pStyle w:val="TableText"/>
              <w:keepNext/>
              <w:jc w:val="center"/>
              <w:rPr>
                <w:rFonts w:eastAsia="Calibri"/>
                <w:bCs/>
                <w:i/>
                <w:iCs/>
                <w:szCs w:val="20"/>
              </w:rPr>
            </w:pPr>
            <w:r w:rsidRPr="006E7759">
              <w:rPr>
                <w:b/>
                <w:bCs/>
              </w:rPr>
              <w:t>redacted</w:t>
            </w:r>
            <w:r w:rsidRPr="006E7759">
              <w:t xml:space="preserve"> </w:t>
            </w:r>
          </w:p>
        </w:tc>
      </w:tr>
      <w:tr w:rsidR="00B1139F" w:rsidRPr="00CE28E3" w14:paraId="6F54A895" w14:textId="77777777" w:rsidTr="00142FAD">
        <w:trPr>
          <w:cantSplit/>
          <w:trHeight w:val="111"/>
        </w:trPr>
        <w:tc>
          <w:tcPr>
            <w:tcW w:w="2985" w:type="pct"/>
            <w:gridSpan w:val="2"/>
          </w:tcPr>
          <w:p w14:paraId="7C2CA526" w14:textId="27049235" w:rsidR="00B1139F" w:rsidRPr="00B821D3" w:rsidRDefault="00B1139F" w:rsidP="00B1139F">
            <w:pPr>
              <w:pStyle w:val="TableText"/>
              <w:keepNext/>
            </w:pPr>
            <w:r w:rsidRPr="00B821D3">
              <w:t xml:space="preserve">Applying lower range of the ASES score for each </w:t>
            </w:r>
            <w:proofErr w:type="gramStart"/>
            <w:r w:rsidRPr="00B821D3">
              <w:t>time period</w:t>
            </w:r>
            <w:proofErr w:type="gramEnd"/>
            <w:r w:rsidRPr="00B821D3">
              <w:t xml:space="preserve"> based on IQR to calculate </w:t>
            </w:r>
            <w:r w:rsidRPr="00B47D80">
              <w:t>total units of MCID of ASES score weighted for period</w:t>
            </w:r>
            <w:r>
              <w:t>*</w:t>
            </w:r>
          </w:p>
        </w:tc>
        <w:tc>
          <w:tcPr>
            <w:tcW w:w="672" w:type="pct"/>
            <w:shd w:val="clear" w:color="auto" w:fill="auto"/>
          </w:tcPr>
          <w:p w14:paraId="57C8A481" w14:textId="20AA6284" w:rsidR="00B1139F" w:rsidRPr="00B821D3" w:rsidRDefault="00B1139F" w:rsidP="00B1139F">
            <w:pPr>
              <w:pStyle w:val="TableText"/>
              <w:keepNext/>
              <w:jc w:val="center"/>
            </w:pPr>
            <w:r w:rsidRPr="0090046D">
              <w:rPr>
                <w:b/>
                <w:bCs/>
              </w:rPr>
              <w:t>redacted</w:t>
            </w:r>
            <w:r w:rsidRPr="0090046D">
              <w:t xml:space="preserve"> </w:t>
            </w:r>
          </w:p>
        </w:tc>
        <w:tc>
          <w:tcPr>
            <w:tcW w:w="672" w:type="pct"/>
            <w:shd w:val="clear" w:color="auto" w:fill="auto"/>
          </w:tcPr>
          <w:p w14:paraId="475BD2E3" w14:textId="03C8DB57" w:rsidR="00B1139F" w:rsidRPr="00B821D3" w:rsidRDefault="00B1139F" w:rsidP="00B1139F">
            <w:pPr>
              <w:pStyle w:val="TableText"/>
              <w:keepNext/>
              <w:jc w:val="center"/>
            </w:pPr>
            <w:r w:rsidRPr="00B821D3">
              <w:t>0.</w:t>
            </w:r>
            <w:r>
              <w:t>1</w:t>
            </w:r>
          </w:p>
        </w:tc>
        <w:tc>
          <w:tcPr>
            <w:tcW w:w="671" w:type="pct"/>
            <w:shd w:val="clear" w:color="auto" w:fill="auto"/>
          </w:tcPr>
          <w:p w14:paraId="28B62921" w14:textId="59100ED1" w:rsidR="00B1139F" w:rsidRPr="00B821D3" w:rsidRDefault="00B1139F" w:rsidP="00B1139F">
            <w:pPr>
              <w:pStyle w:val="TableText"/>
              <w:keepNext/>
              <w:jc w:val="center"/>
              <w:rPr>
                <w:rFonts w:eastAsia="Calibri"/>
                <w:bCs/>
                <w:szCs w:val="20"/>
              </w:rPr>
            </w:pPr>
            <w:r w:rsidRPr="006E7759">
              <w:rPr>
                <w:b/>
                <w:bCs/>
              </w:rPr>
              <w:t>redacted</w:t>
            </w:r>
            <w:r w:rsidRPr="006E7759">
              <w:t xml:space="preserve"> </w:t>
            </w:r>
          </w:p>
        </w:tc>
      </w:tr>
      <w:tr w:rsidR="00B1139F" w:rsidRPr="00A77C3B" w14:paraId="2F4D79B2" w14:textId="77777777" w:rsidTr="006911B4">
        <w:trPr>
          <w:cantSplit/>
          <w:trHeight w:val="111"/>
        </w:trPr>
        <w:tc>
          <w:tcPr>
            <w:tcW w:w="2985" w:type="pct"/>
            <w:gridSpan w:val="2"/>
          </w:tcPr>
          <w:p w14:paraId="64E09424" w14:textId="77777777" w:rsidR="00B1139F" w:rsidRPr="00A77C3B" w:rsidRDefault="00B1139F" w:rsidP="00B1139F">
            <w:pPr>
              <w:pStyle w:val="TableText"/>
              <w:keepNext/>
              <w:jc w:val="right"/>
              <w:rPr>
                <w:i/>
                <w:iCs/>
              </w:rPr>
            </w:pPr>
            <w:r>
              <w:rPr>
                <w:i/>
                <w:iCs/>
              </w:rPr>
              <w:t>ESC recalculation</w:t>
            </w:r>
          </w:p>
        </w:tc>
        <w:tc>
          <w:tcPr>
            <w:tcW w:w="672" w:type="pct"/>
            <w:shd w:val="clear" w:color="auto" w:fill="auto"/>
          </w:tcPr>
          <w:p w14:paraId="16A005B1" w14:textId="58155758" w:rsidR="00B1139F" w:rsidRPr="00A77C3B" w:rsidRDefault="00B1139F" w:rsidP="00B1139F">
            <w:pPr>
              <w:pStyle w:val="TableText"/>
              <w:keepNext/>
              <w:jc w:val="center"/>
              <w:rPr>
                <w:i/>
                <w:iCs/>
              </w:rPr>
            </w:pPr>
            <w:r w:rsidRPr="0090046D">
              <w:rPr>
                <w:b/>
                <w:bCs/>
              </w:rPr>
              <w:t>redacted</w:t>
            </w:r>
            <w:r w:rsidRPr="0090046D">
              <w:t xml:space="preserve"> </w:t>
            </w:r>
          </w:p>
        </w:tc>
        <w:tc>
          <w:tcPr>
            <w:tcW w:w="672" w:type="pct"/>
            <w:shd w:val="clear" w:color="auto" w:fill="auto"/>
          </w:tcPr>
          <w:p w14:paraId="14071E43" w14:textId="1866950E" w:rsidR="00B1139F" w:rsidRPr="00A77C3B" w:rsidRDefault="00B1139F" w:rsidP="00B1139F">
            <w:pPr>
              <w:pStyle w:val="TableText"/>
              <w:keepNext/>
              <w:jc w:val="center"/>
              <w:rPr>
                <w:i/>
                <w:iCs/>
              </w:rPr>
            </w:pPr>
            <w:r>
              <w:rPr>
                <w:i/>
                <w:iCs/>
              </w:rPr>
              <w:t>0.59</w:t>
            </w:r>
          </w:p>
        </w:tc>
        <w:tc>
          <w:tcPr>
            <w:tcW w:w="671" w:type="pct"/>
            <w:shd w:val="clear" w:color="auto" w:fill="auto"/>
          </w:tcPr>
          <w:p w14:paraId="7020A456" w14:textId="45C4A8A1" w:rsidR="00B1139F" w:rsidRPr="00A77C3B" w:rsidRDefault="00B1139F" w:rsidP="00B1139F">
            <w:pPr>
              <w:pStyle w:val="TableText"/>
              <w:keepNext/>
              <w:jc w:val="center"/>
              <w:rPr>
                <w:rFonts w:eastAsia="Calibri"/>
                <w:bCs/>
                <w:i/>
                <w:iCs/>
                <w:szCs w:val="20"/>
              </w:rPr>
            </w:pPr>
            <w:r w:rsidRPr="006E7759">
              <w:rPr>
                <w:b/>
                <w:bCs/>
              </w:rPr>
              <w:t>redacted</w:t>
            </w:r>
            <w:r w:rsidRPr="006E7759">
              <w:t xml:space="preserve"> </w:t>
            </w:r>
          </w:p>
        </w:tc>
      </w:tr>
      <w:tr w:rsidR="00B1139F" w:rsidRPr="00CE28E3" w14:paraId="4A0C94ED" w14:textId="77777777" w:rsidTr="006911B4">
        <w:trPr>
          <w:cantSplit/>
          <w:trHeight w:val="111"/>
        </w:trPr>
        <w:tc>
          <w:tcPr>
            <w:tcW w:w="2985" w:type="pct"/>
            <w:gridSpan w:val="2"/>
          </w:tcPr>
          <w:p w14:paraId="561C83FD" w14:textId="55CD2FE6" w:rsidR="00B1139F" w:rsidRPr="00B821D3" w:rsidRDefault="00B1139F" w:rsidP="00B1139F">
            <w:pPr>
              <w:pStyle w:val="TableText"/>
              <w:keepNext/>
            </w:pPr>
            <w:r w:rsidRPr="00A74652">
              <w:t xml:space="preserve">Applying upper range of the ASES score for each </w:t>
            </w:r>
            <w:proofErr w:type="gramStart"/>
            <w:r w:rsidRPr="00A74652">
              <w:t>time period</w:t>
            </w:r>
            <w:proofErr w:type="gramEnd"/>
            <w:r w:rsidRPr="00A74652">
              <w:t xml:space="preserve"> based on IQR to calculate total units of MCID of ASES score weighted for period</w:t>
            </w:r>
            <w:r w:rsidRPr="00B821D3">
              <w:t>*</w:t>
            </w:r>
          </w:p>
        </w:tc>
        <w:tc>
          <w:tcPr>
            <w:tcW w:w="672" w:type="pct"/>
          </w:tcPr>
          <w:p w14:paraId="1F006DC9" w14:textId="24860447" w:rsidR="00B1139F" w:rsidRPr="00B821D3" w:rsidRDefault="00B1139F" w:rsidP="00B1139F">
            <w:pPr>
              <w:pStyle w:val="TableText"/>
              <w:keepNext/>
              <w:jc w:val="center"/>
            </w:pPr>
            <w:r w:rsidRPr="0090046D">
              <w:rPr>
                <w:b/>
                <w:bCs/>
              </w:rPr>
              <w:t>redacted</w:t>
            </w:r>
            <w:r w:rsidRPr="0090046D">
              <w:t xml:space="preserve"> </w:t>
            </w:r>
          </w:p>
        </w:tc>
        <w:tc>
          <w:tcPr>
            <w:tcW w:w="672" w:type="pct"/>
            <w:shd w:val="clear" w:color="auto" w:fill="auto"/>
          </w:tcPr>
          <w:p w14:paraId="6E806892" w14:textId="69A37973" w:rsidR="00B1139F" w:rsidRPr="00B821D3" w:rsidRDefault="00B1139F" w:rsidP="00B1139F">
            <w:pPr>
              <w:pStyle w:val="TableText"/>
              <w:keepNext/>
              <w:jc w:val="center"/>
            </w:pPr>
            <w:r>
              <w:t>-0.01</w:t>
            </w:r>
          </w:p>
        </w:tc>
        <w:tc>
          <w:tcPr>
            <w:tcW w:w="671" w:type="pct"/>
            <w:shd w:val="clear" w:color="auto" w:fill="auto"/>
          </w:tcPr>
          <w:p w14:paraId="4F389DDA" w14:textId="445EDED3" w:rsidR="00B1139F" w:rsidRPr="00B821D3" w:rsidRDefault="00B1139F" w:rsidP="00B1139F">
            <w:pPr>
              <w:pStyle w:val="TableText"/>
              <w:keepNext/>
              <w:jc w:val="center"/>
              <w:rPr>
                <w:rFonts w:eastAsia="Calibri"/>
                <w:bCs/>
                <w:szCs w:val="20"/>
              </w:rPr>
            </w:pPr>
            <w:r w:rsidRPr="006E7759">
              <w:rPr>
                <w:b/>
                <w:bCs/>
              </w:rPr>
              <w:t>redacted</w:t>
            </w:r>
            <w:r w:rsidRPr="006E7759">
              <w:t xml:space="preserve"> </w:t>
            </w:r>
          </w:p>
        </w:tc>
      </w:tr>
      <w:tr w:rsidR="00B1139F" w:rsidRPr="00A77C3B" w14:paraId="2176A8D6" w14:textId="77777777" w:rsidTr="006911B4">
        <w:trPr>
          <w:cantSplit/>
          <w:trHeight w:val="111"/>
        </w:trPr>
        <w:tc>
          <w:tcPr>
            <w:tcW w:w="2985" w:type="pct"/>
            <w:gridSpan w:val="2"/>
          </w:tcPr>
          <w:p w14:paraId="094C6F0F" w14:textId="77777777" w:rsidR="00B1139F" w:rsidRPr="00A77C3B" w:rsidRDefault="00B1139F" w:rsidP="00B1139F">
            <w:pPr>
              <w:pStyle w:val="TableText"/>
              <w:keepNext/>
              <w:jc w:val="right"/>
              <w:rPr>
                <w:i/>
                <w:iCs/>
              </w:rPr>
            </w:pPr>
            <w:r>
              <w:rPr>
                <w:i/>
                <w:iCs/>
              </w:rPr>
              <w:t>ESC recalculation</w:t>
            </w:r>
          </w:p>
        </w:tc>
        <w:tc>
          <w:tcPr>
            <w:tcW w:w="672" w:type="pct"/>
            <w:shd w:val="clear" w:color="auto" w:fill="auto"/>
          </w:tcPr>
          <w:p w14:paraId="544D567C" w14:textId="069725FD" w:rsidR="00B1139F" w:rsidRPr="00A77C3B" w:rsidRDefault="00B1139F" w:rsidP="00B1139F">
            <w:pPr>
              <w:pStyle w:val="TableText"/>
              <w:keepNext/>
              <w:jc w:val="center"/>
              <w:rPr>
                <w:i/>
                <w:iCs/>
              </w:rPr>
            </w:pPr>
            <w:r w:rsidRPr="0090046D">
              <w:rPr>
                <w:b/>
                <w:bCs/>
              </w:rPr>
              <w:t>redacted</w:t>
            </w:r>
            <w:r w:rsidRPr="0090046D">
              <w:t xml:space="preserve"> </w:t>
            </w:r>
          </w:p>
        </w:tc>
        <w:tc>
          <w:tcPr>
            <w:tcW w:w="672" w:type="pct"/>
            <w:shd w:val="clear" w:color="auto" w:fill="auto"/>
          </w:tcPr>
          <w:p w14:paraId="35FBAA30" w14:textId="4B3A0466" w:rsidR="00B1139F" w:rsidRPr="00A77C3B" w:rsidRDefault="00B1139F" w:rsidP="00B1139F">
            <w:pPr>
              <w:pStyle w:val="TableText"/>
              <w:keepNext/>
              <w:jc w:val="center"/>
              <w:rPr>
                <w:i/>
                <w:iCs/>
              </w:rPr>
            </w:pPr>
            <w:r>
              <w:rPr>
                <w:i/>
                <w:iCs/>
              </w:rPr>
              <w:t>0.48</w:t>
            </w:r>
          </w:p>
        </w:tc>
        <w:tc>
          <w:tcPr>
            <w:tcW w:w="671" w:type="pct"/>
            <w:shd w:val="clear" w:color="auto" w:fill="auto"/>
          </w:tcPr>
          <w:p w14:paraId="12BCD6CC" w14:textId="6F990C83" w:rsidR="00B1139F" w:rsidRPr="00A77C3B" w:rsidRDefault="00B1139F" w:rsidP="00B1139F">
            <w:pPr>
              <w:pStyle w:val="TableText"/>
              <w:keepNext/>
              <w:jc w:val="center"/>
              <w:rPr>
                <w:rFonts w:eastAsia="Calibri"/>
                <w:bCs/>
                <w:i/>
                <w:iCs/>
                <w:szCs w:val="20"/>
              </w:rPr>
            </w:pPr>
            <w:r w:rsidRPr="006E7759">
              <w:rPr>
                <w:b/>
                <w:bCs/>
              </w:rPr>
              <w:t>redacted</w:t>
            </w:r>
            <w:r w:rsidRPr="006E7759">
              <w:t xml:space="preserve"> </w:t>
            </w:r>
          </w:p>
        </w:tc>
      </w:tr>
    </w:tbl>
    <w:p w14:paraId="7A9119BB" w14:textId="58C2FA9D" w:rsidR="00861119" w:rsidRPr="00B821D3" w:rsidRDefault="00861119" w:rsidP="00B821D3">
      <w:pPr>
        <w:pStyle w:val="Tablenotes"/>
        <w:spacing w:after="0"/>
        <w:contextualSpacing w:val="0"/>
      </w:pPr>
      <w:bookmarkStart w:id="68" w:name="_Hlk161230540"/>
      <w:r w:rsidRPr="00B821D3">
        <w:t>Source:</w:t>
      </w:r>
      <w:r w:rsidRPr="00C051A3">
        <w:t xml:space="preserve"> Adapted from Table 31, pg92 and </w:t>
      </w:r>
      <w:r w:rsidRPr="00B821D3">
        <w:t>Table 62, pg147 of the MSAC application 1593.1 ADAR + In line commentary</w:t>
      </w:r>
    </w:p>
    <w:p w14:paraId="2B950ED9" w14:textId="77777777" w:rsidR="00861119" w:rsidRPr="00B821D3" w:rsidRDefault="00861119" w:rsidP="00861119">
      <w:pPr>
        <w:pStyle w:val="Tablenotes"/>
      </w:pPr>
      <w:r w:rsidRPr="00B821D3">
        <w:t xml:space="preserve">Abbreviations: </w:t>
      </w:r>
      <w:r w:rsidRPr="00C051A3">
        <w:t>ASES = American Shoulder and Elbow Society</w:t>
      </w:r>
      <w:r w:rsidRPr="00B821D3">
        <w:t xml:space="preserve"> ICER = Incremental cost effectiveness ratio; MCID = Minimal clinically important difference; PTRCT = Partial-thickness rotator cuff tear.</w:t>
      </w:r>
    </w:p>
    <w:p w14:paraId="106774AD" w14:textId="77777777" w:rsidR="00861119" w:rsidRPr="00B821D3" w:rsidRDefault="00861119" w:rsidP="00861119">
      <w:pPr>
        <w:pStyle w:val="Tablenotes"/>
      </w:pPr>
      <w:r w:rsidRPr="00B821D3">
        <w:t>Notes: *Lower and upper range of the ASES scores were retrieved from the Table 31, pg91 and Figure 12, pg91 of the MSAC application 1593.1 ADAR + In line commentary and Figure 1 of the Camacho-Chacon et al., 2023 trial CSR. Same approach used in the ADAR were used to calculate the calculate the</w:t>
      </w:r>
      <w:r w:rsidRPr="00C051A3">
        <w:t xml:space="preserve"> </w:t>
      </w:r>
      <w:r w:rsidRPr="00B821D3">
        <w:t xml:space="preserve">average ASES score for each period and units of MCID of ASES score for each period. </w:t>
      </w:r>
      <w:r w:rsidRPr="00C051A3">
        <w:t>The lower range of ASES scores were 47,78,86 and 87 for REGENETEN arm and 47,67,73 and 78 for control arm in baseline, 6months, 12 months and 24 months respectively. Upper range of ASES scores were 51,84,92 and 92 for REGENETEN arm and 49,72,75 and 83 for control arm in baseline, 6months, 12 months and 24 months respectively.</w:t>
      </w:r>
    </w:p>
    <w:p w14:paraId="35D3ADDD" w14:textId="4E21D1ED" w:rsidR="006F15B1" w:rsidRPr="006F15B1" w:rsidRDefault="006F15B1" w:rsidP="005A42D2">
      <w:pPr>
        <w:pStyle w:val="Heading3"/>
      </w:pPr>
      <w:r w:rsidRPr="006F15B1">
        <w:lastRenderedPageBreak/>
        <w:t>Population 2: FTRCT</w:t>
      </w:r>
      <w:r w:rsidR="0083120A">
        <w:t xml:space="preserve"> (PICO set 2)</w:t>
      </w:r>
    </w:p>
    <w:p w14:paraId="69EF5849" w14:textId="5A06B6B9" w:rsidR="00A52979" w:rsidRPr="006F15B1" w:rsidRDefault="00BE7C56" w:rsidP="005A42D2">
      <w:pPr>
        <w:pStyle w:val="Heading4"/>
      </w:pPr>
      <w:r w:rsidRPr="006F15B1">
        <w:t>Method</w:t>
      </w:r>
    </w:p>
    <w:p w14:paraId="0EBC29E0" w14:textId="1F49B69D" w:rsidR="002B4F0C" w:rsidRPr="003B4E46" w:rsidRDefault="002B4F0C" w:rsidP="005A42D2">
      <w:pPr>
        <w:keepNext/>
        <w:keepLines/>
        <w:rPr>
          <w:b/>
          <w:bCs/>
        </w:rPr>
      </w:pPr>
      <w:r w:rsidRPr="003B4E46">
        <w:rPr>
          <w:b/>
          <w:bCs/>
        </w:rPr>
        <w:t>Model structure</w:t>
      </w:r>
    </w:p>
    <w:p w14:paraId="004D5CEC" w14:textId="77777777" w:rsidR="0027134C" w:rsidRDefault="0027134C" w:rsidP="005A42D2">
      <w:pPr>
        <w:keepNext/>
        <w:keepLines/>
      </w:pPr>
      <w:r>
        <w:t xml:space="preserve">The ADAR presented an economic evaluation using a decision tree model over a two-year time horizon. The ADAR conducted a CUA by incorporating retear rates reported from the clinical literature and applying utility values to successfully treated patients and those who experienced retears. The ADAR claimed that the two-year time horizon was adopted to capture the majority of retears and any associated treatment costs.   </w:t>
      </w:r>
    </w:p>
    <w:p w14:paraId="09AFB131" w14:textId="2B01D74D" w:rsidR="002B4F0C" w:rsidRPr="001D3828" w:rsidRDefault="002B4F0C" w:rsidP="003B4E46">
      <w:pPr>
        <w:rPr>
          <w:rFonts w:asciiTheme="minorHAnsi" w:hAnsiTheme="minorHAnsi"/>
          <w:i/>
          <w:iCs/>
          <w:color w:val="2F5496" w:themeColor="accent5" w:themeShade="BF"/>
        </w:rPr>
      </w:pPr>
      <w:r w:rsidRPr="008D28E8">
        <w:t>The model structure was based on McIntyre et al.,</w:t>
      </w:r>
      <w:r w:rsidR="00772234">
        <w:t xml:space="preserve"> </w:t>
      </w:r>
      <w:r w:rsidRPr="008D28E8">
        <w:t>2023</w:t>
      </w:r>
      <w:r w:rsidR="00893760">
        <w:rPr>
          <w:rStyle w:val="FootnoteReference"/>
          <w:rFonts w:cstheme="minorHAnsi"/>
        </w:rPr>
        <w:footnoteReference w:id="20"/>
      </w:r>
      <w:r w:rsidRPr="008D28E8">
        <w:t xml:space="preserve"> </w:t>
      </w:r>
      <w:r w:rsidR="00CF4AB5">
        <w:t xml:space="preserve">(applicant sponsored) </w:t>
      </w:r>
      <w:r w:rsidRPr="008D28E8">
        <w:t>which evaluate</w:t>
      </w:r>
      <w:r w:rsidR="00524F0C">
        <w:t>d</w:t>
      </w:r>
      <w:r w:rsidRPr="008D28E8">
        <w:t xml:space="preserve"> the cost-effectiveness of resorbable REGENETEN in addition to conventional </w:t>
      </w:r>
      <w:r w:rsidR="008D5ED1">
        <w:t>r</w:t>
      </w:r>
      <w:r w:rsidR="008D5ED1" w:rsidRPr="008D28E8">
        <w:t xml:space="preserve">otator </w:t>
      </w:r>
      <w:r w:rsidR="008D5ED1">
        <w:t>c</w:t>
      </w:r>
      <w:r w:rsidR="008D5ED1" w:rsidRPr="008D28E8">
        <w:t xml:space="preserve">uff </w:t>
      </w:r>
      <w:r w:rsidR="008D5ED1">
        <w:t>r</w:t>
      </w:r>
      <w:r w:rsidR="008D5ED1" w:rsidRPr="008D28E8">
        <w:t xml:space="preserve">epair </w:t>
      </w:r>
      <w:r w:rsidRPr="008D28E8">
        <w:t>(RCR), compared to RCR alone, in the treatment of FTRCT</w:t>
      </w:r>
      <w:r>
        <w:t xml:space="preserve"> over </w:t>
      </w:r>
      <w:r w:rsidR="0027134C">
        <w:t xml:space="preserve">a </w:t>
      </w:r>
      <w:r w:rsidR="00E65348">
        <w:t>one-year</w:t>
      </w:r>
      <w:r>
        <w:t xml:space="preserve"> time horizon. </w:t>
      </w:r>
      <w:r w:rsidR="004213C4" w:rsidRPr="004213C4">
        <w:t>McIntyre et al., 2023 sourced</w:t>
      </w:r>
      <w:r w:rsidR="004213C4">
        <w:t xml:space="preserve"> r</w:t>
      </w:r>
      <w:r w:rsidR="004213C4" w:rsidRPr="004213C4">
        <w:t>etear rates for intervention and comparator from different studies (naïve indirect comparison)</w:t>
      </w:r>
      <w:r w:rsidR="004213C4">
        <w:t xml:space="preserve"> and</w:t>
      </w:r>
      <w:r w:rsidR="004213C4" w:rsidRPr="004213C4">
        <w:t xml:space="preserve"> estimated an </w:t>
      </w:r>
      <w:r w:rsidR="004213C4">
        <w:t>ICER</w:t>
      </w:r>
      <w:r w:rsidR="004213C4" w:rsidRPr="004213C4">
        <w:t xml:space="preserve"> of $13,061 per healed rotator cuff tears REGENETEN compared to conventional </w:t>
      </w:r>
      <w:r w:rsidR="004213C4">
        <w:t>RCR</w:t>
      </w:r>
      <w:r w:rsidR="004213C4" w:rsidRPr="004213C4">
        <w:t xml:space="preserve"> alone</w:t>
      </w:r>
      <w:r w:rsidR="004213C4">
        <w:t xml:space="preserve">. </w:t>
      </w:r>
      <w:r w:rsidR="0057668C">
        <w:rPr>
          <w:rFonts w:eastAsia="Times New Roman" w:cs="Arial"/>
        </w:rPr>
        <w:fldChar w:fldCharType="begin"/>
      </w:r>
      <w:r w:rsidR="0057668C">
        <w:rPr>
          <w:rFonts w:eastAsia="Times New Roman" w:cs="Arial"/>
        </w:rPr>
        <w:instrText xml:space="preserve"> REF _Ref166028973 \h </w:instrText>
      </w:r>
      <w:r w:rsidR="0057668C">
        <w:rPr>
          <w:rFonts w:eastAsia="Times New Roman" w:cs="Arial"/>
        </w:rPr>
      </w:r>
      <w:r w:rsidR="0057668C">
        <w:rPr>
          <w:rFonts w:eastAsia="Times New Roman" w:cs="Arial"/>
        </w:rPr>
        <w:fldChar w:fldCharType="separate"/>
      </w:r>
      <w:r w:rsidR="0057668C">
        <w:t xml:space="preserve">Figure </w:t>
      </w:r>
      <w:r w:rsidR="0057668C">
        <w:rPr>
          <w:noProof/>
        </w:rPr>
        <w:t>2</w:t>
      </w:r>
      <w:r w:rsidR="0057668C">
        <w:rPr>
          <w:rFonts w:eastAsia="Times New Roman" w:cs="Arial"/>
        </w:rPr>
        <w:fldChar w:fldCharType="end"/>
      </w:r>
      <w:r w:rsidR="0057668C">
        <w:rPr>
          <w:rFonts w:eastAsia="Times New Roman" w:cs="Arial"/>
        </w:rPr>
        <w:t xml:space="preserve"> </w:t>
      </w:r>
      <w:r w:rsidR="0027134C">
        <w:rPr>
          <w:rFonts w:eastAsia="Times New Roman" w:cs="Arial"/>
        </w:rPr>
        <w:t>provide</w:t>
      </w:r>
      <w:r w:rsidR="00ED099F">
        <w:rPr>
          <w:rFonts w:eastAsia="Times New Roman" w:cs="Arial"/>
        </w:rPr>
        <w:t>d</w:t>
      </w:r>
      <w:r w:rsidR="0027134C">
        <w:rPr>
          <w:rFonts w:eastAsia="Times New Roman" w:cs="Arial"/>
        </w:rPr>
        <w:t xml:space="preserve"> the </w:t>
      </w:r>
      <w:r w:rsidR="0027134C">
        <w:t xml:space="preserve">structure of the decision tree for the economic evaluation in </w:t>
      </w:r>
      <w:r w:rsidR="00895086">
        <w:t>Population 2</w:t>
      </w:r>
      <w:r w:rsidR="0027134C">
        <w:t xml:space="preserve">. The decision tree model </w:t>
      </w:r>
      <w:r w:rsidR="00BF31FA">
        <w:t>wa</w:t>
      </w:r>
      <w:r w:rsidR="0027134C">
        <w:t xml:space="preserve">s in line with the economic model presented in McIntyre et al., 2023, </w:t>
      </w:r>
      <w:r w:rsidR="00CB616E">
        <w:t>except for</w:t>
      </w:r>
      <w:r w:rsidR="0027134C">
        <w:t xml:space="preserve"> the retear rates after revision surgery. </w:t>
      </w:r>
    </w:p>
    <w:p w14:paraId="4B61CE78" w14:textId="6EACD1AD" w:rsidR="00A315BB" w:rsidRDefault="00A315BB" w:rsidP="00A315BB">
      <w:pPr>
        <w:pStyle w:val="Caption"/>
        <w:rPr>
          <w:color w:val="258221"/>
        </w:rPr>
      </w:pPr>
      <w:bookmarkStart w:id="69" w:name="_Ref166028973"/>
      <w:r>
        <w:t xml:space="preserve">Figure </w:t>
      </w:r>
      <w:r>
        <w:fldChar w:fldCharType="begin"/>
      </w:r>
      <w:r>
        <w:instrText xml:space="preserve"> SEQ Figure \* ARABIC </w:instrText>
      </w:r>
      <w:r>
        <w:fldChar w:fldCharType="separate"/>
      </w:r>
      <w:r w:rsidR="00EB12D3">
        <w:rPr>
          <w:noProof/>
        </w:rPr>
        <w:t>2</w:t>
      </w:r>
      <w:r>
        <w:rPr>
          <w:noProof/>
        </w:rPr>
        <w:fldChar w:fldCharType="end"/>
      </w:r>
      <w:bookmarkEnd w:id="69"/>
      <w:r>
        <w:t xml:space="preserve">: </w:t>
      </w:r>
      <w:r w:rsidRPr="00453108">
        <w:t xml:space="preserve">Decision tree structure of the economic evaluation for </w:t>
      </w:r>
      <w:r>
        <w:t>Population 2</w:t>
      </w:r>
      <w:r w:rsidRPr="00453108">
        <w:t xml:space="preserve"> (</w:t>
      </w:r>
      <w:r>
        <w:t>F</w:t>
      </w:r>
      <w:r w:rsidRPr="00453108">
        <w:t>TRCT)</w:t>
      </w:r>
    </w:p>
    <w:p w14:paraId="7E078899" w14:textId="15EA7CA8" w:rsidR="006D0401" w:rsidRDefault="006D6CCF" w:rsidP="00B821D3">
      <w:pPr>
        <w:pStyle w:val="TableFigureFooter"/>
        <w:keepNext/>
        <w:spacing w:after="0"/>
      </w:pPr>
      <w:r w:rsidRPr="00B1275F">
        <w:rPr>
          <w:rFonts w:cs="Times New Roman"/>
          <w:noProof/>
          <w:color w:val="2B579A"/>
          <w:sz w:val="20"/>
          <w:szCs w:val="20"/>
          <w:shd w:val="clear" w:color="auto" w:fill="E6E6E6"/>
        </w:rPr>
        <w:drawing>
          <wp:inline distT="0" distB="0" distL="0" distR="0" wp14:anchorId="512611CD" wp14:editId="0F3B9EAB">
            <wp:extent cx="5295265" cy="3242662"/>
            <wp:effectExtent l="19050" t="19050" r="19685" b="15240"/>
            <wp:docPr id="710448024" name="Picture 710448024" descr="P397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48024" name="Picture 710448024" descr="P3979#yIS1"/>
                    <pic:cNvPicPr/>
                  </pic:nvPicPr>
                  <pic:blipFill>
                    <a:blip r:embed="rId10"/>
                    <a:stretch>
                      <a:fillRect/>
                    </a:stretch>
                  </pic:blipFill>
                  <pic:spPr>
                    <a:xfrm>
                      <a:off x="0" y="0"/>
                      <a:ext cx="5295265" cy="3242662"/>
                    </a:xfrm>
                    <a:prstGeom prst="rect">
                      <a:avLst/>
                    </a:prstGeom>
                    <a:ln w="3175">
                      <a:solidFill>
                        <a:schemeClr val="tx1"/>
                      </a:solidFill>
                    </a:ln>
                  </pic:spPr>
                </pic:pic>
              </a:graphicData>
            </a:graphic>
          </wp:inline>
        </w:drawing>
      </w:r>
    </w:p>
    <w:p w14:paraId="544E695B" w14:textId="71B82722" w:rsidR="002B4F0C" w:rsidRDefault="002B4F0C" w:rsidP="002B4F0C">
      <w:pPr>
        <w:pStyle w:val="Tablenotes"/>
      </w:pPr>
      <w:r>
        <w:t>Source: Figure 18, p1</w:t>
      </w:r>
      <w:r w:rsidR="00854096">
        <w:t>51</w:t>
      </w:r>
      <w:r>
        <w:t xml:space="preserve"> of the MSAC application 1593.1 ADAR + In line commentary</w:t>
      </w:r>
    </w:p>
    <w:p w14:paraId="4EBEC10E" w14:textId="3E9C3934" w:rsidR="002B4F0C" w:rsidRDefault="002B4F0C" w:rsidP="00E812C7">
      <w:pPr>
        <w:pStyle w:val="Tablenotes"/>
        <w:spacing w:after="240"/>
        <w:contextualSpacing w:val="0"/>
      </w:pPr>
      <w:r>
        <w:t xml:space="preserve">Abbreviations: </w:t>
      </w:r>
      <w:r w:rsidRPr="009D7EF0">
        <w:t>ASES = American Shoulder and Elbow score</w:t>
      </w:r>
      <w:r>
        <w:t>;</w:t>
      </w:r>
      <w:r w:rsidRPr="009D7EF0">
        <w:t xml:space="preserve"> </w:t>
      </w:r>
      <w:r>
        <w:t>F</w:t>
      </w:r>
      <w:r w:rsidRPr="009D7EF0">
        <w:t xml:space="preserve">TRCT = </w:t>
      </w:r>
      <w:r>
        <w:t>Full</w:t>
      </w:r>
      <w:r w:rsidRPr="009D7EF0">
        <w:t>-thickness rotator cuff tea</w:t>
      </w:r>
      <w:r>
        <w:t>r; FTT = Full</w:t>
      </w:r>
      <w:r w:rsidR="00626AC9">
        <w:t>-</w:t>
      </w:r>
      <w:r>
        <w:t xml:space="preserve">thickness tear; </w:t>
      </w:r>
      <w:r w:rsidRPr="009D7EF0">
        <w:t xml:space="preserve">MCID = </w:t>
      </w:r>
      <w:r>
        <w:t>M</w:t>
      </w:r>
      <w:r w:rsidRPr="009D7EF0">
        <w:t xml:space="preserve">inimal clinically important difference </w:t>
      </w:r>
    </w:p>
    <w:p w14:paraId="07010417" w14:textId="77777777" w:rsidR="002B4F0C" w:rsidRPr="003B4E46" w:rsidRDefault="002B4F0C" w:rsidP="00E812C7">
      <w:pPr>
        <w:keepNext/>
        <w:keepLines/>
        <w:rPr>
          <w:b/>
          <w:bCs/>
        </w:rPr>
      </w:pPr>
      <w:r w:rsidRPr="003B4E46">
        <w:rPr>
          <w:b/>
          <w:bCs/>
        </w:rPr>
        <w:lastRenderedPageBreak/>
        <w:t>Model input parameters</w:t>
      </w:r>
    </w:p>
    <w:p w14:paraId="401626DA" w14:textId="3AA77534" w:rsidR="00320007" w:rsidRDefault="00320007" w:rsidP="00E812C7">
      <w:pPr>
        <w:keepNext/>
        <w:keepLines/>
        <w:jc w:val="both"/>
      </w:pPr>
      <w:bookmarkStart w:id="70" w:name="_Hlk162449051"/>
      <w:r w:rsidRPr="003B7875">
        <w:t xml:space="preserve">The </w:t>
      </w:r>
      <w:r>
        <w:t>ADAR</w:t>
      </w:r>
      <w:r w:rsidRPr="003B7875">
        <w:t xml:space="preserve"> sourced </w:t>
      </w:r>
      <w:r>
        <w:t xml:space="preserve">the following </w:t>
      </w:r>
      <w:r w:rsidRPr="003B7875">
        <w:t xml:space="preserve">model input parameters from Ruiz </w:t>
      </w:r>
      <w:proofErr w:type="spellStart"/>
      <w:r w:rsidR="00262ECD">
        <w:t>Ibán</w:t>
      </w:r>
      <w:proofErr w:type="spellEnd"/>
      <w:r w:rsidRPr="003B7875">
        <w:t xml:space="preserve"> et al., 2023</w:t>
      </w:r>
      <w:r>
        <w:t>:</w:t>
      </w:r>
    </w:p>
    <w:p w14:paraId="2CDD4147" w14:textId="4548122C" w:rsidR="00320007" w:rsidRDefault="006E7FDC" w:rsidP="00E812C7">
      <w:pPr>
        <w:keepNext/>
        <w:keepLines/>
        <w:jc w:val="both"/>
      </w:pPr>
      <w:r>
        <w:t>Base case</w:t>
      </w:r>
      <w:r w:rsidR="00320007">
        <w:t xml:space="preserve"> analysis</w:t>
      </w:r>
    </w:p>
    <w:p w14:paraId="3F1E1098" w14:textId="77777777" w:rsidR="00320007" w:rsidRPr="000F7458" w:rsidRDefault="00320007" w:rsidP="00E812C7">
      <w:pPr>
        <w:pStyle w:val="Bullet"/>
        <w:keepNext/>
        <w:keepLines/>
      </w:pPr>
      <w:r w:rsidRPr="000F7458">
        <w:t>Retear rates (transition probabilities to the health state</w:t>
      </w:r>
      <w:r>
        <w:t>s</w:t>
      </w:r>
      <w:r w:rsidRPr="000F7458">
        <w:t>, “tear fails to heal”</w:t>
      </w:r>
      <w:r>
        <w:t xml:space="preserve"> and “tear heal”</w:t>
      </w:r>
      <w:r w:rsidRPr="000F7458">
        <w:t>)</w:t>
      </w:r>
    </w:p>
    <w:p w14:paraId="7F6F5BD9" w14:textId="78EE0A5B" w:rsidR="00320007" w:rsidRDefault="006E7FDC" w:rsidP="00E812C7">
      <w:pPr>
        <w:keepNext/>
        <w:keepLines/>
        <w:jc w:val="both"/>
      </w:pPr>
      <w:r>
        <w:t>Scenario</w:t>
      </w:r>
      <w:r w:rsidR="00320007">
        <w:t xml:space="preserve"> analysis </w:t>
      </w:r>
    </w:p>
    <w:p w14:paraId="682655AB" w14:textId="77777777" w:rsidR="00320007" w:rsidRPr="000F7458" w:rsidRDefault="00320007" w:rsidP="00E812C7">
      <w:pPr>
        <w:pStyle w:val="Bullet"/>
        <w:keepNext/>
        <w:keepLines/>
      </w:pPr>
      <w:r w:rsidRPr="000F7458">
        <w:t>Employment status</w:t>
      </w:r>
    </w:p>
    <w:p w14:paraId="72027432" w14:textId="1821592B" w:rsidR="002B4F0C" w:rsidRPr="003B7875" w:rsidRDefault="002B4F0C" w:rsidP="00E812C7">
      <w:pPr>
        <w:keepNext/>
        <w:keepLines/>
        <w:spacing w:after="0"/>
        <w:jc w:val="both"/>
      </w:pPr>
      <w:r w:rsidRPr="003B7875">
        <w:rPr>
          <w:rFonts w:cstheme="minorHAnsi"/>
        </w:rPr>
        <w:t xml:space="preserve">The commentary considered the patients in this trial representative of the intended indication in </w:t>
      </w:r>
      <w:r w:rsidR="00895086">
        <w:rPr>
          <w:rFonts w:cstheme="minorHAnsi"/>
        </w:rPr>
        <w:t xml:space="preserve">Population </w:t>
      </w:r>
      <w:proofErr w:type="gramStart"/>
      <w:r w:rsidR="00895086">
        <w:rPr>
          <w:rFonts w:cstheme="minorHAnsi"/>
        </w:rPr>
        <w:t>2</w:t>
      </w:r>
      <w:r w:rsidRPr="003B7875">
        <w:rPr>
          <w:rFonts w:cstheme="minorHAnsi"/>
        </w:rPr>
        <w:t>,</w:t>
      </w:r>
      <w:proofErr w:type="gramEnd"/>
      <w:r w:rsidRPr="003B7875">
        <w:rPr>
          <w:rFonts w:cstheme="minorHAnsi"/>
        </w:rPr>
        <w:t xml:space="preserve"> hence it was relevant for </w:t>
      </w:r>
      <w:r w:rsidR="00895086">
        <w:rPr>
          <w:rFonts w:cstheme="minorHAnsi"/>
        </w:rPr>
        <w:t>Population 2</w:t>
      </w:r>
      <w:r w:rsidR="00CF4AB5">
        <w:rPr>
          <w:rFonts w:cstheme="minorHAnsi"/>
        </w:rPr>
        <w:t xml:space="preserve"> (</w:t>
      </w:r>
      <w:r w:rsidRPr="003B7875">
        <w:rPr>
          <w:rFonts w:cstheme="minorHAnsi"/>
        </w:rPr>
        <w:t>FTRCT</w:t>
      </w:r>
      <w:r w:rsidR="00CF4AB5">
        <w:rPr>
          <w:rFonts w:cstheme="minorHAnsi"/>
        </w:rPr>
        <w:t>)</w:t>
      </w:r>
      <w:r w:rsidRPr="003B7875">
        <w:rPr>
          <w:rFonts w:cstheme="minorHAnsi"/>
        </w:rPr>
        <w:t>.</w:t>
      </w:r>
    </w:p>
    <w:bookmarkEnd w:id="70"/>
    <w:p w14:paraId="5A7BB135" w14:textId="0DF30D09" w:rsidR="002B4F0C" w:rsidRPr="003B4E46" w:rsidRDefault="002B4F0C" w:rsidP="003B4E46">
      <w:pPr>
        <w:rPr>
          <w:b/>
          <w:bCs/>
          <w:highlight w:val="yellow"/>
        </w:rPr>
      </w:pPr>
      <w:r w:rsidRPr="003B4E46">
        <w:rPr>
          <w:b/>
          <w:bCs/>
        </w:rPr>
        <w:t>Model transition probabilities, variables and extrapolation</w:t>
      </w:r>
    </w:p>
    <w:p w14:paraId="0C87D296" w14:textId="3B57B52E" w:rsidR="00215939" w:rsidRDefault="002B4F0C" w:rsidP="003B4E46">
      <w:pPr>
        <w:rPr>
          <w:noProof/>
        </w:rPr>
      </w:pPr>
      <w:r w:rsidRPr="00F45910">
        <w:rPr>
          <w:rFonts w:eastAsia="Times New Roman"/>
        </w:rPr>
        <w:t xml:space="preserve">The </w:t>
      </w:r>
      <w:r w:rsidR="00600185">
        <w:rPr>
          <w:rFonts w:eastAsia="Times New Roman"/>
        </w:rPr>
        <w:t>ADAR</w:t>
      </w:r>
      <w:r w:rsidRPr="00F45910">
        <w:rPr>
          <w:rFonts w:eastAsia="Times New Roman"/>
        </w:rPr>
        <w:t xml:space="preserve"> </w:t>
      </w:r>
      <w:r>
        <w:rPr>
          <w:rFonts w:eastAsia="Times New Roman"/>
        </w:rPr>
        <w:t>used the</w:t>
      </w:r>
      <w:r w:rsidRPr="00597228">
        <w:rPr>
          <w:rFonts w:eastAsia="Times New Roman"/>
        </w:rPr>
        <w:t xml:space="preserve"> r</w:t>
      </w:r>
      <w:r w:rsidRPr="00F45910">
        <w:t xml:space="preserve">etear rates from </w:t>
      </w:r>
      <w:bookmarkStart w:id="71" w:name="_Hlk163646879"/>
      <w:r w:rsidRPr="00F45910">
        <w:t xml:space="preserve">Ruiz </w:t>
      </w:r>
      <w:proofErr w:type="spellStart"/>
      <w:r w:rsidR="00262ECD">
        <w:t>Ibán</w:t>
      </w:r>
      <w:proofErr w:type="spellEnd"/>
      <w:r w:rsidRPr="00F45910">
        <w:t xml:space="preserve"> </w:t>
      </w:r>
      <w:r w:rsidR="00F6199E">
        <w:t>et al.,</w:t>
      </w:r>
      <w:r>
        <w:t xml:space="preserve"> 2023 </w:t>
      </w:r>
      <w:bookmarkEnd w:id="71"/>
      <w:r w:rsidRPr="00F45910">
        <w:t xml:space="preserve">for REGENETEN and </w:t>
      </w:r>
      <w:r>
        <w:t>s</w:t>
      </w:r>
      <w:r w:rsidRPr="00F45910">
        <w:t xml:space="preserve">tandard of </w:t>
      </w:r>
      <w:r>
        <w:t>c</w:t>
      </w:r>
      <w:r w:rsidRPr="00F45910">
        <w:t>are after one year of follow</w:t>
      </w:r>
      <w:r>
        <w:t>-</w:t>
      </w:r>
      <w:r w:rsidRPr="00F45910">
        <w:t xml:space="preserve">up to estimate the percentage of patients with tears that fail to heal for the two health states i.e., tear heals, and tear fails to heal following the surgical procedure. The </w:t>
      </w:r>
      <w:bookmarkStart w:id="72" w:name="_Hlk163602610"/>
      <w:r w:rsidR="00600185">
        <w:t>ADAR</w:t>
      </w:r>
      <w:r w:rsidRPr="00F45910">
        <w:t xml:space="preserve"> </w:t>
      </w:r>
      <w:r w:rsidR="009F4D24">
        <w:t xml:space="preserve">did not extrapolate the retear rates from the </w:t>
      </w:r>
      <w:r w:rsidR="0049423A" w:rsidRPr="00F45910">
        <w:t xml:space="preserve">Ruiz </w:t>
      </w:r>
      <w:proofErr w:type="spellStart"/>
      <w:r w:rsidR="00262ECD">
        <w:t>Ibán</w:t>
      </w:r>
      <w:proofErr w:type="spellEnd"/>
      <w:r w:rsidR="0049423A" w:rsidRPr="00F45910">
        <w:t xml:space="preserve"> </w:t>
      </w:r>
      <w:r w:rsidR="0049423A">
        <w:t xml:space="preserve">et al., 2023 </w:t>
      </w:r>
      <w:r w:rsidR="009F4D24">
        <w:t xml:space="preserve">from one to two years </w:t>
      </w:r>
      <w:r w:rsidR="008D5ED1">
        <w:t>but</w:t>
      </w:r>
      <w:r w:rsidRPr="00F45910">
        <w:t xml:space="preserve"> assumed that the retear rates with REGENETEN and standard of </w:t>
      </w:r>
      <w:r>
        <w:t>c</w:t>
      </w:r>
      <w:r w:rsidRPr="00F45910">
        <w:t xml:space="preserve">are </w:t>
      </w:r>
      <w:r w:rsidR="00E86E17">
        <w:t>did</w:t>
      </w:r>
      <w:r w:rsidR="00E86E17" w:rsidRPr="00F45910">
        <w:t xml:space="preserve"> </w:t>
      </w:r>
      <w:r w:rsidRPr="00F45910">
        <w:t xml:space="preserve">not increase between one </w:t>
      </w:r>
      <w:r w:rsidR="00E65348" w:rsidRPr="00F45910">
        <w:t>year and</w:t>
      </w:r>
      <w:r w:rsidRPr="00F45910">
        <w:t xml:space="preserve"> two years - total time horizon of the economic evaluation. </w:t>
      </w:r>
      <w:bookmarkEnd w:id="72"/>
      <w:r w:rsidRPr="00F45910">
        <w:t xml:space="preserve">The </w:t>
      </w:r>
      <w:r w:rsidR="00600185">
        <w:t>ADAR</w:t>
      </w:r>
      <w:r w:rsidRPr="00F45910">
        <w:t xml:space="preserve"> claimed that this is in line with the literature</w:t>
      </w:r>
      <w:r w:rsidR="007E3A00">
        <w:t>.</w:t>
      </w:r>
      <w:r w:rsidR="00E816C9" w:rsidRPr="00C02D58">
        <w:rPr>
          <w:rStyle w:val="FootnoteReference"/>
        </w:rPr>
        <w:t>1</w:t>
      </w:r>
      <w:r w:rsidR="00E816C9">
        <w:rPr>
          <w:vertAlign w:val="superscript"/>
        </w:rPr>
        <w:t>5</w:t>
      </w:r>
      <w:r w:rsidR="00E816C9">
        <w:t xml:space="preserve"> </w:t>
      </w:r>
      <w:r w:rsidR="00E86E17">
        <w:t xml:space="preserve">Since </w:t>
      </w:r>
      <w:bookmarkStart w:id="73" w:name="_Hlk163602681"/>
      <w:r w:rsidRPr="00B1275F">
        <w:t xml:space="preserve">Ruiz </w:t>
      </w:r>
      <w:proofErr w:type="spellStart"/>
      <w:r w:rsidR="00262ECD">
        <w:t>Ibán</w:t>
      </w:r>
      <w:proofErr w:type="spellEnd"/>
      <w:r>
        <w:t xml:space="preserve"> </w:t>
      </w:r>
      <w:r w:rsidR="00F6199E">
        <w:t>et al.,</w:t>
      </w:r>
      <w:r>
        <w:t xml:space="preserve"> 2023</w:t>
      </w:r>
      <w:r w:rsidRPr="00B1275F">
        <w:t xml:space="preserve"> did not present mean time to retear</w:t>
      </w:r>
      <w:r>
        <w:t>,</w:t>
      </w:r>
      <w:r>
        <w:rPr>
          <w:rFonts w:cstheme="minorHAnsi"/>
        </w:rPr>
        <w:t xml:space="preserve"> the </w:t>
      </w:r>
      <w:r w:rsidR="00600185">
        <w:rPr>
          <w:rFonts w:cstheme="minorHAnsi"/>
        </w:rPr>
        <w:t>ADAR</w:t>
      </w:r>
      <w:r>
        <w:rPr>
          <w:rFonts w:cstheme="minorHAnsi"/>
        </w:rPr>
        <w:t xml:space="preserve"> used an </w:t>
      </w:r>
      <w:bookmarkStart w:id="74" w:name="_Hlk163571172"/>
      <w:r w:rsidRPr="00B1275F">
        <w:t xml:space="preserve">average time to retear </w:t>
      </w:r>
      <w:r>
        <w:t>of</w:t>
      </w:r>
      <w:r w:rsidRPr="00B1275F">
        <w:t xml:space="preserve"> 6 months </w:t>
      </w:r>
      <w:bookmarkEnd w:id="74"/>
      <w:r>
        <w:t xml:space="preserve">in the model based on </w:t>
      </w:r>
      <w:r w:rsidR="0049423A">
        <w:t xml:space="preserve">an </w:t>
      </w:r>
      <w:r w:rsidR="00215939">
        <w:t>a</w:t>
      </w:r>
      <w:r w:rsidR="00215939" w:rsidRPr="00215939">
        <w:t xml:space="preserve">ssumption </w:t>
      </w:r>
      <w:r w:rsidR="00215939">
        <w:t xml:space="preserve">related to </w:t>
      </w:r>
      <w:r w:rsidR="00215939" w:rsidRPr="00215939">
        <w:t xml:space="preserve">double-row repair technique </w:t>
      </w:r>
      <w:r w:rsidR="00215939">
        <w:t xml:space="preserve">in </w:t>
      </w:r>
      <w:r w:rsidR="0049423A">
        <w:t xml:space="preserve">the </w:t>
      </w:r>
      <w:r w:rsidRPr="006B1BF0">
        <w:rPr>
          <w:noProof/>
        </w:rPr>
        <w:t xml:space="preserve">Bushnell et al., </w:t>
      </w:r>
      <w:r w:rsidR="00E816C9" w:rsidRPr="006B1BF0">
        <w:rPr>
          <w:noProof/>
        </w:rPr>
        <w:t>2022</w:t>
      </w:r>
      <w:r w:rsidR="00E816C9" w:rsidRPr="00C02D58">
        <w:rPr>
          <w:rStyle w:val="FootnoteReference"/>
          <w:noProof/>
        </w:rPr>
        <w:t>1</w:t>
      </w:r>
      <w:r w:rsidR="00E816C9">
        <w:rPr>
          <w:noProof/>
          <w:vertAlign w:val="superscript"/>
        </w:rPr>
        <w:t>5</w:t>
      </w:r>
      <w:r w:rsidR="00E816C9">
        <w:rPr>
          <w:noProof/>
        </w:rPr>
        <w:t xml:space="preserve"> </w:t>
      </w:r>
      <w:r>
        <w:rPr>
          <w:noProof/>
        </w:rPr>
        <w:t>study</w:t>
      </w:r>
      <w:r w:rsidR="00152060">
        <w:rPr>
          <w:noProof/>
        </w:rPr>
        <w:t xml:space="preserve">, </w:t>
      </w:r>
      <w:r>
        <w:rPr>
          <w:noProof/>
        </w:rPr>
        <w:t xml:space="preserve">in which </w:t>
      </w:r>
      <w:r w:rsidRPr="00B1275F">
        <w:t xml:space="preserve">patients presented </w:t>
      </w:r>
      <w:r w:rsidR="0049423A">
        <w:t xml:space="preserve">with </w:t>
      </w:r>
      <w:r w:rsidRPr="00B1275F">
        <w:t>a retear in the middle of their follow-up period</w:t>
      </w:r>
      <w:r>
        <w:t xml:space="preserve">. </w:t>
      </w:r>
      <w:bookmarkStart w:id="75" w:name="_Hlk165628573"/>
      <w:r w:rsidRPr="006B1BF0">
        <w:rPr>
          <w:noProof/>
        </w:rPr>
        <w:t xml:space="preserve">Bushnell </w:t>
      </w:r>
      <w:r w:rsidR="00F6199E">
        <w:rPr>
          <w:noProof/>
        </w:rPr>
        <w:t>et al.,</w:t>
      </w:r>
      <w:r w:rsidR="00152060">
        <w:rPr>
          <w:noProof/>
        </w:rPr>
        <w:t xml:space="preserve"> </w:t>
      </w:r>
      <w:r w:rsidRPr="006B1BF0">
        <w:rPr>
          <w:noProof/>
        </w:rPr>
        <w:t xml:space="preserve">2022 </w:t>
      </w:r>
      <w:bookmarkEnd w:id="75"/>
      <w:r w:rsidR="00C97290">
        <w:rPr>
          <w:noProof/>
        </w:rPr>
        <w:t>was</w:t>
      </w:r>
      <w:r w:rsidR="00C97290" w:rsidRPr="006B1BF0">
        <w:rPr>
          <w:noProof/>
        </w:rPr>
        <w:t xml:space="preserve"> </w:t>
      </w:r>
      <w:r w:rsidRPr="006B1BF0">
        <w:rPr>
          <w:noProof/>
        </w:rPr>
        <w:t xml:space="preserve">a multicentre cohort study </w:t>
      </w:r>
      <w:r>
        <w:rPr>
          <w:noProof/>
        </w:rPr>
        <w:t>that provided</w:t>
      </w:r>
      <w:r w:rsidRPr="006B1BF0">
        <w:rPr>
          <w:noProof/>
        </w:rPr>
        <w:t xml:space="preserve"> two-year outcomes </w:t>
      </w:r>
      <w:r>
        <w:rPr>
          <w:noProof/>
        </w:rPr>
        <w:t>of a</w:t>
      </w:r>
      <w:r w:rsidRPr="006B1BF0">
        <w:rPr>
          <w:noProof/>
        </w:rPr>
        <w:t xml:space="preserve"> </w:t>
      </w:r>
      <w:r w:rsidR="00321C07">
        <w:rPr>
          <w:noProof/>
        </w:rPr>
        <w:t>BCI</w:t>
      </w:r>
      <w:r w:rsidRPr="006B1BF0">
        <w:rPr>
          <w:noProof/>
        </w:rPr>
        <w:t xml:space="preserve"> used in </w:t>
      </w:r>
      <w:r>
        <w:rPr>
          <w:noProof/>
        </w:rPr>
        <w:t xml:space="preserve">the </w:t>
      </w:r>
      <w:r w:rsidRPr="006B1BF0">
        <w:rPr>
          <w:noProof/>
        </w:rPr>
        <w:t xml:space="preserve">repair of FTRCT. </w:t>
      </w:r>
      <w:r w:rsidR="00E65348">
        <w:rPr>
          <w:noProof/>
        </w:rPr>
        <w:t>The commentary noted that</w:t>
      </w:r>
      <w:r w:rsidR="00215939">
        <w:rPr>
          <w:noProof/>
        </w:rPr>
        <w:t xml:space="preserve"> the </w:t>
      </w:r>
      <w:r w:rsidR="00215939" w:rsidRPr="00215939">
        <w:rPr>
          <w:noProof/>
        </w:rPr>
        <w:t xml:space="preserve">sources of average time to retear of 6 months </w:t>
      </w:r>
      <w:r w:rsidR="00215939">
        <w:rPr>
          <w:noProof/>
        </w:rPr>
        <w:t>was not clear</w:t>
      </w:r>
      <w:r w:rsidR="00321C07">
        <w:rPr>
          <w:noProof/>
        </w:rPr>
        <w:t xml:space="preserve"> from</w:t>
      </w:r>
      <w:r w:rsidR="00321C07" w:rsidRPr="00321C07">
        <w:t xml:space="preserve"> </w:t>
      </w:r>
      <w:r w:rsidR="00321C07" w:rsidRPr="00321C07">
        <w:rPr>
          <w:noProof/>
        </w:rPr>
        <w:t>Bushnell et al., 2022</w:t>
      </w:r>
      <w:r w:rsidR="00321C07">
        <w:rPr>
          <w:noProof/>
        </w:rPr>
        <w:t xml:space="preserve"> study.</w:t>
      </w:r>
    </w:p>
    <w:p w14:paraId="62589287" w14:textId="39963924" w:rsidR="002B4F0C" w:rsidRDefault="002B4F0C" w:rsidP="003B4E46">
      <w:pPr>
        <w:rPr>
          <w:snapToGrid w:val="0"/>
        </w:rPr>
      </w:pPr>
      <w:r>
        <w:rPr>
          <w:noProof/>
        </w:rPr>
        <w:t xml:space="preserve">One of the concerns raised by MSAC in the previous </w:t>
      </w:r>
      <w:r w:rsidR="00DE0A5A">
        <w:rPr>
          <w:noProof/>
        </w:rPr>
        <w:t>application</w:t>
      </w:r>
      <w:r>
        <w:rPr>
          <w:noProof/>
        </w:rPr>
        <w:t xml:space="preserve"> was that the </w:t>
      </w:r>
      <w:r w:rsidRPr="004E52F6">
        <w:t>imaging results were problematic due to the lack of definitions for “retear,” “incomplete healing” and “treatment failure</w:t>
      </w:r>
      <w:r>
        <w:t>.</w:t>
      </w:r>
      <w:r>
        <w:rPr>
          <w:rStyle w:val="FootnoteReference"/>
          <w:rFonts w:eastAsia="Calibri" w:cstheme="minorHAnsi"/>
        </w:rPr>
        <w:t>1</w:t>
      </w:r>
      <w:r>
        <w:t xml:space="preserve"> However, the </w:t>
      </w:r>
      <w:r w:rsidR="00600185">
        <w:t>ADAR</w:t>
      </w:r>
      <w:r>
        <w:t xml:space="preserve"> </w:t>
      </w:r>
      <w:r>
        <w:rPr>
          <w:snapToGrid w:val="0"/>
        </w:rPr>
        <w:t xml:space="preserve">assumed that “tear fail to heal” was equivalent to the “retear rate” reported in </w:t>
      </w:r>
      <w:r w:rsidR="0049423A">
        <w:rPr>
          <w:snapToGrid w:val="0"/>
        </w:rPr>
        <w:t xml:space="preserve">the </w:t>
      </w:r>
      <w:r w:rsidRPr="003A2EAA">
        <w:rPr>
          <w:snapToGrid w:val="0"/>
        </w:rPr>
        <w:t xml:space="preserve">Ruiz </w:t>
      </w:r>
      <w:proofErr w:type="spellStart"/>
      <w:r w:rsidR="00262ECD">
        <w:rPr>
          <w:snapToGrid w:val="0"/>
        </w:rPr>
        <w:t>Ibán</w:t>
      </w:r>
      <w:proofErr w:type="spellEnd"/>
      <w:r w:rsidRPr="003A2EAA">
        <w:rPr>
          <w:snapToGrid w:val="0"/>
        </w:rPr>
        <w:t xml:space="preserve"> </w:t>
      </w:r>
      <w:r w:rsidR="00F6199E">
        <w:rPr>
          <w:snapToGrid w:val="0"/>
        </w:rPr>
        <w:t>et al.,</w:t>
      </w:r>
      <w:r w:rsidRPr="003A2EAA">
        <w:rPr>
          <w:snapToGrid w:val="0"/>
        </w:rPr>
        <w:t xml:space="preserve"> 2023 </w:t>
      </w:r>
      <w:r w:rsidR="003A0F7E">
        <w:rPr>
          <w:snapToGrid w:val="0"/>
        </w:rPr>
        <w:t>trial</w:t>
      </w:r>
      <w:r>
        <w:rPr>
          <w:snapToGrid w:val="0"/>
        </w:rPr>
        <w:t>.</w:t>
      </w:r>
      <w:r w:rsidRPr="003A2EAA">
        <w:rPr>
          <w:snapToGrid w:val="0"/>
        </w:rPr>
        <w:t xml:space="preserve"> </w:t>
      </w:r>
      <w:r>
        <w:rPr>
          <w:snapToGrid w:val="0"/>
        </w:rPr>
        <w:t xml:space="preserve">The </w:t>
      </w:r>
      <w:r w:rsidR="00600185">
        <w:rPr>
          <w:snapToGrid w:val="0"/>
        </w:rPr>
        <w:t>ADAR</w:t>
      </w:r>
      <w:r>
        <w:rPr>
          <w:snapToGrid w:val="0"/>
        </w:rPr>
        <w:t xml:space="preserve"> did not provide clear definitions of those outcomes to justify that assumption. Notably, the same approach was used in the</w:t>
      </w:r>
      <w:r w:rsidRPr="003A2EAA">
        <w:t xml:space="preserve"> </w:t>
      </w:r>
      <w:r w:rsidRPr="003A2EAA">
        <w:rPr>
          <w:snapToGrid w:val="0"/>
        </w:rPr>
        <w:t>McIntyre et al</w:t>
      </w:r>
      <w:r>
        <w:rPr>
          <w:snapToGrid w:val="0"/>
        </w:rPr>
        <w:t>.</w:t>
      </w:r>
      <w:r w:rsidR="00152060">
        <w:rPr>
          <w:snapToGrid w:val="0"/>
        </w:rPr>
        <w:t>, 2023 study.</w:t>
      </w:r>
    </w:p>
    <w:p w14:paraId="7AFA3429" w14:textId="06E748DA" w:rsidR="002B4F0C" w:rsidRPr="0008616E" w:rsidRDefault="002B4F0C" w:rsidP="003B4E46">
      <w:r w:rsidRPr="00CD76DA">
        <w:t xml:space="preserve">Following a retear, patients can undergo revision RCR, reverse shoulder arthroplasty, or receive </w:t>
      </w:r>
      <w:r w:rsidR="0008616E">
        <w:t>CM</w:t>
      </w:r>
      <w:r w:rsidRPr="00CD76DA">
        <w:t xml:space="preserve">. Data on the distribution of patients receiving one of these treatments is not available for the Australian population. Therefore, the </w:t>
      </w:r>
      <w:r w:rsidR="00600185">
        <w:t>ADAR</w:t>
      </w:r>
      <w:r w:rsidRPr="00CD76DA">
        <w:t xml:space="preserve"> sourced the probability of having revision RCR or reverse shoulder arthroplasty from the</w:t>
      </w:r>
      <w:r>
        <w:t xml:space="preserve"> study by</w:t>
      </w:r>
      <w:r w:rsidRPr="00CD76DA">
        <w:rPr>
          <w:noProof/>
        </w:rPr>
        <w:t xml:space="preserve"> Parikh et al., 2021</w:t>
      </w:r>
      <w:r w:rsidR="00152060">
        <w:rPr>
          <w:noProof/>
        </w:rPr>
        <w:t>.</w:t>
      </w:r>
      <w:r w:rsidR="00152060">
        <w:rPr>
          <w:rStyle w:val="FootnoteReference"/>
          <w:rFonts w:cstheme="minorHAnsi"/>
          <w:noProof/>
        </w:rPr>
        <w:footnoteReference w:id="21"/>
      </w:r>
      <w:r w:rsidR="00152060">
        <w:rPr>
          <w:noProof/>
        </w:rPr>
        <w:t xml:space="preserve"> </w:t>
      </w:r>
      <w:r w:rsidRPr="00CD76DA">
        <w:rPr>
          <w:noProof/>
        </w:rPr>
        <w:t xml:space="preserve">This study </w:t>
      </w:r>
      <w:r>
        <w:rPr>
          <w:noProof/>
        </w:rPr>
        <w:t>used the</w:t>
      </w:r>
      <w:r w:rsidRPr="00CD76DA">
        <w:t xml:space="preserve"> IBM Watson Health Market Scan Commercial database, which found that 25.22% and 3.9% would have</w:t>
      </w:r>
      <w:r w:rsidR="0008616E">
        <w:t xml:space="preserve"> debridement surgery and subacromial decompression among patient with RCR and arthroplasty respectively.</w:t>
      </w:r>
      <w:r w:rsidRPr="00CD76DA">
        <w:t xml:space="preserve"> </w:t>
      </w:r>
      <w:r w:rsidR="0008616E">
        <w:t xml:space="preserve">ADAR approximate these values for </w:t>
      </w:r>
      <w:r w:rsidRPr="00CD76DA">
        <w:t xml:space="preserve">revision surgery (reoperation surgery on index shoulder) or reverse shoulder arthroplasty, respectively. It was then assumed that the remainder (70.9%) of the patients would be managed using conservative methods. </w:t>
      </w:r>
      <w:r w:rsidRPr="00B94F63">
        <w:t>Parikh et al.</w:t>
      </w:r>
      <w:r w:rsidR="007E3A00">
        <w:t>,</w:t>
      </w:r>
      <w:r w:rsidRPr="00B94F63">
        <w:t>2021 reported direct and indirect economic burden associated with rotator cuff tears and repairs in the US</w:t>
      </w:r>
      <w:r w:rsidR="004E7C4D">
        <w:t>A</w:t>
      </w:r>
      <w:r w:rsidRPr="00B94F63">
        <w:t xml:space="preserve"> and the data included in the </w:t>
      </w:r>
      <w:r w:rsidR="00600185">
        <w:t>ADAR</w:t>
      </w:r>
      <w:r w:rsidRPr="00B94F63">
        <w:t xml:space="preserve"> as transition probabilities were based on the treatment characteristics during the 12-month post-index period of FTRCT patients. These data were not confined to patients </w:t>
      </w:r>
      <w:r w:rsidR="0049423A">
        <w:t xml:space="preserve">who had </w:t>
      </w:r>
      <w:r w:rsidRPr="00B94F63">
        <w:t xml:space="preserve">undergone revision surgery. Hence, the commentary considered </w:t>
      </w:r>
      <w:r>
        <w:t xml:space="preserve">that </w:t>
      </w:r>
      <w:r w:rsidRPr="00B94F63">
        <w:t xml:space="preserve">these transition probabilities were not appropriate to use in the </w:t>
      </w:r>
      <w:r w:rsidRPr="00B94F63">
        <w:lastRenderedPageBreak/>
        <w:t xml:space="preserve">economic model. </w:t>
      </w:r>
    </w:p>
    <w:p w14:paraId="46417C92" w14:textId="77777777" w:rsidR="007F3BF6" w:rsidRPr="003B4E46" w:rsidRDefault="007F3BF6" w:rsidP="007F3BF6">
      <w:pPr>
        <w:rPr>
          <w:b/>
          <w:bCs/>
        </w:rPr>
      </w:pPr>
      <w:bookmarkStart w:id="76" w:name="_Hlk166082361"/>
      <w:bookmarkStart w:id="77" w:name="_Hlk163602950"/>
      <w:bookmarkEnd w:id="73"/>
      <w:r w:rsidRPr="003B4E46">
        <w:rPr>
          <w:b/>
          <w:bCs/>
        </w:rPr>
        <w:t xml:space="preserve">Health Outcomes </w:t>
      </w:r>
    </w:p>
    <w:p w14:paraId="30FF79E6" w14:textId="5799214B" w:rsidR="00A90683" w:rsidRDefault="007F3BF6" w:rsidP="007F3BF6">
      <w:r w:rsidRPr="00487AE4">
        <w:t xml:space="preserve">The </w:t>
      </w:r>
      <w:r>
        <w:t>ADAR</w:t>
      </w:r>
      <w:r w:rsidRPr="00487AE4">
        <w:t xml:space="preserve"> claimed that the literature search did not identify any published </w:t>
      </w:r>
      <w:r>
        <w:t>CUAs</w:t>
      </w:r>
      <w:r w:rsidRPr="00487AE4">
        <w:t xml:space="preserve"> with utility data for health states relevant to FTRCT </w:t>
      </w:r>
      <w:r>
        <w:t>in the</w:t>
      </w:r>
      <w:r w:rsidRPr="00487AE4">
        <w:t xml:space="preserve"> Australian population. Therefore, the </w:t>
      </w:r>
      <w:r>
        <w:t>ADAR</w:t>
      </w:r>
      <w:r w:rsidRPr="00487AE4">
        <w:t xml:space="preserve"> used the utilities reported in </w:t>
      </w:r>
      <w:proofErr w:type="spellStart"/>
      <w:r w:rsidRPr="00487AE4">
        <w:t>Grobet</w:t>
      </w:r>
      <w:proofErr w:type="spellEnd"/>
      <w:r w:rsidRPr="00487AE4">
        <w:t xml:space="preserve"> </w:t>
      </w:r>
      <w:r>
        <w:t>et al.,</w:t>
      </w:r>
      <w:r w:rsidRPr="00487AE4">
        <w:t>2020</w:t>
      </w:r>
      <w:r>
        <w:rPr>
          <w:rStyle w:val="FootnoteReference"/>
        </w:rPr>
        <w:footnoteReference w:id="22"/>
      </w:r>
      <w:r>
        <w:t xml:space="preserve"> </w:t>
      </w:r>
      <w:r w:rsidRPr="00487AE4">
        <w:t xml:space="preserve">to inform the </w:t>
      </w:r>
      <w:r>
        <w:t xml:space="preserve">utility </w:t>
      </w:r>
      <w:r w:rsidRPr="00487AE4">
        <w:t xml:space="preserve">values for </w:t>
      </w:r>
      <w:r>
        <w:t xml:space="preserve">the </w:t>
      </w:r>
      <w:r w:rsidRPr="00487AE4">
        <w:t>health states: tear heals</w:t>
      </w:r>
      <w:r w:rsidR="007C5F87">
        <w:t xml:space="preserve"> (</w:t>
      </w:r>
      <w:r w:rsidR="00C705A8">
        <w:t xml:space="preserve">0.891 and 0.950 in Year </w:t>
      </w:r>
      <w:r w:rsidR="00D0799E">
        <w:t>1 and 2, respectively)</w:t>
      </w:r>
      <w:r w:rsidRPr="00487AE4">
        <w:t xml:space="preserve"> and </w:t>
      </w:r>
      <w:r>
        <w:t>CM</w:t>
      </w:r>
      <w:r w:rsidR="00D0799E">
        <w:t xml:space="preserve"> </w:t>
      </w:r>
      <w:r w:rsidR="00064955">
        <w:t xml:space="preserve">(0.71) </w:t>
      </w:r>
      <w:r w:rsidR="00D0799E">
        <w:t xml:space="preserve">after tear fails to </w:t>
      </w:r>
      <w:r w:rsidR="0064272A">
        <w:t>heal post-repair</w:t>
      </w:r>
      <w:r w:rsidRPr="00487AE4">
        <w:t>.</w:t>
      </w:r>
      <w:r w:rsidRPr="00152060">
        <w:t xml:space="preserve"> </w:t>
      </w:r>
    </w:p>
    <w:p w14:paraId="230CF526" w14:textId="6C2FF333" w:rsidR="004F7C35" w:rsidRDefault="007F3BF6" w:rsidP="007F3BF6">
      <w:pPr>
        <w:rPr>
          <w:color w:val="000000" w:themeColor="text1"/>
        </w:rPr>
      </w:pPr>
      <w:r>
        <w:t xml:space="preserve">The commentary noted that the </w:t>
      </w:r>
      <w:bookmarkStart w:id="78" w:name="_Hlk166053605"/>
      <w:proofErr w:type="spellStart"/>
      <w:r w:rsidRPr="00152060">
        <w:t>Grobet</w:t>
      </w:r>
      <w:proofErr w:type="spellEnd"/>
      <w:r w:rsidRPr="00152060">
        <w:t xml:space="preserve"> et al.,2020</w:t>
      </w:r>
      <w:r w:rsidRPr="00487AE4">
        <w:t xml:space="preserve"> </w:t>
      </w:r>
      <w:r w:rsidRPr="00487AE4">
        <w:rPr>
          <w:color w:val="000000" w:themeColor="text1"/>
        </w:rPr>
        <w:t xml:space="preserve">study </w:t>
      </w:r>
      <w:bookmarkEnd w:id="78"/>
      <w:r>
        <w:rPr>
          <w:color w:val="000000" w:themeColor="text1"/>
        </w:rPr>
        <w:t xml:space="preserve">was not confined to the patients with FTRCT. </w:t>
      </w:r>
      <w:bookmarkStart w:id="79" w:name="_Hlk163574845"/>
      <w:r>
        <w:rPr>
          <w:color w:val="000000" w:themeColor="text1"/>
        </w:rPr>
        <w:t>Also, t</w:t>
      </w:r>
      <w:r w:rsidRPr="00487AE4">
        <w:rPr>
          <w:color w:val="000000" w:themeColor="text1"/>
        </w:rPr>
        <w:t xml:space="preserve">he utilities reported in this study was </w:t>
      </w:r>
      <w:r w:rsidRPr="00487AE4">
        <w:rPr>
          <w:rStyle w:val="cf01"/>
          <w:rFonts w:ascii="Franklin Gothic Book" w:hAnsi="Franklin Gothic Book" w:cstheme="minorHAnsi"/>
          <w:color w:val="000000" w:themeColor="text1"/>
          <w:sz w:val="22"/>
          <w:szCs w:val="22"/>
        </w:rPr>
        <w:t xml:space="preserve">not related to </w:t>
      </w:r>
      <w:r>
        <w:rPr>
          <w:rStyle w:val="cf01"/>
          <w:rFonts w:ascii="Franklin Gothic Book" w:hAnsi="Franklin Gothic Book" w:cstheme="minorHAnsi"/>
          <w:color w:val="000000" w:themeColor="text1"/>
          <w:sz w:val="22"/>
          <w:szCs w:val="22"/>
        </w:rPr>
        <w:t>‘</w:t>
      </w:r>
      <w:r w:rsidRPr="00487AE4">
        <w:rPr>
          <w:rStyle w:val="cf01"/>
          <w:rFonts w:ascii="Franklin Gothic Book" w:hAnsi="Franklin Gothic Book" w:cstheme="minorHAnsi"/>
          <w:color w:val="000000" w:themeColor="text1"/>
          <w:sz w:val="22"/>
          <w:szCs w:val="22"/>
        </w:rPr>
        <w:t>tear heals</w:t>
      </w:r>
      <w:r>
        <w:rPr>
          <w:rStyle w:val="cf01"/>
          <w:rFonts w:ascii="Franklin Gothic Book" w:hAnsi="Franklin Gothic Book" w:cstheme="minorHAnsi"/>
          <w:color w:val="000000" w:themeColor="text1"/>
          <w:sz w:val="22"/>
          <w:szCs w:val="22"/>
        </w:rPr>
        <w:t>’</w:t>
      </w:r>
      <w:r w:rsidRPr="00487AE4">
        <w:rPr>
          <w:rStyle w:val="cf01"/>
          <w:rFonts w:ascii="Franklin Gothic Book" w:hAnsi="Franklin Gothic Book" w:cstheme="minorHAnsi"/>
          <w:color w:val="000000" w:themeColor="text1"/>
          <w:sz w:val="22"/>
          <w:szCs w:val="22"/>
        </w:rPr>
        <w:t xml:space="preserve"> or </w:t>
      </w:r>
      <w:r>
        <w:rPr>
          <w:rStyle w:val="cf01"/>
          <w:rFonts w:ascii="Franklin Gothic Book" w:hAnsi="Franklin Gothic Book" w:cstheme="minorHAnsi"/>
          <w:color w:val="000000" w:themeColor="text1"/>
          <w:sz w:val="22"/>
          <w:szCs w:val="22"/>
        </w:rPr>
        <w:t xml:space="preserve">‘tear </w:t>
      </w:r>
      <w:r w:rsidRPr="00487AE4">
        <w:rPr>
          <w:rStyle w:val="cf01"/>
          <w:rFonts w:ascii="Franklin Gothic Book" w:hAnsi="Franklin Gothic Book" w:cstheme="minorHAnsi"/>
          <w:color w:val="000000" w:themeColor="text1"/>
          <w:sz w:val="22"/>
          <w:szCs w:val="22"/>
        </w:rPr>
        <w:t>fail to heal</w:t>
      </w:r>
      <w:r>
        <w:rPr>
          <w:rStyle w:val="cf01"/>
          <w:rFonts w:ascii="Franklin Gothic Book" w:hAnsi="Franklin Gothic Book" w:cstheme="minorHAnsi"/>
          <w:color w:val="000000" w:themeColor="text1"/>
          <w:sz w:val="22"/>
          <w:szCs w:val="22"/>
        </w:rPr>
        <w:t>’,</w:t>
      </w:r>
      <w:r w:rsidRPr="00487AE4">
        <w:rPr>
          <w:rStyle w:val="cf01"/>
          <w:rFonts w:ascii="Franklin Gothic Book" w:hAnsi="Franklin Gothic Book" w:cstheme="minorHAnsi"/>
          <w:color w:val="000000" w:themeColor="text1"/>
          <w:sz w:val="22"/>
          <w:szCs w:val="22"/>
        </w:rPr>
        <w:t xml:space="preserve"> but utility at different time points </w:t>
      </w:r>
      <w:bookmarkEnd w:id="79"/>
      <w:r>
        <w:rPr>
          <w:rStyle w:val="cf01"/>
          <w:rFonts w:ascii="Franklin Gothic Book" w:hAnsi="Franklin Gothic Book" w:cstheme="minorHAnsi"/>
          <w:color w:val="000000" w:themeColor="text1"/>
          <w:sz w:val="22"/>
          <w:szCs w:val="22"/>
        </w:rPr>
        <w:t xml:space="preserve">for patients </w:t>
      </w:r>
      <w:r w:rsidRPr="00487AE4">
        <w:rPr>
          <w:rStyle w:val="cf01"/>
          <w:rFonts w:ascii="Franklin Gothic Book" w:hAnsi="Franklin Gothic Book" w:cstheme="minorHAnsi"/>
          <w:color w:val="000000" w:themeColor="text1"/>
          <w:sz w:val="22"/>
          <w:szCs w:val="22"/>
        </w:rPr>
        <w:t>who under</w:t>
      </w:r>
      <w:r>
        <w:rPr>
          <w:rStyle w:val="cf01"/>
          <w:rFonts w:ascii="Franklin Gothic Book" w:hAnsi="Franklin Gothic Book" w:cstheme="minorHAnsi"/>
          <w:color w:val="000000" w:themeColor="text1"/>
          <w:sz w:val="22"/>
          <w:szCs w:val="22"/>
        </w:rPr>
        <w:t>went</w:t>
      </w:r>
      <w:r w:rsidRPr="00487AE4">
        <w:rPr>
          <w:rStyle w:val="cf01"/>
          <w:rFonts w:ascii="Franklin Gothic Book" w:hAnsi="Franklin Gothic Book" w:cstheme="minorHAnsi"/>
          <w:color w:val="000000" w:themeColor="text1"/>
          <w:sz w:val="22"/>
          <w:szCs w:val="22"/>
        </w:rPr>
        <w:t xml:space="preserve"> arthroscopic surgery. </w:t>
      </w:r>
      <w:r>
        <w:rPr>
          <w:rStyle w:val="cf01"/>
          <w:rFonts w:ascii="Franklin Gothic Book" w:hAnsi="Franklin Gothic Book" w:cstheme="minorHAnsi"/>
          <w:color w:val="000000" w:themeColor="text1"/>
          <w:sz w:val="22"/>
          <w:szCs w:val="22"/>
        </w:rPr>
        <w:t xml:space="preserve">Therefore, approximation of first year utility and second year utility from </w:t>
      </w:r>
      <w:proofErr w:type="spellStart"/>
      <w:r w:rsidRPr="00D53B01">
        <w:rPr>
          <w:rStyle w:val="cf01"/>
          <w:rFonts w:ascii="Franklin Gothic Book" w:hAnsi="Franklin Gothic Book" w:cstheme="minorHAnsi"/>
          <w:color w:val="000000" w:themeColor="text1"/>
          <w:sz w:val="22"/>
          <w:szCs w:val="22"/>
        </w:rPr>
        <w:t>Grobet</w:t>
      </w:r>
      <w:proofErr w:type="spellEnd"/>
      <w:r w:rsidRPr="00D53B01">
        <w:rPr>
          <w:rStyle w:val="cf01"/>
          <w:rFonts w:ascii="Franklin Gothic Book" w:hAnsi="Franklin Gothic Book" w:cstheme="minorHAnsi"/>
          <w:color w:val="000000" w:themeColor="text1"/>
          <w:sz w:val="22"/>
          <w:szCs w:val="22"/>
        </w:rPr>
        <w:t xml:space="preserve"> et al.,2020 study </w:t>
      </w:r>
      <w:r>
        <w:rPr>
          <w:rStyle w:val="cf01"/>
          <w:rFonts w:ascii="Franklin Gothic Book" w:hAnsi="Franklin Gothic Book" w:cstheme="minorHAnsi"/>
          <w:color w:val="000000" w:themeColor="text1"/>
          <w:sz w:val="22"/>
          <w:szCs w:val="22"/>
        </w:rPr>
        <w:t>to the utility values for ‘tear heal’ and ‘tear fail to heal’ in the economic model resulted</w:t>
      </w:r>
      <w:r w:rsidRPr="00487AE4">
        <w:rPr>
          <w:rStyle w:val="cf01"/>
          <w:rFonts w:ascii="Franklin Gothic Book" w:hAnsi="Franklin Gothic Book" w:cstheme="minorHAnsi"/>
          <w:color w:val="000000" w:themeColor="text1"/>
          <w:sz w:val="22"/>
          <w:szCs w:val="22"/>
        </w:rPr>
        <w:t xml:space="preserve"> </w:t>
      </w:r>
      <w:r w:rsidRPr="00487AE4">
        <w:rPr>
          <w:color w:val="000000" w:themeColor="text1"/>
        </w:rPr>
        <w:t xml:space="preserve">higher utility </w:t>
      </w:r>
      <w:r>
        <w:rPr>
          <w:color w:val="000000" w:themeColor="text1"/>
        </w:rPr>
        <w:t xml:space="preserve">for </w:t>
      </w:r>
      <w:r w:rsidRPr="00487AE4">
        <w:rPr>
          <w:rStyle w:val="cf01"/>
          <w:rFonts w:ascii="Franklin Gothic Book" w:hAnsi="Franklin Gothic Book" w:cstheme="minorHAnsi"/>
          <w:color w:val="000000" w:themeColor="text1"/>
          <w:sz w:val="22"/>
          <w:szCs w:val="22"/>
        </w:rPr>
        <w:t xml:space="preserve">the </w:t>
      </w:r>
      <w:r>
        <w:rPr>
          <w:rStyle w:val="cf01"/>
          <w:rFonts w:ascii="Franklin Gothic Book" w:hAnsi="Franklin Gothic Book" w:cstheme="minorHAnsi"/>
          <w:color w:val="000000" w:themeColor="text1"/>
          <w:sz w:val="22"/>
          <w:szCs w:val="22"/>
        </w:rPr>
        <w:t>‘</w:t>
      </w:r>
      <w:r w:rsidRPr="00487AE4">
        <w:rPr>
          <w:color w:val="000000" w:themeColor="text1"/>
        </w:rPr>
        <w:t>tear fails to heal</w:t>
      </w:r>
      <w:r>
        <w:rPr>
          <w:color w:val="000000" w:themeColor="text1"/>
        </w:rPr>
        <w:t>’</w:t>
      </w:r>
      <w:r w:rsidRPr="00487AE4">
        <w:rPr>
          <w:color w:val="000000" w:themeColor="text1"/>
        </w:rPr>
        <w:t xml:space="preserve"> than the </w:t>
      </w:r>
      <w:r>
        <w:rPr>
          <w:color w:val="000000" w:themeColor="text1"/>
        </w:rPr>
        <w:t>‘</w:t>
      </w:r>
      <w:r w:rsidRPr="00487AE4">
        <w:rPr>
          <w:color w:val="000000" w:themeColor="text1"/>
        </w:rPr>
        <w:t>tear heals</w:t>
      </w:r>
      <w:r>
        <w:rPr>
          <w:color w:val="000000" w:themeColor="text1"/>
        </w:rPr>
        <w:t>’</w:t>
      </w:r>
      <w:r w:rsidRPr="00487AE4">
        <w:rPr>
          <w:color w:val="000000" w:themeColor="text1"/>
        </w:rPr>
        <w:t xml:space="preserve"> </w:t>
      </w:r>
      <w:r>
        <w:rPr>
          <w:color w:val="000000" w:themeColor="text1"/>
        </w:rPr>
        <w:t>as well as higher than the population norm for the Australian general population,</w:t>
      </w:r>
      <w:r>
        <w:rPr>
          <w:rStyle w:val="FootnoteReference"/>
          <w:color w:val="000000" w:themeColor="text1"/>
        </w:rPr>
        <w:footnoteReference w:id="23"/>
      </w:r>
      <w:r w:rsidRPr="00487AE4">
        <w:rPr>
          <w:color w:val="000000" w:themeColor="text1"/>
        </w:rPr>
        <w:t xml:space="preserve"> which is not accurate. </w:t>
      </w:r>
    </w:p>
    <w:p w14:paraId="5954D244" w14:textId="03407390" w:rsidR="007F3BF6" w:rsidRDefault="007F3BF6" w:rsidP="007F3BF6">
      <w:pPr>
        <w:rPr>
          <w:rStyle w:val="cf01"/>
          <w:rFonts w:ascii="Franklin Gothic Book" w:eastAsiaTheme="majorEastAsia" w:hAnsi="Franklin Gothic Book" w:cstheme="minorHAnsi"/>
          <w:color w:val="000000" w:themeColor="text1"/>
          <w:sz w:val="22"/>
          <w:szCs w:val="22"/>
        </w:rPr>
      </w:pPr>
      <w:r w:rsidRPr="00AC3589">
        <w:rPr>
          <w:rStyle w:val="cf01"/>
          <w:rFonts w:ascii="Franklin Gothic Book" w:hAnsi="Franklin Gothic Book" w:cstheme="minorHAnsi"/>
          <w:color w:val="000000" w:themeColor="text1"/>
          <w:sz w:val="22"/>
          <w:szCs w:val="22"/>
        </w:rPr>
        <w:t xml:space="preserve">Furthermore, based on </w:t>
      </w:r>
      <w:r>
        <w:rPr>
          <w:rStyle w:val="cf01"/>
          <w:rFonts w:ascii="Franklin Gothic Book" w:hAnsi="Franklin Gothic Book" w:cstheme="minorHAnsi"/>
          <w:color w:val="000000" w:themeColor="text1"/>
          <w:sz w:val="22"/>
          <w:szCs w:val="22"/>
        </w:rPr>
        <w:t xml:space="preserve">the </w:t>
      </w:r>
      <w:proofErr w:type="spellStart"/>
      <w:r w:rsidRPr="00AC3589">
        <w:rPr>
          <w:rStyle w:val="cf01"/>
          <w:rFonts w:ascii="Franklin Gothic Book" w:hAnsi="Franklin Gothic Book" w:cstheme="minorHAnsi"/>
          <w:color w:val="000000" w:themeColor="text1"/>
          <w:sz w:val="22"/>
          <w:szCs w:val="22"/>
        </w:rPr>
        <w:t>Grobet</w:t>
      </w:r>
      <w:proofErr w:type="spellEnd"/>
      <w:r w:rsidRPr="00AC3589">
        <w:rPr>
          <w:rStyle w:val="cf01"/>
          <w:rFonts w:ascii="Franklin Gothic Book" w:hAnsi="Franklin Gothic Book" w:cstheme="minorHAnsi"/>
          <w:color w:val="000000" w:themeColor="text1"/>
          <w:sz w:val="22"/>
          <w:szCs w:val="22"/>
        </w:rPr>
        <w:t xml:space="preserve"> </w:t>
      </w:r>
      <w:r>
        <w:rPr>
          <w:rStyle w:val="cf01"/>
          <w:rFonts w:ascii="Franklin Gothic Book" w:hAnsi="Franklin Gothic Book" w:cstheme="minorHAnsi"/>
          <w:color w:val="000000" w:themeColor="text1"/>
          <w:sz w:val="22"/>
          <w:szCs w:val="22"/>
        </w:rPr>
        <w:t xml:space="preserve">et al., </w:t>
      </w:r>
      <w:r w:rsidRPr="00AC3589">
        <w:rPr>
          <w:rStyle w:val="cf01"/>
          <w:rFonts w:ascii="Franklin Gothic Book" w:hAnsi="Franklin Gothic Book" w:cstheme="minorHAnsi"/>
          <w:color w:val="000000" w:themeColor="text1"/>
          <w:sz w:val="22"/>
          <w:szCs w:val="22"/>
        </w:rPr>
        <w:t xml:space="preserve">2020 study, the </w:t>
      </w:r>
      <w:r>
        <w:rPr>
          <w:rStyle w:val="cf01"/>
          <w:rFonts w:ascii="Franklin Gothic Book" w:hAnsi="Franklin Gothic Book" w:cstheme="minorHAnsi"/>
          <w:color w:val="000000" w:themeColor="text1"/>
          <w:sz w:val="22"/>
          <w:szCs w:val="22"/>
        </w:rPr>
        <w:t>ADAR</w:t>
      </w:r>
      <w:r w:rsidRPr="00AC3589">
        <w:rPr>
          <w:rStyle w:val="cf01"/>
          <w:rFonts w:ascii="Franklin Gothic Book" w:hAnsi="Franklin Gothic Book" w:cstheme="minorHAnsi"/>
          <w:color w:val="000000" w:themeColor="text1"/>
          <w:sz w:val="22"/>
          <w:szCs w:val="22"/>
        </w:rPr>
        <w:t xml:space="preserve"> used a utility score of 0.7 for </w:t>
      </w:r>
      <w:r>
        <w:rPr>
          <w:rStyle w:val="cf01"/>
          <w:rFonts w:ascii="Franklin Gothic Book" w:hAnsi="Franklin Gothic Book" w:cstheme="minorHAnsi"/>
          <w:color w:val="000000" w:themeColor="text1"/>
          <w:sz w:val="22"/>
          <w:szCs w:val="22"/>
        </w:rPr>
        <w:t>CM</w:t>
      </w:r>
      <w:r w:rsidRPr="00AC3589">
        <w:rPr>
          <w:rStyle w:val="cf01"/>
          <w:rFonts w:ascii="Franklin Gothic Book" w:hAnsi="Franklin Gothic Book" w:cstheme="minorHAnsi"/>
          <w:color w:val="000000" w:themeColor="text1"/>
          <w:sz w:val="22"/>
          <w:szCs w:val="22"/>
        </w:rPr>
        <w:t xml:space="preserve"> and assumed that this value w</w:t>
      </w:r>
      <w:r>
        <w:rPr>
          <w:rStyle w:val="cf01"/>
          <w:rFonts w:ascii="Franklin Gothic Book" w:hAnsi="Franklin Gothic Book" w:cstheme="minorHAnsi"/>
          <w:color w:val="000000" w:themeColor="text1"/>
          <w:sz w:val="22"/>
          <w:szCs w:val="22"/>
        </w:rPr>
        <w:t>ould</w:t>
      </w:r>
      <w:r w:rsidRPr="00AC3589">
        <w:rPr>
          <w:rStyle w:val="cf01"/>
          <w:rFonts w:ascii="Franklin Gothic Book" w:hAnsi="Franklin Gothic Book" w:cstheme="minorHAnsi"/>
          <w:color w:val="000000" w:themeColor="text1"/>
          <w:sz w:val="22"/>
          <w:szCs w:val="22"/>
        </w:rPr>
        <w:t xml:space="preserve"> remain unchanged over two years. </w:t>
      </w:r>
      <w:r>
        <w:rPr>
          <w:rStyle w:val="cf01"/>
          <w:rFonts w:ascii="Franklin Gothic Book" w:hAnsi="Franklin Gothic Book" w:cstheme="minorHAnsi"/>
          <w:color w:val="000000" w:themeColor="text1"/>
          <w:sz w:val="22"/>
          <w:szCs w:val="22"/>
        </w:rPr>
        <w:t>O</w:t>
      </w:r>
      <w:r w:rsidRPr="00AC3589">
        <w:rPr>
          <w:rStyle w:val="cf01"/>
          <w:rFonts w:ascii="Franklin Gothic Book" w:hAnsi="Franklin Gothic Book" w:cstheme="minorHAnsi"/>
          <w:color w:val="000000" w:themeColor="text1"/>
          <w:sz w:val="22"/>
          <w:szCs w:val="22"/>
        </w:rPr>
        <w:t xml:space="preserve">f note, </w:t>
      </w:r>
      <w:r>
        <w:rPr>
          <w:rStyle w:val="cf01"/>
          <w:rFonts w:ascii="Franklin Gothic Book" w:hAnsi="Franklin Gothic Book" w:cstheme="minorHAnsi"/>
          <w:color w:val="000000" w:themeColor="text1"/>
          <w:sz w:val="22"/>
          <w:szCs w:val="22"/>
        </w:rPr>
        <w:t xml:space="preserve">the </w:t>
      </w:r>
      <w:r w:rsidRPr="00AC3589">
        <w:rPr>
          <w:rStyle w:val="cf01"/>
          <w:rFonts w:ascii="Franklin Gothic Book" w:hAnsi="Franklin Gothic Book" w:cstheme="minorHAnsi"/>
          <w:color w:val="000000" w:themeColor="text1"/>
          <w:sz w:val="22"/>
          <w:szCs w:val="22"/>
        </w:rPr>
        <w:t xml:space="preserve">0.7 utility score reported in the </w:t>
      </w:r>
      <w:proofErr w:type="spellStart"/>
      <w:r w:rsidRPr="00AC3589">
        <w:rPr>
          <w:rStyle w:val="cf01"/>
          <w:rFonts w:ascii="Franklin Gothic Book" w:hAnsi="Franklin Gothic Book" w:cstheme="minorHAnsi"/>
          <w:color w:val="000000" w:themeColor="text1"/>
          <w:sz w:val="22"/>
          <w:szCs w:val="22"/>
        </w:rPr>
        <w:t>Grobet</w:t>
      </w:r>
      <w:proofErr w:type="spellEnd"/>
      <w:r w:rsidRPr="00AC3589">
        <w:rPr>
          <w:rStyle w:val="cf01"/>
          <w:rFonts w:ascii="Franklin Gothic Book" w:hAnsi="Franklin Gothic Book" w:cstheme="minorHAnsi"/>
          <w:color w:val="000000" w:themeColor="text1"/>
          <w:sz w:val="22"/>
          <w:szCs w:val="22"/>
        </w:rPr>
        <w:t xml:space="preserve"> </w:t>
      </w:r>
      <w:r>
        <w:rPr>
          <w:rStyle w:val="cf01"/>
          <w:rFonts w:ascii="Franklin Gothic Book" w:hAnsi="Franklin Gothic Book" w:cstheme="minorHAnsi"/>
          <w:color w:val="000000" w:themeColor="text1"/>
          <w:sz w:val="22"/>
          <w:szCs w:val="22"/>
        </w:rPr>
        <w:t xml:space="preserve">et al., </w:t>
      </w:r>
      <w:r w:rsidRPr="00AC3589">
        <w:rPr>
          <w:rStyle w:val="cf01"/>
          <w:rFonts w:ascii="Franklin Gothic Book" w:hAnsi="Franklin Gothic Book" w:cstheme="minorHAnsi"/>
          <w:color w:val="000000" w:themeColor="text1"/>
          <w:sz w:val="22"/>
          <w:szCs w:val="22"/>
        </w:rPr>
        <w:t xml:space="preserve">2020 study referred to the utility value for preoperative patients, which proxied for the utility for </w:t>
      </w:r>
      <w:r>
        <w:rPr>
          <w:rStyle w:val="cf01"/>
          <w:rFonts w:ascii="Franklin Gothic Book" w:hAnsi="Franklin Gothic Book" w:cstheme="minorHAnsi"/>
          <w:color w:val="000000" w:themeColor="text1"/>
          <w:sz w:val="22"/>
          <w:szCs w:val="22"/>
        </w:rPr>
        <w:t>CM</w:t>
      </w:r>
      <w:r w:rsidRPr="00AC3589">
        <w:rPr>
          <w:rStyle w:val="cf01"/>
          <w:rFonts w:ascii="Franklin Gothic Book" w:hAnsi="Franklin Gothic Book" w:cstheme="minorHAnsi"/>
          <w:color w:val="000000" w:themeColor="text1"/>
          <w:sz w:val="22"/>
          <w:szCs w:val="22"/>
        </w:rPr>
        <w:t xml:space="preserve"> that patients would maintain throughout the entire follow-up period if they had not undergone surgery</w:t>
      </w:r>
      <w:r>
        <w:rPr>
          <w:rStyle w:val="cf01"/>
          <w:rFonts w:ascii="Franklin Gothic Book" w:hAnsi="Franklin Gothic Book" w:cstheme="minorHAnsi"/>
          <w:color w:val="000000" w:themeColor="text1"/>
          <w:sz w:val="22"/>
          <w:szCs w:val="22"/>
        </w:rPr>
        <w:t>.</w:t>
      </w:r>
    </w:p>
    <w:p w14:paraId="19D03B6C" w14:textId="35CC236F" w:rsidR="00EB1F6E" w:rsidRDefault="00EB1F6E" w:rsidP="003B4E46">
      <w:r w:rsidRPr="00431760">
        <w:t xml:space="preserve">Importantly, the commentary noted that the ADAR did not use health related QoL data collected alongside </w:t>
      </w:r>
      <w:r w:rsidR="006B2392" w:rsidRPr="00431760">
        <w:t xml:space="preserve">the Ruiz </w:t>
      </w:r>
      <w:proofErr w:type="spellStart"/>
      <w:r w:rsidR="00262ECD">
        <w:t>Ibán</w:t>
      </w:r>
      <w:proofErr w:type="spellEnd"/>
      <w:r w:rsidR="006B2392" w:rsidRPr="00431760">
        <w:t xml:space="preserve"> et al., 2023 </w:t>
      </w:r>
      <w:r w:rsidRPr="00431760">
        <w:t xml:space="preserve">trial in the economic evaluation. If the ADAR used an approach based on data collected alongside the clinical trial for the economic evaluation as they approximate the utility values at different time points to tear heals and tear fail to </w:t>
      </w:r>
      <w:r w:rsidR="006414FD" w:rsidRPr="00431760">
        <w:t>heal</w:t>
      </w:r>
      <w:r w:rsidRPr="00431760">
        <w:t xml:space="preserve"> based on </w:t>
      </w:r>
      <w:proofErr w:type="spellStart"/>
      <w:r w:rsidRPr="00431760">
        <w:t>Grobet</w:t>
      </w:r>
      <w:proofErr w:type="spellEnd"/>
      <w:r w:rsidRPr="00431760">
        <w:t xml:space="preserve"> et al.,2020 study, the ICER could be much higher than in the current model </w:t>
      </w:r>
      <w:r w:rsidR="006B2392" w:rsidRPr="00431760">
        <w:t xml:space="preserve">(Please see sensitivity analysis for Population 2 for more details). Of note, </w:t>
      </w:r>
      <w:r w:rsidRPr="00431760">
        <w:t xml:space="preserve">there was no significant difference in the EQ-5D-5L scores between the two arms of Ruiz </w:t>
      </w:r>
      <w:proofErr w:type="spellStart"/>
      <w:r w:rsidR="00262ECD">
        <w:t>Ibán</w:t>
      </w:r>
      <w:proofErr w:type="spellEnd"/>
      <w:r w:rsidRPr="00431760">
        <w:t xml:space="preserve"> et al., 2023</w:t>
      </w:r>
      <w:r w:rsidR="009A5B8D" w:rsidRPr="00B821D3">
        <w:t>.</w:t>
      </w:r>
      <w:r w:rsidRPr="00431760">
        <w:t xml:space="preserve"> </w:t>
      </w:r>
      <w:bookmarkEnd w:id="76"/>
    </w:p>
    <w:p w14:paraId="41E2CF8C" w14:textId="6DE66853" w:rsidR="000D4B65" w:rsidRPr="000C6FA5" w:rsidRDefault="000D4B65" w:rsidP="003B4E46">
      <w:r w:rsidRPr="000C6FA5">
        <w:t xml:space="preserve">Furthermore, the ADAR also used the </w:t>
      </w:r>
      <w:proofErr w:type="spellStart"/>
      <w:r w:rsidRPr="000C6FA5">
        <w:t>Grobet</w:t>
      </w:r>
      <w:proofErr w:type="spellEnd"/>
      <w:r w:rsidRPr="000C6FA5">
        <w:t xml:space="preserve"> et al., 2020 study to assume utility values for revision surgery or reverse arthroplasty following tear fails to heal. The ADAR assumed a utility value of 0.736 for both states (</w:t>
      </w:r>
      <w:r w:rsidRPr="000C6FA5">
        <w:rPr>
          <w:rFonts w:cstheme="minorHAnsi"/>
        </w:rPr>
        <w:t>80% of the average of first year utility 0.891 and second-year utility 0.950 reported in</w:t>
      </w:r>
      <w:r w:rsidRPr="000C6FA5">
        <w:t xml:space="preserve"> </w:t>
      </w:r>
      <w:proofErr w:type="spellStart"/>
      <w:r w:rsidRPr="000C6FA5">
        <w:rPr>
          <w:rFonts w:cstheme="minorHAnsi"/>
        </w:rPr>
        <w:t>Grobet</w:t>
      </w:r>
      <w:proofErr w:type="spellEnd"/>
      <w:r w:rsidRPr="000C6FA5">
        <w:rPr>
          <w:rFonts w:cstheme="minorHAnsi"/>
        </w:rPr>
        <w:t xml:space="preserve"> et al., 2020 study)</w:t>
      </w:r>
      <w:r w:rsidRPr="000C6FA5">
        <w:t>. The ADAR claimed that a similar approach was taken by Dornan et al., 2017</w:t>
      </w:r>
      <w:r w:rsidRPr="000C6FA5">
        <w:rPr>
          <w:rStyle w:val="FootnoteReference"/>
          <w:rFonts w:cstheme="minorHAnsi"/>
          <w:color w:val="000000" w:themeColor="text1"/>
        </w:rPr>
        <w:footnoteReference w:id="24"/>
      </w:r>
      <w:r w:rsidRPr="000C6FA5">
        <w:t xml:space="preserve">, where the authors assumed that the utility value for successful revision of arthroscopic rotator cuff repair would be 70% of the utility value for successful primary surgery. As discussed earlier, the utilities reported in </w:t>
      </w:r>
      <w:proofErr w:type="spellStart"/>
      <w:r w:rsidRPr="000C6FA5">
        <w:rPr>
          <w:rFonts w:cstheme="minorHAnsi"/>
        </w:rPr>
        <w:t>Grobet</w:t>
      </w:r>
      <w:proofErr w:type="spellEnd"/>
      <w:r w:rsidRPr="000C6FA5">
        <w:rPr>
          <w:rFonts w:cstheme="minorHAnsi"/>
        </w:rPr>
        <w:t xml:space="preserve"> et al., 2020 study</w:t>
      </w:r>
      <w:r w:rsidRPr="000C6FA5">
        <w:t xml:space="preserve"> were not related to utility value for successful primary surgery, but utility values at different time points. Therefore, utility value for revision surgery and reverse arthroplasty after tear fails to heal</w:t>
      </w:r>
      <w:r w:rsidRPr="000C6FA5" w:rsidDel="00981041">
        <w:t xml:space="preserve"> </w:t>
      </w:r>
      <w:r w:rsidRPr="000C6FA5">
        <w:t xml:space="preserve">were not accurate (i.e., based on assumption and non-related values). </w:t>
      </w:r>
    </w:p>
    <w:bookmarkEnd w:id="77"/>
    <w:p w14:paraId="0B85C7F6" w14:textId="77777777" w:rsidR="002B4F0C" w:rsidRPr="003B4E46" w:rsidRDefault="002B4F0C" w:rsidP="003B4E46">
      <w:pPr>
        <w:rPr>
          <w:b/>
          <w:bCs/>
          <w:i/>
          <w:iCs/>
          <w:color w:val="0070C0"/>
        </w:rPr>
      </w:pPr>
      <w:r w:rsidRPr="003B4E46">
        <w:rPr>
          <w:b/>
          <w:bCs/>
        </w:rPr>
        <w:t>Health care resource use and costs</w:t>
      </w:r>
    </w:p>
    <w:p w14:paraId="2654D720" w14:textId="7C4F2A15" w:rsidR="002B4F0C" w:rsidRDefault="002B4F0C" w:rsidP="003B4E46">
      <w:r w:rsidRPr="006561B4">
        <w:t xml:space="preserve">The </w:t>
      </w:r>
      <w:r w:rsidR="00600185">
        <w:t>ADAR</w:t>
      </w:r>
      <w:r w:rsidRPr="006561B4">
        <w:t xml:space="preserve"> included relevant device and material costs in both intervention and comparator arms and the commentary considered these costs appropriate. </w:t>
      </w:r>
      <w:r w:rsidR="00EB1F6E">
        <w:t xml:space="preserve">However, cost inputs needed to be updated based most recent fee updates. </w:t>
      </w:r>
      <w:r w:rsidRPr="006561B4">
        <w:t xml:space="preserve">The </w:t>
      </w:r>
      <w:r w:rsidR="00600185">
        <w:t>ADAR</w:t>
      </w:r>
      <w:r w:rsidRPr="006561B4">
        <w:t xml:space="preserve"> did not include cost for the</w:t>
      </w:r>
      <w:r w:rsidRPr="006561B4">
        <w:rPr>
          <w:rFonts w:cstheme="minorHAnsi"/>
        </w:rPr>
        <w:t xml:space="preserve"> standard suture </w:t>
      </w:r>
      <w:r w:rsidRPr="006561B4">
        <w:rPr>
          <w:rFonts w:cstheme="minorHAnsi"/>
        </w:rPr>
        <w:lastRenderedPageBreak/>
        <w:t xml:space="preserve">anchor repair in </w:t>
      </w:r>
      <w:r w:rsidR="00D628E9">
        <w:rPr>
          <w:rFonts w:cstheme="minorHAnsi"/>
        </w:rPr>
        <w:t>either</w:t>
      </w:r>
      <w:r w:rsidRPr="006561B4">
        <w:rPr>
          <w:rFonts w:cstheme="minorHAnsi"/>
        </w:rPr>
        <w:t xml:space="preserve"> arm as the use of REGENETEN </w:t>
      </w:r>
      <w:r w:rsidR="006B41BE">
        <w:rPr>
          <w:rFonts w:cstheme="minorHAnsi"/>
        </w:rPr>
        <w:t>wa</w:t>
      </w:r>
      <w:r w:rsidRPr="006561B4">
        <w:rPr>
          <w:rFonts w:cstheme="minorHAnsi"/>
        </w:rPr>
        <w:t xml:space="preserve">s additional to the standard suture anchor repair in </w:t>
      </w:r>
      <w:r w:rsidR="0049423A">
        <w:rPr>
          <w:rFonts w:cstheme="minorHAnsi"/>
        </w:rPr>
        <w:t xml:space="preserve">the </w:t>
      </w:r>
      <w:r w:rsidRPr="006561B4">
        <w:rPr>
          <w:rFonts w:cstheme="minorHAnsi"/>
        </w:rPr>
        <w:t xml:space="preserve">FTRCT population. </w:t>
      </w:r>
      <w:r w:rsidRPr="006561B4">
        <w:t>The main costs for the FTRCT population were associated with the management of patients following a retear. Patients c</w:t>
      </w:r>
      <w:r w:rsidR="00EF6D64">
        <w:t>ould</w:t>
      </w:r>
      <w:r w:rsidRPr="006561B4">
        <w:t xml:space="preserve"> undergo a rotator cuff tear revision or reverse total shoulder replacement (RTSP), or stay in </w:t>
      </w:r>
      <w:r w:rsidR="00ED4163">
        <w:t>CM</w:t>
      </w:r>
      <w:r w:rsidRPr="006561B4">
        <w:t xml:space="preserve"> (e.g., physiotherapy session, pain medication, etc.). The </w:t>
      </w:r>
      <w:r w:rsidR="00600185">
        <w:t>ADAR</w:t>
      </w:r>
      <w:r w:rsidRPr="006561B4">
        <w:t xml:space="preserve"> sourced these cost data from different sources. </w:t>
      </w:r>
    </w:p>
    <w:p w14:paraId="61ACDDAA" w14:textId="39221793" w:rsidR="0049423A" w:rsidRDefault="00981041" w:rsidP="003B4E46">
      <w:r w:rsidRPr="00981041">
        <w:t xml:space="preserve">In addition to the cost estimated by MSAC for </w:t>
      </w:r>
      <w:r w:rsidR="00B55986">
        <w:t>CM</w:t>
      </w:r>
      <w:r w:rsidRPr="00981041">
        <w:t xml:space="preserve">, </w:t>
      </w:r>
      <w:r w:rsidR="0040136F">
        <w:t>t</w:t>
      </w:r>
      <w:r>
        <w:t>he ADAR</w:t>
      </w:r>
      <w:r w:rsidRPr="00981041">
        <w:t xml:space="preserve"> </w:t>
      </w:r>
      <w:r w:rsidR="0040136F">
        <w:t xml:space="preserve">claimed that </w:t>
      </w:r>
      <w:r w:rsidRPr="00981041">
        <w:t xml:space="preserve">12 physiotherapy sessions and 6 corticosteroid injections per year </w:t>
      </w:r>
      <w:r w:rsidR="0040136F">
        <w:t xml:space="preserve">were added to </w:t>
      </w:r>
      <w:r w:rsidR="00B21088">
        <w:t>CM</w:t>
      </w:r>
      <w:r w:rsidR="00526E76" w:rsidRPr="00526E76">
        <w:t xml:space="preserve"> </w:t>
      </w:r>
      <w:r w:rsidR="00526E76">
        <w:t xml:space="preserve">in </w:t>
      </w:r>
      <w:r w:rsidR="0040136F">
        <w:t>both</w:t>
      </w:r>
      <w:r w:rsidR="00526E76">
        <w:t xml:space="preserve"> arms</w:t>
      </w:r>
      <w:r w:rsidR="0040136F">
        <w:t xml:space="preserve"> </w:t>
      </w:r>
      <w:r w:rsidRPr="00981041">
        <w:t>as reported by Cederqvist et al.</w:t>
      </w:r>
      <w:r w:rsidR="0040136F">
        <w:t>, 2021.</w:t>
      </w:r>
      <w:r w:rsidR="0040136F">
        <w:rPr>
          <w:rStyle w:val="FootnoteReference"/>
        </w:rPr>
        <w:footnoteReference w:id="25"/>
      </w:r>
      <w:r w:rsidR="0040136F">
        <w:t xml:space="preserve"> </w:t>
      </w:r>
      <w:bookmarkStart w:id="80" w:name="_Hlk163603266"/>
      <w:bookmarkStart w:id="81" w:name="_Hlk163604100"/>
      <w:r w:rsidR="0049423A">
        <w:t xml:space="preserve">Adding the similar number of physiotherapy sessions and corticosteroid injections for both arms overestimates the cost in the control arm given that a higher percentage of tear fails to heal in the control arm compared to the REGENETEN arm and the higher cost of physiotherapy sessions compared to corticosteroid injections. </w:t>
      </w:r>
    </w:p>
    <w:bookmarkEnd w:id="80"/>
    <w:bookmarkEnd w:id="81"/>
    <w:p w14:paraId="4275F92C" w14:textId="08EBEE2E" w:rsidR="00623E2D" w:rsidRPr="006F15B1" w:rsidRDefault="00623E2D" w:rsidP="006F15B1">
      <w:pPr>
        <w:pStyle w:val="Heading4"/>
      </w:pPr>
      <w:r w:rsidRPr="006F15B1">
        <w:t>Results of the economic evaluation</w:t>
      </w:r>
    </w:p>
    <w:p w14:paraId="61052E36" w14:textId="77777777" w:rsidR="00D20FBE" w:rsidRDefault="000E1D6D" w:rsidP="00DE3B0D">
      <w:pPr>
        <w:spacing w:after="0"/>
      </w:pPr>
      <w:r w:rsidRPr="00B821D3">
        <w:rPr>
          <w:b/>
          <w:bCs/>
        </w:rPr>
        <w:t>Base case</w:t>
      </w:r>
      <w:r w:rsidR="002B4F0C">
        <w:fldChar w:fldCharType="begin"/>
      </w:r>
      <w:r w:rsidR="002B4F0C">
        <w:instrText xml:space="preserve"> REF _Ref156990575 \h </w:instrText>
      </w:r>
      <w:r w:rsidR="00B21088">
        <w:instrText xml:space="preserve"> \* MERGEFORMAT </w:instrText>
      </w:r>
      <w:r w:rsidR="002B4F0C">
        <w:fldChar w:fldCharType="separate"/>
      </w:r>
    </w:p>
    <w:p w14:paraId="5A70B94B" w14:textId="532540B1" w:rsidR="00B21088" w:rsidRDefault="002B4F0C" w:rsidP="00902A04">
      <w:r>
        <w:fldChar w:fldCharType="end"/>
      </w:r>
      <w:r w:rsidR="00F255F5">
        <w:fldChar w:fldCharType="begin"/>
      </w:r>
      <w:r w:rsidR="00F255F5">
        <w:instrText xml:space="preserve"> REF _Ref170207051 \h </w:instrText>
      </w:r>
      <w:r w:rsidR="00F255F5">
        <w:fldChar w:fldCharType="separate"/>
      </w:r>
      <w:r w:rsidR="00F255F5" w:rsidRPr="00B1275F">
        <w:t xml:space="preserve">Table </w:t>
      </w:r>
      <w:r w:rsidR="00F255F5">
        <w:rPr>
          <w:noProof/>
        </w:rPr>
        <w:t>14</w:t>
      </w:r>
      <w:r w:rsidR="00F255F5">
        <w:fldChar w:fldCharType="end"/>
      </w:r>
      <w:r w:rsidR="00F255F5">
        <w:t xml:space="preserve"> </w:t>
      </w:r>
      <w:r w:rsidRPr="002F19DA">
        <w:t>summarise</w:t>
      </w:r>
      <w:r w:rsidR="00BF44C0">
        <w:t>d</w:t>
      </w:r>
      <w:r w:rsidRPr="002F19DA">
        <w:t xml:space="preserve"> the disaggregated and aggregated costs and outcomes over two years. </w:t>
      </w:r>
      <w:bookmarkStart w:id="82" w:name="_Ref156990575"/>
    </w:p>
    <w:p w14:paraId="1F03A4DF" w14:textId="572FA65C" w:rsidR="002B4F0C" w:rsidRPr="00B1275F" w:rsidRDefault="002B4F0C" w:rsidP="00902A04">
      <w:pPr>
        <w:pStyle w:val="Caption"/>
        <w:spacing w:before="0"/>
      </w:pPr>
      <w:bookmarkStart w:id="83" w:name="_Ref170207051"/>
      <w:r w:rsidRPr="00B1275F">
        <w:t xml:space="preserve">Table </w:t>
      </w:r>
      <w:r>
        <w:fldChar w:fldCharType="begin"/>
      </w:r>
      <w:r>
        <w:instrText xml:space="preserve"> SEQ Table \* ARABIC </w:instrText>
      </w:r>
      <w:r>
        <w:fldChar w:fldCharType="separate"/>
      </w:r>
      <w:r w:rsidR="00F77AA6">
        <w:rPr>
          <w:noProof/>
        </w:rPr>
        <w:t>14</w:t>
      </w:r>
      <w:r>
        <w:rPr>
          <w:noProof/>
        </w:rPr>
        <w:fldChar w:fldCharType="end"/>
      </w:r>
      <w:bookmarkEnd w:id="82"/>
      <w:bookmarkEnd w:id="83"/>
      <w:r w:rsidR="002D7FCB">
        <w:rPr>
          <w:noProof/>
        </w:rPr>
        <w:t>:</w:t>
      </w:r>
      <w:r w:rsidRPr="00B1275F">
        <w:t xml:space="preserve"> </w:t>
      </w:r>
      <w:r w:rsidRPr="00B55986">
        <w:t xml:space="preserve">Disaggregated and aggregated costs and benefits for </w:t>
      </w:r>
      <w:r w:rsidR="00895086" w:rsidRPr="00B55986">
        <w:t>Population 2</w:t>
      </w:r>
      <w:r w:rsidRPr="00B55986">
        <w:t xml:space="preserve"> (FTRCT): base-case results</w:t>
      </w:r>
      <w:r w:rsidRPr="00B1275F">
        <w:t xml:space="preserve"> </w:t>
      </w:r>
    </w:p>
    <w:tbl>
      <w:tblPr>
        <w:tblStyle w:val="TableGrid"/>
        <w:tblW w:w="5000" w:type="pct"/>
        <w:tblLayout w:type="fixed"/>
        <w:tblLook w:val="04A0" w:firstRow="1" w:lastRow="0" w:firstColumn="1" w:lastColumn="0" w:noHBand="0" w:noVBand="1"/>
      </w:tblPr>
      <w:tblGrid>
        <w:gridCol w:w="4673"/>
        <w:gridCol w:w="1275"/>
        <w:gridCol w:w="1735"/>
        <w:gridCol w:w="1333"/>
      </w:tblGrid>
      <w:tr w:rsidR="002B4F0C" w:rsidRPr="00B1275F" w14:paraId="6CBC970A" w14:textId="77777777" w:rsidTr="00B821D3">
        <w:trPr>
          <w:trHeight w:val="300"/>
          <w:tblHeader/>
        </w:trPr>
        <w:tc>
          <w:tcPr>
            <w:tcW w:w="2592" w:type="pct"/>
            <w:tcBorders>
              <w:bottom w:val="single" w:sz="4" w:space="0" w:color="auto"/>
            </w:tcBorders>
            <w:shd w:val="clear" w:color="auto" w:fill="auto"/>
            <w:noWrap/>
            <w:hideMark/>
          </w:tcPr>
          <w:p w14:paraId="69D8B69B" w14:textId="77777777" w:rsidR="002B4F0C" w:rsidRPr="00CD76DA" w:rsidRDefault="002B4F0C" w:rsidP="0078185D">
            <w:pPr>
              <w:pStyle w:val="TableText"/>
              <w:rPr>
                <w:b/>
                <w:bCs/>
              </w:rPr>
            </w:pPr>
            <w:r w:rsidRPr="00CD76DA">
              <w:rPr>
                <w:b/>
                <w:bCs/>
              </w:rPr>
              <w:t>Health State</w:t>
            </w:r>
          </w:p>
        </w:tc>
        <w:tc>
          <w:tcPr>
            <w:tcW w:w="707" w:type="pct"/>
            <w:tcBorders>
              <w:bottom w:val="single" w:sz="4" w:space="0" w:color="auto"/>
            </w:tcBorders>
            <w:shd w:val="clear" w:color="auto" w:fill="auto"/>
            <w:noWrap/>
            <w:hideMark/>
          </w:tcPr>
          <w:p w14:paraId="39E24FF8" w14:textId="77777777" w:rsidR="002B4F0C" w:rsidRPr="00CD76DA" w:rsidRDefault="002B4F0C" w:rsidP="00B821D3">
            <w:pPr>
              <w:pStyle w:val="TableText"/>
              <w:jc w:val="center"/>
              <w:rPr>
                <w:b/>
                <w:bCs/>
              </w:rPr>
            </w:pPr>
            <w:r w:rsidRPr="00CD76DA">
              <w:rPr>
                <w:b/>
                <w:bCs/>
              </w:rPr>
              <w:t>REGENETEN</w:t>
            </w:r>
          </w:p>
        </w:tc>
        <w:tc>
          <w:tcPr>
            <w:tcW w:w="962" w:type="pct"/>
            <w:tcBorders>
              <w:bottom w:val="single" w:sz="4" w:space="0" w:color="auto"/>
            </w:tcBorders>
            <w:shd w:val="clear" w:color="auto" w:fill="auto"/>
            <w:noWrap/>
            <w:hideMark/>
          </w:tcPr>
          <w:p w14:paraId="3A22BA01" w14:textId="77777777" w:rsidR="002B4F0C" w:rsidRPr="00CD76DA" w:rsidRDefault="002B4F0C" w:rsidP="00B821D3">
            <w:pPr>
              <w:pStyle w:val="TableText"/>
              <w:jc w:val="center"/>
              <w:rPr>
                <w:b/>
                <w:bCs/>
              </w:rPr>
            </w:pPr>
            <w:r w:rsidRPr="00CD76DA">
              <w:rPr>
                <w:b/>
                <w:bCs/>
              </w:rPr>
              <w:t>Standard surgery</w:t>
            </w:r>
          </w:p>
        </w:tc>
        <w:tc>
          <w:tcPr>
            <w:tcW w:w="739" w:type="pct"/>
            <w:tcBorders>
              <w:bottom w:val="single" w:sz="4" w:space="0" w:color="auto"/>
            </w:tcBorders>
            <w:shd w:val="clear" w:color="auto" w:fill="auto"/>
            <w:noWrap/>
            <w:hideMark/>
          </w:tcPr>
          <w:p w14:paraId="61469B31" w14:textId="77777777" w:rsidR="002B4F0C" w:rsidRPr="00CD76DA" w:rsidRDefault="002B4F0C" w:rsidP="00B821D3">
            <w:pPr>
              <w:pStyle w:val="TableText"/>
              <w:jc w:val="center"/>
              <w:rPr>
                <w:b/>
                <w:bCs/>
              </w:rPr>
            </w:pPr>
            <w:r w:rsidRPr="00CD76DA">
              <w:rPr>
                <w:b/>
                <w:bCs/>
              </w:rPr>
              <w:t>Incremental</w:t>
            </w:r>
          </w:p>
        </w:tc>
      </w:tr>
      <w:tr w:rsidR="002B4F0C" w:rsidRPr="00B1275F" w14:paraId="1C8BF210" w14:textId="77777777" w:rsidTr="00B821D3">
        <w:trPr>
          <w:trHeight w:val="300"/>
        </w:trPr>
        <w:tc>
          <w:tcPr>
            <w:tcW w:w="2592" w:type="pct"/>
            <w:tcBorders>
              <w:right w:val="nil"/>
            </w:tcBorders>
            <w:noWrap/>
          </w:tcPr>
          <w:p w14:paraId="19FB5E96" w14:textId="77777777" w:rsidR="002B4F0C" w:rsidRPr="00B821D3" w:rsidRDefault="002B4F0C" w:rsidP="0078185D">
            <w:pPr>
              <w:pStyle w:val="TableText"/>
              <w:rPr>
                <w:b/>
                <w:bCs/>
              </w:rPr>
            </w:pPr>
            <w:r w:rsidRPr="00B821D3">
              <w:rPr>
                <w:b/>
                <w:bCs/>
              </w:rPr>
              <w:t>Average cost per patient over 2 years</w:t>
            </w:r>
          </w:p>
        </w:tc>
        <w:tc>
          <w:tcPr>
            <w:tcW w:w="707" w:type="pct"/>
            <w:tcBorders>
              <w:left w:val="nil"/>
              <w:right w:val="nil"/>
            </w:tcBorders>
            <w:noWrap/>
          </w:tcPr>
          <w:p w14:paraId="5B684F05" w14:textId="77777777" w:rsidR="002B4F0C" w:rsidRPr="00B1275F" w:rsidRDefault="002B4F0C" w:rsidP="0078185D">
            <w:pPr>
              <w:pStyle w:val="TableText"/>
            </w:pPr>
          </w:p>
        </w:tc>
        <w:tc>
          <w:tcPr>
            <w:tcW w:w="962" w:type="pct"/>
            <w:tcBorders>
              <w:left w:val="nil"/>
              <w:right w:val="nil"/>
            </w:tcBorders>
            <w:noWrap/>
          </w:tcPr>
          <w:p w14:paraId="4BAC6B4D" w14:textId="77777777" w:rsidR="002B4F0C" w:rsidRPr="00B1275F" w:rsidRDefault="002B4F0C" w:rsidP="0078185D">
            <w:pPr>
              <w:pStyle w:val="TableText"/>
            </w:pPr>
          </w:p>
        </w:tc>
        <w:tc>
          <w:tcPr>
            <w:tcW w:w="739" w:type="pct"/>
            <w:tcBorders>
              <w:left w:val="nil"/>
            </w:tcBorders>
            <w:noWrap/>
          </w:tcPr>
          <w:p w14:paraId="309D45CF" w14:textId="77777777" w:rsidR="002B4F0C" w:rsidRPr="00B1275F" w:rsidRDefault="002B4F0C" w:rsidP="0078185D">
            <w:pPr>
              <w:pStyle w:val="TableText"/>
            </w:pPr>
          </w:p>
        </w:tc>
      </w:tr>
      <w:tr w:rsidR="002B4F0C" w:rsidRPr="00B1275F" w14:paraId="62C8749B" w14:textId="77777777" w:rsidTr="00B821D3">
        <w:trPr>
          <w:trHeight w:val="300"/>
        </w:trPr>
        <w:tc>
          <w:tcPr>
            <w:tcW w:w="2592" w:type="pct"/>
            <w:noWrap/>
          </w:tcPr>
          <w:p w14:paraId="3FD21DD0" w14:textId="77777777" w:rsidR="002B4F0C" w:rsidRPr="00B1275F" w:rsidRDefault="002B4F0C" w:rsidP="0078185D">
            <w:pPr>
              <w:pStyle w:val="TableText"/>
            </w:pPr>
            <w:r w:rsidRPr="00B1275F">
              <w:t>Intervention cost</w:t>
            </w:r>
          </w:p>
        </w:tc>
        <w:tc>
          <w:tcPr>
            <w:tcW w:w="707" w:type="pct"/>
            <w:noWrap/>
            <w:vAlign w:val="center"/>
          </w:tcPr>
          <w:p w14:paraId="7ACE91C5" w14:textId="5D81E0DE" w:rsidR="002B4F0C" w:rsidRPr="00B1275F" w:rsidRDefault="00CC3FF1" w:rsidP="00634E65">
            <w:pPr>
              <w:pStyle w:val="TableText"/>
              <w:jc w:val="center"/>
            </w:pPr>
            <w:r w:rsidRPr="00DC01E7">
              <w:rPr>
                <w:b/>
                <w:bCs/>
              </w:rPr>
              <w:t>redacted</w:t>
            </w:r>
          </w:p>
        </w:tc>
        <w:tc>
          <w:tcPr>
            <w:tcW w:w="962" w:type="pct"/>
            <w:noWrap/>
            <w:vAlign w:val="center"/>
          </w:tcPr>
          <w:p w14:paraId="61BB3145" w14:textId="77777777" w:rsidR="002B4F0C" w:rsidRPr="00B1275F" w:rsidRDefault="002B4F0C" w:rsidP="00634E65">
            <w:pPr>
              <w:pStyle w:val="TableText"/>
              <w:jc w:val="center"/>
            </w:pPr>
            <w:r w:rsidRPr="00B1275F">
              <w:t>-</w:t>
            </w:r>
          </w:p>
        </w:tc>
        <w:tc>
          <w:tcPr>
            <w:tcW w:w="739" w:type="pct"/>
            <w:noWrap/>
            <w:vAlign w:val="center"/>
          </w:tcPr>
          <w:p w14:paraId="655E03E6" w14:textId="5A9C9869" w:rsidR="002B4F0C" w:rsidRPr="00B1275F" w:rsidRDefault="00CC3FF1" w:rsidP="00634E65">
            <w:pPr>
              <w:pStyle w:val="TableText"/>
              <w:jc w:val="center"/>
            </w:pPr>
            <w:r w:rsidRPr="00DC01E7">
              <w:rPr>
                <w:b/>
                <w:bCs/>
              </w:rPr>
              <w:t>redacted</w:t>
            </w:r>
          </w:p>
        </w:tc>
      </w:tr>
      <w:tr w:rsidR="002B4F0C" w:rsidRPr="00B1275F" w14:paraId="30544021" w14:textId="77777777" w:rsidTr="00B821D3">
        <w:trPr>
          <w:trHeight w:val="300"/>
        </w:trPr>
        <w:tc>
          <w:tcPr>
            <w:tcW w:w="2592" w:type="pct"/>
            <w:noWrap/>
          </w:tcPr>
          <w:p w14:paraId="3F2E4749" w14:textId="77777777" w:rsidR="002B4F0C" w:rsidRPr="00B1275F" w:rsidRDefault="002B4F0C" w:rsidP="0078185D">
            <w:pPr>
              <w:pStyle w:val="TableText"/>
            </w:pPr>
            <w:r w:rsidRPr="00B1275F">
              <w:t>Tear heals</w:t>
            </w:r>
          </w:p>
        </w:tc>
        <w:tc>
          <w:tcPr>
            <w:tcW w:w="707" w:type="pct"/>
            <w:noWrap/>
            <w:vAlign w:val="center"/>
          </w:tcPr>
          <w:p w14:paraId="6D71815A" w14:textId="77777777" w:rsidR="002B4F0C" w:rsidRPr="00B1275F" w:rsidRDefault="002B4F0C" w:rsidP="00634E65">
            <w:pPr>
              <w:pStyle w:val="TableText"/>
              <w:jc w:val="center"/>
            </w:pPr>
            <w:r w:rsidRPr="00B1275F">
              <w:t>-</w:t>
            </w:r>
          </w:p>
        </w:tc>
        <w:tc>
          <w:tcPr>
            <w:tcW w:w="962" w:type="pct"/>
            <w:noWrap/>
            <w:vAlign w:val="center"/>
          </w:tcPr>
          <w:p w14:paraId="367C3EA0" w14:textId="77777777" w:rsidR="002B4F0C" w:rsidRPr="00B1275F" w:rsidRDefault="002B4F0C" w:rsidP="00634E65">
            <w:pPr>
              <w:pStyle w:val="TableText"/>
              <w:jc w:val="center"/>
            </w:pPr>
            <w:r w:rsidRPr="00B1275F">
              <w:t>-</w:t>
            </w:r>
          </w:p>
        </w:tc>
        <w:tc>
          <w:tcPr>
            <w:tcW w:w="739" w:type="pct"/>
            <w:noWrap/>
            <w:vAlign w:val="center"/>
          </w:tcPr>
          <w:p w14:paraId="577B4D60" w14:textId="77777777" w:rsidR="002B4F0C" w:rsidRPr="00B1275F" w:rsidRDefault="002B4F0C" w:rsidP="00634E65">
            <w:pPr>
              <w:pStyle w:val="TableText"/>
              <w:jc w:val="center"/>
            </w:pPr>
            <w:r w:rsidRPr="00B1275F">
              <w:t>-</w:t>
            </w:r>
          </w:p>
        </w:tc>
      </w:tr>
      <w:tr w:rsidR="006C79A1" w:rsidRPr="00B1275F" w14:paraId="3BAF474A" w14:textId="77777777" w:rsidTr="00240FC1">
        <w:trPr>
          <w:trHeight w:val="300"/>
        </w:trPr>
        <w:tc>
          <w:tcPr>
            <w:tcW w:w="2592" w:type="pct"/>
            <w:noWrap/>
          </w:tcPr>
          <w:p w14:paraId="2B2D0D2D" w14:textId="77777777" w:rsidR="006C79A1" w:rsidRPr="00B1275F" w:rsidRDefault="006C79A1" w:rsidP="006C79A1">
            <w:pPr>
              <w:pStyle w:val="TableText"/>
            </w:pPr>
            <w:r w:rsidRPr="00B1275F">
              <w:t>Tear fails to heal -&gt; Revision surgery -&gt; Tear heals</w:t>
            </w:r>
          </w:p>
        </w:tc>
        <w:tc>
          <w:tcPr>
            <w:tcW w:w="707" w:type="pct"/>
            <w:noWrap/>
          </w:tcPr>
          <w:p w14:paraId="7A5F535B" w14:textId="57B022EB" w:rsidR="006C79A1" w:rsidRPr="00B1275F" w:rsidDel="002B24F0" w:rsidRDefault="006C79A1" w:rsidP="006C79A1">
            <w:pPr>
              <w:pStyle w:val="TableText"/>
              <w:jc w:val="center"/>
            </w:pPr>
            <w:r w:rsidRPr="00B1275F">
              <w:t>$149</w:t>
            </w:r>
          </w:p>
        </w:tc>
        <w:tc>
          <w:tcPr>
            <w:tcW w:w="962" w:type="pct"/>
            <w:noWrap/>
          </w:tcPr>
          <w:p w14:paraId="360DCC5C" w14:textId="7C5D3B4E" w:rsidR="006C79A1" w:rsidRPr="00634E65" w:rsidDel="002B24F0" w:rsidRDefault="006C79A1" w:rsidP="006C79A1">
            <w:pPr>
              <w:pStyle w:val="TableText"/>
              <w:jc w:val="center"/>
              <w:rPr>
                <w:color w:val="000000"/>
              </w:rPr>
            </w:pPr>
            <w:r w:rsidRPr="00634E65">
              <w:rPr>
                <w:color w:val="000000"/>
              </w:rPr>
              <w:t>$465</w:t>
            </w:r>
          </w:p>
        </w:tc>
        <w:tc>
          <w:tcPr>
            <w:tcW w:w="739" w:type="pct"/>
            <w:noWrap/>
          </w:tcPr>
          <w:p w14:paraId="4A65BA77" w14:textId="6D27E47E" w:rsidR="006C79A1" w:rsidRPr="00B1275F" w:rsidDel="002B24F0" w:rsidRDefault="006C79A1" w:rsidP="006C79A1">
            <w:pPr>
              <w:pStyle w:val="TableText"/>
              <w:jc w:val="center"/>
            </w:pPr>
            <w:r w:rsidRPr="00B1275F">
              <w:t>-$315</w:t>
            </w:r>
          </w:p>
        </w:tc>
      </w:tr>
      <w:tr w:rsidR="006C79A1" w:rsidRPr="00B1275F" w14:paraId="17C81C0E" w14:textId="77777777" w:rsidTr="00240FC1">
        <w:trPr>
          <w:trHeight w:val="300"/>
        </w:trPr>
        <w:tc>
          <w:tcPr>
            <w:tcW w:w="2592" w:type="pct"/>
            <w:noWrap/>
          </w:tcPr>
          <w:p w14:paraId="4E4EB67A" w14:textId="77777777" w:rsidR="006C79A1" w:rsidRPr="00B1275F" w:rsidRDefault="006C79A1" w:rsidP="006C79A1">
            <w:pPr>
              <w:pStyle w:val="TableText"/>
            </w:pPr>
            <w:r w:rsidRPr="00B1275F">
              <w:t>Tear fails to heal -&gt; Revision surgery -&gt; Tear fails to heal</w:t>
            </w:r>
          </w:p>
        </w:tc>
        <w:tc>
          <w:tcPr>
            <w:tcW w:w="707" w:type="pct"/>
            <w:noWrap/>
          </w:tcPr>
          <w:p w14:paraId="3CBB42EF" w14:textId="6D2E9FC9" w:rsidR="006C79A1" w:rsidRPr="00B1275F" w:rsidDel="002B24F0" w:rsidRDefault="006C79A1" w:rsidP="006C79A1">
            <w:pPr>
              <w:pStyle w:val="TableText"/>
              <w:jc w:val="center"/>
            </w:pPr>
            <w:r w:rsidRPr="00B1275F">
              <w:t>$132</w:t>
            </w:r>
          </w:p>
        </w:tc>
        <w:tc>
          <w:tcPr>
            <w:tcW w:w="962" w:type="pct"/>
            <w:noWrap/>
          </w:tcPr>
          <w:p w14:paraId="770391C7" w14:textId="55583EBE" w:rsidR="006C79A1" w:rsidRPr="00634E65" w:rsidDel="002B24F0" w:rsidRDefault="006C79A1" w:rsidP="006C79A1">
            <w:pPr>
              <w:pStyle w:val="TableText"/>
              <w:jc w:val="center"/>
              <w:rPr>
                <w:color w:val="000000"/>
              </w:rPr>
            </w:pPr>
            <w:r w:rsidRPr="00634E65">
              <w:rPr>
                <w:color w:val="000000"/>
              </w:rPr>
              <w:t>$410</w:t>
            </w:r>
          </w:p>
        </w:tc>
        <w:tc>
          <w:tcPr>
            <w:tcW w:w="739" w:type="pct"/>
            <w:noWrap/>
          </w:tcPr>
          <w:p w14:paraId="5EFC8005" w14:textId="43255AC4" w:rsidR="006C79A1" w:rsidRPr="00B1275F" w:rsidDel="002B24F0" w:rsidRDefault="006C79A1" w:rsidP="006C79A1">
            <w:pPr>
              <w:pStyle w:val="TableText"/>
              <w:jc w:val="center"/>
            </w:pPr>
            <w:r w:rsidRPr="00B1275F">
              <w:t>-$278</w:t>
            </w:r>
          </w:p>
        </w:tc>
      </w:tr>
      <w:tr w:rsidR="006C79A1" w:rsidRPr="00B1275F" w14:paraId="67B4BC4D" w14:textId="77777777" w:rsidTr="00240FC1">
        <w:trPr>
          <w:trHeight w:val="300"/>
        </w:trPr>
        <w:tc>
          <w:tcPr>
            <w:tcW w:w="2592" w:type="pct"/>
            <w:noWrap/>
          </w:tcPr>
          <w:p w14:paraId="72E90F90" w14:textId="77777777" w:rsidR="006C79A1" w:rsidRPr="00B1275F" w:rsidRDefault="006C79A1" w:rsidP="006C79A1">
            <w:pPr>
              <w:pStyle w:val="TableText"/>
            </w:pPr>
            <w:r w:rsidRPr="00B1275F">
              <w:t>Tear fails to heal -&gt; Reverse total shoulder arthroplasty</w:t>
            </w:r>
          </w:p>
        </w:tc>
        <w:tc>
          <w:tcPr>
            <w:tcW w:w="707" w:type="pct"/>
            <w:noWrap/>
          </w:tcPr>
          <w:p w14:paraId="7206F647" w14:textId="443B6902" w:rsidR="006C79A1" w:rsidRPr="00B1275F" w:rsidDel="002B24F0" w:rsidRDefault="006C79A1" w:rsidP="006C79A1">
            <w:pPr>
              <w:pStyle w:val="TableText"/>
              <w:jc w:val="center"/>
            </w:pPr>
            <w:r w:rsidRPr="00B1275F">
              <w:t>$92</w:t>
            </w:r>
          </w:p>
        </w:tc>
        <w:tc>
          <w:tcPr>
            <w:tcW w:w="962" w:type="pct"/>
            <w:noWrap/>
          </w:tcPr>
          <w:p w14:paraId="10230273" w14:textId="3FF2D29B" w:rsidR="006C79A1" w:rsidRPr="00634E65" w:rsidDel="002B24F0" w:rsidRDefault="006C79A1" w:rsidP="006C79A1">
            <w:pPr>
              <w:pStyle w:val="TableText"/>
              <w:jc w:val="center"/>
              <w:rPr>
                <w:color w:val="000000"/>
              </w:rPr>
            </w:pPr>
            <w:r w:rsidRPr="00634E65">
              <w:rPr>
                <w:color w:val="000000"/>
              </w:rPr>
              <w:t>$286</w:t>
            </w:r>
          </w:p>
        </w:tc>
        <w:tc>
          <w:tcPr>
            <w:tcW w:w="739" w:type="pct"/>
            <w:noWrap/>
          </w:tcPr>
          <w:p w14:paraId="2A21A49C" w14:textId="0365CFCE" w:rsidR="006C79A1" w:rsidRPr="00B1275F" w:rsidDel="002B24F0" w:rsidRDefault="006C79A1" w:rsidP="006C79A1">
            <w:pPr>
              <w:pStyle w:val="TableText"/>
              <w:jc w:val="center"/>
            </w:pPr>
            <w:r w:rsidRPr="00B1275F">
              <w:t>-$194</w:t>
            </w:r>
          </w:p>
        </w:tc>
      </w:tr>
      <w:tr w:rsidR="006C79A1" w:rsidRPr="00B1275F" w14:paraId="0E5FD605" w14:textId="77777777" w:rsidTr="00240FC1">
        <w:trPr>
          <w:trHeight w:val="300"/>
        </w:trPr>
        <w:tc>
          <w:tcPr>
            <w:tcW w:w="2592" w:type="pct"/>
            <w:noWrap/>
          </w:tcPr>
          <w:p w14:paraId="1BA8C8B1" w14:textId="77777777" w:rsidR="006C79A1" w:rsidRPr="00B1275F" w:rsidRDefault="006C79A1" w:rsidP="006C79A1">
            <w:pPr>
              <w:pStyle w:val="TableText"/>
            </w:pPr>
            <w:r w:rsidRPr="00B1275F">
              <w:t>Tear fails to heal -&gt; Conservative Management</w:t>
            </w:r>
          </w:p>
        </w:tc>
        <w:tc>
          <w:tcPr>
            <w:tcW w:w="707" w:type="pct"/>
            <w:noWrap/>
          </w:tcPr>
          <w:p w14:paraId="3527E54D" w14:textId="23647B06" w:rsidR="006C79A1" w:rsidRPr="00B1275F" w:rsidDel="002B24F0" w:rsidRDefault="006C79A1" w:rsidP="006C79A1">
            <w:pPr>
              <w:pStyle w:val="TableText"/>
              <w:jc w:val="center"/>
            </w:pPr>
            <w:r w:rsidRPr="00B1275F">
              <w:t>$367</w:t>
            </w:r>
          </w:p>
        </w:tc>
        <w:tc>
          <w:tcPr>
            <w:tcW w:w="962" w:type="pct"/>
            <w:noWrap/>
          </w:tcPr>
          <w:p w14:paraId="56947AE3" w14:textId="6A180094" w:rsidR="006C79A1" w:rsidRPr="00634E65" w:rsidDel="002B24F0" w:rsidRDefault="006C79A1" w:rsidP="006C79A1">
            <w:pPr>
              <w:pStyle w:val="TableText"/>
              <w:jc w:val="center"/>
              <w:rPr>
                <w:color w:val="000000"/>
              </w:rPr>
            </w:pPr>
            <w:r w:rsidRPr="00634E65">
              <w:rPr>
                <w:color w:val="000000"/>
              </w:rPr>
              <w:t>$1,140</w:t>
            </w:r>
          </w:p>
        </w:tc>
        <w:tc>
          <w:tcPr>
            <w:tcW w:w="739" w:type="pct"/>
            <w:noWrap/>
          </w:tcPr>
          <w:p w14:paraId="193B2DFC" w14:textId="259D3C44" w:rsidR="006C79A1" w:rsidRPr="00B1275F" w:rsidDel="002B24F0" w:rsidRDefault="006C79A1" w:rsidP="006C79A1">
            <w:pPr>
              <w:pStyle w:val="TableText"/>
              <w:jc w:val="center"/>
            </w:pPr>
            <w:r w:rsidRPr="00B1275F">
              <w:t>-$773</w:t>
            </w:r>
          </w:p>
        </w:tc>
      </w:tr>
      <w:tr w:rsidR="00CC3FF1" w:rsidRPr="00B1275F" w14:paraId="12DCDB14" w14:textId="77777777" w:rsidTr="00240FC1">
        <w:trPr>
          <w:trHeight w:val="300"/>
        </w:trPr>
        <w:tc>
          <w:tcPr>
            <w:tcW w:w="2592" w:type="pct"/>
            <w:tcBorders>
              <w:bottom w:val="single" w:sz="4" w:space="0" w:color="auto"/>
            </w:tcBorders>
            <w:noWrap/>
          </w:tcPr>
          <w:p w14:paraId="0DA23D82" w14:textId="77777777" w:rsidR="00CC3FF1" w:rsidRPr="00B1275F" w:rsidRDefault="00CC3FF1" w:rsidP="00CC3FF1">
            <w:pPr>
              <w:pStyle w:val="TableText"/>
              <w:rPr>
                <w:bCs/>
              </w:rPr>
            </w:pPr>
            <w:r w:rsidRPr="00B1275F">
              <w:rPr>
                <w:bCs/>
              </w:rPr>
              <w:t>Total average cost per patient</w:t>
            </w:r>
          </w:p>
        </w:tc>
        <w:tc>
          <w:tcPr>
            <w:tcW w:w="707" w:type="pct"/>
            <w:tcBorders>
              <w:bottom w:val="single" w:sz="4" w:space="0" w:color="auto"/>
            </w:tcBorders>
            <w:noWrap/>
            <w:vAlign w:val="center"/>
          </w:tcPr>
          <w:p w14:paraId="241E66D7" w14:textId="448FE656" w:rsidR="00CC3FF1" w:rsidRPr="00B1275F" w:rsidRDefault="00CC3FF1" w:rsidP="00CC3FF1">
            <w:pPr>
              <w:pStyle w:val="TableText"/>
              <w:jc w:val="center"/>
              <w:rPr>
                <w:bCs/>
              </w:rPr>
            </w:pPr>
            <w:r w:rsidRPr="00DC01E7">
              <w:rPr>
                <w:b/>
                <w:bCs/>
              </w:rPr>
              <w:t>redacted</w:t>
            </w:r>
          </w:p>
        </w:tc>
        <w:tc>
          <w:tcPr>
            <w:tcW w:w="962" w:type="pct"/>
            <w:tcBorders>
              <w:bottom w:val="single" w:sz="4" w:space="0" w:color="auto"/>
            </w:tcBorders>
            <w:noWrap/>
          </w:tcPr>
          <w:p w14:paraId="3D5C0BF0" w14:textId="0EFD90FF" w:rsidR="00CC3FF1" w:rsidRPr="00B1275F" w:rsidRDefault="00CC3FF1" w:rsidP="00CC3FF1">
            <w:pPr>
              <w:pStyle w:val="TableText"/>
              <w:jc w:val="center"/>
              <w:rPr>
                <w:bCs/>
              </w:rPr>
            </w:pPr>
            <w:r w:rsidRPr="00B1275F">
              <w:rPr>
                <w:bCs/>
              </w:rPr>
              <w:t>$2,301</w:t>
            </w:r>
          </w:p>
        </w:tc>
        <w:tc>
          <w:tcPr>
            <w:tcW w:w="739" w:type="pct"/>
            <w:tcBorders>
              <w:bottom w:val="single" w:sz="4" w:space="0" w:color="auto"/>
            </w:tcBorders>
            <w:noWrap/>
          </w:tcPr>
          <w:p w14:paraId="0F42DB1F" w14:textId="5F844430" w:rsidR="00CC3FF1" w:rsidRPr="00B1275F" w:rsidRDefault="00CC3FF1" w:rsidP="00CC3FF1">
            <w:pPr>
              <w:pStyle w:val="TableText"/>
              <w:jc w:val="center"/>
            </w:pPr>
            <w:r w:rsidRPr="00626029">
              <w:rPr>
                <w:b/>
                <w:bCs/>
              </w:rPr>
              <w:t>redacted</w:t>
            </w:r>
            <w:r w:rsidRPr="00626029" w:rsidDel="006414CA">
              <w:t xml:space="preserve"> </w:t>
            </w:r>
          </w:p>
        </w:tc>
      </w:tr>
      <w:tr w:rsidR="002B4F0C" w:rsidRPr="00B1275F" w14:paraId="42011FF0" w14:textId="77777777" w:rsidTr="00B821D3">
        <w:trPr>
          <w:trHeight w:val="300"/>
        </w:trPr>
        <w:tc>
          <w:tcPr>
            <w:tcW w:w="2592" w:type="pct"/>
            <w:tcBorders>
              <w:right w:val="nil"/>
            </w:tcBorders>
            <w:noWrap/>
          </w:tcPr>
          <w:p w14:paraId="3DCD4530" w14:textId="77777777" w:rsidR="002B4F0C" w:rsidRPr="00B821D3" w:rsidRDefault="002B4F0C" w:rsidP="0078185D">
            <w:pPr>
              <w:pStyle w:val="TableText"/>
              <w:rPr>
                <w:b/>
                <w:bCs/>
              </w:rPr>
            </w:pPr>
            <w:r w:rsidRPr="00B821D3">
              <w:rPr>
                <w:b/>
                <w:bCs/>
              </w:rPr>
              <w:t>Average QALYs per patient over 2 years</w:t>
            </w:r>
          </w:p>
        </w:tc>
        <w:tc>
          <w:tcPr>
            <w:tcW w:w="707" w:type="pct"/>
            <w:tcBorders>
              <w:left w:val="nil"/>
              <w:right w:val="nil"/>
            </w:tcBorders>
            <w:noWrap/>
            <w:vAlign w:val="center"/>
          </w:tcPr>
          <w:p w14:paraId="06E421C0" w14:textId="77777777" w:rsidR="002B4F0C" w:rsidRPr="00B1275F" w:rsidRDefault="002B4F0C" w:rsidP="00634E65">
            <w:pPr>
              <w:pStyle w:val="TableText"/>
              <w:jc w:val="center"/>
            </w:pPr>
          </w:p>
        </w:tc>
        <w:tc>
          <w:tcPr>
            <w:tcW w:w="962" w:type="pct"/>
            <w:tcBorders>
              <w:left w:val="nil"/>
              <w:right w:val="nil"/>
            </w:tcBorders>
            <w:noWrap/>
            <w:vAlign w:val="center"/>
          </w:tcPr>
          <w:p w14:paraId="78EF7805" w14:textId="77777777" w:rsidR="002B4F0C" w:rsidRPr="00B1275F" w:rsidRDefault="002B4F0C" w:rsidP="00634E65">
            <w:pPr>
              <w:pStyle w:val="TableText"/>
              <w:jc w:val="center"/>
            </w:pPr>
          </w:p>
        </w:tc>
        <w:tc>
          <w:tcPr>
            <w:tcW w:w="739" w:type="pct"/>
            <w:tcBorders>
              <w:left w:val="nil"/>
            </w:tcBorders>
            <w:noWrap/>
            <w:vAlign w:val="center"/>
          </w:tcPr>
          <w:p w14:paraId="15DC5DA4" w14:textId="77777777" w:rsidR="002B4F0C" w:rsidRPr="00B1275F" w:rsidRDefault="002B4F0C" w:rsidP="00634E65">
            <w:pPr>
              <w:pStyle w:val="TableText"/>
              <w:jc w:val="center"/>
            </w:pPr>
          </w:p>
        </w:tc>
      </w:tr>
      <w:tr w:rsidR="002B4F0C" w:rsidRPr="00B1275F" w14:paraId="2C558222" w14:textId="77777777" w:rsidTr="00B821D3">
        <w:trPr>
          <w:trHeight w:val="300"/>
        </w:trPr>
        <w:tc>
          <w:tcPr>
            <w:tcW w:w="2592" w:type="pct"/>
          </w:tcPr>
          <w:p w14:paraId="40331F57" w14:textId="77777777" w:rsidR="002B4F0C" w:rsidRPr="00B1275F" w:rsidRDefault="002B4F0C" w:rsidP="0078185D">
            <w:pPr>
              <w:pStyle w:val="TableText"/>
            </w:pPr>
            <w:r w:rsidRPr="00B1275F">
              <w:t>Tear heals</w:t>
            </w:r>
          </w:p>
        </w:tc>
        <w:tc>
          <w:tcPr>
            <w:tcW w:w="707" w:type="pct"/>
            <w:vAlign w:val="center"/>
          </w:tcPr>
          <w:p w14:paraId="04462EB1" w14:textId="77777777" w:rsidR="002B4F0C" w:rsidRPr="00B1275F" w:rsidRDefault="002B4F0C" w:rsidP="00634E65">
            <w:pPr>
              <w:pStyle w:val="TableText"/>
              <w:jc w:val="center"/>
            </w:pPr>
            <w:r w:rsidRPr="00B1275F">
              <w:rPr>
                <w:color w:val="000000"/>
              </w:rPr>
              <w:t>1.645</w:t>
            </w:r>
          </w:p>
        </w:tc>
        <w:tc>
          <w:tcPr>
            <w:tcW w:w="962" w:type="pct"/>
            <w:vAlign w:val="center"/>
          </w:tcPr>
          <w:p w14:paraId="1379E6DD" w14:textId="77777777" w:rsidR="002B4F0C" w:rsidRPr="00B1275F" w:rsidRDefault="002B4F0C" w:rsidP="00634E65">
            <w:pPr>
              <w:pStyle w:val="TableText"/>
              <w:jc w:val="center"/>
            </w:pPr>
            <w:r w:rsidRPr="00B1275F">
              <w:rPr>
                <w:color w:val="000000"/>
              </w:rPr>
              <w:t>1.331</w:t>
            </w:r>
          </w:p>
        </w:tc>
        <w:tc>
          <w:tcPr>
            <w:tcW w:w="739" w:type="pct"/>
            <w:vAlign w:val="center"/>
          </w:tcPr>
          <w:p w14:paraId="469A665B" w14:textId="77777777" w:rsidR="002B4F0C" w:rsidRPr="00B1275F" w:rsidRDefault="002B4F0C" w:rsidP="00634E65">
            <w:pPr>
              <w:pStyle w:val="TableText"/>
              <w:jc w:val="center"/>
            </w:pPr>
            <w:r w:rsidRPr="00B1275F">
              <w:rPr>
                <w:color w:val="000000"/>
              </w:rPr>
              <w:t>0.314</w:t>
            </w:r>
          </w:p>
        </w:tc>
      </w:tr>
      <w:tr w:rsidR="002B4F0C" w:rsidRPr="00B1275F" w14:paraId="7225DFE1" w14:textId="77777777" w:rsidTr="00B821D3">
        <w:trPr>
          <w:trHeight w:val="300"/>
        </w:trPr>
        <w:tc>
          <w:tcPr>
            <w:tcW w:w="2592" w:type="pct"/>
            <w:noWrap/>
          </w:tcPr>
          <w:p w14:paraId="676E1A5B" w14:textId="77777777" w:rsidR="002B4F0C" w:rsidRPr="00B1275F" w:rsidRDefault="002B4F0C" w:rsidP="0078185D">
            <w:pPr>
              <w:pStyle w:val="TableText"/>
            </w:pPr>
            <w:r w:rsidRPr="00B1275F">
              <w:t>Tear fails to heal -&gt; Revision surgery -&gt; Tear heals</w:t>
            </w:r>
          </w:p>
        </w:tc>
        <w:tc>
          <w:tcPr>
            <w:tcW w:w="707" w:type="pct"/>
            <w:noWrap/>
            <w:vAlign w:val="center"/>
          </w:tcPr>
          <w:p w14:paraId="05F60442" w14:textId="77777777" w:rsidR="002B4F0C" w:rsidRPr="00B1275F" w:rsidRDefault="002B4F0C" w:rsidP="00634E65">
            <w:pPr>
              <w:pStyle w:val="TableText"/>
              <w:jc w:val="center"/>
            </w:pPr>
            <w:r w:rsidRPr="00B1275F">
              <w:rPr>
                <w:color w:val="000000"/>
              </w:rPr>
              <w:t>0.018</w:t>
            </w:r>
          </w:p>
        </w:tc>
        <w:tc>
          <w:tcPr>
            <w:tcW w:w="962" w:type="pct"/>
            <w:noWrap/>
            <w:vAlign w:val="center"/>
          </w:tcPr>
          <w:p w14:paraId="4A0DFA5E" w14:textId="77777777" w:rsidR="002B4F0C" w:rsidRPr="00B1275F" w:rsidRDefault="002B4F0C" w:rsidP="00634E65">
            <w:pPr>
              <w:pStyle w:val="TableText"/>
              <w:jc w:val="center"/>
            </w:pPr>
            <w:r w:rsidRPr="00B1275F">
              <w:rPr>
                <w:color w:val="000000"/>
              </w:rPr>
              <w:t>0.056</w:t>
            </w:r>
          </w:p>
        </w:tc>
        <w:tc>
          <w:tcPr>
            <w:tcW w:w="739" w:type="pct"/>
            <w:noWrap/>
            <w:vAlign w:val="center"/>
          </w:tcPr>
          <w:p w14:paraId="154AD04D" w14:textId="77777777" w:rsidR="002B4F0C" w:rsidRPr="00B1275F" w:rsidRDefault="002B4F0C" w:rsidP="00634E65">
            <w:pPr>
              <w:pStyle w:val="TableText"/>
              <w:jc w:val="center"/>
            </w:pPr>
            <w:r w:rsidRPr="00B1275F">
              <w:rPr>
                <w:color w:val="000000"/>
              </w:rPr>
              <w:t>-0.038</w:t>
            </w:r>
          </w:p>
        </w:tc>
      </w:tr>
      <w:tr w:rsidR="002B4F0C" w:rsidRPr="00B1275F" w14:paraId="36A9E788" w14:textId="77777777" w:rsidTr="00B821D3">
        <w:trPr>
          <w:trHeight w:val="300"/>
        </w:trPr>
        <w:tc>
          <w:tcPr>
            <w:tcW w:w="2592" w:type="pct"/>
            <w:noWrap/>
          </w:tcPr>
          <w:p w14:paraId="320AA6A3" w14:textId="77777777" w:rsidR="002B4F0C" w:rsidRPr="00B1275F" w:rsidRDefault="002B4F0C" w:rsidP="0078185D">
            <w:pPr>
              <w:pStyle w:val="TableText"/>
            </w:pPr>
            <w:r w:rsidRPr="00B1275F">
              <w:t>Tear fails to heal -&gt; Revision surgery -&gt; Tear fails to heal</w:t>
            </w:r>
          </w:p>
        </w:tc>
        <w:tc>
          <w:tcPr>
            <w:tcW w:w="707" w:type="pct"/>
            <w:noWrap/>
            <w:vAlign w:val="center"/>
          </w:tcPr>
          <w:p w14:paraId="5DA78445" w14:textId="77777777" w:rsidR="002B4F0C" w:rsidRPr="00B1275F" w:rsidRDefault="002B4F0C" w:rsidP="00634E65">
            <w:pPr>
              <w:pStyle w:val="TableText"/>
              <w:jc w:val="center"/>
            </w:pPr>
            <w:r w:rsidRPr="00B1275F">
              <w:rPr>
                <w:color w:val="000000"/>
              </w:rPr>
              <w:t>0.012</w:t>
            </w:r>
          </w:p>
        </w:tc>
        <w:tc>
          <w:tcPr>
            <w:tcW w:w="962" w:type="pct"/>
            <w:noWrap/>
            <w:vAlign w:val="center"/>
          </w:tcPr>
          <w:p w14:paraId="7E8A28B9" w14:textId="77777777" w:rsidR="002B4F0C" w:rsidRPr="00B1275F" w:rsidRDefault="002B4F0C" w:rsidP="00634E65">
            <w:pPr>
              <w:pStyle w:val="TableText"/>
              <w:jc w:val="center"/>
            </w:pPr>
            <w:r w:rsidRPr="00B1275F">
              <w:rPr>
                <w:color w:val="000000"/>
              </w:rPr>
              <w:t>0.036</w:t>
            </w:r>
          </w:p>
        </w:tc>
        <w:tc>
          <w:tcPr>
            <w:tcW w:w="739" w:type="pct"/>
            <w:noWrap/>
            <w:vAlign w:val="center"/>
          </w:tcPr>
          <w:p w14:paraId="1549435C" w14:textId="77777777" w:rsidR="002B4F0C" w:rsidRPr="00B1275F" w:rsidRDefault="002B4F0C" w:rsidP="00634E65">
            <w:pPr>
              <w:pStyle w:val="TableText"/>
              <w:jc w:val="center"/>
            </w:pPr>
            <w:r w:rsidRPr="00B1275F">
              <w:rPr>
                <w:color w:val="000000"/>
              </w:rPr>
              <w:t>-0.024</w:t>
            </w:r>
          </w:p>
        </w:tc>
      </w:tr>
      <w:tr w:rsidR="002B4F0C" w:rsidRPr="00B1275F" w14:paraId="352E826C" w14:textId="77777777" w:rsidTr="00B821D3">
        <w:trPr>
          <w:trHeight w:val="300"/>
        </w:trPr>
        <w:tc>
          <w:tcPr>
            <w:tcW w:w="2592" w:type="pct"/>
            <w:noWrap/>
          </w:tcPr>
          <w:p w14:paraId="2F240E58" w14:textId="77777777" w:rsidR="002B4F0C" w:rsidRPr="00B1275F" w:rsidRDefault="002B4F0C" w:rsidP="0078185D">
            <w:pPr>
              <w:pStyle w:val="TableText"/>
            </w:pPr>
            <w:r w:rsidRPr="00B1275F">
              <w:t>Tear fails to heal -&gt; Reverse total shoulder arthroplasty</w:t>
            </w:r>
          </w:p>
        </w:tc>
        <w:tc>
          <w:tcPr>
            <w:tcW w:w="707" w:type="pct"/>
            <w:noWrap/>
            <w:vAlign w:val="center"/>
          </w:tcPr>
          <w:p w14:paraId="154719D1" w14:textId="77777777" w:rsidR="002B4F0C" w:rsidRPr="00B1275F" w:rsidRDefault="002B4F0C" w:rsidP="00634E65">
            <w:pPr>
              <w:pStyle w:val="TableText"/>
              <w:jc w:val="center"/>
            </w:pPr>
            <w:r w:rsidRPr="00B1275F">
              <w:rPr>
                <w:color w:val="000000"/>
              </w:rPr>
              <w:t>0.005</w:t>
            </w:r>
          </w:p>
        </w:tc>
        <w:tc>
          <w:tcPr>
            <w:tcW w:w="962" w:type="pct"/>
            <w:noWrap/>
            <w:vAlign w:val="center"/>
          </w:tcPr>
          <w:p w14:paraId="63B62437" w14:textId="77777777" w:rsidR="002B4F0C" w:rsidRPr="00B1275F" w:rsidRDefault="002B4F0C" w:rsidP="00634E65">
            <w:pPr>
              <w:pStyle w:val="TableText"/>
              <w:jc w:val="center"/>
            </w:pPr>
            <w:r w:rsidRPr="00B1275F">
              <w:rPr>
                <w:color w:val="000000"/>
              </w:rPr>
              <w:t>0.014</w:t>
            </w:r>
          </w:p>
        </w:tc>
        <w:tc>
          <w:tcPr>
            <w:tcW w:w="739" w:type="pct"/>
            <w:noWrap/>
            <w:vAlign w:val="center"/>
          </w:tcPr>
          <w:p w14:paraId="5D984226" w14:textId="77777777" w:rsidR="002B4F0C" w:rsidRPr="00B1275F" w:rsidRDefault="002B4F0C" w:rsidP="00634E65">
            <w:pPr>
              <w:pStyle w:val="TableText"/>
              <w:jc w:val="center"/>
            </w:pPr>
            <w:r w:rsidRPr="00B1275F">
              <w:rPr>
                <w:color w:val="000000"/>
              </w:rPr>
              <w:t>-0.010</w:t>
            </w:r>
          </w:p>
        </w:tc>
      </w:tr>
      <w:tr w:rsidR="002B4F0C" w:rsidRPr="00B1275F" w14:paraId="558B9DC8" w14:textId="77777777" w:rsidTr="00B821D3">
        <w:trPr>
          <w:trHeight w:val="163"/>
        </w:trPr>
        <w:tc>
          <w:tcPr>
            <w:tcW w:w="2592" w:type="pct"/>
            <w:noWrap/>
          </w:tcPr>
          <w:p w14:paraId="544E422C" w14:textId="77777777" w:rsidR="002B4F0C" w:rsidRPr="00B1275F" w:rsidRDefault="002B4F0C" w:rsidP="0078185D">
            <w:pPr>
              <w:pStyle w:val="TableText"/>
            </w:pPr>
            <w:r w:rsidRPr="00B1275F">
              <w:t>Tear fails to heal -&gt; Conservative Management</w:t>
            </w:r>
          </w:p>
        </w:tc>
        <w:tc>
          <w:tcPr>
            <w:tcW w:w="707" w:type="pct"/>
            <w:noWrap/>
            <w:vAlign w:val="center"/>
          </w:tcPr>
          <w:p w14:paraId="594D8320" w14:textId="77777777" w:rsidR="002B4F0C" w:rsidRPr="00B1275F" w:rsidRDefault="002B4F0C" w:rsidP="00634E65">
            <w:pPr>
              <w:pStyle w:val="TableText"/>
              <w:jc w:val="center"/>
            </w:pPr>
            <w:r w:rsidRPr="00B1275F">
              <w:rPr>
                <w:color w:val="000000"/>
              </w:rPr>
              <w:t>0.081</w:t>
            </w:r>
          </w:p>
        </w:tc>
        <w:tc>
          <w:tcPr>
            <w:tcW w:w="962" w:type="pct"/>
            <w:noWrap/>
            <w:vAlign w:val="center"/>
          </w:tcPr>
          <w:p w14:paraId="0DAC471B" w14:textId="77777777" w:rsidR="002B4F0C" w:rsidRPr="00B1275F" w:rsidRDefault="002B4F0C" w:rsidP="00634E65">
            <w:pPr>
              <w:pStyle w:val="TableText"/>
              <w:jc w:val="center"/>
            </w:pPr>
            <w:r w:rsidRPr="00B1275F">
              <w:rPr>
                <w:color w:val="000000"/>
              </w:rPr>
              <w:t>0.253</w:t>
            </w:r>
          </w:p>
        </w:tc>
        <w:tc>
          <w:tcPr>
            <w:tcW w:w="739" w:type="pct"/>
            <w:noWrap/>
            <w:vAlign w:val="center"/>
          </w:tcPr>
          <w:p w14:paraId="2530A08A" w14:textId="77777777" w:rsidR="002B4F0C" w:rsidRPr="00B1275F" w:rsidRDefault="002B4F0C" w:rsidP="00634E65">
            <w:pPr>
              <w:pStyle w:val="TableText"/>
              <w:jc w:val="center"/>
            </w:pPr>
            <w:r w:rsidRPr="00B1275F">
              <w:rPr>
                <w:color w:val="000000"/>
              </w:rPr>
              <w:t>-0.172</w:t>
            </w:r>
          </w:p>
        </w:tc>
      </w:tr>
      <w:tr w:rsidR="002B4F0C" w:rsidRPr="00B1275F" w14:paraId="0CEBC754" w14:textId="77777777" w:rsidTr="00B821D3">
        <w:trPr>
          <w:trHeight w:val="300"/>
        </w:trPr>
        <w:tc>
          <w:tcPr>
            <w:tcW w:w="2592" w:type="pct"/>
            <w:tcBorders>
              <w:bottom w:val="single" w:sz="4" w:space="0" w:color="auto"/>
            </w:tcBorders>
            <w:noWrap/>
          </w:tcPr>
          <w:p w14:paraId="6830DEB7" w14:textId="77777777" w:rsidR="002B4F0C" w:rsidRPr="00B1275F" w:rsidRDefault="002B4F0C" w:rsidP="0078185D">
            <w:pPr>
              <w:pStyle w:val="TableText"/>
              <w:rPr>
                <w:bCs/>
              </w:rPr>
            </w:pPr>
            <w:r w:rsidRPr="00B1275F">
              <w:rPr>
                <w:bCs/>
              </w:rPr>
              <w:t>Total average QALYs per patient</w:t>
            </w:r>
          </w:p>
        </w:tc>
        <w:tc>
          <w:tcPr>
            <w:tcW w:w="707" w:type="pct"/>
            <w:tcBorders>
              <w:bottom w:val="single" w:sz="4" w:space="0" w:color="auto"/>
            </w:tcBorders>
            <w:noWrap/>
            <w:vAlign w:val="center"/>
          </w:tcPr>
          <w:p w14:paraId="35DD0340" w14:textId="77777777" w:rsidR="002B4F0C" w:rsidRPr="00B1275F" w:rsidRDefault="002B4F0C" w:rsidP="00634E65">
            <w:pPr>
              <w:pStyle w:val="TableText"/>
              <w:jc w:val="center"/>
              <w:rPr>
                <w:bCs/>
              </w:rPr>
            </w:pPr>
            <w:r w:rsidRPr="00B1275F">
              <w:rPr>
                <w:bCs/>
                <w:color w:val="000000"/>
              </w:rPr>
              <w:t>1.760</w:t>
            </w:r>
          </w:p>
        </w:tc>
        <w:tc>
          <w:tcPr>
            <w:tcW w:w="962" w:type="pct"/>
            <w:tcBorders>
              <w:bottom w:val="single" w:sz="4" w:space="0" w:color="auto"/>
            </w:tcBorders>
            <w:noWrap/>
            <w:vAlign w:val="center"/>
          </w:tcPr>
          <w:p w14:paraId="7AD26FE2" w14:textId="77777777" w:rsidR="002B4F0C" w:rsidRPr="00B1275F" w:rsidRDefault="002B4F0C" w:rsidP="00634E65">
            <w:pPr>
              <w:pStyle w:val="TableText"/>
              <w:jc w:val="center"/>
              <w:rPr>
                <w:bCs/>
              </w:rPr>
            </w:pPr>
            <w:r w:rsidRPr="00B1275F">
              <w:rPr>
                <w:bCs/>
                <w:color w:val="000000"/>
              </w:rPr>
              <w:t>1.690</w:t>
            </w:r>
          </w:p>
        </w:tc>
        <w:tc>
          <w:tcPr>
            <w:tcW w:w="739" w:type="pct"/>
            <w:tcBorders>
              <w:bottom w:val="single" w:sz="4" w:space="0" w:color="auto"/>
            </w:tcBorders>
            <w:noWrap/>
            <w:vAlign w:val="center"/>
          </w:tcPr>
          <w:p w14:paraId="761B35CC" w14:textId="77777777" w:rsidR="002B4F0C" w:rsidRPr="00B1275F" w:rsidRDefault="002B4F0C" w:rsidP="00634E65">
            <w:pPr>
              <w:pStyle w:val="TableText"/>
              <w:jc w:val="center"/>
              <w:rPr>
                <w:bCs/>
              </w:rPr>
            </w:pPr>
            <w:r w:rsidRPr="00B1275F">
              <w:rPr>
                <w:bCs/>
                <w:color w:val="000000"/>
              </w:rPr>
              <w:t>0.070</w:t>
            </w:r>
          </w:p>
        </w:tc>
      </w:tr>
      <w:tr w:rsidR="002B4F0C" w:rsidRPr="00B1275F" w14:paraId="39F45C68" w14:textId="77777777" w:rsidTr="00B821D3">
        <w:trPr>
          <w:trHeight w:val="300"/>
        </w:trPr>
        <w:tc>
          <w:tcPr>
            <w:tcW w:w="2592" w:type="pct"/>
            <w:tcBorders>
              <w:right w:val="nil"/>
            </w:tcBorders>
            <w:noWrap/>
          </w:tcPr>
          <w:p w14:paraId="4C4A8A80" w14:textId="77777777" w:rsidR="002B4F0C" w:rsidRPr="00B821D3" w:rsidRDefault="002B4F0C" w:rsidP="0078185D">
            <w:pPr>
              <w:pStyle w:val="TableText"/>
              <w:rPr>
                <w:b/>
                <w:bCs/>
              </w:rPr>
            </w:pPr>
            <w:r w:rsidRPr="00B821D3">
              <w:rPr>
                <w:b/>
                <w:bCs/>
              </w:rPr>
              <w:t>Patient distribution per health state</w:t>
            </w:r>
          </w:p>
        </w:tc>
        <w:tc>
          <w:tcPr>
            <w:tcW w:w="707" w:type="pct"/>
            <w:tcBorders>
              <w:left w:val="nil"/>
              <w:right w:val="nil"/>
            </w:tcBorders>
            <w:noWrap/>
            <w:vAlign w:val="center"/>
          </w:tcPr>
          <w:p w14:paraId="62B0380D" w14:textId="77777777" w:rsidR="002B4F0C" w:rsidRPr="00B1275F" w:rsidRDefault="002B4F0C" w:rsidP="00634E65">
            <w:pPr>
              <w:pStyle w:val="TableText"/>
              <w:jc w:val="center"/>
              <w:rPr>
                <w:bCs/>
              </w:rPr>
            </w:pPr>
          </w:p>
        </w:tc>
        <w:tc>
          <w:tcPr>
            <w:tcW w:w="962" w:type="pct"/>
            <w:tcBorders>
              <w:left w:val="nil"/>
              <w:right w:val="nil"/>
            </w:tcBorders>
            <w:noWrap/>
            <w:vAlign w:val="center"/>
          </w:tcPr>
          <w:p w14:paraId="1D63259D" w14:textId="77777777" w:rsidR="002B4F0C" w:rsidRPr="00B1275F" w:rsidRDefault="002B4F0C" w:rsidP="00634E65">
            <w:pPr>
              <w:pStyle w:val="TableText"/>
              <w:jc w:val="center"/>
              <w:rPr>
                <w:bCs/>
              </w:rPr>
            </w:pPr>
          </w:p>
        </w:tc>
        <w:tc>
          <w:tcPr>
            <w:tcW w:w="739" w:type="pct"/>
            <w:tcBorders>
              <w:left w:val="nil"/>
            </w:tcBorders>
            <w:noWrap/>
            <w:vAlign w:val="center"/>
          </w:tcPr>
          <w:p w14:paraId="7FA6B82C" w14:textId="77777777" w:rsidR="002B4F0C" w:rsidRPr="00B1275F" w:rsidRDefault="002B4F0C" w:rsidP="00634E65">
            <w:pPr>
              <w:pStyle w:val="TableText"/>
              <w:jc w:val="center"/>
              <w:rPr>
                <w:bCs/>
              </w:rPr>
            </w:pPr>
          </w:p>
        </w:tc>
      </w:tr>
      <w:tr w:rsidR="002B4F0C" w:rsidRPr="00B1275F" w14:paraId="3163BD4B" w14:textId="77777777" w:rsidTr="00B821D3">
        <w:trPr>
          <w:trHeight w:val="300"/>
        </w:trPr>
        <w:tc>
          <w:tcPr>
            <w:tcW w:w="2592" w:type="pct"/>
            <w:noWrap/>
          </w:tcPr>
          <w:p w14:paraId="6E89D553" w14:textId="77777777" w:rsidR="002B4F0C" w:rsidRPr="00B1275F" w:rsidRDefault="002B4F0C" w:rsidP="0078185D">
            <w:pPr>
              <w:pStyle w:val="TableText"/>
            </w:pPr>
            <w:r w:rsidRPr="00B1275F">
              <w:t>Tear heals</w:t>
            </w:r>
          </w:p>
        </w:tc>
        <w:tc>
          <w:tcPr>
            <w:tcW w:w="707" w:type="pct"/>
            <w:noWrap/>
            <w:vAlign w:val="center"/>
          </w:tcPr>
          <w:p w14:paraId="38C9BF4C" w14:textId="77777777" w:rsidR="002B4F0C" w:rsidRPr="00B1275F" w:rsidRDefault="002B4F0C" w:rsidP="00634E65">
            <w:pPr>
              <w:pStyle w:val="TableText"/>
              <w:jc w:val="center"/>
            </w:pPr>
            <w:r w:rsidRPr="00B1275F">
              <w:rPr>
                <w:color w:val="000000"/>
              </w:rPr>
              <w:t>91.7%</w:t>
            </w:r>
          </w:p>
        </w:tc>
        <w:tc>
          <w:tcPr>
            <w:tcW w:w="962" w:type="pct"/>
            <w:noWrap/>
            <w:vAlign w:val="center"/>
          </w:tcPr>
          <w:p w14:paraId="2EBCA10D" w14:textId="77777777" w:rsidR="002B4F0C" w:rsidRPr="00B1275F" w:rsidRDefault="002B4F0C" w:rsidP="00634E65">
            <w:pPr>
              <w:pStyle w:val="TableText"/>
              <w:jc w:val="center"/>
            </w:pPr>
            <w:r w:rsidRPr="00B1275F">
              <w:rPr>
                <w:color w:val="000000"/>
              </w:rPr>
              <w:t>74.2%</w:t>
            </w:r>
          </w:p>
        </w:tc>
        <w:tc>
          <w:tcPr>
            <w:tcW w:w="739" w:type="pct"/>
            <w:noWrap/>
            <w:vAlign w:val="center"/>
          </w:tcPr>
          <w:p w14:paraId="157B2C6B" w14:textId="77777777" w:rsidR="002B4F0C" w:rsidRPr="00B1275F" w:rsidRDefault="002B4F0C" w:rsidP="00634E65">
            <w:pPr>
              <w:pStyle w:val="TableText"/>
              <w:jc w:val="center"/>
            </w:pPr>
            <w:r w:rsidRPr="00B1275F">
              <w:rPr>
                <w:color w:val="000000"/>
              </w:rPr>
              <w:t>17.5%</w:t>
            </w:r>
          </w:p>
        </w:tc>
      </w:tr>
      <w:tr w:rsidR="002B4F0C" w:rsidRPr="00B1275F" w14:paraId="61EFFAF7" w14:textId="77777777" w:rsidTr="00B821D3">
        <w:trPr>
          <w:trHeight w:val="300"/>
        </w:trPr>
        <w:tc>
          <w:tcPr>
            <w:tcW w:w="2592" w:type="pct"/>
            <w:noWrap/>
          </w:tcPr>
          <w:p w14:paraId="5A61B778" w14:textId="77777777" w:rsidR="002B4F0C" w:rsidRPr="00B1275F" w:rsidRDefault="002B4F0C" w:rsidP="0078185D">
            <w:pPr>
              <w:pStyle w:val="TableText"/>
            </w:pPr>
            <w:r w:rsidRPr="00B1275F">
              <w:t>Tear fails to heal -&gt; Revision surgery -&gt; Tear heals</w:t>
            </w:r>
          </w:p>
        </w:tc>
        <w:tc>
          <w:tcPr>
            <w:tcW w:w="707" w:type="pct"/>
            <w:noWrap/>
            <w:vAlign w:val="center"/>
          </w:tcPr>
          <w:p w14:paraId="71C84C89" w14:textId="77777777" w:rsidR="002B4F0C" w:rsidRPr="00B1275F" w:rsidRDefault="002B4F0C" w:rsidP="00634E65">
            <w:pPr>
              <w:pStyle w:val="TableText"/>
              <w:jc w:val="center"/>
            </w:pPr>
            <w:r w:rsidRPr="00B1275F">
              <w:rPr>
                <w:color w:val="000000"/>
              </w:rPr>
              <w:t>1.3%</w:t>
            </w:r>
          </w:p>
        </w:tc>
        <w:tc>
          <w:tcPr>
            <w:tcW w:w="962" w:type="pct"/>
            <w:noWrap/>
            <w:vAlign w:val="center"/>
          </w:tcPr>
          <w:p w14:paraId="2C2D0AB9" w14:textId="77777777" w:rsidR="002B4F0C" w:rsidRPr="00B1275F" w:rsidRDefault="002B4F0C" w:rsidP="00634E65">
            <w:pPr>
              <w:pStyle w:val="TableText"/>
              <w:jc w:val="center"/>
            </w:pPr>
            <w:r w:rsidRPr="00B1275F">
              <w:rPr>
                <w:color w:val="000000"/>
              </w:rPr>
              <w:t>3.9%</w:t>
            </w:r>
          </w:p>
        </w:tc>
        <w:tc>
          <w:tcPr>
            <w:tcW w:w="739" w:type="pct"/>
            <w:noWrap/>
            <w:vAlign w:val="center"/>
          </w:tcPr>
          <w:p w14:paraId="570124DC" w14:textId="77777777" w:rsidR="002B4F0C" w:rsidRPr="00B1275F" w:rsidRDefault="002B4F0C" w:rsidP="00634E65">
            <w:pPr>
              <w:pStyle w:val="TableText"/>
              <w:jc w:val="center"/>
            </w:pPr>
            <w:r w:rsidRPr="00B1275F">
              <w:rPr>
                <w:color w:val="000000"/>
              </w:rPr>
              <w:t>-2.6%</w:t>
            </w:r>
          </w:p>
        </w:tc>
      </w:tr>
      <w:tr w:rsidR="002B4F0C" w:rsidRPr="00B1275F" w14:paraId="6BC7B4EC" w14:textId="77777777" w:rsidTr="00B821D3">
        <w:trPr>
          <w:trHeight w:val="300"/>
        </w:trPr>
        <w:tc>
          <w:tcPr>
            <w:tcW w:w="2592" w:type="pct"/>
            <w:noWrap/>
          </w:tcPr>
          <w:p w14:paraId="4E7BB6E9" w14:textId="77777777" w:rsidR="002B4F0C" w:rsidRPr="00B1275F" w:rsidRDefault="002B4F0C" w:rsidP="0078185D">
            <w:pPr>
              <w:pStyle w:val="TableText"/>
            </w:pPr>
            <w:r w:rsidRPr="00B1275F">
              <w:t>Tear fails to heal -&gt; Revision surgery -&gt; Tear fails to heal</w:t>
            </w:r>
          </w:p>
        </w:tc>
        <w:tc>
          <w:tcPr>
            <w:tcW w:w="707" w:type="pct"/>
            <w:noWrap/>
            <w:vAlign w:val="center"/>
          </w:tcPr>
          <w:p w14:paraId="7B24F909" w14:textId="77777777" w:rsidR="002B4F0C" w:rsidRPr="00B1275F" w:rsidRDefault="002B4F0C" w:rsidP="00634E65">
            <w:pPr>
              <w:pStyle w:val="TableText"/>
              <w:jc w:val="center"/>
            </w:pPr>
            <w:r w:rsidRPr="00B1275F">
              <w:rPr>
                <w:color w:val="000000"/>
              </w:rPr>
              <w:t>0.8%</w:t>
            </w:r>
          </w:p>
        </w:tc>
        <w:tc>
          <w:tcPr>
            <w:tcW w:w="962" w:type="pct"/>
            <w:noWrap/>
            <w:vAlign w:val="center"/>
          </w:tcPr>
          <w:p w14:paraId="5472B9CA" w14:textId="77777777" w:rsidR="002B4F0C" w:rsidRPr="00B1275F" w:rsidRDefault="002B4F0C" w:rsidP="00634E65">
            <w:pPr>
              <w:pStyle w:val="TableText"/>
              <w:jc w:val="center"/>
            </w:pPr>
            <w:r w:rsidRPr="00B1275F">
              <w:rPr>
                <w:color w:val="000000"/>
              </w:rPr>
              <w:t>2.6%</w:t>
            </w:r>
          </w:p>
        </w:tc>
        <w:tc>
          <w:tcPr>
            <w:tcW w:w="739" w:type="pct"/>
            <w:noWrap/>
            <w:vAlign w:val="center"/>
          </w:tcPr>
          <w:p w14:paraId="504E6D66" w14:textId="77777777" w:rsidR="002B4F0C" w:rsidRPr="00B1275F" w:rsidRDefault="002B4F0C" w:rsidP="00634E65">
            <w:pPr>
              <w:pStyle w:val="TableText"/>
              <w:jc w:val="center"/>
            </w:pPr>
            <w:r w:rsidRPr="00B1275F">
              <w:rPr>
                <w:color w:val="000000"/>
              </w:rPr>
              <w:t>-1.8%</w:t>
            </w:r>
          </w:p>
        </w:tc>
      </w:tr>
      <w:tr w:rsidR="002B4F0C" w:rsidRPr="00B1275F" w14:paraId="640D15E9" w14:textId="77777777" w:rsidTr="00B821D3">
        <w:trPr>
          <w:trHeight w:val="300"/>
        </w:trPr>
        <w:tc>
          <w:tcPr>
            <w:tcW w:w="2592" w:type="pct"/>
            <w:noWrap/>
          </w:tcPr>
          <w:p w14:paraId="6774BDE3" w14:textId="77777777" w:rsidR="002B4F0C" w:rsidRPr="00B1275F" w:rsidRDefault="002B4F0C" w:rsidP="0078185D">
            <w:pPr>
              <w:pStyle w:val="TableText"/>
            </w:pPr>
            <w:r w:rsidRPr="00B1275F">
              <w:t>Tear fails to heal -&gt; Reverse total shoulder arthroplasty</w:t>
            </w:r>
          </w:p>
        </w:tc>
        <w:tc>
          <w:tcPr>
            <w:tcW w:w="707" w:type="pct"/>
            <w:noWrap/>
            <w:vAlign w:val="center"/>
          </w:tcPr>
          <w:p w14:paraId="04A5ACEC" w14:textId="77777777" w:rsidR="002B4F0C" w:rsidRPr="00B1275F" w:rsidRDefault="002B4F0C" w:rsidP="00634E65">
            <w:pPr>
              <w:pStyle w:val="TableText"/>
              <w:jc w:val="center"/>
            </w:pPr>
            <w:r w:rsidRPr="00B1275F">
              <w:rPr>
                <w:color w:val="000000"/>
              </w:rPr>
              <w:t>0.3%</w:t>
            </w:r>
          </w:p>
        </w:tc>
        <w:tc>
          <w:tcPr>
            <w:tcW w:w="962" w:type="pct"/>
            <w:noWrap/>
            <w:vAlign w:val="center"/>
          </w:tcPr>
          <w:p w14:paraId="62E78C16" w14:textId="77777777" w:rsidR="002B4F0C" w:rsidRPr="00B1275F" w:rsidRDefault="002B4F0C" w:rsidP="00634E65">
            <w:pPr>
              <w:pStyle w:val="TableText"/>
              <w:jc w:val="center"/>
            </w:pPr>
            <w:r w:rsidRPr="00B1275F">
              <w:rPr>
                <w:color w:val="000000"/>
              </w:rPr>
              <w:t>1.0%</w:t>
            </w:r>
          </w:p>
        </w:tc>
        <w:tc>
          <w:tcPr>
            <w:tcW w:w="739" w:type="pct"/>
            <w:noWrap/>
            <w:vAlign w:val="center"/>
          </w:tcPr>
          <w:p w14:paraId="67F6043A" w14:textId="77777777" w:rsidR="002B4F0C" w:rsidRPr="00B1275F" w:rsidRDefault="002B4F0C" w:rsidP="00634E65">
            <w:pPr>
              <w:pStyle w:val="TableText"/>
              <w:jc w:val="center"/>
            </w:pPr>
            <w:r w:rsidRPr="00B1275F">
              <w:rPr>
                <w:color w:val="000000"/>
              </w:rPr>
              <w:t>-0.7%</w:t>
            </w:r>
          </w:p>
        </w:tc>
      </w:tr>
      <w:tr w:rsidR="002B4F0C" w:rsidRPr="00B1275F" w14:paraId="469A2AEF" w14:textId="77777777" w:rsidTr="00B821D3">
        <w:trPr>
          <w:trHeight w:val="300"/>
        </w:trPr>
        <w:tc>
          <w:tcPr>
            <w:tcW w:w="2592" w:type="pct"/>
            <w:noWrap/>
          </w:tcPr>
          <w:p w14:paraId="650E7A9D" w14:textId="77777777" w:rsidR="002B4F0C" w:rsidRPr="00B1275F" w:rsidRDefault="002B4F0C" w:rsidP="0078185D">
            <w:pPr>
              <w:pStyle w:val="TableText"/>
            </w:pPr>
            <w:r w:rsidRPr="00B1275F">
              <w:t>Tear fails to heal -&gt; Conservative Management</w:t>
            </w:r>
          </w:p>
        </w:tc>
        <w:tc>
          <w:tcPr>
            <w:tcW w:w="707" w:type="pct"/>
            <w:noWrap/>
            <w:vAlign w:val="center"/>
          </w:tcPr>
          <w:p w14:paraId="7782B33F" w14:textId="77777777" w:rsidR="002B4F0C" w:rsidRPr="00B1275F" w:rsidRDefault="002B4F0C" w:rsidP="00634E65">
            <w:pPr>
              <w:pStyle w:val="TableText"/>
              <w:jc w:val="center"/>
            </w:pPr>
            <w:r w:rsidRPr="00B1275F">
              <w:rPr>
                <w:color w:val="000000"/>
              </w:rPr>
              <w:t>5.9%</w:t>
            </w:r>
          </w:p>
        </w:tc>
        <w:tc>
          <w:tcPr>
            <w:tcW w:w="962" w:type="pct"/>
            <w:noWrap/>
            <w:vAlign w:val="center"/>
          </w:tcPr>
          <w:p w14:paraId="6C236C66" w14:textId="77777777" w:rsidR="002B4F0C" w:rsidRPr="00B1275F" w:rsidRDefault="002B4F0C" w:rsidP="00634E65">
            <w:pPr>
              <w:pStyle w:val="TableText"/>
              <w:jc w:val="center"/>
            </w:pPr>
            <w:r w:rsidRPr="00B1275F">
              <w:rPr>
                <w:color w:val="000000"/>
              </w:rPr>
              <w:t>18.3%</w:t>
            </w:r>
          </w:p>
        </w:tc>
        <w:tc>
          <w:tcPr>
            <w:tcW w:w="739" w:type="pct"/>
            <w:noWrap/>
            <w:vAlign w:val="center"/>
          </w:tcPr>
          <w:p w14:paraId="26027047" w14:textId="77777777" w:rsidR="002B4F0C" w:rsidRPr="00B1275F" w:rsidRDefault="002B4F0C" w:rsidP="00634E65">
            <w:pPr>
              <w:pStyle w:val="TableText"/>
              <w:jc w:val="center"/>
            </w:pPr>
            <w:r w:rsidRPr="00B1275F">
              <w:rPr>
                <w:color w:val="000000"/>
              </w:rPr>
              <w:t>-12.4%</w:t>
            </w:r>
          </w:p>
        </w:tc>
      </w:tr>
      <w:tr w:rsidR="002B4F0C" w:rsidRPr="00B1275F" w14:paraId="6B55C359" w14:textId="77777777" w:rsidTr="00B821D3">
        <w:trPr>
          <w:trHeight w:val="300"/>
        </w:trPr>
        <w:tc>
          <w:tcPr>
            <w:tcW w:w="2592" w:type="pct"/>
            <w:noWrap/>
          </w:tcPr>
          <w:p w14:paraId="236DF62E" w14:textId="77777777" w:rsidR="002B4F0C" w:rsidRPr="00B1275F" w:rsidRDefault="002B4F0C" w:rsidP="0078185D">
            <w:pPr>
              <w:pStyle w:val="TableText"/>
              <w:rPr>
                <w:bCs/>
              </w:rPr>
            </w:pPr>
            <w:r w:rsidRPr="00B1275F">
              <w:rPr>
                <w:bCs/>
              </w:rPr>
              <w:t>Total</w:t>
            </w:r>
          </w:p>
        </w:tc>
        <w:tc>
          <w:tcPr>
            <w:tcW w:w="707" w:type="pct"/>
            <w:noWrap/>
            <w:vAlign w:val="center"/>
          </w:tcPr>
          <w:p w14:paraId="4C8A1701" w14:textId="77777777" w:rsidR="002B4F0C" w:rsidRPr="00B1275F" w:rsidRDefault="002B4F0C" w:rsidP="00634E65">
            <w:pPr>
              <w:pStyle w:val="TableText"/>
              <w:jc w:val="center"/>
              <w:rPr>
                <w:bCs/>
              </w:rPr>
            </w:pPr>
            <w:r w:rsidRPr="00B1275F">
              <w:rPr>
                <w:bCs/>
              </w:rPr>
              <w:t>100%</w:t>
            </w:r>
          </w:p>
        </w:tc>
        <w:tc>
          <w:tcPr>
            <w:tcW w:w="962" w:type="pct"/>
            <w:noWrap/>
            <w:vAlign w:val="center"/>
          </w:tcPr>
          <w:p w14:paraId="68A16876" w14:textId="77777777" w:rsidR="002B4F0C" w:rsidRPr="00B1275F" w:rsidRDefault="002B4F0C" w:rsidP="00634E65">
            <w:pPr>
              <w:pStyle w:val="TableText"/>
              <w:jc w:val="center"/>
              <w:rPr>
                <w:bCs/>
              </w:rPr>
            </w:pPr>
            <w:r w:rsidRPr="00B1275F">
              <w:rPr>
                <w:bCs/>
              </w:rPr>
              <w:t>100%</w:t>
            </w:r>
          </w:p>
        </w:tc>
        <w:tc>
          <w:tcPr>
            <w:tcW w:w="739" w:type="pct"/>
            <w:noWrap/>
            <w:vAlign w:val="center"/>
          </w:tcPr>
          <w:p w14:paraId="133174AD" w14:textId="77777777" w:rsidR="002B4F0C" w:rsidRPr="00B1275F" w:rsidRDefault="002B4F0C" w:rsidP="00634E65">
            <w:pPr>
              <w:pStyle w:val="TableText"/>
              <w:jc w:val="center"/>
            </w:pPr>
            <w:r w:rsidRPr="00B1275F">
              <w:t>-</w:t>
            </w:r>
          </w:p>
        </w:tc>
      </w:tr>
    </w:tbl>
    <w:p w14:paraId="54341781" w14:textId="7F18E1F7" w:rsidR="002B4F0C" w:rsidRDefault="002B4F0C" w:rsidP="00902A04">
      <w:pPr>
        <w:pStyle w:val="Tablenotes"/>
        <w:spacing w:before="0"/>
        <w:jc w:val="both"/>
      </w:pPr>
      <w:r>
        <w:t>Source: Table 71, p</w:t>
      </w:r>
      <w:r w:rsidR="002D7FCB">
        <w:t>g</w:t>
      </w:r>
      <w:r>
        <w:t>1</w:t>
      </w:r>
      <w:r w:rsidR="00854096">
        <w:t>63</w:t>
      </w:r>
      <w:r>
        <w:t xml:space="preserve"> of the of the MSAC application 1593.1 ADAR + In line commentary</w:t>
      </w:r>
    </w:p>
    <w:p w14:paraId="6D769889" w14:textId="77777777" w:rsidR="002B4F0C" w:rsidRDefault="002B4F0C" w:rsidP="00B821D3">
      <w:pPr>
        <w:pStyle w:val="Tablenotes"/>
        <w:jc w:val="both"/>
      </w:pPr>
      <w:r>
        <w:t xml:space="preserve">Abbreviations: </w:t>
      </w:r>
      <w:r w:rsidRPr="00447D06">
        <w:t>FTRCT = full-thickness rotator cuff tear</w:t>
      </w:r>
      <w:r>
        <w:t xml:space="preserve">; QALY = Quality-adjusted life years </w:t>
      </w:r>
    </w:p>
    <w:p w14:paraId="11F5559D" w14:textId="78A1A9ED" w:rsidR="00A374E8" w:rsidRDefault="00A374E8" w:rsidP="00B821D3">
      <w:pPr>
        <w:pStyle w:val="Tablenotes"/>
        <w:jc w:val="both"/>
      </w:pPr>
      <w:r>
        <w:t>Notes: Cost and QALYs for patients in each arm were calculated based on the p</w:t>
      </w:r>
      <w:r w:rsidRPr="00A374E8">
        <w:t>atient distribution per health state</w:t>
      </w:r>
      <w:r>
        <w:t xml:space="preserve"> and relevant cost and outcomes were based on the sources described under the health outcomes and h</w:t>
      </w:r>
      <w:r w:rsidRPr="00A374E8">
        <w:t>ealth care resource use and costs</w:t>
      </w:r>
      <w:r>
        <w:t xml:space="preserve"> for </w:t>
      </w:r>
      <w:r w:rsidR="00BF7CA2">
        <w:t>P</w:t>
      </w:r>
      <w:r>
        <w:t>opulation 2.</w:t>
      </w:r>
    </w:p>
    <w:p w14:paraId="79C6B674" w14:textId="7038C232" w:rsidR="002B4F0C" w:rsidRPr="002F19DA" w:rsidRDefault="002B4F0C" w:rsidP="003B4E46">
      <w:r w:rsidRPr="00CD76DA">
        <w:lastRenderedPageBreak/>
        <w:t xml:space="preserve">The incremental health outcomes with REGENETEN </w:t>
      </w:r>
      <w:r>
        <w:t>were</w:t>
      </w:r>
      <w:r w:rsidRPr="00CD76DA">
        <w:t xml:space="preserve"> derived from the higher percentage of patients in the tear heals state (due to lower retear rate). In terms of costs, REGENETEN presents a higher cost with the surgical intervention (REGENETEN kit), but a lower average cost with revision, reverse total shoulder arthroplasty and conservative management. In total, REGENETEN is associated with an incremental cost of </w:t>
      </w:r>
      <w:r w:rsidR="0049671F" w:rsidRPr="00E477C8">
        <w:rPr>
          <w:b/>
          <w:bCs/>
        </w:rPr>
        <w:t>redacted</w:t>
      </w:r>
      <w:r w:rsidR="0049671F">
        <w:t xml:space="preserve"> </w:t>
      </w:r>
      <w:r w:rsidRPr="00CD76DA">
        <w:t>over two years.</w:t>
      </w:r>
    </w:p>
    <w:p w14:paraId="11749457" w14:textId="77777777" w:rsidR="002B4F0C" w:rsidRPr="00CD76DA" w:rsidRDefault="002B4F0C" w:rsidP="002B4F0C">
      <w:pPr>
        <w:rPr>
          <w:b/>
          <w:bCs/>
        </w:rPr>
      </w:pPr>
      <w:r w:rsidRPr="00CD76DA">
        <w:rPr>
          <w:b/>
          <w:bCs/>
        </w:rPr>
        <w:t>Summary of base-case results</w:t>
      </w:r>
    </w:p>
    <w:p w14:paraId="406B9995" w14:textId="4C7EF36C" w:rsidR="002B4F0C" w:rsidRDefault="002B4F0C" w:rsidP="003B4E46">
      <w:r w:rsidRPr="00CD76DA">
        <w:t xml:space="preserve">From the Australian healthcare perspective, using REGENETEN in patients with symptomatic FTRCT, </w:t>
      </w:r>
      <w:r w:rsidRPr="0054653A">
        <w:t xml:space="preserve">the </w:t>
      </w:r>
      <w:r w:rsidR="00600185">
        <w:t>ADAR</w:t>
      </w:r>
      <w:r w:rsidRPr="0054653A">
        <w:t xml:space="preserve"> </w:t>
      </w:r>
      <w:r w:rsidR="00D5306E">
        <w:t>estimated</w:t>
      </w:r>
      <w:r w:rsidR="00D5306E" w:rsidRPr="0054653A">
        <w:t xml:space="preserve"> </w:t>
      </w:r>
      <w:r w:rsidRPr="0054653A">
        <w:t xml:space="preserve">that </w:t>
      </w:r>
      <w:r w:rsidRPr="00CD76DA">
        <w:t xml:space="preserve">REGENETEN had an ICER of </w:t>
      </w:r>
      <w:r w:rsidR="000E7123" w:rsidRPr="00E477C8">
        <w:rPr>
          <w:b/>
          <w:bCs/>
        </w:rPr>
        <w:t>redacted</w:t>
      </w:r>
      <w:r w:rsidR="000E7123">
        <w:t xml:space="preserve"> </w:t>
      </w:r>
      <w:r w:rsidRPr="00CD76DA">
        <w:t>per QALY</w:t>
      </w:r>
      <w:r w:rsidR="0061781E">
        <w:t xml:space="preserve"> gained</w:t>
      </w:r>
      <w:r w:rsidRPr="00CD76DA">
        <w:t>.</w:t>
      </w:r>
      <w:r w:rsidRPr="0054653A">
        <w:t xml:space="preserve"> </w:t>
      </w:r>
      <w:r w:rsidR="00125F10">
        <w:fldChar w:fldCharType="begin"/>
      </w:r>
      <w:r w:rsidR="00125F10">
        <w:instrText xml:space="preserve"> REF _Ref165558417 \h </w:instrText>
      </w:r>
      <w:r w:rsidR="00125F10">
        <w:fldChar w:fldCharType="separate"/>
      </w:r>
      <w:r w:rsidR="00125F10">
        <w:t xml:space="preserve">Table </w:t>
      </w:r>
      <w:r w:rsidR="00125F10">
        <w:rPr>
          <w:noProof/>
        </w:rPr>
        <w:t>15</w:t>
      </w:r>
      <w:r w:rsidR="00125F10">
        <w:fldChar w:fldCharType="end"/>
      </w:r>
      <w:r w:rsidR="00C84466">
        <w:t xml:space="preserve"> </w:t>
      </w:r>
      <w:r w:rsidR="00B55986" w:rsidRPr="0054653A">
        <w:t>summarise</w:t>
      </w:r>
      <w:r w:rsidR="00B55986">
        <w:t>d</w:t>
      </w:r>
      <w:r w:rsidR="00B55986" w:rsidRPr="0054653A">
        <w:t xml:space="preserve"> </w:t>
      </w:r>
      <w:r w:rsidRPr="0054653A">
        <w:t xml:space="preserve">the overall results of the base case for the </w:t>
      </w:r>
      <w:r w:rsidR="00895086">
        <w:t>Population 2</w:t>
      </w:r>
      <w:r w:rsidR="00B55986">
        <w:t xml:space="preserve"> (FTRCT)</w:t>
      </w:r>
      <w:r w:rsidR="00A374E8">
        <w:t>.</w:t>
      </w:r>
      <w:r w:rsidRPr="0054653A">
        <w:t xml:space="preserve"> </w:t>
      </w:r>
    </w:p>
    <w:p w14:paraId="4EE9BE7C" w14:textId="3B06CB83" w:rsidR="002D7FCB" w:rsidRDefault="002D7FCB" w:rsidP="002D7FCB">
      <w:pPr>
        <w:pStyle w:val="Caption"/>
      </w:pPr>
      <w:bookmarkStart w:id="84" w:name="_Ref165558417"/>
      <w:r>
        <w:t xml:space="preserve">Table </w:t>
      </w:r>
      <w:r>
        <w:fldChar w:fldCharType="begin"/>
      </w:r>
      <w:r>
        <w:instrText xml:space="preserve"> SEQ Table \* ARABIC </w:instrText>
      </w:r>
      <w:r>
        <w:fldChar w:fldCharType="separate"/>
      </w:r>
      <w:r w:rsidR="00F77AA6">
        <w:rPr>
          <w:noProof/>
        </w:rPr>
        <w:t>15</w:t>
      </w:r>
      <w:r>
        <w:rPr>
          <w:noProof/>
        </w:rPr>
        <w:fldChar w:fldCharType="end"/>
      </w:r>
      <w:bookmarkEnd w:id="84"/>
      <w:r>
        <w:t>:</w:t>
      </w:r>
      <w:r w:rsidRPr="002D7FCB">
        <w:t xml:space="preserve"> </w:t>
      </w:r>
      <w:r w:rsidRPr="00B1275F">
        <w:t xml:space="preserve">Base-case results of the model for </w:t>
      </w:r>
      <w:r>
        <w:t>Population 2</w:t>
      </w:r>
      <w:r w:rsidR="00713B07">
        <w:t xml:space="preserve"> (</w:t>
      </w:r>
      <w:r w:rsidRPr="00B1275F">
        <w:t>FTRCT</w:t>
      </w:r>
      <w:r w:rsidR="00713B0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9"/>
        <w:gridCol w:w="2440"/>
        <w:gridCol w:w="2378"/>
        <w:gridCol w:w="2499"/>
      </w:tblGrid>
      <w:tr w:rsidR="00CB4FF2" w14:paraId="6FA56889" w14:textId="77777777" w:rsidTr="43C5C4AC">
        <w:trPr>
          <w:cantSplit/>
          <w:tblHeader/>
        </w:trPr>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202D1" w14:textId="77777777" w:rsidR="00CB4FF2" w:rsidRDefault="00CB4FF2">
            <w:pPr>
              <w:pStyle w:val="In-tableHeading"/>
              <w:spacing w:line="256" w:lineRule="auto"/>
              <w:rPr>
                <w:lang w:eastAsia="en-US"/>
              </w:rPr>
            </w:pPr>
            <w:bookmarkStart w:id="85" w:name="Title_Table9" w:colFirst="0" w:colLast="0"/>
            <w:bookmarkStart w:id="86" w:name="_Hlk68276590"/>
            <w:r>
              <w:rPr>
                <w:lang w:eastAsia="en-US"/>
              </w:rPr>
              <w:t xml:space="preserve">Parameter </w:t>
            </w:r>
          </w:p>
        </w:tc>
        <w:tc>
          <w:tcPr>
            <w:tcW w:w="13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2C83E" w14:textId="18678369" w:rsidR="00CB4FF2" w:rsidRDefault="00F57A65">
            <w:pPr>
              <w:pStyle w:val="In-tableHeading"/>
              <w:spacing w:line="256" w:lineRule="auto"/>
              <w:jc w:val="center"/>
              <w:rPr>
                <w:lang w:eastAsia="en-US"/>
              </w:rPr>
            </w:pPr>
            <w:r w:rsidRPr="00B1275F">
              <w:t>REGENETEN</w:t>
            </w:r>
          </w:p>
        </w:tc>
        <w:tc>
          <w:tcPr>
            <w:tcW w:w="131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8D4D4" w14:textId="2D1946A1" w:rsidR="00CB4FF2" w:rsidRDefault="00F57A65">
            <w:pPr>
              <w:pStyle w:val="In-tableHeading"/>
              <w:spacing w:line="256" w:lineRule="auto"/>
              <w:jc w:val="center"/>
              <w:rPr>
                <w:lang w:eastAsia="en-US"/>
              </w:rPr>
            </w:pPr>
            <w:r w:rsidRPr="00F57A65">
              <w:rPr>
                <w:lang w:eastAsia="en-US"/>
              </w:rPr>
              <w:t>Standard of care</w:t>
            </w:r>
          </w:p>
        </w:tc>
        <w:tc>
          <w:tcPr>
            <w:tcW w:w="1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9AED9" w14:textId="77777777" w:rsidR="00CB4FF2" w:rsidRDefault="00CB4FF2">
            <w:pPr>
              <w:pStyle w:val="In-tableHeading"/>
              <w:spacing w:line="256" w:lineRule="auto"/>
              <w:jc w:val="center"/>
              <w:rPr>
                <w:lang w:eastAsia="en-US"/>
              </w:rPr>
            </w:pPr>
            <w:r>
              <w:rPr>
                <w:lang w:eastAsia="en-US"/>
              </w:rPr>
              <w:t>Increment</w:t>
            </w:r>
          </w:p>
        </w:tc>
      </w:tr>
      <w:bookmarkEnd w:id="85"/>
      <w:tr w:rsidR="00CC3FF1" w14:paraId="7BC1488B" w14:textId="77777777" w:rsidTr="00CB4FF2">
        <w:trPr>
          <w:cantSplit/>
        </w:trPr>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37A84854" w14:textId="77777777" w:rsidR="00CC3FF1" w:rsidRDefault="00CC3FF1" w:rsidP="00CC3FF1">
            <w:pPr>
              <w:pStyle w:val="TableText"/>
              <w:keepNext/>
              <w:spacing w:line="256" w:lineRule="auto"/>
            </w:pPr>
            <w:r>
              <w:t>Costs</w:t>
            </w:r>
          </w:p>
        </w:tc>
        <w:tc>
          <w:tcPr>
            <w:tcW w:w="1353" w:type="pct"/>
            <w:tcBorders>
              <w:top w:val="single" w:sz="4" w:space="0" w:color="auto"/>
              <w:left w:val="single" w:sz="4" w:space="0" w:color="auto"/>
              <w:bottom w:val="single" w:sz="4" w:space="0" w:color="auto"/>
              <w:right w:val="single" w:sz="4" w:space="0" w:color="auto"/>
            </w:tcBorders>
            <w:shd w:val="clear" w:color="auto" w:fill="auto"/>
            <w:hideMark/>
          </w:tcPr>
          <w:p w14:paraId="4DEBA265" w14:textId="3D4D486E" w:rsidR="00CC3FF1" w:rsidRDefault="00CC3FF1" w:rsidP="00CC3FF1">
            <w:pPr>
              <w:pStyle w:val="TableText"/>
              <w:keepNext/>
              <w:spacing w:line="256" w:lineRule="auto"/>
              <w:jc w:val="center"/>
            </w:pPr>
            <w:r w:rsidRPr="00CD0079">
              <w:rPr>
                <w:b/>
                <w:bCs/>
              </w:rPr>
              <w:t>redacted</w:t>
            </w:r>
            <w:r w:rsidRPr="00CD0079" w:rsidDel="006414CA">
              <w:t xml:space="preserve"> </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63C1DB66" w14:textId="5EFDAD6E" w:rsidR="00CC3FF1" w:rsidRDefault="00CC3FF1" w:rsidP="00CC3FF1">
            <w:pPr>
              <w:pStyle w:val="TableText"/>
              <w:keepNext/>
              <w:spacing w:line="256" w:lineRule="auto"/>
              <w:jc w:val="center"/>
            </w:pPr>
            <w:r w:rsidRPr="00F57A65">
              <w:t>$2,301</w:t>
            </w:r>
          </w:p>
        </w:tc>
        <w:tc>
          <w:tcPr>
            <w:tcW w:w="1386" w:type="pct"/>
            <w:tcBorders>
              <w:top w:val="single" w:sz="4" w:space="0" w:color="auto"/>
              <w:left w:val="single" w:sz="4" w:space="0" w:color="auto"/>
              <w:bottom w:val="single" w:sz="4" w:space="0" w:color="auto"/>
              <w:right w:val="single" w:sz="4" w:space="0" w:color="auto"/>
            </w:tcBorders>
            <w:shd w:val="clear" w:color="auto" w:fill="auto"/>
            <w:hideMark/>
          </w:tcPr>
          <w:p w14:paraId="1F0AC8AD" w14:textId="38C541F2" w:rsidR="00CC3FF1" w:rsidRDefault="00CC3FF1" w:rsidP="00CC3FF1">
            <w:pPr>
              <w:pStyle w:val="TableText"/>
              <w:keepNext/>
              <w:spacing w:line="256" w:lineRule="auto"/>
              <w:jc w:val="center"/>
            </w:pPr>
            <w:r w:rsidRPr="00CD0079">
              <w:rPr>
                <w:b/>
                <w:bCs/>
              </w:rPr>
              <w:t>redacted</w:t>
            </w:r>
            <w:r w:rsidRPr="00CD0079" w:rsidDel="006414CA">
              <w:t xml:space="preserve"> </w:t>
            </w:r>
          </w:p>
        </w:tc>
      </w:tr>
      <w:tr w:rsidR="004F7D04" w14:paraId="69A41786" w14:textId="77777777" w:rsidTr="00CB4FF2">
        <w:trPr>
          <w:cantSplit/>
        </w:trPr>
        <w:tc>
          <w:tcPr>
            <w:tcW w:w="942" w:type="pct"/>
            <w:tcBorders>
              <w:top w:val="single" w:sz="4" w:space="0" w:color="auto"/>
              <w:left w:val="single" w:sz="4" w:space="0" w:color="auto"/>
              <w:bottom w:val="single" w:sz="4" w:space="0" w:color="auto"/>
              <w:right w:val="single" w:sz="4" w:space="0" w:color="auto"/>
            </w:tcBorders>
            <w:shd w:val="clear" w:color="auto" w:fill="auto"/>
            <w:hideMark/>
          </w:tcPr>
          <w:p w14:paraId="7B74A054" w14:textId="77777777" w:rsidR="004F7D04" w:rsidRDefault="004F7D04" w:rsidP="004F7D04">
            <w:pPr>
              <w:pStyle w:val="TableText"/>
              <w:keepNext/>
              <w:spacing w:line="256" w:lineRule="auto"/>
            </w:pPr>
            <w:r>
              <w:t>QALYS</w:t>
            </w:r>
          </w:p>
        </w:tc>
        <w:tc>
          <w:tcPr>
            <w:tcW w:w="1353" w:type="pct"/>
            <w:tcBorders>
              <w:top w:val="single" w:sz="4" w:space="0" w:color="auto"/>
              <w:left w:val="single" w:sz="4" w:space="0" w:color="auto"/>
              <w:bottom w:val="single" w:sz="4" w:space="0" w:color="auto"/>
              <w:right w:val="single" w:sz="4" w:space="0" w:color="auto"/>
            </w:tcBorders>
            <w:shd w:val="clear" w:color="auto" w:fill="auto"/>
            <w:hideMark/>
          </w:tcPr>
          <w:p w14:paraId="4437C2B5" w14:textId="34619D2C" w:rsidR="004F7D04" w:rsidRDefault="004F7D04" w:rsidP="004F7D04">
            <w:pPr>
              <w:pStyle w:val="TableText"/>
              <w:keepNext/>
              <w:spacing w:line="256" w:lineRule="auto"/>
              <w:jc w:val="center"/>
            </w:pPr>
            <w:r w:rsidRPr="00F57A65">
              <w:t>1.76</w:t>
            </w:r>
          </w:p>
        </w:tc>
        <w:tc>
          <w:tcPr>
            <w:tcW w:w="1319" w:type="pct"/>
            <w:tcBorders>
              <w:top w:val="single" w:sz="4" w:space="0" w:color="auto"/>
              <w:left w:val="single" w:sz="4" w:space="0" w:color="auto"/>
              <w:bottom w:val="single" w:sz="4" w:space="0" w:color="auto"/>
              <w:right w:val="single" w:sz="4" w:space="0" w:color="auto"/>
            </w:tcBorders>
            <w:shd w:val="clear" w:color="auto" w:fill="auto"/>
            <w:hideMark/>
          </w:tcPr>
          <w:p w14:paraId="2A356DE6" w14:textId="547C28F5" w:rsidR="004F7D04" w:rsidRDefault="004F7D04" w:rsidP="004F7D04">
            <w:pPr>
              <w:pStyle w:val="TableText"/>
              <w:keepNext/>
              <w:spacing w:line="256" w:lineRule="auto"/>
              <w:jc w:val="center"/>
            </w:pPr>
            <w:r w:rsidRPr="00F57A65">
              <w:t>1.69</w:t>
            </w:r>
          </w:p>
        </w:tc>
        <w:tc>
          <w:tcPr>
            <w:tcW w:w="1386" w:type="pct"/>
            <w:tcBorders>
              <w:top w:val="single" w:sz="4" w:space="0" w:color="auto"/>
              <w:left w:val="single" w:sz="4" w:space="0" w:color="auto"/>
              <w:bottom w:val="single" w:sz="4" w:space="0" w:color="auto"/>
              <w:right w:val="single" w:sz="4" w:space="0" w:color="auto"/>
            </w:tcBorders>
            <w:shd w:val="clear" w:color="auto" w:fill="auto"/>
            <w:hideMark/>
          </w:tcPr>
          <w:p w14:paraId="5EC5E9B8" w14:textId="28A1FE36" w:rsidR="004F7D04" w:rsidRDefault="004F7D04" w:rsidP="004F7D04">
            <w:pPr>
              <w:pStyle w:val="TableText"/>
              <w:keepNext/>
              <w:spacing w:line="256" w:lineRule="auto"/>
              <w:jc w:val="center"/>
            </w:pPr>
            <w:r w:rsidRPr="00F57A65">
              <w:t>0.07</w:t>
            </w:r>
          </w:p>
        </w:tc>
      </w:tr>
      <w:tr w:rsidR="00F57A65" w14:paraId="023BFA57" w14:textId="77777777" w:rsidTr="00F57A65">
        <w:trPr>
          <w:cantSplit/>
        </w:trPr>
        <w:tc>
          <w:tcPr>
            <w:tcW w:w="3614" w:type="pct"/>
            <w:gridSpan w:val="3"/>
            <w:tcBorders>
              <w:top w:val="single" w:sz="4" w:space="0" w:color="auto"/>
              <w:left w:val="single" w:sz="4" w:space="0" w:color="auto"/>
              <w:bottom w:val="single" w:sz="4" w:space="0" w:color="auto"/>
              <w:right w:val="single" w:sz="4" w:space="0" w:color="auto"/>
            </w:tcBorders>
            <w:shd w:val="clear" w:color="auto" w:fill="auto"/>
          </w:tcPr>
          <w:p w14:paraId="59556880" w14:textId="69D1B6C1" w:rsidR="00F57A65" w:rsidRPr="00F57A65" w:rsidRDefault="00F57A65" w:rsidP="00B821D3">
            <w:pPr>
              <w:pStyle w:val="TableText"/>
              <w:keepNext/>
              <w:spacing w:line="256" w:lineRule="auto"/>
            </w:pPr>
            <w:r>
              <w:t>Incremental cost per QALY gained</w:t>
            </w:r>
          </w:p>
        </w:tc>
        <w:tc>
          <w:tcPr>
            <w:tcW w:w="1386" w:type="pct"/>
            <w:tcBorders>
              <w:top w:val="single" w:sz="4" w:space="0" w:color="auto"/>
              <w:left w:val="single" w:sz="4" w:space="0" w:color="auto"/>
              <w:bottom w:val="single" w:sz="4" w:space="0" w:color="auto"/>
              <w:right w:val="single" w:sz="4" w:space="0" w:color="auto"/>
            </w:tcBorders>
            <w:shd w:val="clear" w:color="auto" w:fill="auto"/>
          </w:tcPr>
          <w:p w14:paraId="3C96DA28" w14:textId="027FAF4B" w:rsidR="00F57A65" w:rsidRPr="00F57A65" w:rsidRDefault="004F7D04">
            <w:pPr>
              <w:pStyle w:val="TableText"/>
              <w:keepNext/>
              <w:spacing w:line="256" w:lineRule="auto"/>
              <w:jc w:val="center"/>
            </w:pPr>
            <w:r w:rsidRPr="00E477C8">
              <w:rPr>
                <w:b/>
                <w:bCs/>
              </w:rPr>
              <w:t>redacted</w:t>
            </w:r>
          </w:p>
        </w:tc>
      </w:tr>
    </w:tbl>
    <w:bookmarkEnd w:id="86"/>
    <w:p w14:paraId="553123BE" w14:textId="5E3A0591" w:rsidR="00F57A65" w:rsidRDefault="00F57A65" w:rsidP="00F57A65">
      <w:pPr>
        <w:pStyle w:val="Tablenotes"/>
        <w:rPr>
          <w:rFonts w:eastAsia="Calibri"/>
        </w:rPr>
      </w:pPr>
      <w:r>
        <w:rPr>
          <w:rFonts w:eastAsia="Calibri"/>
        </w:rPr>
        <w:t>Source: Table 70, p</w:t>
      </w:r>
      <w:r w:rsidR="00C84466">
        <w:rPr>
          <w:rFonts w:eastAsia="Calibri"/>
        </w:rPr>
        <w:t>g</w:t>
      </w:r>
      <w:r>
        <w:rPr>
          <w:rFonts w:eastAsia="Calibri"/>
        </w:rPr>
        <w:t>1</w:t>
      </w:r>
      <w:r w:rsidR="00854096">
        <w:rPr>
          <w:rFonts w:eastAsia="Calibri"/>
        </w:rPr>
        <w:t>62</w:t>
      </w:r>
      <w:r>
        <w:rPr>
          <w:rFonts w:eastAsia="Calibri"/>
        </w:rPr>
        <w:t xml:space="preserve"> </w:t>
      </w:r>
      <w:r w:rsidRPr="00A7476B">
        <w:rPr>
          <w:rFonts w:eastAsia="Calibri"/>
        </w:rPr>
        <w:t>of the MSAC application 1593.1 ADAR + In line commentary</w:t>
      </w:r>
    </w:p>
    <w:p w14:paraId="5935218A" w14:textId="72F4794B" w:rsidR="00F57A65" w:rsidRPr="0054653A" w:rsidRDefault="00F57A65" w:rsidP="00F57A65">
      <w:pPr>
        <w:pStyle w:val="Tablenotes"/>
      </w:pPr>
      <w:r>
        <w:t xml:space="preserve">Abbreviations: </w:t>
      </w:r>
      <w:r w:rsidRPr="00447D06">
        <w:t>FTRCT = full-thickness rotator cuff tear</w:t>
      </w:r>
      <w:r>
        <w:t xml:space="preserve">; QALY = Quality-adjusted life years </w:t>
      </w:r>
    </w:p>
    <w:p w14:paraId="20DAB6D1" w14:textId="68573C7F" w:rsidR="00CB4FF2" w:rsidRPr="00CB4FF2" w:rsidRDefault="00F57A65" w:rsidP="003B4E46">
      <w:r w:rsidRPr="00CD76DA">
        <w:t>The commentary noted that the results of the base case analysis w</w:t>
      </w:r>
      <w:r>
        <w:t>ere</w:t>
      </w:r>
      <w:r w:rsidRPr="00CD76DA">
        <w:t xml:space="preserve"> uncertain </w:t>
      </w:r>
      <w:r>
        <w:t xml:space="preserve">given the uncertainty in key model parameters as discussed above including </w:t>
      </w:r>
      <w:r w:rsidRPr="00CD76DA">
        <w:t>health state utilities</w:t>
      </w:r>
      <w:r>
        <w:t xml:space="preserve"> and </w:t>
      </w:r>
      <w:r w:rsidRPr="00CD76DA">
        <w:t>transition probabilities.</w:t>
      </w:r>
    </w:p>
    <w:p w14:paraId="4D8D547A" w14:textId="77777777" w:rsidR="002B4F0C" w:rsidRPr="003B4E46" w:rsidRDefault="002B4F0C" w:rsidP="003B4E46">
      <w:pPr>
        <w:rPr>
          <w:b/>
          <w:bCs/>
        </w:rPr>
      </w:pPr>
      <w:r w:rsidRPr="003B4E46">
        <w:rPr>
          <w:b/>
          <w:bCs/>
        </w:rPr>
        <w:t xml:space="preserve">Scenario analysis </w:t>
      </w:r>
    </w:p>
    <w:p w14:paraId="010868B1" w14:textId="4BE86224" w:rsidR="00F57A65" w:rsidRPr="008E13D1" w:rsidRDefault="0049423A" w:rsidP="003B4E46">
      <w:r>
        <w:t>The ADAR presented a scenario analysis based on a societal perspective by including productivity costs. These costs were estimated using the time for return to work for REGENETEN and standard of care</w:t>
      </w:r>
      <w:r w:rsidR="008875B5">
        <w:t xml:space="preserve"> based on </w:t>
      </w:r>
      <w:proofErr w:type="spellStart"/>
      <w:r w:rsidR="008875B5">
        <w:t>Mclntyre</w:t>
      </w:r>
      <w:proofErr w:type="spellEnd"/>
      <w:r w:rsidR="008875B5">
        <w:t xml:space="preserve"> et al., 2021</w:t>
      </w:r>
      <w:r w:rsidR="008875B5">
        <w:rPr>
          <w:rStyle w:val="FootnoteReference"/>
          <w:rFonts w:cstheme="minorHAnsi"/>
        </w:rPr>
        <w:footnoteReference w:id="26"/>
      </w:r>
      <w:r>
        <w:t xml:space="preserve">, the weekly wage in Australia and the percentage of each population that would be employed. </w:t>
      </w:r>
      <w:r w:rsidR="00644A4D">
        <w:t>T</w:t>
      </w:r>
      <w:r>
        <w:t xml:space="preserve">he ICER </w:t>
      </w:r>
      <w:r w:rsidR="00644A4D">
        <w:t xml:space="preserve">was </w:t>
      </w:r>
      <w:r>
        <w:t xml:space="preserve">reduced to </w:t>
      </w:r>
      <w:r w:rsidR="009F2F4B" w:rsidRPr="00E477C8">
        <w:rPr>
          <w:b/>
          <w:bCs/>
        </w:rPr>
        <w:t>redacted</w:t>
      </w:r>
      <w:r w:rsidR="009F2F4B">
        <w:t xml:space="preserve"> </w:t>
      </w:r>
      <w:r w:rsidR="00644A4D">
        <w:t>per QALY gained</w:t>
      </w:r>
      <w:r>
        <w:t xml:space="preserve">. </w:t>
      </w:r>
    </w:p>
    <w:p w14:paraId="6F470996" w14:textId="4D46D4B6" w:rsidR="00063FD5" w:rsidRDefault="002B4F0C" w:rsidP="003B4E46">
      <w:bookmarkStart w:id="88" w:name="_Hlk163604891"/>
      <w:r w:rsidRPr="001536BA">
        <w:t>The commentary noted that the results</w:t>
      </w:r>
      <w:r>
        <w:t xml:space="preserve"> of the scenario analysis</w:t>
      </w:r>
      <w:r w:rsidRPr="001536BA">
        <w:t xml:space="preserve"> </w:t>
      </w:r>
      <w:r>
        <w:t>were</w:t>
      </w:r>
      <w:r w:rsidRPr="001536BA">
        <w:t xml:space="preserve"> uncertain as the </w:t>
      </w:r>
      <w:r>
        <w:t>model input parameters (e.g., health state utilities, transition probabilities) were</w:t>
      </w:r>
      <w:r w:rsidRPr="001536BA">
        <w:t xml:space="preserve"> not relevant for </w:t>
      </w:r>
      <w:r w:rsidR="00895086">
        <w:t>Population 2</w:t>
      </w:r>
      <w:r>
        <w:t xml:space="preserve"> </w:t>
      </w:r>
      <w:r w:rsidRPr="001536BA">
        <w:t>as well as not accurate.</w:t>
      </w:r>
    </w:p>
    <w:bookmarkEnd w:id="88"/>
    <w:p w14:paraId="5DFEA06F" w14:textId="77777777" w:rsidR="002B4F0C" w:rsidRPr="00430AB0" w:rsidRDefault="002B4F0C" w:rsidP="00B821D3">
      <w:pPr>
        <w:pStyle w:val="Heading4"/>
      </w:pPr>
      <w:r w:rsidRPr="00430AB0">
        <w:t>Sensitivity analyses</w:t>
      </w:r>
    </w:p>
    <w:p w14:paraId="0C5DB425" w14:textId="35D96B4C" w:rsidR="002B4F0C" w:rsidRPr="00B1275F" w:rsidRDefault="002B4F0C" w:rsidP="003B4E46">
      <w:r>
        <w:t xml:space="preserve">The </w:t>
      </w:r>
      <w:r w:rsidR="00600185">
        <w:t>ADAR</w:t>
      </w:r>
      <w:r>
        <w:t xml:space="preserve"> presented univariate sensitivity analysis </w:t>
      </w:r>
      <w:r w:rsidRPr="00B1275F">
        <w:t xml:space="preserve">for key inputs to the model for </w:t>
      </w:r>
      <w:r w:rsidR="0095183F">
        <w:t>P</w:t>
      </w:r>
      <w:r w:rsidRPr="00B1275F">
        <w:t xml:space="preserve">opulation </w:t>
      </w:r>
      <w:r>
        <w:t>2</w:t>
      </w:r>
      <w:r w:rsidRPr="00B1275F">
        <w:t xml:space="preserve"> (</w:t>
      </w:r>
      <w:r>
        <w:t>F</w:t>
      </w:r>
      <w:r w:rsidRPr="00B1275F">
        <w:t xml:space="preserve">TRCT). </w:t>
      </w:r>
      <w:r w:rsidRPr="008310AA">
        <w:t>The commentary considered that the transition probabilities of health state: tear fails to heal (REGENETEN</w:t>
      </w:r>
      <w:proofErr w:type="gramStart"/>
      <w:r w:rsidRPr="008310AA">
        <w:t>)</w:t>
      </w:r>
      <w:proofErr w:type="gramEnd"/>
      <w:r w:rsidR="00B21088">
        <w:t xml:space="preserve"> and</w:t>
      </w:r>
      <w:r w:rsidRPr="008310AA">
        <w:t xml:space="preserve"> tear fails to heal (Standard of care), </w:t>
      </w:r>
      <w:r>
        <w:t>u</w:t>
      </w:r>
      <w:r w:rsidRPr="008310AA">
        <w:t xml:space="preserve">tility value of </w:t>
      </w:r>
      <w:r w:rsidR="008E13D1">
        <w:t>CM</w:t>
      </w:r>
      <w:r w:rsidRPr="008310AA">
        <w:t xml:space="preserve"> after tear fails to heal and the </w:t>
      </w:r>
      <w:r>
        <w:t>c</w:t>
      </w:r>
      <w:r w:rsidRPr="008310AA">
        <w:t xml:space="preserve">ost of REGENETEN kit </w:t>
      </w:r>
      <w:r w:rsidR="0020618D">
        <w:t>we</w:t>
      </w:r>
      <w:r w:rsidRPr="008310AA">
        <w:t xml:space="preserve">re the key drivers of the model. </w:t>
      </w:r>
      <w:r>
        <w:fldChar w:fldCharType="begin"/>
      </w:r>
      <w:r>
        <w:instrText xml:space="preserve"> REF _Ref163180337 \h </w:instrText>
      </w:r>
      <w:r>
        <w:fldChar w:fldCharType="separate"/>
      </w:r>
      <w:r w:rsidR="00D20FBE" w:rsidRPr="00CE28E3">
        <w:t>Table</w:t>
      </w:r>
      <w:r w:rsidR="00D20FBE">
        <w:t> </w:t>
      </w:r>
      <w:r w:rsidR="00331E29">
        <w:rPr>
          <w:noProof/>
        </w:rPr>
        <w:t>16</w:t>
      </w:r>
      <w:r>
        <w:fldChar w:fldCharType="end"/>
      </w:r>
      <w:r>
        <w:t xml:space="preserve"> summarise</w:t>
      </w:r>
      <w:r w:rsidR="0020618D">
        <w:t>d</w:t>
      </w:r>
      <w:r>
        <w:t xml:space="preserve"> the key drivers of the model. </w:t>
      </w:r>
      <w:r w:rsidRPr="00B1275F">
        <w:t xml:space="preserve"> </w:t>
      </w:r>
    </w:p>
    <w:p w14:paraId="222EC472" w14:textId="090C220E" w:rsidR="0071694A" w:rsidRPr="00CE28E3" w:rsidRDefault="0071694A" w:rsidP="00902A04">
      <w:pPr>
        <w:pStyle w:val="Caption"/>
        <w:keepLines/>
      </w:pPr>
      <w:bookmarkStart w:id="89" w:name="_Ref163180337"/>
      <w:r w:rsidRPr="00CE28E3">
        <w:lastRenderedPageBreak/>
        <w:t>Table</w:t>
      </w:r>
      <w:r>
        <w:t> </w:t>
      </w:r>
      <w:r>
        <w:fldChar w:fldCharType="begin"/>
      </w:r>
      <w:r>
        <w:instrText xml:space="preserve"> SEQ Table \* ARABIC </w:instrText>
      </w:r>
      <w:r>
        <w:fldChar w:fldCharType="separate"/>
      </w:r>
      <w:r w:rsidR="00331E29">
        <w:rPr>
          <w:noProof/>
        </w:rPr>
        <w:t>16</w:t>
      </w:r>
      <w:r>
        <w:rPr>
          <w:noProof/>
        </w:rPr>
        <w:fldChar w:fldCharType="end"/>
      </w:r>
      <w:bookmarkEnd w:id="89"/>
      <w:r>
        <w:rPr>
          <w:noProof/>
        </w:rPr>
        <w:t>:</w:t>
      </w:r>
      <w:r w:rsidRPr="00CE28E3">
        <w:tab/>
        <w:t>Key drivers of the model</w:t>
      </w:r>
      <w:r>
        <w:t xml:space="preserve"> for Population 2: FTRCT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3260"/>
        <w:gridCol w:w="3776"/>
      </w:tblGrid>
      <w:tr w:rsidR="0071694A" w:rsidRPr="00CE28E3" w14:paraId="7DF79F36" w14:textId="77777777" w:rsidTr="00551083">
        <w:trPr>
          <w:tblHeader/>
        </w:trPr>
        <w:tc>
          <w:tcPr>
            <w:tcW w:w="1098" w:type="pct"/>
            <w:shd w:val="clear" w:color="auto" w:fill="auto"/>
            <w:vAlign w:val="center"/>
          </w:tcPr>
          <w:p w14:paraId="773315FD" w14:textId="77777777" w:rsidR="0071694A" w:rsidRPr="00CD76DA" w:rsidRDefault="0071694A" w:rsidP="00902A04">
            <w:pPr>
              <w:pStyle w:val="TableText"/>
              <w:keepNext/>
              <w:keepLines/>
              <w:rPr>
                <w:b/>
                <w:bCs/>
              </w:rPr>
            </w:pPr>
            <w:r w:rsidRPr="00CD76DA">
              <w:rPr>
                <w:b/>
                <w:bCs/>
              </w:rPr>
              <w:t>Description</w:t>
            </w:r>
          </w:p>
        </w:tc>
        <w:tc>
          <w:tcPr>
            <w:tcW w:w="1808" w:type="pct"/>
            <w:shd w:val="clear" w:color="auto" w:fill="auto"/>
            <w:vAlign w:val="center"/>
          </w:tcPr>
          <w:p w14:paraId="7DDF7D2C" w14:textId="77777777" w:rsidR="0071694A" w:rsidRPr="00CD76DA" w:rsidRDefault="0071694A" w:rsidP="00902A04">
            <w:pPr>
              <w:pStyle w:val="TableText"/>
              <w:keepNext/>
              <w:keepLines/>
              <w:rPr>
                <w:b/>
                <w:bCs/>
              </w:rPr>
            </w:pPr>
            <w:r w:rsidRPr="00CD76DA">
              <w:rPr>
                <w:b/>
                <w:bCs/>
              </w:rPr>
              <w:t>Method/Value</w:t>
            </w:r>
          </w:p>
        </w:tc>
        <w:tc>
          <w:tcPr>
            <w:tcW w:w="2094" w:type="pct"/>
            <w:shd w:val="clear" w:color="auto" w:fill="auto"/>
            <w:vAlign w:val="center"/>
          </w:tcPr>
          <w:p w14:paraId="01D20157" w14:textId="77777777" w:rsidR="0071694A" w:rsidRPr="00CD76DA" w:rsidRDefault="0071694A" w:rsidP="00902A04">
            <w:pPr>
              <w:pStyle w:val="TableText"/>
              <w:keepNext/>
              <w:keepLines/>
              <w:rPr>
                <w:b/>
                <w:bCs/>
              </w:rPr>
            </w:pPr>
            <w:r w:rsidRPr="00CD76DA">
              <w:rPr>
                <w:b/>
                <w:bCs/>
              </w:rPr>
              <w:t>Impact</w:t>
            </w:r>
          </w:p>
          <w:p w14:paraId="708A1FEC" w14:textId="6CB40DF9" w:rsidR="0071694A" w:rsidRPr="00CD76DA" w:rsidRDefault="0071694A" w:rsidP="00902A04">
            <w:pPr>
              <w:pStyle w:val="TableText"/>
              <w:keepNext/>
              <w:keepLines/>
              <w:rPr>
                <w:b/>
                <w:bCs/>
              </w:rPr>
            </w:pPr>
            <w:r w:rsidRPr="00CD76DA">
              <w:rPr>
                <w:rFonts w:cs="Arial"/>
                <w:b/>
                <w:bCs/>
                <w:szCs w:val="20"/>
              </w:rPr>
              <w:t xml:space="preserve">Base case: </w:t>
            </w:r>
            <w:r w:rsidR="00FA2718" w:rsidRPr="00E477C8">
              <w:rPr>
                <w:b/>
                <w:bCs/>
              </w:rPr>
              <w:t>redacted</w:t>
            </w:r>
            <w:r w:rsidR="00FA2718">
              <w:t xml:space="preserve"> </w:t>
            </w:r>
            <w:r w:rsidRPr="00CD76DA">
              <w:rPr>
                <w:rFonts w:cs="Arial"/>
                <w:b/>
                <w:bCs/>
                <w:szCs w:val="20"/>
              </w:rPr>
              <w:t>/</w:t>
            </w:r>
            <w:r>
              <w:rPr>
                <w:rFonts w:cs="Arial"/>
                <w:b/>
                <w:bCs/>
                <w:szCs w:val="20"/>
              </w:rPr>
              <w:t>QALY</w:t>
            </w:r>
            <w:r w:rsidRPr="00CD76DA">
              <w:rPr>
                <w:rFonts w:cs="Arial"/>
                <w:b/>
                <w:bCs/>
                <w:szCs w:val="20"/>
              </w:rPr>
              <w:t xml:space="preserve"> gained</w:t>
            </w:r>
          </w:p>
        </w:tc>
      </w:tr>
      <w:tr w:rsidR="0071694A" w:rsidRPr="00CE28E3" w14:paraId="277DBA7D" w14:textId="77777777" w:rsidTr="00551083">
        <w:tc>
          <w:tcPr>
            <w:tcW w:w="1098" w:type="pct"/>
            <w:vAlign w:val="center"/>
          </w:tcPr>
          <w:p w14:paraId="1FA3E2EA" w14:textId="77777777" w:rsidR="0071694A" w:rsidRPr="00B821D3" w:rsidRDefault="0071694A" w:rsidP="00902A04">
            <w:pPr>
              <w:pStyle w:val="TableText"/>
              <w:keepNext/>
              <w:keepLines/>
            </w:pPr>
            <w:r w:rsidRPr="00B821D3">
              <w:t>Probability of tear fails to heal (REGENETEN)</w:t>
            </w:r>
          </w:p>
        </w:tc>
        <w:tc>
          <w:tcPr>
            <w:tcW w:w="1808" w:type="pct"/>
            <w:shd w:val="clear" w:color="auto" w:fill="auto"/>
            <w:vAlign w:val="center"/>
          </w:tcPr>
          <w:p w14:paraId="6D44EE11" w14:textId="77777777" w:rsidR="0071694A" w:rsidRDefault="0071694A" w:rsidP="00902A04">
            <w:pPr>
              <w:pStyle w:val="TableText"/>
              <w:keepNext/>
              <w:keepLines/>
            </w:pPr>
            <w:r w:rsidRPr="00B821D3">
              <w:t xml:space="preserve">Percentage of patients with tear fails to heal in REGENETEN group was based on </w:t>
            </w:r>
            <w:r>
              <w:t xml:space="preserve">mean </w:t>
            </w:r>
            <w:r w:rsidRPr="00B821D3">
              <w:t>retear rates</w:t>
            </w:r>
            <w:r>
              <w:t xml:space="preserve"> (CI) </w:t>
            </w:r>
            <w:r w:rsidRPr="00AC1823">
              <w:t>3.6% - 18.1%</w:t>
            </w:r>
          </w:p>
          <w:p w14:paraId="086DF1D3" w14:textId="77777777" w:rsidR="0071694A" w:rsidRPr="00B821D3" w:rsidRDefault="0071694A" w:rsidP="00902A04">
            <w:pPr>
              <w:pStyle w:val="TableText"/>
              <w:keepNext/>
              <w:keepLines/>
            </w:pPr>
          </w:p>
        </w:tc>
        <w:tc>
          <w:tcPr>
            <w:tcW w:w="2094" w:type="pct"/>
            <w:shd w:val="clear" w:color="auto" w:fill="auto"/>
            <w:vAlign w:val="center"/>
          </w:tcPr>
          <w:p w14:paraId="7CE2D1A3" w14:textId="77777777" w:rsidR="0071694A" w:rsidRPr="008E13D1" w:rsidRDefault="0071694A" w:rsidP="00902A04">
            <w:pPr>
              <w:pStyle w:val="TableText"/>
              <w:keepNext/>
              <w:keepLines/>
            </w:pPr>
            <w:r w:rsidRPr="008E13D1">
              <w:t>High, favours standard care</w:t>
            </w:r>
          </w:p>
          <w:p w14:paraId="24915DF1" w14:textId="5288FF52" w:rsidR="0071694A" w:rsidRDefault="0071694A" w:rsidP="00902A04">
            <w:pPr>
              <w:pStyle w:val="TableText"/>
              <w:keepNext/>
              <w:keepLines/>
            </w:pPr>
            <w:r w:rsidRPr="00B821D3">
              <w:t xml:space="preserve">Use of 18.1% higher value for the REGENETEN increases the ICER to </w:t>
            </w:r>
            <w:r w:rsidR="00C87DC6" w:rsidRPr="00E477C8">
              <w:rPr>
                <w:b/>
                <w:bCs/>
              </w:rPr>
              <w:t>redacted</w:t>
            </w:r>
            <w:r w:rsidR="00C87DC6">
              <w:t xml:space="preserve"> </w:t>
            </w:r>
            <w:r w:rsidRPr="00B821D3">
              <w:t>/QALY</w:t>
            </w:r>
            <w:r>
              <w:t xml:space="preserve"> gained</w:t>
            </w:r>
          </w:p>
          <w:p w14:paraId="77CDA69D" w14:textId="77777777" w:rsidR="0071694A" w:rsidRPr="00B821D3" w:rsidRDefault="0071694A" w:rsidP="00902A04">
            <w:pPr>
              <w:pStyle w:val="TableText"/>
              <w:keepNext/>
              <w:keepLines/>
            </w:pPr>
            <w:r>
              <w:t xml:space="preserve">Use of </w:t>
            </w:r>
          </w:p>
        </w:tc>
      </w:tr>
      <w:tr w:rsidR="0071694A" w:rsidRPr="00CE28E3" w14:paraId="588F8B9D" w14:textId="77777777" w:rsidTr="00551083">
        <w:tc>
          <w:tcPr>
            <w:tcW w:w="1098" w:type="pct"/>
            <w:vAlign w:val="center"/>
          </w:tcPr>
          <w:p w14:paraId="1D682527" w14:textId="77777777" w:rsidR="0071694A" w:rsidRPr="00B821D3" w:rsidRDefault="0071694A" w:rsidP="00551083">
            <w:pPr>
              <w:pStyle w:val="TableText"/>
            </w:pPr>
            <w:r w:rsidRPr="00B821D3">
              <w:t>Probability of tear fails to heal (Standard of care)</w:t>
            </w:r>
          </w:p>
        </w:tc>
        <w:tc>
          <w:tcPr>
            <w:tcW w:w="1808" w:type="pct"/>
            <w:shd w:val="clear" w:color="auto" w:fill="auto"/>
            <w:vAlign w:val="center"/>
          </w:tcPr>
          <w:p w14:paraId="3F66178B" w14:textId="77777777" w:rsidR="0071694A" w:rsidRPr="00173112" w:rsidRDefault="0071694A" w:rsidP="00551083">
            <w:pPr>
              <w:pStyle w:val="TableText"/>
              <w:rPr>
                <w:rFonts w:ascii="Arial" w:hAnsi="Arial" w:cs="Arial"/>
                <w:sz w:val="18"/>
                <w:szCs w:val="18"/>
              </w:rPr>
            </w:pPr>
            <w:r w:rsidRPr="00173112">
              <w:rPr>
                <w:rFonts w:ascii="Arial" w:hAnsi="Arial" w:cs="Arial"/>
                <w:sz w:val="18"/>
                <w:szCs w:val="18"/>
              </w:rPr>
              <w:t xml:space="preserve">Percentage of patients with tear fails to heal in standard care group was based on retear rates CI </w:t>
            </w:r>
            <w:r w:rsidRPr="00AC1823">
              <w:rPr>
                <w:rFonts w:ascii="Arial" w:hAnsi="Arial" w:cs="Arial"/>
                <w:sz w:val="18"/>
                <w:szCs w:val="18"/>
              </w:rPr>
              <w:t xml:space="preserve">(16.6% - 37.9%) </w:t>
            </w:r>
          </w:p>
        </w:tc>
        <w:tc>
          <w:tcPr>
            <w:tcW w:w="2094" w:type="pct"/>
            <w:shd w:val="clear" w:color="auto" w:fill="auto"/>
            <w:vAlign w:val="center"/>
          </w:tcPr>
          <w:p w14:paraId="4AA2092F" w14:textId="77777777" w:rsidR="0071694A" w:rsidRPr="008E13D1" w:rsidRDefault="0071694A" w:rsidP="00551083">
            <w:pPr>
              <w:pStyle w:val="TableText"/>
            </w:pPr>
            <w:r w:rsidRPr="00B821D3">
              <w:t>high</w:t>
            </w:r>
            <w:r w:rsidRPr="0061781E">
              <w:t>,</w:t>
            </w:r>
            <w:r w:rsidRPr="008E13D1">
              <w:t xml:space="preserve"> </w:t>
            </w:r>
            <w:r>
              <w:t xml:space="preserve">favours </w:t>
            </w:r>
            <w:r w:rsidRPr="001F764F">
              <w:t>REGENETEN</w:t>
            </w:r>
          </w:p>
          <w:p w14:paraId="45473A2C" w14:textId="6CB7BBFC" w:rsidR="0071694A" w:rsidRPr="00B821D3" w:rsidRDefault="0071694A" w:rsidP="00551083">
            <w:pPr>
              <w:pStyle w:val="TableText"/>
            </w:pPr>
            <w:r w:rsidRPr="00B821D3">
              <w:t xml:space="preserve">Use of 16.6% lower value for the standard care increases the ICER to </w:t>
            </w:r>
            <w:r w:rsidR="00EA3FC8" w:rsidRPr="00E477C8">
              <w:rPr>
                <w:b/>
                <w:bCs/>
              </w:rPr>
              <w:t>redacted</w:t>
            </w:r>
            <w:r w:rsidR="00EA3FC8">
              <w:t xml:space="preserve"> </w:t>
            </w:r>
            <w:r w:rsidRPr="00B821D3">
              <w:t>/QALY</w:t>
            </w:r>
            <w:r>
              <w:t xml:space="preserve"> gained</w:t>
            </w:r>
          </w:p>
        </w:tc>
      </w:tr>
      <w:tr w:rsidR="0071694A" w:rsidRPr="00CE28E3" w14:paraId="54FD219D" w14:textId="77777777" w:rsidTr="00551083">
        <w:tc>
          <w:tcPr>
            <w:tcW w:w="1098" w:type="pct"/>
            <w:tcBorders>
              <w:bottom w:val="single" w:sz="4" w:space="0" w:color="auto"/>
            </w:tcBorders>
            <w:vAlign w:val="center"/>
          </w:tcPr>
          <w:p w14:paraId="15EBF9E1" w14:textId="77777777" w:rsidR="0071694A" w:rsidRPr="00B821D3" w:rsidRDefault="0071694A" w:rsidP="00551083">
            <w:pPr>
              <w:pStyle w:val="TableText"/>
            </w:pPr>
            <w:r w:rsidRPr="00B821D3">
              <w:t>Utility value of conservative management after tear fails to heal</w:t>
            </w:r>
          </w:p>
        </w:tc>
        <w:tc>
          <w:tcPr>
            <w:tcW w:w="1808" w:type="pct"/>
            <w:shd w:val="clear" w:color="auto" w:fill="auto"/>
            <w:vAlign w:val="center"/>
          </w:tcPr>
          <w:p w14:paraId="18DDD92C" w14:textId="77777777" w:rsidR="0071694A" w:rsidRPr="008E13D1" w:rsidRDefault="0071694A" w:rsidP="00551083">
            <w:pPr>
              <w:pStyle w:val="TableText"/>
            </w:pPr>
            <w:r w:rsidRPr="00B821D3">
              <w:t>Utility value of conservative management was based on preoperative utility value for FTRCT patients</w:t>
            </w:r>
            <w:r>
              <w:t xml:space="preserve"> (0.71) </w:t>
            </w:r>
          </w:p>
        </w:tc>
        <w:tc>
          <w:tcPr>
            <w:tcW w:w="2094" w:type="pct"/>
            <w:shd w:val="clear" w:color="auto" w:fill="auto"/>
            <w:vAlign w:val="center"/>
          </w:tcPr>
          <w:p w14:paraId="11E13BD0" w14:textId="77777777" w:rsidR="0071694A" w:rsidRPr="008E13D1" w:rsidRDefault="0071694A" w:rsidP="00551083">
            <w:pPr>
              <w:pStyle w:val="TableText"/>
            </w:pPr>
            <w:r w:rsidRPr="008E13D1">
              <w:t xml:space="preserve">High, favours </w:t>
            </w:r>
            <w:r>
              <w:t>REGENETEN</w:t>
            </w:r>
          </w:p>
          <w:p w14:paraId="08C05157" w14:textId="5FB3B286" w:rsidR="0071694A" w:rsidRPr="00B821D3" w:rsidRDefault="0071694A" w:rsidP="00551083">
            <w:pPr>
              <w:pStyle w:val="TableText"/>
            </w:pPr>
            <w:r w:rsidRPr="00B821D3">
              <w:t xml:space="preserve">Use of 10% higher value (0.781) for the standard care increases the ICER </w:t>
            </w:r>
            <w:r w:rsidR="00EA3FC8" w:rsidRPr="00E477C8">
              <w:rPr>
                <w:b/>
                <w:bCs/>
              </w:rPr>
              <w:t>redacted</w:t>
            </w:r>
            <w:r w:rsidR="00EA3FC8">
              <w:t xml:space="preserve"> </w:t>
            </w:r>
            <w:r w:rsidRPr="00B821D3">
              <w:t>/QALY</w:t>
            </w:r>
            <w:r>
              <w:t xml:space="preserve"> gained.</w:t>
            </w:r>
          </w:p>
        </w:tc>
      </w:tr>
      <w:tr w:rsidR="0071694A" w:rsidRPr="00CE28E3" w14:paraId="70C5CE2A" w14:textId="77777777" w:rsidTr="00173112">
        <w:tc>
          <w:tcPr>
            <w:tcW w:w="1098" w:type="pct"/>
            <w:vAlign w:val="center"/>
          </w:tcPr>
          <w:p w14:paraId="0DFF67EB" w14:textId="77777777" w:rsidR="0071694A" w:rsidRPr="00B821D3" w:rsidRDefault="0071694A" w:rsidP="00551083">
            <w:pPr>
              <w:pStyle w:val="TableText"/>
            </w:pPr>
            <w:r w:rsidRPr="00B821D3">
              <w:t>Cost of REGENETEN kit</w:t>
            </w:r>
          </w:p>
        </w:tc>
        <w:tc>
          <w:tcPr>
            <w:tcW w:w="1808" w:type="pct"/>
            <w:shd w:val="clear" w:color="auto" w:fill="auto"/>
            <w:vAlign w:val="center"/>
          </w:tcPr>
          <w:p w14:paraId="1A425AB8" w14:textId="77777777" w:rsidR="0071694A" w:rsidRPr="00B821D3" w:rsidRDefault="0071694A" w:rsidP="00551083">
            <w:pPr>
              <w:pStyle w:val="TableText"/>
            </w:pPr>
            <w:r w:rsidRPr="00B821D3">
              <w:t>Cost of REGENETEN kit was based on fee allocated by the Applicant for the kit</w:t>
            </w:r>
          </w:p>
        </w:tc>
        <w:tc>
          <w:tcPr>
            <w:tcW w:w="2094" w:type="pct"/>
            <w:shd w:val="clear" w:color="auto" w:fill="auto"/>
            <w:vAlign w:val="center"/>
          </w:tcPr>
          <w:p w14:paraId="7E9F0F18" w14:textId="77777777" w:rsidR="0071694A" w:rsidRPr="008E13D1" w:rsidRDefault="0071694A" w:rsidP="00551083">
            <w:pPr>
              <w:pStyle w:val="TableText"/>
            </w:pPr>
            <w:r w:rsidRPr="008E13D1">
              <w:t xml:space="preserve">High, favours standard care </w:t>
            </w:r>
          </w:p>
          <w:p w14:paraId="37130C26" w14:textId="0BD4A1D0" w:rsidR="0071694A" w:rsidRPr="00B821D3" w:rsidRDefault="0071694A" w:rsidP="00551083">
            <w:pPr>
              <w:pStyle w:val="TableText"/>
            </w:pPr>
            <w:r w:rsidRPr="00B821D3">
              <w:t xml:space="preserve">Use of 20% high value for the REGENETEN kit increase the ICER </w:t>
            </w:r>
            <w:r w:rsidR="00EA3FC8" w:rsidRPr="00E477C8">
              <w:rPr>
                <w:b/>
                <w:bCs/>
              </w:rPr>
              <w:t>redacted</w:t>
            </w:r>
            <w:r w:rsidR="00EA3FC8">
              <w:t xml:space="preserve"> </w:t>
            </w:r>
            <w:r w:rsidRPr="00B821D3">
              <w:t>/QALY</w:t>
            </w:r>
            <w:r>
              <w:t xml:space="preserve"> gained</w:t>
            </w:r>
          </w:p>
        </w:tc>
      </w:tr>
    </w:tbl>
    <w:p w14:paraId="3EE4C304" w14:textId="77777777" w:rsidR="0071694A" w:rsidRPr="00B821D3" w:rsidRDefault="0071694A" w:rsidP="0071694A">
      <w:pPr>
        <w:pStyle w:val="Tablenotes"/>
        <w:rPr>
          <w:rFonts w:eastAsia="Calibri"/>
        </w:rPr>
      </w:pPr>
      <w:r w:rsidRPr="00B821D3">
        <w:rPr>
          <w:rFonts w:eastAsia="Calibri"/>
        </w:rPr>
        <w:t>Source: Table 73, pg16</w:t>
      </w:r>
      <w:r>
        <w:rPr>
          <w:rFonts w:eastAsia="Calibri"/>
        </w:rPr>
        <w:t>5-166</w:t>
      </w:r>
      <w:r w:rsidRPr="008310AA">
        <w:rPr>
          <w:rFonts w:eastAsia="Calibri"/>
        </w:rPr>
        <w:t xml:space="preserve"> </w:t>
      </w:r>
      <w:r w:rsidRPr="00B821D3">
        <w:rPr>
          <w:rFonts w:eastAsia="Calibri"/>
        </w:rPr>
        <w:t xml:space="preserve">of the MSAC application 1593.1 ADAR + In line commentary </w:t>
      </w:r>
    </w:p>
    <w:p w14:paraId="691A4186" w14:textId="77777777" w:rsidR="0071694A" w:rsidRDefault="0071694A" w:rsidP="0071694A">
      <w:pPr>
        <w:pStyle w:val="Tablenotes"/>
        <w:rPr>
          <w:rFonts w:eastAsia="Calibri"/>
        </w:rPr>
      </w:pPr>
      <w:r w:rsidRPr="00B821D3">
        <w:rPr>
          <w:rFonts w:eastAsia="Calibri"/>
        </w:rPr>
        <w:t xml:space="preserve">Abbreviations: FTRCT = full-thickness rotator cuff tear; ICER = Incremental cost effectiveness ratio; QALY = Quality-adjusted life years </w:t>
      </w:r>
    </w:p>
    <w:p w14:paraId="010373C3" w14:textId="77777777" w:rsidR="00E01C3E" w:rsidRDefault="002B4F0C" w:rsidP="009A00F1">
      <w:bookmarkStart w:id="90" w:name="_Hlk166082418"/>
      <w:r w:rsidRPr="00431760">
        <w:t xml:space="preserve">The results of key </w:t>
      </w:r>
      <w:r w:rsidRPr="00431760">
        <w:rPr>
          <w:rStyle w:val="InstructionaltextChar"/>
          <w:color w:val="auto"/>
        </w:rPr>
        <w:t>univariate</w:t>
      </w:r>
      <w:r w:rsidRPr="00431760">
        <w:rPr>
          <w:rStyle w:val="InstructionaltextChar"/>
        </w:rPr>
        <w:t xml:space="preserve"> </w:t>
      </w:r>
      <w:r w:rsidRPr="00431760">
        <w:t xml:space="preserve">sensitivity analyses </w:t>
      </w:r>
      <w:r w:rsidR="00E45453" w:rsidRPr="00431760">
        <w:t>we</w:t>
      </w:r>
      <w:r w:rsidRPr="00431760">
        <w:t xml:space="preserve">re summarised in </w:t>
      </w:r>
      <w:r w:rsidRPr="00431760">
        <w:fldChar w:fldCharType="begin"/>
      </w:r>
      <w:r w:rsidRPr="00431760">
        <w:instrText xml:space="preserve"> REF _Ref163180358 \h </w:instrText>
      </w:r>
      <w:r w:rsidR="00BC428E" w:rsidRPr="00431760">
        <w:instrText xml:space="preserve"> \* MERGEFORMAT </w:instrText>
      </w:r>
      <w:r w:rsidRPr="00431760">
        <w:fldChar w:fldCharType="separate"/>
      </w:r>
      <w:r w:rsidR="002549FD">
        <w:t xml:space="preserve">Table </w:t>
      </w:r>
      <w:r w:rsidR="002549FD">
        <w:rPr>
          <w:noProof/>
        </w:rPr>
        <w:t>17</w:t>
      </w:r>
      <w:r w:rsidRPr="00431760">
        <w:fldChar w:fldCharType="end"/>
      </w:r>
      <w:r w:rsidRPr="00431760">
        <w:t xml:space="preserve">. </w:t>
      </w:r>
      <w:bookmarkStart w:id="91" w:name="_Hlk165987582"/>
    </w:p>
    <w:p w14:paraId="4957BD9D" w14:textId="775067F3" w:rsidR="00D5306E" w:rsidRDefault="00971582" w:rsidP="003B4E46">
      <w:r w:rsidRPr="00431760">
        <w:t xml:space="preserve">During the evaluation, </w:t>
      </w:r>
      <w:r w:rsidR="009A00F1" w:rsidRPr="00431760">
        <w:t xml:space="preserve">an additional sensitivity analysis was conducted to assess the impact of using utility values from the Ruiz </w:t>
      </w:r>
      <w:proofErr w:type="spellStart"/>
      <w:r w:rsidR="009A00F1">
        <w:t>Ibán</w:t>
      </w:r>
      <w:proofErr w:type="spellEnd"/>
      <w:r w:rsidR="009A00F1" w:rsidRPr="00431760">
        <w:t xml:space="preserve"> et al., 2023 trial </w:t>
      </w:r>
      <w:r w:rsidR="009A00F1" w:rsidRPr="00B821D3">
        <w:t xml:space="preserve">reported in </w:t>
      </w:r>
      <w:r w:rsidR="009A00F1" w:rsidRPr="00431760">
        <w:fldChar w:fldCharType="begin"/>
      </w:r>
      <w:r w:rsidR="009A00F1" w:rsidRPr="00431760">
        <w:instrText xml:space="preserve"> REF _Ref165987380 \h </w:instrText>
      </w:r>
      <w:r w:rsidR="009A00F1" w:rsidRPr="00B821D3">
        <w:instrText xml:space="preserve"> \* MERGEFORMAT </w:instrText>
      </w:r>
      <w:r w:rsidR="009A00F1" w:rsidRPr="00431760">
        <w:fldChar w:fldCharType="separate"/>
      </w:r>
      <w:r w:rsidR="009A00F1" w:rsidRPr="00B821D3">
        <w:rPr>
          <w:rFonts w:eastAsia="Times New Roman" w:cs="Times New Roman"/>
          <w:szCs w:val="20"/>
        </w:rPr>
        <w:t xml:space="preserve">Table </w:t>
      </w:r>
      <w:r w:rsidR="009A00F1" w:rsidRPr="00B821D3">
        <w:rPr>
          <w:rFonts w:eastAsia="Times New Roman" w:cs="Times New Roman"/>
          <w:noProof/>
          <w:szCs w:val="20"/>
        </w:rPr>
        <w:t>7</w:t>
      </w:r>
      <w:r w:rsidR="009A00F1" w:rsidRPr="00431760">
        <w:fldChar w:fldCharType="end"/>
      </w:r>
      <w:r w:rsidR="009A00F1" w:rsidRPr="00431760">
        <w:t xml:space="preserve">. The same approach was used as in the ADAR to assess the impact, acknowledging that the data reported in the Ruiz </w:t>
      </w:r>
      <w:proofErr w:type="spellStart"/>
      <w:r w:rsidR="009A00F1">
        <w:t>Ibán</w:t>
      </w:r>
      <w:proofErr w:type="spellEnd"/>
      <w:r w:rsidR="009A00F1" w:rsidRPr="00431760">
        <w:t xml:space="preserve"> et al, 2023 trial was for EQ-5D VAS values and approximation of utility values at different time points to utility values for tear heal and tear fail to heal health states was not accurate. The additional sensitivity analysis included values from the REGENETEN arm in Ruiz </w:t>
      </w:r>
      <w:proofErr w:type="spellStart"/>
      <w:r w:rsidR="009A00F1">
        <w:t>Ibán</w:t>
      </w:r>
      <w:proofErr w:type="spellEnd"/>
      <w:r w:rsidR="009A00F1" w:rsidRPr="00431760">
        <w:t xml:space="preserve"> et al., 2023 for both arms as in ADAR and a utility value of 0.68 for CM after incomplete healing, and 0.78 utility of first year follow up for successful surgery (first year) was assumed. Further, a utility value of 0.80 for successful surgery (second year) was included by assuming linear increase and extrapolating the utility from Year 1 the Ruiz </w:t>
      </w:r>
      <w:proofErr w:type="spellStart"/>
      <w:r w:rsidR="009A00F1">
        <w:t>Ibán</w:t>
      </w:r>
      <w:proofErr w:type="spellEnd"/>
      <w:r w:rsidR="009A00F1" w:rsidRPr="00431760">
        <w:t xml:space="preserve"> et al, 2023 trial to a second year. Applying the utility values from the Ruiz </w:t>
      </w:r>
      <w:proofErr w:type="spellStart"/>
      <w:r w:rsidR="009A00F1">
        <w:t>Ibán</w:t>
      </w:r>
      <w:proofErr w:type="spellEnd"/>
      <w:r w:rsidR="009A00F1" w:rsidRPr="00431760">
        <w:t xml:space="preserve"> study increased the ICER to </w:t>
      </w:r>
      <w:r w:rsidR="00EA3FC8" w:rsidRPr="00E477C8">
        <w:rPr>
          <w:b/>
          <w:bCs/>
        </w:rPr>
        <w:t>redacted</w:t>
      </w:r>
      <w:r w:rsidR="009A00F1" w:rsidRPr="00431760">
        <w:t xml:space="preserve">. </w:t>
      </w:r>
      <w:r w:rsidR="0043373C" w:rsidRPr="0043373C">
        <w:t xml:space="preserve"> </w:t>
      </w:r>
      <w:r w:rsidR="0051017F">
        <w:rPr>
          <w:i/>
          <w:iCs/>
        </w:rPr>
        <w:t xml:space="preserve">ESC </w:t>
      </w:r>
      <w:r w:rsidR="00E03CA2">
        <w:rPr>
          <w:i/>
          <w:iCs/>
        </w:rPr>
        <w:t xml:space="preserve">considered </w:t>
      </w:r>
      <w:r w:rsidR="00E03CA2" w:rsidRPr="00753492">
        <w:rPr>
          <w:i/>
          <w:iCs/>
        </w:rPr>
        <w:t>the assumption that the utility of patients with incomplete healing and then successful revision surgery would be lower than CM was clinically implausible</w:t>
      </w:r>
      <w:r w:rsidR="00051F69">
        <w:rPr>
          <w:i/>
          <w:iCs/>
        </w:rPr>
        <w:t>.</w:t>
      </w:r>
      <w:r w:rsidR="00E03CA2">
        <w:rPr>
          <w:i/>
          <w:iCs/>
        </w:rPr>
        <w:t xml:space="preserve"> </w:t>
      </w:r>
      <w:r w:rsidR="0043373C" w:rsidRPr="003204C0">
        <w:rPr>
          <w:i/>
          <w:iCs/>
        </w:rPr>
        <w:t>ESC considered the estimates in the ADAR to be an appropriate proxy and did not support the</w:t>
      </w:r>
      <w:r w:rsidR="002E01D4">
        <w:rPr>
          <w:i/>
          <w:iCs/>
        </w:rPr>
        <w:t xml:space="preserve"> </w:t>
      </w:r>
      <w:r w:rsidR="0043373C" w:rsidRPr="003204C0">
        <w:rPr>
          <w:i/>
          <w:iCs/>
        </w:rPr>
        <w:t xml:space="preserve">utility values </w:t>
      </w:r>
      <w:r w:rsidR="00173C1D">
        <w:rPr>
          <w:i/>
          <w:iCs/>
        </w:rPr>
        <w:t>used to conduct the additional sensitivity analyses.</w:t>
      </w:r>
      <w:r w:rsidR="00B937C3" w:rsidRPr="00B937C3" w:rsidDel="00B937C3">
        <w:rPr>
          <w:i/>
          <w:iCs/>
        </w:rPr>
        <w:t xml:space="preserve"> </w:t>
      </w:r>
    </w:p>
    <w:p w14:paraId="48931302" w14:textId="3BDE5FB5" w:rsidR="003F3740" w:rsidRDefault="003F3740" w:rsidP="003F3740">
      <w:pPr>
        <w:pStyle w:val="TableHeading0"/>
        <w:keepNext/>
      </w:pPr>
      <w:bookmarkStart w:id="92" w:name="_Ref163180358"/>
      <w:bookmarkStart w:id="93" w:name="_Toc69491426"/>
      <w:bookmarkEnd w:id="54"/>
      <w:bookmarkEnd w:id="55"/>
      <w:bookmarkEnd w:id="68"/>
      <w:bookmarkEnd w:id="90"/>
      <w:bookmarkEnd w:id="91"/>
      <w:r>
        <w:t xml:space="preserve">Table </w:t>
      </w:r>
      <w:r>
        <w:fldChar w:fldCharType="begin"/>
      </w:r>
      <w:r>
        <w:instrText xml:space="preserve"> SEQ Table \* ARABIC </w:instrText>
      </w:r>
      <w:r>
        <w:fldChar w:fldCharType="separate"/>
      </w:r>
      <w:r w:rsidR="00F91E06">
        <w:rPr>
          <w:noProof/>
        </w:rPr>
        <w:t>17</w:t>
      </w:r>
      <w:r>
        <w:rPr>
          <w:noProof/>
        </w:rPr>
        <w:fldChar w:fldCharType="end"/>
      </w:r>
      <w:bookmarkEnd w:id="92"/>
      <w:r>
        <w:t xml:space="preserve">: </w:t>
      </w:r>
      <w:r w:rsidRPr="00B1275F">
        <w:t xml:space="preserve">Sensitivity </w:t>
      </w:r>
      <w:r>
        <w:t>analyses</w:t>
      </w:r>
      <w:r w:rsidRPr="00B1275F">
        <w:t xml:space="preserve"> for </w:t>
      </w:r>
      <w:r>
        <w:t xml:space="preserve">Population 2: </w:t>
      </w:r>
      <w:r w:rsidRPr="00B1275F">
        <w:t>FTRCT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92"/>
        <w:gridCol w:w="1659"/>
        <w:gridCol w:w="1659"/>
      </w:tblGrid>
      <w:tr w:rsidR="003F3740" w:rsidRPr="00CE28E3" w14:paraId="191C90F1" w14:textId="77777777" w:rsidTr="00551083">
        <w:trPr>
          <w:trHeight w:val="420"/>
          <w:tblHeader/>
        </w:trPr>
        <w:tc>
          <w:tcPr>
            <w:tcW w:w="2277" w:type="pct"/>
            <w:vAlign w:val="center"/>
          </w:tcPr>
          <w:p w14:paraId="4D4D1715" w14:textId="77777777" w:rsidR="003F3740" w:rsidRPr="00CE28E3" w:rsidRDefault="003F3740" w:rsidP="00551083">
            <w:pPr>
              <w:pStyle w:val="In-tableHeading"/>
            </w:pPr>
            <w:bookmarkStart w:id="94" w:name="_Hlk165480614"/>
            <w:r w:rsidRPr="00CE28E3">
              <w:t>Analyses</w:t>
            </w:r>
          </w:p>
        </w:tc>
        <w:tc>
          <w:tcPr>
            <w:tcW w:w="883" w:type="pct"/>
            <w:vAlign w:val="center"/>
          </w:tcPr>
          <w:p w14:paraId="217B54ED" w14:textId="77777777" w:rsidR="003F3740" w:rsidRPr="00CE28E3" w:rsidRDefault="003F3740" w:rsidP="00551083">
            <w:pPr>
              <w:pStyle w:val="In-tableHeading"/>
              <w:jc w:val="center"/>
            </w:pPr>
            <w:r w:rsidRPr="00CE28E3">
              <w:t>Incremental cost</w:t>
            </w:r>
          </w:p>
        </w:tc>
        <w:tc>
          <w:tcPr>
            <w:tcW w:w="920" w:type="pct"/>
            <w:vAlign w:val="center"/>
          </w:tcPr>
          <w:p w14:paraId="1375C8D7" w14:textId="124879E6" w:rsidR="003F3740" w:rsidRPr="00CE28E3" w:rsidRDefault="003F3740" w:rsidP="00551083">
            <w:pPr>
              <w:pStyle w:val="In-tableHeading"/>
              <w:jc w:val="center"/>
            </w:pPr>
            <w:r w:rsidRPr="00CE28E3">
              <w:t xml:space="preserve">Incremental </w:t>
            </w:r>
            <w:r>
              <w:t>outcomes</w:t>
            </w:r>
          </w:p>
        </w:tc>
        <w:tc>
          <w:tcPr>
            <w:tcW w:w="920" w:type="pct"/>
            <w:vAlign w:val="center"/>
          </w:tcPr>
          <w:p w14:paraId="28A6912F" w14:textId="77777777" w:rsidR="003F3740" w:rsidRPr="00CE28E3" w:rsidRDefault="003F3740" w:rsidP="00551083">
            <w:pPr>
              <w:pStyle w:val="In-tableHeading"/>
              <w:jc w:val="center"/>
            </w:pPr>
            <w:r w:rsidRPr="00CE28E3">
              <w:t>ICER</w:t>
            </w:r>
            <w:r>
              <w:t xml:space="preserve"> per QALY</w:t>
            </w:r>
          </w:p>
        </w:tc>
      </w:tr>
      <w:tr w:rsidR="00EA3FC8" w:rsidRPr="00CE28E3" w14:paraId="01D45CBB" w14:textId="77777777" w:rsidTr="00551083">
        <w:tc>
          <w:tcPr>
            <w:tcW w:w="2277" w:type="pct"/>
          </w:tcPr>
          <w:p w14:paraId="77F1315C" w14:textId="77777777" w:rsidR="00EA3FC8" w:rsidRPr="00CE28E3" w:rsidRDefault="00EA3FC8" w:rsidP="00EA3FC8">
            <w:pPr>
              <w:pStyle w:val="TableText"/>
              <w:keepNext/>
              <w:rPr>
                <w:b/>
              </w:rPr>
            </w:pPr>
            <w:r w:rsidRPr="00CE28E3">
              <w:rPr>
                <w:b/>
              </w:rPr>
              <w:t>Base case</w:t>
            </w:r>
          </w:p>
        </w:tc>
        <w:tc>
          <w:tcPr>
            <w:tcW w:w="883" w:type="pct"/>
          </w:tcPr>
          <w:p w14:paraId="7AFF7F05" w14:textId="62B0C8BD" w:rsidR="00EA3FC8" w:rsidRPr="00EA4B86" w:rsidRDefault="00EA3FC8" w:rsidP="00EA3FC8">
            <w:pPr>
              <w:pStyle w:val="TableText"/>
              <w:keepNext/>
              <w:jc w:val="center"/>
              <w:rPr>
                <w:b/>
                <w:bCs/>
                <w:highlight w:val="black"/>
              </w:rPr>
            </w:pPr>
            <w:r w:rsidRPr="00296FF9">
              <w:rPr>
                <w:b/>
                <w:bCs/>
              </w:rPr>
              <w:t>redacted</w:t>
            </w:r>
            <w:r w:rsidRPr="00296FF9">
              <w:t xml:space="preserve"> </w:t>
            </w:r>
          </w:p>
        </w:tc>
        <w:tc>
          <w:tcPr>
            <w:tcW w:w="920" w:type="pct"/>
          </w:tcPr>
          <w:p w14:paraId="36B8D289" w14:textId="29A6EB41" w:rsidR="00EA3FC8" w:rsidRPr="00D22BBA" w:rsidRDefault="00EA3FC8" w:rsidP="00EA3FC8">
            <w:pPr>
              <w:pStyle w:val="TableText"/>
              <w:keepNext/>
              <w:jc w:val="center"/>
              <w:rPr>
                <w:b/>
                <w:bCs/>
              </w:rPr>
            </w:pPr>
            <w:r w:rsidRPr="00F53F5C">
              <w:t>0.07</w:t>
            </w:r>
          </w:p>
        </w:tc>
        <w:tc>
          <w:tcPr>
            <w:tcW w:w="920" w:type="pct"/>
          </w:tcPr>
          <w:p w14:paraId="6B71A503" w14:textId="3311F76B" w:rsidR="00EA3FC8" w:rsidRPr="00EA4B86" w:rsidRDefault="00EA3FC8" w:rsidP="00EA3FC8">
            <w:pPr>
              <w:pStyle w:val="TableText"/>
              <w:keepNext/>
              <w:jc w:val="center"/>
              <w:rPr>
                <w:b/>
                <w:bCs/>
                <w:highlight w:val="black"/>
              </w:rPr>
            </w:pPr>
            <w:r w:rsidRPr="00296FF9">
              <w:rPr>
                <w:b/>
                <w:bCs/>
              </w:rPr>
              <w:t>redacted</w:t>
            </w:r>
            <w:r w:rsidRPr="00296FF9">
              <w:t xml:space="preserve"> </w:t>
            </w:r>
          </w:p>
        </w:tc>
      </w:tr>
      <w:tr w:rsidR="003F3740" w:rsidRPr="00CE28E3" w14:paraId="5CD5A38C" w14:textId="77777777" w:rsidTr="00551083">
        <w:tc>
          <w:tcPr>
            <w:tcW w:w="5000" w:type="pct"/>
            <w:gridSpan w:val="4"/>
          </w:tcPr>
          <w:p w14:paraId="4AF61021" w14:textId="77777777" w:rsidR="003F3740" w:rsidRPr="00B821D3" w:rsidRDefault="003F3740" w:rsidP="00551083">
            <w:pPr>
              <w:pStyle w:val="TableText"/>
              <w:keepNext/>
              <w:rPr>
                <w:b/>
                <w:bCs/>
                <w:szCs w:val="20"/>
              </w:rPr>
            </w:pPr>
            <w:r w:rsidRPr="00B821D3">
              <w:rPr>
                <w:b/>
                <w:bCs/>
                <w:szCs w:val="20"/>
              </w:rPr>
              <w:t>Discount rate (base case: 5% for both costs and outcomes)</w:t>
            </w:r>
          </w:p>
        </w:tc>
      </w:tr>
      <w:tr w:rsidR="00EA3FC8" w:rsidRPr="00CE28E3" w14:paraId="7FAC19FD" w14:textId="77777777" w:rsidTr="00551083">
        <w:tc>
          <w:tcPr>
            <w:tcW w:w="2277" w:type="pct"/>
          </w:tcPr>
          <w:p w14:paraId="0AF00F60" w14:textId="77777777" w:rsidR="00EA3FC8" w:rsidRPr="00014A2B" w:rsidRDefault="00EA3FC8" w:rsidP="00EA3FC8">
            <w:pPr>
              <w:pStyle w:val="TableText"/>
              <w:keepNext/>
              <w:rPr>
                <w:szCs w:val="20"/>
              </w:rPr>
            </w:pPr>
            <w:r w:rsidRPr="00014A2B">
              <w:rPr>
                <w:szCs w:val="20"/>
              </w:rPr>
              <w:t>3.5%</w:t>
            </w:r>
          </w:p>
        </w:tc>
        <w:tc>
          <w:tcPr>
            <w:tcW w:w="883" w:type="pct"/>
          </w:tcPr>
          <w:p w14:paraId="368A7D5D" w14:textId="534D87E8" w:rsidR="00EA3FC8" w:rsidRPr="00014A2B" w:rsidRDefault="00EA3FC8" w:rsidP="00EA3FC8">
            <w:pPr>
              <w:pStyle w:val="TableText"/>
              <w:keepNext/>
              <w:jc w:val="center"/>
              <w:rPr>
                <w:b/>
                <w:bCs/>
                <w:szCs w:val="20"/>
                <w:highlight w:val="black"/>
              </w:rPr>
            </w:pPr>
            <w:r w:rsidRPr="000128F1">
              <w:rPr>
                <w:b/>
                <w:bCs/>
              </w:rPr>
              <w:t>redacted</w:t>
            </w:r>
            <w:r w:rsidRPr="000128F1">
              <w:t xml:space="preserve"> </w:t>
            </w:r>
          </w:p>
        </w:tc>
        <w:tc>
          <w:tcPr>
            <w:tcW w:w="920" w:type="pct"/>
          </w:tcPr>
          <w:p w14:paraId="79F8280E" w14:textId="5B8B4904" w:rsidR="00EA3FC8" w:rsidRPr="00014A2B" w:rsidRDefault="00EA3FC8" w:rsidP="00EA3FC8">
            <w:pPr>
              <w:pStyle w:val="TableText"/>
              <w:keepNext/>
              <w:jc w:val="center"/>
              <w:rPr>
                <w:szCs w:val="20"/>
              </w:rPr>
            </w:pPr>
            <w:r w:rsidRPr="00014A2B">
              <w:rPr>
                <w:szCs w:val="20"/>
              </w:rPr>
              <w:t>0.07</w:t>
            </w:r>
          </w:p>
        </w:tc>
        <w:tc>
          <w:tcPr>
            <w:tcW w:w="920" w:type="pct"/>
          </w:tcPr>
          <w:p w14:paraId="4025A808" w14:textId="6063A66C" w:rsidR="00EA3FC8" w:rsidRPr="00014A2B" w:rsidRDefault="00EA3FC8" w:rsidP="00EA3FC8">
            <w:pPr>
              <w:pStyle w:val="TableText"/>
              <w:keepNext/>
              <w:jc w:val="center"/>
              <w:rPr>
                <w:szCs w:val="20"/>
                <w:highlight w:val="black"/>
              </w:rPr>
            </w:pPr>
            <w:r w:rsidRPr="000128F1">
              <w:rPr>
                <w:b/>
                <w:bCs/>
              </w:rPr>
              <w:t>redacted</w:t>
            </w:r>
            <w:r w:rsidRPr="000128F1">
              <w:t xml:space="preserve"> </w:t>
            </w:r>
          </w:p>
        </w:tc>
      </w:tr>
      <w:tr w:rsidR="00EA3FC8" w:rsidRPr="00CE28E3" w14:paraId="53B57905" w14:textId="77777777" w:rsidTr="00551083">
        <w:trPr>
          <w:trHeight w:val="283"/>
        </w:trPr>
        <w:tc>
          <w:tcPr>
            <w:tcW w:w="2277" w:type="pct"/>
          </w:tcPr>
          <w:p w14:paraId="086DEC02" w14:textId="77777777" w:rsidR="00EA3FC8" w:rsidRPr="00014A2B" w:rsidRDefault="00EA3FC8" w:rsidP="00EA3FC8">
            <w:pPr>
              <w:pStyle w:val="TableText"/>
              <w:keepNext/>
              <w:rPr>
                <w:szCs w:val="20"/>
              </w:rPr>
            </w:pPr>
            <w:r w:rsidRPr="00014A2B">
              <w:rPr>
                <w:szCs w:val="20"/>
              </w:rPr>
              <w:t>0%</w:t>
            </w:r>
          </w:p>
        </w:tc>
        <w:tc>
          <w:tcPr>
            <w:tcW w:w="883" w:type="pct"/>
          </w:tcPr>
          <w:p w14:paraId="7C03CE2F" w14:textId="69F46096" w:rsidR="00EA3FC8" w:rsidRPr="00014A2B" w:rsidRDefault="00EA3FC8" w:rsidP="00EA3FC8">
            <w:pPr>
              <w:pStyle w:val="TableText"/>
              <w:keepNext/>
              <w:jc w:val="center"/>
              <w:rPr>
                <w:b/>
                <w:bCs/>
                <w:szCs w:val="20"/>
                <w:highlight w:val="black"/>
              </w:rPr>
            </w:pPr>
            <w:r w:rsidRPr="000128F1">
              <w:rPr>
                <w:b/>
                <w:bCs/>
              </w:rPr>
              <w:t>redacted</w:t>
            </w:r>
            <w:r w:rsidRPr="000128F1">
              <w:t xml:space="preserve"> </w:t>
            </w:r>
          </w:p>
        </w:tc>
        <w:tc>
          <w:tcPr>
            <w:tcW w:w="920" w:type="pct"/>
          </w:tcPr>
          <w:p w14:paraId="3909C986" w14:textId="1212023B" w:rsidR="00EA3FC8" w:rsidRPr="00014A2B" w:rsidRDefault="00EA3FC8" w:rsidP="00EA3FC8">
            <w:pPr>
              <w:pStyle w:val="TableText"/>
              <w:keepNext/>
              <w:jc w:val="center"/>
              <w:rPr>
                <w:szCs w:val="20"/>
              </w:rPr>
            </w:pPr>
            <w:r w:rsidRPr="00014A2B">
              <w:rPr>
                <w:szCs w:val="20"/>
              </w:rPr>
              <w:t>0.07</w:t>
            </w:r>
          </w:p>
        </w:tc>
        <w:tc>
          <w:tcPr>
            <w:tcW w:w="920" w:type="pct"/>
          </w:tcPr>
          <w:p w14:paraId="4784FB9C" w14:textId="5F2A5526" w:rsidR="00EA3FC8" w:rsidRPr="00014A2B" w:rsidRDefault="00EA3FC8" w:rsidP="00EA3FC8">
            <w:pPr>
              <w:pStyle w:val="TableText"/>
              <w:keepNext/>
              <w:jc w:val="center"/>
              <w:rPr>
                <w:szCs w:val="20"/>
                <w:highlight w:val="black"/>
              </w:rPr>
            </w:pPr>
            <w:r w:rsidRPr="000128F1">
              <w:rPr>
                <w:b/>
                <w:bCs/>
              </w:rPr>
              <w:t>redacted</w:t>
            </w:r>
            <w:r w:rsidRPr="000128F1">
              <w:t xml:space="preserve"> </w:t>
            </w:r>
          </w:p>
        </w:tc>
      </w:tr>
      <w:tr w:rsidR="003F3740" w:rsidRPr="00CE28E3" w14:paraId="70D6BB18" w14:textId="77777777" w:rsidTr="00551083">
        <w:trPr>
          <w:trHeight w:val="111"/>
        </w:trPr>
        <w:tc>
          <w:tcPr>
            <w:tcW w:w="5000" w:type="pct"/>
            <w:gridSpan w:val="4"/>
          </w:tcPr>
          <w:p w14:paraId="73F09D7D" w14:textId="77777777" w:rsidR="003F3740" w:rsidRPr="00B821D3" w:rsidRDefault="003F3740" w:rsidP="00551083">
            <w:pPr>
              <w:pStyle w:val="TableText"/>
              <w:keepNext/>
              <w:tabs>
                <w:tab w:val="left" w:pos="941"/>
              </w:tabs>
              <w:rPr>
                <w:rFonts w:eastAsia="Calibri"/>
                <w:b/>
                <w:bCs/>
                <w:szCs w:val="20"/>
              </w:rPr>
            </w:pPr>
            <w:r w:rsidRPr="00B821D3">
              <w:rPr>
                <w:rFonts w:eastAsia="Calibri"/>
                <w:b/>
                <w:bCs/>
                <w:szCs w:val="20"/>
              </w:rPr>
              <w:t xml:space="preserve">Health state: tear fails to heal (REGENETEN) </w:t>
            </w:r>
            <w:r w:rsidRPr="00B821D3">
              <w:rPr>
                <w:b/>
                <w:bCs/>
                <w:szCs w:val="20"/>
              </w:rPr>
              <w:t>(base case: 8.3%)</w:t>
            </w:r>
          </w:p>
        </w:tc>
      </w:tr>
      <w:tr w:rsidR="00EA3FC8" w:rsidRPr="00CE28E3" w14:paraId="1320CF55" w14:textId="77777777" w:rsidTr="00240FC1">
        <w:trPr>
          <w:trHeight w:val="111"/>
        </w:trPr>
        <w:tc>
          <w:tcPr>
            <w:tcW w:w="2277" w:type="pct"/>
            <w:tcBorders>
              <w:top w:val="single" w:sz="4" w:space="0" w:color="auto"/>
              <w:left w:val="single" w:sz="4" w:space="0" w:color="auto"/>
              <w:bottom w:val="single" w:sz="4" w:space="0" w:color="auto"/>
              <w:right w:val="single" w:sz="4" w:space="0" w:color="auto"/>
            </w:tcBorders>
          </w:tcPr>
          <w:p w14:paraId="78D47D21" w14:textId="1CC62202" w:rsidR="00EA3FC8" w:rsidRPr="00014A2B" w:rsidRDefault="00EA3FC8" w:rsidP="00EA3FC8">
            <w:pPr>
              <w:pStyle w:val="TableText"/>
              <w:keepNext/>
              <w:rPr>
                <w:szCs w:val="20"/>
              </w:rPr>
            </w:pPr>
            <w:r>
              <w:rPr>
                <w:szCs w:val="20"/>
              </w:rPr>
              <w:t>Lower 95% CI</w:t>
            </w:r>
            <w:r w:rsidRPr="00014A2B">
              <w:rPr>
                <w:szCs w:val="20"/>
              </w:rPr>
              <w:t>: 3.6%</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0AD14D1C" w14:textId="761179E7" w:rsidR="00EA3FC8" w:rsidRPr="00014A2B" w:rsidRDefault="00EA3FC8" w:rsidP="00EA3FC8">
            <w:pPr>
              <w:pStyle w:val="TableText"/>
              <w:keepNext/>
              <w:jc w:val="center"/>
              <w:rPr>
                <w:rFonts w:eastAsia="Calibri"/>
                <w:szCs w:val="20"/>
              </w:rPr>
            </w:pPr>
            <w:r w:rsidRPr="005E0739">
              <w:rPr>
                <w:b/>
                <w:bCs/>
              </w:rPr>
              <w:t>redacted</w:t>
            </w:r>
            <w:r w:rsidRPr="005E0739">
              <w:t xml:space="preserve"> </w:t>
            </w:r>
          </w:p>
        </w:tc>
        <w:tc>
          <w:tcPr>
            <w:tcW w:w="920" w:type="pct"/>
            <w:tcBorders>
              <w:top w:val="single" w:sz="4" w:space="0" w:color="auto"/>
              <w:left w:val="single" w:sz="4" w:space="0" w:color="auto"/>
              <w:bottom w:val="single" w:sz="4" w:space="0" w:color="auto"/>
              <w:right w:val="single" w:sz="4" w:space="0" w:color="auto"/>
            </w:tcBorders>
          </w:tcPr>
          <w:p w14:paraId="1A87D0DD" w14:textId="4AE32345" w:rsidR="00EA3FC8" w:rsidRPr="00014A2B" w:rsidRDefault="00EA3FC8" w:rsidP="00EA3FC8">
            <w:pPr>
              <w:pStyle w:val="TableText"/>
              <w:keepNext/>
              <w:jc w:val="center"/>
              <w:rPr>
                <w:rFonts w:eastAsia="Calibri"/>
                <w:szCs w:val="20"/>
              </w:rPr>
            </w:pPr>
            <w:r w:rsidRPr="00014A2B">
              <w:rPr>
                <w:szCs w:val="20"/>
              </w:rPr>
              <w:t>0.09</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67646FC5" w14:textId="177E90BA" w:rsidR="00EA3FC8" w:rsidRPr="00014A2B" w:rsidRDefault="00EA3FC8" w:rsidP="00EA3FC8">
            <w:pPr>
              <w:pStyle w:val="TableText"/>
              <w:keepNext/>
              <w:jc w:val="center"/>
              <w:rPr>
                <w:rFonts w:eastAsia="Calibri"/>
                <w:szCs w:val="20"/>
              </w:rPr>
            </w:pPr>
            <w:r w:rsidRPr="005E0739">
              <w:rPr>
                <w:b/>
                <w:bCs/>
              </w:rPr>
              <w:t>redacted</w:t>
            </w:r>
            <w:r w:rsidRPr="005E0739">
              <w:t xml:space="preserve"> </w:t>
            </w:r>
          </w:p>
        </w:tc>
      </w:tr>
      <w:tr w:rsidR="00EA3FC8" w:rsidRPr="00CE28E3" w14:paraId="58CCCB10" w14:textId="77777777" w:rsidTr="00240FC1">
        <w:trPr>
          <w:trHeight w:val="111"/>
        </w:trPr>
        <w:tc>
          <w:tcPr>
            <w:tcW w:w="2277" w:type="pct"/>
            <w:tcBorders>
              <w:top w:val="single" w:sz="4" w:space="0" w:color="auto"/>
              <w:left w:val="single" w:sz="4" w:space="0" w:color="auto"/>
              <w:bottom w:val="single" w:sz="4" w:space="0" w:color="auto"/>
              <w:right w:val="single" w:sz="4" w:space="0" w:color="auto"/>
            </w:tcBorders>
          </w:tcPr>
          <w:p w14:paraId="6CBE9F88" w14:textId="78135C72" w:rsidR="00EA3FC8" w:rsidRPr="00014A2B" w:rsidRDefault="00EA3FC8" w:rsidP="00EA3FC8">
            <w:pPr>
              <w:pStyle w:val="TableText"/>
              <w:keepNext/>
              <w:rPr>
                <w:szCs w:val="20"/>
              </w:rPr>
            </w:pPr>
            <w:r>
              <w:rPr>
                <w:szCs w:val="20"/>
              </w:rPr>
              <w:t>Upper 95% CI</w:t>
            </w:r>
            <w:r w:rsidRPr="00014A2B">
              <w:rPr>
                <w:szCs w:val="20"/>
              </w:rPr>
              <w:t>: 18.1%</w:t>
            </w:r>
          </w:p>
        </w:tc>
        <w:tc>
          <w:tcPr>
            <w:tcW w:w="883" w:type="pct"/>
            <w:tcBorders>
              <w:top w:val="nil"/>
              <w:left w:val="single" w:sz="4" w:space="0" w:color="auto"/>
              <w:bottom w:val="single" w:sz="4" w:space="0" w:color="auto"/>
              <w:right w:val="single" w:sz="4" w:space="0" w:color="auto"/>
            </w:tcBorders>
            <w:shd w:val="clear" w:color="auto" w:fill="auto"/>
          </w:tcPr>
          <w:p w14:paraId="67FB1253" w14:textId="6D82E225" w:rsidR="00EA3FC8" w:rsidRPr="00014A2B" w:rsidRDefault="00EA3FC8" w:rsidP="00EA3FC8">
            <w:pPr>
              <w:pStyle w:val="TableText"/>
              <w:keepNext/>
              <w:jc w:val="center"/>
              <w:rPr>
                <w:rFonts w:eastAsia="Calibri"/>
                <w:szCs w:val="20"/>
              </w:rPr>
            </w:pPr>
            <w:r w:rsidRPr="005E0739">
              <w:rPr>
                <w:b/>
                <w:bCs/>
              </w:rPr>
              <w:t>redacted</w:t>
            </w:r>
            <w:r w:rsidRPr="005E0739">
              <w:t xml:space="preserve"> </w:t>
            </w:r>
          </w:p>
        </w:tc>
        <w:tc>
          <w:tcPr>
            <w:tcW w:w="920" w:type="pct"/>
            <w:tcBorders>
              <w:top w:val="single" w:sz="4" w:space="0" w:color="auto"/>
              <w:left w:val="single" w:sz="4" w:space="0" w:color="auto"/>
              <w:bottom w:val="single" w:sz="4" w:space="0" w:color="auto"/>
              <w:right w:val="single" w:sz="4" w:space="0" w:color="auto"/>
            </w:tcBorders>
          </w:tcPr>
          <w:p w14:paraId="25FAE5FA" w14:textId="66DEA0D2" w:rsidR="00EA3FC8" w:rsidRPr="00014A2B" w:rsidRDefault="00EA3FC8" w:rsidP="00EA3FC8">
            <w:pPr>
              <w:pStyle w:val="TableText"/>
              <w:keepNext/>
              <w:jc w:val="center"/>
              <w:rPr>
                <w:rFonts w:eastAsia="Calibri"/>
                <w:szCs w:val="20"/>
              </w:rPr>
            </w:pPr>
            <w:r w:rsidRPr="00014A2B">
              <w:rPr>
                <w:szCs w:val="20"/>
              </w:rPr>
              <w:t>0.03</w:t>
            </w:r>
          </w:p>
        </w:tc>
        <w:tc>
          <w:tcPr>
            <w:tcW w:w="920" w:type="pct"/>
            <w:tcBorders>
              <w:top w:val="nil"/>
              <w:left w:val="single" w:sz="4" w:space="0" w:color="auto"/>
              <w:bottom w:val="single" w:sz="4" w:space="0" w:color="auto"/>
              <w:right w:val="single" w:sz="4" w:space="0" w:color="auto"/>
            </w:tcBorders>
            <w:shd w:val="clear" w:color="auto" w:fill="auto"/>
          </w:tcPr>
          <w:p w14:paraId="255569E9" w14:textId="512A9695" w:rsidR="00EA3FC8" w:rsidRPr="00014A2B" w:rsidRDefault="00EA3FC8" w:rsidP="00EA3FC8">
            <w:pPr>
              <w:pStyle w:val="TableText"/>
              <w:keepNext/>
              <w:jc w:val="center"/>
              <w:rPr>
                <w:rFonts w:eastAsia="Calibri"/>
                <w:szCs w:val="20"/>
              </w:rPr>
            </w:pPr>
            <w:r w:rsidRPr="005E0739">
              <w:rPr>
                <w:b/>
                <w:bCs/>
              </w:rPr>
              <w:t>redacted</w:t>
            </w:r>
            <w:r w:rsidRPr="005E0739">
              <w:t xml:space="preserve"> </w:t>
            </w:r>
          </w:p>
        </w:tc>
      </w:tr>
      <w:tr w:rsidR="003F3740" w:rsidRPr="00CE28E3" w14:paraId="12F07BA1" w14:textId="77777777" w:rsidTr="00551083">
        <w:trPr>
          <w:trHeight w:val="111"/>
        </w:trPr>
        <w:tc>
          <w:tcPr>
            <w:tcW w:w="5000" w:type="pct"/>
            <w:gridSpan w:val="4"/>
            <w:vAlign w:val="center"/>
          </w:tcPr>
          <w:p w14:paraId="4397003A" w14:textId="77777777" w:rsidR="003F3740" w:rsidRPr="00015B66" w:rsidRDefault="003F3740" w:rsidP="00551083">
            <w:pPr>
              <w:pStyle w:val="TableText"/>
              <w:keepNext/>
              <w:rPr>
                <w:rFonts w:eastAsia="Calibri"/>
                <w:b/>
                <w:bCs/>
                <w:szCs w:val="20"/>
              </w:rPr>
            </w:pPr>
            <w:r w:rsidRPr="00B821D3">
              <w:rPr>
                <w:rFonts w:eastAsia="Calibri"/>
                <w:b/>
                <w:bCs/>
                <w:szCs w:val="20"/>
              </w:rPr>
              <w:t xml:space="preserve">Health state: tear fails to heal (Standard of care) </w:t>
            </w:r>
            <w:r w:rsidRPr="00B821D3">
              <w:rPr>
                <w:b/>
                <w:bCs/>
                <w:szCs w:val="20"/>
              </w:rPr>
              <w:t>(base case: 25.8%)</w:t>
            </w:r>
          </w:p>
        </w:tc>
      </w:tr>
      <w:tr w:rsidR="00EA3FC8" w:rsidRPr="00CE28E3" w14:paraId="6DF059CC" w14:textId="77777777" w:rsidTr="00240FC1">
        <w:trPr>
          <w:trHeight w:val="111"/>
        </w:trPr>
        <w:tc>
          <w:tcPr>
            <w:tcW w:w="2277" w:type="pct"/>
            <w:tcBorders>
              <w:top w:val="single" w:sz="4" w:space="0" w:color="auto"/>
              <w:left w:val="single" w:sz="4" w:space="0" w:color="auto"/>
              <w:bottom w:val="single" w:sz="4" w:space="0" w:color="auto"/>
              <w:right w:val="single" w:sz="4" w:space="0" w:color="auto"/>
            </w:tcBorders>
          </w:tcPr>
          <w:p w14:paraId="2EC378B3" w14:textId="23AB2C6D" w:rsidR="00EA3FC8" w:rsidRPr="00014A2B" w:rsidRDefault="00EA3FC8" w:rsidP="00EA3FC8">
            <w:pPr>
              <w:pStyle w:val="TableText"/>
              <w:keepNext/>
              <w:rPr>
                <w:szCs w:val="20"/>
              </w:rPr>
            </w:pPr>
            <w:r>
              <w:rPr>
                <w:szCs w:val="20"/>
              </w:rPr>
              <w:t>Lower 95% CI</w:t>
            </w:r>
            <w:r w:rsidRPr="00014A2B">
              <w:rPr>
                <w:szCs w:val="20"/>
              </w:rPr>
              <w:t>: 16.6%</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BFA411F" w14:textId="69DFB6C1" w:rsidR="00EA3FC8" w:rsidRPr="00014A2B" w:rsidRDefault="00EA3FC8" w:rsidP="00EA3FC8">
            <w:pPr>
              <w:pStyle w:val="TableText"/>
              <w:keepNext/>
              <w:jc w:val="center"/>
              <w:rPr>
                <w:rFonts w:eastAsia="Calibri"/>
                <w:szCs w:val="20"/>
              </w:rPr>
            </w:pPr>
            <w:r w:rsidRPr="001C0180">
              <w:rPr>
                <w:b/>
                <w:bCs/>
              </w:rPr>
              <w:t>redacted</w:t>
            </w:r>
            <w:r w:rsidRPr="001C0180">
              <w:t xml:space="preserve"> </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6AA110C9" w14:textId="2A58CFAF" w:rsidR="00EA3FC8" w:rsidRPr="00014A2B" w:rsidRDefault="00EA3FC8" w:rsidP="00EA3FC8">
            <w:pPr>
              <w:pStyle w:val="TableText"/>
              <w:keepNext/>
              <w:jc w:val="center"/>
              <w:rPr>
                <w:rFonts w:eastAsia="Calibri"/>
                <w:szCs w:val="20"/>
              </w:rPr>
            </w:pPr>
            <w:r w:rsidRPr="00014A2B">
              <w:rPr>
                <w:rFonts w:cs="Calibri"/>
                <w:color w:val="000000"/>
                <w:szCs w:val="20"/>
              </w:rPr>
              <w:t>0.03</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00DD6A5" w14:textId="46730825" w:rsidR="00EA3FC8" w:rsidRPr="00014A2B" w:rsidRDefault="00EA3FC8" w:rsidP="00EA3FC8">
            <w:pPr>
              <w:pStyle w:val="TableText"/>
              <w:keepNext/>
              <w:jc w:val="center"/>
              <w:rPr>
                <w:rFonts w:eastAsia="Calibri"/>
                <w:szCs w:val="20"/>
              </w:rPr>
            </w:pPr>
            <w:r w:rsidRPr="001C0180">
              <w:rPr>
                <w:b/>
                <w:bCs/>
              </w:rPr>
              <w:t>redacted</w:t>
            </w:r>
            <w:r w:rsidRPr="001C0180">
              <w:t xml:space="preserve"> </w:t>
            </w:r>
          </w:p>
        </w:tc>
      </w:tr>
      <w:tr w:rsidR="00EA3FC8" w:rsidRPr="00CE28E3" w14:paraId="44E0D25A" w14:textId="77777777" w:rsidTr="00240FC1">
        <w:trPr>
          <w:trHeight w:val="111"/>
        </w:trPr>
        <w:tc>
          <w:tcPr>
            <w:tcW w:w="2277" w:type="pct"/>
            <w:tcBorders>
              <w:top w:val="single" w:sz="4" w:space="0" w:color="auto"/>
              <w:left w:val="single" w:sz="4" w:space="0" w:color="auto"/>
              <w:bottom w:val="single" w:sz="4" w:space="0" w:color="auto"/>
              <w:right w:val="single" w:sz="4" w:space="0" w:color="auto"/>
            </w:tcBorders>
          </w:tcPr>
          <w:p w14:paraId="38B1C97E" w14:textId="78D404B2" w:rsidR="00EA3FC8" w:rsidRPr="00014A2B" w:rsidRDefault="00EA3FC8" w:rsidP="00EA3FC8">
            <w:pPr>
              <w:pStyle w:val="TableText"/>
              <w:keepNext/>
              <w:rPr>
                <w:szCs w:val="20"/>
              </w:rPr>
            </w:pPr>
            <w:r>
              <w:rPr>
                <w:szCs w:val="20"/>
              </w:rPr>
              <w:t>Upper 95% CI</w:t>
            </w:r>
            <w:r w:rsidRPr="00014A2B">
              <w:rPr>
                <w:szCs w:val="20"/>
              </w:rPr>
              <w:t>: 37.9%</w:t>
            </w:r>
          </w:p>
        </w:tc>
        <w:tc>
          <w:tcPr>
            <w:tcW w:w="883" w:type="pct"/>
            <w:tcBorders>
              <w:top w:val="nil"/>
              <w:left w:val="single" w:sz="4" w:space="0" w:color="auto"/>
              <w:bottom w:val="single" w:sz="4" w:space="0" w:color="auto"/>
              <w:right w:val="single" w:sz="4" w:space="0" w:color="auto"/>
            </w:tcBorders>
            <w:shd w:val="clear" w:color="auto" w:fill="auto"/>
          </w:tcPr>
          <w:p w14:paraId="178BAD49" w14:textId="460C3AD9" w:rsidR="00EA3FC8" w:rsidRPr="00014A2B" w:rsidRDefault="00EA3FC8" w:rsidP="00EA3FC8">
            <w:pPr>
              <w:pStyle w:val="TableText"/>
              <w:keepNext/>
              <w:jc w:val="center"/>
              <w:rPr>
                <w:rFonts w:eastAsia="Calibri"/>
                <w:szCs w:val="20"/>
              </w:rPr>
            </w:pPr>
            <w:r w:rsidRPr="001C0180">
              <w:rPr>
                <w:b/>
                <w:bCs/>
              </w:rPr>
              <w:t>redacted</w:t>
            </w:r>
            <w:r w:rsidRPr="001C0180">
              <w:t xml:space="preserve"> </w:t>
            </w:r>
          </w:p>
        </w:tc>
        <w:tc>
          <w:tcPr>
            <w:tcW w:w="920" w:type="pct"/>
            <w:tcBorders>
              <w:top w:val="nil"/>
              <w:left w:val="single" w:sz="4" w:space="0" w:color="auto"/>
              <w:bottom w:val="single" w:sz="4" w:space="0" w:color="auto"/>
              <w:right w:val="single" w:sz="4" w:space="0" w:color="auto"/>
            </w:tcBorders>
            <w:shd w:val="clear" w:color="auto" w:fill="auto"/>
          </w:tcPr>
          <w:p w14:paraId="64837A12" w14:textId="76BF364C" w:rsidR="00EA3FC8" w:rsidRPr="00014A2B" w:rsidRDefault="00EA3FC8" w:rsidP="00EA3FC8">
            <w:pPr>
              <w:pStyle w:val="TableText"/>
              <w:keepNext/>
              <w:jc w:val="center"/>
              <w:rPr>
                <w:rFonts w:eastAsia="Calibri"/>
                <w:szCs w:val="20"/>
              </w:rPr>
            </w:pPr>
            <w:r w:rsidRPr="00014A2B">
              <w:rPr>
                <w:rFonts w:cs="Calibri"/>
                <w:color w:val="000000"/>
                <w:szCs w:val="20"/>
              </w:rPr>
              <w:t>0.12</w:t>
            </w:r>
          </w:p>
        </w:tc>
        <w:tc>
          <w:tcPr>
            <w:tcW w:w="920" w:type="pct"/>
            <w:tcBorders>
              <w:top w:val="nil"/>
              <w:left w:val="single" w:sz="4" w:space="0" w:color="auto"/>
              <w:bottom w:val="single" w:sz="4" w:space="0" w:color="auto"/>
              <w:right w:val="single" w:sz="4" w:space="0" w:color="auto"/>
            </w:tcBorders>
            <w:shd w:val="clear" w:color="auto" w:fill="auto"/>
          </w:tcPr>
          <w:p w14:paraId="22EEF95B" w14:textId="5E3A74A4" w:rsidR="00EA3FC8" w:rsidRPr="00014A2B" w:rsidRDefault="00EA3FC8" w:rsidP="00EA3FC8">
            <w:pPr>
              <w:pStyle w:val="TableText"/>
              <w:keepNext/>
              <w:jc w:val="center"/>
              <w:rPr>
                <w:rFonts w:eastAsia="Calibri"/>
                <w:szCs w:val="20"/>
              </w:rPr>
            </w:pPr>
            <w:r w:rsidRPr="001C0180">
              <w:rPr>
                <w:b/>
                <w:bCs/>
              </w:rPr>
              <w:t>redacted</w:t>
            </w:r>
            <w:r w:rsidRPr="001C0180">
              <w:t xml:space="preserve"> </w:t>
            </w:r>
          </w:p>
        </w:tc>
      </w:tr>
      <w:tr w:rsidR="003F3740" w:rsidRPr="00CE28E3" w14:paraId="1BD7247E" w14:textId="77777777" w:rsidTr="00551083">
        <w:trPr>
          <w:trHeight w:val="111"/>
        </w:trPr>
        <w:tc>
          <w:tcPr>
            <w:tcW w:w="5000" w:type="pct"/>
            <w:gridSpan w:val="4"/>
            <w:vAlign w:val="center"/>
          </w:tcPr>
          <w:p w14:paraId="7FF2ACAB" w14:textId="77777777" w:rsidR="003F3740" w:rsidRPr="00B821D3" w:rsidRDefault="003F3740" w:rsidP="00551083">
            <w:pPr>
              <w:pStyle w:val="TableText"/>
              <w:keepNext/>
              <w:rPr>
                <w:b/>
                <w:bCs/>
                <w:szCs w:val="20"/>
              </w:rPr>
            </w:pPr>
            <w:r w:rsidRPr="00B821D3">
              <w:rPr>
                <w:b/>
                <w:bCs/>
                <w:szCs w:val="20"/>
              </w:rPr>
              <w:t>Utility value of conservative management after tear fails to heal (base case:0.710)</w:t>
            </w:r>
          </w:p>
        </w:tc>
      </w:tr>
      <w:tr w:rsidR="00EA3FC8" w:rsidRPr="00CE28E3" w14:paraId="43429EA6" w14:textId="77777777" w:rsidTr="00551083">
        <w:trPr>
          <w:trHeight w:val="111"/>
        </w:trPr>
        <w:tc>
          <w:tcPr>
            <w:tcW w:w="2277" w:type="pct"/>
          </w:tcPr>
          <w:p w14:paraId="279FBFBB" w14:textId="77777777" w:rsidR="00EA3FC8" w:rsidRPr="00014A2B" w:rsidRDefault="00EA3FC8" w:rsidP="00EA3FC8">
            <w:pPr>
              <w:pStyle w:val="TableText"/>
              <w:keepNext/>
              <w:rPr>
                <w:rFonts w:eastAsia="Calibri"/>
                <w:szCs w:val="20"/>
              </w:rPr>
            </w:pPr>
            <w:r w:rsidRPr="00014A2B">
              <w:rPr>
                <w:szCs w:val="20"/>
              </w:rPr>
              <w:t>10% reduction: 0.639</w:t>
            </w:r>
          </w:p>
        </w:tc>
        <w:tc>
          <w:tcPr>
            <w:tcW w:w="883" w:type="pct"/>
          </w:tcPr>
          <w:p w14:paraId="368B2720" w14:textId="0399A14E" w:rsidR="00EA3FC8" w:rsidRPr="00014A2B" w:rsidRDefault="00EA3FC8" w:rsidP="00EA3FC8">
            <w:pPr>
              <w:pStyle w:val="TableText"/>
              <w:keepNext/>
              <w:jc w:val="center"/>
              <w:rPr>
                <w:szCs w:val="20"/>
              </w:rPr>
            </w:pPr>
            <w:r w:rsidRPr="009B04A6">
              <w:rPr>
                <w:b/>
                <w:bCs/>
              </w:rPr>
              <w:t>redacted</w:t>
            </w:r>
            <w:r w:rsidRPr="009B04A6">
              <w:t xml:space="preserve"> </w:t>
            </w:r>
          </w:p>
        </w:tc>
        <w:tc>
          <w:tcPr>
            <w:tcW w:w="920" w:type="pct"/>
          </w:tcPr>
          <w:p w14:paraId="1368C753" w14:textId="1D00242D" w:rsidR="00EA3FC8" w:rsidRPr="00014A2B" w:rsidRDefault="00EA3FC8" w:rsidP="00EA3FC8">
            <w:pPr>
              <w:pStyle w:val="TableText"/>
              <w:keepNext/>
              <w:jc w:val="center"/>
              <w:rPr>
                <w:rFonts w:eastAsia="Calibri"/>
                <w:szCs w:val="20"/>
              </w:rPr>
            </w:pPr>
            <w:r w:rsidRPr="00014A2B">
              <w:rPr>
                <w:szCs w:val="20"/>
              </w:rPr>
              <w:t>0.09</w:t>
            </w:r>
          </w:p>
        </w:tc>
        <w:tc>
          <w:tcPr>
            <w:tcW w:w="920" w:type="pct"/>
          </w:tcPr>
          <w:p w14:paraId="35B386AE" w14:textId="37CDEC20" w:rsidR="00EA3FC8" w:rsidRPr="00014A2B" w:rsidRDefault="00EA3FC8" w:rsidP="00EA3FC8">
            <w:pPr>
              <w:pStyle w:val="TableText"/>
              <w:keepNext/>
              <w:jc w:val="center"/>
              <w:rPr>
                <w:szCs w:val="20"/>
              </w:rPr>
            </w:pPr>
            <w:r w:rsidRPr="009B04A6">
              <w:rPr>
                <w:b/>
                <w:bCs/>
              </w:rPr>
              <w:t>redacted</w:t>
            </w:r>
            <w:r w:rsidRPr="009B04A6">
              <w:t xml:space="preserve"> </w:t>
            </w:r>
          </w:p>
        </w:tc>
      </w:tr>
      <w:tr w:rsidR="00EA3FC8" w:rsidRPr="00CE28E3" w14:paraId="3D2EE150" w14:textId="77777777" w:rsidTr="00551083">
        <w:trPr>
          <w:trHeight w:val="111"/>
        </w:trPr>
        <w:tc>
          <w:tcPr>
            <w:tcW w:w="2277" w:type="pct"/>
          </w:tcPr>
          <w:p w14:paraId="6DCD0D2F" w14:textId="77777777" w:rsidR="00EA3FC8" w:rsidRPr="00014A2B" w:rsidRDefault="00EA3FC8" w:rsidP="00EA3FC8">
            <w:pPr>
              <w:pStyle w:val="TableText"/>
              <w:keepNext/>
              <w:rPr>
                <w:szCs w:val="20"/>
              </w:rPr>
            </w:pPr>
            <w:r w:rsidRPr="00014A2B">
              <w:rPr>
                <w:szCs w:val="20"/>
              </w:rPr>
              <w:t>10% increase: 0.781</w:t>
            </w:r>
          </w:p>
        </w:tc>
        <w:tc>
          <w:tcPr>
            <w:tcW w:w="883" w:type="pct"/>
          </w:tcPr>
          <w:p w14:paraId="6E7FBDD5" w14:textId="71E869B4" w:rsidR="00EA3FC8" w:rsidRPr="00014A2B" w:rsidRDefault="00EA3FC8" w:rsidP="00EA3FC8">
            <w:pPr>
              <w:pStyle w:val="TableText"/>
              <w:keepNext/>
              <w:jc w:val="center"/>
              <w:rPr>
                <w:szCs w:val="20"/>
              </w:rPr>
            </w:pPr>
            <w:r w:rsidRPr="009B04A6">
              <w:rPr>
                <w:b/>
                <w:bCs/>
              </w:rPr>
              <w:t>redacted</w:t>
            </w:r>
            <w:r w:rsidRPr="009B04A6">
              <w:t xml:space="preserve"> </w:t>
            </w:r>
          </w:p>
        </w:tc>
        <w:tc>
          <w:tcPr>
            <w:tcW w:w="920" w:type="pct"/>
          </w:tcPr>
          <w:p w14:paraId="35A274AA" w14:textId="68AECF79" w:rsidR="00EA3FC8" w:rsidRPr="00014A2B" w:rsidRDefault="00EA3FC8" w:rsidP="00EA3FC8">
            <w:pPr>
              <w:pStyle w:val="TableText"/>
              <w:keepNext/>
              <w:jc w:val="center"/>
              <w:rPr>
                <w:rFonts w:eastAsia="Calibri"/>
                <w:szCs w:val="20"/>
              </w:rPr>
            </w:pPr>
            <w:r w:rsidRPr="00014A2B">
              <w:rPr>
                <w:szCs w:val="20"/>
              </w:rPr>
              <w:t>0.05</w:t>
            </w:r>
          </w:p>
        </w:tc>
        <w:tc>
          <w:tcPr>
            <w:tcW w:w="920" w:type="pct"/>
          </w:tcPr>
          <w:p w14:paraId="346260F8" w14:textId="7C2C15AC" w:rsidR="00EA3FC8" w:rsidRPr="00014A2B" w:rsidRDefault="00EA3FC8" w:rsidP="00EA3FC8">
            <w:pPr>
              <w:pStyle w:val="TableText"/>
              <w:keepNext/>
              <w:jc w:val="center"/>
              <w:rPr>
                <w:szCs w:val="20"/>
              </w:rPr>
            </w:pPr>
            <w:r w:rsidRPr="009B04A6">
              <w:rPr>
                <w:b/>
                <w:bCs/>
              </w:rPr>
              <w:t>redacted</w:t>
            </w:r>
            <w:r w:rsidRPr="009B04A6">
              <w:t xml:space="preserve"> </w:t>
            </w:r>
          </w:p>
        </w:tc>
      </w:tr>
      <w:tr w:rsidR="003F3740" w:rsidRPr="00CE28E3" w14:paraId="249D7C5B" w14:textId="77777777" w:rsidTr="00551083">
        <w:trPr>
          <w:trHeight w:val="111"/>
        </w:trPr>
        <w:tc>
          <w:tcPr>
            <w:tcW w:w="5000" w:type="pct"/>
            <w:gridSpan w:val="4"/>
            <w:vAlign w:val="center"/>
          </w:tcPr>
          <w:p w14:paraId="4A867E06" w14:textId="42486E48" w:rsidR="003F3740" w:rsidRPr="00B821D3" w:rsidRDefault="003F3740" w:rsidP="00551083">
            <w:pPr>
              <w:pStyle w:val="TableText"/>
              <w:keepNext/>
              <w:rPr>
                <w:b/>
                <w:bCs/>
              </w:rPr>
            </w:pPr>
            <w:r w:rsidRPr="00B821D3">
              <w:rPr>
                <w:b/>
                <w:bCs/>
              </w:rPr>
              <w:t xml:space="preserve">Cost of REGENETEN kit (base case: </w:t>
            </w:r>
            <w:r w:rsidR="00CC3FF1" w:rsidRPr="00DC01E7">
              <w:rPr>
                <w:b/>
                <w:bCs/>
              </w:rPr>
              <w:t>redacted</w:t>
            </w:r>
            <w:r w:rsidRPr="00B821D3">
              <w:rPr>
                <w:b/>
                <w:bCs/>
              </w:rPr>
              <w:t>)</w:t>
            </w:r>
          </w:p>
        </w:tc>
      </w:tr>
      <w:tr w:rsidR="00EA3FC8" w:rsidRPr="00CE28E3" w14:paraId="527AFCB4" w14:textId="77777777" w:rsidTr="00551083">
        <w:trPr>
          <w:trHeight w:val="111"/>
        </w:trPr>
        <w:tc>
          <w:tcPr>
            <w:tcW w:w="2277" w:type="pct"/>
          </w:tcPr>
          <w:p w14:paraId="48B8702C" w14:textId="6FBB914D" w:rsidR="00EA3FC8" w:rsidRPr="009D7EF0" w:rsidRDefault="00EA3FC8" w:rsidP="00EA3FC8">
            <w:pPr>
              <w:pStyle w:val="TableText"/>
              <w:keepNext/>
              <w:rPr>
                <w:rFonts w:eastAsia="Calibri"/>
                <w:szCs w:val="20"/>
              </w:rPr>
            </w:pPr>
            <w:r w:rsidRPr="0090323C">
              <w:t xml:space="preserve">20% increase: </w:t>
            </w:r>
            <w:r w:rsidRPr="00E477C8">
              <w:rPr>
                <w:b/>
                <w:bCs/>
              </w:rPr>
              <w:t>redacted</w:t>
            </w:r>
          </w:p>
        </w:tc>
        <w:tc>
          <w:tcPr>
            <w:tcW w:w="883" w:type="pct"/>
          </w:tcPr>
          <w:p w14:paraId="66B41BE7" w14:textId="792ABDEB" w:rsidR="00EA3FC8" w:rsidRPr="00F01E79" w:rsidRDefault="00EA3FC8" w:rsidP="00EA3FC8">
            <w:pPr>
              <w:pStyle w:val="TableText"/>
              <w:keepNext/>
              <w:jc w:val="center"/>
            </w:pPr>
            <w:r w:rsidRPr="0092574F">
              <w:rPr>
                <w:b/>
                <w:bCs/>
              </w:rPr>
              <w:t>redacted</w:t>
            </w:r>
            <w:r w:rsidRPr="0092574F">
              <w:t xml:space="preserve"> </w:t>
            </w:r>
          </w:p>
        </w:tc>
        <w:tc>
          <w:tcPr>
            <w:tcW w:w="920" w:type="pct"/>
          </w:tcPr>
          <w:p w14:paraId="269F578B" w14:textId="55509F3A" w:rsidR="00EA3FC8" w:rsidRPr="005B6EEA" w:rsidRDefault="00EA3FC8" w:rsidP="00EA3FC8">
            <w:pPr>
              <w:pStyle w:val="TableText"/>
              <w:keepNext/>
              <w:jc w:val="center"/>
              <w:rPr>
                <w:rFonts w:eastAsia="Calibri"/>
                <w:szCs w:val="20"/>
              </w:rPr>
            </w:pPr>
            <w:r w:rsidRPr="00F53F5C">
              <w:t>0.07</w:t>
            </w:r>
          </w:p>
        </w:tc>
        <w:tc>
          <w:tcPr>
            <w:tcW w:w="920" w:type="pct"/>
          </w:tcPr>
          <w:p w14:paraId="49EE352E" w14:textId="567DDE02" w:rsidR="00EA3FC8" w:rsidRPr="00CA08DC" w:rsidRDefault="00EA3FC8" w:rsidP="00EA3FC8">
            <w:pPr>
              <w:pStyle w:val="TableText"/>
              <w:keepNext/>
              <w:jc w:val="center"/>
            </w:pPr>
            <w:r w:rsidRPr="0092574F">
              <w:rPr>
                <w:b/>
                <w:bCs/>
              </w:rPr>
              <w:t>redacted</w:t>
            </w:r>
            <w:r w:rsidRPr="0092574F">
              <w:t xml:space="preserve"> </w:t>
            </w:r>
          </w:p>
        </w:tc>
      </w:tr>
      <w:tr w:rsidR="00EA3FC8" w:rsidRPr="00CE28E3" w14:paraId="4C93E7D6" w14:textId="77777777" w:rsidTr="00551083">
        <w:trPr>
          <w:trHeight w:val="111"/>
        </w:trPr>
        <w:tc>
          <w:tcPr>
            <w:tcW w:w="2277" w:type="pct"/>
          </w:tcPr>
          <w:p w14:paraId="533D5ACF" w14:textId="35BAD928" w:rsidR="00EA3FC8" w:rsidRPr="00E25B6E" w:rsidRDefault="00EA3FC8" w:rsidP="00EA3FC8">
            <w:pPr>
              <w:pStyle w:val="TableText"/>
              <w:keepNext/>
            </w:pPr>
            <w:r w:rsidRPr="0090323C">
              <w:t xml:space="preserve">20% reduction: </w:t>
            </w:r>
            <w:r w:rsidRPr="00E477C8">
              <w:rPr>
                <w:b/>
                <w:bCs/>
              </w:rPr>
              <w:t>redacted</w:t>
            </w:r>
          </w:p>
        </w:tc>
        <w:tc>
          <w:tcPr>
            <w:tcW w:w="883" w:type="pct"/>
          </w:tcPr>
          <w:p w14:paraId="73D193BC" w14:textId="41EAB55A" w:rsidR="00EA3FC8" w:rsidRPr="00F01E79" w:rsidRDefault="00EA3FC8" w:rsidP="00EA3FC8">
            <w:pPr>
              <w:pStyle w:val="TableText"/>
              <w:keepNext/>
              <w:jc w:val="center"/>
            </w:pPr>
            <w:r w:rsidRPr="0092574F">
              <w:rPr>
                <w:b/>
                <w:bCs/>
              </w:rPr>
              <w:t>redacted</w:t>
            </w:r>
            <w:r w:rsidRPr="0092574F">
              <w:t xml:space="preserve"> </w:t>
            </w:r>
          </w:p>
        </w:tc>
        <w:tc>
          <w:tcPr>
            <w:tcW w:w="920" w:type="pct"/>
          </w:tcPr>
          <w:p w14:paraId="4A1D79A6" w14:textId="2DC7DC5F" w:rsidR="00EA3FC8" w:rsidRPr="005B6EEA" w:rsidRDefault="00EA3FC8" w:rsidP="00EA3FC8">
            <w:pPr>
              <w:pStyle w:val="TableText"/>
              <w:keepNext/>
              <w:jc w:val="center"/>
              <w:rPr>
                <w:rFonts w:eastAsia="Calibri"/>
                <w:szCs w:val="20"/>
              </w:rPr>
            </w:pPr>
            <w:r w:rsidRPr="00F53F5C">
              <w:t>0.07</w:t>
            </w:r>
          </w:p>
        </w:tc>
        <w:tc>
          <w:tcPr>
            <w:tcW w:w="920" w:type="pct"/>
          </w:tcPr>
          <w:p w14:paraId="67D0B3F0" w14:textId="7250FE11" w:rsidR="00EA3FC8" w:rsidRPr="00CA08DC" w:rsidRDefault="00EA3FC8" w:rsidP="00EA3FC8">
            <w:pPr>
              <w:pStyle w:val="TableText"/>
              <w:keepNext/>
              <w:jc w:val="center"/>
            </w:pPr>
            <w:r w:rsidRPr="0092574F">
              <w:rPr>
                <w:b/>
                <w:bCs/>
              </w:rPr>
              <w:t>redacted</w:t>
            </w:r>
            <w:r w:rsidRPr="0092574F">
              <w:t xml:space="preserve"> </w:t>
            </w:r>
          </w:p>
        </w:tc>
      </w:tr>
      <w:tr w:rsidR="003F3740" w:rsidRPr="00CE28E3" w14:paraId="50A89C4D" w14:textId="77777777" w:rsidTr="00551083">
        <w:trPr>
          <w:trHeight w:val="111"/>
        </w:trPr>
        <w:tc>
          <w:tcPr>
            <w:tcW w:w="5000" w:type="pct"/>
            <w:gridSpan w:val="4"/>
          </w:tcPr>
          <w:p w14:paraId="6131DAED" w14:textId="77777777" w:rsidR="003F3740" w:rsidRPr="00C52934" w:rsidRDefault="003F3740" w:rsidP="00551083">
            <w:pPr>
              <w:pStyle w:val="TableText"/>
              <w:keepNext/>
            </w:pPr>
            <w:r w:rsidRPr="00B821D3">
              <w:rPr>
                <w:b/>
                <w:bCs/>
              </w:rPr>
              <w:t>Additional sensitivity analyses conducted during the evaluation</w:t>
            </w:r>
          </w:p>
        </w:tc>
      </w:tr>
      <w:tr w:rsidR="00EA3FC8" w:rsidRPr="00CE28E3" w14:paraId="1EB3698A" w14:textId="77777777" w:rsidTr="00551083">
        <w:trPr>
          <w:trHeight w:val="111"/>
        </w:trPr>
        <w:tc>
          <w:tcPr>
            <w:tcW w:w="2277" w:type="pct"/>
          </w:tcPr>
          <w:p w14:paraId="6F810685" w14:textId="730E7667" w:rsidR="00EA3FC8" w:rsidRPr="0090323C" w:rsidRDefault="00EA3FC8" w:rsidP="00EA3FC8">
            <w:pPr>
              <w:pStyle w:val="TableText"/>
              <w:keepNext/>
            </w:pPr>
            <w:r>
              <w:t xml:space="preserve">Applying utility values from Ruiz </w:t>
            </w:r>
            <w:proofErr w:type="spellStart"/>
            <w:r>
              <w:t>Ibán</w:t>
            </w:r>
            <w:proofErr w:type="spellEnd"/>
            <w:r>
              <w:t xml:space="preserve"> et al., 2023 trial for the conservative management (0.68), successful surgery first year 0.78 and second year 0.80 *</w:t>
            </w:r>
          </w:p>
        </w:tc>
        <w:tc>
          <w:tcPr>
            <w:tcW w:w="883" w:type="pct"/>
          </w:tcPr>
          <w:p w14:paraId="43E40045" w14:textId="282FBB87" w:rsidR="00EA3FC8" w:rsidRPr="00982898" w:rsidRDefault="00EA3FC8" w:rsidP="00EA3FC8">
            <w:pPr>
              <w:pStyle w:val="TableText"/>
              <w:keepNext/>
              <w:jc w:val="center"/>
            </w:pPr>
            <w:r w:rsidRPr="005000E5">
              <w:rPr>
                <w:b/>
                <w:bCs/>
              </w:rPr>
              <w:t>redacted</w:t>
            </w:r>
            <w:r w:rsidRPr="005000E5">
              <w:t xml:space="preserve"> </w:t>
            </w:r>
          </w:p>
        </w:tc>
        <w:tc>
          <w:tcPr>
            <w:tcW w:w="920" w:type="pct"/>
          </w:tcPr>
          <w:p w14:paraId="1CEB3CE5" w14:textId="0936D03F" w:rsidR="00EA3FC8" w:rsidRPr="00F53F5C" w:rsidRDefault="00EA3FC8" w:rsidP="00EA3FC8">
            <w:pPr>
              <w:pStyle w:val="TableText"/>
              <w:keepNext/>
              <w:jc w:val="center"/>
            </w:pPr>
            <w:r>
              <w:t>0.04</w:t>
            </w:r>
          </w:p>
        </w:tc>
        <w:tc>
          <w:tcPr>
            <w:tcW w:w="920" w:type="pct"/>
          </w:tcPr>
          <w:p w14:paraId="078BF144" w14:textId="4A39EC81" w:rsidR="00EA3FC8" w:rsidRPr="00C52934" w:rsidRDefault="00EA3FC8" w:rsidP="00EA3FC8">
            <w:pPr>
              <w:pStyle w:val="TableText"/>
              <w:keepNext/>
              <w:jc w:val="center"/>
            </w:pPr>
            <w:r w:rsidRPr="005000E5">
              <w:rPr>
                <w:b/>
                <w:bCs/>
              </w:rPr>
              <w:t>redacted</w:t>
            </w:r>
            <w:r w:rsidRPr="005000E5">
              <w:t xml:space="preserve"> </w:t>
            </w:r>
          </w:p>
        </w:tc>
      </w:tr>
    </w:tbl>
    <w:bookmarkEnd w:id="94"/>
    <w:p w14:paraId="63E49092" w14:textId="77777777" w:rsidR="003F3740" w:rsidRDefault="003F3740" w:rsidP="003F3740">
      <w:pPr>
        <w:pStyle w:val="Tablenotes"/>
        <w:rPr>
          <w:rFonts w:eastAsia="Calibri"/>
        </w:rPr>
      </w:pPr>
      <w:r>
        <w:t xml:space="preserve">Source: Table 73, pg165-166 </w:t>
      </w:r>
      <w:r w:rsidRPr="00A7476B">
        <w:rPr>
          <w:rFonts w:eastAsia="Calibri"/>
        </w:rPr>
        <w:t>of the MSAC application 1593.1 ADAR + In line commentary</w:t>
      </w:r>
    </w:p>
    <w:p w14:paraId="528B2F24" w14:textId="77777777" w:rsidR="003F3740" w:rsidRDefault="003F3740" w:rsidP="003F3740">
      <w:pPr>
        <w:pStyle w:val="Tablenotes"/>
      </w:pPr>
      <w:r>
        <w:t xml:space="preserve">Abbreviations: </w:t>
      </w:r>
      <w:r w:rsidRPr="00447D06">
        <w:t>FTRCT = full-thickness rotator cuff tear</w:t>
      </w:r>
      <w:r>
        <w:t xml:space="preserve">; ICER = Incremental cost effectiveness ratio; QALY = Quality-adjusted life years </w:t>
      </w:r>
    </w:p>
    <w:p w14:paraId="0A4E2423" w14:textId="4F87E947" w:rsidR="00022966" w:rsidRDefault="007175FC" w:rsidP="003F3740">
      <w:pPr>
        <w:pStyle w:val="Tablenotes"/>
      </w:pPr>
      <w:r>
        <w:t xml:space="preserve">* </w:t>
      </w:r>
      <w:r w:rsidR="00022966">
        <w:t xml:space="preserve">The commentary </w:t>
      </w:r>
      <w:r w:rsidR="00542E45">
        <w:t xml:space="preserve">applied the following </w:t>
      </w:r>
      <w:r w:rsidR="00B60733">
        <w:t>utility values</w:t>
      </w:r>
      <w:r w:rsidR="0055205C">
        <w:t xml:space="preserve"> </w:t>
      </w:r>
      <w:r w:rsidR="00D71F68">
        <w:t>(EQ-5D-</w:t>
      </w:r>
      <w:r w:rsidR="009A1BCF">
        <w:t xml:space="preserve">5L score, Health level VAS) </w:t>
      </w:r>
      <w:r w:rsidR="00A71985">
        <w:t xml:space="preserve">from Ruiz </w:t>
      </w:r>
      <w:proofErr w:type="spellStart"/>
      <w:r w:rsidR="00A71985">
        <w:t>Ibán</w:t>
      </w:r>
      <w:proofErr w:type="spellEnd"/>
      <w:r w:rsidR="00A71985">
        <w:t xml:space="preserve"> 2023</w:t>
      </w:r>
      <w:r w:rsidR="00D71F68">
        <w:t xml:space="preserve"> </w:t>
      </w:r>
      <w:r w:rsidR="0055205C">
        <w:t>to conduct the additional sensitivity analysis</w:t>
      </w:r>
      <w:r>
        <w:t xml:space="preserve">: </w:t>
      </w:r>
      <w:r w:rsidR="002A5C5F">
        <w:t>0.68</w:t>
      </w:r>
      <w:r w:rsidR="00831E49">
        <w:t xml:space="preserve"> at baseline </w:t>
      </w:r>
      <w:r w:rsidR="006C787A">
        <w:t xml:space="preserve">and </w:t>
      </w:r>
      <w:r w:rsidR="002F0234">
        <w:t xml:space="preserve">0.78 at 12 months </w:t>
      </w:r>
      <w:r w:rsidR="0050269E">
        <w:t xml:space="preserve">from </w:t>
      </w:r>
      <w:r w:rsidR="004D33A6">
        <w:t xml:space="preserve">REGENETEN group </w:t>
      </w:r>
      <w:r w:rsidR="00063B1E">
        <w:t>(Table 43, p103 of ADAR + in-line commentary)</w:t>
      </w:r>
      <w:r w:rsidR="004D33A6">
        <w:t xml:space="preserve"> </w:t>
      </w:r>
      <w:r w:rsidR="002F0234">
        <w:t xml:space="preserve">for </w:t>
      </w:r>
      <w:r w:rsidR="009A1BCF">
        <w:t>s</w:t>
      </w:r>
      <w:r w:rsidR="003A637C">
        <w:t xml:space="preserve">uccessful </w:t>
      </w:r>
      <w:r w:rsidR="00D71BB6">
        <w:t xml:space="preserve">surgery </w:t>
      </w:r>
      <w:r w:rsidR="0038188D">
        <w:t>(</w:t>
      </w:r>
      <w:r w:rsidR="00661C56">
        <w:t>Year 1)</w:t>
      </w:r>
      <w:r w:rsidR="004D33A6">
        <w:t xml:space="preserve"> </w:t>
      </w:r>
      <w:r w:rsidR="00FB13F7">
        <w:t>for REGEN ETN group</w:t>
      </w:r>
      <w:r w:rsidR="00063B1E">
        <w:t xml:space="preserve"> in the model</w:t>
      </w:r>
      <w:r w:rsidR="00FB13F7">
        <w:t xml:space="preserve">. </w:t>
      </w:r>
      <w:r w:rsidR="00063B1E">
        <w:t xml:space="preserve">The commentary extrapolated from 12 months </w:t>
      </w:r>
      <w:r w:rsidR="008C0266">
        <w:t xml:space="preserve">to arrive at the utility of 0.80 for successful surgery in Year 2. The commentary assumed </w:t>
      </w:r>
      <w:r w:rsidR="00E142F6">
        <w:t>the utility</w:t>
      </w:r>
      <w:r w:rsidR="002E3D4A">
        <w:t xml:space="preserve"> for conservative management </w:t>
      </w:r>
      <w:r w:rsidR="00CE01D0">
        <w:t>following retear to be the same as the utility of 0.68 at baseline</w:t>
      </w:r>
      <w:r w:rsidR="004A3F28">
        <w:t xml:space="preserve">. The commentary </w:t>
      </w:r>
      <w:r w:rsidR="00091855">
        <w:t xml:space="preserve">used the ADAR’s method to calculate </w:t>
      </w:r>
      <w:r w:rsidR="00734BE9">
        <w:t xml:space="preserve">the utility for </w:t>
      </w:r>
      <w:r w:rsidR="00350256">
        <w:t>successful revision surgery/reverse arthroplasty following retear</w:t>
      </w:r>
      <w:r w:rsidR="000C53E6">
        <w:t>, i.e., assumed</w:t>
      </w:r>
      <w:r w:rsidR="00350256">
        <w:t xml:space="preserve"> to be 80% of the average of </w:t>
      </w:r>
      <w:r w:rsidR="00572717">
        <w:t xml:space="preserve">the utility for </w:t>
      </w:r>
      <w:r w:rsidR="00350256">
        <w:t>successful</w:t>
      </w:r>
      <w:r w:rsidR="00E0021B">
        <w:t xml:space="preserve"> surgery in the first 2 years (= </w:t>
      </w:r>
      <w:r w:rsidR="000E1DEB">
        <w:t>average (</w:t>
      </w:r>
      <w:r w:rsidR="00D6560F">
        <w:t>0.</w:t>
      </w:r>
      <w:r w:rsidR="00141CF7">
        <w:t>78, 0.80) x 80%</w:t>
      </w:r>
      <w:r w:rsidR="000C53E6">
        <w:t xml:space="preserve"> = 0.63</w:t>
      </w:r>
      <w:r w:rsidR="00ED0A1C">
        <w:t>2</w:t>
      </w:r>
      <w:r w:rsidR="00141CF7">
        <w:t>)</w:t>
      </w:r>
      <w:r w:rsidR="00ED0A1C">
        <w:t>.</w:t>
      </w:r>
      <w:r w:rsidR="00CE01D0">
        <w:t xml:space="preserve"> </w:t>
      </w:r>
      <w:r w:rsidR="0019266A">
        <w:rPr>
          <w:i/>
          <w:iCs/>
        </w:rPr>
        <w:t>Note that ESC did not consider this sensitivity analysis clinically plausible.</w:t>
      </w:r>
      <w:r w:rsidR="00FB13F7">
        <w:t xml:space="preserve"> </w:t>
      </w:r>
      <w:r w:rsidR="002A5C5F">
        <w:t xml:space="preserve"> </w:t>
      </w:r>
    </w:p>
    <w:p w14:paraId="79EC1929" w14:textId="670690EA" w:rsidR="002B4F0C" w:rsidRPr="00CE28E3" w:rsidRDefault="002B4F0C" w:rsidP="002B4F0C">
      <w:pPr>
        <w:pStyle w:val="Heading2"/>
        <w:numPr>
          <w:ilvl w:val="0"/>
          <w:numId w:val="0"/>
        </w:numPr>
      </w:pPr>
      <w:r>
        <w:t>1</w:t>
      </w:r>
      <w:r w:rsidR="005A42D2">
        <w:t>4</w:t>
      </w:r>
      <w:r>
        <w:t>.</w:t>
      </w:r>
      <w:r>
        <w:tab/>
      </w:r>
      <w:r w:rsidRPr="00CE28E3">
        <w:t>Financial/budgetary impacts</w:t>
      </w:r>
      <w:bookmarkEnd w:id="93"/>
    </w:p>
    <w:p w14:paraId="0223DB78" w14:textId="16B33864" w:rsidR="00063FD5" w:rsidRDefault="0049423A" w:rsidP="003B4E46">
      <w:r>
        <w:t>The ADAR presented the financial implications of listing REGENETEN on the PL to private health insurers (PHIs), MBS</w:t>
      </w:r>
      <w:r w:rsidR="00FA1AF7">
        <w:t xml:space="preserve"> and</w:t>
      </w:r>
      <w:r>
        <w:t xml:space="preserve"> patients in Australia. The ADAR suggested that the current MBS items 48960, 48906 and 48909 relevant for the surgery for rotator cuff repair could be used for REGENETEN. However, the ADAR used an epidemiological approach to estimate the financial implications of REGENETEN as </w:t>
      </w:r>
      <w:r w:rsidR="007B42E5">
        <w:t xml:space="preserve">the </w:t>
      </w:r>
      <w:r>
        <w:t xml:space="preserve">market share approach </w:t>
      </w:r>
      <w:r w:rsidR="00412241">
        <w:t>wa</w:t>
      </w:r>
      <w:r>
        <w:t xml:space="preserve">s not feasible due to two of the three MBS items also being used </w:t>
      </w:r>
      <w:r w:rsidR="00DF0F76">
        <w:t>for procedures</w:t>
      </w:r>
      <w:r>
        <w:t xml:space="preserve"> other than rotator cuff repair such as shoulder reconstruction, resection and replacement services. This </w:t>
      </w:r>
      <w:r w:rsidR="00412241">
        <w:t>wa</w:t>
      </w:r>
      <w:r>
        <w:t>s reasonable.</w:t>
      </w:r>
    </w:p>
    <w:p w14:paraId="74EDCA24" w14:textId="75CDBB1F" w:rsidR="002B4F0C" w:rsidRPr="006F25BB" w:rsidRDefault="002B4F0C" w:rsidP="00B821D3">
      <w:pPr>
        <w:pStyle w:val="Heading4"/>
      </w:pPr>
      <w:r w:rsidRPr="006F25BB">
        <w:t xml:space="preserve">Data sources used to estimate the financial </w:t>
      </w:r>
      <w:r w:rsidR="00C2451F" w:rsidRPr="006F25BB">
        <w:t>implications.</w:t>
      </w:r>
    </w:p>
    <w:p w14:paraId="10CA95D6" w14:textId="757B2C8A" w:rsidR="006557DD" w:rsidRDefault="002B4F0C" w:rsidP="003B4E46">
      <w:r>
        <w:t xml:space="preserve">The </w:t>
      </w:r>
      <w:r w:rsidR="00600185">
        <w:t>ADAR</w:t>
      </w:r>
      <w:r>
        <w:t xml:space="preserve"> assessed the</w:t>
      </w:r>
      <w:r w:rsidRPr="00B52934">
        <w:t xml:space="preserve"> incidence of rotator cuff repair in the Australian population </w:t>
      </w:r>
      <w:r>
        <w:t xml:space="preserve">based on </w:t>
      </w:r>
      <w:proofErr w:type="spellStart"/>
      <w:r w:rsidRPr="00B52934">
        <w:t>Paloneva</w:t>
      </w:r>
      <w:proofErr w:type="spellEnd"/>
      <w:r w:rsidRPr="00B52934">
        <w:t xml:space="preserve"> et al., 2015</w:t>
      </w:r>
      <w:r>
        <w:rPr>
          <w:rStyle w:val="FootnoteReference"/>
        </w:rPr>
        <w:footnoteReference w:id="27"/>
      </w:r>
      <w:r>
        <w:t xml:space="preserve">, </w:t>
      </w:r>
      <w:r w:rsidR="006557DD">
        <w:t xml:space="preserve">which reported incidence of 131 per 100,000 person-years for rotator cuff repair in 2011 based on the Finnish National Hospital Discharge Register. The ADAR claimed that this incidence rate </w:t>
      </w:r>
      <w:r w:rsidR="00412241">
        <w:t>wa</w:t>
      </w:r>
      <w:r w:rsidR="006557DD">
        <w:t xml:space="preserve">s justifiable </w:t>
      </w:r>
      <w:r w:rsidR="00A0067B">
        <w:t>based on Australian study</w:t>
      </w:r>
      <w:r w:rsidR="006557DD">
        <w:t xml:space="preserve"> which reported a population-adjusted rate of 150 procedures per 100,000 persons arthroscopic reconstruction of shoulder including rotator cuff repair and 165 procedures per 100,000 persons for both arthroscopy and open rotator cuff repair in the Western Australia (WA) Department of Health database for the period 2001-2013</w:t>
      </w:r>
      <w:r w:rsidR="006557DD">
        <w:rPr>
          <w:rStyle w:val="FootnoteReference"/>
        </w:rPr>
        <w:footnoteReference w:id="28"/>
      </w:r>
      <w:r w:rsidR="006557DD">
        <w:t xml:space="preserve">. Of note, both studies reported an increasing trend in rotator cuff repair. Hence, the commentary considered the incidence rate should be higher than the 131 per 100,000 person-years of rotator cuff repair as the data </w:t>
      </w:r>
      <w:r w:rsidR="00FA1AF7">
        <w:t>were</w:t>
      </w:r>
      <w:r w:rsidR="006557DD">
        <w:t xml:space="preserve"> more than ten years ago.</w:t>
      </w:r>
    </w:p>
    <w:p w14:paraId="2DBA496C" w14:textId="14493359" w:rsidR="002B4F0C" w:rsidRPr="00001A84" w:rsidRDefault="002B4F0C" w:rsidP="003B4E46">
      <w:bookmarkStart w:id="95" w:name="_Hlk163605617"/>
      <w:r w:rsidRPr="00001A84">
        <w:t xml:space="preserve">The </w:t>
      </w:r>
      <w:r w:rsidR="00600185">
        <w:t>ADAR</w:t>
      </w:r>
      <w:r w:rsidRPr="00001A84">
        <w:t xml:space="preserve"> assumed a </w:t>
      </w:r>
      <w:r w:rsidRPr="006F25BB">
        <w:t xml:space="preserve">linear increase in uptake of </w:t>
      </w:r>
      <w:r w:rsidR="006414CA" w:rsidRPr="00E477C8">
        <w:rPr>
          <w:b/>
          <w:bCs/>
        </w:rPr>
        <w:t>redacted</w:t>
      </w:r>
      <w:r w:rsidR="006414CA">
        <w:t xml:space="preserve"> </w:t>
      </w:r>
      <w:r w:rsidRPr="006F25BB">
        <w:t xml:space="preserve">of rotator cuff repairs per </w:t>
      </w:r>
      <w:r w:rsidR="00EB12D3" w:rsidRPr="006F25BB">
        <w:t xml:space="preserve">year for REGENETEN </w:t>
      </w:r>
      <w:r w:rsidR="00EB12D3">
        <w:t xml:space="preserve">based on the </w:t>
      </w:r>
      <w:r w:rsidR="00EB12D3" w:rsidRPr="006F25BB">
        <w:t xml:space="preserve">uptake in other countries </w:t>
      </w:r>
      <w:r w:rsidRPr="006F25BB">
        <w:t xml:space="preserve">in the absence of information. The commentary </w:t>
      </w:r>
      <w:r w:rsidRPr="00001A84">
        <w:t>consider</w:t>
      </w:r>
      <w:r>
        <w:t>ed</w:t>
      </w:r>
      <w:r w:rsidRPr="006F25BB">
        <w:t xml:space="preserve"> </w:t>
      </w:r>
      <w:r w:rsidR="00FA1AF7">
        <w:t>the financial estimates based on the uptake rate were</w:t>
      </w:r>
      <w:r w:rsidR="00EB12D3">
        <w:t xml:space="preserve"> </w:t>
      </w:r>
      <w:r w:rsidRPr="006F25BB">
        <w:t xml:space="preserve">uncertain as the uptake rate was based </w:t>
      </w:r>
      <w:r w:rsidR="006557DD">
        <w:t xml:space="preserve">purely </w:t>
      </w:r>
      <w:r w:rsidRPr="006F25BB">
        <w:t xml:space="preserve">on </w:t>
      </w:r>
      <w:r w:rsidR="006557DD">
        <w:t xml:space="preserve">an </w:t>
      </w:r>
      <w:r w:rsidRPr="006F25BB">
        <w:t xml:space="preserve">assumption. </w:t>
      </w:r>
    </w:p>
    <w:p w14:paraId="0C019C1C" w14:textId="03A77A33" w:rsidR="00E90BE6" w:rsidRDefault="002B4F0C" w:rsidP="003B4E46">
      <w:r>
        <w:t xml:space="preserve">The proportion of PTRCT and FTRCT was based on an Australian cohort study Yeo </w:t>
      </w:r>
      <w:r w:rsidR="00F6199E">
        <w:t>et al.,</w:t>
      </w:r>
      <w:r>
        <w:t xml:space="preserve"> 2017</w:t>
      </w:r>
      <w:r>
        <w:rPr>
          <w:rStyle w:val="FootnoteReference"/>
        </w:rPr>
        <w:footnoteReference w:id="29"/>
      </w:r>
      <w:r>
        <w:t xml:space="preserve"> which reported </w:t>
      </w:r>
      <w:r w:rsidRPr="00001A84">
        <w:t>39%</w:t>
      </w:r>
      <w:r>
        <w:t xml:space="preserve"> PTRCT and </w:t>
      </w:r>
      <w:r w:rsidRPr="00001A84">
        <w:t>61%</w:t>
      </w:r>
      <w:r w:rsidR="00ED699D">
        <w:t xml:space="preserve"> </w:t>
      </w:r>
      <w:r>
        <w:t xml:space="preserve">FTRCT among </w:t>
      </w:r>
      <w:r w:rsidRPr="00001A84">
        <w:t>1624 patients</w:t>
      </w:r>
      <w:r w:rsidRPr="00817EB7">
        <w:t xml:space="preserve"> who had undergone arthroscopic rotator cuff repair</w:t>
      </w:r>
      <w:r>
        <w:t xml:space="preserve">. The commentary considered this </w:t>
      </w:r>
      <w:r w:rsidR="00FA1AF7">
        <w:t xml:space="preserve">was </w:t>
      </w:r>
      <w:r>
        <w:t>reasonable.</w:t>
      </w:r>
      <w:r w:rsidR="008045F3">
        <w:t xml:space="preserve"> Of note, the previous </w:t>
      </w:r>
      <w:r w:rsidR="00DE0A5A">
        <w:t>application</w:t>
      </w:r>
      <w:r w:rsidR="008045F3">
        <w:t xml:space="preserve"> included prevalence of 71% PTRCT and 29</w:t>
      </w:r>
      <w:r w:rsidR="00C97290">
        <w:t>%</w:t>
      </w:r>
      <w:r w:rsidR="008045F3">
        <w:t xml:space="preserve"> FTRCT and MSAC and </w:t>
      </w:r>
      <w:r w:rsidR="007E2759">
        <w:t>Evaluation subcommittee (</w:t>
      </w:r>
      <w:r w:rsidR="008045F3">
        <w:t>ESC</w:t>
      </w:r>
      <w:r w:rsidR="007E2759">
        <w:t>)</w:t>
      </w:r>
      <w:r w:rsidR="008045F3">
        <w:t xml:space="preserve"> considered those values were uncertain.</w:t>
      </w:r>
      <w:r w:rsidR="00BE0391">
        <w:t xml:space="preserve"> </w:t>
      </w:r>
    </w:p>
    <w:p w14:paraId="79D3D444" w14:textId="0C59065E" w:rsidR="00063FD5" w:rsidRDefault="002B4F0C" w:rsidP="003B4E46">
      <w:r>
        <w:t xml:space="preserve">The </w:t>
      </w:r>
      <w:r w:rsidR="00600185">
        <w:t>ADAR</w:t>
      </w:r>
      <w:r>
        <w:t xml:space="preserve"> sourced data for the p</w:t>
      </w:r>
      <w:r w:rsidRPr="00817EB7">
        <w:t>ercentage point reduction in use of health resource</w:t>
      </w:r>
      <w:r w:rsidR="006557DD">
        <w:t>s</w:t>
      </w:r>
      <w:r w:rsidRPr="00817EB7">
        <w:t xml:space="preserve"> </w:t>
      </w:r>
      <w:r>
        <w:t xml:space="preserve">for </w:t>
      </w:r>
      <w:r w:rsidR="00895086">
        <w:t>Population 2</w:t>
      </w:r>
      <w:r w:rsidRPr="00817EB7">
        <w:t xml:space="preserve"> (FT</w:t>
      </w:r>
      <w:r>
        <w:t xml:space="preserve">RCT) from the same source of data used in the economic model for </w:t>
      </w:r>
      <w:r w:rsidR="00895086">
        <w:t>Population 2</w:t>
      </w:r>
      <w:r>
        <w:t>. Hence, the issues identified in the transition probabilities inputs were also relevant for the financial calculations e.g.,</w:t>
      </w:r>
      <w:r w:rsidRPr="00CD76DA">
        <w:rPr>
          <w:rFonts w:cstheme="minorHAnsi"/>
        </w:rPr>
        <w:t xml:space="preserve"> the </w:t>
      </w:r>
      <w:r w:rsidR="00600185">
        <w:rPr>
          <w:rFonts w:cstheme="minorHAnsi"/>
        </w:rPr>
        <w:t>ADAR</w:t>
      </w:r>
      <w:r w:rsidRPr="00CD76DA">
        <w:rPr>
          <w:rFonts w:cstheme="minorHAnsi"/>
        </w:rPr>
        <w:t xml:space="preserve"> sourced the probability of having revision RCR or reverse shoulder arthroplasty from the</w:t>
      </w:r>
      <w:r w:rsidRPr="00CD76DA">
        <w:rPr>
          <w:rFonts w:cstheme="minorHAnsi"/>
          <w:noProof/>
        </w:rPr>
        <w:t xml:space="preserve"> Parikh et al., 2021 study</w:t>
      </w:r>
      <w:r>
        <w:rPr>
          <w:rFonts w:cstheme="minorHAnsi"/>
          <w:noProof/>
        </w:rPr>
        <w:t xml:space="preserve"> to calculate the percentage with conservative management after index procedure</w:t>
      </w:r>
      <w:r w:rsidR="00AE3BFC">
        <w:rPr>
          <w:rFonts w:cstheme="minorHAnsi"/>
          <w:noProof/>
        </w:rPr>
        <w:t xml:space="preserve"> (please refer to</w:t>
      </w:r>
      <w:r w:rsidR="00E90BE6" w:rsidRPr="00E90BE6">
        <w:t xml:space="preserve"> </w:t>
      </w:r>
      <w:r w:rsidR="00E90BE6">
        <w:t xml:space="preserve">Economic evaluation for Population 2 (FTRCT): </w:t>
      </w:r>
      <w:r w:rsidR="00E90BE6" w:rsidRPr="00E90BE6">
        <w:rPr>
          <w:rFonts w:cstheme="minorHAnsi"/>
          <w:noProof/>
        </w:rPr>
        <w:t>Model transition probabilities, variables and extrapolation</w:t>
      </w:r>
      <w:r w:rsidR="00E90BE6">
        <w:rPr>
          <w:rFonts w:cstheme="minorHAnsi"/>
          <w:noProof/>
        </w:rPr>
        <w:t xml:space="preserve"> for more details).</w:t>
      </w:r>
    </w:p>
    <w:bookmarkEnd w:id="95"/>
    <w:p w14:paraId="0EE7370A" w14:textId="262F80B6" w:rsidR="002B4F0C" w:rsidRPr="00B821D3" w:rsidRDefault="002B4F0C" w:rsidP="00B821D3">
      <w:pPr>
        <w:pStyle w:val="Heading4"/>
      </w:pPr>
      <w:r w:rsidRPr="00B821D3">
        <w:t xml:space="preserve">Net financial impact </w:t>
      </w:r>
      <w:r w:rsidR="00282E63" w:rsidRPr="00B821D3">
        <w:t>on</w:t>
      </w:r>
      <w:r w:rsidRPr="00B821D3">
        <w:t xml:space="preserve"> Private Health Insurance</w:t>
      </w:r>
    </w:p>
    <w:p w14:paraId="5D69289C" w14:textId="728B79F1" w:rsidR="00A946D2" w:rsidRDefault="00A946D2" w:rsidP="003B4E46">
      <w:pPr>
        <w:rPr>
          <w:rFonts w:cstheme="minorHAnsi"/>
        </w:rPr>
      </w:pPr>
      <w:r>
        <w:t>For Population 1, using REGENETEN typically replaces the surgical sutures and anchors used in standard surgery. Therefore, funding the REGENETEN kit will save the costs associated with standard procedure of $2,136 (</w:t>
      </w:r>
      <w:proofErr w:type="spellStart"/>
      <w:r>
        <w:t>He</w:t>
      </w:r>
      <w:r w:rsidR="00AB108D">
        <w:t>a</w:t>
      </w:r>
      <w:r>
        <w:t>licoil</w:t>
      </w:r>
      <w:proofErr w:type="spellEnd"/>
      <w:r>
        <w:t xml:space="preserve">, footprint anchors and suture passer) to PHI. </w:t>
      </w:r>
      <w:r>
        <w:rPr>
          <w:rFonts w:cstheme="minorHAnsi"/>
        </w:rPr>
        <w:t>In Population 2, the use of REGENETEN is additional to standard repair. As such, the REGENETEN kit is an additional cost to PHI in the surgical procedure of rotator cuff repair. The cost</w:t>
      </w:r>
      <w:r w:rsidR="00E35B7B">
        <w:rPr>
          <w:rFonts w:cstheme="minorHAnsi"/>
        </w:rPr>
        <w:t>-</w:t>
      </w:r>
      <w:r>
        <w:rPr>
          <w:rFonts w:cstheme="minorHAnsi"/>
        </w:rPr>
        <w:t xml:space="preserve">offsets from funding REGENETEN to Population 2 </w:t>
      </w:r>
      <w:r w:rsidR="00FA1AF7">
        <w:rPr>
          <w:rFonts w:cstheme="minorHAnsi"/>
        </w:rPr>
        <w:t>were</w:t>
      </w:r>
      <w:r>
        <w:rPr>
          <w:rFonts w:cstheme="minorHAnsi"/>
        </w:rPr>
        <w:t xml:space="preserve"> from avoided costs associated with the management of patients following a retear as REGENETEN reduces the retear rate. </w:t>
      </w:r>
    </w:p>
    <w:p w14:paraId="573741F7" w14:textId="426F7E94" w:rsidR="002B4F0C" w:rsidRDefault="002B4F0C" w:rsidP="003B4E46">
      <w:r w:rsidRPr="007576F0">
        <w:t xml:space="preserve">The estimated cost to PHI to fund REGENETEN is expected to grow from around </w:t>
      </w:r>
      <w:r w:rsidR="007C64CC" w:rsidRPr="00E477C8">
        <w:rPr>
          <w:b/>
          <w:bCs/>
        </w:rPr>
        <w:t>redacted</w:t>
      </w:r>
      <w:r w:rsidR="007C64CC">
        <w:t xml:space="preserve"> </w:t>
      </w:r>
      <w:r w:rsidR="00510221">
        <w:t xml:space="preserve">in Year 1 </w:t>
      </w:r>
      <w:r w:rsidRPr="007576F0">
        <w:t xml:space="preserve">to </w:t>
      </w:r>
      <w:r w:rsidR="007C64CC" w:rsidRPr="00E477C8">
        <w:rPr>
          <w:b/>
          <w:bCs/>
        </w:rPr>
        <w:t>redacted</w:t>
      </w:r>
      <w:r w:rsidR="007C64CC">
        <w:t xml:space="preserve"> </w:t>
      </w:r>
      <w:r w:rsidR="00510221">
        <w:t>in</w:t>
      </w:r>
      <w:r w:rsidRPr="007576F0">
        <w:t xml:space="preserve"> </w:t>
      </w:r>
      <w:r w:rsidR="00DD6B78">
        <w:t>Y</w:t>
      </w:r>
      <w:r w:rsidRPr="007576F0">
        <w:t>ear 6. Considering cost</w:t>
      </w:r>
      <w:r w:rsidR="00DD6B78">
        <w:t>-</w:t>
      </w:r>
      <w:r w:rsidRPr="007576F0">
        <w:t>offsets, net costs to PHI are expected to reach $1.4</w:t>
      </w:r>
      <w:r w:rsidR="00E00AEC">
        <w:t xml:space="preserve"> </w:t>
      </w:r>
      <w:r w:rsidR="00E00AEC" w:rsidRPr="00E00AEC">
        <w:t>million</w:t>
      </w:r>
      <w:r w:rsidRPr="007576F0">
        <w:t xml:space="preserve"> in </w:t>
      </w:r>
      <w:r w:rsidR="00DD6B78">
        <w:t>Y</w:t>
      </w:r>
      <w:r w:rsidRPr="007576F0">
        <w:t xml:space="preserve">ear 1 and </w:t>
      </w:r>
      <w:r w:rsidR="00E543BD">
        <w:t xml:space="preserve">rising to </w:t>
      </w:r>
      <w:r w:rsidRPr="007576F0">
        <w:t>$8.7</w:t>
      </w:r>
      <w:r w:rsidR="00E00AEC" w:rsidRPr="00E00AEC">
        <w:t>million</w:t>
      </w:r>
      <w:r w:rsidRPr="007576F0">
        <w:t xml:space="preserve"> in </w:t>
      </w:r>
      <w:r w:rsidR="00E543BD">
        <w:t>Y</w:t>
      </w:r>
      <w:r w:rsidRPr="007576F0">
        <w:t xml:space="preserve">ear 6. Offsets to PHI are expected to reduce </w:t>
      </w:r>
      <w:r w:rsidR="00E543BD">
        <w:t xml:space="preserve">the </w:t>
      </w:r>
      <w:r w:rsidRPr="007576F0">
        <w:t xml:space="preserve">total costs by around </w:t>
      </w:r>
      <w:r w:rsidR="00A9627D" w:rsidRPr="00E477C8">
        <w:rPr>
          <w:b/>
          <w:bCs/>
        </w:rPr>
        <w:t>redacted</w:t>
      </w:r>
      <w:r w:rsidR="00A9627D">
        <w:t xml:space="preserve"> </w:t>
      </w:r>
      <w:r w:rsidRPr="007576F0">
        <w:t xml:space="preserve">in </w:t>
      </w:r>
      <w:r w:rsidR="001C4829">
        <w:t>Y</w:t>
      </w:r>
      <w:r w:rsidRPr="007576F0">
        <w:t>ear 6</w:t>
      </w:r>
      <w:r w:rsidR="00A946D2">
        <w:t xml:space="preserve">. It </w:t>
      </w:r>
      <w:r w:rsidR="00FA1AF7">
        <w:t>was</w:t>
      </w:r>
      <w:r w:rsidR="00A946D2">
        <w:t xml:space="preserve"> estimated that the cost to PHIs will be around </w:t>
      </w:r>
      <w:r w:rsidR="00A9627D" w:rsidRPr="00E477C8">
        <w:rPr>
          <w:b/>
          <w:bCs/>
        </w:rPr>
        <w:t>redacted</w:t>
      </w:r>
      <w:r w:rsidR="00A9627D">
        <w:t xml:space="preserve"> </w:t>
      </w:r>
      <w:r w:rsidR="00A946D2">
        <w:t xml:space="preserve">in </w:t>
      </w:r>
      <w:r w:rsidR="00C9175B">
        <w:t>Y</w:t>
      </w:r>
      <w:r w:rsidR="00A946D2">
        <w:t xml:space="preserve">ear </w:t>
      </w:r>
      <w:r w:rsidR="00C9175B">
        <w:t>1</w:t>
      </w:r>
      <w:r w:rsidR="00CB1403">
        <w:t xml:space="preserve">, rising to </w:t>
      </w:r>
      <w:r w:rsidR="00A9627D" w:rsidRPr="00E477C8">
        <w:rPr>
          <w:b/>
          <w:bCs/>
        </w:rPr>
        <w:t>redacted</w:t>
      </w:r>
      <w:r w:rsidR="00A9627D">
        <w:t xml:space="preserve"> </w:t>
      </w:r>
      <w:r w:rsidR="00C9175B">
        <w:t>in</w:t>
      </w:r>
      <w:r w:rsidR="00A946D2">
        <w:t xml:space="preserve"> </w:t>
      </w:r>
      <w:r w:rsidR="00C9175B">
        <w:t>Y</w:t>
      </w:r>
      <w:r w:rsidR="00A946D2">
        <w:t xml:space="preserve">ear 6. </w:t>
      </w:r>
      <w:r>
        <w:fldChar w:fldCharType="begin"/>
      </w:r>
      <w:r>
        <w:instrText xml:space="preserve"> REF _Ref163214499 \h </w:instrText>
      </w:r>
      <w:r>
        <w:fldChar w:fldCharType="separate"/>
      </w:r>
      <w:r w:rsidR="00D20FBE" w:rsidRPr="009D381A">
        <w:t>Table </w:t>
      </w:r>
      <w:r w:rsidR="00E439F6">
        <w:rPr>
          <w:noProof/>
        </w:rPr>
        <w:t>18</w:t>
      </w:r>
      <w:r>
        <w:fldChar w:fldCharType="end"/>
      </w:r>
      <w:r w:rsidR="00A946D2" w:rsidRPr="00A946D2">
        <w:t xml:space="preserve"> </w:t>
      </w:r>
      <w:r w:rsidR="00A946D2" w:rsidRPr="006F1652">
        <w:t>summarise</w:t>
      </w:r>
      <w:r w:rsidR="00B6445E">
        <w:t>d</w:t>
      </w:r>
      <w:r w:rsidR="00A946D2" w:rsidRPr="006F1652">
        <w:t xml:space="preserve"> the </w:t>
      </w:r>
      <w:r w:rsidR="00A946D2">
        <w:t>net financial impact</w:t>
      </w:r>
      <w:r w:rsidR="00A946D2" w:rsidRPr="006F1652">
        <w:t xml:space="preserve"> to PHIs with REGENETEN use in </w:t>
      </w:r>
      <w:r w:rsidR="00A946D2">
        <w:t>Population 1</w:t>
      </w:r>
      <w:r w:rsidR="00A946D2" w:rsidRPr="006F1652">
        <w:t xml:space="preserve"> </w:t>
      </w:r>
      <w:r w:rsidR="00BF7CA2">
        <w:t>(</w:t>
      </w:r>
      <w:r w:rsidR="00A946D2" w:rsidRPr="006F1652">
        <w:t>PTRCT</w:t>
      </w:r>
      <w:r w:rsidR="00BF7CA2">
        <w:t>)</w:t>
      </w:r>
      <w:r w:rsidR="00A946D2" w:rsidRPr="006F1652">
        <w:t xml:space="preserve"> and </w:t>
      </w:r>
      <w:r w:rsidR="00A946D2">
        <w:t>Population 2</w:t>
      </w:r>
      <w:r w:rsidR="00A946D2" w:rsidRPr="006F1652">
        <w:t xml:space="preserve"> </w:t>
      </w:r>
      <w:r w:rsidR="00BF7CA2">
        <w:t>(</w:t>
      </w:r>
      <w:r w:rsidR="00A946D2" w:rsidRPr="006F1652">
        <w:t>FTRCT</w:t>
      </w:r>
      <w:r w:rsidR="00BF7CA2">
        <w:t>)</w:t>
      </w:r>
      <w:r w:rsidR="00A946D2" w:rsidRPr="006F1652">
        <w:t>.</w:t>
      </w:r>
    </w:p>
    <w:p w14:paraId="703A75B0" w14:textId="77777777" w:rsidR="00D16AD5" w:rsidRDefault="00D16AD5">
      <w:pPr>
        <w:spacing w:after="0"/>
        <w:jc w:val="both"/>
        <w:sectPr w:rsidR="00D16AD5" w:rsidSect="003B132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DEA7792" w14:textId="73EEE028" w:rsidR="002B4F0C" w:rsidRPr="00CE28E3" w:rsidRDefault="002B4F0C" w:rsidP="000637C2">
      <w:pPr>
        <w:pStyle w:val="Caption"/>
        <w:keepNext w:val="0"/>
        <w:spacing w:before="0" w:after="0"/>
      </w:pPr>
      <w:bookmarkStart w:id="96" w:name="_Ref163214499"/>
      <w:bookmarkStart w:id="97" w:name="_Hlk161229538"/>
      <w:r w:rsidRPr="009D381A">
        <w:t>Table </w:t>
      </w:r>
      <w:r>
        <w:fldChar w:fldCharType="begin"/>
      </w:r>
      <w:r>
        <w:instrText xml:space="preserve"> SEQ Table \* ARABIC </w:instrText>
      </w:r>
      <w:r>
        <w:fldChar w:fldCharType="separate"/>
      </w:r>
      <w:r w:rsidR="00E439F6">
        <w:rPr>
          <w:noProof/>
        </w:rPr>
        <w:t>18</w:t>
      </w:r>
      <w:r>
        <w:rPr>
          <w:noProof/>
        </w:rPr>
        <w:fldChar w:fldCharType="end"/>
      </w:r>
      <w:bookmarkEnd w:id="96"/>
      <w:r w:rsidRPr="009D381A">
        <w:rPr>
          <w:noProof/>
        </w:rPr>
        <w:t xml:space="preserve">: </w:t>
      </w:r>
      <w:r w:rsidRPr="009D381A">
        <w:t xml:space="preserve">Net financial implications of REGENETEN </w:t>
      </w:r>
      <w:r w:rsidR="00282E63" w:rsidRPr="009D381A">
        <w:t>on</w:t>
      </w:r>
      <w:r w:rsidRPr="009D381A">
        <w:t xml:space="preserve"> PHI system – costs in $</w:t>
      </w:r>
      <w:r w:rsidR="00D16AD5" w:rsidRPr="009D381A">
        <w:t>millions*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4"/>
        <w:gridCol w:w="1842"/>
        <w:gridCol w:w="1134"/>
        <w:gridCol w:w="1134"/>
        <w:gridCol w:w="1134"/>
        <w:gridCol w:w="1134"/>
        <w:gridCol w:w="1134"/>
        <w:gridCol w:w="1134"/>
      </w:tblGrid>
      <w:tr w:rsidR="00D16AD5" w:rsidRPr="00CE28E3" w14:paraId="6854A2A3" w14:textId="77777777" w:rsidTr="00B821D3">
        <w:trPr>
          <w:cantSplit/>
        </w:trPr>
        <w:tc>
          <w:tcPr>
            <w:tcW w:w="5524" w:type="dxa"/>
            <w:tcMar>
              <w:top w:w="0" w:type="dxa"/>
              <w:left w:w="108" w:type="dxa"/>
              <w:bottom w:w="0" w:type="dxa"/>
              <w:right w:w="108" w:type="dxa"/>
            </w:tcMar>
          </w:tcPr>
          <w:p w14:paraId="26FA09E3" w14:textId="77777777" w:rsidR="005B2000" w:rsidRPr="00CE28E3" w:rsidRDefault="005B2000" w:rsidP="00B821D3">
            <w:pPr>
              <w:pStyle w:val="TableText"/>
              <w:keepNext/>
              <w:spacing w:before="0"/>
              <w:rPr>
                <w:b/>
                <w:bCs/>
              </w:rPr>
            </w:pPr>
            <w:r>
              <w:rPr>
                <w:b/>
                <w:bCs/>
              </w:rPr>
              <w:t xml:space="preserve">Parameter </w:t>
            </w:r>
          </w:p>
        </w:tc>
        <w:tc>
          <w:tcPr>
            <w:tcW w:w="1842" w:type="dxa"/>
            <w:tcMar>
              <w:top w:w="0" w:type="dxa"/>
              <w:left w:w="108" w:type="dxa"/>
              <w:bottom w:w="0" w:type="dxa"/>
              <w:right w:w="108" w:type="dxa"/>
            </w:tcMar>
            <w:hideMark/>
          </w:tcPr>
          <w:p w14:paraId="615A0807" w14:textId="0C7E98A7" w:rsidR="005B2000" w:rsidRPr="001316A3" w:rsidRDefault="00635995" w:rsidP="00B821D3">
            <w:pPr>
              <w:pStyle w:val="TableText"/>
              <w:keepNext/>
              <w:spacing w:before="0"/>
              <w:jc w:val="center"/>
              <w:rPr>
                <w:b/>
                <w:bCs/>
              </w:rPr>
            </w:pPr>
            <w:r>
              <w:rPr>
                <w:b/>
                <w:bCs/>
              </w:rPr>
              <w:t>Calculation</w:t>
            </w:r>
          </w:p>
        </w:tc>
        <w:tc>
          <w:tcPr>
            <w:tcW w:w="1134" w:type="dxa"/>
          </w:tcPr>
          <w:p w14:paraId="3A175C81" w14:textId="18ACC34D" w:rsidR="005B2000" w:rsidRPr="00CD76DA" w:rsidRDefault="005B2000" w:rsidP="00B821D3">
            <w:pPr>
              <w:pStyle w:val="TableText"/>
              <w:keepNext/>
              <w:spacing w:before="0"/>
              <w:jc w:val="center"/>
              <w:rPr>
                <w:b/>
                <w:bCs/>
              </w:rPr>
            </w:pPr>
            <w:r w:rsidRPr="00CD76DA">
              <w:rPr>
                <w:b/>
                <w:bCs/>
              </w:rPr>
              <w:t>Year 1 2024</w:t>
            </w:r>
          </w:p>
        </w:tc>
        <w:tc>
          <w:tcPr>
            <w:tcW w:w="1134" w:type="dxa"/>
            <w:tcMar>
              <w:top w:w="0" w:type="dxa"/>
              <w:left w:w="108" w:type="dxa"/>
              <w:bottom w:w="0" w:type="dxa"/>
              <w:right w:w="108" w:type="dxa"/>
            </w:tcMar>
            <w:hideMark/>
          </w:tcPr>
          <w:p w14:paraId="55F2E815" w14:textId="440CCCBE" w:rsidR="005B2000" w:rsidRPr="001316A3" w:rsidRDefault="005B2000" w:rsidP="00B821D3">
            <w:pPr>
              <w:pStyle w:val="TableText"/>
              <w:keepNext/>
              <w:spacing w:before="0"/>
              <w:jc w:val="center"/>
              <w:rPr>
                <w:b/>
                <w:bCs/>
              </w:rPr>
            </w:pPr>
            <w:r w:rsidRPr="00CD76DA">
              <w:rPr>
                <w:b/>
                <w:bCs/>
              </w:rPr>
              <w:t>Year 2 2025</w:t>
            </w:r>
          </w:p>
        </w:tc>
        <w:tc>
          <w:tcPr>
            <w:tcW w:w="1134" w:type="dxa"/>
            <w:tcMar>
              <w:top w:w="0" w:type="dxa"/>
              <w:left w:w="108" w:type="dxa"/>
              <w:bottom w:w="0" w:type="dxa"/>
              <w:right w:w="108" w:type="dxa"/>
            </w:tcMar>
            <w:hideMark/>
          </w:tcPr>
          <w:p w14:paraId="62BE4AEA" w14:textId="77777777" w:rsidR="005B2000" w:rsidRPr="001316A3" w:rsidRDefault="005B2000" w:rsidP="00B821D3">
            <w:pPr>
              <w:pStyle w:val="TableText"/>
              <w:keepNext/>
              <w:spacing w:before="0"/>
              <w:jc w:val="center"/>
              <w:rPr>
                <w:b/>
                <w:bCs/>
              </w:rPr>
            </w:pPr>
            <w:r w:rsidRPr="00CD76DA">
              <w:rPr>
                <w:b/>
                <w:bCs/>
              </w:rPr>
              <w:t>Year 3 2026</w:t>
            </w:r>
          </w:p>
        </w:tc>
        <w:tc>
          <w:tcPr>
            <w:tcW w:w="1134" w:type="dxa"/>
            <w:tcMar>
              <w:top w:w="0" w:type="dxa"/>
              <w:left w:w="108" w:type="dxa"/>
              <w:bottom w:w="0" w:type="dxa"/>
              <w:right w:w="108" w:type="dxa"/>
            </w:tcMar>
            <w:hideMark/>
          </w:tcPr>
          <w:p w14:paraId="394CD251" w14:textId="77777777" w:rsidR="005B2000" w:rsidRPr="001316A3" w:rsidRDefault="005B2000" w:rsidP="00B821D3">
            <w:pPr>
              <w:pStyle w:val="TableText"/>
              <w:keepNext/>
              <w:spacing w:before="0"/>
              <w:jc w:val="center"/>
              <w:rPr>
                <w:b/>
                <w:bCs/>
              </w:rPr>
            </w:pPr>
            <w:r w:rsidRPr="00CD76DA">
              <w:rPr>
                <w:b/>
                <w:bCs/>
              </w:rPr>
              <w:t>Year 4 2027</w:t>
            </w:r>
          </w:p>
        </w:tc>
        <w:tc>
          <w:tcPr>
            <w:tcW w:w="1134" w:type="dxa"/>
            <w:tcMar>
              <w:top w:w="0" w:type="dxa"/>
              <w:left w:w="108" w:type="dxa"/>
              <w:bottom w:w="0" w:type="dxa"/>
              <w:right w:w="108" w:type="dxa"/>
            </w:tcMar>
            <w:hideMark/>
          </w:tcPr>
          <w:p w14:paraId="532D4910" w14:textId="77777777" w:rsidR="005B2000" w:rsidRPr="001316A3" w:rsidRDefault="005B2000" w:rsidP="00B821D3">
            <w:pPr>
              <w:pStyle w:val="TableText"/>
              <w:keepNext/>
              <w:spacing w:before="0"/>
              <w:jc w:val="center"/>
              <w:rPr>
                <w:b/>
                <w:bCs/>
              </w:rPr>
            </w:pPr>
            <w:r w:rsidRPr="00CD76DA">
              <w:rPr>
                <w:b/>
                <w:bCs/>
              </w:rPr>
              <w:t>Year 5 2028</w:t>
            </w:r>
          </w:p>
        </w:tc>
        <w:tc>
          <w:tcPr>
            <w:tcW w:w="1134" w:type="dxa"/>
            <w:tcMar>
              <w:top w:w="0" w:type="dxa"/>
              <w:left w:w="108" w:type="dxa"/>
              <w:bottom w:w="0" w:type="dxa"/>
              <w:right w:w="108" w:type="dxa"/>
            </w:tcMar>
            <w:hideMark/>
          </w:tcPr>
          <w:p w14:paraId="0B58CA46" w14:textId="77777777" w:rsidR="005B2000" w:rsidRPr="001316A3" w:rsidRDefault="005B2000" w:rsidP="00B821D3">
            <w:pPr>
              <w:pStyle w:val="TableText"/>
              <w:keepNext/>
              <w:spacing w:before="0"/>
              <w:jc w:val="center"/>
              <w:rPr>
                <w:b/>
                <w:bCs/>
              </w:rPr>
            </w:pPr>
            <w:r w:rsidRPr="00CD76DA">
              <w:rPr>
                <w:b/>
                <w:bCs/>
              </w:rPr>
              <w:t>Year 6 2029</w:t>
            </w:r>
          </w:p>
        </w:tc>
      </w:tr>
      <w:tr w:rsidR="005B2000" w:rsidRPr="00CE28E3" w14:paraId="498C0A12" w14:textId="77777777" w:rsidTr="00B821D3">
        <w:trPr>
          <w:cantSplit/>
        </w:trPr>
        <w:tc>
          <w:tcPr>
            <w:tcW w:w="14170" w:type="dxa"/>
            <w:gridSpan w:val="8"/>
          </w:tcPr>
          <w:p w14:paraId="11F044CC" w14:textId="75E67749" w:rsidR="005B2000" w:rsidRPr="00CE28E3" w:rsidRDefault="00B64429" w:rsidP="00B821D3">
            <w:pPr>
              <w:pStyle w:val="TableText"/>
              <w:keepNext/>
              <w:spacing w:before="0"/>
              <w:rPr>
                <w:b/>
                <w:bCs/>
              </w:rPr>
            </w:pPr>
            <w:r>
              <w:rPr>
                <w:b/>
                <w:bCs/>
              </w:rPr>
              <w:t xml:space="preserve"> </w:t>
            </w:r>
            <w:r w:rsidR="005B2000" w:rsidRPr="00CE28E3">
              <w:rPr>
                <w:b/>
                <w:bCs/>
              </w:rPr>
              <w:t xml:space="preserve">Estimated use </w:t>
            </w:r>
            <w:r w:rsidR="005B2000">
              <w:rPr>
                <w:b/>
                <w:bCs/>
              </w:rPr>
              <w:t>of REGENETEN</w:t>
            </w:r>
          </w:p>
        </w:tc>
      </w:tr>
      <w:tr w:rsidR="00CC3FF1" w:rsidRPr="00CE28E3" w14:paraId="472C7D30" w14:textId="77777777" w:rsidTr="00240FC1">
        <w:trPr>
          <w:cantSplit/>
          <w:trHeight w:val="296"/>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F0A4" w14:textId="337F1E0C" w:rsidR="00CC3FF1" w:rsidRPr="004441CF" w:rsidRDefault="00CC3FF1" w:rsidP="00CC3FF1">
            <w:pPr>
              <w:pStyle w:val="TableText"/>
              <w:keepNext/>
              <w:spacing w:before="0"/>
            </w:pPr>
            <w:r w:rsidRPr="00CD76DA">
              <w:rPr>
                <w:b/>
                <w:bCs/>
              </w:rPr>
              <w:t>Total estimated utilisation of REGENETEN</w:t>
            </w:r>
            <w:r>
              <w:rPr>
                <w:b/>
                <w:bCs/>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6A0A4" w14:textId="627823CC" w:rsidR="00CC3FF1" w:rsidRPr="00B821D3" w:rsidRDefault="00CC3FF1" w:rsidP="00CC3FF1">
            <w:pPr>
              <w:pStyle w:val="TableText"/>
              <w:keepNext/>
              <w:spacing w:before="0"/>
              <w:jc w:val="center"/>
              <w:rPr>
                <w:b/>
                <w:bCs/>
              </w:rPr>
            </w:pPr>
            <w:r w:rsidRPr="00B821D3">
              <w:rPr>
                <w:b/>
                <w:bCs/>
              </w:rPr>
              <w:t>A</w:t>
            </w:r>
          </w:p>
        </w:tc>
        <w:tc>
          <w:tcPr>
            <w:tcW w:w="1134" w:type="dxa"/>
            <w:tcBorders>
              <w:top w:val="single" w:sz="4" w:space="0" w:color="auto"/>
              <w:left w:val="single" w:sz="4" w:space="0" w:color="auto"/>
              <w:bottom w:val="single" w:sz="4" w:space="0" w:color="auto"/>
              <w:right w:val="single" w:sz="4" w:space="0" w:color="auto"/>
            </w:tcBorders>
          </w:tcPr>
          <w:p w14:paraId="5691FA60" w14:textId="4A57CF1A" w:rsidR="00CC3FF1" w:rsidRPr="00CD76DA" w:rsidRDefault="00CC3FF1" w:rsidP="00CC3FF1">
            <w:pPr>
              <w:pStyle w:val="TableText"/>
              <w:keepNext/>
              <w:spacing w:before="0"/>
              <w:jc w:val="center"/>
              <w:rPr>
                <w:b/>
                <w:bCs/>
              </w:rP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7DFC" w14:textId="25B10265"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6EE2F" w14:textId="12B5B064"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C5F68" w14:textId="5F3C9BAE"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50CEB" w14:textId="332D5A9F"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D8231" w14:textId="6DFA5BA1" w:rsidR="00CC3FF1" w:rsidRPr="004441CF" w:rsidRDefault="00CC3FF1" w:rsidP="00CC3FF1">
            <w:pPr>
              <w:pStyle w:val="TableText"/>
              <w:keepNext/>
              <w:spacing w:before="0"/>
              <w:jc w:val="center"/>
            </w:pPr>
            <w:r w:rsidRPr="000B6FE0">
              <w:rPr>
                <w:b/>
                <w:bCs/>
              </w:rPr>
              <w:t>redacted</w:t>
            </w:r>
            <w:r w:rsidRPr="000B6FE0" w:rsidDel="006414CA">
              <w:t xml:space="preserve"> </w:t>
            </w:r>
          </w:p>
        </w:tc>
      </w:tr>
      <w:tr w:rsidR="00CC3FF1" w:rsidRPr="00CE28E3" w14:paraId="66FA0128" w14:textId="77777777" w:rsidTr="00240FC1">
        <w:trPr>
          <w:cantSplit/>
          <w:trHeight w:val="296"/>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E79F" w14:textId="0D53B4A9" w:rsidR="00CC3FF1" w:rsidRPr="004441CF" w:rsidRDefault="00CC3FF1" w:rsidP="00CC3FF1">
            <w:pPr>
              <w:pStyle w:val="TableText"/>
              <w:keepNext/>
              <w:spacing w:before="0"/>
            </w:pPr>
            <w:r w:rsidRPr="004441CF">
              <w:t xml:space="preserve">Number of patients for </w:t>
            </w:r>
            <w:r>
              <w:t>Population 1</w:t>
            </w:r>
            <w:r w:rsidRPr="004441CF">
              <w:t xml:space="preserve"> (PTRCT)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D1A2DE" w14:textId="2CA1BBA1" w:rsidR="00CC3FF1" w:rsidRPr="004441CF" w:rsidRDefault="00CC3FF1" w:rsidP="00CC3FF1">
            <w:pPr>
              <w:pStyle w:val="TableText"/>
              <w:keepNext/>
              <w:spacing w:before="0"/>
              <w:jc w:val="center"/>
            </w:pPr>
            <w:r>
              <w:t>B=Ax39%</w:t>
            </w:r>
          </w:p>
        </w:tc>
        <w:tc>
          <w:tcPr>
            <w:tcW w:w="1134" w:type="dxa"/>
            <w:tcBorders>
              <w:top w:val="single" w:sz="4" w:space="0" w:color="auto"/>
              <w:left w:val="single" w:sz="4" w:space="0" w:color="auto"/>
              <w:bottom w:val="single" w:sz="4" w:space="0" w:color="auto"/>
              <w:right w:val="single" w:sz="4" w:space="0" w:color="auto"/>
            </w:tcBorders>
          </w:tcPr>
          <w:p w14:paraId="4246FE1C" w14:textId="389A0F79"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EBE7" w14:textId="095062A9"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3BACE" w14:textId="6BE5AEBB"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27262" w14:textId="656D24C2"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B1C0E" w14:textId="272804D0"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001A1" w14:textId="454D6D57" w:rsidR="00CC3FF1" w:rsidRPr="004441CF" w:rsidRDefault="00CC3FF1" w:rsidP="00CC3FF1">
            <w:pPr>
              <w:pStyle w:val="TableText"/>
              <w:keepNext/>
              <w:spacing w:before="0"/>
              <w:jc w:val="center"/>
            </w:pPr>
            <w:r w:rsidRPr="000B6FE0">
              <w:rPr>
                <w:b/>
                <w:bCs/>
              </w:rPr>
              <w:t>redacted</w:t>
            </w:r>
            <w:r w:rsidRPr="000B6FE0" w:rsidDel="006414CA">
              <w:t xml:space="preserve"> </w:t>
            </w:r>
          </w:p>
        </w:tc>
      </w:tr>
      <w:tr w:rsidR="00CC3FF1" w:rsidRPr="00CE28E3" w14:paraId="48884258"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DFB82" w14:textId="47C0275D" w:rsidR="00CC3FF1" w:rsidRPr="00CE28E3" w:rsidRDefault="00CC3FF1" w:rsidP="00CC3FF1">
            <w:pPr>
              <w:pStyle w:val="TableText"/>
              <w:keepNext/>
              <w:spacing w:before="0"/>
            </w:pPr>
            <w:r w:rsidRPr="004441CF">
              <w:t xml:space="preserve">Number of patients for </w:t>
            </w:r>
            <w:r>
              <w:t>Population 2</w:t>
            </w:r>
            <w:r w:rsidRPr="004441CF">
              <w:t xml:space="preserve"> (FTRCT)</w:t>
            </w:r>
            <w: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2688B7" w14:textId="6FB2E51B" w:rsidR="00CC3FF1" w:rsidRPr="00CE28E3" w:rsidRDefault="00CC3FF1" w:rsidP="00CC3FF1">
            <w:pPr>
              <w:pStyle w:val="TableText"/>
              <w:keepNext/>
              <w:spacing w:before="0"/>
              <w:jc w:val="center"/>
            </w:pPr>
            <w:r>
              <w:t>C=Ax61%</w:t>
            </w:r>
          </w:p>
        </w:tc>
        <w:tc>
          <w:tcPr>
            <w:tcW w:w="1134" w:type="dxa"/>
            <w:tcBorders>
              <w:top w:val="single" w:sz="4" w:space="0" w:color="auto"/>
              <w:left w:val="single" w:sz="4" w:space="0" w:color="auto"/>
              <w:bottom w:val="single" w:sz="4" w:space="0" w:color="auto"/>
              <w:right w:val="single" w:sz="4" w:space="0" w:color="auto"/>
            </w:tcBorders>
          </w:tcPr>
          <w:p w14:paraId="6EC85D8F" w14:textId="46686AE9" w:rsidR="00CC3FF1" w:rsidRPr="004441CF"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89D4" w14:textId="2EDA5159" w:rsidR="00CC3FF1" w:rsidRPr="00CE28E3"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F7071" w14:textId="086FA1F8" w:rsidR="00CC3FF1" w:rsidRPr="00CE28E3"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92E3" w14:textId="3DA56A61" w:rsidR="00CC3FF1" w:rsidRPr="00CE28E3"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507C5" w14:textId="0DEEE96D" w:rsidR="00CC3FF1" w:rsidRPr="00CE28E3" w:rsidRDefault="00CC3FF1" w:rsidP="00CC3FF1">
            <w:pPr>
              <w:pStyle w:val="TableText"/>
              <w:keepNext/>
              <w:spacing w:before="0"/>
              <w:jc w:val="center"/>
            </w:pPr>
            <w:r w:rsidRPr="000B6FE0">
              <w:rPr>
                <w:b/>
                <w:bCs/>
              </w:rPr>
              <w:t>redacted</w:t>
            </w:r>
            <w:r w:rsidRPr="000B6FE0"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13B2" w14:textId="217DBA70" w:rsidR="00CC3FF1" w:rsidRPr="00CE28E3" w:rsidRDefault="00CC3FF1" w:rsidP="00CC3FF1">
            <w:pPr>
              <w:pStyle w:val="TableText"/>
              <w:keepNext/>
              <w:spacing w:before="0"/>
              <w:jc w:val="center"/>
            </w:pPr>
            <w:r w:rsidRPr="000B6FE0">
              <w:rPr>
                <w:b/>
                <w:bCs/>
              </w:rPr>
              <w:t>redacted</w:t>
            </w:r>
            <w:r w:rsidRPr="000B6FE0" w:rsidDel="006414CA">
              <w:t xml:space="preserve"> </w:t>
            </w:r>
          </w:p>
        </w:tc>
      </w:tr>
      <w:tr w:rsidR="005B2000" w:rsidRPr="00CE28E3" w14:paraId="369C789B" w14:textId="77777777" w:rsidTr="00B821D3">
        <w:trPr>
          <w:cantSplit/>
        </w:trPr>
        <w:tc>
          <w:tcPr>
            <w:tcW w:w="14170" w:type="dxa"/>
            <w:gridSpan w:val="8"/>
            <w:tcMar>
              <w:top w:w="0" w:type="dxa"/>
              <w:left w:w="108" w:type="dxa"/>
              <w:bottom w:w="0" w:type="dxa"/>
              <w:right w:w="108" w:type="dxa"/>
            </w:tcMar>
          </w:tcPr>
          <w:p w14:paraId="57D58D59" w14:textId="106DF399" w:rsidR="005B2000" w:rsidRPr="00475B4E" w:rsidRDefault="005B2000" w:rsidP="00B821D3">
            <w:pPr>
              <w:pStyle w:val="TableText"/>
              <w:keepNext/>
              <w:spacing w:before="0"/>
              <w:rPr>
                <w:b/>
                <w:bCs/>
              </w:rPr>
            </w:pPr>
            <w:r>
              <w:rPr>
                <w:b/>
                <w:bCs/>
              </w:rPr>
              <w:t>Estimate cost impact to PHI</w:t>
            </w:r>
          </w:p>
        </w:tc>
      </w:tr>
      <w:tr w:rsidR="00E84030" w:rsidRPr="00CE28E3" w14:paraId="24423B8D"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B404" w14:textId="64795B0A" w:rsidR="00E84030" w:rsidRPr="00475B4E" w:rsidRDefault="00E84030" w:rsidP="00E84030">
            <w:pPr>
              <w:pStyle w:val="TableText"/>
              <w:keepNext/>
              <w:spacing w:before="0"/>
              <w:rPr>
                <w:b/>
                <w:bCs/>
              </w:rPr>
            </w:pPr>
            <w:r w:rsidRPr="00F54DF9">
              <w:t>Estimated cost of REGENETEN to PHIs for PTRCT patients</w:t>
            </w:r>
            <w:r>
              <w:t>*</w:t>
            </w:r>
            <w:r w:rsidRPr="00F54DF9">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C5D1E6" w14:textId="6F662B3C" w:rsidR="00E84030" w:rsidRPr="00475B4E" w:rsidRDefault="00E84030" w:rsidP="00E84030">
            <w:pPr>
              <w:pStyle w:val="TableText"/>
              <w:keepNext/>
              <w:spacing w:before="0"/>
              <w:jc w:val="center"/>
              <w:rPr>
                <w:b/>
                <w:bCs/>
              </w:rPr>
            </w:pPr>
            <w:r>
              <w:t>D=</w:t>
            </w:r>
            <w:proofErr w:type="spellStart"/>
            <w:r>
              <w:t>Bx$</w:t>
            </w:r>
            <w:r w:rsidR="00981F5F" w:rsidRPr="00240FC1">
              <w:rPr>
                <w:b/>
                <w:bCs/>
              </w:rPr>
              <w:t>redacted</w:t>
            </w:r>
            <w:proofErr w:type="spellEnd"/>
          </w:p>
        </w:tc>
        <w:tc>
          <w:tcPr>
            <w:tcW w:w="1134" w:type="dxa"/>
            <w:tcBorders>
              <w:top w:val="single" w:sz="4" w:space="0" w:color="auto"/>
              <w:left w:val="single" w:sz="4" w:space="0" w:color="auto"/>
              <w:bottom w:val="single" w:sz="4" w:space="0" w:color="auto"/>
              <w:right w:val="single" w:sz="4" w:space="0" w:color="auto"/>
            </w:tcBorders>
          </w:tcPr>
          <w:p w14:paraId="40EA3A1C" w14:textId="2B792B94" w:rsidR="00E84030" w:rsidRPr="00F54DF9" w:rsidRDefault="00E84030" w:rsidP="00E84030">
            <w:pPr>
              <w:pStyle w:val="TableText"/>
              <w:keepNext/>
              <w:spacing w:before="0"/>
              <w:jc w:val="cente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333C" w14:textId="54EC03F0" w:rsidR="00E84030" w:rsidRPr="00475B4E"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42DA2" w14:textId="64D37503" w:rsidR="00E84030" w:rsidRPr="00475B4E"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77978" w14:textId="7EBFC692" w:rsidR="00E84030" w:rsidRPr="00475B4E"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BBAFF" w14:textId="79B9FA51" w:rsidR="00E84030" w:rsidRPr="00475B4E"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1B0A4" w14:textId="13B9E28E" w:rsidR="00E84030" w:rsidRPr="00475B4E" w:rsidRDefault="00E84030" w:rsidP="00E84030">
            <w:pPr>
              <w:pStyle w:val="TableText"/>
              <w:keepNext/>
              <w:spacing w:before="0"/>
              <w:jc w:val="center"/>
              <w:rPr>
                <w:b/>
                <w:bCs/>
              </w:rPr>
            </w:pPr>
            <w:r w:rsidRPr="00326923">
              <w:rPr>
                <w:b/>
                <w:bCs/>
              </w:rPr>
              <w:t>redacted</w:t>
            </w:r>
            <w:r w:rsidRPr="00326923" w:rsidDel="006414CA">
              <w:t xml:space="preserve"> </w:t>
            </w:r>
          </w:p>
        </w:tc>
      </w:tr>
      <w:tr w:rsidR="00E84030" w:rsidRPr="00CE28E3" w14:paraId="25C71B9A"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5E00" w14:textId="23988B4B" w:rsidR="00E84030" w:rsidRPr="005761A1" w:rsidRDefault="00E84030" w:rsidP="00E84030">
            <w:pPr>
              <w:pStyle w:val="TableText"/>
              <w:keepNext/>
              <w:spacing w:before="0"/>
            </w:pPr>
            <w:r w:rsidRPr="00F54DF9">
              <w:t xml:space="preserve">Estimated cost of REGENETEN to </w:t>
            </w:r>
            <w:r w:rsidRPr="006D6CCF">
              <w:t xml:space="preserve">PHIs for </w:t>
            </w:r>
            <w:r w:rsidRPr="00B821D3">
              <w:t>F</w:t>
            </w:r>
            <w:r w:rsidRPr="006D6CCF">
              <w:t>TRCT patients</w:t>
            </w:r>
            <w:r w:rsidRPr="00D16AD5">
              <w:t>*</w:t>
            </w:r>
            <w:r w:rsidRPr="00F54DF9">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9EE4E" w14:textId="5D350C5E" w:rsidR="00E84030" w:rsidRPr="005761A1" w:rsidRDefault="00E84030" w:rsidP="00E84030">
            <w:pPr>
              <w:pStyle w:val="TableText"/>
              <w:keepNext/>
              <w:spacing w:before="0"/>
              <w:jc w:val="center"/>
            </w:pPr>
            <w:r>
              <w:t>E=</w:t>
            </w:r>
            <w:proofErr w:type="spellStart"/>
            <w:r>
              <w:t>Cx$</w:t>
            </w:r>
            <w:r w:rsidR="00981F5F" w:rsidRPr="00240FC1">
              <w:rPr>
                <w:b/>
                <w:bCs/>
              </w:rPr>
              <w:t>redacted</w:t>
            </w:r>
            <w:proofErr w:type="spellEnd"/>
          </w:p>
        </w:tc>
        <w:tc>
          <w:tcPr>
            <w:tcW w:w="1134" w:type="dxa"/>
            <w:tcBorders>
              <w:top w:val="single" w:sz="4" w:space="0" w:color="auto"/>
              <w:left w:val="single" w:sz="4" w:space="0" w:color="auto"/>
              <w:bottom w:val="single" w:sz="4" w:space="0" w:color="auto"/>
              <w:right w:val="single" w:sz="4" w:space="0" w:color="auto"/>
            </w:tcBorders>
          </w:tcPr>
          <w:p w14:paraId="21199DC6" w14:textId="4416EB1F" w:rsidR="00E84030" w:rsidRPr="00F54DF9" w:rsidRDefault="00E84030" w:rsidP="00E84030">
            <w:pPr>
              <w:pStyle w:val="TableText"/>
              <w:keepNext/>
              <w:spacing w:before="0"/>
              <w:jc w:val="cente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80B0B" w14:textId="3D4259F5" w:rsidR="00E84030" w:rsidRPr="005761A1" w:rsidRDefault="00E84030" w:rsidP="00E84030">
            <w:pPr>
              <w:pStyle w:val="TableText"/>
              <w:keepNext/>
              <w:spacing w:before="0"/>
              <w:jc w:val="cente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C5D45" w14:textId="530804E4" w:rsidR="00E84030" w:rsidRPr="005761A1" w:rsidRDefault="00E84030" w:rsidP="00E84030">
            <w:pPr>
              <w:pStyle w:val="TableText"/>
              <w:keepNext/>
              <w:spacing w:before="0"/>
              <w:jc w:val="cente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2E35B" w14:textId="0EAA62F1" w:rsidR="00E84030" w:rsidRPr="005761A1" w:rsidRDefault="00E84030" w:rsidP="00E84030">
            <w:pPr>
              <w:pStyle w:val="TableText"/>
              <w:keepNext/>
              <w:spacing w:before="0"/>
              <w:jc w:val="cente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D1E2" w14:textId="28A5A98F" w:rsidR="00E84030" w:rsidRPr="005761A1" w:rsidRDefault="00E84030" w:rsidP="00E84030">
            <w:pPr>
              <w:pStyle w:val="TableText"/>
              <w:keepNext/>
              <w:spacing w:before="0"/>
              <w:jc w:val="cente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8AF2" w14:textId="5A0B698E" w:rsidR="00E84030" w:rsidRPr="005761A1" w:rsidRDefault="00E84030" w:rsidP="00E84030">
            <w:pPr>
              <w:pStyle w:val="TableText"/>
              <w:keepNext/>
              <w:spacing w:before="0"/>
              <w:jc w:val="center"/>
            </w:pPr>
            <w:r w:rsidRPr="00326923">
              <w:rPr>
                <w:b/>
                <w:bCs/>
              </w:rPr>
              <w:t>redacted</w:t>
            </w:r>
            <w:r w:rsidRPr="00326923" w:rsidDel="006414CA">
              <w:t xml:space="preserve"> </w:t>
            </w:r>
          </w:p>
        </w:tc>
      </w:tr>
      <w:tr w:rsidR="00E84030" w:rsidRPr="00CE28E3" w14:paraId="1059B8CF"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7AAF2F" w14:textId="3DACEFCF" w:rsidR="00E84030" w:rsidRPr="00CD76DA" w:rsidRDefault="00E84030" w:rsidP="00E84030">
            <w:pPr>
              <w:pStyle w:val="TableText"/>
              <w:keepNext/>
              <w:spacing w:before="0"/>
              <w:rPr>
                <w:b/>
                <w:bCs/>
              </w:rPr>
            </w:pPr>
            <w:r w:rsidRPr="00CD76DA">
              <w:rPr>
                <w:b/>
                <w:bCs/>
              </w:rPr>
              <w:t>Total estimated cost of REGENETEN to PHIs</w:t>
            </w:r>
            <w:r w:rsidRPr="00D16AD5">
              <w:rPr>
                <w:b/>
                <w:bCs/>
              </w:rPr>
              <w:t>*</w:t>
            </w:r>
            <w:r w:rsidRPr="00CD76DA">
              <w:rPr>
                <w:b/>
                <w:bCs/>
              </w:rP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F842B" w14:textId="2E78A23B" w:rsidR="00E84030" w:rsidRPr="00CD76DA" w:rsidRDefault="00E84030" w:rsidP="00E84030">
            <w:pPr>
              <w:pStyle w:val="TableText"/>
              <w:keepNext/>
              <w:spacing w:before="0"/>
              <w:jc w:val="center"/>
              <w:rPr>
                <w:b/>
                <w:bCs/>
              </w:rPr>
            </w:pPr>
            <w:r>
              <w:rPr>
                <w:b/>
                <w:bCs/>
              </w:rPr>
              <w:t>F=D+E</w:t>
            </w:r>
          </w:p>
        </w:tc>
        <w:tc>
          <w:tcPr>
            <w:tcW w:w="1134" w:type="dxa"/>
            <w:tcBorders>
              <w:top w:val="single" w:sz="4" w:space="0" w:color="auto"/>
              <w:left w:val="single" w:sz="4" w:space="0" w:color="auto"/>
              <w:bottom w:val="single" w:sz="4" w:space="0" w:color="auto"/>
              <w:right w:val="single" w:sz="4" w:space="0" w:color="auto"/>
            </w:tcBorders>
          </w:tcPr>
          <w:p w14:paraId="511DFBB9" w14:textId="01CBE845" w:rsidR="00E84030" w:rsidRPr="00CD76DA"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1892" w14:textId="6718E14A" w:rsidR="00E84030" w:rsidRPr="00CD76DA"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186A9" w14:textId="3193BD24" w:rsidR="00E84030" w:rsidRPr="00CD76DA"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7D145" w14:textId="25DB1315" w:rsidR="00E84030" w:rsidRPr="00CD76DA"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40FAB" w14:textId="717E2A86" w:rsidR="00E84030" w:rsidRPr="00CD76DA" w:rsidRDefault="00E84030" w:rsidP="00E84030">
            <w:pPr>
              <w:pStyle w:val="TableText"/>
              <w:keepNext/>
              <w:spacing w:before="0"/>
              <w:jc w:val="center"/>
              <w:rPr>
                <w:b/>
                <w:bCs/>
              </w:rPr>
            </w:pPr>
            <w:r w:rsidRPr="00326923">
              <w:rPr>
                <w:b/>
                <w:bCs/>
              </w:rPr>
              <w:t>redacted</w:t>
            </w:r>
            <w:r w:rsidRPr="0032692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9F787" w14:textId="744D8417" w:rsidR="00E84030" w:rsidRPr="00CD76DA" w:rsidRDefault="00E84030" w:rsidP="00E84030">
            <w:pPr>
              <w:pStyle w:val="TableText"/>
              <w:keepNext/>
              <w:spacing w:before="0"/>
              <w:jc w:val="center"/>
              <w:rPr>
                <w:b/>
                <w:bCs/>
              </w:rPr>
            </w:pPr>
            <w:r w:rsidRPr="00326923">
              <w:rPr>
                <w:b/>
                <w:bCs/>
              </w:rPr>
              <w:t>redacted</w:t>
            </w:r>
            <w:r w:rsidRPr="00326923" w:rsidDel="006414CA">
              <w:t xml:space="preserve"> </w:t>
            </w:r>
          </w:p>
        </w:tc>
      </w:tr>
      <w:tr w:rsidR="005B2000" w:rsidRPr="00CE28E3" w14:paraId="51B938FE" w14:textId="77777777" w:rsidTr="00B821D3">
        <w:trPr>
          <w:cantSplit/>
        </w:trPr>
        <w:tc>
          <w:tcPr>
            <w:tcW w:w="14170" w:type="dxa"/>
            <w:gridSpan w:val="8"/>
          </w:tcPr>
          <w:p w14:paraId="5D138A9B" w14:textId="3F377393" w:rsidR="005B2000" w:rsidRPr="00CE28E3" w:rsidRDefault="00B64429" w:rsidP="00B821D3">
            <w:pPr>
              <w:pStyle w:val="TableText"/>
              <w:keepNext/>
              <w:spacing w:before="0"/>
              <w:rPr>
                <w:b/>
                <w:bCs/>
              </w:rPr>
            </w:pPr>
            <w:r>
              <w:rPr>
                <w:b/>
                <w:bCs/>
              </w:rPr>
              <w:t xml:space="preserve"> </w:t>
            </w:r>
            <w:r w:rsidR="005B2000" w:rsidRPr="00CE28E3">
              <w:rPr>
                <w:b/>
                <w:bCs/>
              </w:rPr>
              <w:t>Change in use and cost of other health technologies</w:t>
            </w:r>
          </w:p>
        </w:tc>
      </w:tr>
      <w:tr w:rsidR="00A10C16" w:rsidRPr="00CE28E3" w14:paraId="38348E40" w14:textId="77777777" w:rsidTr="00B821D3">
        <w:trPr>
          <w:cantSplit/>
        </w:trPr>
        <w:tc>
          <w:tcPr>
            <w:tcW w:w="14170" w:type="dxa"/>
            <w:gridSpan w:val="8"/>
          </w:tcPr>
          <w:p w14:paraId="0CA53024" w14:textId="44C44503" w:rsidR="00A10C16" w:rsidRPr="006E36ED" w:rsidRDefault="00B64429" w:rsidP="00B821D3">
            <w:pPr>
              <w:pStyle w:val="TableText"/>
              <w:keepNext/>
              <w:spacing w:before="0"/>
              <w:rPr>
                <w:b/>
                <w:bCs/>
              </w:rPr>
            </w:pPr>
            <w:r>
              <w:rPr>
                <w:b/>
                <w:bCs/>
              </w:rPr>
              <w:t xml:space="preserve"> </w:t>
            </w:r>
            <w:r w:rsidR="006E36ED" w:rsidRPr="00B821D3">
              <w:rPr>
                <w:b/>
                <w:bCs/>
              </w:rPr>
              <w:t xml:space="preserve">Estimated cost offset to PHI in </w:t>
            </w:r>
            <w:r w:rsidR="00A10C16" w:rsidRPr="006E36ED">
              <w:rPr>
                <w:b/>
                <w:bCs/>
              </w:rPr>
              <w:t>Population 1:</w:t>
            </w:r>
            <w:r w:rsidR="00C53D9C">
              <w:rPr>
                <w:b/>
                <w:bCs/>
              </w:rPr>
              <w:t xml:space="preserve"> </w:t>
            </w:r>
            <w:r w:rsidR="00A10C16" w:rsidRPr="006E36ED">
              <w:rPr>
                <w:b/>
                <w:bCs/>
              </w:rPr>
              <w:t>PTRCT</w:t>
            </w:r>
          </w:p>
        </w:tc>
      </w:tr>
      <w:tr w:rsidR="00E84030" w:rsidRPr="00CE28E3" w14:paraId="2435FEA4"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C5C90" w14:textId="0654E45E" w:rsidR="00E84030" w:rsidRPr="00CE28E3" w:rsidRDefault="00E84030" w:rsidP="00E84030">
            <w:pPr>
              <w:pStyle w:val="TableText"/>
              <w:keepNext/>
              <w:spacing w:before="0"/>
            </w:pPr>
            <w:r>
              <w:t>with standard of care savings</w:t>
            </w:r>
            <w:r w:rsidRPr="00D16AD5">
              <w:t>*</w:t>
            </w:r>
            <w: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7D68E" w14:textId="36F9FC88" w:rsidR="00E84030" w:rsidRPr="00CE28E3" w:rsidRDefault="00E84030" w:rsidP="00E84030">
            <w:pPr>
              <w:pStyle w:val="TableText"/>
              <w:keepNext/>
              <w:spacing w:before="0"/>
              <w:jc w:val="center"/>
            </w:pPr>
            <w:r>
              <w:t>G=Bx$2,136</w:t>
            </w:r>
          </w:p>
        </w:tc>
        <w:tc>
          <w:tcPr>
            <w:tcW w:w="1134" w:type="dxa"/>
            <w:tcBorders>
              <w:top w:val="single" w:sz="4" w:space="0" w:color="auto"/>
              <w:left w:val="single" w:sz="4" w:space="0" w:color="auto"/>
              <w:bottom w:val="single" w:sz="4" w:space="0" w:color="auto"/>
              <w:right w:val="single" w:sz="4" w:space="0" w:color="auto"/>
            </w:tcBorders>
          </w:tcPr>
          <w:p w14:paraId="24C82845" w14:textId="26E387AF" w:rsidR="00E84030" w:rsidRPr="001A62B1" w:rsidRDefault="00E84030" w:rsidP="00E84030">
            <w:pPr>
              <w:pStyle w:val="TableText"/>
              <w:keepNext/>
              <w:spacing w:before="0"/>
              <w:jc w:val="center"/>
            </w:pPr>
            <w:r w:rsidRPr="00356D11">
              <w:rPr>
                <w:b/>
                <w:bCs/>
              </w:rPr>
              <w:t>redacted</w:t>
            </w:r>
            <w:r w:rsidRPr="00356D11"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EE20D" w14:textId="73AF4C10" w:rsidR="00E84030" w:rsidRPr="00CE28E3" w:rsidRDefault="00E84030" w:rsidP="00E84030">
            <w:pPr>
              <w:pStyle w:val="TableText"/>
              <w:keepNext/>
              <w:spacing w:before="0"/>
              <w:jc w:val="center"/>
            </w:pPr>
            <w:r w:rsidRPr="00356D11">
              <w:rPr>
                <w:b/>
                <w:bCs/>
              </w:rPr>
              <w:t>redacted</w:t>
            </w:r>
            <w:r w:rsidRPr="00356D11"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2C5BE" w14:textId="38C42230" w:rsidR="00E84030" w:rsidRPr="00CE28E3" w:rsidRDefault="00E84030" w:rsidP="00E84030">
            <w:pPr>
              <w:pStyle w:val="TableText"/>
              <w:keepNext/>
              <w:spacing w:before="0"/>
              <w:jc w:val="center"/>
            </w:pPr>
            <w:r w:rsidRPr="00356D11">
              <w:rPr>
                <w:b/>
                <w:bCs/>
              </w:rPr>
              <w:t>redacted</w:t>
            </w:r>
            <w:r w:rsidRPr="00356D11"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ECA1" w14:textId="262D335A" w:rsidR="00E84030" w:rsidRPr="00CE28E3" w:rsidRDefault="00E84030" w:rsidP="00E84030">
            <w:pPr>
              <w:pStyle w:val="TableText"/>
              <w:keepNext/>
              <w:spacing w:before="0"/>
              <w:jc w:val="center"/>
            </w:pPr>
            <w:r w:rsidRPr="00356D11">
              <w:rPr>
                <w:b/>
                <w:bCs/>
              </w:rPr>
              <w:t>redacted</w:t>
            </w:r>
            <w:r w:rsidRPr="00356D11"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AB7D3" w14:textId="3D05D735" w:rsidR="00E84030" w:rsidRPr="00CE28E3" w:rsidRDefault="00E84030" w:rsidP="00E84030">
            <w:pPr>
              <w:pStyle w:val="TableText"/>
              <w:keepNext/>
              <w:spacing w:before="0"/>
              <w:jc w:val="center"/>
            </w:pPr>
            <w:r w:rsidRPr="00356D11">
              <w:rPr>
                <w:b/>
                <w:bCs/>
              </w:rPr>
              <w:t>redacted</w:t>
            </w:r>
            <w:r w:rsidRPr="00356D11"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039B" w14:textId="2902C48D" w:rsidR="00E84030" w:rsidRPr="00CE28E3" w:rsidRDefault="00E84030" w:rsidP="00E84030">
            <w:pPr>
              <w:pStyle w:val="TableText"/>
              <w:keepNext/>
              <w:spacing w:before="0"/>
              <w:jc w:val="center"/>
            </w:pPr>
            <w:r w:rsidRPr="00356D11">
              <w:rPr>
                <w:b/>
                <w:bCs/>
              </w:rPr>
              <w:t>redacted</w:t>
            </w:r>
            <w:r w:rsidRPr="00356D11" w:rsidDel="006414CA">
              <w:t xml:space="preserve"> </w:t>
            </w:r>
          </w:p>
        </w:tc>
      </w:tr>
      <w:tr w:rsidR="006E36ED" w:rsidRPr="00CE28E3" w14:paraId="3519A4D8" w14:textId="77777777" w:rsidTr="00B821D3">
        <w:trPr>
          <w:cantSplit/>
        </w:trPr>
        <w:tc>
          <w:tcPr>
            <w:tcW w:w="14170" w:type="dxa"/>
            <w:gridSpan w:val="8"/>
            <w:tcMar>
              <w:top w:w="0" w:type="dxa"/>
              <w:left w:w="108" w:type="dxa"/>
              <w:bottom w:w="0" w:type="dxa"/>
              <w:right w:w="108" w:type="dxa"/>
            </w:tcMar>
          </w:tcPr>
          <w:p w14:paraId="1F3E5398" w14:textId="66CD05C4" w:rsidR="006E36ED" w:rsidRPr="001A62B1" w:rsidRDefault="006E36ED" w:rsidP="00B821D3">
            <w:pPr>
              <w:pStyle w:val="TableText"/>
              <w:keepNext/>
              <w:spacing w:before="0"/>
            </w:pPr>
            <w:r w:rsidRPr="00FF3221">
              <w:rPr>
                <w:b/>
                <w:bCs/>
              </w:rPr>
              <w:t xml:space="preserve">Estimated cost offset to PHI in </w:t>
            </w:r>
            <w:r w:rsidRPr="00B821D3">
              <w:rPr>
                <w:b/>
                <w:bCs/>
              </w:rPr>
              <w:t>Population 2: FTRCT</w:t>
            </w:r>
          </w:p>
        </w:tc>
      </w:tr>
      <w:tr w:rsidR="00DE6F99" w:rsidRPr="00CE28E3" w14:paraId="3B0E08D8" w14:textId="77777777" w:rsidTr="00B821D3">
        <w:trPr>
          <w:cantSplit/>
        </w:trPr>
        <w:tc>
          <w:tcPr>
            <w:tcW w:w="14170" w:type="dxa"/>
            <w:gridSpan w:val="8"/>
            <w:tcMar>
              <w:top w:w="0" w:type="dxa"/>
              <w:left w:w="108" w:type="dxa"/>
              <w:bottom w:w="0" w:type="dxa"/>
              <w:right w:w="108" w:type="dxa"/>
            </w:tcMar>
          </w:tcPr>
          <w:p w14:paraId="00A452ED" w14:textId="421C34CE" w:rsidR="00DE6F99" w:rsidRPr="00FF3221" w:rsidRDefault="00DE6F99" w:rsidP="00B821D3">
            <w:pPr>
              <w:pStyle w:val="TableText"/>
              <w:keepNext/>
              <w:spacing w:before="0"/>
              <w:rPr>
                <w:b/>
                <w:bCs/>
              </w:rPr>
            </w:pPr>
            <w:r w:rsidRPr="00DE6F99">
              <w:rPr>
                <w:b/>
                <w:bCs/>
              </w:rPr>
              <w:t>Revision of RCT repair</w:t>
            </w:r>
          </w:p>
        </w:tc>
      </w:tr>
      <w:tr w:rsidR="00E84030" w:rsidRPr="00CE28E3" w14:paraId="4F059987"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764B5" w14:textId="36EEE4D9" w:rsidR="00E84030" w:rsidRPr="006E36ED" w:rsidRDefault="00E84030" w:rsidP="00E84030">
            <w:pPr>
              <w:pStyle w:val="TableText"/>
              <w:keepNext/>
              <w:spacing w:before="0"/>
              <w:rPr>
                <w:b/>
                <w:bCs/>
              </w:rPr>
            </w:pPr>
            <w:r w:rsidRPr="00642161">
              <w:t xml:space="preserve">with avoided revision </w:t>
            </w:r>
            <w:r>
              <w:t>rotator cuff repair</w:t>
            </w:r>
            <w:r w:rsidRPr="00D16AD5">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2F2369" w14:textId="6B0ACECE" w:rsidR="00E84030" w:rsidRPr="001A62B1" w:rsidDel="005B2000" w:rsidRDefault="00E84030" w:rsidP="00E84030">
            <w:pPr>
              <w:pStyle w:val="TableText"/>
              <w:keepNext/>
              <w:spacing w:before="0"/>
              <w:jc w:val="center"/>
            </w:pPr>
            <w:r>
              <w:t>H</w:t>
            </w:r>
            <w:r w:rsidRPr="007F1B87">
              <w:t xml:space="preserve"> = C</w:t>
            </w:r>
            <w:r>
              <w:t>x4.4%x</w:t>
            </w:r>
            <w:r w:rsidRPr="007F1B87">
              <w:t>$7,015</w:t>
            </w:r>
          </w:p>
        </w:tc>
        <w:tc>
          <w:tcPr>
            <w:tcW w:w="1134" w:type="dxa"/>
            <w:tcBorders>
              <w:top w:val="single" w:sz="4" w:space="0" w:color="auto"/>
              <w:left w:val="single" w:sz="4" w:space="0" w:color="auto"/>
              <w:bottom w:val="single" w:sz="4" w:space="0" w:color="auto"/>
              <w:right w:val="single" w:sz="4" w:space="0" w:color="auto"/>
            </w:tcBorders>
          </w:tcPr>
          <w:p w14:paraId="586E3AB3" w14:textId="76480701"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D0C7" w14:textId="28C70818"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C1D69" w14:textId="4CEA607E"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12B0C" w14:textId="3A4C90F2"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4666" w14:textId="0335115C"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28522" w14:textId="406B50E3" w:rsidR="00E84030" w:rsidRPr="001A62B1" w:rsidRDefault="00E84030" w:rsidP="00E84030">
            <w:pPr>
              <w:pStyle w:val="TableText"/>
              <w:keepNext/>
              <w:spacing w:before="0"/>
              <w:jc w:val="center"/>
            </w:pPr>
            <w:r w:rsidRPr="00C4430A">
              <w:rPr>
                <w:b/>
                <w:bCs/>
              </w:rPr>
              <w:t>redacted</w:t>
            </w:r>
            <w:r w:rsidRPr="00C4430A" w:rsidDel="006414CA">
              <w:t xml:space="preserve"> </w:t>
            </w:r>
          </w:p>
        </w:tc>
      </w:tr>
      <w:tr w:rsidR="00E84030" w:rsidRPr="00CE28E3" w14:paraId="3811A114"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E7B29" w14:textId="6EFB40BA" w:rsidR="00E84030" w:rsidRPr="006E36ED" w:rsidRDefault="00E84030" w:rsidP="00E84030">
            <w:pPr>
              <w:pStyle w:val="TableText"/>
              <w:keepNext/>
              <w:spacing w:before="0"/>
              <w:rPr>
                <w:b/>
                <w:bCs/>
              </w:rPr>
            </w:pPr>
            <w:r w:rsidRPr="00642161">
              <w:t xml:space="preserve">with avoided rehabilitation (physiotherapy costs) when using REGENETEN due to less revision </w:t>
            </w:r>
            <w:r>
              <w:t>rotator cuff repair</w:t>
            </w:r>
            <w:r w:rsidRPr="00D16AD5">
              <w:t>*</w:t>
            </w:r>
            <w:r w:rsidRPr="00642161">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7A62B" w14:textId="18AC9413" w:rsidR="00E84030" w:rsidRPr="001A62B1" w:rsidDel="005B2000" w:rsidRDefault="00E84030" w:rsidP="00E84030">
            <w:pPr>
              <w:pStyle w:val="TableText"/>
              <w:keepNext/>
              <w:spacing w:before="0"/>
              <w:jc w:val="center"/>
            </w:pPr>
            <w:r>
              <w:t>I</w:t>
            </w:r>
            <w:r w:rsidRPr="007F1B87">
              <w:t xml:space="preserve"> = C</w:t>
            </w:r>
            <w:r>
              <w:t>x4.4%x</w:t>
            </w:r>
            <w:r w:rsidRPr="007F1B87">
              <w:t>$1,980</w:t>
            </w:r>
          </w:p>
        </w:tc>
        <w:tc>
          <w:tcPr>
            <w:tcW w:w="1134" w:type="dxa"/>
            <w:tcBorders>
              <w:top w:val="single" w:sz="4" w:space="0" w:color="auto"/>
              <w:left w:val="single" w:sz="4" w:space="0" w:color="auto"/>
              <w:bottom w:val="single" w:sz="4" w:space="0" w:color="auto"/>
              <w:right w:val="single" w:sz="4" w:space="0" w:color="auto"/>
            </w:tcBorders>
          </w:tcPr>
          <w:p w14:paraId="3B0E8408" w14:textId="708FBF0C"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BFA87" w14:textId="1F662A35"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6DBCC" w14:textId="6C2B0640"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D0EA" w14:textId="7538443C"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D7680" w14:textId="05A695BF" w:rsidR="00E84030" w:rsidRPr="001A62B1" w:rsidRDefault="00E84030" w:rsidP="00E84030">
            <w:pPr>
              <w:pStyle w:val="TableText"/>
              <w:keepNext/>
              <w:spacing w:before="0"/>
              <w:jc w:val="center"/>
            </w:pPr>
            <w:r w:rsidRPr="00C4430A">
              <w:rPr>
                <w:b/>
                <w:bCs/>
              </w:rPr>
              <w:t>redacted</w:t>
            </w:r>
            <w:r w:rsidRPr="00C4430A"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7F002" w14:textId="33E642EA" w:rsidR="00E84030" w:rsidRPr="001A62B1" w:rsidRDefault="00E84030" w:rsidP="00E84030">
            <w:pPr>
              <w:pStyle w:val="TableText"/>
              <w:keepNext/>
              <w:spacing w:before="0"/>
              <w:jc w:val="center"/>
            </w:pPr>
            <w:r w:rsidRPr="00C4430A">
              <w:rPr>
                <w:b/>
                <w:bCs/>
              </w:rPr>
              <w:t>redacted</w:t>
            </w:r>
            <w:r w:rsidRPr="00C4430A" w:rsidDel="006414CA">
              <w:t xml:space="preserve"> </w:t>
            </w:r>
          </w:p>
        </w:tc>
      </w:tr>
      <w:tr w:rsidR="00DE6F99" w:rsidRPr="00CE28E3" w14:paraId="1592EC18" w14:textId="77777777" w:rsidTr="00B821D3">
        <w:trPr>
          <w:cantSplit/>
        </w:trPr>
        <w:tc>
          <w:tcPr>
            <w:tcW w:w="14170" w:type="dxa"/>
            <w:gridSpan w:val="8"/>
            <w:tcMar>
              <w:top w:w="0" w:type="dxa"/>
              <w:left w:w="108" w:type="dxa"/>
              <w:bottom w:w="0" w:type="dxa"/>
              <w:right w:w="108" w:type="dxa"/>
            </w:tcMar>
          </w:tcPr>
          <w:p w14:paraId="0DD73EDA" w14:textId="69BF3287" w:rsidR="00DE6F99" w:rsidRPr="00B821D3" w:rsidRDefault="00DE6F99" w:rsidP="00B821D3">
            <w:pPr>
              <w:pStyle w:val="TableText"/>
              <w:keepNext/>
              <w:spacing w:before="0"/>
              <w:rPr>
                <w:b/>
                <w:bCs/>
              </w:rPr>
            </w:pPr>
            <w:r w:rsidRPr="00B821D3">
              <w:rPr>
                <w:b/>
                <w:bCs/>
              </w:rPr>
              <w:t>Reverse total shoulder arthroplasty (RTSA)</w:t>
            </w:r>
          </w:p>
        </w:tc>
      </w:tr>
      <w:tr w:rsidR="00E84030" w:rsidRPr="00CE28E3" w14:paraId="7600D762"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2FDD6" w14:textId="26C4403A" w:rsidR="00E84030" w:rsidRPr="00642161" w:rsidRDefault="00E84030" w:rsidP="00E84030">
            <w:pPr>
              <w:pStyle w:val="TableText"/>
              <w:keepNext/>
              <w:spacing w:before="0"/>
            </w:pPr>
            <w:r w:rsidRPr="00DC260A">
              <w:t>with RTSA when using REGENETEN</w:t>
            </w:r>
            <w:r w:rsidRPr="00D16AD5">
              <w:t>*</w:t>
            </w:r>
            <w:r w:rsidRPr="00DC260A">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0DA5B" w14:textId="333DCA3A" w:rsidR="00E84030" w:rsidRPr="007F1B87" w:rsidRDefault="00E84030" w:rsidP="00E84030">
            <w:pPr>
              <w:pStyle w:val="TableText"/>
              <w:keepNext/>
              <w:spacing w:before="0"/>
              <w:jc w:val="center"/>
            </w:pPr>
            <w:r>
              <w:t>J</w:t>
            </w:r>
            <w:r w:rsidRPr="00BD6355">
              <w:t xml:space="preserve"> = </w:t>
            </w:r>
            <w:r>
              <w:t>Cx0.7%x</w:t>
            </w:r>
            <w:r w:rsidRPr="00BD6355">
              <w:t>$22,484</w:t>
            </w:r>
          </w:p>
        </w:tc>
        <w:tc>
          <w:tcPr>
            <w:tcW w:w="1134" w:type="dxa"/>
            <w:tcBorders>
              <w:top w:val="single" w:sz="4" w:space="0" w:color="auto"/>
              <w:left w:val="single" w:sz="4" w:space="0" w:color="auto"/>
              <w:bottom w:val="single" w:sz="4" w:space="0" w:color="auto"/>
              <w:right w:val="single" w:sz="4" w:space="0" w:color="auto"/>
            </w:tcBorders>
          </w:tcPr>
          <w:p w14:paraId="5A157FD7" w14:textId="1106B659"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5072" w14:textId="733640C4"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EA20" w14:textId="0397CD26"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A96C1" w14:textId="045B75AD"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64EBF" w14:textId="413CD42A"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A6B0" w14:textId="4F5900E7" w:rsidR="00E84030" w:rsidRPr="00205CE7" w:rsidRDefault="00E84030" w:rsidP="00E84030">
            <w:pPr>
              <w:pStyle w:val="TableText"/>
              <w:keepNext/>
              <w:spacing w:before="0"/>
              <w:jc w:val="center"/>
            </w:pPr>
            <w:r w:rsidRPr="00260CD5">
              <w:rPr>
                <w:b/>
                <w:bCs/>
              </w:rPr>
              <w:t>redacted</w:t>
            </w:r>
            <w:r w:rsidRPr="00260CD5" w:rsidDel="006414CA">
              <w:t xml:space="preserve"> </w:t>
            </w:r>
          </w:p>
        </w:tc>
      </w:tr>
      <w:tr w:rsidR="00E84030" w:rsidRPr="00CE28E3" w14:paraId="78DE25A1"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B94D2" w14:textId="59CAE74A" w:rsidR="00E84030" w:rsidRPr="00642161" w:rsidRDefault="00E84030" w:rsidP="00E84030">
            <w:pPr>
              <w:pStyle w:val="TableText"/>
              <w:keepNext/>
              <w:spacing w:before="0"/>
            </w:pPr>
            <w:r w:rsidRPr="00DC260A">
              <w:t>with avoided physiotherapy when using REGENETEN due to less RTSA</w:t>
            </w:r>
            <w:r w:rsidRPr="00D16AD5">
              <w:t>*</w:t>
            </w:r>
            <w:r w:rsidRPr="00DC260A">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D9050B" w14:textId="7289F3B4" w:rsidR="00E84030" w:rsidRPr="007F1B87" w:rsidRDefault="00E84030" w:rsidP="00E84030">
            <w:pPr>
              <w:pStyle w:val="TableText"/>
              <w:keepNext/>
              <w:spacing w:before="0"/>
              <w:jc w:val="center"/>
            </w:pPr>
            <w:r w:rsidRPr="00B64429">
              <w:t>K= C</w:t>
            </w:r>
            <w:r>
              <w:t>x</w:t>
            </w:r>
            <w:r w:rsidRPr="00B821D3">
              <w:t>0.7%x</w:t>
            </w:r>
            <w:r w:rsidRPr="00B64429">
              <w:t>$1,980</w:t>
            </w:r>
          </w:p>
        </w:tc>
        <w:tc>
          <w:tcPr>
            <w:tcW w:w="1134" w:type="dxa"/>
            <w:tcBorders>
              <w:top w:val="single" w:sz="4" w:space="0" w:color="auto"/>
              <w:left w:val="single" w:sz="4" w:space="0" w:color="auto"/>
              <w:bottom w:val="single" w:sz="4" w:space="0" w:color="auto"/>
              <w:right w:val="single" w:sz="4" w:space="0" w:color="auto"/>
            </w:tcBorders>
          </w:tcPr>
          <w:p w14:paraId="22A35F26" w14:textId="0BAABFDB"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5FADC" w14:textId="09F4B962"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5C3C1" w14:textId="0FDABF9B"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3AA71" w14:textId="34C5F5CD"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E7709" w14:textId="4203182E" w:rsidR="00E84030" w:rsidRPr="00205CE7" w:rsidRDefault="00E84030" w:rsidP="00E84030">
            <w:pPr>
              <w:pStyle w:val="TableText"/>
              <w:keepNext/>
              <w:spacing w:before="0"/>
              <w:jc w:val="center"/>
            </w:pPr>
            <w:r w:rsidRPr="00260CD5">
              <w:rPr>
                <w:b/>
                <w:bCs/>
              </w:rPr>
              <w:t>redacted</w:t>
            </w:r>
            <w:r w:rsidRPr="00260CD5"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960C6" w14:textId="4E004509" w:rsidR="00E84030" w:rsidRPr="00205CE7" w:rsidRDefault="00E84030" w:rsidP="00E84030">
            <w:pPr>
              <w:pStyle w:val="TableText"/>
              <w:keepNext/>
              <w:spacing w:before="0"/>
              <w:jc w:val="center"/>
            </w:pPr>
            <w:r w:rsidRPr="00260CD5">
              <w:rPr>
                <w:b/>
                <w:bCs/>
              </w:rPr>
              <w:t>redacted</w:t>
            </w:r>
            <w:r w:rsidRPr="00260CD5" w:rsidDel="006414CA">
              <w:t xml:space="preserve"> </w:t>
            </w:r>
          </w:p>
        </w:tc>
      </w:tr>
      <w:tr w:rsidR="00DE6F99" w:rsidRPr="00CE28E3" w14:paraId="1A9764AE" w14:textId="77777777" w:rsidTr="00B821D3">
        <w:trPr>
          <w:cantSplit/>
        </w:trPr>
        <w:tc>
          <w:tcPr>
            <w:tcW w:w="14170" w:type="dxa"/>
            <w:gridSpan w:val="8"/>
            <w:tcMar>
              <w:top w:w="0" w:type="dxa"/>
              <w:left w:w="108" w:type="dxa"/>
              <w:bottom w:w="0" w:type="dxa"/>
              <w:right w:w="108" w:type="dxa"/>
            </w:tcMar>
          </w:tcPr>
          <w:p w14:paraId="2ABFC939" w14:textId="149C6F7F" w:rsidR="00DE6F99" w:rsidRPr="00B821D3" w:rsidRDefault="00DE6F99" w:rsidP="00B821D3">
            <w:pPr>
              <w:pStyle w:val="TableText"/>
              <w:keepNext/>
              <w:spacing w:before="0"/>
              <w:rPr>
                <w:b/>
                <w:bCs/>
              </w:rPr>
            </w:pPr>
            <w:r w:rsidRPr="00B821D3">
              <w:rPr>
                <w:b/>
                <w:bCs/>
              </w:rPr>
              <w:t>Conservative management (first year)</w:t>
            </w:r>
          </w:p>
        </w:tc>
      </w:tr>
      <w:tr w:rsidR="00E84030" w:rsidRPr="00CE28E3" w14:paraId="2367307C"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AEDBB" w14:textId="7ECB5622" w:rsidR="00E84030" w:rsidRPr="00642161" w:rsidRDefault="00E84030" w:rsidP="00E84030">
            <w:pPr>
              <w:pStyle w:val="TableText"/>
              <w:keepNext/>
              <w:spacing w:before="0"/>
            </w:pPr>
            <w:r w:rsidRPr="0042318B">
              <w:t>with C</w:t>
            </w:r>
            <w:r>
              <w:t>M</w:t>
            </w:r>
            <w:r w:rsidRPr="0042318B">
              <w:t xml:space="preserve"> (physiotherapy) when using REGENETEN in the first year</w:t>
            </w:r>
            <w:r w:rsidRPr="00D16AD5">
              <w:t>*</w:t>
            </w:r>
            <w:r w:rsidRPr="0042318B">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F1B04" w14:textId="562C9E3D" w:rsidR="00E84030" w:rsidRPr="007F1B87" w:rsidRDefault="00E84030" w:rsidP="00E84030">
            <w:pPr>
              <w:pStyle w:val="TableText"/>
              <w:keepNext/>
              <w:spacing w:before="0"/>
              <w:jc w:val="center"/>
            </w:pPr>
            <w:r>
              <w:t>L</w:t>
            </w:r>
            <w:r w:rsidRPr="0082571B">
              <w:t xml:space="preserve"> =</w:t>
            </w:r>
            <w:r>
              <w:t xml:space="preserve"> Cx12.4%x</w:t>
            </w:r>
            <w:r w:rsidRPr="0082571B">
              <w:t>$</w:t>
            </w:r>
            <w:r>
              <w:t>1,320</w:t>
            </w:r>
          </w:p>
        </w:tc>
        <w:tc>
          <w:tcPr>
            <w:tcW w:w="1134" w:type="dxa"/>
            <w:tcBorders>
              <w:top w:val="single" w:sz="4" w:space="0" w:color="auto"/>
              <w:left w:val="single" w:sz="4" w:space="0" w:color="auto"/>
              <w:bottom w:val="single" w:sz="4" w:space="0" w:color="auto"/>
              <w:right w:val="single" w:sz="4" w:space="0" w:color="auto"/>
            </w:tcBorders>
          </w:tcPr>
          <w:p w14:paraId="2FFC3A80" w14:textId="7914DF45" w:rsidR="00E84030" w:rsidRPr="00205CE7" w:rsidRDefault="00E84030" w:rsidP="00E84030">
            <w:pPr>
              <w:pStyle w:val="TableText"/>
              <w:keepNext/>
              <w:spacing w:before="0"/>
              <w:jc w:val="center"/>
            </w:pPr>
            <w:r w:rsidRPr="00EF5EA3">
              <w:rPr>
                <w:b/>
                <w:bCs/>
              </w:rPr>
              <w:t>redacted</w:t>
            </w:r>
            <w:r w:rsidRPr="00EF5EA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D165D" w14:textId="4214F6BF" w:rsidR="00E84030" w:rsidRPr="00205CE7" w:rsidRDefault="00E84030" w:rsidP="00E84030">
            <w:pPr>
              <w:pStyle w:val="TableText"/>
              <w:keepNext/>
              <w:spacing w:before="0"/>
              <w:jc w:val="center"/>
            </w:pPr>
            <w:r w:rsidRPr="00EF5EA3">
              <w:rPr>
                <w:b/>
                <w:bCs/>
              </w:rPr>
              <w:t>redacted</w:t>
            </w:r>
            <w:r w:rsidRPr="00EF5EA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FF421" w14:textId="0954A50B" w:rsidR="00E84030" w:rsidRPr="00205CE7" w:rsidRDefault="00E84030" w:rsidP="00E84030">
            <w:pPr>
              <w:pStyle w:val="TableText"/>
              <w:keepNext/>
              <w:spacing w:before="0"/>
              <w:jc w:val="center"/>
            </w:pPr>
            <w:r w:rsidRPr="00EF5EA3">
              <w:rPr>
                <w:b/>
                <w:bCs/>
              </w:rPr>
              <w:t>redacted</w:t>
            </w:r>
            <w:r w:rsidRPr="00EF5EA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58A0E" w14:textId="7F869675" w:rsidR="00E84030" w:rsidRPr="00205CE7" w:rsidRDefault="00E84030" w:rsidP="00E84030">
            <w:pPr>
              <w:pStyle w:val="TableText"/>
              <w:keepNext/>
              <w:spacing w:before="0"/>
              <w:jc w:val="center"/>
            </w:pPr>
            <w:r w:rsidRPr="00EF5EA3">
              <w:rPr>
                <w:b/>
                <w:bCs/>
              </w:rPr>
              <w:t>redacted</w:t>
            </w:r>
            <w:r w:rsidRPr="00EF5EA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FC6D" w14:textId="656BB8FA" w:rsidR="00E84030" w:rsidRPr="00205CE7" w:rsidRDefault="00E84030" w:rsidP="00E84030">
            <w:pPr>
              <w:pStyle w:val="TableText"/>
              <w:keepNext/>
              <w:spacing w:before="0"/>
              <w:jc w:val="center"/>
            </w:pPr>
            <w:r w:rsidRPr="00EF5EA3">
              <w:rPr>
                <w:b/>
                <w:bCs/>
              </w:rPr>
              <w:t>redacted</w:t>
            </w:r>
            <w:r w:rsidRPr="00EF5EA3" w:rsidDel="006414CA">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9A410" w14:textId="69BD9341" w:rsidR="00E84030" w:rsidRPr="00205CE7" w:rsidRDefault="00E84030" w:rsidP="00E84030">
            <w:pPr>
              <w:pStyle w:val="TableText"/>
              <w:keepNext/>
              <w:spacing w:before="0"/>
              <w:jc w:val="center"/>
            </w:pPr>
            <w:r w:rsidRPr="00EF5EA3">
              <w:rPr>
                <w:b/>
                <w:bCs/>
              </w:rPr>
              <w:t>redacted</w:t>
            </w:r>
            <w:r w:rsidRPr="00EF5EA3" w:rsidDel="006414CA">
              <w:t xml:space="preserve"> </w:t>
            </w:r>
          </w:p>
        </w:tc>
      </w:tr>
      <w:tr w:rsidR="00DE6F99" w:rsidRPr="00CE28E3" w14:paraId="17F28586" w14:textId="77777777" w:rsidTr="00B821D3">
        <w:trPr>
          <w:cantSplit/>
        </w:trPr>
        <w:tc>
          <w:tcPr>
            <w:tcW w:w="14170" w:type="dxa"/>
            <w:gridSpan w:val="8"/>
            <w:tcMar>
              <w:top w:w="0" w:type="dxa"/>
              <w:left w:w="108" w:type="dxa"/>
              <w:bottom w:w="0" w:type="dxa"/>
              <w:right w:w="108" w:type="dxa"/>
            </w:tcMar>
          </w:tcPr>
          <w:p w14:paraId="4C1D37CD" w14:textId="4E413C3E" w:rsidR="00DE6F99" w:rsidRPr="00B821D3" w:rsidRDefault="00DE6F99" w:rsidP="00B821D3">
            <w:pPr>
              <w:pStyle w:val="TableText"/>
              <w:keepNext/>
              <w:spacing w:before="0"/>
              <w:rPr>
                <w:b/>
                <w:bCs/>
              </w:rPr>
            </w:pPr>
            <w:r w:rsidRPr="00B821D3">
              <w:rPr>
                <w:b/>
                <w:bCs/>
              </w:rPr>
              <w:t>Conservative management (second year)</w:t>
            </w:r>
          </w:p>
        </w:tc>
      </w:tr>
      <w:tr w:rsidR="00CC6ADD" w:rsidRPr="00CE28E3" w14:paraId="090B84B4"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5775C" w14:textId="1E4A14BD" w:rsidR="00CC6ADD" w:rsidRPr="006E36ED" w:rsidRDefault="00CC6ADD" w:rsidP="00CC6ADD">
            <w:pPr>
              <w:pStyle w:val="TableText"/>
              <w:keepNext/>
              <w:spacing w:before="0"/>
              <w:rPr>
                <w:b/>
                <w:bCs/>
              </w:rPr>
            </w:pPr>
            <w:r w:rsidRPr="00164859">
              <w:t>Estimated cost offset to PHI with C</w:t>
            </w:r>
            <w:r>
              <w:t>M</w:t>
            </w:r>
            <w:r w:rsidRPr="00164859">
              <w:t xml:space="preserve"> (physiotherapy) when using REGENETEN in the second year</w:t>
            </w:r>
            <w:r w:rsidRPr="00D16AD5">
              <w:t>*</w:t>
            </w:r>
            <w:r w:rsidRPr="00164859">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100F3" w14:textId="53EB10FF" w:rsidR="00CC6ADD" w:rsidRPr="001A62B1" w:rsidDel="005B2000" w:rsidRDefault="00CC6ADD" w:rsidP="00CC6ADD">
            <w:pPr>
              <w:pStyle w:val="TableText"/>
              <w:keepNext/>
              <w:spacing w:before="0"/>
              <w:jc w:val="center"/>
            </w:pPr>
            <w:r w:rsidRPr="0035374B">
              <w:t xml:space="preserve">M = </w:t>
            </w:r>
            <w:r>
              <w:t>Cx14.2%x</w:t>
            </w:r>
            <w:r w:rsidRPr="0035374B">
              <w:t>$1,320</w:t>
            </w:r>
          </w:p>
        </w:tc>
        <w:tc>
          <w:tcPr>
            <w:tcW w:w="1134" w:type="dxa"/>
            <w:tcBorders>
              <w:top w:val="single" w:sz="4" w:space="0" w:color="auto"/>
              <w:left w:val="single" w:sz="4" w:space="0" w:color="auto"/>
              <w:bottom w:val="single" w:sz="4" w:space="0" w:color="auto"/>
              <w:right w:val="single" w:sz="4" w:space="0" w:color="auto"/>
            </w:tcBorders>
          </w:tcPr>
          <w:p w14:paraId="476E6649" w14:textId="28C723C5" w:rsidR="00CC6ADD" w:rsidRPr="001A62B1"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6C9AC" w14:textId="6573F780" w:rsidR="00CC6ADD" w:rsidRPr="001A62B1"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3AC71" w14:textId="48908D08" w:rsidR="00CC6ADD" w:rsidRPr="001A62B1"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B46B0" w14:textId="73E813FE" w:rsidR="00CC6ADD" w:rsidRPr="001A62B1"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3AD66" w14:textId="07A25624" w:rsidR="00CC6ADD" w:rsidRPr="001A62B1"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FE544" w14:textId="7406CF06" w:rsidR="00CC6ADD" w:rsidRPr="001A62B1" w:rsidRDefault="00CC6ADD" w:rsidP="00CC6ADD">
            <w:pPr>
              <w:pStyle w:val="TableText"/>
              <w:keepNext/>
              <w:spacing w:before="0"/>
              <w:jc w:val="center"/>
            </w:pPr>
            <w:r w:rsidRPr="00710CF0">
              <w:rPr>
                <w:b/>
                <w:bCs/>
              </w:rPr>
              <w:t>redacted</w:t>
            </w:r>
            <w:r w:rsidRPr="00710CF0">
              <w:t xml:space="preserve"> </w:t>
            </w:r>
          </w:p>
        </w:tc>
      </w:tr>
      <w:tr w:rsidR="00CC6ADD" w:rsidRPr="00CE28E3" w14:paraId="150F32D5"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6AF4C" w14:textId="63126E34" w:rsidR="00CC6ADD" w:rsidRPr="00CE28E3" w:rsidRDefault="00CC6ADD" w:rsidP="00CC6ADD">
            <w:pPr>
              <w:pStyle w:val="TableText"/>
              <w:keepNext/>
              <w:spacing w:before="0"/>
            </w:pPr>
            <w:r w:rsidRPr="001A62B1">
              <w:t xml:space="preserve">Estimated cost offset to PHI for </w:t>
            </w:r>
            <w:r>
              <w:t>Population 2</w:t>
            </w:r>
            <w:r w:rsidRPr="001A62B1">
              <w:t xml:space="preserve"> (FTRCT)</w:t>
            </w:r>
            <w:r w:rsidRPr="00D16AD5">
              <w:t>*</w:t>
            </w:r>
            <w:r w:rsidRPr="001A62B1">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2FDFA8" w14:textId="551ABF38" w:rsidR="00CC6ADD" w:rsidRPr="00CE28E3" w:rsidRDefault="00CC6ADD" w:rsidP="00CC6ADD">
            <w:pPr>
              <w:pStyle w:val="TableText"/>
              <w:keepNext/>
              <w:spacing w:before="0"/>
              <w:jc w:val="center"/>
            </w:pPr>
            <w:r>
              <w:t>N=H+I+J+K+L+M</w:t>
            </w:r>
          </w:p>
        </w:tc>
        <w:tc>
          <w:tcPr>
            <w:tcW w:w="1134" w:type="dxa"/>
            <w:tcBorders>
              <w:top w:val="single" w:sz="4" w:space="0" w:color="auto"/>
              <w:left w:val="single" w:sz="4" w:space="0" w:color="auto"/>
              <w:bottom w:val="single" w:sz="4" w:space="0" w:color="auto"/>
              <w:right w:val="single" w:sz="4" w:space="0" w:color="auto"/>
            </w:tcBorders>
          </w:tcPr>
          <w:p w14:paraId="5FB98CFD" w14:textId="492500CB" w:rsidR="00CC6ADD" w:rsidRPr="001A62B1"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42333" w14:textId="6D5D35CD" w:rsidR="00CC6ADD" w:rsidRPr="00CE28E3"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15F8" w14:textId="22EE5A2C" w:rsidR="00CC6ADD" w:rsidRPr="00CE28E3"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2BF03" w14:textId="00A6AA2F" w:rsidR="00CC6ADD" w:rsidRPr="00CE28E3"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897E" w14:textId="45638170" w:rsidR="00CC6ADD" w:rsidRPr="00CE28E3" w:rsidRDefault="00CC6ADD" w:rsidP="00CC6ADD">
            <w:pPr>
              <w:pStyle w:val="TableText"/>
              <w:keepNext/>
              <w:spacing w:before="0"/>
              <w:jc w:val="cente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5717A" w14:textId="26699DE9" w:rsidR="00CC6ADD" w:rsidRPr="00CE28E3" w:rsidRDefault="00CC6ADD" w:rsidP="00CC6ADD">
            <w:pPr>
              <w:pStyle w:val="TableText"/>
              <w:keepNext/>
              <w:spacing w:before="0"/>
              <w:jc w:val="center"/>
            </w:pPr>
            <w:r w:rsidRPr="00710CF0">
              <w:rPr>
                <w:b/>
                <w:bCs/>
              </w:rPr>
              <w:t>redacted</w:t>
            </w:r>
            <w:r w:rsidRPr="00710CF0">
              <w:t xml:space="preserve"> </w:t>
            </w:r>
          </w:p>
        </w:tc>
      </w:tr>
      <w:tr w:rsidR="00CC6ADD" w:rsidRPr="00CE28E3" w14:paraId="754D4795"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DE33C" w14:textId="30AF321F" w:rsidR="00CC6ADD" w:rsidRPr="00B821D3" w:rsidRDefault="00CC6ADD" w:rsidP="00CC6ADD">
            <w:pPr>
              <w:pStyle w:val="TableText"/>
              <w:keepNext/>
              <w:spacing w:before="0"/>
              <w:rPr>
                <w:b/>
                <w:bCs/>
              </w:rPr>
            </w:pPr>
            <w:r w:rsidRPr="00B821D3">
              <w:rPr>
                <w:b/>
                <w:bCs/>
              </w:rPr>
              <w:t>Total estimated cost offset to PHI with REGENETEN</w:t>
            </w:r>
            <w:r w:rsidRPr="00D16AD5">
              <w:rPr>
                <w:b/>
                <w:bCs/>
              </w:rPr>
              <w:t>*</w:t>
            </w:r>
            <w:r w:rsidRPr="00B821D3">
              <w:rPr>
                <w:b/>
                <w:bCs/>
              </w:rP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A31DB6" w14:textId="4C229911" w:rsidR="00CC6ADD" w:rsidRPr="00CD76DA" w:rsidRDefault="00CC6ADD" w:rsidP="00CC6ADD">
            <w:pPr>
              <w:pStyle w:val="TableText"/>
              <w:keepNext/>
              <w:spacing w:before="0"/>
              <w:jc w:val="center"/>
              <w:rPr>
                <w:b/>
                <w:bCs/>
              </w:rPr>
            </w:pPr>
            <w:r>
              <w:rPr>
                <w:b/>
                <w:bCs/>
              </w:rPr>
              <w:t>O= G+N</w:t>
            </w:r>
          </w:p>
        </w:tc>
        <w:tc>
          <w:tcPr>
            <w:tcW w:w="1134" w:type="dxa"/>
            <w:tcBorders>
              <w:top w:val="single" w:sz="4" w:space="0" w:color="auto"/>
              <w:left w:val="single" w:sz="4" w:space="0" w:color="auto"/>
              <w:bottom w:val="single" w:sz="4" w:space="0" w:color="auto"/>
              <w:right w:val="single" w:sz="4" w:space="0" w:color="auto"/>
            </w:tcBorders>
          </w:tcPr>
          <w:p w14:paraId="2303E778" w14:textId="23621F0C" w:rsidR="00CC6ADD" w:rsidRPr="00CD76DA" w:rsidRDefault="00CC6ADD" w:rsidP="00CC6ADD">
            <w:pPr>
              <w:pStyle w:val="TableText"/>
              <w:keepNext/>
              <w:spacing w:before="0"/>
              <w:jc w:val="center"/>
              <w:rPr>
                <w:b/>
                <w:bCs/>
              </w:rP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8958" w14:textId="52B458B6" w:rsidR="00CC6ADD" w:rsidRPr="00CD76DA" w:rsidRDefault="00CC6ADD" w:rsidP="00CC6ADD">
            <w:pPr>
              <w:pStyle w:val="TableText"/>
              <w:keepNext/>
              <w:spacing w:before="0"/>
              <w:jc w:val="center"/>
              <w:rPr>
                <w:b/>
                <w:bCs/>
              </w:rP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C9E42" w14:textId="4753EF4E" w:rsidR="00CC6ADD" w:rsidRPr="00CD76DA" w:rsidRDefault="00CC6ADD" w:rsidP="00CC6ADD">
            <w:pPr>
              <w:pStyle w:val="TableText"/>
              <w:keepNext/>
              <w:spacing w:before="0"/>
              <w:jc w:val="center"/>
              <w:rPr>
                <w:b/>
                <w:bCs/>
              </w:rP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000AC" w14:textId="7E0232F9" w:rsidR="00CC6ADD" w:rsidRPr="00CD76DA" w:rsidRDefault="00CC6ADD" w:rsidP="00CC6ADD">
            <w:pPr>
              <w:pStyle w:val="TableText"/>
              <w:keepNext/>
              <w:spacing w:before="0"/>
              <w:jc w:val="center"/>
              <w:rPr>
                <w:b/>
                <w:bCs/>
              </w:rP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B741" w14:textId="52240961" w:rsidR="00CC6ADD" w:rsidRPr="00CD76DA" w:rsidRDefault="00CC6ADD" w:rsidP="00CC6ADD">
            <w:pPr>
              <w:pStyle w:val="TableText"/>
              <w:keepNext/>
              <w:spacing w:before="0"/>
              <w:jc w:val="center"/>
              <w:rPr>
                <w:b/>
                <w:bCs/>
              </w:rPr>
            </w:pPr>
            <w:r w:rsidRPr="00710CF0">
              <w:rPr>
                <w:b/>
                <w:bCs/>
              </w:rPr>
              <w:t>redacted</w:t>
            </w:r>
            <w:r w:rsidRPr="00710CF0">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FA40" w14:textId="610F168F" w:rsidR="00CC6ADD" w:rsidRPr="00CD76DA" w:rsidRDefault="00CC6ADD" w:rsidP="00CC6ADD">
            <w:pPr>
              <w:pStyle w:val="TableText"/>
              <w:keepNext/>
              <w:spacing w:before="0"/>
              <w:jc w:val="center"/>
              <w:rPr>
                <w:b/>
                <w:bCs/>
              </w:rPr>
            </w:pPr>
            <w:r w:rsidRPr="00710CF0">
              <w:rPr>
                <w:b/>
                <w:bCs/>
              </w:rPr>
              <w:t>redacted</w:t>
            </w:r>
            <w:r w:rsidRPr="00710CF0">
              <w:t xml:space="preserve"> </w:t>
            </w:r>
          </w:p>
        </w:tc>
      </w:tr>
      <w:tr w:rsidR="00CC6ADD" w:rsidRPr="00CE28E3" w14:paraId="2C2BBA38" w14:textId="77777777" w:rsidTr="00240FC1">
        <w:trPr>
          <w:cantSplit/>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01345" w14:textId="757E6664" w:rsidR="00CC6ADD" w:rsidRPr="001316A3" w:rsidRDefault="00CC6ADD" w:rsidP="00CC6ADD">
            <w:pPr>
              <w:pStyle w:val="TableText"/>
              <w:keepNext/>
              <w:spacing w:before="0"/>
              <w:rPr>
                <w:b/>
                <w:bCs/>
              </w:rPr>
            </w:pPr>
            <w:r w:rsidRPr="00CD76DA">
              <w:rPr>
                <w:b/>
                <w:bCs/>
              </w:rPr>
              <w:t xml:space="preserve">Net financial impact to the </w:t>
            </w:r>
            <w:r>
              <w:rPr>
                <w:b/>
                <w:bCs/>
              </w:rPr>
              <w:t xml:space="preserve">PHI </w:t>
            </w:r>
            <w:r w:rsidRPr="00CD76DA">
              <w:rPr>
                <w:b/>
                <w:bCs/>
              </w:rPr>
              <w:t>system</w:t>
            </w:r>
            <w:r w:rsidRPr="00D16AD5">
              <w:rPr>
                <w:b/>
                <w:bCs/>
              </w:rPr>
              <w:t>*</w:t>
            </w:r>
            <w:r w:rsidRPr="00CD76DA">
              <w:rPr>
                <w:b/>
                <w:bCs/>
              </w:rP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00685" w14:textId="0D2B0344" w:rsidR="00CC6ADD" w:rsidRPr="00475B4E" w:rsidRDefault="00CC6ADD" w:rsidP="00CC6ADD">
            <w:pPr>
              <w:pStyle w:val="TableText"/>
              <w:keepNext/>
              <w:spacing w:before="0"/>
              <w:jc w:val="center"/>
              <w:rPr>
                <w:b/>
                <w:bCs/>
              </w:rPr>
            </w:pPr>
            <w:r>
              <w:rPr>
                <w:b/>
                <w:bCs/>
              </w:rPr>
              <w:t>P= F-O</w:t>
            </w:r>
          </w:p>
        </w:tc>
        <w:tc>
          <w:tcPr>
            <w:tcW w:w="1134" w:type="dxa"/>
            <w:tcBorders>
              <w:top w:val="single" w:sz="4" w:space="0" w:color="auto"/>
              <w:left w:val="single" w:sz="4" w:space="0" w:color="auto"/>
              <w:bottom w:val="single" w:sz="4" w:space="0" w:color="auto"/>
              <w:right w:val="single" w:sz="4" w:space="0" w:color="auto"/>
            </w:tcBorders>
          </w:tcPr>
          <w:p w14:paraId="3F9BCA3E" w14:textId="75AE29E8" w:rsidR="00CC6ADD" w:rsidRPr="00CD76DA" w:rsidRDefault="00CC6ADD" w:rsidP="00CC6ADD">
            <w:pPr>
              <w:pStyle w:val="TableText"/>
              <w:keepNext/>
              <w:spacing w:before="0"/>
              <w:jc w:val="center"/>
              <w:rPr>
                <w:b/>
                <w:bCs/>
              </w:rPr>
            </w:pPr>
            <w:r w:rsidRPr="00CD76DA">
              <w:rPr>
                <w:b/>
                <w:bCs/>
              </w:rPr>
              <w:t>$1</w:t>
            </w:r>
            <w:r>
              <w:rPr>
                <w:b/>
                <w:bCs/>
              </w:rPr>
              <w:t>.</w:t>
            </w:r>
            <w:r w:rsidRPr="00CD76DA">
              <w:rPr>
                <w:b/>
                <w:bCs/>
              </w:rPr>
              <w:t>38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70EF5" w14:textId="4B2C8EAA" w:rsidR="00CC6ADD" w:rsidRPr="00475B4E" w:rsidRDefault="00CC6ADD" w:rsidP="00CC6ADD">
            <w:pPr>
              <w:pStyle w:val="TableText"/>
              <w:keepNext/>
              <w:spacing w:before="0"/>
              <w:jc w:val="center"/>
              <w:rPr>
                <w:b/>
                <w:bCs/>
              </w:rPr>
            </w:pPr>
            <w:r w:rsidRPr="00CD76DA">
              <w:rPr>
                <w:b/>
                <w:bCs/>
              </w:rPr>
              <w:t>$2</w:t>
            </w:r>
            <w:r>
              <w:rPr>
                <w:b/>
                <w:bCs/>
              </w:rPr>
              <w:t>.</w:t>
            </w:r>
            <w:r w:rsidRPr="00CD76DA">
              <w:rPr>
                <w:b/>
                <w:bCs/>
              </w:rPr>
              <w:t>77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5A365" w14:textId="4081614A" w:rsidR="00CC6ADD" w:rsidRPr="00475B4E" w:rsidRDefault="00CC6ADD" w:rsidP="00CC6ADD">
            <w:pPr>
              <w:pStyle w:val="TableText"/>
              <w:keepNext/>
              <w:spacing w:before="0"/>
              <w:jc w:val="center"/>
              <w:rPr>
                <w:b/>
                <w:bCs/>
              </w:rPr>
            </w:pPr>
            <w:r w:rsidRPr="00CD76DA">
              <w:rPr>
                <w:b/>
                <w:bCs/>
              </w:rPr>
              <w:t>$4</w:t>
            </w:r>
            <w:r>
              <w:rPr>
                <w:b/>
                <w:bCs/>
              </w:rPr>
              <w:t>.</w:t>
            </w:r>
            <w:r w:rsidRPr="00CD76DA">
              <w:rPr>
                <w:b/>
                <w:bCs/>
              </w:rPr>
              <w:t>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A4417" w14:textId="004FD053" w:rsidR="00CC6ADD" w:rsidRPr="00475B4E" w:rsidRDefault="00CC6ADD" w:rsidP="00CC6ADD">
            <w:pPr>
              <w:pStyle w:val="TableText"/>
              <w:keepNext/>
              <w:spacing w:before="0"/>
              <w:jc w:val="center"/>
              <w:rPr>
                <w:b/>
                <w:bCs/>
              </w:rPr>
            </w:pPr>
            <w:r w:rsidRPr="00CD76DA">
              <w:rPr>
                <w:b/>
                <w:bCs/>
              </w:rPr>
              <w:t>$5</w:t>
            </w:r>
            <w:r>
              <w:rPr>
                <w:b/>
                <w:bCs/>
              </w:rPr>
              <w:t>.</w:t>
            </w:r>
            <w:r w:rsidRPr="00CD76DA">
              <w:rPr>
                <w:b/>
                <w:bCs/>
              </w:rPr>
              <w:t>67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2FD7E" w14:textId="0EEFE258" w:rsidR="00CC6ADD" w:rsidRPr="00475B4E" w:rsidRDefault="00CC6ADD" w:rsidP="00CC6ADD">
            <w:pPr>
              <w:pStyle w:val="TableText"/>
              <w:keepNext/>
              <w:spacing w:before="0"/>
              <w:jc w:val="center"/>
              <w:rPr>
                <w:b/>
                <w:bCs/>
              </w:rPr>
            </w:pPr>
            <w:r w:rsidRPr="00CD76DA">
              <w:rPr>
                <w:b/>
                <w:bCs/>
              </w:rPr>
              <w:t>$7</w:t>
            </w:r>
            <w:r>
              <w:rPr>
                <w:b/>
                <w:bCs/>
              </w:rPr>
              <w:t>.</w:t>
            </w:r>
            <w:r w:rsidRPr="00CD76DA">
              <w:rPr>
                <w:b/>
                <w:bCs/>
              </w:rPr>
              <w:t>1</w:t>
            </w:r>
            <w:r>
              <w:rPr>
                <w:b/>
                <w:bCs/>
              </w:rPr>
              <w:t>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3D47E" w14:textId="501BC69B" w:rsidR="00CC6ADD" w:rsidRPr="00475B4E" w:rsidRDefault="00CC6ADD" w:rsidP="00CC6ADD">
            <w:pPr>
              <w:pStyle w:val="TableText"/>
              <w:keepNext/>
              <w:spacing w:before="0"/>
              <w:jc w:val="center"/>
              <w:rPr>
                <w:b/>
                <w:bCs/>
              </w:rPr>
            </w:pPr>
            <w:r w:rsidRPr="00CD76DA">
              <w:rPr>
                <w:b/>
                <w:bCs/>
              </w:rPr>
              <w:t>$8</w:t>
            </w:r>
            <w:r>
              <w:rPr>
                <w:b/>
                <w:bCs/>
              </w:rPr>
              <w:t>.</w:t>
            </w:r>
            <w:r w:rsidRPr="00CD76DA">
              <w:rPr>
                <w:b/>
                <w:bCs/>
              </w:rPr>
              <w:t>73</w:t>
            </w:r>
          </w:p>
        </w:tc>
      </w:tr>
    </w:tbl>
    <w:p w14:paraId="2493C505" w14:textId="161758FD" w:rsidR="002B4F0C" w:rsidRDefault="002B4F0C" w:rsidP="00B821D3">
      <w:pPr>
        <w:pStyle w:val="Tablenotes"/>
        <w:jc w:val="both"/>
      </w:pPr>
      <w:r>
        <w:t xml:space="preserve">Source: </w:t>
      </w:r>
      <w:bookmarkStart w:id="98" w:name="_Hlk163215189"/>
      <w:r w:rsidR="00854096">
        <w:t xml:space="preserve">Table 79, pg175 and </w:t>
      </w:r>
      <w:r>
        <w:t>Table 80, p</w:t>
      </w:r>
      <w:r w:rsidR="00C84466">
        <w:t>g</w:t>
      </w:r>
      <w:r w:rsidR="00854096">
        <w:t>176</w:t>
      </w:r>
      <w:r>
        <w:t xml:space="preserve"> of the </w:t>
      </w:r>
      <w:r w:rsidRPr="006F1652">
        <w:t>MSAC application 1593.1 ADAR + In line commentar</w:t>
      </w:r>
      <w:r>
        <w:t>y</w:t>
      </w:r>
      <w:r w:rsidDel="007576F0">
        <w:t xml:space="preserve"> </w:t>
      </w:r>
    </w:p>
    <w:bookmarkEnd w:id="98"/>
    <w:p w14:paraId="2457CCC8" w14:textId="1A09A433" w:rsidR="00063FD5" w:rsidRDefault="002B4F0C" w:rsidP="00B821D3">
      <w:pPr>
        <w:pStyle w:val="Tablenotes"/>
        <w:jc w:val="both"/>
        <w:rPr>
          <w:lang w:eastAsia="en-AU"/>
        </w:rPr>
      </w:pPr>
      <w:r>
        <w:rPr>
          <w:lang w:eastAsia="en-AU"/>
        </w:rPr>
        <w:t xml:space="preserve">Abbreviations: </w:t>
      </w:r>
      <w:r w:rsidR="00474D79" w:rsidRPr="009D7EF0">
        <w:t>C</w:t>
      </w:r>
      <w:r w:rsidR="00C162CB">
        <w:t>M</w:t>
      </w:r>
      <w:r w:rsidR="00474D79" w:rsidRPr="009D7EF0">
        <w:t xml:space="preserve"> = conservative management; </w:t>
      </w:r>
      <w:r w:rsidR="00474D79">
        <w:t>FTRCT = Full</w:t>
      </w:r>
      <w:r w:rsidR="00626AC9">
        <w:t>-</w:t>
      </w:r>
      <w:r w:rsidR="00474D79">
        <w:t xml:space="preserve">thickness rotator cuff tear; </w:t>
      </w:r>
      <w:r w:rsidRPr="00CD76DA">
        <w:rPr>
          <w:lang w:eastAsia="en-AU"/>
        </w:rPr>
        <w:t>PHI = Private health insurance; PT</w:t>
      </w:r>
      <w:r w:rsidR="00474D79">
        <w:rPr>
          <w:lang w:eastAsia="en-AU"/>
        </w:rPr>
        <w:t>RC</w:t>
      </w:r>
      <w:r w:rsidRPr="00CD76DA">
        <w:rPr>
          <w:lang w:eastAsia="en-AU"/>
        </w:rPr>
        <w:t>T = Partial</w:t>
      </w:r>
      <w:r w:rsidR="007A3183">
        <w:rPr>
          <w:lang w:eastAsia="en-AU"/>
        </w:rPr>
        <w:t>-</w:t>
      </w:r>
      <w:r w:rsidRPr="00CD76DA">
        <w:rPr>
          <w:lang w:eastAsia="en-AU"/>
        </w:rPr>
        <w:t xml:space="preserve">thickness </w:t>
      </w:r>
      <w:r w:rsidR="00474D79">
        <w:rPr>
          <w:lang w:eastAsia="en-AU"/>
        </w:rPr>
        <w:t xml:space="preserve">rotator cuff </w:t>
      </w:r>
      <w:r w:rsidRPr="00CD76DA">
        <w:rPr>
          <w:lang w:eastAsia="en-AU"/>
        </w:rPr>
        <w:t xml:space="preserve">tear; </w:t>
      </w:r>
      <w:r w:rsidR="00474D79" w:rsidRPr="009D7EF0">
        <w:t>RTSA = Reverse total shoulder arthroplasty</w:t>
      </w:r>
      <w:r w:rsidR="00474D79" w:rsidRPr="00CD76DA" w:rsidDel="00474D79">
        <w:rPr>
          <w:lang w:eastAsia="en-AU"/>
        </w:rPr>
        <w:t xml:space="preserve"> </w:t>
      </w:r>
    </w:p>
    <w:p w14:paraId="2DB6562A" w14:textId="7C1BA4DE" w:rsidR="00D16AD5" w:rsidRPr="00B821D3" w:rsidRDefault="005B2000" w:rsidP="00B821D3">
      <w:pPr>
        <w:pStyle w:val="Tablenotes"/>
        <w:jc w:val="both"/>
        <w:rPr>
          <w:bCs/>
          <w:lang w:eastAsia="en-AU"/>
        </w:rPr>
      </w:pPr>
      <w:r w:rsidRPr="00B821D3">
        <w:rPr>
          <w:bCs/>
          <w:lang w:eastAsia="en-AU"/>
        </w:rPr>
        <w:t xml:space="preserve">Notes: </w:t>
      </w:r>
      <w:r w:rsidR="00D16AD5">
        <w:rPr>
          <w:bCs/>
          <w:lang w:eastAsia="en-AU"/>
        </w:rPr>
        <w:t>*</w:t>
      </w:r>
      <w:r w:rsidR="00D16AD5" w:rsidRPr="00D16AD5">
        <w:rPr>
          <w:bCs/>
          <w:lang w:eastAsia="en-AU"/>
        </w:rPr>
        <w:t>Cost in Australian dollar millions</w:t>
      </w:r>
      <w:r w:rsidR="002F6B8B">
        <w:rPr>
          <w:bCs/>
          <w:lang w:eastAsia="en-AU"/>
        </w:rPr>
        <w:t xml:space="preserve"> </w:t>
      </w:r>
      <w:r w:rsidRPr="00B821D3">
        <w:rPr>
          <w:bCs/>
          <w:lang w:eastAsia="en-AU"/>
        </w:rPr>
        <w:t>*</w:t>
      </w:r>
      <w:r w:rsidR="00D16AD5">
        <w:rPr>
          <w:bCs/>
          <w:lang w:eastAsia="en-AU"/>
        </w:rPr>
        <w:t>*</w:t>
      </w:r>
      <w:r w:rsidRPr="00B821D3">
        <w:rPr>
          <w:bCs/>
        </w:rPr>
        <w:t xml:space="preserve"> Total estimated utilisation of REGENETEN was calculated based on </w:t>
      </w:r>
      <w:r w:rsidRPr="005B2000">
        <w:rPr>
          <w:bCs/>
        </w:rPr>
        <w:t>Australian population aged ≥18 years, Incident population undergoing rotator cuff repair, total rotator cuff repairs in the private setting and uptake rate.</w:t>
      </w:r>
    </w:p>
    <w:p w14:paraId="100F575A" w14:textId="77777777" w:rsidR="00D16AD5" w:rsidRDefault="00D16AD5" w:rsidP="002B4F0C">
      <w:pPr>
        <w:pStyle w:val="TableFooter"/>
        <w:rPr>
          <w:bCs/>
        </w:rPr>
        <w:sectPr w:rsidR="00D16AD5" w:rsidSect="000637C2">
          <w:pgSz w:w="16838" w:h="11906" w:orient="landscape"/>
          <w:pgMar w:top="1440" w:right="1440" w:bottom="1440" w:left="1440" w:header="708" w:footer="708" w:gutter="0"/>
          <w:cols w:space="708"/>
          <w:docGrid w:linePitch="360"/>
        </w:sectPr>
      </w:pPr>
    </w:p>
    <w:bookmarkEnd w:id="97"/>
    <w:p w14:paraId="6707564E" w14:textId="61CC85BD" w:rsidR="002B4F0C" w:rsidRPr="00BB198F" w:rsidRDefault="002B4F0C" w:rsidP="00B821D3">
      <w:pPr>
        <w:pStyle w:val="Heading4"/>
        <w:rPr>
          <w:rFonts w:cstheme="minorHAnsi"/>
          <w:bCs/>
        </w:rPr>
      </w:pPr>
      <w:r w:rsidRPr="00BB198F">
        <w:rPr>
          <w:rFonts w:cstheme="minorHAnsi"/>
          <w:bCs/>
        </w:rPr>
        <w:t>Net financial impact to other health budgets</w:t>
      </w:r>
    </w:p>
    <w:p w14:paraId="1F86D417" w14:textId="23C726FE" w:rsidR="002B4F0C" w:rsidRPr="00D90688" w:rsidRDefault="002B4F0C" w:rsidP="003B4E46">
      <w:r w:rsidRPr="00D90688">
        <w:t xml:space="preserve">The </w:t>
      </w:r>
      <w:r w:rsidR="00600185">
        <w:t>ADAR</w:t>
      </w:r>
      <w:r w:rsidRPr="00D90688">
        <w:t xml:space="preserve"> claimed that the number of patients undergoing surgical repair for rotator cuff tears </w:t>
      </w:r>
      <w:r w:rsidR="00F9797F">
        <w:t>wa</w:t>
      </w:r>
      <w:r w:rsidRPr="00D90688">
        <w:t xml:space="preserve">s not expected to be impacted by the introduction of REGENETEN. Therefore, MBS service volumes and costs MBS items 48960, 48906 and 489909 </w:t>
      </w:r>
      <w:r w:rsidR="00F9797F">
        <w:t>we</w:t>
      </w:r>
      <w:r w:rsidR="0056542E">
        <w:t>re</w:t>
      </w:r>
      <w:r w:rsidRPr="00D90688">
        <w:t xml:space="preserve"> not expected to change. </w:t>
      </w:r>
      <w:r w:rsidRPr="00BC54D7">
        <w:t xml:space="preserve">The </w:t>
      </w:r>
      <w:r w:rsidR="00600185" w:rsidRPr="00BC54D7">
        <w:t>ADAR</w:t>
      </w:r>
      <w:r w:rsidRPr="00BC54D7">
        <w:t xml:space="preserve"> expected </w:t>
      </w:r>
      <w:r w:rsidR="00D7293E" w:rsidRPr="00BC54D7">
        <w:t>cost-</w:t>
      </w:r>
      <w:r w:rsidRPr="00BC54D7">
        <w:t>saving</w:t>
      </w:r>
      <w:r w:rsidR="00D7293E" w:rsidRPr="00BC54D7">
        <w:t>s</w:t>
      </w:r>
      <w:r w:rsidRPr="00BC54D7">
        <w:t xml:space="preserve"> for MBS</w:t>
      </w:r>
      <w:r w:rsidR="00D7293E" w:rsidRPr="00BC54D7">
        <w:t xml:space="preserve">, </w:t>
      </w:r>
      <w:r w:rsidRPr="00BC54D7">
        <w:t xml:space="preserve">based on fewer retears with REGENETEN in </w:t>
      </w:r>
      <w:r w:rsidR="00895086" w:rsidRPr="00BC54D7">
        <w:t>Population 2</w:t>
      </w:r>
      <w:r w:rsidRPr="00BC54D7">
        <w:t xml:space="preserve">.  </w:t>
      </w:r>
      <w:r>
        <w:fldChar w:fldCharType="begin"/>
      </w:r>
      <w:r>
        <w:instrText xml:space="preserve"> REF _Ref163215106 \h </w:instrText>
      </w:r>
      <w:r>
        <w:fldChar w:fldCharType="separate"/>
      </w:r>
      <w:r w:rsidR="00D20FBE" w:rsidRPr="004B3FA0">
        <w:t>Table </w:t>
      </w:r>
      <w:r w:rsidR="00E439F6">
        <w:rPr>
          <w:noProof/>
        </w:rPr>
        <w:t>19</w:t>
      </w:r>
      <w:r>
        <w:fldChar w:fldCharType="end"/>
      </w:r>
      <w:r>
        <w:t xml:space="preserve"> summarise</w:t>
      </w:r>
      <w:r w:rsidR="00E767AC">
        <w:t>d</w:t>
      </w:r>
      <w:r>
        <w:t xml:space="preserve"> the n</w:t>
      </w:r>
      <w:r w:rsidRPr="00AF06E8">
        <w:t>et financial implications of REGENETEN to the MBS</w:t>
      </w:r>
      <w:r>
        <w:t xml:space="preserve">. </w:t>
      </w:r>
      <w:r w:rsidRPr="00AF06E8">
        <w:t xml:space="preserve">Total savings to MBS was estimated at </w:t>
      </w:r>
      <w:r w:rsidR="00CC6ADD" w:rsidRPr="00E477C8">
        <w:rPr>
          <w:b/>
          <w:bCs/>
        </w:rPr>
        <w:t>redacted</w:t>
      </w:r>
      <w:r w:rsidR="00CC6ADD">
        <w:t xml:space="preserve"> </w:t>
      </w:r>
      <w:r w:rsidRPr="00AF06E8">
        <w:t xml:space="preserve">in </w:t>
      </w:r>
      <w:r w:rsidR="00E767AC">
        <w:t>Y</w:t>
      </w:r>
      <w:r w:rsidRPr="00AF06E8">
        <w:t>ear 1, r</w:t>
      </w:r>
      <w:r w:rsidR="00E767AC">
        <w:t>ising to</w:t>
      </w:r>
      <w:r w:rsidRPr="00AF06E8">
        <w:t xml:space="preserve"> </w:t>
      </w:r>
      <w:r w:rsidR="00CC6ADD" w:rsidRPr="00E477C8">
        <w:rPr>
          <w:b/>
          <w:bCs/>
        </w:rPr>
        <w:t>redacted</w:t>
      </w:r>
      <w:r w:rsidR="00CC6ADD">
        <w:t xml:space="preserve"> </w:t>
      </w:r>
      <w:r w:rsidRPr="00AF06E8">
        <w:t xml:space="preserve">in </w:t>
      </w:r>
      <w:r w:rsidR="00E767AC">
        <w:t>Y</w:t>
      </w:r>
      <w:r w:rsidRPr="00AF06E8">
        <w:t>ear 6.</w:t>
      </w:r>
    </w:p>
    <w:p w14:paraId="12834376" w14:textId="0AF92AD5" w:rsidR="002B4F0C" w:rsidRPr="00CE28E3" w:rsidRDefault="002B4F0C" w:rsidP="000637C2">
      <w:pPr>
        <w:pStyle w:val="Caption"/>
      </w:pPr>
      <w:bookmarkStart w:id="99" w:name="_Ref163215106"/>
      <w:r w:rsidRPr="004B3FA0">
        <w:t>Table </w:t>
      </w:r>
      <w:r>
        <w:fldChar w:fldCharType="begin"/>
      </w:r>
      <w:r>
        <w:instrText xml:space="preserve"> SEQ Table \* ARABIC </w:instrText>
      </w:r>
      <w:r>
        <w:fldChar w:fldCharType="separate"/>
      </w:r>
      <w:r w:rsidR="00E439F6">
        <w:rPr>
          <w:noProof/>
        </w:rPr>
        <w:t>19</w:t>
      </w:r>
      <w:r>
        <w:rPr>
          <w:noProof/>
        </w:rPr>
        <w:fldChar w:fldCharType="end"/>
      </w:r>
      <w:bookmarkEnd w:id="99"/>
      <w:r w:rsidRPr="004B3FA0">
        <w:rPr>
          <w:noProof/>
        </w:rPr>
        <w:t xml:space="preserve">: </w:t>
      </w:r>
      <w:r w:rsidRPr="004B3FA0">
        <w:t xml:space="preserve">Net financial implications of REGENETEN </w:t>
      </w:r>
      <w:r w:rsidR="00282E63" w:rsidRPr="004B3FA0">
        <w:t xml:space="preserve">on </w:t>
      </w:r>
      <w:r w:rsidRPr="004B3FA0">
        <w:t>the MBS – savings in $</w:t>
      </w:r>
      <w:r w:rsidR="00ED065D">
        <w:t>millions</w:t>
      </w:r>
      <w:r w:rsidR="009D381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0"/>
        <w:gridCol w:w="984"/>
        <w:gridCol w:w="818"/>
        <w:gridCol w:w="819"/>
        <w:gridCol w:w="819"/>
        <w:gridCol w:w="819"/>
        <w:gridCol w:w="819"/>
        <w:gridCol w:w="828"/>
      </w:tblGrid>
      <w:tr w:rsidR="002B4F0C" w:rsidRPr="00CE28E3" w14:paraId="19902404" w14:textId="77777777" w:rsidTr="006414CA">
        <w:trPr>
          <w:tblHeader/>
        </w:trPr>
        <w:tc>
          <w:tcPr>
            <w:tcW w:w="1725" w:type="pct"/>
            <w:tcMar>
              <w:top w:w="0" w:type="dxa"/>
              <w:left w:w="108" w:type="dxa"/>
              <w:bottom w:w="0" w:type="dxa"/>
              <w:right w:w="108" w:type="dxa"/>
            </w:tcMar>
          </w:tcPr>
          <w:p w14:paraId="50BFB5D2" w14:textId="77777777" w:rsidR="002B4F0C" w:rsidRPr="00CE28E3" w:rsidRDefault="002B4F0C" w:rsidP="0078185D">
            <w:pPr>
              <w:pStyle w:val="TableText"/>
              <w:rPr>
                <w:b/>
                <w:bCs/>
              </w:rPr>
            </w:pPr>
            <w:r>
              <w:rPr>
                <w:b/>
                <w:bCs/>
              </w:rPr>
              <w:t xml:space="preserve">Parameter </w:t>
            </w:r>
          </w:p>
        </w:tc>
        <w:tc>
          <w:tcPr>
            <w:tcW w:w="546" w:type="pct"/>
          </w:tcPr>
          <w:p w14:paraId="65AF1CB8" w14:textId="77777777" w:rsidR="002B4F0C" w:rsidRPr="00CE28E3" w:rsidRDefault="002B4F0C" w:rsidP="0078185D">
            <w:pPr>
              <w:pStyle w:val="TableText"/>
              <w:jc w:val="center"/>
              <w:rPr>
                <w:b/>
                <w:bCs/>
              </w:rPr>
            </w:pPr>
            <w:r>
              <w:rPr>
                <w:b/>
                <w:bCs/>
              </w:rPr>
              <w:t>Calculation</w:t>
            </w:r>
          </w:p>
        </w:tc>
        <w:tc>
          <w:tcPr>
            <w:tcW w:w="454" w:type="pct"/>
            <w:tcMar>
              <w:top w:w="0" w:type="dxa"/>
              <w:left w:w="108" w:type="dxa"/>
              <w:bottom w:w="0" w:type="dxa"/>
              <w:right w:w="108" w:type="dxa"/>
            </w:tcMar>
            <w:hideMark/>
          </w:tcPr>
          <w:p w14:paraId="09ED9A1C" w14:textId="77777777" w:rsidR="002B4F0C" w:rsidRPr="00CE28E3" w:rsidRDefault="002B4F0C" w:rsidP="0078185D">
            <w:pPr>
              <w:pStyle w:val="TableText"/>
              <w:jc w:val="center"/>
              <w:rPr>
                <w:b/>
                <w:bCs/>
              </w:rPr>
            </w:pPr>
            <w:r w:rsidRPr="00CE28E3">
              <w:rPr>
                <w:b/>
                <w:bCs/>
              </w:rPr>
              <w:t xml:space="preserve">Year </w:t>
            </w:r>
            <w:r>
              <w:rPr>
                <w:b/>
                <w:bCs/>
              </w:rPr>
              <w:t>1 FY 2024-2025</w:t>
            </w:r>
          </w:p>
        </w:tc>
        <w:tc>
          <w:tcPr>
            <w:tcW w:w="454" w:type="pct"/>
            <w:tcMar>
              <w:top w:w="0" w:type="dxa"/>
              <w:left w:w="108" w:type="dxa"/>
              <w:bottom w:w="0" w:type="dxa"/>
              <w:right w:w="108" w:type="dxa"/>
            </w:tcMar>
            <w:hideMark/>
          </w:tcPr>
          <w:p w14:paraId="7B3DE0C9" w14:textId="495788BF" w:rsidR="002B4F0C" w:rsidRPr="00CE28E3" w:rsidRDefault="002B4F0C" w:rsidP="0078185D">
            <w:pPr>
              <w:pStyle w:val="TableText"/>
              <w:jc w:val="center"/>
              <w:rPr>
                <w:b/>
                <w:bCs/>
              </w:rPr>
            </w:pPr>
            <w:r w:rsidRPr="00D65FD7">
              <w:rPr>
                <w:b/>
                <w:bCs/>
              </w:rPr>
              <w:t xml:space="preserve">Year </w:t>
            </w:r>
            <w:r w:rsidR="00C97290">
              <w:rPr>
                <w:b/>
                <w:bCs/>
              </w:rPr>
              <w:t xml:space="preserve">2 </w:t>
            </w:r>
            <w:r w:rsidRPr="00D65FD7">
              <w:rPr>
                <w:b/>
                <w:bCs/>
              </w:rPr>
              <w:t>FY 202</w:t>
            </w:r>
            <w:r>
              <w:rPr>
                <w:b/>
                <w:bCs/>
              </w:rPr>
              <w:t>5</w:t>
            </w:r>
            <w:r w:rsidRPr="00D65FD7">
              <w:rPr>
                <w:b/>
                <w:bCs/>
              </w:rPr>
              <w:t>-202</w:t>
            </w:r>
            <w:r>
              <w:rPr>
                <w:b/>
                <w:bCs/>
              </w:rPr>
              <w:t>6</w:t>
            </w:r>
          </w:p>
        </w:tc>
        <w:tc>
          <w:tcPr>
            <w:tcW w:w="454" w:type="pct"/>
            <w:tcMar>
              <w:top w:w="0" w:type="dxa"/>
              <w:left w:w="108" w:type="dxa"/>
              <w:bottom w:w="0" w:type="dxa"/>
              <w:right w:w="108" w:type="dxa"/>
            </w:tcMar>
            <w:hideMark/>
          </w:tcPr>
          <w:p w14:paraId="0FE57D34" w14:textId="3E25DB88" w:rsidR="002B4F0C" w:rsidRPr="00CE28E3" w:rsidRDefault="002B4F0C" w:rsidP="0078185D">
            <w:pPr>
              <w:pStyle w:val="TableText"/>
              <w:jc w:val="center"/>
              <w:rPr>
                <w:b/>
                <w:bCs/>
              </w:rPr>
            </w:pPr>
            <w:r w:rsidRPr="00D65FD7">
              <w:rPr>
                <w:b/>
                <w:bCs/>
              </w:rPr>
              <w:t xml:space="preserve">Year </w:t>
            </w:r>
            <w:r w:rsidR="00C97290">
              <w:rPr>
                <w:b/>
                <w:bCs/>
              </w:rPr>
              <w:t>3</w:t>
            </w:r>
            <w:r w:rsidR="00C97290" w:rsidRPr="00D65FD7">
              <w:rPr>
                <w:b/>
                <w:bCs/>
              </w:rPr>
              <w:t xml:space="preserve"> </w:t>
            </w:r>
            <w:r w:rsidRPr="00D65FD7">
              <w:rPr>
                <w:b/>
                <w:bCs/>
              </w:rPr>
              <w:t>FY 202</w:t>
            </w:r>
            <w:r>
              <w:rPr>
                <w:b/>
                <w:bCs/>
              </w:rPr>
              <w:t>6</w:t>
            </w:r>
            <w:r w:rsidRPr="00D65FD7">
              <w:rPr>
                <w:b/>
                <w:bCs/>
              </w:rPr>
              <w:t>-202</w:t>
            </w:r>
            <w:r>
              <w:rPr>
                <w:b/>
                <w:bCs/>
              </w:rPr>
              <w:t>7</w:t>
            </w:r>
          </w:p>
        </w:tc>
        <w:tc>
          <w:tcPr>
            <w:tcW w:w="454" w:type="pct"/>
            <w:tcMar>
              <w:top w:w="0" w:type="dxa"/>
              <w:left w:w="108" w:type="dxa"/>
              <w:bottom w:w="0" w:type="dxa"/>
              <w:right w:w="108" w:type="dxa"/>
            </w:tcMar>
            <w:hideMark/>
          </w:tcPr>
          <w:p w14:paraId="7200E2DE" w14:textId="4D63C992" w:rsidR="002B4F0C" w:rsidRPr="00CE28E3" w:rsidRDefault="002B4F0C" w:rsidP="0078185D">
            <w:pPr>
              <w:pStyle w:val="TableText"/>
              <w:jc w:val="center"/>
              <w:rPr>
                <w:b/>
                <w:bCs/>
              </w:rPr>
            </w:pPr>
            <w:r w:rsidRPr="00D65FD7">
              <w:rPr>
                <w:b/>
                <w:bCs/>
              </w:rPr>
              <w:t xml:space="preserve">Year </w:t>
            </w:r>
            <w:r w:rsidR="00C97290">
              <w:rPr>
                <w:b/>
                <w:bCs/>
              </w:rPr>
              <w:t>4</w:t>
            </w:r>
            <w:r w:rsidR="00C97290" w:rsidRPr="00D65FD7">
              <w:rPr>
                <w:b/>
                <w:bCs/>
              </w:rPr>
              <w:t xml:space="preserve"> </w:t>
            </w:r>
            <w:r w:rsidRPr="00D65FD7">
              <w:rPr>
                <w:b/>
                <w:bCs/>
              </w:rPr>
              <w:t>FY 202</w:t>
            </w:r>
            <w:r>
              <w:rPr>
                <w:b/>
                <w:bCs/>
              </w:rPr>
              <w:t>7</w:t>
            </w:r>
            <w:r w:rsidRPr="00D65FD7">
              <w:rPr>
                <w:b/>
                <w:bCs/>
              </w:rPr>
              <w:t>-202</w:t>
            </w:r>
            <w:r>
              <w:rPr>
                <w:b/>
                <w:bCs/>
              </w:rPr>
              <w:t>8</w:t>
            </w:r>
          </w:p>
        </w:tc>
        <w:tc>
          <w:tcPr>
            <w:tcW w:w="454" w:type="pct"/>
            <w:tcMar>
              <w:top w:w="0" w:type="dxa"/>
              <w:left w:w="108" w:type="dxa"/>
              <w:bottom w:w="0" w:type="dxa"/>
              <w:right w:w="108" w:type="dxa"/>
            </w:tcMar>
            <w:hideMark/>
          </w:tcPr>
          <w:p w14:paraId="270C5A95" w14:textId="0838C5BA" w:rsidR="002B4F0C" w:rsidRPr="00CE28E3" w:rsidRDefault="002B4F0C" w:rsidP="0078185D">
            <w:pPr>
              <w:pStyle w:val="TableText"/>
              <w:jc w:val="center"/>
              <w:rPr>
                <w:b/>
                <w:bCs/>
              </w:rPr>
            </w:pPr>
            <w:r w:rsidRPr="00D65FD7">
              <w:rPr>
                <w:b/>
                <w:bCs/>
              </w:rPr>
              <w:t xml:space="preserve">Year </w:t>
            </w:r>
            <w:r w:rsidR="00C97290">
              <w:rPr>
                <w:b/>
                <w:bCs/>
              </w:rPr>
              <w:t>5</w:t>
            </w:r>
            <w:r w:rsidR="00C97290" w:rsidRPr="00D65FD7">
              <w:rPr>
                <w:b/>
                <w:bCs/>
              </w:rPr>
              <w:t xml:space="preserve"> </w:t>
            </w:r>
            <w:r w:rsidRPr="00D65FD7">
              <w:rPr>
                <w:b/>
                <w:bCs/>
              </w:rPr>
              <w:t>FY 202</w:t>
            </w:r>
            <w:r>
              <w:rPr>
                <w:b/>
                <w:bCs/>
              </w:rPr>
              <w:t>8</w:t>
            </w:r>
            <w:r w:rsidRPr="00D65FD7">
              <w:rPr>
                <w:b/>
                <w:bCs/>
              </w:rPr>
              <w:t>-202</w:t>
            </w:r>
            <w:r>
              <w:rPr>
                <w:b/>
                <w:bCs/>
              </w:rPr>
              <w:t>9</w:t>
            </w:r>
          </w:p>
        </w:tc>
        <w:tc>
          <w:tcPr>
            <w:tcW w:w="459" w:type="pct"/>
            <w:tcMar>
              <w:top w:w="0" w:type="dxa"/>
              <w:left w:w="108" w:type="dxa"/>
              <w:bottom w:w="0" w:type="dxa"/>
              <w:right w:w="108" w:type="dxa"/>
            </w:tcMar>
            <w:hideMark/>
          </w:tcPr>
          <w:p w14:paraId="1FFBCA64" w14:textId="05062254" w:rsidR="002B4F0C" w:rsidRPr="00CE28E3" w:rsidRDefault="002B4F0C" w:rsidP="0078185D">
            <w:pPr>
              <w:pStyle w:val="TableText"/>
              <w:jc w:val="center"/>
              <w:rPr>
                <w:b/>
                <w:bCs/>
              </w:rPr>
            </w:pPr>
            <w:r w:rsidRPr="00D65FD7">
              <w:rPr>
                <w:b/>
                <w:bCs/>
              </w:rPr>
              <w:t xml:space="preserve">Year </w:t>
            </w:r>
            <w:r w:rsidR="00C97290">
              <w:rPr>
                <w:b/>
                <w:bCs/>
              </w:rPr>
              <w:t>6</w:t>
            </w:r>
            <w:r w:rsidR="00C97290" w:rsidRPr="00D65FD7">
              <w:rPr>
                <w:b/>
                <w:bCs/>
              </w:rPr>
              <w:t xml:space="preserve"> </w:t>
            </w:r>
            <w:r w:rsidRPr="00D65FD7">
              <w:rPr>
                <w:b/>
                <w:bCs/>
              </w:rPr>
              <w:t>FY 202</w:t>
            </w:r>
            <w:r>
              <w:rPr>
                <w:b/>
                <w:bCs/>
              </w:rPr>
              <w:t>9</w:t>
            </w:r>
            <w:r w:rsidRPr="00D65FD7">
              <w:rPr>
                <w:b/>
                <w:bCs/>
              </w:rPr>
              <w:t>-20</w:t>
            </w:r>
            <w:r>
              <w:rPr>
                <w:b/>
                <w:bCs/>
              </w:rPr>
              <w:t>30</w:t>
            </w:r>
          </w:p>
        </w:tc>
      </w:tr>
      <w:tr w:rsidR="006414CA" w:rsidRPr="00CE28E3" w14:paraId="3A094DA8" w14:textId="77777777" w:rsidTr="00240FC1">
        <w:tc>
          <w:tcPr>
            <w:tcW w:w="1725" w:type="pct"/>
            <w:tcMar>
              <w:top w:w="0" w:type="dxa"/>
              <w:left w:w="108" w:type="dxa"/>
              <w:bottom w:w="0" w:type="dxa"/>
              <w:right w:w="108" w:type="dxa"/>
            </w:tcMar>
          </w:tcPr>
          <w:p w14:paraId="49C25E15" w14:textId="77777777" w:rsidR="006414CA" w:rsidRPr="00CE28E3" w:rsidRDefault="006414CA" w:rsidP="006414CA">
            <w:pPr>
              <w:pStyle w:val="TableText"/>
            </w:pPr>
            <w:r w:rsidRPr="00F118EE">
              <w:t>Estimated utilisation of REGENETEN</w:t>
            </w:r>
          </w:p>
        </w:tc>
        <w:tc>
          <w:tcPr>
            <w:tcW w:w="546" w:type="pct"/>
            <w:vAlign w:val="center"/>
          </w:tcPr>
          <w:p w14:paraId="40A0210C" w14:textId="77777777" w:rsidR="006414CA" w:rsidRPr="00CE28E3" w:rsidRDefault="006414CA" w:rsidP="006414CA">
            <w:pPr>
              <w:pStyle w:val="TableText"/>
              <w:jc w:val="center"/>
            </w:pPr>
            <w:r>
              <w:t>A</w:t>
            </w:r>
          </w:p>
        </w:tc>
        <w:tc>
          <w:tcPr>
            <w:tcW w:w="454" w:type="pct"/>
            <w:tcMar>
              <w:top w:w="0" w:type="dxa"/>
              <w:left w:w="108" w:type="dxa"/>
              <w:bottom w:w="0" w:type="dxa"/>
              <w:right w:w="108" w:type="dxa"/>
            </w:tcMar>
            <w:vAlign w:val="center"/>
          </w:tcPr>
          <w:p w14:paraId="5A20A5E5" w14:textId="2A2F90DA" w:rsidR="006414CA" w:rsidRPr="00123940" w:rsidRDefault="006414CA" w:rsidP="006414CA">
            <w:pPr>
              <w:pStyle w:val="TableText"/>
              <w:jc w:val="center"/>
              <w:rPr>
                <w:sz w:val="16"/>
                <w:szCs w:val="18"/>
              </w:rPr>
            </w:pPr>
            <w:r w:rsidRPr="00123940">
              <w:rPr>
                <w:b/>
                <w:bCs/>
                <w:sz w:val="16"/>
                <w:szCs w:val="18"/>
              </w:rPr>
              <w:t>redacted</w:t>
            </w:r>
          </w:p>
        </w:tc>
        <w:tc>
          <w:tcPr>
            <w:tcW w:w="454" w:type="pct"/>
            <w:tcMar>
              <w:top w:w="0" w:type="dxa"/>
              <w:left w:w="108" w:type="dxa"/>
              <w:bottom w:w="0" w:type="dxa"/>
              <w:right w:w="108" w:type="dxa"/>
            </w:tcMar>
          </w:tcPr>
          <w:p w14:paraId="3189288B" w14:textId="7DD4C5F8"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75E53AFA" w14:textId="66BBC5EF"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76148AE5" w14:textId="4CA551FE"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0D21599F" w14:textId="7D4753E3"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5377E7ED" w14:textId="346A2AC5"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r>
      <w:tr w:rsidR="006414CA" w:rsidRPr="00CE28E3" w14:paraId="1D4A9ADE" w14:textId="77777777" w:rsidTr="00240FC1">
        <w:tc>
          <w:tcPr>
            <w:tcW w:w="1725" w:type="pct"/>
            <w:tcMar>
              <w:top w:w="0" w:type="dxa"/>
              <w:left w:w="108" w:type="dxa"/>
              <w:bottom w:w="0" w:type="dxa"/>
              <w:right w:w="108" w:type="dxa"/>
            </w:tcMar>
          </w:tcPr>
          <w:p w14:paraId="11F508B7" w14:textId="575F9501" w:rsidR="006414CA" w:rsidRPr="00CE28E3" w:rsidRDefault="006414CA" w:rsidP="006414CA">
            <w:pPr>
              <w:pStyle w:val="TableText"/>
            </w:pPr>
            <w:r w:rsidRPr="00F118EE">
              <w:t xml:space="preserve">Estimated utilisation of REGENETEN in </w:t>
            </w:r>
            <w:r>
              <w:t>Population 2</w:t>
            </w:r>
            <w:r w:rsidRPr="00F118EE">
              <w:t xml:space="preserve"> </w:t>
            </w:r>
          </w:p>
        </w:tc>
        <w:tc>
          <w:tcPr>
            <w:tcW w:w="546" w:type="pct"/>
            <w:vAlign w:val="center"/>
          </w:tcPr>
          <w:p w14:paraId="005C106D" w14:textId="1FB8FE52" w:rsidR="006414CA" w:rsidRPr="00CE28E3" w:rsidRDefault="006414CA" w:rsidP="006414CA">
            <w:pPr>
              <w:pStyle w:val="TableText"/>
              <w:jc w:val="center"/>
            </w:pPr>
            <w:r w:rsidRPr="0011666E">
              <w:t>B = A×61%</w:t>
            </w:r>
          </w:p>
        </w:tc>
        <w:tc>
          <w:tcPr>
            <w:tcW w:w="454" w:type="pct"/>
            <w:tcMar>
              <w:top w:w="0" w:type="dxa"/>
              <w:left w:w="108" w:type="dxa"/>
              <w:bottom w:w="0" w:type="dxa"/>
              <w:right w:w="108" w:type="dxa"/>
            </w:tcMar>
          </w:tcPr>
          <w:p w14:paraId="66EEE50F" w14:textId="17015566"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75D66AE1" w14:textId="2935FA14"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3DCF40AF" w14:textId="16C7AACF"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52F158A8" w14:textId="04F07D00"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0FE31221" w14:textId="18F82C83"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153B4173" w14:textId="03D06A52"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r>
      <w:tr w:rsidR="002B4F0C" w:rsidRPr="00CE28E3" w14:paraId="480A5197" w14:textId="77777777" w:rsidTr="00B821D3">
        <w:tc>
          <w:tcPr>
            <w:tcW w:w="5000" w:type="pct"/>
            <w:gridSpan w:val="8"/>
            <w:tcMar>
              <w:top w:w="0" w:type="dxa"/>
              <w:left w:w="108" w:type="dxa"/>
              <w:bottom w:w="0" w:type="dxa"/>
              <w:right w:w="108" w:type="dxa"/>
            </w:tcMar>
          </w:tcPr>
          <w:p w14:paraId="5223F211" w14:textId="357E1B2C" w:rsidR="002B4F0C" w:rsidRPr="00CE28E3" w:rsidRDefault="002B4F0C" w:rsidP="0078185D">
            <w:pPr>
              <w:pStyle w:val="TableText"/>
            </w:pPr>
            <w:r w:rsidRPr="009D7EF0">
              <w:rPr>
                <w:b/>
                <w:bCs/>
              </w:rPr>
              <w:t xml:space="preserve">Revision of </w:t>
            </w:r>
            <w:r w:rsidR="00340883">
              <w:rPr>
                <w:b/>
                <w:bCs/>
              </w:rPr>
              <w:t>rotator cuff repair</w:t>
            </w:r>
            <w:r w:rsidRPr="009D7EF0" w:rsidDel="0011666E">
              <w:rPr>
                <w:b/>
                <w:bCs/>
              </w:rPr>
              <w:t xml:space="preserve"> </w:t>
            </w:r>
          </w:p>
        </w:tc>
      </w:tr>
      <w:tr w:rsidR="006414CA" w:rsidRPr="00CE28E3" w14:paraId="22F7B976" w14:textId="77777777" w:rsidTr="00240FC1">
        <w:tc>
          <w:tcPr>
            <w:tcW w:w="1725" w:type="pct"/>
            <w:tcMar>
              <w:top w:w="0" w:type="dxa"/>
              <w:left w:w="108" w:type="dxa"/>
              <w:bottom w:w="0" w:type="dxa"/>
              <w:right w:w="108" w:type="dxa"/>
            </w:tcMar>
          </w:tcPr>
          <w:p w14:paraId="3D473FE7" w14:textId="4C41AC92" w:rsidR="006414CA" w:rsidRPr="00CE28E3" w:rsidRDefault="00EE4C4D" w:rsidP="006414CA">
            <w:pPr>
              <w:pStyle w:val="TableText"/>
            </w:pPr>
            <w:r w:rsidRPr="00EE4C4D">
              <w:t xml:space="preserve">Estimated savings to MBS </w:t>
            </w:r>
            <w:r w:rsidR="003708A1">
              <w:t>from reduction in patients requiring</w:t>
            </w:r>
            <w:r w:rsidRPr="00EE4C4D">
              <w:t xml:space="preserve"> revision RCT repair </w:t>
            </w:r>
            <w:r w:rsidR="006414CA">
              <w:t>*</w:t>
            </w:r>
            <w:r w:rsidR="006414CA" w:rsidRPr="005F7F11">
              <w:t xml:space="preserve"> </w:t>
            </w:r>
          </w:p>
        </w:tc>
        <w:tc>
          <w:tcPr>
            <w:tcW w:w="546" w:type="pct"/>
            <w:vAlign w:val="center"/>
          </w:tcPr>
          <w:p w14:paraId="5A1E7A3A" w14:textId="135D0162" w:rsidR="006414CA" w:rsidRDefault="006414CA" w:rsidP="006414CA">
            <w:pPr>
              <w:pStyle w:val="TableText"/>
              <w:jc w:val="center"/>
            </w:pPr>
            <w:r w:rsidRPr="008B5F6A">
              <w:t>C</w:t>
            </w:r>
            <w:r>
              <w:t>=</w:t>
            </w:r>
            <w:r w:rsidRPr="008B5F6A">
              <w:t xml:space="preserve"> B×4.4%×</w:t>
            </w:r>
          </w:p>
          <w:p w14:paraId="716B5A88" w14:textId="6F8BF0A3" w:rsidR="006414CA" w:rsidRPr="00CE28E3" w:rsidRDefault="006414CA" w:rsidP="006414CA">
            <w:pPr>
              <w:pStyle w:val="TableText"/>
              <w:jc w:val="center"/>
            </w:pPr>
            <w:r w:rsidRPr="008B5F6A">
              <w:t>$1,</w:t>
            </w:r>
            <w:r>
              <w:t>057</w:t>
            </w:r>
          </w:p>
        </w:tc>
        <w:tc>
          <w:tcPr>
            <w:tcW w:w="454" w:type="pct"/>
            <w:tcMar>
              <w:top w:w="0" w:type="dxa"/>
              <w:left w:w="108" w:type="dxa"/>
              <w:bottom w:w="0" w:type="dxa"/>
              <w:right w:w="108" w:type="dxa"/>
            </w:tcMar>
          </w:tcPr>
          <w:p w14:paraId="3E7CF689" w14:textId="6D8B7F43" w:rsidR="006414CA" w:rsidRPr="00123940" w:rsidRDefault="006414CA" w:rsidP="006414CA">
            <w:pPr>
              <w:pStyle w:val="TableText"/>
              <w:jc w:val="center"/>
              <w:rPr>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5B0ACB99" w14:textId="1B9E2561" w:rsidR="006414CA" w:rsidRPr="00123940" w:rsidRDefault="006414CA" w:rsidP="006414CA">
            <w:pPr>
              <w:pStyle w:val="TableText"/>
              <w:jc w:val="center"/>
              <w:rPr>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483180A7" w14:textId="1D0CAD6B" w:rsidR="006414CA" w:rsidRPr="00123940" w:rsidRDefault="006414CA" w:rsidP="006414CA">
            <w:pPr>
              <w:pStyle w:val="TableText"/>
              <w:jc w:val="center"/>
              <w:rPr>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2E2158DE" w14:textId="0A6597AC" w:rsidR="006414CA" w:rsidRPr="00123940" w:rsidRDefault="006414CA" w:rsidP="006414CA">
            <w:pPr>
              <w:pStyle w:val="TableText"/>
              <w:jc w:val="center"/>
              <w:rPr>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505AFA17" w14:textId="767864FE" w:rsidR="006414CA" w:rsidRPr="00123940" w:rsidRDefault="006414CA" w:rsidP="006414CA">
            <w:pPr>
              <w:pStyle w:val="TableText"/>
              <w:jc w:val="center"/>
              <w:rPr>
                <w:bCs/>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4D391C19" w14:textId="03C7575E" w:rsidR="006414CA" w:rsidRPr="00123940" w:rsidRDefault="006414CA" w:rsidP="006414CA">
            <w:pPr>
              <w:pStyle w:val="TableText"/>
              <w:jc w:val="center"/>
              <w:rPr>
                <w:bCs/>
                <w:sz w:val="16"/>
                <w:szCs w:val="18"/>
              </w:rPr>
            </w:pPr>
            <w:r w:rsidRPr="00123940">
              <w:rPr>
                <w:b/>
                <w:bCs/>
                <w:sz w:val="16"/>
                <w:szCs w:val="18"/>
              </w:rPr>
              <w:t>redacted</w:t>
            </w:r>
            <w:r w:rsidRPr="00123940">
              <w:rPr>
                <w:sz w:val="16"/>
                <w:szCs w:val="18"/>
              </w:rPr>
              <w:t xml:space="preserve"> </w:t>
            </w:r>
          </w:p>
        </w:tc>
      </w:tr>
      <w:tr w:rsidR="002B4F0C" w:rsidRPr="00CE28E3" w14:paraId="56BF1CE6" w14:textId="77777777" w:rsidTr="00B821D3">
        <w:tc>
          <w:tcPr>
            <w:tcW w:w="5000" w:type="pct"/>
            <w:gridSpan w:val="8"/>
          </w:tcPr>
          <w:p w14:paraId="14929732" w14:textId="2B93EE56" w:rsidR="002B4F0C" w:rsidRPr="009D7EF0" w:rsidRDefault="002B4F0C" w:rsidP="0078185D">
            <w:pPr>
              <w:pStyle w:val="TableText"/>
              <w:rPr>
                <w:b/>
                <w:bCs/>
              </w:rPr>
            </w:pPr>
            <w:r>
              <w:rPr>
                <w:b/>
                <w:bCs/>
              </w:rPr>
              <w:t xml:space="preserve"> </w:t>
            </w:r>
            <w:r w:rsidRPr="009D7EF0">
              <w:rPr>
                <w:b/>
                <w:bCs/>
              </w:rPr>
              <w:t>Reverse total shoulder arthroplasty (RTSA)</w:t>
            </w:r>
          </w:p>
        </w:tc>
      </w:tr>
      <w:tr w:rsidR="006414CA" w:rsidRPr="00CE28E3" w14:paraId="28425ADF" w14:textId="77777777" w:rsidTr="00240FC1">
        <w:tc>
          <w:tcPr>
            <w:tcW w:w="1725" w:type="pct"/>
            <w:tcMar>
              <w:top w:w="0" w:type="dxa"/>
              <w:left w:w="108" w:type="dxa"/>
              <w:bottom w:w="0" w:type="dxa"/>
              <w:right w:w="108" w:type="dxa"/>
            </w:tcMar>
          </w:tcPr>
          <w:p w14:paraId="464B5C2C" w14:textId="27409099" w:rsidR="006414CA" w:rsidRPr="00CE28E3" w:rsidRDefault="00703BE9" w:rsidP="006414CA">
            <w:pPr>
              <w:pStyle w:val="TableText"/>
            </w:pPr>
            <w:r w:rsidRPr="008B17CA">
              <w:t xml:space="preserve">Estimated savings to MBS </w:t>
            </w:r>
            <w:r w:rsidR="00357487">
              <w:t>from reduction in</w:t>
            </w:r>
            <w:r w:rsidRPr="008B17CA">
              <w:t xml:space="preserve"> RTSA</w:t>
            </w:r>
            <w:r w:rsidR="003708A1">
              <w:t xml:space="preserve"> </w:t>
            </w:r>
            <w:r w:rsidR="006414CA">
              <w:t>*</w:t>
            </w:r>
            <w:r w:rsidR="006414CA" w:rsidRPr="00235AF9">
              <w:t xml:space="preserve"> </w:t>
            </w:r>
          </w:p>
        </w:tc>
        <w:tc>
          <w:tcPr>
            <w:tcW w:w="546" w:type="pct"/>
            <w:vAlign w:val="center"/>
          </w:tcPr>
          <w:p w14:paraId="541BDCB3" w14:textId="3A064530" w:rsidR="006414CA" w:rsidRPr="00CE28E3" w:rsidRDefault="006414CA" w:rsidP="006414CA">
            <w:pPr>
              <w:pStyle w:val="TableText"/>
              <w:jc w:val="center"/>
            </w:pPr>
            <w:r>
              <w:t>D</w:t>
            </w:r>
            <w:r w:rsidRPr="00C67810">
              <w:t xml:space="preserve"> = </w:t>
            </w:r>
            <w:r>
              <w:t>B</w:t>
            </w:r>
            <w:r w:rsidRPr="008B5F6A">
              <w:t>×</w:t>
            </w:r>
            <w:r>
              <w:t>0.7</w:t>
            </w:r>
            <w:r w:rsidRPr="008B5F6A">
              <w:t>×</w:t>
            </w:r>
            <w:r w:rsidRPr="00C67810">
              <w:t>$</w:t>
            </w:r>
            <w:r>
              <w:t>2,876</w:t>
            </w:r>
          </w:p>
        </w:tc>
        <w:tc>
          <w:tcPr>
            <w:tcW w:w="454" w:type="pct"/>
            <w:tcMar>
              <w:top w:w="0" w:type="dxa"/>
              <w:left w:w="108" w:type="dxa"/>
              <w:bottom w:w="0" w:type="dxa"/>
              <w:right w:w="108" w:type="dxa"/>
            </w:tcMar>
          </w:tcPr>
          <w:p w14:paraId="4BEE9B43" w14:textId="116F64A1"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1BC74A2F" w14:textId="79741FCB"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4775B5AE" w14:textId="76F4AE7F"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09C7AE6E" w14:textId="23D732CD"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4C7B59BF" w14:textId="11C4B546"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332EDF89" w14:textId="426AE6E4"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r>
      <w:tr w:rsidR="002B4F0C" w:rsidRPr="00CE28E3" w14:paraId="12DEF193" w14:textId="77777777" w:rsidTr="00B821D3">
        <w:tc>
          <w:tcPr>
            <w:tcW w:w="5000" w:type="pct"/>
            <w:gridSpan w:val="8"/>
            <w:tcMar>
              <w:top w:w="0" w:type="dxa"/>
              <w:left w:w="108" w:type="dxa"/>
              <w:bottom w:w="0" w:type="dxa"/>
              <w:right w:w="108" w:type="dxa"/>
            </w:tcMar>
          </w:tcPr>
          <w:p w14:paraId="14A4D729" w14:textId="77777777" w:rsidR="002B4F0C" w:rsidRPr="009D7EF0" w:rsidRDefault="002B4F0C" w:rsidP="0078185D">
            <w:pPr>
              <w:pStyle w:val="TableText"/>
              <w:rPr>
                <w:b/>
                <w:bCs/>
              </w:rPr>
            </w:pPr>
            <w:r w:rsidRPr="009D7EF0">
              <w:rPr>
                <w:b/>
                <w:bCs/>
              </w:rPr>
              <w:t>Conservative management – CM (first year)</w:t>
            </w:r>
          </w:p>
        </w:tc>
      </w:tr>
      <w:tr w:rsidR="006414CA" w:rsidRPr="00CE28E3" w14:paraId="4D5D27B1" w14:textId="77777777" w:rsidTr="00240FC1">
        <w:tc>
          <w:tcPr>
            <w:tcW w:w="1725" w:type="pct"/>
            <w:tcMar>
              <w:top w:w="0" w:type="dxa"/>
              <w:left w:w="108" w:type="dxa"/>
              <w:bottom w:w="0" w:type="dxa"/>
              <w:right w:w="108" w:type="dxa"/>
            </w:tcMar>
          </w:tcPr>
          <w:p w14:paraId="77AFF1A7" w14:textId="461B6CC9" w:rsidR="006414CA" w:rsidRPr="00CE28E3" w:rsidRDefault="00357487" w:rsidP="006414CA">
            <w:pPr>
              <w:pStyle w:val="TableText"/>
              <w:rPr>
                <w:b/>
                <w:bCs/>
              </w:rPr>
            </w:pPr>
            <w:r w:rsidRPr="00783F1C">
              <w:t xml:space="preserve">Estimated savings to MBS </w:t>
            </w:r>
            <w:r>
              <w:t>from reduction in patients requiring</w:t>
            </w:r>
            <w:r w:rsidRPr="00783F1C">
              <w:t xml:space="preserve"> CM</w:t>
            </w:r>
            <w:r>
              <w:t xml:space="preserve"> </w:t>
            </w:r>
            <w:r w:rsidRPr="00783F1C">
              <w:t xml:space="preserve">in the </w:t>
            </w:r>
            <w:r>
              <w:t>first</w:t>
            </w:r>
            <w:r w:rsidRPr="00783F1C">
              <w:t xml:space="preserve"> year </w:t>
            </w:r>
            <w:r w:rsidR="006414CA">
              <w:t>*</w:t>
            </w:r>
            <w:r w:rsidR="006414CA" w:rsidRPr="004B2071">
              <w:t xml:space="preserve"> </w:t>
            </w:r>
          </w:p>
        </w:tc>
        <w:tc>
          <w:tcPr>
            <w:tcW w:w="546" w:type="pct"/>
            <w:vAlign w:val="center"/>
          </w:tcPr>
          <w:p w14:paraId="20B49ADC" w14:textId="6C38F162" w:rsidR="006414CA" w:rsidRDefault="006414CA" w:rsidP="006414CA">
            <w:pPr>
              <w:pStyle w:val="TableText"/>
              <w:jc w:val="center"/>
            </w:pPr>
            <w:r>
              <w:t>E</w:t>
            </w:r>
            <w:r w:rsidRPr="0082571B">
              <w:t xml:space="preserve"> = B×12.4%×</w:t>
            </w:r>
          </w:p>
          <w:p w14:paraId="33D67D78" w14:textId="746429E3" w:rsidR="006414CA" w:rsidRPr="0011666E" w:rsidRDefault="006414CA" w:rsidP="006414CA">
            <w:pPr>
              <w:pStyle w:val="TableText"/>
              <w:jc w:val="center"/>
            </w:pPr>
            <w:r w:rsidRPr="0082571B">
              <w:t>$</w:t>
            </w:r>
            <w:r>
              <w:t>2,368</w:t>
            </w:r>
          </w:p>
        </w:tc>
        <w:tc>
          <w:tcPr>
            <w:tcW w:w="454" w:type="pct"/>
            <w:tcMar>
              <w:top w:w="0" w:type="dxa"/>
              <w:left w:w="108" w:type="dxa"/>
              <w:bottom w:w="0" w:type="dxa"/>
              <w:right w:w="108" w:type="dxa"/>
            </w:tcMar>
          </w:tcPr>
          <w:p w14:paraId="46982A5A" w14:textId="1A2895F7"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569D9CA8" w14:textId="220DF61B"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778FAA53" w14:textId="0CA72754"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5D86356D" w14:textId="039C79DE"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00BC796F" w14:textId="24FBDD8B"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598B3AD7" w14:textId="6D6ED132"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r>
      <w:tr w:rsidR="002B4F0C" w:rsidRPr="00CE28E3" w14:paraId="6E85EAA0" w14:textId="77777777" w:rsidTr="00B821D3">
        <w:tc>
          <w:tcPr>
            <w:tcW w:w="5000" w:type="pct"/>
            <w:gridSpan w:val="8"/>
            <w:tcMar>
              <w:top w:w="0" w:type="dxa"/>
              <w:left w:w="108" w:type="dxa"/>
              <w:bottom w:w="0" w:type="dxa"/>
              <w:right w:w="108" w:type="dxa"/>
            </w:tcMar>
          </w:tcPr>
          <w:p w14:paraId="09C89196" w14:textId="77777777" w:rsidR="002B4F0C" w:rsidRPr="00CE28E3" w:rsidRDefault="002B4F0C" w:rsidP="0078185D">
            <w:pPr>
              <w:pStyle w:val="TableText"/>
              <w:rPr>
                <w:b/>
                <w:bCs/>
              </w:rPr>
            </w:pPr>
            <w:r w:rsidRPr="002B2331">
              <w:rPr>
                <w:b/>
                <w:bCs/>
              </w:rPr>
              <w:t>Conservative management – CM (second year)</w:t>
            </w:r>
          </w:p>
        </w:tc>
      </w:tr>
      <w:tr w:rsidR="006414CA" w:rsidRPr="00CE28E3" w14:paraId="0BA71C22" w14:textId="77777777" w:rsidTr="00240FC1">
        <w:tc>
          <w:tcPr>
            <w:tcW w:w="1725" w:type="pct"/>
            <w:tcMar>
              <w:top w:w="0" w:type="dxa"/>
              <w:left w:w="108" w:type="dxa"/>
              <w:bottom w:w="0" w:type="dxa"/>
              <w:right w:w="108" w:type="dxa"/>
            </w:tcMar>
          </w:tcPr>
          <w:p w14:paraId="2286F2BD" w14:textId="77777777" w:rsidR="006414CA" w:rsidRPr="00CE28E3" w:rsidRDefault="006414CA" w:rsidP="006414CA">
            <w:pPr>
              <w:pStyle w:val="TableText"/>
              <w:rPr>
                <w:b/>
                <w:bCs/>
              </w:rPr>
            </w:pPr>
            <w:r w:rsidRPr="00894D0F">
              <w:t>Estimated utilisation of REGENETEN in their second year</w:t>
            </w:r>
          </w:p>
        </w:tc>
        <w:tc>
          <w:tcPr>
            <w:tcW w:w="546" w:type="pct"/>
            <w:vAlign w:val="center"/>
          </w:tcPr>
          <w:p w14:paraId="2E1B04D1" w14:textId="346C64FF" w:rsidR="006414CA" w:rsidRPr="0011666E" w:rsidRDefault="006414CA" w:rsidP="006414CA">
            <w:pPr>
              <w:pStyle w:val="TableText"/>
              <w:jc w:val="center"/>
            </w:pPr>
            <w:r>
              <w:t>F</w:t>
            </w:r>
          </w:p>
        </w:tc>
        <w:tc>
          <w:tcPr>
            <w:tcW w:w="454" w:type="pct"/>
            <w:tcMar>
              <w:top w:w="0" w:type="dxa"/>
              <w:left w:w="108" w:type="dxa"/>
              <w:bottom w:w="0" w:type="dxa"/>
              <w:right w:w="108" w:type="dxa"/>
            </w:tcMar>
          </w:tcPr>
          <w:p w14:paraId="5D949CB1" w14:textId="4F5C51BE"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294C192E" w14:textId="23B8B320"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676EBC3F" w14:textId="7FBCA8F0"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1E38A21E" w14:textId="03AA08FC"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7DB01B95" w14:textId="2D276086"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681F164B" w14:textId="5AAEB844"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r>
      <w:tr w:rsidR="006414CA" w:rsidRPr="00CE28E3" w14:paraId="25971B17" w14:textId="77777777" w:rsidTr="00240FC1">
        <w:tc>
          <w:tcPr>
            <w:tcW w:w="1725" w:type="pct"/>
            <w:tcMar>
              <w:top w:w="0" w:type="dxa"/>
              <w:left w:w="108" w:type="dxa"/>
              <w:bottom w:w="0" w:type="dxa"/>
              <w:right w:w="108" w:type="dxa"/>
            </w:tcMar>
          </w:tcPr>
          <w:p w14:paraId="574301BF" w14:textId="2F0824A1" w:rsidR="006414CA" w:rsidRPr="00CE28E3" w:rsidRDefault="008454CC" w:rsidP="006414CA">
            <w:pPr>
              <w:pStyle w:val="TableText"/>
              <w:rPr>
                <w:b/>
                <w:bCs/>
              </w:rPr>
            </w:pPr>
            <w:r w:rsidRPr="00783F1C">
              <w:t xml:space="preserve">Estimated savings to MBS </w:t>
            </w:r>
            <w:r w:rsidR="00920DF6">
              <w:t xml:space="preserve">from reduction in patients </w:t>
            </w:r>
            <w:r w:rsidR="00357487">
              <w:t>requiring</w:t>
            </w:r>
            <w:r w:rsidRPr="00783F1C">
              <w:t xml:space="preserve"> CM</w:t>
            </w:r>
            <w:r w:rsidR="00357487">
              <w:t xml:space="preserve"> </w:t>
            </w:r>
            <w:r w:rsidRPr="00783F1C">
              <w:t xml:space="preserve">in the second year </w:t>
            </w:r>
            <w:r w:rsidR="006414CA">
              <w:t>*</w:t>
            </w:r>
            <w:r w:rsidR="006414CA" w:rsidRPr="00894D0F">
              <w:t xml:space="preserve"> </w:t>
            </w:r>
          </w:p>
        </w:tc>
        <w:tc>
          <w:tcPr>
            <w:tcW w:w="546" w:type="pct"/>
            <w:vAlign w:val="center"/>
          </w:tcPr>
          <w:p w14:paraId="40A6D746" w14:textId="51E5D9D9" w:rsidR="006414CA" w:rsidRPr="0011666E" w:rsidRDefault="006414CA" w:rsidP="006414CA">
            <w:pPr>
              <w:pStyle w:val="TableText"/>
              <w:jc w:val="center"/>
            </w:pPr>
            <w:r>
              <w:t>G</w:t>
            </w:r>
            <w:r w:rsidRPr="004B7A86">
              <w:t xml:space="preserve"> = </w:t>
            </w:r>
            <w:r>
              <w:t>F</w:t>
            </w:r>
            <w:r w:rsidRPr="004B7A86">
              <w:t>×14.2%×</w:t>
            </w:r>
            <w:r>
              <w:t xml:space="preserve"> </w:t>
            </w:r>
            <w:r w:rsidRPr="004B7A86">
              <w:t>$</w:t>
            </w:r>
            <w:r>
              <w:t>2,368</w:t>
            </w:r>
          </w:p>
        </w:tc>
        <w:tc>
          <w:tcPr>
            <w:tcW w:w="454" w:type="pct"/>
            <w:tcMar>
              <w:top w:w="0" w:type="dxa"/>
              <w:left w:w="108" w:type="dxa"/>
              <w:bottom w:w="0" w:type="dxa"/>
              <w:right w:w="108" w:type="dxa"/>
            </w:tcMar>
          </w:tcPr>
          <w:p w14:paraId="5B9D7EEE" w14:textId="7BDFDC65"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441B5CE2" w14:textId="56170AC6"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68C71D92" w14:textId="4D051FFA"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39C65137" w14:textId="58A88FB0"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08268965" w14:textId="559D32EB"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49719612" w14:textId="0AB7555D"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r>
      <w:tr w:rsidR="002B4F0C" w:rsidRPr="00CE28E3" w14:paraId="0ECA8DA8" w14:textId="77777777" w:rsidTr="00B821D3">
        <w:tc>
          <w:tcPr>
            <w:tcW w:w="5000" w:type="pct"/>
            <w:gridSpan w:val="8"/>
            <w:tcMar>
              <w:top w:w="0" w:type="dxa"/>
              <w:left w:w="108" w:type="dxa"/>
              <w:bottom w:w="0" w:type="dxa"/>
              <w:right w:w="108" w:type="dxa"/>
            </w:tcMar>
          </w:tcPr>
          <w:p w14:paraId="30F70012" w14:textId="77777777" w:rsidR="002B4F0C" w:rsidRPr="00CE28E3" w:rsidRDefault="002B4F0C" w:rsidP="0078185D">
            <w:pPr>
              <w:pStyle w:val="TableText"/>
              <w:rPr>
                <w:b/>
                <w:bCs/>
              </w:rPr>
            </w:pPr>
            <w:r w:rsidRPr="001316A3">
              <w:rPr>
                <w:b/>
                <w:bCs/>
              </w:rPr>
              <w:t>Shoulder MRI in patients with retear</w:t>
            </w:r>
          </w:p>
        </w:tc>
      </w:tr>
      <w:tr w:rsidR="006414CA" w:rsidRPr="00CE28E3" w14:paraId="7CDF5F78" w14:textId="77777777" w:rsidTr="00240FC1">
        <w:tc>
          <w:tcPr>
            <w:tcW w:w="1725" w:type="pct"/>
            <w:tcMar>
              <w:top w:w="0" w:type="dxa"/>
              <w:left w:w="108" w:type="dxa"/>
              <w:bottom w:w="0" w:type="dxa"/>
              <w:right w:w="108" w:type="dxa"/>
            </w:tcMar>
          </w:tcPr>
          <w:p w14:paraId="770C9AE1" w14:textId="2B406B21" w:rsidR="006414CA" w:rsidRPr="00894D0F" w:rsidRDefault="006414CA" w:rsidP="006414CA">
            <w:pPr>
              <w:pStyle w:val="TableText"/>
            </w:pPr>
            <w:r w:rsidRPr="009F74D1">
              <w:t xml:space="preserve">Estimated savings to MBS </w:t>
            </w:r>
            <w:r w:rsidR="00392564">
              <w:t xml:space="preserve">from </w:t>
            </w:r>
            <w:r w:rsidRPr="009F74D1">
              <w:t xml:space="preserve">avoided MRI due to </w:t>
            </w:r>
            <w:r>
              <w:t>reduced</w:t>
            </w:r>
            <w:r w:rsidRPr="009F74D1">
              <w:t xml:space="preserve"> retear rate</w:t>
            </w:r>
            <w:r>
              <w:t>*</w:t>
            </w:r>
            <w:r w:rsidRPr="009F74D1">
              <w:t xml:space="preserve"> </w:t>
            </w:r>
          </w:p>
        </w:tc>
        <w:tc>
          <w:tcPr>
            <w:tcW w:w="546" w:type="pct"/>
            <w:vAlign w:val="center"/>
          </w:tcPr>
          <w:p w14:paraId="399E93B0" w14:textId="2CAE36AE" w:rsidR="006414CA" w:rsidRPr="004B7A86" w:rsidRDefault="006414CA" w:rsidP="006414CA">
            <w:pPr>
              <w:pStyle w:val="TableText"/>
              <w:jc w:val="center"/>
            </w:pPr>
            <w:r>
              <w:t>H</w:t>
            </w:r>
            <w:r w:rsidRPr="00CE6FE9">
              <w:t xml:space="preserve"> = B×17.5%×$318.30</w:t>
            </w:r>
          </w:p>
        </w:tc>
        <w:tc>
          <w:tcPr>
            <w:tcW w:w="454" w:type="pct"/>
            <w:tcMar>
              <w:top w:w="0" w:type="dxa"/>
              <w:left w:w="108" w:type="dxa"/>
              <w:bottom w:w="0" w:type="dxa"/>
              <w:right w:w="108" w:type="dxa"/>
            </w:tcMar>
          </w:tcPr>
          <w:p w14:paraId="13949AC9" w14:textId="36528B28"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4702CE50" w14:textId="17B1441E"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51B19CDE" w14:textId="068EEA6D"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25DBC744" w14:textId="33C3FB90"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4" w:type="pct"/>
            <w:tcMar>
              <w:top w:w="0" w:type="dxa"/>
              <w:left w:w="108" w:type="dxa"/>
              <w:bottom w:w="0" w:type="dxa"/>
              <w:right w:w="108" w:type="dxa"/>
            </w:tcMar>
          </w:tcPr>
          <w:p w14:paraId="7B7854A4" w14:textId="0096A459"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c>
          <w:tcPr>
            <w:tcW w:w="459" w:type="pct"/>
            <w:tcMar>
              <w:top w:w="0" w:type="dxa"/>
              <w:left w:w="108" w:type="dxa"/>
              <w:bottom w:w="0" w:type="dxa"/>
              <w:right w:w="108" w:type="dxa"/>
            </w:tcMar>
          </w:tcPr>
          <w:p w14:paraId="525408B8" w14:textId="2E2BA66D" w:rsidR="006414CA" w:rsidRPr="00123940" w:rsidRDefault="006414CA" w:rsidP="006414CA">
            <w:pPr>
              <w:pStyle w:val="TableText"/>
              <w:jc w:val="center"/>
              <w:rPr>
                <w:b/>
                <w:bCs/>
                <w:sz w:val="16"/>
                <w:szCs w:val="18"/>
              </w:rPr>
            </w:pPr>
            <w:r w:rsidRPr="00123940">
              <w:rPr>
                <w:b/>
                <w:bCs/>
                <w:sz w:val="16"/>
                <w:szCs w:val="18"/>
              </w:rPr>
              <w:t>redacted</w:t>
            </w:r>
            <w:r w:rsidRPr="00123940">
              <w:rPr>
                <w:sz w:val="16"/>
                <w:szCs w:val="18"/>
              </w:rPr>
              <w:t xml:space="preserve"> </w:t>
            </w:r>
          </w:p>
        </w:tc>
      </w:tr>
      <w:tr w:rsidR="006414CA" w:rsidRPr="00CE28E3" w14:paraId="20F9F46F" w14:textId="77777777" w:rsidTr="00240FC1">
        <w:tc>
          <w:tcPr>
            <w:tcW w:w="1725" w:type="pct"/>
            <w:tcMar>
              <w:top w:w="0" w:type="dxa"/>
              <w:left w:w="108" w:type="dxa"/>
              <w:bottom w:w="0" w:type="dxa"/>
              <w:right w:w="108" w:type="dxa"/>
            </w:tcMar>
          </w:tcPr>
          <w:p w14:paraId="205E7CA0" w14:textId="66720FAD" w:rsidR="006414CA" w:rsidRPr="00CE28E3" w:rsidRDefault="006414CA" w:rsidP="006414CA">
            <w:pPr>
              <w:pStyle w:val="TableText"/>
              <w:rPr>
                <w:b/>
                <w:bCs/>
              </w:rPr>
            </w:pPr>
            <w:r w:rsidRPr="002B2331">
              <w:rPr>
                <w:b/>
                <w:bCs/>
              </w:rPr>
              <w:t xml:space="preserve">Total savings to </w:t>
            </w:r>
            <w:r w:rsidR="008454CC">
              <w:rPr>
                <w:b/>
                <w:bCs/>
              </w:rPr>
              <w:t xml:space="preserve">MBS </w:t>
            </w:r>
            <w:r w:rsidRPr="002B2331">
              <w:rPr>
                <w:b/>
                <w:bCs/>
              </w:rPr>
              <w:t>when using REGENETEN</w:t>
            </w:r>
            <w:r>
              <w:rPr>
                <w:b/>
                <w:bCs/>
              </w:rPr>
              <w:t>*</w:t>
            </w:r>
            <w:r w:rsidRPr="002B2331">
              <w:rPr>
                <w:b/>
                <w:bCs/>
              </w:rPr>
              <w:t xml:space="preserve"> </w:t>
            </w:r>
          </w:p>
        </w:tc>
        <w:tc>
          <w:tcPr>
            <w:tcW w:w="546" w:type="pct"/>
            <w:vAlign w:val="center"/>
          </w:tcPr>
          <w:p w14:paraId="63DFCDAE" w14:textId="06DA2690" w:rsidR="006414CA" w:rsidRPr="0011666E" w:rsidRDefault="006414CA" w:rsidP="006414CA">
            <w:pPr>
              <w:pStyle w:val="TableText"/>
              <w:jc w:val="center"/>
            </w:pPr>
            <w:r>
              <w:t>I</w:t>
            </w:r>
            <w:r w:rsidRPr="002B2331">
              <w:t>=</w:t>
            </w:r>
            <w:r>
              <w:t>C+</w:t>
            </w:r>
            <w:r w:rsidRPr="002B2331">
              <w:t>D</w:t>
            </w:r>
            <w:r>
              <w:t>+E+G+H</w:t>
            </w:r>
          </w:p>
        </w:tc>
        <w:tc>
          <w:tcPr>
            <w:tcW w:w="454" w:type="pct"/>
            <w:tcMar>
              <w:top w:w="0" w:type="dxa"/>
              <w:left w:w="108" w:type="dxa"/>
              <w:bottom w:w="0" w:type="dxa"/>
              <w:right w:w="108" w:type="dxa"/>
            </w:tcMar>
          </w:tcPr>
          <w:p w14:paraId="1BE277F6" w14:textId="2C09A350" w:rsidR="006414CA" w:rsidRPr="001316A3" w:rsidRDefault="006414CA" w:rsidP="006414CA">
            <w:pPr>
              <w:pStyle w:val="TableText"/>
              <w:jc w:val="center"/>
              <w:rPr>
                <w:b/>
                <w:bCs/>
              </w:rPr>
            </w:pPr>
            <w:r w:rsidRPr="00CD76DA">
              <w:rPr>
                <w:b/>
                <w:bCs/>
              </w:rPr>
              <w:t>$</w:t>
            </w:r>
            <w:r>
              <w:rPr>
                <w:b/>
                <w:bCs/>
              </w:rPr>
              <w:t>0.12</w:t>
            </w:r>
          </w:p>
        </w:tc>
        <w:tc>
          <w:tcPr>
            <w:tcW w:w="454" w:type="pct"/>
            <w:tcMar>
              <w:top w:w="0" w:type="dxa"/>
              <w:left w:w="108" w:type="dxa"/>
              <w:bottom w:w="0" w:type="dxa"/>
              <w:right w:w="108" w:type="dxa"/>
            </w:tcMar>
          </w:tcPr>
          <w:p w14:paraId="5A20D37C" w14:textId="38F9CB73" w:rsidR="006414CA" w:rsidRPr="001316A3" w:rsidRDefault="006414CA" w:rsidP="006414CA">
            <w:pPr>
              <w:pStyle w:val="TableText"/>
              <w:jc w:val="center"/>
              <w:rPr>
                <w:b/>
                <w:bCs/>
              </w:rPr>
            </w:pPr>
            <w:r w:rsidRPr="00CD76DA">
              <w:rPr>
                <w:b/>
                <w:bCs/>
              </w:rPr>
              <w:t>$</w:t>
            </w:r>
            <w:r>
              <w:rPr>
                <w:b/>
                <w:bCs/>
              </w:rPr>
              <w:t>0.03</w:t>
            </w:r>
          </w:p>
        </w:tc>
        <w:tc>
          <w:tcPr>
            <w:tcW w:w="454" w:type="pct"/>
            <w:tcMar>
              <w:top w:w="0" w:type="dxa"/>
              <w:left w:w="108" w:type="dxa"/>
              <w:bottom w:w="0" w:type="dxa"/>
              <w:right w:w="108" w:type="dxa"/>
            </w:tcMar>
          </w:tcPr>
          <w:p w14:paraId="385E21F3" w14:textId="41D194A6" w:rsidR="006414CA" w:rsidRPr="001316A3" w:rsidRDefault="006414CA" w:rsidP="006414CA">
            <w:pPr>
              <w:pStyle w:val="TableText"/>
              <w:jc w:val="center"/>
              <w:rPr>
                <w:b/>
                <w:bCs/>
              </w:rPr>
            </w:pPr>
            <w:r w:rsidRPr="00CD76DA">
              <w:rPr>
                <w:b/>
                <w:bCs/>
              </w:rPr>
              <w:t>$</w:t>
            </w:r>
            <w:r>
              <w:rPr>
                <w:b/>
                <w:bCs/>
              </w:rPr>
              <w:t>0.46</w:t>
            </w:r>
          </w:p>
        </w:tc>
        <w:tc>
          <w:tcPr>
            <w:tcW w:w="454" w:type="pct"/>
            <w:tcMar>
              <w:top w:w="0" w:type="dxa"/>
              <w:left w:w="108" w:type="dxa"/>
              <w:bottom w:w="0" w:type="dxa"/>
              <w:right w:w="108" w:type="dxa"/>
            </w:tcMar>
          </w:tcPr>
          <w:p w14:paraId="0E494252" w14:textId="776BD438" w:rsidR="006414CA" w:rsidRPr="001316A3" w:rsidRDefault="006414CA" w:rsidP="006414CA">
            <w:pPr>
              <w:pStyle w:val="TableText"/>
              <w:jc w:val="center"/>
              <w:rPr>
                <w:b/>
                <w:bCs/>
              </w:rPr>
            </w:pPr>
            <w:r w:rsidRPr="00CD76DA">
              <w:rPr>
                <w:b/>
                <w:bCs/>
              </w:rPr>
              <w:t>$</w:t>
            </w:r>
            <w:r>
              <w:rPr>
                <w:b/>
                <w:bCs/>
              </w:rPr>
              <w:t>0.62</w:t>
            </w:r>
          </w:p>
        </w:tc>
        <w:tc>
          <w:tcPr>
            <w:tcW w:w="454" w:type="pct"/>
            <w:tcMar>
              <w:top w:w="0" w:type="dxa"/>
              <w:left w:w="108" w:type="dxa"/>
              <w:bottom w:w="0" w:type="dxa"/>
              <w:right w:w="108" w:type="dxa"/>
            </w:tcMar>
          </w:tcPr>
          <w:p w14:paraId="2B81EB81" w14:textId="047F9AAA" w:rsidR="006414CA" w:rsidRPr="001316A3" w:rsidRDefault="006414CA" w:rsidP="006414CA">
            <w:pPr>
              <w:pStyle w:val="TableText"/>
              <w:jc w:val="center"/>
              <w:rPr>
                <w:b/>
                <w:bCs/>
              </w:rPr>
            </w:pPr>
            <w:r w:rsidRPr="00CD76DA">
              <w:rPr>
                <w:b/>
                <w:bCs/>
              </w:rPr>
              <w:t>$</w:t>
            </w:r>
            <w:r>
              <w:rPr>
                <w:b/>
                <w:bCs/>
              </w:rPr>
              <w:t>0.78</w:t>
            </w:r>
          </w:p>
        </w:tc>
        <w:tc>
          <w:tcPr>
            <w:tcW w:w="459" w:type="pct"/>
            <w:tcMar>
              <w:top w:w="0" w:type="dxa"/>
              <w:left w:w="108" w:type="dxa"/>
              <w:bottom w:w="0" w:type="dxa"/>
              <w:right w:w="108" w:type="dxa"/>
            </w:tcMar>
          </w:tcPr>
          <w:p w14:paraId="323471AE" w14:textId="56A2ACC9" w:rsidR="006414CA" w:rsidRPr="001316A3" w:rsidRDefault="006414CA" w:rsidP="006414CA">
            <w:pPr>
              <w:pStyle w:val="TableText"/>
              <w:jc w:val="center"/>
              <w:rPr>
                <w:b/>
                <w:bCs/>
              </w:rPr>
            </w:pPr>
            <w:r w:rsidRPr="00CD76DA">
              <w:rPr>
                <w:b/>
                <w:bCs/>
              </w:rPr>
              <w:t>$</w:t>
            </w:r>
            <w:r>
              <w:rPr>
                <w:b/>
                <w:bCs/>
              </w:rPr>
              <w:t>0.90</w:t>
            </w:r>
          </w:p>
        </w:tc>
      </w:tr>
    </w:tbl>
    <w:p w14:paraId="444340FA" w14:textId="3F0CDE09" w:rsidR="00ED065D" w:rsidRPr="00B821D3" w:rsidRDefault="002B4F0C" w:rsidP="00B821D3">
      <w:pPr>
        <w:pStyle w:val="Tablenotes"/>
        <w:jc w:val="both"/>
        <w:rPr>
          <w:rStyle w:val="CommentReference"/>
          <w:rFonts w:eastAsiaTheme="minorHAnsi"/>
          <w:sz w:val="18"/>
          <w:szCs w:val="20"/>
        </w:rPr>
      </w:pPr>
      <w:r w:rsidRPr="00A6552C">
        <w:rPr>
          <w:rStyle w:val="CommentReference"/>
          <w:sz w:val="18"/>
          <w:szCs w:val="20"/>
        </w:rPr>
        <w:t>Source: Table 81, p1</w:t>
      </w:r>
      <w:r w:rsidR="00854096" w:rsidRPr="00A6552C">
        <w:rPr>
          <w:rStyle w:val="CommentReference"/>
          <w:sz w:val="18"/>
          <w:szCs w:val="20"/>
        </w:rPr>
        <w:t>78</w:t>
      </w:r>
      <w:r w:rsidRPr="00A6552C">
        <w:rPr>
          <w:rStyle w:val="CommentReference"/>
          <w:sz w:val="18"/>
          <w:szCs w:val="20"/>
        </w:rPr>
        <w:t xml:space="preserve"> of the MSAC application 1593.1 ADAR + In line commentary </w:t>
      </w:r>
    </w:p>
    <w:p w14:paraId="49C77448" w14:textId="2E10D5BE" w:rsidR="002B4F0C" w:rsidRPr="00A6552C" w:rsidRDefault="002B4F0C" w:rsidP="00B821D3">
      <w:pPr>
        <w:pStyle w:val="Tablenotes"/>
        <w:jc w:val="both"/>
        <w:rPr>
          <w:rStyle w:val="CommentReference"/>
          <w:sz w:val="18"/>
          <w:szCs w:val="20"/>
        </w:rPr>
      </w:pPr>
      <w:r w:rsidRPr="00A6552C">
        <w:rPr>
          <w:rStyle w:val="CommentReference"/>
          <w:sz w:val="18"/>
          <w:szCs w:val="20"/>
        </w:rPr>
        <w:t xml:space="preserve">Abbreviations: CM = conservative management; </w:t>
      </w:r>
      <w:r w:rsidR="00340883" w:rsidRPr="00A6552C">
        <w:rPr>
          <w:rStyle w:val="CommentReference"/>
          <w:sz w:val="18"/>
          <w:szCs w:val="20"/>
        </w:rPr>
        <w:t>FY = Financial year</w:t>
      </w:r>
      <w:r w:rsidRPr="00A6552C">
        <w:rPr>
          <w:rStyle w:val="CommentReference"/>
          <w:sz w:val="18"/>
          <w:szCs w:val="20"/>
        </w:rPr>
        <w:t xml:space="preserve">; MBS = Medical benefit scheme; MRI = Magnetic resonance imaging; </w:t>
      </w:r>
      <w:r w:rsidR="00340883" w:rsidRPr="00A6552C">
        <w:rPr>
          <w:rStyle w:val="CommentReference"/>
          <w:sz w:val="18"/>
          <w:szCs w:val="20"/>
        </w:rPr>
        <w:t xml:space="preserve">PHI = Private health insurance; </w:t>
      </w:r>
      <w:r w:rsidRPr="00A6552C">
        <w:rPr>
          <w:rStyle w:val="CommentReference"/>
          <w:sz w:val="18"/>
          <w:szCs w:val="20"/>
        </w:rPr>
        <w:t>RTSA = Reverse total shoulder arthroplasty.</w:t>
      </w:r>
    </w:p>
    <w:p w14:paraId="4C1F44DB" w14:textId="25001DEC" w:rsidR="00ED065D" w:rsidRPr="00A6552C" w:rsidRDefault="00ED065D" w:rsidP="00B821D3">
      <w:pPr>
        <w:pStyle w:val="Tablenotes"/>
        <w:jc w:val="both"/>
        <w:rPr>
          <w:rStyle w:val="CommentReference"/>
          <w:sz w:val="18"/>
          <w:szCs w:val="20"/>
        </w:rPr>
      </w:pPr>
      <w:r w:rsidRPr="00A6552C">
        <w:rPr>
          <w:rStyle w:val="CommentReference"/>
          <w:sz w:val="18"/>
          <w:szCs w:val="20"/>
        </w:rPr>
        <w:t xml:space="preserve">Notes: </w:t>
      </w:r>
      <w:r w:rsidR="00B821D3">
        <w:rPr>
          <w:rStyle w:val="CommentReference"/>
          <w:sz w:val="18"/>
          <w:szCs w:val="20"/>
        </w:rPr>
        <w:t>*</w:t>
      </w:r>
      <w:r w:rsidRPr="00A6552C">
        <w:rPr>
          <w:rStyle w:val="CommentReference"/>
          <w:sz w:val="18"/>
          <w:szCs w:val="20"/>
        </w:rPr>
        <w:t>Cost in Australian dollar millions</w:t>
      </w:r>
    </w:p>
    <w:p w14:paraId="03C4C6A7" w14:textId="10D4B0E1" w:rsidR="002B4F0C" w:rsidRDefault="002B4F0C" w:rsidP="003B4E46">
      <w:r>
        <w:t xml:space="preserve">The </w:t>
      </w:r>
      <w:r w:rsidR="00600185">
        <w:t>ADAR</w:t>
      </w:r>
      <w:r w:rsidR="00867444">
        <w:t xml:space="preserve"> </w:t>
      </w:r>
      <w:r>
        <w:t>also provided f</w:t>
      </w:r>
      <w:r w:rsidRPr="00D90688">
        <w:t>inancial implications of REGENETEN to patients</w:t>
      </w:r>
      <w:r w:rsidR="00C83DE8">
        <w:t>,</w:t>
      </w:r>
      <w:r>
        <w:t xml:space="preserve"> based on lower proportion of patients requiring revision rotator cuff tear repair, reverse total shoulder arthroplasty or remaining in conservative management in </w:t>
      </w:r>
      <w:r w:rsidR="00895086">
        <w:t>Population 2</w:t>
      </w:r>
      <w:r>
        <w:t xml:space="preserve">. The </w:t>
      </w:r>
      <w:r w:rsidR="00600185">
        <w:t>ADAR</w:t>
      </w:r>
      <w:r>
        <w:t xml:space="preserve"> claimed that the patients </w:t>
      </w:r>
      <w:r w:rsidR="00C83DE8">
        <w:t xml:space="preserve">were </w:t>
      </w:r>
      <w:r>
        <w:t>expected to save (in out-of-pocket costs) from $0.02</w:t>
      </w:r>
      <w:r w:rsidR="00E00AEC">
        <w:t xml:space="preserve"> </w:t>
      </w:r>
      <w:r w:rsidR="00E00AEC" w:rsidRPr="00E00AEC">
        <w:t>million</w:t>
      </w:r>
      <w:r>
        <w:t xml:space="preserve"> in </w:t>
      </w:r>
      <w:r w:rsidR="00C83DE8">
        <w:t xml:space="preserve">Year </w:t>
      </w:r>
      <w:r>
        <w:t>1 and $0.</w:t>
      </w:r>
      <w:r w:rsidR="006E5279">
        <w:t xml:space="preserve">21 </w:t>
      </w:r>
      <w:r w:rsidR="00E00AEC" w:rsidRPr="00E00AEC">
        <w:t>million</w:t>
      </w:r>
      <w:r>
        <w:t xml:space="preserve"> in </w:t>
      </w:r>
      <w:r w:rsidR="00C83DE8">
        <w:t xml:space="preserve">Year </w:t>
      </w:r>
      <w:r>
        <w:t>6, with a higher uptake of REGENETEN (</w:t>
      </w:r>
      <w:r w:rsidR="00C84466">
        <w:fldChar w:fldCharType="begin"/>
      </w:r>
      <w:r w:rsidR="00C84466">
        <w:instrText xml:space="preserve"> REF _Ref165558616 \h </w:instrText>
      </w:r>
      <w:r w:rsidR="00C84466">
        <w:fldChar w:fldCharType="separate"/>
      </w:r>
      <w:r w:rsidR="00D20FBE" w:rsidRPr="00CE28E3">
        <w:t>Table</w:t>
      </w:r>
      <w:r w:rsidR="00D20FBE">
        <w:t> </w:t>
      </w:r>
      <w:r w:rsidR="004647F0">
        <w:rPr>
          <w:noProof/>
        </w:rPr>
        <w:t>20</w:t>
      </w:r>
      <w:r w:rsidR="00C84466">
        <w:fldChar w:fldCharType="end"/>
      </w:r>
      <w:r>
        <w:t xml:space="preserve">). </w:t>
      </w:r>
    </w:p>
    <w:p w14:paraId="2F0595A3" w14:textId="1062DDF0" w:rsidR="002B4F0C" w:rsidRPr="00CE28E3" w:rsidRDefault="002B4F0C" w:rsidP="002B4F0C">
      <w:pPr>
        <w:pStyle w:val="Caption"/>
      </w:pPr>
      <w:bookmarkStart w:id="100" w:name="_Ref165558616"/>
      <w:r w:rsidRPr="00CE28E3">
        <w:t>Table</w:t>
      </w:r>
      <w:r>
        <w:t> </w:t>
      </w:r>
      <w:r>
        <w:fldChar w:fldCharType="begin"/>
      </w:r>
      <w:r>
        <w:instrText xml:space="preserve"> SEQ Table \* ARABIC </w:instrText>
      </w:r>
      <w:r>
        <w:fldChar w:fldCharType="separate"/>
      </w:r>
      <w:r w:rsidR="004647F0">
        <w:rPr>
          <w:noProof/>
        </w:rPr>
        <w:t>20</w:t>
      </w:r>
      <w:r>
        <w:rPr>
          <w:noProof/>
        </w:rPr>
        <w:fldChar w:fldCharType="end"/>
      </w:r>
      <w:bookmarkEnd w:id="100"/>
      <w:r>
        <w:rPr>
          <w:noProof/>
        </w:rPr>
        <w:t xml:space="preserve">: </w:t>
      </w:r>
      <w:r w:rsidRPr="00CE28E3">
        <w:t xml:space="preserve">Net financial implications of </w:t>
      </w:r>
      <w:r>
        <w:t>REGENETEN</w:t>
      </w:r>
      <w:r w:rsidRPr="00CE28E3">
        <w:t xml:space="preserve"> to the </w:t>
      </w:r>
      <w:r>
        <w:t>patients – savings in $</w:t>
      </w:r>
      <w:r w:rsidR="006E5279">
        <w:t>millions</w:t>
      </w:r>
      <w:r w:rsidR="009D381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992"/>
        <w:gridCol w:w="794"/>
        <w:gridCol w:w="795"/>
        <w:gridCol w:w="795"/>
        <w:gridCol w:w="794"/>
        <w:gridCol w:w="795"/>
        <w:gridCol w:w="795"/>
      </w:tblGrid>
      <w:tr w:rsidR="001411B8" w:rsidRPr="00CE28E3" w14:paraId="7C4E2D42" w14:textId="77777777" w:rsidTr="003B4E46">
        <w:trPr>
          <w:tblHeader/>
        </w:trPr>
        <w:tc>
          <w:tcPr>
            <w:tcW w:w="3256" w:type="dxa"/>
            <w:tcMar>
              <w:top w:w="0" w:type="dxa"/>
              <w:left w:w="108" w:type="dxa"/>
              <w:bottom w:w="0" w:type="dxa"/>
              <w:right w:w="108" w:type="dxa"/>
            </w:tcMar>
          </w:tcPr>
          <w:p w14:paraId="044A6510" w14:textId="77777777" w:rsidR="002B4F0C" w:rsidRPr="00CE28E3" w:rsidRDefault="002B4F0C" w:rsidP="0078185D">
            <w:pPr>
              <w:pStyle w:val="TableText"/>
              <w:keepNext/>
              <w:rPr>
                <w:b/>
                <w:bCs/>
              </w:rPr>
            </w:pPr>
            <w:r>
              <w:rPr>
                <w:b/>
                <w:bCs/>
              </w:rPr>
              <w:t xml:space="preserve">Parameter </w:t>
            </w:r>
          </w:p>
        </w:tc>
        <w:tc>
          <w:tcPr>
            <w:tcW w:w="992" w:type="dxa"/>
          </w:tcPr>
          <w:p w14:paraId="3513B7EF" w14:textId="77777777" w:rsidR="002B4F0C" w:rsidRPr="00CE28E3" w:rsidRDefault="002B4F0C" w:rsidP="0078185D">
            <w:pPr>
              <w:pStyle w:val="TableText"/>
              <w:keepNext/>
              <w:jc w:val="center"/>
              <w:rPr>
                <w:b/>
                <w:bCs/>
              </w:rPr>
            </w:pPr>
            <w:r>
              <w:rPr>
                <w:b/>
                <w:bCs/>
              </w:rPr>
              <w:t>Calculation</w:t>
            </w:r>
          </w:p>
        </w:tc>
        <w:tc>
          <w:tcPr>
            <w:tcW w:w="794" w:type="dxa"/>
            <w:tcMar>
              <w:top w:w="0" w:type="dxa"/>
              <w:left w:w="108" w:type="dxa"/>
              <w:bottom w:w="0" w:type="dxa"/>
              <w:right w:w="108" w:type="dxa"/>
            </w:tcMar>
            <w:hideMark/>
          </w:tcPr>
          <w:p w14:paraId="50840A3D" w14:textId="77777777" w:rsidR="002B4F0C" w:rsidRPr="00CE28E3" w:rsidRDefault="002B4F0C" w:rsidP="0078185D">
            <w:pPr>
              <w:pStyle w:val="TableText"/>
              <w:keepNext/>
              <w:jc w:val="center"/>
              <w:rPr>
                <w:b/>
                <w:bCs/>
              </w:rPr>
            </w:pPr>
            <w:r w:rsidRPr="00CE28E3">
              <w:rPr>
                <w:b/>
                <w:bCs/>
              </w:rPr>
              <w:t xml:space="preserve">Year </w:t>
            </w:r>
            <w:r>
              <w:rPr>
                <w:b/>
                <w:bCs/>
              </w:rPr>
              <w:t>1 2024</w:t>
            </w:r>
          </w:p>
        </w:tc>
        <w:tc>
          <w:tcPr>
            <w:tcW w:w="795" w:type="dxa"/>
            <w:tcMar>
              <w:top w:w="0" w:type="dxa"/>
              <w:left w:w="108" w:type="dxa"/>
              <w:bottom w:w="0" w:type="dxa"/>
              <w:right w:w="108" w:type="dxa"/>
            </w:tcMar>
            <w:hideMark/>
          </w:tcPr>
          <w:p w14:paraId="7489ABC3" w14:textId="77777777" w:rsidR="002B4F0C" w:rsidRPr="00CE28E3" w:rsidRDefault="002B4F0C" w:rsidP="0078185D">
            <w:pPr>
              <w:pStyle w:val="TableText"/>
              <w:keepNext/>
              <w:jc w:val="center"/>
              <w:rPr>
                <w:b/>
                <w:bCs/>
              </w:rPr>
            </w:pPr>
            <w:r w:rsidRPr="00CE28E3">
              <w:rPr>
                <w:b/>
                <w:bCs/>
              </w:rPr>
              <w:t xml:space="preserve">Year </w:t>
            </w:r>
            <w:r>
              <w:rPr>
                <w:b/>
                <w:bCs/>
              </w:rPr>
              <w:t>2 2025</w:t>
            </w:r>
          </w:p>
        </w:tc>
        <w:tc>
          <w:tcPr>
            <w:tcW w:w="795" w:type="dxa"/>
            <w:tcMar>
              <w:top w:w="0" w:type="dxa"/>
              <w:left w:w="108" w:type="dxa"/>
              <w:bottom w:w="0" w:type="dxa"/>
              <w:right w:w="108" w:type="dxa"/>
            </w:tcMar>
            <w:hideMark/>
          </w:tcPr>
          <w:p w14:paraId="608F3D5E" w14:textId="77777777" w:rsidR="002B4F0C" w:rsidRPr="00CE28E3" w:rsidRDefault="002B4F0C" w:rsidP="0078185D">
            <w:pPr>
              <w:pStyle w:val="TableText"/>
              <w:keepNext/>
              <w:jc w:val="center"/>
              <w:rPr>
                <w:b/>
                <w:bCs/>
              </w:rPr>
            </w:pPr>
            <w:r w:rsidRPr="00CE28E3">
              <w:rPr>
                <w:b/>
                <w:bCs/>
              </w:rPr>
              <w:t xml:space="preserve">Year </w:t>
            </w:r>
            <w:r>
              <w:rPr>
                <w:b/>
                <w:bCs/>
              </w:rPr>
              <w:t>3 2026</w:t>
            </w:r>
          </w:p>
        </w:tc>
        <w:tc>
          <w:tcPr>
            <w:tcW w:w="794" w:type="dxa"/>
            <w:tcMar>
              <w:top w:w="0" w:type="dxa"/>
              <w:left w:w="108" w:type="dxa"/>
              <w:bottom w:w="0" w:type="dxa"/>
              <w:right w:w="108" w:type="dxa"/>
            </w:tcMar>
            <w:hideMark/>
          </w:tcPr>
          <w:p w14:paraId="72321DC8" w14:textId="77777777" w:rsidR="002B4F0C" w:rsidRPr="00CE28E3" w:rsidRDefault="002B4F0C" w:rsidP="0078185D">
            <w:pPr>
              <w:pStyle w:val="TableText"/>
              <w:keepNext/>
              <w:jc w:val="center"/>
              <w:rPr>
                <w:b/>
                <w:bCs/>
              </w:rPr>
            </w:pPr>
            <w:r w:rsidRPr="00CE28E3">
              <w:rPr>
                <w:b/>
                <w:bCs/>
              </w:rPr>
              <w:t xml:space="preserve">Year </w:t>
            </w:r>
            <w:r>
              <w:rPr>
                <w:b/>
                <w:bCs/>
              </w:rPr>
              <w:t>4 2027</w:t>
            </w:r>
          </w:p>
        </w:tc>
        <w:tc>
          <w:tcPr>
            <w:tcW w:w="795" w:type="dxa"/>
            <w:tcMar>
              <w:top w:w="0" w:type="dxa"/>
              <w:left w:w="108" w:type="dxa"/>
              <w:bottom w:w="0" w:type="dxa"/>
              <w:right w:w="108" w:type="dxa"/>
            </w:tcMar>
            <w:hideMark/>
          </w:tcPr>
          <w:p w14:paraId="07AD6B4F" w14:textId="77777777" w:rsidR="002B4F0C" w:rsidRPr="00CE28E3" w:rsidRDefault="002B4F0C" w:rsidP="0078185D">
            <w:pPr>
              <w:pStyle w:val="TableText"/>
              <w:keepNext/>
              <w:jc w:val="center"/>
              <w:rPr>
                <w:b/>
                <w:bCs/>
              </w:rPr>
            </w:pPr>
            <w:r w:rsidRPr="00CE28E3">
              <w:rPr>
                <w:b/>
                <w:bCs/>
              </w:rPr>
              <w:t xml:space="preserve">Year </w:t>
            </w:r>
            <w:r>
              <w:rPr>
                <w:b/>
                <w:bCs/>
              </w:rPr>
              <w:t>5 2028</w:t>
            </w:r>
          </w:p>
        </w:tc>
        <w:tc>
          <w:tcPr>
            <w:tcW w:w="795" w:type="dxa"/>
            <w:tcMar>
              <w:top w:w="0" w:type="dxa"/>
              <w:left w:w="108" w:type="dxa"/>
              <w:bottom w:w="0" w:type="dxa"/>
              <w:right w:w="108" w:type="dxa"/>
            </w:tcMar>
            <w:hideMark/>
          </w:tcPr>
          <w:p w14:paraId="22FA6DAC" w14:textId="77777777" w:rsidR="002B4F0C" w:rsidRPr="00CE28E3" w:rsidRDefault="002B4F0C" w:rsidP="0078185D">
            <w:pPr>
              <w:pStyle w:val="TableText"/>
              <w:keepNext/>
              <w:jc w:val="center"/>
              <w:rPr>
                <w:b/>
                <w:bCs/>
              </w:rPr>
            </w:pPr>
            <w:r w:rsidRPr="00CE28E3">
              <w:rPr>
                <w:b/>
                <w:bCs/>
              </w:rPr>
              <w:t xml:space="preserve">Year </w:t>
            </w:r>
            <w:r>
              <w:rPr>
                <w:b/>
                <w:bCs/>
              </w:rPr>
              <w:t>6 2029</w:t>
            </w:r>
          </w:p>
        </w:tc>
      </w:tr>
      <w:tr w:rsidR="006414CA" w:rsidRPr="00CE28E3" w14:paraId="09EBD629" w14:textId="77777777" w:rsidTr="00240FC1">
        <w:tc>
          <w:tcPr>
            <w:tcW w:w="3256" w:type="dxa"/>
            <w:tcMar>
              <w:top w:w="0" w:type="dxa"/>
              <w:left w:w="108" w:type="dxa"/>
              <w:bottom w:w="0" w:type="dxa"/>
              <w:right w:w="108" w:type="dxa"/>
            </w:tcMar>
          </w:tcPr>
          <w:p w14:paraId="5E2B2BA5" w14:textId="77777777" w:rsidR="006414CA" w:rsidRPr="00CE28E3" w:rsidRDefault="006414CA" w:rsidP="006414CA">
            <w:pPr>
              <w:pStyle w:val="TableText"/>
              <w:keepNext/>
            </w:pPr>
            <w:r w:rsidRPr="00F118EE">
              <w:t>Estimated utilisation of REGENETEN</w:t>
            </w:r>
          </w:p>
        </w:tc>
        <w:tc>
          <w:tcPr>
            <w:tcW w:w="992" w:type="dxa"/>
            <w:vAlign w:val="center"/>
          </w:tcPr>
          <w:p w14:paraId="39363DB8" w14:textId="77777777" w:rsidR="006414CA" w:rsidRPr="00CE28E3" w:rsidRDefault="006414CA" w:rsidP="006414CA">
            <w:pPr>
              <w:pStyle w:val="TableText"/>
              <w:keepNext/>
              <w:jc w:val="center"/>
            </w:pPr>
            <w:r>
              <w:t>A</w:t>
            </w:r>
          </w:p>
        </w:tc>
        <w:tc>
          <w:tcPr>
            <w:tcW w:w="794" w:type="dxa"/>
            <w:tcMar>
              <w:top w:w="0" w:type="dxa"/>
              <w:left w:w="108" w:type="dxa"/>
              <w:bottom w:w="0" w:type="dxa"/>
              <w:right w:w="108" w:type="dxa"/>
            </w:tcMar>
          </w:tcPr>
          <w:p w14:paraId="70EAA172" w14:textId="5B9C7100"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744077F0" w14:textId="1BA7E455"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6846372F" w14:textId="12EF4C13"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4" w:type="dxa"/>
            <w:tcMar>
              <w:top w:w="0" w:type="dxa"/>
              <w:left w:w="108" w:type="dxa"/>
              <w:bottom w:w="0" w:type="dxa"/>
              <w:right w:w="108" w:type="dxa"/>
            </w:tcMar>
          </w:tcPr>
          <w:p w14:paraId="68BFEFCC" w14:textId="01463B6A"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265F4A44" w14:textId="7E62020F"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30B0CE6C" w14:textId="10F5EE44"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r>
      <w:tr w:rsidR="006414CA" w:rsidRPr="00CE28E3" w14:paraId="06A27C62" w14:textId="77777777" w:rsidTr="00240FC1">
        <w:tc>
          <w:tcPr>
            <w:tcW w:w="3256" w:type="dxa"/>
            <w:tcMar>
              <w:top w:w="0" w:type="dxa"/>
              <w:left w:w="108" w:type="dxa"/>
              <w:bottom w:w="0" w:type="dxa"/>
              <w:right w:w="108" w:type="dxa"/>
            </w:tcMar>
          </w:tcPr>
          <w:p w14:paraId="37839CF7" w14:textId="72958EB0" w:rsidR="006414CA" w:rsidRPr="00CE28E3" w:rsidRDefault="006414CA" w:rsidP="006414CA">
            <w:pPr>
              <w:pStyle w:val="TableText"/>
              <w:keepNext/>
            </w:pPr>
            <w:r w:rsidRPr="00F118EE">
              <w:t xml:space="preserve">Estimated utilisation of REGENETEN in </w:t>
            </w:r>
            <w:r>
              <w:t>Population 2</w:t>
            </w:r>
            <w:r w:rsidRPr="00F118EE">
              <w:t xml:space="preserve"> (FT</w:t>
            </w:r>
            <w:r>
              <w:t>RCT</w:t>
            </w:r>
            <w:r w:rsidRPr="00F118EE">
              <w:t>)</w:t>
            </w:r>
          </w:p>
        </w:tc>
        <w:tc>
          <w:tcPr>
            <w:tcW w:w="992" w:type="dxa"/>
            <w:vAlign w:val="center"/>
          </w:tcPr>
          <w:p w14:paraId="4F2980CD" w14:textId="28479DCB" w:rsidR="006414CA" w:rsidRPr="00CE28E3" w:rsidRDefault="006414CA" w:rsidP="006414CA">
            <w:pPr>
              <w:pStyle w:val="TableText"/>
              <w:keepNext/>
              <w:jc w:val="center"/>
            </w:pPr>
            <w:r w:rsidRPr="0011666E">
              <w:t>B = A×61%</w:t>
            </w:r>
          </w:p>
        </w:tc>
        <w:tc>
          <w:tcPr>
            <w:tcW w:w="794" w:type="dxa"/>
            <w:tcMar>
              <w:top w:w="0" w:type="dxa"/>
              <w:left w:w="108" w:type="dxa"/>
              <w:bottom w:w="0" w:type="dxa"/>
              <w:right w:w="108" w:type="dxa"/>
            </w:tcMar>
          </w:tcPr>
          <w:p w14:paraId="063F26D9" w14:textId="45C26C9C"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3FC1F54D" w14:textId="4ECD8891"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0EEC53BB" w14:textId="3DFD1218"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4" w:type="dxa"/>
            <w:tcMar>
              <w:top w:w="0" w:type="dxa"/>
              <w:left w:w="108" w:type="dxa"/>
              <w:bottom w:w="0" w:type="dxa"/>
              <w:right w:w="108" w:type="dxa"/>
            </w:tcMar>
          </w:tcPr>
          <w:p w14:paraId="1B54EEB9" w14:textId="30AC0061"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2456F51E" w14:textId="51976506"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3706456F" w14:textId="380B8493"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r>
      <w:tr w:rsidR="002B4F0C" w:rsidRPr="00CE28E3" w14:paraId="3466BD58" w14:textId="77777777" w:rsidTr="00B821D3">
        <w:tc>
          <w:tcPr>
            <w:tcW w:w="9016" w:type="dxa"/>
            <w:gridSpan w:val="8"/>
            <w:tcMar>
              <w:top w:w="0" w:type="dxa"/>
              <w:left w:w="108" w:type="dxa"/>
              <w:bottom w:w="0" w:type="dxa"/>
              <w:right w:w="108" w:type="dxa"/>
            </w:tcMar>
            <w:vAlign w:val="center"/>
          </w:tcPr>
          <w:p w14:paraId="228A72E7" w14:textId="6E8FFBC2" w:rsidR="002B4F0C" w:rsidRPr="00CE28E3" w:rsidRDefault="002B4F0C" w:rsidP="00623E2D">
            <w:pPr>
              <w:pStyle w:val="TableText"/>
              <w:keepNext/>
            </w:pPr>
            <w:r w:rsidRPr="00CD76DA">
              <w:rPr>
                <w:b/>
                <w:bCs/>
              </w:rPr>
              <w:t xml:space="preserve">Revision of </w:t>
            </w:r>
            <w:r w:rsidR="00340883">
              <w:rPr>
                <w:b/>
                <w:bCs/>
              </w:rPr>
              <w:t>rotator cuff repair</w:t>
            </w:r>
          </w:p>
        </w:tc>
      </w:tr>
      <w:tr w:rsidR="006414CA" w:rsidRPr="00CE28E3" w14:paraId="60CB1001" w14:textId="77777777" w:rsidTr="00240FC1">
        <w:tc>
          <w:tcPr>
            <w:tcW w:w="3256" w:type="dxa"/>
            <w:tcMar>
              <w:top w:w="0" w:type="dxa"/>
              <w:left w:w="108" w:type="dxa"/>
              <w:bottom w:w="0" w:type="dxa"/>
              <w:right w:w="108" w:type="dxa"/>
            </w:tcMar>
          </w:tcPr>
          <w:p w14:paraId="0B1997A3" w14:textId="6E5AE959" w:rsidR="006414CA" w:rsidRPr="00CE28E3" w:rsidRDefault="006414CA" w:rsidP="006414CA">
            <w:pPr>
              <w:pStyle w:val="TableText"/>
              <w:keepNext/>
            </w:pPr>
            <w:r w:rsidRPr="005F7F11">
              <w:t xml:space="preserve">Estimated cost offset to </w:t>
            </w:r>
            <w:r w:rsidR="00024208">
              <w:t>patients</w:t>
            </w:r>
            <w:r w:rsidR="00D34A87">
              <w:t xml:space="preserve"> from avoid</w:t>
            </w:r>
            <w:r w:rsidRPr="005F7F11">
              <w:t xml:space="preserve"> revision surgery</w:t>
            </w:r>
            <w:r>
              <w:t>*</w:t>
            </w:r>
          </w:p>
        </w:tc>
        <w:tc>
          <w:tcPr>
            <w:tcW w:w="992" w:type="dxa"/>
            <w:vAlign w:val="center"/>
          </w:tcPr>
          <w:p w14:paraId="2A70D576" w14:textId="3E6C840C" w:rsidR="006414CA" w:rsidRDefault="006414CA" w:rsidP="006414CA">
            <w:pPr>
              <w:pStyle w:val="TableText"/>
              <w:keepNext/>
              <w:jc w:val="center"/>
            </w:pPr>
            <w:r w:rsidRPr="008B5F6A">
              <w:t xml:space="preserve"> C</w:t>
            </w:r>
            <w:r>
              <w:t xml:space="preserve"> = </w:t>
            </w:r>
            <w:r w:rsidRPr="008B5F6A">
              <w:t>B×4.4%×</w:t>
            </w:r>
          </w:p>
          <w:p w14:paraId="6FDAF206" w14:textId="69DEA812" w:rsidR="006414CA" w:rsidRPr="00CE28E3" w:rsidRDefault="006414CA" w:rsidP="006414CA">
            <w:pPr>
              <w:pStyle w:val="TableText"/>
              <w:keepNext/>
              <w:jc w:val="center"/>
            </w:pPr>
            <w:r w:rsidRPr="008B5F6A">
              <w:t>$1,538</w:t>
            </w:r>
          </w:p>
        </w:tc>
        <w:tc>
          <w:tcPr>
            <w:tcW w:w="794" w:type="dxa"/>
            <w:tcMar>
              <w:top w:w="0" w:type="dxa"/>
              <w:left w:w="108" w:type="dxa"/>
              <w:bottom w:w="0" w:type="dxa"/>
              <w:right w:w="108" w:type="dxa"/>
            </w:tcMar>
          </w:tcPr>
          <w:p w14:paraId="3D83B7A8" w14:textId="2CE9DCBC"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01297C08" w14:textId="22C5F044"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2F87E3C6" w14:textId="1E9F1D9F"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4" w:type="dxa"/>
            <w:tcMar>
              <w:top w:w="0" w:type="dxa"/>
              <w:left w:w="108" w:type="dxa"/>
              <w:bottom w:w="0" w:type="dxa"/>
              <w:right w:w="108" w:type="dxa"/>
            </w:tcMar>
          </w:tcPr>
          <w:p w14:paraId="0B39E47F" w14:textId="59402A16"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46FF98A4" w14:textId="0D9B7938"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568FAC1F" w14:textId="20860A0D"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r>
      <w:tr w:rsidR="002B4F0C" w:rsidRPr="00CE28E3" w14:paraId="39B94DC9" w14:textId="77777777" w:rsidTr="00B821D3">
        <w:tc>
          <w:tcPr>
            <w:tcW w:w="9016" w:type="dxa"/>
            <w:gridSpan w:val="8"/>
            <w:vAlign w:val="center"/>
          </w:tcPr>
          <w:p w14:paraId="6931E208" w14:textId="00614B1A" w:rsidR="002B4F0C" w:rsidRPr="00CD76DA" w:rsidRDefault="002B4F0C" w:rsidP="00623E2D">
            <w:pPr>
              <w:pStyle w:val="TableText"/>
              <w:keepNext/>
              <w:rPr>
                <w:b/>
                <w:bCs/>
              </w:rPr>
            </w:pPr>
            <w:r w:rsidRPr="00CD76DA">
              <w:rPr>
                <w:b/>
                <w:bCs/>
              </w:rPr>
              <w:t>Reverse total shoulder arthroplasty (RTSA)</w:t>
            </w:r>
          </w:p>
        </w:tc>
      </w:tr>
      <w:tr w:rsidR="006414CA" w:rsidRPr="00CE28E3" w14:paraId="22D1032A" w14:textId="77777777" w:rsidTr="00240FC1">
        <w:tc>
          <w:tcPr>
            <w:tcW w:w="3256" w:type="dxa"/>
            <w:tcMar>
              <w:top w:w="0" w:type="dxa"/>
              <w:left w:w="108" w:type="dxa"/>
              <w:bottom w:w="0" w:type="dxa"/>
              <w:right w:w="108" w:type="dxa"/>
            </w:tcMar>
          </w:tcPr>
          <w:p w14:paraId="21E20086" w14:textId="625F7A28" w:rsidR="006414CA" w:rsidRPr="00CE28E3" w:rsidRDefault="006414CA" w:rsidP="006414CA">
            <w:pPr>
              <w:pStyle w:val="TableText"/>
              <w:keepNext/>
            </w:pPr>
            <w:r w:rsidRPr="00235AF9">
              <w:t>Estimated cost offset to</w:t>
            </w:r>
            <w:r w:rsidR="00392564">
              <w:t xml:space="preserve"> patients from avoided</w:t>
            </w:r>
            <w:r w:rsidRPr="00235AF9">
              <w:t xml:space="preserve"> RTSA</w:t>
            </w:r>
            <w:r>
              <w:t>*</w:t>
            </w:r>
          </w:p>
        </w:tc>
        <w:tc>
          <w:tcPr>
            <w:tcW w:w="992" w:type="dxa"/>
            <w:vAlign w:val="center"/>
          </w:tcPr>
          <w:p w14:paraId="763AEAC5" w14:textId="1A10EE0F" w:rsidR="006414CA" w:rsidRPr="00CE28E3" w:rsidRDefault="006414CA" w:rsidP="006414CA">
            <w:pPr>
              <w:pStyle w:val="TableText"/>
              <w:keepNext/>
              <w:jc w:val="center"/>
            </w:pPr>
            <w:r>
              <w:t>D</w:t>
            </w:r>
            <w:r w:rsidRPr="00C67810">
              <w:t xml:space="preserve"> = </w:t>
            </w:r>
            <w:r w:rsidRPr="00E72124">
              <w:t>B</w:t>
            </w:r>
            <w:r w:rsidRPr="00C67810">
              <w:t>×0.7%×</w:t>
            </w:r>
            <w:r>
              <w:t xml:space="preserve"> </w:t>
            </w:r>
            <w:r w:rsidRPr="00C67810">
              <w:t>$784</w:t>
            </w:r>
          </w:p>
        </w:tc>
        <w:tc>
          <w:tcPr>
            <w:tcW w:w="794" w:type="dxa"/>
            <w:tcMar>
              <w:top w:w="0" w:type="dxa"/>
              <w:left w:w="108" w:type="dxa"/>
              <w:bottom w:w="0" w:type="dxa"/>
              <w:right w:w="108" w:type="dxa"/>
            </w:tcMar>
          </w:tcPr>
          <w:p w14:paraId="4D4D7C74" w14:textId="513C4ABF"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30AC55C5" w14:textId="110C59CE"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5E63220F" w14:textId="21DDF434"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4" w:type="dxa"/>
            <w:tcMar>
              <w:top w:w="0" w:type="dxa"/>
              <w:left w:w="108" w:type="dxa"/>
              <w:bottom w:w="0" w:type="dxa"/>
              <w:right w:w="108" w:type="dxa"/>
            </w:tcMar>
          </w:tcPr>
          <w:p w14:paraId="1C1E7BD5" w14:textId="5AEE237D"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588160CF" w14:textId="7CD45FE1"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766BDB82" w14:textId="7A6F2309" w:rsidR="006414CA" w:rsidRPr="00123940" w:rsidRDefault="006414CA" w:rsidP="006414CA">
            <w:pPr>
              <w:pStyle w:val="TableText"/>
              <w:keepNext/>
              <w:jc w:val="center"/>
              <w:rPr>
                <w:sz w:val="16"/>
                <w:szCs w:val="18"/>
              </w:rPr>
            </w:pPr>
            <w:r w:rsidRPr="00123940">
              <w:rPr>
                <w:b/>
                <w:bCs/>
                <w:sz w:val="16"/>
                <w:szCs w:val="18"/>
              </w:rPr>
              <w:t>redacted</w:t>
            </w:r>
            <w:r w:rsidRPr="00123940">
              <w:rPr>
                <w:sz w:val="16"/>
                <w:szCs w:val="18"/>
              </w:rPr>
              <w:t xml:space="preserve"> </w:t>
            </w:r>
          </w:p>
        </w:tc>
      </w:tr>
      <w:tr w:rsidR="002B4F0C" w:rsidRPr="00CE28E3" w14:paraId="26129397" w14:textId="77777777" w:rsidTr="00B821D3">
        <w:tc>
          <w:tcPr>
            <w:tcW w:w="9016" w:type="dxa"/>
            <w:gridSpan w:val="8"/>
            <w:tcMar>
              <w:top w:w="0" w:type="dxa"/>
              <w:left w:w="108" w:type="dxa"/>
              <w:bottom w:w="0" w:type="dxa"/>
              <w:right w:w="108" w:type="dxa"/>
            </w:tcMar>
            <w:vAlign w:val="center"/>
          </w:tcPr>
          <w:p w14:paraId="47731C54" w14:textId="77777777" w:rsidR="002B4F0C" w:rsidRPr="00CD76DA" w:rsidRDefault="002B4F0C" w:rsidP="00623E2D">
            <w:pPr>
              <w:pStyle w:val="TableText"/>
              <w:keepNext/>
              <w:rPr>
                <w:b/>
                <w:bCs/>
              </w:rPr>
            </w:pPr>
            <w:r w:rsidRPr="00CD76DA">
              <w:rPr>
                <w:b/>
                <w:bCs/>
              </w:rPr>
              <w:t>Conservative management – CM (first year)</w:t>
            </w:r>
          </w:p>
        </w:tc>
      </w:tr>
      <w:tr w:rsidR="006414CA" w:rsidRPr="00CE28E3" w14:paraId="076E13D7" w14:textId="77777777" w:rsidTr="00240FC1">
        <w:tc>
          <w:tcPr>
            <w:tcW w:w="3256" w:type="dxa"/>
            <w:tcMar>
              <w:top w:w="0" w:type="dxa"/>
              <w:left w:w="108" w:type="dxa"/>
              <w:bottom w:w="0" w:type="dxa"/>
              <w:right w:w="108" w:type="dxa"/>
            </w:tcMar>
          </w:tcPr>
          <w:p w14:paraId="73124329" w14:textId="771F8486" w:rsidR="006414CA" w:rsidRPr="00CE28E3" w:rsidRDefault="006414CA" w:rsidP="006414CA">
            <w:pPr>
              <w:pStyle w:val="TableText"/>
              <w:keepNext/>
              <w:rPr>
                <w:b/>
                <w:bCs/>
              </w:rPr>
            </w:pPr>
            <w:r w:rsidRPr="004B2071">
              <w:t xml:space="preserve">Estimated cost offset to patients (out-of-pocket) </w:t>
            </w:r>
            <w:r w:rsidR="00392564">
              <w:t xml:space="preserve">from reduced </w:t>
            </w:r>
            <w:r w:rsidRPr="004B2071">
              <w:t>CM (corticosteroid injections) - first year</w:t>
            </w:r>
            <w:r>
              <w:t>*</w:t>
            </w:r>
          </w:p>
        </w:tc>
        <w:tc>
          <w:tcPr>
            <w:tcW w:w="992" w:type="dxa"/>
            <w:vAlign w:val="center"/>
          </w:tcPr>
          <w:p w14:paraId="1EA76D43" w14:textId="0CCCE529" w:rsidR="006414CA" w:rsidRPr="0011666E" w:rsidRDefault="006414CA" w:rsidP="006414CA">
            <w:pPr>
              <w:pStyle w:val="TableText"/>
              <w:keepNext/>
              <w:jc w:val="center"/>
            </w:pPr>
            <w:r>
              <w:t>E</w:t>
            </w:r>
            <w:r w:rsidRPr="0082571B">
              <w:t xml:space="preserve"> = B×12.4%×</w:t>
            </w:r>
            <w:r>
              <w:t xml:space="preserve"> </w:t>
            </w:r>
            <w:r w:rsidRPr="0082571B">
              <w:t>$390</w:t>
            </w:r>
          </w:p>
        </w:tc>
        <w:tc>
          <w:tcPr>
            <w:tcW w:w="794" w:type="dxa"/>
            <w:shd w:val="clear" w:color="auto" w:fill="auto"/>
            <w:tcMar>
              <w:top w:w="0" w:type="dxa"/>
              <w:left w:w="108" w:type="dxa"/>
              <w:bottom w:w="0" w:type="dxa"/>
              <w:right w:w="108" w:type="dxa"/>
            </w:tcMar>
          </w:tcPr>
          <w:p w14:paraId="18177670" w14:textId="14A00A7B"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795" w:type="dxa"/>
            <w:shd w:val="clear" w:color="auto" w:fill="auto"/>
            <w:tcMar>
              <w:top w:w="0" w:type="dxa"/>
              <w:left w:w="108" w:type="dxa"/>
              <w:bottom w:w="0" w:type="dxa"/>
              <w:right w:w="108" w:type="dxa"/>
            </w:tcMar>
          </w:tcPr>
          <w:p w14:paraId="57276B05" w14:textId="5ABECE0C"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795" w:type="dxa"/>
            <w:shd w:val="clear" w:color="auto" w:fill="auto"/>
            <w:tcMar>
              <w:top w:w="0" w:type="dxa"/>
              <w:left w:w="108" w:type="dxa"/>
              <w:bottom w:w="0" w:type="dxa"/>
              <w:right w:w="108" w:type="dxa"/>
            </w:tcMar>
          </w:tcPr>
          <w:p w14:paraId="1E4191D5" w14:textId="64F3997E"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794" w:type="dxa"/>
            <w:shd w:val="clear" w:color="auto" w:fill="auto"/>
            <w:tcMar>
              <w:top w:w="0" w:type="dxa"/>
              <w:left w:w="108" w:type="dxa"/>
              <w:bottom w:w="0" w:type="dxa"/>
              <w:right w:w="108" w:type="dxa"/>
            </w:tcMar>
          </w:tcPr>
          <w:p w14:paraId="54846B40" w14:textId="70546FA1"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795" w:type="dxa"/>
            <w:shd w:val="clear" w:color="auto" w:fill="auto"/>
            <w:tcMar>
              <w:top w:w="0" w:type="dxa"/>
              <w:left w:w="108" w:type="dxa"/>
              <w:bottom w:w="0" w:type="dxa"/>
              <w:right w:w="108" w:type="dxa"/>
            </w:tcMar>
          </w:tcPr>
          <w:p w14:paraId="77134C0A" w14:textId="724B732A"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c>
          <w:tcPr>
            <w:tcW w:w="795" w:type="dxa"/>
            <w:shd w:val="clear" w:color="auto" w:fill="auto"/>
            <w:tcMar>
              <w:top w:w="0" w:type="dxa"/>
              <w:left w:w="108" w:type="dxa"/>
              <w:bottom w:w="0" w:type="dxa"/>
              <w:right w:w="108" w:type="dxa"/>
            </w:tcMar>
          </w:tcPr>
          <w:p w14:paraId="3A591B03" w14:textId="538DFFE1" w:rsidR="006414CA" w:rsidRPr="00123940" w:rsidRDefault="006414CA" w:rsidP="006414CA">
            <w:pPr>
              <w:pStyle w:val="TableText"/>
              <w:jc w:val="center"/>
              <w:rPr>
                <w:sz w:val="16"/>
                <w:szCs w:val="18"/>
              </w:rPr>
            </w:pPr>
            <w:r w:rsidRPr="00123940">
              <w:rPr>
                <w:b/>
                <w:bCs/>
                <w:sz w:val="16"/>
                <w:szCs w:val="18"/>
              </w:rPr>
              <w:t>redacted</w:t>
            </w:r>
            <w:r w:rsidRPr="00123940">
              <w:rPr>
                <w:sz w:val="16"/>
                <w:szCs w:val="18"/>
              </w:rPr>
              <w:t xml:space="preserve"> </w:t>
            </w:r>
          </w:p>
        </w:tc>
      </w:tr>
      <w:tr w:rsidR="002B4F0C" w:rsidRPr="00CE28E3" w14:paraId="6CC4848C" w14:textId="77777777" w:rsidTr="00B821D3">
        <w:tc>
          <w:tcPr>
            <w:tcW w:w="9016" w:type="dxa"/>
            <w:gridSpan w:val="8"/>
            <w:tcMar>
              <w:top w:w="0" w:type="dxa"/>
              <w:left w:w="108" w:type="dxa"/>
              <w:bottom w:w="0" w:type="dxa"/>
              <w:right w:w="108" w:type="dxa"/>
            </w:tcMar>
            <w:vAlign w:val="center"/>
          </w:tcPr>
          <w:p w14:paraId="24FBD91A" w14:textId="77777777" w:rsidR="002B4F0C" w:rsidRPr="00CE28E3" w:rsidRDefault="002B4F0C" w:rsidP="00623E2D">
            <w:pPr>
              <w:pStyle w:val="TableText"/>
              <w:keepNext/>
              <w:rPr>
                <w:b/>
                <w:bCs/>
              </w:rPr>
            </w:pPr>
            <w:r w:rsidRPr="002B2331">
              <w:rPr>
                <w:b/>
                <w:bCs/>
              </w:rPr>
              <w:t>Conservative management – CM (second year)</w:t>
            </w:r>
          </w:p>
        </w:tc>
      </w:tr>
      <w:tr w:rsidR="006414CA" w:rsidRPr="00CE28E3" w14:paraId="0628B5AB" w14:textId="77777777" w:rsidTr="00240FC1">
        <w:tc>
          <w:tcPr>
            <w:tcW w:w="3256" w:type="dxa"/>
            <w:tcMar>
              <w:top w:w="0" w:type="dxa"/>
              <w:left w:w="108" w:type="dxa"/>
              <w:bottom w:w="0" w:type="dxa"/>
              <w:right w:w="108" w:type="dxa"/>
            </w:tcMar>
          </w:tcPr>
          <w:p w14:paraId="4A1DE159" w14:textId="253C914E" w:rsidR="006414CA" w:rsidRPr="00CE28E3" w:rsidRDefault="006414CA" w:rsidP="006414CA">
            <w:pPr>
              <w:pStyle w:val="TableText"/>
              <w:keepNext/>
              <w:rPr>
                <w:b/>
                <w:bCs/>
              </w:rPr>
            </w:pPr>
            <w:r w:rsidRPr="00894D0F">
              <w:t>Estimated utilisation of REGENETEN in the second year</w:t>
            </w:r>
          </w:p>
        </w:tc>
        <w:tc>
          <w:tcPr>
            <w:tcW w:w="992" w:type="dxa"/>
            <w:vAlign w:val="center"/>
          </w:tcPr>
          <w:p w14:paraId="775B0226" w14:textId="72A29549" w:rsidR="006414CA" w:rsidRPr="0011666E" w:rsidRDefault="006414CA" w:rsidP="006414CA">
            <w:pPr>
              <w:pStyle w:val="TableText"/>
              <w:keepNext/>
              <w:jc w:val="center"/>
            </w:pPr>
            <w:r>
              <w:t>F</w:t>
            </w:r>
          </w:p>
        </w:tc>
        <w:tc>
          <w:tcPr>
            <w:tcW w:w="794" w:type="dxa"/>
            <w:tcMar>
              <w:top w:w="0" w:type="dxa"/>
              <w:left w:w="108" w:type="dxa"/>
              <w:bottom w:w="0" w:type="dxa"/>
              <w:right w:w="108" w:type="dxa"/>
            </w:tcMar>
          </w:tcPr>
          <w:p w14:paraId="796E5E71" w14:textId="099E2AB1"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1A2A11F5" w14:textId="13D87483"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5AFFB60D" w14:textId="71FA7F82"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4" w:type="dxa"/>
            <w:tcMar>
              <w:top w:w="0" w:type="dxa"/>
              <w:left w:w="108" w:type="dxa"/>
              <w:bottom w:w="0" w:type="dxa"/>
              <w:right w:w="108" w:type="dxa"/>
            </w:tcMar>
          </w:tcPr>
          <w:p w14:paraId="1EF7E698" w14:textId="31FA87BA"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27560ED7" w14:textId="7335BAD1"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2B841BBC" w14:textId="6F4CD25E"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r>
      <w:tr w:rsidR="006414CA" w:rsidRPr="00CE28E3" w14:paraId="0E0D388D" w14:textId="77777777" w:rsidTr="00240FC1">
        <w:tc>
          <w:tcPr>
            <w:tcW w:w="3256" w:type="dxa"/>
            <w:tcMar>
              <w:top w:w="0" w:type="dxa"/>
              <w:left w:w="108" w:type="dxa"/>
              <w:bottom w:w="0" w:type="dxa"/>
              <w:right w:w="108" w:type="dxa"/>
            </w:tcMar>
          </w:tcPr>
          <w:p w14:paraId="673FC87B" w14:textId="14573B7E" w:rsidR="006414CA" w:rsidRPr="00CE28E3" w:rsidRDefault="006414CA" w:rsidP="006414CA">
            <w:pPr>
              <w:pStyle w:val="TableText"/>
              <w:keepNext/>
              <w:rPr>
                <w:b/>
                <w:bCs/>
              </w:rPr>
            </w:pPr>
            <w:r w:rsidRPr="00894D0F">
              <w:t xml:space="preserve">Estimated cost offset to patients (out-of-pocket) </w:t>
            </w:r>
            <w:r w:rsidR="00392564">
              <w:t xml:space="preserve">from reduced </w:t>
            </w:r>
            <w:r w:rsidRPr="00894D0F">
              <w:t>CM (corticosteroid injections) - second year</w:t>
            </w:r>
            <w:r>
              <w:t>*</w:t>
            </w:r>
          </w:p>
        </w:tc>
        <w:tc>
          <w:tcPr>
            <w:tcW w:w="992" w:type="dxa"/>
            <w:vAlign w:val="center"/>
          </w:tcPr>
          <w:p w14:paraId="14FB0B0D" w14:textId="4014BF83" w:rsidR="006414CA" w:rsidRPr="0011666E" w:rsidRDefault="006414CA" w:rsidP="006414CA">
            <w:pPr>
              <w:pStyle w:val="TableText"/>
              <w:keepNext/>
              <w:jc w:val="center"/>
            </w:pPr>
            <w:r>
              <w:t>G</w:t>
            </w:r>
            <w:r w:rsidRPr="004B7A86">
              <w:t xml:space="preserve"> =</w:t>
            </w:r>
            <w:r>
              <w:t>F</w:t>
            </w:r>
            <w:r w:rsidRPr="004B7A86">
              <w:t>×14.2%×</w:t>
            </w:r>
            <w:r>
              <w:t xml:space="preserve"> </w:t>
            </w:r>
            <w:r w:rsidRPr="004B7A86">
              <w:t>$390</w:t>
            </w:r>
          </w:p>
        </w:tc>
        <w:tc>
          <w:tcPr>
            <w:tcW w:w="794" w:type="dxa"/>
            <w:tcMar>
              <w:top w:w="0" w:type="dxa"/>
              <w:left w:w="108" w:type="dxa"/>
              <w:bottom w:w="0" w:type="dxa"/>
              <w:right w:w="108" w:type="dxa"/>
            </w:tcMar>
          </w:tcPr>
          <w:p w14:paraId="7DE3A891" w14:textId="7703EBEA"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21C6C162" w14:textId="6C7E5C5A"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60F58612" w14:textId="46A9DBB6"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4" w:type="dxa"/>
            <w:tcMar>
              <w:top w:w="0" w:type="dxa"/>
              <w:left w:w="108" w:type="dxa"/>
              <w:bottom w:w="0" w:type="dxa"/>
              <w:right w:w="108" w:type="dxa"/>
            </w:tcMar>
          </w:tcPr>
          <w:p w14:paraId="46254697" w14:textId="7D5EA80F"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1F11F7D5" w14:textId="33624A93"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c>
          <w:tcPr>
            <w:tcW w:w="795" w:type="dxa"/>
            <w:tcMar>
              <w:top w:w="0" w:type="dxa"/>
              <w:left w:w="108" w:type="dxa"/>
              <w:bottom w:w="0" w:type="dxa"/>
              <w:right w:w="108" w:type="dxa"/>
            </w:tcMar>
          </w:tcPr>
          <w:p w14:paraId="0F5D6C37" w14:textId="5CD3BE72" w:rsidR="006414CA" w:rsidRPr="00123940" w:rsidRDefault="006414CA" w:rsidP="006414CA">
            <w:pPr>
              <w:pStyle w:val="TableText"/>
              <w:keepNext/>
              <w:jc w:val="center"/>
              <w:rPr>
                <w:b/>
                <w:bCs/>
                <w:sz w:val="16"/>
                <w:szCs w:val="18"/>
              </w:rPr>
            </w:pPr>
            <w:r w:rsidRPr="00123940">
              <w:rPr>
                <w:b/>
                <w:bCs/>
                <w:sz w:val="16"/>
                <w:szCs w:val="18"/>
              </w:rPr>
              <w:t>redacted</w:t>
            </w:r>
            <w:r w:rsidRPr="00123940">
              <w:rPr>
                <w:sz w:val="16"/>
                <w:szCs w:val="18"/>
              </w:rPr>
              <w:t xml:space="preserve"> </w:t>
            </w:r>
          </w:p>
        </w:tc>
      </w:tr>
      <w:tr w:rsidR="006414CA" w:rsidRPr="00CE28E3" w14:paraId="34D6AD9D" w14:textId="77777777" w:rsidTr="00240FC1">
        <w:tc>
          <w:tcPr>
            <w:tcW w:w="3256" w:type="dxa"/>
            <w:tcMar>
              <w:top w:w="0" w:type="dxa"/>
              <w:left w:w="108" w:type="dxa"/>
              <w:bottom w:w="0" w:type="dxa"/>
              <w:right w:w="108" w:type="dxa"/>
            </w:tcMar>
          </w:tcPr>
          <w:p w14:paraId="2C3F2009" w14:textId="33A42190" w:rsidR="006414CA" w:rsidRPr="00CE28E3" w:rsidRDefault="006414CA" w:rsidP="006414CA">
            <w:pPr>
              <w:pStyle w:val="TableText"/>
              <w:keepNext/>
              <w:rPr>
                <w:b/>
                <w:bCs/>
              </w:rPr>
            </w:pPr>
            <w:r w:rsidRPr="002B2331">
              <w:rPr>
                <w:b/>
                <w:bCs/>
              </w:rPr>
              <w:t>Total savings to patients when using REGENETEN</w:t>
            </w:r>
            <w:r>
              <w:rPr>
                <w:b/>
                <w:bCs/>
              </w:rPr>
              <w:t>*</w:t>
            </w:r>
            <w:r w:rsidRPr="002B2331">
              <w:rPr>
                <w:b/>
                <w:bCs/>
              </w:rPr>
              <w:t xml:space="preserve"> </w:t>
            </w:r>
          </w:p>
        </w:tc>
        <w:tc>
          <w:tcPr>
            <w:tcW w:w="992" w:type="dxa"/>
            <w:vAlign w:val="center"/>
          </w:tcPr>
          <w:p w14:paraId="0CBCD68F" w14:textId="479A1583" w:rsidR="006414CA" w:rsidRPr="002B2331" w:rsidRDefault="006414CA" w:rsidP="006414CA">
            <w:pPr>
              <w:pStyle w:val="TableText"/>
              <w:keepNext/>
              <w:jc w:val="center"/>
              <w:rPr>
                <w:b/>
                <w:bCs/>
              </w:rPr>
            </w:pPr>
            <w:r>
              <w:rPr>
                <w:b/>
                <w:bCs/>
              </w:rPr>
              <w:t>H</w:t>
            </w:r>
            <w:r w:rsidRPr="002B2331">
              <w:rPr>
                <w:b/>
                <w:bCs/>
              </w:rPr>
              <w:t xml:space="preserve"> = </w:t>
            </w:r>
            <w:r>
              <w:rPr>
                <w:b/>
                <w:bCs/>
              </w:rPr>
              <w:t>C+D+E</w:t>
            </w:r>
            <w:r w:rsidRPr="002B2331">
              <w:rPr>
                <w:b/>
                <w:bCs/>
              </w:rPr>
              <w:t>+</w:t>
            </w:r>
            <w:r>
              <w:rPr>
                <w:b/>
                <w:bCs/>
              </w:rPr>
              <w:t>G</w:t>
            </w:r>
          </w:p>
        </w:tc>
        <w:tc>
          <w:tcPr>
            <w:tcW w:w="794" w:type="dxa"/>
            <w:tcMar>
              <w:top w:w="0" w:type="dxa"/>
              <w:left w:w="108" w:type="dxa"/>
              <w:bottom w:w="0" w:type="dxa"/>
              <w:right w:w="108" w:type="dxa"/>
            </w:tcMar>
          </w:tcPr>
          <w:p w14:paraId="437FE4E5" w14:textId="21088756" w:rsidR="006414CA" w:rsidRPr="002B2331" w:rsidRDefault="006414CA" w:rsidP="006414CA">
            <w:pPr>
              <w:pStyle w:val="TableText"/>
              <w:keepNext/>
              <w:jc w:val="center"/>
              <w:rPr>
                <w:b/>
                <w:bCs/>
              </w:rPr>
            </w:pPr>
            <w:r w:rsidRPr="002B2331">
              <w:rPr>
                <w:b/>
                <w:bCs/>
              </w:rPr>
              <w:t>$</w:t>
            </w:r>
            <w:r>
              <w:rPr>
                <w:b/>
                <w:bCs/>
              </w:rPr>
              <w:t>0.02</w:t>
            </w:r>
          </w:p>
        </w:tc>
        <w:tc>
          <w:tcPr>
            <w:tcW w:w="795" w:type="dxa"/>
            <w:tcMar>
              <w:top w:w="0" w:type="dxa"/>
              <w:left w:w="108" w:type="dxa"/>
              <w:bottom w:w="0" w:type="dxa"/>
              <w:right w:w="108" w:type="dxa"/>
            </w:tcMar>
          </w:tcPr>
          <w:p w14:paraId="1C7D00D5" w14:textId="4B390E55" w:rsidR="006414CA" w:rsidRPr="002B2331" w:rsidRDefault="006414CA" w:rsidP="006414CA">
            <w:pPr>
              <w:pStyle w:val="TableText"/>
              <w:keepNext/>
              <w:jc w:val="center"/>
              <w:rPr>
                <w:b/>
                <w:bCs/>
              </w:rPr>
            </w:pPr>
            <w:r w:rsidRPr="002B2331">
              <w:rPr>
                <w:b/>
                <w:bCs/>
              </w:rPr>
              <w:t>$</w:t>
            </w:r>
            <w:r>
              <w:rPr>
                <w:b/>
                <w:bCs/>
              </w:rPr>
              <w:t>0.06</w:t>
            </w:r>
          </w:p>
        </w:tc>
        <w:tc>
          <w:tcPr>
            <w:tcW w:w="795" w:type="dxa"/>
            <w:tcMar>
              <w:top w:w="0" w:type="dxa"/>
              <w:left w:w="108" w:type="dxa"/>
              <w:bottom w:w="0" w:type="dxa"/>
              <w:right w:w="108" w:type="dxa"/>
            </w:tcMar>
          </w:tcPr>
          <w:p w14:paraId="0295A47A" w14:textId="10135682" w:rsidR="006414CA" w:rsidRPr="002B2331" w:rsidRDefault="006414CA" w:rsidP="006414CA">
            <w:pPr>
              <w:pStyle w:val="TableText"/>
              <w:keepNext/>
              <w:jc w:val="center"/>
              <w:rPr>
                <w:b/>
                <w:bCs/>
              </w:rPr>
            </w:pPr>
            <w:r w:rsidRPr="002B2331">
              <w:rPr>
                <w:b/>
                <w:bCs/>
              </w:rPr>
              <w:t>$</w:t>
            </w:r>
            <w:r>
              <w:rPr>
                <w:b/>
                <w:bCs/>
              </w:rPr>
              <w:t>0.09</w:t>
            </w:r>
          </w:p>
        </w:tc>
        <w:tc>
          <w:tcPr>
            <w:tcW w:w="794" w:type="dxa"/>
            <w:tcMar>
              <w:top w:w="0" w:type="dxa"/>
              <w:left w:w="108" w:type="dxa"/>
              <w:bottom w:w="0" w:type="dxa"/>
              <w:right w:w="108" w:type="dxa"/>
            </w:tcMar>
          </w:tcPr>
          <w:p w14:paraId="41D39F88" w14:textId="6793906E" w:rsidR="006414CA" w:rsidRPr="002B2331" w:rsidRDefault="006414CA" w:rsidP="006414CA">
            <w:pPr>
              <w:pStyle w:val="TableText"/>
              <w:keepNext/>
              <w:jc w:val="center"/>
              <w:rPr>
                <w:b/>
                <w:bCs/>
              </w:rPr>
            </w:pPr>
            <w:r w:rsidRPr="002B2331">
              <w:rPr>
                <w:b/>
                <w:bCs/>
              </w:rPr>
              <w:t>$</w:t>
            </w:r>
            <w:r>
              <w:rPr>
                <w:b/>
                <w:bCs/>
              </w:rPr>
              <w:t>0.13</w:t>
            </w:r>
          </w:p>
        </w:tc>
        <w:tc>
          <w:tcPr>
            <w:tcW w:w="795" w:type="dxa"/>
            <w:tcMar>
              <w:top w:w="0" w:type="dxa"/>
              <w:left w:w="108" w:type="dxa"/>
              <w:bottom w:w="0" w:type="dxa"/>
              <w:right w:w="108" w:type="dxa"/>
            </w:tcMar>
          </w:tcPr>
          <w:p w14:paraId="6E9BFB9F" w14:textId="0949A019" w:rsidR="006414CA" w:rsidRPr="002B2331" w:rsidRDefault="006414CA" w:rsidP="006414CA">
            <w:pPr>
              <w:pStyle w:val="TableText"/>
              <w:keepNext/>
              <w:jc w:val="center"/>
              <w:rPr>
                <w:b/>
                <w:bCs/>
              </w:rPr>
            </w:pPr>
            <w:r w:rsidRPr="002B2331">
              <w:rPr>
                <w:b/>
                <w:bCs/>
              </w:rPr>
              <w:t>$</w:t>
            </w:r>
            <w:r>
              <w:rPr>
                <w:b/>
                <w:bCs/>
              </w:rPr>
              <w:t>0.17</w:t>
            </w:r>
          </w:p>
        </w:tc>
        <w:tc>
          <w:tcPr>
            <w:tcW w:w="795" w:type="dxa"/>
            <w:tcMar>
              <w:top w:w="0" w:type="dxa"/>
              <w:left w:w="108" w:type="dxa"/>
              <w:bottom w:w="0" w:type="dxa"/>
              <w:right w:w="108" w:type="dxa"/>
            </w:tcMar>
          </w:tcPr>
          <w:p w14:paraId="71110416" w14:textId="116F9B15" w:rsidR="006414CA" w:rsidRPr="002B2331" w:rsidRDefault="006414CA" w:rsidP="006414CA">
            <w:pPr>
              <w:pStyle w:val="TableText"/>
              <w:keepNext/>
              <w:jc w:val="center"/>
              <w:rPr>
                <w:b/>
                <w:bCs/>
              </w:rPr>
            </w:pPr>
            <w:r w:rsidRPr="002B2331">
              <w:rPr>
                <w:b/>
                <w:bCs/>
              </w:rPr>
              <w:t>$</w:t>
            </w:r>
            <w:r>
              <w:rPr>
                <w:b/>
                <w:bCs/>
              </w:rPr>
              <w:t>0.21</w:t>
            </w:r>
          </w:p>
        </w:tc>
      </w:tr>
    </w:tbl>
    <w:p w14:paraId="2ACF2FFC" w14:textId="3E95A04A" w:rsidR="002B4F0C" w:rsidRPr="00282E63" w:rsidRDefault="002B4F0C" w:rsidP="00B821D3">
      <w:pPr>
        <w:pStyle w:val="Tablenotes"/>
        <w:jc w:val="both"/>
        <w:rPr>
          <w:rStyle w:val="CommentReference"/>
          <w:rFonts w:ascii="Franklin Gothic Book" w:eastAsiaTheme="minorHAnsi" w:hAnsi="Franklin Gothic Book" w:cstheme="minorBidi"/>
          <w:snapToGrid/>
          <w:sz w:val="18"/>
          <w:szCs w:val="18"/>
        </w:rPr>
      </w:pPr>
      <w:r w:rsidRPr="00282E63">
        <w:rPr>
          <w:rStyle w:val="CommentReference"/>
          <w:sz w:val="18"/>
          <w:szCs w:val="18"/>
        </w:rPr>
        <w:t>Source: Table 82, p</w:t>
      </w:r>
      <w:r w:rsidR="00C84466">
        <w:rPr>
          <w:rStyle w:val="CommentReference"/>
          <w:sz w:val="18"/>
          <w:szCs w:val="18"/>
        </w:rPr>
        <w:t>g</w:t>
      </w:r>
      <w:r w:rsidRPr="00282E63">
        <w:rPr>
          <w:rStyle w:val="CommentReference"/>
          <w:sz w:val="18"/>
          <w:szCs w:val="18"/>
        </w:rPr>
        <w:t>17</w:t>
      </w:r>
      <w:r w:rsidR="00854096">
        <w:rPr>
          <w:rStyle w:val="CommentReference"/>
          <w:sz w:val="18"/>
          <w:szCs w:val="18"/>
        </w:rPr>
        <w:t>9</w:t>
      </w:r>
      <w:r w:rsidRPr="00282E63">
        <w:rPr>
          <w:rStyle w:val="CommentReference"/>
          <w:sz w:val="18"/>
          <w:szCs w:val="18"/>
        </w:rPr>
        <w:t xml:space="preserve"> of the MSAC application 1593.1 ADAR + In line commentary </w:t>
      </w:r>
    </w:p>
    <w:p w14:paraId="6970A91E" w14:textId="6D1B8A8F" w:rsidR="002B4F0C" w:rsidRDefault="002B4F0C" w:rsidP="00B821D3">
      <w:pPr>
        <w:pStyle w:val="Tablenotes"/>
        <w:jc w:val="both"/>
      </w:pPr>
      <w:r w:rsidRPr="00282E63">
        <w:t>Abbreviations: CM = conservative management; FT</w:t>
      </w:r>
      <w:r w:rsidR="00E914CC">
        <w:t>RC</w:t>
      </w:r>
      <w:r w:rsidRPr="00282E63">
        <w:t>T = Full</w:t>
      </w:r>
      <w:r w:rsidR="00A45045">
        <w:t>-</w:t>
      </w:r>
      <w:r w:rsidRPr="00282E63">
        <w:t xml:space="preserve">thickness </w:t>
      </w:r>
      <w:r w:rsidR="00E914CC">
        <w:t xml:space="preserve">rotator cuff </w:t>
      </w:r>
      <w:r w:rsidRPr="00282E63">
        <w:t>tear;</w:t>
      </w:r>
      <w:r w:rsidR="00E914CC">
        <w:t xml:space="preserve"> PHI = Private health insurance</w:t>
      </w:r>
      <w:r w:rsidRPr="00282E63">
        <w:t>; RTSA = Reverse total shoulder arthroplasty.</w:t>
      </w:r>
    </w:p>
    <w:p w14:paraId="2371804D" w14:textId="7B6C1B6A" w:rsidR="00063FD5" w:rsidRPr="00282E63" w:rsidRDefault="006E5279" w:rsidP="00B821D3">
      <w:pPr>
        <w:pStyle w:val="Tablenotes"/>
        <w:jc w:val="both"/>
      </w:pPr>
      <w:r w:rsidRPr="006E5279">
        <w:t xml:space="preserve">Notes: </w:t>
      </w:r>
      <w:r w:rsidR="00B821D3">
        <w:t>*</w:t>
      </w:r>
      <w:r w:rsidRPr="006E5279">
        <w:t>Cost in Australian dollar millions</w:t>
      </w:r>
    </w:p>
    <w:p w14:paraId="488F7E11" w14:textId="4B0D7DCC" w:rsidR="00BC54D7" w:rsidRPr="00B821D3" w:rsidRDefault="00BC54D7" w:rsidP="003B4E46">
      <w:r w:rsidRPr="00B821D3">
        <w:t xml:space="preserve">The commentary considered the financial impact to PHI, MBS and </w:t>
      </w:r>
      <w:r w:rsidRPr="00BC54D7">
        <w:t>patients</w:t>
      </w:r>
      <w:r w:rsidRPr="00B821D3">
        <w:t xml:space="preserve"> were uncertain as the data used to calculate the percentage of patients receiving different management options after retear i.e., </w:t>
      </w:r>
      <w:r w:rsidR="0052558C">
        <w:t>r</w:t>
      </w:r>
      <w:r w:rsidRPr="00B821D3">
        <w:t xml:space="preserve">evision of rotator cuff tear repair, </w:t>
      </w:r>
      <w:r w:rsidR="0052558C">
        <w:t>r</w:t>
      </w:r>
      <w:r w:rsidRPr="00B821D3">
        <w:t xml:space="preserve">everse total shoulder arthroplasty and </w:t>
      </w:r>
      <w:r w:rsidR="00121F0E">
        <w:t>CM</w:t>
      </w:r>
      <w:r w:rsidRPr="00B821D3">
        <w:t xml:space="preserve"> were not relevant for the calculations</w:t>
      </w:r>
      <w:r w:rsidRPr="00BC54D7">
        <w:t xml:space="preserve"> as discussed earlier</w:t>
      </w:r>
      <w:r w:rsidR="00E90BE6">
        <w:t xml:space="preserve">. </w:t>
      </w:r>
    </w:p>
    <w:p w14:paraId="11B70237" w14:textId="71D557AC" w:rsidR="002B4F0C" w:rsidRPr="00D31140" w:rsidRDefault="002B4F0C" w:rsidP="00B821D3">
      <w:pPr>
        <w:pStyle w:val="Heading4"/>
      </w:pPr>
      <w:r w:rsidRPr="00D31140">
        <w:t>Uncertainty analyses of financial estimates</w:t>
      </w:r>
    </w:p>
    <w:p w14:paraId="0F3A89BC" w14:textId="01F25F57" w:rsidR="002B4F0C" w:rsidRPr="005A42D2" w:rsidRDefault="002B4F0C" w:rsidP="005A42D2">
      <w:pPr>
        <w:jc w:val="both"/>
      </w:pPr>
      <w:r w:rsidRPr="00D31140">
        <w:t xml:space="preserve">The </w:t>
      </w:r>
      <w:r w:rsidR="00600185">
        <w:t>ADAR</w:t>
      </w:r>
      <w:r w:rsidR="00600185" w:rsidRPr="00D31140">
        <w:t xml:space="preserve"> </w:t>
      </w:r>
      <w:r w:rsidRPr="00D31140">
        <w:t>presented uncertainty analys</w:t>
      </w:r>
      <w:r w:rsidR="00282E63">
        <w:t>e</w:t>
      </w:r>
      <w:r w:rsidRPr="00D31140">
        <w:t>s based on key input parameters (</w:t>
      </w:r>
      <w:r w:rsidRPr="00D31140">
        <w:fldChar w:fldCharType="begin"/>
      </w:r>
      <w:r w:rsidRPr="00D31140">
        <w:instrText xml:space="preserve"> REF _Ref163215816 \h </w:instrText>
      </w:r>
      <w:r>
        <w:instrText xml:space="preserve"> \* MERGEFORMAT </w:instrText>
      </w:r>
      <w:r w:rsidRPr="00D31140">
        <w:fldChar w:fldCharType="separate"/>
      </w:r>
      <w:r w:rsidR="00D20FBE" w:rsidRPr="004B3FA0">
        <w:t>Table </w:t>
      </w:r>
      <w:r w:rsidR="004647F0">
        <w:t>21</w:t>
      </w:r>
      <w:r w:rsidRPr="00D31140">
        <w:fldChar w:fldCharType="end"/>
      </w:r>
      <w:r w:rsidRPr="00D31140">
        <w:t xml:space="preserve">). </w:t>
      </w:r>
    </w:p>
    <w:p w14:paraId="53C29ABB" w14:textId="098FA7D5" w:rsidR="002B4F0C" w:rsidRPr="00CE28E3" w:rsidRDefault="002B4F0C" w:rsidP="002B4F0C">
      <w:pPr>
        <w:pStyle w:val="Caption"/>
      </w:pPr>
      <w:bookmarkStart w:id="101" w:name="_Ref163215816"/>
      <w:bookmarkStart w:id="102" w:name="_Hlk161230297"/>
      <w:r w:rsidRPr="004B3FA0">
        <w:t>Table </w:t>
      </w:r>
      <w:r>
        <w:fldChar w:fldCharType="begin"/>
      </w:r>
      <w:r>
        <w:instrText xml:space="preserve"> SEQ Table \* ARABIC </w:instrText>
      </w:r>
      <w:r>
        <w:fldChar w:fldCharType="separate"/>
      </w:r>
      <w:r w:rsidR="004647F0">
        <w:rPr>
          <w:noProof/>
        </w:rPr>
        <w:t>21</w:t>
      </w:r>
      <w:r>
        <w:rPr>
          <w:noProof/>
        </w:rPr>
        <w:fldChar w:fldCharType="end"/>
      </w:r>
      <w:bookmarkEnd w:id="101"/>
      <w:r w:rsidRPr="004B3FA0">
        <w:rPr>
          <w:noProof/>
        </w:rPr>
        <w:t xml:space="preserve">: </w:t>
      </w:r>
      <w:r w:rsidRPr="004B3FA0">
        <w:t>Sensitivity analyses – costs in $</w:t>
      </w:r>
      <w:r w:rsidR="006E5279">
        <w:t>millions</w:t>
      </w:r>
      <w:r w:rsidR="009D381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1007"/>
        <w:gridCol w:w="1007"/>
        <w:gridCol w:w="1008"/>
        <w:gridCol w:w="1007"/>
        <w:gridCol w:w="1007"/>
        <w:gridCol w:w="1008"/>
      </w:tblGrid>
      <w:tr w:rsidR="002B4F0C" w:rsidRPr="00CE28E3" w14:paraId="21176F06" w14:textId="77777777" w:rsidTr="003B4E46">
        <w:trPr>
          <w:tblHeader/>
        </w:trPr>
        <w:tc>
          <w:tcPr>
            <w:tcW w:w="2972" w:type="dxa"/>
            <w:tcMar>
              <w:top w:w="0" w:type="dxa"/>
              <w:left w:w="108" w:type="dxa"/>
              <w:bottom w:w="0" w:type="dxa"/>
              <w:right w:w="108" w:type="dxa"/>
            </w:tcMar>
          </w:tcPr>
          <w:p w14:paraId="6BB6E2EE" w14:textId="77777777" w:rsidR="002B4F0C" w:rsidRPr="00CE28E3" w:rsidRDefault="002B4F0C" w:rsidP="0078185D">
            <w:pPr>
              <w:pStyle w:val="TableText"/>
              <w:keepNext/>
              <w:rPr>
                <w:b/>
                <w:bCs/>
              </w:rPr>
            </w:pPr>
            <w:r>
              <w:rPr>
                <w:b/>
                <w:bCs/>
              </w:rPr>
              <w:t xml:space="preserve">Parameter </w:t>
            </w:r>
          </w:p>
        </w:tc>
        <w:tc>
          <w:tcPr>
            <w:tcW w:w="1007" w:type="dxa"/>
            <w:tcMar>
              <w:top w:w="0" w:type="dxa"/>
              <w:left w:w="108" w:type="dxa"/>
              <w:bottom w:w="0" w:type="dxa"/>
              <w:right w:w="108" w:type="dxa"/>
            </w:tcMar>
            <w:hideMark/>
          </w:tcPr>
          <w:p w14:paraId="622CACFC" w14:textId="77777777" w:rsidR="002B4F0C" w:rsidRPr="00CE28E3" w:rsidRDefault="002B4F0C" w:rsidP="0078185D">
            <w:pPr>
              <w:pStyle w:val="TableText"/>
              <w:keepNext/>
              <w:jc w:val="center"/>
              <w:rPr>
                <w:b/>
                <w:bCs/>
              </w:rPr>
            </w:pPr>
            <w:r w:rsidRPr="00CE28E3">
              <w:rPr>
                <w:b/>
                <w:bCs/>
              </w:rPr>
              <w:t xml:space="preserve">Year </w:t>
            </w:r>
            <w:r>
              <w:rPr>
                <w:b/>
                <w:bCs/>
              </w:rPr>
              <w:t>1 2024</w:t>
            </w:r>
          </w:p>
        </w:tc>
        <w:tc>
          <w:tcPr>
            <w:tcW w:w="1007" w:type="dxa"/>
            <w:tcMar>
              <w:top w:w="0" w:type="dxa"/>
              <w:left w:w="108" w:type="dxa"/>
              <w:bottom w:w="0" w:type="dxa"/>
              <w:right w:w="108" w:type="dxa"/>
            </w:tcMar>
            <w:hideMark/>
          </w:tcPr>
          <w:p w14:paraId="66F5285F" w14:textId="77777777" w:rsidR="002B4F0C" w:rsidRPr="00CE28E3" w:rsidRDefault="002B4F0C" w:rsidP="0078185D">
            <w:pPr>
              <w:pStyle w:val="TableText"/>
              <w:keepNext/>
              <w:jc w:val="center"/>
              <w:rPr>
                <w:b/>
                <w:bCs/>
              </w:rPr>
            </w:pPr>
            <w:r w:rsidRPr="00CE28E3">
              <w:rPr>
                <w:b/>
                <w:bCs/>
              </w:rPr>
              <w:t xml:space="preserve">Year </w:t>
            </w:r>
            <w:r>
              <w:rPr>
                <w:b/>
                <w:bCs/>
              </w:rPr>
              <w:t>2 2025</w:t>
            </w:r>
          </w:p>
        </w:tc>
        <w:tc>
          <w:tcPr>
            <w:tcW w:w="1008" w:type="dxa"/>
            <w:tcMar>
              <w:top w:w="0" w:type="dxa"/>
              <w:left w:w="108" w:type="dxa"/>
              <w:bottom w:w="0" w:type="dxa"/>
              <w:right w:w="108" w:type="dxa"/>
            </w:tcMar>
            <w:hideMark/>
          </w:tcPr>
          <w:p w14:paraId="661AA2C5" w14:textId="77777777" w:rsidR="002B4F0C" w:rsidRPr="00CE28E3" w:rsidRDefault="002B4F0C" w:rsidP="0078185D">
            <w:pPr>
              <w:pStyle w:val="TableText"/>
              <w:keepNext/>
              <w:jc w:val="center"/>
              <w:rPr>
                <w:b/>
                <w:bCs/>
              </w:rPr>
            </w:pPr>
            <w:r w:rsidRPr="00CE28E3">
              <w:rPr>
                <w:b/>
                <w:bCs/>
              </w:rPr>
              <w:t xml:space="preserve">Year </w:t>
            </w:r>
            <w:r>
              <w:rPr>
                <w:b/>
                <w:bCs/>
              </w:rPr>
              <w:t>3 2026</w:t>
            </w:r>
          </w:p>
        </w:tc>
        <w:tc>
          <w:tcPr>
            <w:tcW w:w="1007" w:type="dxa"/>
            <w:tcMar>
              <w:top w:w="0" w:type="dxa"/>
              <w:left w:w="108" w:type="dxa"/>
              <w:bottom w:w="0" w:type="dxa"/>
              <w:right w:w="108" w:type="dxa"/>
            </w:tcMar>
            <w:hideMark/>
          </w:tcPr>
          <w:p w14:paraId="26E34CBD" w14:textId="77777777" w:rsidR="002B4F0C" w:rsidRPr="00CE28E3" w:rsidRDefault="002B4F0C" w:rsidP="0078185D">
            <w:pPr>
              <w:pStyle w:val="TableText"/>
              <w:keepNext/>
              <w:jc w:val="center"/>
              <w:rPr>
                <w:b/>
                <w:bCs/>
              </w:rPr>
            </w:pPr>
            <w:r w:rsidRPr="00CE28E3">
              <w:rPr>
                <w:b/>
                <w:bCs/>
              </w:rPr>
              <w:t xml:space="preserve">Year </w:t>
            </w:r>
            <w:r>
              <w:rPr>
                <w:b/>
                <w:bCs/>
              </w:rPr>
              <w:t>4 2027</w:t>
            </w:r>
          </w:p>
        </w:tc>
        <w:tc>
          <w:tcPr>
            <w:tcW w:w="1007" w:type="dxa"/>
            <w:tcMar>
              <w:top w:w="0" w:type="dxa"/>
              <w:left w:w="108" w:type="dxa"/>
              <w:bottom w:w="0" w:type="dxa"/>
              <w:right w:w="108" w:type="dxa"/>
            </w:tcMar>
            <w:hideMark/>
          </w:tcPr>
          <w:p w14:paraId="7903BB15" w14:textId="77777777" w:rsidR="002B4F0C" w:rsidRPr="00CE28E3" w:rsidRDefault="002B4F0C" w:rsidP="0078185D">
            <w:pPr>
              <w:pStyle w:val="TableText"/>
              <w:keepNext/>
              <w:jc w:val="center"/>
              <w:rPr>
                <w:b/>
                <w:bCs/>
              </w:rPr>
            </w:pPr>
            <w:r w:rsidRPr="00CE28E3">
              <w:rPr>
                <w:b/>
                <w:bCs/>
              </w:rPr>
              <w:t xml:space="preserve">Year </w:t>
            </w:r>
            <w:r>
              <w:rPr>
                <w:b/>
                <w:bCs/>
              </w:rPr>
              <w:t>5 2028</w:t>
            </w:r>
          </w:p>
        </w:tc>
        <w:tc>
          <w:tcPr>
            <w:tcW w:w="1008" w:type="dxa"/>
            <w:tcMar>
              <w:top w:w="0" w:type="dxa"/>
              <w:left w:w="108" w:type="dxa"/>
              <w:bottom w:w="0" w:type="dxa"/>
              <w:right w:w="108" w:type="dxa"/>
            </w:tcMar>
            <w:hideMark/>
          </w:tcPr>
          <w:p w14:paraId="1F2D1F53" w14:textId="77777777" w:rsidR="002B4F0C" w:rsidRPr="00CE28E3" w:rsidRDefault="002B4F0C" w:rsidP="0078185D">
            <w:pPr>
              <w:pStyle w:val="TableText"/>
              <w:keepNext/>
              <w:jc w:val="center"/>
              <w:rPr>
                <w:b/>
                <w:bCs/>
              </w:rPr>
            </w:pPr>
            <w:r w:rsidRPr="00CE28E3">
              <w:rPr>
                <w:b/>
                <w:bCs/>
              </w:rPr>
              <w:t xml:space="preserve">Year </w:t>
            </w:r>
            <w:r>
              <w:rPr>
                <w:b/>
                <w:bCs/>
              </w:rPr>
              <w:t>6 2029</w:t>
            </w:r>
          </w:p>
        </w:tc>
      </w:tr>
      <w:tr w:rsidR="002B4F0C" w:rsidRPr="00CE28E3" w14:paraId="0DE6520B" w14:textId="77777777" w:rsidTr="00B821D3">
        <w:tc>
          <w:tcPr>
            <w:tcW w:w="9016" w:type="dxa"/>
            <w:gridSpan w:val="7"/>
            <w:tcMar>
              <w:top w:w="0" w:type="dxa"/>
              <w:left w:w="108" w:type="dxa"/>
              <w:bottom w:w="0" w:type="dxa"/>
              <w:right w:w="108" w:type="dxa"/>
            </w:tcMar>
            <w:hideMark/>
          </w:tcPr>
          <w:p w14:paraId="1B0AF1AE" w14:textId="77777777" w:rsidR="002B4F0C" w:rsidRPr="00CE28E3" w:rsidRDefault="002B4F0C" w:rsidP="0078185D">
            <w:pPr>
              <w:pStyle w:val="TableText"/>
              <w:keepNext/>
              <w:rPr>
                <w:b/>
                <w:bCs/>
              </w:rPr>
            </w:pPr>
            <w:r>
              <w:rPr>
                <w:b/>
                <w:bCs/>
              </w:rPr>
              <w:t>Base case</w:t>
            </w:r>
          </w:p>
        </w:tc>
      </w:tr>
      <w:tr w:rsidR="006414CA" w:rsidRPr="00CE28E3" w14:paraId="560276C3" w14:textId="77777777" w:rsidTr="003B4E46">
        <w:tc>
          <w:tcPr>
            <w:tcW w:w="2972" w:type="dxa"/>
            <w:tcMar>
              <w:top w:w="0" w:type="dxa"/>
              <w:left w:w="108" w:type="dxa"/>
              <w:bottom w:w="0" w:type="dxa"/>
              <w:right w:w="108" w:type="dxa"/>
            </w:tcMar>
            <w:hideMark/>
          </w:tcPr>
          <w:p w14:paraId="57E61B74" w14:textId="77777777" w:rsidR="006414CA" w:rsidRPr="00CA505E" w:rsidRDefault="006414CA" w:rsidP="006414CA">
            <w:pPr>
              <w:pStyle w:val="TableText"/>
              <w:keepNext/>
            </w:pPr>
            <w:r w:rsidRPr="00CA505E">
              <w:t>Estimated utilisation of REGENETEN</w:t>
            </w:r>
          </w:p>
        </w:tc>
        <w:tc>
          <w:tcPr>
            <w:tcW w:w="1007" w:type="dxa"/>
            <w:tcMar>
              <w:top w:w="0" w:type="dxa"/>
              <w:left w:w="108" w:type="dxa"/>
              <w:bottom w:w="0" w:type="dxa"/>
              <w:right w:w="108" w:type="dxa"/>
            </w:tcMar>
          </w:tcPr>
          <w:p w14:paraId="31B81878" w14:textId="423DFB79"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7E8F7993" w14:textId="5EE5258D" w:rsidR="006414CA" w:rsidRPr="00CA505E" w:rsidRDefault="006414CA" w:rsidP="006414CA">
            <w:pPr>
              <w:pStyle w:val="TableText"/>
              <w:keepNext/>
              <w:jc w:val="center"/>
            </w:pPr>
            <w:r w:rsidRPr="00251DED">
              <w:rPr>
                <w:b/>
                <w:bCs/>
              </w:rPr>
              <w:t>redacted</w:t>
            </w:r>
          </w:p>
        </w:tc>
        <w:tc>
          <w:tcPr>
            <w:tcW w:w="1008" w:type="dxa"/>
            <w:tcMar>
              <w:top w:w="0" w:type="dxa"/>
              <w:left w:w="108" w:type="dxa"/>
              <w:bottom w:w="0" w:type="dxa"/>
              <w:right w:w="108" w:type="dxa"/>
            </w:tcMar>
          </w:tcPr>
          <w:p w14:paraId="6137EF44" w14:textId="17DE6ED6"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39E2EF13" w14:textId="4B4ECEB3"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51FA90E8" w14:textId="295C8364" w:rsidR="006414CA" w:rsidRPr="00CA505E" w:rsidRDefault="006414CA" w:rsidP="006414CA">
            <w:pPr>
              <w:pStyle w:val="TableText"/>
              <w:keepNext/>
              <w:jc w:val="center"/>
            </w:pPr>
            <w:r w:rsidRPr="00251DED">
              <w:rPr>
                <w:b/>
                <w:bCs/>
              </w:rPr>
              <w:t>redacted</w:t>
            </w:r>
          </w:p>
        </w:tc>
        <w:tc>
          <w:tcPr>
            <w:tcW w:w="1008" w:type="dxa"/>
            <w:tcMar>
              <w:top w:w="0" w:type="dxa"/>
              <w:left w:w="108" w:type="dxa"/>
              <w:bottom w:w="0" w:type="dxa"/>
              <w:right w:w="108" w:type="dxa"/>
            </w:tcMar>
          </w:tcPr>
          <w:p w14:paraId="1495E86E" w14:textId="5D296F6A" w:rsidR="006414CA" w:rsidRPr="00CE28E3" w:rsidRDefault="006414CA" w:rsidP="006414CA">
            <w:pPr>
              <w:pStyle w:val="TableText"/>
              <w:keepNext/>
              <w:jc w:val="center"/>
            </w:pPr>
            <w:r w:rsidRPr="00251DED">
              <w:rPr>
                <w:b/>
                <w:bCs/>
              </w:rPr>
              <w:t>redacted</w:t>
            </w:r>
          </w:p>
        </w:tc>
      </w:tr>
      <w:tr w:rsidR="006414CA" w:rsidRPr="00CE28E3" w14:paraId="550A4DAE" w14:textId="77777777" w:rsidTr="003B4E46">
        <w:tc>
          <w:tcPr>
            <w:tcW w:w="2972" w:type="dxa"/>
            <w:tcMar>
              <w:top w:w="0" w:type="dxa"/>
              <w:left w:w="108" w:type="dxa"/>
              <w:bottom w:w="0" w:type="dxa"/>
              <w:right w:w="108" w:type="dxa"/>
            </w:tcMar>
            <w:hideMark/>
          </w:tcPr>
          <w:p w14:paraId="3792F686" w14:textId="73E3BBFE" w:rsidR="006414CA" w:rsidRPr="00CA505E" w:rsidRDefault="006414CA" w:rsidP="006414CA">
            <w:pPr>
              <w:pStyle w:val="TableText"/>
              <w:keepNext/>
            </w:pPr>
            <w:r w:rsidRPr="00CA505E">
              <w:t>Cost to the PHI*</w:t>
            </w:r>
          </w:p>
        </w:tc>
        <w:tc>
          <w:tcPr>
            <w:tcW w:w="1007" w:type="dxa"/>
            <w:tcMar>
              <w:top w:w="0" w:type="dxa"/>
              <w:left w:w="108" w:type="dxa"/>
              <w:bottom w:w="0" w:type="dxa"/>
              <w:right w:w="108" w:type="dxa"/>
            </w:tcMar>
          </w:tcPr>
          <w:p w14:paraId="1C084ACC" w14:textId="19A4186A"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052A3EF7" w14:textId="47496B5B" w:rsidR="006414CA" w:rsidRPr="00CA505E" w:rsidRDefault="006414CA" w:rsidP="006414CA">
            <w:pPr>
              <w:pStyle w:val="TableText"/>
              <w:keepNext/>
              <w:jc w:val="center"/>
            </w:pPr>
            <w:r w:rsidRPr="00251DED">
              <w:rPr>
                <w:b/>
                <w:bCs/>
              </w:rPr>
              <w:t>redacted</w:t>
            </w:r>
          </w:p>
        </w:tc>
        <w:tc>
          <w:tcPr>
            <w:tcW w:w="1008" w:type="dxa"/>
            <w:tcMar>
              <w:top w:w="0" w:type="dxa"/>
              <w:left w:w="108" w:type="dxa"/>
              <w:bottom w:w="0" w:type="dxa"/>
              <w:right w:w="108" w:type="dxa"/>
            </w:tcMar>
          </w:tcPr>
          <w:p w14:paraId="40BE4ED1" w14:textId="66A85B85"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5FE26D88" w14:textId="63CBF8DF"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0C90F0CC" w14:textId="23177102" w:rsidR="006414CA" w:rsidRPr="00CA505E" w:rsidRDefault="006414CA" w:rsidP="006414CA">
            <w:pPr>
              <w:pStyle w:val="TableText"/>
              <w:keepNext/>
              <w:jc w:val="center"/>
            </w:pPr>
            <w:r w:rsidRPr="00251DED">
              <w:rPr>
                <w:b/>
                <w:bCs/>
              </w:rPr>
              <w:t>redacted</w:t>
            </w:r>
          </w:p>
        </w:tc>
        <w:tc>
          <w:tcPr>
            <w:tcW w:w="1008" w:type="dxa"/>
            <w:tcMar>
              <w:top w:w="0" w:type="dxa"/>
              <w:left w:w="108" w:type="dxa"/>
              <w:bottom w:w="0" w:type="dxa"/>
              <w:right w:w="108" w:type="dxa"/>
            </w:tcMar>
          </w:tcPr>
          <w:p w14:paraId="2F727549" w14:textId="0B5CAAA1" w:rsidR="006414CA" w:rsidRPr="00CE28E3" w:rsidRDefault="006414CA" w:rsidP="006414CA">
            <w:pPr>
              <w:pStyle w:val="TableText"/>
              <w:keepNext/>
              <w:jc w:val="center"/>
            </w:pPr>
            <w:r w:rsidRPr="00251DED">
              <w:rPr>
                <w:b/>
                <w:bCs/>
              </w:rPr>
              <w:t>redacted</w:t>
            </w:r>
          </w:p>
        </w:tc>
      </w:tr>
      <w:tr w:rsidR="006414CA" w:rsidRPr="00CE28E3" w14:paraId="6355AB67" w14:textId="77777777" w:rsidTr="003B4E46">
        <w:tc>
          <w:tcPr>
            <w:tcW w:w="2972" w:type="dxa"/>
            <w:tcMar>
              <w:top w:w="0" w:type="dxa"/>
              <w:left w:w="108" w:type="dxa"/>
              <w:bottom w:w="0" w:type="dxa"/>
              <w:right w:w="108" w:type="dxa"/>
            </w:tcMar>
            <w:hideMark/>
          </w:tcPr>
          <w:p w14:paraId="0752F617" w14:textId="02B0010E" w:rsidR="006414CA" w:rsidRPr="00CA505E" w:rsidRDefault="006414CA" w:rsidP="006414CA">
            <w:pPr>
              <w:pStyle w:val="TableText"/>
              <w:keepNext/>
            </w:pPr>
            <w:r w:rsidRPr="00CA505E">
              <w:t>Cost offset to the PHI*</w:t>
            </w:r>
          </w:p>
        </w:tc>
        <w:tc>
          <w:tcPr>
            <w:tcW w:w="1007" w:type="dxa"/>
            <w:tcMar>
              <w:top w:w="0" w:type="dxa"/>
              <w:left w:w="108" w:type="dxa"/>
              <w:bottom w:w="0" w:type="dxa"/>
              <w:right w:w="108" w:type="dxa"/>
            </w:tcMar>
          </w:tcPr>
          <w:p w14:paraId="14B776B9" w14:textId="7D0AA266"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5D524AAE" w14:textId="1C0520F0" w:rsidR="006414CA" w:rsidRPr="00CA505E" w:rsidRDefault="006414CA" w:rsidP="006414CA">
            <w:pPr>
              <w:pStyle w:val="TableText"/>
              <w:keepNext/>
              <w:jc w:val="center"/>
            </w:pPr>
            <w:r w:rsidRPr="00251DED">
              <w:rPr>
                <w:b/>
                <w:bCs/>
              </w:rPr>
              <w:t>redacted</w:t>
            </w:r>
          </w:p>
        </w:tc>
        <w:tc>
          <w:tcPr>
            <w:tcW w:w="1008" w:type="dxa"/>
            <w:tcMar>
              <w:top w:w="0" w:type="dxa"/>
              <w:left w:w="108" w:type="dxa"/>
              <w:bottom w:w="0" w:type="dxa"/>
              <w:right w:w="108" w:type="dxa"/>
            </w:tcMar>
          </w:tcPr>
          <w:p w14:paraId="3907ED3F" w14:textId="0BCD50A9"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00256348" w14:textId="5E9C2315" w:rsidR="006414CA" w:rsidRPr="00CA505E" w:rsidRDefault="006414CA" w:rsidP="006414CA">
            <w:pPr>
              <w:pStyle w:val="TableText"/>
              <w:keepNext/>
              <w:jc w:val="center"/>
            </w:pPr>
            <w:r w:rsidRPr="00251DED">
              <w:rPr>
                <w:b/>
                <w:bCs/>
              </w:rPr>
              <w:t>redacted</w:t>
            </w:r>
          </w:p>
        </w:tc>
        <w:tc>
          <w:tcPr>
            <w:tcW w:w="1007" w:type="dxa"/>
            <w:tcMar>
              <w:top w:w="0" w:type="dxa"/>
              <w:left w:w="108" w:type="dxa"/>
              <w:bottom w:w="0" w:type="dxa"/>
              <w:right w:w="108" w:type="dxa"/>
            </w:tcMar>
          </w:tcPr>
          <w:p w14:paraId="355E6905" w14:textId="26FAC59B" w:rsidR="006414CA" w:rsidRPr="00CA505E" w:rsidRDefault="006414CA" w:rsidP="006414CA">
            <w:pPr>
              <w:pStyle w:val="TableText"/>
              <w:keepNext/>
              <w:jc w:val="center"/>
            </w:pPr>
            <w:r w:rsidRPr="00251DED">
              <w:rPr>
                <w:b/>
                <w:bCs/>
              </w:rPr>
              <w:t>redacted</w:t>
            </w:r>
          </w:p>
        </w:tc>
        <w:tc>
          <w:tcPr>
            <w:tcW w:w="1008" w:type="dxa"/>
            <w:tcMar>
              <w:top w:w="0" w:type="dxa"/>
              <w:left w:w="108" w:type="dxa"/>
              <w:bottom w:w="0" w:type="dxa"/>
              <w:right w:w="108" w:type="dxa"/>
            </w:tcMar>
          </w:tcPr>
          <w:p w14:paraId="01EFB093" w14:textId="087BF703" w:rsidR="006414CA" w:rsidRPr="00CE28E3" w:rsidRDefault="006414CA" w:rsidP="006414CA">
            <w:pPr>
              <w:pStyle w:val="TableText"/>
              <w:keepNext/>
              <w:jc w:val="center"/>
            </w:pPr>
            <w:r w:rsidRPr="00251DED">
              <w:rPr>
                <w:b/>
                <w:bCs/>
              </w:rPr>
              <w:t>redacted</w:t>
            </w:r>
          </w:p>
        </w:tc>
      </w:tr>
      <w:tr w:rsidR="006414CA" w:rsidRPr="00CE28E3" w14:paraId="2B72F2F8" w14:textId="77777777" w:rsidTr="003B4E46">
        <w:tc>
          <w:tcPr>
            <w:tcW w:w="2972" w:type="dxa"/>
            <w:tcMar>
              <w:top w:w="0" w:type="dxa"/>
              <w:left w:w="108" w:type="dxa"/>
              <w:bottom w:w="0" w:type="dxa"/>
              <w:right w:w="108" w:type="dxa"/>
            </w:tcMar>
            <w:hideMark/>
          </w:tcPr>
          <w:p w14:paraId="689D6A81" w14:textId="7547C31F" w:rsidR="006414CA" w:rsidRPr="00CA505E" w:rsidRDefault="006414CA" w:rsidP="006414CA">
            <w:pPr>
              <w:pStyle w:val="TableText"/>
              <w:keepNext/>
              <w:rPr>
                <w:b/>
                <w:bCs/>
              </w:rPr>
            </w:pPr>
            <w:r w:rsidRPr="00CA505E">
              <w:rPr>
                <w:b/>
                <w:bCs/>
              </w:rPr>
              <w:t>Net financial impact to the PHI</w:t>
            </w:r>
          </w:p>
        </w:tc>
        <w:tc>
          <w:tcPr>
            <w:tcW w:w="1007" w:type="dxa"/>
            <w:tcMar>
              <w:top w:w="0" w:type="dxa"/>
              <w:left w:w="108" w:type="dxa"/>
              <w:bottom w:w="0" w:type="dxa"/>
              <w:right w:w="108" w:type="dxa"/>
            </w:tcMar>
          </w:tcPr>
          <w:p w14:paraId="7A0BD0C5" w14:textId="16BFD4FB" w:rsidR="006414CA" w:rsidRPr="00CA505E" w:rsidRDefault="006414CA" w:rsidP="006414CA">
            <w:pPr>
              <w:pStyle w:val="TableText"/>
              <w:keepNext/>
              <w:jc w:val="center"/>
              <w:rPr>
                <w:b/>
                <w:bCs/>
              </w:rPr>
            </w:pPr>
            <w:r w:rsidRPr="00251DED">
              <w:rPr>
                <w:b/>
                <w:bCs/>
              </w:rPr>
              <w:t>redacted</w:t>
            </w:r>
          </w:p>
        </w:tc>
        <w:tc>
          <w:tcPr>
            <w:tcW w:w="1007" w:type="dxa"/>
            <w:tcMar>
              <w:top w:w="0" w:type="dxa"/>
              <w:left w:w="108" w:type="dxa"/>
              <w:bottom w:w="0" w:type="dxa"/>
              <w:right w:w="108" w:type="dxa"/>
            </w:tcMar>
          </w:tcPr>
          <w:p w14:paraId="325503B6" w14:textId="585A5F13" w:rsidR="006414CA" w:rsidRPr="00CA505E" w:rsidRDefault="006414CA" w:rsidP="006414CA">
            <w:pPr>
              <w:pStyle w:val="TableText"/>
              <w:keepNext/>
              <w:jc w:val="center"/>
              <w:rPr>
                <w:b/>
                <w:bCs/>
              </w:rPr>
            </w:pPr>
            <w:r w:rsidRPr="00251DED">
              <w:rPr>
                <w:b/>
                <w:bCs/>
              </w:rPr>
              <w:t>redacted</w:t>
            </w:r>
          </w:p>
        </w:tc>
        <w:tc>
          <w:tcPr>
            <w:tcW w:w="1008" w:type="dxa"/>
            <w:tcMar>
              <w:top w:w="0" w:type="dxa"/>
              <w:left w:w="108" w:type="dxa"/>
              <w:bottom w:w="0" w:type="dxa"/>
              <w:right w:w="108" w:type="dxa"/>
            </w:tcMar>
          </w:tcPr>
          <w:p w14:paraId="027C378F" w14:textId="1DFE3718" w:rsidR="006414CA" w:rsidRPr="00CA505E" w:rsidRDefault="006414CA" w:rsidP="006414CA">
            <w:pPr>
              <w:pStyle w:val="TableText"/>
              <w:keepNext/>
              <w:jc w:val="center"/>
              <w:rPr>
                <w:b/>
                <w:bCs/>
              </w:rPr>
            </w:pPr>
            <w:r w:rsidRPr="00251DED">
              <w:rPr>
                <w:b/>
                <w:bCs/>
              </w:rPr>
              <w:t>redacted</w:t>
            </w:r>
          </w:p>
        </w:tc>
        <w:tc>
          <w:tcPr>
            <w:tcW w:w="1007" w:type="dxa"/>
            <w:tcMar>
              <w:top w:w="0" w:type="dxa"/>
              <w:left w:w="108" w:type="dxa"/>
              <w:bottom w:w="0" w:type="dxa"/>
              <w:right w:w="108" w:type="dxa"/>
            </w:tcMar>
          </w:tcPr>
          <w:p w14:paraId="726C25A3" w14:textId="3C94495E" w:rsidR="006414CA" w:rsidRPr="00CA505E" w:rsidRDefault="006414CA" w:rsidP="006414CA">
            <w:pPr>
              <w:pStyle w:val="TableText"/>
              <w:keepNext/>
              <w:jc w:val="center"/>
              <w:rPr>
                <w:b/>
                <w:bCs/>
              </w:rPr>
            </w:pPr>
            <w:r w:rsidRPr="00251DED">
              <w:rPr>
                <w:b/>
                <w:bCs/>
              </w:rPr>
              <w:t>redacted</w:t>
            </w:r>
          </w:p>
        </w:tc>
        <w:tc>
          <w:tcPr>
            <w:tcW w:w="1007" w:type="dxa"/>
            <w:tcMar>
              <w:top w:w="0" w:type="dxa"/>
              <w:left w:w="108" w:type="dxa"/>
              <w:bottom w:w="0" w:type="dxa"/>
              <w:right w:w="108" w:type="dxa"/>
            </w:tcMar>
          </w:tcPr>
          <w:p w14:paraId="39ECE35E" w14:textId="1FCF7716" w:rsidR="006414CA" w:rsidRPr="00CA505E" w:rsidRDefault="006414CA" w:rsidP="006414CA">
            <w:pPr>
              <w:pStyle w:val="TableText"/>
              <w:keepNext/>
              <w:jc w:val="center"/>
              <w:rPr>
                <w:b/>
                <w:bCs/>
              </w:rPr>
            </w:pPr>
            <w:r w:rsidRPr="00251DED">
              <w:rPr>
                <w:b/>
                <w:bCs/>
              </w:rPr>
              <w:t>redacted</w:t>
            </w:r>
          </w:p>
        </w:tc>
        <w:tc>
          <w:tcPr>
            <w:tcW w:w="1008" w:type="dxa"/>
            <w:tcMar>
              <w:top w:w="0" w:type="dxa"/>
              <w:left w:w="108" w:type="dxa"/>
              <w:bottom w:w="0" w:type="dxa"/>
              <w:right w:w="108" w:type="dxa"/>
            </w:tcMar>
          </w:tcPr>
          <w:p w14:paraId="4FDB4F03" w14:textId="2D7FF24C" w:rsidR="006414CA" w:rsidRPr="00CD76DA" w:rsidRDefault="006414CA" w:rsidP="006414CA">
            <w:pPr>
              <w:pStyle w:val="TableText"/>
              <w:keepNext/>
              <w:jc w:val="center"/>
              <w:rPr>
                <w:b/>
                <w:bCs/>
              </w:rPr>
            </w:pPr>
            <w:r w:rsidRPr="00251DED">
              <w:rPr>
                <w:b/>
                <w:bCs/>
              </w:rPr>
              <w:t>redacted</w:t>
            </w:r>
          </w:p>
        </w:tc>
      </w:tr>
      <w:tr w:rsidR="002B4F0C" w:rsidRPr="00CE28E3" w14:paraId="6D0EA5A7" w14:textId="77777777" w:rsidTr="00B821D3">
        <w:tc>
          <w:tcPr>
            <w:tcW w:w="9016" w:type="dxa"/>
            <w:gridSpan w:val="7"/>
            <w:tcMar>
              <w:top w:w="0" w:type="dxa"/>
              <w:left w:w="108" w:type="dxa"/>
              <w:bottom w:w="0" w:type="dxa"/>
              <w:right w:w="108" w:type="dxa"/>
            </w:tcMar>
          </w:tcPr>
          <w:p w14:paraId="73DFD581" w14:textId="77777777" w:rsidR="002B4F0C" w:rsidRPr="00CA505E" w:rsidRDefault="002B4F0C" w:rsidP="0078185D">
            <w:pPr>
              <w:pStyle w:val="TableText"/>
              <w:keepNext/>
              <w:rPr>
                <w:b/>
                <w:bCs/>
              </w:rPr>
            </w:pPr>
            <w:r w:rsidRPr="00CA505E">
              <w:rPr>
                <w:b/>
                <w:bCs/>
              </w:rPr>
              <w:t>Higher incidence: 165 rotator cuff repairs per 100,000 population</w:t>
            </w:r>
          </w:p>
        </w:tc>
      </w:tr>
      <w:tr w:rsidR="006414CA" w:rsidRPr="00CE28E3" w14:paraId="6FBB17BF" w14:textId="77777777" w:rsidTr="003B4E46">
        <w:tc>
          <w:tcPr>
            <w:tcW w:w="2972" w:type="dxa"/>
            <w:tcMar>
              <w:top w:w="0" w:type="dxa"/>
              <w:left w:w="108" w:type="dxa"/>
              <w:bottom w:w="0" w:type="dxa"/>
              <w:right w:w="108" w:type="dxa"/>
            </w:tcMar>
          </w:tcPr>
          <w:p w14:paraId="65F5F82B" w14:textId="77777777" w:rsidR="006414CA" w:rsidRPr="00CA505E" w:rsidRDefault="006414CA" w:rsidP="006414CA">
            <w:pPr>
              <w:pStyle w:val="TableText"/>
              <w:keepNext/>
            </w:pPr>
            <w:r w:rsidRPr="00CA505E">
              <w:t>Estimated utilisation of REGENETEN</w:t>
            </w:r>
          </w:p>
        </w:tc>
        <w:tc>
          <w:tcPr>
            <w:tcW w:w="1007" w:type="dxa"/>
            <w:tcMar>
              <w:top w:w="0" w:type="dxa"/>
              <w:left w:w="108" w:type="dxa"/>
              <w:bottom w:w="0" w:type="dxa"/>
              <w:right w:w="108" w:type="dxa"/>
            </w:tcMar>
          </w:tcPr>
          <w:p w14:paraId="283E773E" w14:textId="207F0A74"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7F715565" w14:textId="44C0CA80" w:rsidR="006414CA" w:rsidRPr="00CA505E" w:rsidRDefault="006414CA" w:rsidP="006414CA">
            <w:pPr>
              <w:pStyle w:val="TableText"/>
              <w:keepNext/>
              <w:jc w:val="center"/>
            </w:pPr>
            <w:r w:rsidRPr="0075656F">
              <w:rPr>
                <w:b/>
                <w:bCs/>
              </w:rPr>
              <w:t>redacted</w:t>
            </w:r>
          </w:p>
        </w:tc>
        <w:tc>
          <w:tcPr>
            <w:tcW w:w="1008" w:type="dxa"/>
            <w:tcMar>
              <w:top w:w="0" w:type="dxa"/>
              <w:left w:w="108" w:type="dxa"/>
              <w:bottom w:w="0" w:type="dxa"/>
              <w:right w:w="108" w:type="dxa"/>
            </w:tcMar>
          </w:tcPr>
          <w:p w14:paraId="39E5F5A8" w14:textId="3325597B"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460E1283" w14:textId="3AE69A60"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24E8F552" w14:textId="3BBD34C9" w:rsidR="006414CA" w:rsidRPr="00CA505E" w:rsidRDefault="006414CA" w:rsidP="006414CA">
            <w:pPr>
              <w:pStyle w:val="TableText"/>
              <w:keepNext/>
              <w:jc w:val="center"/>
            </w:pPr>
            <w:r w:rsidRPr="0075656F">
              <w:rPr>
                <w:b/>
                <w:bCs/>
              </w:rPr>
              <w:t>redacted</w:t>
            </w:r>
          </w:p>
        </w:tc>
        <w:tc>
          <w:tcPr>
            <w:tcW w:w="1008" w:type="dxa"/>
            <w:tcMar>
              <w:top w:w="0" w:type="dxa"/>
              <w:left w:w="108" w:type="dxa"/>
              <w:bottom w:w="0" w:type="dxa"/>
              <w:right w:w="108" w:type="dxa"/>
            </w:tcMar>
          </w:tcPr>
          <w:p w14:paraId="18181A71" w14:textId="649EC9AD" w:rsidR="006414CA" w:rsidRPr="00CE28E3" w:rsidRDefault="006414CA" w:rsidP="006414CA">
            <w:pPr>
              <w:pStyle w:val="TableText"/>
              <w:keepNext/>
              <w:jc w:val="center"/>
            </w:pPr>
            <w:r w:rsidRPr="0075656F">
              <w:rPr>
                <w:b/>
                <w:bCs/>
              </w:rPr>
              <w:t>redacted</w:t>
            </w:r>
          </w:p>
        </w:tc>
      </w:tr>
      <w:tr w:rsidR="006414CA" w:rsidRPr="00CE28E3" w14:paraId="630931B1" w14:textId="77777777" w:rsidTr="003B4E46">
        <w:tc>
          <w:tcPr>
            <w:tcW w:w="2972" w:type="dxa"/>
            <w:tcMar>
              <w:top w:w="0" w:type="dxa"/>
              <w:left w:w="108" w:type="dxa"/>
              <w:bottom w:w="0" w:type="dxa"/>
              <w:right w:w="108" w:type="dxa"/>
            </w:tcMar>
          </w:tcPr>
          <w:p w14:paraId="778AEB27" w14:textId="35251A47" w:rsidR="006414CA" w:rsidRPr="00CA505E" w:rsidRDefault="006414CA" w:rsidP="006414CA">
            <w:pPr>
              <w:pStyle w:val="TableText"/>
              <w:keepNext/>
            </w:pPr>
            <w:r w:rsidRPr="00CA505E">
              <w:t>Cost to the PHI*</w:t>
            </w:r>
          </w:p>
        </w:tc>
        <w:tc>
          <w:tcPr>
            <w:tcW w:w="1007" w:type="dxa"/>
            <w:tcMar>
              <w:top w:w="0" w:type="dxa"/>
              <w:left w:w="108" w:type="dxa"/>
              <w:bottom w:w="0" w:type="dxa"/>
              <w:right w:w="108" w:type="dxa"/>
            </w:tcMar>
          </w:tcPr>
          <w:p w14:paraId="276C1F3F" w14:textId="3AABD6B4"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79F772E6" w14:textId="6D587D99" w:rsidR="006414CA" w:rsidRPr="00CA505E" w:rsidRDefault="006414CA" w:rsidP="006414CA">
            <w:pPr>
              <w:pStyle w:val="TableText"/>
              <w:keepNext/>
              <w:jc w:val="center"/>
            </w:pPr>
            <w:r w:rsidRPr="0075656F">
              <w:rPr>
                <w:b/>
                <w:bCs/>
              </w:rPr>
              <w:t>redacted</w:t>
            </w:r>
          </w:p>
        </w:tc>
        <w:tc>
          <w:tcPr>
            <w:tcW w:w="1008" w:type="dxa"/>
            <w:tcMar>
              <w:top w:w="0" w:type="dxa"/>
              <w:left w:w="108" w:type="dxa"/>
              <w:bottom w:w="0" w:type="dxa"/>
              <w:right w:w="108" w:type="dxa"/>
            </w:tcMar>
          </w:tcPr>
          <w:p w14:paraId="24FFD88B" w14:textId="76D737FC"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0623110F" w14:textId="398BC3D8"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0A5227A5" w14:textId="41E514B4" w:rsidR="006414CA" w:rsidRPr="00CA505E" w:rsidRDefault="006414CA" w:rsidP="006414CA">
            <w:pPr>
              <w:pStyle w:val="TableText"/>
              <w:keepNext/>
              <w:jc w:val="center"/>
            </w:pPr>
            <w:r w:rsidRPr="0075656F">
              <w:rPr>
                <w:b/>
                <w:bCs/>
              </w:rPr>
              <w:t>redacted</w:t>
            </w:r>
          </w:p>
        </w:tc>
        <w:tc>
          <w:tcPr>
            <w:tcW w:w="1008" w:type="dxa"/>
            <w:tcMar>
              <w:top w:w="0" w:type="dxa"/>
              <w:left w:w="108" w:type="dxa"/>
              <w:bottom w:w="0" w:type="dxa"/>
              <w:right w:w="108" w:type="dxa"/>
            </w:tcMar>
          </w:tcPr>
          <w:p w14:paraId="0CC7AB74" w14:textId="6C1B29C2" w:rsidR="006414CA" w:rsidRPr="00CE28E3" w:rsidRDefault="006414CA" w:rsidP="006414CA">
            <w:pPr>
              <w:pStyle w:val="TableText"/>
              <w:keepNext/>
              <w:jc w:val="center"/>
            </w:pPr>
            <w:r w:rsidRPr="0075656F">
              <w:rPr>
                <w:b/>
                <w:bCs/>
              </w:rPr>
              <w:t>redacted</w:t>
            </w:r>
          </w:p>
        </w:tc>
      </w:tr>
      <w:tr w:rsidR="006414CA" w:rsidRPr="00CE28E3" w14:paraId="496E86DC" w14:textId="77777777" w:rsidTr="003B4E46">
        <w:tc>
          <w:tcPr>
            <w:tcW w:w="2972" w:type="dxa"/>
            <w:tcMar>
              <w:top w:w="0" w:type="dxa"/>
              <w:left w:w="108" w:type="dxa"/>
              <w:bottom w:w="0" w:type="dxa"/>
              <w:right w:w="108" w:type="dxa"/>
            </w:tcMar>
          </w:tcPr>
          <w:p w14:paraId="72C4481C" w14:textId="6B6DE55E" w:rsidR="006414CA" w:rsidRPr="00CA505E" w:rsidRDefault="006414CA" w:rsidP="006414CA">
            <w:pPr>
              <w:pStyle w:val="TableText"/>
              <w:keepNext/>
            </w:pPr>
            <w:r w:rsidRPr="00CA505E">
              <w:t>Cost offset to the PHI*</w:t>
            </w:r>
          </w:p>
        </w:tc>
        <w:tc>
          <w:tcPr>
            <w:tcW w:w="1007" w:type="dxa"/>
            <w:tcMar>
              <w:top w:w="0" w:type="dxa"/>
              <w:left w:w="108" w:type="dxa"/>
              <w:bottom w:w="0" w:type="dxa"/>
              <w:right w:w="108" w:type="dxa"/>
            </w:tcMar>
          </w:tcPr>
          <w:p w14:paraId="6F0F6131" w14:textId="691DF667"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3C107AEE" w14:textId="3D82C23B" w:rsidR="006414CA" w:rsidRPr="00CA505E" w:rsidRDefault="006414CA" w:rsidP="006414CA">
            <w:pPr>
              <w:pStyle w:val="TableText"/>
              <w:keepNext/>
              <w:jc w:val="center"/>
            </w:pPr>
            <w:r w:rsidRPr="0075656F">
              <w:rPr>
                <w:b/>
                <w:bCs/>
              </w:rPr>
              <w:t>redacted</w:t>
            </w:r>
          </w:p>
        </w:tc>
        <w:tc>
          <w:tcPr>
            <w:tcW w:w="1008" w:type="dxa"/>
            <w:tcMar>
              <w:top w:w="0" w:type="dxa"/>
              <w:left w:w="108" w:type="dxa"/>
              <w:bottom w:w="0" w:type="dxa"/>
              <w:right w:w="108" w:type="dxa"/>
            </w:tcMar>
          </w:tcPr>
          <w:p w14:paraId="5F48C61D" w14:textId="5C623217"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05E53595" w14:textId="3E288255" w:rsidR="006414CA" w:rsidRPr="00CA505E" w:rsidRDefault="006414CA" w:rsidP="006414CA">
            <w:pPr>
              <w:pStyle w:val="TableText"/>
              <w:keepNext/>
              <w:jc w:val="center"/>
            </w:pPr>
            <w:r w:rsidRPr="0075656F">
              <w:rPr>
                <w:b/>
                <w:bCs/>
              </w:rPr>
              <w:t>redacted</w:t>
            </w:r>
          </w:p>
        </w:tc>
        <w:tc>
          <w:tcPr>
            <w:tcW w:w="1007" w:type="dxa"/>
            <w:tcMar>
              <w:top w:w="0" w:type="dxa"/>
              <w:left w:w="108" w:type="dxa"/>
              <w:bottom w:w="0" w:type="dxa"/>
              <w:right w:w="108" w:type="dxa"/>
            </w:tcMar>
          </w:tcPr>
          <w:p w14:paraId="45454FF3" w14:textId="331CD8E3" w:rsidR="006414CA" w:rsidRPr="00CA505E" w:rsidRDefault="006414CA" w:rsidP="006414CA">
            <w:pPr>
              <w:pStyle w:val="TableText"/>
              <w:keepNext/>
              <w:jc w:val="center"/>
            </w:pPr>
            <w:r w:rsidRPr="0075656F">
              <w:rPr>
                <w:b/>
                <w:bCs/>
              </w:rPr>
              <w:t>redacted</w:t>
            </w:r>
          </w:p>
        </w:tc>
        <w:tc>
          <w:tcPr>
            <w:tcW w:w="1008" w:type="dxa"/>
            <w:tcMar>
              <w:top w:w="0" w:type="dxa"/>
              <w:left w:w="108" w:type="dxa"/>
              <w:bottom w:w="0" w:type="dxa"/>
              <w:right w:w="108" w:type="dxa"/>
            </w:tcMar>
          </w:tcPr>
          <w:p w14:paraId="0F18E74F" w14:textId="67F33571" w:rsidR="006414CA" w:rsidRPr="00CE28E3" w:rsidRDefault="006414CA" w:rsidP="006414CA">
            <w:pPr>
              <w:pStyle w:val="TableText"/>
              <w:keepNext/>
              <w:jc w:val="center"/>
            </w:pPr>
            <w:r w:rsidRPr="0075656F">
              <w:rPr>
                <w:b/>
                <w:bCs/>
              </w:rPr>
              <w:t>redacted</w:t>
            </w:r>
          </w:p>
        </w:tc>
      </w:tr>
      <w:tr w:rsidR="006414CA" w:rsidRPr="00CE28E3" w14:paraId="6D453509" w14:textId="77777777" w:rsidTr="003B4E46">
        <w:tc>
          <w:tcPr>
            <w:tcW w:w="2972" w:type="dxa"/>
            <w:tcMar>
              <w:top w:w="0" w:type="dxa"/>
              <w:left w:w="108" w:type="dxa"/>
              <w:bottom w:w="0" w:type="dxa"/>
              <w:right w:w="108" w:type="dxa"/>
            </w:tcMar>
          </w:tcPr>
          <w:p w14:paraId="30387280" w14:textId="58DB29CF" w:rsidR="006414CA" w:rsidRPr="00CA505E" w:rsidRDefault="006414CA" w:rsidP="006414CA">
            <w:pPr>
              <w:pStyle w:val="TableText"/>
              <w:keepNext/>
              <w:rPr>
                <w:b/>
                <w:bCs/>
              </w:rPr>
            </w:pPr>
            <w:r w:rsidRPr="00CA505E">
              <w:rPr>
                <w:b/>
                <w:bCs/>
              </w:rPr>
              <w:t>Net financial impact to the PHI</w:t>
            </w:r>
          </w:p>
        </w:tc>
        <w:tc>
          <w:tcPr>
            <w:tcW w:w="1007" w:type="dxa"/>
            <w:tcMar>
              <w:top w:w="0" w:type="dxa"/>
              <w:left w:w="108" w:type="dxa"/>
              <w:bottom w:w="0" w:type="dxa"/>
              <w:right w:w="108" w:type="dxa"/>
            </w:tcMar>
          </w:tcPr>
          <w:p w14:paraId="008D6468" w14:textId="78562FE1" w:rsidR="006414CA" w:rsidRPr="00CA505E" w:rsidRDefault="006414CA" w:rsidP="006414CA">
            <w:pPr>
              <w:pStyle w:val="TableText"/>
              <w:keepNext/>
              <w:jc w:val="center"/>
              <w:rPr>
                <w:b/>
                <w:bCs/>
              </w:rPr>
            </w:pPr>
            <w:r w:rsidRPr="0075656F">
              <w:rPr>
                <w:b/>
                <w:bCs/>
              </w:rPr>
              <w:t>redacted</w:t>
            </w:r>
          </w:p>
        </w:tc>
        <w:tc>
          <w:tcPr>
            <w:tcW w:w="1007" w:type="dxa"/>
            <w:tcMar>
              <w:top w:w="0" w:type="dxa"/>
              <w:left w:w="108" w:type="dxa"/>
              <w:bottom w:w="0" w:type="dxa"/>
              <w:right w:w="108" w:type="dxa"/>
            </w:tcMar>
          </w:tcPr>
          <w:p w14:paraId="4B519D55" w14:textId="1D77B6F0" w:rsidR="006414CA" w:rsidRPr="00CA505E" w:rsidRDefault="006414CA" w:rsidP="006414CA">
            <w:pPr>
              <w:pStyle w:val="TableText"/>
              <w:keepNext/>
              <w:jc w:val="center"/>
              <w:rPr>
                <w:b/>
                <w:bCs/>
              </w:rPr>
            </w:pPr>
            <w:r w:rsidRPr="0075656F">
              <w:rPr>
                <w:b/>
                <w:bCs/>
              </w:rPr>
              <w:t>redacted</w:t>
            </w:r>
          </w:p>
        </w:tc>
        <w:tc>
          <w:tcPr>
            <w:tcW w:w="1008" w:type="dxa"/>
            <w:tcMar>
              <w:top w:w="0" w:type="dxa"/>
              <w:left w:w="108" w:type="dxa"/>
              <w:bottom w:w="0" w:type="dxa"/>
              <w:right w:w="108" w:type="dxa"/>
            </w:tcMar>
          </w:tcPr>
          <w:p w14:paraId="150D9E86" w14:textId="14B1D3C1" w:rsidR="006414CA" w:rsidRPr="00CA505E" w:rsidRDefault="006414CA" w:rsidP="006414CA">
            <w:pPr>
              <w:pStyle w:val="TableText"/>
              <w:keepNext/>
              <w:jc w:val="center"/>
              <w:rPr>
                <w:b/>
                <w:bCs/>
              </w:rPr>
            </w:pPr>
            <w:r w:rsidRPr="0075656F">
              <w:rPr>
                <w:b/>
                <w:bCs/>
              </w:rPr>
              <w:t>redacted</w:t>
            </w:r>
          </w:p>
        </w:tc>
        <w:tc>
          <w:tcPr>
            <w:tcW w:w="1007" w:type="dxa"/>
            <w:tcMar>
              <w:top w:w="0" w:type="dxa"/>
              <w:left w:w="108" w:type="dxa"/>
              <w:bottom w:w="0" w:type="dxa"/>
              <w:right w:w="108" w:type="dxa"/>
            </w:tcMar>
          </w:tcPr>
          <w:p w14:paraId="4687350C" w14:textId="0515604B" w:rsidR="006414CA" w:rsidRPr="00CA505E" w:rsidRDefault="006414CA" w:rsidP="006414CA">
            <w:pPr>
              <w:pStyle w:val="TableText"/>
              <w:keepNext/>
              <w:jc w:val="center"/>
              <w:rPr>
                <w:b/>
                <w:bCs/>
              </w:rPr>
            </w:pPr>
            <w:r w:rsidRPr="0075656F">
              <w:rPr>
                <w:b/>
                <w:bCs/>
              </w:rPr>
              <w:t>redacted</w:t>
            </w:r>
          </w:p>
        </w:tc>
        <w:tc>
          <w:tcPr>
            <w:tcW w:w="1007" w:type="dxa"/>
            <w:tcMar>
              <w:top w:w="0" w:type="dxa"/>
              <w:left w:w="108" w:type="dxa"/>
              <w:bottom w:w="0" w:type="dxa"/>
              <w:right w:w="108" w:type="dxa"/>
            </w:tcMar>
          </w:tcPr>
          <w:p w14:paraId="4C0AFA4E" w14:textId="201BD42C" w:rsidR="006414CA" w:rsidRPr="00CA505E" w:rsidRDefault="006414CA" w:rsidP="006414CA">
            <w:pPr>
              <w:pStyle w:val="TableText"/>
              <w:keepNext/>
              <w:jc w:val="center"/>
              <w:rPr>
                <w:b/>
                <w:bCs/>
              </w:rPr>
            </w:pPr>
            <w:r w:rsidRPr="0075656F">
              <w:rPr>
                <w:b/>
                <w:bCs/>
              </w:rPr>
              <w:t>redacted</w:t>
            </w:r>
          </w:p>
        </w:tc>
        <w:tc>
          <w:tcPr>
            <w:tcW w:w="1008" w:type="dxa"/>
            <w:tcMar>
              <w:top w:w="0" w:type="dxa"/>
              <w:left w:w="108" w:type="dxa"/>
              <w:bottom w:w="0" w:type="dxa"/>
              <w:right w:w="108" w:type="dxa"/>
            </w:tcMar>
          </w:tcPr>
          <w:p w14:paraId="5C316038" w14:textId="3C720A19" w:rsidR="006414CA" w:rsidRPr="0011666E" w:rsidRDefault="006414CA" w:rsidP="006414CA">
            <w:pPr>
              <w:pStyle w:val="TableText"/>
              <w:keepNext/>
              <w:jc w:val="center"/>
              <w:rPr>
                <w:b/>
                <w:bCs/>
              </w:rPr>
            </w:pPr>
            <w:r w:rsidRPr="0075656F">
              <w:rPr>
                <w:b/>
                <w:bCs/>
              </w:rPr>
              <w:t>redacted</w:t>
            </w:r>
          </w:p>
        </w:tc>
      </w:tr>
      <w:tr w:rsidR="002B4F0C" w:rsidRPr="00CE28E3" w14:paraId="7A571B80" w14:textId="77777777" w:rsidTr="00B821D3">
        <w:tc>
          <w:tcPr>
            <w:tcW w:w="9016" w:type="dxa"/>
            <w:gridSpan w:val="7"/>
            <w:tcMar>
              <w:top w:w="0" w:type="dxa"/>
              <w:left w:w="108" w:type="dxa"/>
              <w:bottom w:w="0" w:type="dxa"/>
              <w:right w:w="108" w:type="dxa"/>
            </w:tcMar>
          </w:tcPr>
          <w:p w14:paraId="13107B4E" w14:textId="048AD7B6" w:rsidR="002B4F0C" w:rsidRPr="00CA505E" w:rsidRDefault="002B4F0C" w:rsidP="0078185D">
            <w:pPr>
              <w:pStyle w:val="TableText"/>
              <w:keepNext/>
              <w:rPr>
                <w:b/>
                <w:bCs/>
              </w:rPr>
            </w:pPr>
            <w:r w:rsidRPr="00CA505E">
              <w:rPr>
                <w:b/>
                <w:bCs/>
              </w:rPr>
              <w:t xml:space="preserve">Higher REGENETEN uptake 1: from </w:t>
            </w:r>
            <w:r w:rsidR="006414CA" w:rsidRPr="00DC01E7">
              <w:rPr>
                <w:b/>
                <w:bCs/>
              </w:rPr>
              <w:t>redacted</w:t>
            </w:r>
            <w:r w:rsidRPr="00CA505E">
              <w:rPr>
                <w:b/>
                <w:bCs/>
              </w:rPr>
              <w:t xml:space="preserve"> in year 1 to </w:t>
            </w:r>
            <w:r w:rsidR="006414CA" w:rsidRPr="00DC01E7">
              <w:rPr>
                <w:b/>
                <w:bCs/>
              </w:rPr>
              <w:t>redacted</w:t>
            </w:r>
            <w:r w:rsidRPr="00CA505E">
              <w:rPr>
                <w:b/>
                <w:bCs/>
              </w:rPr>
              <w:t xml:space="preserve"> in year 6</w:t>
            </w:r>
          </w:p>
        </w:tc>
      </w:tr>
      <w:tr w:rsidR="006414CA" w:rsidRPr="00CE28E3" w14:paraId="78DEEB26" w14:textId="77777777" w:rsidTr="003B4E46">
        <w:tc>
          <w:tcPr>
            <w:tcW w:w="2972" w:type="dxa"/>
            <w:tcMar>
              <w:top w:w="0" w:type="dxa"/>
              <w:left w:w="108" w:type="dxa"/>
              <w:bottom w:w="0" w:type="dxa"/>
              <w:right w:w="108" w:type="dxa"/>
            </w:tcMar>
          </w:tcPr>
          <w:p w14:paraId="7AC6F83B" w14:textId="77777777" w:rsidR="006414CA" w:rsidRPr="00CA505E" w:rsidRDefault="006414CA" w:rsidP="006414CA">
            <w:pPr>
              <w:pStyle w:val="TableText"/>
              <w:keepNext/>
              <w:rPr>
                <w:b/>
                <w:bCs/>
              </w:rPr>
            </w:pPr>
            <w:r w:rsidRPr="00CA505E">
              <w:t>Estimated utilisation of REGENETEN</w:t>
            </w:r>
          </w:p>
        </w:tc>
        <w:tc>
          <w:tcPr>
            <w:tcW w:w="1007" w:type="dxa"/>
            <w:tcMar>
              <w:top w:w="0" w:type="dxa"/>
              <w:left w:w="108" w:type="dxa"/>
              <w:bottom w:w="0" w:type="dxa"/>
              <w:right w:w="108" w:type="dxa"/>
            </w:tcMar>
          </w:tcPr>
          <w:p w14:paraId="3E2DDDA7" w14:textId="5D82120B"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009D3101" w14:textId="61FB2149"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296DA4F8" w14:textId="7A38DFEF"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6E5E7B02" w14:textId="72F3BBAC"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39A1FAEB" w14:textId="0B73AC66"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1623DCEB" w14:textId="6FA982B8" w:rsidR="006414CA" w:rsidRPr="00CE28E3" w:rsidRDefault="006414CA" w:rsidP="006414CA">
            <w:pPr>
              <w:pStyle w:val="TableText"/>
              <w:keepNext/>
              <w:jc w:val="center"/>
              <w:rPr>
                <w:b/>
                <w:bCs/>
              </w:rPr>
            </w:pPr>
            <w:r w:rsidRPr="0088333D">
              <w:rPr>
                <w:b/>
                <w:bCs/>
              </w:rPr>
              <w:t>redacted</w:t>
            </w:r>
          </w:p>
        </w:tc>
      </w:tr>
      <w:tr w:rsidR="006414CA" w:rsidRPr="00CE28E3" w14:paraId="3553FE44" w14:textId="77777777" w:rsidTr="003B4E46">
        <w:tc>
          <w:tcPr>
            <w:tcW w:w="2972" w:type="dxa"/>
            <w:tcMar>
              <w:top w:w="0" w:type="dxa"/>
              <w:left w:w="108" w:type="dxa"/>
              <w:bottom w:w="0" w:type="dxa"/>
              <w:right w:w="108" w:type="dxa"/>
            </w:tcMar>
          </w:tcPr>
          <w:p w14:paraId="1AF01176" w14:textId="7205343E" w:rsidR="006414CA" w:rsidRPr="00CA505E" w:rsidRDefault="006414CA" w:rsidP="006414CA">
            <w:pPr>
              <w:pStyle w:val="TableText"/>
              <w:keepNext/>
              <w:rPr>
                <w:b/>
                <w:bCs/>
              </w:rPr>
            </w:pPr>
            <w:r w:rsidRPr="00CA505E">
              <w:t>Cost to the PHI*</w:t>
            </w:r>
          </w:p>
        </w:tc>
        <w:tc>
          <w:tcPr>
            <w:tcW w:w="1007" w:type="dxa"/>
            <w:tcMar>
              <w:top w:w="0" w:type="dxa"/>
              <w:left w:w="108" w:type="dxa"/>
              <w:bottom w:w="0" w:type="dxa"/>
              <w:right w:w="108" w:type="dxa"/>
            </w:tcMar>
          </w:tcPr>
          <w:p w14:paraId="06DA8AB4" w14:textId="5508B97D"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0907BCAA" w14:textId="4AC0D8EF"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08DD6BC0" w14:textId="634F3192"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317B5BC0" w14:textId="702DABB1"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647B94A9" w14:textId="23209698"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74031545" w14:textId="6C1DE6C4" w:rsidR="006414CA" w:rsidRPr="00CE28E3" w:rsidRDefault="006414CA" w:rsidP="006414CA">
            <w:pPr>
              <w:pStyle w:val="TableText"/>
              <w:keepNext/>
              <w:jc w:val="center"/>
              <w:rPr>
                <w:b/>
                <w:bCs/>
              </w:rPr>
            </w:pPr>
            <w:r w:rsidRPr="0088333D">
              <w:rPr>
                <w:b/>
                <w:bCs/>
              </w:rPr>
              <w:t>redacted</w:t>
            </w:r>
          </w:p>
        </w:tc>
      </w:tr>
      <w:tr w:rsidR="006414CA" w:rsidRPr="00CE28E3" w14:paraId="75352261" w14:textId="77777777" w:rsidTr="003B4E46">
        <w:tc>
          <w:tcPr>
            <w:tcW w:w="2972" w:type="dxa"/>
            <w:tcMar>
              <w:top w:w="0" w:type="dxa"/>
              <w:left w:w="108" w:type="dxa"/>
              <w:bottom w:w="0" w:type="dxa"/>
              <w:right w:w="108" w:type="dxa"/>
            </w:tcMar>
          </w:tcPr>
          <w:p w14:paraId="724E3677" w14:textId="4CB21A58" w:rsidR="006414CA" w:rsidRPr="00CA505E" w:rsidRDefault="006414CA" w:rsidP="006414CA">
            <w:pPr>
              <w:pStyle w:val="TableText"/>
              <w:keepNext/>
              <w:rPr>
                <w:b/>
                <w:bCs/>
              </w:rPr>
            </w:pPr>
            <w:r w:rsidRPr="00CA505E">
              <w:t>Cost offset to the PHI*</w:t>
            </w:r>
          </w:p>
        </w:tc>
        <w:tc>
          <w:tcPr>
            <w:tcW w:w="1007" w:type="dxa"/>
            <w:tcMar>
              <w:top w:w="0" w:type="dxa"/>
              <w:left w:w="108" w:type="dxa"/>
              <w:bottom w:w="0" w:type="dxa"/>
              <w:right w:w="108" w:type="dxa"/>
            </w:tcMar>
          </w:tcPr>
          <w:p w14:paraId="3D8C632C" w14:textId="522AE995"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4DC57736" w14:textId="534FE70C"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2B7B1F7F" w14:textId="3B5FA31B"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2D740C8D" w14:textId="5F01244A"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581246A7" w14:textId="49DA10C9"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502D4ECE" w14:textId="3E994BDC" w:rsidR="006414CA" w:rsidRPr="00CE28E3" w:rsidRDefault="006414CA" w:rsidP="006414CA">
            <w:pPr>
              <w:pStyle w:val="TableText"/>
              <w:keepNext/>
              <w:jc w:val="center"/>
              <w:rPr>
                <w:b/>
                <w:bCs/>
              </w:rPr>
            </w:pPr>
            <w:r w:rsidRPr="0088333D">
              <w:rPr>
                <w:b/>
                <w:bCs/>
              </w:rPr>
              <w:t>redacted</w:t>
            </w:r>
          </w:p>
        </w:tc>
      </w:tr>
      <w:tr w:rsidR="006414CA" w:rsidRPr="00CE28E3" w14:paraId="7874CC35" w14:textId="77777777" w:rsidTr="003B4E46">
        <w:tc>
          <w:tcPr>
            <w:tcW w:w="2972" w:type="dxa"/>
            <w:tcMar>
              <w:top w:w="0" w:type="dxa"/>
              <w:left w:w="108" w:type="dxa"/>
              <w:bottom w:w="0" w:type="dxa"/>
              <w:right w:w="108" w:type="dxa"/>
            </w:tcMar>
          </w:tcPr>
          <w:p w14:paraId="1274D283" w14:textId="77777777" w:rsidR="006414CA" w:rsidRPr="00CA505E" w:rsidRDefault="006414CA" w:rsidP="006414CA">
            <w:pPr>
              <w:pStyle w:val="TableText"/>
              <w:keepNext/>
              <w:rPr>
                <w:b/>
                <w:bCs/>
              </w:rPr>
            </w:pPr>
            <w:r w:rsidRPr="00CA505E">
              <w:rPr>
                <w:b/>
                <w:bCs/>
              </w:rPr>
              <w:t>Net financial impact to the PHI</w:t>
            </w:r>
          </w:p>
        </w:tc>
        <w:tc>
          <w:tcPr>
            <w:tcW w:w="1007" w:type="dxa"/>
            <w:tcMar>
              <w:top w:w="0" w:type="dxa"/>
              <w:left w:w="108" w:type="dxa"/>
              <w:bottom w:w="0" w:type="dxa"/>
              <w:right w:w="108" w:type="dxa"/>
            </w:tcMar>
          </w:tcPr>
          <w:p w14:paraId="26BC9507" w14:textId="1A000B25"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2BADF22E" w14:textId="0EB84437"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4B3090DF" w14:textId="4E1DA72E"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2132A3C4" w14:textId="62A36833" w:rsidR="006414CA" w:rsidRPr="00CA505E" w:rsidRDefault="006414CA" w:rsidP="006414CA">
            <w:pPr>
              <w:pStyle w:val="TableText"/>
              <w:keepNext/>
              <w:jc w:val="center"/>
              <w:rPr>
                <w:b/>
                <w:bCs/>
              </w:rPr>
            </w:pPr>
            <w:r w:rsidRPr="0088333D">
              <w:rPr>
                <w:b/>
                <w:bCs/>
              </w:rPr>
              <w:t>redacted</w:t>
            </w:r>
          </w:p>
        </w:tc>
        <w:tc>
          <w:tcPr>
            <w:tcW w:w="1007" w:type="dxa"/>
            <w:tcMar>
              <w:top w:w="0" w:type="dxa"/>
              <w:left w:w="108" w:type="dxa"/>
              <w:bottom w:w="0" w:type="dxa"/>
              <w:right w:w="108" w:type="dxa"/>
            </w:tcMar>
          </w:tcPr>
          <w:p w14:paraId="2EC14722" w14:textId="31E15A39" w:rsidR="006414CA" w:rsidRPr="00CA505E" w:rsidRDefault="006414CA" w:rsidP="006414CA">
            <w:pPr>
              <w:pStyle w:val="TableText"/>
              <w:keepNext/>
              <w:jc w:val="center"/>
              <w:rPr>
                <w:b/>
                <w:bCs/>
              </w:rPr>
            </w:pPr>
            <w:r w:rsidRPr="0088333D">
              <w:rPr>
                <w:b/>
                <w:bCs/>
              </w:rPr>
              <w:t>redacted</w:t>
            </w:r>
          </w:p>
        </w:tc>
        <w:tc>
          <w:tcPr>
            <w:tcW w:w="1008" w:type="dxa"/>
            <w:tcMar>
              <w:top w:w="0" w:type="dxa"/>
              <w:left w:w="108" w:type="dxa"/>
              <w:bottom w:w="0" w:type="dxa"/>
              <w:right w:w="108" w:type="dxa"/>
            </w:tcMar>
          </w:tcPr>
          <w:p w14:paraId="47D2AE48" w14:textId="2006112C" w:rsidR="006414CA" w:rsidRPr="0011666E" w:rsidRDefault="006414CA" w:rsidP="006414CA">
            <w:pPr>
              <w:pStyle w:val="TableText"/>
              <w:keepNext/>
              <w:jc w:val="center"/>
              <w:rPr>
                <w:b/>
                <w:bCs/>
              </w:rPr>
            </w:pPr>
            <w:r w:rsidRPr="0088333D">
              <w:rPr>
                <w:b/>
                <w:bCs/>
              </w:rPr>
              <w:t>redacted</w:t>
            </w:r>
          </w:p>
        </w:tc>
      </w:tr>
      <w:tr w:rsidR="002B4F0C" w:rsidRPr="00CE28E3" w14:paraId="0C29DD5C" w14:textId="77777777" w:rsidTr="00B821D3">
        <w:tc>
          <w:tcPr>
            <w:tcW w:w="9016" w:type="dxa"/>
            <w:gridSpan w:val="7"/>
            <w:tcMar>
              <w:top w:w="0" w:type="dxa"/>
              <w:left w:w="108" w:type="dxa"/>
              <w:bottom w:w="0" w:type="dxa"/>
              <w:right w:w="108" w:type="dxa"/>
            </w:tcMar>
          </w:tcPr>
          <w:p w14:paraId="33CAF51B" w14:textId="1E56643D" w:rsidR="002B4F0C" w:rsidRPr="00CA505E" w:rsidRDefault="002B4F0C" w:rsidP="0078185D">
            <w:pPr>
              <w:pStyle w:val="TableText"/>
              <w:keepNext/>
              <w:rPr>
                <w:b/>
                <w:bCs/>
              </w:rPr>
            </w:pPr>
            <w:r w:rsidRPr="00CA505E">
              <w:rPr>
                <w:b/>
                <w:bCs/>
              </w:rPr>
              <w:t xml:space="preserve">Higher REGENETEN uptake 2: from </w:t>
            </w:r>
            <w:r w:rsidR="006414CA" w:rsidRPr="00DC01E7">
              <w:rPr>
                <w:b/>
                <w:bCs/>
              </w:rPr>
              <w:t>redacted</w:t>
            </w:r>
            <w:r w:rsidRPr="00CA505E">
              <w:rPr>
                <w:b/>
                <w:bCs/>
              </w:rPr>
              <w:t xml:space="preserve"> in year 1 to </w:t>
            </w:r>
            <w:r w:rsidR="006414CA" w:rsidRPr="00DC01E7">
              <w:rPr>
                <w:b/>
                <w:bCs/>
              </w:rPr>
              <w:t>redacted</w:t>
            </w:r>
            <w:r w:rsidRPr="00CA505E">
              <w:rPr>
                <w:b/>
                <w:bCs/>
              </w:rPr>
              <w:t xml:space="preserve"> in year 6</w:t>
            </w:r>
          </w:p>
        </w:tc>
      </w:tr>
      <w:tr w:rsidR="006414CA" w:rsidRPr="00CE28E3" w14:paraId="484467AC" w14:textId="77777777" w:rsidTr="003B4E46">
        <w:tc>
          <w:tcPr>
            <w:tcW w:w="2972" w:type="dxa"/>
            <w:tcMar>
              <w:top w:w="0" w:type="dxa"/>
              <w:left w:w="108" w:type="dxa"/>
              <w:bottom w:w="0" w:type="dxa"/>
              <w:right w:w="108" w:type="dxa"/>
            </w:tcMar>
          </w:tcPr>
          <w:p w14:paraId="3D1DD003" w14:textId="77777777" w:rsidR="006414CA" w:rsidRPr="00CA505E" w:rsidRDefault="006414CA" w:rsidP="006414CA">
            <w:pPr>
              <w:pStyle w:val="TableText"/>
              <w:keepNext/>
              <w:rPr>
                <w:b/>
                <w:bCs/>
              </w:rPr>
            </w:pPr>
            <w:r w:rsidRPr="00CA505E">
              <w:t>Estimated utilisation of REGENETEN</w:t>
            </w:r>
          </w:p>
        </w:tc>
        <w:tc>
          <w:tcPr>
            <w:tcW w:w="1007" w:type="dxa"/>
            <w:tcMar>
              <w:top w:w="0" w:type="dxa"/>
              <w:left w:w="108" w:type="dxa"/>
              <w:bottom w:w="0" w:type="dxa"/>
              <w:right w:w="108" w:type="dxa"/>
            </w:tcMar>
          </w:tcPr>
          <w:p w14:paraId="3BC1E8C5" w14:textId="7350305B"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190B93B4" w14:textId="665BF5BD"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6C2E1477" w14:textId="70EF360A"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3ED3FC49" w14:textId="23F90A6E"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65825B74" w14:textId="2411EDE9"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54FB504C" w14:textId="5EE0D637" w:rsidR="006414CA" w:rsidRPr="00CE28E3" w:rsidRDefault="006414CA" w:rsidP="006414CA">
            <w:pPr>
              <w:pStyle w:val="TableText"/>
              <w:keepNext/>
              <w:jc w:val="center"/>
              <w:rPr>
                <w:b/>
                <w:bCs/>
              </w:rPr>
            </w:pPr>
            <w:r w:rsidRPr="00174F62">
              <w:rPr>
                <w:b/>
                <w:bCs/>
              </w:rPr>
              <w:t>redacted</w:t>
            </w:r>
          </w:p>
        </w:tc>
      </w:tr>
      <w:tr w:rsidR="006414CA" w:rsidRPr="00CE28E3" w14:paraId="1E37F546" w14:textId="77777777" w:rsidTr="003B4E46">
        <w:tc>
          <w:tcPr>
            <w:tcW w:w="2972" w:type="dxa"/>
            <w:tcMar>
              <w:top w:w="0" w:type="dxa"/>
              <w:left w:w="108" w:type="dxa"/>
              <w:bottom w:w="0" w:type="dxa"/>
              <w:right w:w="108" w:type="dxa"/>
            </w:tcMar>
          </w:tcPr>
          <w:p w14:paraId="034A1930" w14:textId="67A98A7E" w:rsidR="006414CA" w:rsidRPr="00CA505E" w:rsidRDefault="006414CA" w:rsidP="006414CA">
            <w:pPr>
              <w:pStyle w:val="TableText"/>
              <w:keepNext/>
              <w:rPr>
                <w:b/>
                <w:bCs/>
              </w:rPr>
            </w:pPr>
            <w:r w:rsidRPr="00CA505E">
              <w:t>Cost to the PHI*</w:t>
            </w:r>
          </w:p>
        </w:tc>
        <w:tc>
          <w:tcPr>
            <w:tcW w:w="1007" w:type="dxa"/>
            <w:tcMar>
              <w:top w:w="0" w:type="dxa"/>
              <w:left w:w="108" w:type="dxa"/>
              <w:bottom w:w="0" w:type="dxa"/>
              <w:right w:w="108" w:type="dxa"/>
            </w:tcMar>
          </w:tcPr>
          <w:p w14:paraId="4CB508E6" w14:textId="7286DC43"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58233DD1" w14:textId="3ABCDFD7"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5B0758BC" w14:textId="7AE40B5A"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43E40E05" w14:textId="19946A24"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1EFABAF9" w14:textId="6DB8B706"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13E39E2E" w14:textId="164622A1" w:rsidR="006414CA" w:rsidRPr="00CE28E3" w:rsidRDefault="006414CA" w:rsidP="006414CA">
            <w:pPr>
              <w:pStyle w:val="TableText"/>
              <w:keepNext/>
              <w:jc w:val="center"/>
              <w:rPr>
                <w:b/>
                <w:bCs/>
              </w:rPr>
            </w:pPr>
            <w:r w:rsidRPr="00174F62">
              <w:rPr>
                <w:b/>
                <w:bCs/>
              </w:rPr>
              <w:t>redacted</w:t>
            </w:r>
          </w:p>
        </w:tc>
      </w:tr>
      <w:tr w:rsidR="006414CA" w:rsidRPr="00CE28E3" w14:paraId="093B4EAD" w14:textId="77777777" w:rsidTr="003B4E46">
        <w:tc>
          <w:tcPr>
            <w:tcW w:w="2972" w:type="dxa"/>
            <w:tcMar>
              <w:top w:w="0" w:type="dxa"/>
              <w:left w:w="108" w:type="dxa"/>
              <w:bottom w:w="0" w:type="dxa"/>
              <w:right w:w="108" w:type="dxa"/>
            </w:tcMar>
          </w:tcPr>
          <w:p w14:paraId="63C9387F" w14:textId="6E32EC85" w:rsidR="006414CA" w:rsidRPr="00CA505E" w:rsidRDefault="006414CA" w:rsidP="006414CA">
            <w:pPr>
              <w:pStyle w:val="TableText"/>
              <w:keepNext/>
              <w:rPr>
                <w:b/>
                <w:bCs/>
              </w:rPr>
            </w:pPr>
            <w:r w:rsidRPr="00CA505E">
              <w:t>Cost offset to the PHI*</w:t>
            </w:r>
          </w:p>
        </w:tc>
        <w:tc>
          <w:tcPr>
            <w:tcW w:w="1007" w:type="dxa"/>
            <w:tcMar>
              <w:top w:w="0" w:type="dxa"/>
              <w:left w:w="108" w:type="dxa"/>
              <w:bottom w:w="0" w:type="dxa"/>
              <w:right w:w="108" w:type="dxa"/>
            </w:tcMar>
          </w:tcPr>
          <w:p w14:paraId="39895793" w14:textId="1BAB4352"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64F16A68" w14:textId="1442698C"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1C8C06FA" w14:textId="52D7E1A5"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42F46D93" w14:textId="3EF86337"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361C888E" w14:textId="5A02FA83"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7FAF757E" w14:textId="46C5E925" w:rsidR="006414CA" w:rsidRPr="00CE28E3" w:rsidRDefault="006414CA" w:rsidP="006414CA">
            <w:pPr>
              <w:pStyle w:val="TableText"/>
              <w:keepNext/>
              <w:jc w:val="center"/>
              <w:rPr>
                <w:b/>
                <w:bCs/>
              </w:rPr>
            </w:pPr>
            <w:r w:rsidRPr="00174F62">
              <w:rPr>
                <w:b/>
                <w:bCs/>
              </w:rPr>
              <w:t>redacted</w:t>
            </w:r>
          </w:p>
        </w:tc>
      </w:tr>
      <w:tr w:rsidR="006414CA" w:rsidRPr="00CE28E3" w14:paraId="431A87CF" w14:textId="77777777" w:rsidTr="003B4E46">
        <w:tc>
          <w:tcPr>
            <w:tcW w:w="2972" w:type="dxa"/>
            <w:tcMar>
              <w:top w:w="0" w:type="dxa"/>
              <w:left w:w="108" w:type="dxa"/>
              <w:bottom w:w="0" w:type="dxa"/>
              <w:right w:w="108" w:type="dxa"/>
            </w:tcMar>
          </w:tcPr>
          <w:p w14:paraId="4345E58A" w14:textId="77777777" w:rsidR="006414CA" w:rsidRPr="00CA505E" w:rsidRDefault="006414CA" w:rsidP="006414CA">
            <w:pPr>
              <w:pStyle w:val="TableText"/>
              <w:keepNext/>
              <w:rPr>
                <w:b/>
                <w:bCs/>
              </w:rPr>
            </w:pPr>
            <w:r w:rsidRPr="00CA505E">
              <w:rPr>
                <w:b/>
                <w:bCs/>
              </w:rPr>
              <w:t>Net financial impact to the PHI</w:t>
            </w:r>
          </w:p>
        </w:tc>
        <w:tc>
          <w:tcPr>
            <w:tcW w:w="1007" w:type="dxa"/>
            <w:tcMar>
              <w:top w:w="0" w:type="dxa"/>
              <w:left w:w="108" w:type="dxa"/>
              <w:bottom w:w="0" w:type="dxa"/>
              <w:right w:w="108" w:type="dxa"/>
            </w:tcMar>
          </w:tcPr>
          <w:p w14:paraId="6B83BCCA" w14:textId="318E11C6"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37EE9389" w14:textId="324CB0E6"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569EB5E0" w14:textId="432B2479"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21B43AAD" w14:textId="69230348" w:rsidR="006414CA" w:rsidRPr="00CA505E" w:rsidRDefault="006414CA" w:rsidP="006414CA">
            <w:pPr>
              <w:pStyle w:val="TableText"/>
              <w:keepNext/>
              <w:jc w:val="center"/>
              <w:rPr>
                <w:b/>
                <w:bCs/>
              </w:rPr>
            </w:pPr>
            <w:r w:rsidRPr="00174F62">
              <w:rPr>
                <w:b/>
                <w:bCs/>
              </w:rPr>
              <w:t>redacted</w:t>
            </w:r>
          </w:p>
        </w:tc>
        <w:tc>
          <w:tcPr>
            <w:tcW w:w="1007" w:type="dxa"/>
            <w:tcMar>
              <w:top w:w="0" w:type="dxa"/>
              <w:left w:w="108" w:type="dxa"/>
              <w:bottom w:w="0" w:type="dxa"/>
              <w:right w:w="108" w:type="dxa"/>
            </w:tcMar>
          </w:tcPr>
          <w:p w14:paraId="1A3BD2B2" w14:textId="7F41CC60" w:rsidR="006414CA" w:rsidRPr="00CA505E" w:rsidRDefault="006414CA" w:rsidP="006414CA">
            <w:pPr>
              <w:pStyle w:val="TableText"/>
              <w:keepNext/>
              <w:jc w:val="center"/>
              <w:rPr>
                <w:b/>
                <w:bCs/>
              </w:rPr>
            </w:pPr>
            <w:r w:rsidRPr="00174F62">
              <w:rPr>
                <w:b/>
                <w:bCs/>
              </w:rPr>
              <w:t>redacted</w:t>
            </w:r>
          </w:p>
        </w:tc>
        <w:tc>
          <w:tcPr>
            <w:tcW w:w="1008" w:type="dxa"/>
            <w:tcMar>
              <w:top w:w="0" w:type="dxa"/>
              <w:left w:w="108" w:type="dxa"/>
              <w:bottom w:w="0" w:type="dxa"/>
              <w:right w:w="108" w:type="dxa"/>
            </w:tcMar>
          </w:tcPr>
          <w:p w14:paraId="040EB3F6" w14:textId="1CEA9346" w:rsidR="006414CA" w:rsidRPr="0011666E" w:rsidRDefault="006414CA" w:rsidP="006414CA">
            <w:pPr>
              <w:pStyle w:val="TableText"/>
              <w:keepNext/>
              <w:jc w:val="center"/>
              <w:rPr>
                <w:b/>
                <w:bCs/>
              </w:rPr>
            </w:pPr>
            <w:r w:rsidRPr="00174F62">
              <w:rPr>
                <w:b/>
                <w:bCs/>
              </w:rPr>
              <w:t>redacted</w:t>
            </w:r>
          </w:p>
        </w:tc>
      </w:tr>
      <w:tr w:rsidR="002B4F0C" w:rsidRPr="00CE28E3" w14:paraId="0365286D" w14:textId="77777777" w:rsidTr="00B821D3">
        <w:tc>
          <w:tcPr>
            <w:tcW w:w="9016" w:type="dxa"/>
            <w:gridSpan w:val="7"/>
            <w:tcMar>
              <w:top w:w="0" w:type="dxa"/>
              <w:left w:w="108" w:type="dxa"/>
              <w:bottom w:w="0" w:type="dxa"/>
              <w:right w:w="108" w:type="dxa"/>
            </w:tcMar>
          </w:tcPr>
          <w:p w14:paraId="660C5D53" w14:textId="73B84DB8" w:rsidR="002B4F0C" w:rsidRPr="00CA505E" w:rsidRDefault="002B4F0C" w:rsidP="006D479E">
            <w:pPr>
              <w:pStyle w:val="TableText"/>
              <w:keepNext/>
              <w:rPr>
                <w:b/>
                <w:bCs/>
              </w:rPr>
            </w:pPr>
            <w:r w:rsidRPr="00CA505E">
              <w:rPr>
                <w:b/>
                <w:bCs/>
              </w:rPr>
              <w:t xml:space="preserve">Higher proportion of RCR performed by PHI: from </w:t>
            </w:r>
            <w:r w:rsidR="006414CA" w:rsidRPr="00DC01E7">
              <w:rPr>
                <w:b/>
                <w:bCs/>
              </w:rPr>
              <w:t>redacted</w:t>
            </w:r>
            <w:r w:rsidR="006414CA" w:rsidRPr="00CA505E" w:rsidDel="006414CA">
              <w:rPr>
                <w:b/>
                <w:bCs/>
              </w:rPr>
              <w:t xml:space="preserve"> </w:t>
            </w:r>
            <w:r w:rsidRPr="00CA505E">
              <w:rPr>
                <w:b/>
                <w:bCs/>
              </w:rPr>
              <w:t xml:space="preserve">(base case) to </w:t>
            </w:r>
            <w:r w:rsidR="006414CA" w:rsidRPr="00DC01E7">
              <w:rPr>
                <w:b/>
                <w:bCs/>
              </w:rPr>
              <w:t>redacted</w:t>
            </w:r>
          </w:p>
        </w:tc>
      </w:tr>
      <w:tr w:rsidR="006414CA" w:rsidRPr="00CE28E3" w14:paraId="79FA6F15" w14:textId="77777777" w:rsidTr="003B4E46">
        <w:tc>
          <w:tcPr>
            <w:tcW w:w="2972" w:type="dxa"/>
            <w:tcMar>
              <w:top w:w="0" w:type="dxa"/>
              <w:left w:w="108" w:type="dxa"/>
              <w:bottom w:w="0" w:type="dxa"/>
              <w:right w:w="108" w:type="dxa"/>
            </w:tcMar>
          </w:tcPr>
          <w:p w14:paraId="5ACC86F5" w14:textId="77777777" w:rsidR="006414CA" w:rsidRPr="00CA505E" w:rsidRDefault="006414CA" w:rsidP="006414CA">
            <w:pPr>
              <w:pStyle w:val="TableText"/>
              <w:keepNext/>
            </w:pPr>
            <w:r w:rsidRPr="00CA505E">
              <w:t>Estimated utilisation of REGENETEN</w:t>
            </w:r>
          </w:p>
        </w:tc>
        <w:tc>
          <w:tcPr>
            <w:tcW w:w="1007" w:type="dxa"/>
            <w:tcMar>
              <w:top w:w="0" w:type="dxa"/>
              <w:left w:w="108" w:type="dxa"/>
              <w:bottom w:w="0" w:type="dxa"/>
              <w:right w:w="108" w:type="dxa"/>
            </w:tcMar>
          </w:tcPr>
          <w:p w14:paraId="73624908" w14:textId="008A7160"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1C98A48E" w14:textId="5A2C2825" w:rsidR="006414CA" w:rsidRPr="00CA505E" w:rsidRDefault="006414CA" w:rsidP="006414CA">
            <w:pPr>
              <w:pStyle w:val="TableText"/>
              <w:keepNext/>
              <w:jc w:val="center"/>
            </w:pPr>
            <w:r w:rsidRPr="002E4309">
              <w:rPr>
                <w:b/>
                <w:bCs/>
              </w:rPr>
              <w:t>redacted</w:t>
            </w:r>
          </w:p>
        </w:tc>
        <w:tc>
          <w:tcPr>
            <w:tcW w:w="1008" w:type="dxa"/>
            <w:tcMar>
              <w:top w:w="0" w:type="dxa"/>
              <w:left w:w="108" w:type="dxa"/>
              <w:bottom w:w="0" w:type="dxa"/>
              <w:right w:w="108" w:type="dxa"/>
            </w:tcMar>
          </w:tcPr>
          <w:p w14:paraId="26ED9DC0" w14:textId="6B0CFD17"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04C99124" w14:textId="6C564501"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43D1C302" w14:textId="44A215B3" w:rsidR="006414CA" w:rsidRPr="00CA505E" w:rsidRDefault="006414CA" w:rsidP="006414CA">
            <w:pPr>
              <w:pStyle w:val="TableText"/>
              <w:keepNext/>
              <w:jc w:val="center"/>
            </w:pPr>
            <w:r w:rsidRPr="002E4309">
              <w:rPr>
                <w:b/>
                <w:bCs/>
              </w:rPr>
              <w:t>redacted</w:t>
            </w:r>
          </w:p>
        </w:tc>
        <w:tc>
          <w:tcPr>
            <w:tcW w:w="1008" w:type="dxa"/>
            <w:tcMar>
              <w:top w:w="0" w:type="dxa"/>
              <w:left w:w="108" w:type="dxa"/>
              <w:bottom w:w="0" w:type="dxa"/>
              <w:right w:w="108" w:type="dxa"/>
            </w:tcMar>
          </w:tcPr>
          <w:p w14:paraId="6132EEA7" w14:textId="192741E1" w:rsidR="006414CA" w:rsidRPr="00AC71EF" w:rsidRDefault="006414CA" w:rsidP="006414CA">
            <w:pPr>
              <w:pStyle w:val="TableText"/>
              <w:keepNext/>
              <w:jc w:val="center"/>
            </w:pPr>
            <w:r w:rsidRPr="002E4309">
              <w:rPr>
                <w:b/>
                <w:bCs/>
              </w:rPr>
              <w:t>redacted</w:t>
            </w:r>
          </w:p>
        </w:tc>
      </w:tr>
      <w:tr w:rsidR="006414CA" w:rsidRPr="00CE28E3" w14:paraId="5BDACA2D" w14:textId="77777777" w:rsidTr="003B4E46">
        <w:tc>
          <w:tcPr>
            <w:tcW w:w="2972" w:type="dxa"/>
            <w:tcMar>
              <w:top w:w="0" w:type="dxa"/>
              <w:left w:w="108" w:type="dxa"/>
              <w:bottom w:w="0" w:type="dxa"/>
              <w:right w:w="108" w:type="dxa"/>
            </w:tcMar>
          </w:tcPr>
          <w:p w14:paraId="1784607B" w14:textId="32A8A7F9" w:rsidR="006414CA" w:rsidRPr="00CA505E" w:rsidRDefault="006414CA" w:rsidP="006414CA">
            <w:pPr>
              <w:pStyle w:val="TableText"/>
              <w:keepNext/>
            </w:pPr>
            <w:r w:rsidRPr="00CA505E">
              <w:t>Cost to the PHI*</w:t>
            </w:r>
          </w:p>
        </w:tc>
        <w:tc>
          <w:tcPr>
            <w:tcW w:w="1007" w:type="dxa"/>
            <w:tcMar>
              <w:top w:w="0" w:type="dxa"/>
              <w:left w:w="108" w:type="dxa"/>
              <w:bottom w:w="0" w:type="dxa"/>
              <w:right w:w="108" w:type="dxa"/>
            </w:tcMar>
          </w:tcPr>
          <w:p w14:paraId="4C761F3B" w14:textId="12172404"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6A98FE63" w14:textId="1CCD67AD" w:rsidR="006414CA" w:rsidRPr="00CA505E" w:rsidRDefault="006414CA" w:rsidP="006414CA">
            <w:pPr>
              <w:pStyle w:val="TableText"/>
              <w:keepNext/>
              <w:jc w:val="center"/>
            </w:pPr>
            <w:r w:rsidRPr="002E4309">
              <w:rPr>
                <w:b/>
                <w:bCs/>
              </w:rPr>
              <w:t>redacted</w:t>
            </w:r>
          </w:p>
        </w:tc>
        <w:tc>
          <w:tcPr>
            <w:tcW w:w="1008" w:type="dxa"/>
            <w:tcMar>
              <w:top w:w="0" w:type="dxa"/>
              <w:left w:w="108" w:type="dxa"/>
              <w:bottom w:w="0" w:type="dxa"/>
              <w:right w:w="108" w:type="dxa"/>
            </w:tcMar>
          </w:tcPr>
          <w:p w14:paraId="0A6401A5" w14:textId="0F0F107F"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399FDD13" w14:textId="4FF897E6"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44F0FC57" w14:textId="0EE84280" w:rsidR="006414CA" w:rsidRPr="00CA505E" w:rsidRDefault="006414CA" w:rsidP="006414CA">
            <w:pPr>
              <w:pStyle w:val="TableText"/>
              <w:keepNext/>
              <w:jc w:val="center"/>
            </w:pPr>
            <w:r w:rsidRPr="002E4309">
              <w:rPr>
                <w:b/>
                <w:bCs/>
              </w:rPr>
              <w:t>redacted</w:t>
            </w:r>
          </w:p>
        </w:tc>
        <w:tc>
          <w:tcPr>
            <w:tcW w:w="1008" w:type="dxa"/>
            <w:tcMar>
              <w:top w:w="0" w:type="dxa"/>
              <w:left w:w="108" w:type="dxa"/>
              <w:bottom w:w="0" w:type="dxa"/>
              <w:right w:w="108" w:type="dxa"/>
            </w:tcMar>
          </w:tcPr>
          <w:p w14:paraId="6C0D78A9" w14:textId="1E64FEEC" w:rsidR="006414CA" w:rsidRPr="00AC71EF" w:rsidRDefault="006414CA" w:rsidP="006414CA">
            <w:pPr>
              <w:pStyle w:val="TableText"/>
              <w:keepNext/>
              <w:jc w:val="center"/>
            </w:pPr>
            <w:r w:rsidRPr="002E4309">
              <w:rPr>
                <w:b/>
                <w:bCs/>
              </w:rPr>
              <w:t>redacted</w:t>
            </w:r>
          </w:p>
        </w:tc>
      </w:tr>
      <w:tr w:rsidR="006414CA" w:rsidRPr="00CE28E3" w14:paraId="31EA5ABD" w14:textId="77777777" w:rsidTr="003B4E46">
        <w:tc>
          <w:tcPr>
            <w:tcW w:w="2972" w:type="dxa"/>
            <w:tcMar>
              <w:top w:w="0" w:type="dxa"/>
              <w:left w:w="108" w:type="dxa"/>
              <w:bottom w:w="0" w:type="dxa"/>
              <w:right w:w="108" w:type="dxa"/>
            </w:tcMar>
          </w:tcPr>
          <w:p w14:paraId="738B1801" w14:textId="0B40C677" w:rsidR="006414CA" w:rsidRPr="00CA505E" w:rsidRDefault="006414CA" w:rsidP="006414CA">
            <w:pPr>
              <w:pStyle w:val="TableText"/>
              <w:keepNext/>
            </w:pPr>
            <w:r w:rsidRPr="00CA505E">
              <w:t>Cost offset to the PHI*</w:t>
            </w:r>
          </w:p>
        </w:tc>
        <w:tc>
          <w:tcPr>
            <w:tcW w:w="1007" w:type="dxa"/>
            <w:tcMar>
              <w:top w:w="0" w:type="dxa"/>
              <w:left w:w="108" w:type="dxa"/>
              <w:bottom w:w="0" w:type="dxa"/>
              <w:right w:w="108" w:type="dxa"/>
            </w:tcMar>
          </w:tcPr>
          <w:p w14:paraId="3A24E1A3" w14:textId="23946D64"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33F10D0C" w14:textId="10355E03" w:rsidR="006414CA" w:rsidRPr="00CA505E" w:rsidRDefault="006414CA" w:rsidP="006414CA">
            <w:pPr>
              <w:pStyle w:val="TableText"/>
              <w:keepNext/>
              <w:jc w:val="center"/>
            </w:pPr>
            <w:r w:rsidRPr="002E4309">
              <w:rPr>
                <w:b/>
                <w:bCs/>
              </w:rPr>
              <w:t>redacted</w:t>
            </w:r>
          </w:p>
        </w:tc>
        <w:tc>
          <w:tcPr>
            <w:tcW w:w="1008" w:type="dxa"/>
            <w:tcMar>
              <w:top w:w="0" w:type="dxa"/>
              <w:left w:w="108" w:type="dxa"/>
              <w:bottom w:w="0" w:type="dxa"/>
              <w:right w:w="108" w:type="dxa"/>
            </w:tcMar>
          </w:tcPr>
          <w:p w14:paraId="418E4F3D" w14:textId="6A6453E8"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0B82B4C0" w14:textId="25F3DBAD" w:rsidR="006414CA" w:rsidRPr="00CA505E" w:rsidRDefault="006414CA" w:rsidP="006414CA">
            <w:pPr>
              <w:pStyle w:val="TableText"/>
              <w:keepNext/>
              <w:jc w:val="center"/>
            </w:pPr>
            <w:r w:rsidRPr="002E4309">
              <w:rPr>
                <w:b/>
                <w:bCs/>
              </w:rPr>
              <w:t>redacted</w:t>
            </w:r>
          </w:p>
        </w:tc>
        <w:tc>
          <w:tcPr>
            <w:tcW w:w="1007" w:type="dxa"/>
            <w:tcMar>
              <w:top w:w="0" w:type="dxa"/>
              <w:left w:w="108" w:type="dxa"/>
              <w:bottom w:w="0" w:type="dxa"/>
              <w:right w:w="108" w:type="dxa"/>
            </w:tcMar>
          </w:tcPr>
          <w:p w14:paraId="305CD835" w14:textId="173F4102" w:rsidR="006414CA" w:rsidRPr="00CA505E" w:rsidRDefault="006414CA" w:rsidP="006414CA">
            <w:pPr>
              <w:pStyle w:val="TableText"/>
              <w:keepNext/>
              <w:jc w:val="center"/>
            </w:pPr>
            <w:r w:rsidRPr="002E4309">
              <w:rPr>
                <w:b/>
                <w:bCs/>
              </w:rPr>
              <w:t>redacted</w:t>
            </w:r>
          </w:p>
        </w:tc>
        <w:tc>
          <w:tcPr>
            <w:tcW w:w="1008" w:type="dxa"/>
            <w:tcMar>
              <w:top w:w="0" w:type="dxa"/>
              <w:left w:w="108" w:type="dxa"/>
              <w:bottom w:w="0" w:type="dxa"/>
              <w:right w:w="108" w:type="dxa"/>
            </w:tcMar>
          </w:tcPr>
          <w:p w14:paraId="74DF3467" w14:textId="53379A3D" w:rsidR="006414CA" w:rsidRPr="00AC71EF" w:rsidRDefault="006414CA" w:rsidP="006414CA">
            <w:pPr>
              <w:pStyle w:val="TableText"/>
              <w:keepNext/>
              <w:jc w:val="center"/>
            </w:pPr>
            <w:r w:rsidRPr="002E4309">
              <w:rPr>
                <w:b/>
                <w:bCs/>
              </w:rPr>
              <w:t>redacted</w:t>
            </w:r>
          </w:p>
        </w:tc>
      </w:tr>
      <w:tr w:rsidR="006414CA" w:rsidRPr="00CE28E3" w14:paraId="0377FB6F" w14:textId="77777777" w:rsidTr="003B4E46">
        <w:tc>
          <w:tcPr>
            <w:tcW w:w="2972" w:type="dxa"/>
            <w:tcMar>
              <w:top w:w="0" w:type="dxa"/>
              <w:left w:w="108" w:type="dxa"/>
              <w:bottom w:w="0" w:type="dxa"/>
              <w:right w:w="108" w:type="dxa"/>
            </w:tcMar>
          </w:tcPr>
          <w:p w14:paraId="06A7E04D" w14:textId="77777777" w:rsidR="006414CA" w:rsidRPr="00CA505E" w:rsidRDefault="006414CA" w:rsidP="006414CA">
            <w:pPr>
              <w:pStyle w:val="TableText"/>
              <w:keepNext/>
              <w:rPr>
                <w:b/>
                <w:bCs/>
              </w:rPr>
            </w:pPr>
            <w:r w:rsidRPr="00CA505E">
              <w:rPr>
                <w:b/>
                <w:bCs/>
              </w:rPr>
              <w:t>Net financial impact to the PHI</w:t>
            </w:r>
          </w:p>
        </w:tc>
        <w:tc>
          <w:tcPr>
            <w:tcW w:w="1007" w:type="dxa"/>
            <w:tcMar>
              <w:top w:w="0" w:type="dxa"/>
              <w:left w:w="108" w:type="dxa"/>
              <w:bottom w:w="0" w:type="dxa"/>
              <w:right w:w="108" w:type="dxa"/>
            </w:tcMar>
          </w:tcPr>
          <w:p w14:paraId="7154A311" w14:textId="1724F027" w:rsidR="006414CA" w:rsidRPr="00CA505E" w:rsidRDefault="006414CA" w:rsidP="006414CA">
            <w:pPr>
              <w:pStyle w:val="TableText"/>
              <w:keepNext/>
              <w:jc w:val="center"/>
              <w:rPr>
                <w:b/>
                <w:bCs/>
              </w:rPr>
            </w:pPr>
            <w:r w:rsidRPr="002E4309">
              <w:rPr>
                <w:b/>
                <w:bCs/>
              </w:rPr>
              <w:t>redacted</w:t>
            </w:r>
          </w:p>
        </w:tc>
        <w:tc>
          <w:tcPr>
            <w:tcW w:w="1007" w:type="dxa"/>
            <w:tcMar>
              <w:top w:w="0" w:type="dxa"/>
              <w:left w:w="108" w:type="dxa"/>
              <w:bottom w:w="0" w:type="dxa"/>
              <w:right w:w="108" w:type="dxa"/>
            </w:tcMar>
          </w:tcPr>
          <w:p w14:paraId="5700ACC0" w14:textId="7F1DC169" w:rsidR="006414CA" w:rsidRPr="00CA505E" w:rsidRDefault="006414CA" w:rsidP="006414CA">
            <w:pPr>
              <w:pStyle w:val="TableText"/>
              <w:keepNext/>
              <w:jc w:val="center"/>
              <w:rPr>
                <w:b/>
                <w:bCs/>
              </w:rPr>
            </w:pPr>
            <w:r w:rsidRPr="002E4309">
              <w:rPr>
                <w:b/>
                <w:bCs/>
              </w:rPr>
              <w:t>redacted</w:t>
            </w:r>
          </w:p>
        </w:tc>
        <w:tc>
          <w:tcPr>
            <w:tcW w:w="1008" w:type="dxa"/>
            <w:tcMar>
              <w:top w:w="0" w:type="dxa"/>
              <w:left w:w="108" w:type="dxa"/>
              <w:bottom w:w="0" w:type="dxa"/>
              <w:right w:w="108" w:type="dxa"/>
            </w:tcMar>
          </w:tcPr>
          <w:p w14:paraId="4FF0190A" w14:textId="3391D0A8" w:rsidR="006414CA" w:rsidRPr="00CA505E" w:rsidRDefault="006414CA" w:rsidP="006414CA">
            <w:pPr>
              <w:pStyle w:val="TableText"/>
              <w:keepNext/>
              <w:jc w:val="center"/>
              <w:rPr>
                <w:b/>
                <w:bCs/>
              </w:rPr>
            </w:pPr>
            <w:r w:rsidRPr="002E4309">
              <w:rPr>
                <w:b/>
                <w:bCs/>
              </w:rPr>
              <w:t>redacted</w:t>
            </w:r>
          </w:p>
        </w:tc>
        <w:tc>
          <w:tcPr>
            <w:tcW w:w="1007" w:type="dxa"/>
            <w:tcMar>
              <w:top w:w="0" w:type="dxa"/>
              <w:left w:w="108" w:type="dxa"/>
              <w:bottom w:w="0" w:type="dxa"/>
              <w:right w:w="108" w:type="dxa"/>
            </w:tcMar>
          </w:tcPr>
          <w:p w14:paraId="48FD85ED" w14:textId="7BFE8C14" w:rsidR="006414CA" w:rsidRPr="00CA505E" w:rsidRDefault="006414CA" w:rsidP="006414CA">
            <w:pPr>
              <w:pStyle w:val="TableText"/>
              <w:keepNext/>
              <w:jc w:val="center"/>
              <w:rPr>
                <w:b/>
                <w:bCs/>
              </w:rPr>
            </w:pPr>
            <w:r w:rsidRPr="002E4309">
              <w:rPr>
                <w:b/>
                <w:bCs/>
              </w:rPr>
              <w:t>redacted</w:t>
            </w:r>
          </w:p>
        </w:tc>
        <w:tc>
          <w:tcPr>
            <w:tcW w:w="1007" w:type="dxa"/>
            <w:tcMar>
              <w:top w:w="0" w:type="dxa"/>
              <w:left w:w="108" w:type="dxa"/>
              <w:bottom w:w="0" w:type="dxa"/>
              <w:right w:w="108" w:type="dxa"/>
            </w:tcMar>
          </w:tcPr>
          <w:p w14:paraId="4107A126" w14:textId="6F50CD4E" w:rsidR="006414CA" w:rsidRPr="00CA505E" w:rsidRDefault="006414CA" w:rsidP="006414CA">
            <w:pPr>
              <w:pStyle w:val="TableText"/>
              <w:keepNext/>
              <w:jc w:val="center"/>
              <w:rPr>
                <w:b/>
                <w:bCs/>
              </w:rPr>
            </w:pPr>
            <w:r w:rsidRPr="002E4309">
              <w:rPr>
                <w:b/>
                <w:bCs/>
              </w:rPr>
              <w:t>redacted</w:t>
            </w:r>
          </w:p>
        </w:tc>
        <w:tc>
          <w:tcPr>
            <w:tcW w:w="1008" w:type="dxa"/>
            <w:tcMar>
              <w:top w:w="0" w:type="dxa"/>
              <w:left w:w="108" w:type="dxa"/>
              <w:bottom w:w="0" w:type="dxa"/>
              <w:right w:w="108" w:type="dxa"/>
            </w:tcMar>
          </w:tcPr>
          <w:p w14:paraId="5CBE16A7" w14:textId="1F57C246" w:rsidR="006414CA" w:rsidRPr="00CD76DA" w:rsidRDefault="006414CA" w:rsidP="006414CA">
            <w:pPr>
              <w:pStyle w:val="TableText"/>
              <w:keepNext/>
              <w:jc w:val="center"/>
              <w:rPr>
                <w:b/>
                <w:bCs/>
              </w:rPr>
            </w:pPr>
            <w:r w:rsidRPr="002E4309">
              <w:rPr>
                <w:b/>
                <w:bCs/>
              </w:rPr>
              <w:t>redacted</w:t>
            </w:r>
          </w:p>
        </w:tc>
      </w:tr>
    </w:tbl>
    <w:p w14:paraId="6161E4BD" w14:textId="6643A573" w:rsidR="002B4F0C" w:rsidRPr="00B821D3" w:rsidRDefault="002B4F0C" w:rsidP="00B821D3">
      <w:pPr>
        <w:pStyle w:val="Tablenotes"/>
        <w:spacing w:after="0"/>
        <w:contextualSpacing w:val="0"/>
        <w:jc w:val="both"/>
        <w:rPr>
          <w:rStyle w:val="CommentReference"/>
          <w:sz w:val="18"/>
          <w:szCs w:val="20"/>
        </w:rPr>
      </w:pPr>
      <w:r w:rsidRPr="00A6552C">
        <w:rPr>
          <w:rStyle w:val="CommentReference"/>
          <w:sz w:val="18"/>
          <w:szCs w:val="20"/>
        </w:rPr>
        <w:t xml:space="preserve">Source: Table 84, </w:t>
      </w:r>
      <w:r w:rsidR="00C84466" w:rsidRPr="00A6552C">
        <w:rPr>
          <w:rStyle w:val="CommentReference"/>
          <w:sz w:val="18"/>
          <w:szCs w:val="20"/>
        </w:rPr>
        <w:t>pg</w:t>
      </w:r>
      <w:r w:rsidRPr="00A6552C">
        <w:rPr>
          <w:rStyle w:val="CommentReference"/>
          <w:sz w:val="18"/>
          <w:szCs w:val="20"/>
        </w:rPr>
        <w:t>1</w:t>
      </w:r>
      <w:r w:rsidR="00854096" w:rsidRPr="00A6552C">
        <w:rPr>
          <w:rStyle w:val="CommentReference"/>
          <w:sz w:val="18"/>
          <w:szCs w:val="20"/>
        </w:rPr>
        <w:t>80-181</w:t>
      </w:r>
      <w:r w:rsidRPr="00A6552C">
        <w:rPr>
          <w:rStyle w:val="CommentReference"/>
          <w:sz w:val="18"/>
          <w:szCs w:val="20"/>
        </w:rPr>
        <w:t xml:space="preserve"> of the MSAC application 1593.1 ADAR + In line commentary </w:t>
      </w:r>
    </w:p>
    <w:p w14:paraId="03911269" w14:textId="2D3A6F43" w:rsidR="002B4F0C" w:rsidRPr="00A6552C" w:rsidRDefault="002B4F0C" w:rsidP="00B821D3">
      <w:pPr>
        <w:pStyle w:val="Tablenotes"/>
        <w:jc w:val="both"/>
        <w:rPr>
          <w:rStyle w:val="CommentReference"/>
          <w:rFonts w:eastAsia="Calibri"/>
          <w:sz w:val="18"/>
          <w:szCs w:val="20"/>
        </w:rPr>
      </w:pPr>
      <w:r w:rsidRPr="00A6552C">
        <w:rPr>
          <w:rStyle w:val="CommentReference"/>
          <w:sz w:val="18"/>
          <w:szCs w:val="20"/>
        </w:rPr>
        <w:t xml:space="preserve">Abbreviations: </w:t>
      </w:r>
      <w:r w:rsidRPr="00A6552C">
        <w:rPr>
          <w:rStyle w:val="CommentReference"/>
          <w:rFonts w:eastAsia="Calibri"/>
          <w:sz w:val="18"/>
          <w:szCs w:val="20"/>
        </w:rPr>
        <w:t>PHI: Private Health Insurance; RCR = Rotator cuff repair</w:t>
      </w:r>
      <w:bookmarkEnd w:id="102"/>
    </w:p>
    <w:p w14:paraId="5E733B31" w14:textId="70C26F5E" w:rsidR="00E73DB3" w:rsidRPr="00A6552C" w:rsidRDefault="00E73DB3" w:rsidP="00B821D3">
      <w:pPr>
        <w:pStyle w:val="Tablenotes"/>
        <w:jc w:val="both"/>
        <w:rPr>
          <w:rStyle w:val="CommentReference"/>
          <w:rFonts w:eastAsia="Calibri"/>
          <w:sz w:val="18"/>
          <w:szCs w:val="20"/>
        </w:rPr>
      </w:pPr>
      <w:r w:rsidRPr="00A6552C">
        <w:rPr>
          <w:rStyle w:val="CommentReference"/>
          <w:rFonts w:eastAsia="Calibri"/>
          <w:sz w:val="18"/>
          <w:szCs w:val="20"/>
        </w:rPr>
        <w:t xml:space="preserve">Notes: </w:t>
      </w:r>
      <w:r w:rsidR="00B821D3">
        <w:rPr>
          <w:rStyle w:val="CommentReference"/>
          <w:rFonts w:eastAsia="Calibri"/>
          <w:sz w:val="18"/>
          <w:szCs w:val="20"/>
        </w:rPr>
        <w:t>*</w:t>
      </w:r>
      <w:r w:rsidRPr="00A6552C">
        <w:rPr>
          <w:rStyle w:val="CommentReference"/>
          <w:rFonts w:eastAsia="Calibri"/>
          <w:sz w:val="18"/>
          <w:szCs w:val="20"/>
        </w:rPr>
        <w:t>Cost in Australian dollar millions</w:t>
      </w:r>
    </w:p>
    <w:p w14:paraId="6F7C0143" w14:textId="3FEADAE6" w:rsidR="002B4F0C" w:rsidRDefault="002B4F0C" w:rsidP="003B4E46">
      <w:bookmarkStart w:id="103" w:name="_Hlk163606168"/>
      <w:r w:rsidRPr="00D31140">
        <w:t xml:space="preserve">The main sources of uncertainty in the financial implications analysis </w:t>
      </w:r>
      <w:r w:rsidR="006277AB">
        <w:t>we</w:t>
      </w:r>
      <w:r w:rsidR="006277AB" w:rsidRPr="00D31140">
        <w:t xml:space="preserve">re </w:t>
      </w:r>
      <w:r w:rsidRPr="00D31140">
        <w:t>the incidence of rotator cuff repair</w:t>
      </w:r>
      <w:r w:rsidR="00AE511B">
        <w:t xml:space="preserve"> and </w:t>
      </w:r>
      <w:r w:rsidRPr="00D31140">
        <w:t xml:space="preserve">the extent of uptake of REGENETEN. The commentary identified issues with </w:t>
      </w:r>
      <w:r w:rsidR="00943CCC">
        <w:t xml:space="preserve">the </w:t>
      </w:r>
      <w:r w:rsidRPr="00D31140">
        <w:t>data used to calculate these parameters</w:t>
      </w:r>
      <w:r w:rsidR="00943CCC">
        <w:t>,</w:t>
      </w:r>
      <w:r w:rsidRPr="00D31140">
        <w:t xml:space="preserve"> i.e., these parameters were either based on assumptions or </w:t>
      </w:r>
      <w:r w:rsidR="00943CCC">
        <w:t>ir</w:t>
      </w:r>
      <w:r w:rsidRPr="00D31140">
        <w:t xml:space="preserve">relevant for the parameter of concern. Hence, the commentary considered the financial estimates provided in the </w:t>
      </w:r>
      <w:r w:rsidR="00867444">
        <w:t>ADAR</w:t>
      </w:r>
      <w:r w:rsidRPr="00D31140">
        <w:t xml:space="preserve"> highly uncertain.</w:t>
      </w:r>
    </w:p>
    <w:p w14:paraId="03494D3F" w14:textId="1F516703" w:rsidR="002B4F0C" w:rsidRDefault="002B4F0C" w:rsidP="002B4F0C">
      <w:pPr>
        <w:pStyle w:val="Heading2"/>
        <w:numPr>
          <w:ilvl w:val="0"/>
          <w:numId w:val="0"/>
        </w:numPr>
      </w:pPr>
      <w:bookmarkStart w:id="104" w:name="_Toc69491427"/>
      <w:bookmarkEnd w:id="103"/>
      <w:r>
        <w:t>1</w:t>
      </w:r>
      <w:r w:rsidR="005A42D2">
        <w:t>5</w:t>
      </w:r>
      <w:r>
        <w:t>.</w:t>
      </w:r>
      <w:r>
        <w:tab/>
      </w:r>
      <w:r w:rsidRPr="00CE28E3">
        <w:t xml:space="preserve">Other relevant </w:t>
      </w:r>
      <w:bookmarkEnd w:id="104"/>
      <w:r>
        <w:t>information</w:t>
      </w:r>
    </w:p>
    <w:p w14:paraId="1219E70F" w14:textId="0E8EC05E" w:rsidR="00282E63" w:rsidRDefault="00282E63" w:rsidP="003B4E46">
      <w:bookmarkStart w:id="105" w:name="_Hlk163606255"/>
      <w:r>
        <w:t xml:space="preserve">The ADAR included outsourced qualitative interviews and quantitative market research to supplement the evidence provided in the ADAR. The qualitative interviews conducted among six Australian </w:t>
      </w:r>
      <w:r w:rsidR="002A72CC">
        <w:t>o</w:t>
      </w:r>
      <w:r>
        <w:t xml:space="preserve">rthopaedic </w:t>
      </w:r>
      <w:r w:rsidR="002A72CC">
        <w:t>s</w:t>
      </w:r>
      <w:r>
        <w:t xml:space="preserve">urgeons specialising in </w:t>
      </w:r>
      <w:r w:rsidR="002A72CC">
        <w:t>r</w:t>
      </w:r>
      <w:r>
        <w:t xml:space="preserve">otator </w:t>
      </w:r>
      <w:r w:rsidR="002A72CC">
        <w:t>c</w:t>
      </w:r>
      <w:r>
        <w:t xml:space="preserve">uff </w:t>
      </w:r>
      <w:r w:rsidR="002A72CC">
        <w:t>r</w:t>
      </w:r>
      <w:r>
        <w:t xml:space="preserve">epair and nine Australian </w:t>
      </w:r>
      <w:r w:rsidR="00E914CC">
        <w:t>GPs</w:t>
      </w:r>
      <w:r>
        <w:t xml:space="preserve">, of which, three were </w:t>
      </w:r>
      <w:r w:rsidR="002A72CC">
        <w:t>m</w:t>
      </w:r>
      <w:r>
        <w:t xml:space="preserve">usculoskeletal </w:t>
      </w:r>
      <w:r w:rsidR="002A72CC">
        <w:t>s</w:t>
      </w:r>
      <w:r>
        <w:t xml:space="preserve">pecialists. The ADAR used direct quotes from </w:t>
      </w:r>
      <w:r w:rsidR="002A72CC">
        <w:t>o</w:t>
      </w:r>
      <w:r>
        <w:t xml:space="preserve">rthopaedic </w:t>
      </w:r>
      <w:r w:rsidR="002A72CC">
        <w:t>s</w:t>
      </w:r>
      <w:r>
        <w:t>urgeons throughout the ADAR to provide real-world context in support of the clinical and economic claims.</w:t>
      </w:r>
    </w:p>
    <w:p w14:paraId="06C1E951" w14:textId="21869BE5" w:rsidR="00282E63" w:rsidRDefault="00282E63" w:rsidP="003B4E46">
      <w:r>
        <w:t>The quantitative component included 75 GPs. The commentary considered that this quantitative evidence did not support the clinical claim as these quantitative data were based mainly on the GPs’ experience with rotator cuff tear patients, and whether they knew about medical device companies or new treatments. Of note, GPs considered surgery as the last option for patients with rotator cuff tears.</w:t>
      </w:r>
    </w:p>
    <w:p w14:paraId="179EF39D" w14:textId="77777777" w:rsidR="005A42D2" w:rsidRDefault="005A42D2" w:rsidP="005A42D2">
      <w:pPr>
        <w:pStyle w:val="Heading2"/>
        <w:numPr>
          <w:ilvl w:val="0"/>
          <w:numId w:val="0"/>
        </w:numPr>
      </w:pPr>
      <w:bookmarkStart w:id="106" w:name="_Toc145678765"/>
      <w:bookmarkStart w:id="107" w:name="_Toc150172410"/>
      <w:bookmarkStart w:id="108" w:name="_Toc153462785"/>
      <w:r>
        <w:t>16.</w:t>
      </w:r>
      <w:r>
        <w:tab/>
        <w:t>Key issues from ESC to MSAC</w:t>
      </w:r>
    </w:p>
    <w:tbl>
      <w:tblPr>
        <w:tblStyle w:val="TableGrid"/>
        <w:tblW w:w="0" w:type="auto"/>
        <w:tblLook w:val="04A0" w:firstRow="1" w:lastRow="0" w:firstColumn="1" w:lastColumn="0" w:noHBand="0" w:noVBand="1"/>
      </w:tblPr>
      <w:tblGrid>
        <w:gridCol w:w="9016"/>
      </w:tblGrid>
      <w:tr w:rsidR="008D6BDA" w14:paraId="31C9EA5D" w14:textId="77777777">
        <w:tc>
          <w:tcPr>
            <w:tcW w:w="9016" w:type="dxa"/>
          </w:tcPr>
          <w:bookmarkEnd w:id="105"/>
          <w:bookmarkEnd w:id="106"/>
          <w:bookmarkEnd w:id="107"/>
          <w:bookmarkEnd w:id="108"/>
          <w:p w14:paraId="15248BDA" w14:textId="77777777" w:rsidR="008D6BDA" w:rsidRPr="00D85CAE" w:rsidRDefault="008D6BDA">
            <w:pPr>
              <w:rPr>
                <w:b/>
                <w:bCs/>
              </w:rPr>
            </w:pPr>
            <w:r w:rsidRPr="00D85CAE">
              <w:rPr>
                <w:b/>
                <w:bCs/>
              </w:rPr>
              <w:t>Main issues for MSAC consideration</w:t>
            </w:r>
          </w:p>
          <w:p w14:paraId="3615F221" w14:textId="77777777" w:rsidR="008D6BDA" w:rsidRPr="000E4343" w:rsidRDefault="008D6BDA">
            <w:pPr>
              <w:rPr>
                <w:b/>
                <w:bCs/>
              </w:rPr>
            </w:pPr>
            <w:r w:rsidRPr="000E4343">
              <w:rPr>
                <w:b/>
                <w:bCs/>
              </w:rPr>
              <w:t>Clinical issues:</w:t>
            </w:r>
          </w:p>
          <w:p w14:paraId="02F69DDB" w14:textId="77777777" w:rsidR="008D6BDA" w:rsidRPr="00450D2B" w:rsidRDefault="008D6BDA">
            <w:bookmarkStart w:id="109" w:name="_Hlk170105533"/>
            <w:r>
              <w:t xml:space="preserve">ESC did not consider the clinical claim of superiority of bovine </w:t>
            </w:r>
            <w:proofErr w:type="spellStart"/>
            <w:r>
              <w:t>bioinductive</w:t>
            </w:r>
            <w:proofErr w:type="spellEnd"/>
            <w:r>
              <w:t xml:space="preserve"> collagen implant (BCI) (REGENETEN) versus standard surgical repair was supported in either population, symptomatic partial-thickness rotation cuff tear (PTRCT, Population 1) or full-thickness rotator cuff tear (FTRCT, Population 2). </w:t>
            </w:r>
          </w:p>
          <w:p w14:paraId="4A128112" w14:textId="56E45AD6" w:rsidR="008D6BDA" w:rsidRDefault="008D6BDA" w:rsidP="005A42D2">
            <w:pPr>
              <w:pStyle w:val="ListParagraph"/>
              <w:numPr>
                <w:ilvl w:val="0"/>
                <w:numId w:val="23"/>
              </w:numPr>
            </w:pPr>
            <w:bookmarkStart w:id="110" w:name="_Hlk170058020"/>
            <w:r>
              <w:t>While ESC appreciated the effort evident in the Applicant-Developed Assessment Report (ADAR)</w:t>
            </w:r>
            <w:r w:rsidR="0076046E">
              <w:t xml:space="preserve"> </w:t>
            </w:r>
            <w:r>
              <w:t xml:space="preserve">to present direct comparative evidence, ESC noted various limitations in the 3 randomised trials presented (e.g., Wang 2023 was unpublished, with small sample size, interim analysis at 3 months; Camacho Chacón 2024 included patients with FTRCT but was used to inform subpopulation 1 (PTRCT); Ruiz </w:t>
            </w:r>
            <w:proofErr w:type="spellStart"/>
            <w:r>
              <w:t>Ibán</w:t>
            </w:r>
            <w:proofErr w:type="spellEnd"/>
            <w:r>
              <w:t xml:space="preserve"> 2023 only had results at 12 months). </w:t>
            </w:r>
          </w:p>
          <w:p w14:paraId="42EE7751" w14:textId="77777777" w:rsidR="008D6BDA" w:rsidRDefault="008D6BDA" w:rsidP="005A42D2">
            <w:pPr>
              <w:pStyle w:val="ListParagraph"/>
              <w:numPr>
                <w:ilvl w:val="0"/>
                <w:numId w:val="23"/>
              </w:numPr>
              <w:spacing w:before="0"/>
              <w:ind w:left="714" w:hanging="357"/>
            </w:pPr>
            <w:r w:rsidRPr="00450D2B">
              <w:t>ESC considered long-term safety and effectiveness uncertain</w:t>
            </w:r>
            <w:r>
              <w:t>.</w:t>
            </w:r>
          </w:p>
          <w:bookmarkEnd w:id="110"/>
          <w:p w14:paraId="51643EDC" w14:textId="63775C92" w:rsidR="008D6BDA" w:rsidRPr="00DB1C99" w:rsidRDefault="008D6BDA" w:rsidP="005A42D2">
            <w:pPr>
              <w:pStyle w:val="ListParagraph"/>
              <w:numPr>
                <w:ilvl w:val="0"/>
                <w:numId w:val="23"/>
              </w:numPr>
            </w:pPr>
            <w:r>
              <w:t>ESC noted that the re</w:t>
            </w:r>
            <w:r w:rsidR="00DE0A5A">
              <w:t>application</w:t>
            </w:r>
            <w:r>
              <w:t xml:space="preserve"> continued to rely on imaging-based outcomes rather than patient-relevant functional outcomes and did not provide evidence to establish the correlation of radiological and functional outcomes, the importance of which was emphasised by MSAC at its November 2020 meeting and reiterated by PASC in August 2023.</w:t>
            </w:r>
          </w:p>
          <w:p w14:paraId="0DCC4EFF" w14:textId="77777777" w:rsidR="008D6BDA" w:rsidRDefault="008D6BDA" w:rsidP="005A42D2">
            <w:pPr>
              <w:pStyle w:val="ListParagraph"/>
              <w:numPr>
                <w:ilvl w:val="0"/>
                <w:numId w:val="23"/>
              </w:numPr>
            </w:pPr>
            <w:bookmarkStart w:id="111" w:name="_Hlk170060159"/>
            <w:r>
              <w:t>ESC noted the ADAR did not include continued conservative management (CM) as additional comparator for Population 1 (PTRCT), as advised by PASC in August 2023. ESC considered a</w:t>
            </w:r>
            <w:r w:rsidRPr="004917E2">
              <w:t xml:space="preserve"> non-surgical comparator such as CM should be included, as patients can elect to not have surgery.</w:t>
            </w:r>
            <w:r>
              <w:t xml:space="preserve"> ESC </w:t>
            </w:r>
            <w:r w:rsidRPr="004917E2">
              <w:t xml:space="preserve">also </w:t>
            </w:r>
            <w:r>
              <w:t xml:space="preserve">considered it </w:t>
            </w:r>
            <w:r w:rsidRPr="004917E2">
              <w:t>important to outline what CM involves for patients</w:t>
            </w:r>
            <w:r>
              <w:t>.</w:t>
            </w:r>
            <w:bookmarkEnd w:id="109"/>
            <w:bookmarkEnd w:id="111"/>
            <w:r>
              <w:t xml:space="preserve"> </w:t>
            </w:r>
          </w:p>
          <w:p w14:paraId="71FF54A4" w14:textId="77777777" w:rsidR="008D6BDA" w:rsidRDefault="008D6BDA" w:rsidP="005A42D2">
            <w:pPr>
              <w:pStyle w:val="ListParagraph"/>
              <w:numPr>
                <w:ilvl w:val="0"/>
                <w:numId w:val="23"/>
              </w:numPr>
            </w:pPr>
            <w:r>
              <w:t>ESC recommended that the applicant should provide evidence that shows stronger correlation of radiological outcomes with functional outcomes (if radiological outcomes were still considered to be a key point).</w:t>
            </w:r>
          </w:p>
          <w:p w14:paraId="6B5F06C5" w14:textId="77777777" w:rsidR="008D6BDA" w:rsidRDefault="008D6BDA">
            <w:pPr>
              <w:rPr>
                <w:b/>
                <w:bCs/>
              </w:rPr>
            </w:pPr>
            <w:r>
              <w:rPr>
                <w:b/>
                <w:bCs/>
              </w:rPr>
              <w:t>Economic</w:t>
            </w:r>
            <w:r w:rsidRPr="008F3AFE">
              <w:rPr>
                <w:b/>
                <w:bCs/>
              </w:rPr>
              <w:t xml:space="preserve"> issues:</w:t>
            </w:r>
          </w:p>
          <w:p w14:paraId="3793A2B0" w14:textId="77777777" w:rsidR="008D6BDA" w:rsidRDefault="008D6BDA" w:rsidP="005A42D2">
            <w:pPr>
              <w:pStyle w:val="ListParagraph"/>
              <w:numPr>
                <w:ilvl w:val="0"/>
                <w:numId w:val="24"/>
              </w:numPr>
              <w:spacing w:before="0"/>
              <w:ind w:left="714" w:hanging="357"/>
            </w:pPr>
            <w:r>
              <w:t>ESC noted the l</w:t>
            </w:r>
            <w:r w:rsidRPr="000A0784">
              <w:t>ow correlation in measures of ‘</w:t>
            </w:r>
            <w:proofErr w:type="gramStart"/>
            <w:r w:rsidRPr="000A0784">
              <w:t>success’</w:t>
            </w:r>
            <w:proofErr w:type="gramEnd"/>
            <w:r w:rsidRPr="000A0784">
              <w:t xml:space="preserve"> used in Pop</w:t>
            </w:r>
            <w:r>
              <w:t>ulation</w:t>
            </w:r>
            <w:r w:rsidRPr="000A0784">
              <w:t xml:space="preserve"> 1 and 2 models. </w:t>
            </w:r>
            <w:r>
              <w:t>ESC considered w</w:t>
            </w:r>
            <w:r w:rsidRPr="000A0784">
              <w:t xml:space="preserve">hile the presence of high re-tear rates does not necessarily preclude improvements in </w:t>
            </w:r>
            <w:r w:rsidRPr="001E27E2">
              <w:t xml:space="preserve">American Shoulder and Elbow Surgeons </w:t>
            </w:r>
            <w:r>
              <w:t>(</w:t>
            </w:r>
            <w:r w:rsidRPr="000A0784">
              <w:t>ASES</w:t>
            </w:r>
            <w:r>
              <w:t>)</w:t>
            </w:r>
            <w:r w:rsidRPr="000A0784">
              <w:t xml:space="preserve"> scores</w:t>
            </w:r>
            <w:r>
              <w:t>, a</w:t>
            </w:r>
            <w:r w:rsidRPr="000A0784">
              <w:t xml:space="preserve"> consistent approach combining functional and </w:t>
            </w:r>
            <w:r>
              <w:t>magnetic resonance imaging (</w:t>
            </w:r>
            <w:r w:rsidRPr="000A0784">
              <w:t>MRI</w:t>
            </w:r>
            <w:r>
              <w:t>)</w:t>
            </w:r>
            <w:r w:rsidRPr="000A0784">
              <w:t xml:space="preserve"> outcomes would be more robust.</w:t>
            </w:r>
          </w:p>
          <w:p w14:paraId="35D4FBCD" w14:textId="7F61C20C" w:rsidR="008D6BDA" w:rsidRDefault="008D6BDA" w:rsidP="005A42D2">
            <w:pPr>
              <w:pStyle w:val="ListParagraph"/>
              <w:numPr>
                <w:ilvl w:val="0"/>
                <w:numId w:val="24"/>
              </w:numPr>
              <w:ind w:left="714" w:hanging="357"/>
            </w:pPr>
            <w:r w:rsidRPr="00DF302D">
              <w:t xml:space="preserve">Some key issues with the economics that were identified by MSAC in the previous </w:t>
            </w:r>
            <w:r w:rsidR="00DE0A5A">
              <w:t>application</w:t>
            </w:r>
            <w:r w:rsidRPr="00DF302D">
              <w:t xml:space="preserve"> have only been partially addressed by the re</w:t>
            </w:r>
            <w:r w:rsidR="00DE0A5A">
              <w:t>application</w:t>
            </w:r>
            <w:r w:rsidRPr="00DF302D">
              <w:t>. These include</w:t>
            </w:r>
          </w:p>
          <w:p w14:paraId="46CCB459" w14:textId="77777777" w:rsidR="008D6BDA" w:rsidRPr="00DF302D" w:rsidRDefault="008D6BDA" w:rsidP="005A42D2">
            <w:pPr>
              <w:pStyle w:val="ListParagraph"/>
              <w:numPr>
                <w:ilvl w:val="1"/>
                <w:numId w:val="24"/>
              </w:numPr>
            </w:pPr>
            <w:r w:rsidRPr="00DF302D">
              <w:t>the lack of high-quality evidence that creates uncertainty in the clinical effectiveness, which leads to key uncertainties in the economic evaluation.</w:t>
            </w:r>
          </w:p>
          <w:p w14:paraId="362FA21C" w14:textId="77777777" w:rsidR="008D6BDA" w:rsidRDefault="008D6BDA" w:rsidP="005A42D2">
            <w:pPr>
              <w:pStyle w:val="ListParagraph"/>
              <w:numPr>
                <w:ilvl w:val="1"/>
                <w:numId w:val="24"/>
              </w:numPr>
              <w:spacing w:before="240"/>
            </w:pPr>
            <w:r>
              <w:t xml:space="preserve">uncertain </w:t>
            </w:r>
            <w:r w:rsidRPr="00DF302D">
              <w:t>long-term effectiveness</w:t>
            </w:r>
            <w:r>
              <w:t>:</w:t>
            </w:r>
            <w:r w:rsidRPr="00DF302D">
              <w:t xml:space="preserve"> and low correlation between the different effectiveness measures used for the two populations (potentially introducing bias</w:t>
            </w:r>
            <w:r>
              <w:t>)</w:t>
            </w:r>
          </w:p>
          <w:p w14:paraId="5C6AD59A" w14:textId="77777777" w:rsidR="008D6BDA" w:rsidRPr="000E4343" w:rsidRDefault="008D6BDA" w:rsidP="005A42D2">
            <w:pPr>
              <w:pStyle w:val="ListParagraph"/>
              <w:numPr>
                <w:ilvl w:val="0"/>
                <w:numId w:val="24"/>
              </w:numPr>
              <w:spacing w:before="240"/>
            </w:pPr>
            <w:r w:rsidRPr="00DF302D">
              <w:t>Several structural issues with the models remain, including the lack of consideration for downstream costs for partial-thickness tears (population 1). A consistent approach incorporating both functional and imaging measures for both populations would be more appropriate.</w:t>
            </w:r>
          </w:p>
          <w:p w14:paraId="09914F16" w14:textId="77777777" w:rsidR="008D6BDA" w:rsidRDefault="008D6BDA">
            <w:pPr>
              <w:rPr>
                <w:b/>
                <w:bCs/>
              </w:rPr>
            </w:pPr>
            <w:r>
              <w:rPr>
                <w:b/>
                <w:bCs/>
              </w:rPr>
              <w:t>Financial</w:t>
            </w:r>
            <w:r w:rsidRPr="008F3AFE">
              <w:rPr>
                <w:b/>
                <w:bCs/>
              </w:rPr>
              <w:t xml:space="preserve"> issues:</w:t>
            </w:r>
          </w:p>
          <w:p w14:paraId="2693C62D" w14:textId="77777777" w:rsidR="008D6BDA" w:rsidRDefault="008D6BDA" w:rsidP="005A42D2">
            <w:pPr>
              <w:pStyle w:val="ListParagraph"/>
              <w:numPr>
                <w:ilvl w:val="0"/>
                <w:numId w:val="26"/>
              </w:numPr>
              <w:spacing w:before="0"/>
              <w:ind w:left="714" w:hanging="357"/>
            </w:pPr>
            <w:r w:rsidRPr="00DA6427">
              <w:t>The ADAR presented a new budget impact model, but issues with the relevance of some of the data and assumptions about uptake mean that the financial estimates are uncertain. Utilisation may be higher than predicted based on the wording of the restriction.</w:t>
            </w:r>
          </w:p>
          <w:p w14:paraId="0E267542" w14:textId="77777777" w:rsidR="008D6BDA" w:rsidRPr="00DA6427" w:rsidRDefault="008D6BDA" w:rsidP="005A42D2">
            <w:pPr>
              <w:pStyle w:val="ListParagraph"/>
              <w:numPr>
                <w:ilvl w:val="0"/>
                <w:numId w:val="26"/>
              </w:numPr>
              <w:spacing w:before="240"/>
            </w:pPr>
            <w:r w:rsidRPr="00DF302D">
              <w:t>The cost of the REGENETEN kit is high and has not been reasonably justified</w:t>
            </w:r>
            <w:r>
              <w:t>.</w:t>
            </w:r>
          </w:p>
          <w:p w14:paraId="746D0E56" w14:textId="77777777" w:rsidR="008D6BDA" w:rsidRDefault="008D6BDA">
            <w:pPr>
              <w:rPr>
                <w:b/>
                <w:bCs/>
              </w:rPr>
            </w:pPr>
            <w:r>
              <w:rPr>
                <w:b/>
                <w:bCs/>
              </w:rPr>
              <w:t>Proposed listing</w:t>
            </w:r>
            <w:r w:rsidRPr="008F3AFE">
              <w:rPr>
                <w:b/>
                <w:bCs/>
              </w:rPr>
              <w:t>:</w:t>
            </w:r>
          </w:p>
          <w:p w14:paraId="16CBDD46" w14:textId="77777777" w:rsidR="008D6BDA" w:rsidRPr="000E4343" w:rsidRDefault="008D6BDA" w:rsidP="005A42D2">
            <w:pPr>
              <w:pStyle w:val="ListParagraph"/>
              <w:numPr>
                <w:ilvl w:val="0"/>
                <w:numId w:val="25"/>
              </w:numPr>
              <w:spacing w:before="0"/>
              <w:ind w:left="714" w:hanging="357"/>
            </w:pPr>
            <w:r>
              <w:t>ESC agreed with t</w:t>
            </w:r>
            <w:r w:rsidRPr="00D161E9">
              <w:t xml:space="preserve">he commentary that the </w:t>
            </w:r>
            <w:r>
              <w:t>proposed implant</w:t>
            </w:r>
            <w:r w:rsidRPr="00D161E9">
              <w:t xml:space="preserve"> should be limited to once per shoulder, which the applicant supports. However, the department will need to consider how to restrict multiple use, as there is no MBS item number for REGENETEN</w:t>
            </w:r>
            <w:r>
              <w:t>.</w:t>
            </w:r>
          </w:p>
          <w:p w14:paraId="25F48CCA" w14:textId="77777777" w:rsidR="008D6BDA" w:rsidRPr="000E4343" w:rsidRDefault="008D6BDA">
            <w:pPr>
              <w:tabs>
                <w:tab w:val="left" w:pos="3686"/>
              </w:tabs>
              <w:spacing w:before="0"/>
              <w:rPr>
                <w:rFonts w:ascii="Arial" w:hAnsi="Arial" w:cs="Arial"/>
                <w:bCs/>
                <w:szCs w:val="24"/>
              </w:rPr>
            </w:pPr>
          </w:p>
        </w:tc>
      </w:tr>
    </w:tbl>
    <w:p w14:paraId="2C87D03B" w14:textId="77777777" w:rsidR="008D6BDA" w:rsidRPr="007071D1" w:rsidRDefault="008D6BDA" w:rsidP="00ED4B23">
      <w:pPr>
        <w:pStyle w:val="Heading4"/>
        <w:spacing w:before="240"/>
        <w:rPr>
          <w:rStyle w:val="Strong"/>
          <w:rFonts w:ascii="Franklin Gothic Book" w:hAnsi="Franklin Gothic Book"/>
        </w:rPr>
      </w:pPr>
      <w:r w:rsidRPr="007071D1">
        <w:rPr>
          <w:rStyle w:val="Strong"/>
          <w:rFonts w:ascii="Franklin Gothic Book" w:hAnsi="Franklin Gothic Book"/>
        </w:rPr>
        <w:t xml:space="preserve">ESC </w:t>
      </w:r>
      <w:r w:rsidRPr="007071D1">
        <w:rPr>
          <w:rStyle w:val="Strong"/>
          <w:rFonts w:ascii="Franklin Gothic Book" w:hAnsi="Franklin Gothic Book"/>
          <w:sz w:val="22"/>
          <w:szCs w:val="22"/>
        </w:rPr>
        <w:t>discussion</w:t>
      </w:r>
    </w:p>
    <w:p w14:paraId="714C2E17" w14:textId="645E3D32" w:rsidR="008D6BDA" w:rsidRDefault="008D6BDA" w:rsidP="008D6BDA">
      <w:r>
        <w:t>ESC noted that the application was a r</w:t>
      </w:r>
      <w:r w:rsidRPr="005B183B">
        <w:t>e</w:t>
      </w:r>
      <w:r w:rsidR="00DE0A5A">
        <w:t>application</w:t>
      </w:r>
      <w:r w:rsidRPr="005B183B">
        <w:t xml:space="preserve"> </w:t>
      </w:r>
      <w:r>
        <w:t>from Smith &amp; Nephew Pty Ltd requesting</w:t>
      </w:r>
      <w:r w:rsidRPr="005B183B">
        <w:t xml:space="preserve"> </w:t>
      </w:r>
      <w:r>
        <w:t xml:space="preserve">the listing </w:t>
      </w:r>
      <w:r w:rsidRPr="005B183B">
        <w:t>of a bovine</w:t>
      </w:r>
      <w:r>
        <w:t xml:space="preserve"> </w:t>
      </w:r>
      <w:proofErr w:type="spellStart"/>
      <w:r>
        <w:t>bioinductive</w:t>
      </w:r>
      <w:proofErr w:type="spellEnd"/>
      <w:r w:rsidRPr="005B183B">
        <w:t xml:space="preserve"> collagen implant </w:t>
      </w:r>
      <w:r>
        <w:t>(BCI) (</w:t>
      </w:r>
      <w:r w:rsidRPr="005B183B">
        <w:t>REGENETEN</w:t>
      </w:r>
      <w:r>
        <w:t>)</w:t>
      </w:r>
      <w:r w:rsidRPr="005B183B">
        <w:t xml:space="preserve"> </w:t>
      </w:r>
      <w:r>
        <w:t xml:space="preserve">for the repair of </w:t>
      </w:r>
      <w:r w:rsidRPr="005B183B">
        <w:t>rotator cuff tears</w:t>
      </w:r>
      <w:r>
        <w:t xml:space="preserve"> on the </w:t>
      </w:r>
      <w:r w:rsidRPr="005B183B">
        <w:t>P</w:t>
      </w:r>
      <w:r>
        <w:t>rescribed</w:t>
      </w:r>
      <w:r w:rsidRPr="005B183B">
        <w:t xml:space="preserve"> List</w:t>
      </w:r>
      <w:r>
        <w:t xml:space="preserve"> of Medical Devices and Human Tissue Products (PL).</w:t>
      </w:r>
      <w:r w:rsidRPr="005B183B">
        <w:t xml:space="preserve"> </w:t>
      </w:r>
    </w:p>
    <w:p w14:paraId="12910D36" w14:textId="0E5E844E" w:rsidR="008D6BDA" w:rsidRDefault="008D6BDA" w:rsidP="008D6BDA">
      <w:r>
        <w:t xml:space="preserve">ESC noted MSAC first considered the </w:t>
      </w:r>
      <w:r w:rsidR="00DE0A5A">
        <w:t>application</w:t>
      </w:r>
      <w:r>
        <w:t xml:space="preserve"> (MSAC application 1593) at its July 2020 meeting but did not support public funding for the proposed device at the time. MSAC noted the Applicant-Developed Assessment Report (ADAR) for application 1593 relied on naïve indirect comparisons to inform comparative safety and clinical effectiveness of BCI versus standard surgical repair. MSAC therefore considered the evidence base of low quality, with highly uncertain comparative safety, clinical and cost-effectiveness relative to standard surgical repair in both subpopulations of symptomatic partial and full thickness tears. </w:t>
      </w:r>
    </w:p>
    <w:p w14:paraId="61B496F9" w14:textId="77777777" w:rsidR="008D6BDA" w:rsidRPr="000E4343" w:rsidRDefault="008D6BDA" w:rsidP="008D6BDA">
      <w:pPr>
        <w:pStyle w:val="Heading5"/>
      </w:pPr>
      <w:r w:rsidRPr="000E4343">
        <w:t>Clinical issues</w:t>
      </w:r>
    </w:p>
    <w:p w14:paraId="6810BDCC" w14:textId="77777777" w:rsidR="008D6BDA" w:rsidRDefault="008D6BDA" w:rsidP="008D6BDA">
      <w:pPr>
        <w:pStyle w:val="Heading6"/>
      </w:pPr>
      <w:r>
        <w:t>Uncertain long-term safety and effectiveness</w:t>
      </w:r>
    </w:p>
    <w:p w14:paraId="654E382A" w14:textId="77777777" w:rsidR="008D6BDA" w:rsidRDefault="008D6BDA" w:rsidP="008D6BDA">
      <w:pPr>
        <w:spacing w:before="0"/>
      </w:pPr>
      <w:r w:rsidRPr="00450D2B">
        <w:t xml:space="preserve">ESC </w:t>
      </w:r>
      <w:r>
        <w:t>noted</w:t>
      </w:r>
      <w:r w:rsidRPr="00450D2B">
        <w:t xml:space="preserve"> the ADAR</w:t>
      </w:r>
      <w:r>
        <w:t xml:space="preserve"> presented direct comparative evidence: 2 randomised controlled trials (Wang et al. 2023, </w:t>
      </w:r>
      <w:bookmarkStart w:id="112" w:name="_Hlk170066929"/>
      <w:r>
        <w:t xml:space="preserve">Camacho-Chacon et al. 2023) </w:t>
      </w:r>
      <w:bookmarkEnd w:id="112"/>
      <w:r>
        <w:t>for Population 1 (PTRCT) and 1 randomised trial (Ruiz </w:t>
      </w:r>
      <w:proofErr w:type="spellStart"/>
      <w:r>
        <w:t>Ibán</w:t>
      </w:r>
      <w:proofErr w:type="spellEnd"/>
      <w:r>
        <w:t xml:space="preserve"> et al. 2023) for Population 2 (FTRCT).</w:t>
      </w:r>
      <w:r w:rsidRPr="00450D2B">
        <w:t xml:space="preserve"> </w:t>
      </w:r>
    </w:p>
    <w:p w14:paraId="04CD832C" w14:textId="77777777" w:rsidR="008D6BDA" w:rsidRDefault="008D6BDA" w:rsidP="008D6BDA">
      <w:pPr>
        <w:spacing w:before="0"/>
      </w:pPr>
      <w:r>
        <w:t>ESC noted that both Wang 2023 and Camacho-Chacon 2023 were unpublished at the time of assessment. All trials had small sample size (N</w:t>
      </w:r>
      <w:r w:rsidRPr="28CAC1C0">
        <w:rPr>
          <w:i/>
          <w:iCs/>
        </w:rPr>
        <w:t> </w:t>
      </w:r>
      <w:r>
        <w:t xml:space="preserve">= 26 to 120) and short follow-up (3 to 24 months). In addition, ESC noted that multiple outcomes at multiple endpoints were reported in the trials, including the Western Ontario Rotator Cuff (WORC) Index, the American Shoulder and Elbow Society (ASES) score and the Single Assessment Numeric Evaluation (SANE) score. ESC noted that results were different when different outcome measures were used, rendering interpretation of the trials results difficult. </w:t>
      </w:r>
    </w:p>
    <w:p w14:paraId="5B2DCF47" w14:textId="77777777" w:rsidR="008D6BDA" w:rsidRDefault="008D6BDA" w:rsidP="008D6BDA">
      <w:r>
        <w:t>ESC noted that the trials did not include many older patients, who tend to have a high incidence of rotator cuff injuries. ESC considered that there was the potential for older people who receive the treatment requiring more care, including post-surgery physiotherapy, and this was not considered. Also not considered was the risk to quality of life (</w:t>
      </w:r>
      <w:r w:rsidRPr="00FF077A">
        <w:t>Q</w:t>
      </w:r>
      <w:r>
        <w:t>o</w:t>
      </w:r>
      <w:r w:rsidRPr="00FF077A">
        <w:t>L</w:t>
      </w:r>
      <w:r>
        <w:t>) for people who are very invested and have the procedure, but it is not successful.</w:t>
      </w:r>
    </w:p>
    <w:p w14:paraId="0775BBA6" w14:textId="77777777" w:rsidR="008D6BDA" w:rsidRDefault="008D6BDA" w:rsidP="008D6BDA">
      <w:r>
        <w:t>ESC noted that the Australian Rotator Cuff (ARC) study, which is comparing arthroscopic surgery with repair of rotator cuff to surgery without repair of rotator cuff (placebo surgery), is due for completion in 2025. This may provide more evidence for the surgical comparator.</w:t>
      </w:r>
    </w:p>
    <w:p w14:paraId="4AAC9583" w14:textId="77777777" w:rsidR="008D6BDA" w:rsidRPr="00EB239C" w:rsidRDefault="008D6BDA" w:rsidP="008D6BDA">
      <w:r>
        <w:t>ESC noted that the trials reported no difference in safety between REGENETEN and surgery. This included complications in hospital indicators (death, re-admission, length of stay), instances of steroid injection/antibiotics, re-tears or additional surgery, rates of adhesive capsulitis, and serious adverse events of failure of repair and revision surgery, infection and cardiac death. Based on this evidence, ESC agreed that REGENETEN appeared to have non-inferior safety compared to surgery, but due to the short follow-up in the presented studies, the long-term safety (beyond 12–24 months) was uncertain.</w:t>
      </w:r>
    </w:p>
    <w:p w14:paraId="59F0A3FF" w14:textId="77777777" w:rsidR="008D6BDA" w:rsidRDefault="008D6BDA" w:rsidP="008D6BDA">
      <w:r>
        <w:t>Regarding comparative effectiveness, ESC noted that the Wang et al. 2023 trial reported superior WORC scores with REGENETEN at 6 weeks and 3 months compared to surgery. It also reported superior ASES and SANE scores with REGENETEN at 6 weeks compared to surgery, but there was no difference at 3 months. However, due to the small numbers and very short follow-up, ESC considered that the long-term effectiveness was uncertain. ESC noted that the ADAR used other case series to support outcomes at 3 months and translated to 2 and 5 years, but ESC considered this inappropriate.</w:t>
      </w:r>
    </w:p>
    <w:p w14:paraId="7FD04C91" w14:textId="77777777" w:rsidR="008D6BDA" w:rsidRDefault="008D6BDA" w:rsidP="008D6BDA">
      <w:r>
        <w:t xml:space="preserve">ESC noted that Camacho-Chacon et al. 2023 (population 1) was a Spanish trial involving a single surgeon and 60 patients. Although the population had full-thickness tears, the tears were stable, so the surgical treatment was </w:t>
      </w:r>
      <w:proofErr w:type="gramStart"/>
      <w:r>
        <w:t>similar to</w:t>
      </w:r>
      <w:proofErr w:type="gramEnd"/>
      <w:r>
        <w:t xml:space="preserve"> that for partial-thickness tears. The ADAR therefore classed this study as relevant for population 1. ESC noted the commentary’s criticism about this population being used in the economic evaluation for population 1, considering it not relevant as the patients had full-thickness tears. ESC considered that the </w:t>
      </w:r>
      <w:r w:rsidRPr="00B92532">
        <w:t xml:space="preserve">uncertainty </w:t>
      </w:r>
      <w:r>
        <w:t>in the</w:t>
      </w:r>
      <w:r w:rsidRPr="00B92532">
        <w:t xml:space="preserve"> evidence </w:t>
      </w:r>
      <w:r>
        <w:t>is increased because of</w:t>
      </w:r>
      <w:r w:rsidRPr="00B92532">
        <w:t xml:space="preserve"> the underlying differences in th</w:t>
      </w:r>
      <w:r>
        <w:t>e Camacho-Chacon et al.</w:t>
      </w:r>
      <w:r w:rsidRPr="00B92532">
        <w:t xml:space="preserve"> </w:t>
      </w:r>
      <w:r>
        <w:t>cohort and the Wang et al. cohort</w:t>
      </w:r>
      <w:r w:rsidRPr="00B92532">
        <w:t xml:space="preserve"> (as an example</w:t>
      </w:r>
      <w:r>
        <w:t>,</w:t>
      </w:r>
      <w:r w:rsidRPr="00B92532">
        <w:t xml:space="preserve"> </w:t>
      </w:r>
      <w:r>
        <w:t>partial-thickness tear</w:t>
      </w:r>
      <w:r w:rsidRPr="00B92532">
        <w:t xml:space="preserve"> patients </w:t>
      </w:r>
      <w:r>
        <w:t xml:space="preserve">have </w:t>
      </w:r>
      <w:r w:rsidRPr="00B92532">
        <w:t>been found to have higher pain levels</w:t>
      </w:r>
      <w:r>
        <w:t>, based on</w:t>
      </w:r>
      <w:r w:rsidRPr="00B92532">
        <w:t xml:space="preserve"> PASC advice)</w:t>
      </w:r>
      <w:r>
        <w:t>, but t</w:t>
      </w:r>
      <w:r w:rsidRPr="00B92532">
        <w:t xml:space="preserve">he intervention is consistent with </w:t>
      </w:r>
      <w:r>
        <w:t xml:space="preserve">the </w:t>
      </w:r>
      <w:r w:rsidRPr="00B92532">
        <w:t>clinical pathway for partial tears in that it is an isolated implant used instead of sutures, rather than in addition to (</w:t>
      </w:r>
      <w:r>
        <w:t xml:space="preserve">as is done for the </w:t>
      </w:r>
      <w:r w:rsidRPr="00B92532">
        <w:t>full</w:t>
      </w:r>
      <w:r>
        <w:t>-</w:t>
      </w:r>
      <w:r w:rsidRPr="00B92532">
        <w:t xml:space="preserve">tear model). However, the use of REGENESORB anchors in the comparator (as an adjunct) </w:t>
      </w:r>
      <w:r>
        <w:t xml:space="preserve">in the Camacho-Chacon et al. study </w:t>
      </w:r>
      <w:r w:rsidRPr="00B92532">
        <w:t>introduces an additional variable that might confound the comparison</w:t>
      </w:r>
      <w:r>
        <w:t>;</w:t>
      </w:r>
      <w:r w:rsidRPr="00B92532">
        <w:t xml:space="preserve"> </w:t>
      </w:r>
      <w:r>
        <w:t>therefore,</w:t>
      </w:r>
      <w:r w:rsidRPr="00B92532">
        <w:t xml:space="preserve"> this comparison may not be directly applicable.</w:t>
      </w:r>
      <w:r>
        <w:t xml:space="preserve"> ESC also noted from the policy paper that the trial population </w:t>
      </w:r>
      <w:r w:rsidRPr="008B4325">
        <w:t>differs from the proposed patient population</w:t>
      </w:r>
      <w:r>
        <w:t>,</w:t>
      </w:r>
      <w:r w:rsidRPr="008B4325">
        <w:t xml:space="preserve"> who only require 3</w:t>
      </w:r>
      <w:r>
        <w:t> </w:t>
      </w:r>
      <w:r w:rsidRPr="008B4325">
        <w:t xml:space="preserve">months of </w:t>
      </w:r>
      <w:r>
        <w:t>CM</w:t>
      </w:r>
      <w:r w:rsidRPr="008B4325">
        <w:t>. Although the ADAR describes spontaneous healing of rotator cuff tendon injuries as rare, this may still be relevant given the lack of a 1:1 correlation between rotator cuff tears and symptoms.</w:t>
      </w:r>
    </w:p>
    <w:p w14:paraId="75165C32" w14:textId="77777777" w:rsidR="008D6BDA" w:rsidRDefault="008D6BDA" w:rsidP="008D6BDA">
      <w:r>
        <w:t>ESC noted that the Camacho-Chacon et al. 2023 study showed ASES scores were superior with REGENETEN over surgery at all time points, but the absolute difference decreased with longer follow-up. The Constant–Murley Score (CMS) was also superior with REGENETEN at all time points up to 24 months, but there was no difference in visual analogue scale (VAS) pain scores. Compared to surgery, REGENETEN was shown to have lower sling time (12.5 days vs 27 days), fewer physical therapy visits (6 vs 10) and faster return to work (90 days vs 163.5 days). The tendon was also thicker at all time points up to 24 months.</w:t>
      </w:r>
    </w:p>
    <w:p w14:paraId="75DBDE60" w14:textId="77777777" w:rsidR="008D6BDA" w:rsidRDefault="008D6BDA" w:rsidP="008D6BDA">
      <w:r>
        <w:t>ESC noted from the pre-ESC response that the Camacho-Chacon et al. study was published in May 2024. The primary outcome of the published study was biopsy and MRI “tendon quality” at 6 months, with patient-reported outcomes being a secondary outcome. ESC noted that there were no re-tears over 24 months for either REGENETEN or standard surgery. Additionally, although REGENETEN had higher median ASES scores than surgery at each time point, the proportion of patients meeting the minimal clinically important difference (MCID) was similar between groups. There were similar results for CMS: REGENETEN had higher median scores at each time point, but by 12 months, patients in both groups met the MCID. Furthermore, ESC noted that the study did not perform a formal sample size calculation, and it stated that a “24-month follow-up may be considered a limitation”.</w:t>
      </w:r>
    </w:p>
    <w:p w14:paraId="0EEEFE97" w14:textId="77777777" w:rsidR="008D6BDA" w:rsidRDefault="008D6BDA" w:rsidP="008D6BDA">
      <w:r>
        <w:t>ESC noted that the Ruiz </w:t>
      </w:r>
      <w:proofErr w:type="spellStart"/>
      <w:r>
        <w:t>Ibán</w:t>
      </w:r>
      <w:proofErr w:type="spellEnd"/>
      <w:r>
        <w:t xml:space="preserve"> et al. 2023 study (population 2) reported on </w:t>
      </w:r>
      <w:proofErr w:type="spellStart"/>
      <w:r>
        <w:t>transosseous</w:t>
      </w:r>
      <w:proofErr w:type="spellEnd"/>
      <w:r>
        <w:t xml:space="preserve"> full-thickness tendon repair with and without REGENETEN. The primary endpoint was re-tear rates at 1 year defined by radiological MRI endpoint (Sugaya classification 4 or 5), which were shown to be significantly lower with REGENETEN than with surgery (8% vs 25.8%; </w:t>
      </w:r>
      <w:r>
        <w:rPr>
          <w:i/>
          <w:iCs/>
        </w:rPr>
        <w:t>p </w:t>
      </w:r>
      <w:r>
        <w:t>= 0.01). ESC noted that there were no differences in Brief Pain Inventory scores at any time point up to 12 months, or in CMS/ASES and EQ-5D-5L results up to 12 months. ESC noted that the ADAR inferred that avoidance of re-tear is associated with better clinical outcomes.</w:t>
      </w:r>
    </w:p>
    <w:p w14:paraId="01A9A81F" w14:textId="3E8DFED6" w:rsidR="008D6BDA" w:rsidRDefault="008D6BDA" w:rsidP="008D6BDA">
      <w:r>
        <w:t>ESC noted that the pre-ESC response reported that extra data from the Ruiz </w:t>
      </w:r>
      <w:proofErr w:type="spellStart"/>
      <w:r>
        <w:t>Ibán</w:t>
      </w:r>
      <w:proofErr w:type="spellEnd"/>
      <w:r>
        <w:t xml:space="preserve"> et al. 2023 study showed that 2-year re-tear rates were also lower with REGENETEN (12.3% vs 35.1% for surgery), but no reference was provided for this. The pre-ESC response also argued that radiological tendon “re-tear” patients have worse patient-reported outcomes than “healed” </w:t>
      </w:r>
      <w:r w:rsidR="006F2BA2">
        <w:t>tendons and</w:t>
      </w:r>
      <w:r>
        <w:t xml:space="preserve"> inferred that REGENETEN patients will more likely have better patient-reported outcomes than the comparators. However, ESC noted that there was still no evidence provided to correlate functional outcomes with radiological outcomes.</w:t>
      </w:r>
    </w:p>
    <w:p w14:paraId="64A368C1" w14:textId="77777777" w:rsidR="008D6BDA" w:rsidRDefault="008D6BDA" w:rsidP="008D6BDA">
      <w:pPr>
        <w:pStyle w:val="Heading6"/>
      </w:pPr>
      <w:r>
        <w:t>Imaging-based outcomes</w:t>
      </w:r>
    </w:p>
    <w:p w14:paraId="6BF6967E" w14:textId="77777777" w:rsidR="008D6BDA" w:rsidRDefault="008D6BDA" w:rsidP="008D6BDA">
      <w:r>
        <w:t>ESC noted that the ADAR continued to rely on imaging-based outcomes as a functional surrogate, despite having patient-reported outcomes available in the trials. ESC recalled that MSAC had previously considered the use of radiological improvement as the main outcome inappropriate and advised that the focus should be on pain and functional improvements (</w:t>
      </w:r>
      <w:hyperlink r:id="rId17" w:history="1">
        <w:r w:rsidRPr="002103C4">
          <w:rPr>
            <w:rStyle w:val="Hyperlink"/>
          </w:rPr>
          <w:t>MSAC 1593 PSD, July 2020 MSAC meeting</w:t>
        </w:r>
      </w:hyperlink>
      <w:r>
        <w:t>). ESC reiterated the importance of functional outcomes, noting that people with tears can be asymptomatic.</w:t>
      </w:r>
    </w:p>
    <w:p w14:paraId="6DF85808" w14:textId="77777777" w:rsidR="008D6BDA" w:rsidRPr="00C23212" w:rsidRDefault="008D6BDA" w:rsidP="008D6BDA">
      <w:r>
        <w:t>ESC also recalled that MSAC had previously considered that the use of magnetic resonance imaging (MRI) to diagnose re-tear may be problematic, but this issue remains unresolved.</w:t>
      </w:r>
    </w:p>
    <w:p w14:paraId="6B561946" w14:textId="77777777" w:rsidR="008D6BDA" w:rsidRDefault="008D6BDA" w:rsidP="008D6BDA">
      <w:r>
        <w:t>ESC recommended that the applicant should provide evidence that shows stronger correlation of radiological outcomes with functional outcomes (if radiological outcomes were still considered to be a key point).</w:t>
      </w:r>
    </w:p>
    <w:p w14:paraId="611481B2" w14:textId="77777777" w:rsidR="008D6BDA" w:rsidRDefault="008D6BDA" w:rsidP="008D6BDA">
      <w:pPr>
        <w:pStyle w:val="Heading6"/>
      </w:pPr>
      <w:r>
        <w:t>Continued conservative management as additional comparator (PTRCT)</w:t>
      </w:r>
    </w:p>
    <w:p w14:paraId="6AC07FD3" w14:textId="77777777" w:rsidR="008D6BDA" w:rsidRDefault="008D6BDA" w:rsidP="008D6BDA">
      <w:r>
        <w:t xml:space="preserve">ESC noted the ADAR did not include continued conservative management (CM) as additional comparator for subpopulation 1 (PTRCT), as advised by PASC in August 2023. </w:t>
      </w:r>
    </w:p>
    <w:p w14:paraId="75F4ACA6" w14:textId="77777777" w:rsidR="008D6BDA" w:rsidRDefault="008D6BDA" w:rsidP="008D6BDA">
      <w:r>
        <w:t xml:space="preserve">ESC noted the applicant initially requested an expedited pathway assessment as the proposed PICO aligned closely with the Ratified PICO confirmation for MSAC application 1593 (September 2019). MSAC Executive however, advised in April 2023 that consideration by the PICO Advisory Sub-committee (PASC) was required particularly to define the duration of failure to CM in the eligible population and to consider continued CM as an additional comparator for Population 1 (PTRCT). PASC subsequently considered a time frame of a minimum of 3 months of CM as an eligibility criterion reasonable </w:t>
      </w:r>
      <w:bookmarkStart w:id="113" w:name="_Hlk170061049"/>
      <w:r>
        <w:t>(p6, Ratified PICO Confirmation, August 2023 PASC meeting).</w:t>
      </w:r>
      <w:bookmarkEnd w:id="113"/>
      <w:r>
        <w:t xml:space="preserve"> ESC also recalled that PASC advised to include CM as additional comparator in Population 1, noting a proportion of patients who delay surgery but then get better and that more patients may now opt for surgery due to the lower burden of rehabilitation post-surgery (p16, Ratified PICO Confirmation, August 2023 PASC meeting). </w:t>
      </w:r>
    </w:p>
    <w:p w14:paraId="469044D4" w14:textId="77777777" w:rsidR="008D6BDA" w:rsidRDefault="008D6BDA" w:rsidP="008D6BDA">
      <w:pPr>
        <w:spacing w:after="0"/>
      </w:pPr>
      <w:r>
        <w:t>ESC noted the applicant’s Pre-ESC Response reiterated its arguments against the inclusion of continued CM as an additional comparator for Population 1 (PTRCT). However, ESC considered that a non-surgical intervention such as CM should be included as a comparator, as patients can elect to not have surgery. ESC noted that a 2019 Cochrane review</w:t>
      </w:r>
      <w:r>
        <w:rPr>
          <w:rStyle w:val="FootnoteReference"/>
        </w:rPr>
        <w:footnoteReference w:id="30"/>
      </w:r>
      <w:r>
        <w:t xml:space="preserve"> of randomised controlled trials (RCTs) of surgery for rotator cuff tears shows that it is uncertain if surgery provides clinically meaningful benefit to people with symptomatic tears. Additionally, a study by Littlewood et al. (2023)</w:t>
      </w:r>
      <w:r>
        <w:rPr>
          <w:rStyle w:val="FootnoteReference"/>
        </w:rPr>
        <w:footnoteReference w:id="31"/>
      </w:r>
      <w:r>
        <w:t xml:space="preserve"> shows that increased access to physiotherapy-led exercise may decrease the need for surgery. ESC also considered it important to include data or narrative on what CM involves for a patient, noting that:</w:t>
      </w:r>
    </w:p>
    <w:p w14:paraId="27AD61D8" w14:textId="77777777" w:rsidR="008D6BDA" w:rsidRDefault="008D6BDA" w:rsidP="005A42D2">
      <w:pPr>
        <w:pStyle w:val="ListParagraph"/>
        <w:widowControl/>
        <w:numPr>
          <w:ilvl w:val="0"/>
          <w:numId w:val="22"/>
        </w:numPr>
        <w:spacing w:before="0" w:after="240" w:line="240" w:lineRule="auto"/>
      </w:pPr>
      <w:r>
        <w:t>access to public outpatient physiotherapy for this indication is likely poor.</w:t>
      </w:r>
    </w:p>
    <w:p w14:paraId="418F535E" w14:textId="77777777" w:rsidR="008D6BDA" w:rsidRDefault="008D6BDA" w:rsidP="005A42D2">
      <w:pPr>
        <w:pStyle w:val="ListParagraph"/>
        <w:widowControl/>
        <w:numPr>
          <w:ilvl w:val="0"/>
          <w:numId w:val="22"/>
        </w:numPr>
        <w:spacing w:before="0" w:after="240" w:line="240" w:lineRule="auto"/>
      </w:pPr>
      <w:r>
        <w:t>there are very few MBS-funded physiotherapy sessions if using a chronic disease management plan, so out-of-pocket costs are likely.</w:t>
      </w:r>
    </w:p>
    <w:p w14:paraId="327E03F5" w14:textId="77777777" w:rsidR="008D6BDA" w:rsidRDefault="008D6BDA" w:rsidP="005A42D2">
      <w:pPr>
        <w:pStyle w:val="ListParagraph"/>
        <w:widowControl/>
        <w:numPr>
          <w:ilvl w:val="0"/>
          <w:numId w:val="22"/>
        </w:numPr>
        <w:spacing w:before="0" w:after="240" w:line="240" w:lineRule="auto"/>
      </w:pPr>
      <w:r>
        <w:t>there is no accepted protocol for physiotherapy for pre- or post-surgery rehabilitation, or CM without surgery.</w:t>
      </w:r>
    </w:p>
    <w:p w14:paraId="276A9A6F" w14:textId="77777777" w:rsidR="008D6BDA" w:rsidRDefault="008D6BDA" w:rsidP="008D6BDA">
      <w:r w:rsidRPr="008A190A">
        <w:t xml:space="preserve">Treatment is conservative management </w:t>
      </w:r>
      <w:r>
        <w:t>(</w:t>
      </w:r>
      <w:r w:rsidRPr="008A190A">
        <w:t>CM</w:t>
      </w:r>
      <w:r>
        <w:t xml:space="preserve">; </w:t>
      </w:r>
      <w:r w:rsidRPr="008A190A">
        <w:t>analgesia, anti-inflammatories, physical therapy) or surgery</w:t>
      </w:r>
      <w:r>
        <w:t xml:space="preserve">. </w:t>
      </w:r>
      <w:r w:rsidRPr="008A190A">
        <w:t>Surgery can include debridement/bursectomy +/</w:t>
      </w:r>
      <w:r>
        <w:t>–</w:t>
      </w:r>
      <w:r w:rsidRPr="008A190A">
        <w:t xml:space="preserve"> surgical repair of any of the </w:t>
      </w:r>
      <w:r>
        <w:t>four </w:t>
      </w:r>
      <w:r w:rsidRPr="008A190A">
        <w:t>shoulder muscles and its tendons with sutures and anchors</w:t>
      </w:r>
      <w:r>
        <w:t xml:space="preserve">. </w:t>
      </w:r>
    </w:p>
    <w:p w14:paraId="3FB3524A" w14:textId="77777777" w:rsidR="008D6BDA" w:rsidRDefault="008D6BDA" w:rsidP="008D6BDA">
      <w:pPr>
        <w:spacing w:after="0" w:line="240" w:lineRule="auto"/>
      </w:pPr>
      <w:r>
        <w:t>ESC considered a</w:t>
      </w:r>
      <w:r w:rsidRPr="004917E2">
        <w:t xml:space="preserve"> non-surgical comparator such as CM should be included, as patients can elect to not have surgery.</w:t>
      </w:r>
      <w:r>
        <w:t xml:space="preserve"> ESC </w:t>
      </w:r>
      <w:r w:rsidRPr="004917E2">
        <w:t xml:space="preserve">also </w:t>
      </w:r>
      <w:r>
        <w:t xml:space="preserve">considered it </w:t>
      </w:r>
      <w:r w:rsidRPr="004917E2">
        <w:t>important to outline what CM involves for patients</w:t>
      </w:r>
      <w:r>
        <w:t>. ESC also suggested that the applicant provide some discussion on natural history of the condition, as this would be helpful for decision-making.</w:t>
      </w:r>
    </w:p>
    <w:p w14:paraId="5D68C30A" w14:textId="77777777" w:rsidR="008D6BDA" w:rsidRPr="000E4343" w:rsidRDefault="008D6BDA" w:rsidP="008D6BDA">
      <w:pPr>
        <w:pStyle w:val="Heading5"/>
      </w:pPr>
      <w:r w:rsidRPr="000E4343">
        <w:t>Economic issues</w:t>
      </w:r>
    </w:p>
    <w:p w14:paraId="170F2E87" w14:textId="63BF518A" w:rsidR="008D6BDA" w:rsidRDefault="008D6BDA" w:rsidP="008D6BDA">
      <w:pPr>
        <w:spacing w:after="120"/>
      </w:pPr>
      <w:r>
        <w:t xml:space="preserve">ESC noted that the ADAR’s economic evaluation had changed substantially from the original </w:t>
      </w:r>
      <w:r w:rsidR="00DE0A5A">
        <w:t>application</w:t>
      </w:r>
      <w:r>
        <w:t xml:space="preserve"> considered at the July 2020 MSAC meeting. In the original </w:t>
      </w:r>
      <w:r w:rsidR="00DE0A5A">
        <w:t>application</w:t>
      </w:r>
      <w:r>
        <w:t>, partial- and full-thickness tears were modelled together using expected value analysis. In contrast, the current re</w:t>
      </w:r>
      <w:r w:rsidR="00DE0A5A">
        <w:t>application</w:t>
      </w:r>
      <w:r>
        <w:t xml:space="preserve"> used 2 separate decision tree models for each population, both using a time horizon of 2 years but different outcomes and analyses:</w:t>
      </w:r>
    </w:p>
    <w:p w14:paraId="3C78A6FE" w14:textId="77777777" w:rsidR="008D6BDA" w:rsidRDefault="008D6BDA" w:rsidP="008D6BDA">
      <w:pPr>
        <w:pStyle w:val="Bullet"/>
      </w:pPr>
      <w:r>
        <w:t>For Population 1 (PTRCT): a cost-effectiveness analysis using change in MCID (15.5 units) of ASES scores as the outcome and two health states in the model (MCID change in ASES score from baseline, and no MCID change in ASES score from baseline).</w:t>
      </w:r>
    </w:p>
    <w:p w14:paraId="7BAB2FB8" w14:textId="77777777" w:rsidR="008D6BDA" w:rsidRDefault="008D6BDA" w:rsidP="008D6BDA">
      <w:pPr>
        <w:pStyle w:val="Bullet"/>
      </w:pPr>
      <w:r>
        <w:t>For Population 2 (FTRCT): a cost-utility analysis (based on a recent publication by McIntyre et al. 2023) using quality-</w:t>
      </w:r>
      <w:r w:rsidRPr="009E3F32">
        <w:t>adjusted</w:t>
      </w:r>
      <w:r>
        <w:t xml:space="preserve"> life years (QALYs) based on rates of re-tear and subsequent repair as the outcome and five health states in the model (tear heals; tear fails to heal followed by revision surgery and tear heals; </w:t>
      </w:r>
      <w:r w:rsidRPr="00BB0529">
        <w:t xml:space="preserve">tear fails to heal followed by revision surgery and tear </w:t>
      </w:r>
      <w:r>
        <w:t xml:space="preserve">fails to </w:t>
      </w:r>
      <w:r w:rsidRPr="00BB0529">
        <w:t>heal;</w:t>
      </w:r>
      <w:r>
        <w:t xml:space="preserve"> tear fails to heal followed by reverse total shoulder arthroplasty; and tear fails to heal followed by continued CM).</w:t>
      </w:r>
    </w:p>
    <w:p w14:paraId="715290B0" w14:textId="77777777" w:rsidR="008D6BDA" w:rsidRDefault="008D6BDA" w:rsidP="008D6BDA">
      <w:pPr>
        <w:pStyle w:val="Heading6"/>
      </w:pPr>
      <w:r>
        <w:t>Low correlation in effectiveness measures between Population 1 and Population 2</w:t>
      </w:r>
    </w:p>
    <w:p w14:paraId="0785B10B" w14:textId="77777777" w:rsidR="008D6BDA" w:rsidRDefault="008D6BDA" w:rsidP="008D6BDA">
      <w:r>
        <w:t>ESC was concerned that there was low correlation in the effectiveness measures used to determine treatment “success” between the models used for the two </w:t>
      </w:r>
      <w:r w:rsidRPr="00EF4ADC">
        <w:t xml:space="preserve">populations. </w:t>
      </w:r>
    </w:p>
    <w:p w14:paraId="2EE5A546" w14:textId="77777777" w:rsidR="008D6BDA" w:rsidRDefault="008D6BDA" w:rsidP="008D6BDA">
      <w:r>
        <w:t>ESC noted that in the model for population 1, everyone “succeeds” by 12 months because in both trials (partial- and full-thickness tears), mean ASES scores continue to increase over time despite re-tear rates – ASES scores are subjective and calculated based on 50% pain (VAS) and 50% function, so the presence of high re-tear rates does not necessarily preclude improvements in ASES scores. ESC noted that the ADAR argued that ASES scores are considered an important functional outcome of effectiveness. However, ESC noted that m</w:t>
      </w:r>
      <w:r w:rsidRPr="00FF077A">
        <w:t>ultiple factors, including partial healing, effective pain management, timing of assessments and variations in the severity of re-tears, can contribute to increased ASES scores despite structural failures</w:t>
      </w:r>
      <w:r>
        <w:t xml:space="preserve"> – these</w:t>
      </w:r>
      <w:r w:rsidRPr="00FF077A">
        <w:t xml:space="preserve"> factors </w:t>
      </w:r>
      <w:r>
        <w:t xml:space="preserve">are important to consider </w:t>
      </w:r>
      <w:r w:rsidRPr="00FF077A">
        <w:t>when interpreting the outcomes of rotator cuff repair trials.</w:t>
      </w:r>
      <w:r>
        <w:t xml:space="preserve"> </w:t>
      </w:r>
      <w:r w:rsidRPr="00FF077A">
        <w:t>trials.</w:t>
      </w:r>
      <w:r>
        <w:t xml:space="preserve"> </w:t>
      </w:r>
    </w:p>
    <w:p w14:paraId="3B0243B3" w14:textId="77777777" w:rsidR="008D6BDA" w:rsidRDefault="008D6BDA" w:rsidP="008D6BDA">
      <w:r>
        <w:t xml:space="preserve">ESC noted that, based on ASES averages, 100% of patients in population 2 would also reach “success”, and this generates QoL gains over time. However, based on re-tear rates (applied in the population 2 model), between 8% and 25.8% of patients fail. This presents a situation of “success” in one outcome and “failure” in another, noting that “failure” generates QoL decrements and additional downstream costs. The implication is that a model based on ASES scores alone vs tear heal alone will generate quite different modelling results. </w:t>
      </w:r>
    </w:p>
    <w:p w14:paraId="60EBF8A0" w14:textId="77777777" w:rsidR="008D6BDA" w:rsidRDefault="008D6BDA" w:rsidP="008D6BDA">
      <w:r w:rsidRPr="000E4343">
        <w:t>ESC considered that a more consistent approach to modelling both populations would have been more appropriate and robust (with multiple factors such as patient function, symptoms and MRI, as per clinical practice).</w:t>
      </w:r>
    </w:p>
    <w:p w14:paraId="57AE00B8" w14:textId="77777777" w:rsidR="008D6BDA" w:rsidRDefault="008D6BDA" w:rsidP="008D6BDA">
      <w:pPr>
        <w:pStyle w:val="Heading6"/>
      </w:pPr>
      <w:bookmarkStart w:id="114" w:name="_Hlk170104957"/>
      <w:r>
        <w:t>Population 1 (PTRCT)</w:t>
      </w:r>
    </w:p>
    <w:bookmarkEnd w:id="114"/>
    <w:p w14:paraId="495E7094" w14:textId="060A2D07" w:rsidR="008D6BDA" w:rsidRDefault="008D6BDA" w:rsidP="008D6BDA">
      <w:r w:rsidRPr="00A7034B">
        <w:t xml:space="preserve">The ADAR reported that using standard surgical repair with REGENETEN in patients with symptomatic PTRCT who have failed at least three months of CM would result in an incremental benefit of 0.58 unit of MCID of ASES gained over a 2-year period when compared to standard surgical repair without REGENETEN, resulting in an ICER of </w:t>
      </w:r>
      <w:r w:rsidR="007D64F5" w:rsidRPr="00DC01E7">
        <w:rPr>
          <w:b/>
          <w:bCs/>
        </w:rPr>
        <w:t>redacted</w:t>
      </w:r>
      <w:r w:rsidR="007D64F5" w:rsidDel="006414CA">
        <w:t xml:space="preserve"> </w:t>
      </w:r>
      <w:r w:rsidRPr="00A7034B">
        <w:t>per MCID of AES (15.5 points in the ASES score) gained.</w:t>
      </w:r>
      <w:r>
        <w:t xml:space="preserve"> </w:t>
      </w:r>
    </w:p>
    <w:p w14:paraId="4711C085" w14:textId="77777777" w:rsidR="008D6BDA" w:rsidRDefault="008D6BDA" w:rsidP="008D6BDA">
      <w:r>
        <w:t>ESC considered the r</w:t>
      </w:r>
      <w:r w:rsidRPr="00B01D5C">
        <w:t>esults of the ADAR’s base case analysis</w:t>
      </w:r>
      <w:r>
        <w:t xml:space="preserve"> for population 1</w:t>
      </w:r>
      <w:r w:rsidRPr="00B01D5C">
        <w:t xml:space="preserve"> highly uncertain because the Camacho-Chacon et al., 2023 trial included FTRCT patients </w:t>
      </w:r>
      <w:r>
        <w:t>to inform the economic evaluation. ESC considered</w:t>
      </w:r>
      <w:r w:rsidRPr="00D2161C">
        <w:t xml:space="preserve"> increase</w:t>
      </w:r>
      <w:r>
        <w:t>d the</w:t>
      </w:r>
      <w:r w:rsidRPr="00D2161C">
        <w:t xml:space="preserve"> uncertainty of evidence in terms of the underlying differences in these groups. </w:t>
      </w:r>
      <w:r>
        <w:t>ESC noted the</w:t>
      </w:r>
      <w:r w:rsidRPr="00D2161C">
        <w:t xml:space="preserve"> intervention arm </w:t>
      </w:r>
      <w:r>
        <w:t xml:space="preserve">of </w:t>
      </w:r>
      <w:r w:rsidRPr="00B01D5C">
        <w:t>the Camacho-Chacon et al., 2023 trial</w:t>
      </w:r>
      <w:r>
        <w:t xml:space="preserve"> </w:t>
      </w:r>
      <w:r w:rsidRPr="00D2161C">
        <w:t>is consistent with the clinical pathway for partial tears in that it is an isolated implant used instead of sutures, rather than in addition to (full tear model). However, the inclusion of the use of REGENESORB anchors in the comparator (as an adjunct) introduces an additional variable that might confound the comparison and as such this comparison may not be directly applicable.</w:t>
      </w:r>
    </w:p>
    <w:p w14:paraId="0F139798" w14:textId="4F6E1845" w:rsidR="008D6BDA" w:rsidRDefault="008D6BDA" w:rsidP="008D6BDA">
      <w:r>
        <w:t xml:space="preserve">ESC noted </w:t>
      </w:r>
      <w:r w:rsidRPr="00B01D5C">
        <w:t xml:space="preserve">the commentary considered the ADAR inaccurately calculated the change in ASES score and inappropriately used the number of unit changes in MCID of ASES as the outcome of the cost-effectiveness analysis. </w:t>
      </w:r>
      <w:r>
        <w:t xml:space="preserve">ESC noted the commentary </w:t>
      </w:r>
      <w:r w:rsidRPr="00B01D5C">
        <w:t>us</w:t>
      </w:r>
      <w:r>
        <w:t>ed</w:t>
      </w:r>
      <w:r w:rsidRPr="00B01D5C">
        <w:t xml:space="preserve"> the same approach </w:t>
      </w:r>
      <w:r>
        <w:t xml:space="preserve">as </w:t>
      </w:r>
      <w:r w:rsidRPr="00B01D5C">
        <w:t xml:space="preserve">in the ADAR but an alternative method of calculation of change in MCID of ASES scores </w:t>
      </w:r>
      <w:r>
        <w:t>resulted in</w:t>
      </w:r>
      <w:r w:rsidRPr="00B01D5C">
        <w:t xml:space="preserve"> </w:t>
      </w:r>
      <w:r>
        <w:t>a substantial reduction in</w:t>
      </w:r>
      <w:r w:rsidRPr="00B01D5C">
        <w:t xml:space="preserve"> incremental benefit of standard surgical repair with REGENETEN to 0.065 unit of MCID of ASES gained over a 2-year period and the ICER increased to </w:t>
      </w:r>
      <w:r w:rsidR="007D64F5" w:rsidRPr="00DC01E7">
        <w:rPr>
          <w:b/>
          <w:bCs/>
        </w:rPr>
        <w:t>redacted</w:t>
      </w:r>
      <w:r w:rsidR="007D64F5" w:rsidDel="006414CA">
        <w:t xml:space="preserve"> </w:t>
      </w:r>
      <w:r w:rsidRPr="00B01D5C">
        <w:t xml:space="preserve">per MCID gained. </w:t>
      </w:r>
      <w:r>
        <w:t xml:space="preserve"> </w:t>
      </w:r>
    </w:p>
    <w:p w14:paraId="7DAB5D8F" w14:textId="4DA5E7C8" w:rsidR="008D6BDA" w:rsidRDefault="008D6BDA" w:rsidP="008D6BDA">
      <w:r>
        <w:t>ESC noted that t</w:t>
      </w:r>
      <w:r w:rsidRPr="00FA1DC4">
        <w:t xml:space="preserve">he Pre-ESC Response acknowledged that there are different methods to estimate average gains in MCID over 2 years using the trial and accepted the alternative methodology by the commentary. </w:t>
      </w:r>
      <w:r>
        <w:t>ESC considered the commentary’s approach reasonable but agreed with the pre-ESC response</w:t>
      </w:r>
      <w:r w:rsidRPr="00FA1DC4">
        <w:t xml:space="preserve"> that the commentary should have added the gains in MCID for each period to get the total gain for the entire period of 24 month. </w:t>
      </w:r>
      <w:r>
        <w:t>ESC noted that after correcting the error in the re-specified base-case, t</w:t>
      </w:r>
      <w:r w:rsidRPr="00FA1DC4">
        <w:t xml:space="preserve">he incremental benefit </w:t>
      </w:r>
      <w:r>
        <w:t xml:space="preserve">became </w:t>
      </w:r>
      <w:r w:rsidRPr="00F74B91">
        <w:t>0.465</w:t>
      </w:r>
      <w:r w:rsidRPr="00FA1DC4">
        <w:t xml:space="preserve"> per MCID of ASES score</w:t>
      </w:r>
      <w:r>
        <w:t xml:space="preserve"> and the</w:t>
      </w:r>
      <w:r w:rsidRPr="00FA1DC4">
        <w:t xml:space="preserve"> ICER </w:t>
      </w:r>
      <w:r>
        <w:t xml:space="preserve">became </w:t>
      </w:r>
      <w:r w:rsidR="007D64F5" w:rsidRPr="00DC01E7">
        <w:rPr>
          <w:b/>
          <w:bCs/>
        </w:rPr>
        <w:t>redacted</w:t>
      </w:r>
      <w:r w:rsidR="007D64F5" w:rsidDel="006414CA">
        <w:t xml:space="preserve"> </w:t>
      </w:r>
      <w:r w:rsidRPr="00F74B91">
        <w:t>per unit MCID of ASES gained</w:t>
      </w:r>
      <w:r>
        <w:t xml:space="preserve"> (</w:t>
      </w:r>
      <w:r w:rsidRPr="008C347A">
        <w:fldChar w:fldCharType="begin"/>
      </w:r>
      <w:r w:rsidRPr="008C347A">
        <w:instrText xml:space="preserve"> REF _Ref163179940 \h  \* MERGEFORMAT </w:instrText>
      </w:r>
      <w:r w:rsidRPr="008C347A">
        <w:fldChar w:fldCharType="separate"/>
      </w:r>
      <w:r w:rsidRPr="00276480">
        <w:rPr>
          <w:rFonts w:eastAsia="Times New Roman" w:cs="Times New Roman"/>
        </w:rPr>
        <w:t xml:space="preserve">Table </w:t>
      </w:r>
      <w:r w:rsidRPr="00276480">
        <w:rPr>
          <w:rFonts w:eastAsia="Times New Roman" w:cs="Times New Roman"/>
          <w:noProof/>
        </w:rPr>
        <w:t>11</w:t>
      </w:r>
      <w:r w:rsidRPr="008C347A">
        <w:fldChar w:fldCharType="end"/>
      </w:r>
      <w:r w:rsidRPr="008C347A">
        <w:t>)</w:t>
      </w:r>
      <w:r w:rsidRPr="00FA1DC4">
        <w:t>.</w:t>
      </w:r>
    </w:p>
    <w:p w14:paraId="323131C2" w14:textId="77777777" w:rsidR="008D6BDA" w:rsidRDefault="008D6BDA" w:rsidP="008D6BDA">
      <w:r>
        <w:t>ESC noted that the main driver of the model for population 1 is the incremental difference in MCID of ASES scores – specifically,</w:t>
      </w:r>
      <w:r w:rsidRPr="009D4BA2">
        <w:t xml:space="preserve"> </w:t>
      </w:r>
      <w:r>
        <w:t>the 3.3% of patients who received standard surgical repair without REGENETEN who did not reach MCID until 12 months. However, ESC noted that the decision-tree pathway does not accurately depict the clinical pathway. ESC considered the two health states (change in MCID of ASES scores and no change in MCID of ASES scores) to be inappropriate, as there is no decision made and all patients receive the same cost and effectiveness irrespective of the MCID outcome. Additionally, ESC noted that the model does not include any downstream costs (including for revision and repair following re-tear, which the literature suggests represents up to 21% of patients in the treatment arm) or benefits. It also assumes no failure (progressed tear) in 24 months, which ESC considered to be clinically unrealistic.</w:t>
      </w:r>
    </w:p>
    <w:p w14:paraId="244EAE3A" w14:textId="77777777" w:rsidR="008D6BDA" w:rsidRDefault="008D6BDA" w:rsidP="008D6BDA">
      <w:r>
        <w:t>ESC noted that the sensitivity analyses using the corrected re-specified base case analysis showed that:</w:t>
      </w:r>
    </w:p>
    <w:p w14:paraId="797EBD3C" w14:textId="70B9BFE4" w:rsidR="008D6BDA" w:rsidRDefault="008D6BDA" w:rsidP="005A42D2">
      <w:pPr>
        <w:pStyle w:val="Bullet"/>
        <w:widowControl/>
        <w:numPr>
          <w:ilvl w:val="0"/>
          <w:numId w:val="20"/>
        </w:numPr>
        <w:spacing w:before="0"/>
      </w:pPr>
      <w:r>
        <w:t>decreasing the MCID for ASES scores to 6.4 (minimal value of the six included studies in the systematic review by Jones et al. 2020</w:t>
      </w:r>
      <w:r>
        <w:rPr>
          <w:rStyle w:val="FootnoteReference"/>
        </w:rPr>
        <w:footnoteReference w:id="32"/>
      </w:r>
      <w:r>
        <w:t xml:space="preserve">) decreased the ICER to </w:t>
      </w:r>
      <w:r w:rsidR="007D64F5" w:rsidRPr="00DC01E7">
        <w:rPr>
          <w:b/>
          <w:bCs/>
        </w:rPr>
        <w:t>redacted</w:t>
      </w:r>
      <w:r w:rsidR="007D64F5" w:rsidDel="006414CA">
        <w:t xml:space="preserve"> </w:t>
      </w:r>
      <w:r>
        <w:t>/MCID of ASES scores gained.</w:t>
      </w:r>
    </w:p>
    <w:p w14:paraId="0E2EA2A8" w14:textId="21037EAC" w:rsidR="008D6BDA" w:rsidRDefault="008D6BDA" w:rsidP="005A42D2">
      <w:pPr>
        <w:pStyle w:val="Bullet"/>
        <w:widowControl/>
        <w:numPr>
          <w:ilvl w:val="0"/>
          <w:numId w:val="20"/>
        </w:numPr>
        <w:spacing w:before="0"/>
      </w:pPr>
      <w:r>
        <w:t xml:space="preserve">increasing the MCID to 21.9 (maximal value of the six included studies in the systematic review) increased the ICER to </w:t>
      </w:r>
      <w:r w:rsidR="007D64F5" w:rsidRPr="00DC01E7">
        <w:rPr>
          <w:b/>
          <w:bCs/>
        </w:rPr>
        <w:t>redacted</w:t>
      </w:r>
      <w:r w:rsidR="007D64F5" w:rsidDel="006414CA">
        <w:t xml:space="preserve"> </w:t>
      </w:r>
      <w:r>
        <w:t>/MCID of ASES gained.</w:t>
      </w:r>
    </w:p>
    <w:p w14:paraId="2E22C440" w14:textId="77777777" w:rsidR="008D6BDA" w:rsidRDefault="008D6BDA" w:rsidP="008D6BDA">
      <w:pPr>
        <w:pStyle w:val="Heading6"/>
      </w:pPr>
      <w:r>
        <w:t>Population 2 (FTRCT)</w:t>
      </w:r>
    </w:p>
    <w:p w14:paraId="06CF8E17" w14:textId="77777777" w:rsidR="008D6BDA" w:rsidRDefault="008D6BDA" w:rsidP="008D6BDA">
      <w:pPr>
        <w:pStyle w:val="Bullet"/>
        <w:numPr>
          <w:ilvl w:val="0"/>
          <w:numId w:val="0"/>
        </w:numPr>
      </w:pPr>
      <w:r w:rsidRPr="00AE6693">
        <w:t xml:space="preserve">For </w:t>
      </w:r>
      <w:r>
        <w:t>p</w:t>
      </w:r>
      <w:r w:rsidRPr="00AE6693">
        <w:t xml:space="preserve">opulation 2 a cost utility analysis was presented using a decision tree model that was based on a recent publication by McIntyre et al., 2023 and the model was modified to include QALYs as the health outcome. </w:t>
      </w:r>
      <w:r>
        <w:t xml:space="preserve">ESC noted the </w:t>
      </w:r>
      <w:r w:rsidRPr="00AE6693">
        <w:t>model relied on utility values o</w:t>
      </w:r>
      <w:r>
        <w:t>f</w:t>
      </w:r>
      <w:r w:rsidRPr="00AE6693">
        <w:t xml:space="preserve"> ’success’ from clinical estimates of both PTRCT and FTRCT patients</w:t>
      </w:r>
      <w:r>
        <w:t>, when population 2 is patients with FTRCT. ESC considered this introduced</w:t>
      </w:r>
      <w:r w:rsidRPr="00AE6693">
        <w:t xml:space="preserve"> uncertainty due to underlying difference in these patient groups. </w:t>
      </w:r>
      <w:r>
        <w:t>ESC noted that the utility values of the trial were not used as they were the average per treatment pathway over time, and not disaggregated into tear and re-tear. Therefore</w:t>
      </w:r>
      <w:r w:rsidRPr="009E525C">
        <w:t xml:space="preserve">, clinical estimates from the study by </w:t>
      </w:r>
      <w:proofErr w:type="spellStart"/>
      <w:r w:rsidRPr="009E525C">
        <w:t>Grobet</w:t>
      </w:r>
      <w:proofErr w:type="spellEnd"/>
      <w:r w:rsidRPr="009E525C">
        <w:t xml:space="preserve"> et al. [2020]</w:t>
      </w:r>
      <w:r>
        <w:rPr>
          <w:rStyle w:val="FootnoteReference"/>
        </w:rPr>
        <w:footnoteReference w:id="33"/>
      </w:r>
      <w:r w:rsidRPr="009E525C">
        <w:t xml:space="preserve"> were used instead. ESC considered the estimates in the ADAR to be an appropriate proxy</w:t>
      </w:r>
      <w:r>
        <w:t xml:space="preserve"> </w:t>
      </w:r>
      <w:r w:rsidRPr="009E525C">
        <w:t xml:space="preserve">and did not support the utility values proposed in the commentary sensitivity analysis – notably, the assumption that the utility of patients with incomplete healing and then successful revision surgery would be lower than CM was clinically implausible. ESC noted that the revision utility was not measured in the </w:t>
      </w:r>
      <w:proofErr w:type="spellStart"/>
      <w:r w:rsidRPr="009E525C">
        <w:t>Grobet</w:t>
      </w:r>
      <w:proofErr w:type="spellEnd"/>
      <w:r>
        <w:t xml:space="preserve"> et al. </w:t>
      </w:r>
      <w:r w:rsidRPr="009E525C">
        <w:t>study</w:t>
      </w:r>
      <w:r>
        <w:t>, so the model makes assumptions about the re-tear pathway (such as 80% of first successful surgery) based on other clinical literature, which ESC considered reasonable. The model also assumed that:</w:t>
      </w:r>
    </w:p>
    <w:p w14:paraId="638ABCBA" w14:textId="77777777" w:rsidR="008D6BDA" w:rsidRDefault="008D6BDA" w:rsidP="005A42D2">
      <w:pPr>
        <w:pStyle w:val="Bullet"/>
        <w:widowControl/>
        <w:numPr>
          <w:ilvl w:val="0"/>
          <w:numId w:val="19"/>
        </w:numPr>
        <w:spacing w:before="0"/>
      </w:pPr>
      <w:r>
        <w:t>patients with CM after surgery and failure do not improve, but ESC considered that there was evidence that CM can lead to improvement, and this was tested in a sensitivity analysis.</w:t>
      </w:r>
    </w:p>
    <w:p w14:paraId="5C772A7F" w14:textId="77777777" w:rsidR="008D6BDA" w:rsidRDefault="008D6BDA" w:rsidP="005A42D2">
      <w:pPr>
        <w:pStyle w:val="Bullet"/>
        <w:widowControl/>
        <w:numPr>
          <w:ilvl w:val="0"/>
          <w:numId w:val="19"/>
        </w:numPr>
        <w:spacing w:before="0"/>
      </w:pPr>
      <w:r>
        <w:t>the costs of REGENETEN are incremental and would be claimed in addition to standard surgical repair. PASC had noted that, in population 2, the implant would be used in addition to the standard repair.</w:t>
      </w:r>
    </w:p>
    <w:p w14:paraId="62A63ECC" w14:textId="77777777" w:rsidR="008D6BDA" w:rsidRDefault="008D6BDA" w:rsidP="005A42D2">
      <w:pPr>
        <w:pStyle w:val="Bullet"/>
        <w:widowControl/>
        <w:numPr>
          <w:ilvl w:val="0"/>
          <w:numId w:val="19"/>
        </w:numPr>
        <w:spacing w:before="0"/>
      </w:pPr>
      <w:r>
        <w:t>there is no difference in costs for different comparator treatments (arthroscopic vs mini surgery), which are used interchangeably. However, ESC noted that these procedures have different durations.</w:t>
      </w:r>
    </w:p>
    <w:p w14:paraId="1EC41132" w14:textId="77777777" w:rsidR="008D6BDA" w:rsidRPr="00F54D0F" w:rsidRDefault="008D6BDA" w:rsidP="008D6BDA">
      <w:r w:rsidRPr="006C4E62">
        <w:rPr>
          <w:color w:val="000000" w:themeColor="text1"/>
        </w:rPr>
        <w:t xml:space="preserve">ESC noted that the Pre-ESC Response acknowledged a misspelling in </w:t>
      </w:r>
      <w:r>
        <w:rPr>
          <w:color w:val="000000" w:themeColor="text1"/>
        </w:rPr>
        <w:t>Table 67 of the ADAR</w:t>
      </w:r>
      <w:r w:rsidRPr="006C4E62">
        <w:rPr>
          <w:color w:val="000000" w:themeColor="text1"/>
        </w:rPr>
        <w:t xml:space="preserve"> which in its 3</w:t>
      </w:r>
      <w:r w:rsidRPr="006C4E62">
        <w:rPr>
          <w:color w:val="000000" w:themeColor="text1"/>
          <w:vertAlign w:val="superscript"/>
        </w:rPr>
        <w:t>rd</w:t>
      </w:r>
      <w:r w:rsidRPr="006C4E62">
        <w:rPr>
          <w:color w:val="000000" w:themeColor="text1"/>
        </w:rPr>
        <w:t xml:space="preserve"> row reads “Tear fails to heal (2</w:t>
      </w:r>
      <w:r w:rsidRPr="006C4E62">
        <w:rPr>
          <w:color w:val="000000" w:themeColor="text1"/>
          <w:vertAlign w:val="superscript"/>
        </w:rPr>
        <w:t>nd</w:t>
      </w:r>
      <w:r w:rsidRPr="006C4E62">
        <w:rPr>
          <w:color w:val="000000" w:themeColor="text1"/>
        </w:rPr>
        <w:t xml:space="preserve"> year)” should be “Tear heal (2</w:t>
      </w:r>
      <w:r w:rsidRPr="006C4E62">
        <w:rPr>
          <w:color w:val="000000" w:themeColor="text1"/>
          <w:vertAlign w:val="superscript"/>
        </w:rPr>
        <w:t>nd</w:t>
      </w:r>
      <w:r w:rsidRPr="006C4E62">
        <w:rPr>
          <w:color w:val="000000" w:themeColor="text1"/>
        </w:rPr>
        <w:t xml:space="preserve"> year)” instead. </w:t>
      </w:r>
    </w:p>
    <w:p w14:paraId="62D47305" w14:textId="1E1F553E" w:rsidR="008D6BDA" w:rsidRDefault="008D6BDA" w:rsidP="008D6BDA">
      <w:r>
        <w:t xml:space="preserve">ESC noted that the base case ICER for population 2 was </w:t>
      </w:r>
      <w:r w:rsidR="007D64F5" w:rsidRPr="00DC01E7">
        <w:rPr>
          <w:b/>
          <w:bCs/>
        </w:rPr>
        <w:t>redacted</w:t>
      </w:r>
      <w:r w:rsidR="007D64F5" w:rsidDel="006414CA">
        <w:t xml:space="preserve"> </w:t>
      </w:r>
      <w:r>
        <w:t>/QALY. ESC noted that a key driver of the model for population 2 is the incremental difference in tear healing rates. The m</w:t>
      </w:r>
      <w:r w:rsidRPr="001B4D72">
        <w:t xml:space="preserve">odel assumes that tear heal (re-tear rates) </w:t>
      </w:r>
      <w:r>
        <w:t>equates to</w:t>
      </w:r>
      <w:r w:rsidRPr="001B4D72">
        <w:t xml:space="preserve"> procedure success</w:t>
      </w:r>
      <w:r>
        <w:t>, and t</w:t>
      </w:r>
      <w:r w:rsidRPr="001B4D72">
        <w:t>hose who fail do not incur any QOL benefits from the first procedure and maintain pre-op</w:t>
      </w:r>
      <w:r>
        <w:t>eration</w:t>
      </w:r>
      <w:r w:rsidRPr="001B4D72">
        <w:t xml:space="preserve"> utility until second</w:t>
      </w:r>
      <w:r>
        <w:t>-</w:t>
      </w:r>
      <w:r w:rsidRPr="001B4D72">
        <w:t xml:space="preserve">line treatment. A study </w:t>
      </w:r>
      <w:r>
        <w:t xml:space="preserve">by </w:t>
      </w:r>
      <w:r w:rsidRPr="001B4D72">
        <w:t>Iannotti et al</w:t>
      </w:r>
      <w:r>
        <w:t>.</w:t>
      </w:r>
      <w:r w:rsidRPr="001B4D72">
        <w:t xml:space="preserve"> 2013</w:t>
      </w:r>
      <w:r>
        <w:rPr>
          <w:rStyle w:val="FootnoteReference"/>
        </w:rPr>
        <w:footnoteReference w:id="34"/>
      </w:r>
      <w:r w:rsidRPr="001B4D72">
        <w:t xml:space="preserve"> found that re-tears following rotator cuff repair primarily occurred between 6</w:t>
      </w:r>
      <w:r>
        <w:t xml:space="preserve"> and </w:t>
      </w:r>
      <w:r w:rsidRPr="001B4D72">
        <w:t>26</w:t>
      </w:r>
      <w:r>
        <w:t> </w:t>
      </w:r>
      <w:r w:rsidRPr="001B4D72">
        <w:t>weeks, with a substantial number of re-tears occurring between 12</w:t>
      </w:r>
      <w:r>
        <w:t xml:space="preserve"> and </w:t>
      </w:r>
      <w:r w:rsidRPr="001B4D72">
        <w:t>26</w:t>
      </w:r>
      <w:r>
        <w:t> </w:t>
      </w:r>
      <w:r w:rsidRPr="001B4D72">
        <w:t>weeks</w:t>
      </w:r>
      <w:r>
        <w:t>; ESC considered this c</w:t>
      </w:r>
      <w:r w:rsidRPr="001B4D72">
        <w:t xml:space="preserve">onservative. </w:t>
      </w:r>
      <w:r>
        <w:t>ESC noted from sensitivity analyses in the ADAR that:</w:t>
      </w:r>
    </w:p>
    <w:p w14:paraId="0B4D6814" w14:textId="3315ED50" w:rsidR="008D6BDA" w:rsidRDefault="008D6BDA" w:rsidP="005A42D2">
      <w:pPr>
        <w:pStyle w:val="Bullet"/>
        <w:widowControl/>
        <w:numPr>
          <w:ilvl w:val="0"/>
          <w:numId w:val="21"/>
        </w:numPr>
        <w:spacing w:before="0"/>
      </w:pPr>
      <w:r>
        <w:t xml:space="preserve">increasing the rate of tear heal failure for REGENETEN to 18.1% increases the ICER to </w:t>
      </w:r>
      <w:r w:rsidR="007D64F5" w:rsidRPr="00DC01E7">
        <w:rPr>
          <w:b/>
          <w:bCs/>
        </w:rPr>
        <w:t>redacted</w:t>
      </w:r>
    </w:p>
    <w:p w14:paraId="339E71E7" w14:textId="6B3DDBF8" w:rsidR="008D6BDA" w:rsidRDefault="008D6BDA" w:rsidP="005A42D2">
      <w:pPr>
        <w:pStyle w:val="Bullet"/>
        <w:widowControl/>
        <w:numPr>
          <w:ilvl w:val="0"/>
          <w:numId w:val="21"/>
        </w:numPr>
        <w:spacing w:before="0"/>
      </w:pPr>
      <w:r>
        <w:t xml:space="preserve">decreasing the rate of tear heal failure for standard of care to 16.6% increases the ICER to </w:t>
      </w:r>
      <w:r w:rsidR="007D64F5" w:rsidRPr="00DC01E7">
        <w:rPr>
          <w:b/>
          <w:bCs/>
        </w:rPr>
        <w:t>redacted</w:t>
      </w:r>
    </w:p>
    <w:p w14:paraId="60846BF4" w14:textId="3F2CA4FE" w:rsidR="008D6BDA" w:rsidRDefault="008D6BDA" w:rsidP="005A42D2">
      <w:pPr>
        <w:pStyle w:val="Bullet"/>
        <w:widowControl/>
        <w:numPr>
          <w:ilvl w:val="0"/>
          <w:numId w:val="21"/>
        </w:numPr>
        <w:spacing w:before="0"/>
      </w:pPr>
      <w:r>
        <w:t xml:space="preserve">increasing the utility value of CM after tear heal failure to 0.781 increases the ICER to </w:t>
      </w:r>
      <w:r w:rsidR="007D64F5" w:rsidRPr="00DC01E7">
        <w:rPr>
          <w:b/>
          <w:bCs/>
        </w:rPr>
        <w:t>redacted</w:t>
      </w:r>
    </w:p>
    <w:p w14:paraId="532E62F4" w14:textId="73E90D2C" w:rsidR="008D6BDA" w:rsidRDefault="008D6BDA" w:rsidP="005A42D2">
      <w:pPr>
        <w:pStyle w:val="Bullet"/>
        <w:widowControl/>
        <w:numPr>
          <w:ilvl w:val="0"/>
          <w:numId w:val="21"/>
        </w:numPr>
        <w:spacing w:before="0"/>
      </w:pPr>
      <w:r>
        <w:t xml:space="preserve">increasing the cost of the REGENETEN kit by 20% (to </w:t>
      </w:r>
      <w:r w:rsidR="006B640D" w:rsidRPr="00E477C8">
        <w:rPr>
          <w:b/>
          <w:bCs/>
        </w:rPr>
        <w:t>redacted</w:t>
      </w:r>
      <w:r>
        <w:t xml:space="preserve">) increases the ICER to </w:t>
      </w:r>
      <w:r w:rsidR="007D64F5" w:rsidRPr="00DC01E7">
        <w:rPr>
          <w:b/>
          <w:bCs/>
        </w:rPr>
        <w:t>redacted</w:t>
      </w:r>
      <w:r>
        <w:t>.</w:t>
      </w:r>
    </w:p>
    <w:p w14:paraId="35971963" w14:textId="77777777" w:rsidR="008D6BDA" w:rsidRDefault="008D6BDA" w:rsidP="008D6BDA">
      <w:r>
        <w:t xml:space="preserve">ESC also recalled that, in its previous consideration of the original application, </w:t>
      </w:r>
      <w:r w:rsidRPr="001B4D72">
        <w:t xml:space="preserve">MSAC </w:t>
      </w:r>
      <w:r>
        <w:t>considered the</w:t>
      </w:r>
      <w:r w:rsidRPr="001B4D72">
        <w:t xml:space="preserve"> definitions of </w:t>
      </w:r>
      <w:r>
        <w:t>“</w:t>
      </w:r>
      <w:r w:rsidRPr="001B4D72">
        <w:t>re</w:t>
      </w:r>
      <w:r>
        <w:t>-</w:t>
      </w:r>
      <w:r w:rsidRPr="001B4D72">
        <w:t>tear</w:t>
      </w:r>
      <w:r>
        <w:t>”</w:t>
      </w:r>
      <w:r w:rsidRPr="001B4D72">
        <w:t xml:space="preserve">, </w:t>
      </w:r>
      <w:r>
        <w:t>“</w:t>
      </w:r>
      <w:r w:rsidRPr="001B4D72">
        <w:t>incomplete healing</w:t>
      </w:r>
      <w:r>
        <w:t>”</w:t>
      </w:r>
      <w:r w:rsidRPr="001B4D72">
        <w:t xml:space="preserve"> and </w:t>
      </w:r>
      <w:r>
        <w:t>“</w:t>
      </w:r>
      <w:r w:rsidRPr="001B4D72">
        <w:t>treatment failure</w:t>
      </w:r>
      <w:r>
        <w:t>”</w:t>
      </w:r>
      <w:r w:rsidRPr="001B4D72">
        <w:t xml:space="preserve"> </w:t>
      </w:r>
      <w:r>
        <w:t>to be</w:t>
      </w:r>
      <w:r w:rsidRPr="001B4D72">
        <w:t xml:space="preserve"> unclear. </w:t>
      </w:r>
      <w:r>
        <w:t>ESC considered that t</w:t>
      </w:r>
      <w:r w:rsidRPr="001B4D72">
        <w:t>his issue remains unresolved.</w:t>
      </w:r>
    </w:p>
    <w:p w14:paraId="00B5B047" w14:textId="4EAB5322" w:rsidR="008D6BDA" w:rsidRDefault="008D6BDA" w:rsidP="008D6BDA">
      <w:r>
        <w:rPr>
          <w:color w:val="000000" w:themeColor="text1"/>
        </w:rPr>
        <w:t>ESC noted the pre-ESC response</w:t>
      </w:r>
      <w:r w:rsidRPr="00276480">
        <w:rPr>
          <w:color w:val="000000" w:themeColor="text1"/>
        </w:rPr>
        <w:t xml:space="preserve"> acknowledged that the utility value of 0.950 for the second year of the health state ‘tear heal’ was higher than the population norm for the Australian general population of 0.90 (population age between 45 and 64 years old), noting that a sensitivity analysis using the same utility value of 0.891 for both first and second year of tear heals resulted in an ICER of </w:t>
      </w:r>
      <w:r w:rsidR="00406F91" w:rsidRPr="00DC01E7">
        <w:rPr>
          <w:b/>
          <w:bCs/>
        </w:rPr>
        <w:t>redacted</w:t>
      </w:r>
      <w:r w:rsidR="00406F91" w:rsidDel="006414CA">
        <w:t xml:space="preserve"> </w:t>
      </w:r>
      <w:r w:rsidRPr="00276480">
        <w:rPr>
          <w:color w:val="000000" w:themeColor="text1"/>
        </w:rPr>
        <w:t>per QALY gained</w:t>
      </w:r>
      <w:r>
        <w:rPr>
          <w:color w:val="000000" w:themeColor="text1"/>
        </w:rPr>
        <w:t>.</w:t>
      </w:r>
    </w:p>
    <w:p w14:paraId="553847F1" w14:textId="77777777" w:rsidR="008D6BDA" w:rsidRPr="000E4343" w:rsidRDefault="008D6BDA" w:rsidP="008D6BDA">
      <w:pPr>
        <w:pStyle w:val="Heading5"/>
      </w:pPr>
      <w:bookmarkStart w:id="115" w:name="_Hlk170057604"/>
      <w:r w:rsidRPr="000E4343">
        <w:t>Financial issues</w:t>
      </w:r>
    </w:p>
    <w:bookmarkEnd w:id="115"/>
    <w:p w14:paraId="6B2CD293" w14:textId="77777777" w:rsidR="008D6BDA" w:rsidRDefault="008D6BDA" w:rsidP="008D6BDA">
      <w:r>
        <w:t>ESC noted that an epidemiological approach was used to estimate the financial impacts, with the uptake rate increasing over time. The number of patients was not expected to be impacted by the introduction of REGENETEN; however, ESC considered that there was the potential for overutilisation.</w:t>
      </w:r>
    </w:p>
    <w:p w14:paraId="31973788" w14:textId="2D420A6F" w:rsidR="008D6BDA" w:rsidRDefault="008D6BDA" w:rsidP="008D6BDA">
      <w:r>
        <w:t>ESC noted that the total savings to the MBS were estimated as $120,000 in year 1, increasing to $900,000 in year 6. For population 2, fewer re-tears equated to reduced cost revisions for rotator cuff tear repair and reverse total shoulder arthroplasty, and a decrease in the use of MRI to diagnose retears and CM costs. Patients were expected to save (in out-of-pocket costs) from $20,000 in year 1 to $200,000 in year 6, with a higher uptake of REGENETEN. However, ESC noted</w:t>
      </w:r>
      <w:r w:rsidDel="006D649C">
        <w:t xml:space="preserve"> </w:t>
      </w:r>
      <w:r>
        <w:t>that the financials are sensitive to incidence, re-tear rates and increasing uptake rate. ESC also considered that, because some people with tears can be asymptomatic, the true incidence of rotator cuff injuries is not known. ESC also considered that there is a risk of imaging being performed by clinicians without adequate skills to do so, resulting in people being referred for surgery unnecessarily.</w:t>
      </w:r>
      <w:r w:rsidRPr="002A144D">
        <w:t xml:space="preserve"> </w:t>
      </w:r>
      <w:r>
        <w:t>The complexity of therapy required for shoulder injuries may also drive more people to have surgery.</w:t>
      </w:r>
    </w:p>
    <w:p w14:paraId="113A2610" w14:textId="77777777" w:rsidR="008D6BDA" w:rsidRPr="000E4343" w:rsidRDefault="008D6BDA" w:rsidP="008D6BDA">
      <w:pPr>
        <w:pStyle w:val="Heading5"/>
      </w:pPr>
      <w:r w:rsidRPr="000E4343">
        <w:t>Proposed listing</w:t>
      </w:r>
      <w:bookmarkStart w:id="116" w:name="_Hlk170057510"/>
    </w:p>
    <w:bookmarkEnd w:id="116"/>
    <w:p w14:paraId="7ED2FC7D" w14:textId="77777777" w:rsidR="008D6BDA" w:rsidRPr="008A190A" w:rsidRDefault="008D6BDA" w:rsidP="008D6BDA">
      <w:r>
        <w:t>ESC noted that this application is not seeking a new Medicare Benefits Schedule (MBS) item number; REGENETEN will be used with existing surgical item numbers 48960 (the most used item; fee of $1,036.25), 48906 and 48909.</w:t>
      </w:r>
      <w:r w:rsidRPr="00F83149">
        <w:t xml:space="preserve"> </w:t>
      </w:r>
      <w:r>
        <w:t xml:space="preserve">ESC noted that the existing surgical MBS items do not restrict access to once per shoulder, and that the included studies only use once per shoulder. ESC considered that a usage limit should be in place to avoid leakage, noting that the applicant’s pre-ESC response was agreeable to a restriction of “once per shoulder (not tendon) per lifetime”. ESC noted that default PL listing arrangements do not restrict PL benefit payments to use in the populations approved via the MSAC process. ESC considered it reasonable that the PL billing code limit the use of REGENETEN to rotator cuff tendon injuries (as is the case for its entry on the Australian Registry of Therapeutic Goods), and that the PL conditions restrict benefit claims with the specific surgical MBS item numbers (48960, 48906, 48909). ESC also considered it unclear whether “failure” (called a device-related adverse event) of the procedure is a one-time claim or is eligible for multiple claims (at the discretion of the surgeon). </w:t>
      </w:r>
    </w:p>
    <w:p w14:paraId="7F2D4EF4" w14:textId="1DA12CD3" w:rsidR="008D6BDA" w:rsidRDefault="008D6BDA" w:rsidP="008D6BDA">
      <w:r>
        <w:t xml:space="preserve">ESC noted that the ADAR priced the REGENETEN kit at </w:t>
      </w:r>
      <w:r w:rsidR="006414CA" w:rsidRPr="00DC01E7">
        <w:rPr>
          <w:b/>
          <w:bCs/>
        </w:rPr>
        <w:t>redacted</w:t>
      </w:r>
      <w:r w:rsidR="006414CA" w:rsidDel="006414CA">
        <w:t xml:space="preserve"> </w:t>
      </w:r>
      <w:r>
        <w:t>(base case), which the ADAR estimated would save $2,136 in standard surgery costs (based on estimated costs for the replacement of anchors and sutures). ESC noted the ADAR</w:t>
      </w:r>
      <w:r>
        <w:rPr>
          <w:rStyle w:val="normaltextrun"/>
          <w:color w:val="000000"/>
          <w:shd w:val="clear" w:color="auto" w:fill="FFFFFF"/>
        </w:rPr>
        <w:t xml:space="preserve"> did not specify if the proposed PL benefit for the REGENETEN kit is based on the public sector reference price or, if not available, international pricing data.</w:t>
      </w:r>
      <w:r>
        <w:t xml:space="preserve"> ESC noted that the price of the kit is a key driver in the cost-effectiveness and financial estimates.</w:t>
      </w:r>
    </w:p>
    <w:p w14:paraId="083AD71D" w14:textId="72D79ED0" w:rsidR="008D6BDA" w:rsidRDefault="008D6BDA" w:rsidP="008D6BDA">
      <w:r>
        <w:t>ESC considered that both anaesthesia consultation (MBS item 17615) and anaesthesia items (MBS 23010, 23025, 23035 depending on the length of anaesthe</w:t>
      </w:r>
      <w:r w:rsidR="00BA6B06">
        <w:t>s</w:t>
      </w:r>
      <w:r>
        <w:t>ia) may be associated with the surgical repair.</w:t>
      </w:r>
      <w:r w:rsidRPr="28CAC1C0">
        <w:rPr>
          <w:i/>
          <w:iCs/>
        </w:rPr>
        <w:t xml:space="preserve"> </w:t>
      </w:r>
      <w:r>
        <w:t>ESC noted that these items were not directly used in the economic evaluation of either population.</w:t>
      </w:r>
    </w:p>
    <w:p w14:paraId="545B195F" w14:textId="77777777" w:rsidR="008D6BDA" w:rsidRPr="008F3AFE" w:rsidRDefault="008D6BDA" w:rsidP="008D6BDA">
      <w:pPr>
        <w:pStyle w:val="Heading5"/>
      </w:pPr>
      <w:r>
        <w:t>Consultation feedback</w:t>
      </w:r>
    </w:p>
    <w:p w14:paraId="45E9474D" w14:textId="77777777" w:rsidR="008D6BDA" w:rsidRPr="00D30E44" w:rsidRDefault="008D6BDA" w:rsidP="008D6BDA">
      <w:r w:rsidRPr="005623E4">
        <w:rPr>
          <w:rFonts w:cs="Calibri"/>
        </w:rPr>
        <w:t xml:space="preserve">ESC noted and welcomed consultation input from </w:t>
      </w:r>
      <w:r>
        <w:rPr>
          <w:rFonts w:cs="Calibri"/>
        </w:rPr>
        <w:t>two (2)</w:t>
      </w:r>
      <w:r w:rsidRPr="005623E4">
        <w:rPr>
          <w:rFonts w:cs="Calibri"/>
        </w:rPr>
        <w:t xml:space="preserve"> </w:t>
      </w:r>
      <w:r w:rsidRPr="005623E4" w:rsidDel="00E0755A">
        <w:rPr>
          <w:rFonts w:cs="Calibri"/>
        </w:rPr>
        <w:t xml:space="preserve">professional </w:t>
      </w:r>
      <w:r w:rsidRPr="005623E4">
        <w:rPr>
          <w:rFonts w:cs="Calibri"/>
        </w:rPr>
        <w:t>organisations</w:t>
      </w:r>
      <w:r>
        <w:rPr>
          <w:rFonts w:cs="Calibri"/>
        </w:rPr>
        <w:t xml:space="preserve"> and</w:t>
      </w:r>
      <w:r w:rsidRPr="005623E4">
        <w:rPr>
          <w:rFonts w:cs="Calibri"/>
        </w:rPr>
        <w:t xml:space="preserve"> </w:t>
      </w:r>
      <w:r>
        <w:rPr>
          <w:rFonts w:cs="Calibri"/>
        </w:rPr>
        <w:t xml:space="preserve">seven (7) </w:t>
      </w:r>
      <w:r w:rsidRPr="005623E4">
        <w:rPr>
          <w:rFonts w:cs="Calibri"/>
        </w:rPr>
        <w:t xml:space="preserve">individuals, </w:t>
      </w:r>
      <w:r>
        <w:rPr>
          <w:rFonts w:cs="Calibri"/>
        </w:rPr>
        <w:t xml:space="preserve">all </w:t>
      </w:r>
      <w:r w:rsidRPr="005623E4">
        <w:rPr>
          <w:rFonts w:cs="Calibri"/>
        </w:rPr>
        <w:t xml:space="preserve">of </w:t>
      </w:r>
      <w:r>
        <w:rPr>
          <w:rFonts w:cs="Calibri"/>
        </w:rPr>
        <w:t>whom were</w:t>
      </w:r>
      <w:r w:rsidRPr="005623E4">
        <w:rPr>
          <w:rFonts w:cs="Calibri"/>
        </w:rPr>
        <w:t xml:space="preserve"> </w:t>
      </w:r>
      <w:r>
        <w:rPr>
          <w:rFonts w:cs="Calibri"/>
        </w:rPr>
        <w:t xml:space="preserve">specialists. </w:t>
      </w:r>
      <w:r>
        <w:t>ESC noted that consultation feedback from specialist surgeons was positive, stating that REGENETEN provides improved patient outcomes which include excellent pain relief, good early range of motion, shorter rehabilitation period and return of function. However, some feedback also raised concerns about the risk of REGENETEN being used multiple times in many areas of the body, which would directly impact private health premiums for patients. The feedback also disagreed with the costings provided by the applicant and highlighted that there was ample time for the applicant to get better evidence for effectiveness. Additionally, access to conservative management (CM) for Australian patients was not discussed, nor was how REGENETEN would impact access to, and spending on, CM. Finally, there was concern about the abundance of direct-to-consumer marketing for the product overseas, and the potential that consumers were inflating the benefits and asking for the technology despite the lack of clinical evidence.</w:t>
      </w:r>
    </w:p>
    <w:p w14:paraId="6EEC421E" w14:textId="77777777" w:rsidR="005A42D2" w:rsidRDefault="005A42D2" w:rsidP="005A42D2">
      <w:pPr>
        <w:pStyle w:val="Heading2"/>
        <w:numPr>
          <w:ilvl w:val="0"/>
          <w:numId w:val="0"/>
        </w:numPr>
      </w:pPr>
      <w:r>
        <w:t>17.</w:t>
      </w:r>
      <w:r>
        <w:tab/>
        <w:t>Applicant comments on MSAC’s Public Summary Document</w:t>
      </w:r>
    </w:p>
    <w:p w14:paraId="10E81B7E" w14:textId="04852BF5" w:rsidR="00A063F1" w:rsidRDefault="00137A62" w:rsidP="00365A9B">
      <w:pPr>
        <w:jc w:val="both"/>
      </w:pPr>
      <w:proofErr w:type="spellStart"/>
      <w:r w:rsidRPr="00365A9B">
        <w:t>Smith+Nephew</w:t>
      </w:r>
      <w:proofErr w:type="spellEnd"/>
      <w:r w:rsidR="0044513C">
        <w:t xml:space="preserve"> </w:t>
      </w:r>
      <w:r w:rsidRPr="00365A9B">
        <w:rPr>
          <w:lang w:val="en-US"/>
        </w:rPr>
        <w:t xml:space="preserve">is disappointed </w:t>
      </w:r>
      <w:r w:rsidRPr="00365A9B">
        <w:t xml:space="preserve">with MSAC's decision not to recommend the REGENETEN </w:t>
      </w:r>
      <w:proofErr w:type="spellStart"/>
      <w:r w:rsidRPr="00365A9B">
        <w:t>bioinductive</w:t>
      </w:r>
      <w:proofErr w:type="spellEnd"/>
      <w:r w:rsidRPr="00365A9B">
        <w:t xml:space="preserve"> collagen implant (BCI) for the repair of rotator cuff tears</w:t>
      </w:r>
      <w:r w:rsidR="00220378">
        <w:t xml:space="preserve"> but welcome the advice for an expedited re-application pathway. </w:t>
      </w:r>
      <w:r w:rsidRPr="00C2236A">
        <w:t>Despite this</w:t>
      </w:r>
      <w:r>
        <w:t xml:space="preserve">, </w:t>
      </w:r>
      <w:r w:rsidRPr="00C2236A">
        <w:t>t</w:t>
      </w:r>
      <w:r>
        <w:t xml:space="preserve">he Sponsor reiterates their concerns about the presentation of MSAC's advice in this PSD, as it may be perceived as misleading, particularly due to the inclusion of the incomplete and irrelevant ARC study, along with analyses from PHA (insurers) and </w:t>
      </w:r>
      <w:proofErr w:type="spellStart"/>
      <w:r>
        <w:t>PrecisionMed</w:t>
      </w:r>
      <w:proofErr w:type="spellEnd"/>
      <w:r>
        <w:t xml:space="preserve">, which lack the necessary validation and relevance. </w:t>
      </w:r>
      <w:r w:rsidRPr="00365A9B">
        <w:t xml:space="preserve">Furthermore, the directive to compare REGENETEN to the continued </w:t>
      </w:r>
      <w:r w:rsidR="008C76A6">
        <w:t>‘</w:t>
      </w:r>
      <w:r w:rsidRPr="00365A9B">
        <w:t xml:space="preserve">Conservative Medical </w:t>
      </w:r>
      <w:r>
        <w:t>Management (CMM)’</w:t>
      </w:r>
      <w:r w:rsidRPr="00365A9B">
        <w:t xml:space="preserve"> which </w:t>
      </w:r>
      <w:r>
        <w:t>has already been</w:t>
      </w:r>
      <w:r w:rsidRPr="00365A9B">
        <w:t xml:space="preserve"> deemed “failed” as part of patient population criteria, </w:t>
      </w:r>
      <w:r>
        <w:t>is inappropriate as it does not align with the standard of care which is rotator cuff repair</w:t>
      </w:r>
      <w:r w:rsidR="001E3AAE">
        <w:t xml:space="preserve"> (RCR)</w:t>
      </w:r>
      <w:r>
        <w:t xml:space="preserve">. </w:t>
      </w:r>
      <w:r w:rsidRPr="00C27909">
        <w:t xml:space="preserve">REGENETEN is intended for patients </w:t>
      </w:r>
      <w:r w:rsidRPr="00A52F43">
        <w:t>seeking surgical solutions after exhausting CMM</w:t>
      </w:r>
      <w:r w:rsidRPr="00C27909">
        <w:t>, not as a replacement for CMM</w:t>
      </w:r>
      <w:r>
        <w:t xml:space="preserve">. </w:t>
      </w:r>
      <w:r w:rsidRPr="00365A9B">
        <w:t xml:space="preserve">The Sponsor refutes MSAC’s claims about uncertain comparative safety, citing three randomised controlled trials confirming </w:t>
      </w:r>
      <w:r w:rsidRPr="009A002D">
        <w:t xml:space="preserve">that REGENETEN does not </w:t>
      </w:r>
      <w:r>
        <w:t>pose</w:t>
      </w:r>
      <w:r w:rsidRPr="009A002D">
        <w:t xml:space="preserve"> any incremental risk beyond the </w:t>
      </w:r>
      <w:r w:rsidRPr="00365A9B">
        <w:t xml:space="preserve">standard surgical repair (two with two years of follow-up) and noting positive consultation feedback from Australian surgeons, along with over 160,000 </w:t>
      </w:r>
      <w:r>
        <w:t xml:space="preserve">successful </w:t>
      </w:r>
      <w:r w:rsidRPr="00365A9B">
        <w:t xml:space="preserve">implantations globally in the past ten years. </w:t>
      </w:r>
      <w:r w:rsidRPr="00EA18D5">
        <w:t>It</w:t>
      </w:r>
      <w:r>
        <w:t xml:space="preserve"> is</w:t>
      </w:r>
      <w:r w:rsidRPr="00EA18D5">
        <w:t xml:space="preserve"> acknowledged </w:t>
      </w:r>
      <w:r>
        <w:t xml:space="preserve">that </w:t>
      </w:r>
      <w:r w:rsidRPr="00EA18D5">
        <w:t>there are no safety concerns with the device itself</w:t>
      </w:r>
      <w:r>
        <w:t xml:space="preserve">. </w:t>
      </w:r>
      <w:r w:rsidRPr="002B4B63">
        <w:t>Moreover</w:t>
      </w:r>
      <w:r w:rsidRPr="000A31D1">
        <w:t xml:space="preserve">, MSAC’s </w:t>
      </w:r>
      <w:r>
        <w:t>advice</w:t>
      </w:r>
      <w:r w:rsidRPr="000A31D1">
        <w:t xml:space="preserve"> is inconsistent with views reached by other HTA reviewers, such as the </w:t>
      </w:r>
      <w:r>
        <w:t xml:space="preserve">ECRI in the </w:t>
      </w:r>
      <w:r w:rsidRPr="000A31D1">
        <w:t xml:space="preserve">USA and </w:t>
      </w:r>
      <w:r>
        <w:t xml:space="preserve">HAS in </w:t>
      </w:r>
      <w:r w:rsidRPr="000A31D1">
        <w:t xml:space="preserve">France, both of whom recognise the benefits of REGENETEN over </w:t>
      </w:r>
      <w:r>
        <w:t xml:space="preserve">the </w:t>
      </w:r>
      <w:r w:rsidRPr="000A31D1">
        <w:t>standard of care</w:t>
      </w:r>
      <w:r>
        <w:t xml:space="preserve"> and have </w:t>
      </w:r>
      <w:r w:rsidRPr="00D33EC9">
        <w:t>raised no concerns about safety in their assessments</w:t>
      </w:r>
      <w:r w:rsidRPr="000A31D1">
        <w:t>. Japan’s Central Social Insurance Medical Council (</w:t>
      </w:r>
      <w:proofErr w:type="spellStart"/>
      <w:r w:rsidRPr="000A31D1">
        <w:t>Chuikyo</w:t>
      </w:r>
      <w:proofErr w:type="spellEnd"/>
      <w:r w:rsidRPr="000A31D1">
        <w:t>) has likewise confirmed the safety and effectiveness of REGENETEN, providing national funding since</w:t>
      </w:r>
      <w:r>
        <w:t xml:space="preserve"> June 2023. </w:t>
      </w:r>
    </w:p>
    <w:p w14:paraId="297B70A7" w14:textId="77777777" w:rsidR="005A42D2" w:rsidRDefault="005A42D2" w:rsidP="005A42D2">
      <w:pPr>
        <w:pStyle w:val="Heading2"/>
        <w:numPr>
          <w:ilvl w:val="0"/>
          <w:numId w:val="0"/>
        </w:numPr>
      </w:pPr>
      <w:r>
        <w:t>18.</w:t>
      </w:r>
      <w:r>
        <w:tab/>
        <w:t>Further information on MSAC</w:t>
      </w:r>
    </w:p>
    <w:p w14:paraId="29FEA7E3" w14:textId="3AC89C37" w:rsidR="005A42D2" w:rsidRPr="005A42D2" w:rsidRDefault="005A42D2" w:rsidP="005A42D2">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8" w:tooltip="Link to the MSAC website" w:history="1">
        <w:r w:rsidRPr="00F309FA">
          <w:rPr>
            <w:rStyle w:val="Hyperlink"/>
            <w:rFonts w:ascii="Franklin Gothic Book" w:hAnsi="Franklin Gothic Book"/>
            <w:iCs/>
            <w:sz w:val="22"/>
          </w:rPr>
          <w:t>visit the MSAC website</w:t>
        </w:r>
      </w:hyperlink>
    </w:p>
    <w:sectPr w:rsidR="005A42D2" w:rsidRPr="005A42D2" w:rsidSect="003B13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9D9C3" w14:textId="77777777" w:rsidR="009706A0" w:rsidRDefault="009706A0" w:rsidP="00B62DF2">
      <w:pPr>
        <w:spacing w:after="0" w:line="240" w:lineRule="auto"/>
      </w:pPr>
      <w:r>
        <w:separator/>
      </w:r>
    </w:p>
  </w:endnote>
  <w:endnote w:type="continuationSeparator" w:id="0">
    <w:p w14:paraId="03A2184F" w14:textId="77777777" w:rsidR="009706A0" w:rsidRDefault="009706A0" w:rsidP="00B62DF2">
      <w:pPr>
        <w:spacing w:after="0" w:line="240" w:lineRule="auto"/>
      </w:pPr>
      <w:r>
        <w:continuationSeparator/>
      </w:r>
    </w:p>
  </w:endnote>
  <w:endnote w:type="continuationNotice" w:id="1">
    <w:p w14:paraId="064B4074" w14:textId="77777777" w:rsidR="009706A0" w:rsidRDefault="009706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Yu Gothic UI Light">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vPS44A44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460831"/>
      <w:docPartObj>
        <w:docPartGallery w:val="Page Numbers (Bottom of Page)"/>
        <w:docPartUnique/>
      </w:docPartObj>
    </w:sdtPr>
    <w:sdtEndPr>
      <w:rPr>
        <w:noProof/>
      </w:rPr>
    </w:sdtEndPr>
    <w:sdtContent>
      <w:p w14:paraId="6E76D499" w14:textId="7CF5C4C0" w:rsidR="005947B5" w:rsidRDefault="005947B5" w:rsidP="008D6BDA">
        <w:pPr>
          <w:pStyle w:val="Footer"/>
          <w:jc w:val="right"/>
        </w:pPr>
        <w:r>
          <w:fldChar w:fldCharType="begin"/>
        </w:r>
        <w:r>
          <w:instrText xml:space="preserve"> PAGE   \* MERGEFORMAT </w:instrText>
        </w:r>
        <w:r>
          <w:fldChar w:fldCharType="separate"/>
        </w:r>
        <w:r w:rsidR="00120BD3">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4847"/>
      <w:docPartObj>
        <w:docPartGallery w:val="Page Numbers (Bottom of Page)"/>
        <w:docPartUnique/>
      </w:docPartObj>
    </w:sdtPr>
    <w:sdtEndPr>
      <w:rPr>
        <w:noProof/>
      </w:rPr>
    </w:sdtEndPr>
    <w:sdtContent>
      <w:p w14:paraId="6BE9385A" w14:textId="0C1EC228"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E930" w14:textId="77777777" w:rsidR="00283FCE" w:rsidRDefault="0028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CA8D0" w14:textId="77777777" w:rsidR="009706A0" w:rsidRDefault="009706A0" w:rsidP="00B62DF2">
      <w:pPr>
        <w:spacing w:after="0" w:line="240" w:lineRule="auto"/>
      </w:pPr>
      <w:r>
        <w:separator/>
      </w:r>
    </w:p>
  </w:footnote>
  <w:footnote w:type="continuationSeparator" w:id="0">
    <w:p w14:paraId="4C91C018" w14:textId="77777777" w:rsidR="009706A0" w:rsidRDefault="009706A0" w:rsidP="00B62DF2">
      <w:pPr>
        <w:spacing w:after="0" w:line="240" w:lineRule="auto"/>
      </w:pPr>
      <w:r>
        <w:continuationSeparator/>
      </w:r>
    </w:p>
  </w:footnote>
  <w:footnote w:type="continuationNotice" w:id="1">
    <w:p w14:paraId="5C81CF3D" w14:textId="77777777" w:rsidR="009706A0" w:rsidRDefault="009706A0">
      <w:pPr>
        <w:spacing w:before="0" w:after="0" w:line="240" w:lineRule="auto"/>
      </w:pPr>
    </w:p>
  </w:footnote>
  <w:footnote w:id="2">
    <w:p w14:paraId="1957E15C" w14:textId="218C0F52" w:rsidR="00415EB8" w:rsidRDefault="00415EB8" w:rsidP="00767B41">
      <w:pPr>
        <w:pStyle w:val="Tablenotes"/>
      </w:pPr>
      <w:r>
        <w:rPr>
          <w:rStyle w:val="FootnoteReference"/>
        </w:rPr>
        <w:footnoteRef/>
      </w:r>
      <w:r>
        <w:t xml:space="preserve"> </w:t>
      </w:r>
      <w:r w:rsidR="00F0722F">
        <w:t>The ARC study is a</w:t>
      </w:r>
      <w:r w:rsidR="00344C6F">
        <w:t xml:space="preserve"> randomised </w:t>
      </w:r>
      <w:r w:rsidR="00E27272">
        <w:t>controlled Australian trial the eval</w:t>
      </w:r>
      <w:r w:rsidR="00895DA8">
        <w:t xml:space="preserve">uates </w:t>
      </w:r>
      <w:r w:rsidR="00AD0305">
        <w:t xml:space="preserve">arthroscopic </w:t>
      </w:r>
      <w:r w:rsidR="00237204">
        <w:t xml:space="preserve">surgery with repair of the </w:t>
      </w:r>
      <w:r w:rsidR="00AD0305">
        <w:t xml:space="preserve">rotator cuff </w:t>
      </w:r>
      <w:r w:rsidR="00237204">
        <w:t xml:space="preserve">versus arthroscopic surgery without </w:t>
      </w:r>
      <w:r w:rsidR="00295D85">
        <w:t>rotator cu</w:t>
      </w:r>
      <w:r w:rsidR="000F20D0">
        <w:t xml:space="preserve">ff </w:t>
      </w:r>
      <w:r w:rsidR="00AD0305">
        <w:t>repair</w:t>
      </w:r>
      <w:r w:rsidR="000971FC">
        <w:t xml:space="preserve">, in patients with shoulder pain and rotator cuff tears. </w:t>
      </w:r>
      <w:r w:rsidR="003D0DAB">
        <w:t xml:space="preserve">The </w:t>
      </w:r>
      <w:r w:rsidR="008C4AA9">
        <w:t>trial</w:t>
      </w:r>
      <w:r w:rsidR="007852D5">
        <w:t xml:space="preserve"> aims to find out </w:t>
      </w:r>
      <w:r w:rsidR="002B2443">
        <w:t xml:space="preserve">if repairing </w:t>
      </w:r>
      <w:r w:rsidR="00470438">
        <w:t xml:space="preserve">the rotator cuff makes a difference to shoulder pain and function. The </w:t>
      </w:r>
      <w:r w:rsidR="009A4C02">
        <w:t xml:space="preserve">study was funded by the </w:t>
      </w:r>
      <w:r w:rsidR="00842C50" w:rsidRPr="00842C50">
        <w:t>Whitlam Orthopaedic Research Centre, a not</w:t>
      </w:r>
      <w:r w:rsidR="00ED31FA">
        <w:t>-</w:t>
      </w:r>
      <w:r w:rsidR="00842C50" w:rsidRPr="00842C50">
        <w:t>for</w:t>
      </w:r>
      <w:r w:rsidR="00ED31FA">
        <w:t>-</w:t>
      </w:r>
      <w:r w:rsidR="00842C50" w:rsidRPr="00842C50">
        <w:t>profit organisation</w:t>
      </w:r>
      <w:r w:rsidR="005732E3">
        <w:t xml:space="preserve"> (available: </w:t>
      </w:r>
      <w:hyperlink r:id="rId1" w:history="1">
        <w:r w:rsidR="005732E3" w:rsidRPr="00AF3667">
          <w:rPr>
            <w:rStyle w:val="Hyperlink"/>
          </w:rPr>
          <w:t>https://www.arcstudy.org/</w:t>
        </w:r>
      </w:hyperlink>
      <w:r w:rsidR="005732E3">
        <w:t>)</w:t>
      </w:r>
      <w:r w:rsidR="00842C50">
        <w:t xml:space="preserve">. </w:t>
      </w:r>
    </w:p>
  </w:footnote>
  <w:footnote w:id="3">
    <w:p w14:paraId="4799D412" w14:textId="0E0CF459" w:rsidR="00D6338D" w:rsidRDefault="00D6338D" w:rsidP="00767B41">
      <w:pPr>
        <w:pStyle w:val="Tablenotes0"/>
      </w:pPr>
      <w:r>
        <w:rPr>
          <w:rStyle w:val="FootnoteReference"/>
        </w:rPr>
        <w:footnoteRef/>
      </w:r>
      <w:r>
        <w:t xml:space="preserve"> </w:t>
      </w:r>
      <w:r>
        <w:rPr>
          <w:shd w:val="clear" w:color="auto" w:fill="FFFFFF"/>
        </w:rPr>
        <w:t>Camacho-Chacon JA</w:t>
      </w:r>
      <w:r w:rsidR="00C52F49">
        <w:rPr>
          <w:shd w:val="clear" w:color="auto" w:fill="FFFFFF"/>
        </w:rPr>
        <w:t xml:space="preserve"> et al.,</w:t>
      </w:r>
      <w:r>
        <w:rPr>
          <w:shd w:val="clear" w:color="auto" w:fill="FFFFFF"/>
        </w:rPr>
        <w:t xml:space="preserve"> Bioinductive collagen implants facilitate tendon regeneration in rotator cuff tears. </w:t>
      </w:r>
      <w:r w:rsidRPr="00767B41">
        <w:rPr>
          <w:i/>
          <w:shd w:val="clear" w:color="auto" w:fill="FFFFFF"/>
        </w:rPr>
        <w:t>J Exp Orthop</w:t>
      </w:r>
      <w:r>
        <w:rPr>
          <w:shd w:val="clear" w:color="auto" w:fill="FFFFFF"/>
        </w:rPr>
        <w:t xml:space="preserve">. 2022 Jun 8;9(1):53. </w:t>
      </w:r>
    </w:p>
  </w:footnote>
  <w:footnote w:id="4">
    <w:p w14:paraId="6B0561F6" w14:textId="4B06F7C0" w:rsidR="00395D92" w:rsidRPr="008D6BDA" w:rsidRDefault="00395D92" w:rsidP="008D6BDA">
      <w:pPr>
        <w:pStyle w:val="Tablenotes"/>
        <w:rPr>
          <w:sz w:val="16"/>
          <w:szCs w:val="16"/>
        </w:rPr>
      </w:pPr>
      <w:r w:rsidRPr="00EB4C93">
        <w:rPr>
          <w:rStyle w:val="CommentReference"/>
          <w:vertAlign w:val="superscript"/>
        </w:rPr>
        <w:footnoteRef/>
      </w:r>
      <w:r w:rsidRPr="00EB4C93">
        <w:rPr>
          <w:rStyle w:val="CommentReference"/>
          <w:vertAlign w:val="superscript"/>
        </w:rPr>
        <w:t xml:space="preserve"> </w:t>
      </w:r>
      <w:r w:rsidR="00660ED3" w:rsidRPr="00CD76DA">
        <w:rPr>
          <w:rStyle w:val="CommentReference"/>
        </w:rPr>
        <w:t>Public Summary Document, MSAC Application No. 1593 – Bovine bioinductive collagen implant (REGENETEN™) for repair of rotator cuff tear</w:t>
      </w:r>
    </w:p>
  </w:footnote>
  <w:footnote w:id="5">
    <w:p w14:paraId="03CC1F90" w14:textId="14C2618F" w:rsidR="003254A9" w:rsidRPr="003B4E46" w:rsidRDefault="003254A9" w:rsidP="00D31B9B">
      <w:pPr>
        <w:pStyle w:val="Tablenotes"/>
        <w:rPr>
          <w:rStyle w:val="TableFooterChar"/>
          <w:rFonts w:eastAsiaTheme="minorHAnsi"/>
        </w:rPr>
      </w:pPr>
      <w:r w:rsidRPr="003B4E46">
        <w:rPr>
          <w:rStyle w:val="CommentReference"/>
          <w:vertAlign w:val="superscript"/>
        </w:rPr>
        <w:footnoteRef/>
      </w:r>
      <w:r w:rsidR="00995134">
        <w:rPr>
          <w:rStyle w:val="TableFooterChar"/>
          <w:rFonts w:eastAsiaTheme="minorHAnsi"/>
        </w:rPr>
        <w:t xml:space="preserve"> </w:t>
      </w:r>
      <w:r w:rsidRPr="003B4E46">
        <w:rPr>
          <w:rStyle w:val="TableFooterChar"/>
          <w:rFonts w:eastAsiaTheme="minorHAnsi"/>
        </w:rPr>
        <w:t xml:space="preserve">Clinical Trial on the Effect of REGENETEN Bioinductive Implant in the </w:t>
      </w:r>
      <w:r w:rsidRPr="00AE5F9B">
        <w:rPr>
          <w:rStyle w:val="TableFooterChar"/>
          <w:rFonts w:eastAsiaTheme="minorHAnsi"/>
        </w:rPr>
        <w:t>Supraspinatus</w:t>
      </w:r>
      <w:r w:rsidRPr="003B4E46">
        <w:rPr>
          <w:rStyle w:val="TableFooterChar"/>
          <w:rFonts w:eastAsiaTheme="minorHAnsi"/>
        </w:rPr>
        <w:t xml:space="preserve"> Tendon Repair. (MALLAMANGUITO) study expected completion date will be February 2026.</w:t>
      </w:r>
    </w:p>
  </w:footnote>
  <w:footnote w:id="6">
    <w:p w14:paraId="46A96B89" w14:textId="0557D24A" w:rsidR="005A71DA" w:rsidRDefault="005A71DA" w:rsidP="00D31B9B">
      <w:pPr>
        <w:pStyle w:val="Tablenotes"/>
      </w:pPr>
      <w:r>
        <w:rPr>
          <w:rStyle w:val="FootnoteReference"/>
        </w:rPr>
        <w:footnoteRef/>
      </w:r>
      <w:r w:rsidRPr="003B4E46">
        <w:t xml:space="preserve"> Oliva, F., E. Piccirilli, M. Bossa, A. G. Via, A. Colombo, C. Chillemi, G. Et </w:t>
      </w:r>
      <w:proofErr w:type="gramStart"/>
      <w:r w:rsidRPr="003B4E46">
        <w:t>al,.</w:t>
      </w:r>
      <w:proofErr w:type="gramEnd"/>
      <w:r w:rsidRPr="003B4E46">
        <w:t xml:space="preserve"> </w:t>
      </w:r>
      <w:r w:rsidRPr="00B821D3">
        <w:t xml:space="preserve">(2015). </w:t>
      </w:r>
      <w:r w:rsidRPr="005A71DA">
        <w:t>"I.S.Mu.</w:t>
      </w:r>
      <w:proofErr w:type="gramStart"/>
      <w:r w:rsidRPr="005A71DA">
        <w:t>L.T</w:t>
      </w:r>
      <w:proofErr w:type="gramEnd"/>
      <w:r w:rsidRPr="005A71DA">
        <w:t xml:space="preserve"> - Rotator Cuff Tears Guidelines." Muscles Ligaments Tendons J 5(4): 227-263.</w:t>
      </w:r>
    </w:p>
  </w:footnote>
  <w:footnote w:id="7">
    <w:p w14:paraId="19AF3D1B" w14:textId="76670E34" w:rsidR="00432207" w:rsidRDefault="00432207" w:rsidP="00D31B9B">
      <w:pPr>
        <w:pStyle w:val="Tablenotes"/>
      </w:pPr>
      <w:r>
        <w:rPr>
          <w:rStyle w:val="FootnoteReference"/>
        </w:rPr>
        <w:footnoteRef/>
      </w:r>
      <w:r>
        <w:t xml:space="preserve"> </w:t>
      </w:r>
      <w:r w:rsidRPr="00432207">
        <w:t>Bokor DJ, Sonnabend D, Deady L, Cass B, Young A, Van Kampen C, et al. Preliminary investigation of a biological augmentation of rotator cuff repairs using a collagen implant: a 2-year MRI follow-up. 2015;5(3):144.</w:t>
      </w:r>
    </w:p>
  </w:footnote>
  <w:footnote w:id="8">
    <w:p w14:paraId="6BEB8323" w14:textId="766CC1E3" w:rsidR="00DC619B" w:rsidRPr="00B821D3" w:rsidRDefault="00DC619B" w:rsidP="00D31B9B">
      <w:pPr>
        <w:pStyle w:val="Tablenotes"/>
        <w:rPr>
          <w:rStyle w:val="CommentReference"/>
          <w:rFonts w:ascii="Franklin Gothic Book" w:eastAsiaTheme="minorHAnsi" w:hAnsi="Franklin Gothic Book" w:cstheme="minorBidi"/>
          <w:lang w:val="es-CO"/>
        </w:rPr>
      </w:pPr>
      <w:r>
        <w:rPr>
          <w:rStyle w:val="FootnoteReference"/>
        </w:rPr>
        <w:footnoteRef/>
      </w:r>
      <w:r>
        <w:t xml:space="preserve"> </w:t>
      </w:r>
      <w:r w:rsidRPr="0079588E">
        <w:rPr>
          <w:rStyle w:val="CommentReference"/>
        </w:rPr>
        <w:t>Anssi Ryösä, Katri Laimi, Ville Äärimaa, Kaisa Lehtimäki, Juha Kukkonen &amp; Mikhail Saltychev (2017) Surgery or conservative treatment for rotator cuff tear: a meta-analysis, Disability and Rehabilitation, 39:14, 1357-1363</w:t>
      </w:r>
      <w:r w:rsidR="0056415C" w:rsidRPr="0079588E">
        <w:rPr>
          <w:rStyle w:val="CommentReference"/>
        </w:rPr>
        <w:t>.</w:t>
      </w:r>
      <w:r w:rsidRPr="0079588E">
        <w:rPr>
          <w:rStyle w:val="CommentReference"/>
        </w:rPr>
        <w:t xml:space="preserve"> </w:t>
      </w:r>
      <w:r w:rsidRPr="00B821D3">
        <w:rPr>
          <w:rStyle w:val="CommentReference"/>
          <w:lang w:val="es-CO"/>
        </w:rPr>
        <w:t>1</w:t>
      </w:r>
    </w:p>
  </w:footnote>
  <w:footnote w:id="9">
    <w:p w14:paraId="430CC34D" w14:textId="6A682B54" w:rsidR="00DC619B" w:rsidRPr="0079588E" w:rsidRDefault="00DC619B" w:rsidP="00D31B9B">
      <w:pPr>
        <w:pStyle w:val="Tablenotes"/>
        <w:rPr>
          <w:rStyle w:val="CommentReference"/>
          <w:rFonts w:ascii="Franklin Gothic Book" w:eastAsiaTheme="minorHAnsi" w:hAnsi="Franklin Gothic Book" w:cstheme="minorBidi"/>
        </w:rPr>
      </w:pPr>
      <w:r>
        <w:rPr>
          <w:rStyle w:val="FootnoteReference"/>
        </w:rPr>
        <w:footnoteRef/>
      </w:r>
      <w:r w:rsidRPr="00CD76DA">
        <w:rPr>
          <w:lang w:val="es-CO"/>
        </w:rPr>
        <w:t xml:space="preserve"> </w:t>
      </w:r>
      <w:r w:rsidRPr="00B821D3">
        <w:rPr>
          <w:rStyle w:val="CommentReference"/>
          <w:lang w:val="es-CO"/>
        </w:rPr>
        <w:t xml:space="preserve">Longo, U.G., Risi Ambrogioni, L., Candela, V. et al. </w:t>
      </w:r>
      <w:r w:rsidRPr="0079588E">
        <w:rPr>
          <w:rStyle w:val="CommentReference"/>
        </w:rPr>
        <w:t>Conservative versus surgical management for patients with rotator cuff tears: a systematic review and META-analysis. BMC Musculoskelet Disord 22, 50 (2021). https://doi.org/10.1186/s12891-020-03872-4</w:t>
      </w:r>
    </w:p>
  </w:footnote>
  <w:footnote w:id="10">
    <w:p w14:paraId="62D2C67C" w14:textId="07F2DB2C" w:rsidR="00A565D3" w:rsidRPr="0079588E" w:rsidRDefault="00A565D3" w:rsidP="00D31B9B">
      <w:pPr>
        <w:pStyle w:val="Tablenotes"/>
        <w:rPr>
          <w:rStyle w:val="CommentReference"/>
          <w:rFonts w:ascii="Franklin Gothic Book" w:eastAsiaTheme="minorHAnsi" w:hAnsi="Franklin Gothic Book" w:cstheme="minorBidi"/>
        </w:rPr>
      </w:pPr>
      <w:r>
        <w:rPr>
          <w:rStyle w:val="FootnoteReference"/>
        </w:rPr>
        <w:footnoteRef/>
      </w:r>
      <w:r>
        <w:t xml:space="preserve"> </w:t>
      </w:r>
      <w:r w:rsidRPr="0079588E">
        <w:rPr>
          <w:rStyle w:val="CommentReference"/>
        </w:rPr>
        <w:t xml:space="preserve">Wang </w:t>
      </w:r>
      <w:r w:rsidR="00F6199E" w:rsidRPr="0079588E">
        <w:rPr>
          <w:rStyle w:val="CommentReference"/>
        </w:rPr>
        <w:t xml:space="preserve">A. </w:t>
      </w:r>
      <w:r w:rsidRPr="0079588E">
        <w:rPr>
          <w:rStyle w:val="CommentReference"/>
        </w:rPr>
        <w:t>(2023). Investigator Initiated Study Clinical Report: Interim Results (ACTRN12620000926932). Smith &amp; Nephew.</w:t>
      </w:r>
    </w:p>
  </w:footnote>
  <w:footnote w:id="11">
    <w:p w14:paraId="651BB348" w14:textId="0ACECE66" w:rsidR="008B78B3" w:rsidRPr="0079588E" w:rsidRDefault="008B78B3" w:rsidP="00D31B9B">
      <w:pPr>
        <w:pStyle w:val="Tablenotes"/>
        <w:rPr>
          <w:rStyle w:val="CommentReference"/>
          <w:rFonts w:ascii="Franklin Gothic Book" w:eastAsiaTheme="minorHAnsi" w:hAnsi="Franklin Gothic Book" w:cstheme="minorBidi"/>
        </w:rPr>
      </w:pPr>
      <w:r>
        <w:rPr>
          <w:rStyle w:val="FootnoteReference"/>
        </w:rPr>
        <w:footnoteRef/>
      </w:r>
      <w:r w:rsidRPr="00634E65">
        <w:t xml:space="preserve"> </w:t>
      </w:r>
      <w:r w:rsidRPr="0079588E">
        <w:rPr>
          <w:rStyle w:val="CommentReference"/>
        </w:rPr>
        <w:t xml:space="preserve">Camacho-Chacon </w:t>
      </w:r>
      <w:r w:rsidR="00F6199E" w:rsidRPr="0079588E">
        <w:rPr>
          <w:rStyle w:val="CommentReference"/>
        </w:rPr>
        <w:t xml:space="preserve">J. A. </w:t>
      </w:r>
      <w:r w:rsidRPr="0079588E">
        <w:rPr>
          <w:rStyle w:val="CommentReference"/>
        </w:rPr>
        <w:t>(2023). Investigator Initiated Clinical Report: Final Two-Year Results (Camacho-Chacon and colleagues). Smith &amp; Nephew.</w:t>
      </w:r>
    </w:p>
  </w:footnote>
  <w:footnote w:id="12">
    <w:p w14:paraId="675232EB" w14:textId="0C74381C" w:rsidR="008B78B3" w:rsidRPr="00CD76DA" w:rsidRDefault="008B78B3" w:rsidP="00D31B9B">
      <w:pPr>
        <w:pStyle w:val="Tablenotes"/>
        <w:rPr>
          <w:lang w:val="es-CO"/>
        </w:rPr>
      </w:pPr>
      <w:r>
        <w:rPr>
          <w:rStyle w:val="FootnoteReference"/>
        </w:rPr>
        <w:footnoteRef/>
      </w:r>
      <w:r>
        <w:t xml:space="preserve"> </w:t>
      </w:r>
      <w:r w:rsidR="0016241B" w:rsidRPr="0079588E">
        <w:rPr>
          <w:rStyle w:val="CommentReference"/>
        </w:rPr>
        <w:t xml:space="preserve">Ruiz Iban. (2023). Investigator Initiated Study Clinical Report: </w:t>
      </w:r>
      <w:proofErr w:type="gramStart"/>
      <w:r w:rsidR="0016241B" w:rsidRPr="0079588E">
        <w:rPr>
          <w:rStyle w:val="CommentReference"/>
        </w:rPr>
        <w:t>Final Results</w:t>
      </w:r>
      <w:proofErr w:type="gramEnd"/>
      <w:r w:rsidR="0016241B" w:rsidRPr="0079588E">
        <w:rPr>
          <w:rStyle w:val="CommentReference"/>
        </w:rPr>
        <w:t xml:space="preserve"> (Ruiz Iban). </w:t>
      </w:r>
      <w:r w:rsidR="0016241B" w:rsidRPr="00B821D3">
        <w:rPr>
          <w:rStyle w:val="CommentReference"/>
          <w:lang w:val="es-CO"/>
        </w:rPr>
        <w:t>Smith &amp; Nephew.</w:t>
      </w:r>
    </w:p>
  </w:footnote>
  <w:footnote w:id="13">
    <w:p w14:paraId="5DCECDC5" w14:textId="0364C32B" w:rsidR="0016241B" w:rsidRPr="00DF5480" w:rsidRDefault="0016241B" w:rsidP="00D31B9B">
      <w:pPr>
        <w:pStyle w:val="Tablenotes"/>
      </w:pPr>
      <w:r>
        <w:rPr>
          <w:rStyle w:val="FootnoteReference"/>
        </w:rPr>
        <w:footnoteRef/>
      </w:r>
      <w:r w:rsidRPr="00CD76DA">
        <w:rPr>
          <w:lang w:val="es-CO"/>
        </w:rPr>
        <w:t xml:space="preserve"> </w:t>
      </w:r>
      <w:r w:rsidRPr="00B821D3">
        <w:rPr>
          <w:rStyle w:val="CommentReference"/>
          <w:lang w:val="es-CO"/>
        </w:rPr>
        <w:t xml:space="preserve">Ruiz Ibán, M., García Navlet, M., Moros Marco, S., Diaz Heredia, J., Hernando Sánchez, A., Ruiz Díaz, R., Vaquero Comino, C., Rosas Ojeda, M. L., Del Monte Bello, G., &amp; Ávila Lafuente, J. L. (2023). </w:t>
      </w:r>
      <w:r w:rsidRPr="0079588E">
        <w:rPr>
          <w:rStyle w:val="CommentReference"/>
        </w:rPr>
        <w:t xml:space="preserve">Augmentation of a Transosseous-Equivalent Repair in Posterosuperior Nonacute Rotator Cuff Tears </w:t>
      </w:r>
      <w:r w:rsidR="002A55CE" w:rsidRPr="0079588E">
        <w:rPr>
          <w:rStyle w:val="CommentReference"/>
        </w:rPr>
        <w:t>with</w:t>
      </w:r>
      <w:r w:rsidRPr="0079588E">
        <w:rPr>
          <w:rStyle w:val="CommentReference"/>
        </w:rPr>
        <w:t xml:space="preserve"> a </w:t>
      </w:r>
      <w:r w:rsidR="002A55CE" w:rsidRPr="0079588E">
        <w:rPr>
          <w:rStyle w:val="CommentReference"/>
        </w:rPr>
        <w:t>Bioinductive</w:t>
      </w:r>
      <w:r w:rsidRPr="0079588E">
        <w:rPr>
          <w:rStyle w:val="CommentReference"/>
        </w:rPr>
        <w:t xml:space="preserve"> Collagen Implant Decreases the Retear Rate at One Year: A Randomized Controlled Trial. Arthroscopy. https://doi.org/10.1016/j.arthro.2023.12.014</w:t>
      </w:r>
    </w:p>
  </w:footnote>
  <w:footnote w:id="14">
    <w:p w14:paraId="25936576" w14:textId="142C920B" w:rsidR="00075438" w:rsidRPr="00C94E99" w:rsidRDefault="00075438" w:rsidP="00D31B9B">
      <w:pPr>
        <w:pStyle w:val="Tablenotes"/>
        <w:rPr>
          <w:rStyle w:val="CommentReference"/>
          <w:rFonts w:ascii="Franklin Gothic Book" w:eastAsiaTheme="minorHAnsi" w:hAnsi="Franklin Gothic Book" w:cstheme="minorBidi"/>
        </w:rPr>
      </w:pPr>
      <w:r>
        <w:rPr>
          <w:rStyle w:val="FootnoteReference"/>
        </w:rPr>
        <w:footnoteRef/>
      </w:r>
      <w:hyperlink r:id="rId2" w:history="1">
        <w:r w:rsidRPr="00C94E99">
          <w:rPr>
            <w:rStyle w:val="CommentReference"/>
          </w:rPr>
          <w:t>Brun</w:t>
        </w:r>
      </w:hyperlink>
      <w:r w:rsidRPr="00C94E99">
        <w:rPr>
          <w:rStyle w:val="CommentReference"/>
        </w:rPr>
        <w:t xml:space="preserve"> S. (2012). Shoulder injuries Management in general practic</w:t>
      </w:r>
      <w:r w:rsidR="0046679D">
        <w:rPr>
          <w:rStyle w:val="CommentReference"/>
        </w:rPr>
        <w:t>e.</w:t>
      </w:r>
      <w:r w:rsidRPr="00C94E99">
        <w:rPr>
          <w:rStyle w:val="CommentReference"/>
        </w:rPr>
        <w:t xml:space="preserve"> Australian Journal for General Practitioners 41: 217-220. </w:t>
      </w:r>
      <w:hyperlink r:id="rId3" w:history="1">
        <w:r w:rsidRPr="00C94E99">
          <w:rPr>
            <w:rStyle w:val="CommentReference"/>
          </w:rPr>
          <w:t>https://www.racgp.org.au/afp/2012/april/shoulder-injuries</w:t>
        </w:r>
      </w:hyperlink>
      <w:r w:rsidRPr="00C94E99">
        <w:rPr>
          <w:rStyle w:val="CommentReference"/>
        </w:rPr>
        <w:t xml:space="preserve"> </w:t>
      </w:r>
    </w:p>
  </w:footnote>
  <w:footnote w:id="15">
    <w:p w14:paraId="22A82C72" w14:textId="4012A434" w:rsidR="00075438" w:rsidRDefault="00075438" w:rsidP="00D31B9B">
      <w:pPr>
        <w:pStyle w:val="Tablenotes"/>
      </w:pPr>
      <w:r>
        <w:rPr>
          <w:rStyle w:val="FootnoteReference"/>
        </w:rPr>
        <w:footnoteRef/>
      </w:r>
      <w:r w:rsidR="0079588E">
        <w:rPr>
          <w:rStyle w:val="CommentReference"/>
        </w:rPr>
        <w:t xml:space="preserve"> </w:t>
      </w:r>
      <w:r w:rsidRPr="0079588E">
        <w:rPr>
          <w:rStyle w:val="CommentReference"/>
        </w:rPr>
        <w:t xml:space="preserve">Hopman K, Krahe L, Luke smith S, McColl AR, &amp; Vine K. (2013). “Clinical Practice Guidelines for the Management of Rotator Cuff Syndrome in the Workplace”. The University of New South Wales. </w:t>
      </w:r>
      <w:hyperlink r:id="rId4" w:history="1">
        <w:r w:rsidRPr="0079588E">
          <w:rPr>
            <w:rStyle w:val="CommentReference"/>
          </w:rPr>
          <w:t>https://rcs.med.unsw.edu.au/sites/default/files/rcs/page/RotatorCuffSyndromeGuidelines.pdf</w:t>
        </w:r>
      </w:hyperlink>
      <w:r>
        <w:t xml:space="preserve">  </w:t>
      </w:r>
    </w:p>
  </w:footnote>
  <w:footnote w:id="16">
    <w:p w14:paraId="39CC8206" w14:textId="77777777" w:rsidR="006F1ECB" w:rsidRPr="00B821D3" w:rsidRDefault="006F1ECB" w:rsidP="00B821D3">
      <w:pPr>
        <w:pStyle w:val="TableFooter"/>
        <w:rPr>
          <w:sz w:val="16"/>
          <w:szCs w:val="16"/>
        </w:rPr>
      </w:pPr>
      <w:r w:rsidRPr="00B821D3">
        <w:rPr>
          <w:rStyle w:val="FootnoteReference"/>
          <w:sz w:val="16"/>
          <w:szCs w:val="16"/>
        </w:rPr>
        <w:footnoteRef/>
      </w:r>
      <w:r w:rsidRPr="00B821D3">
        <w:rPr>
          <w:sz w:val="16"/>
          <w:szCs w:val="16"/>
        </w:rPr>
        <w:t xml:space="preserve"> </w:t>
      </w:r>
      <w:r w:rsidRPr="00C94E99">
        <w:rPr>
          <w:rStyle w:val="CommentReference"/>
        </w:rPr>
        <w:t>Baumgarten KM, Barthman BJ, Chang PS. The American Shoulder and Elbow Score Is Highly Correlated with the Western Ontario Rotator Cuff Index and Has Less Responder and Administrator Burden. Arthrosc Sports Med Rehabil. 2021 Sep 21;3(6</w:t>
      </w:r>
      <w:proofErr w:type="gramStart"/>
      <w:r w:rsidRPr="00C94E99">
        <w:rPr>
          <w:rStyle w:val="CommentReference"/>
        </w:rPr>
        <w:t>):e</w:t>
      </w:r>
      <w:proofErr w:type="gramEnd"/>
      <w:r w:rsidRPr="00C94E99">
        <w:rPr>
          <w:rStyle w:val="CommentReference"/>
        </w:rPr>
        <w:t>1637-e1643</w:t>
      </w:r>
    </w:p>
  </w:footnote>
  <w:footnote w:id="17">
    <w:p w14:paraId="7534082D" w14:textId="5E98BFB2" w:rsidR="00972CE7" w:rsidRPr="00C94E99" w:rsidRDefault="00972CE7" w:rsidP="00B821D3">
      <w:pPr>
        <w:pStyle w:val="TableFooter"/>
      </w:pPr>
      <w:r w:rsidRPr="00B821D3">
        <w:rPr>
          <w:rStyle w:val="FootnoteReference"/>
          <w:sz w:val="16"/>
          <w:szCs w:val="16"/>
        </w:rPr>
        <w:footnoteRef/>
      </w:r>
      <w:r w:rsidRPr="00C94E99">
        <w:t xml:space="preserve"> </w:t>
      </w:r>
      <w:r w:rsidRPr="00B821D3">
        <w:rPr>
          <w:sz w:val="16"/>
          <w:szCs w:val="16"/>
        </w:rPr>
        <w:t>Jones, I. A., R. Togashi, N. Heckmann and C. T. Vangsness, Jr. (2020). "Minimal clinically important difference (MCID) for patient-reported shoulder outcomes." J Shoulder Elbow Surg 29(7): 1484-1492.</w:t>
      </w:r>
    </w:p>
  </w:footnote>
  <w:footnote w:id="18">
    <w:p w14:paraId="75A5034F" w14:textId="77777777" w:rsidR="006F1ECB" w:rsidRDefault="006F1ECB" w:rsidP="00B821D3">
      <w:pPr>
        <w:pStyle w:val="TableFooter"/>
        <w:rPr>
          <w:rStyle w:val="CommentReference"/>
          <w:rFonts w:ascii="Franklin Gothic Book" w:hAnsi="Franklin Gothic Book"/>
        </w:rPr>
      </w:pPr>
      <w:r>
        <w:rPr>
          <w:rStyle w:val="CommentReference"/>
          <w:vertAlign w:val="superscript"/>
        </w:rPr>
        <w:footnoteRef/>
      </w:r>
      <w:r>
        <w:rPr>
          <w:rStyle w:val="CommentReference"/>
        </w:rPr>
        <w:t xml:space="preserve"> Bushnell, B. D., P. M. Connor, H. W. Harris, C. P. Ho, S. W. Trenhaile and J. S. Abrams (2022). "Two-year outcomes with a bioinductive collagen implant used in augmentation of arthroscopic repair of full-thickness rotator cuff tears: final results of a prospective multicenter study." J Shoulder Elbow Surg 31(12): 2532-2541.</w:t>
      </w:r>
    </w:p>
  </w:footnote>
  <w:footnote w:id="19">
    <w:p w14:paraId="567CD373" w14:textId="77777777" w:rsidR="006F1ECB" w:rsidRDefault="006F1ECB" w:rsidP="00B821D3">
      <w:pPr>
        <w:pStyle w:val="TableFooter"/>
        <w:rPr>
          <w:rStyle w:val="CommentReference"/>
          <w:rFonts w:ascii="Franklin Gothic Book" w:hAnsi="Franklin Gothic Book"/>
        </w:rPr>
      </w:pPr>
      <w:r>
        <w:rPr>
          <w:rStyle w:val="CommentReference"/>
          <w:vertAlign w:val="superscript"/>
        </w:rPr>
        <w:footnoteRef/>
      </w:r>
      <w:r>
        <w:rPr>
          <w:rStyle w:val="CommentReference"/>
          <w:vertAlign w:val="superscript"/>
        </w:rPr>
        <w:t xml:space="preserve"> </w:t>
      </w:r>
      <w:r>
        <w:rPr>
          <w:rStyle w:val="CommentReference"/>
        </w:rPr>
        <w:t>Cvetanovich, G. L., A. K. Gowd, J. N. Liu, B. U. Nwachukwu, B. C. Cabarcas, B. J. Cole, B. Forsythe, A. A. Romeo and N. N. Verma (2019). "Establishing clinically significant outcome after arthroscopic rotator cuff repair." Journal of Shoulder and Elbow Surgery 28(5): 939-948.</w:t>
      </w:r>
    </w:p>
  </w:footnote>
  <w:footnote w:id="20">
    <w:p w14:paraId="5E01AE16" w14:textId="22FD6B15" w:rsidR="00893760" w:rsidRPr="00430AB0" w:rsidRDefault="00893760" w:rsidP="00A77552">
      <w:pPr>
        <w:pStyle w:val="Tablenotes"/>
        <w:rPr>
          <w:rStyle w:val="CommentReference"/>
          <w:rFonts w:ascii="Franklin Gothic Book" w:eastAsiaTheme="minorHAnsi" w:hAnsi="Franklin Gothic Book" w:cstheme="minorBidi"/>
        </w:rPr>
      </w:pPr>
      <w:r>
        <w:rPr>
          <w:rStyle w:val="FootnoteReference"/>
        </w:rPr>
        <w:footnoteRef/>
      </w:r>
      <w:r>
        <w:t xml:space="preserve"> </w:t>
      </w:r>
      <w:r w:rsidRPr="00430AB0">
        <w:rPr>
          <w:rStyle w:val="CommentReference"/>
        </w:rPr>
        <w:t>McIntyre, L. F., L. M. Nherera and T. F. Schlegel (2023). "Resorbable Bioinductive Collagen Implant Is Cost Effective in the Treatment of Rotator Cuff Tears." Arthrosc Sports Med Rehabil 5(2): e367-e374.</w:t>
      </w:r>
    </w:p>
  </w:footnote>
  <w:footnote w:id="21">
    <w:p w14:paraId="14C3C9F6" w14:textId="3BE915C1" w:rsidR="00152060" w:rsidRPr="00C94E99" w:rsidRDefault="00152060" w:rsidP="00B821D3">
      <w:pPr>
        <w:pStyle w:val="TableFooter"/>
        <w:rPr>
          <w:rStyle w:val="CommentReference"/>
          <w:rFonts w:ascii="Franklin Gothic Book" w:hAnsi="Franklin Gothic Book"/>
        </w:rPr>
      </w:pPr>
      <w:r w:rsidRPr="00C94E99">
        <w:rPr>
          <w:rStyle w:val="CommentReference"/>
          <w:vertAlign w:val="superscript"/>
        </w:rPr>
        <w:footnoteRef/>
      </w:r>
      <w:r w:rsidRPr="00C94E99">
        <w:rPr>
          <w:rStyle w:val="CommentReference"/>
        </w:rPr>
        <w:t xml:space="preserve"> Parikh, N., D. J. Martinez, I. Winer, L. Costa, D. Dua and P. Trueman (2021). "Direct and indirect economic burden associated with rotator cuff tears and repairs in the US." Curr Med Res Opin 37(7): 1199-1211. </w:t>
      </w:r>
    </w:p>
  </w:footnote>
  <w:footnote w:id="22">
    <w:p w14:paraId="50E6AFEA" w14:textId="77777777" w:rsidR="007F3BF6" w:rsidRPr="00B821D3" w:rsidRDefault="007F3BF6" w:rsidP="007F3BF6">
      <w:pPr>
        <w:pStyle w:val="TableFooter"/>
        <w:rPr>
          <w:sz w:val="16"/>
          <w:szCs w:val="16"/>
        </w:rPr>
      </w:pPr>
      <w:r w:rsidRPr="00C94E99">
        <w:rPr>
          <w:rStyle w:val="CommentReference"/>
          <w:vertAlign w:val="superscript"/>
        </w:rPr>
        <w:footnoteRef/>
      </w:r>
      <w:r w:rsidRPr="00C94E99">
        <w:rPr>
          <w:rStyle w:val="CommentReference"/>
        </w:rPr>
        <w:t xml:space="preserve"> Grobet, C., L. Audige, K. Eichler, F. Meier, B. Brunner, S. Wieser and M. Flury (2020). "Cost-Utility Analysis of Arthroscopic Rotator Cuff Repair: A Prospective Health Economic Study Using Real-World Data." Arthrosc Sports Med Rehabil 2(3): e193-e205.</w:t>
      </w:r>
    </w:p>
  </w:footnote>
  <w:footnote w:id="23">
    <w:p w14:paraId="3CF784D1" w14:textId="77777777" w:rsidR="007F3BF6" w:rsidRDefault="007F3BF6" w:rsidP="007F3BF6">
      <w:pPr>
        <w:pStyle w:val="TableFooter"/>
      </w:pPr>
      <w:r w:rsidRPr="00B821D3">
        <w:rPr>
          <w:rStyle w:val="FootnoteReference"/>
          <w:sz w:val="16"/>
          <w:szCs w:val="16"/>
        </w:rPr>
        <w:footnoteRef/>
      </w:r>
      <w:r w:rsidRPr="00B821D3">
        <w:rPr>
          <w:sz w:val="16"/>
          <w:szCs w:val="16"/>
        </w:rPr>
        <w:t xml:space="preserve"> Redwood L, Currow D, Kochovska S, Thomas SJ. Australian population norms for health-related quality of life measured using the EQ-5D-5L, and relationships with sociodemographic characteristics. Qual Life Res. 2024 Mar;33(3):721-733</w:t>
      </w:r>
    </w:p>
  </w:footnote>
  <w:footnote w:id="24">
    <w:p w14:paraId="17DD31B7" w14:textId="77777777" w:rsidR="000D4B65" w:rsidRPr="00036823" w:rsidRDefault="000D4B65" w:rsidP="000D4B65">
      <w:pPr>
        <w:pStyle w:val="TableFooter"/>
        <w:rPr>
          <w:sz w:val="16"/>
          <w:szCs w:val="16"/>
        </w:rPr>
      </w:pPr>
      <w:r w:rsidRPr="00C94E99">
        <w:rPr>
          <w:rStyle w:val="CommentReference"/>
          <w:vertAlign w:val="superscript"/>
        </w:rPr>
        <w:footnoteRef/>
      </w:r>
      <w:r w:rsidRPr="00C94E99">
        <w:rPr>
          <w:rStyle w:val="CommentReference"/>
          <w:vertAlign w:val="superscript"/>
        </w:rPr>
        <w:t xml:space="preserve"> </w:t>
      </w:r>
      <w:r w:rsidRPr="00C94E99">
        <w:rPr>
          <w:rStyle w:val="CommentReference"/>
        </w:rPr>
        <w:t>Dornan, G. J., J. C. Katthagen, D. S. Tahal, M. Petri, J. A. Greenspoon, P. J. Denard, S. S. Burkhart and P. J. Millett (2017). "Cost-Effectiveness of Arthroscopic Rotator Cuff Repair Versus Reverse Total Shoulder Arthroplasty for the Treatment of Massive Rotator Cuff Tears in Patients with Pseudoparalysis and Nonarthritic Shoulders." Arthroscopy 33(4): 716-725.</w:t>
      </w:r>
    </w:p>
  </w:footnote>
  <w:footnote w:id="25">
    <w:p w14:paraId="10024761" w14:textId="50949750" w:rsidR="0040136F" w:rsidRDefault="0040136F" w:rsidP="00B821D3">
      <w:pPr>
        <w:pStyle w:val="TableFooter"/>
      </w:pPr>
      <w:r w:rsidRPr="00B821D3">
        <w:rPr>
          <w:rStyle w:val="FootnoteReference"/>
          <w:sz w:val="16"/>
          <w:szCs w:val="16"/>
        </w:rPr>
        <w:footnoteRef/>
      </w:r>
      <w:r w:rsidRPr="00B821D3">
        <w:rPr>
          <w:sz w:val="16"/>
          <w:szCs w:val="16"/>
        </w:rPr>
        <w:t xml:space="preserve"> Cederqvist S, Flinkkilä T, Sormaala M, et alNon-surgical and surgical treatments for rotator cuff disease: a pragmatic randomised clinical trial with 2-year follow-up after initial rehabilitation</w:t>
      </w:r>
      <w:r w:rsidR="00430AB0" w:rsidRPr="00B821D3">
        <w:rPr>
          <w:sz w:val="16"/>
          <w:szCs w:val="16"/>
        </w:rPr>
        <w:t xml:space="preserve">. </w:t>
      </w:r>
      <w:r w:rsidRPr="00B821D3">
        <w:rPr>
          <w:sz w:val="16"/>
          <w:szCs w:val="16"/>
        </w:rPr>
        <w:t xml:space="preserve">Annals of the Rheumatic Diseases </w:t>
      </w:r>
      <w:proofErr w:type="gramStart"/>
      <w:r w:rsidRPr="00B821D3">
        <w:rPr>
          <w:sz w:val="16"/>
          <w:szCs w:val="16"/>
        </w:rPr>
        <w:t>2021;80:796</w:t>
      </w:r>
      <w:proofErr w:type="gramEnd"/>
      <w:r w:rsidRPr="00B821D3">
        <w:rPr>
          <w:sz w:val="16"/>
          <w:szCs w:val="16"/>
        </w:rPr>
        <w:t>-802.</w:t>
      </w:r>
    </w:p>
  </w:footnote>
  <w:footnote w:id="26">
    <w:p w14:paraId="481A4786" w14:textId="39E65A7B" w:rsidR="008875B5" w:rsidRPr="00B821D3" w:rsidRDefault="008875B5" w:rsidP="00B821D3">
      <w:pPr>
        <w:pStyle w:val="TableFooter"/>
        <w:rPr>
          <w:sz w:val="16"/>
          <w:szCs w:val="16"/>
        </w:rPr>
      </w:pPr>
      <w:r w:rsidRPr="00B821D3">
        <w:rPr>
          <w:rStyle w:val="FootnoteReference"/>
          <w:sz w:val="16"/>
          <w:szCs w:val="16"/>
        </w:rPr>
        <w:footnoteRef/>
      </w:r>
      <w:r w:rsidRPr="00B821D3">
        <w:rPr>
          <w:sz w:val="16"/>
          <w:szCs w:val="16"/>
        </w:rPr>
        <w:t xml:space="preserve"> </w:t>
      </w:r>
      <w:bookmarkStart w:id="87" w:name="_Hlk165564100"/>
      <w:r w:rsidRPr="00B821D3">
        <w:rPr>
          <w:rStyle w:val="TablenotesChar"/>
          <w:rFonts w:eastAsiaTheme="minorHAnsi"/>
          <w:sz w:val="16"/>
          <w:szCs w:val="16"/>
        </w:rPr>
        <w:t>McIntyre LF, McMillan S, Trenhaile SW, Bishai SK, Bushnell BD. Full-Thickness Rotator Cuff Tears Can Be</w:t>
      </w:r>
      <w:r w:rsidR="0060195D" w:rsidRPr="00B821D3">
        <w:rPr>
          <w:rStyle w:val="TablenotesChar"/>
          <w:rFonts w:eastAsiaTheme="minorHAnsi"/>
          <w:sz w:val="16"/>
          <w:szCs w:val="16"/>
        </w:rPr>
        <w:t xml:space="preserve"> </w:t>
      </w:r>
      <w:r w:rsidRPr="00B821D3">
        <w:rPr>
          <w:rStyle w:val="TablenotesChar"/>
          <w:rFonts w:eastAsiaTheme="minorHAnsi"/>
          <w:sz w:val="16"/>
          <w:szCs w:val="16"/>
        </w:rPr>
        <w:t xml:space="preserve">Safely Treated With a Resorbable Bioinductive Bovine Collagen Implant: One-Year Results of a </w:t>
      </w:r>
      <w:proofErr w:type="gramStart"/>
      <w:r w:rsidRPr="00B821D3">
        <w:rPr>
          <w:rStyle w:val="TablenotesChar"/>
          <w:rFonts w:eastAsiaTheme="minorHAnsi"/>
          <w:sz w:val="16"/>
          <w:szCs w:val="16"/>
        </w:rPr>
        <w:t>Prospective,Multicenter</w:t>
      </w:r>
      <w:proofErr w:type="gramEnd"/>
      <w:r w:rsidRPr="00B821D3">
        <w:rPr>
          <w:rStyle w:val="TablenotesChar"/>
          <w:rFonts w:eastAsiaTheme="minorHAnsi"/>
          <w:sz w:val="16"/>
          <w:szCs w:val="16"/>
        </w:rPr>
        <w:t xml:space="preserve"> Registry. Arthroscopy, Sports Medicine, and Rehabilitation. 2021;3(5</w:t>
      </w:r>
      <w:proofErr w:type="gramStart"/>
      <w:r w:rsidRPr="00B821D3">
        <w:rPr>
          <w:rStyle w:val="TablenotesChar"/>
          <w:rFonts w:eastAsiaTheme="minorHAnsi"/>
          <w:sz w:val="16"/>
          <w:szCs w:val="16"/>
        </w:rPr>
        <w:t>):e</w:t>
      </w:r>
      <w:proofErr w:type="gramEnd"/>
      <w:r w:rsidRPr="00B821D3">
        <w:rPr>
          <w:rStyle w:val="TablenotesChar"/>
          <w:rFonts w:eastAsiaTheme="minorHAnsi"/>
          <w:sz w:val="16"/>
          <w:szCs w:val="16"/>
        </w:rPr>
        <w:t>1473-9</w:t>
      </w:r>
      <w:bookmarkEnd w:id="87"/>
    </w:p>
  </w:footnote>
  <w:footnote w:id="27">
    <w:p w14:paraId="36C2C9FB" w14:textId="77777777" w:rsidR="002B4F0C" w:rsidRPr="00430AB0" w:rsidRDefault="002B4F0C" w:rsidP="00B821D3">
      <w:pPr>
        <w:pStyle w:val="Tablenotes0"/>
        <w:rPr>
          <w:rStyle w:val="CommentReference"/>
          <w:rFonts w:ascii="Franklin Gothic Book" w:hAnsi="Franklin Gothic Book"/>
        </w:rPr>
      </w:pPr>
      <w:r w:rsidRPr="00430AB0">
        <w:rPr>
          <w:rStyle w:val="CommentReference"/>
          <w:vertAlign w:val="superscript"/>
        </w:rPr>
        <w:footnoteRef/>
      </w:r>
      <w:r w:rsidRPr="00430AB0">
        <w:rPr>
          <w:rStyle w:val="CommentReference"/>
        </w:rPr>
        <w:t xml:space="preserve"> Paloneva, J., V. Lepola, V. Aarimaa, A. Joukainen, J. Ylinen and V. M. Mattila (2015). "Increasing incidence of rotator cuff repairs--A nationwide registry study in Finland." BMC Musculoskelet Disord 16: 189.</w:t>
      </w:r>
    </w:p>
  </w:footnote>
  <w:footnote w:id="28">
    <w:p w14:paraId="0B2DB26E" w14:textId="77777777" w:rsidR="006557DD" w:rsidRPr="00B821D3" w:rsidRDefault="006557DD" w:rsidP="00B821D3">
      <w:pPr>
        <w:pStyle w:val="Tablenotes0"/>
        <w:rPr>
          <w:sz w:val="16"/>
          <w:szCs w:val="16"/>
        </w:rPr>
      </w:pPr>
      <w:r w:rsidRPr="00B821D3">
        <w:rPr>
          <w:rStyle w:val="FootnoteReference"/>
          <w:sz w:val="16"/>
          <w:szCs w:val="16"/>
        </w:rPr>
        <w:footnoteRef/>
      </w:r>
      <w:r w:rsidRPr="00B821D3">
        <w:rPr>
          <w:sz w:val="16"/>
          <w:szCs w:val="16"/>
        </w:rPr>
        <w:t xml:space="preserve"> Thorpe, A., M. Hurworth, P. O'Sullivan, T. Mitchell and A. Smith (2016). "Rising trends in surgery for rotator cuff disease in Western Australia." ANZ J Surg 86(10): 801-804.</w:t>
      </w:r>
    </w:p>
  </w:footnote>
  <w:footnote w:id="29">
    <w:p w14:paraId="3E9B4144" w14:textId="0B4A3DE7" w:rsidR="002B4F0C" w:rsidRDefault="002B4F0C" w:rsidP="00B821D3">
      <w:pPr>
        <w:pStyle w:val="Tablenotes0"/>
      </w:pPr>
      <w:r w:rsidRPr="00C94E99">
        <w:rPr>
          <w:rStyle w:val="CommentReference"/>
          <w:vertAlign w:val="superscript"/>
        </w:rPr>
        <w:footnoteRef/>
      </w:r>
      <w:r w:rsidRPr="00C94E99">
        <w:rPr>
          <w:rStyle w:val="CommentReference"/>
        </w:rPr>
        <w:t xml:space="preserve"> Yeo, D. Y., J. R. Walton, P. Lam and G. A. Murrell (2017). "The Relationship Between Intraoperative Tear Dimensions and Postoperative Pain in 1624 Consecutive Arthroscopic Rotator Cuff Repairs." Am J Sports Med 45(4): 788-793.</w:t>
      </w:r>
      <w:r w:rsidR="006D4A92">
        <w:rPr>
          <w:rStyle w:val="CommentReference"/>
        </w:rPr>
        <w:t xml:space="preserve"> </w:t>
      </w:r>
    </w:p>
  </w:footnote>
  <w:footnote w:id="30">
    <w:p w14:paraId="21611D21" w14:textId="77777777" w:rsidR="008D6BDA" w:rsidRPr="00E9752D" w:rsidRDefault="008D6BDA" w:rsidP="008D6BDA">
      <w:pPr>
        <w:pStyle w:val="Tablenotes"/>
      </w:pPr>
      <w:r>
        <w:rPr>
          <w:rStyle w:val="FootnoteReference"/>
        </w:rPr>
        <w:footnoteRef/>
      </w:r>
      <w:r>
        <w:t xml:space="preserve"> Karjalainen TV, Jain NB, Heikkinen J, Johnston RV, Page CM and Buchbinder R (2019). </w:t>
      </w:r>
      <w:hyperlink r:id="rId5" w:history="1">
        <w:r w:rsidRPr="0037257E">
          <w:rPr>
            <w:rStyle w:val="Hyperlink"/>
          </w:rPr>
          <w:t>Surgery for rotator cuff tears</w:t>
        </w:r>
      </w:hyperlink>
      <w:r>
        <w:t xml:space="preserve">. </w:t>
      </w:r>
      <w:r>
        <w:rPr>
          <w:i/>
          <w:iCs/>
        </w:rPr>
        <w:t>Cochrane Database of Systematic Reviews</w:t>
      </w:r>
      <w:r>
        <w:t xml:space="preserve"> 12:CD013502.</w:t>
      </w:r>
    </w:p>
  </w:footnote>
  <w:footnote w:id="31">
    <w:p w14:paraId="25A751C2" w14:textId="77777777" w:rsidR="008D6BDA" w:rsidRPr="00F1155A" w:rsidRDefault="008D6BDA" w:rsidP="008D6BDA">
      <w:pPr>
        <w:pStyle w:val="Tablenotes"/>
      </w:pPr>
      <w:r>
        <w:rPr>
          <w:rStyle w:val="FootnoteReference"/>
        </w:rPr>
        <w:footnoteRef/>
      </w:r>
      <w:r>
        <w:t xml:space="preserve"> Littlewood C, Moffatt M, Beckhelling J, Davis D, Burden A, Pitt L et al. (2023). </w:t>
      </w:r>
      <w:hyperlink r:id="rId6" w:history="1">
        <w:r w:rsidRPr="00AD3BAB">
          <w:rPr>
            <w:rStyle w:val="Hyperlink"/>
          </w:rPr>
          <w:t>Physiotherapist-led exercise versus usual care (waiting-list) control for patients awaiting rotator cuff repair surgery: a pilot randomised controlled trial (POWER)</w:t>
        </w:r>
      </w:hyperlink>
      <w:r>
        <w:t xml:space="preserve">. </w:t>
      </w:r>
      <w:r>
        <w:rPr>
          <w:i/>
          <w:iCs/>
        </w:rPr>
        <w:t>Musculoskeletal Science and Practice</w:t>
      </w:r>
      <w:r>
        <w:t xml:space="preserve"> 68:102874.</w:t>
      </w:r>
    </w:p>
  </w:footnote>
  <w:footnote w:id="32">
    <w:p w14:paraId="1EF83FFE" w14:textId="77777777" w:rsidR="008D6BDA" w:rsidRDefault="008D6BDA" w:rsidP="008D6BDA">
      <w:pPr>
        <w:pStyle w:val="Tablenotes"/>
      </w:pPr>
      <w:r>
        <w:rPr>
          <w:rStyle w:val="FootnoteReference"/>
        </w:rPr>
        <w:footnoteRef/>
      </w:r>
      <w:r>
        <w:t xml:space="preserve"> J</w:t>
      </w:r>
      <w:r w:rsidRPr="002C77FF">
        <w:t xml:space="preserve">ones IA, Togashi R, Heckmann N </w:t>
      </w:r>
      <w:r>
        <w:t>and</w:t>
      </w:r>
      <w:r w:rsidRPr="002C77FF">
        <w:t xml:space="preserve"> Vangsness CT Jr (2020). </w:t>
      </w:r>
      <w:hyperlink r:id="rId7" w:history="1">
        <w:r w:rsidRPr="00E949DE">
          <w:rPr>
            <w:rStyle w:val="Hyperlink"/>
          </w:rPr>
          <w:t>Minimal clinically important difference (MCID) for patient-reported shoulder outcomes</w:t>
        </w:r>
      </w:hyperlink>
      <w:r w:rsidRPr="002C77FF">
        <w:t xml:space="preserve">. </w:t>
      </w:r>
      <w:r w:rsidRPr="002C77FF">
        <w:rPr>
          <w:i/>
        </w:rPr>
        <w:t xml:space="preserve">J Shoulder Elbow Surg </w:t>
      </w:r>
      <w:r w:rsidRPr="005E70D7">
        <w:rPr>
          <w:iCs/>
        </w:rPr>
        <w:t>29</w:t>
      </w:r>
      <w:r w:rsidRPr="002C77FF">
        <w:t>(7)</w:t>
      </w:r>
      <w:r>
        <w:t>:</w:t>
      </w:r>
      <w:r w:rsidRPr="002C77FF">
        <w:t>1484</w:t>
      </w:r>
      <w:r>
        <w:t>–</w:t>
      </w:r>
      <w:r w:rsidRPr="002C77FF">
        <w:t>1492.</w:t>
      </w:r>
    </w:p>
  </w:footnote>
  <w:footnote w:id="33">
    <w:p w14:paraId="34BBB5D0" w14:textId="77777777" w:rsidR="008D6BDA" w:rsidRDefault="008D6BDA" w:rsidP="008D6BDA">
      <w:pPr>
        <w:pStyle w:val="Tablenotes"/>
      </w:pPr>
      <w:r>
        <w:rPr>
          <w:rStyle w:val="FootnoteReference"/>
        </w:rPr>
        <w:footnoteRef/>
      </w:r>
      <w:r>
        <w:t xml:space="preserve"> </w:t>
      </w:r>
      <w:r w:rsidRPr="00C94E99">
        <w:rPr>
          <w:rStyle w:val="CommentReference"/>
        </w:rPr>
        <w:t>Grobet, C., L. Audige, K. Eichler, F. Meier, B. Brunner, S. Wieser and M. Flury (2020). "Cost-Utility Analysis of Arthroscopic Rotator Cuff Repair: A Prospective Health Economic Study Using Real-World Data." Arthrosc Sports Med Rehabil 2(3): e193-e205.</w:t>
      </w:r>
    </w:p>
  </w:footnote>
  <w:footnote w:id="34">
    <w:p w14:paraId="203AAB6E" w14:textId="77777777" w:rsidR="008D6BDA" w:rsidRPr="00FA6338" w:rsidRDefault="008D6BDA" w:rsidP="008D6BDA">
      <w:pPr>
        <w:pStyle w:val="Tablenotes"/>
      </w:pPr>
      <w:r>
        <w:rPr>
          <w:rStyle w:val="FootnoteReference"/>
        </w:rPr>
        <w:footnoteRef/>
      </w:r>
      <w:r>
        <w:t xml:space="preserve"> Iannotti JP, Deutsch A, Green A, Rudicel S, Christensen J, Marraffino S et al. (2013). </w:t>
      </w:r>
      <w:hyperlink r:id="rId8" w:history="1">
        <w:r w:rsidRPr="00FA6338">
          <w:rPr>
            <w:rStyle w:val="Hyperlink"/>
          </w:rPr>
          <w:t>Time to failure after rotator cuff repair: a prospective imaging study</w:t>
        </w:r>
      </w:hyperlink>
      <w:r>
        <w:t xml:space="preserve">. </w:t>
      </w:r>
      <w:r>
        <w:rPr>
          <w:i/>
          <w:iCs/>
        </w:rPr>
        <w:t>J Bone Joint Surg Am</w:t>
      </w:r>
      <w:r>
        <w:t xml:space="preserve"> 95(11):965–971.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4F4F" w14:textId="77777777" w:rsidR="00283FCE" w:rsidRDefault="00283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AA89" w14:textId="77777777" w:rsidR="00283FCE" w:rsidRDefault="00283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AC31" w14:textId="77777777" w:rsidR="00283FCE" w:rsidRDefault="00283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709B"/>
    <w:multiLevelType w:val="hybridMultilevel"/>
    <w:tmpl w:val="71205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B30F0"/>
    <w:multiLevelType w:val="hybridMultilevel"/>
    <w:tmpl w:val="604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A4EFC"/>
    <w:multiLevelType w:val="hybridMultilevel"/>
    <w:tmpl w:val="A062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27B4A"/>
    <w:multiLevelType w:val="hybridMultilevel"/>
    <w:tmpl w:val="3EEA0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761B"/>
    <w:multiLevelType w:val="hybridMultilevel"/>
    <w:tmpl w:val="2EC0EE5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5500D4"/>
    <w:multiLevelType w:val="hybridMultilevel"/>
    <w:tmpl w:val="FD64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FE22AF"/>
    <w:multiLevelType w:val="hybridMultilevel"/>
    <w:tmpl w:val="953C8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F134E0"/>
    <w:multiLevelType w:val="hybridMultilevel"/>
    <w:tmpl w:val="EF42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32EE2"/>
    <w:multiLevelType w:val="hybridMultilevel"/>
    <w:tmpl w:val="5C78F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BE052F"/>
    <w:multiLevelType w:val="hybridMultilevel"/>
    <w:tmpl w:val="4364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D2015E1"/>
    <w:multiLevelType w:val="hybridMultilevel"/>
    <w:tmpl w:val="2C1E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D177F"/>
    <w:multiLevelType w:val="hybridMultilevel"/>
    <w:tmpl w:val="0D36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7F49BB"/>
    <w:multiLevelType w:val="hybridMultilevel"/>
    <w:tmpl w:val="10FCE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4E02AB"/>
    <w:multiLevelType w:val="hybridMultilevel"/>
    <w:tmpl w:val="F972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C4AB3"/>
    <w:multiLevelType w:val="hybridMultilevel"/>
    <w:tmpl w:val="D4FC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7127C4"/>
    <w:multiLevelType w:val="hybridMultilevel"/>
    <w:tmpl w:val="8AC4E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587F03"/>
    <w:multiLevelType w:val="hybridMultilevel"/>
    <w:tmpl w:val="B0FA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535F0"/>
    <w:multiLevelType w:val="hybridMultilevel"/>
    <w:tmpl w:val="D416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D59E3"/>
    <w:multiLevelType w:val="hybridMultilevel"/>
    <w:tmpl w:val="2CBA4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32" w15:restartNumberingAfterBreak="0">
    <w:nsid w:val="7FD57240"/>
    <w:multiLevelType w:val="hybridMultilevel"/>
    <w:tmpl w:val="E9CA85FE"/>
    <w:lvl w:ilvl="0" w:tplc="0C09000F">
      <w:start w:val="1"/>
      <w:numFmt w:val="decimal"/>
      <w:lvlText w:val="%1."/>
      <w:lvlJc w:val="left"/>
      <w:pPr>
        <w:ind w:left="360" w:hanging="360"/>
      </w:pPr>
    </w:lvl>
    <w:lvl w:ilvl="1" w:tplc="7B86463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49109160">
    <w:abstractNumId w:val="14"/>
  </w:num>
  <w:num w:numId="2" w16cid:durableId="1270162788">
    <w:abstractNumId w:val="31"/>
  </w:num>
  <w:num w:numId="3" w16cid:durableId="1754930659">
    <w:abstractNumId w:val="3"/>
  </w:num>
  <w:num w:numId="4" w16cid:durableId="410388863">
    <w:abstractNumId w:val="10"/>
  </w:num>
  <w:num w:numId="5" w16cid:durableId="1821774551">
    <w:abstractNumId w:val="29"/>
  </w:num>
  <w:num w:numId="6" w16cid:durableId="758334604">
    <w:abstractNumId w:val="11"/>
  </w:num>
  <w:num w:numId="7" w16cid:durableId="1414619933">
    <w:abstractNumId w:val="12"/>
  </w:num>
  <w:num w:numId="8" w16cid:durableId="747844684">
    <w:abstractNumId w:val="13"/>
  </w:num>
  <w:num w:numId="9" w16cid:durableId="1180662619">
    <w:abstractNumId w:val="18"/>
  </w:num>
  <w:num w:numId="10" w16cid:durableId="396903008">
    <w:abstractNumId w:val="5"/>
  </w:num>
  <w:num w:numId="11" w16cid:durableId="1031414006">
    <w:abstractNumId w:val="21"/>
  </w:num>
  <w:num w:numId="12" w16cid:durableId="1843011084">
    <w:abstractNumId w:val="25"/>
  </w:num>
  <w:num w:numId="13" w16cid:durableId="1744912389">
    <w:abstractNumId w:val="19"/>
  </w:num>
  <w:num w:numId="14" w16cid:durableId="760882354">
    <w:abstractNumId w:val="28"/>
  </w:num>
  <w:num w:numId="15" w16cid:durableId="793670713">
    <w:abstractNumId w:val="24"/>
  </w:num>
  <w:num w:numId="16" w16cid:durableId="2067558657">
    <w:abstractNumId w:val="30"/>
  </w:num>
  <w:num w:numId="17" w16cid:durableId="1914046354">
    <w:abstractNumId w:val="0"/>
  </w:num>
  <w:num w:numId="18" w16cid:durableId="357506673">
    <w:abstractNumId w:val="6"/>
  </w:num>
  <w:num w:numId="19" w16cid:durableId="185798618">
    <w:abstractNumId w:val="27"/>
  </w:num>
  <w:num w:numId="20" w16cid:durableId="1505240068">
    <w:abstractNumId w:val="23"/>
  </w:num>
  <w:num w:numId="21" w16cid:durableId="1649895750">
    <w:abstractNumId w:val="4"/>
  </w:num>
  <w:num w:numId="22" w16cid:durableId="1972517547">
    <w:abstractNumId w:val="22"/>
  </w:num>
  <w:num w:numId="23" w16cid:durableId="97533437">
    <w:abstractNumId w:val="20"/>
  </w:num>
  <w:num w:numId="24" w16cid:durableId="1061753109">
    <w:abstractNumId w:val="1"/>
  </w:num>
  <w:num w:numId="25" w16cid:durableId="1126267682">
    <w:abstractNumId w:val="2"/>
  </w:num>
  <w:num w:numId="26" w16cid:durableId="1633439873">
    <w:abstractNumId w:val="15"/>
  </w:num>
  <w:num w:numId="27" w16cid:durableId="2140612721">
    <w:abstractNumId w:val="16"/>
  </w:num>
  <w:num w:numId="28" w16cid:durableId="310646562">
    <w:abstractNumId w:val="8"/>
  </w:num>
  <w:num w:numId="29" w16cid:durableId="1368525168">
    <w:abstractNumId w:val="17"/>
  </w:num>
  <w:num w:numId="30" w16cid:durableId="11151039">
    <w:abstractNumId w:val="9"/>
  </w:num>
  <w:num w:numId="31" w16cid:durableId="768355376">
    <w:abstractNumId w:val="26"/>
  </w:num>
  <w:num w:numId="32" w16cid:durableId="726031248">
    <w:abstractNumId w:val="32"/>
  </w:num>
  <w:num w:numId="33" w16cid:durableId="466897564">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157F1"/>
    <w:rsid w:val="00000266"/>
    <w:rsid w:val="000004F6"/>
    <w:rsid w:val="0000109A"/>
    <w:rsid w:val="000015AB"/>
    <w:rsid w:val="00001AD7"/>
    <w:rsid w:val="00001AE6"/>
    <w:rsid w:val="00001D55"/>
    <w:rsid w:val="00002034"/>
    <w:rsid w:val="0000240B"/>
    <w:rsid w:val="00002B4D"/>
    <w:rsid w:val="00002C01"/>
    <w:rsid w:val="0000308E"/>
    <w:rsid w:val="00003568"/>
    <w:rsid w:val="00003EE1"/>
    <w:rsid w:val="00004613"/>
    <w:rsid w:val="0000490B"/>
    <w:rsid w:val="000049C9"/>
    <w:rsid w:val="00004A5B"/>
    <w:rsid w:val="00004D69"/>
    <w:rsid w:val="00004F7F"/>
    <w:rsid w:val="000054C9"/>
    <w:rsid w:val="0000555F"/>
    <w:rsid w:val="000056A1"/>
    <w:rsid w:val="00005733"/>
    <w:rsid w:val="00005A9B"/>
    <w:rsid w:val="00006548"/>
    <w:rsid w:val="00006904"/>
    <w:rsid w:val="00007490"/>
    <w:rsid w:val="000075A9"/>
    <w:rsid w:val="00007AB0"/>
    <w:rsid w:val="00010C88"/>
    <w:rsid w:val="000110E9"/>
    <w:rsid w:val="00011568"/>
    <w:rsid w:val="000120F7"/>
    <w:rsid w:val="000126AB"/>
    <w:rsid w:val="000128B5"/>
    <w:rsid w:val="00012FEF"/>
    <w:rsid w:val="0001362D"/>
    <w:rsid w:val="00013B73"/>
    <w:rsid w:val="00013BF5"/>
    <w:rsid w:val="00014886"/>
    <w:rsid w:val="00014974"/>
    <w:rsid w:val="00014A2B"/>
    <w:rsid w:val="00015141"/>
    <w:rsid w:val="000155CA"/>
    <w:rsid w:val="00015895"/>
    <w:rsid w:val="000158E1"/>
    <w:rsid w:val="00015B66"/>
    <w:rsid w:val="00016851"/>
    <w:rsid w:val="0001691D"/>
    <w:rsid w:val="00016936"/>
    <w:rsid w:val="00016A5A"/>
    <w:rsid w:val="00016A9F"/>
    <w:rsid w:val="00016B09"/>
    <w:rsid w:val="0002037D"/>
    <w:rsid w:val="0002074E"/>
    <w:rsid w:val="00020F0A"/>
    <w:rsid w:val="000211F7"/>
    <w:rsid w:val="000214E7"/>
    <w:rsid w:val="000228B8"/>
    <w:rsid w:val="00022966"/>
    <w:rsid w:val="0002381B"/>
    <w:rsid w:val="000239AE"/>
    <w:rsid w:val="00023CBA"/>
    <w:rsid w:val="00023E79"/>
    <w:rsid w:val="00024208"/>
    <w:rsid w:val="00024BE3"/>
    <w:rsid w:val="00024EA5"/>
    <w:rsid w:val="00025392"/>
    <w:rsid w:val="000253C9"/>
    <w:rsid w:val="000254EB"/>
    <w:rsid w:val="000259CB"/>
    <w:rsid w:val="00025E1F"/>
    <w:rsid w:val="00025F4F"/>
    <w:rsid w:val="00026BAE"/>
    <w:rsid w:val="00026C18"/>
    <w:rsid w:val="0002755F"/>
    <w:rsid w:val="00027AB6"/>
    <w:rsid w:val="00027E6E"/>
    <w:rsid w:val="000304A8"/>
    <w:rsid w:val="0003095E"/>
    <w:rsid w:val="00030C9B"/>
    <w:rsid w:val="0003128F"/>
    <w:rsid w:val="00031A5A"/>
    <w:rsid w:val="00032301"/>
    <w:rsid w:val="00032407"/>
    <w:rsid w:val="00032DAD"/>
    <w:rsid w:val="0003423A"/>
    <w:rsid w:val="000345E7"/>
    <w:rsid w:val="0003477F"/>
    <w:rsid w:val="00034D50"/>
    <w:rsid w:val="00034DE5"/>
    <w:rsid w:val="00034E32"/>
    <w:rsid w:val="0003544D"/>
    <w:rsid w:val="00036AD8"/>
    <w:rsid w:val="00036C6A"/>
    <w:rsid w:val="00036F34"/>
    <w:rsid w:val="00037037"/>
    <w:rsid w:val="0003721D"/>
    <w:rsid w:val="00037302"/>
    <w:rsid w:val="00037B09"/>
    <w:rsid w:val="0004005D"/>
    <w:rsid w:val="00040915"/>
    <w:rsid w:val="00040ADF"/>
    <w:rsid w:val="00040FB4"/>
    <w:rsid w:val="0004178C"/>
    <w:rsid w:val="00041890"/>
    <w:rsid w:val="00041955"/>
    <w:rsid w:val="00041A81"/>
    <w:rsid w:val="00041F5D"/>
    <w:rsid w:val="00041F74"/>
    <w:rsid w:val="00042139"/>
    <w:rsid w:val="000426AA"/>
    <w:rsid w:val="00042BC1"/>
    <w:rsid w:val="00042D7B"/>
    <w:rsid w:val="000436C8"/>
    <w:rsid w:val="00043A2A"/>
    <w:rsid w:val="00043F3D"/>
    <w:rsid w:val="000443A6"/>
    <w:rsid w:val="0004494C"/>
    <w:rsid w:val="0004496D"/>
    <w:rsid w:val="000449D1"/>
    <w:rsid w:val="00044FE7"/>
    <w:rsid w:val="00045A96"/>
    <w:rsid w:val="00045B8D"/>
    <w:rsid w:val="00045BC4"/>
    <w:rsid w:val="00045C67"/>
    <w:rsid w:val="00045CC5"/>
    <w:rsid w:val="000460AF"/>
    <w:rsid w:val="00046399"/>
    <w:rsid w:val="00046AFD"/>
    <w:rsid w:val="00046B6A"/>
    <w:rsid w:val="000472D4"/>
    <w:rsid w:val="00050245"/>
    <w:rsid w:val="0005044A"/>
    <w:rsid w:val="00050B8A"/>
    <w:rsid w:val="00051426"/>
    <w:rsid w:val="00051686"/>
    <w:rsid w:val="00051699"/>
    <w:rsid w:val="00051F69"/>
    <w:rsid w:val="00052148"/>
    <w:rsid w:val="00052343"/>
    <w:rsid w:val="00052410"/>
    <w:rsid w:val="00052DB7"/>
    <w:rsid w:val="00052DD3"/>
    <w:rsid w:val="00052DE7"/>
    <w:rsid w:val="0005326D"/>
    <w:rsid w:val="000535F5"/>
    <w:rsid w:val="00053F6C"/>
    <w:rsid w:val="00053F7E"/>
    <w:rsid w:val="00053FE8"/>
    <w:rsid w:val="00054B6F"/>
    <w:rsid w:val="00055190"/>
    <w:rsid w:val="000551B8"/>
    <w:rsid w:val="00055373"/>
    <w:rsid w:val="00055398"/>
    <w:rsid w:val="00055B3C"/>
    <w:rsid w:val="00055D9F"/>
    <w:rsid w:val="00057C09"/>
    <w:rsid w:val="00060277"/>
    <w:rsid w:val="00060803"/>
    <w:rsid w:val="00060EB1"/>
    <w:rsid w:val="00061161"/>
    <w:rsid w:val="000616D2"/>
    <w:rsid w:val="00061ABC"/>
    <w:rsid w:val="00061F9F"/>
    <w:rsid w:val="000620DF"/>
    <w:rsid w:val="000628C8"/>
    <w:rsid w:val="00062A8C"/>
    <w:rsid w:val="00062C9F"/>
    <w:rsid w:val="0006339C"/>
    <w:rsid w:val="000637C2"/>
    <w:rsid w:val="00063B1E"/>
    <w:rsid w:val="00063FD5"/>
    <w:rsid w:val="000641BB"/>
    <w:rsid w:val="00064432"/>
    <w:rsid w:val="00064783"/>
    <w:rsid w:val="000647C2"/>
    <w:rsid w:val="0006483C"/>
    <w:rsid w:val="0006492C"/>
    <w:rsid w:val="00064955"/>
    <w:rsid w:val="00064A84"/>
    <w:rsid w:val="00065265"/>
    <w:rsid w:val="00067035"/>
    <w:rsid w:val="00067657"/>
    <w:rsid w:val="000676D1"/>
    <w:rsid w:val="0006789F"/>
    <w:rsid w:val="000701F1"/>
    <w:rsid w:val="0007021F"/>
    <w:rsid w:val="0007066A"/>
    <w:rsid w:val="0007082E"/>
    <w:rsid w:val="00070885"/>
    <w:rsid w:val="000709A0"/>
    <w:rsid w:val="00071901"/>
    <w:rsid w:val="00071A77"/>
    <w:rsid w:val="00071B6D"/>
    <w:rsid w:val="00071BBA"/>
    <w:rsid w:val="00073CDA"/>
    <w:rsid w:val="00073DE3"/>
    <w:rsid w:val="00074199"/>
    <w:rsid w:val="000751C9"/>
    <w:rsid w:val="00075438"/>
    <w:rsid w:val="0007613E"/>
    <w:rsid w:val="00076592"/>
    <w:rsid w:val="000765D1"/>
    <w:rsid w:val="000771E4"/>
    <w:rsid w:val="000772CA"/>
    <w:rsid w:val="000774FA"/>
    <w:rsid w:val="00077AE6"/>
    <w:rsid w:val="00077ED7"/>
    <w:rsid w:val="00077F93"/>
    <w:rsid w:val="00077F9D"/>
    <w:rsid w:val="00080241"/>
    <w:rsid w:val="00080616"/>
    <w:rsid w:val="00080E75"/>
    <w:rsid w:val="000812B7"/>
    <w:rsid w:val="00081763"/>
    <w:rsid w:val="00081778"/>
    <w:rsid w:val="00081AAE"/>
    <w:rsid w:val="00082180"/>
    <w:rsid w:val="00082784"/>
    <w:rsid w:val="00082C77"/>
    <w:rsid w:val="00082E0D"/>
    <w:rsid w:val="00083640"/>
    <w:rsid w:val="00084951"/>
    <w:rsid w:val="0008522C"/>
    <w:rsid w:val="00085FC1"/>
    <w:rsid w:val="0008616E"/>
    <w:rsid w:val="000868F0"/>
    <w:rsid w:val="00086F30"/>
    <w:rsid w:val="000870B6"/>
    <w:rsid w:val="00087295"/>
    <w:rsid w:val="00087FEF"/>
    <w:rsid w:val="00090613"/>
    <w:rsid w:val="00090976"/>
    <w:rsid w:val="00090BD1"/>
    <w:rsid w:val="000914DD"/>
    <w:rsid w:val="00091855"/>
    <w:rsid w:val="00091857"/>
    <w:rsid w:val="00091C59"/>
    <w:rsid w:val="00092136"/>
    <w:rsid w:val="000927D3"/>
    <w:rsid w:val="00092A21"/>
    <w:rsid w:val="00092B69"/>
    <w:rsid w:val="000930BE"/>
    <w:rsid w:val="00093395"/>
    <w:rsid w:val="000939A3"/>
    <w:rsid w:val="00093D0E"/>
    <w:rsid w:val="00093D9A"/>
    <w:rsid w:val="00094656"/>
    <w:rsid w:val="00094F32"/>
    <w:rsid w:val="00094F7F"/>
    <w:rsid w:val="00095DED"/>
    <w:rsid w:val="0009626C"/>
    <w:rsid w:val="000969A1"/>
    <w:rsid w:val="00096B52"/>
    <w:rsid w:val="000970D8"/>
    <w:rsid w:val="000971FC"/>
    <w:rsid w:val="00097262"/>
    <w:rsid w:val="00097ABE"/>
    <w:rsid w:val="000A0784"/>
    <w:rsid w:val="000A1091"/>
    <w:rsid w:val="000A10BF"/>
    <w:rsid w:val="000A126F"/>
    <w:rsid w:val="000A14A4"/>
    <w:rsid w:val="000A1739"/>
    <w:rsid w:val="000A1842"/>
    <w:rsid w:val="000A2180"/>
    <w:rsid w:val="000A225E"/>
    <w:rsid w:val="000A25BD"/>
    <w:rsid w:val="000A2ACD"/>
    <w:rsid w:val="000A2B65"/>
    <w:rsid w:val="000A2DA8"/>
    <w:rsid w:val="000A31D1"/>
    <w:rsid w:val="000A434C"/>
    <w:rsid w:val="000A43CC"/>
    <w:rsid w:val="000A440D"/>
    <w:rsid w:val="000A46AD"/>
    <w:rsid w:val="000A512E"/>
    <w:rsid w:val="000A5C47"/>
    <w:rsid w:val="000A629E"/>
    <w:rsid w:val="000A6727"/>
    <w:rsid w:val="000A6B30"/>
    <w:rsid w:val="000A6BBC"/>
    <w:rsid w:val="000A7B85"/>
    <w:rsid w:val="000B05B0"/>
    <w:rsid w:val="000B0B27"/>
    <w:rsid w:val="000B136F"/>
    <w:rsid w:val="000B158D"/>
    <w:rsid w:val="000B210B"/>
    <w:rsid w:val="000B2512"/>
    <w:rsid w:val="000B27A0"/>
    <w:rsid w:val="000B2903"/>
    <w:rsid w:val="000B2A17"/>
    <w:rsid w:val="000B3211"/>
    <w:rsid w:val="000B3330"/>
    <w:rsid w:val="000B428D"/>
    <w:rsid w:val="000B435B"/>
    <w:rsid w:val="000B4E50"/>
    <w:rsid w:val="000B540E"/>
    <w:rsid w:val="000B580C"/>
    <w:rsid w:val="000B5A3F"/>
    <w:rsid w:val="000B6CF0"/>
    <w:rsid w:val="000B707E"/>
    <w:rsid w:val="000B720C"/>
    <w:rsid w:val="000B743D"/>
    <w:rsid w:val="000B7665"/>
    <w:rsid w:val="000C0787"/>
    <w:rsid w:val="000C0907"/>
    <w:rsid w:val="000C098A"/>
    <w:rsid w:val="000C1189"/>
    <w:rsid w:val="000C1884"/>
    <w:rsid w:val="000C1DA5"/>
    <w:rsid w:val="000C215E"/>
    <w:rsid w:val="000C2240"/>
    <w:rsid w:val="000C26DC"/>
    <w:rsid w:val="000C2E42"/>
    <w:rsid w:val="000C2E4B"/>
    <w:rsid w:val="000C34AA"/>
    <w:rsid w:val="000C3BDA"/>
    <w:rsid w:val="000C3CAA"/>
    <w:rsid w:val="000C3CF3"/>
    <w:rsid w:val="000C42B8"/>
    <w:rsid w:val="000C4681"/>
    <w:rsid w:val="000C4866"/>
    <w:rsid w:val="000C4C95"/>
    <w:rsid w:val="000C4D38"/>
    <w:rsid w:val="000C53E6"/>
    <w:rsid w:val="000C590C"/>
    <w:rsid w:val="000C6ADF"/>
    <w:rsid w:val="000C6BD2"/>
    <w:rsid w:val="000C6FA5"/>
    <w:rsid w:val="000C7258"/>
    <w:rsid w:val="000C74D8"/>
    <w:rsid w:val="000C7C46"/>
    <w:rsid w:val="000C7F41"/>
    <w:rsid w:val="000D03A2"/>
    <w:rsid w:val="000D05A1"/>
    <w:rsid w:val="000D0C55"/>
    <w:rsid w:val="000D0E68"/>
    <w:rsid w:val="000D0F6F"/>
    <w:rsid w:val="000D14B3"/>
    <w:rsid w:val="000D1981"/>
    <w:rsid w:val="000D1A25"/>
    <w:rsid w:val="000D1B27"/>
    <w:rsid w:val="000D1B52"/>
    <w:rsid w:val="000D1C20"/>
    <w:rsid w:val="000D285E"/>
    <w:rsid w:val="000D294E"/>
    <w:rsid w:val="000D3E5D"/>
    <w:rsid w:val="000D428F"/>
    <w:rsid w:val="000D43BD"/>
    <w:rsid w:val="000D491A"/>
    <w:rsid w:val="000D4B65"/>
    <w:rsid w:val="000D4C1B"/>
    <w:rsid w:val="000D5317"/>
    <w:rsid w:val="000D5523"/>
    <w:rsid w:val="000D65A4"/>
    <w:rsid w:val="000D769A"/>
    <w:rsid w:val="000E03DC"/>
    <w:rsid w:val="000E070F"/>
    <w:rsid w:val="000E1124"/>
    <w:rsid w:val="000E1182"/>
    <w:rsid w:val="000E129A"/>
    <w:rsid w:val="000E138D"/>
    <w:rsid w:val="000E14BE"/>
    <w:rsid w:val="000E1D6D"/>
    <w:rsid w:val="000E1DEB"/>
    <w:rsid w:val="000E227C"/>
    <w:rsid w:val="000E2ED6"/>
    <w:rsid w:val="000E3075"/>
    <w:rsid w:val="000E30B0"/>
    <w:rsid w:val="000E35A7"/>
    <w:rsid w:val="000E4343"/>
    <w:rsid w:val="000E44CF"/>
    <w:rsid w:val="000E552A"/>
    <w:rsid w:val="000E5531"/>
    <w:rsid w:val="000E559A"/>
    <w:rsid w:val="000E61B0"/>
    <w:rsid w:val="000E6410"/>
    <w:rsid w:val="000E678B"/>
    <w:rsid w:val="000E6A57"/>
    <w:rsid w:val="000E7123"/>
    <w:rsid w:val="000E7206"/>
    <w:rsid w:val="000E7334"/>
    <w:rsid w:val="000E7908"/>
    <w:rsid w:val="000E7D10"/>
    <w:rsid w:val="000F0666"/>
    <w:rsid w:val="000F06D2"/>
    <w:rsid w:val="000F0F4E"/>
    <w:rsid w:val="000F1169"/>
    <w:rsid w:val="000F1CDA"/>
    <w:rsid w:val="000F20D0"/>
    <w:rsid w:val="000F20F2"/>
    <w:rsid w:val="000F22E3"/>
    <w:rsid w:val="000F2670"/>
    <w:rsid w:val="000F2E01"/>
    <w:rsid w:val="000F3235"/>
    <w:rsid w:val="000F32AB"/>
    <w:rsid w:val="000F3AC6"/>
    <w:rsid w:val="000F3C36"/>
    <w:rsid w:val="000F410D"/>
    <w:rsid w:val="000F4458"/>
    <w:rsid w:val="000F4840"/>
    <w:rsid w:val="000F4D2A"/>
    <w:rsid w:val="000F599A"/>
    <w:rsid w:val="000F5A54"/>
    <w:rsid w:val="000F7020"/>
    <w:rsid w:val="000F7458"/>
    <w:rsid w:val="000F757F"/>
    <w:rsid w:val="000F7592"/>
    <w:rsid w:val="000F7987"/>
    <w:rsid w:val="000F7FA7"/>
    <w:rsid w:val="0010051C"/>
    <w:rsid w:val="001008DA"/>
    <w:rsid w:val="00101A8F"/>
    <w:rsid w:val="00102032"/>
    <w:rsid w:val="00103216"/>
    <w:rsid w:val="00103270"/>
    <w:rsid w:val="001039A7"/>
    <w:rsid w:val="00103DCD"/>
    <w:rsid w:val="00103F6B"/>
    <w:rsid w:val="0010448B"/>
    <w:rsid w:val="00104786"/>
    <w:rsid w:val="00104803"/>
    <w:rsid w:val="00104D61"/>
    <w:rsid w:val="0010521F"/>
    <w:rsid w:val="001052E3"/>
    <w:rsid w:val="00105373"/>
    <w:rsid w:val="0010622F"/>
    <w:rsid w:val="0010625A"/>
    <w:rsid w:val="00106624"/>
    <w:rsid w:val="00106834"/>
    <w:rsid w:val="00106F61"/>
    <w:rsid w:val="00107524"/>
    <w:rsid w:val="00107D73"/>
    <w:rsid w:val="00107DCD"/>
    <w:rsid w:val="00107EF0"/>
    <w:rsid w:val="0011069E"/>
    <w:rsid w:val="0011075A"/>
    <w:rsid w:val="00110EFD"/>
    <w:rsid w:val="00111133"/>
    <w:rsid w:val="00111417"/>
    <w:rsid w:val="00112536"/>
    <w:rsid w:val="001129FB"/>
    <w:rsid w:val="00112A2D"/>
    <w:rsid w:val="00112B53"/>
    <w:rsid w:val="00112CB1"/>
    <w:rsid w:val="00113788"/>
    <w:rsid w:val="00113972"/>
    <w:rsid w:val="00113C60"/>
    <w:rsid w:val="00113C83"/>
    <w:rsid w:val="00113FDA"/>
    <w:rsid w:val="00114242"/>
    <w:rsid w:val="00114280"/>
    <w:rsid w:val="00114C3B"/>
    <w:rsid w:val="00115691"/>
    <w:rsid w:val="00116238"/>
    <w:rsid w:val="0011666E"/>
    <w:rsid w:val="001168D2"/>
    <w:rsid w:val="00116BAB"/>
    <w:rsid w:val="00116EAF"/>
    <w:rsid w:val="00117039"/>
    <w:rsid w:val="00117F04"/>
    <w:rsid w:val="00120B89"/>
    <w:rsid w:val="00120BD3"/>
    <w:rsid w:val="00120CF6"/>
    <w:rsid w:val="00120EDF"/>
    <w:rsid w:val="0012197B"/>
    <w:rsid w:val="00121B3E"/>
    <w:rsid w:val="00121E5B"/>
    <w:rsid w:val="00121F0E"/>
    <w:rsid w:val="00121F5E"/>
    <w:rsid w:val="001222A1"/>
    <w:rsid w:val="0012231A"/>
    <w:rsid w:val="0012265B"/>
    <w:rsid w:val="001228A7"/>
    <w:rsid w:val="0012292E"/>
    <w:rsid w:val="00122AE3"/>
    <w:rsid w:val="00122EE1"/>
    <w:rsid w:val="00123337"/>
    <w:rsid w:val="00123436"/>
    <w:rsid w:val="00123658"/>
    <w:rsid w:val="001237AF"/>
    <w:rsid w:val="001238DF"/>
    <w:rsid w:val="00123940"/>
    <w:rsid w:val="00123E11"/>
    <w:rsid w:val="001247EB"/>
    <w:rsid w:val="00124BD1"/>
    <w:rsid w:val="00124C80"/>
    <w:rsid w:val="00124F3C"/>
    <w:rsid w:val="00125399"/>
    <w:rsid w:val="00125B3D"/>
    <w:rsid w:val="00125B61"/>
    <w:rsid w:val="00125F10"/>
    <w:rsid w:val="00126122"/>
    <w:rsid w:val="00126A31"/>
    <w:rsid w:val="00126BF2"/>
    <w:rsid w:val="00126C71"/>
    <w:rsid w:val="00126DEB"/>
    <w:rsid w:val="0012734E"/>
    <w:rsid w:val="00127C16"/>
    <w:rsid w:val="001304BC"/>
    <w:rsid w:val="0013063E"/>
    <w:rsid w:val="00130937"/>
    <w:rsid w:val="00130C84"/>
    <w:rsid w:val="001315C7"/>
    <w:rsid w:val="001316A3"/>
    <w:rsid w:val="001318D8"/>
    <w:rsid w:val="00131984"/>
    <w:rsid w:val="00131A8B"/>
    <w:rsid w:val="00131D45"/>
    <w:rsid w:val="001320F0"/>
    <w:rsid w:val="0013227E"/>
    <w:rsid w:val="00132419"/>
    <w:rsid w:val="001336E0"/>
    <w:rsid w:val="001338E0"/>
    <w:rsid w:val="00133F34"/>
    <w:rsid w:val="00133FD1"/>
    <w:rsid w:val="00135273"/>
    <w:rsid w:val="00135B9E"/>
    <w:rsid w:val="00135EED"/>
    <w:rsid w:val="00135FC9"/>
    <w:rsid w:val="0013623F"/>
    <w:rsid w:val="001362EC"/>
    <w:rsid w:val="0013698C"/>
    <w:rsid w:val="00136A48"/>
    <w:rsid w:val="00136CAE"/>
    <w:rsid w:val="001372F5"/>
    <w:rsid w:val="00137A62"/>
    <w:rsid w:val="00137CA1"/>
    <w:rsid w:val="00137E7A"/>
    <w:rsid w:val="00137F04"/>
    <w:rsid w:val="00140259"/>
    <w:rsid w:val="0014043C"/>
    <w:rsid w:val="00140B46"/>
    <w:rsid w:val="001411B8"/>
    <w:rsid w:val="00141744"/>
    <w:rsid w:val="00141CF7"/>
    <w:rsid w:val="0014238B"/>
    <w:rsid w:val="00142797"/>
    <w:rsid w:val="001428D5"/>
    <w:rsid w:val="00142FAD"/>
    <w:rsid w:val="00143478"/>
    <w:rsid w:val="00143F2F"/>
    <w:rsid w:val="00143FFC"/>
    <w:rsid w:val="0014564B"/>
    <w:rsid w:val="001457A0"/>
    <w:rsid w:val="001464B1"/>
    <w:rsid w:val="00146624"/>
    <w:rsid w:val="001469FB"/>
    <w:rsid w:val="00146D97"/>
    <w:rsid w:val="0014798A"/>
    <w:rsid w:val="001500C1"/>
    <w:rsid w:val="00150376"/>
    <w:rsid w:val="00150803"/>
    <w:rsid w:val="00150BC0"/>
    <w:rsid w:val="0015131B"/>
    <w:rsid w:val="00151555"/>
    <w:rsid w:val="0015161E"/>
    <w:rsid w:val="00151BC1"/>
    <w:rsid w:val="00151DBD"/>
    <w:rsid w:val="00152060"/>
    <w:rsid w:val="00152161"/>
    <w:rsid w:val="001521A3"/>
    <w:rsid w:val="001521DB"/>
    <w:rsid w:val="001531D6"/>
    <w:rsid w:val="001537D0"/>
    <w:rsid w:val="00153D9C"/>
    <w:rsid w:val="00153E75"/>
    <w:rsid w:val="001551F7"/>
    <w:rsid w:val="00155434"/>
    <w:rsid w:val="00155BDA"/>
    <w:rsid w:val="00155FB6"/>
    <w:rsid w:val="001561FB"/>
    <w:rsid w:val="0015650F"/>
    <w:rsid w:val="00156C71"/>
    <w:rsid w:val="00156FA7"/>
    <w:rsid w:val="001576FE"/>
    <w:rsid w:val="001577FD"/>
    <w:rsid w:val="00157CE4"/>
    <w:rsid w:val="0016023A"/>
    <w:rsid w:val="00161A79"/>
    <w:rsid w:val="00162138"/>
    <w:rsid w:val="0016217A"/>
    <w:rsid w:val="001623A8"/>
    <w:rsid w:val="0016241B"/>
    <w:rsid w:val="00162BB2"/>
    <w:rsid w:val="00162DBF"/>
    <w:rsid w:val="001636DA"/>
    <w:rsid w:val="00163868"/>
    <w:rsid w:val="0016421C"/>
    <w:rsid w:val="0016453D"/>
    <w:rsid w:val="00164820"/>
    <w:rsid w:val="00164B65"/>
    <w:rsid w:val="00164CF8"/>
    <w:rsid w:val="00165249"/>
    <w:rsid w:val="001653AE"/>
    <w:rsid w:val="00165799"/>
    <w:rsid w:val="00166061"/>
    <w:rsid w:val="001664A8"/>
    <w:rsid w:val="00166E17"/>
    <w:rsid w:val="00167D8C"/>
    <w:rsid w:val="00170B82"/>
    <w:rsid w:val="00170D5B"/>
    <w:rsid w:val="00170F32"/>
    <w:rsid w:val="00171430"/>
    <w:rsid w:val="00171DDF"/>
    <w:rsid w:val="0017211C"/>
    <w:rsid w:val="00172B24"/>
    <w:rsid w:val="00172B8F"/>
    <w:rsid w:val="00172C35"/>
    <w:rsid w:val="00172FE2"/>
    <w:rsid w:val="00173017"/>
    <w:rsid w:val="00173112"/>
    <w:rsid w:val="0017321B"/>
    <w:rsid w:val="001736F8"/>
    <w:rsid w:val="00173C1D"/>
    <w:rsid w:val="00173D85"/>
    <w:rsid w:val="00174A83"/>
    <w:rsid w:val="00174FD4"/>
    <w:rsid w:val="0017519D"/>
    <w:rsid w:val="001759B4"/>
    <w:rsid w:val="001768D4"/>
    <w:rsid w:val="001769D2"/>
    <w:rsid w:val="00176C5D"/>
    <w:rsid w:val="00177964"/>
    <w:rsid w:val="001800D4"/>
    <w:rsid w:val="00180391"/>
    <w:rsid w:val="00180997"/>
    <w:rsid w:val="00180DE5"/>
    <w:rsid w:val="00181CFC"/>
    <w:rsid w:val="00183761"/>
    <w:rsid w:val="00184894"/>
    <w:rsid w:val="00184997"/>
    <w:rsid w:val="00184BAE"/>
    <w:rsid w:val="00184C23"/>
    <w:rsid w:val="00185DDA"/>
    <w:rsid w:val="001860E8"/>
    <w:rsid w:val="00186257"/>
    <w:rsid w:val="00186775"/>
    <w:rsid w:val="001868C7"/>
    <w:rsid w:val="001868DF"/>
    <w:rsid w:val="001868F6"/>
    <w:rsid w:val="00186908"/>
    <w:rsid w:val="00187E53"/>
    <w:rsid w:val="001902E6"/>
    <w:rsid w:val="00190825"/>
    <w:rsid w:val="00191180"/>
    <w:rsid w:val="0019130F"/>
    <w:rsid w:val="00191A41"/>
    <w:rsid w:val="0019266A"/>
    <w:rsid w:val="00192B11"/>
    <w:rsid w:val="00192CD8"/>
    <w:rsid w:val="00193573"/>
    <w:rsid w:val="0019362A"/>
    <w:rsid w:val="0019366A"/>
    <w:rsid w:val="0019394C"/>
    <w:rsid w:val="00194425"/>
    <w:rsid w:val="00194533"/>
    <w:rsid w:val="0019474E"/>
    <w:rsid w:val="0019497A"/>
    <w:rsid w:val="00194B00"/>
    <w:rsid w:val="001951BB"/>
    <w:rsid w:val="00195221"/>
    <w:rsid w:val="0019524D"/>
    <w:rsid w:val="001955EC"/>
    <w:rsid w:val="00195728"/>
    <w:rsid w:val="00195823"/>
    <w:rsid w:val="001963B3"/>
    <w:rsid w:val="0019701A"/>
    <w:rsid w:val="001970C0"/>
    <w:rsid w:val="00197366"/>
    <w:rsid w:val="00197437"/>
    <w:rsid w:val="001978F4"/>
    <w:rsid w:val="00197A84"/>
    <w:rsid w:val="00197AE1"/>
    <w:rsid w:val="001A02C5"/>
    <w:rsid w:val="001A037F"/>
    <w:rsid w:val="001A09CA"/>
    <w:rsid w:val="001A0A6E"/>
    <w:rsid w:val="001A1253"/>
    <w:rsid w:val="001A1321"/>
    <w:rsid w:val="001A148A"/>
    <w:rsid w:val="001A1C3C"/>
    <w:rsid w:val="001A1CB7"/>
    <w:rsid w:val="001A21D2"/>
    <w:rsid w:val="001A356E"/>
    <w:rsid w:val="001A3B27"/>
    <w:rsid w:val="001A420B"/>
    <w:rsid w:val="001A433B"/>
    <w:rsid w:val="001A4B46"/>
    <w:rsid w:val="001A4B97"/>
    <w:rsid w:val="001A4F7D"/>
    <w:rsid w:val="001A5C80"/>
    <w:rsid w:val="001A6A93"/>
    <w:rsid w:val="001A6D2F"/>
    <w:rsid w:val="001A7695"/>
    <w:rsid w:val="001A7B42"/>
    <w:rsid w:val="001A7D8F"/>
    <w:rsid w:val="001B0781"/>
    <w:rsid w:val="001B0D0D"/>
    <w:rsid w:val="001B0F1E"/>
    <w:rsid w:val="001B13D3"/>
    <w:rsid w:val="001B1696"/>
    <w:rsid w:val="001B1FB8"/>
    <w:rsid w:val="001B2345"/>
    <w:rsid w:val="001B2A97"/>
    <w:rsid w:val="001B2CD4"/>
    <w:rsid w:val="001B3012"/>
    <w:rsid w:val="001B50C4"/>
    <w:rsid w:val="001B6192"/>
    <w:rsid w:val="001B6311"/>
    <w:rsid w:val="001B6CE0"/>
    <w:rsid w:val="001B70E1"/>
    <w:rsid w:val="001B7329"/>
    <w:rsid w:val="001B73AA"/>
    <w:rsid w:val="001B7613"/>
    <w:rsid w:val="001C00BA"/>
    <w:rsid w:val="001C0479"/>
    <w:rsid w:val="001C0834"/>
    <w:rsid w:val="001C0E39"/>
    <w:rsid w:val="001C10AB"/>
    <w:rsid w:val="001C174A"/>
    <w:rsid w:val="001C1D05"/>
    <w:rsid w:val="001C2063"/>
    <w:rsid w:val="001C296A"/>
    <w:rsid w:val="001C2A10"/>
    <w:rsid w:val="001C2A48"/>
    <w:rsid w:val="001C2D46"/>
    <w:rsid w:val="001C3457"/>
    <w:rsid w:val="001C350D"/>
    <w:rsid w:val="001C3674"/>
    <w:rsid w:val="001C3845"/>
    <w:rsid w:val="001C429D"/>
    <w:rsid w:val="001C4473"/>
    <w:rsid w:val="001C4829"/>
    <w:rsid w:val="001C4841"/>
    <w:rsid w:val="001C5308"/>
    <w:rsid w:val="001C5915"/>
    <w:rsid w:val="001C5AEE"/>
    <w:rsid w:val="001C5BAA"/>
    <w:rsid w:val="001C687A"/>
    <w:rsid w:val="001C69CB"/>
    <w:rsid w:val="001C69E3"/>
    <w:rsid w:val="001C6DFD"/>
    <w:rsid w:val="001C7154"/>
    <w:rsid w:val="001C7EB5"/>
    <w:rsid w:val="001D0300"/>
    <w:rsid w:val="001D04FA"/>
    <w:rsid w:val="001D09E6"/>
    <w:rsid w:val="001D0DD2"/>
    <w:rsid w:val="001D1281"/>
    <w:rsid w:val="001D18CE"/>
    <w:rsid w:val="001D1975"/>
    <w:rsid w:val="001D1B55"/>
    <w:rsid w:val="001D20E1"/>
    <w:rsid w:val="001D2158"/>
    <w:rsid w:val="001D2915"/>
    <w:rsid w:val="001D2B45"/>
    <w:rsid w:val="001D2D4C"/>
    <w:rsid w:val="001D32C0"/>
    <w:rsid w:val="001D3738"/>
    <w:rsid w:val="001D3A64"/>
    <w:rsid w:val="001D46C1"/>
    <w:rsid w:val="001D4D4E"/>
    <w:rsid w:val="001D51DC"/>
    <w:rsid w:val="001D5398"/>
    <w:rsid w:val="001D5460"/>
    <w:rsid w:val="001D54D4"/>
    <w:rsid w:val="001D5793"/>
    <w:rsid w:val="001D59F7"/>
    <w:rsid w:val="001D5A5B"/>
    <w:rsid w:val="001D6501"/>
    <w:rsid w:val="001D650E"/>
    <w:rsid w:val="001D6A29"/>
    <w:rsid w:val="001D74A7"/>
    <w:rsid w:val="001D76ED"/>
    <w:rsid w:val="001D7BAE"/>
    <w:rsid w:val="001E0354"/>
    <w:rsid w:val="001E098E"/>
    <w:rsid w:val="001E0BA2"/>
    <w:rsid w:val="001E0CA5"/>
    <w:rsid w:val="001E0EA7"/>
    <w:rsid w:val="001E0F83"/>
    <w:rsid w:val="001E15F2"/>
    <w:rsid w:val="001E1C7E"/>
    <w:rsid w:val="001E22F7"/>
    <w:rsid w:val="001E27E2"/>
    <w:rsid w:val="001E28F4"/>
    <w:rsid w:val="001E296B"/>
    <w:rsid w:val="001E3986"/>
    <w:rsid w:val="001E3AAE"/>
    <w:rsid w:val="001E3CC1"/>
    <w:rsid w:val="001E3E40"/>
    <w:rsid w:val="001E465F"/>
    <w:rsid w:val="001E522B"/>
    <w:rsid w:val="001E53CF"/>
    <w:rsid w:val="001E5C68"/>
    <w:rsid w:val="001E61F2"/>
    <w:rsid w:val="001E6571"/>
    <w:rsid w:val="001E679B"/>
    <w:rsid w:val="001E689E"/>
    <w:rsid w:val="001F00F7"/>
    <w:rsid w:val="001F071C"/>
    <w:rsid w:val="001F0B98"/>
    <w:rsid w:val="001F1515"/>
    <w:rsid w:val="001F1772"/>
    <w:rsid w:val="001F187C"/>
    <w:rsid w:val="001F2902"/>
    <w:rsid w:val="001F2986"/>
    <w:rsid w:val="001F2AA7"/>
    <w:rsid w:val="001F336B"/>
    <w:rsid w:val="001F3D09"/>
    <w:rsid w:val="001F3DE4"/>
    <w:rsid w:val="001F3F36"/>
    <w:rsid w:val="001F3F69"/>
    <w:rsid w:val="001F4577"/>
    <w:rsid w:val="001F457D"/>
    <w:rsid w:val="001F45F0"/>
    <w:rsid w:val="001F5339"/>
    <w:rsid w:val="001F5996"/>
    <w:rsid w:val="001F5B2E"/>
    <w:rsid w:val="001F5E56"/>
    <w:rsid w:val="001F5E76"/>
    <w:rsid w:val="001F658C"/>
    <w:rsid w:val="001F675C"/>
    <w:rsid w:val="001F69BC"/>
    <w:rsid w:val="001F6C66"/>
    <w:rsid w:val="001F6CFC"/>
    <w:rsid w:val="001F6F44"/>
    <w:rsid w:val="001F6F53"/>
    <w:rsid w:val="001F70DC"/>
    <w:rsid w:val="001F7563"/>
    <w:rsid w:val="001F764F"/>
    <w:rsid w:val="001F781F"/>
    <w:rsid w:val="001F798D"/>
    <w:rsid w:val="001F79F4"/>
    <w:rsid w:val="002000FD"/>
    <w:rsid w:val="002003BB"/>
    <w:rsid w:val="00201623"/>
    <w:rsid w:val="0020189F"/>
    <w:rsid w:val="002019F6"/>
    <w:rsid w:val="00201BA8"/>
    <w:rsid w:val="002021FB"/>
    <w:rsid w:val="00202CF0"/>
    <w:rsid w:val="00202D11"/>
    <w:rsid w:val="00202FDF"/>
    <w:rsid w:val="00203420"/>
    <w:rsid w:val="002038FF"/>
    <w:rsid w:val="0020398C"/>
    <w:rsid w:val="00203C05"/>
    <w:rsid w:val="00205942"/>
    <w:rsid w:val="00205A3C"/>
    <w:rsid w:val="0020618D"/>
    <w:rsid w:val="00207358"/>
    <w:rsid w:val="0020770C"/>
    <w:rsid w:val="00207BF0"/>
    <w:rsid w:val="00207F59"/>
    <w:rsid w:val="0021028B"/>
    <w:rsid w:val="002103C4"/>
    <w:rsid w:val="0021042F"/>
    <w:rsid w:val="0021054A"/>
    <w:rsid w:val="00211DC3"/>
    <w:rsid w:val="00212396"/>
    <w:rsid w:val="002137B2"/>
    <w:rsid w:val="00213C1B"/>
    <w:rsid w:val="00213D40"/>
    <w:rsid w:val="0021465D"/>
    <w:rsid w:val="002148F8"/>
    <w:rsid w:val="00214B6E"/>
    <w:rsid w:val="00214D53"/>
    <w:rsid w:val="00215375"/>
    <w:rsid w:val="002155B6"/>
    <w:rsid w:val="002157E4"/>
    <w:rsid w:val="00215939"/>
    <w:rsid w:val="00215AFB"/>
    <w:rsid w:val="00215C33"/>
    <w:rsid w:val="00215DEA"/>
    <w:rsid w:val="00215EFC"/>
    <w:rsid w:val="00215F18"/>
    <w:rsid w:val="002161ED"/>
    <w:rsid w:val="002169A8"/>
    <w:rsid w:val="0021753C"/>
    <w:rsid w:val="002176DA"/>
    <w:rsid w:val="002176FB"/>
    <w:rsid w:val="00217C3C"/>
    <w:rsid w:val="002200D8"/>
    <w:rsid w:val="00220378"/>
    <w:rsid w:val="0022094F"/>
    <w:rsid w:val="00221348"/>
    <w:rsid w:val="00221DAF"/>
    <w:rsid w:val="0022203A"/>
    <w:rsid w:val="00222B42"/>
    <w:rsid w:val="00222E00"/>
    <w:rsid w:val="00222EC6"/>
    <w:rsid w:val="00223664"/>
    <w:rsid w:val="002236C3"/>
    <w:rsid w:val="0022370B"/>
    <w:rsid w:val="00223A56"/>
    <w:rsid w:val="00223AE6"/>
    <w:rsid w:val="00223FB5"/>
    <w:rsid w:val="0022426E"/>
    <w:rsid w:val="0022446D"/>
    <w:rsid w:val="00224878"/>
    <w:rsid w:val="00224966"/>
    <w:rsid w:val="00224F32"/>
    <w:rsid w:val="002251B1"/>
    <w:rsid w:val="002254FA"/>
    <w:rsid w:val="00225769"/>
    <w:rsid w:val="00225833"/>
    <w:rsid w:val="002258AD"/>
    <w:rsid w:val="0022598A"/>
    <w:rsid w:val="002259BF"/>
    <w:rsid w:val="00225D0A"/>
    <w:rsid w:val="00225D37"/>
    <w:rsid w:val="00225E10"/>
    <w:rsid w:val="00225EDD"/>
    <w:rsid w:val="00226095"/>
    <w:rsid w:val="00226916"/>
    <w:rsid w:val="00227B89"/>
    <w:rsid w:val="00227F43"/>
    <w:rsid w:val="00230686"/>
    <w:rsid w:val="00231430"/>
    <w:rsid w:val="00231913"/>
    <w:rsid w:val="00232092"/>
    <w:rsid w:val="0023222A"/>
    <w:rsid w:val="0023253D"/>
    <w:rsid w:val="00232862"/>
    <w:rsid w:val="00233211"/>
    <w:rsid w:val="00233AAD"/>
    <w:rsid w:val="00234249"/>
    <w:rsid w:val="00234640"/>
    <w:rsid w:val="0023494B"/>
    <w:rsid w:val="00234EA6"/>
    <w:rsid w:val="00236098"/>
    <w:rsid w:val="002360E2"/>
    <w:rsid w:val="00236262"/>
    <w:rsid w:val="00237204"/>
    <w:rsid w:val="00237FB2"/>
    <w:rsid w:val="0024002F"/>
    <w:rsid w:val="00240106"/>
    <w:rsid w:val="00240309"/>
    <w:rsid w:val="00240FC1"/>
    <w:rsid w:val="002411C7"/>
    <w:rsid w:val="002416AC"/>
    <w:rsid w:val="002417B4"/>
    <w:rsid w:val="002418A3"/>
    <w:rsid w:val="00241978"/>
    <w:rsid w:val="00242F4E"/>
    <w:rsid w:val="0024363E"/>
    <w:rsid w:val="00243732"/>
    <w:rsid w:val="00244391"/>
    <w:rsid w:val="0024459A"/>
    <w:rsid w:val="00244FB2"/>
    <w:rsid w:val="002452A0"/>
    <w:rsid w:val="00245533"/>
    <w:rsid w:val="00245A51"/>
    <w:rsid w:val="002460DA"/>
    <w:rsid w:val="002463A6"/>
    <w:rsid w:val="00246ADB"/>
    <w:rsid w:val="00247131"/>
    <w:rsid w:val="002474B1"/>
    <w:rsid w:val="00247506"/>
    <w:rsid w:val="00247BFD"/>
    <w:rsid w:val="00247ED5"/>
    <w:rsid w:val="0025034F"/>
    <w:rsid w:val="002503ED"/>
    <w:rsid w:val="00250438"/>
    <w:rsid w:val="00250656"/>
    <w:rsid w:val="002512FB"/>
    <w:rsid w:val="002513CB"/>
    <w:rsid w:val="002516F2"/>
    <w:rsid w:val="002517A5"/>
    <w:rsid w:val="002518DD"/>
    <w:rsid w:val="0025190F"/>
    <w:rsid w:val="00251F6C"/>
    <w:rsid w:val="0025249C"/>
    <w:rsid w:val="00252888"/>
    <w:rsid w:val="00253171"/>
    <w:rsid w:val="002535C9"/>
    <w:rsid w:val="002539ED"/>
    <w:rsid w:val="00253C8D"/>
    <w:rsid w:val="00254353"/>
    <w:rsid w:val="0025440D"/>
    <w:rsid w:val="0025449B"/>
    <w:rsid w:val="0025450E"/>
    <w:rsid w:val="00254636"/>
    <w:rsid w:val="00254658"/>
    <w:rsid w:val="00254734"/>
    <w:rsid w:val="002549FD"/>
    <w:rsid w:val="00254CC5"/>
    <w:rsid w:val="00255152"/>
    <w:rsid w:val="002553FF"/>
    <w:rsid w:val="0025554E"/>
    <w:rsid w:val="00255736"/>
    <w:rsid w:val="00255C7E"/>
    <w:rsid w:val="00255DEE"/>
    <w:rsid w:val="0025607E"/>
    <w:rsid w:val="00256598"/>
    <w:rsid w:val="00256BCF"/>
    <w:rsid w:val="00256D58"/>
    <w:rsid w:val="00257656"/>
    <w:rsid w:val="00257669"/>
    <w:rsid w:val="00257B01"/>
    <w:rsid w:val="00257CD7"/>
    <w:rsid w:val="00257E86"/>
    <w:rsid w:val="002604E0"/>
    <w:rsid w:val="002604E8"/>
    <w:rsid w:val="00260547"/>
    <w:rsid w:val="002605AA"/>
    <w:rsid w:val="0026151B"/>
    <w:rsid w:val="002615D2"/>
    <w:rsid w:val="00261689"/>
    <w:rsid w:val="0026181C"/>
    <w:rsid w:val="002622F8"/>
    <w:rsid w:val="00262894"/>
    <w:rsid w:val="00262ACD"/>
    <w:rsid w:val="00262C27"/>
    <w:rsid w:val="00262ECD"/>
    <w:rsid w:val="002635D1"/>
    <w:rsid w:val="0026382E"/>
    <w:rsid w:val="002638F4"/>
    <w:rsid w:val="00263952"/>
    <w:rsid w:val="00264299"/>
    <w:rsid w:val="00264448"/>
    <w:rsid w:val="00265020"/>
    <w:rsid w:val="002650DF"/>
    <w:rsid w:val="00265CC3"/>
    <w:rsid w:val="0026633E"/>
    <w:rsid w:val="00266C32"/>
    <w:rsid w:val="00266CC6"/>
    <w:rsid w:val="00267911"/>
    <w:rsid w:val="00267FDC"/>
    <w:rsid w:val="002701DE"/>
    <w:rsid w:val="002701FD"/>
    <w:rsid w:val="00270A1C"/>
    <w:rsid w:val="00270DDB"/>
    <w:rsid w:val="0027134C"/>
    <w:rsid w:val="0027160C"/>
    <w:rsid w:val="00271647"/>
    <w:rsid w:val="00271992"/>
    <w:rsid w:val="00271BA2"/>
    <w:rsid w:val="002728D0"/>
    <w:rsid w:val="00272F74"/>
    <w:rsid w:val="002735D0"/>
    <w:rsid w:val="002735E4"/>
    <w:rsid w:val="002737DA"/>
    <w:rsid w:val="00273B8F"/>
    <w:rsid w:val="00274946"/>
    <w:rsid w:val="00274E35"/>
    <w:rsid w:val="002751D1"/>
    <w:rsid w:val="00275209"/>
    <w:rsid w:val="00275392"/>
    <w:rsid w:val="002757F0"/>
    <w:rsid w:val="00275907"/>
    <w:rsid w:val="00276282"/>
    <w:rsid w:val="00276480"/>
    <w:rsid w:val="002768E4"/>
    <w:rsid w:val="00277411"/>
    <w:rsid w:val="002774A3"/>
    <w:rsid w:val="00277886"/>
    <w:rsid w:val="00277A68"/>
    <w:rsid w:val="00277E44"/>
    <w:rsid w:val="00277F26"/>
    <w:rsid w:val="00280676"/>
    <w:rsid w:val="002806ED"/>
    <w:rsid w:val="0028091F"/>
    <w:rsid w:val="00280982"/>
    <w:rsid w:val="00280CCE"/>
    <w:rsid w:val="00280DB7"/>
    <w:rsid w:val="00280FF5"/>
    <w:rsid w:val="00281312"/>
    <w:rsid w:val="002819CD"/>
    <w:rsid w:val="00282E63"/>
    <w:rsid w:val="0028301C"/>
    <w:rsid w:val="00283589"/>
    <w:rsid w:val="00283A99"/>
    <w:rsid w:val="00283C1D"/>
    <w:rsid w:val="00283F35"/>
    <w:rsid w:val="00283FCE"/>
    <w:rsid w:val="00284271"/>
    <w:rsid w:val="00284340"/>
    <w:rsid w:val="00284AB1"/>
    <w:rsid w:val="00284BDB"/>
    <w:rsid w:val="00286080"/>
    <w:rsid w:val="00287E78"/>
    <w:rsid w:val="00290148"/>
    <w:rsid w:val="0029026D"/>
    <w:rsid w:val="00290676"/>
    <w:rsid w:val="002909CE"/>
    <w:rsid w:val="00290ADA"/>
    <w:rsid w:val="002913AD"/>
    <w:rsid w:val="00291462"/>
    <w:rsid w:val="00291572"/>
    <w:rsid w:val="00291907"/>
    <w:rsid w:val="002930AD"/>
    <w:rsid w:val="00293AB7"/>
    <w:rsid w:val="002942A0"/>
    <w:rsid w:val="00294582"/>
    <w:rsid w:val="00294647"/>
    <w:rsid w:val="00294828"/>
    <w:rsid w:val="0029521E"/>
    <w:rsid w:val="0029539A"/>
    <w:rsid w:val="00295516"/>
    <w:rsid w:val="002957ED"/>
    <w:rsid w:val="00295A6B"/>
    <w:rsid w:val="00295A92"/>
    <w:rsid w:val="00295C78"/>
    <w:rsid w:val="00295D85"/>
    <w:rsid w:val="002960E1"/>
    <w:rsid w:val="00296528"/>
    <w:rsid w:val="002A04B4"/>
    <w:rsid w:val="002A0A20"/>
    <w:rsid w:val="002A0BD7"/>
    <w:rsid w:val="002A0BE1"/>
    <w:rsid w:val="002A145B"/>
    <w:rsid w:val="002A1887"/>
    <w:rsid w:val="002A18BE"/>
    <w:rsid w:val="002A2732"/>
    <w:rsid w:val="002A36F6"/>
    <w:rsid w:val="002A3D9B"/>
    <w:rsid w:val="002A3FF9"/>
    <w:rsid w:val="002A4084"/>
    <w:rsid w:val="002A4AD6"/>
    <w:rsid w:val="002A4B23"/>
    <w:rsid w:val="002A55CE"/>
    <w:rsid w:val="002A5B92"/>
    <w:rsid w:val="002A5C5F"/>
    <w:rsid w:val="002A5D05"/>
    <w:rsid w:val="002A6430"/>
    <w:rsid w:val="002A7196"/>
    <w:rsid w:val="002A72CC"/>
    <w:rsid w:val="002A76AE"/>
    <w:rsid w:val="002A7A54"/>
    <w:rsid w:val="002A7B23"/>
    <w:rsid w:val="002B0163"/>
    <w:rsid w:val="002B0934"/>
    <w:rsid w:val="002B09B4"/>
    <w:rsid w:val="002B09E3"/>
    <w:rsid w:val="002B0E24"/>
    <w:rsid w:val="002B0EEE"/>
    <w:rsid w:val="002B1384"/>
    <w:rsid w:val="002B2331"/>
    <w:rsid w:val="002B23A8"/>
    <w:rsid w:val="002B2443"/>
    <w:rsid w:val="002B252E"/>
    <w:rsid w:val="002B2568"/>
    <w:rsid w:val="002B2633"/>
    <w:rsid w:val="002B289A"/>
    <w:rsid w:val="002B2AA0"/>
    <w:rsid w:val="002B2C2F"/>
    <w:rsid w:val="002B3168"/>
    <w:rsid w:val="002B3178"/>
    <w:rsid w:val="002B331D"/>
    <w:rsid w:val="002B3569"/>
    <w:rsid w:val="002B3681"/>
    <w:rsid w:val="002B4432"/>
    <w:rsid w:val="002B4438"/>
    <w:rsid w:val="002B4B63"/>
    <w:rsid w:val="002B4E92"/>
    <w:rsid w:val="002B4F0C"/>
    <w:rsid w:val="002B5F2D"/>
    <w:rsid w:val="002B667C"/>
    <w:rsid w:val="002B6690"/>
    <w:rsid w:val="002B70C7"/>
    <w:rsid w:val="002B71DA"/>
    <w:rsid w:val="002B7265"/>
    <w:rsid w:val="002B7740"/>
    <w:rsid w:val="002B7B6A"/>
    <w:rsid w:val="002C0024"/>
    <w:rsid w:val="002C07DB"/>
    <w:rsid w:val="002C0959"/>
    <w:rsid w:val="002C0D7E"/>
    <w:rsid w:val="002C11CA"/>
    <w:rsid w:val="002C1204"/>
    <w:rsid w:val="002C197A"/>
    <w:rsid w:val="002C1E39"/>
    <w:rsid w:val="002C1E72"/>
    <w:rsid w:val="002C1ED5"/>
    <w:rsid w:val="002C2B37"/>
    <w:rsid w:val="002C2C5E"/>
    <w:rsid w:val="002C2D4C"/>
    <w:rsid w:val="002C3570"/>
    <w:rsid w:val="002C3B5D"/>
    <w:rsid w:val="002C3C39"/>
    <w:rsid w:val="002C3C98"/>
    <w:rsid w:val="002C3CF7"/>
    <w:rsid w:val="002C3F7E"/>
    <w:rsid w:val="002C411A"/>
    <w:rsid w:val="002C45E8"/>
    <w:rsid w:val="002C480D"/>
    <w:rsid w:val="002C4C83"/>
    <w:rsid w:val="002C4EE7"/>
    <w:rsid w:val="002C4F93"/>
    <w:rsid w:val="002C5019"/>
    <w:rsid w:val="002C6255"/>
    <w:rsid w:val="002C633A"/>
    <w:rsid w:val="002C70CE"/>
    <w:rsid w:val="002C7B11"/>
    <w:rsid w:val="002D02D9"/>
    <w:rsid w:val="002D1084"/>
    <w:rsid w:val="002D1BF5"/>
    <w:rsid w:val="002D1F56"/>
    <w:rsid w:val="002D24E7"/>
    <w:rsid w:val="002D25BA"/>
    <w:rsid w:val="002D2CC6"/>
    <w:rsid w:val="002D3818"/>
    <w:rsid w:val="002D4AD2"/>
    <w:rsid w:val="002D4EE7"/>
    <w:rsid w:val="002D4F2D"/>
    <w:rsid w:val="002D5097"/>
    <w:rsid w:val="002D55E4"/>
    <w:rsid w:val="002D5710"/>
    <w:rsid w:val="002D5847"/>
    <w:rsid w:val="002D5B8E"/>
    <w:rsid w:val="002D690D"/>
    <w:rsid w:val="002D6FC0"/>
    <w:rsid w:val="002D73F5"/>
    <w:rsid w:val="002D7663"/>
    <w:rsid w:val="002D7DC2"/>
    <w:rsid w:val="002D7EE3"/>
    <w:rsid w:val="002D7FCB"/>
    <w:rsid w:val="002E0046"/>
    <w:rsid w:val="002E01D4"/>
    <w:rsid w:val="002E18C1"/>
    <w:rsid w:val="002E19D7"/>
    <w:rsid w:val="002E1DFA"/>
    <w:rsid w:val="002E2426"/>
    <w:rsid w:val="002E2E12"/>
    <w:rsid w:val="002E3A07"/>
    <w:rsid w:val="002E3D4A"/>
    <w:rsid w:val="002E3E54"/>
    <w:rsid w:val="002E450A"/>
    <w:rsid w:val="002E4FFC"/>
    <w:rsid w:val="002E5439"/>
    <w:rsid w:val="002E55B9"/>
    <w:rsid w:val="002E55E9"/>
    <w:rsid w:val="002E58E6"/>
    <w:rsid w:val="002E63BE"/>
    <w:rsid w:val="002E63ED"/>
    <w:rsid w:val="002E695F"/>
    <w:rsid w:val="002E6B02"/>
    <w:rsid w:val="002E6E85"/>
    <w:rsid w:val="002E7775"/>
    <w:rsid w:val="002E7AD2"/>
    <w:rsid w:val="002E7E1A"/>
    <w:rsid w:val="002F0234"/>
    <w:rsid w:val="002F075B"/>
    <w:rsid w:val="002F08E2"/>
    <w:rsid w:val="002F098E"/>
    <w:rsid w:val="002F09B8"/>
    <w:rsid w:val="002F0F50"/>
    <w:rsid w:val="002F1399"/>
    <w:rsid w:val="002F15DA"/>
    <w:rsid w:val="002F19DA"/>
    <w:rsid w:val="002F234B"/>
    <w:rsid w:val="002F2768"/>
    <w:rsid w:val="002F2B2E"/>
    <w:rsid w:val="002F2E65"/>
    <w:rsid w:val="002F2EF9"/>
    <w:rsid w:val="002F31B9"/>
    <w:rsid w:val="002F32FB"/>
    <w:rsid w:val="002F3510"/>
    <w:rsid w:val="002F3A4F"/>
    <w:rsid w:val="002F4621"/>
    <w:rsid w:val="002F46F5"/>
    <w:rsid w:val="002F4BD8"/>
    <w:rsid w:val="002F4E68"/>
    <w:rsid w:val="002F5611"/>
    <w:rsid w:val="002F5F5E"/>
    <w:rsid w:val="002F5F85"/>
    <w:rsid w:val="002F615D"/>
    <w:rsid w:val="002F62D6"/>
    <w:rsid w:val="002F64BB"/>
    <w:rsid w:val="002F6643"/>
    <w:rsid w:val="002F693F"/>
    <w:rsid w:val="002F6B8B"/>
    <w:rsid w:val="002F72A8"/>
    <w:rsid w:val="002F735A"/>
    <w:rsid w:val="002F7ABD"/>
    <w:rsid w:val="002F7C8B"/>
    <w:rsid w:val="002F7EE6"/>
    <w:rsid w:val="003003F6"/>
    <w:rsid w:val="00300533"/>
    <w:rsid w:val="003008CC"/>
    <w:rsid w:val="00301076"/>
    <w:rsid w:val="0030134C"/>
    <w:rsid w:val="00301763"/>
    <w:rsid w:val="00302252"/>
    <w:rsid w:val="00303435"/>
    <w:rsid w:val="00303C60"/>
    <w:rsid w:val="00303F97"/>
    <w:rsid w:val="003041F0"/>
    <w:rsid w:val="00304FB8"/>
    <w:rsid w:val="00305155"/>
    <w:rsid w:val="00305369"/>
    <w:rsid w:val="00305509"/>
    <w:rsid w:val="00305AB5"/>
    <w:rsid w:val="00305B0A"/>
    <w:rsid w:val="003066B9"/>
    <w:rsid w:val="003067A2"/>
    <w:rsid w:val="0030690B"/>
    <w:rsid w:val="00307024"/>
    <w:rsid w:val="00307150"/>
    <w:rsid w:val="003071D2"/>
    <w:rsid w:val="00307299"/>
    <w:rsid w:val="003074B6"/>
    <w:rsid w:val="0031046F"/>
    <w:rsid w:val="0031087A"/>
    <w:rsid w:val="00310B54"/>
    <w:rsid w:val="00310B9B"/>
    <w:rsid w:val="00310BFD"/>
    <w:rsid w:val="00310C3F"/>
    <w:rsid w:val="00311180"/>
    <w:rsid w:val="00311565"/>
    <w:rsid w:val="0031182F"/>
    <w:rsid w:val="00311987"/>
    <w:rsid w:val="00311D37"/>
    <w:rsid w:val="0031297B"/>
    <w:rsid w:val="003129EF"/>
    <w:rsid w:val="00312E7F"/>
    <w:rsid w:val="003139EF"/>
    <w:rsid w:val="00314033"/>
    <w:rsid w:val="003140D2"/>
    <w:rsid w:val="00314DFD"/>
    <w:rsid w:val="00315095"/>
    <w:rsid w:val="0031550A"/>
    <w:rsid w:val="00315572"/>
    <w:rsid w:val="003155E3"/>
    <w:rsid w:val="003155EF"/>
    <w:rsid w:val="0031598E"/>
    <w:rsid w:val="00315D4C"/>
    <w:rsid w:val="00316381"/>
    <w:rsid w:val="00316D98"/>
    <w:rsid w:val="00316E24"/>
    <w:rsid w:val="00317714"/>
    <w:rsid w:val="00317F0B"/>
    <w:rsid w:val="00320007"/>
    <w:rsid w:val="003204C0"/>
    <w:rsid w:val="003204C8"/>
    <w:rsid w:val="003206BA"/>
    <w:rsid w:val="003208B0"/>
    <w:rsid w:val="00320A17"/>
    <w:rsid w:val="00320C7E"/>
    <w:rsid w:val="00320E72"/>
    <w:rsid w:val="003210DA"/>
    <w:rsid w:val="003213D3"/>
    <w:rsid w:val="003215B7"/>
    <w:rsid w:val="00321C07"/>
    <w:rsid w:val="00321C9D"/>
    <w:rsid w:val="0032228C"/>
    <w:rsid w:val="00322465"/>
    <w:rsid w:val="003225C5"/>
    <w:rsid w:val="00322A28"/>
    <w:rsid w:val="00322DA9"/>
    <w:rsid w:val="00322F6A"/>
    <w:rsid w:val="0032307E"/>
    <w:rsid w:val="00323ACE"/>
    <w:rsid w:val="00323AF6"/>
    <w:rsid w:val="00323BFA"/>
    <w:rsid w:val="00323E32"/>
    <w:rsid w:val="00324046"/>
    <w:rsid w:val="00324244"/>
    <w:rsid w:val="00324AC4"/>
    <w:rsid w:val="003251C2"/>
    <w:rsid w:val="003252FC"/>
    <w:rsid w:val="003254A9"/>
    <w:rsid w:val="00325FA0"/>
    <w:rsid w:val="003261B0"/>
    <w:rsid w:val="003263D0"/>
    <w:rsid w:val="003264A7"/>
    <w:rsid w:val="00326882"/>
    <w:rsid w:val="00326F1C"/>
    <w:rsid w:val="00327162"/>
    <w:rsid w:val="00327DA6"/>
    <w:rsid w:val="00330052"/>
    <w:rsid w:val="0033056A"/>
    <w:rsid w:val="00330754"/>
    <w:rsid w:val="00330A0A"/>
    <w:rsid w:val="00330E1F"/>
    <w:rsid w:val="00331E29"/>
    <w:rsid w:val="00332355"/>
    <w:rsid w:val="003328A9"/>
    <w:rsid w:val="00332945"/>
    <w:rsid w:val="00332E84"/>
    <w:rsid w:val="00333046"/>
    <w:rsid w:val="0033332D"/>
    <w:rsid w:val="00333944"/>
    <w:rsid w:val="00333B11"/>
    <w:rsid w:val="00333E64"/>
    <w:rsid w:val="0033465E"/>
    <w:rsid w:val="00335012"/>
    <w:rsid w:val="00335184"/>
    <w:rsid w:val="003353E9"/>
    <w:rsid w:val="0033573E"/>
    <w:rsid w:val="00336992"/>
    <w:rsid w:val="00336E6C"/>
    <w:rsid w:val="003371B5"/>
    <w:rsid w:val="003376E0"/>
    <w:rsid w:val="00337794"/>
    <w:rsid w:val="00337BAF"/>
    <w:rsid w:val="00340341"/>
    <w:rsid w:val="00340592"/>
    <w:rsid w:val="00340883"/>
    <w:rsid w:val="003409F2"/>
    <w:rsid w:val="00340A84"/>
    <w:rsid w:val="00340B4C"/>
    <w:rsid w:val="00341498"/>
    <w:rsid w:val="00341702"/>
    <w:rsid w:val="003417CB"/>
    <w:rsid w:val="00341B68"/>
    <w:rsid w:val="00342B5C"/>
    <w:rsid w:val="00342D60"/>
    <w:rsid w:val="003435A9"/>
    <w:rsid w:val="00343B5F"/>
    <w:rsid w:val="00343E7C"/>
    <w:rsid w:val="0034438D"/>
    <w:rsid w:val="00344600"/>
    <w:rsid w:val="00344649"/>
    <w:rsid w:val="00344BAD"/>
    <w:rsid w:val="00344C6F"/>
    <w:rsid w:val="00344D67"/>
    <w:rsid w:val="00345494"/>
    <w:rsid w:val="00345496"/>
    <w:rsid w:val="00345AC1"/>
    <w:rsid w:val="00345BCF"/>
    <w:rsid w:val="00345F14"/>
    <w:rsid w:val="00346014"/>
    <w:rsid w:val="003466F9"/>
    <w:rsid w:val="00347325"/>
    <w:rsid w:val="00347714"/>
    <w:rsid w:val="00347DF7"/>
    <w:rsid w:val="00347EE8"/>
    <w:rsid w:val="00350092"/>
    <w:rsid w:val="0035012E"/>
    <w:rsid w:val="0035017A"/>
    <w:rsid w:val="00350256"/>
    <w:rsid w:val="0035054B"/>
    <w:rsid w:val="00350C65"/>
    <w:rsid w:val="003519AD"/>
    <w:rsid w:val="00351E0E"/>
    <w:rsid w:val="00351ED2"/>
    <w:rsid w:val="0035216F"/>
    <w:rsid w:val="00352EA5"/>
    <w:rsid w:val="00353E3B"/>
    <w:rsid w:val="00353E90"/>
    <w:rsid w:val="00353FDF"/>
    <w:rsid w:val="00354133"/>
    <w:rsid w:val="00354EB4"/>
    <w:rsid w:val="00354FDE"/>
    <w:rsid w:val="00355162"/>
    <w:rsid w:val="00355718"/>
    <w:rsid w:val="00355F50"/>
    <w:rsid w:val="00356CD9"/>
    <w:rsid w:val="00356D29"/>
    <w:rsid w:val="00357107"/>
    <w:rsid w:val="00357149"/>
    <w:rsid w:val="003571C2"/>
    <w:rsid w:val="00357487"/>
    <w:rsid w:val="00357889"/>
    <w:rsid w:val="00357B00"/>
    <w:rsid w:val="00357B5F"/>
    <w:rsid w:val="003607E5"/>
    <w:rsid w:val="0036091D"/>
    <w:rsid w:val="00360998"/>
    <w:rsid w:val="0036105C"/>
    <w:rsid w:val="003613EB"/>
    <w:rsid w:val="00361938"/>
    <w:rsid w:val="00361E7C"/>
    <w:rsid w:val="00361F5E"/>
    <w:rsid w:val="00361FAE"/>
    <w:rsid w:val="0036275B"/>
    <w:rsid w:val="0036295A"/>
    <w:rsid w:val="0036298F"/>
    <w:rsid w:val="00362E6F"/>
    <w:rsid w:val="00363127"/>
    <w:rsid w:val="003633B0"/>
    <w:rsid w:val="003634EB"/>
    <w:rsid w:val="003635E2"/>
    <w:rsid w:val="0036374A"/>
    <w:rsid w:val="00363ABA"/>
    <w:rsid w:val="00363C0C"/>
    <w:rsid w:val="003640A7"/>
    <w:rsid w:val="00364529"/>
    <w:rsid w:val="0036470D"/>
    <w:rsid w:val="00364920"/>
    <w:rsid w:val="003649A6"/>
    <w:rsid w:val="00364B8D"/>
    <w:rsid w:val="00364C28"/>
    <w:rsid w:val="00365447"/>
    <w:rsid w:val="0036555E"/>
    <w:rsid w:val="00365A0E"/>
    <w:rsid w:val="00365A9B"/>
    <w:rsid w:val="0036668C"/>
    <w:rsid w:val="00366F65"/>
    <w:rsid w:val="003670E7"/>
    <w:rsid w:val="00367624"/>
    <w:rsid w:val="0036794E"/>
    <w:rsid w:val="003701DF"/>
    <w:rsid w:val="003704EE"/>
    <w:rsid w:val="003708A1"/>
    <w:rsid w:val="00370B05"/>
    <w:rsid w:val="003713F5"/>
    <w:rsid w:val="00372457"/>
    <w:rsid w:val="003741DE"/>
    <w:rsid w:val="0037424A"/>
    <w:rsid w:val="00374607"/>
    <w:rsid w:val="0037475F"/>
    <w:rsid w:val="00374FD9"/>
    <w:rsid w:val="0037537A"/>
    <w:rsid w:val="00376CF4"/>
    <w:rsid w:val="00376EC4"/>
    <w:rsid w:val="003779F6"/>
    <w:rsid w:val="00377BFF"/>
    <w:rsid w:val="00380050"/>
    <w:rsid w:val="00380C0D"/>
    <w:rsid w:val="0038146C"/>
    <w:rsid w:val="0038188D"/>
    <w:rsid w:val="00381D94"/>
    <w:rsid w:val="00382609"/>
    <w:rsid w:val="00382936"/>
    <w:rsid w:val="00383246"/>
    <w:rsid w:val="003836E4"/>
    <w:rsid w:val="003837B0"/>
    <w:rsid w:val="00383822"/>
    <w:rsid w:val="00384006"/>
    <w:rsid w:val="003840C5"/>
    <w:rsid w:val="003845A1"/>
    <w:rsid w:val="00385DA8"/>
    <w:rsid w:val="00386124"/>
    <w:rsid w:val="003864D5"/>
    <w:rsid w:val="0038650C"/>
    <w:rsid w:val="00386553"/>
    <w:rsid w:val="003866D8"/>
    <w:rsid w:val="00386D2C"/>
    <w:rsid w:val="00386E1F"/>
    <w:rsid w:val="00387912"/>
    <w:rsid w:val="00387E36"/>
    <w:rsid w:val="00387FEE"/>
    <w:rsid w:val="00390567"/>
    <w:rsid w:val="003905B9"/>
    <w:rsid w:val="003906C1"/>
    <w:rsid w:val="00390ED7"/>
    <w:rsid w:val="00392137"/>
    <w:rsid w:val="00392216"/>
    <w:rsid w:val="00392564"/>
    <w:rsid w:val="00392D59"/>
    <w:rsid w:val="00392DF0"/>
    <w:rsid w:val="00393BB4"/>
    <w:rsid w:val="00394EF5"/>
    <w:rsid w:val="0039506A"/>
    <w:rsid w:val="00395497"/>
    <w:rsid w:val="00395729"/>
    <w:rsid w:val="00395776"/>
    <w:rsid w:val="00395AEB"/>
    <w:rsid w:val="00395C2E"/>
    <w:rsid w:val="00395C8F"/>
    <w:rsid w:val="00395D92"/>
    <w:rsid w:val="0039618A"/>
    <w:rsid w:val="003961EA"/>
    <w:rsid w:val="003966F6"/>
    <w:rsid w:val="0039677D"/>
    <w:rsid w:val="003969CF"/>
    <w:rsid w:val="00397379"/>
    <w:rsid w:val="00397B0A"/>
    <w:rsid w:val="003A03CB"/>
    <w:rsid w:val="003A0442"/>
    <w:rsid w:val="003A0660"/>
    <w:rsid w:val="003A0D52"/>
    <w:rsid w:val="003A0F7E"/>
    <w:rsid w:val="003A11B6"/>
    <w:rsid w:val="003A1250"/>
    <w:rsid w:val="003A137B"/>
    <w:rsid w:val="003A13FC"/>
    <w:rsid w:val="003A240D"/>
    <w:rsid w:val="003A2C0F"/>
    <w:rsid w:val="003A2EAA"/>
    <w:rsid w:val="003A2ED1"/>
    <w:rsid w:val="003A3432"/>
    <w:rsid w:val="003A3710"/>
    <w:rsid w:val="003A48AE"/>
    <w:rsid w:val="003A4A1F"/>
    <w:rsid w:val="003A4A3B"/>
    <w:rsid w:val="003A4C47"/>
    <w:rsid w:val="003A5416"/>
    <w:rsid w:val="003A5693"/>
    <w:rsid w:val="003A5772"/>
    <w:rsid w:val="003A637C"/>
    <w:rsid w:val="003A6724"/>
    <w:rsid w:val="003A6A75"/>
    <w:rsid w:val="003A6B4E"/>
    <w:rsid w:val="003A6E1A"/>
    <w:rsid w:val="003A7038"/>
    <w:rsid w:val="003A78F5"/>
    <w:rsid w:val="003A7EF9"/>
    <w:rsid w:val="003B0342"/>
    <w:rsid w:val="003B06D4"/>
    <w:rsid w:val="003B0BA1"/>
    <w:rsid w:val="003B132F"/>
    <w:rsid w:val="003B14F7"/>
    <w:rsid w:val="003B1757"/>
    <w:rsid w:val="003B19C7"/>
    <w:rsid w:val="003B327A"/>
    <w:rsid w:val="003B3724"/>
    <w:rsid w:val="003B3DFE"/>
    <w:rsid w:val="003B3E23"/>
    <w:rsid w:val="003B41E0"/>
    <w:rsid w:val="003B4599"/>
    <w:rsid w:val="003B47C0"/>
    <w:rsid w:val="003B4E46"/>
    <w:rsid w:val="003B553A"/>
    <w:rsid w:val="003B5CD9"/>
    <w:rsid w:val="003B5D3D"/>
    <w:rsid w:val="003B61B7"/>
    <w:rsid w:val="003B67A0"/>
    <w:rsid w:val="003B6A49"/>
    <w:rsid w:val="003B6BAD"/>
    <w:rsid w:val="003B71E1"/>
    <w:rsid w:val="003B741E"/>
    <w:rsid w:val="003B7527"/>
    <w:rsid w:val="003B77C5"/>
    <w:rsid w:val="003B7875"/>
    <w:rsid w:val="003C0BB8"/>
    <w:rsid w:val="003C0C24"/>
    <w:rsid w:val="003C1357"/>
    <w:rsid w:val="003C142A"/>
    <w:rsid w:val="003C1978"/>
    <w:rsid w:val="003C1AE2"/>
    <w:rsid w:val="003C1E10"/>
    <w:rsid w:val="003C2B82"/>
    <w:rsid w:val="003C33EF"/>
    <w:rsid w:val="003C3636"/>
    <w:rsid w:val="003C3F5E"/>
    <w:rsid w:val="003C4A13"/>
    <w:rsid w:val="003C4ABA"/>
    <w:rsid w:val="003C4F8F"/>
    <w:rsid w:val="003C4F9C"/>
    <w:rsid w:val="003C5292"/>
    <w:rsid w:val="003C5613"/>
    <w:rsid w:val="003C5A59"/>
    <w:rsid w:val="003C5BDB"/>
    <w:rsid w:val="003C688C"/>
    <w:rsid w:val="003C699E"/>
    <w:rsid w:val="003C69F2"/>
    <w:rsid w:val="003C6B59"/>
    <w:rsid w:val="003C6D72"/>
    <w:rsid w:val="003C74B7"/>
    <w:rsid w:val="003C78C4"/>
    <w:rsid w:val="003D0AB0"/>
    <w:rsid w:val="003D0B4B"/>
    <w:rsid w:val="003D0DAB"/>
    <w:rsid w:val="003D0E84"/>
    <w:rsid w:val="003D1941"/>
    <w:rsid w:val="003D1EA5"/>
    <w:rsid w:val="003D20E7"/>
    <w:rsid w:val="003D22BE"/>
    <w:rsid w:val="003D2457"/>
    <w:rsid w:val="003D26E2"/>
    <w:rsid w:val="003D299E"/>
    <w:rsid w:val="003D2CD5"/>
    <w:rsid w:val="003D32CD"/>
    <w:rsid w:val="003D33EA"/>
    <w:rsid w:val="003D38F2"/>
    <w:rsid w:val="003D3D93"/>
    <w:rsid w:val="003D44D2"/>
    <w:rsid w:val="003D55E1"/>
    <w:rsid w:val="003D5728"/>
    <w:rsid w:val="003D5A5F"/>
    <w:rsid w:val="003D641A"/>
    <w:rsid w:val="003D6922"/>
    <w:rsid w:val="003D71EB"/>
    <w:rsid w:val="003D7D80"/>
    <w:rsid w:val="003E01C6"/>
    <w:rsid w:val="003E0D1F"/>
    <w:rsid w:val="003E131B"/>
    <w:rsid w:val="003E16EF"/>
    <w:rsid w:val="003E1887"/>
    <w:rsid w:val="003E1D61"/>
    <w:rsid w:val="003E22CB"/>
    <w:rsid w:val="003E2343"/>
    <w:rsid w:val="003E283B"/>
    <w:rsid w:val="003E2BC7"/>
    <w:rsid w:val="003E2F21"/>
    <w:rsid w:val="003E300B"/>
    <w:rsid w:val="003E3C03"/>
    <w:rsid w:val="003E406B"/>
    <w:rsid w:val="003E43C8"/>
    <w:rsid w:val="003E49D1"/>
    <w:rsid w:val="003E4F96"/>
    <w:rsid w:val="003E5CCA"/>
    <w:rsid w:val="003E5E64"/>
    <w:rsid w:val="003E6BF0"/>
    <w:rsid w:val="003E7643"/>
    <w:rsid w:val="003E7773"/>
    <w:rsid w:val="003E7E38"/>
    <w:rsid w:val="003E7EB7"/>
    <w:rsid w:val="003F0B1D"/>
    <w:rsid w:val="003F0B2A"/>
    <w:rsid w:val="003F1126"/>
    <w:rsid w:val="003F115E"/>
    <w:rsid w:val="003F14C2"/>
    <w:rsid w:val="003F1B0B"/>
    <w:rsid w:val="003F2210"/>
    <w:rsid w:val="003F28B5"/>
    <w:rsid w:val="003F33D9"/>
    <w:rsid w:val="003F33ED"/>
    <w:rsid w:val="003F3740"/>
    <w:rsid w:val="003F3FE7"/>
    <w:rsid w:val="003F40C0"/>
    <w:rsid w:val="003F41E5"/>
    <w:rsid w:val="003F4293"/>
    <w:rsid w:val="003F4393"/>
    <w:rsid w:val="003F535C"/>
    <w:rsid w:val="003F5979"/>
    <w:rsid w:val="003F5C6F"/>
    <w:rsid w:val="003F6091"/>
    <w:rsid w:val="003F60B1"/>
    <w:rsid w:val="003F60F8"/>
    <w:rsid w:val="003F65BF"/>
    <w:rsid w:val="003F6C4A"/>
    <w:rsid w:val="003F6F9F"/>
    <w:rsid w:val="003F7196"/>
    <w:rsid w:val="003F7871"/>
    <w:rsid w:val="0040054D"/>
    <w:rsid w:val="004005B7"/>
    <w:rsid w:val="004008AA"/>
    <w:rsid w:val="004008AF"/>
    <w:rsid w:val="00400B5F"/>
    <w:rsid w:val="0040136F"/>
    <w:rsid w:val="00401961"/>
    <w:rsid w:val="00401CB1"/>
    <w:rsid w:val="00401DBF"/>
    <w:rsid w:val="00401E96"/>
    <w:rsid w:val="0040259E"/>
    <w:rsid w:val="00402620"/>
    <w:rsid w:val="00402630"/>
    <w:rsid w:val="0040272E"/>
    <w:rsid w:val="00402CBC"/>
    <w:rsid w:val="00402E18"/>
    <w:rsid w:val="004033D9"/>
    <w:rsid w:val="00403BD9"/>
    <w:rsid w:val="00404A94"/>
    <w:rsid w:val="0040551F"/>
    <w:rsid w:val="00406441"/>
    <w:rsid w:val="004065F6"/>
    <w:rsid w:val="00406916"/>
    <w:rsid w:val="00406D52"/>
    <w:rsid w:val="00406F0F"/>
    <w:rsid w:val="00406F91"/>
    <w:rsid w:val="0040771F"/>
    <w:rsid w:val="004077A8"/>
    <w:rsid w:val="00410078"/>
    <w:rsid w:val="00410272"/>
    <w:rsid w:val="00410474"/>
    <w:rsid w:val="004111F7"/>
    <w:rsid w:val="00411266"/>
    <w:rsid w:val="00411732"/>
    <w:rsid w:val="00411841"/>
    <w:rsid w:val="00411B0A"/>
    <w:rsid w:val="0041217D"/>
    <w:rsid w:val="00412241"/>
    <w:rsid w:val="004125C6"/>
    <w:rsid w:val="0041275F"/>
    <w:rsid w:val="00412951"/>
    <w:rsid w:val="00413498"/>
    <w:rsid w:val="00413AE4"/>
    <w:rsid w:val="00413DBB"/>
    <w:rsid w:val="00414330"/>
    <w:rsid w:val="00414592"/>
    <w:rsid w:val="0041542C"/>
    <w:rsid w:val="004156A7"/>
    <w:rsid w:val="00415B9A"/>
    <w:rsid w:val="00415C52"/>
    <w:rsid w:val="00415EB8"/>
    <w:rsid w:val="004163B6"/>
    <w:rsid w:val="004166B4"/>
    <w:rsid w:val="00416EA7"/>
    <w:rsid w:val="00417105"/>
    <w:rsid w:val="00417CD6"/>
    <w:rsid w:val="00417EC8"/>
    <w:rsid w:val="00420085"/>
    <w:rsid w:val="004203F0"/>
    <w:rsid w:val="004205E5"/>
    <w:rsid w:val="00420C5A"/>
    <w:rsid w:val="00420E89"/>
    <w:rsid w:val="004213C4"/>
    <w:rsid w:val="00421A89"/>
    <w:rsid w:val="00421EBC"/>
    <w:rsid w:val="00422CEB"/>
    <w:rsid w:val="0042304B"/>
    <w:rsid w:val="00423B16"/>
    <w:rsid w:val="00423C93"/>
    <w:rsid w:val="00424084"/>
    <w:rsid w:val="004254F3"/>
    <w:rsid w:val="004262D9"/>
    <w:rsid w:val="00426445"/>
    <w:rsid w:val="00426AAC"/>
    <w:rsid w:val="004273AD"/>
    <w:rsid w:val="004279FD"/>
    <w:rsid w:val="00427A00"/>
    <w:rsid w:val="00427CA0"/>
    <w:rsid w:val="00427F39"/>
    <w:rsid w:val="004305AE"/>
    <w:rsid w:val="0043077B"/>
    <w:rsid w:val="00430798"/>
    <w:rsid w:val="00430939"/>
    <w:rsid w:val="0043095A"/>
    <w:rsid w:val="00430AB0"/>
    <w:rsid w:val="00430E46"/>
    <w:rsid w:val="00431760"/>
    <w:rsid w:val="00431800"/>
    <w:rsid w:val="00431E69"/>
    <w:rsid w:val="00431EF7"/>
    <w:rsid w:val="00432116"/>
    <w:rsid w:val="00432207"/>
    <w:rsid w:val="00433285"/>
    <w:rsid w:val="00433541"/>
    <w:rsid w:val="004336B8"/>
    <w:rsid w:val="004336F8"/>
    <w:rsid w:val="0043373C"/>
    <w:rsid w:val="00434682"/>
    <w:rsid w:val="004348BF"/>
    <w:rsid w:val="004348CA"/>
    <w:rsid w:val="0043504C"/>
    <w:rsid w:val="00435501"/>
    <w:rsid w:val="00435657"/>
    <w:rsid w:val="004357A5"/>
    <w:rsid w:val="00435846"/>
    <w:rsid w:val="004359B1"/>
    <w:rsid w:val="00436514"/>
    <w:rsid w:val="00437AB9"/>
    <w:rsid w:val="00437E4B"/>
    <w:rsid w:val="00440509"/>
    <w:rsid w:val="00440757"/>
    <w:rsid w:val="004409FC"/>
    <w:rsid w:val="00441539"/>
    <w:rsid w:val="00441695"/>
    <w:rsid w:val="00441AE4"/>
    <w:rsid w:val="00441F28"/>
    <w:rsid w:val="00441FC0"/>
    <w:rsid w:val="004423F7"/>
    <w:rsid w:val="00442A49"/>
    <w:rsid w:val="00444A24"/>
    <w:rsid w:val="0044513C"/>
    <w:rsid w:val="004457BB"/>
    <w:rsid w:val="00445C37"/>
    <w:rsid w:val="00446437"/>
    <w:rsid w:val="0044690B"/>
    <w:rsid w:val="00446A17"/>
    <w:rsid w:val="00446BBE"/>
    <w:rsid w:val="00446ED2"/>
    <w:rsid w:val="00447485"/>
    <w:rsid w:val="004476B5"/>
    <w:rsid w:val="004477B2"/>
    <w:rsid w:val="0044782C"/>
    <w:rsid w:val="0044798B"/>
    <w:rsid w:val="00447BB9"/>
    <w:rsid w:val="00447D06"/>
    <w:rsid w:val="00450688"/>
    <w:rsid w:val="0045093D"/>
    <w:rsid w:val="00450D1D"/>
    <w:rsid w:val="00450D2B"/>
    <w:rsid w:val="0045132E"/>
    <w:rsid w:val="00451645"/>
    <w:rsid w:val="0045183D"/>
    <w:rsid w:val="0045194B"/>
    <w:rsid w:val="00451E3B"/>
    <w:rsid w:val="0045277F"/>
    <w:rsid w:val="00453108"/>
    <w:rsid w:val="004538DC"/>
    <w:rsid w:val="00453977"/>
    <w:rsid w:val="00454F42"/>
    <w:rsid w:val="00454F8E"/>
    <w:rsid w:val="00454FEF"/>
    <w:rsid w:val="004550D5"/>
    <w:rsid w:val="00455407"/>
    <w:rsid w:val="00455487"/>
    <w:rsid w:val="0045592F"/>
    <w:rsid w:val="00456067"/>
    <w:rsid w:val="004561E7"/>
    <w:rsid w:val="00456364"/>
    <w:rsid w:val="0045641E"/>
    <w:rsid w:val="00456557"/>
    <w:rsid w:val="00456CFE"/>
    <w:rsid w:val="0045704A"/>
    <w:rsid w:val="00457256"/>
    <w:rsid w:val="00457444"/>
    <w:rsid w:val="0045776C"/>
    <w:rsid w:val="00457933"/>
    <w:rsid w:val="00457EE8"/>
    <w:rsid w:val="004606DD"/>
    <w:rsid w:val="00460912"/>
    <w:rsid w:val="00461021"/>
    <w:rsid w:val="004610D4"/>
    <w:rsid w:val="00461550"/>
    <w:rsid w:val="0046199C"/>
    <w:rsid w:val="004619BA"/>
    <w:rsid w:val="004620AA"/>
    <w:rsid w:val="00462778"/>
    <w:rsid w:val="004647F0"/>
    <w:rsid w:val="00464F6C"/>
    <w:rsid w:val="00465C89"/>
    <w:rsid w:val="0046673A"/>
    <w:rsid w:val="0046679A"/>
    <w:rsid w:val="0046679D"/>
    <w:rsid w:val="004667D2"/>
    <w:rsid w:val="00466A8F"/>
    <w:rsid w:val="00466B32"/>
    <w:rsid w:val="00466E28"/>
    <w:rsid w:val="00466F9A"/>
    <w:rsid w:val="00467091"/>
    <w:rsid w:val="004679C6"/>
    <w:rsid w:val="00467E34"/>
    <w:rsid w:val="00470438"/>
    <w:rsid w:val="00470868"/>
    <w:rsid w:val="00470910"/>
    <w:rsid w:val="00470B59"/>
    <w:rsid w:val="00470FF2"/>
    <w:rsid w:val="0047185A"/>
    <w:rsid w:val="004718B5"/>
    <w:rsid w:val="00471D0D"/>
    <w:rsid w:val="00471E9C"/>
    <w:rsid w:val="00472932"/>
    <w:rsid w:val="004729B2"/>
    <w:rsid w:val="0047395E"/>
    <w:rsid w:val="00473E0E"/>
    <w:rsid w:val="004744F7"/>
    <w:rsid w:val="004746D7"/>
    <w:rsid w:val="00474D79"/>
    <w:rsid w:val="00474E01"/>
    <w:rsid w:val="00475653"/>
    <w:rsid w:val="00475B4E"/>
    <w:rsid w:val="00476183"/>
    <w:rsid w:val="0047629A"/>
    <w:rsid w:val="00476697"/>
    <w:rsid w:val="00476738"/>
    <w:rsid w:val="00476CC1"/>
    <w:rsid w:val="00476FB9"/>
    <w:rsid w:val="0047739B"/>
    <w:rsid w:val="00477D66"/>
    <w:rsid w:val="004805F4"/>
    <w:rsid w:val="00480B64"/>
    <w:rsid w:val="00480D6E"/>
    <w:rsid w:val="0048117E"/>
    <w:rsid w:val="004811D8"/>
    <w:rsid w:val="004819F0"/>
    <w:rsid w:val="00482804"/>
    <w:rsid w:val="00482B47"/>
    <w:rsid w:val="00482DF4"/>
    <w:rsid w:val="0048323E"/>
    <w:rsid w:val="004849DD"/>
    <w:rsid w:val="00484DC5"/>
    <w:rsid w:val="00484DE8"/>
    <w:rsid w:val="00485675"/>
    <w:rsid w:val="00485B08"/>
    <w:rsid w:val="00485DE9"/>
    <w:rsid w:val="00485FE2"/>
    <w:rsid w:val="00486126"/>
    <w:rsid w:val="00486A6D"/>
    <w:rsid w:val="004875F5"/>
    <w:rsid w:val="00487AE4"/>
    <w:rsid w:val="00487C85"/>
    <w:rsid w:val="00490DC4"/>
    <w:rsid w:val="004917E2"/>
    <w:rsid w:val="00491B41"/>
    <w:rsid w:val="00491D8E"/>
    <w:rsid w:val="00492915"/>
    <w:rsid w:val="00492A2F"/>
    <w:rsid w:val="00492A4D"/>
    <w:rsid w:val="004933DC"/>
    <w:rsid w:val="00493500"/>
    <w:rsid w:val="00493652"/>
    <w:rsid w:val="0049404A"/>
    <w:rsid w:val="0049423A"/>
    <w:rsid w:val="00494629"/>
    <w:rsid w:val="00494F64"/>
    <w:rsid w:val="004954D8"/>
    <w:rsid w:val="00495A07"/>
    <w:rsid w:val="00495A12"/>
    <w:rsid w:val="00495AB8"/>
    <w:rsid w:val="00495F2F"/>
    <w:rsid w:val="0049671F"/>
    <w:rsid w:val="00497004"/>
    <w:rsid w:val="00497868"/>
    <w:rsid w:val="00497990"/>
    <w:rsid w:val="00497B9F"/>
    <w:rsid w:val="00497BCC"/>
    <w:rsid w:val="004A1893"/>
    <w:rsid w:val="004A1913"/>
    <w:rsid w:val="004A1D04"/>
    <w:rsid w:val="004A2084"/>
    <w:rsid w:val="004A2353"/>
    <w:rsid w:val="004A24DF"/>
    <w:rsid w:val="004A2A2E"/>
    <w:rsid w:val="004A2AE5"/>
    <w:rsid w:val="004A3099"/>
    <w:rsid w:val="004A3109"/>
    <w:rsid w:val="004A326D"/>
    <w:rsid w:val="004A3BEF"/>
    <w:rsid w:val="004A3F28"/>
    <w:rsid w:val="004A4430"/>
    <w:rsid w:val="004A4AAD"/>
    <w:rsid w:val="004A4FDF"/>
    <w:rsid w:val="004A522A"/>
    <w:rsid w:val="004A5489"/>
    <w:rsid w:val="004A5CF6"/>
    <w:rsid w:val="004A5E73"/>
    <w:rsid w:val="004A687F"/>
    <w:rsid w:val="004A68B6"/>
    <w:rsid w:val="004A6A25"/>
    <w:rsid w:val="004A6ED8"/>
    <w:rsid w:val="004A711C"/>
    <w:rsid w:val="004A73E7"/>
    <w:rsid w:val="004A7A52"/>
    <w:rsid w:val="004B00D1"/>
    <w:rsid w:val="004B0103"/>
    <w:rsid w:val="004B04FB"/>
    <w:rsid w:val="004B0CEE"/>
    <w:rsid w:val="004B0E1A"/>
    <w:rsid w:val="004B1817"/>
    <w:rsid w:val="004B1881"/>
    <w:rsid w:val="004B19FE"/>
    <w:rsid w:val="004B2119"/>
    <w:rsid w:val="004B23D3"/>
    <w:rsid w:val="004B2A4D"/>
    <w:rsid w:val="004B2F45"/>
    <w:rsid w:val="004B33C2"/>
    <w:rsid w:val="004B3ADB"/>
    <w:rsid w:val="004B3F14"/>
    <w:rsid w:val="004B3FA0"/>
    <w:rsid w:val="004B4214"/>
    <w:rsid w:val="004B42D9"/>
    <w:rsid w:val="004B4FA2"/>
    <w:rsid w:val="004B54BB"/>
    <w:rsid w:val="004B5CC1"/>
    <w:rsid w:val="004B6110"/>
    <w:rsid w:val="004B6338"/>
    <w:rsid w:val="004B686E"/>
    <w:rsid w:val="004B689D"/>
    <w:rsid w:val="004B6BB9"/>
    <w:rsid w:val="004B76A2"/>
    <w:rsid w:val="004B77DB"/>
    <w:rsid w:val="004B7F33"/>
    <w:rsid w:val="004C04A4"/>
    <w:rsid w:val="004C0D54"/>
    <w:rsid w:val="004C0E97"/>
    <w:rsid w:val="004C0F08"/>
    <w:rsid w:val="004C14DE"/>
    <w:rsid w:val="004C19B9"/>
    <w:rsid w:val="004C1C75"/>
    <w:rsid w:val="004C1D6D"/>
    <w:rsid w:val="004C26E5"/>
    <w:rsid w:val="004C2A79"/>
    <w:rsid w:val="004C30F9"/>
    <w:rsid w:val="004C31F7"/>
    <w:rsid w:val="004C33FB"/>
    <w:rsid w:val="004C372D"/>
    <w:rsid w:val="004C4364"/>
    <w:rsid w:val="004C47D4"/>
    <w:rsid w:val="004C48C8"/>
    <w:rsid w:val="004C4D4B"/>
    <w:rsid w:val="004C598D"/>
    <w:rsid w:val="004C6007"/>
    <w:rsid w:val="004C6040"/>
    <w:rsid w:val="004C6BFC"/>
    <w:rsid w:val="004C73BD"/>
    <w:rsid w:val="004C74C5"/>
    <w:rsid w:val="004D0CCF"/>
    <w:rsid w:val="004D1F0E"/>
    <w:rsid w:val="004D2BCC"/>
    <w:rsid w:val="004D2CEF"/>
    <w:rsid w:val="004D3075"/>
    <w:rsid w:val="004D33A6"/>
    <w:rsid w:val="004D3897"/>
    <w:rsid w:val="004D421D"/>
    <w:rsid w:val="004D42BE"/>
    <w:rsid w:val="004D4425"/>
    <w:rsid w:val="004D48C1"/>
    <w:rsid w:val="004D4E32"/>
    <w:rsid w:val="004D4ED0"/>
    <w:rsid w:val="004D54EC"/>
    <w:rsid w:val="004D5820"/>
    <w:rsid w:val="004D6728"/>
    <w:rsid w:val="004D6B75"/>
    <w:rsid w:val="004D6C45"/>
    <w:rsid w:val="004D7061"/>
    <w:rsid w:val="004D72BC"/>
    <w:rsid w:val="004D77A2"/>
    <w:rsid w:val="004E132F"/>
    <w:rsid w:val="004E26F3"/>
    <w:rsid w:val="004E2BD6"/>
    <w:rsid w:val="004E30FF"/>
    <w:rsid w:val="004E3122"/>
    <w:rsid w:val="004E394D"/>
    <w:rsid w:val="004E3B49"/>
    <w:rsid w:val="004E4BFF"/>
    <w:rsid w:val="004E52F6"/>
    <w:rsid w:val="004E5B4A"/>
    <w:rsid w:val="004E5D2B"/>
    <w:rsid w:val="004E6F4D"/>
    <w:rsid w:val="004E7C4D"/>
    <w:rsid w:val="004F01FD"/>
    <w:rsid w:val="004F0E34"/>
    <w:rsid w:val="004F1235"/>
    <w:rsid w:val="004F1391"/>
    <w:rsid w:val="004F13F8"/>
    <w:rsid w:val="004F2203"/>
    <w:rsid w:val="004F23A8"/>
    <w:rsid w:val="004F24EE"/>
    <w:rsid w:val="004F27AE"/>
    <w:rsid w:val="004F2B04"/>
    <w:rsid w:val="004F4A37"/>
    <w:rsid w:val="004F51C8"/>
    <w:rsid w:val="004F55F6"/>
    <w:rsid w:val="004F65FA"/>
    <w:rsid w:val="004F676F"/>
    <w:rsid w:val="004F6AD3"/>
    <w:rsid w:val="004F6C6A"/>
    <w:rsid w:val="004F72A1"/>
    <w:rsid w:val="004F7497"/>
    <w:rsid w:val="004F7B3A"/>
    <w:rsid w:val="004F7C35"/>
    <w:rsid w:val="004F7D04"/>
    <w:rsid w:val="00500782"/>
    <w:rsid w:val="005012A9"/>
    <w:rsid w:val="00501386"/>
    <w:rsid w:val="005015F1"/>
    <w:rsid w:val="00501798"/>
    <w:rsid w:val="005019BE"/>
    <w:rsid w:val="00501BD9"/>
    <w:rsid w:val="00501C25"/>
    <w:rsid w:val="0050269E"/>
    <w:rsid w:val="005027A6"/>
    <w:rsid w:val="00502879"/>
    <w:rsid w:val="005028AC"/>
    <w:rsid w:val="00502DAE"/>
    <w:rsid w:val="00502EBA"/>
    <w:rsid w:val="00502F33"/>
    <w:rsid w:val="00502FFB"/>
    <w:rsid w:val="005030BA"/>
    <w:rsid w:val="005031E5"/>
    <w:rsid w:val="00503301"/>
    <w:rsid w:val="005038A0"/>
    <w:rsid w:val="00503C62"/>
    <w:rsid w:val="00503E71"/>
    <w:rsid w:val="00503F96"/>
    <w:rsid w:val="0050438D"/>
    <w:rsid w:val="0050497B"/>
    <w:rsid w:val="00504A82"/>
    <w:rsid w:val="0050578F"/>
    <w:rsid w:val="00505A0E"/>
    <w:rsid w:val="00505BB0"/>
    <w:rsid w:val="00505E19"/>
    <w:rsid w:val="00506190"/>
    <w:rsid w:val="00506509"/>
    <w:rsid w:val="0050679B"/>
    <w:rsid w:val="00506CC8"/>
    <w:rsid w:val="00506DC9"/>
    <w:rsid w:val="005071F1"/>
    <w:rsid w:val="00507706"/>
    <w:rsid w:val="00507A5F"/>
    <w:rsid w:val="00507BA6"/>
    <w:rsid w:val="0051017F"/>
    <w:rsid w:val="00510221"/>
    <w:rsid w:val="00510232"/>
    <w:rsid w:val="005103C5"/>
    <w:rsid w:val="005103F2"/>
    <w:rsid w:val="0051064D"/>
    <w:rsid w:val="00510AB6"/>
    <w:rsid w:val="00510D19"/>
    <w:rsid w:val="00510DC8"/>
    <w:rsid w:val="005116B7"/>
    <w:rsid w:val="00511D6B"/>
    <w:rsid w:val="00511FA3"/>
    <w:rsid w:val="0051212F"/>
    <w:rsid w:val="0051214B"/>
    <w:rsid w:val="005122DF"/>
    <w:rsid w:val="00512575"/>
    <w:rsid w:val="00512714"/>
    <w:rsid w:val="0051281D"/>
    <w:rsid w:val="005128E4"/>
    <w:rsid w:val="005131D3"/>
    <w:rsid w:val="0051352C"/>
    <w:rsid w:val="0051387B"/>
    <w:rsid w:val="005138C7"/>
    <w:rsid w:val="00513C8A"/>
    <w:rsid w:val="0051432B"/>
    <w:rsid w:val="00514A5E"/>
    <w:rsid w:val="00514CD0"/>
    <w:rsid w:val="00514DC3"/>
    <w:rsid w:val="00514EC7"/>
    <w:rsid w:val="00514FC2"/>
    <w:rsid w:val="00515108"/>
    <w:rsid w:val="005158FE"/>
    <w:rsid w:val="00515BFA"/>
    <w:rsid w:val="00515D87"/>
    <w:rsid w:val="00515D8F"/>
    <w:rsid w:val="00516980"/>
    <w:rsid w:val="00516C59"/>
    <w:rsid w:val="005170BB"/>
    <w:rsid w:val="00517443"/>
    <w:rsid w:val="00517901"/>
    <w:rsid w:val="00517A86"/>
    <w:rsid w:val="00520072"/>
    <w:rsid w:val="00520392"/>
    <w:rsid w:val="005205F0"/>
    <w:rsid w:val="00520639"/>
    <w:rsid w:val="005206D1"/>
    <w:rsid w:val="005206D7"/>
    <w:rsid w:val="00520A0C"/>
    <w:rsid w:val="00522132"/>
    <w:rsid w:val="005225B9"/>
    <w:rsid w:val="005225C5"/>
    <w:rsid w:val="005226C6"/>
    <w:rsid w:val="00522CA3"/>
    <w:rsid w:val="0052349D"/>
    <w:rsid w:val="00523855"/>
    <w:rsid w:val="0052436F"/>
    <w:rsid w:val="00524633"/>
    <w:rsid w:val="00524BE8"/>
    <w:rsid w:val="00524CE4"/>
    <w:rsid w:val="00524F0C"/>
    <w:rsid w:val="0052558C"/>
    <w:rsid w:val="0052575D"/>
    <w:rsid w:val="00525F40"/>
    <w:rsid w:val="00526C92"/>
    <w:rsid w:val="00526E76"/>
    <w:rsid w:val="00527575"/>
    <w:rsid w:val="005275FC"/>
    <w:rsid w:val="0052768C"/>
    <w:rsid w:val="00527B5E"/>
    <w:rsid w:val="0053044C"/>
    <w:rsid w:val="0053051E"/>
    <w:rsid w:val="00530896"/>
    <w:rsid w:val="005310AF"/>
    <w:rsid w:val="00531451"/>
    <w:rsid w:val="00531ACB"/>
    <w:rsid w:val="005328AE"/>
    <w:rsid w:val="00532A0D"/>
    <w:rsid w:val="00532EA8"/>
    <w:rsid w:val="00532FAB"/>
    <w:rsid w:val="00533806"/>
    <w:rsid w:val="00534041"/>
    <w:rsid w:val="005342C3"/>
    <w:rsid w:val="0053456B"/>
    <w:rsid w:val="00534CC1"/>
    <w:rsid w:val="00535483"/>
    <w:rsid w:val="005358E9"/>
    <w:rsid w:val="00535EE0"/>
    <w:rsid w:val="005362F5"/>
    <w:rsid w:val="005363F5"/>
    <w:rsid w:val="0053725B"/>
    <w:rsid w:val="0053794D"/>
    <w:rsid w:val="00540488"/>
    <w:rsid w:val="0054068B"/>
    <w:rsid w:val="005407B1"/>
    <w:rsid w:val="00540A7C"/>
    <w:rsid w:val="00540C57"/>
    <w:rsid w:val="00541798"/>
    <w:rsid w:val="005417E6"/>
    <w:rsid w:val="00541A59"/>
    <w:rsid w:val="00542114"/>
    <w:rsid w:val="00542303"/>
    <w:rsid w:val="00542770"/>
    <w:rsid w:val="005428C6"/>
    <w:rsid w:val="00542BF2"/>
    <w:rsid w:val="00542E45"/>
    <w:rsid w:val="005433AA"/>
    <w:rsid w:val="005435CA"/>
    <w:rsid w:val="005439C4"/>
    <w:rsid w:val="00543B43"/>
    <w:rsid w:val="00543D2C"/>
    <w:rsid w:val="005446DF"/>
    <w:rsid w:val="005448BF"/>
    <w:rsid w:val="00545D5B"/>
    <w:rsid w:val="0054653A"/>
    <w:rsid w:val="0054683C"/>
    <w:rsid w:val="0054698C"/>
    <w:rsid w:val="00546AA2"/>
    <w:rsid w:val="005471C2"/>
    <w:rsid w:val="0054793C"/>
    <w:rsid w:val="00547C3C"/>
    <w:rsid w:val="0055034E"/>
    <w:rsid w:val="00550A7D"/>
    <w:rsid w:val="00550D63"/>
    <w:rsid w:val="00551007"/>
    <w:rsid w:val="00551083"/>
    <w:rsid w:val="00551387"/>
    <w:rsid w:val="00551D22"/>
    <w:rsid w:val="0055205C"/>
    <w:rsid w:val="00552215"/>
    <w:rsid w:val="005524B4"/>
    <w:rsid w:val="00552B74"/>
    <w:rsid w:val="00552B81"/>
    <w:rsid w:val="00552E4E"/>
    <w:rsid w:val="00553063"/>
    <w:rsid w:val="005531BD"/>
    <w:rsid w:val="00553347"/>
    <w:rsid w:val="005536B8"/>
    <w:rsid w:val="0055370E"/>
    <w:rsid w:val="005537B3"/>
    <w:rsid w:val="00553E06"/>
    <w:rsid w:val="0055431A"/>
    <w:rsid w:val="005543E0"/>
    <w:rsid w:val="00554BAF"/>
    <w:rsid w:val="00554F55"/>
    <w:rsid w:val="00554F58"/>
    <w:rsid w:val="00555014"/>
    <w:rsid w:val="00555533"/>
    <w:rsid w:val="005555BE"/>
    <w:rsid w:val="00555632"/>
    <w:rsid w:val="00555F41"/>
    <w:rsid w:val="00556695"/>
    <w:rsid w:val="00556793"/>
    <w:rsid w:val="005567B2"/>
    <w:rsid w:val="00556ABB"/>
    <w:rsid w:val="00556B53"/>
    <w:rsid w:val="00556C66"/>
    <w:rsid w:val="005575E4"/>
    <w:rsid w:val="00557870"/>
    <w:rsid w:val="005578D1"/>
    <w:rsid w:val="00557E8F"/>
    <w:rsid w:val="00557FC9"/>
    <w:rsid w:val="00560277"/>
    <w:rsid w:val="00560938"/>
    <w:rsid w:val="00560A5D"/>
    <w:rsid w:val="00560AF1"/>
    <w:rsid w:val="00560C8E"/>
    <w:rsid w:val="00561320"/>
    <w:rsid w:val="00561562"/>
    <w:rsid w:val="00561577"/>
    <w:rsid w:val="00561A6B"/>
    <w:rsid w:val="00562D44"/>
    <w:rsid w:val="00562F26"/>
    <w:rsid w:val="005631EA"/>
    <w:rsid w:val="00563930"/>
    <w:rsid w:val="00563DE6"/>
    <w:rsid w:val="00564083"/>
    <w:rsid w:val="0056415C"/>
    <w:rsid w:val="00564218"/>
    <w:rsid w:val="0056528D"/>
    <w:rsid w:val="0056542E"/>
    <w:rsid w:val="0056566E"/>
    <w:rsid w:val="005656A7"/>
    <w:rsid w:val="00565A64"/>
    <w:rsid w:val="0056628B"/>
    <w:rsid w:val="00566298"/>
    <w:rsid w:val="0056651D"/>
    <w:rsid w:val="00566550"/>
    <w:rsid w:val="00566DF5"/>
    <w:rsid w:val="005677BB"/>
    <w:rsid w:val="00567D0D"/>
    <w:rsid w:val="0057020B"/>
    <w:rsid w:val="0057081C"/>
    <w:rsid w:val="00570882"/>
    <w:rsid w:val="0057091E"/>
    <w:rsid w:val="00570E11"/>
    <w:rsid w:val="00571173"/>
    <w:rsid w:val="00571A0E"/>
    <w:rsid w:val="005723D6"/>
    <w:rsid w:val="00572717"/>
    <w:rsid w:val="00572886"/>
    <w:rsid w:val="005731AD"/>
    <w:rsid w:val="005732E3"/>
    <w:rsid w:val="00573C7D"/>
    <w:rsid w:val="0057406B"/>
    <w:rsid w:val="00574A6E"/>
    <w:rsid w:val="00574D9A"/>
    <w:rsid w:val="005753B9"/>
    <w:rsid w:val="00575607"/>
    <w:rsid w:val="005757DC"/>
    <w:rsid w:val="00575D58"/>
    <w:rsid w:val="005764E6"/>
    <w:rsid w:val="0057668C"/>
    <w:rsid w:val="005769C2"/>
    <w:rsid w:val="00576D8F"/>
    <w:rsid w:val="00577145"/>
    <w:rsid w:val="005773BE"/>
    <w:rsid w:val="00577657"/>
    <w:rsid w:val="005776F9"/>
    <w:rsid w:val="0057790F"/>
    <w:rsid w:val="00577F6E"/>
    <w:rsid w:val="005807EC"/>
    <w:rsid w:val="00580939"/>
    <w:rsid w:val="00580ED9"/>
    <w:rsid w:val="00580FB6"/>
    <w:rsid w:val="0058179F"/>
    <w:rsid w:val="0058182F"/>
    <w:rsid w:val="005821ED"/>
    <w:rsid w:val="0058226F"/>
    <w:rsid w:val="00582365"/>
    <w:rsid w:val="00582BD0"/>
    <w:rsid w:val="005832D7"/>
    <w:rsid w:val="00583B91"/>
    <w:rsid w:val="00584216"/>
    <w:rsid w:val="00585873"/>
    <w:rsid w:val="00585C1B"/>
    <w:rsid w:val="00585DC2"/>
    <w:rsid w:val="005866BC"/>
    <w:rsid w:val="00587432"/>
    <w:rsid w:val="00587571"/>
    <w:rsid w:val="00587639"/>
    <w:rsid w:val="005903D4"/>
    <w:rsid w:val="005905E1"/>
    <w:rsid w:val="00590834"/>
    <w:rsid w:val="00590D56"/>
    <w:rsid w:val="00590DDD"/>
    <w:rsid w:val="00590F71"/>
    <w:rsid w:val="00591007"/>
    <w:rsid w:val="0059180D"/>
    <w:rsid w:val="005925B5"/>
    <w:rsid w:val="00592638"/>
    <w:rsid w:val="0059271E"/>
    <w:rsid w:val="00592D2C"/>
    <w:rsid w:val="00593138"/>
    <w:rsid w:val="00593158"/>
    <w:rsid w:val="005931B8"/>
    <w:rsid w:val="005939F6"/>
    <w:rsid w:val="00593A33"/>
    <w:rsid w:val="00593AB6"/>
    <w:rsid w:val="00593DF9"/>
    <w:rsid w:val="00593F41"/>
    <w:rsid w:val="005947B5"/>
    <w:rsid w:val="00594C85"/>
    <w:rsid w:val="00595082"/>
    <w:rsid w:val="00595AB0"/>
    <w:rsid w:val="005960BB"/>
    <w:rsid w:val="00596580"/>
    <w:rsid w:val="00596B6B"/>
    <w:rsid w:val="00597228"/>
    <w:rsid w:val="005972C9"/>
    <w:rsid w:val="005972E0"/>
    <w:rsid w:val="00597407"/>
    <w:rsid w:val="0059795F"/>
    <w:rsid w:val="00597A8B"/>
    <w:rsid w:val="00597DAD"/>
    <w:rsid w:val="005A0496"/>
    <w:rsid w:val="005A05C6"/>
    <w:rsid w:val="005A1ECC"/>
    <w:rsid w:val="005A2334"/>
    <w:rsid w:val="005A26BF"/>
    <w:rsid w:val="005A285D"/>
    <w:rsid w:val="005A2861"/>
    <w:rsid w:val="005A2B7F"/>
    <w:rsid w:val="005A2F5B"/>
    <w:rsid w:val="005A33D9"/>
    <w:rsid w:val="005A3959"/>
    <w:rsid w:val="005A3F0A"/>
    <w:rsid w:val="005A4047"/>
    <w:rsid w:val="005A42D2"/>
    <w:rsid w:val="005A4384"/>
    <w:rsid w:val="005A45B6"/>
    <w:rsid w:val="005A46F0"/>
    <w:rsid w:val="005A4784"/>
    <w:rsid w:val="005A498A"/>
    <w:rsid w:val="005A51AA"/>
    <w:rsid w:val="005A533B"/>
    <w:rsid w:val="005A537D"/>
    <w:rsid w:val="005A585E"/>
    <w:rsid w:val="005A596C"/>
    <w:rsid w:val="005A5A2D"/>
    <w:rsid w:val="005A6838"/>
    <w:rsid w:val="005A68CE"/>
    <w:rsid w:val="005A7012"/>
    <w:rsid w:val="005A71DA"/>
    <w:rsid w:val="005A745A"/>
    <w:rsid w:val="005A7A5E"/>
    <w:rsid w:val="005A7CAC"/>
    <w:rsid w:val="005B12D1"/>
    <w:rsid w:val="005B195B"/>
    <w:rsid w:val="005B1C07"/>
    <w:rsid w:val="005B2000"/>
    <w:rsid w:val="005B2A3F"/>
    <w:rsid w:val="005B2FC9"/>
    <w:rsid w:val="005B3056"/>
    <w:rsid w:val="005B3432"/>
    <w:rsid w:val="005B3BD6"/>
    <w:rsid w:val="005B3C5F"/>
    <w:rsid w:val="005B40AB"/>
    <w:rsid w:val="005B53F9"/>
    <w:rsid w:val="005B5B52"/>
    <w:rsid w:val="005B64E5"/>
    <w:rsid w:val="005B65E5"/>
    <w:rsid w:val="005B6A5B"/>
    <w:rsid w:val="005B7003"/>
    <w:rsid w:val="005B70D6"/>
    <w:rsid w:val="005B7650"/>
    <w:rsid w:val="005B7D6C"/>
    <w:rsid w:val="005B7F4E"/>
    <w:rsid w:val="005C09BA"/>
    <w:rsid w:val="005C2602"/>
    <w:rsid w:val="005C28EA"/>
    <w:rsid w:val="005C2A0A"/>
    <w:rsid w:val="005C35FD"/>
    <w:rsid w:val="005C463C"/>
    <w:rsid w:val="005C46D9"/>
    <w:rsid w:val="005C50FB"/>
    <w:rsid w:val="005C56A6"/>
    <w:rsid w:val="005C599C"/>
    <w:rsid w:val="005C5B37"/>
    <w:rsid w:val="005C5BB5"/>
    <w:rsid w:val="005C5D87"/>
    <w:rsid w:val="005C67F4"/>
    <w:rsid w:val="005C6E39"/>
    <w:rsid w:val="005C7169"/>
    <w:rsid w:val="005C7215"/>
    <w:rsid w:val="005C7320"/>
    <w:rsid w:val="005C7385"/>
    <w:rsid w:val="005C73C4"/>
    <w:rsid w:val="005C7BAC"/>
    <w:rsid w:val="005D00EA"/>
    <w:rsid w:val="005D023B"/>
    <w:rsid w:val="005D02C4"/>
    <w:rsid w:val="005D0396"/>
    <w:rsid w:val="005D0408"/>
    <w:rsid w:val="005D0448"/>
    <w:rsid w:val="005D05C1"/>
    <w:rsid w:val="005D0B35"/>
    <w:rsid w:val="005D0E95"/>
    <w:rsid w:val="005D10C8"/>
    <w:rsid w:val="005D1676"/>
    <w:rsid w:val="005D1C94"/>
    <w:rsid w:val="005D2304"/>
    <w:rsid w:val="005D2366"/>
    <w:rsid w:val="005D2F1C"/>
    <w:rsid w:val="005D3468"/>
    <w:rsid w:val="005D3A04"/>
    <w:rsid w:val="005D3E91"/>
    <w:rsid w:val="005D4516"/>
    <w:rsid w:val="005D4710"/>
    <w:rsid w:val="005D48FE"/>
    <w:rsid w:val="005D585B"/>
    <w:rsid w:val="005D62B7"/>
    <w:rsid w:val="005D67EB"/>
    <w:rsid w:val="005D69A1"/>
    <w:rsid w:val="005D6BE3"/>
    <w:rsid w:val="005D6F3B"/>
    <w:rsid w:val="005D704B"/>
    <w:rsid w:val="005D7471"/>
    <w:rsid w:val="005D749D"/>
    <w:rsid w:val="005D7B06"/>
    <w:rsid w:val="005E0D5F"/>
    <w:rsid w:val="005E17AC"/>
    <w:rsid w:val="005E1DCD"/>
    <w:rsid w:val="005E2261"/>
    <w:rsid w:val="005E22B6"/>
    <w:rsid w:val="005E24F8"/>
    <w:rsid w:val="005E263D"/>
    <w:rsid w:val="005E2702"/>
    <w:rsid w:val="005E2A60"/>
    <w:rsid w:val="005E2BC0"/>
    <w:rsid w:val="005E4499"/>
    <w:rsid w:val="005E456F"/>
    <w:rsid w:val="005E52EA"/>
    <w:rsid w:val="005E5874"/>
    <w:rsid w:val="005E5A21"/>
    <w:rsid w:val="005E5CAF"/>
    <w:rsid w:val="005E62BC"/>
    <w:rsid w:val="005E6582"/>
    <w:rsid w:val="005E7056"/>
    <w:rsid w:val="005E73D2"/>
    <w:rsid w:val="005E7492"/>
    <w:rsid w:val="005E75D5"/>
    <w:rsid w:val="005E7975"/>
    <w:rsid w:val="005F06E3"/>
    <w:rsid w:val="005F0F35"/>
    <w:rsid w:val="005F1135"/>
    <w:rsid w:val="005F12CC"/>
    <w:rsid w:val="005F1555"/>
    <w:rsid w:val="005F1A9D"/>
    <w:rsid w:val="005F274F"/>
    <w:rsid w:val="005F2802"/>
    <w:rsid w:val="005F2910"/>
    <w:rsid w:val="005F2978"/>
    <w:rsid w:val="005F2DC4"/>
    <w:rsid w:val="005F419E"/>
    <w:rsid w:val="005F42AA"/>
    <w:rsid w:val="005F4721"/>
    <w:rsid w:val="005F4ABA"/>
    <w:rsid w:val="005F4C98"/>
    <w:rsid w:val="005F5EC6"/>
    <w:rsid w:val="005F6B20"/>
    <w:rsid w:val="005F720A"/>
    <w:rsid w:val="005F72AF"/>
    <w:rsid w:val="005F78BF"/>
    <w:rsid w:val="005F7A69"/>
    <w:rsid w:val="006000DC"/>
    <w:rsid w:val="00600185"/>
    <w:rsid w:val="006016CB"/>
    <w:rsid w:val="00601941"/>
    <w:rsid w:val="0060195D"/>
    <w:rsid w:val="00601FC2"/>
    <w:rsid w:val="00602F43"/>
    <w:rsid w:val="00602F7E"/>
    <w:rsid w:val="0060337B"/>
    <w:rsid w:val="00603760"/>
    <w:rsid w:val="00603B08"/>
    <w:rsid w:val="00604AF0"/>
    <w:rsid w:val="00604FF4"/>
    <w:rsid w:val="006051C8"/>
    <w:rsid w:val="00605776"/>
    <w:rsid w:val="00606599"/>
    <w:rsid w:val="006069CA"/>
    <w:rsid w:val="00606B71"/>
    <w:rsid w:val="00606D15"/>
    <w:rsid w:val="00606EE9"/>
    <w:rsid w:val="00610162"/>
    <w:rsid w:val="00610341"/>
    <w:rsid w:val="00610ABA"/>
    <w:rsid w:val="00611B10"/>
    <w:rsid w:val="006122C4"/>
    <w:rsid w:val="00612E70"/>
    <w:rsid w:val="00613037"/>
    <w:rsid w:val="006135AB"/>
    <w:rsid w:val="006138E4"/>
    <w:rsid w:val="006140A6"/>
    <w:rsid w:val="006144F6"/>
    <w:rsid w:val="0061511C"/>
    <w:rsid w:val="00615560"/>
    <w:rsid w:val="00615890"/>
    <w:rsid w:val="00616407"/>
    <w:rsid w:val="00616551"/>
    <w:rsid w:val="006165BF"/>
    <w:rsid w:val="00616AEE"/>
    <w:rsid w:val="0061781E"/>
    <w:rsid w:val="006178C9"/>
    <w:rsid w:val="00617C9D"/>
    <w:rsid w:val="00620527"/>
    <w:rsid w:val="00620BA2"/>
    <w:rsid w:val="00620E5A"/>
    <w:rsid w:val="006216C2"/>
    <w:rsid w:val="00621789"/>
    <w:rsid w:val="00621834"/>
    <w:rsid w:val="006228C4"/>
    <w:rsid w:val="00622E54"/>
    <w:rsid w:val="00622F4C"/>
    <w:rsid w:val="006231CC"/>
    <w:rsid w:val="00623340"/>
    <w:rsid w:val="00623344"/>
    <w:rsid w:val="00623CEA"/>
    <w:rsid w:val="00623E2D"/>
    <w:rsid w:val="006246EE"/>
    <w:rsid w:val="006250E9"/>
    <w:rsid w:val="00626AC9"/>
    <w:rsid w:val="00626BE8"/>
    <w:rsid w:val="00626CF1"/>
    <w:rsid w:val="006277AB"/>
    <w:rsid w:val="006300BC"/>
    <w:rsid w:val="0063054D"/>
    <w:rsid w:val="00630A9C"/>
    <w:rsid w:val="00630C62"/>
    <w:rsid w:val="00630F8A"/>
    <w:rsid w:val="00631AE9"/>
    <w:rsid w:val="00631EE8"/>
    <w:rsid w:val="00631EFB"/>
    <w:rsid w:val="006320A9"/>
    <w:rsid w:val="0063259D"/>
    <w:rsid w:val="00632933"/>
    <w:rsid w:val="00632D4F"/>
    <w:rsid w:val="00633139"/>
    <w:rsid w:val="00633269"/>
    <w:rsid w:val="00633B2F"/>
    <w:rsid w:val="0063496A"/>
    <w:rsid w:val="006349BC"/>
    <w:rsid w:val="00634E65"/>
    <w:rsid w:val="00635646"/>
    <w:rsid w:val="00635882"/>
    <w:rsid w:val="00635995"/>
    <w:rsid w:val="00635AED"/>
    <w:rsid w:val="00635CB8"/>
    <w:rsid w:val="00636593"/>
    <w:rsid w:val="00636F29"/>
    <w:rsid w:val="006377A0"/>
    <w:rsid w:val="0063780C"/>
    <w:rsid w:val="00637B08"/>
    <w:rsid w:val="00637BBD"/>
    <w:rsid w:val="00637BD1"/>
    <w:rsid w:val="006408AB"/>
    <w:rsid w:val="00640B2C"/>
    <w:rsid w:val="00640C31"/>
    <w:rsid w:val="00640E1E"/>
    <w:rsid w:val="00641297"/>
    <w:rsid w:val="0064135F"/>
    <w:rsid w:val="00641473"/>
    <w:rsid w:val="006414CA"/>
    <w:rsid w:val="006414FD"/>
    <w:rsid w:val="006417DF"/>
    <w:rsid w:val="0064267B"/>
    <w:rsid w:val="0064272A"/>
    <w:rsid w:val="006428F8"/>
    <w:rsid w:val="00643226"/>
    <w:rsid w:val="0064351A"/>
    <w:rsid w:val="0064364B"/>
    <w:rsid w:val="00643EC5"/>
    <w:rsid w:val="006443C6"/>
    <w:rsid w:val="00644A4D"/>
    <w:rsid w:val="00645170"/>
    <w:rsid w:val="00645184"/>
    <w:rsid w:val="00645770"/>
    <w:rsid w:val="006459EF"/>
    <w:rsid w:val="00645C4B"/>
    <w:rsid w:val="0064615F"/>
    <w:rsid w:val="0064637F"/>
    <w:rsid w:val="006465F3"/>
    <w:rsid w:val="006467A7"/>
    <w:rsid w:val="00646D78"/>
    <w:rsid w:val="0064753D"/>
    <w:rsid w:val="0064756D"/>
    <w:rsid w:val="00647765"/>
    <w:rsid w:val="00647D97"/>
    <w:rsid w:val="006509A7"/>
    <w:rsid w:val="006509DB"/>
    <w:rsid w:val="00650AE0"/>
    <w:rsid w:val="0065160E"/>
    <w:rsid w:val="006516E4"/>
    <w:rsid w:val="0065178C"/>
    <w:rsid w:val="00651B40"/>
    <w:rsid w:val="00651CD8"/>
    <w:rsid w:val="00652588"/>
    <w:rsid w:val="00652F6A"/>
    <w:rsid w:val="006534BF"/>
    <w:rsid w:val="006537D7"/>
    <w:rsid w:val="0065412C"/>
    <w:rsid w:val="0065444A"/>
    <w:rsid w:val="0065452B"/>
    <w:rsid w:val="0065460D"/>
    <w:rsid w:val="00654B1E"/>
    <w:rsid w:val="00654CEB"/>
    <w:rsid w:val="00654F68"/>
    <w:rsid w:val="006557DD"/>
    <w:rsid w:val="00655819"/>
    <w:rsid w:val="00655CF9"/>
    <w:rsid w:val="00655D45"/>
    <w:rsid w:val="00655DB6"/>
    <w:rsid w:val="00656174"/>
    <w:rsid w:val="006561B4"/>
    <w:rsid w:val="00657032"/>
    <w:rsid w:val="0065714C"/>
    <w:rsid w:val="006607F4"/>
    <w:rsid w:val="00660A74"/>
    <w:rsid w:val="00660ED3"/>
    <w:rsid w:val="00661291"/>
    <w:rsid w:val="00661C56"/>
    <w:rsid w:val="0066256F"/>
    <w:rsid w:val="00662B62"/>
    <w:rsid w:val="00662E5F"/>
    <w:rsid w:val="006630EA"/>
    <w:rsid w:val="00663104"/>
    <w:rsid w:val="006632A4"/>
    <w:rsid w:val="00663397"/>
    <w:rsid w:val="0066404E"/>
    <w:rsid w:val="00664434"/>
    <w:rsid w:val="006645E0"/>
    <w:rsid w:val="00664983"/>
    <w:rsid w:val="00664D6F"/>
    <w:rsid w:val="006652EF"/>
    <w:rsid w:val="0066557F"/>
    <w:rsid w:val="0066561F"/>
    <w:rsid w:val="00665817"/>
    <w:rsid w:val="00665C72"/>
    <w:rsid w:val="00666580"/>
    <w:rsid w:val="00666616"/>
    <w:rsid w:val="006667E6"/>
    <w:rsid w:val="00666A58"/>
    <w:rsid w:val="0066713B"/>
    <w:rsid w:val="00667331"/>
    <w:rsid w:val="0066771F"/>
    <w:rsid w:val="00667D31"/>
    <w:rsid w:val="00667F2F"/>
    <w:rsid w:val="00670252"/>
    <w:rsid w:val="006703FB"/>
    <w:rsid w:val="00670650"/>
    <w:rsid w:val="00670DFE"/>
    <w:rsid w:val="0067110A"/>
    <w:rsid w:val="006712C0"/>
    <w:rsid w:val="006712D6"/>
    <w:rsid w:val="0067201E"/>
    <w:rsid w:val="006725F1"/>
    <w:rsid w:val="00672D64"/>
    <w:rsid w:val="00673607"/>
    <w:rsid w:val="0067372B"/>
    <w:rsid w:val="00673E39"/>
    <w:rsid w:val="006744AC"/>
    <w:rsid w:val="00674701"/>
    <w:rsid w:val="006748EC"/>
    <w:rsid w:val="00674C7D"/>
    <w:rsid w:val="0067505A"/>
    <w:rsid w:val="0067626D"/>
    <w:rsid w:val="00676824"/>
    <w:rsid w:val="00676847"/>
    <w:rsid w:val="00676D49"/>
    <w:rsid w:val="00676DF4"/>
    <w:rsid w:val="00676F1C"/>
    <w:rsid w:val="006778AE"/>
    <w:rsid w:val="00677EC8"/>
    <w:rsid w:val="006800E5"/>
    <w:rsid w:val="006802CF"/>
    <w:rsid w:val="006803CB"/>
    <w:rsid w:val="006804BC"/>
    <w:rsid w:val="00680A92"/>
    <w:rsid w:val="00680B40"/>
    <w:rsid w:val="00681054"/>
    <w:rsid w:val="0068155A"/>
    <w:rsid w:val="00681680"/>
    <w:rsid w:val="00681894"/>
    <w:rsid w:val="00681B70"/>
    <w:rsid w:val="00681D37"/>
    <w:rsid w:val="00681EC9"/>
    <w:rsid w:val="006822FA"/>
    <w:rsid w:val="0068288C"/>
    <w:rsid w:val="00682924"/>
    <w:rsid w:val="00682ADB"/>
    <w:rsid w:val="00682FA2"/>
    <w:rsid w:val="00682FAE"/>
    <w:rsid w:val="006835AC"/>
    <w:rsid w:val="00683675"/>
    <w:rsid w:val="00683F36"/>
    <w:rsid w:val="0068477E"/>
    <w:rsid w:val="00685589"/>
    <w:rsid w:val="00685A9B"/>
    <w:rsid w:val="00686411"/>
    <w:rsid w:val="0068682C"/>
    <w:rsid w:val="00686CD9"/>
    <w:rsid w:val="00686F08"/>
    <w:rsid w:val="00687039"/>
    <w:rsid w:val="006871E7"/>
    <w:rsid w:val="00687849"/>
    <w:rsid w:val="0069004B"/>
    <w:rsid w:val="006909FF"/>
    <w:rsid w:val="00690DD8"/>
    <w:rsid w:val="006910D4"/>
    <w:rsid w:val="006910F6"/>
    <w:rsid w:val="006911B4"/>
    <w:rsid w:val="00691407"/>
    <w:rsid w:val="0069157D"/>
    <w:rsid w:val="006915C0"/>
    <w:rsid w:val="0069167E"/>
    <w:rsid w:val="006925E3"/>
    <w:rsid w:val="006938AA"/>
    <w:rsid w:val="00693DA8"/>
    <w:rsid w:val="0069452A"/>
    <w:rsid w:val="0069474B"/>
    <w:rsid w:val="0069475D"/>
    <w:rsid w:val="00694997"/>
    <w:rsid w:val="00694BFD"/>
    <w:rsid w:val="00694DA1"/>
    <w:rsid w:val="00694DF1"/>
    <w:rsid w:val="006952C8"/>
    <w:rsid w:val="00697966"/>
    <w:rsid w:val="00697DFE"/>
    <w:rsid w:val="00697EA8"/>
    <w:rsid w:val="00697F63"/>
    <w:rsid w:val="006A06B2"/>
    <w:rsid w:val="006A06D1"/>
    <w:rsid w:val="006A0953"/>
    <w:rsid w:val="006A14D7"/>
    <w:rsid w:val="006A169E"/>
    <w:rsid w:val="006A1D18"/>
    <w:rsid w:val="006A1D1A"/>
    <w:rsid w:val="006A2394"/>
    <w:rsid w:val="006A250C"/>
    <w:rsid w:val="006A2DE2"/>
    <w:rsid w:val="006A30D1"/>
    <w:rsid w:val="006A3159"/>
    <w:rsid w:val="006A3399"/>
    <w:rsid w:val="006A3A2B"/>
    <w:rsid w:val="006A3CC0"/>
    <w:rsid w:val="006A3D11"/>
    <w:rsid w:val="006A3DBB"/>
    <w:rsid w:val="006A44EA"/>
    <w:rsid w:val="006A468B"/>
    <w:rsid w:val="006A4884"/>
    <w:rsid w:val="006A4A74"/>
    <w:rsid w:val="006A4AD8"/>
    <w:rsid w:val="006A4DAE"/>
    <w:rsid w:val="006A52D4"/>
    <w:rsid w:val="006A5905"/>
    <w:rsid w:val="006A625C"/>
    <w:rsid w:val="006A6BF1"/>
    <w:rsid w:val="006A6EDD"/>
    <w:rsid w:val="006A78F2"/>
    <w:rsid w:val="006B045C"/>
    <w:rsid w:val="006B086D"/>
    <w:rsid w:val="006B0F3B"/>
    <w:rsid w:val="006B232C"/>
    <w:rsid w:val="006B2392"/>
    <w:rsid w:val="006B2435"/>
    <w:rsid w:val="006B2CB9"/>
    <w:rsid w:val="006B3032"/>
    <w:rsid w:val="006B3044"/>
    <w:rsid w:val="006B310D"/>
    <w:rsid w:val="006B360A"/>
    <w:rsid w:val="006B4026"/>
    <w:rsid w:val="006B4163"/>
    <w:rsid w:val="006B41BE"/>
    <w:rsid w:val="006B43C6"/>
    <w:rsid w:val="006B4B4A"/>
    <w:rsid w:val="006B6351"/>
    <w:rsid w:val="006B640D"/>
    <w:rsid w:val="006B698E"/>
    <w:rsid w:val="006B75C6"/>
    <w:rsid w:val="006B75DF"/>
    <w:rsid w:val="006B7BA4"/>
    <w:rsid w:val="006C1409"/>
    <w:rsid w:val="006C14A6"/>
    <w:rsid w:val="006C19B7"/>
    <w:rsid w:val="006C2D58"/>
    <w:rsid w:val="006C3066"/>
    <w:rsid w:val="006C354C"/>
    <w:rsid w:val="006C3A15"/>
    <w:rsid w:val="006C3B76"/>
    <w:rsid w:val="006C4572"/>
    <w:rsid w:val="006C47D1"/>
    <w:rsid w:val="006C4AEB"/>
    <w:rsid w:val="006C4E62"/>
    <w:rsid w:val="006C4E8B"/>
    <w:rsid w:val="006C5729"/>
    <w:rsid w:val="006C61D4"/>
    <w:rsid w:val="006C63F0"/>
    <w:rsid w:val="006C6467"/>
    <w:rsid w:val="006C67C7"/>
    <w:rsid w:val="006C7056"/>
    <w:rsid w:val="006C787A"/>
    <w:rsid w:val="006C79A1"/>
    <w:rsid w:val="006C7B03"/>
    <w:rsid w:val="006D0316"/>
    <w:rsid w:val="006D0401"/>
    <w:rsid w:val="006D0BCE"/>
    <w:rsid w:val="006D0EC2"/>
    <w:rsid w:val="006D100D"/>
    <w:rsid w:val="006D1349"/>
    <w:rsid w:val="006D1D3C"/>
    <w:rsid w:val="006D2381"/>
    <w:rsid w:val="006D269B"/>
    <w:rsid w:val="006D27D7"/>
    <w:rsid w:val="006D2EC0"/>
    <w:rsid w:val="006D3BDB"/>
    <w:rsid w:val="006D3C48"/>
    <w:rsid w:val="006D3EAD"/>
    <w:rsid w:val="006D428C"/>
    <w:rsid w:val="006D479E"/>
    <w:rsid w:val="006D4A92"/>
    <w:rsid w:val="006D4C72"/>
    <w:rsid w:val="006D4E4C"/>
    <w:rsid w:val="006D5585"/>
    <w:rsid w:val="006D5F76"/>
    <w:rsid w:val="006D614F"/>
    <w:rsid w:val="006D649C"/>
    <w:rsid w:val="006D64E3"/>
    <w:rsid w:val="006D6BBA"/>
    <w:rsid w:val="006D6CCF"/>
    <w:rsid w:val="006D6D96"/>
    <w:rsid w:val="006D6DBA"/>
    <w:rsid w:val="006D7211"/>
    <w:rsid w:val="006D729B"/>
    <w:rsid w:val="006D75C8"/>
    <w:rsid w:val="006D75D6"/>
    <w:rsid w:val="006D7985"/>
    <w:rsid w:val="006E0112"/>
    <w:rsid w:val="006E0670"/>
    <w:rsid w:val="006E06CA"/>
    <w:rsid w:val="006E079B"/>
    <w:rsid w:val="006E0994"/>
    <w:rsid w:val="006E1400"/>
    <w:rsid w:val="006E141F"/>
    <w:rsid w:val="006E2691"/>
    <w:rsid w:val="006E36ED"/>
    <w:rsid w:val="006E3720"/>
    <w:rsid w:val="006E3A06"/>
    <w:rsid w:val="006E4693"/>
    <w:rsid w:val="006E5279"/>
    <w:rsid w:val="006E618C"/>
    <w:rsid w:val="006E6485"/>
    <w:rsid w:val="006E649B"/>
    <w:rsid w:val="006E7E7C"/>
    <w:rsid w:val="006E7FDC"/>
    <w:rsid w:val="006F034C"/>
    <w:rsid w:val="006F085F"/>
    <w:rsid w:val="006F0D46"/>
    <w:rsid w:val="006F0EC8"/>
    <w:rsid w:val="006F0FCC"/>
    <w:rsid w:val="006F15B1"/>
    <w:rsid w:val="006F1741"/>
    <w:rsid w:val="006F1ECB"/>
    <w:rsid w:val="006F23DD"/>
    <w:rsid w:val="006F2BA2"/>
    <w:rsid w:val="006F2DFF"/>
    <w:rsid w:val="006F2F6E"/>
    <w:rsid w:val="006F3050"/>
    <w:rsid w:val="006F3A39"/>
    <w:rsid w:val="006F3C37"/>
    <w:rsid w:val="006F4468"/>
    <w:rsid w:val="006F484C"/>
    <w:rsid w:val="006F4DAC"/>
    <w:rsid w:val="006F5158"/>
    <w:rsid w:val="006F5608"/>
    <w:rsid w:val="006F6B34"/>
    <w:rsid w:val="006F7067"/>
    <w:rsid w:val="006F78AA"/>
    <w:rsid w:val="006F7926"/>
    <w:rsid w:val="006F7BFA"/>
    <w:rsid w:val="006F7C19"/>
    <w:rsid w:val="006F7FC8"/>
    <w:rsid w:val="007008E7"/>
    <w:rsid w:val="00700950"/>
    <w:rsid w:val="00701136"/>
    <w:rsid w:val="0070247D"/>
    <w:rsid w:val="0070266C"/>
    <w:rsid w:val="0070297F"/>
    <w:rsid w:val="007029AA"/>
    <w:rsid w:val="00702C9C"/>
    <w:rsid w:val="00702D08"/>
    <w:rsid w:val="00702D55"/>
    <w:rsid w:val="0070319A"/>
    <w:rsid w:val="00703330"/>
    <w:rsid w:val="0070377F"/>
    <w:rsid w:val="00703BE9"/>
    <w:rsid w:val="00703CB4"/>
    <w:rsid w:val="00703F64"/>
    <w:rsid w:val="00704197"/>
    <w:rsid w:val="00704E17"/>
    <w:rsid w:val="00705206"/>
    <w:rsid w:val="00706229"/>
    <w:rsid w:val="00706989"/>
    <w:rsid w:val="00706A72"/>
    <w:rsid w:val="00706F28"/>
    <w:rsid w:val="007071D1"/>
    <w:rsid w:val="00707C18"/>
    <w:rsid w:val="007103A9"/>
    <w:rsid w:val="00710884"/>
    <w:rsid w:val="00710C41"/>
    <w:rsid w:val="00711023"/>
    <w:rsid w:val="00711FE0"/>
    <w:rsid w:val="0071218B"/>
    <w:rsid w:val="0071254B"/>
    <w:rsid w:val="007125CA"/>
    <w:rsid w:val="007128E1"/>
    <w:rsid w:val="0071398C"/>
    <w:rsid w:val="00713B07"/>
    <w:rsid w:val="00713EEB"/>
    <w:rsid w:val="007144B4"/>
    <w:rsid w:val="00714B53"/>
    <w:rsid w:val="00715474"/>
    <w:rsid w:val="007155B2"/>
    <w:rsid w:val="00715954"/>
    <w:rsid w:val="00715E8C"/>
    <w:rsid w:val="007160EC"/>
    <w:rsid w:val="007161F1"/>
    <w:rsid w:val="0071679C"/>
    <w:rsid w:val="0071694A"/>
    <w:rsid w:val="00716AD2"/>
    <w:rsid w:val="00716E5B"/>
    <w:rsid w:val="007175FC"/>
    <w:rsid w:val="00717C0D"/>
    <w:rsid w:val="00717CE5"/>
    <w:rsid w:val="007200B8"/>
    <w:rsid w:val="00720344"/>
    <w:rsid w:val="007203CA"/>
    <w:rsid w:val="0072080A"/>
    <w:rsid w:val="00720D0C"/>
    <w:rsid w:val="0072165F"/>
    <w:rsid w:val="00721CEB"/>
    <w:rsid w:val="0072211D"/>
    <w:rsid w:val="007226F5"/>
    <w:rsid w:val="007228D4"/>
    <w:rsid w:val="00722F91"/>
    <w:rsid w:val="00723B2C"/>
    <w:rsid w:val="00724ED0"/>
    <w:rsid w:val="00724F92"/>
    <w:rsid w:val="00725381"/>
    <w:rsid w:val="007253D6"/>
    <w:rsid w:val="00725694"/>
    <w:rsid w:val="0072578A"/>
    <w:rsid w:val="0072597A"/>
    <w:rsid w:val="00725B31"/>
    <w:rsid w:val="00725CDA"/>
    <w:rsid w:val="00726313"/>
    <w:rsid w:val="00727599"/>
    <w:rsid w:val="00727995"/>
    <w:rsid w:val="0073014E"/>
    <w:rsid w:val="00730AC8"/>
    <w:rsid w:val="007316D0"/>
    <w:rsid w:val="00731ABA"/>
    <w:rsid w:val="00732134"/>
    <w:rsid w:val="007321BF"/>
    <w:rsid w:val="00732B01"/>
    <w:rsid w:val="007331F6"/>
    <w:rsid w:val="00733628"/>
    <w:rsid w:val="00734099"/>
    <w:rsid w:val="007340AF"/>
    <w:rsid w:val="00734419"/>
    <w:rsid w:val="0073492C"/>
    <w:rsid w:val="00734BE9"/>
    <w:rsid w:val="00734DA4"/>
    <w:rsid w:val="00735261"/>
    <w:rsid w:val="0073553E"/>
    <w:rsid w:val="00735A9C"/>
    <w:rsid w:val="0073667D"/>
    <w:rsid w:val="007372F4"/>
    <w:rsid w:val="0073749D"/>
    <w:rsid w:val="0073792C"/>
    <w:rsid w:val="00737AE2"/>
    <w:rsid w:val="00737EB3"/>
    <w:rsid w:val="007408B6"/>
    <w:rsid w:val="00741247"/>
    <w:rsid w:val="007414F0"/>
    <w:rsid w:val="00741527"/>
    <w:rsid w:val="00741630"/>
    <w:rsid w:val="007418A3"/>
    <w:rsid w:val="00741D8F"/>
    <w:rsid w:val="00742254"/>
    <w:rsid w:val="0074257A"/>
    <w:rsid w:val="007428BB"/>
    <w:rsid w:val="00742C57"/>
    <w:rsid w:val="0074378B"/>
    <w:rsid w:val="007446B4"/>
    <w:rsid w:val="00744BA0"/>
    <w:rsid w:val="00745115"/>
    <w:rsid w:val="00745194"/>
    <w:rsid w:val="00745453"/>
    <w:rsid w:val="00745662"/>
    <w:rsid w:val="0074622D"/>
    <w:rsid w:val="0074684D"/>
    <w:rsid w:val="00747252"/>
    <w:rsid w:val="00747434"/>
    <w:rsid w:val="0074788B"/>
    <w:rsid w:val="00750102"/>
    <w:rsid w:val="00750384"/>
    <w:rsid w:val="0075061F"/>
    <w:rsid w:val="0075137C"/>
    <w:rsid w:val="007515D1"/>
    <w:rsid w:val="0075173E"/>
    <w:rsid w:val="00751881"/>
    <w:rsid w:val="007518C2"/>
    <w:rsid w:val="007520BC"/>
    <w:rsid w:val="007523BA"/>
    <w:rsid w:val="00752B62"/>
    <w:rsid w:val="0075336D"/>
    <w:rsid w:val="00753D59"/>
    <w:rsid w:val="0075418A"/>
    <w:rsid w:val="007543AF"/>
    <w:rsid w:val="007543E8"/>
    <w:rsid w:val="00754920"/>
    <w:rsid w:val="00756E0A"/>
    <w:rsid w:val="00760188"/>
    <w:rsid w:val="0076046E"/>
    <w:rsid w:val="00760696"/>
    <w:rsid w:val="00760CA7"/>
    <w:rsid w:val="00761482"/>
    <w:rsid w:val="00761A60"/>
    <w:rsid w:val="00761C11"/>
    <w:rsid w:val="00761E49"/>
    <w:rsid w:val="0076260D"/>
    <w:rsid w:val="0076271B"/>
    <w:rsid w:val="00762F87"/>
    <w:rsid w:val="00763852"/>
    <w:rsid w:val="007638B1"/>
    <w:rsid w:val="00763B77"/>
    <w:rsid w:val="0076452D"/>
    <w:rsid w:val="00764671"/>
    <w:rsid w:val="0076480C"/>
    <w:rsid w:val="0076498F"/>
    <w:rsid w:val="007650B6"/>
    <w:rsid w:val="00766C58"/>
    <w:rsid w:val="0076702C"/>
    <w:rsid w:val="0076767D"/>
    <w:rsid w:val="00767984"/>
    <w:rsid w:val="00767B41"/>
    <w:rsid w:val="00767F6C"/>
    <w:rsid w:val="007705C9"/>
    <w:rsid w:val="00770FA3"/>
    <w:rsid w:val="007711AD"/>
    <w:rsid w:val="007719C4"/>
    <w:rsid w:val="00771CF4"/>
    <w:rsid w:val="00772234"/>
    <w:rsid w:val="00772294"/>
    <w:rsid w:val="007726E6"/>
    <w:rsid w:val="00772829"/>
    <w:rsid w:val="00773126"/>
    <w:rsid w:val="007734AF"/>
    <w:rsid w:val="00773768"/>
    <w:rsid w:val="007737D8"/>
    <w:rsid w:val="007738BA"/>
    <w:rsid w:val="00774505"/>
    <w:rsid w:val="00774592"/>
    <w:rsid w:val="0077552D"/>
    <w:rsid w:val="00775CCA"/>
    <w:rsid w:val="00776768"/>
    <w:rsid w:val="00776C92"/>
    <w:rsid w:val="00777039"/>
    <w:rsid w:val="00777555"/>
    <w:rsid w:val="00777848"/>
    <w:rsid w:val="00777893"/>
    <w:rsid w:val="00777B4A"/>
    <w:rsid w:val="007805EC"/>
    <w:rsid w:val="00780649"/>
    <w:rsid w:val="00780AEA"/>
    <w:rsid w:val="00780C8F"/>
    <w:rsid w:val="00781131"/>
    <w:rsid w:val="00781630"/>
    <w:rsid w:val="0078185D"/>
    <w:rsid w:val="00781FE8"/>
    <w:rsid w:val="00782582"/>
    <w:rsid w:val="00782CE6"/>
    <w:rsid w:val="00783560"/>
    <w:rsid w:val="00784341"/>
    <w:rsid w:val="00784876"/>
    <w:rsid w:val="00784CA7"/>
    <w:rsid w:val="00785086"/>
    <w:rsid w:val="007852D5"/>
    <w:rsid w:val="007852E9"/>
    <w:rsid w:val="007857D3"/>
    <w:rsid w:val="007859D1"/>
    <w:rsid w:val="00785EE5"/>
    <w:rsid w:val="00785F88"/>
    <w:rsid w:val="00785FFB"/>
    <w:rsid w:val="00786BAB"/>
    <w:rsid w:val="007871C3"/>
    <w:rsid w:val="00787E85"/>
    <w:rsid w:val="007902ED"/>
    <w:rsid w:val="007909D1"/>
    <w:rsid w:val="00790B15"/>
    <w:rsid w:val="00790E92"/>
    <w:rsid w:val="00790F49"/>
    <w:rsid w:val="00791213"/>
    <w:rsid w:val="00791414"/>
    <w:rsid w:val="0079162F"/>
    <w:rsid w:val="00791FDB"/>
    <w:rsid w:val="0079209E"/>
    <w:rsid w:val="007922DF"/>
    <w:rsid w:val="00792B51"/>
    <w:rsid w:val="00792BD6"/>
    <w:rsid w:val="00792EE1"/>
    <w:rsid w:val="007931CB"/>
    <w:rsid w:val="00793B8E"/>
    <w:rsid w:val="00794EE5"/>
    <w:rsid w:val="0079518D"/>
    <w:rsid w:val="007951D4"/>
    <w:rsid w:val="00795799"/>
    <w:rsid w:val="0079588E"/>
    <w:rsid w:val="00796567"/>
    <w:rsid w:val="00796698"/>
    <w:rsid w:val="00796C05"/>
    <w:rsid w:val="00796C58"/>
    <w:rsid w:val="00797C46"/>
    <w:rsid w:val="00797CA1"/>
    <w:rsid w:val="007A001F"/>
    <w:rsid w:val="007A0D21"/>
    <w:rsid w:val="007A0D36"/>
    <w:rsid w:val="007A1393"/>
    <w:rsid w:val="007A19F6"/>
    <w:rsid w:val="007A1D05"/>
    <w:rsid w:val="007A2B65"/>
    <w:rsid w:val="007A3183"/>
    <w:rsid w:val="007A3190"/>
    <w:rsid w:val="007A3210"/>
    <w:rsid w:val="007A38A1"/>
    <w:rsid w:val="007A3E49"/>
    <w:rsid w:val="007A3F1F"/>
    <w:rsid w:val="007A41F0"/>
    <w:rsid w:val="007A42C0"/>
    <w:rsid w:val="007A44C1"/>
    <w:rsid w:val="007A480D"/>
    <w:rsid w:val="007A521D"/>
    <w:rsid w:val="007A5617"/>
    <w:rsid w:val="007A56D2"/>
    <w:rsid w:val="007A58E6"/>
    <w:rsid w:val="007A593E"/>
    <w:rsid w:val="007A5E4C"/>
    <w:rsid w:val="007A627D"/>
    <w:rsid w:val="007A6598"/>
    <w:rsid w:val="007A672C"/>
    <w:rsid w:val="007A696F"/>
    <w:rsid w:val="007A6AB1"/>
    <w:rsid w:val="007A6E11"/>
    <w:rsid w:val="007A6E30"/>
    <w:rsid w:val="007A7BEE"/>
    <w:rsid w:val="007A7E0F"/>
    <w:rsid w:val="007B00BE"/>
    <w:rsid w:val="007B0245"/>
    <w:rsid w:val="007B0276"/>
    <w:rsid w:val="007B05B2"/>
    <w:rsid w:val="007B083F"/>
    <w:rsid w:val="007B0880"/>
    <w:rsid w:val="007B0D01"/>
    <w:rsid w:val="007B10F4"/>
    <w:rsid w:val="007B2085"/>
    <w:rsid w:val="007B23A6"/>
    <w:rsid w:val="007B23B3"/>
    <w:rsid w:val="007B24F4"/>
    <w:rsid w:val="007B2C68"/>
    <w:rsid w:val="007B2E7D"/>
    <w:rsid w:val="007B2F58"/>
    <w:rsid w:val="007B2F6B"/>
    <w:rsid w:val="007B2FDC"/>
    <w:rsid w:val="007B38A0"/>
    <w:rsid w:val="007B38B7"/>
    <w:rsid w:val="007B3BAF"/>
    <w:rsid w:val="007B42E5"/>
    <w:rsid w:val="007B459F"/>
    <w:rsid w:val="007B46A5"/>
    <w:rsid w:val="007B4CE1"/>
    <w:rsid w:val="007B4D5E"/>
    <w:rsid w:val="007B4F61"/>
    <w:rsid w:val="007B4F7B"/>
    <w:rsid w:val="007B583D"/>
    <w:rsid w:val="007B642F"/>
    <w:rsid w:val="007B6684"/>
    <w:rsid w:val="007B6B21"/>
    <w:rsid w:val="007B6C62"/>
    <w:rsid w:val="007B6CFA"/>
    <w:rsid w:val="007B7024"/>
    <w:rsid w:val="007B7A35"/>
    <w:rsid w:val="007C0390"/>
    <w:rsid w:val="007C0883"/>
    <w:rsid w:val="007C0A9F"/>
    <w:rsid w:val="007C0C4C"/>
    <w:rsid w:val="007C11A1"/>
    <w:rsid w:val="007C13BA"/>
    <w:rsid w:val="007C13EC"/>
    <w:rsid w:val="007C14A2"/>
    <w:rsid w:val="007C1D8B"/>
    <w:rsid w:val="007C2033"/>
    <w:rsid w:val="007C300E"/>
    <w:rsid w:val="007C314E"/>
    <w:rsid w:val="007C328D"/>
    <w:rsid w:val="007C336F"/>
    <w:rsid w:val="007C369F"/>
    <w:rsid w:val="007C41B1"/>
    <w:rsid w:val="007C4B1B"/>
    <w:rsid w:val="007C5D79"/>
    <w:rsid w:val="007C5F87"/>
    <w:rsid w:val="007C61C9"/>
    <w:rsid w:val="007C62AA"/>
    <w:rsid w:val="007C64CC"/>
    <w:rsid w:val="007C7167"/>
    <w:rsid w:val="007C735C"/>
    <w:rsid w:val="007C7A40"/>
    <w:rsid w:val="007C7D1D"/>
    <w:rsid w:val="007C7DFE"/>
    <w:rsid w:val="007D0524"/>
    <w:rsid w:val="007D09B1"/>
    <w:rsid w:val="007D0A88"/>
    <w:rsid w:val="007D129B"/>
    <w:rsid w:val="007D1813"/>
    <w:rsid w:val="007D231D"/>
    <w:rsid w:val="007D272A"/>
    <w:rsid w:val="007D30B7"/>
    <w:rsid w:val="007D3243"/>
    <w:rsid w:val="007D336B"/>
    <w:rsid w:val="007D3C5F"/>
    <w:rsid w:val="007D4227"/>
    <w:rsid w:val="007D429A"/>
    <w:rsid w:val="007D4324"/>
    <w:rsid w:val="007D43D3"/>
    <w:rsid w:val="007D450C"/>
    <w:rsid w:val="007D4586"/>
    <w:rsid w:val="007D59BA"/>
    <w:rsid w:val="007D5A02"/>
    <w:rsid w:val="007D5BE4"/>
    <w:rsid w:val="007D5EBF"/>
    <w:rsid w:val="007D64F5"/>
    <w:rsid w:val="007D6C06"/>
    <w:rsid w:val="007D6E9C"/>
    <w:rsid w:val="007D6EC2"/>
    <w:rsid w:val="007D6F3F"/>
    <w:rsid w:val="007D70CA"/>
    <w:rsid w:val="007D713B"/>
    <w:rsid w:val="007D7AAB"/>
    <w:rsid w:val="007D7FCC"/>
    <w:rsid w:val="007E0BA0"/>
    <w:rsid w:val="007E116B"/>
    <w:rsid w:val="007E14D8"/>
    <w:rsid w:val="007E15AD"/>
    <w:rsid w:val="007E168E"/>
    <w:rsid w:val="007E2318"/>
    <w:rsid w:val="007E25ED"/>
    <w:rsid w:val="007E26FC"/>
    <w:rsid w:val="007E2759"/>
    <w:rsid w:val="007E2AF2"/>
    <w:rsid w:val="007E2BC0"/>
    <w:rsid w:val="007E3A00"/>
    <w:rsid w:val="007E3AD6"/>
    <w:rsid w:val="007E3C59"/>
    <w:rsid w:val="007E43D2"/>
    <w:rsid w:val="007E483F"/>
    <w:rsid w:val="007E51AF"/>
    <w:rsid w:val="007E5890"/>
    <w:rsid w:val="007E5A00"/>
    <w:rsid w:val="007E638E"/>
    <w:rsid w:val="007E6742"/>
    <w:rsid w:val="007E680F"/>
    <w:rsid w:val="007E6877"/>
    <w:rsid w:val="007E7F53"/>
    <w:rsid w:val="007F08FC"/>
    <w:rsid w:val="007F0AD2"/>
    <w:rsid w:val="007F11D5"/>
    <w:rsid w:val="007F1489"/>
    <w:rsid w:val="007F1499"/>
    <w:rsid w:val="007F2263"/>
    <w:rsid w:val="007F2628"/>
    <w:rsid w:val="007F30DB"/>
    <w:rsid w:val="007F358E"/>
    <w:rsid w:val="007F373B"/>
    <w:rsid w:val="007F3B20"/>
    <w:rsid w:val="007F3BF6"/>
    <w:rsid w:val="007F3CA9"/>
    <w:rsid w:val="007F4210"/>
    <w:rsid w:val="007F45AF"/>
    <w:rsid w:val="007F5750"/>
    <w:rsid w:val="007F5B66"/>
    <w:rsid w:val="007F5E94"/>
    <w:rsid w:val="007F6519"/>
    <w:rsid w:val="007F67E9"/>
    <w:rsid w:val="007F69BB"/>
    <w:rsid w:val="007F7370"/>
    <w:rsid w:val="007F7550"/>
    <w:rsid w:val="007F7C7B"/>
    <w:rsid w:val="00800FD2"/>
    <w:rsid w:val="008019C5"/>
    <w:rsid w:val="00802A50"/>
    <w:rsid w:val="00802D2C"/>
    <w:rsid w:val="00802FAF"/>
    <w:rsid w:val="0080310F"/>
    <w:rsid w:val="00803DD3"/>
    <w:rsid w:val="00803DF9"/>
    <w:rsid w:val="008040A2"/>
    <w:rsid w:val="00804143"/>
    <w:rsid w:val="008045F3"/>
    <w:rsid w:val="00804632"/>
    <w:rsid w:val="00804B5D"/>
    <w:rsid w:val="00804D70"/>
    <w:rsid w:val="00804E5C"/>
    <w:rsid w:val="008054D9"/>
    <w:rsid w:val="0080574B"/>
    <w:rsid w:val="008059E8"/>
    <w:rsid w:val="00805A89"/>
    <w:rsid w:val="00805C84"/>
    <w:rsid w:val="00805DAC"/>
    <w:rsid w:val="008064AF"/>
    <w:rsid w:val="0080658C"/>
    <w:rsid w:val="00806688"/>
    <w:rsid w:val="0080722D"/>
    <w:rsid w:val="0080792F"/>
    <w:rsid w:val="00807A3E"/>
    <w:rsid w:val="00807F1D"/>
    <w:rsid w:val="00810338"/>
    <w:rsid w:val="00810780"/>
    <w:rsid w:val="00810AEA"/>
    <w:rsid w:val="00810DF0"/>
    <w:rsid w:val="0081139D"/>
    <w:rsid w:val="00811985"/>
    <w:rsid w:val="00812282"/>
    <w:rsid w:val="00812B38"/>
    <w:rsid w:val="00813968"/>
    <w:rsid w:val="00813E8E"/>
    <w:rsid w:val="00813F02"/>
    <w:rsid w:val="008141E0"/>
    <w:rsid w:val="00814220"/>
    <w:rsid w:val="0081450A"/>
    <w:rsid w:val="00814622"/>
    <w:rsid w:val="008148E4"/>
    <w:rsid w:val="00814E1B"/>
    <w:rsid w:val="008153FF"/>
    <w:rsid w:val="008157F1"/>
    <w:rsid w:val="008159C3"/>
    <w:rsid w:val="00816536"/>
    <w:rsid w:val="008165D5"/>
    <w:rsid w:val="008166C8"/>
    <w:rsid w:val="00816833"/>
    <w:rsid w:val="00816A28"/>
    <w:rsid w:val="00816EC2"/>
    <w:rsid w:val="0081793C"/>
    <w:rsid w:val="00817965"/>
    <w:rsid w:val="00817EC4"/>
    <w:rsid w:val="008200A1"/>
    <w:rsid w:val="008206EE"/>
    <w:rsid w:val="00820BA1"/>
    <w:rsid w:val="008216A9"/>
    <w:rsid w:val="00822981"/>
    <w:rsid w:val="008236E1"/>
    <w:rsid w:val="00823E00"/>
    <w:rsid w:val="008241ED"/>
    <w:rsid w:val="00824334"/>
    <w:rsid w:val="00824458"/>
    <w:rsid w:val="008244BE"/>
    <w:rsid w:val="008249F7"/>
    <w:rsid w:val="00824B74"/>
    <w:rsid w:val="00825142"/>
    <w:rsid w:val="008253AA"/>
    <w:rsid w:val="00825AD7"/>
    <w:rsid w:val="00826172"/>
    <w:rsid w:val="00826775"/>
    <w:rsid w:val="00826D94"/>
    <w:rsid w:val="00826EB5"/>
    <w:rsid w:val="00827027"/>
    <w:rsid w:val="00827152"/>
    <w:rsid w:val="0082725A"/>
    <w:rsid w:val="0082749E"/>
    <w:rsid w:val="0082779D"/>
    <w:rsid w:val="00827D46"/>
    <w:rsid w:val="00830B8A"/>
    <w:rsid w:val="008310AA"/>
    <w:rsid w:val="0083120A"/>
    <w:rsid w:val="00831481"/>
    <w:rsid w:val="008318F9"/>
    <w:rsid w:val="00831DCB"/>
    <w:rsid w:val="00831E49"/>
    <w:rsid w:val="00831E5F"/>
    <w:rsid w:val="008320AA"/>
    <w:rsid w:val="008322A0"/>
    <w:rsid w:val="008323C9"/>
    <w:rsid w:val="00832472"/>
    <w:rsid w:val="0083358F"/>
    <w:rsid w:val="008339FD"/>
    <w:rsid w:val="00833A8C"/>
    <w:rsid w:val="00833AAF"/>
    <w:rsid w:val="00833ABF"/>
    <w:rsid w:val="00833C46"/>
    <w:rsid w:val="00833D3E"/>
    <w:rsid w:val="00834086"/>
    <w:rsid w:val="0083458A"/>
    <w:rsid w:val="00834DA9"/>
    <w:rsid w:val="008352D1"/>
    <w:rsid w:val="00835524"/>
    <w:rsid w:val="00835A8E"/>
    <w:rsid w:val="00835C97"/>
    <w:rsid w:val="00835EC9"/>
    <w:rsid w:val="00836238"/>
    <w:rsid w:val="0084059A"/>
    <w:rsid w:val="008405B8"/>
    <w:rsid w:val="00840AC8"/>
    <w:rsid w:val="00841388"/>
    <w:rsid w:val="00841947"/>
    <w:rsid w:val="00841AFA"/>
    <w:rsid w:val="00841C7E"/>
    <w:rsid w:val="00841EFB"/>
    <w:rsid w:val="00841F44"/>
    <w:rsid w:val="00842035"/>
    <w:rsid w:val="00842A27"/>
    <w:rsid w:val="00842C50"/>
    <w:rsid w:val="00842C82"/>
    <w:rsid w:val="008436D7"/>
    <w:rsid w:val="00843783"/>
    <w:rsid w:val="00843A25"/>
    <w:rsid w:val="00843AF0"/>
    <w:rsid w:val="00843EF2"/>
    <w:rsid w:val="008440FE"/>
    <w:rsid w:val="008446A6"/>
    <w:rsid w:val="008447AF"/>
    <w:rsid w:val="0084491E"/>
    <w:rsid w:val="00844D12"/>
    <w:rsid w:val="008454CC"/>
    <w:rsid w:val="008458A7"/>
    <w:rsid w:val="00845B27"/>
    <w:rsid w:val="00845BA0"/>
    <w:rsid w:val="00845C66"/>
    <w:rsid w:val="00845CE6"/>
    <w:rsid w:val="00845FAC"/>
    <w:rsid w:val="00845FC0"/>
    <w:rsid w:val="00846119"/>
    <w:rsid w:val="008463B5"/>
    <w:rsid w:val="008465FD"/>
    <w:rsid w:val="00846895"/>
    <w:rsid w:val="00846AE3"/>
    <w:rsid w:val="008474E3"/>
    <w:rsid w:val="008477D2"/>
    <w:rsid w:val="00847C06"/>
    <w:rsid w:val="008503C5"/>
    <w:rsid w:val="00850568"/>
    <w:rsid w:val="0085086D"/>
    <w:rsid w:val="008510DC"/>
    <w:rsid w:val="008510FC"/>
    <w:rsid w:val="0085118A"/>
    <w:rsid w:val="00851440"/>
    <w:rsid w:val="008527ED"/>
    <w:rsid w:val="00852829"/>
    <w:rsid w:val="00852B17"/>
    <w:rsid w:val="00852DD7"/>
    <w:rsid w:val="008532F5"/>
    <w:rsid w:val="008537F7"/>
    <w:rsid w:val="00853A4C"/>
    <w:rsid w:val="00854096"/>
    <w:rsid w:val="008541E3"/>
    <w:rsid w:val="008546BE"/>
    <w:rsid w:val="0085498C"/>
    <w:rsid w:val="00854C0D"/>
    <w:rsid w:val="00854EC9"/>
    <w:rsid w:val="00855032"/>
    <w:rsid w:val="00855C60"/>
    <w:rsid w:val="00856074"/>
    <w:rsid w:val="00856256"/>
    <w:rsid w:val="0085655D"/>
    <w:rsid w:val="00856A93"/>
    <w:rsid w:val="00856E5A"/>
    <w:rsid w:val="008571FF"/>
    <w:rsid w:val="008572DB"/>
    <w:rsid w:val="00857316"/>
    <w:rsid w:val="00857949"/>
    <w:rsid w:val="00857E48"/>
    <w:rsid w:val="00860619"/>
    <w:rsid w:val="00860A3C"/>
    <w:rsid w:val="00861119"/>
    <w:rsid w:val="00862951"/>
    <w:rsid w:val="00862A3B"/>
    <w:rsid w:val="00862C42"/>
    <w:rsid w:val="00863B69"/>
    <w:rsid w:val="00864415"/>
    <w:rsid w:val="0086445A"/>
    <w:rsid w:val="008647A0"/>
    <w:rsid w:val="008656C5"/>
    <w:rsid w:val="00865862"/>
    <w:rsid w:val="0086594D"/>
    <w:rsid w:val="008661AB"/>
    <w:rsid w:val="00866600"/>
    <w:rsid w:val="00866743"/>
    <w:rsid w:val="00866E2C"/>
    <w:rsid w:val="00867444"/>
    <w:rsid w:val="008677AA"/>
    <w:rsid w:val="008700E5"/>
    <w:rsid w:val="008702BB"/>
    <w:rsid w:val="00870879"/>
    <w:rsid w:val="00870A87"/>
    <w:rsid w:val="00870ADA"/>
    <w:rsid w:val="008719C2"/>
    <w:rsid w:val="00871B15"/>
    <w:rsid w:val="00871C52"/>
    <w:rsid w:val="00871D34"/>
    <w:rsid w:val="008724AB"/>
    <w:rsid w:val="0087277A"/>
    <w:rsid w:val="00872A47"/>
    <w:rsid w:val="008734CC"/>
    <w:rsid w:val="008736E2"/>
    <w:rsid w:val="00874310"/>
    <w:rsid w:val="00874565"/>
    <w:rsid w:val="00875F97"/>
    <w:rsid w:val="00876AE6"/>
    <w:rsid w:val="00877247"/>
    <w:rsid w:val="00877B0C"/>
    <w:rsid w:val="008801AE"/>
    <w:rsid w:val="00880AA3"/>
    <w:rsid w:val="008823FF"/>
    <w:rsid w:val="00883107"/>
    <w:rsid w:val="0088314C"/>
    <w:rsid w:val="008832EC"/>
    <w:rsid w:val="00883C78"/>
    <w:rsid w:val="0088421C"/>
    <w:rsid w:val="0088445B"/>
    <w:rsid w:val="0088445C"/>
    <w:rsid w:val="008853DE"/>
    <w:rsid w:val="00885A86"/>
    <w:rsid w:val="008862EA"/>
    <w:rsid w:val="0088681F"/>
    <w:rsid w:val="008872EA"/>
    <w:rsid w:val="00887384"/>
    <w:rsid w:val="00887418"/>
    <w:rsid w:val="008874A5"/>
    <w:rsid w:val="008875B5"/>
    <w:rsid w:val="008875D1"/>
    <w:rsid w:val="008876D9"/>
    <w:rsid w:val="00887881"/>
    <w:rsid w:val="00887889"/>
    <w:rsid w:val="00890D5E"/>
    <w:rsid w:val="00890D65"/>
    <w:rsid w:val="00890FF5"/>
    <w:rsid w:val="008910A4"/>
    <w:rsid w:val="00891402"/>
    <w:rsid w:val="00891AF0"/>
    <w:rsid w:val="00891AF6"/>
    <w:rsid w:val="00891BC3"/>
    <w:rsid w:val="00892390"/>
    <w:rsid w:val="008925BC"/>
    <w:rsid w:val="00892AA7"/>
    <w:rsid w:val="00893193"/>
    <w:rsid w:val="00893760"/>
    <w:rsid w:val="008937C8"/>
    <w:rsid w:val="00894260"/>
    <w:rsid w:val="008945DB"/>
    <w:rsid w:val="00894833"/>
    <w:rsid w:val="008948E6"/>
    <w:rsid w:val="008949D7"/>
    <w:rsid w:val="008949D8"/>
    <w:rsid w:val="00895086"/>
    <w:rsid w:val="00895347"/>
    <w:rsid w:val="00895DA8"/>
    <w:rsid w:val="00895DE5"/>
    <w:rsid w:val="00896161"/>
    <w:rsid w:val="008967C4"/>
    <w:rsid w:val="00896914"/>
    <w:rsid w:val="00896A1C"/>
    <w:rsid w:val="00896C58"/>
    <w:rsid w:val="00896EC5"/>
    <w:rsid w:val="0089753A"/>
    <w:rsid w:val="00897937"/>
    <w:rsid w:val="008A07F5"/>
    <w:rsid w:val="008A0B40"/>
    <w:rsid w:val="008A0D2A"/>
    <w:rsid w:val="008A0E5D"/>
    <w:rsid w:val="008A1097"/>
    <w:rsid w:val="008A1693"/>
    <w:rsid w:val="008A1A75"/>
    <w:rsid w:val="008A1B8E"/>
    <w:rsid w:val="008A254F"/>
    <w:rsid w:val="008A2630"/>
    <w:rsid w:val="008A2E0A"/>
    <w:rsid w:val="008A34B5"/>
    <w:rsid w:val="008A3CE9"/>
    <w:rsid w:val="008A3D25"/>
    <w:rsid w:val="008A53B2"/>
    <w:rsid w:val="008A563E"/>
    <w:rsid w:val="008A5713"/>
    <w:rsid w:val="008A577C"/>
    <w:rsid w:val="008A5833"/>
    <w:rsid w:val="008A5B0F"/>
    <w:rsid w:val="008A5F3F"/>
    <w:rsid w:val="008A6575"/>
    <w:rsid w:val="008A68EC"/>
    <w:rsid w:val="008A7321"/>
    <w:rsid w:val="008A73EC"/>
    <w:rsid w:val="008A791E"/>
    <w:rsid w:val="008A7DB3"/>
    <w:rsid w:val="008A7DD1"/>
    <w:rsid w:val="008B0048"/>
    <w:rsid w:val="008B03F0"/>
    <w:rsid w:val="008B0D15"/>
    <w:rsid w:val="008B1457"/>
    <w:rsid w:val="008B1BC2"/>
    <w:rsid w:val="008B2302"/>
    <w:rsid w:val="008B2473"/>
    <w:rsid w:val="008B3547"/>
    <w:rsid w:val="008B375A"/>
    <w:rsid w:val="008B3792"/>
    <w:rsid w:val="008B3A67"/>
    <w:rsid w:val="008B3A88"/>
    <w:rsid w:val="008B47BF"/>
    <w:rsid w:val="008B4BFC"/>
    <w:rsid w:val="008B51B4"/>
    <w:rsid w:val="008B5887"/>
    <w:rsid w:val="008B5B67"/>
    <w:rsid w:val="008B5B85"/>
    <w:rsid w:val="008B5BDE"/>
    <w:rsid w:val="008B5D7A"/>
    <w:rsid w:val="008B604E"/>
    <w:rsid w:val="008B6556"/>
    <w:rsid w:val="008B66E3"/>
    <w:rsid w:val="008B6743"/>
    <w:rsid w:val="008B6831"/>
    <w:rsid w:val="008B6B9C"/>
    <w:rsid w:val="008B6C31"/>
    <w:rsid w:val="008B7534"/>
    <w:rsid w:val="008B754D"/>
    <w:rsid w:val="008B7848"/>
    <w:rsid w:val="008B78B3"/>
    <w:rsid w:val="008B8888"/>
    <w:rsid w:val="008C0266"/>
    <w:rsid w:val="008C02B6"/>
    <w:rsid w:val="008C06D1"/>
    <w:rsid w:val="008C06E9"/>
    <w:rsid w:val="008C1047"/>
    <w:rsid w:val="008C13D2"/>
    <w:rsid w:val="008C1489"/>
    <w:rsid w:val="008C151A"/>
    <w:rsid w:val="008C1D11"/>
    <w:rsid w:val="008C1E05"/>
    <w:rsid w:val="008C1F09"/>
    <w:rsid w:val="008C2266"/>
    <w:rsid w:val="008C2532"/>
    <w:rsid w:val="008C253F"/>
    <w:rsid w:val="008C2554"/>
    <w:rsid w:val="008C3215"/>
    <w:rsid w:val="008C32E1"/>
    <w:rsid w:val="008C347A"/>
    <w:rsid w:val="008C34BB"/>
    <w:rsid w:val="008C3D16"/>
    <w:rsid w:val="008C3F82"/>
    <w:rsid w:val="008C45E2"/>
    <w:rsid w:val="008C46C2"/>
    <w:rsid w:val="008C46E2"/>
    <w:rsid w:val="008C4AA9"/>
    <w:rsid w:val="008C4B28"/>
    <w:rsid w:val="008C51D5"/>
    <w:rsid w:val="008C5213"/>
    <w:rsid w:val="008C537E"/>
    <w:rsid w:val="008C688E"/>
    <w:rsid w:val="008C76A6"/>
    <w:rsid w:val="008C76CE"/>
    <w:rsid w:val="008C7FFE"/>
    <w:rsid w:val="008D03B4"/>
    <w:rsid w:val="008D07BC"/>
    <w:rsid w:val="008D0BBB"/>
    <w:rsid w:val="008D14AB"/>
    <w:rsid w:val="008D183C"/>
    <w:rsid w:val="008D1BE7"/>
    <w:rsid w:val="008D28E8"/>
    <w:rsid w:val="008D3726"/>
    <w:rsid w:val="008D3CE7"/>
    <w:rsid w:val="008D475E"/>
    <w:rsid w:val="008D48D5"/>
    <w:rsid w:val="008D4CB0"/>
    <w:rsid w:val="008D4E56"/>
    <w:rsid w:val="008D4E7D"/>
    <w:rsid w:val="008D4E7E"/>
    <w:rsid w:val="008D525A"/>
    <w:rsid w:val="008D54B4"/>
    <w:rsid w:val="008D5E78"/>
    <w:rsid w:val="008D5ED1"/>
    <w:rsid w:val="008D6397"/>
    <w:rsid w:val="008D6958"/>
    <w:rsid w:val="008D6BDA"/>
    <w:rsid w:val="008D6DE8"/>
    <w:rsid w:val="008D72C0"/>
    <w:rsid w:val="008D73C9"/>
    <w:rsid w:val="008D7759"/>
    <w:rsid w:val="008E0752"/>
    <w:rsid w:val="008E0E8B"/>
    <w:rsid w:val="008E13D1"/>
    <w:rsid w:val="008E16BF"/>
    <w:rsid w:val="008E1BA4"/>
    <w:rsid w:val="008E22F2"/>
    <w:rsid w:val="008E24F8"/>
    <w:rsid w:val="008E295A"/>
    <w:rsid w:val="008E3049"/>
    <w:rsid w:val="008E35A3"/>
    <w:rsid w:val="008E3EF4"/>
    <w:rsid w:val="008E479F"/>
    <w:rsid w:val="008E5087"/>
    <w:rsid w:val="008E5ED4"/>
    <w:rsid w:val="008E62D2"/>
    <w:rsid w:val="008E668F"/>
    <w:rsid w:val="008E67B8"/>
    <w:rsid w:val="008E7274"/>
    <w:rsid w:val="008E7954"/>
    <w:rsid w:val="008E7D56"/>
    <w:rsid w:val="008F033E"/>
    <w:rsid w:val="008F03C5"/>
    <w:rsid w:val="008F0513"/>
    <w:rsid w:val="008F0562"/>
    <w:rsid w:val="008F0730"/>
    <w:rsid w:val="008F135D"/>
    <w:rsid w:val="008F18AC"/>
    <w:rsid w:val="008F1AA4"/>
    <w:rsid w:val="008F2269"/>
    <w:rsid w:val="008F2315"/>
    <w:rsid w:val="008F260B"/>
    <w:rsid w:val="008F2C12"/>
    <w:rsid w:val="008F2F0A"/>
    <w:rsid w:val="008F3180"/>
    <w:rsid w:val="008F3EE3"/>
    <w:rsid w:val="008F4440"/>
    <w:rsid w:val="008F4C8D"/>
    <w:rsid w:val="008F4F8E"/>
    <w:rsid w:val="008F5342"/>
    <w:rsid w:val="008F6B3B"/>
    <w:rsid w:val="008F6C14"/>
    <w:rsid w:val="008F741B"/>
    <w:rsid w:val="008F7796"/>
    <w:rsid w:val="008F7F59"/>
    <w:rsid w:val="009002EA"/>
    <w:rsid w:val="009006BB"/>
    <w:rsid w:val="00900A0C"/>
    <w:rsid w:val="00901D71"/>
    <w:rsid w:val="00901E59"/>
    <w:rsid w:val="0090253C"/>
    <w:rsid w:val="00902A04"/>
    <w:rsid w:val="00903A69"/>
    <w:rsid w:val="00903C26"/>
    <w:rsid w:val="009044EE"/>
    <w:rsid w:val="00904D08"/>
    <w:rsid w:val="00904E90"/>
    <w:rsid w:val="009051A9"/>
    <w:rsid w:val="00905250"/>
    <w:rsid w:val="009061D1"/>
    <w:rsid w:val="009062A8"/>
    <w:rsid w:val="00906821"/>
    <w:rsid w:val="00906E65"/>
    <w:rsid w:val="00906EFC"/>
    <w:rsid w:val="0090705F"/>
    <w:rsid w:val="0090733A"/>
    <w:rsid w:val="00907B5D"/>
    <w:rsid w:val="00907D69"/>
    <w:rsid w:val="00907FF7"/>
    <w:rsid w:val="00910573"/>
    <w:rsid w:val="00910806"/>
    <w:rsid w:val="00910A7E"/>
    <w:rsid w:val="00910E8F"/>
    <w:rsid w:val="00910F6C"/>
    <w:rsid w:val="009110DD"/>
    <w:rsid w:val="00911318"/>
    <w:rsid w:val="009113AC"/>
    <w:rsid w:val="00911402"/>
    <w:rsid w:val="0091151D"/>
    <w:rsid w:val="009119C0"/>
    <w:rsid w:val="00911AB1"/>
    <w:rsid w:val="009124C2"/>
    <w:rsid w:val="009127EF"/>
    <w:rsid w:val="0091302B"/>
    <w:rsid w:val="00913C03"/>
    <w:rsid w:val="00914283"/>
    <w:rsid w:val="009144D5"/>
    <w:rsid w:val="00914650"/>
    <w:rsid w:val="0091537F"/>
    <w:rsid w:val="00915964"/>
    <w:rsid w:val="00915E06"/>
    <w:rsid w:val="00915F98"/>
    <w:rsid w:val="00915FA3"/>
    <w:rsid w:val="009161A9"/>
    <w:rsid w:val="00916816"/>
    <w:rsid w:val="00916C58"/>
    <w:rsid w:val="00917330"/>
    <w:rsid w:val="009173F9"/>
    <w:rsid w:val="00917DE8"/>
    <w:rsid w:val="00917EFF"/>
    <w:rsid w:val="00920310"/>
    <w:rsid w:val="009203B9"/>
    <w:rsid w:val="009205E0"/>
    <w:rsid w:val="009207D0"/>
    <w:rsid w:val="00920DF6"/>
    <w:rsid w:val="00920EB5"/>
    <w:rsid w:val="0092124B"/>
    <w:rsid w:val="009217F8"/>
    <w:rsid w:val="00921BA1"/>
    <w:rsid w:val="00921D8C"/>
    <w:rsid w:val="00924252"/>
    <w:rsid w:val="0092470E"/>
    <w:rsid w:val="00924859"/>
    <w:rsid w:val="00924AD9"/>
    <w:rsid w:val="00924C55"/>
    <w:rsid w:val="00924FC9"/>
    <w:rsid w:val="00925187"/>
    <w:rsid w:val="00925301"/>
    <w:rsid w:val="009255DA"/>
    <w:rsid w:val="00925B51"/>
    <w:rsid w:val="00926291"/>
    <w:rsid w:val="009262F2"/>
    <w:rsid w:val="0092709C"/>
    <w:rsid w:val="0092717F"/>
    <w:rsid w:val="00927440"/>
    <w:rsid w:val="00927744"/>
    <w:rsid w:val="00927961"/>
    <w:rsid w:val="009279EF"/>
    <w:rsid w:val="00927B05"/>
    <w:rsid w:val="0093028E"/>
    <w:rsid w:val="00930F4E"/>
    <w:rsid w:val="0093103E"/>
    <w:rsid w:val="009325E2"/>
    <w:rsid w:val="00933727"/>
    <w:rsid w:val="00933D3F"/>
    <w:rsid w:val="00936062"/>
    <w:rsid w:val="00936AC9"/>
    <w:rsid w:val="00937500"/>
    <w:rsid w:val="00937567"/>
    <w:rsid w:val="00937802"/>
    <w:rsid w:val="009378A3"/>
    <w:rsid w:val="00937C3D"/>
    <w:rsid w:val="00937CBE"/>
    <w:rsid w:val="0094001C"/>
    <w:rsid w:val="00940372"/>
    <w:rsid w:val="00940C6D"/>
    <w:rsid w:val="00940F08"/>
    <w:rsid w:val="009414AB"/>
    <w:rsid w:val="00941735"/>
    <w:rsid w:val="00941B3C"/>
    <w:rsid w:val="00941CD5"/>
    <w:rsid w:val="00941DB4"/>
    <w:rsid w:val="00941E09"/>
    <w:rsid w:val="00942357"/>
    <w:rsid w:val="00942E09"/>
    <w:rsid w:val="00943CCC"/>
    <w:rsid w:val="00943CE6"/>
    <w:rsid w:val="00944087"/>
    <w:rsid w:val="0094429C"/>
    <w:rsid w:val="009442CB"/>
    <w:rsid w:val="00944E74"/>
    <w:rsid w:val="00944F58"/>
    <w:rsid w:val="00945679"/>
    <w:rsid w:val="009465E5"/>
    <w:rsid w:val="009468C5"/>
    <w:rsid w:val="009474A4"/>
    <w:rsid w:val="00947D83"/>
    <w:rsid w:val="0095012E"/>
    <w:rsid w:val="0095093D"/>
    <w:rsid w:val="00950DB0"/>
    <w:rsid w:val="00950E13"/>
    <w:rsid w:val="0095183F"/>
    <w:rsid w:val="00951934"/>
    <w:rsid w:val="00951ED5"/>
    <w:rsid w:val="00951F56"/>
    <w:rsid w:val="0095207B"/>
    <w:rsid w:val="0095216A"/>
    <w:rsid w:val="009525E5"/>
    <w:rsid w:val="009525E8"/>
    <w:rsid w:val="009527BF"/>
    <w:rsid w:val="00952956"/>
    <w:rsid w:val="00952A1D"/>
    <w:rsid w:val="00952AF3"/>
    <w:rsid w:val="00953FDC"/>
    <w:rsid w:val="009540FA"/>
    <w:rsid w:val="009543C1"/>
    <w:rsid w:val="00954521"/>
    <w:rsid w:val="00954B4E"/>
    <w:rsid w:val="00954C8C"/>
    <w:rsid w:val="00954D46"/>
    <w:rsid w:val="0095520A"/>
    <w:rsid w:val="00955330"/>
    <w:rsid w:val="009556F6"/>
    <w:rsid w:val="00955946"/>
    <w:rsid w:val="00955F47"/>
    <w:rsid w:val="009563E0"/>
    <w:rsid w:val="0095655F"/>
    <w:rsid w:val="009568D0"/>
    <w:rsid w:val="00956ACE"/>
    <w:rsid w:val="00956CB0"/>
    <w:rsid w:val="00956F63"/>
    <w:rsid w:val="009570F4"/>
    <w:rsid w:val="009572A0"/>
    <w:rsid w:val="0095768F"/>
    <w:rsid w:val="00957BC6"/>
    <w:rsid w:val="00957D24"/>
    <w:rsid w:val="00957FA3"/>
    <w:rsid w:val="00960BFB"/>
    <w:rsid w:val="00960DCF"/>
    <w:rsid w:val="009611C6"/>
    <w:rsid w:val="009614A5"/>
    <w:rsid w:val="00961B53"/>
    <w:rsid w:val="00962169"/>
    <w:rsid w:val="00962317"/>
    <w:rsid w:val="00962A50"/>
    <w:rsid w:val="00962A92"/>
    <w:rsid w:val="0096317B"/>
    <w:rsid w:val="00963264"/>
    <w:rsid w:val="0096328B"/>
    <w:rsid w:val="0096389D"/>
    <w:rsid w:val="0096392F"/>
    <w:rsid w:val="00963BF1"/>
    <w:rsid w:val="009645BC"/>
    <w:rsid w:val="009648B5"/>
    <w:rsid w:val="00964D8C"/>
    <w:rsid w:val="00964F21"/>
    <w:rsid w:val="009655DB"/>
    <w:rsid w:val="0096703D"/>
    <w:rsid w:val="009671F3"/>
    <w:rsid w:val="00967269"/>
    <w:rsid w:val="009676C0"/>
    <w:rsid w:val="0096783A"/>
    <w:rsid w:val="009706A0"/>
    <w:rsid w:val="0097084F"/>
    <w:rsid w:val="00970B7D"/>
    <w:rsid w:val="00971582"/>
    <w:rsid w:val="00971938"/>
    <w:rsid w:val="0097215E"/>
    <w:rsid w:val="00972C3B"/>
    <w:rsid w:val="00972CE7"/>
    <w:rsid w:val="00973176"/>
    <w:rsid w:val="00973A40"/>
    <w:rsid w:val="009749F8"/>
    <w:rsid w:val="00974B0E"/>
    <w:rsid w:val="0097515E"/>
    <w:rsid w:val="0097519D"/>
    <w:rsid w:val="009753FF"/>
    <w:rsid w:val="00975B4E"/>
    <w:rsid w:val="00975C12"/>
    <w:rsid w:val="00976000"/>
    <w:rsid w:val="00976061"/>
    <w:rsid w:val="00976E99"/>
    <w:rsid w:val="00976F41"/>
    <w:rsid w:val="009771E6"/>
    <w:rsid w:val="0097723F"/>
    <w:rsid w:val="00977339"/>
    <w:rsid w:val="009775DA"/>
    <w:rsid w:val="00977B0A"/>
    <w:rsid w:val="00977BE7"/>
    <w:rsid w:val="009803A9"/>
    <w:rsid w:val="009803CB"/>
    <w:rsid w:val="009803D4"/>
    <w:rsid w:val="0098046F"/>
    <w:rsid w:val="009807A2"/>
    <w:rsid w:val="00980B1A"/>
    <w:rsid w:val="00981041"/>
    <w:rsid w:val="00981248"/>
    <w:rsid w:val="0098199C"/>
    <w:rsid w:val="00981D35"/>
    <w:rsid w:val="00981F5F"/>
    <w:rsid w:val="00981FCF"/>
    <w:rsid w:val="00983089"/>
    <w:rsid w:val="00983D33"/>
    <w:rsid w:val="00983E52"/>
    <w:rsid w:val="00983EEF"/>
    <w:rsid w:val="00984852"/>
    <w:rsid w:val="00985159"/>
    <w:rsid w:val="0098592D"/>
    <w:rsid w:val="00985ED8"/>
    <w:rsid w:val="009862A8"/>
    <w:rsid w:val="009866A5"/>
    <w:rsid w:val="009873F3"/>
    <w:rsid w:val="00987DE0"/>
    <w:rsid w:val="00990261"/>
    <w:rsid w:val="00990579"/>
    <w:rsid w:val="00991290"/>
    <w:rsid w:val="009918C0"/>
    <w:rsid w:val="009918DB"/>
    <w:rsid w:val="00991ADB"/>
    <w:rsid w:val="00991DE2"/>
    <w:rsid w:val="00991EAA"/>
    <w:rsid w:val="00992187"/>
    <w:rsid w:val="009925E0"/>
    <w:rsid w:val="00992DB3"/>
    <w:rsid w:val="00992FC1"/>
    <w:rsid w:val="009938E4"/>
    <w:rsid w:val="00993D9A"/>
    <w:rsid w:val="00993F3D"/>
    <w:rsid w:val="00994DB2"/>
    <w:rsid w:val="00994E80"/>
    <w:rsid w:val="00995134"/>
    <w:rsid w:val="00995818"/>
    <w:rsid w:val="00995C8D"/>
    <w:rsid w:val="00995E98"/>
    <w:rsid w:val="00996175"/>
    <w:rsid w:val="00996F15"/>
    <w:rsid w:val="00997043"/>
    <w:rsid w:val="0099757E"/>
    <w:rsid w:val="009975D8"/>
    <w:rsid w:val="00997BA8"/>
    <w:rsid w:val="00997CC2"/>
    <w:rsid w:val="00997CEA"/>
    <w:rsid w:val="009A002D"/>
    <w:rsid w:val="009A00F1"/>
    <w:rsid w:val="009A055E"/>
    <w:rsid w:val="009A06F4"/>
    <w:rsid w:val="009A0930"/>
    <w:rsid w:val="009A0A34"/>
    <w:rsid w:val="009A0C7D"/>
    <w:rsid w:val="009A0D41"/>
    <w:rsid w:val="009A1345"/>
    <w:rsid w:val="009A1BCF"/>
    <w:rsid w:val="009A2249"/>
    <w:rsid w:val="009A26EC"/>
    <w:rsid w:val="009A3249"/>
    <w:rsid w:val="009A3778"/>
    <w:rsid w:val="009A3949"/>
    <w:rsid w:val="009A3E2E"/>
    <w:rsid w:val="009A445D"/>
    <w:rsid w:val="009A457A"/>
    <w:rsid w:val="009A4B40"/>
    <w:rsid w:val="009A4C02"/>
    <w:rsid w:val="009A51EA"/>
    <w:rsid w:val="009A5452"/>
    <w:rsid w:val="009A553A"/>
    <w:rsid w:val="009A5908"/>
    <w:rsid w:val="009A5B8D"/>
    <w:rsid w:val="009A5EDD"/>
    <w:rsid w:val="009A688E"/>
    <w:rsid w:val="009A7260"/>
    <w:rsid w:val="009A750A"/>
    <w:rsid w:val="009A7789"/>
    <w:rsid w:val="009A799D"/>
    <w:rsid w:val="009A7CB3"/>
    <w:rsid w:val="009A7F34"/>
    <w:rsid w:val="009B0BF7"/>
    <w:rsid w:val="009B0D69"/>
    <w:rsid w:val="009B0F6C"/>
    <w:rsid w:val="009B11EE"/>
    <w:rsid w:val="009B1283"/>
    <w:rsid w:val="009B14BE"/>
    <w:rsid w:val="009B1777"/>
    <w:rsid w:val="009B2245"/>
    <w:rsid w:val="009B258E"/>
    <w:rsid w:val="009B278D"/>
    <w:rsid w:val="009B29CF"/>
    <w:rsid w:val="009B2E8F"/>
    <w:rsid w:val="009B3024"/>
    <w:rsid w:val="009B36C7"/>
    <w:rsid w:val="009B3754"/>
    <w:rsid w:val="009B375E"/>
    <w:rsid w:val="009B3B79"/>
    <w:rsid w:val="009B43AA"/>
    <w:rsid w:val="009B4DB6"/>
    <w:rsid w:val="009B4FF5"/>
    <w:rsid w:val="009B52AD"/>
    <w:rsid w:val="009B5997"/>
    <w:rsid w:val="009B5F6F"/>
    <w:rsid w:val="009B6B23"/>
    <w:rsid w:val="009B7ABD"/>
    <w:rsid w:val="009C0162"/>
    <w:rsid w:val="009C0579"/>
    <w:rsid w:val="009C0D0C"/>
    <w:rsid w:val="009C114D"/>
    <w:rsid w:val="009C1463"/>
    <w:rsid w:val="009C1D27"/>
    <w:rsid w:val="009C24C9"/>
    <w:rsid w:val="009C2FA7"/>
    <w:rsid w:val="009C3BD9"/>
    <w:rsid w:val="009C3FF2"/>
    <w:rsid w:val="009C4487"/>
    <w:rsid w:val="009C487B"/>
    <w:rsid w:val="009C4955"/>
    <w:rsid w:val="009C5201"/>
    <w:rsid w:val="009C5B82"/>
    <w:rsid w:val="009C621C"/>
    <w:rsid w:val="009C66D9"/>
    <w:rsid w:val="009C6ECA"/>
    <w:rsid w:val="009C7026"/>
    <w:rsid w:val="009C756E"/>
    <w:rsid w:val="009C7CE2"/>
    <w:rsid w:val="009C7DED"/>
    <w:rsid w:val="009D0464"/>
    <w:rsid w:val="009D0873"/>
    <w:rsid w:val="009D0EA6"/>
    <w:rsid w:val="009D1788"/>
    <w:rsid w:val="009D1D12"/>
    <w:rsid w:val="009D21BE"/>
    <w:rsid w:val="009D295B"/>
    <w:rsid w:val="009D338F"/>
    <w:rsid w:val="009D381A"/>
    <w:rsid w:val="009D3C3D"/>
    <w:rsid w:val="009D3D02"/>
    <w:rsid w:val="009D3FDE"/>
    <w:rsid w:val="009D48BA"/>
    <w:rsid w:val="009D4BBD"/>
    <w:rsid w:val="009D50C7"/>
    <w:rsid w:val="009D5288"/>
    <w:rsid w:val="009D6222"/>
    <w:rsid w:val="009D6B07"/>
    <w:rsid w:val="009D7E2B"/>
    <w:rsid w:val="009E064B"/>
    <w:rsid w:val="009E07D8"/>
    <w:rsid w:val="009E07E8"/>
    <w:rsid w:val="009E0FE0"/>
    <w:rsid w:val="009E17E3"/>
    <w:rsid w:val="009E2369"/>
    <w:rsid w:val="009E27DD"/>
    <w:rsid w:val="009E2AD3"/>
    <w:rsid w:val="009E34AA"/>
    <w:rsid w:val="009E3770"/>
    <w:rsid w:val="009E3DB2"/>
    <w:rsid w:val="009E3F32"/>
    <w:rsid w:val="009E47CE"/>
    <w:rsid w:val="009E47E5"/>
    <w:rsid w:val="009E4E8A"/>
    <w:rsid w:val="009E4FE3"/>
    <w:rsid w:val="009E528C"/>
    <w:rsid w:val="009E5684"/>
    <w:rsid w:val="009E59CA"/>
    <w:rsid w:val="009E68A5"/>
    <w:rsid w:val="009E6D19"/>
    <w:rsid w:val="009E7E2C"/>
    <w:rsid w:val="009F0346"/>
    <w:rsid w:val="009F03F9"/>
    <w:rsid w:val="009F0D70"/>
    <w:rsid w:val="009F0EDD"/>
    <w:rsid w:val="009F146F"/>
    <w:rsid w:val="009F177E"/>
    <w:rsid w:val="009F1853"/>
    <w:rsid w:val="009F25FA"/>
    <w:rsid w:val="009F29C2"/>
    <w:rsid w:val="009F2DF9"/>
    <w:rsid w:val="009F2F4B"/>
    <w:rsid w:val="009F35FB"/>
    <w:rsid w:val="009F37C3"/>
    <w:rsid w:val="009F3C75"/>
    <w:rsid w:val="009F3CDA"/>
    <w:rsid w:val="009F4577"/>
    <w:rsid w:val="009F4C16"/>
    <w:rsid w:val="009F4D24"/>
    <w:rsid w:val="009F55BF"/>
    <w:rsid w:val="009F571B"/>
    <w:rsid w:val="009F5898"/>
    <w:rsid w:val="009F5983"/>
    <w:rsid w:val="009F5994"/>
    <w:rsid w:val="009F5EC3"/>
    <w:rsid w:val="009F6102"/>
    <w:rsid w:val="009F776F"/>
    <w:rsid w:val="009F7AA7"/>
    <w:rsid w:val="009F7BB0"/>
    <w:rsid w:val="009F7DEB"/>
    <w:rsid w:val="00A00026"/>
    <w:rsid w:val="00A0037E"/>
    <w:rsid w:val="00A0067B"/>
    <w:rsid w:val="00A011AF"/>
    <w:rsid w:val="00A01303"/>
    <w:rsid w:val="00A01B1C"/>
    <w:rsid w:val="00A01DA2"/>
    <w:rsid w:val="00A024D4"/>
    <w:rsid w:val="00A02C4F"/>
    <w:rsid w:val="00A02D15"/>
    <w:rsid w:val="00A03310"/>
    <w:rsid w:val="00A03AF9"/>
    <w:rsid w:val="00A04649"/>
    <w:rsid w:val="00A0472A"/>
    <w:rsid w:val="00A04A09"/>
    <w:rsid w:val="00A04F20"/>
    <w:rsid w:val="00A052FE"/>
    <w:rsid w:val="00A0533C"/>
    <w:rsid w:val="00A05821"/>
    <w:rsid w:val="00A05D1D"/>
    <w:rsid w:val="00A05EA2"/>
    <w:rsid w:val="00A06044"/>
    <w:rsid w:val="00A06333"/>
    <w:rsid w:val="00A063F1"/>
    <w:rsid w:val="00A06A28"/>
    <w:rsid w:val="00A06E90"/>
    <w:rsid w:val="00A071BA"/>
    <w:rsid w:val="00A076CC"/>
    <w:rsid w:val="00A10C16"/>
    <w:rsid w:val="00A10DB4"/>
    <w:rsid w:val="00A10ECC"/>
    <w:rsid w:val="00A1165C"/>
    <w:rsid w:val="00A118E2"/>
    <w:rsid w:val="00A11B5B"/>
    <w:rsid w:val="00A125D6"/>
    <w:rsid w:val="00A12632"/>
    <w:rsid w:val="00A1414C"/>
    <w:rsid w:val="00A14423"/>
    <w:rsid w:val="00A14E53"/>
    <w:rsid w:val="00A15580"/>
    <w:rsid w:val="00A15613"/>
    <w:rsid w:val="00A15B05"/>
    <w:rsid w:val="00A15B1D"/>
    <w:rsid w:val="00A15BB5"/>
    <w:rsid w:val="00A16150"/>
    <w:rsid w:val="00A163C8"/>
    <w:rsid w:val="00A16449"/>
    <w:rsid w:val="00A16943"/>
    <w:rsid w:val="00A17022"/>
    <w:rsid w:val="00A17085"/>
    <w:rsid w:val="00A17DCF"/>
    <w:rsid w:val="00A20409"/>
    <w:rsid w:val="00A20594"/>
    <w:rsid w:val="00A206A0"/>
    <w:rsid w:val="00A20732"/>
    <w:rsid w:val="00A20958"/>
    <w:rsid w:val="00A20C3B"/>
    <w:rsid w:val="00A20FB2"/>
    <w:rsid w:val="00A210C8"/>
    <w:rsid w:val="00A213DA"/>
    <w:rsid w:val="00A21BC2"/>
    <w:rsid w:val="00A21E73"/>
    <w:rsid w:val="00A21EFD"/>
    <w:rsid w:val="00A223DB"/>
    <w:rsid w:val="00A22D4E"/>
    <w:rsid w:val="00A22EFC"/>
    <w:rsid w:val="00A230F6"/>
    <w:rsid w:val="00A2394C"/>
    <w:rsid w:val="00A24193"/>
    <w:rsid w:val="00A24D1A"/>
    <w:rsid w:val="00A25059"/>
    <w:rsid w:val="00A25219"/>
    <w:rsid w:val="00A25262"/>
    <w:rsid w:val="00A25544"/>
    <w:rsid w:val="00A25F22"/>
    <w:rsid w:val="00A2612C"/>
    <w:rsid w:val="00A26389"/>
    <w:rsid w:val="00A2661D"/>
    <w:rsid w:val="00A26DAC"/>
    <w:rsid w:val="00A303B8"/>
    <w:rsid w:val="00A3050A"/>
    <w:rsid w:val="00A30654"/>
    <w:rsid w:val="00A30A8D"/>
    <w:rsid w:val="00A30C40"/>
    <w:rsid w:val="00A31049"/>
    <w:rsid w:val="00A310DD"/>
    <w:rsid w:val="00A31550"/>
    <w:rsid w:val="00A315B9"/>
    <w:rsid w:val="00A315BB"/>
    <w:rsid w:val="00A318C1"/>
    <w:rsid w:val="00A31BE2"/>
    <w:rsid w:val="00A31CFC"/>
    <w:rsid w:val="00A3263E"/>
    <w:rsid w:val="00A32881"/>
    <w:rsid w:val="00A32F69"/>
    <w:rsid w:val="00A330F2"/>
    <w:rsid w:val="00A33A42"/>
    <w:rsid w:val="00A34735"/>
    <w:rsid w:val="00A34AC6"/>
    <w:rsid w:val="00A34ED5"/>
    <w:rsid w:val="00A35C29"/>
    <w:rsid w:val="00A35FAF"/>
    <w:rsid w:val="00A361C3"/>
    <w:rsid w:val="00A36680"/>
    <w:rsid w:val="00A3695A"/>
    <w:rsid w:val="00A36D70"/>
    <w:rsid w:val="00A36E1E"/>
    <w:rsid w:val="00A374E8"/>
    <w:rsid w:val="00A37941"/>
    <w:rsid w:val="00A37E97"/>
    <w:rsid w:val="00A403EB"/>
    <w:rsid w:val="00A411FA"/>
    <w:rsid w:val="00A41D8C"/>
    <w:rsid w:val="00A42639"/>
    <w:rsid w:val="00A4284C"/>
    <w:rsid w:val="00A42EDD"/>
    <w:rsid w:val="00A43155"/>
    <w:rsid w:val="00A43755"/>
    <w:rsid w:val="00A4399C"/>
    <w:rsid w:val="00A43A8E"/>
    <w:rsid w:val="00A43B1F"/>
    <w:rsid w:val="00A443E7"/>
    <w:rsid w:val="00A4497F"/>
    <w:rsid w:val="00A44B2F"/>
    <w:rsid w:val="00A44DEC"/>
    <w:rsid w:val="00A44EC1"/>
    <w:rsid w:val="00A45045"/>
    <w:rsid w:val="00A454B3"/>
    <w:rsid w:val="00A45DD7"/>
    <w:rsid w:val="00A45E52"/>
    <w:rsid w:val="00A463F7"/>
    <w:rsid w:val="00A46652"/>
    <w:rsid w:val="00A46D15"/>
    <w:rsid w:val="00A4713D"/>
    <w:rsid w:val="00A47145"/>
    <w:rsid w:val="00A47470"/>
    <w:rsid w:val="00A477B4"/>
    <w:rsid w:val="00A47C33"/>
    <w:rsid w:val="00A500E0"/>
    <w:rsid w:val="00A5131C"/>
    <w:rsid w:val="00A51AC2"/>
    <w:rsid w:val="00A51BEE"/>
    <w:rsid w:val="00A5218B"/>
    <w:rsid w:val="00A52979"/>
    <w:rsid w:val="00A52F43"/>
    <w:rsid w:val="00A5323B"/>
    <w:rsid w:val="00A53720"/>
    <w:rsid w:val="00A5394E"/>
    <w:rsid w:val="00A53AFC"/>
    <w:rsid w:val="00A53C6C"/>
    <w:rsid w:val="00A53E71"/>
    <w:rsid w:val="00A53EDE"/>
    <w:rsid w:val="00A54158"/>
    <w:rsid w:val="00A54614"/>
    <w:rsid w:val="00A547BE"/>
    <w:rsid w:val="00A54C16"/>
    <w:rsid w:val="00A54FB4"/>
    <w:rsid w:val="00A553AC"/>
    <w:rsid w:val="00A55595"/>
    <w:rsid w:val="00A55824"/>
    <w:rsid w:val="00A55951"/>
    <w:rsid w:val="00A55CA6"/>
    <w:rsid w:val="00A55F62"/>
    <w:rsid w:val="00A56051"/>
    <w:rsid w:val="00A5612F"/>
    <w:rsid w:val="00A564E1"/>
    <w:rsid w:val="00A565D3"/>
    <w:rsid w:val="00A567FD"/>
    <w:rsid w:val="00A56DE0"/>
    <w:rsid w:val="00A56EF8"/>
    <w:rsid w:val="00A57FE8"/>
    <w:rsid w:val="00A6009F"/>
    <w:rsid w:val="00A60269"/>
    <w:rsid w:val="00A604FB"/>
    <w:rsid w:val="00A613BD"/>
    <w:rsid w:val="00A614C1"/>
    <w:rsid w:val="00A615FB"/>
    <w:rsid w:val="00A6184A"/>
    <w:rsid w:val="00A63389"/>
    <w:rsid w:val="00A63510"/>
    <w:rsid w:val="00A636E7"/>
    <w:rsid w:val="00A638DC"/>
    <w:rsid w:val="00A63C18"/>
    <w:rsid w:val="00A64074"/>
    <w:rsid w:val="00A64367"/>
    <w:rsid w:val="00A64471"/>
    <w:rsid w:val="00A64D8E"/>
    <w:rsid w:val="00A6532D"/>
    <w:rsid w:val="00A6552C"/>
    <w:rsid w:val="00A658B1"/>
    <w:rsid w:val="00A662DC"/>
    <w:rsid w:val="00A669F8"/>
    <w:rsid w:val="00A66CFD"/>
    <w:rsid w:val="00A66F55"/>
    <w:rsid w:val="00A6741B"/>
    <w:rsid w:val="00A677D7"/>
    <w:rsid w:val="00A67AF0"/>
    <w:rsid w:val="00A67FEF"/>
    <w:rsid w:val="00A7034B"/>
    <w:rsid w:val="00A709BB"/>
    <w:rsid w:val="00A717C0"/>
    <w:rsid w:val="00A717CA"/>
    <w:rsid w:val="00A71844"/>
    <w:rsid w:val="00A71985"/>
    <w:rsid w:val="00A71CD7"/>
    <w:rsid w:val="00A71FAE"/>
    <w:rsid w:val="00A72551"/>
    <w:rsid w:val="00A72924"/>
    <w:rsid w:val="00A72B89"/>
    <w:rsid w:val="00A72C79"/>
    <w:rsid w:val="00A73015"/>
    <w:rsid w:val="00A73042"/>
    <w:rsid w:val="00A74226"/>
    <w:rsid w:val="00A74227"/>
    <w:rsid w:val="00A74652"/>
    <w:rsid w:val="00A7476B"/>
    <w:rsid w:val="00A74A0B"/>
    <w:rsid w:val="00A74B9B"/>
    <w:rsid w:val="00A74F52"/>
    <w:rsid w:val="00A74FC0"/>
    <w:rsid w:val="00A75211"/>
    <w:rsid w:val="00A752B1"/>
    <w:rsid w:val="00A757B0"/>
    <w:rsid w:val="00A758B2"/>
    <w:rsid w:val="00A75B94"/>
    <w:rsid w:val="00A75C85"/>
    <w:rsid w:val="00A75CBA"/>
    <w:rsid w:val="00A75CFD"/>
    <w:rsid w:val="00A77552"/>
    <w:rsid w:val="00A776A4"/>
    <w:rsid w:val="00A77A36"/>
    <w:rsid w:val="00A77C3B"/>
    <w:rsid w:val="00A801AE"/>
    <w:rsid w:val="00A8049D"/>
    <w:rsid w:val="00A80AA3"/>
    <w:rsid w:val="00A80E99"/>
    <w:rsid w:val="00A80EEE"/>
    <w:rsid w:val="00A813B9"/>
    <w:rsid w:val="00A81783"/>
    <w:rsid w:val="00A81D5C"/>
    <w:rsid w:val="00A822C2"/>
    <w:rsid w:val="00A824B6"/>
    <w:rsid w:val="00A827FD"/>
    <w:rsid w:val="00A82869"/>
    <w:rsid w:val="00A82990"/>
    <w:rsid w:val="00A83240"/>
    <w:rsid w:val="00A83458"/>
    <w:rsid w:val="00A835A3"/>
    <w:rsid w:val="00A837DF"/>
    <w:rsid w:val="00A838ED"/>
    <w:rsid w:val="00A83C92"/>
    <w:rsid w:val="00A83CE3"/>
    <w:rsid w:val="00A84B86"/>
    <w:rsid w:val="00A84DD3"/>
    <w:rsid w:val="00A8564F"/>
    <w:rsid w:val="00A857B6"/>
    <w:rsid w:val="00A861E4"/>
    <w:rsid w:val="00A867B1"/>
    <w:rsid w:val="00A86AD9"/>
    <w:rsid w:val="00A87AB7"/>
    <w:rsid w:val="00A90401"/>
    <w:rsid w:val="00A905BB"/>
    <w:rsid w:val="00A90683"/>
    <w:rsid w:val="00A90BFA"/>
    <w:rsid w:val="00A9107D"/>
    <w:rsid w:val="00A911C9"/>
    <w:rsid w:val="00A91323"/>
    <w:rsid w:val="00A91A18"/>
    <w:rsid w:val="00A91A35"/>
    <w:rsid w:val="00A91B39"/>
    <w:rsid w:val="00A921E3"/>
    <w:rsid w:val="00A931C1"/>
    <w:rsid w:val="00A93BDA"/>
    <w:rsid w:val="00A9405E"/>
    <w:rsid w:val="00A94133"/>
    <w:rsid w:val="00A946D2"/>
    <w:rsid w:val="00A94D20"/>
    <w:rsid w:val="00A95222"/>
    <w:rsid w:val="00A954ED"/>
    <w:rsid w:val="00A961B6"/>
    <w:rsid w:val="00A961BD"/>
    <w:rsid w:val="00A9627D"/>
    <w:rsid w:val="00A96700"/>
    <w:rsid w:val="00A96C9B"/>
    <w:rsid w:val="00A96EB9"/>
    <w:rsid w:val="00A96EE2"/>
    <w:rsid w:val="00A9752B"/>
    <w:rsid w:val="00AA03E4"/>
    <w:rsid w:val="00AA04B0"/>
    <w:rsid w:val="00AA07E5"/>
    <w:rsid w:val="00AA15EB"/>
    <w:rsid w:val="00AA1632"/>
    <w:rsid w:val="00AA1F54"/>
    <w:rsid w:val="00AA2461"/>
    <w:rsid w:val="00AA2865"/>
    <w:rsid w:val="00AA2CD9"/>
    <w:rsid w:val="00AA38E7"/>
    <w:rsid w:val="00AA3A9B"/>
    <w:rsid w:val="00AA3B35"/>
    <w:rsid w:val="00AA3BF1"/>
    <w:rsid w:val="00AA3DBA"/>
    <w:rsid w:val="00AA45AD"/>
    <w:rsid w:val="00AA47A3"/>
    <w:rsid w:val="00AA5410"/>
    <w:rsid w:val="00AA5DF3"/>
    <w:rsid w:val="00AA60BD"/>
    <w:rsid w:val="00AA7024"/>
    <w:rsid w:val="00AA77A1"/>
    <w:rsid w:val="00AB04E2"/>
    <w:rsid w:val="00AB108D"/>
    <w:rsid w:val="00AB1165"/>
    <w:rsid w:val="00AB155D"/>
    <w:rsid w:val="00AB1603"/>
    <w:rsid w:val="00AB179E"/>
    <w:rsid w:val="00AB21C6"/>
    <w:rsid w:val="00AB22BC"/>
    <w:rsid w:val="00AB2841"/>
    <w:rsid w:val="00AB29A7"/>
    <w:rsid w:val="00AB2AEC"/>
    <w:rsid w:val="00AB2C9B"/>
    <w:rsid w:val="00AB379E"/>
    <w:rsid w:val="00AB476C"/>
    <w:rsid w:val="00AB4AAF"/>
    <w:rsid w:val="00AB517B"/>
    <w:rsid w:val="00AB5BC8"/>
    <w:rsid w:val="00AB5E22"/>
    <w:rsid w:val="00AB5F2C"/>
    <w:rsid w:val="00AB6585"/>
    <w:rsid w:val="00AB6749"/>
    <w:rsid w:val="00AB6AD9"/>
    <w:rsid w:val="00AB6D31"/>
    <w:rsid w:val="00AB6EAE"/>
    <w:rsid w:val="00AB6EEE"/>
    <w:rsid w:val="00AB76AD"/>
    <w:rsid w:val="00AB7B68"/>
    <w:rsid w:val="00AC079F"/>
    <w:rsid w:val="00AC0B7E"/>
    <w:rsid w:val="00AC0F67"/>
    <w:rsid w:val="00AC169D"/>
    <w:rsid w:val="00AC18E0"/>
    <w:rsid w:val="00AC1EBE"/>
    <w:rsid w:val="00AC23B5"/>
    <w:rsid w:val="00AC24CA"/>
    <w:rsid w:val="00AC254B"/>
    <w:rsid w:val="00AC26D2"/>
    <w:rsid w:val="00AC2983"/>
    <w:rsid w:val="00AC316B"/>
    <w:rsid w:val="00AC350F"/>
    <w:rsid w:val="00AC3562"/>
    <w:rsid w:val="00AC3589"/>
    <w:rsid w:val="00AC428A"/>
    <w:rsid w:val="00AC447B"/>
    <w:rsid w:val="00AC4546"/>
    <w:rsid w:val="00AC502A"/>
    <w:rsid w:val="00AC521E"/>
    <w:rsid w:val="00AC5609"/>
    <w:rsid w:val="00AC630E"/>
    <w:rsid w:val="00AC6F7D"/>
    <w:rsid w:val="00AC720A"/>
    <w:rsid w:val="00AC78C4"/>
    <w:rsid w:val="00AD0305"/>
    <w:rsid w:val="00AD03A5"/>
    <w:rsid w:val="00AD05E9"/>
    <w:rsid w:val="00AD0649"/>
    <w:rsid w:val="00AD104E"/>
    <w:rsid w:val="00AD1195"/>
    <w:rsid w:val="00AD1466"/>
    <w:rsid w:val="00AD16AC"/>
    <w:rsid w:val="00AD17AB"/>
    <w:rsid w:val="00AD18B3"/>
    <w:rsid w:val="00AD1AB7"/>
    <w:rsid w:val="00AD1F9D"/>
    <w:rsid w:val="00AD2068"/>
    <w:rsid w:val="00AD2300"/>
    <w:rsid w:val="00AD2777"/>
    <w:rsid w:val="00AD2C68"/>
    <w:rsid w:val="00AD3504"/>
    <w:rsid w:val="00AD3669"/>
    <w:rsid w:val="00AD37D4"/>
    <w:rsid w:val="00AD3C29"/>
    <w:rsid w:val="00AD434D"/>
    <w:rsid w:val="00AD60EA"/>
    <w:rsid w:val="00AD65D6"/>
    <w:rsid w:val="00AD67D4"/>
    <w:rsid w:val="00AD6C75"/>
    <w:rsid w:val="00AD6DBB"/>
    <w:rsid w:val="00AD6F6C"/>
    <w:rsid w:val="00AD73C1"/>
    <w:rsid w:val="00AD7FE1"/>
    <w:rsid w:val="00AE00DC"/>
    <w:rsid w:val="00AE0376"/>
    <w:rsid w:val="00AE0421"/>
    <w:rsid w:val="00AE0460"/>
    <w:rsid w:val="00AE0920"/>
    <w:rsid w:val="00AE0A39"/>
    <w:rsid w:val="00AE0E4A"/>
    <w:rsid w:val="00AE134E"/>
    <w:rsid w:val="00AE15D2"/>
    <w:rsid w:val="00AE1911"/>
    <w:rsid w:val="00AE22ED"/>
    <w:rsid w:val="00AE2713"/>
    <w:rsid w:val="00AE3644"/>
    <w:rsid w:val="00AE3BFC"/>
    <w:rsid w:val="00AE4331"/>
    <w:rsid w:val="00AE47C1"/>
    <w:rsid w:val="00AE4A3D"/>
    <w:rsid w:val="00AE4CE1"/>
    <w:rsid w:val="00AE4ED6"/>
    <w:rsid w:val="00AE511B"/>
    <w:rsid w:val="00AE5B7F"/>
    <w:rsid w:val="00AE5F9B"/>
    <w:rsid w:val="00AE614D"/>
    <w:rsid w:val="00AE6693"/>
    <w:rsid w:val="00AE758E"/>
    <w:rsid w:val="00AE7669"/>
    <w:rsid w:val="00AE7849"/>
    <w:rsid w:val="00AE7977"/>
    <w:rsid w:val="00AE797E"/>
    <w:rsid w:val="00AF009B"/>
    <w:rsid w:val="00AF00C3"/>
    <w:rsid w:val="00AF050D"/>
    <w:rsid w:val="00AF0777"/>
    <w:rsid w:val="00AF1113"/>
    <w:rsid w:val="00AF11FF"/>
    <w:rsid w:val="00AF1AB1"/>
    <w:rsid w:val="00AF1F10"/>
    <w:rsid w:val="00AF230B"/>
    <w:rsid w:val="00AF309D"/>
    <w:rsid w:val="00AF346F"/>
    <w:rsid w:val="00AF359A"/>
    <w:rsid w:val="00AF38A8"/>
    <w:rsid w:val="00AF3921"/>
    <w:rsid w:val="00AF3D39"/>
    <w:rsid w:val="00AF3D49"/>
    <w:rsid w:val="00AF43C2"/>
    <w:rsid w:val="00AF479A"/>
    <w:rsid w:val="00AF497B"/>
    <w:rsid w:val="00AF4C30"/>
    <w:rsid w:val="00AF58D5"/>
    <w:rsid w:val="00AF65E1"/>
    <w:rsid w:val="00AF6A4C"/>
    <w:rsid w:val="00AF7057"/>
    <w:rsid w:val="00AF774F"/>
    <w:rsid w:val="00AF782B"/>
    <w:rsid w:val="00AF7A43"/>
    <w:rsid w:val="00AF7E92"/>
    <w:rsid w:val="00B00832"/>
    <w:rsid w:val="00B00B1A"/>
    <w:rsid w:val="00B00CCA"/>
    <w:rsid w:val="00B01267"/>
    <w:rsid w:val="00B017DC"/>
    <w:rsid w:val="00B01B25"/>
    <w:rsid w:val="00B01D5C"/>
    <w:rsid w:val="00B01FD7"/>
    <w:rsid w:val="00B02183"/>
    <w:rsid w:val="00B023C5"/>
    <w:rsid w:val="00B0244F"/>
    <w:rsid w:val="00B028F6"/>
    <w:rsid w:val="00B029C2"/>
    <w:rsid w:val="00B02A1D"/>
    <w:rsid w:val="00B02E62"/>
    <w:rsid w:val="00B035AD"/>
    <w:rsid w:val="00B03868"/>
    <w:rsid w:val="00B03871"/>
    <w:rsid w:val="00B03A9F"/>
    <w:rsid w:val="00B03EAA"/>
    <w:rsid w:val="00B0414A"/>
    <w:rsid w:val="00B04173"/>
    <w:rsid w:val="00B047C2"/>
    <w:rsid w:val="00B047D2"/>
    <w:rsid w:val="00B0487F"/>
    <w:rsid w:val="00B04CB1"/>
    <w:rsid w:val="00B0531F"/>
    <w:rsid w:val="00B05635"/>
    <w:rsid w:val="00B07620"/>
    <w:rsid w:val="00B076DA"/>
    <w:rsid w:val="00B1006E"/>
    <w:rsid w:val="00B101FD"/>
    <w:rsid w:val="00B1076E"/>
    <w:rsid w:val="00B108F9"/>
    <w:rsid w:val="00B1139F"/>
    <w:rsid w:val="00B115F1"/>
    <w:rsid w:val="00B11DC9"/>
    <w:rsid w:val="00B1260A"/>
    <w:rsid w:val="00B12723"/>
    <w:rsid w:val="00B1314F"/>
    <w:rsid w:val="00B13DA0"/>
    <w:rsid w:val="00B14DA2"/>
    <w:rsid w:val="00B14F57"/>
    <w:rsid w:val="00B151CF"/>
    <w:rsid w:val="00B15AED"/>
    <w:rsid w:val="00B17ACB"/>
    <w:rsid w:val="00B2021F"/>
    <w:rsid w:val="00B20379"/>
    <w:rsid w:val="00B20445"/>
    <w:rsid w:val="00B20633"/>
    <w:rsid w:val="00B2078D"/>
    <w:rsid w:val="00B20B28"/>
    <w:rsid w:val="00B20C76"/>
    <w:rsid w:val="00B21088"/>
    <w:rsid w:val="00B21C7A"/>
    <w:rsid w:val="00B21DCB"/>
    <w:rsid w:val="00B22061"/>
    <w:rsid w:val="00B220ED"/>
    <w:rsid w:val="00B2256E"/>
    <w:rsid w:val="00B22841"/>
    <w:rsid w:val="00B22BAF"/>
    <w:rsid w:val="00B22C17"/>
    <w:rsid w:val="00B22C5F"/>
    <w:rsid w:val="00B22E23"/>
    <w:rsid w:val="00B23521"/>
    <w:rsid w:val="00B237FA"/>
    <w:rsid w:val="00B238D5"/>
    <w:rsid w:val="00B23AB4"/>
    <w:rsid w:val="00B23C46"/>
    <w:rsid w:val="00B23DC6"/>
    <w:rsid w:val="00B23F4A"/>
    <w:rsid w:val="00B24033"/>
    <w:rsid w:val="00B24166"/>
    <w:rsid w:val="00B2433F"/>
    <w:rsid w:val="00B247AD"/>
    <w:rsid w:val="00B252D1"/>
    <w:rsid w:val="00B25D05"/>
    <w:rsid w:val="00B261AC"/>
    <w:rsid w:val="00B26622"/>
    <w:rsid w:val="00B26669"/>
    <w:rsid w:val="00B2756E"/>
    <w:rsid w:val="00B276B4"/>
    <w:rsid w:val="00B27795"/>
    <w:rsid w:val="00B27896"/>
    <w:rsid w:val="00B303F6"/>
    <w:rsid w:val="00B307B7"/>
    <w:rsid w:val="00B30BDE"/>
    <w:rsid w:val="00B31120"/>
    <w:rsid w:val="00B312BB"/>
    <w:rsid w:val="00B31307"/>
    <w:rsid w:val="00B3171A"/>
    <w:rsid w:val="00B3277D"/>
    <w:rsid w:val="00B32BA8"/>
    <w:rsid w:val="00B332D7"/>
    <w:rsid w:val="00B3398B"/>
    <w:rsid w:val="00B33CA9"/>
    <w:rsid w:val="00B34607"/>
    <w:rsid w:val="00B35F3B"/>
    <w:rsid w:val="00B36028"/>
    <w:rsid w:val="00B364A3"/>
    <w:rsid w:val="00B3666B"/>
    <w:rsid w:val="00B36730"/>
    <w:rsid w:val="00B368C5"/>
    <w:rsid w:val="00B3696E"/>
    <w:rsid w:val="00B36BB3"/>
    <w:rsid w:val="00B3702F"/>
    <w:rsid w:val="00B37120"/>
    <w:rsid w:val="00B3744E"/>
    <w:rsid w:val="00B37A96"/>
    <w:rsid w:val="00B40064"/>
    <w:rsid w:val="00B40108"/>
    <w:rsid w:val="00B4081D"/>
    <w:rsid w:val="00B40928"/>
    <w:rsid w:val="00B40F02"/>
    <w:rsid w:val="00B41350"/>
    <w:rsid w:val="00B419B6"/>
    <w:rsid w:val="00B4319B"/>
    <w:rsid w:val="00B43C52"/>
    <w:rsid w:val="00B4413D"/>
    <w:rsid w:val="00B44279"/>
    <w:rsid w:val="00B443B1"/>
    <w:rsid w:val="00B4442E"/>
    <w:rsid w:val="00B448D5"/>
    <w:rsid w:val="00B44D0B"/>
    <w:rsid w:val="00B45852"/>
    <w:rsid w:val="00B45A5F"/>
    <w:rsid w:val="00B45A72"/>
    <w:rsid w:val="00B45BAB"/>
    <w:rsid w:val="00B4688D"/>
    <w:rsid w:val="00B472B2"/>
    <w:rsid w:val="00B47D80"/>
    <w:rsid w:val="00B47DCA"/>
    <w:rsid w:val="00B47F0A"/>
    <w:rsid w:val="00B50533"/>
    <w:rsid w:val="00B50A44"/>
    <w:rsid w:val="00B50AFC"/>
    <w:rsid w:val="00B5284C"/>
    <w:rsid w:val="00B52A27"/>
    <w:rsid w:val="00B53888"/>
    <w:rsid w:val="00B53A74"/>
    <w:rsid w:val="00B53AD2"/>
    <w:rsid w:val="00B54BE1"/>
    <w:rsid w:val="00B54D94"/>
    <w:rsid w:val="00B55524"/>
    <w:rsid w:val="00B55986"/>
    <w:rsid w:val="00B56149"/>
    <w:rsid w:val="00B56717"/>
    <w:rsid w:val="00B575BF"/>
    <w:rsid w:val="00B5794E"/>
    <w:rsid w:val="00B57AEB"/>
    <w:rsid w:val="00B60020"/>
    <w:rsid w:val="00B60077"/>
    <w:rsid w:val="00B60170"/>
    <w:rsid w:val="00B6025C"/>
    <w:rsid w:val="00B605F8"/>
    <w:rsid w:val="00B60733"/>
    <w:rsid w:val="00B607AB"/>
    <w:rsid w:val="00B6080F"/>
    <w:rsid w:val="00B60E06"/>
    <w:rsid w:val="00B61290"/>
    <w:rsid w:val="00B612EA"/>
    <w:rsid w:val="00B61C66"/>
    <w:rsid w:val="00B61E0F"/>
    <w:rsid w:val="00B6247B"/>
    <w:rsid w:val="00B625FE"/>
    <w:rsid w:val="00B62604"/>
    <w:rsid w:val="00B62DF2"/>
    <w:rsid w:val="00B63101"/>
    <w:rsid w:val="00B634A6"/>
    <w:rsid w:val="00B634DF"/>
    <w:rsid w:val="00B63A33"/>
    <w:rsid w:val="00B63DDD"/>
    <w:rsid w:val="00B64429"/>
    <w:rsid w:val="00B6445E"/>
    <w:rsid w:val="00B644BA"/>
    <w:rsid w:val="00B645FA"/>
    <w:rsid w:val="00B64F52"/>
    <w:rsid w:val="00B653DB"/>
    <w:rsid w:val="00B65577"/>
    <w:rsid w:val="00B664BE"/>
    <w:rsid w:val="00B668FD"/>
    <w:rsid w:val="00B66A87"/>
    <w:rsid w:val="00B67D49"/>
    <w:rsid w:val="00B7013F"/>
    <w:rsid w:val="00B7053A"/>
    <w:rsid w:val="00B70DA3"/>
    <w:rsid w:val="00B71166"/>
    <w:rsid w:val="00B712D0"/>
    <w:rsid w:val="00B716FB"/>
    <w:rsid w:val="00B72524"/>
    <w:rsid w:val="00B72939"/>
    <w:rsid w:val="00B72AB3"/>
    <w:rsid w:val="00B73334"/>
    <w:rsid w:val="00B73918"/>
    <w:rsid w:val="00B74023"/>
    <w:rsid w:val="00B74251"/>
    <w:rsid w:val="00B74265"/>
    <w:rsid w:val="00B7439E"/>
    <w:rsid w:val="00B7440D"/>
    <w:rsid w:val="00B749D7"/>
    <w:rsid w:val="00B757E5"/>
    <w:rsid w:val="00B7585A"/>
    <w:rsid w:val="00B75F40"/>
    <w:rsid w:val="00B76352"/>
    <w:rsid w:val="00B76568"/>
    <w:rsid w:val="00B7732C"/>
    <w:rsid w:val="00B7775A"/>
    <w:rsid w:val="00B778E3"/>
    <w:rsid w:val="00B77FF1"/>
    <w:rsid w:val="00B801B1"/>
    <w:rsid w:val="00B8025E"/>
    <w:rsid w:val="00B805C5"/>
    <w:rsid w:val="00B806BD"/>
    <w:rsid w:val="00B80EAA"/>
    <w:rsid w:val="00B81891"/>
    <w:rsid w:val="00B8195C"/>
    <w:rsid w:val="00B81F38"/>
    <w:rsid w:val="00B821D3"/>
    <w:rsid w:val="00B83B62"/>
    <w:rsid w:val="00B83B77"/>
    <w:rsid w:val="00B847E5"/>
    <w:rsid w:val="00B8486B"/>
    <w:rsid w:val="00B84AA9"/>
    <w:rsid w:val="00B84B2A"/>
    <w:rsid w:val="00B8508B"/>
    <w:rsid w:val="00B8535F"/>
    <w:rsid w:val="00B8567D"/>
    <w:rsid w:val="00B85974"/>
    <w:rsid w:val="00B862BB"/>
    <w:rsid w:val="00B864AE"/>
    <w:rsid w:val="00B86589"/>
    <w:rsid w:val="00B8719F"/>
    <w:rsid w:val="00B877E9"/>
    <w:rsid w:val="00B878CD"/>
    <w:rsid w:val="00B878D6"/>
    <w:rsid w:val="00B87C1D"/>
    <w:rsid w:val="00B87CD7"/>
    <w:rsid w:val="00B87F8D"/>
    <w:rsid w:val="00B900C6"/>
    <w:rsid w:val="00B900EA"/>
    <w:rsid w:val="00B90223"/>
    <w:rsid w:val="00B90EC5"/>
    <w:rsid w:val="00B90EE9"/>
    <w:rsid w:val="00B911C9"/>
    <w:rsid w:val="00B91240"/>
    <w:rsid w:val="00B91615"/>
    <w:rsid w:val="00B91CB1"/>
    <w:rsid w:val="00B92245"/>
    <w:rsid w:val="00B923FD"/>
    <w:rsid w:val="00B9249B"/>
    <w:rsid w:val="00B92EFE"/>
    <w:rsid w:val="00B93604"/>
    <w:rsid w:val="00B937C3"/>
    <w:rsid w:val="00B937D9"/>
    <w:rsid w:val="00B938FD"/>
    <w:rsid w:val="00B94ADB"/>
    <w:rsid w:val="00B94D5F"/>
    <w:rsid w:val="00B94F63"/>
    <w:rsid w:val="00B9536C"/>
    <w:rsid w:val="00B95376"/>
    <w:rsid w:val="00B956D5"/>
    <w:rsid w:val="00B95A8C"/>
    <w:rsid w:val="00B95C4E"/>
    <w:rsid w:val="00B95DFD"/>
    <w:rsid w:val="00B96198"/>
    <w:rsid w:val="00B96949"/>
    <w:rsid w:val="00B96B45"/>
    <w:rsid w:val="00B97ACF"/>
    <w:rsid w:val="00BA08EE"/>
    <w:rsid w:val="00BA0ADE"/>
    <w:rsid w:val="00BA0B44"/>
    <w:rsid w:val="00BA109A"/>
    <w:rsid w:val="00BA182A"/>
    <w:rsid w:val="00BA18A2"/>
    <w:rsid w:val="00BA1FFB"/>
    <w:rsid w:val="00BA2397"/>
    <w:rsid w:val="00BA2424"/>
    <w:rsid w:val="00BA2429"/>
    <w:rsid w:val="00BA2B3F"/>
    <w:rsid w:val="00BA2D4C"/>
    <w:rsid w:val="00BA2DE5"/>
    <w:rsid w:val="00BA4214"/>
    <w:rsid w:val="00BA4E45"/>
    <w:rsid w:val="00BA587D"/>
    <w:rsid w:val="00BA595C"/>
    <w:rsid w:val="00BA59FB"/>
    <w:rsid w:val="00BA5A7C"/>
    <w:rsid w:val="00BA6490"/>
    <w:rsid w:val="00BA6772"/>
    <w:rsid w:val="00BA67AD"/>
    <w:rsid w:val="00BA6957"/>
    <w:rsid w:val="00BA6B06"/>
    <w:rsid w:val="00BA760F"/>
    <w:rsid w:val="00BB016C"/>
    <w:rsid w:val="00BB0529"/>
    <w:rsid w:val="00BB0E36"/>
    <w:rsid w:val="00BB125B"/>
    <w:rsid w:val="00BB14A3"/>
    <w:rsid w:val="00BB14ED"/>
    <w:rsid w:val="00BB198F"/>
    <w:rsid w:val="00BB26EF"/>
    <w:rsid w:val="00BB281B"/>
    <w:rsid w:val="00BB365A"/>
    <w:rsid w:val="00BB3CDD"/>
    <w:rsid w:val="00BB4123"/>
    <w:rsid w:val="00BB5023"/>
    <w:rsid w:val="00BB59FF"/>
    <w:rsid w:val="00BB685A"/>
    <w:rsid w:val="00BB7365"/>
    <w:rsid w:val="00BB7495"/>
    <w:rsid w:val="00BB7BF6"/>
    <w:rsid w:val="00BB7C5F"/>
    <w:rsid w:val="00BC0FC8"/>
    <w:rsid w:val="00BC14C4"/>
    <w:rsid w:val="00BC15DE"/>
    <w:rsid w:val="00BC17C8"/>
    <w:rsid w:val="00BC1E47"/>
    <w:rsid w:val="00BC2448"/>
    <w:rsid w:val="00BC2E3C"/>
    <w:rsid w:val="00BC2E6C"/>
    <w:rsid w:val="00BC2EC2"/>
    <w:rsid w:val="00BC358E"/>
    <w:rsid w:val="00BC369C"/>
    <w:rsid w:val="00BC428E"/>
    <w:rsid w:val="00BC4972"/>
    <w:rsid w:val="00BC4DA1"/>
    <w:rsid w:val="00BC4DF9"/>
    <w:rsid w:val="00BC50B6"/>
    <w:rsid w:val="00BC54D7"/>
    <w:rsid w:val="00BC5623"/>
    <w:rsid w:val="00BC5CEF"/>
    <w:rsid w:val="00BC6323"/>
    <w:rsid w:val="00BC66E4"/>
    <w:rsid w:val="00BC6897"/>
    <w:rsid w:val="00BC79DA"/>
    <w:rsid w:val="00BC7D41"/>
    <w:rsid w:val="00BC7E90"/>
    <w:rsid w:val="00BC7F6C"/>
    <w:rsid w:val="00BD00FA"/>
    <w:rsid w:val="00BD0240"/>
    <w:rsid w:val="00BD0622"/>
    <w:rsid w:val="00BD0A73"/>
    <w:rsid w:val="00BD1634"/>
    <w:rsid w:val="00BD169B"/>
    <w:rsid w:val="00BD171E"/>
    <w:rsid w:val="00BD1979"/>
    <w:rsid w:val="00BD1B8D"/>
    <w:rsid w:val="00BD2430"/>
    <w:rsid w:val="00BD2610"/>
    <w:rsid w:val="00BD295E"/>
    <w:rsid w:val="00BD2C65"/>
    <w:rsid w:val="00BD2DD7"/>
    <w:rsid w:val="00BD3104"/>
    <w:rsid w:val="00BD31D5"/>
    <w:rsid w:val="00BD33D4"/>
    <w:rsid w:val="00BD3DA3"/>
    <w:rsid w:val="00BD40B1"/>
    <w:rsid w:val="00BD4A41"/>
    <w:rsid w:val="00BD5075"/>
    <w:rsid w:val="00BD51FA"/>
    <w:rsid w:val="00BD5560"/>
    <w:rsid w:val="00BD5B1E"/>
    <w:rsid w:val="00BD61C4"/>
    <w:rsid w:val="00BD660A"/>
    <w:rsid w:val="00BD660F"/>
    <w:rsid w:val="00BD670D"/>
    <w:rsid w:val="00BD6734"/>
    <w:rsid w:val="00BD6806"/>
    <w:rsid w:val="00BD6816"/>
    <w:rsid w:val="00BD68CA"/>
    <w:rsid w:val="00BD68DB"/>
    <w:rsid w:val="00BD68F0"/>
    <w:rsid w:val="00BD6BDA"/>
    <w:rsid w:val="00BD7768"/>
    <w:rsid w:val="00BD7BFD"/>
    <w:rsid w:val="00BD7CA7"/>
    <w:rsid w:val="00BE0391"/>
    <w:rsid w:val="00BE108D"/>
    <w:rsid w:val="00BE13BA"/>
    <w:rsid w:val="00BE19C5"/>
    <w:rsid w:val="00BE1E80"/>
    <w:rsid w:val="00BE1EA3"/>
    <w:rsid w:val="00BE2039"/>
    <w:rsid w:val="00BE206C"/>
    <w:rsid w:val="00BE3127"/>
    <w:rsid w:val="00BE3247"/>
    <w:rsid w:val="00BE3325"/>
    <w:rsid w:val="00BE3441"/>
    <w:rsid w:val="00BE3E04"/>
    <w:rsid w:val="00BE4203"/>
    <w:rsid w:val="00BE4429"/>
    <w:rsid w:val="00BE46DB"/>
    <w:rsid w:val="00BE479B"/>
    <w:rsid w:val="00BE47BF"/>
    <w:rsid w:val="00BE4CFA"/>
    <w:rsid w:val="00BE4F9A"/>
    <w:rsid w:val="00BE5374"/>
    <w:rsid w:val="00BE6092"/>
    <w:rsid w:val="00BE61BC"/>
    <w:rsid w:val="00BE627A"/>
    <w:rsid w:val="00BE64F6"/>
    <w:rsid w:val="00BE6A00"/>
    <w:rsid w:val="00BE6BD6"/>
    <w:rsid w:val="00BE6CE8"/>
    <w:rsid w:val="00BE6DBB"/>
    <w:rsid w:val="00BE7C56"/>
    <w:rsid w:val="00BF0043"/>
    <w:rsid w:val="00BF019A"/>
    <w:rsid w:val="00BF05C0"/>
    <w:rsid w:val="00BF07A0"/>
    <w:rsid w:val="00BF0872"/>
    <w:rsid w:val="00BF131C"/>
    <w:rsid w:val="00BF1868"/>
    <w:rsid w:val="00BF1A9D"/>
    <w:rsid w:val="00BF1B6A"/>
    <w:rsid w:val="00BF20ED"/>
    <w:rsid w:val="00BF262A"/>
    <w:rsid w:val="00BF2866"/>
    <w:rsid w:val="00BF28C8"/>
    <w:rsid w:val="00BF31FA"/>
    <w:rsid w:val="00BF35CE"/>
    <w:rsid w:val="00BF3993"/>
    <w:rsid w:val="00BF3D36"/>
    <w:rsid w:val="00BF44C0"/>
    <w:rsid w:val="00BF53EA"/>
    <w:rsid w:val="00BF5423"/>
    <w:rsid w:val="00BF54B7"/>
    <w:rsid w:val="00BF5671"/>
    <w:rsid w:val="00BF568C"/>
    <w:rsid w:val="00BF5A91"/>
    <w:rsid w:val="00BF5C0B"/>
    <w:rsid w:val="00BF6C39"/>
    <w:rsid w:val="00BF6D68"/>
    <w:rsid w:val="00BF7126"/>
    <w:rsid w:val="00BF73A7"/>
    <w:rsid w:val="00BF752B"/>
    <w:rsid w:val="00BF7C02"/>
    <w:rsid w:val="00BF7C54"/>
    <w:rsid w:val="00BF7CA2"/>
    <w:rsid w:val="00C0007D"/>
    <w:rsid w:val="00C0059F"/>
    <w:rsid w:val="00C009DC"/>
    <w:rsid w:val="00C00D7C"/>
    <w:rsid w:val="00C013D0"/>
    <w:rsid w:val="00C014A4"/>
    <w:rsid w:val="00C01A02"/>
    <w:rsid w:val="00C01A1A"/>
    <w:rsid w:val="00C01D5F"/>
    <w:rsid w:val="00C02849"/>
    <w:rsid w:val="00C02A7F"/>
    <w:rsid w:val="00C02D58"/>
    <w:rsid w:val="00C0345A"/>
    <w:rsid w:val="00C03511"/>
    <w:rsid w:val="00C035EB"/>
    <w:rsid w:val="00C03896"/>
    <w:rsid w:val="00C038E0"/>
    <w:rsid w:val="00C041B6"/>
    <w:rsid w:val="00C04318"/>
    <w:rsid w:val="00C0449D"/>
    <w:rsid w:val="00C0454D"/>
    <w:rsid w:val="00C0471A"/>
    <w:rsid w:val="00C048D8"/>
    <w:rsid w:val="00C04C3A"/>
    <w:rsid w:val="00C0539E"/>
    <w:rsid w:val="00C05700"/>
    <w:rsid w:val="00C063A2"/>
    <w:rsid w:val="00C06C19"/>
    <w:rsid w:val="00C070F5"/>
    <w:rsid w:val="00C074CD"/>
    <w:rsid w:val="00C07A4F"/>
    <w:rsid w:val="00C07BD5"/>
    <w:rsid w:val="00C07E5D"/>
    <w:rsid w:val="00C10279"/>
    <w:rsid w:val="00C10693"/>
    <w:rsid w:val="00C106D0"/>
    <w:rsid w:val="00C106D8"/>
    <w:rsid w:val="00C10771"/>
    <w:rsid w:val="00C107C3"/>
    <w:rsid w:val="00C1097A"/>
    <w:rsid w:val="00C1119E"/>
    <w:rsid w:val="00C11340"/>
    <w:rsid w:val="00C1179B"/>
    <w:rsid w:val="00C11A9A"/>
    <w:rsid w:val="00C1276A"/>
    <w:rsid w:val="00C129CA"/>
    <w:rsid w:val="00C12E06"/>
    <w:rsid w:val="00C12F66"/>
    <w:rsid w:val="00C13520"/>
    <w:rsid w:val="00C13563"/>
    <w:rsid w:val="00C13656"/>
    <w:rsid w:val="00C138CE"/>
    <w:rsid w:val="00C14893"/>
    <w:rsid w:val="00C14AE2"/>
    <w:rsid w:val="00C14F9B"/>
    <w:rsid w:val="00C14FAB"/>
    <w:rsid w:val="00C15F42"/>
    <w:rsid w:val="00C1610B"/>
    <w:rsid w:val="00C1611D"/>
    <w:rsid w:val="00C162CB"/>
    <w:rsid w:val="00C167BD"/>
    <w:rsid w:val="00C16C31"/>
    <w:rsid w:val="00C16C9A"/>
    <w:rsid w:val="00C17496"/>
    <w:rsid w:val="00C175E4"/>
    <w:rsid w:val="00C17AB2"/>
    <w:rsid w:val="00C17EC4"/>
    <w:rsid w:val="00C20137"/>
    <w:rsid w:val="00C21336"/>
    <w:rsid w:val="00C21CA1"/>
    <w:rsid w:val="00C21E8A"/>
    <w:rsid w:val="00C22004"/>
    <w:rsid w:val="00C222BC"/>
    <w:rsid w:val="00C2236A"/>
    <w:rsid w:val="00C22476"/>
    <w:rsid w:val="00C22D61"/>
    <w:rsid w:val="00C23201"/>
    <w:rsid w:val="00C232E0"/>
    <w:rsid w:val="00C23B58"/>
    <w:rsid w:val="00C23E73"/>
    <w:rsid w:val="00C2451F"/>
    <w:rsid w:val="00C24B5E"/>
    <w:rsid w:val="00C24DF9"/>
    <w:rsid w:val="00C2526F"/>
    <w:rsid w:val="00C2534F"/>
    <w:rsid w:val="00C2590F"/>
    <w:rsid w:val="00C26201"/>
    <w:rsid w:val="00C2638B"/>
    <w:rsid w:val="00C273E1"/>
    <w:rsid w:val="00C27909"/>
    <w:rsid w:val="00C30058"/>
    <w:rsid w:val="00C30086"/>
    <w:rsid w:val="00C30301"/>
    <w:rsid w:val="00C30405"/>
    <w:rsid w:val="00C30A6F"/>
    <w:rsid w:val="00C30F97"/>
    <w:rsid w:val="00C311AD"/>
    <w:rsid w:val="00C3173B"/>
    <w:rsid w:val="00C317A2"/>
    <w:rsid w:val="00C31DCA"/>
    <w:rsid w:val="00C32588"/>
    <w:rsid w:val="00C33101"/>
    <w:rsid w:val="00C334B0"/>
    <w:rsid w:val="00C337E1"/>
    <w:rsid w:val="00C33F1E"/>
    <w:rsid w:val="00C34113"/>
    <w:rsid w:val="00C3428A"/>
    <w:rsid w:val="00C343FC"/>
    <w:rsid w:val="00C356E0"/>
    <w:rsid w:val="00C35815"/>
    <w:rsid w:val="00C35A78"/>
    <w:rsid w:val="00C3647C"/>
    <w:rsid w:val="00C3651F"/>
    <w:rsid w:val="00C36633"/>
    <w:rsid w:val="00C366FC"/>
    <w:rsid w:val="00C36763"/>
    <w:rsid w:val="00C36D61"/>
    <w:rsid w:val="00C36E79"/>
    <w:rsid w:val="00C36E9D"/>
    <w:rsid w:val="00C371E7"/>
    <w:rsid w:val="00C3781C"/>
    <w:rsid w:val="00C37C86"/>
    <w:rsid w:val="00C37C93"/>
    <w:rsid w:val="00C40371"/>
    <w:rsid w:val="00C405BE"/>
    <w:rsid w:val="00C412B1"/>
    <w:rsid w:val="00C413E1"/>
    <w:rsid w:val="00C41C82"/>
    <w:rsid w:val="00C41EE2"/>
    <w:rsid w:val="00C42503"/>
    <w:rsid w:val="00C42A63"/>
    <w:rsid w:val="00C42CF4"/>
    <w:rsid w:val="00C43333"/>
    <w:rsid w:val="00C43B34"/>
    <w:rsid w:val="00C43D7D"/>
    <w:rsid w:val="00C43E24"/>
    <w:rsid w:val="00C4436C"/>
    <w:rsid w:val="00C44B0C"/>
    <w:rsid w:val="00C44BAF"/>
    <w:rsid w:val="00C44C41"/>
    <w:rsid w:val="00C45C19"/>
    <w:rsid w:val="00C461B2"/>
    <w:rsid w:val="00C46736"/>
    <w:rsid w:val="00C46D5A"/>
    <w:rsid w:val="00C4744F"/>
    <w:rsid w:val="00C476FD"/>
    <w:rsid w:val="00C47C8E"/>
    <w:rsid w:val="00C50061"/>
    <w:rsid w:val="00C50F2B"/>
    <w:rsid w:val="00C50F97"/>
    <w:rsid w:val="00C510AE"/>
    <w:rsid w:val="00C51338"/>
    <w:rsid w:val="00C51627"/>
    <w:rsid w:val="00C517EE"/>
    <w:rsid w:val="00C5229E"/>
    <w:rsid w:val="00C5276E"/>
    <w:rsid w:val="00C52F49"/>
    <w:rsid w:val="00C52FD1"/>
    <w:rsid w:val="00C5359B"/>
    <w:rsid w:val="00C536E9"/>
    <w:rsid w:val="00C537FD"/>
    <w:rsid w:val="00C53AF7"/>
    <w:rsid w:val="00C53D9C"/>
    <w:rsid w:val="00C53F48"/>
    <w:rsid w:val="00C53FEE"/>
    <w:rsid w:val="00C54F74"/>
    <w:rsid w:val="00C554B5"/>
    <w:rsid w:val="00C55933"/>
    <w:rsid w:val="00C55B0F"/>
    <w:rsid w:val="00C56C36"/>
    <w:rsid w:val="00C56EF2"/>
    <w:rsid w:val="00C570A6"/>
    <w:rsid w:val="00C573CF"/>
    <w:rsid w:val="00C579F3"/>
    <w:rsid w:val="00C57F89"/>
    <w:rsid w:val="00C600B3"/>
    <w:rsid w:val="00C602FA"/>
    <w:rsid w:val="00C60DE1"/>
    <w:rsid w:val="00C611F0"/>
    <w:rsid w:val="00C6132D"/>
    <w:rsid w:val="00C61464"/>
    <w:rsid w:val="00C61B2D"/>
    <w:rsid w:val="00C61E03"/>
    <w:rsid w:val="00C62B64"/>
    <w:rsid w:val="00C62D47"/>
    <w:rsid w:val="00C62F2C"/>
    <w:rsid w:val="00C638C8"/>
    <w:rsid w:val="00C63958"/>
    <w:rsid w:val="00C63DAE"/>
    <w:rsid w:val="00C63DB8"/>
    <w:rsid w:val="00C6413D"/>
    <w:rsid w:val="00C641AF"/>
    <w:rsid w:val="00C64293"/>
    <w:rsid w:val="00C64774"/>
    <w:rsid w:val="00C64C91"/>
    <w:rsid w:val="00C66827"/>
    <w:rsid w:val="00C66C28"/>
    <w:rsid w:val="00C66F61"/>
    <w:rsid w:val="00C677AA"/>
    <w:rsid w:val="00C679C3"/>
    <w:rsid w:val="00C67A69"/>
    <w:rsid w:val="00C67E8E"/>
    <w:rsid w:val="00C67F91"/>
    <w:rsid w:val="00C705A8"/>
    <w:rsid w:val="00C706CD"/>
    <w:rsid w:val="00C71157"/>
    <w:rsid w:val="00C7141F"/>
    <w:rsid w:val="00C71BE7"/>
    <w:rsid w:val="00C71C00"/>
    <w:rsid w:val="00C72173"/>
    <w:rsid w:val="00C72177"/>
    <w:rsid w:val="00C72F91"/>
    <w:rsid w:val="00C73518"/>
    <w:rsid w:val="00C7359A"/>
    <w:rsid w:val="00C73AC4"/>
    <w:rsid w:val="00C7430B"/>
    <w:rsid w:val="00C743D3"/>
    <w:rsid w:val="00C74909"/>
    <w:rsid w:val="00C74A28"/>
    <w:rsid w:val="00C74B8C"/>
    <w:rsid w:val="00C74EF5"/>
    <w:rsid w:val="00C750AC"/>
    <w:rsid w:val="00C7567B"/>
    <w:rsid w:val="00C75C00"/>
    <w:rsid w:val="00C75D03"/>
    <w:rsid w:val="00C75DB1"/>
    <w:rsid w:val="00C75F35"/>
    <w:rsid w:val="00C76289"/>
    <w:rsid w:val="00C762A8"/>
    <w:rsid w:val="00C770F5"/>
    <w:rsid w:val="00C7731C"/>
    <w:rsid w:val="00C7740D"/>
    <w:rsid w:val="00C7743B"/>
    <w:rsid w:val="00C80126"/>
    <w:rsid w:val="00C80CFF"/>
    <w:rsid w:val="00C80D57"/>
    <w:rsid w:val="00C81574"/>
    <w:rsid w:val="00C81CC9"/>
    <w:rsid w:val="00C821BA"/>
    <w:rsid w:val="00C82620"/>
    <w:rsid w:val="00C8268F"/>
    <w:rsid w:val="00C82D2B"/>
    <w:rsid w:val="00C83247"/>
    <w:rsid w:val="00C83535"/>
    <w:rsid w:val="00C8390A"/>
    <w:rsid w:val="00C83BB9"/>
    <w:rsid w:val="00C83D84"/>
    <w:rsid w:val="00C83DE8"/>
    <w:rsid w:val="00C83E9E"/>
    <w:rsid w:val="00C84466"/>
    <w:rsid w:val="00C84987"/>
    <w:rsid w:val="00C84CB1"/>
    <w:rsid w:val="00C84EA7"/>
    <w:rsid w:val="00C85362"/>
    <w:rsid w:val="00C853AD"/>
    <w:rsid w:val="00C862C5"/>
    <w:rsid w:val="00C8649D"/>
    <w:rsid w:val="00C86852"/>
    <w:rsid w:val="00C86AA2"/>
    <w:rsid w:val="00C86B3C"/>
    <w:rsid w:val="00C8715D"/>
    <w:rsid w:val="00C87436"/>
    <w:rsid w:val="00C87472"/>
    <w:rsid w:val="00C87BC2"/>
    <w:rsid w:val="00C87DC6"/>
    <w:rsid w:val="00C87F01"/>
    <w:rsid w:val="00C90018"/>
    <w:rsid w:val="00C90104"/>
    <w:rsid w:val="00C905C2"/>
    <w:rsid w:val="00C90B83"/>
    <w:rsid w:val="00C9103D"/>
    <w:rsid w:val="00C9120D"/>
    <w:rsid w:val="00C91651"/>
    <w:rsid w:val="00C9175B"/>
    <w:rsid w:val="00C917A4"/>
    <w:rsid w:val="00C91852"/>
    <w:rsid w:val="00C919A1"/>
    <w:rsid w:val="00C922A2"/>
    <w:rsid w:val="00C9336B"/>
    <w:rsid w:val="00C93AB8"/>
    <w:rsid w:val="00C9433D"/>
    <w:rsid w:val="00C944F7"/>
    <w:rsid w:val="00C94E99"/>
    <w:rsid w:val="00C95CCF"/>
    <w:rsid w:val="00C963D9"/>
    <w:rsid w:val="00C96FEB"/>
    <w:rsid w:val="00C96FF4"/>
    <w:rsid w:val="00C97290"/>
    <w:rsid w:val="00C97937"/>
    <w:rsid w:val="00C97A72"/>
    <w:rsid w:val="00C97CEE"/>
    <w:rsid w:val="00CA029B"/>
    <w:rsid w:val="00CA162D"/>
    <w:rsid w:val="00CA1766"/>
    <w:rsid w:val="00CA19B4"/>
    <w:rsid w:val="00CA26EA"/>
    <w:rsid w:val="00CA27EA"/>
    <w:rsid w:val="00CA298F"/>
    <w:rsid w:val="00CA2FB2"/>
    <w:rsid w:val="00CA3741"/>
    <w:rsid w:val="00CA385B"/>
    <w:rsid w:val="00CA3D38"/>
    <w:rsid w:val="00CA3D3A"/>
    <w:rsid w:val="00CA3D92"/>
    <w:rsid w:val="00CA42D6"/>
    <w:rsid w:val="00CA4457"/>
    <w:rsid w:val="00CA49B9"/>
    <w:rsid w:val="00CA505E"/>
    <w:rsid w:val="00CA528A"/>
    <w:rsid w:val="00CA556F"/>
    <w:rsid w:val="00CA58FC"/>
    <w:rsid w:val="00CA7395"/>
    <w:rsid w:val="00CA7535"/>
    <w:rsid w:val="00CA76C5"/>
    <w:rsid w:val="00CA7DBD"/>
    <w:rsid w:val="00CB05D8"/>
    <w:rsid w:val="00CB0B45"/>
    <w:rsid w:val="00CB0DFB"/>
    <w:rsid w:val="00CB0E4A"/>
    <w:rsid w:val="00CB1369"/>
    <w:rsid w:val="00CB13E7"/>
    <w:rsid w:val="00CB1403"/>
    <w:rsid w:val="00CB15E9"/>
    <w:rsid w:val="00CB1867"/>
    <w:rsid w:val="00CB1B65"/>
    <w:rsid w:val="00CB1E36"/>
    <w:rsid w:val="00CB2279"/>
    <w:rsid w:val="00CB27FC"/>
    <w:rsid w:val="00CB2BD5"/>
    <w:rsid w:val="00CB2CAF"/>
    <w:rsid w:val="00CB3097"/>
    <w:rsid w:val="00CB3367"/>
    <w:rsid w:val="00CB3B36"/>
    <w:rsid w:val="00CB4062"/>
    <w:rsid w:val="00CB4136"/>
    <w:rsid w:val="00CB4FF2"/>
    <w:rsid w:val="00CB5820"/>
    <w:rsid w:val="00CB5C55"/>
    <w:rsid w:val="00CB6057"/>
    <w:rsid w:val="00CB60EF"/>
    <w:rsid w:val="00CB616E"/>
    <w:rsid w:val="00CB6305"/>
    <w:rsid w:val="00CB6857"/>
    <w:rsid w:val="00CB746C"/>
    <w:rsid w:val="00CB784E"/>
    <w:rsid w:val="00CC09B2"/>
    <w:rsid w:val="00CC0EDB"/>
    <w:rsid w:val="00CC0F87"/>
    <w:rsid w:val="00CC1D1A"/>
    <w:rsid w:val="00CC25A8"/>
    <w:rsid w:val="00CC2A1D"/>
    <w:rsid w:val="00CC328F"/>
    <w:rsid w:val="00CC3581"/>
    <w:rsid w:val="00CC3DE9"/>
    <w:rsid w:val="00CC3E86"/>
    <w:rsid w:val="00CC3FF1"/>
    <w:rsid w:val="00CC4818"/>
    <w:rsid w:val="00CC489C"/>
    <w:rsid w:val="00CC4F6A"/>
    <w:rsid w:val="00CC56F8"/>
    <w:rsid w:val="00CC5956"/>
    <w:rsid w:val="00CC5D51"/>
    <w:rsid w:val="00CC6260"/>
    <w:rsid w:val="00CC663A"/>
    <w:rsid w:val="00CC6ADD"/>
    <w:rsid w:val="00CC6BE6"/>
    <w:rsid w:val="00CC7063"/>
    <w:rsid w:val="00CC70A3"/>
    <w:rsid w:val="00CC7341"/>
    <w:rsid w:val="00CC74A0"/>
    <w:rsid w:val="00CC7B66"/>
    <w:rsid w:val="00CD06DD"/>
    <w:rsid w:val="00CD112D"/>
    <w:rsid w:val="00CD1404"/>
    <w:rsid w:val="00CD14D0"/>
    <w:rsid w:val="00CD15F5"/>
    <w:rsid w:val="00CD1923"/>
    <w:rsid w:val="00CD1CB3"/>
    <w:rsid w:val="00CD2270"/>
    <w:rsid w:val="00CD26A6"/>
    <w:rsid w:val="00CD2956"/>
    <w:rsid w:val="00CD2E34"/>
    <w:rsid w:val="00CD2F27"/>
    <w:rsid w:val="00CD3B20"/>
    <w:rsid w:val="00CD3F27"/>
    <w:rsid w:val="00CD4698"/>
    <w:rsid w:val="00CD48C3"/>
    <w:rsid w:val="00CD4D8E"/>
    <w:rsid w:val="00CD4E63"/>
    <w:rsid w:val="00CD6B47"/>
    <w:rsid w:val="00CD6C59"/>
    <w:rsid w:val="00CD7000"/>
    <w:rsid w:val="00CD71E3"/>
    <w:rsid w:val="00CD76DA"/>
    <w:rsid w:val="00CD799B"/>
    <w:rsid w:val="00CD7B2C"/>
    <w:rsid w:val="00CE01D0"/>
    <w:rsid w:val="00CE116E"/>
    <w:rsid w:val="00CE24EE"/>
    <w:rsid w:val="00CE2502"/>
    <w:rsid w:val="00CE28E3"/>
    <w:rsid w:val="00CE336E"/>
    <w:rsid w:val="00CE3ED5"/>
    <w:rsid w:val="00CE407C"/>
    <w:rsid w:val="00CE4589"/>
    <w:rsid w:val="00CE48D3"/>
    <w:rsid w:val="00CE4D77"/>
    <w:rsid w:val="00CE4F0E"/>
    <w:rsid w:val="00CE5156"/>
    <w:rsid w:val="00CE51BB"/>
    <w:rsid w:val="00CE5A2E"/>
    <w:rsid w:val="00CE648A"/>
    <w:rsid w:val="00CE6703"/>
    <w:rsid w:val="00CE6710"/>
    <w:rsid w:val="00CE6C87"/>
    <w:rsid w:val="00CE730E"/>
    <w:rsid w:val="00CE733D"/>
    <w:rsid w:val="00CE76DD"/>
    <w:rsid w:val="00CF0841"/>
    <w:rsid w:val="00CF1A2D"/>
    <w:rsid w:val="00CF1C2A"/>
    <w:rsid w:val="00CF1DFE"/>
    <w:rsid w:val="00CF25D5"/>
    <w:rsid w:val="00CF2913"/>
    <w:rsid w:val="00CF2E9F"/>
    <w:rsid w:val="00CF3243"/>
    <w:rsid w:val="00CF34F5"/>
    <w:rsid w:val="00CF3C6A"/>
    <w:rsid w:val="00CF41F3"/>
    <w:rsid w:val="00CF439F"/>
    <w:rsid w:val="00CF47E6"/>
    <w:rsid w:val="00CF4AB5"/>
    <w:rsid w:val="00CF4C83"/>
    <w:rsid w:val="00CF5B3C"/>
    <w:rsid w:val="00CF5D21"/>
    <w:rsid w:val="00CF6AA0"/>
    <w:rsid w:val="00CF6D25"/>
    <w:rsid w:val="00CF6E19"/>
    <w:rsid w:val="00CF7120"/>
    <w:rsid w:val="00CF724C"/>
    <w:rsid w:val="00CF744F"/>
    <w:rsid w:val="00CF7D24"/>
    <w:rsid w:val="00D0017D"/>
    <w:rsid w:val="00D001B4"/>
    <w:rsid w:val="00D003B7"/>
    <w:rsid w:val="00D003FD"/>
    <w:rsid w:val="00D00E36"/>
    <w:rsid w:val="00D01461"/>
    <w:rsid w:val="00D015B6"/>
    <w:rsid w:val="00D01821"/>
    <w:rsid w:val="00D01843"/>
    <w:rsid w:val="00D02F4F"/>
    <w:rsid w:val="00D034FF"/>
    <w:rsid w:val="00D03576"/>
    <w:rsid w:val="00D03C0E"/>
    <w:rsid w:val="00D03E18"/>
    <w:rsid w:val="00D04B50"/>
    <w:rsid w:val="00D04CB3"/>
    <w:rsid w:val="00D04F4E"/>
    <w:rsid w:val="00D05120"/>
    <w:rsid w:val="00D05136"/>
    <w:rsid w:val="00D05242"/>
    <w:rsid w:val="00D0606F"/>
    <w:rsid w:val="00D06867"/>
    <w:rsid w:val="00D072ED"/>
    <w:rsid w:val="00D0735E"/>
    <w:rsid w:val="00D0799E"/>
    <w:rsid w:val="00D07AF7"/>
    <w:rsid w:val="00D07D75"/>
    <w:rsid w:val="00D104DE"/>
    <w:rsid w:val="00D1055E"/>
    <w:rsid w:val="00D1077F"/>
    <w:rsid w:val="00D108A5"/>
    <w:rsid w:val="00D108B8"/>
    <w:rsid w:val="00D108D7"/>
    <w:rsid w:val="00D108FD"/>
    <w:rsid w:val="00D11BB2"/>
    <w:rsid w:val="00D1227F"/>
    <w:rsid w:val="00D1241E"/>
    <w:rsid w:val="00D12623"/>
    <w:rsid w:val="00D12D54"/>
    <w:rsid w:val="00D13079"/>
    <w:rsid w:val="00D13C4A"/>
    <w:rsid w:val="00D13E65"/>
    <w:rsid w:val="00D1434A"/>
    <w:rsid w:val="00D1457D"/>
    <w:rsid w:val="00D148BB"/>
    <w:rsid w:val="00D14C68"/>
    <w:rsid w:val="00D14E59"/>
    <w:rsid w:val="00D15151"/>
    <w:rsid w:val="00D154AF"/>
    <w:rsid w:val="00D15BC9"/>
    <w:rsid w:val="00D161E9"/>
    <w:rsid w:val="00D166EC"/>
    <w:rsid w:val="00D16AD5"/>
    <w:rsid w:val="00D16F45"/>
    <w:rsid w:val="00D17A20"/>
    <w:rsid w:val="00D20031"/>
    <w:rsid w:val="00D20C2D"/>
    <w:rsid w:val="00D20FBE"/>
    <w:rsid w:val="00D210C2"/>
    <w:rsid w:val="00D2161C"/>
    <w:rsid w:val="00D219C9"/>
    <w:rsid w:val="00D21C1B"/>
    <w:rsid w:val="00D21D2F"/>
    <w:rsid w:val="00D222DB"/>
    <w:rsid w:val="00D22BBA"/>
    <w:rsid w:val="00D23207"/>
    <w:rsid w:val="00D23D8F"/>
    <w:rsid w:val="00D24869"/>
    <w:rsid w:val="00D24D63"/>
    <w:rsid w:val="00D25F29"/>
    <w:rsid w:val="00D25FBC"/>
    <w:rsid w:val="00D269F2"/>
    <w:rsid w:val="00D26AEE"/>
    <w:rsid w:val="00D26D01"/>
    <w:rsid w:val="00D26E1A"/>
    <w:rsid w:val="00D27550"/>
    <w:rsid w:val="00D278A0"/>
    <w:rsid w:val="00D2798D"/>
    <w:rsid w:val="00D27EC4"/>
    <w:rsid w:val="00D30283"/>
    <w:rsid w:val="00D31326"/>
    <w:rsid w:val="00D313B3"/>
    <w:rsid w:val="00D31956"/>
    <w:rsid w:val="00D31A2F"/>
    <w:rsid w:val="00D31B9B"/>
    <w:rsid w:val="00D32249"/>
    <w:rsid w:val="00D328F8"/>
    <w:rsid w:val="00D3292B"/>
    <w:rsid w:val="00D33059"/>
    <w:rsid w:val="00D33E36"/>
    <w:rsid w:val="00D33E90"/>
    <w:rsid w:val="00D33EC9"/>
    <w:rsid w:val="00D33F02"/>
    <w:rsid w:val="00D34042"/>
    <w:rsid w:val="00D34371"/>
    <w:rsid w:val="00D348EB"/>
    <w:rsid w:val="00D34A87"/>
    <w:rsid w:val="00D34BB0"/>
    <w:rsid w:val="00D3545B"/>
    <w:rsid w:val="00D356BD"/>
    <w:rsid w:val="00D358F7"/>
    <w:rsid w:val="00D36376"/>
    <w:rsid w:val="00D36726"/>
    <w:rsid w:val="00D368EE"/>
    <w:rsid w:val="00D36E67"/>
    <w:rsid w:val="00D37166"/>
    <w:rsid w:val="00D3725B"/>
    <w:rsid w:val="00D374FB"/>
    <w:rsid w:val="00D37C11"/>
    <w:rsid w:val="00D37CBA"/>
    <w:rsid w:val="00D37EF5"/>
    <w:rsid w:val="00D401B4"/>
    <w:rsid w:val="00D40358"/>
    <w:rsid w:val="00D40B48"/>
    <w:rsid w:val="00D40EE7"/>
    <w:rsid w:val="00D412E9"/>
    <w:rsid w:val="00D41484"/>
    <w:rsid w:val="00D4199B"/>
    <w:rsid w:val="00D419C9"/>
    <w:rsid w:val="00D42089"/>
    <w:rsid w:val="00D42240"/>
    <w:rsid w:val="00D42388"/>
    <w:rsid w:val="00D4240E"/>
    <w:rsid w:val="00D427AD"/>
    <w:rsid w:val="00D428B9"/>
    <w:rsid w:val="00D43246"/>
    <w:rsid w:val="00D4353E"/>
    <w:rsid w:val="00D435DF"/>
    <w:rsid w:val="00D45750"/>
    <w:rsid w:val="00D457EA"/>
    <w:rsid w:val="00D45C42"/>
    <w:rsid w:val="00D45D91"/>
    <w:rsid w:val="00D46D37"/>
    <w:rsid w:val="00D4733D"/>
    <w:rsid w:val="00D47362"/>
    <w:rsid w:val="00D4791A"/>
    <w:rsid w:val="00D50391"/>
    <w:rsid w:val="00D508F0"/>
    <w:rsid w:val="00D50E07"/>
    <w:rsid w:val="00D513CF"/>
    <w:rsid w:val="00D516B3"/>
    <w:rsid w:val="00D5186E"/>
    <w:rsid w:val="00D51A9B"/>
    <w:rsid w:val="00D52245"/>
    <w:rsid w:val="00D52C32"/>
    <w:rsid w:val="00D52E54"/>
    <w:rsid w:val="00D52FF5"/>
    <w:rsid w:val="00D5306E"/>
    <w:rsid w:val="00D53600"/>
    <w:rsid w:val="00D5363F"/>
    <w:rsid w:val="00D53A00"/>
    <w:rsid w:val="00D53AFB"/>
    <w:rsid w:val="00D53B01"/>
    <w:rsid w:val="00D53DDB"/>
    <w:rsid w:val="00D53FE0"/>
    <w:rsid w:val="00D54705"/>
    <w:rsid w:val="00D54C58"/>
    <w:rsid w:val="00D54C66"/>
    <w:rsid w:val="00D54DFB"/>
    <w:rsid w:val="00D54F47"/>
    <w:rsid w:val="00D55042"/>
    <w:rsid w:val="00D55060"/>
    <w:rsid w:val="00D5530E"/>
    <w:rsid w:val="00D55CC2"/>
    <w:rsid w:val="00D55EEC"/>
    <w:rsid w:val="00D55F9C"/>
    <w:rsid w:val="00D564F2"/>
    <w:rsid w:val="00D566DA"/>
    <w:rsid w:val="00D56857"/>
    <w:rsid w:val="00D56A16"/>
    <w:rsid w:val="00D56DFA"/>
    <w:rsid w:val="00D576D2"/>
    <w:rsid w:val="00D5776F"/>
    <w:rsid w:val="00D577FD"/>
    <w:rsid w:val="00D600C6"/>
    <w:rsid w:val="00D60E22"/>
    <w:rsid w:val="00D61302"/>
    <w:rsid w:val="00D614D9"/>
    <w:rsid w:val="00D61809"/>
    <w:rsid w:val="00D61AEE"/>
    <w:rsid w:val="00D62644"/>
    <w:rsid w:val="00D628E9"/>
    <w:rsid w:val="00D62A7A"/>
    <w:rsid w:val="00D62EF7"/>
    <w:rsid w:val="00D62F4D"/>
    <w:rsid w:val="00D62F7A"/>
    <w:rsid w:val="00D6301A"/>
    <w:rsid w:val="00D6338D"/>
    <w:rsid w:val="00D636FC"/>
    <w:rsid w:val="00D63C68"/>
    <w:rsid w:val="00D64906"/>
    <w:rsid w:val="00D65115"/>
    <w:rsid w:val="00D652D9"/>
    <w:rsid w:val="00D6560F"/>
    <w:rsid w:val="00D65788"/>
    <w:rsid w:val="00D6582E"/>
    <w:rsid w:val="00D65833"/>
    <w:rsid w:val="00D65CAB"/>
    <w:rsid w:val="00D65D11"/>
    <w:rsid w:val="00D65D6C"/>
    <w:rsid w:val="00D660E4"/>
    <w:rsid w:val="00D66EE4"/>
    <w:rsid w:val="00D6712B"/>
    <w:rsid w:val="00D6783A"/>
    <w:rsid w:val="00D6794F"/>
    <w:rsid w:val="00D702E0"/>
    <w:rsid w:val="00D70815"/>
    <w:rsid w:val="00D70DDA"/>
    <w:rsid w:val="00D71794"/>
    <w:rsid w:val="00D71930"/>
    <w:rsid w:val="00D71BB6"/>
    <w:rsid w:val="00D71E9D"/>
    <w:rsid w:val="00D71F68"/>
    <w:rsid w:val="00D7209D"/>
    <w:rsid w:val="00D7293E"/>
    <w:rsid w:val="00D729E6"/>
    <w:rsid w:val="00D72D2D"/>
    <w:rsid w:val="00D72E98"/>
    <w:rsid w:val="00D73AD9"/>
    <w:rsid w:val="00D74F40"/>
    <w:rsid w:val="00D7515C"/>
    <w:rsid w:val="00D75409"/>
    <w:rsid w:val="00D755D8"/>
    <w:rsid w:val="00D75658"/>
    <w:rsid w:val="00D75A07"/>
    <w:rsid w:val="00D75EFF"/>
    <w:rsid w:val="00D76636"/>
    <w:rsid w:val="00D76CAE"/>
    <w:rsid w:val="00D76E0F"/>
    <w:rsid w:val="00D77955"/>
    <w:rsid w:val="00D77A50"/>
    <w:rsid w:val="00D77B20"/>
    <w:rsid w:val="00D8064F"/>
    <w:rsid w:val="00D80C29"/>
    <w:rsid w:val="00D81345"/>
    <w:rsid w:val="00D8192D"/>
    <w:rsid w:val="00D81D50"/>
    <w:rsid w:val="00D81F60"/>
    <w:rsid w:val="00D82191"/>
    <w:rsid w:val="00D82240"/>
    <w:rsid w:val="00D82263"/>
    <w:rsid w:val="00D82A1F"/>
    <w:rsid w:val="00D82E38"/>
    <w:rsid w:val="00D82E8A"/>
    <w:rsid w:val="00D8316D"/>
    <w:rsid w:val="00D83B51"/>
    <w:rsid w:val="00D83F86"/>
    <w:rsid w:val="00D8445C"/>
    <w:rsid w:val="00D8459A"/>
    <w:rsid w:val="00D84AC6"/>
    <w:rsid w:val="00D84ECA"/>
    <w:rsid w:val="00D8525E"/>
    <w:rsid w:val="00D85585"/>
    <w:rsid w:val="00D85B4C"/>
    <w:rsid w:val="00D85CAE"/>
    <w:rsid w:val="00D863D1"/>
    <w:rsid w:val="00D8675F"/>
    <w:rsid w:val="00D86E0B"/>
    <w:rsid w:val="00D870DB"/>
    <w:rsid w:val="00D9041B"/>
    <w:rsid w:val="00D90DBB"/>
    <w:rsid w:val="00D9141D"/>
    <w:rsid w:val="00D9157E"/>
    <w:rsid w:val="00D91BDD"/>
    <w:rsid w:val="00D9209D"/>
    <w:rsid w:val="00D92BFE"/>
    <w:rsid w:val="00D92CE9"/>
    <w:rsid w:val="00D930F1"/>
    <w:rsid w:val="00D93114"/>
    <w:rsid w:val="00D933B9"/>
    <w:rsid w:val="00D93B4A"/>
    <w:rsid w:val="00D946C9"/>
    <w:rsid w:val="00D94CF3"/>
    <w:rsid w:val="00D94FBE"/>
    <w:rsid w:val="00D95B0D"/>
    <w:rsid w:val="00D95D75"/>
    <w:rsid w:val="00D967A8"/>
    <w:rsid w:val="00D969FB"/>
    <w:rsid w:val="00D97616"/>
    <w:rsid w:val="00D9784A"/>
    <w:rsid w:val="00D97BE6"/>
    <w:rsid w:val="00DA01A2"/>
    <w:rsid w:val="00DA058E"/>
    <w:rsid w:val="00DA0CB4"/>
    <w:rsid w:val="00DA127F"/>
    <w:rsid w:val="00DA17E6"/>
    <w:rsid w:val="00DA1AA3"/>
    <w:rsid w:val="00DA1EE5"/>
    <w:rsid w:val="00DA231F"/>
    <w:rsid w:val="00DA26C8"/>
    <w:rsid w:val="00DA28B0"/>
    <w:rsid w:val="00DA2BDF"/>
    <w:rsid w:val="00DA2D0D"/>
    <w:rsid w:val="00DA2E55"/>
    <w:rsid w:val="00DA348F"/>
    <w:rsid w:val="00DA35C6"/>
    <w:rsid w:val="00DA3EDF"/>
    <w:rsid w:val="00DA4EB1"/>
    <w:rsid w:val="00DA5124"/>
    <w:rsid w:val="00DA512C"/>
    <w:rsid w:val="00DA541D"/>
    <w:rsid w:val="00DA58AF"/>
    <w:rsid w:val="00DA5A4E"/>
    <w:rsid w:val="00DA61A9"/>
    <w:rsid w:val="00DA6427"/>
    <w:rsid w:val="00DA645E"/>
    <w:rsid w:val="00DA6765"/>
    <w:rsid w:val="00DA7203"/>
    <w:rsid w:val="00DA7446"/>
    <w:rsid w:val="00DA78BA"/>
    <w:rsid w:val="00DA7DBF"/>
    <w:rsid w:val="00DB003C"/>
    <w:rsid w:val="00DB00FC"/>
    <w:rsid w:val="00DB014B"/>
    <w:rsid w:val="00DB0671"/>
    <w:rsid w:val="00DB0E51"/>
    <w:rsid w:val="00DB0FDF"/>
    <w:rsid w:val="00DB177F"/>
    <w:rsid w:val="00DB1AFB"/>
    <w:rsid w:val="00DB1BFD"/>
    <w:rsid w:val="00DB1C4A"/>
    <w:rsid w:val="00DB1C99"/>
    <w:rsid w:val="00DB1E91"/>
    <w:rsid w:val="00DB221E"/>
    <w:rsid w:val="00DB25A5"/>
    <w:rsid w:val="00DB266F"/>
    <w:rsid w:val="00DB2961"/>
    <w:rsid w:val="00DB32A0"/>
    <w:rsid w:val="00DB4188"/>
    <w:rsid w:val="00DB4410"/>
    <w:rsid w:val="00DB4695"/>
    <w:rsid w:val="00DB46EE"/>
    <w:rsid w:val="00DB4D02"/>
    <w:rsid w:val="00DB5117"/>
    <w:rsid w:val="00DB58C7"/>
    <w:rsid w:val="00DB59E8"/>
    <w:rsid w:val="00DB5A7D"/>
    <w:rsid w:val="00DB5E60"/>
    <w:rsid w:val="00DB6031"/>
    <w:rsid w:val="00DB6418"/>
    <w:rsid w:val="00DB664A"/>
    <w:rsid w:val="00DB701E"/>
    <w:rsid w:val="00DB7463"/>
    <w:rsid w:val="00DB7846"/>
    <w:rsid w:val="00DB787E"/>
    <w:rsid w:val="00DB79A4"/>
    <w:rsid w:val="00DC0013"/>
    <w:rsid w:val="00DC03A0"/>
    <w:rsid w:val="00DC0D46"/>
    <w:rsid w:val="00DC14AF"/>
    <w:rsid w:val="00DC1720"/>
    <w:rsid w:val="00DC2330"/>
    <w:rsid w:val="00DC234A"/>
    <w:rsid w:val="00DC2509"/>
    <w:rsid w:val="00DC2611"/>
    <w:rsid w:val="00DC2763"/>
    <w:rsid w:val="00DC293C"/>
    <w:rsid w:val="00DC30BB"/>
    <w:rsid w:val="00DC3633"/>
    <w:rsid w:val="00DC4108"/>
    <w:rsid w:val="00DC429B"/>
    <w:rsid w:val="00DC4A32"/>
    <w:rsid w:val="00DC4EC7"/>
    <w:rsid w:val="00DC4F64"/>
    <w:rsid w:val="00DC50C5"/>
    <w:rsid w:val="00DC52E8"/>
    <w:rsid w:val="00DC5BD1"/>
    <w:rsid w:val="00DC5C54"/>
    <w:rsid w:val="00DC5D7F"/>
    <w:rsid w:val="00DC619B"/>
    <w:rsid w:val="00DC64A7"/>
    <w:rsid w:val="00DC673F"/>
    <w:rsid w:val="00DD016E"/>
    <w:rsid w:val="00DD050E"/>
    <w:rsid w:val="00DD0953"/>
    <w:rsid w:val="00DD0EC3"/>
    <w:rsid w:val="00DD1005"/>
    <w:rsid w:val="00DD1999"/>
    <w:rsid w:val="00DD1A95"/>
    <w:rsid w:val="00DD1A98"/>
    <w:rsid w:val="00DD1F48"/>
    <w:rsid w:val="00DD209A"/>
    <w:rsid w:val="00DD2276"/>
    <w:rsid w:val="00DD2318"/>
    <w:rsid w:val="00DD2409"/>
    <w:rsid w:val="00DD2825"/>
    <w:rsid w:val="00DD2C0E"/>
    <w:rsid w:val="00DD2C81"/>
    <w:rsid w:val="00DD3210"/>
    <w:rsid w:val="00DD36F9"/>
    <w:rsid w:val="00DD3B54"/>
    <w:rsid w:val="00DD3E1C"/>
    <w:rsid w:val="00DD41E0"/>
    <w:rsid w:val="00DD4EA8"/>
    <w:rsid w:val="00DD5D75"/>
    <w:rsid w:val="00DD5E14"/>
    <w:rsid w:val="00DD61FC"/>
    <w:rsid w:val="00DD626D"/>
    <w:rsid w:val="00DD693D"/>
    <w:rsid w:val="00DD6B78"/>
    <w:rsid w:val="00DD78F0"/>
    <w:rsid w:val="00DD7F2B"/>
    <w:rsid w:val="00DE03F1"/>
    <w:rsid w:val="00DE0942"/>
    <w:rsid w:val="00DE09D3"/>
    <w:rsid w:val="00DE0A5A"/>
    <w:rsid w:val="00DE0D3D"/>
    <w:rsid w:val="00DE0E3B"/>
    <w:rsid w:val="00DE1229"/>
    <w:rsid w:val="00DE2465"/>
    <w:rsid w:val="00DE2496"/>
    <w:rsid w:val="00DE2885"/>
    <w:rsid w:val="00DE2939"/>
    <w:rsid w:val="00DE34F6"/>
    <w:rsid w:val="00DE35F1"/>
    <w:rsid w:val="00DE3B0D"/>
    <w:rsid w:val="00DE4198"/>
    <w:rsid w:val="00DE4B13"/>
    <w:rsid w:val="00DE504C"/>
    <w:rsid w:val="00DE53B2"/>
    <w:rsid w:val="00DE571F"/>
    <w:rsid w:val="00DE5FDB"/>
    <w:rsid w:val="00DE6CD9"/>
    <w:rsid w:val="00DE6F99"/>
    <w:rsid w:val="00DE7099"/>
    <w:rsid w:val="00DE776C"/>
    <w:rsid w:val="00DE7C11"/>
    <w:rsid w:val="00DE7C2B"/>
    <w:rsid w:val="00DF00CD"/>
    <w:rsid w:val="00DF0248"/>
    <w:rsid w:val="00DF05CA"/>
    <w:rsid w:val="00DF06F2"/>
    <w:rsid w:val="00DF077C"/>
    <w:rsid w:val="00DF0B7B"/>
    <w:rsid w:val="00DF0EAE"/>
    <w:rsid w:val="00DF0F76"/>
    <w:rsid w:val="00DF0FAA"/>
    <w:rsid w:val="00DF1068"/>
    <w:rsid w:val="00DF1AD3"/>
    <w:rsid w:val="00DF1B77"/>
    <w:rsid w:val="00DF2A96"/>
    <w:rsid w:val="00DF2CF7"/>
    <w:rsid w:val="00DF2F6B"/>
    <w:rsid w:val="00DF302D"/>
    <w:rsid w:val="00DF30CC"/>
    <w:rsid w:val="00DF30D6"/>
    <w:rsid w:val="00DF341B"/>
    <w:rsid w:val="00DF39E9"/>
    <w:rsid w:val="00DF3E86"/>
    <w:rsid w:val="00DF431B"/>
    <w:rsid w:val="00DF4985"/>
    <w:rsid w:val="00DF49E4"/>
    <w:rsid w:val="00DF4D65"/>
    <w:rsid w:val="00DF4F5F"/>
    <w:rsid w:val="00DF5480"/>
    <w:rsid w:val="00DF5B2B"/>
    <w:rsid w:val="00DF5DF0"/>
    <w:rsid w:val="00DF61BC"/>
    <w:rsid w:val="00DF6528"/>
    <w:rsid w:val="00DF66FB"/>
    <w:rsid w:val="00DF6DDF"/>
    <w:rsid w:val="00DF701E"/>
    <w:rsid w:val="00DF7077"/>
    <w:rsid w:val="00DF74D9"/>
    <w:rsid w:val="00DF76C5"/>
    <w:rsid w:val="00DF7EBF"/>
    <w:rsid w:val="00DF7F8B"/>
    <w:rsid w:val="00E0002F"/>
    <w:rsid w:val="00E0021B"/>
    <w:rsid w:val="00E00460"/>
    <w:rsid w:val="00E00526"/>
    <w:rsid w:val="00E007D6"/>
    <w:rsid w:val="00E00AEC"/>
    <w:rsid w:val="00E015C0"/>
    <w:rsid w:val="00E01697"/>
    <w:rsid w:val="00E01C3E"/>
    <w:rsid w:val="00E0248F"/>
    <w:rsid w:val="00E02F54"/>
    <w:rsid w:val="00E033B2"/>
    <w:rsid w:val="00E0360B"/>
    <w:rsid w:val="00E03617"/>
    <w:rsid w:val="00E03A96"/>
    <w:rsid w:val="00E03AA2"/>
    <w:rsid w:val="00E03CA2"/>
    <w:rsid w:val="00E040DB"/>
    <w:rsid w:val="00E041BE"/>
    <w:rsid w:val="00E04504"/>
    <w:rsid w:val="00E0485D"/>
    <w:rsid w:val="00E04A2D"/>
    <w:rsid w:val="00E04DE6"/>
    <w:rsid w:val="00E059FD"/>
    <w:rsid w:val="00E05D56"/>
    <w:rsid w:val="00E0605B"/>
    <w:rsid w:val="00E06399"/>
    <w:rsid w:val="00E067C4"/>
    <w:rsid w:val="00E071B1"/>
    <w:rsid w:val="00E0755A"/>
    <w:rsid w:val="00E075E8"/>
    <w:rsid w:val="00E077A1"/>
    <w:rsid w:val="00E079B8"/>
    <w:rsid w:val="00E07F84"/>
    <w:rsid w:val="00E105A9"/>
    <w:rsid w:val="00E10CA7"/>
    <w:rsid w:val="00E10E57"/>
    <w:rsid w:val="00E10F62"/>
    <w:rsid w:val="00E11F61"/>
    <w:rsid w:val="00E12210"/>
    <w:rsid w:val="00E12450"/>
    <w:rsid w:val="00E12F86"/>
    <w:rsid w:val="00E135C0"/>
    <w:rsid w:val="00E1374B"/>
    <w:rsid w:val="00E139CB"/>
    <w:rsid w:val="00E13A2F"/>
    <w:rsid w:val="00E142F6"/>
    <w:rsid w:val="00E15056"/>
    <w:rsid w:val="00E1525B"/>
    <w:rsid w:val="00E15BA3"/>
    <w:rsid w:val="00E15DB1"/>
    <w:rsid w:val="00E15F61"/>
    <w:rsid w:val="00E16499"/>
    <w:rsid w:val="00E171E3"/>
    <w:rsid w:val="00E17552"/>
    <w:rsid w:val="00E211A5"/>
    <w:rsid w:val="00E214E5"/>
    <w:rsid w:val="00E216F4"/>
    <w:rsid w:val="00E21B03"/>
    <w:rsid w:val="00E21BD3"/>
    <w:rsid w:val="00E21CD5"/>
    <w:rsid w:val="00E21F68"/>
    <w:rsid w:val="00E22445"/>
    <w:rsid w:val="00E2277C"/>
    <w:rsid w:val="00E22868"/>
    <w:rsid w:val="00E23230"/>
    <w:rsid w:val="00E23330"/>
    <w:rsid w:val="00E234DB"/>
    <w:rsid w:val="00E23736"/>
    <w:rsid w:val="00E23B95"/>
    <w:rsid w:val="00E23C83"/>
    <w:rsid w:val="00E23C88"/>
    <w:rsid w:val="00E249AD"/>
    <w:rsid w:val="00E24F6C"/>
    <w:rsid w:val="00E25312"/>
    <w:rsid w:val="00E25438"/>
    <w:rsid w:val="00E2589C"/>
    <w:rsid w:val="00E25B2C"/>
    <w:rsid w:val="00E25B7D"/>
    <w:rsid w:val="00E25E56"/>
    <w:rsid w:val="00E25EB8"/>
    <w:rsid w:val="00E260A3"/>
    <w:rsid w:val="00E2626D"/>
    <w:rsid w:val="00E26857"/>
    <w:rsid w:val="00E26D15"/>
    <w:rsid w:val="00E27272"/>
    <w:rsid w:val="00E273F1"/>
    <w:rsid w:val="00E27965"/>
    <w:rsid w:val="00E279FB"/>
    <w:rsid w:val="00E27DDB"/>
    <w:rsid w:val="00E27E01"/>
    <w:rsid w:val="00E30011"/>
    <w:rsid w:val="00E3009E"/>
    <w:rsid w:val="00E3039E"/>
    <w:rsid w:val="00E306F3"/>
    <w:rsid w:val="00E30BE4"/>
    <w:rsid w:val="00E30C63"/>
    <w:rsid w:val="00E30E4C"/>
    <w:rsid w:val="00E31243"/>
    <w:rsid w:val="00E3126B"/>
    <w:rsid w:val="00E31702"/>
    <w:rsid w:val="00E31A1C"/>
    <w:rsid w:val="00E31B75"/>
    <w:rsid w:val="00E320BD"/>
    <w:rsid w:val="00E323BD"/>
    <w:rsid w:val="00E3242E"/>
    <w:rsid w:val="00E3295D"/>
    <w:rsid w:val="00E32D9D"/>
    <w:rsid w:val="00E32E19"/>
    <w:rsid w:val="00E32E20"/>
    <w:rsid w:val="00E330C9"/>
    <w:rsid w:val="00E3330E"/>
    <w:rsid w:val="00E333F6"/>
    <w:rsid w:val="00E334AF"/>
    <w:rsid w:val="00E3351F"/>
    <w:rsid w:val="00E33992"/>
    <w:rsid w:val="00E33A25"/>
    <w:rsid w:val="00E33D0C"/>
    <w:rsid w:val="00E34473"/>
    <w:rsid w:val="00E34531"/>
    <w:rsid w:val="00E34840"/>
    <w:rsid w:val="00E35751"/>
    <w:rsid w:val="00E35B7B"/>
    <w:rsid w:val="00E3654C"/>
    <w:rsid w:val="00E36F9E"/>
    <w:rsid w:val="00E37492"/>
    <w:rsid w:val="00E37751"/>
    <w:rsid w:val="00E37EF2"/>
    <w:rsid w:val="00E37FD3"/>
    <w:rsid w:val="00E40DAE"/>
    <w:rsid w:val="00E40F62"/>
    <w:rsid w:val="00E4155B"/>
    <w:rsid w:val="00E41A75"/>
    <w:rsid w:val="00E41B0B"/>
    <w:rsid w:val="00E42533"/>
    <w:rsid w:val="00E42D63"/>
    <w:rsid w:val="00E42EE0"/>
    <w:rsid w:val="00E43249"/>
    <w:rsid w:val="00E436A2"/>
    <w:rsid w:val="00E439F6"/>
    <w:rsid w:val="00E44017"/>
    <w:rsid w:val="00E44354"/>
    <w:rsid w:val="00E448F4"/>
    <w:rsid w:val="00E453E0"/>
    <w:rsid w:val="00E45453"/>
    <w:rsid w:val="00E454E7"/>
    <w:rsid w:val="00E458D8"/>
    <w:rsid w:val="00E45B2C"/>
    <w:rsid w:val="00E45F85"/>
    <w:rsid w:val="00E4625F"/>
    <w:rsid w:val="00E465D8"/>
    <w:rsid w:val="00E46AD9"/>
    <w:rsid w:val="00E47F5C"/>
    <w:rsid w:val="00E5049B"/>
    <w:rsid w:val="00E514A2"/>
    <w:rsid w:val="00E515A1"/>
    <w:rsid w:val="00E518A7"/>
    <w:rsid w:val="00E522B6"/>
    <w:rsid w:val="00E52527"/>
    <w:rsid w:val="00E529F5"/>
    <w:rsid w:val="00E52C55"/>
    <w:rsid w:val="00E52E37"/>
    <w:rsid w:val="00E52E66"/>
    <w:rsid w:val="00E52EAB"/>
    <w:rsid w:val="00E5356B"/>
    <w:rsid w:val="00E53A33"/>
    <w:rsid w:val="00E53E00"/>
    <w:rsid w:val="00E54221"/>
    <w:rsid w:val="00E543BD"/>
    <w:rsid w:val="00E544CB"/>
    <w:rsid w:val="00E54582"/>
    <w:rsid w:val="00E54F75"/>
    <w:rsid w:val="00E55070"/>
    <w:rsid w:val="00E550F6"/>
    <w:rsid w:val="00E551C1"/>
    <w:rsid w:val="00E55DB7"/>
    <w:rsid w:val="00E55F35"/>
    <w:rsid w:val="00E5650A"/>
    <w:rsid w:val="00E56E98"/>
    <w:rsid w:val="00E57020"/>
    <w:rsid w:val="00E574EC"/>
    <w:rsid w:val="00E57B62"/>
    <w:rsid w:val="00E57B83"/>
    <w:rsid w:val="00E57C89"/>
    <w:rsid w:val="00E57F9C"/>
    <w:rsid w:val="00E605A2"/>
    <w:rsid w:val="00E60CA4"/>
    <w:rsid w:val="00E615F9"/>
    <w:rsid w:val="00E61694"/>
    <w:rsid w:val="00E6193C"/>
    <w:rsid w:val="00E61CF1"/>
    <w:rsid w:val="00E61F2A"/>
    <w:rsid w:val="00E620CD"/>
    <w:rsid w:val="00E62BC2"/>
    <w:rsid w:val="00E62CC4"/>
    <w:rsid w:val="00E6306F"/>
    <w:rsid w:val="00E63DAA"/>
    <w:rsid w:val="00E6412E"/>
    <w:rsid w:val="00E64C43"/>
    <w:rsid w:val="00E64C88"/>
    <w:rsid w:val="00E65136"/>
    <w:rsid w:val="00E65348"/>
    <w:rsid w:val="00E65798"/>
    <w:rsid w:val="00E65842"/>
    <w:rsid w:val="00E66934"/>
    <w:rsid w:val="00E66A02"/>
    <w:rsid w:val="00E66B8A"/>
    <w:rsid w:val="00E675A2"/>
    <w:rsid w:val="00E7083C"/>
    <w:rsid w:val="00E70E9B"/>
    <w:rsid w:val="00E710DD"/>
    <w:rsid w:val="00E71BB2"/>
    <w:rsid w:val="00E720CF"/>
    <w:rsid w:val="00E7221D"/>
    <w:rsid w:val="00E722D1"/>
    <w:rsid w:val="00E725D1"/>
    <w:rsid w:val="00E726C8"/>
    <w:rsid w:val="00E72F3F"/>
    <w:rsid w:val="00E735C9"/>
    <w:rsid w:val="00E735E8"/>
    <w:rsid w:val="00E73DB3"/>
    <w:rsid w:val="00E74CB3"/>
    <w:rsid w:val="00E753E7"/>
    <w:rsid w:val="00E75485"/>
    <w:rsid w:val="00E75D4F"/>
    <w:rsid w:val="00E7615F"/>
    <w:rsid w:val="00E7624E"/>
    <w:rsid w:val="00E767AC"/>
    <w:rsid w:val="00E76AE0"/>
    <w:rsid w:val="00E76E7E"/>
    <w:rsid w:val="00E810B1"/>
    <w:rsid w:val="00E812C7"/>
    <w:rsid w:val="00E816C9"/>
    <w:rsid w:val="00E81877"/>
    <w:rsid w:val="00E81A87"/>
    <w:rsid w:val="00E81B4D"/>
    <w:rsid w:val="00E82564"/>
    <w:rsid w:val="00E828CD"/>
    <w:rsid w:val="00E83152"/>
    <w:rsid w:val="00E8316E"/>
    <w:rsid w:val="00E83569"/>
    <w:rsid w:val="00E83948"/>
    <w:rsid w:val="00E83CF9"/>
    <w:rsid w:val="00E83F52"/>
    <w:rsid w:val="00E84030"/>
    <w:rsid w:val="00E84334"/>
    <w:rsid w:val="00E846BE"/>
    <w:rsid w:val="00E84A56"/>
    <w:rsid w:val="00E85518"/>
    <w:rsid w:val="00E8578D"/>
    <w:rsid w:val="00E85DB4"/>
    <w:rsid w:val="00E865DD"/>
    <w:rsid w:val="00E8685C"/>
    <w:rsid w:val="00E86C01"/>
    <w:rsid w:val="00E86E17"/>
    <w:rsid w:val="00E87431"/>
    <w:rsid w:val="00E87667"/>
    <w:rsid w:val="00E877FB"/>
    <w:rsid w:val="00E9080B"/>
    <w:rsid w:val="00E90BE6"/>
    <w:rsid w:val="00E912E1"/>
    <w:rsid w:val="00E914CC"/>
    <w:rsid w:val="00E91B24"/>
    <w:rsid w:val="00E91BE2"/>
    <w:rsid w:val="00E91C4C"/>
    <w:rsid w:val="00E92194"/>
    <w:rsid w:val="00E92974"/>
    <w:rsid w:val="00E92DEC"/>
    <w:rsid w:val="00E92EA7"/>
    <w:rsid w:val="00E92F41"/>
    <w:rsid w:val="00E92F98"/>
    <w:rsid w:val="00E930DD"/>
    <w:rsid w:val="00E9331D"/>
    <w:rsid w:val="00E93AE6"/>
    <w:rsid w:val="00E93B74"/>
    <w:rsid w:val="00E93FAB"/>
    <w:rsid w:val="00E94265"/>
    <w:rsid w:val="00E942C2"/>
    <w:rsid w:val="00E942D2"/>
    <w:rsid w:val="00E9431F"/>
    <w:rsid w:val="00E945DB"/>
    <w:rsid w:val="00E9463B"/>
    <w:rsid w:val="00E95322"/>
    <w:rsid w:val="00E95490"/>
    <w:rsid w:val="00E95A16"/>
    <w:rsid w:val="00E968C1"/>
    <w:rsid w:val="00E96FF0"/>
    <w:rsid w:val="00E97066"/>
    <w:rsid w:val="00E971F0"/>
    <w:rsid w:val="00E971F6"/>
    <w:rsid w:val="00E977B2"/>
    <w:rsid w:val="00EA0686"/>
    <w:rsid w:val="00EA0830"/>
    <w:rsid w:val="00EA0AF8"/>
    <w:rsid w:val="00EA0D49"/>
    <w:rsid w:val="00EA0DAB"/>
    <w:rsid w:val="00EA0E54"/>
    <w:rsid w:val="00EA10F4"/>
    <w:rsid w:val="00EA1769"/>
    <w:rsid w:val="00EA18D5"/>
    <w:rsid w:val="00EA192E"/>
    <w:rsid w:val="00EA2134"/>
    <w:rsid w:val="00EA2183"/>
    <w:rsid w:val="00EA3671"/>
    <w:rsid w:val="00EA3FC8"/>
    <w:rsid w:val="00EA4842"/>
    <w:rsid w:val="00EA4B86"/>
    <w:rsid w:val="00EA5F2B"/>
    <w:rsid w:val="00EA6D68"/>
    <w:rsid w:val="00EA7BC8"/>
    <w:rsid w:val="00EB065F"/>
    <w:rsid w:val="00EB0DEA"/>
    <w:rsid w:val="00EB129F"/>
    <w:rsid w:val="00EB12D3"/>
    <w:rsid w:val="00EB1368"/>
    <w:rsid w:val="00EB1EBB"/>
    <w:rsid w:val="00EB1F63"/>
    <w:rsid w:val="00EB1F6E"/>
    <w:rsid w:val="00EB1F81"/>
    <w:rsid w:val="00EB2252"/>
    <w:rsid w:val="00EB27BC"/>
    <w:rsid w:val="00EB2C5F"/>
    <w:rsid w:val="00EB2E8F"/>
    <w:rsid w:val="00EB2F56"/>
    <w:rsid w:val="00EB30DD"/>
    <w:rsid w:val="00EB37DB"/>
    <w:rsid w:val="00EB3C5B"/>
    <w:rsid w:val="00EB416B"/>
    <w:rsid w:val="00EB4177"/>
    <w:rsid w:val="00EB489C"/>
    <w:rsid w:val="00EB4C93"/>
    <w:rsid w:val="00EB4DA1"/>
    <w:rsid w:val="00EB53E7"/>
    <w:rsid w:val="00EB5AFD"/>
    <w:rsid w:val="00EB5B25"/>
    <w:rsid w:val="00EB64BF"/>
    <w:rsid w:val="00EB6919"/>
    <w:rsid w:val="00EB6A32"/>
    <w:rsid w:val="00EB6CAF"/>
    <w:rsid w:val="00EB71E7"/>
    <w:rsid w:val="00EB72E9"/>
    <w:rsid w:val="00EB7622"/>
    <w:rsid w:val="00EB795A"/>
    <w:rsid w:val="00EC0208"/>
    <w:rsid w:val="00EC08FB"/>
    <w:rsid w:val="00EC0AEC"/>
    <w:rsid w:val="00EC1105"/>
    <w:rsid w:val="00EC2A37"/>
    <w:rsid w:val="00EC3398"/>
    <w:rsid w:val="00EC33A0"/>
    <w:rsid w:val="00EC34F0"/>
    <w:rsid w:val="00EC4836"/>
    <w:rsid w:val="00EC5088"/>
    <w:rsid w:val="00EC558E"/>
    <w:rsid w:val="00EC5BB4"/>
    <w:rsid w:val="00EC5F23"/>
    <w:rsid w:val="00EC65B0"/>
    <w:rsid w:val="00EC6E4B"/>
    <w:rsid w:val="00EC7187"/>
    <w:rsid w:val="00EC78E1"/>
    <w:rsid w:val="00ED050A"/>
    <w:rsid w:val="00ED05EF"/>
    <w:rsid w:val="00ED065D"/>
    <w:rsid w:val="00ED099F"/>
    <w:rsid w:val="00ED0A1C"/>
    <w:rsid w:val="00ED0D67"/>
    <w:rsid w:val="00ED0EB5"/>
    <w:rsid w:val="00ED0F69"/>
    <w:rsid w:val="00ED13DA"/>
    <w:rsid w:val="00ED18D8"/>
    <w:rsid w:val="00ED19ED"/>
    <w:rsid w:val="00ED1BE0"/>
    <w:rsid w:val="00ED1E4A"/>
    <w:rsid w:val="00ED23DF"/>
    <w:rsid w:val="00ED29D2"/>
    <w:rsid w:val="00ED3114"/>
    <w:rsid w:val="00ED31FA"/>
    <w:rsid w:val="00ED35C8"/>
    <w:rsid w:val="00ED3B97"/>
    <w:rsid w:val="00ED3EFA"/>
    <w:rsid w:val="00ED4163"/>
    <w:rsid w:val="00ED44D8"/>
    <w:rsid w:val="00ED46BB"/>
    <w:rsid w:val="00ED4B23"/>
    <w:rsid w:val="00ED4CEF"/>
    <w:rsid w:val="00ED4D20"/>
    <w:rsid w:val="00ED523B"/>
    <w:rsid w:val="00ED5888"/>
    <w:rsid w:val="00ED58DC"/>
    <w:rsid w:val="00ED5C92"/>
    <w:rsid w:val="00ED5D78"/>
    <w:rsid w:val="00ED5E38"/>
    <w:rsid w:val="00ED5FEC"/>
    <w:rsid w:val="00ED611B"/>
    <w:rsid w:val="00ED6631"/>
    <w:rsid w:val="00ED666F"/>
    <w:rsid w:val="00ED699D"/>
    <w:rsid w:val="00ED6D81"/>
    <w:rsid w:val="00ED74FE"/>
    <w:rsid w:val="00ED77D4"/>
    <w:rsid w:val="00EE0508"/>
    <w:rsid w:val="00EE054B"/>
    <w:rsid w:val="00EE08A2"/>
    <w:rsid w:val="00EE114E"/>
    <w:rsid w:val="00EE11C9"/>
    <w:rsid w:val="00EE1F8C"/>
    <w:rsid w:val="00EE1FD1"/>
    <w:rsid w:val="00EE293E"/>
    <w:rsid w:val="00EE2D8D"/>
    <w:rsid w:val="00EE3077"/>
    <w:rsid w:val="00EE35F3"/>
    <w:rsid w:val="00EE4490"/>
    <w:rsid w:val="00EE458E"/>
    <w:rsid w:val="00EE4A9B"/>
    <w:rsid w:val="00EE4C4D"/>
    <w:rsid w:val="00EE4EEF"/>
    <w:rsid w:val="00EE5925"/>
    <w:rsid w:val="00EE5957"/>
    <w:rsid w:val="00EE598A"/>
    <w:rsid w:val="00EE5C1F"/>
    <w:rsid w:val="00EE5C54"/>
    <w:rsid w:val="00EE6350"/>
    <w:rsid w:val="00EE6832"/>
    <w:rsid w:val="00EE6C3D"/>
    <w:rsid w:val="00EE6C9A"/>
    <w:rsid w:val="00EE6EB0"/>
    <w:rsid w:val="00EE7B19"/>
    <w:rsid w:val="00EF003F"/>
    <w:rsid w:val="00EF04B9"/>
    <w:rsid w:val="00EF1588"/>
    <w:rsid w:val="00EF1755"/>
    <w:rsid w:val="00EF217A"/>
    <w:rsid w:val="00EF27C8"/>
    <w:rsid w:val="00EF3086"/>
    <w:rsid w:val="00EF320B"/>
    <w:rsid w:val="00EF3239"/>
    <w:rsid w:val="00EF3579"/>
    <w:rsid w:val="00EF3D58"/>
    <w:rsid w:val="00EF4372"/>
    <w:rsid w:val="00EF4ADC"/>
    <w:rsid w:val="00EF4CF0"/>
    <w:rsid w:val="00EF4F18"/>
    <w:rsid w:val="00EF5213"/>
    <w:rsid w:val="00EF5796"/>
    <w:rsid w:val="00EF5BCC"/>
    <w:rsid w:val="00EF6021"/>
    <w:rsid w:val="00EF6D64"/>
    <w:rsid w:val="00EF7063"/>
    <w:rsid w:val="00EF7084"/>
    <w:rsid w:val="00EF7293"/>
    <w:rsid w:val="00EF73BE"/>
    <w:rsid w:val="00EF786E"/>
    <w:rsid w:val="00F00870"/>
    <w:rsid w:val="00F00E61"/>
    <w:rsid w:val="00F0136A"/>
    <w:rsid w:val="00F013C5"/>
    <w:rsid w:val="00F01661"/>
    <w:rsid w:val="00F01662"/>
    <w:rsid w:val="00F0166A"/>
    <w:rsid w:val="00F01871"/>
    <w:rsid w:val="00F01B26"/>
    <w:rsid w:val="00F02AFE"/>
    <w:rsid w:val="00F02B09"/>
    <w:rsid w:val="00F02DD9"/>
    <w:rsid w:val="00F031D1"/>
    <w:rsid w:val="00F03336"/>
    <w:rsid w:val="00F0373F"/>
    <w:rsid w:val="00F037B1"/>
    <w:rsid w:val="00F03833"/>
    <w:rsid w:val="00F038C1"/>
    <w:rsid w:val="00F03B39"/>
    <w:rsid w:val="00F04052"/>
    <w:rsid w:val="00F04242"/>
    <w:rsid w:val="00F046B9"/>
    <w:rsid w:val="00F04FED"/>
    <w:rsid w:val="00F0512D"/>
    <w:rsid w:val="00F055B4"/>
    <w:rsid w:val="00F05686"/>
    <w:rsid w:val="00F05830"/>
    <w:rsid w:val="00F05B93"/>
    <w:rsid w:val="00F05D7E"/>
    <w:rsid w:val="00F0616F"/>
    <w:rsid w:val="00F06673"/>
    <w:rsid w:val="00F068D7"/>
    <w:rsid w:val="00F06961"/>
    <w:rsid w:val="00F0722F"/>
    <w:rsid w:val="00F073B8"/>
    <w:rsid w:val="00F07963"/>
    <w:rsid w:val="00F07BFD"/>
    <w:rsid w:val="00F100A9"/>
    <w:rsid w:val="00F1026F"/>
    <w:rsid w:val="00F103E1"/>
    <w:rsid w:val="00F1066F"/>
    <w:rsid w:val="00F1098A"/>
    <w:rsid w:val="00F109BA"/>
    <w:rsid w:val="00F10E5F"/>
    <w:rsid w:val="00F11A2A"/>
    <w:rsid w:val="00F120D4"/>
    <w:rsid w:val="00F131FA"/>
    <w:rsid w:val="00F139BA"/>
    <w:rsid w:val="00F1415F"/>
    <w:rsid w:val="00F14201"/>
    <w:rsid w:val="00F14806"/>
    <w:rsid w:val="00F148F5"/>
    <w:rsid w:val="00F148FF"/>
    <w:rsid w:val="00F14FE7"/>
    <w:rsid w:val="00F1508C"/>
    <w:rsid w:val="00F15107"/>
    <w:rsid w:val="00F1578E"/>
    <w:rsid w:val="00F15AD7"/>
    <w:rsid w:val="00F15F88"/>
    <w:rsid w:val="00F16C79"/>
    <w:rsid w:val="00F17304"/>
    <w:rsid w:val="00F201EB"/>
    <w:rsid w:val="00F20272"/>
    <w:rsid w:val="00F20379"/>
    <w:rsid w:val="00F20560"/>
    <w:rsid w:val="00F20763"/>
    <w:rsid w:val="00F214F1"/>
    <w:rsid w:val="00F21C9D"/>
    <w:rsid w:val="00F221E1"/>
    <w:rsid w:val="00F223D9"/>
    <w:rsid w:val="00F227C8"/>
    <w:rsid w:val="00F22B3F"/>
    <w:rsid w:val="00F23093"/>
    <w:rsid w:val="00F23CB7"/>
    <w:rsid w:val="00F23F1A"/>
    <w:rsid w:val="00F24250"/>
    <w:rsid w:val="00F24533"/>
    <w:rsid w:val="00F2481C"/>
    <w:rsid w:val="00F255E7"/>
    <w:rsid w:val="00F255F5"/>
    <w:rsid w:val="00F257B5"/>
    <w:rsid w:val="00F25D35"/>
    <w:rsid w:val="00F25E85"/>
    <w:rsid w:val="00F263C4"/>
    <w:rsid w:val="00F26A99"/>
    <w:rsid w:val="00F26DF1"/>
    <w:rsid w:val="00F26FA5"/>
    <w:rsid w:val="00F2720E"/>
    <w:rsid w:val="00F2776D"/>
    <w:rsid w:val="00F27814"/>
    <w:rsid w:val="00F278AE"/>
    <w:rsid w:val="00F27AA4"/>
    <w:rsid w:val="00F3002E"/>
    <w:rsid w:val="00F3070F"/>
    <w:rsid w:val="00F310CF"/>
    <w:rsid w:val="00F315DA"/>
    <w:rsid w:val="00F318B8"/>
    <w:rsid w:val="00F31DC2"/>
    <w:rsid w:val="00F31FBD"/>
    <w:rsid w:val="00F32006"/>
    <w:rsid w:val="00F32044"/>
    <w:rsid w:val="00F3225C"/>
    <w:rsid w:val="00F322CC"/>
    <w:rsid w:val="00F337FB"/>
    <w:rsid w:val="00F34009"/>
    <w:rsid w:val="00F345AF"/>
    <w:rsid w:val="00F346E6"/>
    <w:rsid w:val="00F350E9"/>
    <w:rsid w:val="00F350F4"/>
    <w:rsid w:val="00F35533"/>
    <w:rsid w:val="00F355B1"/>
    <w:rsid w:val="00F359E4"/>
    <w:rsid w:val="00F35AF5"/>
    <w:rsid w:val="00F36760"/>
    <w:rsid w:val="00F3682F"/>
    <w:rsid w:val="00F37705"/>
    <w:rsid w:val="00F377F7"/>
    <w:rsid w:val="00F379BD"/>
    <w:rsid w:val="00F37B0F"/>
    <w:rsid w:val="00F37D5E"/>
    <w:rsid w:val="00F402C6"/>
    <w:rsid w:val="00F4048D"/>
    <w:rsid w:val="00F40717"/>
    <w:rsid w:val="00F40864"/>
    <w:rsid w:val="00F40EC6"/>
    <w:rsid w:val="00F412ED"/>
    <w:rsid w:val="00F413CF"/>
    <w:rsid w:val="00F41629"/>
    <w:rsid w:val="00F41928"/>
    <w:rsid w:val="00F42138"/>
    <w:rsid w:val="00F42262"/>
    <w:rsid w:val="00F43BFB"/>
    <w:rsid w:val="00F43EF8"/>
    <w:rsid w:val="00F44075"/>
    <w:rsid w:val="00F44895"/>
    <w:rsid w:val="00F448EB"/>
    <w:rsid w:val="00F44B9C"/>
    <w:rsid w:val="00F458E7"/>
    <w:rsid w:val="00F45910"/>
    <w:rsid w:val="00F45A5C"/>
    <w:rsid w:val="00F45AA4"/>
    <w:rsid w:val="00F45BDA"/>
    <w:rsid w:val="00F45BF0"/>
    <w:rsid w:val="00F45C7C"/>
    <w:rsid w:val="00F45FDA"/>
    <w:rsid w:val="00F463BC"/>
    <w:rsid w:val="00F46A1C"/>
    <w:rsid w:val="00F50585"/>
    <w:rsid w:val="00F50874"/>
    <w:rsid w:val="00F51306"/>
    <w:rsid w:val="00F514D8"/>
    <w:rsid w:val="00F51539"/>
    <w:rsid w:val="00F516E3"/>
    <w:rsid w:val="00F51A46"/>
    <w:rsid w:val="00F51AC9"/>
    <w:rsid w:val="00F51EAA"/>
    <w:rsid w:val="00F527C6"/>
    <w:rsid w:val="00F52E30"/>
    <w:rsid w:val="00F53510"/>
    <w:rsid w:val="00F536F8"/>
    <w:rsid w:val="00F53D21"/>
    <w:rsid w:val="00F54832"/>
    <w:rsid w:val="00F54D0F"/>
    <w:rsid w:val="00F54D75"/>
    <w:rsid w:val="00F5501F"/>
    <w:rsid w:val="00F55EB1"/>
    <w:rsid w:val="00F56E7E"/>
    <w:rsid w:val="00F57172"/>
    <w:rsid w:val="00F5784A"/>
    <w:rsid w:val="00F57852"/>
    <w:rsid w:val="00F57885"/>
    <w:rsid w:val="00F57A02"/>
    <w:rsid w:val="00F57A65"/>
    <w:rsid w:val="00F60740"/>
    <w:rsid w:val="00F60F85"/>
    <w:rsid w:val="00F616FE"/>
    <w:rsid w:val="00F6199E"/>
    <w:rsid w:val="00F626AD"/>
    <w:rsid w:val="00F626F7"/>
    <w:rsid w:val="00F62BE1"/>
    <w:rsid w:val="00F62EE9"/>
    <w:rsid w:val="00F6382E"/>
    <w:rsid w:val="00F641E8"/>
    <w:rsid w:val="00F644E3"/>
    <w:rsid w:val="00F64CFA"/>
    <w:rsid w:val="00F64FA5"/>
    <w:rsid w:val="00F655BC"/>
    <w:rsid w:val="00F658B3"/>
    <w:rsid w:val="00F658DF"/>
    <w:rsid w:val="00F65C2B"/>
    <w:rsid w:val="00F65C79"/>
    <w:rsid w:val="00F66144"/>
    <w:rsid w:val="00F6648F"/>
    <w:rsid w:val="00F6696E"/>
    <w:rsid w:val="00F66A39"/>
    <w:rsid w:val="00F66B56"/>
    <w:rsid w:val="00F6713F"/>
    <w:rsid w:val="00F67462"/>
    <w:rsid w:val="00F67A2F"/>
    <w:rsid w:val="00F67E9F"/>
    <w:rsid w:val="00F7033C"/>
    <w:rsid w:val="00F70E78"/>
    <w:rsid w:val="00F71604"/>
    <w:rsid w:val="00F71C6F"/>
    <w:rsid w:val="00F71F38"/>
    <w:rsid w:val="00F7212F"/>
    <w:rsid w:val="00F721CC"/>
    <w:rsid w:val="00F725F6"/>
    <w:rsid w:val="00F726EC"/>
    <w:rsid w:val="00F72D6B"/>
    <w:rsid w:val="00F73443"/>
    <w:rsid w:val="00F7382A"/>
    <w:rsid w:val="00F741FE"/>
    <w:rsid w:val="00F74466"/>
    <w:rsid w:val="00F74B51"/>
    <w:rsid w:val="00F74B91"/>
    <w:rsid w:val="00F75376"/>
    <w:rsid w:val="00F7566F"/>
    <w:rsid w:val="00F75A23"/>
    <w:rsid w:val="00F75B6E"/>
    <w:rsid w:val="00F75ECE"/>
    <w:rsid w:val="00F76007"/>
    <w:rsid w:val="00F7632F"/>
    <w:rsid w:val="00F769A5"/>
    <w:rsid w:val="00F77930"/>
    <w:rsid w:val="00F77AA6"/>
    <w:rsid w:val="00F77B11"/>
    <w:rsid w:val="00F77B56"/>
    <w:rsid w:val="00F8012F"/>
    <w:rsid w:val="00F80B49"/>
    <w:rsid w:val="00F81362"/>
    <w:rsid w:val="00F8174C"/>
    <w:rsid w:val="00F82105"/>
    <w:rsid w:val="00F821A3"/>
    <w:rsid w:val="00F828CB"/>
    <w:rsid w:val="00F83C43"/>
    <w:rsid w:val="00F83C6C"/>
    <w:rsid w:val="00F83E4D"/>
    <w:rsid w:val="00F8400E"/>
    <w:rsid w:val="00F847ED"/>
    <w:rsid w:val="00F854EE"/>
    <w:rsid w:val="00F85964"/>
    <w:rsid w:val="00F85DB6"/>
    <w:rsid w:val="00F86040"/>
    <w:rsid w:val="00F86508"/>
    <w:rsid w:val="00F868D2"/>
    <w:rsid w:val="00F8690B"/>
    <w:rsid w:val="00F86DFE"/>
    <w:rsid w:val="00F87954"/>
    <w:rsid w:val="00F87B0A"/>
    <w:rsid w:val="00F87C71"/>
    <w:rsid w:val="00F901B6"/>
    <w:rsid w:val="00F91353"/>
    <w:rsid w:val="00F9141F"/>
    <w:rsid w:val="00F91A53"/>
    <w:rsid w:val="00F91E06"/>
    <w:rsid w:val="00F92595"/>
    <w:rsid w:val="00F9288D"/>
    <w:rsid w:val="00F92979"/>
    <w:rsid w:val="00F93A29"/>
    <w:rsid w:val="00F93D26"/>
    <w:rsid w:val="00F93D46"/>
    <w:rsid w:val="00F94305"/>
    <w:rsid w:val="00F94AC5"/>
    <w:rsid w:val="00F94FD1"/>
    <w:rsid w:val="00F958BC"/>
    <w:rsid w:val="00F959E1"/>
    <w:rsid w:val="00F96486"/>
    <w:rsid w:val="00F96489"/>
    <w:rsid w:val="00F9668F"/>
    <w:rsid w:val="00F967AE"/>
    <w:rsid w:val="00F9684A"/>
    <w:rsid w:val="00F96DF3"/>
    <w:rsid w:val="00F96FC7"/>
    <w:rsid w:val="00F973C4"/>
    <w:rsid w:val="00F9741D"/>
    <w:rsid w:val="00F97602"/>
    <w:rsid w:val="00F9784F"/>
    <w:rsid w:val="00F9797F"/>
    <w:rsid w:val="00F97D24"/>
    <w:rsid w:val="00F97EF4"/>
    <w:rsid w:val="00FA0825"/>
    <w:rsid w:val="00FA08AD"/>
    <w:rsid w:val="00FA0E56"/>
    <w:rsid w:val="00FA1AF7"/>
    <w:rsid w:val="00FA1DC4"/>
    <w:rsid w:val="00FA2718"/>
    <w:rsid w:val="00FA291B"/>
    <w:rsid w:val="00FA2AF3"/>
    <w:rsid w:val="00FA2F27"/>
    <w:rsid w:val="00FA3007"/>
    <w:rsid w:val="00FA379B"/>
    <w:rsid w:val="00FA38EA"/>
    <w:rsid w:val="00FA4150"/>
    <w:rsid w:val="00FA41E7"/>
    <w:rsid w:val="00FA4576"/>
    <w:rsid w:val="00FA4652"/>
    <w:rsid w:val="00FA4EDC"/>
    <w:rsid w:val="00FA558A"/>
    <w:rsid w:val="00FA55C8"/>
    <w:rsid w:val="00FA5766"/>
    <w:rsid w:val="00FA5A3F"/>
    <w:rsid w:val="00FA6590"/>
    <w:rsid w:val="00FA6AEE"/>
    <w:rsid w:val="00FA720E"/>
    <w:rsid w:val="00FA7999"/>
    <w:rsid w:val="00FA7D14"/>
    <w:rsid w:val="00FA7D40"/>
    <w:rsid w:val="00FA7D7D"/>
    <w:rsid w:val="00FB0100"/>
    <w:rsid w:val="00FB05C8"/>
    <w:rsid w:val="00FB0C41"/>
    <w:rsid w:val="00FB13F7"/>
    <w:rsid w:val="00FB1D50"/>
    <w:rsid w:val="00FB2696"/>
    <w:rsid w:val="00FB2860"/>
    <w:rsid w:val="00FB2BF7"/>
    <w:rsid w:val="00FB4164"/>
    <w:rsid w:val="00FB4513"/>
    <w:rsid w:val="00FB4709"/>
    <w:rsid w:val="00FB4FAC"/>
    <w:rsid w:val="00FB51AC"/>
    <w:rsid w:val="00FB5DB7"/>
    <w:rsid w:val="00FB620D"/>
    <w:rsid w:val="00FB6A83"/>
    <w:rsid w:val="00FB6F67"/>
    <w:rsid w:val="00FB7AEB"/>
    <w:rsid w:val="00FC0467"/>
    <w:rsid w:val="00FC0AD7"/>
    <w:rsid w:val="00FC0F05"/>
    <w:rsid w:val="00FC0F20"/>
    <w:rsid w:val="00FC10DE"/>
    <w:rsid w:val="00FC11A4"/>
    <w:rsid w:val="00FC12BE"/>
    <w:rsid w:val="00FC1666"/>
    <w:rsid w:val="00FC1EB7"/>
    <w:rsid w:val="00FC2137"/>
    <w:rsid w:val="00FC27F9"/>
    <w:rsid w:val="00FC2D5F"/>
    <w:rsid w:val="00FC4827"/>
    <w:rsid w:val="00FC5537"/>
    <w:rsid w:val="00FC5603"/>
    <w:rsid w:val="00FC5EAB"/>
    <w:rsid w:val="00FC6AB6"/>
    <w:rsid w:val="00FC76C8"/>
    <w:rsid w:val="00FD0075"/>
    <w:rsid w:val="00FD0414"/>
    <w:rsid w:val="00FD0639"/>
    <w:rsid w:val="00FD0843"/>
    <w:rsid w:val="00FD0A0A"/>
    <w:rsid w:val="00FD0B28"/>
    <w:rsid w:val="00FD0B9F"/>
    <w:rsid w:val="00FD149D"/>
    <w:rsid w:val="00FD17BA"/>
    <w:rsid w:val="00FD2058"/>
    <w:rsid w:val="00FD211A"/>
    <w:rsid w:val="00FD21FA"/>
    <w:rsid w:val="00FD26CC"/>
    <w:rsid w:val="00FD2790"/>
    <w:rsid w:val="00FD2C9D"/>
    <w:rsid w:val="00FD2F74"/>
    <w:rsid w:val="00FD3256"/>
    <w:rsid w:val="00FD36CE"/>
    <w:rsid w:val="00FD38AC"/>
    <w:rsid w:val="00FD3B94"/>
    <w:rsid w:val="00FD3D5B"/>
    <w:rsid w:val="00FD40DD"/>
    <w:rsid w:val="00FD43B3"/>
    <w:rsid w:val="00FD4A5B"/>
    <w:rsid w:val="00FD4DBE"/>
    <w:rsid w:val="00FD521E"/>
    <w:rsid w:val="00FD56A3"/>
    <w:rsid w:val="00FD576A"/>
    <w:rsid w:val="00FD6295"/>
    <w:rsid w:val="00FD67B2"/>
    <w:rsid w:val="00FD6ABE"/>
    <w:rsid w:val="00FD6B91"/>
    <w:rsid w:val="00FE089E"/>
    <w:rsid w:val="00FE0DEF"/>
    <w:rsid w:val="00FE102E"/>
    <w:rsid w:val="00FE1118"/>
    <w:rsid w:val="00FE1B58"/>
    <w:rsid w:val="00FE221B"/>
    <w:rsid w:val="00FE2670"/>
    <w:rsid w:val="00FE284D"/>
    <w:rsid w:val="00FE2A39"/>
    <w:rsid w:val="00FE34AA"/>
    <w:rsid w:val="00FE37B7"/>
    <w:rsid w:val="00FE39A2"/>
    <w:rsid w:val="00FE3C3E"/>
    <w:rsid w:val="00FE40E5"/>
    <w:rsid w:val="00FE461C"/>
    <w:rsid w:val="00FE4739"/>
    <w:rsid w:val="00FE4C66"/>
    <w:rsid w:val="00FE4DB2"/>
    <w:rsid w:val="00FE50C8"/>
    <w:rsid w:val="00FE513A"/>
    <w:rsid w:val="00FE681D"/>
    <w:rsid w:val="00FE6AB3"/>
    <w:rsid w:val="00FE6D0A"/>
    <w:rsid w:val="00FE7342"/>
    <w:rsid w:val="00FE74DF"/>
    <w:rsid w:val="00FE77F1"/>
    <w:rsid w:val="00FE7893"/>
    <w:rsid w:val="00FE7984"/>
    <w:rsid w:val="00FF061F"/>
    <w:rsid w:val="00FF0AA4"/>
    <w:rsid w:val="00FF0DBD"/>
    <w:rsid w:val="00FF0FC0"/>
    <w:rsid w:val="00FF1928"/>
    <w:rsid w:val="00FF2100"/>
    <w:rsid w:val="00FF2A99"/>
    <w:rsid w:val="00FF2C0E"/>
    <w:rsid w:val="00FF2CD7"/>
    <w:rsid w:val="00FF3365"/>
    <w:rsid w:val="00FF38B0"/>
    <w:rsid w:val="00FF38B8"/>
    <w:rsid w:val="00FF3A07"/>
    <w:rsid w:val="00FF3FEA"/>
    <w:rsid w:val="00FF4095"/>
    <w:rsid w:val="00FF412E"/>
    <w:rsid w:val="00FF430D"/>
    <w:rsid w:val="00FF4BD1"/>
    <w:rsid w:val="00FF4C68"/>
    <w:rsid w:val="00FF5C6F"/>
    <w:rsid w:val="00FF64F3"/>
    <w:rsid w:val="00FF6619"/>
    <w:rsid w:val="00FF6928"/>
    <w:rsid w:val="00FF7403"/>
    <w:rsid w:val="00FF7C07"/>
    <w:rsid w:val="00FF7C4B"/>
    <w:rsid w:val="0172C717"/>
    <w:rsid w:val="01A7A07E"/>
    <w:rsid w:val="028D8D5A"/>
    <w:rsid w:val="02A3B257"/>
    <w:rsid w:val="02A65A57"/>
    <w:rsid w:val="02DA3D97"/>
    <w:rsid w:val="0365DCA6"/>
    <w:rsid w:val="03CCFCFE"/>
    <w:rsid w:val="04151927"/>
    <w:rsid w:val="0499842D"/>
    <w:rsid w:val="04F3F50D"/>
    <w:rsid w:val="057BE230"/>
    <w:rsid w:val="05E9159E"/>
    <w:rsid w:val="05FB3F0B"/>
    <w:rsid w:val="066377CC"/>
    <w:rsid w:val="070DADF3"/>
    <w:rsid w:val="07A21B1F"/>
    <w:rsid w:val="08196E8C"/>
    <w:rsid w:val="08AF3FF2"/>
    <w:rsid w:val="0A43AAF7"/>
    <w:rsid w:val="0A4D97E2"/>
    <w:rsid w:val="0AB57B84"/>
    <w:rsid w:val="0AEE31A1"/>
    <w:rsid w:val="0BE7D849"/>
    <w:rsid w:val="0C1D61F5"/>
    <w:rsid w:val="0C439071"/>
    <w:rsid w:val="0C4DFF0E"/>
    <w:rsid w:val="0C502DE6"/>
    <w:rsid w:val="0C759FA6"/>
    <w:rsid w:val="0CAF03EB"/>
    <w:rsid w:val="0D0C7274"/>
    <w:rsid w:val="0DA855ED"/>
    <w:rsid w:val="0DCCB3DD"/>
    <w:rsid w:val="0FFA6471"/>
    <w:rsid w:val="1107C620"/>
    <w:rsid w:val="1111D06C"/>
    <w:rsid w:val="11497701"/>
    <w:rsid w:val="124A7E4D"/>
    <w:rsid w:val="126D0A01"/>
    <w:rsid w:val="134DF1A5"/>
    <w:rsid w:val="13540DFE"/>
    <w:rsid w:val="1391E60D"/>
    <w:rsid w:val="13B8464A"/>
    <w:rsid w:val="140338E6"/>
    <w:rsid w:val="143323BC"/>
    <w:rsid w:val="1437B4E6"/>
    <w:rsid w:val="14954BD8"/>
    <w:rsid w:val="15064FD2"/>
    <w:rsid w:val="150EA089"/>
    <w:rsid w:val="156137A5"/>
    <w:rsid w:val="170265D7"/>
    <w:rsid w:val="1745E813"/>
    <w:rsid w:val="17C16166"/>
    <w:rsid w:val="185830CC"/>
    <w:rsid w:val="191F4EC4"/>
    <w:rsid w:val="1A5AB262"/>
    <w:rsid w:val="1BEEC20F"/>
    <w:rsid w:val="1C9EB08B"/>
    <w:rsid w:val="1CDF6751"/>
    <w:rsid w:val="1CF47BDD"/>
    <w:rsid w:val="1D425F75"/>
    <w:rsid w:val="1D68811B"/>
    <w:rsid w:val="1F057330"/>
    <w:rsid w:val="1F6AB647"/>
    <w:rsid w:val="1FA4DA51"/>
    <w:rsid w:val="20C77E8C"/>
    <w:rsid w:val="216D2FA4"/>
    <w:rsid w:val="21D3B83E"/>
    <w:rsid w:val="22D79343"/>
    <w:rsid w:val="23209636"/>
    <w:rsid w:val="233C3054"/>
    <w:rsid w:val="23879E90"/>
    <w:rsid w:val="2394B4EF"/>
    <w:rsid w:val="244989FA"/>
    <w:rsid w:val="2543445D"/>
    <w:rsid w:val="2574A581"/>
    <w:rsid w:val="26E0E800"/>
    <w:rsid w:val="273EFFB7"/>
    <w:rsid w:val="2867EAE8"/>
    <w:rsid w:val="287E377B"/>
    <w:rsid w:val="28B3C168"/>
    <w:rsid w:val="28CAC1C0"/>
    <w:rsid w:val="29E0384C"/>
    <w:rsid w:val="2A0B3C53"/>
    <w:rsid w:val="2A6DFC1A"/>
    <w:rsid w:val="2A7E8279"/>
    <w:rsid w:val="2B33F9F9"/>
    <w:rsid w:val="2B5579EA"/>
    <w:rsid w:val="2BB427AB"/>
    <w:rsid w:val="2BB8D819"/>
    <w:rsid w:val="2BD5A6F9"/>
    <w:rsid w:val="2BF088A0"/>
    <w:rsid w:val="2C386D95"/>
    <w:rsid w:val="2C7D6E60"/>
    <w:rsid w:val="2C832A2B"/>
    <w:rsid w:val="2CCC604B"/>
    <w:rsid w:val="2DDA19C0"/>
    <w:rsid w:val="2E0968FC"/>
    <w:rsid w:val="2F866FDA"/>
    <w:rsid w:val="306AEA9C"/>
    <w:rsid w:val="30BF370A"/>
    <w:rsid w:val="30E5B48F"/>
    <w:rsid w:val="31DAD68F"/>
    <w:rsid w:val="31F89D98"/>
    <w:rsid w:val="3250AA6C"/>
    <w:rsid w:val="32688D24"/>
    <w:rsid w:val="3393F6B7"/>
    <w:rsid w:val="33DADA40"/>
    <w:rsid w:val="34266C8C"/>
    <w:rsid w:val="349749BB"/>
    <w:rsid w:val="34C536DA"/>
    <w:rsid w:val="34E3689E"/>
    <w:rsid w:val="3538DCB7"/>
    <w:rsid w:val="35D0668A"/>
    <w:rsid w:val="35DC684A"/>
    <w:rsid w:val="35E0BF51"/>
    <w:rsid w:val="361F4979"/>
    <w:rsid w:val="368E187F"/>
    <w:rsid w:val="37894C47"/>
    <w:rsid w:val="380F4840"/>
    <w:rsid w:val="397149D3"/>
    <w:rsid w:val="3B1EF76A"/>
    <w:rsid w:val="3B7BFCF1"/>
    <w:rsid w:val="3BB4179E"/>
    <w:rsid w:val="3BF08387"/>
    <w:rsid w:val="3C89B6EB"/>
    <w:rsid w:val="3D9ED777"/>
    <w:rsid w:val="3E31A978"/>
    <w:rsid w:val="3F158CC1"/>
    <w:rsid w:val="402262DB"/>
    <w:rsid w:val="40E926C1"/>
    <w:rsid w:val="40F58001"/>
    <w:rsid w:val="419601D0"/>
    <w:rsid w:val="41E1A087"/>
    <w:rsid w:val="423C1A6B"/>
    <w:rsid w:val="43963A5C"/>
    <w:rsid w:val="43C5C4AC"/>
    <w:rsid w:val="4490C48E"/>
    <w:rsid w:val="44C6818E"/>
    <w:rsid w:val="4512ED38"/>
    <w:rsid w:val="45AF55A9"/>
    <w:rsid w:val="4664B6A0"/>
    <w:rsid w:val="472F3BB7"/>
    <w:rsid w:val="47A4ADE4"/>
    <w:rsid w:val="47A554ED"/>
    <w:rsid w:val="47B7005F"/>
    <w:rsid w:val="47CDDA67"/>
    <w:rsid w:val="4811E439"/>
    <w:rsid w:val="4818FBE2"/>
    <w:rsid w:val="4836BB90"/>
    <w:rsid w:val="490DF7C1"/>
    <w:rsid w:val="49913025"/>
    <w:rsid w:val="4A0B5403"/>
    <w:rsid w:val="4AEEBBB5"/>
    <w:rsid w:val="4C521FB9"/>
    <w:rsid w:val="4C9FE888"/>
    <w:rsid w:val="4CF4B08C"/>
    <w:rsid w:val="4D543B84"/>
    <w:rsid w:val="4DD0B277"/>
    <w:rsid w:val="4E076BE5"/>
    <w:rsid w:val="4E5FB8E3"/>
    <w:rsid w:val="4E9B322F"/>
    <w:rsid w:val="4F6156AA"/>
    <w:rsid w:val="4FD48630"/>
    <w:rsid w:val="5011389F"/>
    <w:rsid w:val="51084A95"/>
    <w:rsid w:val="5122D83A"/>
    <w:rsid w:val="516E14F2"/>
    <w:rsid w:val="51C9F7AD"/>
    <w:rsid w:val="51DE732B"/>
    <w:rsid w:val="521B2844"/>
    <w:rsid w:val="5224C9F1"/>
    <w:rsid w:val="523AF090"/>
    <w:rsid w:val="526A13F1"/>
    <w:rsid w:val="528C5138"/>
    <w:rsid w:val="52E16C07"/>
    <w:rsid w:val="531D42CA"/>
    <w:rsid w:val="53796DC6"/>
    <w:rsid w:val="54154B5D"/>
    <w:rsid w:val="55E41FB2"/>
    <w:rsid w:val="5658E1DF"/>
    <w:rsid w:val="56EC8759"/>
    <w:rsid w:val="573FFE47"/>
    <w:rsid w:val="58A36B68"/>
    <w:rsid w:val="592812E8"/>
    <w:rsid w:val="596F412D"/>
    <w:rsid w:val="59E5DDDA"/>
    <w:rsid w:val="5A46254D"/>
    <w:rsid w:val="5A4848C5"/>
    <w:rsid w:val="5C52854D"/>
    <w:rsid w:val="5D3FAA46"/>
    <w:rsid w:val="5DD14006"/>
    <w:rsid w:val="5EC52103"/>
    <w:rsid w:val="5EEA44C0"/>
    <w:rsid w:val="5EED878D"/>
    <w:rsid w:val="5F191275"/>
    <w:rsid w:val="5FE0332B"/>
    <w:rsid w:val="5FEC4E0E"/>
    <w:rsid w:val="60D526D8"/>
    <w:rsid w:val="620EAED9"/>
    <w:rsid w:val="622AB5BA"/>
    <w:rsid w:val="6316987D"/>
    <w:rsid w:val="6357685B"/>
    <w:rsid w:val="637F7FC0"/>
    <w:rsid w:val="6476AB4E"/>
    <w:rsid w:val="65722147"/>
    <w:rsid w:val="662066E0"/>
    <w:rsid w:val="66C18208"/>
    <w:rsid w:val="66FCE26C"/>
    <w:rsid w:val="672A5319"/>
    <w:rsid w:val="67670659"/>
    <w:rsid w:val="67CEFFE6"/>
    <w:rsid w:val="6848C9E7"/>
    <w:rsid w:val="685E756D"/>
    <w:rsid w:val="685FFFE0"/>
    <w:rsid w:val="69DE6C03"/>
    <w:rsid w:val="6A56142E"/>
    <w:rsid w:val="6AFC4F86"/>
    <w:rsid w:val="6B214D15"/>
    <w:rsid w:val="6B3BDA91"/>
    <w:rsid w:val="6B8F8CCE"/>
    <w:rsid w:val="6BD1CD9A"/>
    <w:rsid w:val="6C63577A"/>
    <w:rsid w:val="6CCF64D5"/>
    <w:rsid w:val="6CF5FF9D"/>
    <w:rsid w:val="6E9D6BFB"/>
    <w:rsid w:val="6F7F67BF"/>
    <w:rsid w:val="70244EA2"/>
    <w:rsid w:val="70558C55"/>
    <w:rsid w:val="717A3695"/>
    <w:rsid w:val="71CC2014"/>
    <w:rsid w:val="7290B2DF"/>
    <w:rsid w:val="72E775A4"/>
    <w:rsid w:val="7422B8B8"/>
    <w:rsid w:val="74A8D73F"/>
    <w:rsid w:val="7520B59E"/>
    <w:rsid w:val="755060F8"/>
    <w:rsid w:val="76C5B6A3"/>
    <w:rsid w:val="77102290"/>
    <w:rsid w:val="774D71EF"/>
    <w:rsid w:val="7754B283"/>
    <w:rsid w:val="7773E103"/>
    <w:rsid w:val="7807AC6D"/>
    <w:rsid w:val="784413B2"/>
    <w:rsid w:val="78C91D19"/>
    <w:rsid w:val="7A5AD093"/>
    <w:rsid w:val="7A66AF65"/>
    <w:rsid w:val="7A89F3F4"/>
    <w:rsid w:val="7B1B9B4B"/>
    <w:rsid w:val="7CEB5FA5"/>
    <w:rsid w:val="7CFF0622"/>
    <w:rsid w:val="7E4CFF0F"/>
    <w:rsid w:val="7F512A74"/>
    <w:rsid w:val="7FB11E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F1"/>
    <w:pPr>
      <w:widowControl w:val="0"/>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0E1D6D"/>
    <w:pPr>
      <w:keepNext/>
      <w:keepLines/>
      <w:tabs>
        <w:tab w:val="left" w:pos="851"/>
      </w:tabs>
      <w:spacing w:before="20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EB12D3"/>
    <w:pPr>
      <w:spacing w:before="120" w:after="120"/>
      <w:outlineLvl w:val="3"/>
    </w:pPr>
  </w:style>
  <w:style w:type="paragraph" w:styleId="Heading5">
    <w:name w:val="heading 5"/>
    <w:basedOn w:val="Normal"/>
    <w:next w:val="Normal"/>
    <w:link w:val="Heading5Char"/>
    <w:uiPriority w:val="9"/>
    <w:unhideWhenUsed/>
    <w:qFormat/>
    <w:rsid w:val="00D7209D"/>
    <w:pPr>
      <w:keepNext/>
      <w:keepLines/>
      <w:spacing w:after="120" w:line="240"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495A12"/>
    <w:pPr>
      <w:keepNext/>
      <w:keepLines/>
      <w:spacing w:after="120"/>
      <w:outlineLvl w:val="5"/>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0E1D6D"/>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Medium" w:hAnsi="Yu Gothic Medium"/>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Conclusion box,Table Grid nm,HealthConsult,PBAC table,HTAtableplain,MSD Table Grid,Dossier table,Summary Table,PHE Table Grid,Lash Style Table,Section 3- footno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ulletPoints,List Paragraph1,Numbered para,Bullet 1,Bullet point,List Paragraph11,Recommendation,BULLET,_CC_Bullet,Bullet1,Bullet List,Section 5,Bullets Points,BulletList 1,Bulletlist1,BulletList1,Colorful List - Accent 11,Styl moj"/>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EB12D3"/>
    <w:rPr>
      <w:rFonts w:ascii="Franklin Gothic Medium" w:eastAsiaTheme="majorEastAsia" w:hAnsi="Franklin Gothic Medium" w:cstheme="majorBid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AE5F9B"/>
    <w:pPr>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AE5F9B"/>
    <w:rPr>
      <w:rFonts w:ascii="Arial Narrow" w:eastAsia="Times New Roman" w:hAnsi="Arial Narrow" w:cs="Arial"/>
      <w:snapToGrid w:val="0"/>
      <w:sz w:val="18"/>
      <w:szCs w:val="20"/>
    </w:rPr>
  </w:style>
  <w:style w:type="character" w:customStyle="1" w:styleId="ListParagraphChar">
    <w:name w:val="List Paragraph Char"/>
    <w:aliases w:val="BulletPoints Char,List Paragraph1 Char,Numbered para Char,Bullet 1 Char,Bullet point Char,List Paragraph11 Char,Recommendation Char,BULLET Char,_CC_Bullet Char,Bullet1 Char,Bullet List Char,Section 5 Char,Bullets Points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9062A8"/>
    <w:pPr>
      <w:numPr>
        <w:numId w:val="3"/>
      </w:numPr>
      <w:spacing w:after="120" w:line="240" w:lineRule="auto"/>
      <w:ind w:left="714" w:hanging="357"/>
      <w:contextualSpacing/>
    </w:p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doni MT" w:hAnsi="Bodoni M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doni MT" w:hAnsi="Bodoni M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doni MT" w:hAnsi="Bodoni M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5B195B"/>
    <w:rPr>
      <w:color w:val="605E5C"/>
      <w:shd w:val="clear" w:color="auto" w:fill="E1DFDD"/>
    </w:rPr>
  </w:style>
  <w:style w:type="character" w:customStyle="1" w:styleId="cf01">
    <w:name w:val="cf01"/>
    <w:basedOn w:val="DefaultParagraphFont"/>
    <w:rsid w:val="00C129CA"/>
    <w:rPr>
      <w:rFonts w:ascii="Segoe UI" w:hAnsi="Segoe UI" w:cs="Segoe UI" w:hint="default"/>
      <w:sz w:val="18"/>
      <w:szCs w:val="18"/>
    </w:rPr>
  </w:style>
  <w:style w:type="table" w:customStyle="1" w:styleId="MSAC">
    <w:name w:val="MSAC"/>
    <w:basedOn w:val="TableNormal"/>
    <w:next w:val="TableGrid"/>
    <w:locked/>
    <w:rsid w:val="00EB64BF"/>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Yu Gothic UI Light" w:hAnsi="@Yu Gothic UI Light"/>
        <w:b/>
        <w:sz w:val="20"/>
      </w:rPr>
      <w:tblPr/>
      <w:trPr>
        <w:tblHeader/>
      </w:trPr>
      <w:tcPr>
        <w:vAlign w:val="top"/>
      </w:tcPr>
    </w:tblStylePr>
  </w:style>
  <w:style w:type="paragraph" w:styleId="NoSpacing">
    <w:name w:val="No Spacing"/>
    <w:uiPriority w:val="1"/>
    <w:qFormat/>
    <w:rsid w:val="00EB64BF"/>
    <w:pPr>
      <w:spacing w:after="0" w:line="240" w:lineRule="auto"/>
    </w:pPr>
    <w:rPr>
      <w:rFonts w:ascii="Franklin Gothic Book" w:hAnsi="Franklin Gothic Book"/>
    </w:rPr>
  </w:style>
  <w:style w:type="paragraph" w:styleId="EndnoteText">
    <w:name w:val="endnote text"/>
    <w:basedOn w:val="Normal"/>
    <w:link w:val="EndnoteTextChar"/>
    <w:uiPriority w:val="99"/>
    <w:semiHidden/>
    <w:unhideWhenUsed/>
    <w:rsid w:val="0016241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6241B"/>
    <w:rPr>
      <w:rFonts w:ascii="Franklin Gothic Book" w:hAnsi="Franklin Gothic Book"/>
      <w:sz w:val="20"/>
      <w:szCs w:val="20"/>
    </w:rPr>
  </w:style>
  <w:style w:type="character" w:styleId="EndnoteReference">
    <w:name w:val="endnote reference"/>
    <w:basedOn w:val="DefaultParagraphFont"/>
    <w:uiPriority w:val="99"/>
    <w:semiHidden/>
    <w:unhideWhenUsed/>
    <w:rsid w:val="0016241B"/>
    <w:rPr>
      <w:vertAlign w:val="superscript"/>
    </w:rPr>
  </w:style>
  <w:style w:type="character" w:customStyle="1" w:styleId="eop">
    <w:name w:val="eop"/>
    <w:basedOn w:val="DefaultParagraphFont"/>
    <w:rsid w:val="005A3F0A"/>
  </w:style>
  <w:style w:type="paragraph" w:customStyle="1" w:styleId="Default">
    <w:name w:val="Default"/>
    <w:rsid w:val="00D82E38"/>
    <w:pPr>
      <w:autoSpaceDE w:val="0"/>
      <w:autoSpaceDN w:val="0"/>
      <w:adjustRightInd w:val="0"/>
      <w:spacing w:after="0" w:line="240" w:lineRule="auto"/>
    </w:pPr>
    <w:rPr>
      <w:rFonts w:ascii="Arial" w:hAnsi="Arial" w:cs="Arial"/>
      <w:color w:val="000000"/>
      <w:sz w:val="24"/>
      <w:szCs w:val="24"/>
      <w:lang w:val="en-US"/>
    </w:rPr>
  </w:style>
  <w:style w:type="character" w:customStyle="1" w:styleId="normaltextrun">
    <w:name w:val="normaltextrun"/>
    <w:basedOn w:val="DefaultParagraphFont"/>
    <w:rsid w:val="00921D8C"/>
  </w:style>
  <w:style w:type="table" w:customStyle="1" w:styleId="CMATableTemplate1">
    <w:name w:val="CMA Table Template1"/>
    <w:basedOn w:val="TableNormal"/>
    <w:uiPriority w:val="59"/>
    <w:rsid w:val="00F3682F"/>
    <w:pPr>
      <w:spacing w:after="0" w:line="240" w:lineRule="auto"/>
    </w:pPr>
    <w:rPr>
      <w:lang w:val="en-M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7209D"/>
    <w:rPr>
      <w:rFonts w:ascii="Franklin Gothic Book" w:eastAsiaTheme="majorEastAsia" w:hAnsi="Franklin Gothic Book" w:cstheme="majorBidi"/>
      <w:color w:val="2E74B5" w:themeColor="accent1" w:themeShade="BF"/>
    </w:rPr>
  </w:style>
  <w:style w:type="paragraph" w:customStyle="1" w:styleId="pf0">
    <w:name w:val="pf0"/>
    <w:basedOn w:val="Normal"/>
    <w:rsid w:val="00B961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D04F4E"/>
    <w:rPr>
      <w:color w:val="2B579A"/>
      <w:shd w:val="clear" w:color="auto" w:fill="E1DFDD"/>
    </w:rPr>
  </w:style>
  <w:style w:type="paragraph" w:customStyle="1" w:styleId="TableDash">
    <w:name w:val="TableDash"/>
    <w:basedOn w:val="TableText1"/>
    <w:rsid w:val="00962A50"/>
    <w:pPr>
      <w:widowControl/>
      <w:numPr>
        <w:numId w:val="15"/>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962A50"/>
    <w:pPr>
      <w:widowControl/>
      <w:numPr>
        <w:numId w:val="16"/>
      </w:numPr>
      <w:spacing w:before="0" w:after="0" w:line="240" w:lineRule="auto"/>
    </w:pPr>
    <w:rPr>
      <w:rFonts w:eastAsia="Times New Roman" w:cs="Times New Roman"/>
      <w:color w:val="000000"/>
      <w:szCs w:val="20"/>
      <w:lang w:eastAsia="en-AU"/>
    </w:rPr>
  </w:style>
  <w:style w:type="paragraph" w:customStyle="1" w:styleId="BoxName0">
    <w:name w:val="BoxName"/>
    <w:basedOn w:val="Normal"/>
    <w:rsid w:val="00962A50"/>
    <w:pPr>
      <w:keepNext/>
      <w:widowControl/>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962A50"/>
    <w:pPr>
      <w:keepNext/>
      <w:widowControl/>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962A50"/>
    <w:pPr>
      <w:widowControl/>
      <w:numPr>
        <w:numId w:val="18"/>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Dash">
    <w:name w:val="BoxDash"/>
    <w:basedOn w:val="BoxBullet"/>
    <w:rsid w:val="00962A50"/>
    <w:pPr>
      <w:numPr>
        <w:numId w:val="17"/>
      </w:numPr>
    </w:pPr>
  </w:style>
  <w:style w:type="character" w:customStyle="1" w:styleId="Heading6Char">
    <w:name w:val="Heading 6 Char"/>
    <w:basedOn w:val="DefaultParagraphFont"/>
    <w:link w:val="Heading6"/>
    <w:uiPriority w:val="9"/>
    <w:rsid w:val="00495A12"/>
    <w:rPr>
      <w:rFonts w:ascii="Franklin Gothic Book" w:eastAsiaTheme="majorEastAsia" w:hAnsi="Franklin Gothic Book" w:cstheme="majorBidi"/>
      <w:color w:val="1F4D78" w:themeColor="accent1" w:themeShade="7F"/>
    </w:rPr>
  </w:style>
  <w:style w:type="paragraph" w:customStyle="1" w:styleId="paragraph">
    <w:name w:val="paragraph"/>
    <w:basedOn w:val="Normal"/>
    <w:rsid w:val="008D6BDA"/>
    <w:pPr>
      <w:widowControl/>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5A42D2"/>
    <w:pPr>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5A42D2"/>
    <w:rPr>
      <w:rFonts w:ascii="Book Antiqua" w:eastAsia="Times New Roman" w:hAnsi="Book Antiqua" w:cs="Times New Roman"/>
      <w:sz w:val="24"/>
      <w:szCs w:val="20"/>
    </w:rPr>
  </w:style>
  <w:style w:type="character" w:customStyle="1" w:styleId="ui-provider">
    <w:name w:val="ui-provider"/>
    <w:basedOn w:val="DefaultParagraphFont"/>
    <w:rsid w:val="002F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858">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1155044">
      <w:bodyDiv w:val="1"/>
      <w:marLeft w:val="0"/>
      <w:marRight w:val="0"/>
      <w:marTop w:val="0"/>
      <w:marBottom w:val="0"/>
      <w:divBdr>
        <w:top w:val="none" w:sz="0" w:space="0" w:color="auto"/>
        <w:left w:val="none" w:sz="0" w:space="0" w:color="auto"/>
        <w:bottom w:val="none" w:sz="0" w:space="0" w:color="auto"/>
        <w:right w:val="none" w:sz="0" w:space="0" w:color="auto"/>
      </w:divBdr>
    </w:div>
    <w:div w:id="35081035">
      <w:bodyDiv w:val="1"/>
      <w:marLeft w:val="0"/>
      <w:marRight w:val="0"/>
      <w:marTop w:val="0"/>
      <w:marBottom w:val="0"/>
      <w:divBdr>
        <w:top w:val="none" w:sz="0" w:space="0" w:color="auto"/>
        <w:left w:val="none" w:sz="0" w:space="0" w:color="auto"/>
        <w:bottom w:val="none" w:sz="0" w:space="0" w:color="auto"/>
        <w:right w:val="none" w:sz="0" w:space="0" w:color="auto"/>
      </w:divBdr>
      <w:divsChild>
        <w:div w:id="587931777">
          <w:marLeft w:val="979"/>
          <w:marRight w:val="0"/>
          <w:marTop w:val="86"/>
          <w:marBottom w:val="0"/>
          <w:divBdr>
            <w:top w:val="none" w:sz="0" w:space="0" w:color="auto"/>
            <w:left w:val="none" w:sz="0" w:space="0" w:color="auto"/>
            <w:bottom w:val="none" w:sz="0" w:space="0" w:color="auto"/>
            <w:right w:val="none" w:sz="0" w:space="0" w:color="auto"/>
          </w:divBdr>
        </w:div>
      </w:divsChild>
    </w:div>
    <w:div w:id="54014976">
      <w:bodyDiv w:val="1"/>
      <w:marLeft w:val="0"/>
      <w:marRight w:val="0"/>
      <w:marTop w:val="0"/>
      <w:marBottom w:val="0"/>
      <w:divBdr>
        <w:top w:val="none" w:sz="0" w:space="0" w:color="auto"/>
        <w:left w:val="none" w:sz="0" w:space="0" w:color="auto"/>
        <w:bottom w:val="none" w:sz="0" w:space="0" w:color="auto"/>
        <w:right w:val="none" w:sz="0" w:space="0" w:color="auto"/>
      </w:divBdr>
      <w:divsChild>
        <w:div w:id="111941490">
          <w:marLeft w:val="288"/>
          <w:marRight w:val="0"/>
          <w:marTop w:val="77"/>
          <w:marBottom w:val="0"/>
          <w:divBdr>
            <w:top w:val="none" w:sz="0" w:space="0" w:color="auto"/>
            <w:left w:val="none" w:sz="0" w:space="0" w:color="auto"/>
            <w:bottom w:val="none" w:sz="0" w:space="0" w:color="auto"/>
            <w:right w:val="none" w:sz="0" w:space="0" w:color="auto"/>
          </w:divBdr>
        </w:div>
        <w:div w:id="268247264">
          <w:marLeft w:val="288"/>
          <w:marRight w:val="0"/>
          <w:marTop w:val="77"/>
          <w:marBottom w:val="0"/>
          <w:divBdr>
            <w:top w:val="none" w:sz="0" w:space="0" w:color="auto"/>
            <w:left w:val="none" w:sz="0" w:space="0" w:color="auto"/>
            <w:bottom w:val="none" w:sz="0" w:space="0" w:color="auto"/>
            <w:right w:val="none" w:sz="0" w:space="0" w:color="auto"/>
          </w:divBdr>
        </w:div>
        <w:div w:id="399904948">
          <w:marLeft w:val="288"/>
          <w:marRight w:val="0"/>
          <w:marTop w:val="77"/>
          <w:marBottom w:val="0"/>
          <w:divBdr>
            <w:top w:val="none" w:sz="0" w:space="0" w:color="auto"/>
            <w:left w:val="none" w:sz="0" w:space="0" w:color="auto"/>
            <w:bottom w:val="none" w:sz="0" w:space="0" w:color="auto"/>
            <w:right w:val="none" w:sz="0" w:space="0" w:color="auto"/>
          </w:divBdr>
        </w:div>
        <w:div w:id="1062944474">
          <w:marLeft w:val="288"/>
          <w:marRight w:val="0"/>
          <w:marTop w:val="77"/>
          <w:marBottom w:val="0"/>
          <w:divBdr>
            <w:top w:val="none" w:sz="0" w:space="0" w:color="auto"/>
            <w:left w:val="none" w:sz="0" w:space="0" w:color="auto"/>
            <w:bottom w:val="none" w:sz="0" w:space="0" w:color="auto"/>
            <w:right w:val="none" w:sz="0" w:space="0" w:color="auto"/>
          </w:divBdr>
        </w:div>
        <w:div w:id="1126045710">
          <w:marLeft w:val="288"/>
          <w:marRight w:val="0"/>
          <w:marTop w:val="77"/>
          <w:marBottom w:val="0"/>
          <w:divBdr>
            <w:top w:val="none" w:sz="0" w:space="0" w:color="auto"/>
            <w:left w:val="none" w:sz="0" w:space="0" w:color="auto"/>
            <w:bottom w:val="none" w:sz="0" w:space="0" w:color="auto"/>
            <w:right w:val="none" w:sz="0" w:space="0" w:color="auto"/>
          </w:divBdr>
        </w:div>
        <w:div w:id="1197163539">
          <w:marLeft w:val="288"/>
          <w:marRight w:val="0"/>
          <w:marTop w:val="77"/>
          <w:marBottom w:val="0"/>
          <w:divBdr>
            <w:top w:val="none" w:sz="0" w:space="0" w:color="auto"/>
            <w:left w:val="none" w:sz="0" w:space="0" w:color="auto"/>
            <w:bottom w:val="none" w:sz="0" w:space="0" w:color="auto"/>
            <w:right w:val="none" w:sz="0" w:space="0" w:color="auto"/>
          </w:divBdr>
        </w:div>
        <w:div w:id="1556039742">
          <w:marLeft w:val="288"/>
          <w:marRight w:val="0"/>
          <w:marTop w:val="77"/>
          <w:marBottom w:val="0"/>
          <w:divBdr>
            <w:top w:val="none" w:sz="0" w:space="0" w:color="auto"/>
            <w:left w:val="none" w:sz="0" w:space="0" w:color="auto"/>
            <w:bottom w:val="none" w:sz="0" w:space="0" w:color="auto"/>
            <w:right w:val="none" w:sz="0" w:space="0" w:color="auto"/>
          </w:divBdr>
        </w:div>
        <w:div w:id="1593078495">
          <w:marLeft w:val="288"/>
          <w:marRight w:val="0"/>
          <w:marTop w:val="77"/>
          <w:marBottom w:val="0"/>
          <w:divBdr>
            <w:top w:val="none" w:sz="0" w:space="0" w:color="auto"/>
            <w:left w:val="none" w:sz="0" w:space="0" w:color="auto"/>
            <w:bottom w:val="none" w:sz="0" w:space="0" w:color="auto"/>
            <w:right w:val="none" w:sz="0" w:space="0" w:color="auto"/>
          </w:divBdr>
        </w:div>
      </w:divsChild>
    </w:div>
    <w:div w:id="71586576">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0874107">
      <w:bodyDiv w:val="1"/>
      <w:marLeft w:val="0"/>
      <w:marRight w:val="0"/>
      <w:marTop w:val="0"/>
      <w:marBottom w:val="0"/>
      <w:divBdr>
        <w:top w:val="none" w:sz="0" w:space="0" w:color="auto"/>
        <w:left w:val="none" w:sz="0" w:space="0" w:color="auto"/>
        <w:bottom w:val="none" w:sz="0" w:space="0" w:color="auto"/>
        <w:right w:val="none" w:sz="0" w:space="0" w:color="auto"/>
      </w:divBdr>
    </w:div>
    <w:div w:id="103968232">
      <w:bodyDiv w:val="1"/>
      <w:marLeft w:val="0"/>
      <w:marRight w:val="0"/>
      <w:marTop w:val="0"/>
      <w:marBottom w:val="0"/>
      <w:divBdr>
        <w:top w:val="none" w:sz="0" w:space="0" w:color="auto"/>
        <w:left w:val="none" w:sz="0" w:space="0" w:color="auto"/>
        <w:bottom w:val="none" w:sz="0" w:space="0" w:color="auto"/>
        <w:right w:val="none" w:sz="0" w:space="0" w:color="auto"/>
      </w:divBdr>
    </w:div>
    <w:div w:id="116411694">
      <w:bodyDiv w:val="1"/>
      <w:marLeft w:val="0"/>
      <w:marRight w:val="0"/>
      <w:marTop w:val="0"/>
      <w:marBottom w:val="0"/>
      <w:divBdr>
        <w:top w:val="none" w:sz="0" w:space="0" w:color="auto"/>
        <w:left w:val="none" w:sz="0" w:space="0" w:color="auto"/>
        <w:bottom w:val="none" w:sz="0" w:space="0" w:color="auto"/>
        <w:right w:val="none" w:sz="0" w:space="0" w:color="auto"/>
      </w:divBdr>
    </w:div>
    <w:div w:id="127477257">
      <w:bodyDiv w:val="1"/>
      <w:marLeft w:val="0"/>
      <w:marRight w:val="0"/>
      <w:marTop w:val="0"/>
      <w:marBottom w:val="0"/>
      <w:divBdr>
        <w:top w:val="none" w:sz="0" w:space="0" w:color="auto"/>
        <w:left w:val="none" w:sz="0" w:space="0" w:color="auto"/>
        <w:bottom w:val="none" w:sz="0" w:space="0" w:color="auto"/>
        <w:right w:val="none" w:sz="0" w:space="0" w:color="auto"/>
      </w:divBdr>
    </w:div>
    <w:div w:id="160313850">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8705841">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8908348">
      <w:bodyDiv w:val="1"/>
      <w:marLeft w:val="0"/>
      <w:marRight w:val="0"/>
      <w:marTop w:val="0"/>
      <w:marBottom w:val="0"/>
      <w:divBdr>
        <w:top w:val="none" w:sz="0" w:space="0" w:color="auto"/>
        <w:left w:val="none" w:sz="0" w:space="0" w:color="auto"/>
        <w:bottom w:val="none" w:sz="0" w:space="0" w:color="auto"/>
        <w:right w:val="none" w:sz="0" w:space="0" w:color="auto"/>
      </w:divBdr>
    </w:div>
    <w:div w:id="231280266">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0818254">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94717834">
      <w:bodyDiv w:val="1"/>
      <w:marLeft w:val="0"/>
      <w:marRight w:val="0"/>
      <w:marTop w:val="0"/>
      <w:marBottom w:val="0"/>
      <w:divBdr>
        <w:top w:val="none" w:sz="0" w:space="0" w:color="auto"/>
        <w:left w:val="none" w:sz="0" w:space="0" w:color="auto"/>
        <w:bottom w:val="none" w:sz="0" w:space="0" w:color="auto"/>
        <w:right w:val="none" w:sz="0" w:space="0" w:color="auto"/>
      </w:divBdr>
    </w:div>
    <w:div w:id="298077804">
      <w:bodyDiv w:val="1"/>
      <w:marLeft w:val="0"/>
      <w:marRight w:val="0"/>
      <w:marTop w:val="0"/>
      <w:marBottom w:val="0"/>
      <w:divBdr>
        <w:top w:val="none" w:sz="0" w:space="0" w:color="auto"/>
        <w:left w:val="none" w:sz="0" w:space="0" w:color="auto"/>
        <w:bottom w:val="none" w:sz="0" w:space="0" w:color="auto"/>
        <w:right w:val="none" w:sz="0" w:space="0" w:color="auto"/>
      </w:divBdr>
    </w:div>
    <w:div w:id="299383575">
      <w:bodyDiv w:val="1"/>
      <w:marLeft w:val="0"/>
      <w:marRight w:val="0"/>
      <w:marTop w:val="0"/>
      <w:marBottom w:val="0"/>
      <w:divBdr>
        <w:top w:val="none" w:sz="0" w:space="0" w:color="auto"/>
        <w:left w:val="none" w:sz="0" w:space="0" w:color="auto"/>
        <w:bottom w:val="none" w:sz="0" w:space="0" w:color="auto"/>
        <w:right w:val="none" w:sz="0" w:space="0" w:color="auto"/>
      </w:divBdr>
      <w:divsChild>
        <w:div w:id="764811129">
          <w:marLeft w:val="0"/>
          <w:marRight w:val="0"/>
          <w:marTop w:val="0"/>
          <w:marBottom w:val="0"/>
          <w:divBdr>
            <w:top w:val="none" w:sz="0" w:space="0" w:color="auto"/>
            <w:left w:val="none" w:sz="0" w:space="0" w:color="auto"/>
            <w:bottom w:val="none" w:sz="0" w:space="0" w:color="auto"/>
            <w:right w:val="none" w:sz="0" w:space="0" w:color="auto"/>
          </w:divBdr>
        </w:div>
        <w:div w:id="1036732574">
          <w:marLeft w:val="0"/>
          <w:marRight w:val="0"/>
          <w:marTop w:val="0"/>
          <w:marBottom w:val="0"/>
          <w:divBdr>
            <w:top w:val="none" w:sz="0" w:space="0" w:color="auto"/>
            <w:left w:val="none" w:sz="0" w:space="0" w:color="auto"/>
            <w:bottom w:val="none" w:sz="0" w:space="0" w:color="auto"/>
            <w:right w:val="none" w:sz="0" w:space="0" w:color="auto"/>
          </w:divBdr>
        </w:div>
        <w:div w:id="1208837890">
          <w:marLeft w:val="0"/>
          <w:marRight w:val="0"/>
          <w:marTop w:val="0"/>
          <w:marBottom w:val="0"/>
          <w:divBdr>
            <w:top w:val="none" w:sz="0" w:space="0" w:color="auto"/>
            <w:left w:val="none" w:sz="0" w:space="0" w:color="auto"/>
            <w:bottom w:val="none" w:sz="0" w:space="0" w:color="auto"/>
            <w:right w:val="none" w:sz="0" w:space="0" w:color="auto"/>
          </w:divBdr>
        </w:div>
        <w:div w:id="1586718128">
          <w:marLeft w:val="0"/>
          <w:marRight w:val="0"/>
          <w:marTop w:val="0"/>
          <w:marBottom w:val="0"/>
          <w:divBdr>
            <w:top w:val="none" w:sz="0" w:space="0" w:color="auto"/>
            <w:left w:val="none" w:sz="0" w:space="0" w:color="auto"/>
            <w:bottom w:val="none" w:sz="0" w:space="0" w:color="auto"/>
            <w:right w:val="none" w:sz="0" w:space="0" w:color="auto"/>
          </w:divBdr>
        </w:div>
        <w:div w:id="1823616071">
          <w:marLeft w:val="0"/>
          <w:marRight w:val="0"/>
          <w:marTop w:val="0"/>
          <w:marBottom w:val="0"/>
          <w:divBdr>
            <w:top w:val="none" w:sz="0" w:space="0" w:color="auto"/>
            <w:left w:val="none" w:sz="0" w:space="0" w:color="auto"/>
            <w:bottom w:val="none" w:sz="0" w:space="0" w:color="auto"/>
            <w:right w:val="none" w:sz="0" w:space="0" w:color="auto"/>
          </w:divBdr>
        </w:div>
      </w:divsChild>
    </w:div>
    <w:div w:id="335235114">
      <w:bodyDiv w:val="1"/>
      <w:marLeft w:val="0"/>
      <w:marRight w:val="0"/>
      <w:marTop w:val="0"/>
      <w:marBottom w:val="0"/>
      <w:divBdr>
        <w:top w:val="none" w:sz="0" w:space="0" w:color="auto"/>
        <w:left w:val="none" w:sz="0" w:space="0" w:color="auto"/>
        <w:bottom w:val="none" w:sz="0" w:space="0" w:color="auto"/>
        <w:right w:val="none" w:sz="0" w:space="0" w:color="auto"/>
      </w:divBdr>
    </w:div>
    <w:div w:id="366024133">
      <w:bodyDiv w:val="1"/>
      <w:marLeft w:val="0"/>
      <w:marRight w:val="0"/>
      <w:marTop w:val="0"/>
      <w:marBottom w:val="0"/>
      <w:divBdr>
        <w:top w:val="none" w:sz="0" w:space="0" w:color="auto"/>
        <w:left w:val="none" w:sz="0" w:space="0" w:color="auto"/>
        <w:bottom w:val="none" w:sz="0" w:space="0" w:color="auto"/>
        <w:right w:val="none" w:sz="0" w:space="0" w:color="auto"/>
      </w:divBdr>
      <w:divsChild>
        <w:div w:id="1402218029">
          <w:marLeft w:val="547"/>
          <w:marRight w:val="0"/>
          <w:marTop w:val="86"/>
          <w:marBottom w:val="0"/>
          <w:divBdr>
            <w:top w:val="none" w:sz="0" w:space="0" w:color="auto"/>
            <w:left w:val="none" w:sz="0" w:space="0" w:color="auto"/>
            <w:bottom w:val="none" w:sz="0" w:space="0" w:color="auto"/>
            <w:right w:val="none" w:sz="0" w:space="0" w:color="auto"/>
          </w:divBdr>
        </w:div>
      </w:divsChild>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0000472">
      <w:bodyDiv w:val="1"/>
      <w:marLeft w:val="0"/>
      <w:marRight w:val="0"/>
      <w:marTop w:val="0"/>
      <w:marBottom w:val="0"/>
      <w:divBdr>
        <w:top w:val="none" w:sz="0" w:space="0" w:color="auto"/>
        <w:left w:val="none" w:sz="0" w:space="0" w:color="auto"/>
        <w:bottom w:val="none" w:sz="0" w:space="0" w:color="auto"/>
        <w:right w:val="none" w:sz="0" w:space="0" w:color="auto"/>
      </w:divBdr>
    </w:div>
    <w:div w:id="495847396">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1361163">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75435553">
      <w:bodyDiv w:val="1"/>
      <w:marLeft w:val="0"/>
      <w:marRight w:val="0"/>
      <w:marTop w:val="0"/>
      <w:marBottom w:val="0"/>
      <w:divBdr>
        <w:top w:val="none" w:sz="0" w:space="0" w:color="auto"/>
        <w:left w:val="none" w:sz="0" w:space="0" w:color="auto"/>
        <w:bottom w:val="none" w:sz="0" w:space="0" w:color="auto"/>
        <w:right w:val="none" w:sz="0" w:space="0" w:color="auto"/>
      </w:divBdr>
      <w:divsChild>
        <w:div w:id="744765098">
          <w:marLeft w:val="979"/>
          <w:marRight w:val="0"/>
          <w:marTop w:val="86"/>
          <w:marBottom w:val="0"/>
          <w:divBdr>
            <w:top w:val="none" w:sz="0" w:space="0" w:color="auto"/>
            <w:left w:val="none" w:sz="0" w:space="0" w:color="auto"/>
            <w:bottom w:val="none" w:sz="0" w:space="0" w:color="auto"/>
            <w:right w:val="none" w:sz="0" w:space="0" w:color="auto"/>
          </w:divBdr>
        </w:div>
      </w:divsChild>
    </w:div>
    <w:div w:id="583302750">
      <w:bodyDiv w:val="1"/>
      <w:marLeft w:val="0"/>
      <w:marRight w:val="0"/>
      <w:marTop w:val="0"/>
      <w:marBottom w:val="0"/>
      <w:divBdr>
        <w:top w:val="none" w:sz="0" w:space="0" w:color="auto"/>
        <w:left w:val="none" w:sz="0" w:space="0" w:color="auto"/>
        <w:bottom w:val="none" w:sz="0" w:space="0" w:color="auto"/>
        <w:right w:val="none" w:sz="0" w:space="0" w:color="auto"/>
      </w:divBdr>
    </w:div>
    <w:div w:id="602152622">
      <w:bodyDiv w:val="1"/>
      <w:marLeft w:val="0"/>
      <w:marRight w:val="0"/>
      <w:marTop w:val="0"/>
      <w:marBottom w:val="0"/>
      <w:divBdr>
        <w:top w:val="none" w:sz="0" w:space="0" w:color="auto"/>
        <w:left w:val="none" w:sz="0" w:space="0" w:color="auto"/>
        <w:bottom w:val="none" w:sz="0" w:space="0" w:color="auto"/>
        <w:right w:val="none" w:sz="0" w:space="0" w:color="auto"/>
      </w:divBdr>
    </w:div>
    <w:div w:id="619193109">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77776781">
      <w:bodyDiv w:val="1"/>
      <w:marLeft w:val="0"/>
      <w:marRight w:val="0"/>
      <w:marTop w:val="0"/>
      <w:marBottom w:val="0"/>
      <w:divBdr>
        <w:top w:val="none" w:sz="0" w:space="0" w:color="auto"/>
        <w:left w:val="none" w:sz="0" w:space="0" w:color="auto"/>
        <w:bottom w:val="none" w:sz="0" w:space="0" w:color="auto"/>
        <w:right w:val="none" w:sz="0" w:space="0" w:color="auto"/>
      </w:divBdr>
    </w:div>
    <w:div w:id="686178986">
      <w:bodyDiv w:val="1"/>
      <w:marLeft w:val="0"/>
      <w:marRight w:val="0"/>
      <w:marTop w:val="0"/>
      <w:marBottom w:val="0"/>
      <w:divBdr>
        <w:top w:val="none" w:sz="0" w:space="0" w:color="auto"/>
        <w:left w:val="none" w:sz="0" w:space="0" w:color="auto"/>
        <w:bottom w:val="none" w:sz="0" w:space="0" w:color="auto"/>
        <w:right w:val="none" w:sz="0" w:space="0" w:color="auto"/>
      </w:divBdr>
    </w:div>
    <w:div w:id="708147749">
      <w:bodyDiv w:val="1"/>
      <w:marLeft w:val="0"/>
      <w:marRight w:val="0"/>
      <w:marTop w:val="0"/>
      <w:marBottom w:val="0"/>
      <w:divBdr>
        <w:top w:val="none" w:sz="0" w:space="0" w:color="auto"/>
        <w:left w:val="none" w:sz="0" w:space="0" w:color="auto"/>
        <w:bottom w:val="none" w:sz="0" w:space="0" w:color="auto"/>
        <w:right w:val="none" w:sz="0" w:space="0" w:color="auto"/>
      </w:divBdr>
    </w:div>
    <w:div w:id="709645688">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0638039">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69620676">
      <w:bodyDiv w:val="1"/>
      <w:marLeft w:val="0"/>
      <w:marRight w:val="0"/>
      <w:marTop w:val="0"/>
      <w:marBottom w:val="0"/>
      <w:divBdr>
        <w:top w:val="none" w:sz="0" w:space="0" w:color="auto"/>
        <w:left w:val="none" w:sz="0" w:space="0" w:color="auto"/>
        <w:bottom w:val="none" w:sz="0" w:space="0" w:color="auto"/>
        <w:right w:val="none" w:sz="0" w:space="0" w:color="auto"/>
      </w:divBdr>
      <w:divsChild>
        <w:div w:id="439758078">
          <w:marLeft w:val="0"/>
          <w:marRight w:val="0"/>
          <w:marTop w:val="0"/>
          <w:marBottom w:val="0"/>
          <w:divBdr>
            <w:top w:val="none" w:sz="0" w:space="0" w:color="auto"/>
            <w:left w:val="none" w:sz="0" w:space="0" w:color="auto"/>
            <w:bottom w:val="none" w:sz="0" w:space="0" w:color="auto"/>
            <w:right w:val="none" w:sz="0" w:space="0" w:color="auto"/>
          </w:divBdr>
          <w:divsChild>
            <w:div w:id="1799059058">
              <w:marLeft w:val="0"/>
              <w:marRight w:val="0"/>
              <w:marTop w:val="0"/>
              <w:marBottom w:val="0"/>
              <w:divBdr>
                <w:top w:val="none" w:sz="0" w:space="0" w:color="auto"/>
                <w:left w:val="none" w:sz="0" w:space="0" w:color="auto"/>
                <w:bottom w:val="none" w:sz="0" w:space="0" w:color="auto"/>
                <w:right w:val="none" w:sz="0" w:space="0" w:color="auto"/>
              </w:divBdr>
              <w:divsChild>
                <w:div w:id="1498497885">
                  <w:marLeft w:val="0"/>
                  <w:marRight w:val="0"/>
                  <w:marTop w:val="0"/>
                  <w:marBottom w:val="0"/>
                  <w:divBdr>
                    <w:top w:val="none" w:sz="0" w:space="0" w:color="auto"/>
                    <w:left w:val="none" w:sz="0" w:space="0" w:color="auto"/>
                    <w:bottom w:val="none" w:sz="0" w:space="0" w:color="auto"/>
                    <w:right w:val="none" w:sz="0" w:space="0" w:color="auto"/>
                  </w:divBdr>
                  <w:divsChild>
                    <w:div w:id="960261944">
                      <w:marLeft w:val="0"/>
                      <w:marRight w:val="0"/>
                      <w:marTop w:val="0"/>
                      <w:marBottom w:val="0"/>
                      <w:divBdr>
                        <w:top w:val="none" w:sz="0" w:space="0" w:color="auto"/>
                        <w:left w:val="none" w:sz="0" w:space="0" w:color="auto"/>
                        <w:bottom w:val="none" w:sz="0" w:space="0" w:color="auto"/>
                        <w:right w:val="none" w:sz="0" w:space="0" w:color="auto"/>
                      </w:divBdr>
                      <w:divsChild>
                        <w:div w:id="709377857">
                          <w:marLeft w:val="0"/>
                          <w:marRight w:val="0"/>
                          <w:marTop w:val="0"/>
                          <w:marBottom w:val="0"/>
                          <w:divBdr>
                            <w:top w:val="none" w:sz="0" w:space="0" w:color="auto"/>
                            <w:left w:val="none" w:sz="0" w:space="0" w:color="auto"/>
                            <w:bottom w:val="none" w:sz="0" w:space="0" w:color="auto"/>
                            <w:right w:val="none" w:sz="0" w:space="0" w:color="auto"/>
                          </w:divBdr>
                          <w:divsChild>
                            <w:div w:id="8300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10004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23665270">
      <w:bodyDiv w:val="1"/>
      <w:marLeft w:val="0"/>
      <w:marRight w:val="0"/>
      <w:marTop w:val="0"/>
      <w:marBottom w:val="0"/>
      <w:divBdr>
        <w:top w:val="none" w:sz="0" w:space="0" w:color="auto"/>
        <w:left w:val="none" w:sz="0" w:space="0" w:color="auto"/>
        <w:bottom w:val="none" w:sz="0" w:space="0" w:color="auto"/>
        <w:right w:val="none" w:sz="0" w:space="0" w:color="auto"/>
      </w:divBdr>
    </w:div>
    <w:div w:id="825904513">
      <w:bodyDiv w:val="1"/>
      <w:marLeft w:val="0"/>
      <w:marRight w:val="0"/>
      <w:marTop w:val="0"/>
      <w:marBottom w:val="0"/>
      <w:divBdr>
        <w:top w:val="none" w:sz="0" w:space="0" w:color="auto"/>
        <w:left w:val="none" w:sz="0" w:space="0" w:color="auto"/>
        <w:bottom w:val="none" w:sz="0" w:space="0" w:color="auto"/>
        <w:right w:val="none" w:sz="0" w:space="0" w:color="auto"/>
      </w:divBdr>
    </w:div>
    <w:div w:id="843518055">
      <w:bodyDiv w:val="1"/>
      <w:marLeft w:val="0"/>
      <w:marRight w:val="0"/>
      <w:marTop w:val="0"/>
      <w:marBottom w:val="0"/>
      <w:divBdr>
        <w:top w:val="none" w:sz="0" w:space="0" w:color="auto"/>
        <w:left w:val="none" w:sz="0" w:space="0" w:color="auto"/>
        <w:bottom w:val="none" w:sz="0" w:space="0" w:color="auto"/>
        <w:right w:val="none" w:sz="0" w:space="0" w:color="auto"/>
      </w:divBdr>
    </w:div>
    <w:div w:id="844437972">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0389188">
      <w:bodyDiv w:val="1"/>
      <w:marLeft w:val="0"/>
      <w:marRight w:val="0"/>
      <w:marTop w:val="0"/>
      <w:marBottom w:val="0"/>
      <w:divBdr>
        <w:top w:val="none" w:sz="0" w:space="0" w:color="auto"/>
        <w:left w:val="none" w:sz="0" w:space="0" w:color="auto"/>
        <w:bottom w:val="none" w:sz="0" w:space="0" w:color="auto"/>
        <w:right w:val="none" w:sz="0" w:space="0" w:color="auto"/>
      </w:divBdr>
    </w:div>
    <w:div w:id="863444667">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3395310">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3421241">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48240938">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91520465">
      <w:bodyDiv w:val="1"/>
      <w:marLeft w:val="0"/>
      <w:marRight w:val="0"/>
      <w:marTop w:val="0"/>
      <w:marBottom w:val="0"/>
      <w:divBdr>
        <w:top w:val="none" w:sz="0" w:space="0" w:color="auto"/>
        <w:left w:val="none" w:sz="0" w:space="0" w:color="auto"/>
        <w:bottom w:val="none" w:sz="0" w:space="0" w:color="auto"/>
        <w:right w:val="none" w:sz="0" w:space="0" w:color="auto"/>
      </w:divBdr>
    </w:div>
    <w:div w:id="995837630">
      <w:bodyDiv w:val="1"/>
      <w:marLeft w:val="0"/>
      <w:marRight w:val="0"/>
      <w:marTop w:val="0"/>
      <w:marBottom w:val="0"/>
      <w:divBdr>
        <w:top w:val="none" w:sz="0" w:space="0" w:color="auto"/>
        <w:left w:val="none" w:sz="0" w:space="0" w:color="auto"/>
        <w:bottom w:val="none" w:sz="0" w:space="0" w:color="auto"/>
        <w:right w:val="none" w:sz="0" w:space="0" w:color="auto"/>
      </w:divBdr>
    </w:div>
    <w:div w:id="1008291794">
      <w:bodyDiv w:val="1"/>
      <w:marLeft w:val="0"/>
      <w:marRight w:val="0"/>
      <w:marTop w:val="0"/>
      <w:marBottom w:val="0"/>
      <w:divBdr>
        <w:top w:val="none" w:sz="0" w:space="0" w:color="auto"/>
        <w:left w:val="none" w:sz="0" w:space="0" w:color="auto"/>
        <w:bottom w:val="none" w:sz="0" w:space="0" w:color="auto"/>
        <w:right w:val="none" w:sz="0" w:space="0" w:color="auto"/>
      </w:divBdr>
      <w:divsChild>
        <w:div w:id="1457721343">
          <w:marLeft w:val="0"/>
          <w:marRight w:val="0"/>
          <w:marTop w:val="0"/>
          <w:marBottom w:val="0"/>
          <w:divBdr>
            <w:top w:val="none" w:sz="0" w:space="0" w:color="auto"/>
            <w:left w:val="none" w:sz="0" w:space="0" w:color="auto"/>
            <w:bottom w:val="none" w:sz="0" w:space="0" w:color="auto"/>
            <w:right w:val="none" w:sz="0" w:space="0" w:color="auto"/>
          </w:divBdr>
          <w:divsChild>
            <w:div w:id="256600191">
              <w:marLeft w:val="0"/>
              <w:marRight w:val="0"/>
              <w:marTop w:val="0"/>
              <w:marBottom w:val="0"/>
              <w:divBdr>
                <w:top w:val="none" w:sz="0" w:space="0" w:color="auto"/>
                <w:left w:val="none" w:sz="0" w:space="0" w:color="auto"/>
                <w:bottom w:val="none" w:sz="0" w:space="0" w:color="auto"/>
                <w:right w:val="none" w:sz="0" w:space="0" w:color="auto"/>
              </w:divBdr>
            </w:div>
            <w:div w:id="464130363">
              <w:marLeft w:val="0"/>
              <w:marRight w:val="0"/>
              <w:marTop w:val="0"/>
              <w:marBottom w:val="0"/>
              <w:divBdr>
                <w:top w:val="none" w:sz="0" w:space="0" w:color="auto"/>
                <w:left w:val="none" w:sz="0" w:space="0" w:color="auto"/>
                <w:bottom w:val="none" w:sz="0" w:space="0" w:color="auto"/>
                <w:right w:val="none" w:sz="0" w:space="0" w:color="auto"/>
              </w:divBdr>
            </w:div>
            <w:div w:id="702512304">
              <w:marLeft w:val="0"/>
              <w:marRight w:val="0"/>
              <w:marTop w:val="0"/>
              <w:marBottom w:val="0"/>
              <w:divBdr>
                <w:top w:val="none" w:sz="0" w:space="0" w:color="auto"/>
                <w:left w:val="none" w:sz="0" w:space="0" w:color="auto"/>
                <w:bottom w:val="none" w:sz="0" w:space="0" w:color="auto"/>
                <w:right w:val="none" w:sz="0" w:space="0" w:color="auto"/>
              </w:divBdr>
            </w:div>
            <w:div w:id="934360710">
              <w:marLeft w:val="0"/>
              <w:marRight w:val="0"/>
              <w:marTop w:val="0"/>
              <w:marBottom w:val="0"/>
              <w:divBdr>
                <w:top w:val="none" w:sz="0" w:space="0" w:color="auto"/>
                <w:left w:val="none" w:sz="0" w:space="0" w:color="auto"/>
                <w:bottom w:val="none" w:sz="0" w:space="0" w:color="auto"/>
                <w:right w:val="none" w:sz="0" w:space="0" w:color="auto"/>
              </w:divBdr>
            </w:div>
            <w:div w:id="1082873746">
              <w:marLeft w:val="0"/>
              <w:marRight w:val="0"/>
              <w:marTop w:val="0"/>
              <w:marBottom w:val="0"/>
              <w:divBdr>
                <w:top w:val="none" w:sz="0" w:space="0" w:color="auto"/>
                <w:left w:val="none" w:sz="0" w:space="0" w:color="auto"/>
                <w:bottom w:val="none" w:sz="0" w:space="0" w:color="auto"/>
                <w:right w:val="none" w:sz="0" w:space="0" w:color="auto"/>
              </w:divBdr>
            </w:div>
            <w:div w:id="1144664899">
              <w:marLeft w:val="0"/>
              <w:marRight w:val="0"/>
              <w:marTop w:val="0"/>
              <w:marBottom w:val="0"/>
              <w:divBdr>
                <w:top w:val="none" w:sz="0" w:space="0" w:color="auto"/>
                <w:left w:val="none" w:sz="0" w:space="0" w:color="auto"/>
                <w:bottom w:val="none" w:sz="0" w:space="0" w:color="auto"/>
                <w:right w:val="none" w:sz="0" w:space="0" w:color="auto"/>
              </w:divBdr>
            </w:div>
            <w:div w:id="1850172432">
              <w:marLeft w:val="0"/>
              <w:marRight w:val="0"/>
              <w:marTop w:val="0"/>
              <w:marBottom w:val="0"/>
              <w:divBdr>
                <w:top w:val="none" w:sz="0" w:space="0" w:color="auto"/>
                <w:left w:val="none" w:sz="0" w:space="0" w:color="auto"/>
                <w:bottom w:val="none" w:sz="0" w:space="0" w:color="auto"/>
                <w:right w:val="none" w:sz="0" w:space="0" w:color="auto"/>
              </w:divBdr>
            </w:div>
            <w:div w:id="2052723186">
              <w:marLeft w:val="0"/>
              <w:marRight w:val="0"/>
              <w:marTop w:val="0"/>
              <w:marBottom w:val="0"/>
              <w:divBdr>
                <w:top w:val="none" w:sz="0" w:space="0" w:color="auto"/>
                <w:left w:val="none" w:sz="0" w:space="0" w:color="auto"/>
                <w:bottom w:val="none" w:sz="0" w:space="0" w:color="auto"/>
                <w:right w:val="none" w:sz="0" w:space="0" w:color="auto"/>
              </w:divBdr>
            </w:div>
          </w:divsChild>
        </w:div>
        <w:div w:id="1579903150">
          <w:marLeft w:val="0"/>
          <w:marRight w:val="0"/>
          <w:marTop w:val="0"/>
          <w:marBottom w:val="0"/>
          <w:divBdr>
            <w:top w:val="none" w:sz="0" w:space="0" w:color="auto"/>
            <w:left w:val="none" w:sz="0" w:space="0" w:color="auto"/>
            <w:bottom w:val="none" w:sz="0" w:space="0" w:color="auto"/>
            <w:right w:val="none" w:sz="0" w:space="0" w:color="auto"/>
          </w:divBdr>
          <w:divsChild>
            <w:div w:id="100805681">
              <w:marLeft w:val="0"/>
              <w:marRight w:val="0"/>
              <w:marTop w:val="0"/>
              <w:marBottom w:val="0"/>
              <w:divBdr>
                <w:top w:val="none" w:sz="0" w:space="0" w:color="auto"/>
                <w:left w:val="none" w:sz="0" w:space="0" w:color="auto"/>
                <w:bottom w:val="none" w:sz="0" w:space="0" w:color="auto"/>
                <w:right w:val="none" w:sz="0" w:space="0" w:color="auto"/>
              </w:divBdr>
            </w:div>
            <w:div w:id="120923749">
              <w:marLeft w:val="0"/>
              <w:marRight w:val="0"/>
              <w:marTop w:val="0"/>
              <w:marBottom w:val="0"/>
              <w:divBdr>
                <w:top w:val="none" w:sz="0" w:space="0" w:color="auto"/>
                <w:left w:val="none" w:sz="0" w:space="0" w:color="auto"/>
                <w:bottom w:val="none" w:sz="0" w:space="0" w:color="auto"/>
                <w:right w:val="none" w:sz="0" w:space="0" w:color="auto"/>
              </w:divBdr>
            </w:div>
            <w:div w:id="167720960">
              <w:marLeft w:val="0"/>
              <w:marRight w:val="0"/>
              <w:marTop w:val="0"/>
              <w:marBottom w:val="0"/>
              <w:divBdr>
                <w:top w:val="none" w:sz="0" w:space="0" w:color="auto"/>
                <w:left w:val="none" w:sz="0" w:space="0" w:color="auto"/>
                <w:bottom w:val="none" w:sz="0" w:space="0" w:color="auto"/>
                <w:right w:val="none" w:sz="0" w:space="0" w:color="auto"/>
              </w:divBdr>
            </w:div>
            <w:div w:id="572472540">
              <w:marLeft w:val="0"/>
              <w:marRight w:val="0"/>
              <w:marTop w:val="0"/>
              <w:marBottom w:val="0"/>
              <w:divBdr>
                <w:top w:val="none" w:sz="0" w:space="0" w:color="auto"/>
                <w:left w:val="none" w:sz="0" w:space="0" w:color="auto"/>
                <w:bottom w:val="none" w:sz="0" w:space="0" w:color="auto"/>
                <w:right w:val="none" w:sz="0" w:space="0" w:color="auto"/>
              </w:divBdr>
            </w:div>
            <w:div w:id="709305418">
              <w:marLeft w:val="0"/>
              <w:marRight w:val="0"/>
              <w:marTop w:val="0"/>
              <w:marBottom w:val="0"/>
              <w:divBdr>
                <w:top w:val="none" w:sz="0" w:space="0" w:color="auto"/>
                <w:left w:val="none" w:sz="0" w:space="0" w:color="auto"/>
                <w:bottom w:val="none" w:sz="0" w:space="0" w:color="auto"/>
                <w:right w:val="none" w:sz="0" w:space="0" w:color="auto"/>
              </w:divBdr>
            </w:div>
            <w:div w:id="930311003">
              <w:marLeft w:val="0"/>
              <w:marRight w:val="0"/>
              <w:marTop w:val="0"/>
              <w:marBottom w:val="0"/>
              <w:divBdr>
                <w:top w:val="none" w:sz="0" w:space="0" w:color="auto"/>
                <w:left w:val="none" w:sz="0" w:space="0" w:color="auto"/>
                <w:bottom w:val="none" w:sz="0" w:space="0" w:color="auto"/>
                <w:right w:val="none" w:sz="0" w:space="0" w:color="auto"/>
              </w:divBdr>
            </w:div>
            <w:div w:id="940334381">
              <w:marLeft w:val="0"/>
              <w:marRight w:val="0"/>
              <w:marTop w:val="0"/>
              <w:marBottom w:val="0"/>
              <w:divBdr>
                <w:top w:val="none" w:sz="0" w:space="0" w:color="auto"/>
                <w:left w:val="none" w:sz="0" w:space="0" w:color="auto"/>
                <w:bottom w:val="none" w:sz="0" w:space="0" w:color="auto"/>
                <w:right w:val="none" w:sz="0" w:space="0" w:color="auto"/>
              </w:divBdr>
            </w:div>
            <w:div w:id="1174153721">
              <w:marLeft w:val="0"/>
              <w:marRight w:val="0"/>
              <w:marTop w:val="0"/>
              <w:marBottom w:val="0"/>
              <w:divBdr>
                <w:top w:val="none" w:sz="0" w:space="0" w:color="auto"/>
                <w:left w:val="none" w:sz="0" w:space="0" w:color="auto"/>
                <w:bottom w:val="none" w:sz="0" w:space="0" w:color="auto"/>
                <w:right w:val="none" w:sz="0" w:space="0" w:color="auto"/>
              </w:divBdr>
            </w:div>
            <w:div w:id="1212232592">
              <w:marLeft w:val="0"/>
              <w:marRight w:val="0"/>
              <w:marTop w:val="0"/>
              <w:marBottom w:val="0"/>
              <w:divBdr>
                <w:top w:val="none" w:sz="0" w:space="0" w:color="auto"/>
                <w:left w:val="none" w:sz="0" w:space="0" w:color="auto"/>
                <w:bottom w:val="none" w:sz="0" w:space="0" w:color="auto"/>
                <w:right w:val="none" w:sz="0" w:space="0" w:color="auto"/>
              </w:divBdr>
            </w:div>
            <w:div w:id="1463696617">
              <w:marLeft w:val="0"/>
              <w:marRight w:val="0"/>
              <w:marTop w:val="0"/>
              <w:marBottom w:val="0"/>
              <w:divBdr>
                <w:top w:val="none" w:sz="0" w:space="0" w:color="auto"/>
                <w:left w:val="none" w:sz="0" w:space="0" w:color="auto"/>
                <w:bottom w:val="none" w:sz="0" w:space="0" w:color="auto"/>
                <w:right w:val="none" w:sz="0" w:space="0" w:color="auto"/>
              </w:divBdr>
            </w:div>
            <w:div w:id="1666206185">
              <w:marLeft w:val="0"/>
              <w:marRight w:val="0"/>
              <w:marTop w:val="0"/>
              <w:marBottom w:val="0"/>
              <w:divBdr>
                <w:top w:val="none" w:sz="0" w:space="0" w:color="auto"/>
                <w:left w:val="none" w:sz="0" w:space="0" w:color="auto"/>
                <w:bottom w:val="none" w:sz="0" w:space="0" w:color="auto"/>
                <w:right w:val="none" w:sz="0" w:space="0" w:color="auto"/>
              </w:divBdr>
            </w:div>
            <w:div w:id="1730225615">
              <w:marLeft w:val="0"/>
              <w:marRight w:val="0"/>
              <w:marTop w:val="0"/>
              <w:marBottom w:val="0"/>
              <w:divBdr>
                <w:top w:val="none" w:sz="0" w:space="0" w:color="auto"/>
                <w:left w:val="none" w:sz="0" w:space="0" w:color="auto"/>
                <w:bottom w:val="none" w:sz="0" w:space="0" w:color="auto"/>
                <w:right w:val="none" w:sz="0" w:space="0" w:color="auto"/>
              </w:divBdr>
            </w:div>
            <w:div w:id="1896426651">
              <w:marLeft w:val="0"/>
              <w:marRight w:val="0"/>
              <w:marTop w:val="0"/>
              <w:marBottom w:val="0"/>
              <w:divBdr>
                <w:top w:val="none" w:sz="0" w:space="0" w:color="auto"/>
                <w:left w:val="none" w:sz="0" w:space="0" w:color="auto"/>
                <w:bottom w:val="none" w:sz="0" w:space="0" w:color="auto"/>
                <w:right w:val="none" w:sz="0" w:space="0" w:color="auto"/>
              </w:divBdr>
            </w:div>
            <w:div w:id="2000305953">
              <w:marLeft w:val="0"/>
              <w:marRight w:val="0"/>
              <w:marTop w:val="0"/>
              <w:marBottom w:val="0"/>
              <w:divBdr>
                <w:top w:val="none" w:sz="0" w:space="0" w:color="auto"/>
                <w:left w:val="none" w:sz="0" w:space="0" w:color="auto"/>
                <w:bottom w:val="none" w:sz="0" w:space="0" w:color="auto"/>
                <w:right w:val="none" w:sz="0" w:space="0" w:color="auto"/>
              </w:divBdr>
            </w:div>
            <w:div w:id="2060663749">
              <w:marLeft w:val="0"/>
              <w:marRight w:val="0"/>
              <w:marTop w:val="0"/>
              <w:marBottom w:val="0"/>
              <w:divBdr>
                <w:top w:val="none" w:sz="0" w:space="0" w:color="auto"/>
                <w:left w:val="none" w:sz="0" w:space="0" w:color="auto"/>
                <w:bottom w:val="none" w:sz="0" w:space="0" w:color="auto"/>
                <w:right w:val="none" w:sz="0" w:space="0" w:color="auto"/>
              </w:divBdr>
            </w:div>
            <w:div w:id="2146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19160492">
      <w:bodyDiv w:val="1"/>
      <w:marLeft w:val="0"/>
      <w:marRight w:val="0"/>
      <w:marTop w:val="0"/>
      <w:marBottom w:val="0"/>
      <w:divBdr>
        <w:top w:val="none" w:sz="0" w:space="0" w:color="auto"/>
        <w:left w:val="none" w:sz="0" w:space="0" w:color="auto"/>
        <w:bottom w:val="none" w:sz="0" w:space="0" w:color="auto"/>
        <w:right w:val="none" w:sz="0" w:space="0" w:color="auto"/>
      </w:divBdr>
    </w:div>
    <w:div w:id="1034379424">
      <w:bodyDiv w:val="1"/>
      <w:marLeft w:val="0"/>
      <w:marRight w:val="0"/>
      <w:marTop w:val="0"/>
      <w:marBottom w:val="0"/>
      <w:divBdr>
        <w:top w:val="none" w:sz="0" w:space="0" w:color="auto"/>
        <w:left w:val="none" w:sz="0" w:space="0" w:color="auto"/>
        <w:bottom w:val="none" w:sz="0" w:space="0" w:color="auto"/>
        <w:right w:val="none" w:sz="0" w:space="0" w:color="auto"/>
      </w:divBdr>
    </w:div>
    <w:div w:id="1053194982">
      <w:bodyDiv w:val="1"/>
      <w:marLeft w:val="0"/>
      <w:marRight w:val="0"/>
      <w:marTop w:val="0"/>
      <w:marBottom w:val="0"/>
      <w:divBdr>
        <w:top w:val="none" w:sz="0" w:space="0" w:color="auto"/>
        <w:left w:val="none" w:sz="0" w:space="0" w:color="auto"/>
        <w:bottom w:val="none" w:sz="0" w:space="0" w:color="auto"/>
        <w:right w:val="none" w:sz="0" w:space="0" w:color="auto"/>
      </w:divBdr>
    </w:div>
    <w:div w:id="1107581610">
      <w:bodyDiv w:val="1"/>
      <w:marLeft w:val="0"/>
      <w:marRight w:val="0"/>
      <w:marTop w:val="0"/>
      <w:marBottom w:val="0"/>
      <w:divBdr>
        <w:top w:val="none" w:sz="0" w:space="0" w:color="auto"/>
        <w:left w:val="none" w:sz="0" w:space="0" w:color="auto"/>
        <w:bottom w:val="none" w:sz="0" w:space="0" w:color="auto"/>
        <w:right w:val="none" w:sz="0" w:space="0" w:color="auto"/>
      </w:divBdr>
      <w:divsChild>
        <w:div w:id="1222671857">
          <w:marLeft w:val="547"/>
          <w:marRight w:val="0"/>
          <w:marTop w:val="86"/>
          <w:marBottom w:val="0"/>
          <w:divBdr>
            <w:top w:val="none" w:sz="0" w:space="0" w:color="auto"/>
            <w:left w:val="none" w:sz="0" w:space="0" w:color="auto"/>
            <w:bottom w:val="none" w:sz="0" w:space="0" w:color="auto"/>
            <w:right w:val="none" w:sz="0" w:space="0" w:color="auto"/>
          </w:divBdr>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5613234">
      <w:bodyDiv w:val="1"/>
      <w:marLeft w:val="0"/>
      <w:marRight w:val="0"/>
      <w:marTop w:val="0"/>
      <w:marBottom w:val="0"/>
      <w:divBdr>
        <w:top w:val="none" w:sz="0" w:space="0" w:color="auto"/>
        <w:left w:val="none" w:sz="0" w:space="0" w:color="auto"/>
        <w:bottom w:val="none" w:sz="0" w:space="0" w:color="auto"/>
        <w:right w:val="none" w:sz="0" w:space="0" w:color="auto"/>
      </w:divBdr>
      <w:divsChild>
        <w:div w:id="31267810">
          <w:marLeft w:val="0"/>
          <w:marRight w:val="0"/>
          <w:marTop w:val="0"/>
          <w:marBottom w:val="0"/>
          <w:divBdr>
            <w:top w:val="none" w:sz="0" w:space="0" w:color="auto"/>
            <w:left w:val="none" w:sz="0" w:space="0" w:color="auto"/>
            <w:bottom w:val="none" w:sz="0" w:space="0" w:color="auto"/>
            <w:right w:val="none" w:sz="0" w:space="0" w:color="auto"/>
          </w:divBdr>
        </w:div>
        <w:div w:id="148836440">
          <w:marLeft w:val="0"/>
          <w:marRight w:val="0"/>
          <w:marTop w:val="0"/>
          <w:marBottom w:val="0"/>
          <w:divBdr>
            <w:top w:val="none" w:sz="0" w:space="0" w:color="auto"/>
            <w:left w:val="none" w:sz="0" w:space="0" w:color="auto"/>
            <w:bottom w:val="none" w:sz="0" w:space="0" w:color="auto"/>
            <w:right w:val="none" w:sz="0" w:space="0" w:color="auto"/>
          </w:divBdr>
        </w:div>
        <w:div w:id="151332872">
          <w:marLeft w:val="0"/>
          <w:marRight w:val="0"/>
          <w:marTop w:val="0"/>
          <w:marBottom w:val="0"/>
          <w:divBdr>
            <w:top w:val="none" w:sz="0" w:space="0" w:color="auto"/>
            <w:left w:val="none" w:sz="0" w:space="0" w:color="auto"/>
            <w:bottom w:val="none" w:sz="0" w:space="0" w:color="auto"/>
            <w:right w:val="none" w:sz="0" w:space="0" w:color="auto"/>
          </w:divBdr>
        </w:div>
        <w:div w:id="935862127">
          <w:marLeft w:val="0"/>
          <w:marRight w:val="0"/>
          <w:marTop w:val="0"/>
          <w:marBottom w:val="0"/>
          <w:divBdr>
            <w:top w:val="none" w:sz="0" w:space="0" w:color="auto"/>
            <w:left w:val="none" w:sz="0" w:space="0" w:color="auto"/>
            <w:bottom w:val="none" w:sz="0" w:space="0" w:color="auto"/>
            <w:right w:val="none" w:sz="0" w:space="0" w:color="auto"/>
          </w:divBdr>
        </w:div>
        <w:div w:id="1366102496">
          <w:marLeft w:val="0"/>
          <w:marRight w:val="0"/>
          <w:marTop w:val="0"/>
          <w:marBottom w:val="0"/>
          <w:divBdr>
            <w:top w:val="none" w:sz="0" w:space="0" w:color="auto"/>
            <w:left w:val="none" w:sz="0" w:space="0" w:color="auto"/>
            <w:bottom w:val="none" w:sz="0" w:space="0" w:color="auto"/>
            <w:right w:val="none" w:sz="0" w:space="0" w:color="auto"/>
          </w:divBdr>
        </w:div>
      </w:divsChild>
    </w:div>
    <w:div w:id="1130128646">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6841205">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1508201">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66965274">
      <w:bodyDiv w:val="1"/>
      <w:marLeft w:val="0"/>
      <w:marRight w:val="0"/>
      <w:marTop w:val="0"/>
      <w:marBottom w:val="0"/>
      <w:divBdr>
        <w:top w:val="none" w:sz="0" w:space="0" w:color="auto"/>
        <w:left w:val="none" w:sz="0" w:space="0" w:color="auto"/>
        <w:bottom w:val="none" w:sz="0" w:space="0" w:color="auto"/>
        <w:right w:val="none" w:sz="0" w:space="0" w:color="auto"/>
      </w:divBdr>
    </w:div>
    <w:div w:id="1283612209">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295331803">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0747139">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0883855">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6423939">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15337872">
      <w:bodyDiv w:val="1"/>
      <w:marLeft w:val="0"/>
      <w:marRight w:val="0"/>
      <w:marTop w:val="0"/>
      <w:marBottom w:val="0"/>
      <w:divBdr>
        <w:top w:val="none" w:sz="0" w:space="0" w:color="auto"/>
        <w:left w:val="none" w:sz="0" w:space="0" w:color="auto"/>
        <w:bottom w:val="none" w:sz="0" w:space="0" w:color="auto"/>
        <w:right w:val="none" w:sz="0" w:space="0" w:color="auto"/>
      </w:divBdr>
    </w:div>
    <w:div w:id="1518621356">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116878">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0135161">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41636746">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8548673">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44122668">
      <w:bodyDiv w:val="1"/>
      <w:marLeft w:val="0"/>
      <w:marRight w:val="0"/>
      <w:marTop w:val="0"/>
      <w:marBottom w:val="0"/>
      <w:divBdr>
        <w:top w:val="none" w:sz="0" w:space="0" w:color="auto"/>
        <w:left w:val="none" w:sz="0" w:space="0" w:color="auto"/>
        <w:bottom w:val="none" w:sz="0" w:space="0" w:color="auto"/>
        <w:right w:val="none" w:sz="0" w:space="0" w:color="auto"/>
      </w:divBdr>
      <w:divsChild>
        <w:div w:id="1705254473">
          <w:marLeft w:val="0"/>
          <w:marRight w:val="0"/>
          <w:marTop w:val="0"/>
          <w:marBottom w:val="0"/>
          <w:divBdr>
            <w:top w:val="none" w:sz="0" w:space="0" w:color="auto"/>
            <w:left w:val="none" w:sz="0" w:space="0" w:color="auto"/>
            <w:bottom w:val="none" w:sz="0" w:space="0" w:color="auto"/>
            <w:right w:val="none" w:sz="0" w:space="0" w:color="auto"/>
          </w:divBdr>
          <w:divsChild>
            <w:div w:id="1649552183">
              <w:marLeft w:val="0"/>
              <w:marRight w:val="0"/>
              <w:marTop w:val="0"/>
              <w:marBottom w:val="0"/>
              <w:divBdr>
                <w:top w:val="none" w:sz="0" w:space="0" w:color="auto"/>
                <w:left w:val="none" w:sz="0" w:space="0" w:color="auto"/>
                <w:bottom w:val="none" w:sz="0" w:space="0" w:color="auto"/>
                <w:right w:val="none" w:sz="0" w:space="0" w:color="auto"/>
              </w:divBdr>
              <w:divsChild>
                <w:div w:id="521674303">
                  <w:marLeft w:val="0"/>
                  <w:marRight w:val="0"/>
                  <w:marTop w:val="0"/>
                  <w:marBottom w:val="0"/>
                  <w:divBdr>
                    <w:top w:val="none" w:sz="0" w:space="0" w:color="auto"/>
                    <w:left w:val="none" w:sz="0" w:space="0" w:color="auto"/>
                    <w:bottom w:val="none" w:sz="0" w:space="0" w:color="auto"/>
                    <w:right w:val="none" w:sz="0" w:space="0" w:color="auto"/>
                  </w:divBdr>
                  <w:divsChild>
                    <w:div w:id="273094915">
                      <w:marLeft w:val="0"/>
                      <w:marRight w:val="0"/>
                      <w:marTop w:val="0"/>
                      <w:marBottom w:val="0"/>
                      <w:divBdr>
                        <w:top w:val="none" w:sz="0" w:space="0" w:color="auto"/>
                        <w:left w:val="none" w:sz="0" w:space="0" w:color="auto"/>
                        <w:bottom w:val="none" w:sz="0" w:space="0" w:color="auto"/>
                        <w:right w:val="none" w:sz="0" w:space="0" w:color="auto"/>
                      </w:divBdr>
                      <w:divsChild>
                        <w:div w:id="1248031295">
                          <w:marLeft w:val="0"/>
                          <w:marRight w:val="0"/>
                          <w:marTop w:val="0"/>
                          <w:marBottom w:val="0"/>
                          <w:divBdr>
                            <w:top w:val="none" w:sz="0" w:space="0" w:color="auto"/>
                            <w:left w:val="none" w:sz="0" w:space="0" w:color="auto"/>
                            <w:bottom w:val="none" w:sz="0" w:space="0" w:color="auto"/>
                            <w:right w:val="none" w:sz="0" w:space="0" w:color="auto"/>
                          </w:divBdr>
                          <w:divsChild>
                            <w:div w:id="2085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46777">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7889075">
      <w:bodyDiv w:val="1"/>
      <w:marLeft w:val="0"/>
      <w:marRight w:val="0"/>
      <w:marTop w:val="0"/>
      <w:marBottom w:val="0"/>
      <w:divBdr>
        <w:top w:val="none" w:sz="0" w:space="0" w:color="auto"/>
        <w:left w:val="none" w:sz="0" w:space="0" w:color="auto"/>
        <w:bottom w:val="none" w:sz="0" w:space="0" w:color="auto"/>
        <w:right w:val="none" w:sz="0" w:space="0" w:color="auto"/>
      </w:divBdr>
    </w:div>
    <w:div w:id="1885673059">
      <w:bodyDiv w:val="1"/>
      <w:marLeft w:val="0"/>
      <w:marRight w:val="0"/>
      <w:marTop w:val="0"/>
      <w:marBottom w:val="0"/>
      <w:divBdr>
        <w:top w:val="none" w:sz="0" w:space="0" w:color="auto"/>
        <w:left w:val="none" w:sz="0" w:space="0" w:color="auto"/>
        <w:bottom w:val="none" w:sz="0" w:space="0" w:color="auto"/>
        <w:right w:val="none" w:sz="0" w:space="0" w:color="auto"/>
      </w:divBdr>
      <w:divsChild>
        <w:div w:id="99378209">
          <w:marLeft w:val="0"/>
          <w:marRight w:val="0"/>
          <w:marTop w:val="0"/>
          <w:marBottom w:val="0"/>
          <w:divBdr>
            <w:top w:val="none" w:sz="0" w:space="0" w:color="auto"/>
            <w:left w:val="none" w:sz="0" w:space="0" w:color="auto"/>
            <w:bottom w:val="none" w:sz="0" w:space="0" w:color="auto"/>
            <w:right w:val="none" w:sz="0" w:space="0" w:color="auto"/>
          </w:divBdr>
          <w:divsChild>
            <w:div w:id="129054095">
              <w:marLeft w:val="0"/>
              <w:marRight w:val="0"/>
              <w:marTop w:val="0"/>
              <w:marBottom w:val="0"/>
              <w:divBdr>
                <w:top w:val="none" w:sz="0" w:space="0" w:color="auto"/>
                <w:left w:val="none" w:sz="0" w:space="0" w:color="auto"/>
                <w:bottom w:val="none" w:sz="0" w:space="0" w:color="auto"/>
                <w:right w:val="none" w:sz="0" w:space="0" w:color="auto"/>
              </w:divBdr>
            </w:div>
            <w:div w:id="197662814">
              <w:marLeft w:val="0"/>
              <w:marRight w:val="0"/>
              <w:marTop w:val="0"/>
              <w:marBottom w:val="0"/>
              <w:divBdr>
                <w:top w:val="none" w:sz="0" w:space="0" w:color="auto"/>
                <w:left w:val="none" w:sz="0" w:space="0" w:color="auto"/>
                <w:bottom w:val="none" w:sz="0" w:space="0" w:color="auto"/>
                <w:right w:val="none" w:sz="0" w:space="0" w:color="auto"/>
              </w:divBdr>
            </w:div>
            <w:div w:id="397214680">
              <w:marLeft w:val="0"/>
              <w:marRight w:val="0"/>
              <w:marTop w:val="0"/>
              <w:marBottom w:val="0"/>
              <w:divBdr>
                <w:top w:val="none" w:sz="0" w:space="0" w:color="auto"/>
                <w:left w:val="none" w:sz="0" w:space="0" w:color="auto"/>
                <w:bottom w:val="none" w:sz="0" w:space="0" w:color="auto"/>
                <w:right w:val="none" w:sz="0" w:space="0" w:color="auto"/>
              </w:divBdr>
            </w:div>
            <w:div w:id="820119998">
              <w:marLeft w:val="0"/>
              <w:marRight w:val="0"/>
              <w:marTop w:val="0"/>
              <w:marBottom w:val="0"/>
              <w:divBdr>
                <w:top w:val="none" w:sz="0" w:space="0" w:color="auto"/>
                <w:left w:val="none" w:sz="0" w:space="0" w:color="auto"/>
                <w:bottom w:val="none" w:sz="0" w:space="0" w:color="auto"/>
                <w:right w:val="none" w:sz="0" w:space="0" w:color="auto"/>
              </w:divBdr>
            </w:div>
            <w:div w:id="942028916">
              <w:marLeft w:val="0"/>
              <w:marRight w:val="0"/>
              <w:marTop w:val="0"/>
              <w:marBottom w:val="0"/>
              <w:divBdr>
                <w:top w:val="none" w:sz="0" w:space="0" w:color="auto"/>
                <w:left w:val="none" w:sz="0" w:space="0" w:color="auto"/>
                <w:bottom w:val="none" w:sz="0" w:space="0" w:color="auto"/>
                <w:right w:val="none" w:sz="0" w:space="0" w:color="auto"/>
              </w:divBdr>
            </w:div>
            <w:div w:id="1009989971">
              <w:marLeft w:val="0"/>
              <w:marRight w:val="0"/>
              <w:marTop w:val="0"/>
              <w:marBottom w:val="0"/>
              <w:divBdr>
                <w:top w:val="none" w:sz="0" w:space="0" w:color="auto"/>
                <w:left w:val="none" w:sz="0" w:space="0" w:color="auto"/>
                <w:bottom w:val="none" w:sz="0" w:space="0" w:color="auto"/>
                <w:right w:val="none" w:sz="0" w:space="0" w:color="auto"/>
              </w:divBdr>
            </w:div>
            <w:div w:id="1766149255">
              <w:marLeft w:val="0"/>
              <w:marRight w:val="0"/>
              <w:marTop w:val="0"/>
              <w:marBottom w:val="0"/>
              <w:divBdr>
                <w:top w:val="none" w:sz="0" w:space="0" w:color="auto"/>
                <w:left w:val="none" w:sz="0" w:space="0" w:color="auto"/>
                <w:bottom w:val="none" w:sz="0" w:space="0" w:color="auto"/>
                <w:right w:val="none" w:sz="0" w:space="0" w:color="auto"/>
              </w:divBdr>
            </w:div>
            <w:div w:id="1935507455">
              <w:marLeft w:val="0"/>
              <w:marRight w:val="0"/>
              <w:marTop w:val="0"/>
              <w:marBottom w:val="0"/>
              <w:divBdr>
                <w:top w:val="none" w:sz="0" w:space="0" w:color="auto"/>
                <w:left w:val="none" w:sz="0" w:space="0" w:color="auto"/>
                <w:bottom w:val="none" w:sz="0" w:space="0" w:color="auto"/>
                <w:right w:val="none" w:sz="0" w:space="0" w:color="auto"/>
              </w:divBdr>
            </w:div>
          </w:divsChild>
        </w:div>
        <w:div w:id="186870615">
          <w:marLeft w:val="0"/>
          <w:marRight w:val="0"/>
          <w:marTop w:val="0"/>
          <w:marBottom w:val="0"/>
          <w:divBdr>
            <w:top w:val="none" w:sz="0" w:space="0" w:color="auto"/>
            <w:left w:val="none" w:sz="0" w:space="0" w:color="auto"/>
            <w:bottom w:val="none" w:sz="0" w:space="0" w:color="auto"/>
            <w:right w:val="none" w:sz="0" w:space="0" w:color="auto"/>
          </w:divBdr>
          <w:divsChild>
            <w:div w:id="12268339">
              <w:marLeft w:val="0"/>
              <w:marRight w:val="0"/>
              <w:marTop w:val="0"/>
              <w:marBottom w:val="0"/>
              <w:divBdr>
                <w:top w:val="none" w:sz="0" w:space="0" w:color="auto"/>
                <w:left w:val="none" w:sz="0" w:space="0" w:color="auto"/>
                <w:bottom w:val="none" w:sz="0" w:space="0" w:color="auto"/>
                <w:right w:val="none" w:sz="0" w:space="0" w:color="auto"/>
              </w:divBdr>
            </w:div>
            <w:div w:id="44909977">
              <w:marLeft w:val="0"/>
              <w:marRight w:val="0"/>
              <w:marTop w:val="0"/>
              <w:marBottom w:val="0"/>
              <w:divBdr>
                <w:top w:val="none" w:sz="0" w:space="0" w:color="auto"/>
                <w:left w:val="none" w:sz="0" w:space="0" w:color="auto"/>
                <w:bottom w:val="none" w:sz="0" w:space="0" w:color="auto"/>
                <w:right w:val="none" w:sz="0" w:space="0" w:color="auto"/>
              </w:divBdr>
            </w:div>
            <w:div w:id="119611374">
              <w:marLeft w:val="0"/>
              <w:marRight w:val="0"/>
              <w:marTop w:val="0"/>
              <w:marBottom w:val="0"/>
              <w:divBdr>
                <w:top w:val="none" w:sz="0" w:space="0" w:color="auto"/>
                <w:left w:val="none" w:sz="0" w:space="0" w:color="auto"/>
                <w:bottom w:val="none" w:sz="0" w:space="0" w:color="auto"/>
                <w:right w:val="none" w:sz="0" w:space="0" w:color="auto"/>
              </w:divBdr>
            </w:div>
            <w:div w:id="137576741">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
            <w:div w:id="677730424">
              <w:marLeft w:val="0"/>
              <w:marRight w:val="0"/>
              <w:marTop w:val="0"/>
              <w:marBottom w:val="0"/>
              <w:divBdr>
                <w:top w:val="none" w:sz="0" w:space="0" w:color="auto"/>
                <w:left w:val="none" w:sz="0" w:space="0" w:color="auto"/>
                <w:bottom w:val="none" w:sz="0" w:space="0" w:color="auto"/>
                <w:right w:val="none" w:sz="0" w:space="0" w:color="auto"/>
              </w:divBdr>
            </w:div>
            <w:div w:id="843206038">
              <w:marLeft w:val="0"/>
              <w:marRight w:val="0"/>
              <w:marTop w:val="0"/>
              <w:marBottom w:val="0"/>
              <w:divBdr>
                <w:top w:val="none" w:sz="0" w:space="0" w:color="auto"/>
                <w:left w:val="none" w:sz="0" w:space="0" w:color="auto"/>
                <w:bottom w:val="none" w:sz="0" w:space="0" w:color="auto"/>
                <w:right w:val="none" w:sz="0" w:space="0" w:color="auto"/>
              </w:divBdr>
            </w:div>
            <w:div w:id="999697238">
              <w:marLeft w:val="0"/>
              <w:marRight w:val="0"/>
              <w:marTop w:val="0"/>
              <w:marBottom w:val="0"/>
              <w:divBdr>
                <w:top w:val="none" w:sz="0" w:space="0" w:color="auto"/>
                <w:left w:val="none" w:sz="0" w:space="0" w:color="auto"/>
                <w:bottom w:val="none" w:sz="0" w:space="0" w:color="auto"/>
                <w:right w:val="none" w:sz="0" w:space="0" w:color="auto"/>
              </w:divBdr>
            </w:div>
            <w:div w:id="1049842045">
              <w:marLeft w:val="0"/>
              <w:marRight w:val="0"/>
              <w:marTop w:val="0"/>
              <w:marBottom w:val="0"/>
              <w:divBdr>
                <w:top w:val="none" w:sz="0" w:space="0" w:color="auto"/>
                <w:left w:val="none" w:sz="0" w:space="0" w:color="auto"/>
                <w:bottom w:val="none" w:sz="0" w:space="0" w:color="auto"/>
                <w:right w:val="none" w:sz="0" w:space="0" w:color="auto"/>
              </w:divBdr>
            </w:div>
            <w:div w:id="1058437870">
              <w:marLeft w:val="0"/>
              <w:marRight w:val="0"/>
              <w:marTop w:val="0"/>
              <w:marBottom w:val="0"/>
              <w:divBdr>
                <w:top w:val="none" w:sz="0" w:space="0" w:color="auto"/>
                <w:left w:val="none" w:sz="0" w:space="0" w:color="auto"/>
                <w:bottom w:val="none" w:sz="0" w:space="0" w:color="auto"/>
                <w:right w:val="none" w:sz="0" w:space="0" w:color="auto"/>
              </w:divBdr>
            </w:div>
            <w:div w:id="1198854491">
              <w:marLeft w:val="0"/>
              <w:marRight w:val="0"/>
              <w:marTop w:val="0"/>
              <w:marBottom w:val="0"/>
              <w:divBdr>
                <w:top w:val="none" w:sz="0" w:space="0" w:color="auto"/>
                <w:left w:val="none" w:sz="0" w:space="0" w:color="auto"/>
                <w:bottom w:val="none" w:sz="0" w:space="0" w:color="auto"/>
                <w:right w:val="none" w:sz="0" w:space="0" w:color="auto"/>
              </w:divBdr>
            </w:div>
            <w:div w:id="1409618980">
              <w:marLeft w:val="0"/>
              <w:marRight w:val="0"/>
              <w:marTop w:val="0"/>
              <w:marBottom w:val="0"/>
              <w:divBdr>
                <w:top w:val="none" w:sz="0" w:space="0" w:color="auto"/>
                <w:left w:val="none" w:sz="0" w:space="0" w:color="auto"/>
                <w:bottom w:val="none" w:sz="0" w:space="0" w:color="auto"/>
                <w:right w:val="none" w:sz="0" w:space="0" w:color="auto"/>
              </w:divBdr>
            </w:div>
            <w:div w:id="1445731799">
              <w:marLeft w:val="0"/>
              <w:marRight w:val="0"/>
              <w:marTop w:val="0"/>
              <w:marBottom w:val="0"/>
              <w:divBdr>
                <w:top w:val="none" w:sz="0" w:space="0" w:color="auto"/>
                <w:left w:val="none" w:sz="0" w:space="0" w:color="auto"/>
                <w:bottom w:val="none" w:sz="0" w:space="0" w:color="auto"/>
                <w:right w:val="none" w:sz="0" w:space="0" w:color="auto"/>
              </w:divBdr>
            </w:div>
            <w:div w:id="1588660004">
              <w:marLeft w:val="0"/>
              <w:marRight w:val="0"/>
              <w:marTop w:val="0"/>
              <w:marBottom w:val="0"/>
              <w:divBdr>
                <w:top w:val="none" w:sz="0" w:space="0" w:color="auto"/>
                <w:left w:val="none" w:sz="0" w:space="0" w:color="auto"/>
                <w:bottom w:val="none" w:sz="0" w:space="0" w:color="auto"/>
                <w:right w:val="none" w:sz="0" w:space="0" w:color="auto"/>
              </w:divBdr>
            </w:div>
            <w:div w:id="1730572279">
              <w:marLeft w:val="0"/>
              <w:marRight w:val="0"/>
              <w:marTop w:val="0"/>
              <w:marBottom w:val="0"/>
              <w:divBdr>
                <w:top w:val="none" w:sz="0" w:space="0" w:color="auto"/>
                <w:left w:val="none" w:sz="0" w:space="0" w:color="auto"/>
                <w:bottom w:val="none" w:sz="0" w:space="0" w:color="auto"/>
                <w:right w:val="none" w:sz="0" w:space="0" w:color="auto"/>
              </w:divBdr>
            </w:div>
            <w:div w:id="17638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01552465">
      <w:bodyDiv w:val="1"/>
      <w:marLeft w:val="0"/>
      <w:marRight w:val="0"/>
      <w:marTop w:val="0"/>
      <w:marBottom w:val="0"/>
      <w:divBdr>
        <w:top w:val="none" w:sz="0" w:space="0" w:color="auto"/>
        <w:left w:val="none" w:sz="0" w:space="0" w:color="auto"/>
        <w:bottom w:val="none" w:sz="0" w:space="0" w:color="auto"/>
        <w:right w:val="none" w:sz="0" w:space="0" w:color="auto"/>
      </w:divBdr>
    </w:div>
    <w:div w:id="1923950088">
      <w:bodyDiv w:val="1"/>
      <w:marLeft w:val="0"/>
      <w:marRight w:val="0"/>
      <w:marTop w:val="0"/>
      <w:marBottom w:val="0"/>
      <w:divBdr>
        <w:top w:val="none" w:sz="0" w:space="0" w:color="auto"/>
        <w:left w:val="none" w:sz="0" w:space="0" w:color="auto"/>
        <w:bottom w:val="none" w:sz="0" w:space="0" w:color="auto"/>
        <w:right w:val="none" w:sz="0" w:space="0" w:color="auto"/>
      </w:divBdr>
    </w:div>
    <w:div w:id="1931891704">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9143054">
      <w:bodyDiv w:val="1"/>
      <w:marLeft w:val="0"/>
      <w:marRight w:val="0"/>
      <w:marTop w:val="0"/>
      <w:marBottom w:val="0"/>
      <w:divBdr>
        <w:top w:val="none" w:sz="0" w:space="0" w:color="auto"/>
        <w:left w:val="none" w:sz="0" w:space="0" w:color="auto"/>
        <w:bottom w:val="none" w:sz="0" w:space="0" w:color="auto"/>
        <w:right w:val="none" w:sz="0" w:space="0" w:color="auto"/>
      </w:divBdr>
    </w:div>
    <w:div w:id="1988708962">
      <w:bodyDiv w:val="1"/>
      <w:marLeft w:val="0"/>
      <w:marRight w:val="0"/>
      <w:marTop w:val="0"/>
      <w:marBottom w:val="0"/>
      <w:divBdr>
        <w:top w:val="none" w:sz="0" w:space="0" w:color="auto"/>
        <w:left w:val="none" w:sz="0" w:space="0" w:color="auto"/>
        <w:bottom w:val="none" w:sz="0" w:space="0" w:color="auto"/>
        <w:right w:val="none" w:sz="0" w:space="0" w:color="auto"/>
      </w:divBdr>
    </w:div>
    <w:div w:id="2001543996">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1080954">
      <w:bodyDiv w:val="1"/>
      <w:marLeft w:val="0"/>
      <w:marRight w:val="0"/>
      <w:marTop w:val="0"/>
      <w:marBottom w:val="0"/>
      <w:divBdr>
        <w:top w:val="none" w:sz="0" w:space="0" w:color="auto"/>
        <w:left w:val="none" w:sz="0" w:space="0" w:color="auto"/>
        <w:bottom w:val="none" w:sz="0" w:space="0" w:color="auto"/>
        <w:right w:val="none" w:sz="0" w:space="0" w:color="auto"/>
      </w:divBdr>
    </w:div>
    <w:div w:id="2049379751">
      <w:bodyDiv w:val="1"/>
      <w:marLeft w:val="0"/>
      <w:marRight w:val="0"/>
      <w:marTop w:val="0"/>
      <w:marBottom w:val="0"/>
      <w:divBdr>
        <w:top w:val="none" w:sz="0" w:space="0" w:color="auto"/>
        <w:left w:val="none" w:sz="0" w:space="0" w:color="auto"/>
        <w:bottom w:val="none" w:sz="0" w:space="0" w:color="auto"/>
        <w:right w:val="none" w:sz="0" w:space="0" w:color="auto"/>
      </w:divBdr>
    </w:div>
    <w:div w:id="20675585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97745374">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hyperlink" Target="http://msac.gov.au/internet/msac/publishing.nsf/Content/Hom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sac.gov.au/internet/msac/publishing.nsf/Content/1593-publi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3780533/" TargetMode="External"/><Relationship Id="rId3" Type="http://schemas.openxmlformats.org/officeDocument/2006/relationships/hyperlink" Target="https://www.racgp.org.au/afp/2012/april/shoulder-injuries" TargetMode="External"/><Relationship Id="rId7" Type="http://schemas.openxmlformats.org/officeDocument/2006/relationships/hyperlink" Target="https://www.jshoulderelbow.org/article/S1058-2746(20)30036-7/abstract" TargetMode="External"/><Relationship Id="rId2" Type="http://schemas.openxmlformats.org/officeDocument/2006/relationships/hyperlink" Target="https://www.racgp.org.au/afp/authorslist/b/shane-brun" TargetMode="External"/><Relationship Id="rId1" Type="http://schemas.openxmlformats.org/officeDocument/2006/relationships/hyperlink" Target="https://www.arcstudy.org/" TargetMode="External"/><Relationship Id="rId6" Type="http://schemas.openxmlformats.org/officeDocument/2006/relationships/hyperlink" Target="https://www.sciencedirect.com/science/article/pii/S2468781223001595" TargetMode="External"/><Relationship Id="rId5" Type="http://schemas.openxmlformats.org/officeDocument/2006/relationships/hyperlink" Target="https://www.cochranelibrary.com/cdsr/doi/10.1002/14651858.CD013502/full?highlightAbstract=rotat%7Crepair%7Ccuff%7Crotator" TargetMode="External"/><Relationship Id="rId4" Type="http://schemas.openxmlformats.org/officeDocument/2006/relationships/hyperlink" Target="https://rcs.med.unsw.edu.au/sites/default/files/rcs/page/RotatorCuffSyndrome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Metadata/LabelInfo.xml><?xml version="1.0" encoding="utf-8"?>
<clbl:labelList xmlns:clbl="http://schemas.microsoft.com/office/2020/mipLabelMetadata">
  <clbl:label id="{273106dc-2878-42eb-b7c8-069dcf334687}" enabled="0" method="" siteId="{273106dc-2878-42eb-b7c8-069dcf33468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24701</Words>
  <Characters>140802</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165173</CharactersWithSpaces>
  <SharedDoc>false</SharedDoc>
  <HyperlinkBase/>
  <HLinks>
    <vt:vector size="84" baseType="variant">
      <vt:variant>
        <vt:i4>6684716</vt:i4>
      </vt:variant>
      <vt:variant>
        <vt:i4>183</vt:i4>
      </vt:variant>
      <vt:variant>
        <vt:i4>0</vt:i4>
      </vt:variant>
      <vt:variant>
        <vt:i4>5</vt:i4>
      </vt:variant>
      <vt:variant>
        <vt:lpwstr>http://msac.gov.au/internet/msac/publishing.nsf/Content/Home-1</vt:lpwstr>
      </vt:variant>
      <vt:variant>
        <vt:lpwstr/>
      </vt:variant>
      <vt:variant>
        <vt:i4>2097249</vt:i4>
      </vt:variant>
      <vt:variant>
        <vt:i4>177</vt:i4>
      </vt:variant>
      <vt:variant>
        <vt:i4>0</vt:i4>
      </vt:variant>
      <vt:variant>
        <vt:i4>5</vt:i4>
      </vt:variant>
      <vt:variant>
        <vt:lpwstr>http://www.msac.gov.au/internet/msac/publishing.nsf/Content/1593-public</vt:lpwstr>
      </vt:variant>
      <vt:variant>
        <vt:lpwstr/>
      </vt:variant>
      <vt:variant>
        <vt:i4>3997744</vt:i4>
      </vt:variant>
      <vt:variant>
        <vt:i4>0</vt:i4>
      </vt:variant>
      <vt:variant>
        <vt:i4>0</vt:i4>
      </vt:variant>
      <vt:variant>
        <vt:i4>5</vt:i4>
      </vt:variant>
      <vt:variant>
        <vt:lpwstr>http://www.msac.gov.au/</vt:lpwstr>
      </vt:variant>
      <vt:variant>
        <vt:lpwstr/>
      </vt:variant>
      <vt:variant>
        <vt:i4>458753</vt:i4>
      </vt:variant>
      <vt:variant>
        <vt:i4>21</vt:i4>
      </vt:variant>
      <vt:variant>
        <vt:i4>0</vt:i4>
      </vt:variant>
      <vt:variant>
        <vt:i4>5</vt:i4>
      </vt:variant>
      <vt:variant>
        <vt:lpwstr>https://pubmed.ncbi.nlm.nih.gov/23780533/</vt:lpwstr>
      </vt:variant>
      <vt:variant>
        <vt:lpwstr/>
      </vt:variant>
      <vt:variant>
        <vt:i4>5374028</vt:i4>
      </vt:variant>
      <vt:variant>
        <vt:i4>18</vt:i4>
      </vt:variant>
      <vt:variant>
        <vt:i4>0</vt:i4>
      </vt:variant>
      <vt:variant>
        <vt:i4>5</vt:i4>
      </vt:variant>
      <vt:variant>
        <vt:lpwstr>https://www.jshoulderelbow.org/article/S1058-2746(20)30036-7/abstract</vt:lpwstr>
      </vt:variant>
      <vt:variant>
        <vt:lpwstr/>
      </vt:variant>
      <vt:variant>
        <vt:i4>6946943</vt:i4>
      </vt:variant>
      <vt:variant>
        <vt:i4>15</vt:i4>
      </vt:variant>
      <vt:variant>
        <vt:i4>0</vt:i4>
      </vt:variant>
      <vt:variant>
        <vt:i4>5</vt:i4>
      </vt:variant>
      <vt:variant>
        <vt:lpwstr>https://www.sciencedirect.com/science/article/pii/S2468781223001595</vt:lpwstr>
      </vt:variant>
      <vt:variant>
        <vt:lpwstr/>
      </vt:variant>
      <vt:variant>
        <vt:i4>1376271</vt:i4>
      </vt:variant>
      <vt:variant>
        <vt:i4>12</vt:i4>
      </vt:variant>
      <vt:variant>
        <vt:i4>0</vt:i4>
      </vt:variant>
      <vt:variant>
        <vt:i4>5</vt:i4>
      </vt:variant>
      <vt:variant>
        <vt:lpwstr>https://www.cochranelibrary.com/cdsr/doi/10.1002/14651858.CD013502/full?highlightAbstract=rotat%7Crepair%7Ccuff%7Crotator</vt:lpwstr>
      </vt:variant>
      <vt:variant>
        <vt:lpwstr/>
      </vt:variant>
      <vt:variant>
        <vt:i4>2949155</vt:i4>
      </vt:variant>
      <vt:variant>
        <vt:i4>9</vt:i4>
      </vt:variant>
      <vt:variant>
        <vt:i4>0</vt:i4>
      </vt:variant>
      <vt:variant>
        <vt:i4>5</vt:i4>
      </vt:variant>
      <vt:variant>
        <vt:lpwstr>https://rcs.med.unsw.edu.au/sites/default/files/rcs/page/RotatorCuffSyndromeGuidelines.pdf</vt:lpwstr>
      </vt:variant>
      <vt:variant>
        <vt:lpwstr/>
      </vt:variant>
      <vt:variant>
        <vt:i4>6094873</vt:i4>
      </vt:variant>
      <vt:variant>
        <vt:i4>6</vt:i4>
      </vt:variant>
      <vt:variant>
        <vt:i4>0</vt:i4>
      </vt:variant>
      <vt:variant>
        <vt:i4>5</vt:i4>
      </vt:variant>
      <vt:variant>
        <vt:lpwstr>https://www.racgp.org.au/afp/2012/april/shoulder-injuries</vt:lpwstr>
      </vt:variant>
      <vt:variant>
        <vt:lpwstr/>
      </vt:variant>
      <vt:variant>
        <vt:i4>5111815</vt:i4>
      </vt:variant>
      <vt:variant>
        <vt:i4>3</vt:i4>
      </vt:variant>
      <vt:variant>
        <vt:i4>0</vt:i4>
      </vt:variant>
      <vt:variant>
        <vt:i4>5</vt:i4>
      </vt:variant>
      <vt:variant>
        <vt:lpwstr>https://www.racgp.org.au/afp/authorslist/b/shane-brun</vt:lpwstr>
      </vt:variant>
      <vt:variant>
        <vt:lpwstr/>
      </vt:variant>
      <vt:variant>
        <vt:i4>5046286</vt:i4>
      </vt:variant>
      <vt:variant>
        <vt:i4>0</vt:i4>
      </vt:variant>
      <vt:variant>
        <vt:i4>0</vt:i4>
      </vt:variant>
      <vt:variant>
        <vt:i4>5</vt:i4>
      </vt:variant>
      <vt:variant>
        <vt:lpwstr>https://www.arcstudy.org/</vt:lpwstr>
      </vt:variant>
      <vt:variant>
        <vt:lpwstr/>
      </vt:variant>
      <vt:variant>
        <vt:i4>6291524</vt:i4>
      </vt:variant>
      <vt:variant>
        <vt:i4>6</vt:i4>
      </vt:variant>
      <vt:variant>
        <vt:i4>0</vt:i4>
      </vt:variant>
      <vt:variant>
        <vt:i4>5</vt:i4>
      </vt:variant>
      <vt:variant>
        <vt:lpwstr>mailto:Robbie.James@health.gov.au</vt:lpwstr>
      </vt:variant>
      <vt:variant>
        <vt:lpwstr/>
      </vt:variant>
      <vt:variant>
        <vt:i4>6291524</vt:i4>
      </vt:variant>
      <vt:variant>
        <vt:i4>3</vt:i4>
      </vt:variant>
      <vt:variant>
        <vt:i4>0</vt:i4>
      </vt:variant>
      <vt:variant>
        <vt:i4>5</vt:i4>
      </vt:variant>
      <vt:variant>
        <vt:lpwstr>mailto:Robbie.James@health.gov.au</vt:lpwstr>
      </vt:variant>
      <vt:variant>
        <vt:lpwstr/>
      </vt:variant>
      <vt:variant>
        <vt:i4>6291524</vt:i4>
      </vt:variant>
      <vt:variant>
        <vt:i4>0</vt:i4>
      </vt:variant>
      <vt:variant>
        <vt:i4>0</vt:i4>
      </vt:variant>
      <vt:variant>
        <vt:i4>5</vt:i4>
      </vt:variant>
      <vt:variant>
        <vt:lpwstr>mailto:Robbie.James@health.gov.au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2024-12-01T21:51:00Z</dcterms:created>
  <dcterms:modified xsi:type="dcterms:W3CDTF">2024-12-01T21:51:00Z</dcterms:modified>
  <cp:category/>
</cp:coreProperties>
</file>