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ECF06" w14:textId="77777777" w:rsidR="00203469" w:rsidRDefault="00203469" w:rsidP="00E029CD">
      <w:pPr>
        <w:jc w:val="center"/>
        <w:rPr>
          <w:rFonts w:ascii="Arial" w:hAnsi="Arial" w:cs="Arial"/>
          <w:b/>
          <w:bCs/>
          <w:sz w:val="52"/>
          <w:szCs w:val="52"/>
        </w:rPr>
      </w:pPr>
      <w:bookmarkStart w:id="0" w:name="_Hlk175329323"/>
    </w:p>
    <w:p w14:paraId="791B329C" w14:textId="77777777" w:rsidR="00203469" w:rsidRDefault="00203469" w:rsidP="00E029CD">
      <w:pPr>
        <w:jc w:val="center"/>
        <w:rPr>
          <w:rFonts w:ascii="Arial" w:hAnsi="Arial" w:cs="Arial"/>
          <w:b/>
          <w:bCs/>
          <w:sz w:val="52"/>
          <w:szCs w:val="52"/>
        </w:rPr>
      </w:pPr>
    </w:p>
    <w:p w14:paraId="541D99D0" w14:textId="77777777" w:rsidR="00203469" w:rsidRDefault="00203469" w:rsidP="00E029CD">
      <w:pPr>
        <w:jc w:val="center"/>
        <w:rPr>
          <w:rFonts w:ascii="Arial" w:hAnsi="Arial" w:cs="Arial"/>
          <w:b/>
          <w:bCs/>
          <w:sz w:val="52"/>
          <w:szCs w:val="52"/>
        </w:rPr>
      </w:pPr>
    </w:p>
    <w:p w14:paraId="11183B6D" w14:textId="77777777" w:rsidR="00203469" w:rsidRDefault="00203469" w:rsidP="00E029CD">
      <w:pPr>
        <w:jc w:val="center"/>
        <w:rPr>
          <w:rFonts w:ascii="Arial" w:hAnsi="Arial" w:cs="Arial"/>
          <w:b/>
          <w:bCs/>
          <w:sz w:val="52"/>
          <w:szCs w:val="52"/>
        </w:rPr>
      </w:pPr>
    </w:p>
    <w:p w14:paraId="36623C23" w14:textId="2D645E3D" w:rsidR="00E029CD" w:rsidRDefault="00E029CD" w:rsidP="00E029CD">
      <w:pPr>
        <w:jc w:val="center"/>
        <w:rPr>
          <w:rFonts w:ascii="Arial" w:hAnsi="Arial" w:cs="Arial"/>
          <w:b/>
          <w:bCs/>
          <w:sz w:val="52"/>
          <w:szCs w:val="52"/>
        </w:rPr>
      </w:pPr>
      <w:r w:rsidRPr="00945FA7">
        <w:rPr>
          <w:rFonts w:ascii="Arial" w:hAnsi="Arial" w:cs="Arial"/>
          <w:b/>
          <w:bCs/>
          <w:sz w:val="52"/>
          <w:szCs w:val="52"/>
        </w:rPr>
        <w:t>MSAC Application 17</w:t>
      </w:r>
      <w:r w:rsidR="00203469">
        <w:rPr>
          <w:rFonts w:ascii="Arial" w:hAnsi="Arial" w:cs="Arial"/>
          <w:b/>
          <w:bCs/>
          <w:sz w:val="52"/>
          <w:szCs w:val="52"/>
        </w:rPr>
        <w:t>62</w:t>
      </w:r>
    </w:p>
    <w:p w14:paraId="71A9D7F7" w14:textId="77777777" w:rsidR="00E029CD" w:rsidRPr="00945FA7" w:rsidRDefault="00E029CD" w:rsidP="00E029CD">
      <w:pPr>
        <w:jc w:val="center"/>
        <w:rPr>
          <w:rFonts w:ascii="Arial" w:hAnsi="Arial" w:cs="Arial"/>
          <w:b/>
          <w:bCs/>
          <w:sz w:val="52"/>
          <w:szCs w:val="52"/>
        </w:rPr>
      </w:pPr>
    </w:p>
    <w:bookmarkEnd w:id="0"/>
    <w:p w14:paraId="14D21E72" w14:textId="4C41205C" w:rsidR="00F24B1A" w:rsidRDefault="00203469" w:rsidP="00203469">
      <w:pPr>
        <w:ind w:left="1418" w:right="1132"/>
        <w:jc w:val="center"/>
      </w:pPr>
      <w:r w:rsidRPr="00203469">
        <w:rPr>
          <w:rFonts w:ascii="Arial" w:eastAsia="Segoe UI" w:hAnsi="Arial" w:cs="Arial"/>
          <w:b/>
          <w:bCs/>
          <w:color w:val="0070C0"/>
          <w:sz w:val="48"/>
          <w:szCs w:val="48"/>
        </w:rPr>
        <w:t xml:space="preserve">Amendment to HER-2 MBS item to allow for trastuzumab </w:t>
      </w:r>
      <w:proofErr w:type="spellStart"/>
      <w:r w:rsidRPr="00203469">
        <w:rPr>
          <w:rFonts w:ascii="Arial" w:eastAsia="Segoe UI" w:hAnsi="Arial" w:cs="Arial"/>
          <w:b/>
          <w:bCs/>
          <w:color w:val="0070C0"/>
          <w:sz w:val="48"/>
          <w:szCs w:val="48"/>
        </w:rPr>
        <w:t>deruxtecan</w:t>
      </w:r>
      <w:proofErr w:type="spellEnd"/>
      <w:r w:rsidRPr="00203469">
        <w:rPr>
          <w:rFonts w:ascii="Arial" w:eastAsia="Segoe UI" w:hAnsi="Arial" w:cs="Arial"/>
          <w:b/>
          <w:bCs/>
          <w:color w:val="0070C0"/>
          <w:sz w:val="48"/>
          <w:szCs w:val="48"/>
        </w:rPr>
        <w:t xml:space="preserve"> for the treatment of patients with metastatic gastric or gastroesophageal junction adenocarcinoma </w:t>
      </w:r>
      <w:r w:rsidR="00F24B1A">
        <w:br w:type="page"/>
      </w:r>
    </w:p>
    <w:p w14:paraId="089CA0F2" w14:textId="01208031" w:rsidR="00203469" w:rsidRDefault="00203469" w:rsidP="00EB693B">
      <w:pPr>
        <w:pStyle w:val="Heading1"/>
      </w:pPr>
      <w:r w:rsidRPr="00EB693B">
        <w:lastRenderedPageBreak/>
        <w:t>Application</w:t>
      </w:r>
      <w:r>
        <w:t xml:space="preserve"> for MBS eligible service or health technology</w:t>
      </w:r>
    </w:p>
    <w:p w14:paraId="7BD7088D" w14:textId="77777777" w:rsidR="00203469" w:rsidRDefault="00203469" w:rsidP="00EB693B">
      <w:pPr>
        <w:pStyle w:val="Heading2"/>
      </w:pPr>
      <w:r w:rsidRPr="00EB693B">
        <w:t>Application</w:t>
      </w:r>
      <w:r>
        <w:t xml:space="preserve"> ID:</w:t>
      </w:r>
    </w:p>
    <w:p w14:paraId="0370029C" w14:textId="77777777" w:rsidR="00203469" w:rsidRDefault="00203469" w:rsidP="00203469">
      <w:pPr>
        <w:spacing w:after="0" w:line="240" w:lineRule="auto"/>
        <w:ind w:left="1098" w:right="1132"/>
      </w:pPr>
      <w:r>
        <w:rPr>
          <w:rFonts w:ascii="Segoe UI" w:eastAsia="Segoe UI" w:hAnsi="Segoe UI"/>
          <w:color w:val="000000"/>
          <w:sz w:val="22"/>
        </w:rPr>
        <w:t>HPP200038</w:t>
      </w:r>
    </w:p>
    <w:p w14:paraId="7B20D809" w14:textId="77777777" w:rsidR="00203469" w:rsidRDefault="00203469" w:rsidP="00EB693B">
      <w:pPr>
        <w:pStyle w:val="Heading2"/>
      </w:pPr>
      <w:r>
        <w:t>Application title:</w:t>
      </w:r>
    </w:p>
    <w:p w14:paraId="360CC868" w14:textId="77777777" w:rsidR="00203469" w:rsidRDefault="00203469" w:rsidP="00203469">
      <w:pPr>
        <w:spacing w:after="0" w:line="240" w:lineRule="auto"/>
        <w:ind w:left="1098" w:right="1132"/>
      </w:pPr>
      <w:r>
        <w:rPr>
          <w:rFonts w:ascii="Segoe UI" w:eastAsia="Segoe UI" w:hAnsi="Segoe UI"/>
          <w:color w:val="000000"/>
          <w:sz w:val="22"/>
        </w:rPr>
        <w:t xml:space="preserve">Amendment to HER-2 MBS item to allow for trastuzumab </w:t>
      </w:r>
      <w:proofErr w:type="spellStart"/>
      <w:r>
        <w:rPr>
          <w:rFonts w:ascii="Segoe UI" w:eastAsia="Segoe UI" w:hAnsi="Segoe UI"/>
          <w:color w:val="000000"/>
          <w:sz w:val="22"/>
        </w:rPr>
        <w:t>deruxtecan</w:t>
      </w:r>
      <w:proofErr w:type="spellEnd"/>
      <w:r>
        <w:rPr>
          <w:rFonts w:ascii="Segoe UI" w:eastAsia="Segoe UI" w:hAnsi="Segoe UI"/>
          <w:color w:val="000000"/>
          <w:sz w:val="22"/>
        </w:rPr>
        <w:t xml:space="preserve"> for the treatment of patients with metastatic gastric or gastroesophageal junction adenocarcinoma.</w:t>
      </w:r>
    </w:p>
    <w:p w14:paraId="2371106E" w14:textId="77777777" w:rsidR="00203469" w:rsidRDefault="00203469" w:rsidP="00EB693B">
      <w:pPr>
        <w:pStyle w:val="Heading2"/>
      </w:pPr>
      <w:r>
        <w:t xml:space="preserve">Submitting organisation: </w:t>
      </w:r>
    </w:p>
    <w:p w14:paraId="43900CD9" w14:textId="77777777" w:rsidR="00203469" w:rsidRDefault="00203469" w:rsidP="00203469">
      <w:pPr>
        <w:spacing w:after="0" w:line="240" w:lineRule="auto"/>
        <w:ind w:left="1098" w:right="1132"/>
      </w:pPr>
      <w:r>
        <w:rPr>
          <w:rFonts w:ascii="Segoe UI" w:eastAsia="Segoe UI" w:hAnsi="Segoe UI"/>
          <w:color w:val="000000"/>
          <w:sz w:val="22"/>
        </w:rPr>
        <w:t>ASTRAZENECA PTY LTD</w:t>
      </w:r>
    </w:p>
    <w:p w14:paraId="0849C637" w14:textId="77777777" w:rsidR="00203469" w:rsidRDefault="00203469" w:rsidP="00EB693B">
      <w:pPr>
        <w:pStyle w:val="Heading2"/>
      </w:pPr>
      <w:r>
        <w:t>Submitting organisation ABN:</w:t>
      </w:r>
    </w:p>
    <w:p w14:paraId="1145D63E" w14:textId="77777777" w:rsidR="00203469" w:rsidRDefault="00203469" w:rsidP="00203469">
      <w:pPr>
        <w:spacing w:after="0" w:line="240" w:lineRule="auto"/>
        <w:ind w:left="1098" w:right="1132"/>
      </w:pPr>
      <w:r>
        <w:rPr>
          <w:rFonts w:ascii="Segoe UI" w:eastAsia="Segoe UI" w:hAnsi="Segoe UI"/>
          <w:color w:val="000000"/>
          <w:sz w:val="22"/>
        </w:rPr>
        <w:t>54009682311</w:t>
      </w:r>
    </w:p>
    <w:p w14:paraId="3F38CD15" w14:textId="77777777" w:rsidR="00203469" w:rsidRDefault="00203469" w:rsidP="00203469">
      <w:pPr>
        <w:pStyle w:val="EmptyCellLayoutStyle"/>
        <w:tabs>
          <w:tab w:val="left" w:pos="315"/>
          <w:tab w:val="left" w:pos="10450"/>
        </w:tabs>
        <w:spacing w:after="0" w:line="240" w:lineRule="auto"/>
        <w:ind w:right="1132"/>
      </w:pPr>
      <w:r>
        <w:rPr>
          <w:sz w:val="20"/>
        </w:rPr>
        <w:tab/>
      </w:r>
    </w:p>
    <w:p w14:paraId="13E76D00" w14:textId="77777777" w:rsidR="00203469" w:rsidRDefault="00203469" w:rsidP="00203469">
      <w:pPr>
        <w:pStyle w:val="EmptyCellLayoutStyle"/>
        <w:tabs>
          <w:tab w:val="left" w:pos="315"/>
          <w:tab w:val="left" w:pos="321"/>
          <w:tab w:val="left" w:pos="10450"/>
        </w:tabs>
        <w:spacing w:after="0" w:line="240" w:lineRule="auto"/>
        <w:ind w:right="1132"/>
      </w:pPr>
      <w:r>
        <w:tab/>
      </w:r>
      <w:r>
        <w:tab/>
      </w:r>
      <w:r>
        <w:tab/>
      </w:r>
    </w:p>
    <w:p w14:paraId="304D4715" w14:textId="37654312" w:rsidR="00203469" w:rsidRDefault="00203469" w:rsidP="00EB693B">
      <w:pPr>
        <w:pStyle w:val="Heading1"/>
      </w:pPr>
      <w:r>
        <w:t>Application description</w:t>
      </w:r>
    </w:p>
    <w:p w14:paraId="1FACBF4E" w14:textId="77777777" w:rsidR="00203469" w:rsidRDefault="00203469" w:rsidP="00EB693B">
      <w:pPr>
        <w:pStyle w:val="Heading3"/>
      </w:pPr>
      <w:r>
        <w:t xml:space="preserve">Succinct </w:t>
      </w:r>
      <w:r w:rsidRPr="00EB693B">
        <w:t>description</w:t>
      </w:r>
      <w:r>
        <w:t xml:space="preserve"> of the medical condition/s:</w:t>
      </w:r>
    </w:p>
    <w:p w14:paraId="4133E289" w14:textId="77777777" w:rsidR="00203469" w:rsidRDefault="00203469" w:rsidP="00203469">
      <w:pPr>
        <w:spacing w:after="0" w:line="240" w:lineRule="auto"/>
        <w:ind w:left="1134" w:right="1132"/>
      </w:pPr>
      <w:r>
        <w:rPr>
          <w:rFonts w:ascii="Segoe UI" w:eastAsia="Segoe UI" w:hAnsi="Segoe UI"/>
          <w:color w:val="000000"/>
          <w:sz w:val="22"/>
        </w:rPr>
        <w:t xml:space="preserve">Gastric and GEJ adenocarcinomas are the fifth most common cancers and fourth leading cause of cancer deaths worldwide, affecting both men and women. There were approximately 1 million incident cases and more than 769 000 associated deaths in 2020. (Sung H 2020) In Australia, the estimated incidence of gastric cancer diagnosed in 2022 was 2,572 patients (1,661 males + 911 females) with an overall five-year survival rate (2014-2018) of 37%. (Cancer Australia, AIHW). Approximately one in five gastric and GEJ adenocarcinomas are HER2-positive: an aggressive subtype that correlates with poor outcomes. (Iqbal N, 2014, ACS 2020) </w:t>
      </w:r>
      <w:r>
        <w:rPr>
          <w:rFonts w:ascii="Segoe UI" w:eastAsia="Segoe UI" w:hAnsi="Segoe UI"/>
          <w:color w:val="000000"/>
          <w:sz w:val="22"/>
        </w:rPr>
        <w:br/>
        <w:t>HER2 expression is a prognostic biomarker that is routinely screened in Australian clinical practice in patients with metastatic gastric or GEJ adenocarcinoma to determine eligibility to trastuzumab (first line treatment). HER2 testing for access to trastuzumab in metastatic gastric cancer is currently funded on the MBS.</w:t>
      </w:r>
    </w:p>
    <w:p w14:paraId="7E867B61" w14:textId="77777777" w:rsidR="00203469" w:rsidRDefault="00203469" w:rsidP="00EB693B">
      <w:pPr>
        <w:pStyle w:val="Heading3"/>
      </w:pPr>
      <w:r>
        <w:t>Succinct description of the service or health technology:</w:t>
      </w:r>
    </w:p>
    <w:p w14:paraId="083841BC" w14:textId="77777777" w:rsidR="00203469" w:rsidRDefault="00203469" w:rsidP="00203469">
      <w:pPr>
        <w:spacing w:after="0" w:line="240" w:lineRule="auto"/>
        <w:ind w:left="1134" w:right="1132"/>
      </w:pPr>
      <w:r>
        <w:rPr>
          <w:rFonts w:ascii="Segoe UI" w:eastAsia="Segoe UI" w:hAnsi="Segoe UI"/>
          <w:color w:val="000000"/>
          <w:sz w:val="22"/>
        </w:rPr>
        <w:t xml:space="preserve">To establish the human epidermal growth factor receptor 2 (HER2) status in metastatic gastric cancer patients there are two existing MBS items (immunohistochemical [IHC]: 72868 and in situ hybridisation [ISH]: 73342). This application is seeking an amendment to Item 73342, which makes specific reference to trastuzumab, to ensure this is applicable to allow access to trastuzumab </w:t>
      </w:r>
      <w:proofErr w:type="spellStart"/>
      <w:r>
        <w:rPr>
          <w:rFonts w:ascii="Segoe UI" w:eastAsia="Segoe UI" w:hAnsi="Segoe UI"/>
          <w:color w:val="000000"/>
          <w:sz w:val="22"/>
        </w:rPr>
        <w:t>deruxtecan</w:t>
      </w:r>
      <w:proofErr w:type="spellEnd"/>
      <w:r>
        <w:rPr>
          <w:rFonts w:ascii="Segoe UI" w:eastAsia="Segoe UI" w:hAnsi="Segoe UI"/>
          <w:color w:val="000000"/>
          <w:sz w:val="22"/>
        </w:rPr>
        <w:t xml:space="preserve"> on the PBS.</w:t>
      </w:r>
    </w:p>
    <w:p w14:paraId="713E88C2" w14:textId="77777777" w:rsidR="00203469" w:rsidRDefault="00203469" w:rsidP="00203469">
      <w:pPr>
        <w:pStyle w:val="EmptyCellLayoutStyle"/>
        <w:tabs>
          <w:tab w:val="left" w:pos="315"/>
          <w:tab w:val="left" w:pos="321"/>
          <w:tab w:val="left" w:pos="10450"/>
        </w:tabs>
        <w:spacing w:after="0" w:line="240" w:lineRule="auto"/>
        <w:ind w:left="1134" w:right="1132"/>
      </w:pPr>
      <w:r>
        <w:rPr>
          <w:sz w:val="20"/>
        </w:rPr>
        <w:tab/>
      </w:r>
    </w:p>
    <w:p w14:paraId="071174EA" w14:textId="77777777" w:rsidR="00203469" w:rsidRDefault="00203469" w:rsidP="00203469">
      <w:pPr>
        <w:pStyle w:val="EmptyCellLayoutStyle"/>
        <w:tabs>
          <w:tab w:val="left" w:pos="315"/>
          <w:tab w:val="left" w:pos="321"/>
          <w:tab w:val="left" w:pos="10450"/>
        </w:tabs>
        <w:spacing w:after="0" w:line="240" w:lineRule="auto"/>
        <w:ind w:left="1134" w:right="1132"/>
      </w:pPr>
      <w:r>
        <w:tab/>
      </w:r>
      <w:r>
        <w:tab/>
      </w:r>
      <w:r>
        <w:tab/>
      </w:r>
    </w:p>
    <w:p w14:paraId="43BEE0FE" w14:textId="24372A7A" w:rsidR="00203469" w:rsidRDefault="00203469" w:rsidP="00203469">
      <w:pPr>
        <w:spacing w:before="240" w:line="240" w:lineRule="auto"/>
        <w:ind w:left="1134" w:right="1132"/>
      </w:pPr>
      <w:r>
        <w:rPr>
          <w:rFonts w:ascii="Segoe UI" w:eastAsia="Segoe UI" w:hAnsi="Segoe UI"/>
          <w:b/>
          <w:color w:val="000000"/>
          <w:sz w:val="32"/>
        </w:rPr>
        <w:t>Application contact details</w:t>
      </w:r>
    </w:p>
    <w:p w14:paraId="0CCA3BA8" w14:textId="77777777" w:rsidR="00203469" w:rsidRDefault="00203469" w:rsidP="00EB693B">
      <w:pPr>
        <w:pStyle w:val="Heading3"/>
      </w:pPr>
      <w:r>
        <w:t>Are you the applicant, or are you a consultant or lobbyist acting on behalf of the applicant?</w:t>
      </w:r>
    </w:p>
    <w:p w14:paraId="455F452B" w14:textId="77777777" w:rsidR="00203469" w:rsidRDefault="00203469" w:rsidP="00203469">
      <w:pPr>
        <w:spacing w:after="0" w:line="240" w:lineRule="auto"/>
        <w:ind w:left="1134" w:right="1132"/>
      </w:pPr>
      <w:r>
        <w:rPr>
          <w:rFonts w:ascii="Segoe UI" w:eastAsia="Segoe UI" w:hAnsi="Segoe UI"/>
          <w:color w:val="000000"/>
          <w:sz w:val="22"/>
        </w:rPr>
        <w:t>Applicant</w:t>
      </w:r>
    </w:p>
    <w:p w14:paraId="72ED51BE" w14:textId="77777777" w:rsidR="00203469" w:rsidRDefault="00203469" w:rsidP="00EB693B">
      <w:pPr>
        <w:pStyle w:val="Heading3"/>
      </w:pPr>
      <w:r>
        <w:t>Are you applying on behalf of an organisation, or as an individual?</w:t>
      </w:r>
    </w:p>
    <w:p w14:paraId="1565DF09" w14:textId="77777777" w:rsidR="00203469" w:rsidRDefault="00203469" w:rsidP="00203469">
      <w:pPr>
        <w:spacing w:after="0" w:line="240" w:lineRule="auto"/>
        <w:ind w:left="1134" w:right="1132"/>
      </w:pPr>
      <w:r>
        <w:rPr>
          <w:rFonts w:ascii="Segoe UI" w:eastAsia="Segoe UI" w:hAnsi="Segoe UI"/>
          <w:color w:val="000000"/>
          <w:sz w:val="22"/>
        </w:rPr>
        <w:t>Organisation</w:t>
      </w:r>
    </w:p>
    <w:p w14:paraId="002A1D3D" w14:textId="77777777" w:rsidR="00203469" w:rsidRDefault="00203469" w:rsidP="00EB693B">
      <w:pPr>
        <w:pStyle w:val="Heading3"/>
      </w:pPr>
      <w:r>
        <w:t>Is the applicant organisation the organisation you are representing in the HPP today?</w:t>
      </w:r>
    </w:p>
    <w:p w14:paraId="6AB04CC7" w14:textId="77777777" w:rsidR="00203469" w:rsidRDefault="00203469" w:rsidP="00203469">
      <w:pPr>
        <w:spacing w:after="0" w:line="240" w:lineRule="auto"/>
        <w:ind w:left="1134" w:right="1132"/>
      </w:pPr>
      <w:r>
        <w:rPr>
          <w:rFonts w:ascii="Segoe UI" w:eastAsia="Segoe UI" w:hAnsi="Segoe UI"/>
          <w:color w:val="000000"/>
          <w:sz w:val="22"/>
        </w:rPr>
        <w:t>Yes</w:t>
      </w:r>
    </w:p>
    <w:p w14:paraId="087E612A" w14:textId="77777777" w:rsidR="00203469" w:rsidRDefault="00203469">
      <w:pPr>
        <w:pStyle w:val="EmptyCellLayoutStyle"/>
        <w:tabs>
          <w:tab w:val="left" w:pos="315"/>
          <w:tab w:val="left" w:pos="321"/>
          <w:tab w:val="left" w:pos="10450"/>
        </w:tabs>
        <w:spacing w:after="0" w:line="240" w:lineRule="auto"/>
      </w:pPr>
      <w:r>
        <w:rPr>
          <w:sz w:val="20"/>
        </w:rPr>
        <w:tab/>
      </w:r>
    </w:p>
    <w:p w14:paraId="73623536" w14:textId="77777777" w:rsidR="00203469" w:rsidRDefault="00203469">
      <w:pPr>
        <w:pStyle w:val="EmptyCellLayoutStyle"/>
        <w:tabs>
          <w:tab w:val="left" w:pos="315"/>
          <w:tab w:val="left" w:pos="321"/>
          <w:tab w:val="left" w:pos="10450"/>
        </w:tabs>
        <w:spacing w:after="0" w:line="240" w:lineRule="auto"/>
      </w:pPr>
      <w:r>
        <w:tab/>
      </w:r>
      <w:r>
        <w:tab/>
      </w:r>
      <w:r>
        <w:tab/>
      </w:r>
    </w:p>
    <w:p w14:paraId="4D6232A4" w14:textId="77777777" w:rsidR="00684EBE" w:rsidRDefault="00EA7548">
      <w:pPr>
        <w:spacing w:after="0" w:line="240" w:lineRule="auto"/>
        <w:rPr>
          <w:sz w:val="0"/>
        </w:rPr>
      </w:pPr>
      <w:r>
        <w:br w:type="page"/>
      </w:r>
    </w:p>
    <w:p w14:paraId="304FAD64" w14:textId="7EDF25F7" w:rsidR="009544EE" w:rsidRDefault="009544EE" w:rsidP="00EB693B">
      <w:pPr>
        <w:pStyle w:val="Heading1"/>
      </w:pPr>
      <w:r>
        <w:lastRenderedPageBreak/>
        <w:t>Application details</w:t>
      </w:r>
    </w:p>
    <w:p w14:paraId="7BBBA8F2" w14:textId="77777777" w:rsidR="009544EE" w:rsidRDefault="009544EE" w:rsidP="00EB693B">
      <w:pPr>
        <w:pStyle w:val="Heading2"/>
      </w:pPr>
      <w:r>
        <w:t>Does the implementation of your service or health technology rely on a new listing on the Pharmaceutical Benefits Scheme (PBS) and/or the Prostheses List?</w:t>
      </w:r>
    </w:p>
    <w:p w14:paraId="694D4106" w14:textId="77777777" w:rsidR="009544EE" w:rsidRDefault="009544EE" w:rsidP="009544EE">
      <w:pPr>
        <w:spacing w:after="0" w:line="240" w:lineRule="auto"/>
        <w:ind w:left="1134" w:right="1132"/>
      </w:pPr>
      <w:r>
        <w:rPr>
          <w:rFonts w:ascii="Segoe UI" w:eastAsia="Segoe UI" w:hAnsi="Segoe UI"/>
          <w:color w:val="000000"/>
          <w:sz w:val="22"/>
        </w:rPr>
        <w:t>Yes</w:t>
      </w:r>
    </w:p>
    <w:p w14:paraId="53C47FC9" w14:textId="77777777" w:rsidR="009544EE" w:rsidRDefault="009544EE" w:rsidP="00EB693B">
      <w:pPr>
        <w:pStyle w:val="Heading2"/>
      </w:pPr>
      <w:r>
        <w:t>Which list/schedule will the other health technologies be listed on?</w:t>
      </w:r>
    </w:p>
    <w:p w14:paraId="34671E7B" w14:textId="77777777" w:rsidR="009544EE" w:rsidRDefault="009544EE" w:rsidP="009544EE">
      <w:pPr>
        <w:spacing w:after="0" w:line="240" w:lineRule="auto"/>
        <w:ind w:left="1134" w:right="1132"/>
      </w:pPr>
      <w:r>
        <w:rPr>
          <w:rFonts w:ascii="Segoe UI" w:eastAsia="Segoe UI" w:hAnsi="Segoe UI"/>
          <w:color w:val="000000"/>
          <w:sz w:val="22"/>
        </w:rPr>
        <w:t>Pharmaceutical Benefits Scheme</w:t>
      </w:r>
    </w:p>
    <w:p w14:paraId="73093411" w14:textId="77777777" w:rsidR="009544EE" w:rsidRDefault="009544EE" w:rsidP="00EB693B">
      <w:pPr>
        <w:pStyle w:val="Heading2"/>
      </w:pPr>
      <w:r>
        <w:t>Is the application for a new service or health technology, or an amendment to an existing listed service or health technology?</w:t>
      </w:r>
    </w:p>
    <w:p w14:paraId="431F52C8" w14:textId="77777777" w:rsidR="009544EE" w:rsidRDefault="009544EE" w:rsidP="009544EE">
      <w:pPr>
        <w:spacing w:after="0" w:line="240" w:lineRule="auto"/>
        <w:ind w:left="1134" w:right="1132"/>
      </w:pPr>
      <w:r>
        <w:rPr>
          <w:rFonts w:ascii="Segoe UI" w:eastAsia="Segoe UI" w:hAnsi="Segoe UI"/>
          <w:color w:val="000000"/>
          <w:sz w:val="22"/>
        </w:rPr>
        <w:t>Amendment</w:t>
      </w:r>
    </w:p>
    <w:p w14:paraId="23B79DFF" w14:textId="77777777" w:rsidR="009544EE" w:rsidRDefault="009544EE" w:rsidP="00EB693B">
      <w:pPr>
        <w:pStyle w:val="Heading2"/>
      </w:pPr>
      <w:r>
        <w:t>What is the nature of the amendment?</w:t>
      </w:r>
    </w:p>
    <w:p w14:paraId="56350339" w14:textId="77777777" w:rsidR="009544EE" w:rsidRDefault="009544EE" w:rsidP="009544EE">
      <w:pPr>
        <w:spacing w:after="0" w:line="240" w:lineRule="auto"/>
        <w:ind w:left="1134" w:right="1132"/>
      </w:pPr>
      <w:r>
        <w:rPr>
          <w:rFonts w:ascii="Segoe UI" w:eastAsia="Segoe UI" w:hAnsi="Segoe UI"/>
          <w:color w:val="000000"/>
          <w:sz w:val="22"/>
        </w:rPr>
        <w:t>Minor amendment to the item descriptor that does not affect how the service is delivered</w:t>
      </w:r>
    </w:p>
    <w:p w14:paraId="4AC97567" w14:textId="77777777" w:rsidR="009544EE" w:rsidRDefault="009544EE" w:rsidP="00EB693B">
      <w:pPr>
        <w:pStyle w:val="Heading2"/>
      </w:pPr>
      <w:r>
        <w:t>Justification for amendment:</w:t>
      </w:r>
    </w:p>
    <w:p w14:paraId="2DA9C623" w14:textId="77777777" w:rsidR="009544EE" w:rsidRDefault="009544EE" w:rsidP="009544EE">
      <w:pPr>
        <w:spacing w:after="0" w:line="240" w:lineRule="auto"/>
        <w:ind w:left="1134" w:right="1132"/>
      </w:pPr>
      <w:r>
        <w:rPr>
          <w:rFonts w:ascii="Segoe UI" w:eastAsia="Segoe UI" w:hAnsi="Segoe UI"/>
          <w:color w:val="000000"/>
          <w:sz w:val="22"/>
        </w:rPr>
        <w:t xml:space="preserve">The main objective of this application is to request an amendment to the current MBS item (73342) descriptor for human epidermal growth factor receptor 2 (HER2) testing to include trastuzumab </w:t>
      </w:r>
      <w:proofErr w:type="spellStart"/>
      <w:r>
        <w:rPr>
          <w:rFonts w:ascii="Segoe UI" w:eastAsia="Segoe UI" w:hAnsi="Segoe UI"/>
          <w:color w:val="000000"/>
          <w:sz w:val="22"/>
        </w:rPr>
        <w:t>deruxtecan</w:t>
      </w:r>
      <w:proofErr w:type="spellEnd"/>
      <w:r>
        <w:rPr>
          <w:rFonts w:ascii="Segoe UI" w:eastAsia="Segoe UI" w:hAnsi="Segoe UI"/>
          <w:color w:val="000000"/>
          <w:sz w:val="22"/>
        </w:rPr>
        <w:t xml:space="preserve"> regimen. </w:t>
      </w:r>
      <w:r>
        <w:rPr>
          <w:rFonts w:ascii="Segoe UI" w:eastAsia="Segoe UI" w:hAnsi="Segoe UI"/>
          <w:color w:val="000000"/>
          <w:sz w:val="22"/>
        </w:rPr>
        <w:br/>
      </w:r>
      <w:r>
        <w:rPr>
          <w:rFonts w:ascii="Segoe UI" w:eastAsia="Segoe UI" w:hAnsi="Segoe UI"/>
          <w:color w:val="000000"/>
          <w:sz w:val="22"/>
        </w:rPr>
        <w:br/>
        <w:t xml:space="preserve">AstraZeneca will be seeking PBS listing for trastuzumab </w:t>
      </w:r>
      <w:proofErr w:type="spellStart"/>
      <w:r>
        <w:rPr>
          <w:rFonts w:ascii="Segoe UI" w:eastAsia="Segoe UI" w:hAnsi="Segoe UI"/>
          <w:color w:val="000000"/>
          <w:sz w:val="22"/>
        </w:rPr>
        <w:t>deruxtecan</w:t>
      </w:r>
      <w:proofErr w:type="spellEnd"/>
      <w:r>
        <w:rPr>
          <w:rFonts w:ascii="Segoe UI" w:eastAsia="Segoe UI" w:hAnsi="Segoe UI"/>
          <w:color w:val="000000"/>
          <w:sz w:val="22"/>
        </w:rPr>
        <w:t xml:space="preserve"> for treatment of metastatic gastric or gastroesophageal junction adenocarcinoma in patients who have progressed following trastuzumab, based on data from the phase 2 DESTINY-Gastric (DG-01) (Shitara et al, 2020) and DESTINY-Gastric (DG-02) (Van </w:t>
      </w:r>
      <w:proofErr w:type="spellStart"/>
      <w:r>
        <w:rPr>
          <w:rFonts w:ascii="Segoe UI" w:eastAsia="Segoe UI" w:hAnsi="Segoe UI"/>
          <w:color w:val="000000"/>
          <w:sz w:val="22"/>
        </w:rPr>
        <w:t>Cutsem</w:t>
      </w:r>
      <w:proofErr w:type="spellEnd"/>
      <w:r>
        <w:rPr>
          <w:rFonts w:ascii="Segoe UI" w:eastAsia="Segoe UI" w:hAnsi="Segoe UI"/>
          <w:color w:val="000000"/>
          <w:sz w:val="22"/>
        </w:rPr>
        <w:t xml:space="preserve"> E at al. 2023) studies.  DG-01 recruited patients without a requirement for a post-trastuzumab biopsy/re-testing of HER2 status whereas, in DG-02 post-trastuzumab progression biopsy/re-testing of HER2 status was required. In our application to the PBAC, AstraZeneca intend to request that a requirement for re-testing of HER2 status in not included in the PBS restriction for trastuzumab </w:t>
      </w:r>
      <w:proofErr w:type="spellStart"/>
      <w:r>
        <w:rPr>
          <w:rFonts w:ascii="Segoe UI" w:eastAsia="Segoe UI" w:hAnsi="Segoe UI"/>
          <w:color w:val="000000"/>
          <w:sz w:val="22"/>
        </w:rPr>
        <w:t>deruxtecan</w:t>
      </w:r>
      <w:proofErr w:type="spellEnd"/>
      <w:r>
        <w:rPr>
          <w:rFonts w:ascii="Segoe UI" w:eastAsia="Segoe UI" w:hAnsi="Segoe UI"/>
          <w:color w:val="000000"/>
          <w:sz w:val="22"/>
        </w:rPr>
        <w:t xml:space="preserve"> given challenges and potential harms associated with a re-biopsy and evidence suggesting there is benefit with trastuzumab </w:t>
      </w:r>
      <w:proofErr w:type="spellStart"/>
      <w:r>
        <w:rPr>
          <w:rFonts w:ascii="Segoe UI" w:eastAsia="Segoe UI" w:hAnsi="Segoe UI"/>
          <w:color w:val="000000"/>
          <w:sz w:val="22"/>
        </w:rPr>
        <w:t>deruxtecan</w:t>
      </w:r>
      <w:proofErr w:type="spellEnd"/>
      <w:r>
        <w:rPr>
          <w:rFonts w:ascii="Segoe UI" w:eastAsia="Segoe UI" w:hAnsi="Segoe UI"/>
          <w:color w:val="000000"/>
          <w:sz w:val="22"/>
        </w:rPr>
        <w:t xml:space="preserve"> regardless of post-trastuzumab HER2 status (DG-01). </w:t>
      </w:r>
      <w:r>
        <w:rPr>
          <w:rFonts w:ascii="Segoe UI" w:eastAsia="Segoe UI" w:hAnsi="Segoe UI"/>
          <w:color w:val="000000"/>
          <w:sz w:val="22"/>
        </w:rPr>
        <w:br/>
      </w:r>
      <w:r>
        <w:rPr>
          <w:rFonts w:ascii="Segoe UI" w:eastAsia="Segoe UI" w:hAnsi="Segoe UI"/>
          <w:color w:val="000000"/>
          <w:sz w:val="22"/>
        </w:rPr>
        <w:br/>
        <w:t xml:space="preserve">With this application AstraZeneca would like to seek guidance from the department regarding the appropriate MSAC process for the proposed minor change to the descriptor </w:t>
      </w:r>
      <w:proofErr w:type="gramStart"/>
      <w:r>
        <w:rPr>
          <w:rFonts w:ascii="Segoe UI" w:eastAsia="Segoe UI" w:hAnsi="Segoe UI"/>
          <w:color w:val="000000"/>
          <w:sz w:val="22"/>
        </w:rPr>
        <w:t>and also</w:t>
      </w:r>
      <w:proofErr w:type="gramEnd"/>
      <w:r>
        <w:rPr>
          <w:rFonts w:ascii="Segoe UI" w:eastAsia="Segoe UI" w:hAnsi="Segoe UI"/>
          <w:color w:val="000000"/>
          <w:sz w:val="22"/>
        </w:rPr>
        <w:t xml:space="preserve"> seek guidance regarding retesting requirements in support of our PBAC submission. Based on historical precedence for trastuzumab </w:t>
      </w:r>
      <w:proofErr w:type="spellStart"/>
      <w:r>
        <w:rPr>
          <w:rFonts w:ascii="Segoe UI" w:eastAsia="Segoe UI" w:hAnsi="Segoe UI"/>
          <w:color w:val="000000"/>
          <w:sz w:val="22"/>
        </w:rPr>
        <w:t>deruxtecan</w:t>
      </w:r>
      <w:proofErr w:type="spellEnd"/>
      <w:r>
        <w:rPr>
          <w:rFonts w:ascii="Segoe UI" w:eastAsia="Segoe UI" w:hAnsi="Segoe UI"/>
          <w:color w:val="000000"/>
          <w:sz w:val="22"/>
        </w:rPr>
        <w:t xml:space="preserve"> (e.g. HER2 testing for treatment of patients with unresectable, metastatic HER2-low breast cancer) we note that a submission to MSAC was not required.</w:t>
      </w:r>
    </w:p>
    <w:p w14:paraId="6522FEC2" w14:textId="77777777" w:rsidR="009544EE" w:rsidRDefault="009544EE" w:rsidP="009544EE">
      <w:pPr>
        <w:pStyle w:val="EmptyCellLayoutStyle"/>
        <w:tabs>
          <w:tab w:val="left" w:pos="240"/>
          <w:tab w:val="left" w:pos="315"/>
          <w:tab w:val="left" w:pos="10436"/>
          <w:tab w:val="left" w:pos="10449"/>
        </w:tabs>
        <w:spacing w:after="0" w:line="240" w:lineRule="auto"/>
        <w:ind w:left="1134" w:right="1132"/>
      </w:pPr>
      <w:r>
        <w:rPr>
          <w:sz w:val="20"/>
        </w:rPr>
        <w:tab/>
      </w:r>
      <w:r>
        <w:tab/>
      </w:r>
    </w:p>
    <w:p w14:paraId="0A9454B6" w14:textId="77777777" w:rsidR="009544EE" w:rsidRDefault="009544EE" w:rsidP="009544EE">
      <w:pPr>
        <w:pStyle w:val="EmptyCellLayoutStyle"/>
        <w:tabs>
          <w:tab w:val="left" w:pos="240"/>
          <w:tab w:val="left" w:pos="315"/>
          <w:tab w:val="left" w:pos="754"/>
          <w:tab w:val="left" w:pos="10436"/>
          <w:tab w:val="left" w:pos="10449"/>
        </w:tabs>
        <w:spacing w:after="0" w:line="240" w:lineRule="auto"/>
        <w:ind w:left="1134" w:right="1132"/>
      </w:pPr>
      <w:r>
        <w:tab/>
      </w:r>
      <w:r>
        <w:tab/>
      </w:r>
      <w:r>
        <w:tab/>
      </w:r>
      <w:r>
        <w:tab/>
      </w:r>
      <w:r>
        <w:tab/>
      </w:r>
    </w:p>
    <w:p w14:paraId="778283BC" w14:textId="6FE97E46" w:rsidR="009544EE" w:rsidRDefault="009544EE" w:rsidP="00EB693B">
      <w:pPr>
        <w:pStyle w:val="Heading3"/>
      </w:pPr>
      <w:r>
        <w:t>Please select any relevant MBS items.</w:t>
      </w:r>
    </w:p>
    <w:tbl>
      <w:tblPr>
        <w:tblStyle w:val="TableGrid"/>
        <w:tblW w:w="0" w:type="auto"/>
        <w:tblInd w:w="1134" w:type="dxa"/>
        <w:tblLook w:val="04A0" w:firstRow="1" w:lastRow="0" w:firstColumn="1" w:lastColumn="0" w:noHBand="0" w:noVBand="1"/>
      </w:tblPr>
      <w:tblGrid>
        <w:gridCol w:w="3224"/>
        <w:gridCol w:w="5388"/>
      </w:tblGrid>
      <w:tr w:rsidR="009544EE" w14:paraId="4A86238C" w14:textId="77777777" w:rsidTr="009544EE">
        <w:tc>
          <w:tcPr>
            <w:tcW w:w="0" w:type="auto"/>
          </w:tcPr>
          <w:p w14:paraId="67DC7447" w14:textId="058B605D" w:rsidR="009544EE" w:rsidRDefault="009544EE" w:rsidP="009544EE">
            <w:pPr>
              <w:ind w:right="1132"/>
            </w:pPr>
            <w:r>
              <w:rPr>
                <w:rFonts w:ascii="Segoe UI" w:eastAsia="Segoe UI" w:hAnsi="Segoe UI"/>
                <w:b/>
                <w:color w:val="000000"/>
                <w:sz w:val="22"/>
              </w:rPr>
              <w:t>MBS item number</w:t>
            </w:r>
          </w:p>
        </w:tc>
        <w:tc>
          <w:tcPr>
            <w:tcW w:w="0" w:type="auto"/>
          </w:tcPr>
          <w:p w14:paraId="0F65AC0D" w14:textId="47475954" w:rsidR="009544EE" w:rsidRDefault="009544EE" w:rsidP="009544EE">
            <w:pPr>
              <w:ind w:right="1132"/>
            </w:pPr>
            <w:r>
              <w:rPr>
                <w:rFonts w:ascii="Segoe UI" w:eastAsia="Segoe UI" w:hAnsi="Segoe UI"/>
                <w:b/>
                <w:color w:val="000000"/>
                <w:sz w:val="22"/>
              </w:rPr>
              <w:t>Selected reason type</w:t>
            </w:r>
          </w:p>
        </w:tc>
      </w:tr>
      <w:tr w:rsidR="009544EE" w14:paraId="64EA623E" w14:textId="77777777" w:rsidTr="009544EE">
        <w:tc>
          <w:tcPr>
            <w:tcW w:w="0" w:type="auto"/>
          </w:tcPr>
          <w:p w14:paraId="170E8DE0" w14:textId="0ACCC50E" w:rsidR="009544EE" w:rsidRDefault="009544EE" w:rsidP="009544EE">
            <w:pPr>
              <w:ind w:right="1132"/>
            </w:pPr>
            <w:r>
              <w:rPr>
                <w:rFonts w:ascii="Segoe UI" w:eastAsia="Segoe UI" w:hAnsi="Segoe UI"/>
                <w:color w:val="000000"/>
                <w:sz w:val="22"/>
              </w:rPr>
              <w:t>73342</w:t>
            </w:r>
          </w:p>
        </w:tc>
        <w:tc>
          <w:tcPr>
            <w:tcW w:w="0" w:type="auto"/>
          </w:tcPr>
          <w:p w14:paraId="24657FF3" w14:textId="28586069" w:rsidR="009544EE" w:rsidRDefault="009544EE" w:rsidP="009544EE">
            <w:pPr>
              <w:ind w:right="1132"/>
            </w:pPr>
            <w:r>
              <w:rPr>
                <w:rFonts w:ascii="Segoe UI" w:eastAsia="Segoe UI" w:hAnsi="Segoe UI"/>
                <w:color w:val="000000"/>
                <w:sz w:val="22"/>
              </w:rPr>
              <w:t>Expansion or amendment to existing item</w:t>
            </w:r>
          </w:p>
        </w:tc>
      </w:tr>
    </w:tbl>
    <w:p w14:paraId="6504B749" w14:textId="77777777" w:rsidR="009544EE" w:rsidRDefault="009544EE" w:rsidP="009544EE">
      <w:pPr>
        <w:pStyle w:val="EmptyCellLayoutStyle"/>
        <w:tabs>
          <w:tab w:val="left" w:pos="240"/>
          <w:tab w:val="left" w:pos="315"/>
          <w:tab w:val="left" w:pos="754"/>
          <w:tab w:val="left" w:pos="10449"/>
        </w:tabs>
        <w:spacing w:after="0" w:line="240" w:lineRule="auto"/>
        <w:ind w:left="1134" w:right="1132"/>
      </w:pPr>
      <w:r>
        <w:rPr>
          <w:sz w:val="20"/>
        </w:rPr>
        <w:tab/>
      </w:r>
    </w:p>
    <w:p w14:paraId="7B775483" w14:textId="3BA8FC3E" w:rsidR="009544EE" w:rsidRDefault="009544EE" w:rsidP="009544EE">
      <w:pPr>
        <w:pStyle w:val="EmptyCellLayoutStyle"/>
        <w:tabs>
          <w:tab w:val="left" w:pos="240"/>
          <w:tab w:val="left" w:pos="315"/>
          <w:tab w:val="left" w:pos="754"/>
          <w:tab w:val="left" w:pos="10436"/>
          <w:tab w:val="left" w:pos="10449"/>
        </w:tabs>
        <w:spacing w:after="0" w:line="240" w:lineRule="auto"/>
        <w:ind w:left="1134" w:right="1132"/>
      </w:pPr>
      <w:r>
        <w:tab/>
      </w:r>
      <w:r>
        <w:tab/>
      </w:r>
      <w:r>
        <w:tab/>
      </w:r>
      <w:r>
        <w:tab/>
      </w:r>
      <w:r>
        <w:rPr>
          <w:sz w:val="20"/>
        </w:rPr>
        <w:tab/>
      </w:r>
      <w:r>
        <w:tab/>
      </w:r>
    </w:p>
    <w:p w14:paraId="2BF224F8" w14:textId="77777777" w:rsidR="009544EE" w:rsidRDefault="009544EE" w:rsidP="009544EE">
      <w:pPr>
        <w:pStyle w:val="EmptyCellLayoutStyle"/>
        <w:tabs>
          <w:tab w:val="left" w:pos="240"/>
          <w:tab w:val="left" w:pos="315"/>
          <w:tab w:val="left" w:pos="754"/>
          <w:tab w:val="left" w:pos="10436"/>
          <w:tab w:val="left" w:pos="10449"/>
        </w:tabs>
        <w:spacing w:after="0" w:line="240" w:lineRule="auto"/>
        <w:ind w:left="1134" w:right="1132"/>
      </w:pPr>
      <w:r>
        <w:tab/>
      </w:r>
      <w:r>
        <w:tab/>
      </w:r>
      <w:r>
        <w:tab/>
      </w:r>
      <w:r>
        <w:tab/>
      </w:r>
      <w:r>
        <w:tab/>
      </w:r>
    </w:p>
    <w:p w14:paraId="03810FD8" w14:textId="041CAEF4" w:rsidR="009544EE" w:rsidRDefault="009544EE" w:rsidP="00EB693B">
      <w:pPr>
        <w:pStyle w:val="Heading2"/>
      </w:pPr>
      <w:r>
        <w:t>What is the type of service or health technology?</w:t>
      </w:r>
    </w:p>
    <w:p w14:paraId="09498B78" w14:textId="77777777" w:rsidR="009544EE" w:rsidRDefault="009544EE" w:rsidP="009544EE">
      <w:pPr>
        <w:spacing w:after="0" w:line="240" w:lineRule="auto"/>
        <w:ind w:left="1134" w:right="1132"/>
      </w:pPr>
      <w:r>
        <w:rPr>
          <w:rFonts w:ascii="Segoe UI" w:eastAsia="Segoe UI" w:hAnsi="Segoe UI"/>
          <w:color w:val="000000"/>
          <w:sz w:val="22"/>
        </w:rPr>
        <w:t>Therapeutic</w:t>
      </w:r>
    </w:p>
    <w:p w14:paraId="65781E55" w14:textId="77777777" w:rsidR="009544EE" w:rsidRDefault="009544EE">
      <w:pPr>
        <w:pStyle w:val="EmptyCellLayoutStyle"/>
        <w:tabs>
          <w:tab w:val="left" w:pos="240"/>
          <w:tab w:val="left" w:pos="10436"/>
          <w:tab w:val="left" w:pos="10449"/>
        </w:tabs>
        <w:spacing w:after="0" w:line="240" w:lineRule="auto"/>
      </w:pPr>
      <w:r>
        <w:rPr>
          <w:sz w:val="20"/>
        </w:rPr>
        <w:tab/>
      </w:r>
      <w:r>
        <w:tab/>
      </w:r>
    </w:p>
    <w:p w14:paraId="7BAE0FE8" w14:textId="6A43FFEC" w:rsidR="009544EE" w:rsidRPr="009544EE" w:rsidRDefault="009544EE" w:rsidP="00EB693B">
      <w:pPr>
        <w:pStyle w:val="Heading1"/>
        <w:rPr>
          <w:sz w:val="0"/>
        </w:rPr>
      </w:pPr>
      <w:r>
        <w:br w:type="page"/>
      </w:r>
      <w:r>
        <w:lastRenderedPageBreak/>
        <w:t>PICO Sets</w:t>
      </w:r>
    </w:p>
    <w:p w14:paraId="0C660C05" w14:textId="77777777" w:rsidR="009544EE" w:rsidRDefault="009544EE" w:rsidP="00EB693B">
      <w:pPr>
        <w:pStyle w:val="Heading2"/>
      </w:pPr>
      <w:r>
        <w:t>Application PICO sets</w:t>
      </w:r>
    </w:p>
    <w:tbl>
      <w:tblPr>
        <w:tblStyle w:val="TableGrid"/>
        <w:tblW w:w="0" w:type="auto"/>
        <w:tblInd w:w="1134" w:type="dxa"/>
        <w:tblLook w:val="04A0" w:firstRow="1" w:lastRow="0" w:firstColumn="1" w:lastColumn="0" w:noHBand="0" w:noVBand="1"/>
      </w:tblPr>
      <w:tblGrid>
        <w:gridCol w:w="3091"/>
        <w:gridCol w:w="6527"/>
      </w:tblGrid>
      <w:tr w:rsidR="0019025A" w14:paraId="31502678" w14:textId="77777777" w:rsidTr="0019025A">
        <w:tc>
          <w:tcPr>
            <w:tcW w:w="0" w:type="auto"/>
          </w:tcPr>
          <w:p w14:paraId="348FC4BC" w14:textId="090E0B33" w:rsidR="0019025A" w:rsidRDefault="0019025A" w:rsidP="009544EE">
            <w:pPr>
              <w:ind w:right="1132"/>
            </w:pPr>
            <w:r>
              <w:rPr>
                <w:rFonts w:ascii="Segoe UI" w:eastAsia="Segoe UI" w:hAnsi="Segoe UI"/>
                <w:b/>
                <w:color w:val="000000"/>
                <w:sz w:val="22"/>
              </w:rPr>
              <w:t>PICO set number</w:t>
            </w:r>
          </w:p>
        </w:tc>
        <w:tc>
          <w:tcPr>
            <w:tcW w:w="0" w:type="auto"/>
          </w:tcPr>
          <w:p w14:paraId="0A7B253C" w14:textId="50AD5FA7" w:rsidR="0019025A" w:rsidRDefault="0019025A" w:rsidP="0019025A">
            <w:pPr>
              <w:ind w:left="1134" w:right="1132"/>
            </w:pPr>
            <w:r>
              <w:rPr>
                <w:rFonts w:ascii="Segoe UI" w:eastAsia="Segoe UI" w:hAnsi="Segoe UI"/>
                <w:b/>
                <w:color w:val="000000"/>
                <w:sz w:val="22"/>
              </w:rPr>
              <w:t>PICO set name</w:t>
            </w:r>
          </w:p>
        </w:tc>
      </w:tr>
      <w:tr w:rsidR="0019025A" w14:paraId="27E82266" w14:textId="77777777" w:rsidTr="0019025A">
        <w:tc>
          <w:tcPr>
            <w:tcW w:w="0" w:type="auto"/>
          </w:tcPr>
          <w:p w14:paraId="6AE0A1DB" w14:textId="263B57F8" w:rsidR="0019025A" w:rsidRPr="0019025A" w:rsidRDefault="0019025A" w:rsidP="009544EE">
            <w:pPr>
              <w:ind w:right="1132"/>
              <w:rPr>
                <w:rFonts w:ascii="Segoe UI" w:eastAsia="Segoe UI" w:hAnsi="Segoe UI"/>
                <w:color w:val="000000"/>
                <w:sz w:val="22"/>
              </w:rPr>
            </w:pPr>
            <w:r w:rsidRPr="0019025A">
              <w:rPr>
                <w:rFonts w:ascii="Segoe UI" w:eastAsia="Segoe UI" w:hAnsi="Segoe UI"/>
                <w:color w:val="000000"/>
                <w:sz w:val="22"/>
              </w:rPr>
              <w:t>1</w:t>
            </w:r>
          </w:p>
        </w:tc>
        <w:tc>
          <w:tcPr>
            <w:tcW w:w="0" w:type="auto"/>
          </w:tcPr>
          <w:p w14:paraId="46AE4DB6" w14:textId="20584B02" w:rsidR="0019025A" w:rsidRDefault="0019025A" w:rsidP="009544EE">
            <w:pPr>
              <w:ind w:right="1132"/>
            </w:pPr>
            <w:r>
              <w:rPr>
                <w:rFonts w:ascii="Segoe UI" w:eastAsia="Segoe UI" w:hAnsi="Segoe UI"/>
                <w:color w:val="000000"/>
                <w:sz w:val="22"/>
              </w:rPr>
              <w:t>MBS Application PICO set_Enhertu_T-DXd_HER2+_GC</w:t>
            </w:r>
          </w:p>
        </w:tc>
      </w:tr>
    </w:tbl>
    <w:p w14:paraId="54AA8E50" w14:textId="77777777" w:rsidR="009544EE" w:rsidRDefault="009544EE" w:rsidP="00EB693B">
      <w:pPr>
        <w:pStyle w:val="Heading1"/>
      </w:pPr>
      <w:r>
        <w:t>MBS Application PICO set_Enhertu_T-DXd_HER2+_GC</w:t>
      </w:r>
    </w:p>
    <w:p w14:paraId="2D4AEE7D" w14:textId="7669D202" w:rsidR="009544EE" w:rsidRDefault="009544EE" w:rsidP="00EA7548">
      <w:pPr>
        <w:pStyle w:val="Heading1"/>
      </w:pPr>
      <w:r>
        <w:t>Supporting documentation</w:t>
      </w:r>
    </w:p>
    <w:tbl>
      <w:tblPr>
        <w:tblStyle w:val="TableGrid"/>
        <w:tblW w:w="0" w:type="auto"/>
        <w:tblInd w:w="1152" w:type="dxa"/>
        <w:tblLook w:val="04A0" w:firstRow="1" w:lastRow="0" w:firstColumn="1" w:lastColumn="0" w:noHBand="0" w:noVBand="1"/>
      </w:tblPr>
      <w:tblGrid>
        <w:gridCol w:w="4480"/>
        <w:gridCol w:w="5121"/>
      </w:tblGrid>
      <w:tr w:rsidR="0019025A" w14:paraId="1A724860" w14:textId="77777777" w:rsidTr="0019025A">
        <w:tc>
          <w:tcPr>
            <w:tcW w:w="0" w:type="auto"/>
          </w:tcPr>
          <w:p w14:paraId="25043B19" w14:textId="6130CF11" w:rsidR="0019025A" w:rsidRDefault="0019025A" w:rsidP="009544EE">
            <w:pPr>
              <w:ind w:right="1132"/>
            </w:pPr>
            <w:r>
              <w:rPr>
                <w:rFonts w:ascii="Segoe UI" w:eastAsia="Segoe UI" w:hAnsi="Segoe UI"/>
                <w:b/>
                <w:color w:val="000000"/>
                <w:sz w:val="22"/>
              </w:rPr>
              <w:t>Document type</w:t>
            </w:r>
          </w:p>
        </w:tc>
        <w:tc>
          <w:tcPr>
            <w:tcW w:w="5121" w:type="dxa"/>
          </w:tcPr>
          <w:p w14:paraId="2E5BFFD5" w14:textId="54CC344F" w:rsidR="0019025A" w:rsidRDefault="0019025A" w:rsidP="0019025A">
            <w:pPr>
              <w:ind w:right="1132"/>
            </w:pPr>
            <w:r>
              <w:rPr>
                <w:rFonts w:ascii="Segoe UI" w:eastAsia="Segoe UI" w:hAnsi="Segoe UI"/>
                <w:b/>
                <w:color w:val="000000"/>
                <w:sz w:val="22"/>
              </w:rPr>
              <w:t>File name(s)</w:t>
            </w:r>
          </w:p>
        </w:tc>
      </w:tr>
      <w:tr w:rsidR="0019025A" w14:paraId="484BDE85" w14:textId="77777777" w:rsidTr="0019025A">
        <w:tc>
          <w:tcPr>
            <w:tcW w:w="0" w:type="auto"/>
          </w:tcPr>
          <w:p w14:paraId="2D4F54FB" w14:textId="4FAF9D24" w:rsidR="0019025A" w:rsidRDefault="0019025A" w:rsidP="009544EE">
            <w:pPr>
              <w:ind w:right="1132"/>
            </w:pPr>
            <w:r>
              <w:rPr>
                <w:rFonts w:ascii="Segoe UI" w:eastAsia="Segoe UI" w:hAnsi="Segoe UI"/>
                <w:color w:val="000000"/>
                <w:sz w:val="22"/>
              </w:rPr>
              <w:t>Application PICO set documents</w:t>
            </w:r>
          </w:p>
        </w:tc>
        <w:tc>
          <w:tcPr>
            <w:tcW w:w="5121" w:type="dxa"/>
          </w:tcPr>
          <w:p w14:paraId="577BED4F" w14:textId="7F65D23E" w:rsidR="0019025A" w:rsidRDefault="0019025A" w:rsidP="009544EE">
            <w:pPr>
              <w:ind w:right="1132"/>
            </w:pPr>
            <w:r>
              <w:rPr>
                <w:rFonts w:ascii="Segoe UI" w:eastAsia="Segoe UI" w:hAnsi="Segoe UI"/>
                <w:color w:val="000000"/>
                <w:sz w:val="22"/>
              </w:rPr>
              <w:t>MBS Application PICO set EnhertuTDXdHER2posGC.docx</w:t>
            </w:r>
          </w:p>
        </w:tc>
      </w:tr>
      <w:tr w:rsidR="0019025A" w14:paraId="2551B412" w14:textId="77777777" w:rsidTr="0019025A">
        <w:tc>
          <w:tcPr>
            <w:tcW w:w="0" w:type="auto"/>
          </w:tcPr>
          <w:p w14:paraId="21A46098" w14:textId="29221E69" w:rsidR="0019025A" w:rsidRDefault="0019025A" w:rsidP="009544EE">
            <w:pPr>
              <w:ind w:right="1132"/>
            </w:pPr>
            <w:r>
              <w:rPr>
                <w:rFonts w:ascii="Segoe UI" w:eastAsia="Segoe UI" w:hAnsi="Segoe UI"/>
                <w:color w:val="000000"/>
                <w:sz w:val="22"/>
              </w:rPr>
              <w:t>Reference list</w:t>
            </w:r>
          </w:p>
        </w:tc>
        <w:tc>
          <w:tcPr>
            <w:tcW w:w="5121" w:type="dxa"/>
          </w:tcPr>
          <w:p w14:paraId="3A1A7D9D" w14:textId="4A020AA8" w:rsidR="0019025A" w:rsidRDefault="0019025A" w:rsidP="0019025A">
            <w:pPr>
              <w:ind w:right="1132"/>
            </w:pPr>
            <w:r>
              <w:rPr>
                <w:rFonts w:ascii="Segoe UI" w:eastAsia="Segoe UI" w:hAnsi="Segoe UI"/>
                <w:color w:val="000000"/>
                <w:sz w:val="22"/>
              </w:rPr>
              <w:t>Reference List.docx</w:t>
            </w:r>
          </w:p>
        </w:tc>
      </w:tr>
    </w:tbl>
    <w:p w14:paraId="480AA94E" w14:textId="0CD289A5" w:rsidR="009544EE" w:rsidRDefault="009544EE" w:rsidP="00EA7548">
      <w:pPr>
        <w:pStyle w:val="Heading1"/>
      </w:pPr>
      <w:r>
        <w:t>Population</w:t>
      </w:r>
    </w:p>
    <w:p w14:paraId="5C0DEB01" w14:textId="77777777" w:rsidR="009544EE" w:rsidRDefault="009544EE" w:rsidP="00EA7548">
      <w:pPr>
        <w:pStyle w:val="Heading2"/>
      </w:pPr>
      <w:r>
        <w:t>Describe the population in which the proposed health technology is intended to be used:</w:t>
      </w:r>
    </w:p>
    <w:p w14:paraId="7DB14078" w14:textId="77777777" w:rsidR="00E803AB" w:rsidRDefault="009544EE" w:rsidP="00E803AB">
      <w:pPr>
        <w:spacing w:after="120" w:line="240" w:lineRule="auto"/>
        <w:ind w:left="1134" w:right="1134"/>
        <w:rPr>
          <w:rFonts w:ascii="Segoe UI" w:eastAsia="Segoe UI" w:hAnsi="Segoe UI"/>
          <w:color w:val="000000"/>
          <w:sz w:val="22"/>
        </w:rPr>
      </w:pPr>
      <w:r>
        <w:rPr>
          <w:rFonts w:ascii="Segoe UI" w:eastAsia="Segoe UI" w:hAnsi="Segoe UI"/>
          <w:color w:val="000000"/>
          <w:sz w:val="22"/>
        </w:rPr>
        <w:t xml:space="preserve">Patients with metastatic gastric or gastro-oesophageal junction (GEJ) adenocarcinoma who have progressed on trastuzumab containing regimens. </w:t>
      </w:r>
    </w:p>
    <w:p w14:paraId="6B18B920" w14:textId="77777777" w:rsidR="00E803AB" w:rsidRDefault="009544EE" w:rsidP="00E803AB">
      <w:pPr>
        <w:spacing w:after="120" w:line="240" w:lineRule="auto"/>
        <w:ind w:left="1134" w:right="1134"/>
        <w:rPr>
          <w:rFonts w:ascii="Segoe UI" w:eastAsia="Segoe UI" w:hAnsi="Segoe UI"/>
          <w:color w:val="000000"/>
          <w:sz w:val="22"/>
        </w:rPr>
      </w:pPr>
      <w:r>
        <w:rPr>
          <w:rFonts w:ascii="Segoe UI" w:eastAsia="Segoe UI" w:hAnsi="Segoe UI"/>
          <w:color w:val="000000"/>
          <w:sz w:val="22"/>
        </w:rPr>
        <w:t xml:space="preserve">The main objectives of this application is to request an amendment to the current MBS item (73342) descriptor for human epidermal growth factor receptor 2 (HER2) testing to include trastuzumab </w:t>
      </w:r>
      <w:proofErr w:type="spellStart"/>
      <w:r>
        <w:rPr>
          <w:rFonts w:ascii="Segoe UI" w:eastAsia="Segoe UI" w:hAnsi="Segoe UI"/>
          <w:color w:val="000000"/>
          <w:sz w:val="22"/>
        </w:rPr>
        <w:t>deruxtecan</w:t>
      </w:r>
      <w:proofErr w:type="spellEnd"/>
      <w:r>
        <w:rPr>
          <w:rFonts w:ascii="Segoe UI" w:eastAsia="Segoe UI" w:hAnsi="Segoe UI"/>
          <w:color w:val="000000"/>
          <w:sz w:val="22"/>
        </w:rPr>
        <w:t xml:space="preserve"> (ENHERTU™) regimen, to seek the advice of the MSAC secretariat regarding  the appropriate MSAC process for the proposed minor change to the descriptor and also seek guidance regarding retesting requirements in support of our PBAC submission noting that trastuzumab </w:t>
      </w:r>
      <w:proofErr w:type="spellStart"/>
      <w:r>
        <w:rPr>
          <w:rFonts w:ascii="Segoe UI" w:eastAsia="Segoe UI" w:hAnsi="Segoe UI"/>
          <w:color w:val="000000"/>
          <w:sz w:val="22"/>
        </w:rPr>
        <w:t>deruxtecan</w:t>
      </w:r>
      <w:proofErr w:type="spellEnd"/>
      <w:r>
        <w:rPr>
          <w:rFonts w:ascii="Segoe UI" w:eastAsia="Segoe UI" w:hAnsi="Segoe UI"/>
          <w:color w:val="000000"/>
          <w:sz w:val="22"/>
        </w:rPr>
        <w:t xml:space="preserve"> will be used in patients who have previously progressed on trastuzumab. </w:t>
      </w:r>
    </w:p>
    <w:p w14:paraId="6EE8C386" w14:textId="77777777" w:rsidR="00E803AB" w:rsidRDefault="009544EE" w:rsidP="00E803AB">
      <w:pPr>
        <w:spacing w:after="120" w:line="240" w:lineRule="auto"/>
        <w:ind w:left="1134" w:right="1134"/>
        <w:rPr>
          <w:rFonts w:ascii="Segoe UI" w:eastAsia="Segoe UI" w:hAnsi="Segoe UI"/>
          <w:color w:val="000000"/>
          <w:sz w:val="22"/>
        </w:rPr>
      </w:pPr>
      <w:r>
        <w:rPr>
          <w:rFonts w:ascii="Segoe UI" w:eastAsia="Segoe UI" w:hAnsi="Segoe UI"/>
          <w:color w:val="000000"/>
          <w:sz w:val="22"/>
        </w:rPr>
        <w:t xml:space="preserve">Based on historical precedence for trastuzumab </w:t>
      </w:r>
      <w:proofErr w:type="spellStart"/>
      <w:r>
        <w:rPr>
          <w:rFonts w:ascii="Segoe UI" w:eastAsia="Segoe UI" w:hAnsi="Segoe UI"/>
          <w:color w:val="000000"/>
          <w:sz w:val="22"/>
        </w:rPr>
        <w:t>deruxtecan</w:t>
      </w:r>
      <w:proofErr w:type="spellEnd"/>
      <w:r>
        <w:rPr>
          <w:rFonts w:ascii="Segoe UI" w:eastAsia="Segoe UI" w:hAnsi="Segoe UI"/>
          <w:color w:val="000000"/>
          <w:sz w:val="22"/>
        </w:rPr>
        <w:t xml:space="preserve"> (e.g. HER2 testing for treatment of patients with unresectable, metastatic HER2-low breast cancer) we note that a submission to MSAC was not required. On February 1,2023, the MSAC Executive advised regarding an application </w:t>
      </w:r>
      <w:proofErr w:type="gramStart"/>
      <w:r>
        <w:rPr>
          <w:rFonts w:ascii="Segoe UI" w:eastAsia="Segoe UI" w:hAnsi="Segoe UI"/>
          <w:color w:val="000000"/>
          <w:sz w:val="22"/>
        </w:rPr>
        <w:t>for  trastuzumab</w:t>
      </w:r>
      <w:proofErr w:type="gramEnd"/>
      <w:r>
        <w:rPr>
          <w:rFonts w:ascii="Segoe UI" w:eastAsia="Segoe UI" w:hAnsi="Segoe UI"/>
          <w:color w:val="000000"/>
          <w:sz w:val="22"/>
        </w:rPr>
        <w:t xml:space="preserve"> </w:t>
      </w:r>
      <w:proofErr w:type="spellStart"/>
      <w:r>
        <w:rPr>
          <w:rFonts w:ascii="Segoe UI" w:eastAsia="Segoe UI" w:hAnsi="Segoe UI"/>
          <w:color w:val="000000"/>
          <w:sz w:val="22"/>
        </w:rPr>
        <w:t>deruxtecan</w:t>
      </w:r>
      <w:proofErr w:type="spellEnd"/>
      <w:r>
        <w:rPr>
          <w:rFonts w:ascii="Segoe UI" w:eastAsia="Segoe UI" w:hAnsi="Segoe UI"/>
          <w:color w:val="000000"/>
          <w:sz w:val="22"/>
        </w:rPr>
        <w:t xml:space="preserve"> in patients with HER2-low breast cancer: “The MSAC Executive advised that a codependent submission to MSAC is not needed for this application. If a positive recommendation is received from the PBAC, the Department can seek policy approval from the Government to implement the relevant changes to the MBS item as a part of the PBS listing process.”</w:t>
      </w:r>
    </w:p>
    <w:p w14:paraId="1CFD7E3A" w14:textId="6DCD0FEC" w:rsidR="009544EE" w:rsidRDefault="009544EE" w:rsidP="00E803AB">
      <w:pPr>
        <w:spacing w:after="120" w:line="240" w:lineRule="auto"/>
        <w:ind w:left="1134" w:right="1134"/>
      </w:pPr>
      <w:r>
        <w:rPr>
          <w:rFonts w:ascii="Segoe UI" w:eastAsia="Segoe UI" w:hAnsi="Segoe UI"/>
          <w:color w:val="000000"/>
          <w:sz w:val="22"/>
        </w:rPr>
        <w:t xml:space="preserve">If there is an option for the item descriptor amendment to progress without MSAC consideration and before a PBAC submission or PBS listing, we will also be able to provide this advice to the PBAC. </w:t>
      </w:r>
    </w:p>
    <w:p w14:paraId="43E02A06" w14:textId="77777777" w:rsidR="009544EE" w:rsidRDefault="009544EE" w:rsidP="00EA7548">
      <w:pPr>
        <w:pStyle w:val="Heading2"/>
      </w:pPr>
      <w:r>
        <w:t xml:space="preserve">Search and select the most applicable </w:t>
      </w:r>
      <w:proofErr w:type="gramStart"/>
      <w:r>
        <w:t>Medical</w:t>
      </w:r>
      <w:proofErr w:type="gramEnd"/>
      <w:r>
        <w:t xml:space="preserve"> condition terminology (SNOMED CT):</w:t>
      </w:r>
    </w:p>
    <w:p w14:paraId="50C3A2F9" w14:textId="77777777" w:rsidR="009544EE" w:rsidRDefault="009544EE" w:rsidP="009544EE">
      <w:pPr>
        <w:spacing w:after="0" w:line="240" w:lineRule="auto"/>
        <w:ind w:left="1134" w:right="1132"/>
      </w:pPr>
    </w:p>
    <w:p w14:paraId="448F7B69" w14:textId="40B73D9E" w:rsidR="009544EE" w:rsidRDefault="009544EE" w:rsidP="00EA7548">
      <w:pPr>
        <w:pStyle w:val="Heading1"/>
        <w:keepNext/>
        <w:keepLines/>
      </w:pPr>
      <w:r>
        <w:lastRenderedPageBreak/>
        <w:t>Intervention</w:t>
      </w:r>
    </w:p>
    <w:p w14:paraId="4F7E5445" w14:textId="77777777" w:rsidR="009544EE" w:rsidRDefault="009544EE" w:rsidP="00EA7548">
      <w:pPr>
        <w:pStyle w:val="Heading2"/>
        <w:keepNext/>
        <w:keepLines/>
      </w:pPr>
      <w:r>
        <w:t>Name of the proposed health technology:</w:t>
      </w:r>
    </w:p>
    <w:p w14:paraId="3C73AED6" w14:textId="77777777" w:rsidR="009544EE" w:rsidRDefault="009544EE" w:rsidP="00EA7548">
      <w:pPr>
        <w:keepNext/>
        <w:keepLines/>
        <w:spacing w:after="0" w:line="240" w:lineRule="auto"/>
        <w:ind w:left="1134" w:right="1132"/>
      </w:pPr>
      <w:r>
        <w:rPr>
          <w:rFonts w:ascii="Segoe UI" w:eastAsia="Segoe UI" w:hAnsi="Segoe UI"/>
          <w:color w:val="000000"/>
          <w:sz w:val="22"/>
        </w:rPr>
        <w:t xml:space="preserve">The proposed health technology is the existing MBS item 73342. A modification to the descriptor as outlined in red is requested to expand use of the current test so it can also be applied to trastuzumab </w:t>
      </w:r>
      <w:proofErr w:type="spellStart"/>
      <w:r>
        <w:rPr>
          <w:rFonts w:ascii="Segoe UI" w:eastAsia="Segoe UI" w:hAnsi="Segoe UI"/>
          <w:color w:val="000000"/>
          <w:sz w:val="22"/>
        </w:rPr>
        <w:t>deruxtecan</w:t>
      </w:r>
      <w:proofErr w:type="spellEnd"/>
      <w:r>
        <w:rPr>
          <w:rFonts w:ascii="Segoe UI" w:eastAsia="Segoe UI" w:hAnsi="Segoe UI"/>
          <w:color w:val="000000"/>
          <w:sz w:val="22"/>
        </w:rPr>
        <w:t xml:space="preserve"> on the PBS (Table 2). </w:t>
      </w:r>
    </w:p>
    <w:p w14:paraId="59D7A3B5" w14:textId="381B23BC" w:rsidR="009544EE" w:rsidRDefault="009544EE" w:rsidP="00EA7548">
      <w:pPr>
        <w:pStyle w:val="Heading1"/>
      </w:pPr>
      <w:r>
        <w:t>Comparator</w:t>
      </w:r>
    </w:p>
    <w:p w14:paraId="40B03337" w14:textId="77777777" w:rsidR="009544EE" w:rsidRDefault="009544EE" w:rsidP="00EA7548">
      <w:pPr>
        <w:pStyle w:val="Heading2"/>
      </w:pPr>
      <w:r>
        <w:t>Nominate the appropriate comparator(s) for the proposed medical service (i.e.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p>
    <w:p w14:paraId="2232E0E7" w14:textId="77777777" w:rsidR="009544EE" w:rsidRDefault="009544EE" w:rsidP="009544EE">
      <w:pPr>
        <w:spacing w:after="0" w:line="240" w:lineRule="auto"/>
        <w:ind w:left="1134" w:right="1132"/>
      </w:pPr>
      <w:r>
        <w:rPr>
          <w:rFonts w:ascii="Segoe UI" w:eastAsia="Segoe UI" w:hAnsi="Segoe UI"/>
          <w:color w:val="000000"/>
          <w:sz w:val="22"/>
        </w:rPr>
        <w:t xml:space="preserve">HER2 positive gastric cancer patients who have failed on trastuzumab: No HER2 re-testing + standard of care, chemotherapy </w:t>
      </w:r>
    </w:p>
    <w:p w14:paraId="5AB694B5" w14:textId="286ABF1F" w:rsidR="009544EE" w:rsidRDefault="009544EE" w:rsidP="00EA7548">
      <w:pPr>
        <w:pStyle w:val="Heading1"/>
      </w:pPr>
      <w:r>
        <w:t>Outcomes</w:t>
      </w:r>
    </w:p>
    <w:p w14:paraId="2973C2EA" w14:textId="77777777" w:rsidR="009544EE" w:rsidRDefault="009544EE" w:rsidP="00EA7548">
      <w:pPr>
        <w:pStyle w:val="Heading2"/>
      </w:pPr>
      <w:r>
        <w:t xml:space="preserve">Outcome description – please include information about whether a change in patient management, or prognosis, occurs </w:t>
      </w:r>
      <w:proofErr w:type="gramStart"/>
      <w:r>
        <w:t>as a result of</w:t>
      </w:r>
      <w:proofErr w:type="gramEnd"/>
      <w:r>
        <w:t xml:space="preserve"> the test information:</w:t>
      </w:r>
    </w:p>
    <w:p w14:paraId="2078F2DE" w14:textId="77777777" w:rsidR="009544EE" w:rsidRDefault="009544EE" w:rsidP="009544EE">
      <w:pPr>
        <w:spacing w:after="0" w:line="240" w:lineRule="auto"/>
        <w:ind w:left="1134" w:right="1132"/>
      </w:pPr>
      <w:r>
        <w:rPr>
          <w:rFonts w:ascii="Segoe UI" w:eastAsia="Segoe UI" w:hAnsi="Segoe UI"/>
          <w:color w:val="000000"/>
          <w:sz w:val="22"/>
        </w:rPr>
        <w:t xml:space="preserve">The treatment with trastuzumab </w:t>
      </w:r>
      <w:proofErr w:type="spellStart"/>
      <w:r>
        <w:rPr>
          <w:rFonts w:ascii="Segoe UI" w:eastAsia="Segoe UI" w:hAnsi="Segoe UI"/>
          <w:color w:val="000000"/>
          <w:sz w:val="22"/>
        </w:rPr>
        <w:t>deruxtecan</w:t>
      </w:r>
      <w:proofErr w:type="spellEnd"/>
      <w:r>
        <w:rPr>
          <w:rFonts w:ascii="Segoe UI" w:eastAsia="Segoe UI" w:hAnsi="Segoe UI"/>
          <w:color w:val="000000"/>
          <w:sz w:val="22"/>
        </w:rPr>
        <w:t xml:space="preserve"> (preceded by HER2 testing or not) is associated with superior outcomes compared to standard of care, chemotherapy, in patients with metastatic HER2-positive gastric or GEJ adenocarcinoma following first-line </w:t>
      </w:r>
      <w:proofErr w:type="spellStart"/>
      <w:r>
        <w:rPr>
          <w:rFonts w:ascii="Segoe UI" w:eastAsia="Segoe UI" w:hAnsi="Segoe UI"/>
          <w:color w:val="000000"/>
          <w:sz w:val="22"/>
        </w:rPr>
        <w:t>trastuzuamab</w:t>
      </w:r>
      <w:proofErr w:type="spellEnd"/>
      <w:r>
        <w:rPr>
          <w:rFonts w:ascii="Segoe UI" w:eastAsia="Segoe UI" w:hAnsi="Segoe UI"/>
          <w:color w:val="000000"/>
          <w:sz w:val="22"/>
        </w:rPr>
        <w:t>. It is important to emphasise that DG-01 trial showed that overall survival results are similar between re-tested vs not re-tested patients supporting the proposal that retesting should be discretionary given the challenges associated with re-</w:t>
      </w:r>
      <w:proofErr w:type="spellStart"/>
      <w:r>
        <w:rPr>
          <w:rFonts w:ascii="Segoe UI" w:eastAsia="Segoe UI" w:hAnsi="Segoe UI"/>
          <w:color w:val="000000"/>
          <w:sz w:val="22"/>
        </w:rPr>
        <w:t>biopsying</w:t>
      </w:r>
      <w:proofErr w:type="spellEnd"/>
      <w:r>
        <w:rPr>
          <w:rFonts w:ascii="Segoe UI" w:eastAsia="Segoe UI" w:hAnsi="Segoe UI"/>
          <w:color w:val="000000"/>
          <w:sz w:val="22"/>
        </w:rPr>
        <w:t xml:space="preserve"> patients. </w:t>
      </w:r>
    </w:p>
    <w:p w14:paraId="1EB5FAFE" w14:textId="0FB4A70A" w:rsidR="009544EE" w:rsidRDefault="009544EE" w:rsidP="00EA7548">
      <w:pPr>
        <w:pStyle w:val="Heading1"/>
      </w:pPr>
      <w:r>
        <w:t>Proposed MBS items</w:t>
      </w:r>
    </w:p>
    <w:p w14:paraId="6D49986A" w14:textId="725E02F1" w:rsidR="009544EE" w:rsidRDefault="009544EE" w:rsidP="00EA7548">
      <w:pPr>
        <w:pStyle w:val="Heading2"/>
      </w:pPr>
      <w:r>
        <w:t>Proposed Item AAAAA</w:t>
      </w:r>
    </w:p>
    <w:p w14:paraId="3B68FCAA" w14:textId="77777777" w:rsidR="009544EE" w:rsidRDefault="009544EE" w:rsidP="00EA7548">
      <w:pPr>
        <w:pStyle w:val="Heading2"/>
      </w:pPr>
      <w:r>
        <w:t>MBS item number:</w:t>
      </w:r>
    </w:p>
    <w:p w14:paraId="45B1DDCC" w14:textId="77777777" w:rsidR="009544EE" w:rsidRDefault="009544EE" w:rsidP="009544EE">
      <w:pPr>
        <w:spacing w:after="0" w:line="240" w:lineRule="auto"/>
        <w:ind w:left="1134" w:right="1132"/>
      </w:pPr>
      <w:r>
        <w:rPr>
          <w:rFonts w:ascii="Segoe UI" w:eastAsia="Segoe UI" w:hAnsi="Segoe UI"/>
          <w:color w:val="000000"/>
          <w:sz w:val="22"/>
        </w:rPr>
        <w:t>73342</w:t>
      </w:r>
    </w:p>
    <w:p w14:paraId="5396C55B" w14:textId="77777777" w:rsidR="009544EE" w:rsidRDefault="009544EE" w:rsidP="00EA7548">
      <w:pPr>
        <w:pStyle w:val="Heading2"/>
      </w:pPr>
      <w:r>
        <w:t>Please search and select the proposed category:</w:t>
      </w:r>
    </w:p>
    <w:p w14:paraId="5A1E23A0" w14:textId="77777777" w:rsidR="009544EE" w:rsidRDefault="009544EE" w:rsidP="009544EE">
      <w:pPr>
        <w:spacing w:after="0" w:line="240" w:lineRule="auto"/>
        <w:ind w:left="1134" w:right="1132"/>
      </w:pPr>
      <w:r>
        <w:rPr>
          <w:rFonts w:ascii="Segoe UI" w:eastAsia="Segoe UI" w:hAnsi="Segoe UI"/>
          <w:color w:val="000000"/>
          <w:sz w:val="22"/>
        </w:rPr>
        <w:t>PATHOLOGY SERVICES</w:t>
      </w:r>
    </w:p>
    <w:p w14:paraId="51499CB9" w14:textId="77777777" w:rsidR="009544EE" w:rsidRDefault="009544EE" w:rsidP="00EA7548">
      <w:pPr>
        <w:pStyle w:val="Heading2"/>
      </w:pPr>
      <w:r>
        <w:t>Please search and select the proposed group:</w:t>
      </w:r>
    </w:p>
    <w:p w14:paraId="100E38C1" w14:textId="77777777" w:rsidR="009544EE" w:rsidRDefault="009544EE" w:rsidP="009544EE">
      <w:pPr>
        <w:spacing w:after="0" w:line="240" w:lineRule="auto"/>
        <w:ind w:left="1134" w:right="1132"/>
      </w:pPr>
      <w:r>
        <w:rPr>
          <w:rFonts w:ascii="Segoe UI" w:eastAsia="Segoe UI" w:hAnsi="Segoe UI"/>
          <w:color w:val="000000"/>
          <w:sz w:val="22"/>
        </w:rPr>
        <w:t>GENETICS</w:t>
      </w:r>
    </w:p>
    <w:p w14:paraId="0CA40BE6" w14:textId="77777777" w:rsidR="009544EE" w:rsidRDefault="009544EE" w:rsidP="00EA7548">
      <w:pPr>
        <w:pStyle w:val="Heading2"/>
      </w:pPr>
      <w:r>
        <w:t>Please search and select the proposed item descriptor or draft a proposed item descriptor to define the population and health technology usage characteristics that would define eligibility for funding:</w:t>
      </w:r>
    </w:p>
    <w:p w14:paraId="0C692A7C" w14:textId="77777777" w:rsidR="009544EE" w:rsidRDefault="009544EE" w:rsidP="009544EE">
      <w:pPr>
        <w:spacing w:after="0" w:line="240" w:lineRule="auto"/>
        <w:ind w:left="1134" w:right="1132"/>
      </w:pPr>
      <w:r>
        <w:rPr>
          <w:rFonts w:ascii="Segoe UI" w:eastAsia="Segoe UI" w:hAnsi="Segoe UI"/>
          <w:color w:val="000000"/>
          <w:sz w:val="22"/>
        </w:rPr>
        <w:t>An in situ hybridisation (ISH) test of tumour tissue from a patient with metastatic adenocarcinoma of the stomach or gastro-oesophageal junction, with documented evidence of human epidermal growth factor receptor 2 (HER2) overexpression by immunohistochemical (IHC) examination giving a staining intensity score of 2+ or 3+ on the same tumour tissue sample, requested by, or on the advice of, a specialist or consultant physician who manages the treatment of the patient to determine if the requirements relating to HER2 gene amplification for access to a trastuzumab-containing agent under the Pharmaceutical Benefits Scheme are fulfilled.</w:t>
      </w:r>
    </w:p>
    <w:p w14:paraId="398F85CE" w14:textId="77777777" w:rsidR="009544EE" w:rsidRDefault="009544EE" w:rsidP="00EA7548">
      <w:pPr>
        <w:pStyle w:val="Heading2"/>
      </w:pPr>
      <w:r>
        <w:lastRenderedPageBreak/>
        <w:t>Proposed MBS fee:</w:t>
      </w:r>
    </w:p>
    <w:p w14:paraId="520CF080" w14:textId="77777777" w:rsidR="009544EE" w:rsidRDefault="009544EE" w:rsidP="009544EE">
      <w:pPr>
        <w:spacing w:after="0" w:line="240" w:lineRule="auto"/>
        <w:ind w:left="1134" w:right="1132"/>
      </w:pPr>
      <w:r>
        <w:rPr>
          <w:rFonts w:ascii="Segoe UI" w:eastAsia="Segoe UI" w:hAnsi="Segoe UI"/>
          <w:color w:val="000000"/>
          <w:sz w:val="22"/>
        </w:rPr>
        <w:t>$315.40</w:t>
      </w:r>
    </w:p>
    <w:p w14:paraId="55732EF9" w14:textId="77777777" w:rsidR="009544EE" w:rsidRDefault="009544EE" w:rsidP="00EA7548">
      <w:pPr>
        <w:pStyle w:val="Heading2"/>
      </w:pPr>
      <w:r>
        <w:t>Indicate the overall cost per patient of providing the proposed health technology:</w:t>
      </w:r>
    </w:p>
    <w:p w14:paraId="3EDDE372" w14:textId="77777777" w:rsidR="009544EE" w:rsidRDefault="009544EE" w:rsidP="009544EE">
      <w:pPr>
        <w:spacing w:after="0" w:line="240" w:lineRule="auto"/>
        <w:ind w:left="1134" w:right="1132"/>
      </w:pPr>
      <w:r>
        <w:rPr>
          <w:rFonts w:ascii="Segoe UI" w:eastAsia="Segoe UI" w:hAnsi="Segoe UI"/>
          <w:color w:val="000000"/>
          <w:sz w:val="22"/>
        </w:rPr>
        <w:t>$268.10</w:t>
      </w:r>
    </w:p>
    <w:p w14:paraId="616B4FD9" w14:textId="77777777" w:rsidR="009544EE" w:rsidRDefault="009544EE" w:rsidP="00EA7548">
      <w:pPr>
        <w:pStyle w:val="Heading2"/>
      </w:pPr>
      <w:r>
        <w:t>Please specify any anticipated out of pocket costs:</w:t>
      </w:r>
    </w:p>
    <w:p w14:paraId="6CE323F3" w14:textId="77777777" w:rsidR="009544EE" w:rsidRDefault="009544EE" w:rsidP="009544EE">
      <w:pPr>
        <w:spacing w:after="0" w:line="240" w:lineRule="auto"/>
        <w:ind w:left="1134" w:right="1132"/>
      </w:pPr>
      <w:r>
        <w:rPr>
          <w:rFonts w:ascii="Segoe UI" w:eastAsia="Segoe UI" w:hAnsi="Segoe UI"/>
          <w:color w:val="000000"/>
          <w:sz w:val="22"/>
        </w:rPr>
        <w:t>$47.30</w:t>
      </w:r>
    </w:p>
    <w:p w14:paraId="60E72599" w14:textId="77777777" w:rsidR="009544EE" w:rsidRDefault="009544EE" w:rsidP="00EA7548">
      <w:pPr>
        <w:pStyle w:val="Heading2"/>
      </w:pPr>
      <w:r>
        <w:t>Provide details and explain:</w:t>
      </w:r>
    </w:p>
    <w:p w14:paraId="1E9A5665" w14:textId="77777777" w:rsidR="009544EE" w:rsidRDefault="009544EE" w:rsidP="00E803AB">
      <w:pPr>
        <w:keepNext/>
        <w:keepLines/>
        <w:spacing w:after="0" w:line="240" w:lineRule="auto"/>
        <w:ind w:left="1134" w:right="1132"/>
      </w:pPr>
      <w:r>
        <w:rPr>
          <w:rFonts w:ascii="Segoe UI" w:eastAsia="Segoe UI" w:hAnsi="Segoe UI"/>
          <w:color w:val="000000"/>
          <w:sz w:val="22"/>
        </w:rPr>
        <w:t>NA</w:t>
      </w:r>
    </w:p>
    <w:p w14:paraId="67C05677" w14:textId="5B09E605" w:rsidR="009544EE" w:rsidRDefault="009544EE" w:rsidP="00EA7548">
      <w:pPr>
        <w:pStyle w:val="Heading2"/>
      </w:pPr>
      <w:r>
        <w:t>How is the technology/service funded at present? (For example: research funding; State-based funding; self-funded by patients; no funding or payments):</w:t>
      </w:r>
    </w:p>
    <w:p w14:paraId="58C20B90" w14:textId="77777777" w:rsidR="009544EE" w:rsidRDefault="009544EE" w:rsidP="009544EE">
      <w:pPr>
        <w:spacing w:after="0" w:line="240" w:lineRule="auto"/>
        <w:ind w:left="1134" w:right="1132"/>
      </w:pPr>
      <w:r>
        <w:rPr>
          <w:rFonts w:ascii="Segoe UI" w:eastAsia="Segoe UI" w:hAnsi="Segoe UI"/>
          <w:color w:val="000000"/>
          <w:sz w:val="22"/>
        </w:rPr>
        <w:t xml:space="preserve">ISH test already exists on MBS (Item 73342, Table 4). As such, the current testing, interpretation, and reporting paradigm will remain unchanged as it already reports on the diagnostic criteria required to identify patients with HER2-positive gastric or GEJ cancer and allows re-testing.  </w:t>
      </w:r>
    </w:p>
    <w:p w14:paraId="0F566F7B" w14:textId="5DA1166C" w:rsidR="009544EE" w:rsidRDefault="009544EE" w:rsidP="00EA7548">
      <w:pPr>
        <w:pStyle w:val="Heading2"/>
      </w:pPr>
      <w:r>
        <w:t>Please provide a cost break down attachment:</w:t>
      </w:r>
    </w:p>
    <w:tbl>
      <w:tblPr>
        <w:tblStyle w:val="TableGrid"/>
        <w:tblW w:w="0" w:type="auto"/>
        <w:tblInd w:w="1134" w:type="dxa"/>
        <w:tblLook w:val="04A0" w:firstRow="1" w:lastRow="0" w:firstColumn="1" w:lastColumn="0" w:noHBand="0" w:noVBand="1"/>
      </w:tblPr>
      <w:tblGrid>
        <w:gridCol w:w="4091"/>
        <w:gridCol w:w="5373"/>
      </w:tblGrid>
      <w:tr w:rsidR="00E803AB" w14:paraId="6A025152" w14:textId="77777777" w:rsidTr="00E803AB">
        <w:tc>
          <w:tcPr>
            <w:tcW w:w="0" w:type="auto"/>
          </w:tcPr>
          <w:p w14:paraId="7FBFB7FD" w14:textId="13A17308" w:rsidR="00E803AB" w:rsidRDefault="00E803AB" w:rsidP="00E803AB">
            <w:pPr>
              <w:spacing w:before="120"/>
              <w:ind w:right="1134"/>
            </w:pPr>
            <w:r>
              <w:rPr>
                <w:rFonts w:ascii="Segoe UI" w:eastAsia="Segoe UI" w:hAnsi="Segoe UI"/>
                <w:b/>
                <w:color w:val="000000"/>
                <w:sz w:val="22"/>
              </w:rPr>
              <w:t>Document type</w:t>
            </w:r>
          </w:p>
        </w:tc>
        <w:tc>
          <w:tcPr>
            <w:tcW w:w="5373" w:type="dxa"/>
          </w:tcPr>
          <w:p w14:paraId="7902584C" w14:textId="042D24EF" w:rsidR="00E803AB" w:rsidRDefault="00E803AB" w:rsidP="00E803AB">
            <w:pPr>
              <w:ind w:right="1132"/>
            </w:pPr>
            <w:r>
              <w:rPr>
                <w:rFonts w:ascii="Segoe UI" w:eastAsia="Segoe UI" w:hAnsi="Segoe UI"/>
                <w:b/>
                <w:color w:val="000000"/>
                <w:sz w:val="22"/>
              </w:rPr>
              <w:t>File name(s)</w:t>
            </w:r>
          </w:p>
        </w:tc>
      </w:tr>
      <w:tr w:rsidR="00E803AB" w14:paraId="4CEE1451" w14:textId="77777777" w:rsidTr="00E803AB">
        <w:tc>
          <w:tcPr>
            <w:tcW w:w="0" w:type="auto"/>
          </w:tcPr>
          <w:p w14:paraId="75F69E69" w14:textId="1C9370D2" w:rsidR="00E803AB" w:rsidRDefault="00E803AB" w:rsidP="00E803AB">
            <w:pPr>
              <w:spacing w:before="120"/>
              <w:ind w:right="1134"/>
            </w:pPr>
            <w:r>
              <w:rPr>
                <w:rFonts w:ascii="Segoe UI" w:eastAsia="Segoe UI" w:hAnsi="Segoe UI"/>
                <w:color w:val="000000"/>
                <w:sz w:val="22"/>
              </w:rPr>
              <w:t>Cost breakdown attachment</w:t>
            </w:r>
          </w:p>
        </w:tc>
        <w:tc>
          <w:tcPr>
            <w:tcW w:w="5373" w:type="dxa"/>
          </w:tcPr>
          <w:p w14:paraId="11282A5E" w14:textId="351553E3" w:rsidR="00E803AB" w:rsidRDefault="00E803AB" w:rsidP="00E803AB">
            <w:pPr>
              <w:ind w:right="1132"/>
            </w:pPr>
            <w:r>
              <w:rPr>
                <w:rFonts w:ascii="Segoe UI" w:eastAsia="Segoe UI" w:hAnsi="Segoe UI"/>
                <w:color w:val="000000"/>
                <w:sz w:val="22"/>
              </w:rPr>
              <w:t>breakdown costs.docx</w:t>
            </w:r>
          </w:p>
        </w:tc>
      </w:tr>
    </w:tbl>
    <w:p w14:paraId="400C4CF8" w14:textId="1B5F0057" w:rsidR="009544EE" w:rsidRDefault="009544EE" w:rsidP="00EA7548">
      <w:pPr>
        <w:pStyle w:val="Heading1"/>
      </w:pPr>
      <w:r>
        <w:t>Claims</w:t>
      </w:r>
    </w:p>
    <w:p w14:paraId="32F19B5D" w14:textId="77777777" w:rsidR="009544EE" w:rsidRDefault="009544EE" w:rsidP="00EA7548">
      <w:pPr>
        <w:pStyle w:val="Heading2"/>
      </w:pPr>
      <w:r>
        <w:t>In terms of health outcomes (comparative benefits and harms), is the proposed technology claimed to be superior, non-inferior or inferior to the comparator(s)?</w:t>
      </w:r>
    </w:p>
    <w:p w14:paraId="79E20D62" w14:textId="77777777" w:rsidR="009544EE" w:rsidRDefault="009544EE" w:rsidP="009544EE">
      <w:pPr>
        <w:spacing w:after="0" w:line="240" w:lineRule="auto"/>
        <w:ind w:left="1134" w:right="1132"/>
      </w:pPr>
      <w:r>
        <w:rPr>
          <w:rFonts w:ascii="Segoe UI" w:eastAsia="Segoe UI" w:hAnsi="Segoe UI"/>
          <w:color w:val="000000"/>
          <w:sz w:val="22"/>
        </w:rPr>
        <w:t>Superior</w:t>
      </w:r>
    </w:p>
    <w:p w14:paraId="70285731" w14:textId="77777777" w:rsidR="009544EE" w:rsidRDefault="009544EE" w:rsidP="00EA7548">
      <w:pPr>
        <w:pStyle w:val="Heading2"/>
      </w:pPr>
      <w:r>
        <w:t>Please state what the overall claim is, and provide a rationale:</w:t>
      </w:r>
    </w:p>
    <w:p w14:paraId="56A5F6E6" w14:textId="77777777" w:rsidR="009544EE" w:rsidRDefault="009544EE" w:rsidP="009544EE">
      <w:pPr>
        <w:spacing w:after="0" w:line="240" w:lineRule="auto"/>
        <w:ind w:left="1134" w:right="1132"/>
      </w:pPr>
      <w:r>
        <w:rPr>
          <w:rFonts w:ascii="Segoe UI" w:eastAsia="Segoe UI" w:hAnsi="Segoe UI"/>
          <w:color w:val="000000"/>
          <w:sz w:val="22"/>
        </w:rPr>
        <w:t>Superiority vs. No testing + standard of care chemotherapy.</w:t>
      </w:r>
      <w:r>
        <w:rPr>
          <w:rFonts w:ascii="Segoe UI" w:eastAsia="Segoe UI" w:hAnsi="Segoe UI"/>
          <w:color w:val="000000"/>
          <w:sz w:val="22"/>
        </w:rPr>
        <w:br/>
        <w:t xml:space="preserve">Trastuzumab </w:t>
      </w:r>
      <w:proofErr w:type="spellStart"/>
      <w:r>
        <w:rPr>
          <w:rFonts w:ascii="Segoe UI" w:eastAsia="Segoe UI" w:hAnsi="Segoe UI"/>
          <w:color w:val="000000"/>
          <w:sz w:val="22"/>
        </w:rPr>
        <w:t>deruxtecan</w:t>
      </w:r>
      <w:proofErr w:type="spellEnd"/>
      <w:r>
        <w:rPr>
          <w:rFonts w:ascii="Segoe UI" w:eastAsia="Segoe UI" w:hAnsi="Segoe UI"/>
          <w:color w:val="000000"/>
          <w:sz w:val="22"/>
        </w:rPr>
        <w:t xml:space="preserve"> preceded or not by HER2 testing is associated with superior outcomes compared to "No HER2 testing and standard of care chemotherapy" in patients with metastatic HER2+ gastric or GEJ cancer whose disease progressed on previous trastuzumab-containing regimens</w:t>
      </w:r>
    </w:p>
    <w:p w14:paraId="1CDD770F" w14:textId="1C9FD404" w:rsidR="009544EE" w:rsidRDefault="009544EE" w:rsidP="00EA7548">
      <w:pPr>
        <w:pStyle w:val="Heading1"/>
      </w:pPr>
      <w:r>
        <w:t>Estimated utilisation</w:t>
      </w:r>
    </w:p>
    <w:p w14:paraId="772D28E7" w14:textId="77777777" w:rsidR="009544EE" w:rsidRDefault="009544EE" w:rsidP="00EA7548">
      <w:pPr>
        <w:pStyle w:val="Heading2"/>
      </w:pPr>
      <w:r>
        <w:t>Estimate the prevalence and/or incidence of the proposed population:</w:t>
      </w:r>
    </w:p>
    <w:p w14:paraId="1A871770" w14:textId="77777777" w:rsidR="009544EE" w:rsidRDefault="009544EE" w:rsidP="009544EE">
      <w:pPr>
        <w:spacing w:after="0" w:line="240" w:lineRule="auto"/>
        <w:ind w:left="1134" w:right="1132"/>
      </w:pPr>
      <w:r>
        <w:rPr>
          <w:rFonts w:ascii="Segoe UI" w:eastAsia="Segoe UI" w:hAnsi="Segoe UI"/>
          <w:color w:val="000000"/>
          <w:sz w:val="22"/>
        </w:rPr>
        <w:t xml:space="preserve">For patients failing trastuzumab there may be some retesting arising from the availability of PBS-funded trastuzumab </w:t>
      </w:r>
      <w:proofErr w:type="spellStart"/>
      <w:r>
        <w:rPr>
          <w:rFonts w:ascii="Segoe UI" w:eastAsia="Segoe UI" w:hAnsi="Segoe UI"/>
          <w:color w:val="000000"/>
          <w:sz w:val="22"/>
        </w:rPr>
        <w:t>deruxtecan</w:t>
      </w:r>
      <w:proofErr w:type="spellEnd"/>
      <w:r>
        <w:rPr>
          <w:rFonts w:ascii="Segoe UI" w:eastAsia="Segoe UI" w:hAnsi="Segoe UI"/>
          <w:color w:val="000000"/>
          <w:sz w:val="22"/>
        </w:rPr>
        <w:t xml:space="preserve"> however, since the number of patients currently treated with trastuzumab for gastric cancer is small (less than 200 patients per year) it follows that the number of patients receiving trastuzumab </w:t>
      </w:r>
      <w:proofErr w:type="spellStart"/>
      <w:r>
        <w:rPr>
          <w:rFonts w:ascii="Segoe UI" w:eastAsia="Segoe UI" w:hAnsi="Segoe UI"/>
          <w:color w:val="000000"/>
          <w:sz w:val="22"/>
        </w:rPr>
        <w:t>deruxtecan</w:t>
      </w:r>
      <w:proofErr w:type="spellEnd"/>
      <w:r>
        <w:rPr>
          <w:rFonts w:ascii="Segoe UI" w:eastAsia="Segoe UI" w:hAnsi="Segoe UI"/>
          <w:color w:val="000000"/>
          <w:sz w:val="22"/>
        </w:rPr>
        <w:t xml:space="preserve"> will be less than 200. Hence, the additional healthcare resources including costs to the MBS due to trastuzumab </w:t>
      </w:r>
      <w:proofErr w:type="spellStart"/>
      <w:r>
        <w:rPr>
          <w:rFonts w:ascii="Segoe UI" w:eastAsia="Segoe UI" w:hAnsi="Segoe UI"/>
          <w:color w:val="000000"/>
          <w:sz w:val="22"/>
        </w:rPr>
        <w:t>deruxtecan</w:t>
      </w:r>
      <w:proofErr w:type="spellEnd"/>
      <w:r>
        <w:rPr>
          <w:rFonts w:ascii="Segoe UI" w:eastAsia="Segoe UI" w:hAnsi="Segoe UI"/>
          <w:color w:val="000000"/>
          <w:sz w:val="22"/>
        </w:rPr>
        <w:t xml:space="preserve"> on the PBS will be minimal.  </w:t>
      </w:r>
    </w:p>
    <w:p w14:paraId="4B9ADE5B" w14:textId="77777777" w:rsidR="009544EE" w:rsidRDefault="009544EE" w:rsidP="00EA7548">
      <w:pPr>
        <w:pStyle w:val="Heading2"/>
        <w:keepNext/>
        <w:keepLines/>
      </w:pPr>
      <w:r>
        <w:lastRenderedPageBreak/>
        <w:t>Provide the percentage uptake of the proposed health technology by the proposed population:</w:t>
      </w:r>
    </w:p>
    <w:p w14:paraId="0F512B85" w14:textId="77777777" w:rsidR="009544EE" w:rsidRDefault="009544EE" w:rsidP="00EA7548">
      <w:pPr>
        <w:pStyle w:val="Heading2"/>
        <w:keepNext/>
        <w:keepLines/>
      </w:pPr>
      <w:r>
        <w:t xml:space="preserve">     Year 1 estimated </w:t>
      </w:r>
      <w:proofErr w:type="gramStart"/>
      <w:r>
        <w:t>uptake(</w:t>
      </w:r>
      <w:proofErr w:type="gramEnd"/>
      <w:r>
        <w:t>%):</w:t>
      </w:r>
    </w:p>
    <w:p w14:paraId="37FF345B" w14:textId="77777777" w:rsidR="009544EE" w:rsidRDefault="009544EE" w:rsidP="00EA7548">
      <w:pPr>
        <w:keepNext/>
        <w:keepLines/>
        <w:spacing w:after="0" w:line="240" w:lineRule="auto"/>
        <w:ind w:left="1134" w:right="1132"/>
      </w:pPr>
      <w:r>
        <w:rPr>
          <w:rFonts w:ascii="Segoe UI" w:eastAsia="Segoe UI" w:hAnsi="Segoe UI"/>
          <w:color w:val="000000"/>
          <w:sz w:val="22"/>
        </w:rPr>
        <w:t xml:space="preserve">     100</w:t>
      </w:r>
    </w:p>
    <w:p w14:paraId="548852E3" w14:textId="77777777" w:rsidR="009544EE" w:rsidRDefault="009544EE" w:rsidP="00EA7548">
      <w:pPr>
        <w:pStyle w:val="Heading2"/>
        <w:keepNext/>
        <w:keepLines/>
        <w:spacing w:before="0"/>
      </w:pPr>
      <w:r>
        <w:t xml:space="preserve">     Year 2 estimated </w:t>
      </w:r>
      <w:proofErr w:type="gramStart"/>
      <w:r>
        <w:t>uptake(</w:t>
      </w:r>
      <w:proofErr w:type="gramEnd"/>
      <w:r>
        <w:t>%):</w:t>
      </w:r>
    </w:p>
    <w:p w14:paraId="0CE0A16A" w14:textId="77777777" w:rsidR="009544EE" w:rsidRDefault="009544EE" w:rsidP="00EA7548">
      <w:pPr>
        <w:keepNext/>
        <w:keepLines/>
        <w:spacing w:after="0" w:line="240" w:lineRule="auto"/>
        <w:ind w:left="1134" w:right="1132"/>
      </w:pPr>
      <w:r>
        <w:rPr>
          <w:rFonts w:ascii="Segoe UI" w:eastAsia="Segoe UI" w:hAnsi="Segoe UI"/>
          <w:color w:val="000000"/>
          <w:sz w:val="22"/>
        </w:rPr>
        <w:t xml:space="preserve">     100</w:t>
      </w:r>
    </w:p>
    <w:p w14:paraId="209D15E8" w14:textId="77777777" w:rsidR="009544EE" w:rsidRDefault="009544EE" w:rsidP="00EA7548">
      <w:pPr>
        <w:pStyle w:val="Heading2"/>
        <w:keepNext/>
        <w:keepLines/>
        <w:spacing w:before="0"/>
      </w:pPr>
      <w:r>
        <w:t xml:space="preserve">     Year 3 estimated </w:t>
      </w:r>
      <w:proofErr w:type="gramStart"/>
      <w:r>
        <w:t>uptake(</w:t>
      </w:r>
      <w:proofErr w:type="gramEnd"/>
      <w:r>
        <w:t>%):</w:t>
      </w:r>
    </w:p>
    <w:p w14:paraId="455E3A2D" w14:textId="77777777" w:rsidR="009544EE" w:rsidRDefault="009544EE" w:rsidP="00EA7548">
      <w:pPr>
        <w:keepNext/>
        <w:keepLines/>
        <w:spacing w:after="0" w:line="240" w:lineRule="auto"/>
        <w:ind w:left="1134" w:right="1132"/>
      </w:pPr>
      <w:r>
        <w:rPr>
          <w:rFonts w:ascii="Segoe UI" w:eastAsia="Segoe UI" w:hAnsi="Segoe UI"/>
          <w:b/>
          <w:color w:val="000000"/>
          <w:sz w:val="22"/>
        </w:rPr>
        <w:t xml:space="preserve">     </w:t>
      </w:r>
      <w:r>
        <w:rPr>
          <w:rFonts w:ascii="Segoe UI" w:eastAsia="Segoe UI" w:hAnsi="Segoe UI"/>
          <w:color w:val="000000"/>
          <w:sz w:val="22"/>
        </w:rPr>
        <w:t>100</w:t>
      </w:r>
    </w:p>
    <w:p w14:paraId="4AEAA278" w14:textId="7B01DAB8" w:rsidR="009544EE" w:rsidRDefault="009544EE" w:rsidP="00EA7548">
      <w:pPr>
        <w:pStyle w:val="Heading2"/>
        <w:spacing w:before="0"/>
      </w:pPr>
      <w:r>
        <w:t xml:space="preserve">     Year </w:t>
      </w:r>
      <w:r w:rsidR="00EA7548">
        <w:t>4</w:t>
      </w:r>
      <w:r>
        <w:t xml:space="preserve"> estimated </w:t>
      </w:r>
      <w:proofErr w:type="gramStart"/>
      <w:r>
        <w:t>uptake(</w:t>
      </w:r>
      <w:proofErr w:type="gramEnd"/>
      <w:r>
        <w:t>%):</w:t>
      </w:r>
    </w:p>
    <w:p w14:paraId="2667B26F" w14:textId="77777777" w:rsidR="009544EE" w:rsidRDefault="009544EE" w:rsidP="00EA7548">
      <w:pPr>
        <w:keepNext/>
        <w:keepLines/>
        <w:spacing w:after="0" w:line="240" w:lineRule="auto"/>
        <w:ind w:left="1134" w:right="1132"/>
      </w:pPr>
      <w:r>
        <w:rPr>
          <w:rFonts w:ascii="Segoe UI" w:eastAsia="Segoe UI" w:hAnsi="Segoe UI"/>
          <w:color w:val="000000"/>
          <w:sz w:val="22"/>
        </w:rPr>
        <w:t xml:space="preserve">     100</w:t>
      </w:r>
    </w:p>
    <w:p w14:paraId="733501D2" w14:textId="77777777" w:rsidR="009544EE" w:rsidRDefault="009544EE" w:rsidP="00EA7548">
      <w:pPr>
        <w:pStyle w:val="Heading2"/>
      </w:pPr>
      <w:r>
        <w:t>Estimate the number of patients who will utilise the proposed technology for the first full year:</w:t>
      </w:r>
    </w:p>
    <w:p w14:paraId="5393C9A7" w14:textId="77777777" w:rsidR="009544EE" w:rsidRDefault="009544EE" w:rsidP="009544EE">
      <w:pPr>
        <w:spacing w:after="0" w:line="240" w:lineRule="auto"/>
        <w:ind w:left="1134" w:right="1132"/>
      </w:pPr>
      <w:r>
        <w:rPr>
          <w:rFonts w:ascii="Segoe UI" w:eastAsia="Segoe UI" w:hAnsi="Segoe UI"/>
          <w:color w:val="000000"/>
          <w:sz w:val="22"/>
        </w:rPr>
        <w:t xml:space="preserve">less than 200 patients </w:t>
      </w:r>
    </w:p>
    <w:p w14:paraId="67ABE8F4" w14:textId="77777777" w:rsidR="009544EE" w:rsidRDefault="009544EE" w:rsidP="00EA7548">
      <w:pPr>
        <w:pStyle w:val="Heading2"/>
      </w:pPr>
      <w:r>
        <w:t>Optionally, provide details:</w:t>
      </w:r>
    </w:p>
    <w:p w14:paraId="4914B7F3" w14:textId="77777777" w:rsidR="009544EE" w:rsidRDefault="009544EE" w:rsidP="009544EE">
      <w:pPr>
        <w:spacing w:after="0" w:line="240" w:lineRule="auto"/>
        <w:ind w:left="1134" w:right="1132"/>
      </w:pPr>
    </w:p>
    <w:p w14:paraId="3AE1C0EA" w14:textId="77777777" w:rsidR="009544EE" w:rsidRDefault="009544EE" w:rsidP="00EA7548">
      <w:pPr>
        <w:pStyle w:val="Heading2"/>
      </w:pPr>
      <w:r>
        <w:t>Will the technology be needed more than once per patient?</w:t>
      </w:r>
    </w:p>
    <w:p w14:paraId="01B2B078" w14:textId="77777777" w:rsidR="009544EE" w:rsidRDefault="009544EE" w:rsidP="009544EE">
      <w:pPr>
        <w:spacing w:after="0" w:line="240" w:lineRule="auto"/>
        <w:ind w:left="1134" w:right="1132"/>
      </w:pPr>
      <w:r>
        <w:rPr>
          <w:rFonts w:ascii="Segoe UI" w:eastAsia="Segoe UI" w:hAnsi="Segoe UI"/>
          <w:color w:val="000000"/>
          <w:sz w:val="22"/>
        </w:rPr>
        <w:t>No, once only</w:t>
      </w:r>
    </w:p>
    <w:p w14:paraId="3F28AECE" w14:textId="6B878FBD" w:rsidR="009544EE" w:rsidRDefault="009544EE" w:rsidP="009544EE">
      <w:pPr>
        <w:pStyle w:val="EmptyCellLayoutStyle"/>
        <w:spacing w:after="0" w:line="240" w:lineRule="auto"/>
        <w:ind w:left="1134" w:right="1132"/>
      </w:pPr>
    </w:p>
    <w:p w14:paraId="16C6EC0F" w14:textId="6C00183C" w:rsidR="009544EE" w:rsidRDefault="009544EE" w:rsidP="009544EE">
      <w:pPr>
        <w:pStyle w:val="EmptyCellLayoutStyle"/>
        <w:spacing w:after="0" w:line="240" w:lineRule="auto"/>
        <w:ind w:left="1134" w:right="1132"/>
      </w:pPr>
    </w:p>
    <w:p w14:paraId="685AB00C" w14:textId="5AAEA06B" w:rsidR="009544EE" w:rsidRDefault="009544EE" w:rsidP="00EA7548">
      <w:pPr>
        <w:pStyle w:val="Heading2"/>
      </w:pPr>
      <w:r>
        <w:t>Provide references to support these calculations.</w:t>
      </w:r>
    </w:p>
    <w:tbl>
      <w:tblPr>
        <w:tblStyle w:val="TableGrid"/>
        <w:tblW w:w="0" w:type="auto"/>
        <w:tblInd w:w="1134" w:type="dxa"/>
        <w:tblLook w:val="04A0" w:firstRow="1" w:lastRow="0" w:firstColumn="1" w:lastColumn="0" w:noHBand="0" w:noVBand="1"/>
      </w:tblPr>
      <w:tblGrid>
        <w:gridCol w:w="4371"/>
        <w:gridCol w:w="5408"/>
      </w:tblGrid>
      <w:tr w:rsidR="00E803AB" w14:paraId="033E1C30" w14:textId="77777777" w:rsidTr="00E803AB">
        <w:tc>
          <w:tcPr>
            <w:tcW w:w="0" w:type="auto"/>
          </w:tcPr>
          <w:p w14:paraId="49A4399F" w14:textId="146083C6" w:rsidR="00E803AB" w:rsidRDefault="00E803AB" w:rsidP="00E803AB">
            <w:pPr>
              <w:spacing w:before="120"/>
              <w:ind w:right="1134"/>
            </w:pPr>
            <w:r>
              <w:rPr>
                <w:rFonts w:ascii="Segoe UI" w:eastAsia="Segoe UI" w:hAnsi="Segoe UI"/>
                <w:b/>
                <w:color w:val="000000"/>
                <w:sz w:val="22"/>
              </w:rPr>
              <w:t>Document type</w:t>
            </w:r>
          </w:p>
        </w:tc>
        <w:tc>
          <w:tcPr>
            <w:tcW w:w="0" w:type="auto"/>
          </w:tcPr>
          <w:p w14:paraId="3C437722" w14:textId="7045E4CA" w:rsidR="00E803AB" w:rsidRDefault="00E803AB" w:rsidP="00E803AB">
            <w:pPr>
              <w:ind w:right="1132"/>
            </w:pPr>
            <w:r>
              <w:rPr>
                <w:rFonts w:ascii="Segoe UI" w:eastAsia="Segoe UI" w:hAnsi="Segoe UI"/>
                <w:b/>
                <w:color w:val="000000"/>
                <w:sz w:val="22"/>
              </w:rPr>
              <w:t>File name(s)</w:t>
            </w:r>
          </w:p>
        </w:tc>
      </w:tr>
      <w:tr w:rsidR="00E803AB" w14:paraId="186A5E87" w14:textId="77777777" w:rsidTr="00E803AB">
        <w:tc>
          <w:tcPr>
            <w:tcW w:w="0" w:type="auto"/>
          </w:tcPr>
          <w:p w14:paraId="00CBFFD5" w14:textId="3F54B780" w:rsidR="00E803AB" w:rsidRDefault="00E803AB" w:rsidP="00E803AB">
            <w:pPr>
              <w:spacing w:before="120"/>
              <w:ind w:right="1134"/>
            </w:pPr>
            <w:r>
              <w:rPr>
                <w:rFonts w:ascii="Segoe UI" w:eastAsia="Segoe UI" w:hAnsi="Segoe UI"/>
                <w:color w:val="000000"/>
                <w:sz w:val="22"/>
              </w:rPr>
              <w:t>Estimated utilisation references</w:t>
            </w:r>
          </w:p>
        </w:tc>
        <w:tc>
          <w:tcPr>
            <w:tcW w:w="0" w:type="auto"/>
          </w:tcPr>
          <w:p w14:paraId="2D22502B" w14:textId="07542D8F" w:rsidR="00E803AB" w:rsidRDefault="00E803AB" w:rsidP="00E803AB">
            <w:pPr>
              <w:ind w:right="1132"/>
            </w:pPr>
            <w:r>
              <w:rPr>
                <w:rFonts w:ascii="Segoe UI" w:eastAsia="Segoe UI" w:hAnsi="Segoe UI"/>
                <w:color w:val="000000"/>
                <w:sz w:val="22"/>
              </w:rPr>
              <w:t>Estimated utilisation Trastuzumab use.xlsx</w:t>
            </w:r>
          </w:p>
        </w:tc>
      </w:tr>
    </w:tbl>
    <w:p w14:paraId="3FE0A207" w14:textId="7BE50304" w:rsidR="009544EE" w:rsidRDefault="00E803AB" w:rsidP="00EA7548">
      <w:pPr>
        <w:pStyle w:val="Heading1"/>
      </w:pPr>
      <w:r>
        <w:t>C</w:t>
      </w:r>
      <w:r w:rsidR="009544EE">
        <w:t>onsultation</w:t>
      </w:r>
    </w:p>
    <w:p w14:paraId="4BBA82F4" w14:textId="6F56EDE1" w:rsidR="009544EE" w:rsidRDefault="009544EE" w:rsidP="00EA7548">
      <w:pPr>
        <w:pStyle w:val="Heading2"/>
      </w:pPr>
      <w:r>
        <w:t>List all appropriate professional bodies / organisations representing the group(s) of health professionals who provide the health technology/service:</w:t>
      </w:r>
    </w:p>
    <w:p w14:paraId="70FABEEC" w14:textId="77777777" w:rsidR="00E803AB" w:rsidRDefault="00E803AB" w:rsidP="009544EE">
      <w:pPr>
        <w:spacing w:after="0" w:line="240" w:lineRule="auto"/>
        <w:ind w:left="1134" w:right="1132"/>
      </w:pPr>
    </w:p>
    <w:p w14:paraId="665B8778" w14:textId="4F556FD4" w:rsidR="009544EE" w:rsidRDefault="009544EE" w:rsidP="00EA7548">
      <w:pPr>
        <w:pStyle w:val="Heading2"/>
      </w:pPr>
      <w:r>
        <w:t>Professional body name:</w:t>
      </w:r>
    </w:p>
    <w:p w14:paraId="606906CB" w14:textId="77777777" w:rsidR="009544EE" w:rsidRDefault="009544EE" w:rsidP="009544EE">
      <w:pPr>
        <w:spacing w:after="0" w:line="240" w:lineRule="auto"/>
        <w:ind w:left="1134" w:right="1132"/>
      </w:pPr>
      <w:r>
        <w:rPr>
          <w:rFonts w:ascii="Segoe UI" w:eastAsia="Segoe UI" w:hAnsi="Segoe UI"/>
          <w:color w:val="000000"/>
          <w:sz w:val="22"/>
        </w:rPr>
        <w:t>The Royal College of Pathologists of Australasia</w:t>
      </w:r>
    </w:p>
    <w:p w14:paraId="125B2568" w14:textId="77777777" w:rsidR="009544EE" w:rsidRDefault="009544EE" w:rsidP="009544EE">
      <w:pPr>
        <w:spacing w:after="0" w:line="240" w:lineRule="auto"/>
        <w:ind w:left="1134" w:right="1132"/>
      </w:pPr>
    </w:p>
    <w:p w14:paraId="774EEF3E" w14:textId="6E1763C3" w:rsidR="009544EE" w:rsidRDefault="009544EE" w:rsidP="00EA7548">
      <w:pPr>
        <w:pStyle w:val="Heading2"/>
        <w:spacing w:before="360"/>
      </w:pPr>
      <w:r>
        <w:t>List all appropriate professional bodies / organisations representing the group(s) of health professionals that may be impacted by the health technology/service:</w:t>
      </w:r>
    </w:p>
    <w:p w14:paraId="4BC933B3" w14:textId="77777777" w:rsidR="00E803AB" w:rsidRDefault="00E803AB" w:rsidP="009544EE">
      <w:pPr>
        <w:spacing w:after="0" w:line="240" w:lineRule="auto"/>
        <w:ind w:left="1134" w:right="1132"/>
        <w:rPr>
          <w:rFonts w:ascii="Segoe UI" w:eastAsia="Segoe UI" w:hAnsi="Segoe UI"/>
          <w:b/>
          <w:color w:val="000000"/>
          <w:sz w:val="22"/>
        </w:rPr>
      </w:pPr>
    </w:p>
    <w:p w14:paraId="2BEFF9E7" w14:textId="5F43EC32" w:rsidR="009544EE" w:rsidRDefault="009544EE" w:rsidP="00EA7548">
      <w:pPr>
        <w:pStyle w:val="Heading2"/>
      </w:pPr>
      <w:r>
        <w:t>Professional body name:</w:t>
      </w:r>
    </w:p>
    <w:p w14:paraId="3052E4D1" w14:textId="77777777" w:rsidR="009544EE" w:rsidRDefault="009544EE" w:rsidP="009544EE">
      <w:pPr>
        <w:spacing w:after="0" w:line="240" w:lineRule="auto"/>
        <w:ind w:left="1134" w:right="1132"/>
      </w:pPr>
      <w:r>
        <w:rPr>
          <w:rFonts w:ascii="Segoe UI" w:eastAsia="Segoe UI" w:hAnsi="Segoe UI"/>
          <w:color w:val="000000"/>
          <w:sz w:val="22"/>
        </w:rPr>
        <w:t>The Royal College of Pathologists of Australasia (RCPA)</w:t>
      </w:r>
    </w:p>
    <w:p w14:paraId="760E87E7" w14:textId="77777777" w:rsidR="009544EE" w:rsidRDefault="009544EE" w:rsidP="009544EE">
      <w:pPr>
        <w:spacing w:after="0" w:line="240" w:lineRule="auto"/>
        <w:ind w:left="1134" w:right="1132"/>
      </w:pPr>
    </w:p>
    <w:p w14:paraId="5BF359D6" w14:textId="4DB6BA1B" w:rsidR="009544EE" w:rsidRDefault="009544EE" w:rsidP="00EA7548">
      <w:pPr>
        <w:pStyle w:val="Heading2"/>
        <w:spacing w:before="360"/>
      </w:pPr>
      <w:r>
        <w:t>List the patient and consumer advocacy organisations or individuals relevant to the proposed health technology:</w:t>
      </w:r>
    </w:p>
    <w:p w14:paraId="59D06D17" w14:textId="77777777" w:rsidR="00E803AB" w:rsidRDefault="00E803AB" w:rsidP="009544EE">
      <w:pPr>
        <w:spacing w:after="0" w:line="240" w:lineRule="auto"/>
        <w:ind w:left="1134" w:right="1132"/>
        <w:rPr>
          <w:rFonts w:ascii="Segoe UI" w:eastAsia="Segoe UI" w:hAnsi="Segoe UI"/>
          <w:b/>
          <w:color w:val="000000"/>
          <w:sz w:val="22"/>
        </w:rPr>
      </w:pPr>
    </w:p>
    <w:p w14:paraId="297D889F" w14:textId="790BEEAD" w:rsidR="009544EE" w:rsidRDefault="009544EE" w:rsidP="00EA7548">
      <w:pPr>
        <w:pStyle w:val="Heading2"/>
      </w:pPr>
      <w:r>
        <w:t>Number of organisations listed: 4</w:t>
      </w:r>
    </w:p>
    <w:p w14:paraId="4FEF172C" w14:textId="77777777" w:rsidR="009544EE" w:rsidRDefault="009544EE" w:rsidP="00EA7548">
      <w:pPr>
        <w:pStyle w:val="Heading2"/>
        <w:spacing w:before="0"/>
      </w:pPr>
      <w:r>
        <w:t>Professional body name:</w:t>
      </w:r>
    </w:p>
    <w:p w14:paraId="2258E3E7" w14:textId="77777777" w:rsidR="009544EE" w:rsidRDefault="009544EE" w:rsidP="009544EE">
      <w:pPr>
        <w:spacing w:after="0" w:line="240" w:lineRule="auto"/>
        <w:ind w:left="1134" w:right="1132"/>
      </w:pPr>
      <w:r>
        <w:rPr>
          <w:rFonts w:ascii="Segoe UI" w:eastAsia="Segoe UI" w:hAnsi="Segoe UI"/>
          <w:color w:val="000000"/>
          <w:sz w:val="22"/>
        </w:rPr>
        <w:t>AUSTRALASIAN GASTRO-INTESTINAL TRIALS GROUP</w:t>
      </w:r>
    </w:p>
    <w:p w14:paraId="472BE47E" w14:textId="77777777" w:rsidR="009544EE" w:rsidRDefault="009544EE" w:rsidP="009544EE">
      <w:pPr>
        <w:spacing w:after="0" w:line="240" w:lineRule="auto"/>
        <w:ind w:left="1134" w:right="1132"/>
      </w:pPr>
    </w:p>
    <w:p w14:paraId="79E98BDD" w14:textId="77777777" w:rsidR="009544EE" w:rsidRDefault="009544EE" w:rsidP="00EA7548">
      <w:pPr>
        <w:pStyle w:val="Heading2"/>
        <w:keepNext/>
        <w:keepLines/>
      </w:pPr>
      <w:r>
        <w:lastRenderedPageBreak/>
        <w:t>Number of organisations listed: 4</w:t>
      </w:r>
    </w:p>
    <w:p w14:paraId="0FA7922D" w14:textId="77777777" w:rsidR="009544EE" w:rsidRDefault="009544EE" w:rsidP="00EA7548">
      <w:pPr>
        <w:pStyle w:val="Heading2"/>
        <w:keepNext/>
        <w:keepLines/>
        <w:spacing w:before="0"/>
      </w:pPr>
      <w:r>
        <w:t>Professional body name:</w:t>
      </w:r>
    </w:p>
    <w:p w14:paraId="2A9F899D" w14:textId="77777777" w:rsidR="009544EE" w:rsidRDefault="009544EE" w:rsidP="00EA7548">
      <w:pPr>
        <w:keepNext/>
        <w:keepLines/>
        <w:spacing w:after="0" w:line="240" w:lineRule="auto"/>
        <w:ind w:left="1134" w:right="1132"/>
      </w:pPr>
      <w:proofErr w:type="spellStart"/>
      <w:r>
        <w:rPr>
          <w:rFonts w:ascii="Segoe UI" w:eastAsia="Segoe UI" w:hAnsi="Segoe UI"/>
          <w:color w:val="000000"/>
          <w:sz w:val="22"/>
        </w:rPr>
        <w:t>Pancare</w:t>
      </w:r>
      <w:proofErr w:type="spellEnd"/>
      <w:r>
        <w:rPr>
          <w:rFonts w:ascii="Segoe UI" w:eastAsia="Segoe UI" w:hAnsi="Segoe UI"/>
          <w:color w:val="000000"/>
          <w:sz w:val="22"/>
        </w:rPr>
        <w:t xml:space="preserve"> Foundation</w:t>
      </w:r>
    </w:p>
    <w:p w14:paraId="456F0787" w14:textId="77777777" w:rsidR="009544EE" w:rsidRDefault="009544EE" w:rsidP="009544EE">
      <w:pPr>
        <w:spacing w:after="0" w:line="240" w:lineRule="auto"/>
        <w:ind w:left="1134" w:right="1132"/>
      </w:pPr>
    </w:p>
    <w:p w14:paraId="4F80A86C" w14:textId="77777777" w:rsidR="009544EE" w:rsidRDefault="009544EE" w:rsidP="00EA7548">
      <w:pPr>
        <w:pStyle w:val="Heading2"/>
      </w:pPr>
      <w:r>
        <w:t>Number of organisations listed: 4</w:t>
      </w:r>
    </w:p>
    <w:p w14:paraId="15CA2408" w14:textId="77777777" w:rsidR="009544EE" w:rsidRDefault="009544EE" w:rsidP="00EA7548">
      <w:pPr>
        <w:pStyle w:val="Heading2"/>
        <w:spacing w:before="0"/>
      </w:pPr>
      <w:r>
        <w:t>Professional body name:</w:t>
      </w:r>
    </w:p>
    <w:p w14:paraId="06D516DC" w14:textId="77777777" w:rsidR="009544EE" w:rsidRDefault="009544EE" w:rsidP="009544EE">
      <w:pPr>
        <w:spacing w:after="0" w:line="240" w:lineRule="auto"/>
        <w:ind w:left="1134" w:right="1132"/>
      </w:pPr>
      <w:r>
        <w:rPr>
          <w:rFonts w:ascii="Segoe UI" w:eastAsia="Segoe UI" w:hAnsi="Segoe UI"/>
          <w:color w:val="000000"/>
          <w:sz w:val="22"/>
        </w:rPr>
        <w:t>Patient Voice Initiative Incorporated</w:t>
      </w:r>
    </w:p>
    <w:p w14:paraId="37DAA221" w14:textId="77777777" w:rsidR="009544EE" w:rsidRDefault="009544EE" w:rsidP="009544EE">
      <w:pPr>
        <w:spacing w:after="0" w:line="240" w:lineRule="auto"/>
        <w:ind w:left="1134" w:right="1132"/>
      </w:pPr>
    </w:p>
    <w:p w14:paraId="598AAC45" w14:textId="77777777" w:rsidR="009544EE" w:rsidRDefault="009544EE" w:rsidP="00EA7548">
      <w:pPr>
        <w:pStyle w:val="Heading2"/>
      </w:pPr>
      <w:r>
        <w:t>Number of organisations listed: 4</w:t>
      </w:r>
    </w:p>
    <w:p w14:paraId="37FFBC91" w14:textId="77777777" w:rsidR="009544EE" w:rsidRDefault="009544EE" w:rsidP="00EA7548">
      <w:pPr>
        <w:pStyle w:val="Heading2"/>
        <w:spacing w:before="0"/>
      </w:pPr>
      <w:r>
        <w:t>Professional body name:</w:t>
      </w:r>
    </w:p>
    <w:p w14:paraId="68F1D6EC" w14:textId="77777777" w:rsidR="009544EE" w:rsidRDefault="009544EE" w:rsidP="009544EE">
      <w:pPr>
        <w:spacing w:after="0" w:line="240" w:lineRule="auto"/>
        <w:ind w:left="1134" w:right="1132"/>
      </w:pPr>
      <w:r>
        <w:rPr>
          <w:rFonts w:ascii="Segoe UI" w:eastAsia="Segoe UI" w:hAnsi="Segoe UI"/>
          <w:color w:val="000000"/>
          <w:sz w:val="22"/>
        </w:rPr>
        <w:t>RARE CANCERS AUSTRALIA LTD</w:t>
      </w:r>
    </w:p>
    <w:p w14:paraId="320FCE8F" w14:textId="77777777" w:rsidR="009544EE" w:rsidRDefault="009544EE" w:rsidP="009544EE">
      <w:pPr>
        <w:spacing w:after="0" w:line="240" w:lineRule="auto"/>
        <w:ind w:left="1134" w:right="1132"/>
      </w:pPr>
    </w:p>
    <w:p w14:paraId="7BE2D178" w14:textId="242EBC0F" w:rsidR="00E803AB" w:rsidRPr="00E803AB" w:rsidRDefault="009544EE" w:rsidP="00EA7548">
      <w:pPr>
        <w:pStyle w:val="Heading2"/>
        <w:spacing w:before="360"/>
      </w:pPr>
      <w:r>
        <w:t>List the relevant sponsor(s) and / or manufacturer(s) who produce similar products relevant to the proposed service or health technology:</w:t>
      </w:r>
    </w:p>
    <w:p w14:paraId="66805378" w14:textId="4E78AC1F" w:rsidR="009544EE" w:rsidRDefault="009544EE" w:rsidP="00EA7548">
      <w:pPr>
        <w:pStyle w:val="Heading2"/>
      </w:pPr>
      <w:r>
        <w:t>Professional body name:</w:t>
      </w:r>
    </w:p>
    <w:p w14:paraId="2E27DDCD" w14:textId="4F3C66A3" w:rsidR="009544EE" w:rsidRDefault="009544EE" w:rsidP="00EA7548">
      <w:pPr>
        <w:spacing w:after="0" w:line="240" w:lineRule="auto"/>
        <w:ind w:left="1134" w:right="1132"/>
      </w:pPr>
      <w:r>
        <w:rPr>
          <w:rFonts w:ascii="Segoe UI" w:eastAsia="Segoe UI" w:hAnsi="Segoe UI"/>
          <w:color w:val="000000"/>
          <w:sz w:val="22"/>
        </w:rPr>
        <w:t>Anti-HER2/neu (4B5) antibody: Roche</w:t>
      </w:r>
    </w:p>
    <w:p w14:paraId="4A74BB2B" w14:textId="77777777" w:rsidR="009544EE" w:rsidRDefault="009544EE" w:rsidP="00EA7548">
      <w:pPr>
        <w:pStyle w:val="Heading2"/>
      </w:pPr>
      <w:r>
        <w:t>Professional body name:</w:t>
      </w:r>
    </w:p>
    <w:p w14:paraId="7B3D3536" w14:textId="77777777" w:rsidR="009544EE" w:rsidRDefault="009544EE" w:rsidP="009544EE">
      <w:pPr>
        <w:spacing w:after="0" w:line="240" w:lineRule="auto"/>
        <w:ind w:left="1134" w:right="1132"/>
      </w:pPr>
      <w:r>
        <w:rPr>
          <w:rFonts w:ascii="Segoe UI" w:eastAsia="Segoe UI" w:hAnsi="Segoe UI"/>
          <w:color w:val="000000"/>
          <w:sz w:val="22"/>
        </w:rPr>
        <w:t xml:space="preserve">HER2 IQFISH </w:t>
      </w:r>
      <w:proofErr w:type="spellStart"/>
      <w:r>
        <w:rPr>
          <w:rFonts w:ascii="Segoe UI" w:eastAsia="Segoe UI" w:hAnsi="Segoe UI"/>
          <w:color w:val="000000"/>
          <w:sz w:val="22"/>
        </w:rPr>
        <w:t>pharmDx</w:t>
      </w:r>
      <w:proofErr w:type="spellEnd"/>
      <w:r>
        <w:rPr>
          <w:rFonts w:ascii="Segoe UI" w:eastAsia="Segoe UI" w:hAnsi="Segoe UI"/>
          <w:color w:val="000000"/>
          <w:sz w:val="22"/>
        </w:rPr>
        <w:t xml:space="preserve"> (Dako Omnis)</w:t>
      </w:r>
    </w:p>
    <w:p w14:paraId="11D99D2E" w14:textId="77777777" w:rsidR="009544EE" w:rsidRDefault="009544EE" w:rsidP="00EA7548">
      <w:pPr>
        <w:pStyle w:val="Heading2"/>
      </w:pPr>
      <w:r>
        <w:t>Professional body name:</w:t>
      </w:r>
    </w:p>
    <w:p w14:paraId="299E7F14" w14:textId="1C9C4BA4" w:rsidR="009544EE" w:rsidRDefault="009544EE" w:rsidP="00EA7548">
      <w:pPr>
        <w:spacing w:after="0" w:line="240" w:lineRule="auto"/>
        <w:ind w:left="1134" w:right="1132"/>
      </w:pPr>
      <w:proofErr w:type="spellStart"/>
      <w:r>
        <w:rPr>
          <w:rFonts w:ascii="Segoe UI" w:eastAsia="Segoe UI" w:hAnsi="Segoe UI"/>
          <w:color w:val="000000"/>
          <w:sz w:val="22"/>
        </w:rPr>
        <w:t>HercepTest</w:t>
      </w:r>
      <w:proofErr w:type="spellEnd"/>
      <w:r>
        <w:rPr>
          <w:rFonts w:ascii="Segoe UI" w:eastAsia="Segoe UI" w:hAnsi="Segoe UI"/>
          <w:color w:val="000000"/>
          <w:sz w:val="22"/>
        </w:rPr>
        <w:t xml:space="preserve"> antibody: </w:t>
      </w:r>
      <w:proofErr w:type="gramStart"/>
      <w:r>
        <w:rPr>
          <w:rFonts w:ascii="Segoe UI" w:eastAsia="Segoe UI" w:hAnsi="Segoe UI"/>
          <w:color w:val="000000"/>
          <w:sz w:val="22"/>
        </w:rPr>
        <w:t>Agilent;</w:t>
      </w:r>
      <w:proofErr w:type="gramEnd"/>
    </w:p>
    <w:p w14:paraId="407DDAB0" w14:textId="77777777" w:rsidR="009544EE" w:rsidRDefault="009544EE" w:rsidP="00EA7548">
      <w:pPr>
        <w:pStyle w:val="Heading2"/>
      </w:pPr>
      <w:r>
        <w:t>Professional body name:</w:t>
      </w:r>
    </w:p>
    <w:p w14:paraId="7C57F1D5" w14:textId="330E8C93" w:rsidR="009544EE" w:rsidRDefault="009544EE" w:rsidP="00EA7548">
      <w:pPr>
        <w:spacing w:after="0" w:line="240" w:lineRule="auto"/>
        <w:ind w:left="1134" w:right="1132"/>
      </w:pPr>
      <w:r>
        <w:rPr>
          <w:rFonts w:ascii="Segoe UI" w:eastAsia="Segoe UI" w:hAnsi="Segoe UI"/>
          <w:color w:val="000000"/>
          <w:sz w:val="22"/>
        </w:rPr>
        <w:t>Laboratory validated test for ISH probe methods</w:t>
      </w:r>
    </w:p>
    <w:p w14:paraId="54E585B1" w14:textId="77777777" w:rsidR="009544EE" w:rsidRDefault="009544EE" w:rsidP="00EA7548">
      <w:pPr>
        <w:pStyle w:val="Heading2"/>
      </w:pPr>
      <w:r>
        <w:t>Professional body name:</w:t>
      </w:r>
    </w:p>
    <w:p w14:paraId="0446C753" w14:textId="77777777" w:rsidR="009544EE" w:rsidRDefault="009544EE" w:rsidP="009544EE">
      <w:pPr>
        <w:spacing w:after="0" w:line="240" w:lineRule="auto"/>
        <w:ind w:left="1134" w:right="1132"/>
      </w:pPr>
      <w:r>
        <w:rPr>
          <w:rFonts w:ascii="Segoe UI" w:eastAsia="Segoe UI" w:hAnsi="Segoe UI"/>
          <w:color w:val="000000"/>
          <w:sz w:val="22"/>
        </w:rPr>
        <w:t>Roche HER2 Dual-ISH DNA Probe Cocktail Assay</w:t>
      </w:r>
    </w:p>
    <w:p w14:paraId="274D16BC" w14:textId="6F021D35" w:rsidR="00684EBE" w:rsidRDefault="00684EBE">
      <w:pPr>
        <w:spacing w:after="0" w:line="240" w:lineRule="auto"/>
        <w:rPr>
          <w:sz w:val="0"/>
        </w:rPr>
      </w:pPr>
    </w:p>
    <w:p w14:paraId="297EF0C7" w14:textId="53B09EC0" w:rsidR="00C623F4" w:rsidRDefault="00C623F4" w:rsidP="00EA7548">
      <w:pPr>
        <w:pStyle w:val="Heading1"/>
      </w:pPr>
      <w:r>
        <w:t>Regulatory information</w:t>
      </w:r>
    </w:p>
    <w:p w14:paraId="05E7DCE3" w14:textId="77777777" w:rsidR="00C623F4" w:rsidRDefault="00C623F4" w:rsidP="00EA7548">
      <w:pPr>
        <w:pStyle w:val="Heading2"/>
      </w:pPr>
      <w:r>
        <w:t>Would the proposed health technology involve the use of a medical device, in-vitro diagnostic test, radioactive tracer or any other type of therapeutic good?</w:t>
      </w:r>
    </w:p>
    <w:p w14:paraId="5D3F6412" w14:textId="031F69A7" w:rsidR="00684EBE" w:rsidRPr="00C623F4" w:rsidRDefault="00C623F4" w:rsidP="00C623F4">
      <w:pPr>
        <w:spacing w:after="0" w:line="240" w:lineRule="auto"/>
        <w:ind w:left="1134" w:right="1132"/>
      </w:pPr>
      <w:r>
        <w:rPr>
          <w:rFonts w:ascii="Segoe UI" w:eastAsia="Segoe UI" w:hAnsi="Segoe UI"/>
          <w:color w:val="000000"/>
          <w:sz w:val="22"/>
        </w:rPr>
        <w:t>No</w:t>
      </w:r>
    </w:p>
    <w:p w14:paraId="26DDA6EC" w14:textId="79456A50" w:rsidR="00C623F4" w:rsidRDefault="00C623F4" w:rsidP="00EA7548">
      <w:pPr>
        <w:pStyle w:val="Heading1"/>
      </w:pPr>
      <w:r>
        <w:t>Codependent details</w:t>
      </w:r>
    </w:p>
    <w:p w14:paraId="205981C1" w14:textId="77777777" w:rsidR="00C623F4" w:rsidRDefault="00C623F4" w:rsidP="00EA7548">
      <w:pPr>
        <w:pStyle w:val="Heading2"/>
      </w:pPr>
      <w:r>
        <w:t>Will a submission be made to the Pharmaceutical Benefits Advisory Committee (PBAC)?</w:t>
      </w:r>
    </w:p>
    <w:p w14:paraId="24D390AC" w14:textId="77777777" w:rsidR="00C623F4" w:rsidRDefault="00C623F4" w:rsidP="00C623F4">
      <w:pPr>
        <w:spacing w:after="0" w:line="240" w:lineRule="auto"/>
        <w:ind w:left="1134" w:right="1132"/>
      </w:pPr>
      <w:r>
        <w:rPr>
          <w:rFonts w:ascii="Segoe UI" w:eastAsia="Segoe UI" w:hAnsi="Segoe UI"/>
          <w:color w:val="000000"/>
          <w:sz w:val="22"/>
        </w:rPr>
        <w:t>Yes</w:t>
      </w:r>
    </w:p>
    <w:p w14:paraId="6361DBDE" w14:textId="77777777" w:rsidR="00C623F4" w:rsidRDefault="00C623F4" w:rsidP="00EA7548">
      <w:pPr>
        <w:pStyle w:val="Heading2"/>
      </w:pPr>
      <w:r>
        <w:t xml:space="preserve">Please provide a rationale for the </w:t>
      </w:r>
      <w:proofErr w:type="spellStart"/>
      <w:r>
        <w:t>codependency</w:t>
      </w:r>
      <w:proofErr w:type="spellEnd"/>
      <w:r>
        <w:t xml:space="preserve"> and indicate how the proposed PBS restriction would reference the intervention(s) proposed for MSAC consideration:</w:t>
      </w:r>
    </w:p>
    <w:p w14:paraId="0B7D304B" w14:textId="77777777" w:rsidR="00C623F4" w:rsidRDefault="00C623F4" w:rsidP="00C623F4">
      <w:pPr>
        <w:spacing w:after="0" w:line="240" w:lineRule="auto"/>
        <w:ind w:left="1134" w:right="1132"/>
        <w:rPr>
          <w:rFonts w:ascii="Segoe UI" w:eastAsia="Segoe UI" w:hAnsi="Segoe UI"/>
          <w:color w:val="000000"/>
          <w:sz w:val="22"/>
        </w:rPr>
      </w:pPr>
      <w:r>
        <w:rPr>
          <w:rFonts w:ascii="Segoe UI" w:eastAsia="Segoe UI" w:hAnsi="Segoe UI"/>
          <w:color w:val="000000"/>
          <w:sz w:val="22"/>
        </w:rPr>
        <w:t xml:space="preserve">Currently trastuzumab is the first-line treatment of choice in HER2 positive metastatic patients. </w:t>
      </w:r>
      <w:proofErr w:type="gramStart"/>
      <w:r>
        <w:rPr>
          <w:rFonts w:ascii="Segoe UI" w:eastAsia="Segoe UI" w:hAnsi="Segoe UI"/>
          <w:color w:val="000000"/>
          <w:sz w:val="22"/>
        </w:rPr>
        <w:t>In order to</w:t>
      </w:r>
      <w:proofErr w:type="gramEnd"/>
      <w:r>
        <w:rPr>
          <w:rFonts w:ascii="Segoe UI" w:eastAsia="Segoe UI" w:hAnsi="Segoe UI"/>
          <w:color w:val="000000"/>
          <w:sz w:val="22"/>
        </w:rPr>
        <w:t xml:space="preserve"> determine HER2 status, as a pre-requisite for accessing trastuzumab on the PBS, at diagnosis patients with metastatic gastric or GEJ adenocarcinoma undergo an ICH test followed by an ISH were appropriate. HER2 positive patients inevitable fail on trastuzumab. Trastuzumab </w:t>
      </w:r>
      <w:proofErr w:type="spellStart"/>
      <w:r>
        <w:rPr>
          <w:rFonts w:ascii="Segoe UI" w:eastAsia="Segoe UI" w:hAnsi="Segoe UI"/>
          <w:color w:val="000000"/>
          <w:sz w:val="22"/>
        </w:rPr>
        <w:t>deruxtecan</w:t>
      </w:r>
      <w:proofErr w:type="spellEnd"/>
      <w:r>
        <w:rPr>
          <w:rFonts w:ascii="Segoe UI" w:eastAsia="Segoe UI" w:hAnsi="Segoe UI"/>
          <w:color w:val="000000"/>
          <w:sz w:val="22"/>
        </w:rPr>
        <w:t xml:space="preserve"> provides a superior treatment option for patients who progress on trastuzumab compared to chemotherapy, the current standard of care. There is some evidence of down-regulation of HER2 status therefore re-testing to verify HER2 status may be appropriate in </w:t>
      </w:r>
      <w:r>
        <w:rPr>
          <w:rFonts w:ascii="Segoe UI" w:eastAsia="Segoe UI" w:hAnsi="Segoe UI"/>
          <w:color w:val="000000"/>
          <w:sz w:val="22"/>
        </w:rPr>
        <w:lastRenderedPageBreak/>
        <w:t xml:space="preserve">accordance with clinical discretion. Therefore, the MBS item needs to be modified to accommodate trastuzumab </w:t>
      </w:r>
      <w:proofErr w:type="spellStart"/>
      <w:r>
        <w:rPr>
          <w:rFonts w:ascii="Segoe UI" w:eastAsia="Segoe UI" w:hAnsi="Segoe UI"/>
          <w:color w:val="000000"/>
          <w:sz w:val="22"/>
        </w:rPr>
        <w:t>deruxtecan</w:t>
      </w:r>
      <w:proofErr w:type="spellEnd"/>
      <w:r>
        <w:rPr>
          <w:rFonts w:ascii="Segoe UI" w:eastAsia="Segoe UI" w:hAnsi="Segoe UI"/>
          <w:color w:val="000000"/>
          <w:sz w:val="22"/>
        </w:rPr>
        <w:t>.</w:t>
      </w:r>
    </w:p>
    <w:p w14:paraId="25CED586" w14:textId="5CB26A89" w:rsidR="00684EBE" w:rsidRDefault="00C623F4" w:rsidP="00C623F4">
      <w:pPr>
        <w:spacing w:before="120" w:after="0" w:line="240" w:lineRule="auto"/>
        <w:ind w:left="1134" w:right="1132"/>
      </w:pPr>
      <w:r>
        <w:rPr>
          <w:rFonts w:ascii="Segoe UI" w:eastAsia="Segoe UI" w:hAnsi="Segoe UI"/>
          <w:color w:val="000000"/>
          <w:sz w:val="22"/>
        </w:rPr>
        <w:t xml:space="preserve">AstraZeneca also seek guidance regarding re-testing requirements in support of our PBAC submission. Based on historical precedence for trastuzumab </w:t>
      </w:r>
      <w:proofErr w:type="spellStart"/>
      <w:r>
        <w:rPr>
          <w:rFonts w:ascii="Segoe UI" w:eastAsia="Segoe UI" w:hAnsi="Segoe UI"/>
          <w:color w:val="000000"/>
          <w:sz w:val="22"/>
        </w:rPr>
        <w:t>deruxtecan</w:t>
      </w:r>
      <w:proofErr w:type="spellEnd"/>
      <w:r>
        <w:rPr>
          <w:rFonts w:ascii="Segoe UI" w:eastAsia="Segoe UI" w:hAnsi="Segoe UI"/>
          <w:color w:val="000000"/>
          <w:sz w:val="22"/>
        </w:rPr>
        <w:t xml:space="preserve"> (e.g. HER2 testing for treatment of patients with unresectable or metastatic HER2-low breast cancer) we note that a submission to MSAC was not required.</w:t>
      </w:r>
    </w:p>
    <w:sectPr w:rsidR="00684EBE" w:rsidSect="0019025A">
      <w:headerReference w:type="even" r:id="rId7"/>
      <w:headerReference w:type="default" r:id="rId8"/>
      <w:footerReference w:type="even" r:id="rId9"/>
      <w:footerReference w:type="default" r:id="rId10"/>
      <w:headerReference w:type="first" r:id="rId11"/>
      <w:footerReference w:type="first" r:id="rId12"/>
      <w:pgSz w:w="11905" w:h="16837"/>
      <w:pgMar w:top="1135" w:right="0" w:bottom="617" w:left="0" w:header="0" w:footer="1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39684" w14:textId="77777777" w:rsidR="00EA7548" w:rsidRDefault="00EA7548">
      <w:pPr>
        <w:spacing w:after="0" w:line="240" w:lineRule="auto"/>
      </w:pPr>
      <w:r>
        <w:separator/>
      </w:r>
    </w:p>
  </w:endnote>
  <w:endnote w:type="continuationSeparator" w:id="0">
    <w:p w14:paraId="77F5B348" w14:textId="77777777" w:rsidR="00EA7548" w:rsidRDefault="00EA7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E35A2" w14:textId="77777777" w:rsidR="009D6912" w:rsidRDefault="009D69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egoe UI" w:eastAsiaTheme="minorHAnsi" w:hAnsi="Segoe UI" w:cs="Segoe UI"/>
        <w:kern w:val="2"/>
        <w:sz w:val="22"/>
        <w:szCs w:val="22"/>
        <w:lang w:eastAsia="en-US"/>
        <w14:ligatures w14:val="standardContextual"/>
      </w:rPr>
      <w:id w:val="-1268770738"/>
      <w:docPartObj>
        <w:docPartGallery w:val="Page Numbers (Bottom of Page)"/>
        <w:docPartUnique/>
      </w:docPartObj>
    </w:sdtPr>
    <w:sdtEndPr/>
    <w:sdtContent>
      <w:p w14:paraId="5630958A" w14:textId="31F2A25E" w:rsidR="0019025A" w:rsidRPr="0019025A" w:rsidRDefault="0019025A">
        <w:pPr>
          <w:pStyle w:val="Footer"/>
          <w:jc w:val="center"/>
          <w:rPr>
            <w:rFonts w:ascii="Segoe UI" w:eastAsiaTheme="minorHAnsi" w:hAnsi="Segoe UI" w:cs="Segoe UI"/>
            <w:kern w:val="2"/>
            <w:sz w:val="22"/>
            <w:szCs w:val="22"/>
            <w:lang w:eastAsia="en-US"/>
            <w14:ligatures w14:val="standardContextual"/>
          </w:rPr>
        </w:pPr>
        <w:r w:rsidRPr="0019025A">
          <w:rPr>
            <w:rFonts w:ascii="Segoe UI" w:eastAsiaTheme="minorHAnsi" w:hAnsi="Segoe UI" w:cs="Segoe UI"/>
            <w:kern w:val="2"/>
            <w:sz w:val="22"/>
            <w:szCs w:val="22"/>
            <w:lang w:eastAsia="en-US"/>
            <w14:ligatures w14:val="standardContextual"/>
          </w:rPr>
          <w:t>MSAC Application 17</w:t>
        </w:r>
        <w:r w:rsidR="009D6912">
          <w:rPr>
            <w:rFonts w:ascii="Segoe UI" w:eastAsiaTheme="minorHAnsi" w:hAnsi="Segoe UI" w:cs="Segoe UI"/>
            <w:kern w:val="2"/>
            <w:sz w:val="22"/>
            <w:szCs w:val="22"/>
            <w:lang w:eastAsia="en-US"/>
            <w14:ligatures w14:val="standardContextual"/>
          </w:rPr>
          <w:t>62</w:t>
        </w:r>
      </w:p>
      <w:p w14:paraId="1A347F54" w14:textId="5F944539" w:rsidR="00203469" w:rsidRPr="0019025A" w:rsidRDefault="00203469" w:rsidP="0019025A">
        <w:pPr>
          <w:pStyle w:val="Footer"/>
          <w:ind w:right="1132"/>
          <w:jc w:val="right"/>
          <w:rPr>
            <w:rFonts w:ascii="Segoe UI" w:eastAsiaTheme="minorHAnsi" w:hAnsi="Segoe UI" w:cs="Segoe UI"/>
            <w:kern w:val="2"/>
            <w:sz w:val="22"/>
            <w:szCs w:val="22"/>
            <w:lang w:eastAsia="en-US"/>
            <w14:ligatures w14:val="standardContextual"/>
          </w:rPr>
        </w:pPr>
        <w:r w:rsidRPr="0019025A">
          <w:rPr>
            <w:rFonts w:ascii="Segoe UI" w:eastAsiaTheme="minorHAnsi" w:hAnsi="Segoe UI" w:cs="Segoe UI"/>
            <w:kern w:val="2"/>
            <w:sz w:val="22"/>
            <w:szCs w:val="22"/>
            <w:lang w:eastAsia="en-US"/>
            <w14:ligatures w14:val="standardContextual"/>
          </w:rPr>
          <w:fldChar w:fldCharType="begin"/>
        </w:r>
        <w:r w:rsidRPr="0019025A">
          <w:rPr>
            <w:rFonts w:ascii="Segoe UI" w:eastAsiaTheme="minorHAnsi" w:hAnsi="Segoe UI" w:cs="Segoe UI"/>
            <w:kern w:val="2"/>
            <w:sz w:val="22"/>
            <w:szCs w:val="22"/>
            <w:lang w:eastAsia="en-US"/>
            <w14:ligatures w14:val="standardContextual"/>
          </w:rPr>
          <w:instrText xml:space="preserve"> PAGE   \* MERGEFORMAT </w:instrText>
        </w:r>
        <w:r w:rsidRPr="0019025A">
          <w:rPr>
            <w:rFonts w:ascii="Segoe UI" w:eastAsiaTheme="minorHAnsi" w:hAnsi="Segoe UI" w:cs="Segoe UI"/>
            <w:kern w:val="2"/>
            <w:sz w:val="22"/>
            <w:szCs w:val="22"/>
            <w:lang w:eastAsia="en-US"/>
            <w14:ligatures w14:val="standardContextual"/>
          </w:rPr>
          <w:fldChar w:fldCharType="separate"/>
        </w:r>
        <w:r w:rsidRPr="0019025A">
          <w:rPr>
            <w:rFonts w:ascii="Segoe UI" w:eastAsiaTheme="minorHAnsi" w:hAnsi="Segoe UI" w:cs="Segoe UI"/>
            <w:kern w:val="2"/>
            <w:sz w:val="22"/>
            <w:szCs w:val="22"/>
            <w:lang w:eastAsia="en-US"/>
            <w14:ligatures w14:val="standardContextual"/>
          </w:rPr>
          <w:t>2</w:t>
        </w:r>
        <w:r w:rsidRPr="0019025A">
          <w:rPr>
            <w:rFonts w:ascii="Segoe UI" w:eastAsiaTheme="minorHAnsi" w:hAnsi="Segoe UI" w:cs="Segoe UI"/>
            <w:kern w:val="2"/>
            <w:sz w:val="22"/>
            <w:szCs w:val="22"/>
            <w:lang w:eastAsia="en-US"/>
            <w14:ligatures w14:val="standardContextual"/>
          </w:rPr>
          <w:fldChar w:fldCharType="end"/>
        </w:r>
      </w:p>
    </w:sdtContent>
  </w:sdt>
  <w:p w14:paraId="10DE55C3" w14:textId="28492C48" w:rsidR="00203469" w:rsidRDefault="0020346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13F31" w14:textId="77777777" w:rsidR="009D6912" w:rsidRDefault="009D6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934CD" w14:textId="77777777" w:rsidR="00EA7548" w:rsidRDefault="00EA7548">
      <w:pPr>
        <w:spacing w:after="0" w:line="240" w:lineRule="auto"/>
      </w:pPr>
      <w:r>
        <w:separator/>
      </w:r>
    </w:p>
  </w:footnote>
  <w:footnote w:type="continuationSeparator" w:id="0">
    <w:p w14:paraId="732B4E5B" w14:textId="77777777" w:rsidR="00EA7548" w:rsidRDefault="00EA7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D2337" w14:textId="77777777" w:rsidR="009D6912" w:rsidRDefault="009D69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1F84A" w14:textId="77777777" w:rsidR="009D6912" w:rsidRDefault="009D6912">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4316D" w14:textId="77777777" w:rsidR="009D6912" w:rsidRDefault="009D69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EBE"/>
    <w:rsid w:val="000677B9"/>
    <w:rsid w:val="0019025A"/>
    <w:rsid w:val="00203469"/>
    <w:rsid w:val="00684EBE"/>
    <w:rsid w:val="009544EE"/>
    <w:rsid w:val="009D6912"/>
    <w:rsid w:val="00B55F14"/>
    <w:rsid w:val="00C54A3F"/>
    <w:rsid w:val="00C623F4"/>
    <w:rsid w:val="00D70B8F"/>
    <w:rsid w:val="00E029CD"/>
    <w:rsid w:val="00E803AB"/>
    <w:rsid w:val="00EA7548"/>
    <w:rsid w:val="00EB693B"/>
    <w:rsid w:val="00F24B1A"/>
    <w:rsid w:val="00F370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E02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693B"/>
    <w:pPr>
      <w:spacing w:before="240" w:after="240" w:line="240" w:lineRule="auto"/>
      <w:ind w:left="1100" w:right="1134"/>
      <w:outlineLvl w:val="0"/>
    </w:pPr>
    <w:rPr>
      <w:rFonts w:ascii="Segoe UI" w:eastAsia="Segoe UI" w:hAnsi="Segoe UI"/>
      <w:b/>
      <w:color w:val="000000"/>
      <w:sz w:val="32"/>
    </w:rPr>
  </w:style>
  <w:style w:type="paragraph" w:styleId="Heading2">
    <w:name w:val="heading 2"/>
    <w:basedOn w:val="Normal"/>
    <w:next w:val="Normal"/>
    <w:link w:val="Heading2Char"/>
    <w:uiPriority w:val="9"/>
    <w:unhideWhenUsed/>
    <w:qFormat/>
    <w:rsid w:val="00EB693B"/>
    <w:pPr>
      <w:spacing w:before="120" w:after="0" w:line="240" w:lineRule="auto"/>
      <w:ind w:left="1100" w:right="1134"/>
      <w:outlineLvl w:val="1"/>
    </w:pPr>
    <w:rPr>
      <w:rFonts w:ascii="Segoe UI" w:eastAsia="Segoe UI" w:hAnsi="Segoe UI"/>
      <w:b/>
      <w:color w:val="000000"/>
      <w:sz w:val="22"/>
    </w:rPr>
  </w:style>
  <w:style w:type="paragraph" w:styleId="Heading3">
    <w:name w:val="heading 3"/>
    <w:basedOn w:val="Normal"/>
    <w:next w:val="Normal"/>
    <w:link w:val="Heading3Char"/>
    <w:uiPriority w:val="9"/>
    <w:unhideWhenUsed/>
    <w:qFormat/>
    <w:rsid w:val="00EB693B"/>
    <w:pPr>
      <w:spacing w:before="120" w:after="0" w:line="240" w:lineRule="auto"/>
      <w:ind w:left="1134" w:right="1134"/>
      <w:outlineLvl w:val="2"/>
    </w:pPr>
    <w:rPr>
      <w:rFonts w:ascii="Segoe UI" w:eastAsia="Segoe UI" w:hAnsi="Segoe U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F24B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B1A"/>
  </w:style>
  <w:style w:type="paragraph" w:styleId="Footer">
    <w:name w:val="footer"/>
    <w:basedOn w:val="Normal"/>
    <w:link w:val="FooterChar"/>
    <w:uiPriority w:val="99"/>
    <w:unhideWhenUsed/>
    <w:rsid w:val="00F24B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B1A"/>
  </w:style>
  <w:style w:type="character" w:styleId="Hyperlink">
    <w:name w:val="Hyperlink"/>
    <w:basedOn w:val="DefaultParagraphFont"/>
    <w:uiPriority w:val="99"/>
    <w:unhideWhenUsed/>
    <w:rsid w:val="00E029CD"/>
    <w:rPr>
      <w:color w:val="467886" w:themeColor="hyperlink"/>
      <w:u w:val="single"/>
    </w:rPr>
  </w:style>
  <w:style w:type="character" w:styleId="UnresolvedMention">
    <w:name w:val="Unresolved Mention"/>
    <w:basedOn w:val="DefaultParagraphFont"/>
    <w:uiPriority w:val="99"/>
    <w:semiHidden/>
    <w:unhideWhenUsed/>
    <w:rsid w:val="00E029CD"/>
    <w:rPr>
      <w:color w:val="605E5C"/>
      <w:shd w:val="clear" w:color="auto" w:fill="E1DFDD"/>
    </w:rPr>
  </w:style>
  <w:style w:type="table" w:styleId="TableGrid">
    <w:name w:val="Table Grid"/>
    <w:basedOn w:val="TableNormal"/>
    <w:uiPriority w:val="39"/>
    <w:rsid w:val="00954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B693B"/>
    <w:rPr>
      <w:rFonts w:ascii="Segoe UI" w:eastAsia="Segoe UI" w:hAnsi="Segoe UI"/>
      <w:b/>
      <w:color w:val="000000"/>
      <w:sz w:val="32"/>
    </w:rPr>
  </w:style>
  <w:style w:type="character" w:customStyle="1" w:styleId="Heading2Char">
    <w:name w:val="Heading 2 Char"/>
    <w:basedOn w:val="DefaultParagraphFont"/>
    <w:link w:val="Heading2"/>
    <w:uiPriority w:val="9"/>
    <w:rsid w:val="00EB693B"/>
    <w:rPr>
      <w:rFonts w:ascii="Segoe UI" w:eastAsia="Segoe UI" w:hAnsi="Segoe UI"/>
      <w:b/>
      <w:color w:val="000000"/>
      <w:sz w:val="22"/>
    </w:rPr>
  </w:style>
  <w:style w:type="character" w:customStyle="1" w:styleId="Heading3Char">
    <w:name w:val="Heading 3 Char"/>
    <w:basedOn w:val="DefaultParagraphFont"/>
    <w:link w:val="Heading3"/>
    <w:uiPriority w:val="9"/>
    <w:rsid w:val="00EB693B"/>
    <w:rPr>
      <w:rFonts w:ascii="Segoe UI" w:eastAsia="Segoe UI" w:hAnsi="Segoe U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E2AD4-83AC-42ED-8C26-EA34EEF50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2209</Words>
  <Characters>12596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2024-11-21T23:41:00Z</dcterms:created>
  <dcterms:modified xsi:type="dcterms:W3CDTF">2024-11-21T23:41:00Z</dcterms:modified>
</cp:coreProperties>
</file>