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B7310" w14:textId="77777777" w:rsidR="00BF6965" w:rsidRDefault="00BF6965" w:rsidP="00BF6965">
      <w:pPr>
        <w:jc w:val="center"/>
        <w:rPr>
          <w:b/>
        </w:rPr>
      </w:pPr>
      <w:r>
        <w:rPr>
          <w:rFonts w:ascii="Arial" w:hAnsi="Arial" w:cs="Arial"/>
          <w:b/>
          <w:noProof/>
          <w:color w:val="000080"/>
          <w:sz w:val="28"/>
          <w:szCs w:val="28"/>
        </w:rPr>
        <w:drawing>
          <wp:inline distT="0" distB="0" distL="0" distR="0" wp14:anchorId="4C19A2AE" wp14:editId="0E82D12B">
            <wp:extent cx="2628900" cy="1076325"/>
            <wp:effectExtent l="0" t="0" r="0" b="9525"/>
            <wp:docPr id="3" name="Picture 3" descr="Logo" title="Medical Services Advisory Committee"/>
            <wp:cNvGraphicFramePr/>
            <a:graphic xmlns:a="http://schemas.openxmlformats.org/drawingml/2006/main">
              <a:graphicData uri="http://schemas.openxmlformats.org/drawingml/2006/picture">
                <pic:pic xmlns:pic="http://schemas.openxmlformats.org/drawingml/2006/picture">
                  <pic:nvPicPr>
                    <pic:cNvPr id="2" name="Picture 2" descr="Logo" title="Medical Services Advisory Committe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00A20A6" w14:textId="77777777" w:rsidR="00BF6965" w:rsidRDefault="00BF6965" w:rsidP="00BF6965">
      <w:pPr>
        <w:pStyle w:val="BodyText"/>
        <w:spacing w:before="360"/>
        <w:jc w:val="center"/>
        <w:rPr>
          <w:rFonts w:ascii="Times New Roman" w:hAnsi="Times New Roman"/>
          <w:b/>
          <w:sz w:val="28"/>
          <w:szCs w:val="28"/>
        </w:rPr>
      </w:pPr>
      <w:r>
        <w:rPr>
          <w:rFonts w:ascii="Times New Roman" w:hAnsi="Times New Roman"/>
          <w:b/>
          <w:sz w:val="28"/>
          <w:szCs w:val="28"/>
        </w:rPr>
        <w:t>Minutes from MSAC 74</w:t>
      </w:r>
      <w:r w:rsidRPr="007D09DC">
        <w:rPr>
          <w:rFonts w:ascii="Times New Roman" w:hAnsi="Times New Roman"/>
          <w:b/>
          <w:sz w:val="28"/>
          <w:szCs w:val="28"/>
          <w:vertAlign w:val="superscript"/>
        </w:rPr>
        <w:t>th</w:t>
      </w:r>
      <w:r>
        <w:rPr>
          <w:rFonts w:ascii="Times New Roman" w:hAnsi="Times New Roman"/>
          <w:b/>
          <w:sz w:val="28"/>
          <w:szCs w:val="28"/>
        </w:rPr>
        <w:t xml:space="preserve"> </w:t>
      </w:r>
      <w:r w:rsidRPr="00744B9D">
        <w:rPr>
          <w:rFonts w:ascii="Times New Roman" w:hAnsi="Times New Roman"/>
          <w:b/>
          <w:sz w:val="28"/>
          <w:szCs w:val="28"/>
        </w:rPr>
        <w:t xml:space="preserve">Meeting, </w:t>
      </w:r>
      <w:r>
        <w:rPr>
          <w:rFonts w:ascii="Times New Roman" w:hAnsi="Times New Roman"/>
          <w:b/>
          <w:sz w:val="28"/>
          <w:szCs w:val="28"/>
        </w:rPr>
        <w:t>22-23 November 2018</w:t>
      </w:r>
    </w:p>
    <w:p w14:paraId="7F937976" w14:textId="065E273A" w:rsidR="006C759F" w:rsidRPr="00620D8B" w:rsidRDefault="007760FE" w:rsidP="006C759F">
      <w:pPr>
        <w:pStyle w:val="Heading1"/>
        <w:spacing w:before="240" w:after="0"/>
        <w:rPr>
          <w:sz w:val="28"/>
          <w:szCs w:val="28"/>
        </w:rPr>
      </w:pPr>
      <w:r>
        <w:rPr>
          <w:sz w:val="28"/>
          <w:szCs w:val="28"/>
        </w:rPr>
        <w:t>Cardiac A</w:t>
      </w:r>
      <w:r w:rsidR="00CA17E0" w:rsidRPr="00620D8B">
        <w:rPr>
          <w:sz w:val="28"/>
          <w:szCs w:val="28"/>
        </w:rPr>
        <w:t>blation</w:t>
      </w:r>
      <w:r>
        <w:rPr>
          <w:sz w:val="28"/>
          <w:szCs w:val="28"/>
        </w:rPr>
        <w:t xml:space="preserve"> for Atrial F</w:t>
      </w:r>
      <w:r w:rsidR="006338FD" w:rsidRPr="00620D8B">
        <w:rPr>
          <w:sz w:val="28"/>
          <w:szCs w:val="28"/>
        </w:rPr>
        <w:t>ibrillation</w:t>
      </w:r>
    </w:p>
    <w:p w14:paraId="57A7990E" w14:textId="77777777" w:rsidR="00BF6965" w:rsidRPr="00972B87" w:rsidRDefault="00BF6965" w:rsidP="00021D20">
      <w:pPr>
        <w:pStyle w:val="Heading2"/>
        <w:spacing w:before="360"/>
      </w:pPr>
      <w:r w:rsidRPr="00972B87">
        <w:t>MSAC’s advice to the Minister</w:t>
      </w:r>
      <w:bookmarkStart w:id="0" w:name="_GoBack"/>
      <w:bookmarkEnd w:id="0"/>
    </w:p>
    <w:p w14:paraId="53A78B39" w14:textId="7E931003" w:rsidR="003576E4" w:rsidRPr="00106FE7" w:rsidRDefault="001342D1" w:rsidP="00106FE7">
      <w:r w:rsidRPr="001342D1">
        <w:t>After considering the strength of the available evidence in relation to comparative safety, clinical effectiveness and cost</w:t>
      </w:r>
      <w:r w:rsidR="0032416B">
        <w:t>-</w:t>
      </w:r>
      <w:r w:rsidRPr="001342D1">
        <w:t xml:space="preserve">effectiveness, </w:t>
      </w:r>
      <w:r w:rsidR="003576E4" w:rsidRPr="003576E4">
        <w:t>MSAC advised that catheter ablation</w:t>
      </w:r>
      <w:r w:rsidR="006338FD">
        <w:t xml:space="preserve"> for atrial fibrillation</w:t>
      </w:r>
      <w:r w:rsidR="006C759F">
        <w:t xml:space="preserve"> </w:t>
      </w:r>
      <w:r w:rsidR="006338FD">
        <w:t xml:space="preserve">(AF) </w:t>
      </w:r>
      <w:r w:rsidR="003576E4" w:rsidRPr="003576E4">
        <w:t xml:space="preserve">is not cost-effective at the current </w:t>
      </w:r>
      <w:r w:rsidR="006338FD">
        <w:t xml:space="preserve">catheter </w:t>
      </w:r>
      <w:r w:rsidR="003576E4" w:rsidRPr="003576E4">
        <w:t>price</w:t>
      </w:r>
      <w:r w:rsidR="006338FD">
        <w:t>s</w:t>
      </w:r>
      <w:r w:rsidR="002820F5">
        <w:t xml:space="preserve"> and</w:t>
      </w:r>
      <w:r w:rsidR="003576E4" w:rsidRPr="003576E4">
        <w:t xml:space="preserve"> based on </w:t>
      </w:r>
      <w:r w:rsidR="002820F5">
        <w:t xml:space="preserve">other assumptions in the </w:t>
      </w:r>
      <w:r w:rsidR="003576E4" w:rsidRPr="003576E4">
        <w:t>economic analysis</w:t>
      </w:r>
      <w:r w:rsidR="002820F5">
        <w:t>.</w:t>
      </w:r>
      <w:r w:rsidR="003576E4" w:rsidRPr="003576E4">
        <w:t xml:space="preserve"> MSAC suggested there should be further </w:t>
      </w:r>
      <w:r w:rsidR="006338FD">
        <w:t xml:space="preserve">consideration following updated </w:t>
      </w:r>
      <w:r w:rsidR="003576E4" w:rsidRPr="003576E4">
        <w:t xml:space="preserve">economic </w:t>
      </w:r>
      <w:r w:rsidR="006338FD">
        <w:t xml:space="preserve">modelling using </w:t>
      </w:r>
      <w:r w:rsidR="003576E4" w:rsidRPr="003576E4">
        <w:t>respecified outcomes and inputs (e.g. 10</w:t>
      </w:r>
      <w:r w:rsidR="008B2CBE">
        <w:t>-</w:t>
      </w:r>
      <w:r w:rsidR="003576E4" w:rsidRPr="003576E4">
        <w:t xml:space="preserve">year time horizon, </w:t>
      </w:r>
      <w:r w:rsidR="006338FD">
        <w:t>repeat procedure rates based on MBS data</w:t>
      </w:r>
      <w:r w:rsidR="003576E4" w:rsidRPr="003576E4">
        <w:t>, not includ</w:t>
      </w:r>
      <w:r w:rsidR="00CA7419">
        <w:t>ing</w:t>
      </w:r>
      <w:r w:rsidR="003576E4" w:rsidRPr="003576E4">
        <w:t xml:space="preserve"> stroke</w:t>
      </w:r>
      <w:r w:rsidR="00117909">
        <w:t xml:space="preserve"> reduction</w:t>
      </w:r>
      <w:r w:rsidR="003576E4" w:rsidRPr="003576E4">
        <w:t xml:space="preserve">, </w:t>
      </w:r>
      <w:r w:rsidR="00CA7419">
        <w:t xml:space="preserve">and </w:t>
      </w:r>
      <w:r w:rsidR="006338FD">
        <w:t xml:space="preserve">better determining the number and mix of </w:t>
      </w:r>
      <w:r w:rsidR="003576E4" w:rsidRPr="003576E4">
        <w:t xml:space="preserve">catheters </w:t>
      </w:r>
      <w:r w:rsidR="006338FD">
        <w:t>used per procedure</w:t>
      </w:r>
      <w:r w:rsidR="003576E4" w:rsidRPr="003576E4">
        <w:t>).</w:t>
      </w:r>
    </w:p>
    <w:p w14:paraId="5D94DB14" w14:textId="77777777" w:rsidR="00972B87" w:rsidRDefault="00972B87" w:rsidP="001342D1">
      <w:pPr>
        <w:pStyle w:val="Heading2"/>
      </w:pPr>
      <w:r w:rsidRPr="00972B87">
        <w:t>Summary of consideration and rationale for MSAC’s advice</w:t>
      </w:r>
    </w:p>
    <w:p w14:paraId="32A57225" w14:textId="77777777" w:rsidR="009355F0" w:rsidRDefault="009355F0" w:rsidP="009355F0">
      <w:r>
        <w:t xml:space="preserve">AF affects 2–4% of the adult population and is associated with an increased risk of heart failure, stroke and death. </w:t>
      </w:r>
      <w:r w:rsidRPr="00DF4B39">
        <w:t>Treatment involves rate</w:t>
      </w:r>
      <w:r>
        <w:t xml:space="preserve"> or </w:t>
      </w:r>
      <w:r w:rsidRPr="00DF4B39">
        <w:t>rhythm control, anticoagulant therapy and treating underlying risk factors (</w:t>
      </w:r>
      <w:r>
        <w:t>elevated blood pressure</w:t>
      </w:r>
      <w:r w:rsidRPr="00DF4B39">
        <w:t xml:space="preserve">, obesity, </w:t>
      </w:r>
      <w:r>
        <w:t>alcohol use and</w:t>
      </w:r>
      <w:r w:rsidRPr="00DF4B39">
        <w:t xml:space="preserve"> sleep apnoea).</w:t>
      </w:r>
    </w:p>
    <w:p w14:paraId="1018D427" w14:textId="65616568" w:rsidR="009355F0" w:rsidRDefault="00A54F06" w:rsidP="009355F0">
      <w:r>
        <w:t>For rhythm control, anti</w:t>
      </w:r>
      <w:r w:rsidR="0032416B">
        <w:t>-</w:t>
      </w:r>
      <w:r>
        <w:t xml:space="preserve">arrhythmic drug (AAD) therapy has been the cornerstone of medical management, but some patients show resistance to AAD or need to discontinue treatment because of side effects. </w:t>
      </w:r>
      <w:r w:rsidR="009355F0">
        <w:t>Anticoagulation has been shown to reduce AF-related stroke; however, the use of anticoagulants is sub-optimal</w:t>
      </w:r>
      <w:r w:rsidR="002820F5">
        <w:t>.</w:t>
      </w:r>
      <w:r w:rsidR="009355F0">
        <w:t xml:space="preserve"> </w:t>
      </w:r>
    </w:p>
    <w:p w14:paraId="238FA66D" w14:textId="647C3898" w:rsidR="009355F0" w:rsidRDefault="009355F0" w:rsidP="00DF4B39">
      <w:r w:rsidRPr="009355F0">
        <w:t xml:space="preserve">Cardiac ablation for the treatment of AF is increasingly being performed </w:t>
      </w:r>
      <w:r w:rsidR="00E86DE2">
        <w:t>in</w:t>
      </w:r>
      <w:r w:rsidR="00E86DE2" w:rsidRPr="009355F0">
        <w:t xml:space="preserve"> </w:t>
      </w:r>
      <w:r w:rsidRPr="009355F0">
        <w:t>symptomatic patients as an alternative to medical management, or when medical management has been ineffective or not tolerated</w:t>
      </w:r>
      <w:r>
        <w:t>.</w:t>
      </w:r>
      <w:r w:rsidRPr="009355F0">
        <w:t xml:space="preserve"> </w:t>
      </w:r>
    </w:p>
    <w:p w14:paraId="58F0574C" w14:textId="77777777" w:rsidR="00C56A9B" w:rsidRDefault="00A54F06" w:rsidP="0032416B">
      <w:pPr>
        <w:pStyle w:val="NormalBeforeBullet"/>
      </w:pPr>
      <w:r>
        <w:t xml:space="preserve">MSAC noted that there </w:t>
      </w:r>
      <w:r w:rsidR="00C56A9B">
        <w:t>are currently three Medicare Benefits Schedule (MBS) items for services relating to catheter-based arrhythmia ablation:</w:t>
      </w:r>
    </w:p>
    <w:p w14:paraId="1751E530" w14:textId="77777777" w:rsidR="00C56A9B" w:rsidRDefault="00C56A9B" w:rsidP="0032416B">
      <w:pPr>
        <w:pStyle w:val="Bullet"/>
      </w:pPr>
      <w:r>
        <w:t xml:space="preserve">Item 38287 – Ablation of arrhythmia circuit or focus or isolation procedure involving </w:t>
      </w:r>
      <w:r w:rsidR="0032416B">
        <w:t>one</w:t>
      </w:r>
      <w:r>
        <w:t xml:space="preserve"> atrial chamber</w:t>
      </w:r>
    </w:p>
    <w:p w14:paraId="3BD22F77" w14:textId="77777777" w:rsidR="00C56A9B" w:rsidRDefault="00C56A9B" w:rsidP="0032416B">
      <w:pPr>
        <w:pStyle w:val="Bullet"/>
      </w:pPr>
      <w:r>
        <w:t xml:space="preserve">Item 38290 – Ablation of arrhythmia circuit or foci, or isolation procedure involving both atrial chambers and including curative procedures for </w:t>
      </w:r>
      <w:r w:rsidR="0032416B">
        <w:t>AF</w:t>
      </w:r>
    </w:p>
    <w:p w14:paraId="0973B795" w14:textId="77777777" w:rsidR="009355F0" w:rsidRDefault="00C56A9B" w:rsidP="0032416B">
      <w:pPr>
        <w:pStyle w:val="BulletLast"/>
      </w:pPr>
      <w:r>
        <w:t xml:space="preserve">Item 38293 – Ventricular arrhythmia with mapping and ablation, including all associated electrophysiological studies performed on the same day. </w:t>
      </w:r>
    </w:p>
    <w:p w14:paraId="37569051" w14:textId="33806765" w:rsidR="002820F5" w:rsidRDefault="002820F5" w:rsidP="00C56A9B">
      <w:r>
        <w:t>It is understood that most ablation for AF is performed under item 38290</w:t>
      </w:r>
      <w:r w:rsidR="00E2360E">
        <w:t>.</w:t>
      </w:r>
    </w:p>
    <w:p w14:paraId="0EEB4E51" w14:textId="77777777" w:rsidR="009355F0" w:rsidRDefault="00C56A9B" w:rsidP="00C56A9B">
      <w:r>
        <w:lastRenderedPageBreak/>
        <w:t>These services have been on the MBS since 1998 and have not undergone formal assessment of comparative safety, clinical effectiveness and cost-effectiveness. Although there has been considerable growth in use of these items, the MBS Review Taskforce’s Cardiac Services Clinical Committee recently recommended leaving the items unchanged, claiming that growth in services is likely</w:t>
      </w:r>
      <w:r w:rsidR="009355F0">
        <w:t xml:space="preserve"> </w:t>
      </w:r>
      <w:r>
        <w:t>reflective of (i) the increasing number of electrophysiologists, which is improving access to services; and (ii) a change in clinical guidelines, which now identify ablation as a first-line treatment for a number of arrhythmias.</w:t>
      </w:r>
    </w:p>
    <w:p w14:paraId="74283990" w14:textId="0C941C0E" w:rsidR="009355F0" w:rsidRDefault="009355F0" w:rsidP="009355F0">
      <w:r>
        <w:t xml:space="preserve">MSAC noted that this application arose because of a claim by consumer groups that cardiac ablation procedures are not readily accessible because the </w:t>
      </w:r>
      <w:r w:rsidR="0032416B">
        <w:t>Prostheses List</w:t>
      </w:r>
      <w:r>
        <w:t xml:space="preserve"> </w:t>
      </w:r>
      <w:r w:rsidR="002820F5">
        <w:t>(</w:t>
      </w:r>
      <w:r>
        <w:t>a list of medical devices for which private health insurers are required to pay benefits) is limited to implantable devices. Ablation catheters are single use non-implantable</w:t>
      </w:r>
      <w:r w:rsidR="00A260E2">
        <w:t xml:space="preserve"> devices</w:t>
      </w:r>
      <w:r>
        <w:t xml:space="preserve">, and therefore are not </w:t>
      </w:r>
      <w:r w:rsidR="002820F5">
        <w:t xml:space="preserve">listed </w:t>
      </w:r>
      <w:r>
        <w:t xml:space="preserve">on the </w:t>
      </w:r>
      <w:r w:rsidR="002820F5">
        <w:t>Prostheses List (</w:t>
      </w:r>
      <w:r>
        <w:t>PL</w:t>
      </w:r>
      <w:r w:rsidR="002820F5">
        <w:t>)</w:t>
      </w:r>
      <w:r>
        <w:t xml:space="preserve">. ​Although cardiac ablation services are funded on the MBS, private health insurers are not obliged to reimburse the </w:t>
      </w:r>
      <w:r w:rsidR="00A260E2">
        <w:t xml:space="preserve">cost of </w:t>
      </w:r>
      <w:r>
        <w:t xml:space="preserve">catheters. As a result, it is asserted that these procedures are </w:t>
      </w:r>
      <w:r w:rsidR="002820F5">
        <w:t>largely provided in</w:t>
      </w:r>
      <w:r>
        <w:t xml:space="preserve"> public hospitals and hence subject to long waiting times</w:t>
      </w:r>
      <w:r w:rsidRPr="00C71005">
        <w:t xml:space="preserve"> </w:t>
      </w:r>
      <w:r w:rsidR="002820F5">
        <w:t>and</w:t>
      </w:r>
      <w:r w:rsidR="00A260E2">
        <w:t>,</w:t>
      </w:r>
      <w:r w:rsidR="002820F5">
        <w:t xml:space="preserve"> where provided in the private sector, there are </w:t>
      </w:r>
      <w:r>
        <w:t xml:space="preserve">variable funding arrangements </w:t>
      </w:r>
      <w:r w:rsidR="0032416B">
        <w:t>that</w:t>
      </w:r>
      <w:r>
        <w:t xml:space="preserve"> expose patients to out-of-pocket expenses.</w:t>
      </w:r>
      <w:r w:rsidR="00DE180A">
        <w:t xml:space="preserve"> </w:t>
      </w:r>
    </w:p>
    <w:p w14:paraId="463535BC" w14:textId="1AD6C763" w:rsidR="00DE180A" w:rsidRPr="00DF4B39" w:rsidRDefault="00DE180A" w:rsidP="00DE180A">
      <w:r>
        <w:t xml:space="preserve">In October 2017, as part of an agreement with the Medical Technology Association of Australia, the government agreed to review the listing criteria for the PL for non-implantable medical devices, including cardiac ablation catheters for AF.​ In addition, Minister Hunt requested that the </w:t>
      </w:r>
      <w:r w:rsidR="0032416B">
        <w:t>Prostheses List Advisory Committee (</w:t>
      </w:r>
      <w:r>
        <w:t>PLAC</w:t>
      </w:r>
      <w:r w:rsidR="0032416B">
        <w:t>)</w:t>
      </w:r>
      <w:r>
        <w:t xml:space="preserve"> provide advice on options for including cardiac ablation catheters on the PL, including an assessment of comparative clinical and cost-effectiveness.​ In August 2018, PLAC requested MSAC</w:t>
      </w:r>
      <w:r w:rsidR="0032416B">
        <w:t xml:space="preserve"> to</w:t>
      </w:r>
      <w:r>
        <w:t xml:space="preserve"> undertake a review of the comparative clinical and cost-effectiveness of AF catheter ablation.</w:t>
      </w:r>
    </w:p>
    <w:p w14:paraId="025B40D9" w14:textId="3CABEAFF" w:rsidR="00DE180A" w:rsidRDefault="00DE180A" w:rsidP="00DE180A">
      <w:pPr>
        <w:pStyle w:val="NormalBeforeBullet"/>
      </w:pPr>
      <w:r>
        <w:t>The review investigated three research questions:</w:t>
      </w:r>
    </w:p>
    <w:p w14:paraId="01D36641" w14:textId="77777777" w:rsidR="00DE180A" w:rsidRDefault="0032416B" w:rsidP="003F0732">
      <w:pPr>
        <w:pStyle w:val="NumberList"/>
        <w:spacing w:after="120"/>
        <w:ind w:left="714" w:hanging="357"/>
      </w:pPr>
      <w:r>
        <w:t>1.</w:t>
      </w:r>
      <w:r>
        <w:tab/>
      </w:r>
      <w:r w:rsidR="00DE180A">
        <w:t>Is there sufficient clinical evidence to demonstrate the superiority of cardiac ablation over treatment with anti-arrhythmic medication? If not, what are the gaps? ​</w:t>
      </w:r>
    </w:p>
    <w:p w14:paraId="26067F8B" w14:textId="77777777" w:rsidR="00DE180A" w:rsidRDefault="0032416B" w:rsidP="003F0732">
      <w:pPr>
        <w:pStyle w:val="NumberList"/>
        <w:spacing w:after="120"/>
        <w:ind w:left="714" w:hanging="357"/>
      </w:pPr>
      <w:r>
        <w:t>2.</w:t>
      </w:r>
      <w:r>
        <w:tab/>
      </w:r>
      <w:r w:rsidR="00DE180A">
        <w:t>Are the clinical outcomes different in different age groups? ​</w:t>
      </w:r>
    </w:p>
    <w:p w14:paraId="6257BD3F" w14:textId="77777777" w:rsidR="00DE180A" w:rsidRDefault="0032416B" w:rsidP="003F0732">
      <w:pPr>
        <w:pStyle w:val="NumberList"/>
        <w:spacing w:after="120"/>
        <w:ind w:left="714" w:hanging="357"/>
      </w:pPr>
      <w:r>
        <w:t>3.</w:t>
      </w:r>
      <w:r>
        <w:tab/>
      </w:r>
      <w:r w:rsidR="00DE180A">
        <w:t>Are there sufficient data to establish that the devices are cost-effective at the prices currently being paid in Australia? ​</w:t>
      </w:r>
    </w:p>
    <w:p w14:paraId="5B041691" w14:textId="77777777" w:rsidR="008B2CBE" w:rsidRDefault="0032416B" w:rsidP="00165D94">
      <w:r>
        <w:t>A total of 23</w:t>
      </w:r>
      <w:r w:rsidR="008B2CBE" w:rsidRPr="008B2CBE">
        <w:t xml:space="preserve"> systematic reviews (including </w:t>
      </w:r>
      <w:r w:rsidR="00D2317A">
        <w:t>two</w:t>
      </w:r>
      <w:r w:rsidR="008B2CBE" w:rsidRPr="008B2CBE">
        <w:t xml:space="preserve"> Cochrane </w:t>
      </w:r>
      <w:r>
        <w:t>r</w:t>
      </w:r>
      <w:r w:rsidR="008B2CBE" w:rsidRPr="008B2CBE">
        <w:t xml:space="preserve">eviews) and </w:t>
      </w:r>
      <w:r w:rsidR="00D2317A">
        <w:t>three</w:t>
      </w:r>
      <w:r w:rsidR="008B2CBE" w:rsidRPr="008B2CBE">
        <w:t xml:space="preserve"> </w:t>
      </w:r>
      <w:r w:rsidR="004A311B">
        <w:t>health technology assessments</w:t>
      </w:r>
      <w:r w:rsidR="004A311B" w:rsidRPr="008B2CBE">
        <w:t xml:space="preserve"> </w:t>
      </w:r>
      <w:r w:rsidR="008B2CBE" w:rsidRPr="008B2CBE">
        <w:t xml:space="preserve">met </w:t>
      </w:r>
      <w:r w:rsidR="00B36412">
        <w:t xml:space="preserve">the </w:t>
      </w:r>
      <w:r w:rsidR="008B2CBE" w:rsidRPr="008B2CBE">
        <w:t xml:space="preserve">eligibility </w:t>
      </w:r>
      <w:r w:rsidR="00C71005" w:rsidRPr="008B2CBE">
        <w:t>criteria</w:t>
      </w:r>
      <w:r w:rsidR="00C71005">
        <w:t xml:space="preserve"> for review </w:t>
      </w:r>
      <w:r w:rsidR="00B36412">
        <w:t xml:space="preserve">and were </w:t>
      </w:r>
      <w:r w:rsidR="00B36412" w:rsidRPr="008720B7">
        <w:t xml:space="preserve">selected </w:t>
      </w:r>
      <w:r w:rsidR="008720B7" w:rsidRPr="008720B7">
        <w:t>based on recency, comprehensiveness and quality</w:t>
      </w:r>
      <w:r w:rsidR="00D2317A">
        <w:t>.</w:t>
      </w:r>
    </w:p>
    <w:p w14:paraId="46E29C1B" w14:textId="77777777" w:rsidR="002669D4" w:rsidRPr="00426354" w:rsidRDefault="002669D4" w:rsidP="003F0732">
      <w:pPr>
        <w:spacing w:after="120"/>
        <w:rPr>
          <w:b/>
        </w:rPr>
      </w:pPr>
      <w:r w:rsidRPr="00426354">
        <w:rPr>
          <w:b/>
        </w:rPr>
        <w:t>Is there sufficient clinical evidence to demonstrate the superiority of cardiac ablation over treatment with anti-arrhythmic medication? If not, what are the gaps? ​</w:t>
      </w:r>
    </w:p>
    <w:p w14:paraId="4B95FC85" w14:textId="634435F7" w:rsidR="00922CF5" w:rsidRDefault="00F238D9" w:rsidP="0032416B">
      <w:pPr>
        <w:pStyle w:val="NormalBeforeBullet"/>
      </w:pPr>
      <w:r>
        <w:t>In summary,</w:t>
      </w:r>
      <w:r w:rsidR="00BF0C8E">
        <w:t xml:space="preserve"> </w:t>
      </w:r>
      <w:r w:rsidR="00B21059">
        <w:t xml:space="preserve">MSAC </w:t>
      </w:r>
      <w:r w:rsidR="00922CF5">
        <w:t>accepted that</w:t>
      </w:r>
      <w:r w:rsidR="00B21059">
        <w:t xml:space="preserve"> that </w:t>
      </w:r>
      <w:r w:rsidR="002669D4">
        <w:t xml:space="preserve">there </w:t>
      </w:r>
      <w:r w:rsidR="003B4511">
        <w:t xml:space="preserve">is moderate </w:t>
      </w:r>
      <w:r w:rsidR="00922CF5">
        <w:t xml:space="preserve">quality evidence </w:t>
      </w:r>
      <w:r w:rsidR="003B4511">
        <w:t xml:space="preserve">that </w:t>
      </w:r>
      <w:r w:rsidR="0032416B">
        <w:t>radiofrequency</w:t>
      </w:r>
      <w:r w:rsidR="003B4511">
        <w:t xml:space="preserve"> </w:t>
      </w:r>
      <w:r w:rsidR="0032416B">
        <w:t xml:space="preserve">(RF) </w:t>
      </w:r>
      <w:r w:rsidR="003B4511">
        <w:t>ablation is superior to medical therapy for enhancing patient freedom from recurrence of atrial arrhythmias</w:t>
      </w:r>
      <w:r w:rsidR="00922CF5">
        <w:t xml:space="preserve"> (and in particular paroxysmal AF)</w:t>
      </w:r>
      <w:r w:rsidR="003B4511">
        <w:t xml:space="preserve"> in both the short and</w:t>
      </w:r>
      <w:r w:rsidR="00922CF5">
        <w:t xml:space="preserve"> medium </w:t>
      </w:r>
      <w:r w:rsidR="003B4511">
        <w:t>term</w:t>
      </w:r>
      <w:r w:rsidR="00922CF5">
        <w:t xml:space="preserve"> (up to </w:t>
      </w:r>
      <w:r w:rsidR="00E2360E">
        <w:t>4</w:t>
      </w:r>
      <w:r w:rsidR="00922CF5">
        <w:t xml:space="preserve"> years). However, the need for</w:t>
      </w:r>
      <w:r w:rsidR="003B4511">
        <w:t xml:space="preserve"> re-ablation is common</w:t>
      </w:r>
      <w:r w:rsidR="00922CF5">
        <w:t>, with</w:t>
      </w:r>
      <w:r w:rsidR="00BF0C8E">
        <w:t xml:space="preserve"> </w:t>
      </w:r>
      <w:r w:rsidR="00922CF5">
        <w:t>rates of up to 50% reported. There is low</w:t>
      </w:r>
      <w:r w:rsidR="00E2360E">
        <w:t>-</w:t>
      </w:r>
      <w:bookmarkStart w:id="1" w:name="Editing"/>
      <w:bookmarkEnd w:id="1"/>
      <w:r w:rsidR="00922CF5">
        <w:t>quality evidence to suggest that c</w:t>
      </w:r>
      <w:r w:rsidR="003B4511">
        <w:t xml:space="preserve">ardiac ablation has a beneficial impact on all-cause mortality </w:t>
      </w:r>
      <w:r w:rsidR="00FD5102">
        <w:t>(</w:t>
      </w:r>
      <w:r w:rsidR="003B4511">
        <w:t>however, this benefit appears to be largely driven by the inclusion of patients with heart failure</w:t>
      </w:r>
      <w:r w:rsidR="00352A03">
        <w:t>, who are not the subject of the PLAC consideration</w:t>
      </w:r>
      <w:r w:rsidR="00FD5102">
        <w:t>) and cardiac hospitalisation in patients with AF</w:t>
      </w:r>
      <w:r w:rsidR="003B4511">
        <w:t xml:space="preserve">. Evidence from observational studies suggests that cardiac ablation may decrease </w:t>
      </w:r>
      <w:r w:rsidR="00A260E2">
        <w:t xml:space="preserve">the </w:t>
      </w:r>
      <w:r w:rsidR="003B4511">
        <w:t xml:space="preserve">risk of stroke compared with medical therapy, but this benefit is not seen in </w:t>
      </w:r>
      <w:r w:rsidR="0032416B">
        <w:t>randomised controlled trials (RCTs)</w:t>
      </w:r>
      <w:r w:rsidR="003B4511">
        <w:t xml:space="preserve">, which are likely underpowered for this </w:t>
      </w:r>
      <w:r w:rsidR="003B4511">
        <w:lastRenderedPageBreak/>
        <w:t>outcome</w:t>
      </w:r>
      <w:r>
        <w:t xml:space="preserve">. </w:t>
      </w:r>
      <w:r w:rsidR="00352A03">
        <w:t>Overall, n</w:t>
      </w:r>
      <w:r>
        <w:t>o definite conclusion could be made about the effect of ablation on the risk of stroke</w:t>
      </w:r>
      <w:r w:rsidR="00180AE1">
        <w:t>.</w:t>
      </w:r>
    </w:p>
    <w:p w14:paraId="54055235" w14:textId="2F3FE52D" w:rsidR="00F238D9" w:rsidRDefault="00F238D9" w:rsidP="0032416B">
      <w:pPr>
        <w:pStyle w:val="NormalBeforeBullet"/>
      </w:pPr>
      <w:r>
        <w:t xml:space="preserve">MSAC noted that </w:t>
      </w:r>
      <w:r w:rsidR="00922CF5">
        <w:t>the benefit of ablation is similar whe</w:t>
      </w:r>
      <w:r>
        <w:t xml:space="preserve">ther </w:t>
      </w:r>
      <w:r w:rsidR="00922CF5">
        <w:t>it is used as first or second line treatment</w:t>
      </w:r>
      <w:r w:rsidR="00BF0C8E">
        <w:t>.</w:t>
      </w:r>
    </w:p>
    <w:p w14:paraId="6B2F9790" w14:textId="45049FC4" w:rsidR="006F377E" w:rsidRDefault="00F238D9" w:rsidP="0032416B">
      <w:pPr>
        <w:pStyle w:val="NormalBeforeBullet"/>
      </w:pPr>
      <w:r>
        <w:t>In re</w:t>
      </w:r>
      <w:r w:rsidR="006F377E">
        <w:t>lation</w:t>
      </w:r>
      <w:r>
        <w:t xml:space="preserve"> to the safety of cardiac ablation. MSAC note</w:t>
      </w:r>
      <w:r w:rsidR="006F377E">
        <w:t>d</w:t>
      </w:r>
      <w:r>
        <w:t xml:space="preserve"> that the rate </w:t>
      </w:r>
      <w:r w:rsidR="006F377E">
        <w:t>f</w:t>
      </w:r>
      <w:r>
        <w:t>o</w:t>
      </w:r>
      <w:r w:rsidR="006F377E">
        <w:t>r</w:t>
      </w:r>
      <w:r>
        <w:t xml:space="preserve"> major complicatio</w:t>
      </w:r>
      <w:r w:rsidR="006F377E">
        <w:t>ns</w:t>
      </w:r>
      <w:r>
        <w:t xml:space="preserve"> was 3-4% </w:t>
      </w:r>
      <w:r w:rsidR="006F377E">
        <w:t>and these included device complications (damage to adjacent structures</w:t>
      </w:r>
      <w:r w:rsidR="004B68D7">
        <w:t>)</w:t>
      </w:r>
      <w:r w:rsidR="006F377E">
        <w:t xml:space="preserve"> and procedure</w:t>
      </w:r>
      <w:r w:rsidR="00BF0C8E">
        <w:t>-</w:t>
      </w:r>
      <w:r w:rsidR="006F377E">
        <w:t>related complications (e</w:t>
      </w:r>
      <w:r w:rsidR="00BF0C8E">
        <w:t>.</w:t>
      </w:r>
      <w:r w:rsidR="006F377E">
        <w:t>g</w:t>
      </w:r>
      <w:r w:rsidR="00BF0C8E">
        <w:t>.,</w:t>
      </w:r>
      <w:r w:rsidR="006F377E">
        <w:t xml:space="preserve"> vascular access). MSAC accepted that cardiac ablation is probably less safe than medical therapy but </w:t>
      </w:r>
      <w:r w:rsidR="004B68D7">
        <w:t>ov</w:t>
      </w:r>
      <w:r w:rsidR="006F377E">
        <w:t xml:space="preserve">erall it is acceptably safe when performed </w:t>
      </w:r>
      <w:r w:rsidR="004B68D7">
        <w:t xml:space="preserve">by </w:t>
      </w:r>
      <w:r w:rsidR="006F377E">
        <w:t>experienced proceduralists.</w:t>
      </w:r>
    </w:p>
    <w:p w14:paraId="1BD66720" w14:textId="6BAB6C71" w:rsidR="00F238D9" w:rsidRDefault="00F238D9" w:rsidP="0032416B">
      <w:pPr>
        <w:pStyle w:val="NormalBeforeBullet"/>
      </w:pPr>
      <w:r>
        <w:t xml:space="preserve">The key findings from the evidence review are summarised in Table </w:t>
      </w:r>
      <w:r w:rsidR="00BF0C8E">
        <w:t>1.</w:t>
      </w:r>
    </w:p>
    <w:p w14:paraId="7B58C082" w14:textId="63FBC635" w:rsidR="00BF0C8E" w:rsidRDefault="00BF0C8E" w:rsidP="00BF0C8E">
      <w:pPr>
        <w:pStyle w:val="Caption"/>
      </w:pPr>
      <w:bookmarkStart w:id="2" w:name="_Ref527053863"/>
      <w:bookmarkStart w:id="3" w:name="_Toc528599491"/>
      <w:r>
        <w:t>Table</w:t>
      </w:r>
      <w:bookmarkEnd w:id="2"/>
      <w:r>
        <w:t xml:space="preserve"> 1</w:t>
      </w:r>
      <w:r>
        <w:tab/>
        <w:t>Key findings and strength of evidence: cardiac ablation (CA) vs. medical therapy (MT)</w:t>
      </w:r>
      <w:bookmarkEnd w:id="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59"/>
        <w:gridCol w:w="1313"/>
        <w:gridCol w:w="1677"/>
        <w:gridCol w:w="1086"/>
        <w:gridCol w:w="3807"/>
      </w:tblGrid>
      <w:tr w:rsidR="00BF0C8E" w:rsidRPr="008532A5" w14:paraId="5AC15C2D" w14:textId="77777777" w:rsidTr="009429E4">
        <w:trPr>
          <w:cantSplit/>
          <w:tblHeader/>
        </w:trPr>
        <w:tc>
          <w:tcPr>
            <w:tcW w:w="701" w:type="pct"/>
            <w:tcBorders>
              <w:bottom w:val="single" w:sz="4" w:space="0" w:color="auto"/>
            </w:tcBorders>
            <w:shd w:val="clear" w:color="auto" w:fill="BFBFBF"/>
          </w:tcPr>
          <w:p w14:paraId="16DE3C8E" w14:textId="77777777" w:rsidR="00BF0C8E" w:rsidRPr="008532A5" w:rsidRDefault="00BF0C8E" w:rsidP="009429E4">
            <w:pPr>
              <w:pStyle w:val="01TableHeading"/>
              <w:keepNext/>
              <w:rPr>
                <w:sz w:val="18"/>
                <w:szCs w:val="18"/>
              </w:rPr>
            </w:pPr>
            <w:r>
              <w:rPr>
                <w:sz w:val="18"/>
                <w:szCs w:val="18"/>
                <w:lang w:val="en-AU"/>
              </w:rPr>
              <w:t>Outcome</w:t>
            </w:r>
          </w:p>
        </w:tc>
        <w:tc>
          <w:tcPr>
            <w:tcW w:w="719" w:type="pct"/>
            <w:tcBorders>
              <w:bottom w:val="single" w:sz="4" w:space="0" w:color="auto"/>
            </w:tcBorders>
            <w:shd w:val="clear" w:color="auto" w:fill="BFBFBF"/>
          </w:tcPr>
          <w:p w14:paraId="66C5DAD7" w14:textId="77777777" w:rsidR="00BF0C8E" w:rsidRPr="008532A5" w:rsidRDefault="00BF0C8E" w:rsidP="009429E4">
            <w:pPr>
              <w:pStyle w:val="01TableHeading"/>
              <w:keepNext/>
              <w:rPr>
                <w:sz w:val="18"/>
                <w:szCs w:val="18"/>
              </w:rPr>
            </w:pPr>
            <w:r>
              <w:rPr>
                <w:sz w:val="18"/>
                <w:szCs w:val="18"/>
                <w:lang w:val="en-AU"/>
              </w:rPr>
              <w:t>Population</w:t>
            </w:r>
          </w:p>
        </w:tc>
        <w:tc>
          <w:tcPr>
            <w:tcW w:w="916" w:type="pct"/>
            <w:tcBorders>
              <w:bottom w:val="single" w:sz="4" w:space="0" w:color="auto"/>
            </w:tcBorders>
            <w:shd w:val="clear" w:color="auto" w:fill="BFBFBF"/>
          </w:tcPr>
          <w:p w14:paraId="4F696057" w14:textId="77777777" w:rsidR="00BF0C8E" w:rsidRPr="008532A5" w:rsidRDefault="00BF0C8E" w:rsidP="009429E4">
            <w:pPr>
              <w:pStyle w:val="01TableHeading"/>
              <w:keepNext/>
              <w:rPr>
                <w:sz w:val="18"/>
                <w:szCs w:val="18"/>
              </w:rPr>
            </w:pPr>
            <w:r>
              <w:rPr>
                <w:sz w:val="18"/>
                <w:szCs w:val="18"/>
                <w:lang w:val="en-AU"/>
              </w:rPr>
              <w:t>No. of studies</w:t>
            </w:r>
            <w:r>
              <w:rPr>
                <w:sz w:val="18"/>
                <w:szCs w:val="18"/>
                <w:lang w:val="en-AU"/>
              </w:rPr>
              <w:br/>
            </w:r>
            <w:r w:rsidRPr="002F3BCE">
              <w:rPr>
                <w:i/>
                <w:sz w:val="18"/>
                <w:szCs w:val="18"/>
              </w:rPr>
              <w:t>[source]</w:t>
            </w:r>
            <w:r w:rsidRPr="002F3BCE">
              <w:rPr>
                <w:i/>
                <w:sz w:val="18"/>
                <w:szCs w:val="18"/>
                <w:vertAlign w:val="superscript"/>
              </w:rPr>
              <w:t>a</w:t>
            </w:r>
          </w:p>
        </w:tc>
        <w:tc>
          <w:tcPr>
            <w:tcW w:w="596" w:type="pct"/>
            <w:tcBorders>
              <w:bottom w:val="single" w:sz="4" w:space="0" w:color="auto"/>
            </w:tcBorders>
            <w:shd w:val="clear" w:color="auto" w:fill="BFBFBF"/>
          </w:tcPr>
          <w:p w14:paraId="18A1DB93" w14:textId="77777777" w:rsidR="00BF0C8E" w:rsidRDefault="00BF0C8E" w:rsidP="009429E4">
            <w:pPr>
              <w:pStyle w:val="01TableHeading"/>
              <w:keepNext/>
              <w:rPr>
                <w:sz w:val="18"/>
                <w:szCs w:val="18"/>
                <w:lang w:val="en-AU"/>
              </w:rPr>
            </w:pPr>
            <w:r>
              <w:rPr>
                <w:sz w:val="18"/>
                <w:szCs w:val="18"/>
                <w:lang w:val="en-AU"/>
              </w:rPr>
              <w:t>Strength of evidence</w:t>
            </w:r>
            <w:r>
              <w:rPr>
                <w:sz w:val="18"/>
                <w:szCs w:val="18"/>
                <w:vertAlign w:val="superscript"/>
                <w:lang w:val="en-AU"/>
              </w:rPr>
              <w:t>b</w:t>
            </w:r>
          </w:p>
        </w:tc>
        <w:tc>
          <w:tcPr>
            <w:tcW w:w="2068" w:type="pct"/>
            <w:tcBorders>
              <w:bottom w:val="single" w:sz="4" w:space="0" w:color="auto"/>
            </w:tcBorders>
            <w:shd w:val="clear" w:color="auto" w:fill="BFBFBF"/>
          </w:tcPr>
          <w:p w14:paraId="14715472" w14:textId="77777777" w:rsidR="00BF0C8E" w:rsidRDefault="00BF0C8E" w:rsidP="009429E4">
            <w:pPr>
              <w:pStyle w:val="01TableHeading"/>
              <w:keepNext/>
              <w:rPr>
                <w:sz w:val="18"/>
                <w:szCs w:val="18"/>
                <w:lang w:val="en-AU"/>
              </w:rPr>
            </w:pPr>
            <w:r>
              <w:rPr>
                <w:sz w:val="18"/>
                <w:szCs w:val="18"/>
                <w:lang w:val="en-AU"/>
              </w:rPr>
              <w:t>Conclusion</w:t>
            </w:r>
          </w:p>
        </w:tc>
      </w:tr>
      <w:tr w:rsidR="00BF0C8E" w:rsidRPr="008532A5" w14:paraId="4E29EA05" w14:textId="77777777" w:rsidTr="009429E4">
        <w:trPr>
          <w:cantSplit/>
        </w:trPr>
        <w:tc>
          <w:tcPr>
            <w:tcW w:w="701" w:type="pct"/>
            <w:tcBorders>
              <w:bottom w:val="nil"/>
            </w:tcBorders>
            <w:shd w:val="clear" w:color="auto" w:fill="auto"/>
          </w:tcPr>
          <w:p w14:paraId="46F9FE1E" w14:textId="77777777" w:rsidR="00BF0C8E" w:rsidRPr="008532A5" w:rsidRDefault="00BF0C8E" w:rsidP="009429E4">
            <w:pPr>
              <w:pStyle w:val="05Tabletext22"/>
            </w:pPr>
            <w:r>
              <w:t>All-cause mortality</w:t>
            </w:r>
          </w:p>
        </w:tc>
        <w:tc>
          <w:tcPr>
            <w:tcW w:w="719" w:type="pct"/>
            <w:tcBorders>
              <w:bottom w:val="dotted" w:sz="4" w:space="0" w:color="auto"/>
            </w:tcBorders>
          </w:tcPr>
          <w:p w14:paraId="7F96A195" w14:textId="77777777" w:rsidR="00BF0C8E" w:rsidRPr="00B23175" w:rsidRDefault="00BF0C8E" w:rsidP="009429E4">
            <w:pPr>
              <w:pStyle w:val="05Tabletext22"/>
            </w:pPr>
            <w:r>
              <w:t>Any AF</w:t>
            </w:r>
          </w:p>
        </w:tc>
        <w:tc>
          <w:tcPr>
            <w:tcW w:w="916" w:type="pct"/>
            <w:tcBorders>
              <w:bottom w:val="dotted" w:sz="4" w:space="0" w:color="auto"/>
            </w:tcBorders>
          </w:tcPr>
          <w:p w14:paraId="50C1C56B" w14:textId="77777777" w:rsidR="00BF0C8E" w:rsidRPr="008E4862" w:rsidRDefault="00BF0C8E" w:rsidP="009429E4">
            <w:pPr>
              <w:pStyle w:val="05Tabletext22"/>
              <w:rPr>
                <w:szCs w:val="18"/>
              </w:rPr>
            </w:pPr>
            <w:r w:rsidRPr="008E4862">
              <w:rPr>
                <w:szCs w:val="18"/>
              </w:rPr>
              <w:t>10 RCT</w:t>
            </w:r>
            <w:r>
              <w:rPr>
                <w:szCs w:val="18"/>
              </w:rPr>
              <w:t xml:space="preserve"> (NR)</w:t>
            </w:r>
            <w:r>
              <w:rPr>
                <w:szCs w:val="18"/>
              </w:rPr>
              <w:br/>
              <w:t xml:space="preserve">FU </w:t>
            </w:r>
            <w:r w:rsidRPr="008E4862">
              <w:rPr>
                <w:rFonts w:cs="Calibri"/>
                <w:szCs w:val="18"/>
              </w:rPr>
              <w:t>6-53 months</w:t>
            </w:r>
            <w:r>
              <w:rPr>
                <w:szCs w:val="18"/>
              </w:rPr>
              <w:br/>
            </w:r>
            <w:r w:rsidRPr="002F3BCE">
              <w:rPr>
                <w:i/>
                <w:szCs w:val="18"/>
              </w:rPr>
              <w:t>[Barra 2018]</w:t>
            </w:r>
          </w:p>
        </w:tc>
        <w:tc>
          <w:tcPr>
            <w:tcW w:w="596" w:type="pct"/>
            <w:tcBorders>
              <w:bottom w:val="dotted" w:sz="4" w:space="0" w:color="auto"/>
            </w:tcBorders>
            <w:shd w:val="clear" w:color="auto" w:fill="FFD966"/>
          </w:tcPr>
          <w:p w14:paraId="34BF701D" w14:textId="77777777" w:rsidR="00BF0C8E" w:rsidRPr="008E4862" w:rsidRDefault="00BF0C8E" w:rsidP="009429E4">
            <w:pPr>
              <w:pStyle w:val="05Tabletext22"/>
              <w:rPr>
                <w:szCs w:val="18"/>
              </w:rPr>
            </w:pPr>
            <w:r>
              <w:rPr>
                <w:szCs w:val="18"/>
              </w:rPr>
              <w:t>Low</w:t>
            </w:r>
          </w:p>
        </w:tc>
        <w:tc>
          <w:tcPr>
            <w:tcW w:w="2068" w:type="pct"/>
            <w:tcBorders>
              <w:bottom w:val="dotted" w:sz="4" w:space="0" w:color="auto"/>
            </w:tcBorders>
            <w:shd w:val="clear" w:color="auto" w:fill="A8D08D"/>
          </w:tcPr>
          <w:p w14:paraId="2F3CE4FF" w14:textId="77777777" w:rsidR="00BF0C8E" w:rsidRPr="008E4862" w:rsidRDefault="00BF0C8E" w:rsidP="009429E4">
            <w:pPr>
              <w:pStyle w:val="05Tabletext22"/>
              <w:rPr>
                <w:szCs w:val="18"/>
              </w:rPr>
            </w:pPr>
            <w:r w:rsidRPr="005B7CEF">
              <w:rPr>
                <w:b/>
                <w:szCs w:val="18"/>
              </w:rPr>
              <w:t>Favours CA</w:t>
            </w:r>
            <w:r w:rsidRPr="005B7CEF">
              <w:rPr>
                <w:b/>
                <w:szCs w:val="18"/>
              </w:rPr>
              <w:br/>
            </w:r>
            <w:r>
              <w:rPr>
                <w:szCs w:val="18"/>
              </w:rPr>
              <w:t xml:space="preserve">4.2% for CA vs. </w:t>
            </w:r>
            <w:r w:rsidRPr="008E4862">
              <w:rPr>
                <w:szCs w:val="18"/>
              </w:rPr>
              <w:t>8.9%</w:t>
            </w:r>
            <w:r>
              <w:rPr>
                <w:szCs w:val="18"/>
              </w:rPr>
              <w:t xml:space="preserve"> for MT; P=0.001.</w:t>
            </w:r>
            <w:r>
              <w:rPr>
                <w:szCs w:val="18"/>
              </w:rPr>
              <w:br/>
            </w:r>
            <w:r>
              <w:t>Similar results when 8 OBS are included in analysis. Benefit is attributed to inclusion of HF patients.</w:t>
            </w:r>
          </w:p>
        </w:tc>
      </w:tr>
      <w:tr w:rsidR="00BF0C8E" w:rsidRPr="008532A5" w14:paraId="56EF0397" w14:textId="77777777" w:rsidTr="009429E4">
        <w:trPr>
          <w:cantSplit/>
        </w:trPr>
        <w:tc>
          <w:tcPr>
            <w:tcW w:w="701" w:type="pct"/>
            <w:tcBorders>
              <w:top w:val="nil"/>
              <w:bottom w:val="nil"/>
            </w:tcBorders>
            <w:shd w:val="clear" w:color="auto" w:fill="auto"/>
          </w:tcPr>
          <w:p w14:paraId="3903A46C" w14:textId="77777777" w:rsidR="00BF0C8E" w:rsidRPr="008532A5" w:rsidRDefault="00BF0C8E" w:rsidP="009429E4">
            <w:pPr>
              <w:pStyle w:val="05Tabletext22"/>
            </w:pPr>
          </w:p>
        </w:tc>
        <w:tc>
          <w:tcPr>
            <w:tcW w:w="719" w:type="pct"/>
            <w:tcBorders>
              <w:top w:val="dotted" w:sz="4" w:space="0" w:color="auto"/>
              <w:bottom w:val="dotted" w:sz="4" w:space="0" w:color="auto"/>
            </w:tcBorders>
          </w:tcPr>
          <w:p w14:paraId="5BC79E92" w14:textId="77777777" w:rsidR="00BF0C8E" w:rsidRPr="00786E23" w:rsidRDefault="00BF0C8E" w:rsidP="009429E4">
            <w:pPr>
              <w:pStyle w:val="05Tabletext22"/>
            </w:pPr>
            <w:r>
              <w:t>Paroxysmal AF</w:t>
            </w:r>
          </w:p>
        </w:tc>
        <w:tc>
          <w:tcPr>
            <w:tcW w:w="916" w:type="pct"/>
            <w:tcBorders>
              <w:top w:val="dotted" w:sz="4" w:space="0" w:color="auto"/>
              <w:bottom w:val="dotted" w:sz="4" w:space="0" w:color="auto"/>
            </w:tcBorders>
          </w:tcPr>
          <w:p w14:paraId="141B30FE" w14:textId="77777777" w:rsidR="00BF0C8E" w:rsidRPr="00B329C7" w:rsidRDefault="00BF0C8E" w:rsidP="009429E4">
            <w:pPr>
              <w:pStyle w:val="05Tabletext22"/>
            </w:pPr>
            <w:r>
              <w:t>2 RCT (N=408)</w:t>
            </w:r>
            <w:r>
              <w:br/>
              <w:t>FU to 24 months</w:t>
            </w:r>
            <w:r>
              <w:br/>
            </w:r>
            <w:r w:rsidRPr="002F3BCE">
              <w:rPr>
                <w:i/>
              </w:rPr>
              <w:t>[AHRQ 2015]</w:t>
            </w:r>
          </w:p>
        </w:tc>
        <w:tc>
          <w:tcPr>
            <w:tcW w:w="596" w:type="pct"/>
            <w:tcBorders>
              <w:top w:val="dotted" w:sz="4" w:space="0" w:color="auto"/>
              <w:bottom w:val="dotted" w:sz="4" w:space="0" w:color="auto"/>
            </w:tcBorders>
            <w:shd w:val="clear" w:color="auto" w:fill="FFD966"/>
          </w:tcPr>
          <w:p w14:paraId="72332D9A" w14:textId="77777777" w:rsidR="00BF0C8E" w:rsidRPr="00B329C7" w:rsidRDefault="00BF0C8E" w:rsidP="009429E4">
            <w:pPr>
              <w:pStyle w:val="05Tabletext22"/>
            </w:pPr>
            <w:r>
              <w:t>Low</w:t>
            </w:r>
          </w:p>
        </w:tc>
        <w:tc>
          <w:tcPr>
            <w:tcW w:w="2068" w:type="pct"/>
            <w:tcBorders>
              <w:top w:val="dotted" w:sz="4" w:space="0" w:color="auto"/>
              <w:bottom w:val="dotted" w:sz="4" w:space="0" w:color="auto"/>
            </w:tcBorders>
          </w:tcPr>
          <w:p w14:paraId="30696907" w14:textId="77777777" w:rsidR="00BF0C8E" w:rsidRPr="00B329C7" w:rsidRDefault="00BF0C8E" w:rsidP="009429E4">
            <w:pPr>
              <w:pStyle w:val="05Tabletext22"/>
            </w:pPr>
            <w:r w:rsidRPr="005B7CEF">
              <w:rPr>
                <w:b/>
              </w:rPr>
              <w:t>No difference</w:t>
            </w:r>
            <w:r w:rsidRPr="005B7CEF">
              <w:rPr>
                <w:b/>
              </w:rPr>
              <w:br/>
            </w:r>
            <w:r>
              <w:t>0.97% for RFA vs. 2.0% for MT; P=NS.</w:t>
            </w:r>
            <w:r>
              <w:br/>
              <w:t>Similar results for RFA with FU to 12 months.</w:t>
            </w:r>
          </w:p>
        </w:tc>
      </w:tr>
      <w:tr w:rsidR="00BF0C8E" w:rsidRPr="008532A5" w14:paraId="63E9949F" w14:textId="77777777" w:rsidTr="009429E4">
        <w:trPr>
          <w:cantSplit/>
        </w:trPr>
        <w:tc>
          <w:tcPr>
            <w:tcW w:w="701" w:type="pct"/>
            <w:tcBorders>
              <w:top w:val="nil"/>
              <w:bottom w:val="single" w:sz="4" w:space="0" w:color="auto"/>
            </w:tcBorders>
            <w:shd w:val="clear" w:color="auto" w:fill="auto"/>
          </w:tcPr>
          <w:p w14:paraId="2A698DBA" w14:textId="77777777" w:rsidR="00BF0C8E" w:rsidRPr="008532A5" w:rsidRDefault="00BF0C8E" w:rsidP="009429E4">
            <w:pPr>
              <w:pStyle w:val="05Tabletext22"/>
            </w:pPr>
          </w:p>
        </w:tc>
        <w:tc>
          <w:tcPr>
            <w:tcW w:w="719" w:type="pct"/>
            <w:tcBorders>
              <w:top w:val="dotted" w:sz="4" w:space="0" w:color="auto"/>
              <w:bottom w:val="single" w:sz="4" w:space="0" w:color="auto"/>
            </w:tcBorders>
          </w:tcPr>
          <w:p w14:paraId="2E6ED231"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6C826F6D" w14:textId="77777777" w:rsidR="00BF0C8E" w:rsidRPr="00786E23" w:rsidRDefault="00BF0C8E" w:rsidP="009429E4">
            <w:pPr>
              <w:pStyle w:val="05Tabletext22"/>
            </w:pPr>
            <w:r>
              <w:t>3 RCT (N=559)</w:t>
            </w:r>
            <w:r>
              <w:br/>
              <w:t>FU 6-24 months</w:t>
            </w:r>
            <w:r>
              <w:br/>
            </w:r>
            <w:r w:rsidRPr="002F3BCE">
              <w:rPr>
                <w:i/>
              </w:rPr>
              <w:t>[Chen 2018]</w:t>
            </w:r>
          </w:p>
        </w:tc>
        <w:tc>
          <w:tcPr>
            <w:tcW w:w="596" w:type="pct"/>
            <w:tcBorders>
              <w:top w:val="dotted" w:sz="4" w:space="0" w:color="auto"/>
              <w:bottom w:val="single" w:sz="4" w:space="0" w:color="auto"/>
            </w:tcBorders>
            <w:shd w:val="clear" w:color="auto" w:fill="FFD966"/>
          </w:tcPr>
          <w:p w14:paraId="62F98954" w14:textId="77777777" w:rsidR="00BF0C8E" w:rsidRPr="00786E23" w:rsidRDefault="00BF0C8E" w:rsidP="009429E4">
            <w:pPr>
              <w:pStyle w:val="05Tabletext22"/>
            </w:pPr>
            <w:r>
              <w:t>Low</w:t>
            </w:r>
          </w:p>
        </w:tc>
        <w:tc>
          <w:tcPr>
            <w:tcW w:w="2068" w:type="pct"/>
            <w:tcBorders>
              <w:top w:val="dotted" w:sz="4" w:space="0" w:color="auto"/>
              <w:bottom w:val="single" w:sz="4" w:space="0" w:color="auto"/>
            </w:tcBorders>
          </w:tcPr>
          <w:p w14:paraId="1A16488A" w14:textId="77777777" w:rsidR="00BF0C8E" w:rsidRPr="00786E23" w:rsidRDefault="00BF0C8E" w:rsidP="009429E4">
            <w:pPr>
              <w:pStyle w:val="05Tabletext22"/>
            </w:pPr>
            <w:r w:rsidRPr="005B7CEF">
              <w:rPr>
                <w:b/>
              </w:rPr>
              <w:t>No difference</w:t>
            </w:r>
            <w:r w:rsidRPr="005B7CEF">
              <w:rPr>
                <w:b/>
              </w:rPr>
              <w:br/>
            </w:r>
            <w:r>
              <w:t>2.7% for CA vs. 8.1% for MT; P=0.05.</w:t>
            </w:r>
          </w:p>
        </w:tc>
      </w:tr>
      <w:tr w:rsidR="00BF0C8E" w:rsidRPr="008532A5" w14:paraId="28668F30" w14:textId="77777777" w:rsidTr="009429E4">
        <w:trPr>
          <w:cantSplit/>
        </w:trPr>
        <w:tc>
          <w:tcPr>
            <w:tcW w:w="701" w:type="pct"/>
            <w:tcBorders>
              <w:bottom w:val="nil"/>
            </w:tcBorders>
            <w:shd w:val="clear" w:color="auto" w:fill="auto"/>
          </w:tcPr>
          <w:p w14:paraId="12F78456" w14:textId="77777777" w:rsidR="00BF0C8E" w:rsidRPr="00CE417B" w:rsidRDefault="00BF0C8E" w:rsidP="009429E4">
            <w:pPr>
              <w:pStyle w:val="05Tabletext22"/>
            </w:pPr>
            <w:r>
              <w:t>Stroke</w:t>
            </w:r>
          </w:p>
        </w:tc>
        <w:tc>
          <w:tcPr>
            <w:tcW w:w="719" w:type="pct"/>
            <w:tcBorders>
              <w:bottom w:val="dotted" w:sz="4" w:space="0" w:color="auto"/>
            </w:tcBorders>
          </w:tcPr>
          <w:p w14:paraId="3C9C9249" w14:textId="77777777" w:rsidR="00BF0C8E" w:rsidRDefault="00BF0C8E" w:rsidP="009429E4">
            <w:pPr>
              <w:pStyle w:val="05Tabletext22"/>
            </w:pPr>
            <w:r w:rsidRPr="006C1F25">
              <w:t>Any AF</w:t>
            </w:r>
          </w:p>
        </w:tc>
        <w:tc>
          <w:tcPr>
            <w:tcW w:w="916" w:type="pct"/>
            <w:tcBorders>
              <w:bottom w:val="dotted" w:sz="4" w:space="0" w:color="auto"/>
            </w:tcBorders>
          </w:tcPr>
          <w:p w14:paraId="5DA4D974" w14:textId="77777777" w:rsidR="00BF0C8E" w:rsidRPr="008532A5" w:rsidRDefault="00BF0C8E" w:rsidP="009429E4">
            <w:pPr>
              <w:pStyle w:val="05Tabletext22"/>
            </w:pPr>
            <w:r>
              <w:t>7 RCT, 10 OBS (NR)</w:t>
            </w:r>
            <w:r>
              <w:br/>
              <w:t>FU 6-53 months</w:t>
            </w:r>
            <w:r>
              <w:br/>
            </w:r>
            <w:r w:rsidRPr="002F3BCE">
              <w:rPr>
                <w:i/>
              </w:rPr>
              <w:t>[Barra 2018]</w:t>
            </w:r>
          </w:p>
        </w:tc>
        <w:tc>
          <w:tcPr>
            <w:tcW w:w="596" w:type="pct"/>
            <w:tcBorders>
              <w:bottom w:val="dotted" w:sz="4" w:space="0" w:color="auto"/>
            </w:tcBorders>
            <w:shd w:val="clear" w:color="auto" w:fill="FFD966"/>
          </w:tcPr>
          <w:p w14:paraId="1837164D" w14:textId="77777777" w:rsidR="00BF0C8E" w:rsidRPr="008532A5" w:rsidRDefault="00BF0C8E" w:rsidP="009429E4">
            <w:pPr>
              <w:pStyle w:val="05Tabletext22"/>
            </w:pPr>
            <w:r>
              <w:t>Low</w:t>
            </w:r>
          </w:p>
        </w:tc>
        <w:tc>
          <w:tcPr>
            <w:tcW w:w="2068" w:type="pct"/>
            <w:tcBorders>
              <w:bottom w:val="dotted" w:sz="4" w:space="0" w:color="auto"/>
            </w:tcBorders>
            <w:shd w:val="clear" w:color="auto" w:fill="A8D08D"/>
          </w:tcPr>
          <w:p w14:paraId="145F55AD" w14:textId="77777777" w:rsidR="00BF0C8E" w:rsidRPr="008532A5" w:rsidRDefault="00BF0C8E" w:rsidP="009429E4">
            <w:pPr>
              <w:pStyle w:val="05Tabletext22"/>
            </w:pPr>
            <w:r w:rsidRPr="005B7CEF">
              <w:rPr>
                <w:b/>
                <w:szCs w:val="18"/>
              </w:rPr>
              <w:t>Favours CA</w:t>
            </w:r>
            <w:r w:rsidRPr="005B7CEF">
              <w:rPr>
                <w:b/>
                <w:szCs w:val="18"/>
              </w:rPr>
              <w:br/>
            </w:r>
            <w:r>
              <w:rPr>
                <w:szCs w:val="18"/>
              </w:rPr>
              <w:t>2.3% for CA vs. 5.5</w:t>
            </w:r>
            <w:r w:rsidRPr="008E4862">
              <w:rPr>
                <w:szCs w:val="18"/>
              </w:rPr>
              <w:t>%</w:t>
            </w:r>
            <w:r>
              <w:rPr>
                <w:szCs w:val="18"/>
              </w:rPr>
              <w:t xml:space="preserve"> for MT; P&lt;0.001.</w:t>
            </w:r>
            <w:r>
              <w:rPr>
                <w:szCs w:val="18"/>
              </w:rPr>
              <w:br/>
            </w:r>
            <w:r>
              <w:t>No significant difference when OBS are excluded. Benefit is attributed to inclusion of HF patients.</w:t>
            </w:r>
          </w:p>
        </w:tc>
      </w:tr>
      <w:tr w:rsidR="00BF0C8E" w:rsidRPr="008532A5" w14:paraId="4C3F742E" w14:textId="77777777" w:rsidTr="009429E4">
        <w:trPr>
          <w:cantSplit/>
        </w:trPr>
        <w:tc>
          <w:tcPr>
            <w:tcW w:w="701" w:type="pct"/>
            <w:tcBorders>
              <w:top w:val="nil"/>
              <w:bottom w:val="nil"/>
            </w:tcBorders>
            <w:shd w:val="clear" w:color="auto" w:fill="auto"/>
          </w:tcPr>
          <w:p w14:paraId="018FE6E7" w14:textId="77777777" w:rsidR="00BF0C8E" w:rsidRPr="00CE417B" w:rsidRDefault="00BF0C8E" w:rsidP="009429E4">
            <w:pPr>
              <w:pStyle w:val="05Tabletext22"/>
            </w:pPr>
          </w:p>
        </w:tc>
        <w:tc>
          <w:tcPr>
            <w:tcW w:w="719" w:type="pct"/>
            <w:tcBorders>
              <w:top w:val="dotted" w:sz="4" w:space="0" w:color="auto"/>
              <w:bottom w:val="dotted" w:sz="4" w:space="0" w:color="auto"/>
            </w:tcBorders>
          </w:tcPr>
          <w:p w14:paraId="0899E3D1"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12C58FBD" w14:textId="77777777" w:rsidR="00BF0C8E" w:rsidRPr="00786E23" w:rsidRDefault="00BF0C8E" w:rsidP="009429E4">
            <w:pPr>
              <w:pStyle w:val="05Tabletext22"/>
            </w:pPr>
            <w:r>
              <w:t>2 RCT (N=194)</w:t>
            </w:r>
            <w:r>
              <w:br/>
              <w:t>FU 12-24 months</w:t>
            </w:r>
            <w:r>
              <w:br/>
            </w:r>
            <w:r w:rsidRPr="002F3BCE">
              <w:rPr>
                <w:i/>
              </w:rPr>
              <w:t>[AHRQ 2015]</w:t>
            </w:r>
          </w:p>
        </w:tc>
        <w:tc>
          <w:tcPr>
            <w:tcW w:w="596" w:type="pct"/>
            <w:tcBorders>
              <w:top w:val="dotted" w:sz="4" w:space="0" w:color="auto"/>
              <w:bottom w:val="dotted" w:sz="4" w:space="0" w:color="auto"/>
            </w:tcBorders>
          </w:tcPr>
          <w:p w14:paraId="4027F73A" w14:textId="77777777" w:rsidR="00BF0C8E" w:rsidRPr="00786E23" w:rsidRDefault="00BF0C8E" w:rsidP="009429E4">
            <w:pPr>
              <w:pStyle w:val="05Tabletext22"/>
            </w:pPr>
            <w:r>
              <w:t>Insufficient</w:t>
            </w:r>
          </w:p>
        </w:tc>
        <w:tc>
          <w:tcPr>
            <w:tcW w:w="2068" w:type="pct"/>
            <w:tcBorders>
              <w:top w:val="dotted" w:sz="4" w:space="0" w:color="auto"/>
              <w:bottom w:val="dotted" w:sz="4" w:space="0" w:color="auto"/>
            </w:tcBorders>
          </w:tcPr>
          <w:p w14:paraId="584438AF" w14:textId="77777777" w:rsidR="00BF0C8E" w:rsidRPr="00786E23" w:rsidRDefault="00BF0C8E" w:rsidP="009429E4">
            <w:pPr>
              <w:pStyle w:val="05Tabletext22"/>
            </w:pPr>
            <w:r w:rsidRPr="005B7CEF">
              <w:rPr>
                <w:b/>
              </w:rPr>
              <w:t>No difference</w:t>
            </w:r>
            <w:r w:rsidRPr="005B7CEF">
              <w:rPr>
                <w:b/>
              </w:rPr>
              <w:br/>
            </w:r>
            <w:r>
              <w:t>0% for RFA vs. 0% for MT; P=NS.</w:t>
            </w:r>
            <w:r>
              <w:br/>
              <w:t>Definitive conclusions are not possible.</w:t>
            </w:r>
          </w:p>
        </w:tc>
      </w:tr>
      <w:tr w:rsidR="00BF0C8E" w:rsidRPr="008532A5" w14:paraId="2BD877BF" w14:textId="77777777" w:rsidTr="009429E4">
        <w:trPr>
          <w:cantSplit/>
        </w:trPr>
        <w:tc>
          <w:tcPr>
            <w:tcW w:w="701" w:type="pct"/>
            <w:tcBorders>
              <w:top w:val="nil"/>
              <w:bottom w:val="single" w:sz="4" w:space="0" w:color="auto"/>
            </w:tcBorders>
            <w:shd w:val="clear" w:color="auto" w:fill="auto"/>
          </w:tcPr>
          <w:p w14:paraId="3958E40D" w14:textId="77777777" w:rsidR="00BF0C8E" w:rsidRPr="00CE417B" w:rsidRDefault="00BF0C8E" w:rsidP="009429E4">
            <w:pPr>
              <w:pStyle w:val="05Tabletext22"/>
            </w:pPr>
          </w:p>
        </w:tc>
        <w:tc>
          <w:tcPr>
            <w:tcW w:w="719" w:type="pct"/>
            <w:tcBorders>
              <w:top w:val="dotted" w:sz="4" w:space="0" w:color="auto"/>
              <w:bottom w:val="single" w:sz="4" w:space="0" w:color="auto"/>
            </w:tcBorders>
          </w:tcPr>
          <w:p w14:paraId="22318A4F"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6193CC64" w14:textId="77777777" w:rsidR="00BF0C8E" w:rsidRPr="00786E23" w:rsidRDefault="00BF0C8E" w:rsidP="009429E4">
            <w:pPr>
              <w:pStyle w:val="05Tabletext22"/>
            </w:pPr>
            <w:r>
              <w:t>1 RCT (N=146)</w:t>
            </w:r>
            <w:r>
              <w:br/>
              <w:t>FU 12 months</w:t>
            </w:r>
            <w:r>
              <w:br/>
            </w:r>
            <w:r w:rsidRPr="002F3BCE">
              <w:rPr>
                <w:i/>
              </w:rPr>
              <w:t>[AHRQ 2015]</w:t>
            </w:r>
          </w:p>
        </w:tc>
        <w:tc>
          <w:tcPr>
            <w:tcW w:w="596" w:type="pct"/>
            <w:tcBorders>
              <w:top w:val="dotted" w:sz="4" w:space="0" w:color="auto"/>
              <w:bottom w:val="single" w:sz="4" w:space="0" w:color="auto"/>
            </w:tcBorders>
          </w:tcPr>
          <w:p w14:paraId="7E151468" w14:textId="77777777" w:rsidR="00BF0C8E" w:rsidRPr="00786E23" w:rsidRDefault="00BF0C8E" w:rsidP="009429E4">
            <w:pPr>
              <w:pStyle w:val="05Tabletext22"/>
            </w:pPr>
            <w:r>
              <w:t>Insufficient</w:t>
            </w:r>
          </w:p>
        </w:tc>
        <w:tc>
          <w:tcPr>
            <w:tcW w:w="2068" w:type="pct"/>
            <w:tcBorders>
              <w:top w:val="dotted" w:sz="4" w:space="0" w:color="auto"/>
              <w:bottom w:val="single" w:sz="4" w:space="0" w:color="auto"/>
            </w:tcBorders>
          </w:tcPr>
          <w:p w14:paraId="09BCD232" w14:textId="77777777" w:rsidR="00BF0C8E" w:rsidRPr="00786E23" w:rsidRDefault="00BF0C8E" w:rsidP="009429E4">
            <w:pPr>
              <w:pStyle w:val="05Tabletext22"/>
            </w:pPr>
            <w:r w:rsidRPr="005B7CEF">
              <w:rPr>
                <w:b/>
              </w:rPr>
              <w:t>No difference</w:t>
            </w:r>
            <w:r w:rsidRPr="005B7CEF">
              <w:rPr>
                <w:b/>
              </w:rPr>
              <w:br/>
            </w:r>
            <w:r>
              <w:t>0% for RFA vs. 0% for MT; P=NS.</w:t>
            </w:r>
            <w:r>
              <w:br/>
              <w:t>Definitive conclusions are not possible.</w:t>
            </w:r>
          </w:p>
        </w:tc>
      </w:tr>
      <w:tr w:rsidR="00BF0C8E" w:rsidRPr="008532A5" w14:paraId="4469533B" w14:textId="77777777" w:rsidTr="009429E4">
        <w:trPr>
          <w:cantSplit/>
        </w:trPr>
        <w:tc>
          <w:tcPr>
            <w:tcW w:w="701" w:type="pct"/>
            <w:tcBorders>
              <w:bottom w:val="dotted" w:sz="4" w:space="0" w:color="auto"/>
            </w:tcBorders>
            <w:shd w:val="clear" w:color="auto" w:fill="auto"/>
          </w:tcPr>
          <w:p w14:paraId="2A769AFA" w14:textId="77777777" w:rsidR="00BF0C8E" w:rsidRPr="00C327F9" w:rsidRDefault="00BF0C8E" w:rsidP="009429E4">
            <w:pPr>
              <w:pStyle w:val="05Tabletext22"/>
            </w:pPr>
            <w:r>
              <w:t>Arrythmia recurrence</w:t>
            </w:r>
          </w:p>
        </w:tc>
        <w:tc>
          <w:tcPr>
            <w:tcW w:w="719" w:type="pct"/>
            <w:tcBorders>
              <w:bottom w:val="dotted" w:sz="4" w:space="0" w:color="auto"/>
            </w:tcBorders>
          </w:tcPr>
          <w:p w14:paraId="23243254" w14:textId="77777777" w:rsidR="00BF0C8E" w:rsidRDefault="00BF0C8E" w:rsidP="009429E4">
            <w:pPr>
              <w:pStyle w:val="05Tabletext22"/>
            </w:pPr>
            <w:r w:rsidRPr="006C1F25">
              <w:t>Any AF</w:t>
            </w:r>
          </w:p>
        </w:tc>
        <w:tc>
          <w:tcPr>
            <w:tcW w:w="916" w:type="pct"/>
            <w:tcBorders>
              <w:bottom w:val="dotted" w:sz="4" w:space="0" w:color="auto"/>
            </w:tcBorders>
          </w:tcPr>
          <w:p w14:paraId="3EAB7B43" w14:textId="77777777" w:rsidR="00BF0C8E" w:rsidRPr="00320CBF" w:rsidRDefault="00BF0C8E" w:rsidP="009429E4">
            <w:pPr>
              <w:pStyle w:val="05Tabletext22"/>
            </w:pPr>
            <w:r>
              <w:t>11 RCT (N=1481)</w:t>
            </w:r>
            <w:r>
              <w:br/>
              <w:t>FU mean 19 months</w:t>
            </w:r>
            <w:r>
              <w:br/>
            </w:r>
            <w:r w:rsidRPr="002F3BCE">
              <w:rPr>
                <w:i/>
              </w:rPr>
              <w:t>[Khan 2018]</w:t>
            </w:r>
          </w:p>
        </w:tc>
        <w:tc>
          <w:tcPr>
            <w:tcW w:w="596" w:type="pct"/>
            <w:tcBorders>
              <w:bottom w:val="dotted" w:sz="4" w:space="0" w:color="auto"/>
            </w:tcBorders>
            <w:shd w:val="clear" w:color="auto" w:fill="F4B083"/>
          </w:tcPr>
          <w:p w14:paraId="53A47C66" w14:textId="77777777" w:rsidR="00BF0C8E" w:rsidRPr="00320CBF" w:rsidRDefault="00BF0C8E" w:rsidP="009429E4">
            <w:pPr>
              <w:pStyle w:val="05Tabletext22"/>
            </w:pPr>
            <w:r>
              <w:t>Moderate</w:t>
            </w:r>
          </w:p>
        </w:tc>
        <w:tc>
          <w:tcPr>
            <w:tcW w:w="2068" w:type="pct"/>
            <w:tcBorders>
              <w:bottom w:val="dotted" w:sz="4" w:space="0" w:color="auto"/>
            </w:tcBorders>
            <w:shd w:val="clear" w:color="auto" w:fill="A8D08D"/>
          </w:tcPr>
          <w:p w14:paraId="684544B2" w14:textId="77777777" w:rsidR="00BF0C8E" w:rsidRPr="00320CBF" w:rsidRDefault="00BF0C8E" w:rsidP="009429E4">
            <w:pPr>
              <w:pStyle w:val="05Tabletext22"/>
            </w:pPr>
            <w:r w:rsidRPr="005B7CEF">
              <w:rPr>
                <w:b/>
              </w:rPr>
              <w:t>Favours CA</w:t>
            </w:r>
            <w:r w:rsidRPr="005B7CEF">
              <w:rPr>
                <w:b/>
              </w:rPr>
              <w:br/>
            </w:r>
            <w:r>
              <w:t>27.0% for CA vs. 63.8% for MT; P&lt;0.001.</w:t>
            </w:r>
            <w:r>
              <w:br/>
              <w:t>Similar results for 6 RCTs of HF patients.</w:t>
            </w:r>
          </w:p>
        </w:tc>
      </w:tr>
      <w:tr w:rsidR="00BF0C8E" w:rsidRPr="008532A5" w14:paraId="336741D1" w14:textId="77777777" w:rsidTr="009429E4">
        <w:trPr>
          <w:cantSplit/>
        </w:trPr>
        <w:tc>
          <w:tcPr>
            <w:tcW w:w="701" w:type="pct"/>
            <w:vMerge w:val="restart"/>
            <w:tcBorders>
              <w:top w:val="dotted" w:sz="4" w:space="0" w:color="auto"/>
            </w:tcBorders>
            <w:shd w:val="clear" w:color="auto" w:fill="auto"/>
          </w:tcPr>
          <w:p w14:paraId="17AACDDC" w14:textId="77777777" w:rsidR="00BF0C8E" w:rsidRPr="00C327F9" w:rsidRDefault="00BF0C8E" w:rsidP="009429E4">
            <w:pPr>
              <w:pStyle w:val="05Tabletext22"/>
            </w:pPr>
            <w:r>
              <w:t>Freedom from arrythmia recurrence</w:t>
            </w:r>
          </w:p>
        </w:tc>
        <w:tc>
          <w:tcPr>
            <w:tcW w:w="719" w:type="pct"/>
            <w:tcBorders>
              <w:top w:val="dotted" w:sz="4" w:space="0" w:color="auto"/>
              <w:bottom w:val="dotted" w:sz="4" w:space="0" w:color="auto"/>
            </w:tcBorders>
          </w:tcPr>
          <w:p w14:paraId="0EA83915"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66A28B08" w14:textId="77777777" w:rsidR="00BF0C8E" w:rsidRPr="00786E23" w:rsidRDefault="00BF0C8E" w:rsidP="009429E4">
            <w:pPr>
              <w:pStyle w:val="05Tabletext22"/>
            </w:pPr>
            <w:r w:rsidRPr="00473671">
              <w:t>3 RCT</w:t>
            </w:r>
            <w:r>
              <w:t xml:space="preserve"> (N=619)</w:t>
            </w:r>
            <w:r>
              <w:br/>
              <w:t>FU 24-48 months</w:t>
            </w:r>
            <w:r>
              <w:br/>
            </w:r>
            <w:r w:rsidRPr="002F3BCE">
              <w:rPr>
                <w:i/>
              </w:rPr>
              <w:t>[AHRQ 2015]</w:t>
            </w:r>
          </w:p>
        </w:tc>
        <w:tc>
          <w:tcPr>
            <w:tcW w:w="596" w:type="pct"/>
            <w:tcBorders>
              <w:top w:val="dotted" w:sz="4" w:space="0" w:color="auto"/>
              <w:bottom w:val="dotted" w:sz="4" w:space="0" w:color="auto"/>
            </w:tcBorders>
            <w:shd w:val="clear" w:color="auto" w:fill="F4B083"/>
          </w:tcPr>
          <w:p w14:paraId="04BC98C9" w14:textId="77777777" w:rsidR="00BF0C8E" w:rsidRPr="00786E23" w:rsidRDefault="00BF0C8E" w:rsidP="009429E4">
            <w:pPr>
              <w:pStyle w:val="05Tabletext22"/>
            </w:pPr>
            <w:r>
              <w:t>Moderate</w:t>
            </w:r>
          </w:p>
        </w:tc>
        <w:tc>
          <w:tcPr>
            <w:tcW w:w="2068" w:type="pct"/>
            <w:tcBorders>
              <w:top w:val="dotted" w:sz="4" w:space="0" w:color="auto"/>
              <w:bottom w:val="dotted" w:sz="4" w:space="0" w:color="auto"/>
            </w:tcBorders>
            <w:shd w:val="clear" w:color="auto" w:fill="A8D08D"/>
          </w:tcPr>
          <w:p w14:paraId="523E198E" w14:textId="77777777" w:rsidR="00BF0C8E" w:rsidRPr="00786E23" w:rsidRDefault="00BF0C8E" w:rsidP="009429E4">
            <w:pPr>
              <w:pStyle w:val="05Tabletext22"/>
            </w:pPr>
            <w:r w:rsidRPr="005B7CEF">
              <w:rPr>
                <w:b/>
              </w:rPr>
              <w:t>Favours CA</w:t>
            </w:r>
            <w:r w:rsidRPr="005B7CEF">
              <w:rPr>
                <w:b/>
              </w:rPr>
              <w:br/>
            </w:r>
            <w:r>
              <w:t>72.6% for RFA vs. 57.8% for MT; P&lt;0.05.</w:t>
            </w:r>
            <w:r>
              <w:br/>
              <w:t>Similar results for 4 RCTs with FU to 12 months.</w:t>
            </w:r>
          </w:p>
        </w:tc>
      </w:tr>
      <w:tr w:rsidR="00BF0C8E" w:rsidRPr="008532A5" w14:paraId="4413005E" w14:textId="77777777" w:rsidTr="009429E4">
        <w:trPr>
          <w:cantSplit/>
        </w:trPr>
        <w:tc>
          <w:tcPr>
            <w:tcW w:w="701" w:type="pct"/>
            <w:vMerge/>
            <w:tcBorders>
              <w:bottom w:val="single" w:sz="4" w:space="0" w:color="auto"/>
            </w:tcBorders>
            <w:shd w:val="clear" w:color="auto" w:fill="auto"/>
          </w:tcPr>
          <w:p w14:paraId="1B54B19D" w14:textId="77777777" w:rsidR="00BF0C8E" w:rsidRPr="00C327F9" w:rsidRDefault="00BF0C8E" w:rsidP="009429E4">
            <w:pPr>
              <w:pStyle w:val="05Tabletext22"/>
            </w:pPr>
          </w:p>
        </w:tc>
        <w:tc>
          <w:tcPr>
            <w:tcW w:w="719" w:type="pct"/>
            <w:tcBorders>
              <w:top w:val="dotted" w:sz="4" w:space="0" w:color="auto"/>
              <w:bottom w:val="single" w:sz="4" w:space="0" w:color="auto"/>
            </w:tcBorders>
          </w:tcPr>
          <w:p w14:paraId="1B2EA0D7"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66DD128C" w14:textId="77777777" w:rsidR="00BF0C8E" w:rsidRPr="00786E23" w:rsidRDefault="00BF0C8E" w:rsidP="009429E4">
            <w:pPr>
              <w:pStyle w:val="05Tabletext22"/>
            </w:pPr>
            <w:r>
              <w:t>3 RCT (N=559)</w:t>
            </w:r>
            <w:r>
              <w:br/>
              <w:t>FU 6-24 months</w:t>
            </w:r>
            <w:r>
              <w:br/>
            </w:r>
            <w:r w:rsidRPr="002F3BCE">
              <w:rPr>
                <w:i/>
              </w:rPr>
              <w:t>[Chen 2018]</w:t>
            </w:r>
          </w:p>
        </w:tc>
        <w:tc>
          <w:tcPr>
            <w:tcW w:w="596" w:type="pct"/>
            <w:tcBorders>
              <w:top w:val="dotted" w:sz="4" w:space="0" w:color="auto"/>
              <w:bottom w:val="single" w:sz="4" w:space="0" w:color="auto"/>
            </w:tcBorders>
            <w:shd w:val="clear" w:color="auto" w:fill="F4B083"/>
          </w:tcPr>
          <w:p w14:paraId="4A1D78C6" w14:textId="77777777" w:rsidR="00BF0C8E" w:rsidRPr="00786E23" w:rsidRDefault="00BF0C8E" w:rsidP="009429E4">
            <w:pPr>
              <w:pStyle w:val="05Tabletext22"/>
            </w:pPr>
            <w:r>
              <w:t>Moderate</w:t>
            </w:r>
          </w:p>
        </w:tc>
        <w:tc>
          <w:tcPr>
            <w:tcW w:w="2068" w:type="pct"/>
            <w:tcBorders>
              <w:top w:val="dotted" w:sz="4" w:space="0" w:color="auto"/>
              <w:bottom w:val="single" w:sz="4" w:space="0" w:color="auto"/>
            </w:tcBorders>
            <w:shd w:val="clear" w:color="auto" w:fill="A8D08D"/>
          </w:tcPr>
          <w:p w14:paraId="67AF1DB1" w14:textId="77777777" w:rsidR="00BF0C8E" w:rsidRPr="00786E23" w:rsidRDefault="00BF0C8E" w:rsidP="009429E4">
            <w:pPr>
              <w:pStyle w:val="05Tabletext22"/>
            </w:pPr>
            <w:r w:rsidRPr="005B7CEF">
              <w:rPr>
                <w:b/>
              </w:rPr>
              <w:t>Favours CA</w:t>
            </w:r>
            <w:r w:rsidRPr="005B7CEF">
              <w:rPr>
                <w:b/>
              </w:rPr>
              <w:br/>
            </w:r>
            <w:r>
              <w:t>61.2% for CA vs. 30.3% for MT; P&lt;0.00001.</w:t>
            </w:r>
            <w:r>
              <w:br/>
              <w:t xml:space="preserve">Similar results for patients without AADs after CA. </w:t>
            </w:r>
          </w:p>
        </w:tc>
      </w:tr>
      <w:tr w:rsidR="00BF0C8E" w:rsidRPr="008532A5" w14:paraId="667A9092" w14:textId="77777777" w:rsidTr="009429E4">
        <w:trPr>
          <w:cantSplit/>
        </w:trPr>
        <w:tc>
          <w:tcPr>
            <w:tcW w:w="701" w:type="pct"/>
            <w:tcBorders>
              <w:bottom w:val="nil"/>
            </w:tcBorders>
            <w:shd w:val="clear" w:color="auto" w:fill="auto"/>
          </w:tcPr>
          <w:p w14:paraId="2801F3A9" w14:textId="77777777" w:rsidR="00BF0C8E" w:rsidRPr="008532A5" w:rsidRDefault="00BF0C8E" w:rsidP="009429E4">
            <w:pPr>
              <w:pStyle w:val="05Tabletext22"/>
            </w:pPr>
            <w:r>
              <w:t>Repeat ablation</w:t>
            </w:r>
          </w:p>
        </w:tc>
        <w:tc>
          <w:tcPr>
            <w:tcW w:w="719" w:type="pct"/>
            <w:tcBorders>
              <w:bottom w:val="dotted" w:sz="4" w:space="0" w:color="auto"/>
            </w:tcBorders>
          </w:tcPr>
          <w:p w14:paraId="6DED683E" w14:textId="77777777" w:rsidR="00BF0C8E" w:rsidRDefault="00BF0C8E" w:rsidP="009429E4">
            <w:pPr>
              <w:pStyle w:val="05Tabletext22"/>
            </w:pPr>
            <w:r w:rsidRPr="006C1F25">
              <w:t>Any AF</w:t>
            </w:r>
          </w:p>
        </w:tc>
        <w:tc>
          <w:tcPr>
            <w:tcW w:w="916" w:type="pct"/>
            <w:tcBorders>
              <w:bottom w:val="dotted" w:sz="4" w:space="0" w:color="auto"/>
            </w:tcBorders>
          </w:tcPr>
          <w:p w14:paraId="47C50829" w14:textId="77777777" w:rsidR="00BF0C8E" w:rsidRPr="008532A5" w:rsidRDefault="00BF0C8E" w:rsidP="009429E4">
            <w:pPr>
              <w:pStyle w:val="05Tabletext22"/>
            </w:pPr>
            <w:r>
              <w:t>8 RCT (N=430)</w:t>
            </w:r>
            <w:r>
              <w:br/>
              <w:t>FU 6-12 months</w:t>
            </w:r>
            <w:r>
              <w:br/>
            </w:r>
            <w:r w:rsidRPr="002F3BCE">
              <w:rPr>
                <w:i/>
              </w:rPr>
              <w:t>[AHRQ 2015]</w:t>
            </w:r>
          </w:p>
        </w:tc>
        <w:tc>
          <w:tcPr>
            <w:tcW w:w="596" w:type="pct"/>
            <w:tcBorders>
              <w:bottom w:val="dotted" w:sz="4" w:space="0" w:color="auto"/>
            </w:tcBorders>
          </w:tcPr>
          <w:p w14:paraId="6CD6EDA0" w14:textId="77777777" w:rsidR="00BF0C8E" w:rsidRPr="008532A5" w:rsidRDefault="00BF0C8E" w:rsidP="009429E4">
            <w:pPr>
              <w:pStyle w:val="05Tabletext22"/>
            </w:pPr>
            <w:r>
              <w:t>Insufficient</w:t>
            </w:r>
          </w:p>
        </w:tc>
        <w:tc>
          <w:tcPr>
            <w:tcW w:w="2068" w:type="pct"/>
            <w:tcBorders>
              <w:bottom w:val="dotted" w:sz="4" w:space="0" w:color="auto"/>
            </w:tcBorders>
          </w:tcPr>
          <w:p w14:paraId="0C670013" w14:textId="77777777" w:rsidR="00BF0C8E" w:rsidRPr="008532A5" w:rsidRDefault="00BF0C8E" w:rsidP="009429E4">
            <w:pPr>
              <w:pStyle w:val="05Tabletext22"/>
            </w:pPr>
            <w:r w:rsidRPr="004A080F">
              <w:t>Ranges from 0 – 53% after RFA.</w:t>
            </w:r>
            <w:r>
              <w:br/>
              <w:t xml:space="preserve">Definitive conclusions are not possible. </w:t>
            </w:r>
          </w:p>
        </w:tc>
      </w:tr>
      <w:tr w:rsidR="00BF0C8E" w:rsidRPr="008532A5" w14:paraId="66C8965E" w14:textId="77777777" w:rsidTr="009429E4">
        <w:trPr>
          <w:cantSplit/>
        </w:trPr>
        <w:tc>
          <w:tcPr>
            <w:tcW w:w="701" w:type="pct"/>
            <w:tcBorders>
              <w:top w:val="nil"/>
              <w:bottom w:val="nil"/>
            </w:tcBorders>
            <w:shd w:val="clear" w:color="auto" w:fill="auto"/>
          </w:tcPr>
          <w:p w14:paraId="07092FAC" w14:textId="77777777" w:rsidR="00BF0C8E" w:rsidRPr="008532A5" w:rsidRDefault="00BF0C8E" w:rsidP="009429E4">
            <w:pPr>
              <w:pStyle w:val="05Tabletext22"/>
            </w:pPr>
          </w:p>
        </w:tc>
        <w:tc>
          <w:tcPr>
            <w:tcW w:w="719" w:type="pct"/>
            <w:tcBorders>
              <w:top w:val="dotted" w:sz="4" w:space="0" w:color="auto"/>
              <w:bottom w:val="dotted" w:sz="4" w:space="0" w:color="auto"/>
            </w:tcBorders>
          </w:tcPr>
          <w:p w14:paraId="06768BEA"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0CE24CDA" w14:textId="77777777" w:rsidR="00BF0C8E" w:rsidRPr="00786E23" w:rsidRDefault="00BF0C8E" w:rsidP="009429E4">
            <w:pPr>
              <w:pStyle w:val="05Tabletext22"/>
            </w:pPr>
            <w:r>
              <w:t>4 RCT (N=337)</w:t>
            </w:r>
            <w:r>
              <w:br/>
              <w:t>FU 12-48 months</w:t>
            </w:r>
            <w:r>
              <w:br/>
            </w:r>
            <w:r w:rsidRPr="002F3BCE">
              <w:rPr>
                <w:i/>
              </w:rPr>
              <w:t>[AHRQ 2015]</w:t>
            </w:r>
          </w:p>
        </w:tc>
        <w:tc>
          <w:tcPr>
            <w:tcW w:w="596" w:type="pct"/>
            <w:tcBorders>
              <w:top w:val="dotted" w:sz="4" w:space="0" w:color="auto"/>
              <w:bottom w:val="dotted" w:sz="4" w:space="0" w:color="auto"/>
            </w:tcBorders>
          </w:tcPr>
          <w:p w14:paraId="60AB0D8D" w14:textId="77777777" w:rsidR="00BF0C8E" w:rsidRPr="00786E23" w:rsidRDefault="00BF0C8E" w:rsidP="009429E4">
            <w:pPr>
              <w:pStyle w:val="05Tabletext22"/>
            </w:pPr>
            <w:r>
              <w:t>Insufficient</w:t>
            </w:r>
          </w:p>
        </w:tc>
        <w:tc>
          <w:tcPr>
            <w:tcW w:w="2068" w:type="pct"/>
            <w:tcBorders>
              <w:top w:val="dotted" w:sz="4" w:space="0" w:color="auto"/>
              <w:bottom w:val="dotted" w:sz="4" w:space="0" w:color="auto"/>
            </w:tcBorders>
          </w:tcPr>
          <w:p w14:paraId="1D33C992" w14:textId="77777777" w:rsidR="00BF0C8E" w:rsidRPr="00786E23" w:rsidRDefault="00BF0C8E" w:rsidP="009429E4">
            <w:pPr>
              <w:pStyle w:val="05Tabletext22"/>
            </w:pPr>
            <w:r>
              <w:t>Ranges from 12.5</w:t>
            </w:r>
            <w:r w:rsidRPr="004A080F">
              <w:t xml:space="preserve"> – </w:t>
            </w:r>
            <w:r>
              <w:t>49.2</w:t>
            </w:r>
            <w:r w:rsidRPr="004A080F">
              <w:t>%</w:t>
            </w:r>
            <w:r>
              <w:t xml:space="preserve"> after RFA.</w:t>
            </w:r>
            <w:r>
              <w:br/>
              <w:t>Definitive conclusions are not possible.</w:t>
            </w:r>
          </w:p>
        </w:tc>
      </w:tr>
      <w:tr w:rsidR="00BF0C8E" w:rsidRPr="008532A5" w14:paraId="7251BFA5" w14:textId="77777777" w:rsidTr="009429E4">
        <w:trPr>
          <w:cantSplit/>
        </w:trPr>
        <w:tc>
          <w:tcPr>
            <w:tcW w:w="701" w:type="pct"/>
            <w:tcBorders>
              <w:top w:val="nil"/>
              <w:bottom w:val="single" w:sz="4" w:space="0" w:color="auto"/>
            </w:tcBorders>
            <w:shd w:val="clear" w:color="auto" w:fill="auto"/>
          </w:tcPr>
          <w:p w14:paraId="383D740F" w14:textId="77777777" w:rsidR="00BF0C8E" w:rsidRPr="008532A5" w:rsidRDefault="00BF0C8E" w:rsidP="009429E4">
            <w:pPr>
              <w:pStyle w:val="05Tabletext22"/>
            </w:pPr>
          </w:p>
        </w:tc>
        <w:tc>
          <w:tcPr>
            <w:tcW w:w="719" w:type="pct"/>
            <w:tcBorders>
              <w:top w:val="dotted" w:sz="4" w:space="0" w:color="auto"/>
              <w:bottom w:val="single" w:sz="4" w:space="0" w:color="auto"/>
            </w:tcBorders>
          </w:tcPr>
          <w:p w14:paraId="289A2A1C"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3D4E32AA" w14:textId="77777777" w:rsidR="00BF0C8E" w:rsidRPr="00786E23" w:rsidRDefault="00BF0C8E" w:rsidP="009429E4">
            <w:pPr>
              <w:pStyle w:val="05Tabletext22"/>
            </w:pPr>
            <w:r>
              <w:t>5 RCT (N=246)</w:t>
            </w:r>
            <w:r>
              <w:br/>
              <w:t>FU 6-12 months</w:t>
            </w:r>
            <w:r>
              <w:br/>
            </w:r>
            <w:r w:rsidRPr="002F3BCE">
              <w:rPr>
                <w:i/>
              </w:rPr>
              <w:t>[AHRQ 2015]</w:t>
            </w:r>
          </w:p>
        </w:tc>
        <w:tc>
          <w:tcPr>
            <w:tcW w:w="596" w:type="pct"/>
            <w:tcBorders>
              <w:top w:val="dotted" w:sz="4" w:space="0" w:color="auto"/>
              <w:bottom w:val="single" w:sz="4" w:space="0" w:color="auto"/>
            </w:tcBorders>
          </w:tcPr>
          <w:p w14:paraId="7BFA69F6" w14:textId="77777777" w:rsidR="00BF0C8E" w:rsidRPr="00786E23" w:rsidRDefault="00BF0C8E" w:rsidP="009429E4">
            <w:pPr>
              <w:pStyle w:val="05Tabletext22"/>
            </w:pPr>
            <w:r>
              <w:t>Insufficient</w:t>
            </w:r>
          </w:p>
        </w:tc>
        <w:tc>
          <w:tcPr>
            <w:tcW w:w="2068" w:type="pct"/>
            <w:tcBorders>
              <w:top w:val="dotted" w:sz="4" w:space="0" w:color="auto"/>
              <w:bottom w:val="single" w:sz="4" w:space="0" w:color="auto"/>
            </w:tcBorders>
          </w:tcPr>
          <w:p w14:paraId="50C00A23" w14:textId="77777777" w:rsidR="00BF0C8E" w:rsidRPr="00786E23" w:rsidRDefault="00BF0C8E" w:rsidP="009429E4">
            <w:pPr>
              <w:pStyle w:val="05Tabletext22"/>
            </w:pPr>
            <w:r>
              <w:t>Ranges from 8.1 – 53.8% after RFA.</w:t>
            </w:r>
            <w:r>
              <w:br/>
              <w:t>Definitive conclusions are not possible.</w:t>
            </w:r>
          </w:p>
        </w:tc>
      </w:tr>
      <w:tr w:rsidR="00BF0C8E" w:rsidRPr="008532A5" w14:paraId="0FEC595B" w14:textId="77777777" w:rsidTr="009429E4">
        <w:trPr>
          <w:cantSplit/>
        </w:trPr>
        <w:tc>
          <w:tcPr>
            <w:tcW w:w="701" w:type="pct"/>
            <w:vMerge w:val="restart"/>
            <w:shd w:val="clear" w:color="auto" w:fill="auto"/>
          </w:tcPr>
          <w:p w14:paraId="45322277" w14:textId="77777777" w:rsidR="00BF0C8E" w:rsidRPr="00786E23" w:rsidRDefault="00BF0C8E" w:rsidP="009429E4">
            <w:pPr>
              <w:pStyle w:val="05Tabletext22"/>
            </w:pPr>
            <w:r>
              <w:t>Cardiac hospitalisation/ re-admission</w:t>
            </w:r>
          </w:p>
        </w:tc>
        <w:tc>
          <w:tcPr>
            <w:tcW w:w="719" w:type="pct"/>
            <w:tcBorders>
              <w:bottom w:val="dotted" w:sz="4" w:space="0" w:color="auto"/>
            </w:tcBorders>
          </w:tcPr>
          <w:p w14:paraId="2F60FD15" w14:textId="77777777" w:rsidR="00BF0C8E" w:rsidRDefault="00BF0C8E" w:rsidP="009429E4">
            <w:pPr>
              <w:pStyle w:val="05Tabletext22"/>
            </w:pPr>
            <w:r w:rsidRPr="006C1F25">
              <w:t>Any AF</w:t>
            </w:r>
          </w:p>
        </w:tc>
        <w:tc>
          <w:tcPr>
            <w:tcW w:w="916" w:type="pct"/>
            <w:tcBorders>
              <w:bottom w:val="dotted" w:sz="4" w:space="0" w:color="auto"/>
            </w:tcBorders>
          </w:tcPr>
          <w:p w14:paraId="36D9DDE7" w14:textId="77777777" w:rsidR="00BF0C8E" w:rsidRPr="002A6208" w:rsidRDefault="00BF0C8E" w:rsidP="009429E4">
            <w:pPr>
              <w:pStyle w:val="05Tabletext22"/>
            </w:pPr>
            <w:r>
              <w:t>4 RCT (N=629)</w:t>
            </w:r>
            <w:r>
              <w:br/>
              <w:t>FU mean 19 months</w:t>
            </w:r>
            <w:r>
              <w:br/>
            </w:r>
            <w:r w:rsidRPr="002F3BCE">
              <w:rPr>
                <w:i/>
              </w:rPr>
              <w:t>[Khan 2018]</w:t>
            </w:r>
          </w:p>
        </w:tc>
        <w:tc>
          <w:tcPr>
            <w:tcW w:w="596" w:type="pct"/>
            <w:tcBorders>
              <w:bottom w:val="dotted" w:sz="4" w:space="0" w:color="auto"/>
            </w:tcBorders>
            <w:shd w:val="clear" w:color="auto" w:fill="FFD966"/>
          </w:tcPr>
          <w:p w14:paraId="5F22C780" w14:textId="77777777" w:rsidR="00BF0C8E" w:rsidRPr="00C50765" w:rsidRDefault="00BF0C8E" w:rsidP="009429E4">
            <w:pPr>
              <w:pStyle w:val="05Tabletext22"/>
            </w:pPr>
            <w:r w:rsidRPr="00C50765">
              <w:t>Low</w:t>
            </w:r>
          </w:p>
        </w:tc>
        <w:tc>
          <w:tcPr>
            <w:tcW w:w="2068" w:type="pct"/>
            <w:tcBorders>
              <w:bottom w:val="dotted" w:sz="4" w:space="0" w:color="auto"/>
            </w:tcBorders>
            <w:shd w:val="clear" w:color="auto" w:fill="A8D08D"/>
          </w:tcPr>
          <w:p w14:paraId="544C5882" w14:textId="77777777" w:rsidR="00BF0C8E" w:rsidRPr="002A6208" w:rsidRDefault="00BF0C8E" w:rsidP="009429E4">
            <w:pPr>
              <w:pStyle w:val="05Tabletext22"/>
            </w:pPr>
            <w:r w:rsidRPr="005B7CEF">
              <w:rPr>
                <w:b/>
              </w:rPr>
              <w:t>Favours CA</w:t>
            </w:r>
            <w:r w:rsidRPr="005B7CEF">
              <w:rPr>
                <w:b/>
              </w:rPr>
              <w:br/>
            </w:r>
            <w:r>
              <w:t>9.6% for CA vs. 31.5% for MT; P=0.001.</w:t>
            </w:r>
            <w:r>
              <w:br/>
              <w:t xml:space="preserve">Similar results (P=0.01) for 3 RCTs of HF patients. </w:t>
            </w:r>
          </w:p>
        </w:tc>
      </w:tr>
      <w:tr w:rsidR="00BF0C8E" w:rsidRPr="008532A5" w14:paraId="2AF0C871" w14:textId="77777777" w:rsidTr="009429E4">
        <w:trPr>
          <w:cantSplit/>
        </w:trPr>
        <w:tc>
          <w:tcPr>
            <w:tcW w:w="701" w:type="pct"/>
            <w:vMerge/>
            <w:tcBorders>
              <w:bottom w:val="nil"/>
            </w:tcBorders>
            <w:shd w:val="clear" w:color="auto" w:fill="auto"/>
          </w:tcPr>
          <w:p w14:paraId="792CC1A3" w14:textId="77777777" w:rsidR="00BF0C8E" w:rsidRPr="00786E23" w:rsidRDefault="00BF0C8E" w:rsidP="009429E4">
            <w:pPr>
              <w:pStyle w:val="05Tabletext22"/>
            </w:pPr>
          </w:p>
        </w:tc>
        <w:tc>
          <w:tcPr>
            <w:tcW w:w="719" w:type="pct"/>
            <w:tcBorders>
              <w:top w:val="dotted" w:sz="4" w:space="0" w:color="auto"/>
              <w:bottom w:val="dotted" w:sz="4" w:space="0" w:color="auto"/>
            </w:tcBorders>
          </w:tcPr>
          <w:p w14:paraId="450D724A"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2FE66643" w14:textId="77777777" w:rsidR="00BF0C8E" w:rsidRPr="00786E23" w:rsidRDefault="00BF0C8E" w:rsidP="009429E4">
            <w:pPr>
              <w:pStyle w:val="05Tabletext22"/>
            </w:pPr>
            <w:r>
              <w:t>2 RCT (N=361)</w:t>
            </w:r>
            <w:r>
              <w:br/>
              <w:t>FU 12-24 months</w:t>
            </w:r>
            <w:r>
              <w:br/>
            </w:r>
            <w:r w:rsidRPr="002F3BCE">
              <w:rPr>
                <w:i/>
              </w:rPr>
              <w:t>[AHRQ 2015]</w:t>
            </w:r>
          </w:p>
        </w:tc>
        <w:tc>
          <w:tcPr>
            <w:tcW w:w="596" w:type="pct"/>
            <w:tcBorders>
              <w:top w:val="dotted" w:sz="4" w:space="0" w:color="auto"/>
              <w:bottom w:val="dotted" w:sz="4" w:space="0" w:color="auto"/>
            </w:tcBorders>
          </w:tcPr>
          <w:p w14:paraId="34EDE8F7" w14:textId="77777777" w:rsidR="00BF0C8E" w:rsidRPr="00786E23" w:rsidRDefault="00BF0C8E" w:rsidP="009429E4">
            <w:pPr>
              <w:pStyle w:val="05Tabletext22"/>
            </w:pPr>
            <w:r>
              <w:t>Insufficient</w:t>
            </w:r>
          </w:p>
        </w:tc>
        <w:tc>
          <w:tcPr>
            <w:tcW w:w="2068" w:type="pct"/>
            <w:tcBorders>
              <w:top w:val="dotted" w:sz="4" w:space="0" w:color="auto"/>
              <w:bottom w:val="dotted" w:sz="4" w:space="0" w:color="auto"/>
            </w:tcBorders>
            <w:shd w:val="clear" w:color="auto" w:fill="A8D08D"/>
          </w:tcPr>
          <w:p w14:paraId="260F104B" w14:textId="77777777" w:rsidR="00BF0C8E" w:rsidRPr="00786E23" w:rsidRDefault="00BF0C8E" w:rsidP="009429E4">
            <w:pPr>
              <w:pStyle w:val="05Tabletext22"/>
            </w:pPr>
            <w:r w:rsidRPr="005B7CEF">
              <w:rPr>
                <w:b/>
              </w:rPr>
              <w:t>Favours CA</w:t>
            </w:r>
            <w:r w:rsidRPr="005B7CEF">
              <w:rPr>
                <w:b/>
              </w:rPr>
              <w:br/>
            </w:r>
            <w:r>
              <w:t>17.0% for CA vs. 40.9% for MT; P=NR.</w:t>
            </w:r>
            <w:r>
              <w:br/>
              <w:t>Definitive conclusions are not possible.</w:t>
            </w:r>
          </w:p>
        </w:tc>
      </w:tr>
      <w:tr w:rsidR="00BF0C8E" w:rsidRPr="008532A5" w14:paraId="0B627A3A" w14:textId="77777777" w:rsidTr="009429E4">
        <w:trPr>
          <w:cantSplit/>
        </w:trPr>
        <w:tc>
          <w:tcPr>
            <w:tcW w:w="701" w:type="pct"/>
            <w:tcBorders>
              <w:top w:val="nil"/>
              <w:bottom w:val="single" w:sz="4" w:space="0" w:color="auto"/>
            </w:tcBorders>
            <w:shd w:val="clear" w:color="auto" w:fill="auto"/>
          </w:tcPr>
          <w:p w14:paraId="72465D8E" w14:textId="77777777" w:rsidR="00BF0C8E" w:rsidRPr="00786E23" w:rsidRDefault="00BF0C8E" w:rsidP="009429E4">
            <w:pPr>
              <w:pStyle w:val="05Tabletext22"/>
            </w:pPr>
          </w:p>
        </w:tc>
        <w:tc>
          <w:tcPr>
            <w:tcW w:w="719" w:type="pct"/>
            <w:tcBorders>
              <w:top w:val="dotted" w:sz="4" w:space="0" w:color="auto"/>
              <w:bottom w:val="single" w:sz="4" w:space="0" w:color="auto"/>
            </w:tcBorders>
          </w:tcPr>
          <w:p w14:paraId="10800DDF"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1BA0CC1A" w14:textId="77777777" w:rsidR="00BF0C8E" w:rsidRPr="00786E23" w:rsidRDefault="00BF0C8E" w:rsidP="009429E4">
            <w:pPr>
              <w:pStyle w:val="05Tabletext22"/>
            </w:pPr>
            <w:r>
              <w:t>2 RCT (N=349)</w:t>
            </w:r>
            <w:r>
              <w:br/>
              <w:t>FU 6-24 months</w:t>
            </w:r>
            <w:r>
              <w:br/>
            </w:r>
            <w:r w:rsidRPr="002F3BCE">
              <w:rPr>
                <w:i/>
              </w:rPr>
              <w:t>[Chen 2018]</w:t>
            </w:r>
          </w:p>
        </w:tc>
        <w:tc>
          <w:tcPr>
            <w:tcW w:w="596" w:type="pct"/>
            <w:tcBorders>
              <w:top w:val="dotted" w:sz="4" w:space="0" w:color="auto"/>
              <w:bottom w:val="single" w:sz="4" w:space="0" w:color="auto"/>
            </w:tcBorders>
          </w:tcPr>
          <w:p w14:paraId="02C2BBBE" w14:textId="77777777" w:rsidR="00BF0C8E" w:rsidRPr="00786E23" w:rsidRDefault="00BF0C8E" w:rsidP="009429E4">
            <w:pPr>
              <w:pStyle w:val="05Tabletext22"/>
            </w:pPr>
            <w:r w:rsidRPr="003A4235">
              <w:t>Insufficient</w:t>
            </w:r>
            <w:r>
              <w:t xml:space="preserve"> </w:t>
            </w:r>
          </w:p>
        </w:tc>
        <w:tc>
          <w:tcPr>
            <w:tcW w:w="2068" w:type="pct"/>
            <w:tcBorders>
              <w:top w:val="dotted" w:sz="4" w:space="0" w:color="auto"/>
              <w:bottom w:val="single" w:sz="4" w:space="0" w:color="auto"/>
            </w:tcBorders>
            <w:shd w:val="clear" w:color="auto" w:fill="A8D08D"/>
          </w:tcPr>
          <w:p w14:paraId="03A927A4" w14:textId="77777777" w:rsidR="00BF0C8E" w:rsidRPr="00786E23" w:rsidRDefault="00BF0C8E" w:rsidP="009429E4">
            <w:pPr>
              <w:pStyle w:val="05Tabletext22"/>
            </w:pPr>
            <w:r w:rsidRPr="005B7CEF">
              <w:rPr>
                <w:b/>
              </w:rPr>
              <w:t>Favours CA</w:t>
            </w:r>
            <w:r w:rsidRPr="005B7CEF">
              <w:rPr>
                <w:b/>
              </w:rPr>
              <w:br/>
            </w:r>
            <w:r>
              <w:t>1.7% for RFA vs. 11.5% for MT; P=0.0002.</w:t>
            </w:r>
            <w:r>
              <w:br/>
              <w:t>Definitive conclusions are not possible.</w:t>
            </w:r>
          </w:p>
        </w:tc>
      </w:tr>
      <w:tr w:rsidR="00BF0C8E" w:rsidRPr="008532A5" w14:paraId="10365A64" w14:textId="77777777" w:rsidTr="009429E4">
        <w:trPr>
          <w:cantSplit/>
        </w:trPr>
        <w:tc>
          <w:tcPr>
            <w:tcW w:w="701" w:type="pct"/>
            <w:vMerge w:val="restart"/>
            <w:tcBorders>
              <w:bottom w:val="nil"/>
            </w:tcBorders>
            <w:shd w:val="clear" w:color="auto" w:fill="auto"/>
          </w:tcPr>
          <w:p w14:paraId="5BF7BDA7" w14:textId="77777777" w:rsidR="00BF0C8E" w:rsidRPr="00786E23" w:rsidRDefault="00BF0C8E" w:rsidP="009429E4">
            <w:pPr>
              <w:pStyle w:val="05Tabletext22"/>
            </w:pPr>
            <w:r>
              <w:t>Pulmonary vein stenosis</w:t>
            </w:r>
          </w:p>
        </w:tc>
        <w:tc>
          <w:tcPr>
            <w:tcW w:w="719" w:type="pct"/>
            <w:tcBorders>
              <w:bottom w:val="dotted" w:sz="4" w:space="0" w:color="auto"/>
            </w:tcBorders>
          </w:tcPr>
          <w:p w14:paraId="4A33A243" w14:textId="77777777" w:rsidR="00BF0C8E" w:rsidRDefault="00BF0C8E" w:rsidP="009429E4">
            <w:pPr>
              <w:pStyle w:val="05Tabletext22"/>
            </w:pPr>
            <w:r w:rsidRPr="006C1F25">
              <w:t>Any AF</w:t>
            </w:r>
          </w:p>
        </w:tc>
        <w:tc>
          <w:tcPr>
            <w:tcW w:w="916" w:type="pct"/>
            <w:tcBorders>
              <w:bottom w:val="dotted" w:sz="4" w:space="0" w:color="auto"/>
            </w:tcBorders>
          </w:tcPr>
          <w:p w14:paraId="39E4BB2F" w14:textId="77777777" w:rsidR="00BF0C8E" w:rsidRPr="00C90152" w:rsidRDefault="00BF0C8E" w:rsidP="009429E4">
            <w:pPr>
              <w:pStyle w:val="05Tabletext22"/>
            </w:pPr>
            <w:r w:rsidRPr="00C90152">
              <w:t>6 RCT (N=1109)</w:t>
            </w:r>
            <w:r w:rsidRPr="00C90152">
              <w:br/>
              <w:t>FU mean 19 months</w:t>
            </w:r>
            <w:r w:rsidRPr="00C90152">
              <w:br/>
            </w:r>
            <w:r w:rsidRPr="002F3BCE">
              <w:rPr>
                <w:i/>
              </w:rPr>
              <w:t>[Khan 2018]</w:t>
            </w:r>
          </w:p>
        </w:tc>
        <w:tc>
          <w:tcPr>
            <w:tcW w:w="596" w:type="pct"/>
            <w:tcBorders>
              <w:bottom w:val="dotted" w:sz="4" w:space="0" w:color="auto"/>
            </w:tcBorders>
            <w:shd w:val="clear" w:color="auto" w:fill="FFD966"/>
          </w:tcPr>
          <w:p w14:paraId="16EDC18F" w14:textId="77777777" w:rsidR="00BF0C8E" w:rsidRPr="00C90152" w:rsidRDefault="00BF0C8E" w:rsidP="009429E4">
            <w:pPr>
              <w:pStyle w:val="05Tabletext22"/>
            </w:pPr>
            <w:r w:rsidRPr="00C90152">
              <w:t>Low</w:t>
            </w:r>
          </w:p>
        </w:tc>
        <w:tc>
          <w:tcPr>
            <w:tcW w:w="2068" w:type="pct"/>
            <w:tcBorders>
              <w:bottom w:val="dotted" w:sz="4" w:space="0" w:color="auto"/>
            </w:tcBorders>
          </w:tcPr>
          <w:p w14:paraId="3A27495D" w14:textId="77777777" w:rsidR="00BF0C8E" w:rsidRPr="00786E23" w:rsidRDefault="00BF0C8E" w:rsidP="009429E4">
            <w:pPr>
              <w:pStyle w:val="05Tabletext22"/>
            </w:pPr>
            <w:r w:rsidRPr="005B7CEF">
              <w:rPr>
                <w:b/>
              </w:rPr>
              <w:t>No difference</w:t>
            </w:r>
            <w:r w:rsidRPr="005B7CEF">
              <w:rPr>
                <w:b/>
              </w:rPr>
              <w:br/>
            </w:r>
            <w:r>
              <w:t>1.2% for RFA vs. 0% for MT; P=0.09.</w:t>
            </w:r>
            <w:r>
              <w:br/>
              <w:t>Events are uncommon.</w:t>
            </w:r>
          </w:p>
        </w:tc>
      </w:tr>
      <w:tr w:rsidR="00BF0C8E" w:rsidRPr="008532A5" w14:paraId="35DC8E32" w14:textId="77777777" w:rsidTr="009429E4">
        <w:trPr>
          <w:cantSplit/>
        </w:trPr>
        <w:tc>
          <w:tcPr>
            <w:tcW w:w="701" w:type="pct"/>
            <w:vMerge/>
            <w:tcBorders>
              <w:bottom w:val="nil"/>
            </w:tcBorders>
            <w:shd w:val="clear" w:color="auto" w:fill="auto"/>
          </w:tcPr>
          <w:p w14:paraId="10366D7F" w14:textId="77777777" w:rsidR="00BF0C8E" w:rsidRPr="00786E23" w:rsidRDefault="00BF0C8E" w:rsidP="009429E4">
            <w:pPr>
              <w:pStyle w:val="05Tabletext22"/>
            </w:pPr>
          </w:p>
        </w:tc>
        <w:tc>
          <w:tcPr>
            <w:tcW w:w="719" w:type="pct"/>
            <w:tcBorders>
              <w:top w:val="dotted" w:sz="4" w:space="0" w:color="auto"/>
              <w:bottom w:val="dotted" w:sz="4" w:space="0" w:color="auto"/>
            </w:tcBorders>
          </w:tcPr>
          <w:p w14:paraId="13135956"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6856F48F" w14:textId="77777777" w:rsidR="00BF0C8E" w:rsidRPr="00786E23" w:rsidRDefault="00BF0C8E" w:rsidP="009429E4">
            <w:pPr>
              <w:pStyle w:val="05Tabletext22"/>
            </w:pPr>
            <w:r>
              <w:t>5 RCT (N=544)</w:t>
            </w:r>
            <w:r>
              <w:br/>
              <w:t>FU 1-24 months</w:t>
            </w:r>
            <w:r>
              <w:br/>
            </w:r>
            <w:r w:rsidRPr="002F3BCE">
              <w:rPr>
                <w:i/>
              </w:rPr>
              <w:t>[AHRQ 2015]</w:t>
            </w:r>
          </w:p>
        </w:tc>
        <w:tc>
          <w:tcPr>
            <w:tcW w:w="596" w:type="pct"/>
            <w:tcBorders>
              <w:top w:val="dotted" w:sz="4" w:space="0" w:color="auto"/>
              <w:bottom w:val="dotted" w:sz="4" w:space="0" w:color="auto"/>
            </w:tcBorders>
          </w:tcPr>
          <w:p w14:paraId="6AF0F441" w14:textId="77777777" w:rsidR="00BF0C8E" w:rsidRPr="00786E23" w:rsidRDefault="00BF0C8E" w:rsidP="009429E4">
            <w:pPr>
              <w:pStyle w:val="05Tabletext22"/>
            </w:pPr>
            <w:r>
              <w:t>Insufficient</w:t>
            </w:r>
          </w:p>
        </w:tc>
        <w:tc>
          <w:tcPr>
            <w:tcW w:w="2068" w:type="pct"/>
            <w:tcBorders>
              <w:top w:val="dotted" w:sz="4" w:space="0" w:color="auto"/>
              <w:bottom w:val="dotted" w:sz="4" w:space="0" w:color="auto"/>
            </w:tcBorders>
          </w:tcPr>
          <w:p w14:paraId="38D74771" w14:textId="77777777" w:rsidR="00BF0C8E" w:rsidRPr="00786E23" w:rsidRDefault="00BF0C8E" w:rsidP="009429E4">
            <w:pPr>
              <w:pStyle w:val="05Tabletext22"/>
            </w:pPr>
            <w:r>
              <w:t>0.7% for RFA.</w:t>
            </w:r>
            <w:r>
              <w:br/>
              <w:t>Definitive conclusions are not possible. Events are uncommon.</w:t>
            </w:r>
          </w:p>
        </w:tc>
      </w:tr>
      <w:tr w:rsidR="00BF0C8E" w:rsidRPr="008532A5" w14:paraId="21D1ADC6" w14:textId="77777777" w:rsidTr="009429E4">
        <w:trPr>
          <w:cantSplit/>
        </w:trPr>
        <w:tc>
          <w:tcPr>
            <w:tcW w:w="701" w:type="pct"/>
            <w:tcBorders>
              <w:top w:val="nil"/>
              <w:bottom w:val="single" w:sz="4" w:space="0" w:color="auto"/>
            </w:tcBorders>
            <w:shd w:val="clear" w:color="auto" w:fill="auto"/>
          </w:tcPr>
          <w:p w14:paraId="6947ED54" w14:textId="77777777" w:rsidR="00BF0C8E" w:rsidRPr="00786E23" w:rsidRDefault="00BF0C8E" w:rsidP="009429E4">
            <w:pPr>
              <w:pStyle w:val="05Tabletext22"/>
            </w:pPr>
          </w:p>
        </w:tc>
        <w:tc>
          <w:tcPr>
            <w:tcW w:w="719" w:type="pct"/>
            <w:tcBorders>
              <w:top w:val="dotted" w:sz="4" w:space="0" w:color="auto"/>
              <w:bottom w:val="single" w:sz="4" w:space="0" w:color="auto"/>
            </w:tcBorders>
          </w:tcPr>
          <w:p w14:paraId="07688F34"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514A6FA4" w14:textId="77777777" w:rsidR="00BF0C8E" w:rsidRPr="00786E23" w:rsidRDefault="00BF0C8E" w:rsidP="009429E4">
            <w:pPr>
              <w:pStyle w:val="05Tabletext22"/>
            </w:pPr>
            <w:r>
              <w:t>2 RCT, 1 OBS (N=295)</w:t>
            </w:r>
            <w:r>
              <w:br/>
              <w:t>FU 1-12 months</w:t>
            </w:r>
            <w:r>
              <w:br/>
            </w:r>
            <w:r w:rsidRPr="002F3BCE">
              <w:rPr>
                <w:i/>
              </w:rPr>
              <w:t>[AHRQ 2015]</w:t>
            </w:r>
          </w:p>
        </w:tc>
        <w:tc>
          <w:tcPr>
            <w:tcW w:w="596" w:type="pct"/>
            <w:tcBorders>
              <w:top w:val="dotted" w:sz="4" w:space="0" w:color="auto"/>
              <w:bottom w:val="single" w:sz="4" w:space="0" w:color="auto"/>
            </w:tcBorders>
          </w:tcPr>
          <w:p w14:paraId="2FA9D7CC" w14:textId="77777777" w:rsidR="00BF0C8E" w:rsidRPr="00786E23" w:rsidRDefault="00BF0C8E" w:rsidP="009429E4">
            <w:pPr>
              <w:pStyle w:val="05Tabletext22"/>
            </w:pPr>
            <w:r>
              <w:t>Insufficient</w:t>
            </w:r>
          </w:p>
        </w:tc>
        <w:tc>
          <w:tcPr>
            <w:tcW w:w="2068" w:type="pct"/>
            <w:tcBorders>
              <w:top w:val="dotted" w:sz="4" w:space="0" w:color="auto"/>
              <w:bottom w:val="single" w:sz="4" w:space="0" w:color="auto"/>
            </w:tcBorders>
          </w:tcPr>
          <w:p w14:paraId="21C87232" w14:textId="77777777" w:rsidR="00BF0C8E" w:rsidRPr="00786E23" w:rsidRDefault="00BF0C8E" w:rsidP="009429E4">
            <w:pPr>
              <w:pStyle w:val="05Tabletext22"/>
            </w:pPr>
            <w:r>
              <w:t>0.3% for RFA.</w:t>
            </w:r>
            <w:r>
              <w:br/>
              <w:t>Definitive conclusions are not possible. Events are uncommon.</w:t>
            </w:r>
          </w:p>
        </w:tc>
      </w:tr>
      <w:tr w:rsidR="00BF0C8E" w:rsidRPr="008532A5" w14:paraId="2D9220A4" w14:textId="77777777" w:rsidTr="009429E4">
        <w:trPr>
          <w:cantSplit/>
        </w:trPr>
        <w:tc>
          <w:tcPr>
            <w:tcW w:w="701" w:type="pct"/>
            <w:vMerge w:val="restart"/>
            <w:tcBorders>
              <w:top w:val="single" w:sz="4" w:space="0" w:color="auto"/>
            </w:tcBorders>
            <w:shd w:val="clear" w:color="auto" w:fill="auto"/>
          </w:tcPr>
          <w:p w14:paraId="040454F5" w14:textId="77777777" w:rsidR="00BF0C8E" w:rsidRPr="00786E23" w:rsidRDefault="00BF0C8E" w:rsidP="009429E4">
            <w:pPr>
              <w:pStyle w:val="05Tabletext22"/>
            </w:pPr>
            <w:r>
              <w:t>Pericardial effusion</w:t>
            </w:r>
          </w:p>
        </w:tc>
        <w:tc>
          <w:tcPr>
            <w:tcW w:w="719" w:type="pct"/>
            <w:tcBorders>
              <w:bottom w:val="dotted" w:sz="4" w:space="0" w:color="auto"/>
            </w:tcBorders>
          </w:tcPr>
          <w:p w14:paraId="353BEE2E" w14:textId="77777777" w:rsidR="00BF0C8E" w:rsidRDefault="00BF0C8E" w:rsidP="009429E4">
            <w:pPr>
              <w:pStyle w:val="05Tabletext22"/>
            </w:pPr>
            <w:r w:rsidRPr="006C1F25">
              <w:t>Any AF</w:t>
            </w:r>
          </w:p>
        </w:tc>
        <w:tc>
          <w:tcPr>
            <w:tcW w:w="916" w:type="pct"/>
            <w:tcBorders>
              <w:bottom w:val="dotted" w:sz="4" w:space="0" w:color="auto"/>
            </w:tcBorders>
          </w:tcPr>
          <w:p w14:paraId="572D36DF" w14:textId="77777777" w:rsidR="00BF0C8E" w:rsidRDefault="00BF0C8E" w:rsidP="009429E4">
            <w:pPr>
              <w:pStyle w:val="05Tabletext22"/>
            </w:pPr>
            <w:r>
              <w:t>5 RCT, 1 OBS (N=930)</w:t>
            </w:r>
            <w:r>
              <w:br/>
              <w:t>FU 1 month</w:t>
            </w:r>
            <w:r>
              <w:br/>
            </w:r>
            <w:r w:rsidRPr="002F3BCE">
              <w:rPr>
                <w:i/>
              </w:rPr>
              <w:t>[AHRQ 2015]</w:t>
            </w:r>
          </w:p>
        </w:tc>
        <w:tc>
          <w:tcPr>
            <w:tcW w:w="596" w:type="pct"/>
            <w:tcBorders>
              <w:bottom w:val="dotted" w:sz="4" w:space="0" w:color="auto"/>
            </w:tcBorders>
          </w:tcPr>
          <w:p w14:paraId="7C9EF2E2" w14:textId="77777777" w:rsidR="00BF0C8E" w:rsidRDefault="00BF0C8E" w:rsidP="009429E4">
            <w:pPr>
              <w:pStyle w:val="05Tabletext22"/>
            </w:pPr>
            <w:r>
              <w:t>Insufficient</w:t>
            </w:r>
          </w:p>
        </w:tc>
        <w:tc>
          <w:tcPr>
            <w:tcW w:w="2068" w:type="pct"/>
            <w:tcBorders>
              <w:bottom w:val="dotted" w:sz="4" w:space="0" w:color="auto"/>
            </w:tcBorders>
          </w:tcPr>
          <w:p w14:paraId="78D8BB30" w14:textId="77777777" w:rsidR="00BF0C8E" w:rsidRDefault="00BF0C8E" w:rsidP="009429E4">
            <w:pPr>
              <w:pStyle w:val="05Tabletext22"/>
            </w:pPr>
            <w:r>
              <w:t>0.8% for RFA.</w:t>
            </w:r>
            <w:r>
              <w:br/>
              <w:t>Definitive conclusions are not possible. Events are uncommon.</w:t>
            </w:r>
          </w:p>
        </w:tc>
      </w:tr>
      <w:tr w:rsidR="00BF0C8E" w:rsidRPr="008532A5" w14:paraId="4737BB2B" w14:textId="77777777" w:rsidTr="009429E4">
        <w:trPr>
          <w:cantSplit/>
        </w:trPr>
        <w:tc>
          <w:tcPr>
            <w:tcW w:w="701" w:type="pct"/>
            <w:vMerge/>
            <w:tcBorders>
              <w:bottom w:val="nil"/>
            </w:tcBorders>
            <w:shd w:val="clear" w:color="auto" w:fill="auto"/>
          </w:tcPr>
          <w:p w14:paraId="59FB0553" w14:textId="77777777" w:rsidR="00BF0C8E" w:rsidRPr="00786E23" w:rsidRDefault="00BF0C8E" w:rsidP="009429E4">
            <w:pPr>
              <w:pStyle w:val="05Tabletext22"/>
            </w:pPr>
          </w:p>
        </w:tc>
        <w:tc>
          <w:tcPr>
            <w:tcW w:w="719" w:type="pct"/>
            <w:tcBorders>
              <w:top w:val="dotted" w:sz="4" w:space="0" w:color="auto"/>
              <w:bottom w:val="dotted" w:sz="4" w:space="0" w:color="auto"/>
            </w:tcBorders>
          </w:tcPr>
          <w:p w14:paraId="0E082183"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68FA68B1" w14:textId="77777777" w:rsidR="00BF0C8E" w:rsidRDefault="00BF0C8E" w:rsidP="009429E4">
            <w:pPr>
              <w:pStyle w:val="05Tabletext22"/>
            </w:pPr>
            <w:r>
              <w:t>3 RCT (N=519)</w:t>
            </w:r>
            <w:r>
              <w:br/>
              <w:t>FU 1 month</w:t>
            </w:r>
            <w:r>
              <w:br/>
            </w:r>
            <w:r w:rsidRPr="002F3BCE">
              <w:rPr>
                <w:i/>
              </w:rPr>
              <w:t>[AHRQ 2015]</w:t>
            </w:r>
          </w:p>
        </w:tc>
        <w:tc>
          <w:tcPr>
            <w:tcW w:w="596" w:type="pct"/>
            <w:tcBorders>
              <w:top w:val="dotted" w:sz="4" w:space="0" w:color="auto"/>
              <w:bottom w:val="dotted" w:sz="4" w:space="0" w:color="auto"/>
            </w:tcBorders>
          </w:tcPr>
          <w:p w14:paraId="698F40CA" w14:textId="77777777" w:rsidR="00BF0C8E" w:rsidRDefault="00BF0C8E" w:rsidP="009429E4">
            <w:pPr>
              <w:pStyle w:val="05Tabletext22"/>
            </w:pPr>
            <w:r>
              <w:t>Insufficient</w:t>
            </w:r>
          </w:p>
        </w:tc>
        <w:tc>
          <w:tcPr>
            <w:tcW w:w="2068" w:type="pct"/>
            <w:tcBorders>
              <w:top w:val="dotted" w:sz="4" w:space="0" w:color="auto"/>
              <w:bottom w:val="dotted" w:sz="4" w:space="0" w:color="auto"/>
            </w:tcBorders>
          </w:tcPr>
          <w:p w14:paraId="37B57434" w14:textId="77777777" w:rsidR="00BF0C8E" w:rsidRDefault="00BF0C8E" w:rsidP="009429E4">
            <w:pPr>
              <w:pStyle w:val="05Tabletext22"/>
            </w:pPr>
            <w:r>
              <w:t>0.6% for RFA.</w:t>
            </w:r>
            <w:r>
              <w:br/>
              <w:t>Definitive conclusions are not possible. Events are uncommon.</w:t>
            </w:r>
          </w:p>
        </w:tc>
      </w:tr>
      <w:tr w:rsidR="00BF0C8E" w:rsidRPr="008532A5" w14:paraId="3AD8B68D" w14:textId="77777777" w:rsidTr="009429E4">
        <w:trPr>
          <w:cantSplit/>
        </w:trPr>
        <w:tc>
          <w:tcPr>
            <w:tcW w:w="701" w:type="pct"/>
            <w:tcBorders>
              <w:top w:val="nil"/>
              <w:bottom w:val="single" w:sz="4" w:space="0" w:color="auto"/>
            </w:tcBorders>
            <w:shd w:val="clear" w:color="auto" w:fill="auto"/>
          </w:tcPr>
          <w:p w14:paraId="40143704" w14:textId="77777777" w:rsidR="00BF0C8E" w:rsidRPr="00786E23" w:rsidRDefault="00BF0C8E" w:rsidP="009429E4">
            <w:pPr>
              <w:pStyle w:val="05Tabletext22"/>
            </w:pPr>
          </w:p>
        </w:tc>
        <w:tc>
          <w:tcPr>
            <w:tcW w:w="719" w:type="pct"/>
            <w:tcBorders>
              <w:top w:val="dotted" w:sz="4" w:space="0" w:color="auto"/>
              <w:bottom w:val="single" w:sz="4" w:space="0" w:color="auto"/>
            </w:tcBorders>
          </w:tcPr>
          <w:p w14:paraId="628F587C"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30428A8E" w14:textId="77777777" w:rsidR="00BF0C8E" w:rsidRDefault="00BF0C8E" w:rsidP="009429E4">
            <w:pPr>
              <w:pStyle w:val="05Tabletext22"/>
            </w:pPr>
            <w:r>
              <w:t>1 RCT, 1 OBS (N=274)</w:t>
            </w:r>
            <w:r>
              <w:br/>
              <w:t>FU 1 month</w:t>
            </w:r>
            <w:r>
              <w:br/>
            </w:r>
            <w:r w:rsidRPr="002F3BCE">
              <w:rPr>
                <w:i/>
              </w:rPr>
              <w:t>[AHRQ 2015]</w:t>
            </w:r>
          </w:p>
        </w:tc>
        <w:tc>
          <w:tcPr>
            <w:tcW w:w="596" w:type="pct"/>
            <w:tcBorders>
              <w:top w:val="dotted" w:sz="4" w:space="0" w:color="auto"/>
              <w:bottom w:val="single" w:sz="4" w:space="0" w:color="auto"/>
            </w:tcBorders>
          </w:tcPr>
          <w:p w14:paraId="03CA2695" w14:textId="77777777" w:rsidR="00BF0C8E" w:rsidRDefault="00BF0C8E" w:rsidP="009429E4">
            <w:pPr>
              <w:pStyle w:val="05Tabletext22"/>
            </w:pPr>
            <w:r>
              <w:t>Insufficient</w:t>
            </w:r>
          </w:p>
        </w:tc>
        <w:tc>
          <w:tcPr>
            <w:tcW w:w="2068" w:type="pct"/>
            <w:tcBorders>
              <w:top w:val="dotted" w:sz="4" w:space="0" w:color="auto"/>
              <w:bottom w:val="single" w:sz="4" w:space="0" w:color="auto"/>
            </w:tcBorders>
          </w:tcPr>
          <w:p w14:paraId="7D36D00E" w14:textId="77777777" w:rsidR="00BF0C8E" w:rsidRDefault="00BF0C8E" w:rsidP="009429E4">
            <w:pPr>
              <w:pStyle w:val="05Tabletext22"/>
            </w:pPr>
            <w:r>
              <w:t>1.5% for RFA.</w:t>
            </w:r>
            <w:r>
              <w:br/>
              <w:t>Definitive conclusions are not possible. Events are uncommon.</w:t>
            </w:r>
          </w:p>
        </w:tc>
      </w:tr>
      <w:tr w:rsidR="00BF0C8E" w:rsidRPr="008532A5" w14:paraId="6798F5B3" w14:textId="77777777" w:rsidTr="009429E4">
        <w:trPr>
          <w:cantSplit/>
        </w:trPr>
        <w:tc>
          <w:tcPr>
            <w:tcW w:w="701" w:type="pct"/>
            <w:vMerge w:val="restart"/>
            <w:tcBorders>
              <w:top w:val="single" w:sz="4" w:space="0" w:color="auto"/>
            </w:tcBorders>
            <w:shd w:val="clear" w:color="auto" w:fill="auto"/>
          </w:tcPr>
          <w:p w14:paraId="26E016AA" w14:textId="77777777" w:rsidR="00BF0C8E" w:rsidRPr="00786E23" w:rsidRDefault="00BF0C8E" w:rsidP="009429E4">
            <w:pPr>
              <w:pStyle w:val="05Tabletext22"/>
            </w:pPr>
            <w:r>
              <w:t>Cardiac tamponade</w:t>
            </w:r>
          </w:p>
        </w:tc>
        <w:tc>
          <w:tcPr>
            <w:tcW w:w="719" w:type="pct"/>
            <w:tcBorders>
              <w:bottom w:val="dotted" w:sz="4" w:space="0" w:color="auto"/>
            </w:tcBorders>
          </w:tcPr>
          <w:p w14:paraId="7DD2509F" w14:textId="77777777" w:rsidR="00BF0C8E" w:rsidRDefault="00BF0C8E" w:rsidP="009429E4">
            <w:pPr>
              <w:pStyle w:val="05Tabletext22"/>
            </w:pPr>
            <w:r w:rsidRPr="006C1F25">
              <w:t>Any AF</w:t>
            </w:r>
          </w:p>
        </w:tc>
        <w:tc>
          <w:tcPr>
            <w:tcW w:w="916" w:type="pct"/>
            <w:tcBorders>
              <w:bottom w:val="dotted" w:sz="4" w:space="0" w:color="auto"/>
            </w:tcBorders>
          </w:tcPr>
          <w:p w14:paraId="086BCDF0" w14:textId="77777777" w:rsidR="00BF0C8E" w:rsidRDefault="00BF0C8E" w:rsidP="009429E4">
            <w:pPr>
              <w:pStyle w:val="05Tabletext22"/>
            </w:pPr>
            <w:r>
              <w:t>8 RCT, 2 OBS (N=1056)</w:t>
            </w:r>
            <w:r>
              <w:br/>
              <w:t>FU 1-24 months</w:t>
            </w:r>
            <w:r>
              <w:br/>
            </w:r>
            <w:r w:rsidRPr="002F3BCE">
              <w:rPr>
                <w:i/>
              </w:rPr>
              <w:t>[AHRQ 2015]</w:t>
            </w:r>
          </w:p>
        </w:tc>
        <w:tc>
          <w:tcPr>
            <w:tcW w:w="596" w:type="pct"/>
            <w:tcBorders>
              <w:bottom w:val="dotted" w:sz="4" w:space="0" w:color="auto"/>
            </w:tcBorders>
          </w:tcPr>
          <w:p w14:paraId="2AC83280" w14:textId="77777777" w:rsidR="00BF0C8E" w:rsidRDefault="00BF0C8E" w:rsidP="009429E4">
            <w:pPr>
              <w:pStyle w:val="05Tabletext22"/>
            </w:pPr>
            <w:r>
              <w:t>Insufficient</w:t>
            </w:r>
          </w:p>
        </w:tc>
        <w:tc>
          <w:tcPr>
            <w:tcW w:w="2068" w:type="pct"/>
            <w:tcBorders>
              <w:bottom w:val="dotted" w:sz="4" w:space="0" w:color="auto"/>
            </w:tcBorders>
          </w:tcPr>
          <w:p w14:paraId="5D4628D2" w14:textId="77777777" w:rsidR="00BF0C8E" w:rsidRDefault="00BF0C8E" w:rsidP="009429E4">
            <w:pPr>
              <w:pStyle w:val="05Tabletext22"/>
            </w:pPr>
            <w:r>
              <w:t>1.4% for CA.</w:t>
            </w:r>
            <w:r>
              <w:br/>
              <w:t>Definitive conclusions are not possible. Events are uncommon.</w:t>
            </w:r>
          </w:p>
        </w:tc>
      </w:tr>
      <w:tr w:rsidR="00BF0C8E" w:rsidRPr="008532A5" w14:paraId="79871866" w14:textId="77777777" w:rsidTr="009429E4">
        <w:trPr>
          <w:cantSplit/>
        </w:trPr>
        <w:tc>
          <w:tcPr>
            <w:tcW w:w="701" w:type="pct"/>
            <w:vMerge/>
            <w:tcBorders>
              <w:bottom w:val="nil"/>
            </w:tcBorders>
            <w:shd w:val="clear" w:color="auto" w:fill="auto"/>
          </w:tcPr>
          <w:p w14:paraId="7216C611" w14:textId="77777777" w:rsidR="00BF0C8E" w:rsidRPr="00786E23" w:rsidRDefault="00BF0C8E" w:rsidP="009429E4">
            <w:pPr>
              <w:pStyle w:val="05Tabletext22"/>
            </w:pPr>
          </w:p>
        </w:tc>
        <w:tc>
          <w:tcPr>
            <w:tcW w:w="719" w:type="pct"/>
            <w:tcBorders>
              <w:top w:val="dotted" w:sz="4" w:space="0" w:color="auto"/>
              <w:bottom w:val="dotted" w:sz="4" w:space="0" w:color="auto"/>
            </w:tcBorders>
          </w:tcPr>
          <w:p w14:paraId="6EB9658C"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597990F0" w14:textId="77777777" w:rsidR="00BF0C8E" w:rsidRDefault="00BF0C8E" w:rsidP="009429E4">
            <w:pPr>
              <w:pStyle w:val="05Tabletext22"/>
            </w:pPr>
            <w:r>
              <w:t>4 RCT, 1 OBS (N=597)</w:t>
            </w:r>
            <w:r>
              <w:br/>
              <w:t>FU 1-24 months</w:t>
            </w:r>
            <w:r>
              <w:br/>
            </w:r>
            <w:r w:rsidRPr="002F3BCE">
              <w:rPr>
                <w:i/>
              </w:rPr>
              <w:t>[AHRQ 2015]</w:t>
            </w:r>
          </w:p>
        </w:tc>
        <w:tc>
          <w:tcPr>
            <w:tcW w:w="596" w:type="pct"/>
            <w:tcBorders>
              <w:top w:val="dotted" w:sz="4" w:space="0" w:color="auto"/>
              <w:bottom w:val="dotted" w:sz="4" w:space="0" w:color="auto"/>
            </w:tcBorders>
          </w:tcPr>
          <w:p w14:paraId="27BA2261" w14:textId="77777777" w:rsidR="00BF0C8E" w:rsidRDefault="00BF0C8E" w:rsidP="009429E4">
            <w:pPr>
              <w:pStyle w:val="05Tabletext22"/>
            </w:pPr>
            <w:r>
              <w:t>Insufficient</w:t>
            </w:r>
          </w:p>
        </w:tc>
        <w:tc>
          <w:tcPr>
            <w:tcW w:w="2068" w:type="pct"/>
            <w:tcBorders>
              <w:top w:val="dotted" w:sz="4" w:space="0" w:color="auto"/>
              <w:bottom w:val="dotted" w:sz="4" w:space="0" w:color="auto"/>
            </w:tcBorders>
          </w:tcPr>
          <w:p w14:paraId="2AC598E3" w14:textId="77777777" w:rsidR="00BF0C8E" w:rsidRDefault="00BF0C8E" w:rsidP="009429E4">
            <w:pPr>
              <w:pStyle w:val="05Tabletext22"/>
            </w:pPr>
            <w:r>
              <w:t>1.5% for RFA.</w:t>
            </w:r>
            <w:r>
              <w:br/>
              <w:t>Definitive conclusions are not possible. Events are uncommon.</w:t>
            </w:r>
          </w:p>
        </w:tc>
      </w:tr>
      <w:tr w:rsidR="00BF0C8E" w:rsidRPr="008532A5" w14:paraId="0E3048EE" w14:textId="77777777" w:rsidTr="009429E4">
        <w:trPr>
          <w:cantSplit/>
        </w:trPr>
        <w:tc>
          <w:tcPr>
            <w:tcW w:w="701" w:type="pct"/>
            <w:tcBorders>
              <w:top w:val="nil"/>
              <w:bottom w:val="single" w:sz="4" w:space="0" w:color="auto"/>
            </w:tcBorders>
            <w:shd w:val="clear" w:color="auto" w:fill="auto"/>
          </w:tcPr>
          <w:p w14:paraId="4EBFFC63" w14:textId="77777777" w:rsidR="00BF0C8E" w:rsidRPr="00786E23" w:rsidRDefault="00BF0C8E" w:rsidP="009429E4">
            <w:pPr>
              <w:pStyle w:val="05Tabletext22"/>
            </w:pPr>
          </w:p>
        </w:tc>
        <w:tc>
          <w:tcPr>
            <w:tcW w:w="719" w:type="pct"/>
            <w:tcBorders>
              <w:top w:val="dotted" w:sz="4" w:space="0" w:color="auto"/>
              <w:bottom w:val="single" w:sz="4" w:space="0" w:color="auto"/>
            </w:tcBorders>
          </w:tcPr>
          <w:p w14:paraId="36423B35" w14:textId="77777777" w:rsidR="00BF0C8E" w:rsidRPr="00786E23" w:rsidRDefault="00BF0C8E" w:rsidP="009429E4">
            <w:pPr>
              <w:pStyle w:val="05Tabletext22"/>
            </w:pPr>
            <w:r>
              <w:t>Persistent AF</w:t>
            </w:r>
          </w:p>
        </w:tc>
        <w:tc>
          <w:tcPr>
            <w:tcW w:w="916" w:type="pct"/>
            <w:tcBorders>
              <w:top w:val="dotted" w:sz="4" w:space="0" w:color="auto"/>
              <w:bottom w:val="single" w:sz="4" w:space="0" w:color="auto"/>
            </w:tcBorders>
          </w:tcPr>
          <w:p w14:paraId="25E6208B" w14:textId="77777777" w:rsidR="00BF0C8E" w:rsidRDefault="00BF0C8E" w:rsidP="009429E4">
            <w:pPr>
              <w:pStyle w:val="05Tabletext22"/>
            </w:pPr>
            <w:r>
              <w:t>3 RCT, 1 OBS (N=231)</w:t>
            </w:r>
            <w:r>
              <w:br/>
              <w:t>FU 1 months</w:t>
            </w:r>
            <w:r>
              <w:br/>
            </w:r>
            <w:r w:rsidRPr="002F3BCE">
              <w:rPr>
                <w:i/>
              </w:rPr>
              <w:t>[AHRQ 2015]</w:t>
            </w:r>
          </w:p>
        </w:tc>
        <w:tc>
          <w:tcPr>
            <w:tcW w:w="596" w:type="pct"/>
            <w:tcBorders>
              <w:top w:val="dotted" w:sz="4" w:space="0" w:color="auto"/>
              <w:bottom w:val="single" w:sz="4" w:space="0" w:color="auto"/>
            </w:tcBorders>
          </w:tcPr>
          <w:p w14:paraId="087B487F" w14:textId="77777777" w:rsidR="00BF0C8E" w:rsidRDefault="00BF0C8E" w:rsidP="009429E4">
            <w:pPr>
              <w:pStyle w:val="05Tabletext22"/>
            </w:pPr>
            <w:r>
              <w:t>Insufficient</w:t>
            </w:r>
          </w:p>
        </w:tc>
        <w:tc>
          <w:tcPr>
            <w:tcW w:w="2068" w:type="pct"/>
            <w:tcBorders>
              <w:top w:val="dotted" w:sz="4" w:space="0" w:color="auto"/>
              <w:bottom w:val="single" w:sz="4" w:space="0" w:color="auto"/>
            </w:tcBorders>
          </w:tcPr>
          <w:p w14:paraId="7C98D500" w14:textId="77777777" w:rsidR="00BF0C8E" w:rsidRDefault="00BF0C8E" w:rsidP="009429E4">
            <w:pPr>
              <w:pStyle w:val="05Tabletext22"/>
            </w:pPr>
            <w:r>
              <w:t>1.7% for RFA.</w:t>
            </w:r>
            <w:r>
              <w:br/>
              <w:t>Definitive conclusions are not possible. Events are uncommon.</w:t>
            </w:r>
          </w:p>
        </w:tc>
      </w:tr>
      <w:tr w:rsidR="00BF0C8E" w:rsidRPr="008532A5" w14:paraId="564677AA" w14:textId="77777777" w:rsidTr="009429E4">
        <w:trPr>
          <w:cantSplit/>
        </w:trPr>
        <w:tc>
          <w:tcPr>
            <w:tcW w:w="701" w:type="pct"/>
            <w:tcBorders>
              <w:top w:val="single" w:sz="4" w:space="0" w:color="auto"/>
              <w:bottom w:val="nil"/>
            </w:tcBorders>
            <w:shd w:val="clear" w:color="auto" w:fill="auto"/>
          </w:tcPr>
          <w:p w14:paraId="6D6A8389" w14:textId="77777777" w:rsidR="00BF0C8E" w:rsidRPr="00786E23" w:rsidRDefault="00BF0C8E" w:rsidP="009429E4">
            <w:pPr>
              <w:pStyle w:val="05Tabletext22"/>
            </w:pPr>
            <w:r>
              <w:t>Major bleeding</w:t>
            </w:r>
          </w:p>
        </w:tc>
        <w:tc>
          <w:tcPr>
            <w:tcW w:w="719" w:type="pct"/>
            <w:tcBorders>
              <w:bottom w:val="dotted" w:sz="4" w:space="0" w:color="auto"/>
            </w:tcBorders>
          </w:tcPr>
          <w:p w14:paraId="2A451E00" w14:textId="77777777" w:rsidR="00BF0C8E" w:rsidRDefault="00BF0C8E" w:rsidP="009429E4">
            <w:pPr>
              <w:pStyle w:val="05Tabletext22"/>
            </w:pPr>
            <w:r w:rsidRPr="006C1F25">
              <w:t>Any AF</w:t>
            </w:r>
          </w:p>
        </w:tc>
        <w:tc>
          <w:tcPr>
            <w:tcW w:w="916" w:type="pct"/>
            <w:tcBorders>
              <w:bottom w:val="dotted" w:sz="4" w:space="0" w:color="auto"/>
            </w:tcBorders>
          </w:tcPr>
          <w:p w14:paraId="389CA9F6" w14:textId="77777777" w:rsidR="00BF0C8E" w:rsidRDefault="00BF0C8E" w:rsidP="009429E4">
            <w:pPr>
              <w:pStyle w:val="05Tabletext22"/>
            </w:pPr>
            <w:r>
              <w:t>7 RCT (N=811)</w:t>
            </w:r>
            <w:r>
              <w:br/>
              <w:t>FU mean 19 months</w:t>
            </w:r>
            <w:r>
              <w:br/>
            </w:r>
            <w:r w:rsidRPr="002F3BCE">
              <w:rPr>
                <w:i/>
              </w:rPr>
              <w:t>[Khan 2018]</w:t>
            </w:r>
          </w:p>
        </w:tc>
        <w:tc>
          <w:tcPr>
            <w:tcW w:w="596" w:type="pct"/>
            <w:tcBorders>
              <w:bottom w:val="dotted" w:sz="4" w:space="0" w:color="auto"/>
            </w:tcBorders>
            <w:shd w:val="clear" w:color="auto" w:fill="FFD966"/>
          </w:tcPr>
          <w:p w14:paraId="6D31128A" w14:textId="77777777" w:rsidR="00BF0C8E" w:rsidRDefault="00BF0C8E" w:rsidP="009429E4">
            <w:pPr>
              <w:pStyle w:val="05Tabletext22"/>
            </w:pPr>
            <w:r>
              <w:t>Low</w:t>
            </w:r>
          </w:p>
        </w:tc>
        <w:tc>
          <w:tcPr>
            <w:tcW w:w="2068" w:type="pct"/>
            <w:tcBorders>
              <w:bottom w:val="dotted" w:sz="4" w:space="0" w:color="auto"/>
            </w:tcBorders>
            <w:shd w:val="clear" w:color="auto" w:fill="9CC2E5"/>
          </w:tcPr>
          <w:p w14:paraId="0EA11F9D" w14:textId="77777777" w:rsidR="00BF0C8E" w:rsidRDefault="00BF0C8E" w:rsidP="009429E4">
            <w:pPr>
              <w:pStyle w:val="05Tabletext22"/>
            </w:pPr>
            <w:r w:rsidRPr="005B7CEF">
              <w:rPr>
                <w:b/>
              </w:rPr>
              <w:t>Favours MT</w:t>
            </w:r>
            <w:r w:rsidRPr="005B7CEF">
              <w:rPr>
                <w:b/>
              </w:rPr>
              <w:br/>
            </w:r>
            <w:r>
              <w:t>3.7% for CA vs. 0.2% for MT; P=0.02</w:t>
            </w:r>
          </w:p>
        </w:tc>
      </w:tr>
      <w:tr w:rsidR="00BF0C8E" w:rsidRPr="008532A5" w14:paraId="776C2DFD" w14:textId="77777777" w:rsidTr="009429E4">
        <w:trPr>
          <w:cantSplit/>
        </w:trPr>
        <w:tc>
          <w:tcPr>
            <w:tcW w:w="701" w:type="pct"/>
            <w:tcBorders>
              <w:top w:val="nil"/>
              <w:bottom w:val="nil"/>
            </w:tcBorders>
            <w:shd w:val="clear" w:color="auto" w:fill="auto"/>
          </w:tcPr>
          <w:p w14:paraId="6869A659" w14:textId="77777777" w:rsidR="00BF0C8E" w:rsidRPr="00786E23" w:rsidRDefault="00BF0C8E" w:rsidP="009429E4">
            <w:pPr>
              <w:pStyle w:val="05Tabletext22"/>
            </w:pPr>
          </w:p>
        </w:tc>
        <w:tc>
          <w:tcPr>
            <w:tcW w:w="719" w:type="pct"/>
            <w:tcBorders>
              <w:top w:val="dotted" w:sz="4" w:space="0" w:color="auto"/>
              <w:bottom w:val="dotted" w:sz="4" w:space="0" w:color="auto"/>
            </w:tcBorders>
          </w:tcPr>
          <w:p w14:paraId="381F8C42" w14:textId="77777777" w:rsidR="00BF0C8E" w:rsidRDefault="00BF0C8E" w:rsidP="009429E4">
            <w:pPr>
              <w:pStyle w:val="05Tabletext22"/>
            </w:pPr>
            <w:r w:rsidRPr="00BE7E75">
              <w:t>Paroxysmal AF</w:t>
            </w:r>
          </w:p>
        </w:tc>
        <w:tc>
          <w:tcPr>
            <w:tcW w:w="916" w:type="pct"/>
            <w:tcBorders>
              <w:top w:val="dotted" w:sz="4" w:space="0" w:color="auto"/>
              <w:bottom w:val="dotted" w:sz="4" w:space="0" w:color="auto"/>
            </w:tcBorders>
          </w:tcPr>
          <w:p w14:paraId="2D549758" w14:textId="77777777" w:rsidR="00BF0C8E" w:rsidRDefault="00BF0C8E" w:rsidP="009429E4">
            <w:pPr>
              <w:pStyle w:val="05Tabletext22"/>
            </w:pPr>
            <w:r>
              <w:t>1 RCT (N=67)</w:t>
            </w:r>
            <w:r>
              <w:br/>
              <w:t>FU 1 month</w:t>
            </w:r>
            <w:r>
              <w:br/>
            </w:r>
            <w:r w:rsidRPr="002F3BCE">
              <w:rPr>
                <w:i/>
              </w:rPr>
              <w:t>[AHRQ 2015]</w:t>
            </w:r>
          </w:p>
        </w:tc>
        <w:tc>
          <w:tcPr>
            <w:tcW w:w="596" w:type="pct"/>
            <w:tcBorders>
              <w:top w:val="dotted" w:sz="4" w:space="0" w:color="auto"/>
              <w:bottom w:val="dotted" w:sz="4" w:space="0" w:color="auto"/>
            </w:tcBorders>
          </w:tcPr>
          <w:p w14:paraId="213EDCDE" w14:textId="77777777" w:rsidR="00BF0C8E" w:rsidRDefault="00BF0C8E" w:rsidP="009429E4">
            <w:pPr>
              <w:pStyle w:val="05Tabletext22"/>
            </w:pPr>
            <w:r>
              <w:t>Insufficient</w:t>
            </w:r>
          </w:p>
        </w:tc>
        <w:tc>
          <w:tcPr>
            <w:tcW w:w="2068" w:type="pct"/>
            <w:tcBorders>
              <w:top w:val="dotted" w:sz="4" w:space="0" w:color="auto"/>
              <w:bottom w:val="dotted" w:sz="4" w:space="0" w:color="auto"/>
            </w:tcBorders>
          </w:tcPr>
          <w:p w14:paraId="03ABF895" w14:textId="77777777" w:rsidR="00BF0C8E" w:rsidRDefault="00BF0C8E" w:rsidP="009429E4">
            <w:pPr>
              <w:pStyle w:val="05Tabletext22"/>
            </w:pPr>
            <w:r>
              <w:t>6.3% for RFA vs. 1.9% for MT; P=NR.</w:t>
            </w:r>
            <w:r>
              <w:br/>
              <w:t>Definitive conclusions are not possible. Events are uncommon.</w:t>
            </w:r>
          </w:p>
        </w:tc>
      </w:tr>
      <w:tr w:rsidR="00BF0C8E" w:rsidRPr="008532A5" w14:paraId="7B6BBAA5" w14:textId="77777777" w:rsidTr="009429E4">
        <w:trPr>
          <w:cantSplit/>
        </w:trPr>
        <w:tc>
          <w:tcPr>
            <w:tcW w:w="701" w:type="pct"/>
            <w:tcBorders>
              <w:top w:val="nil"/>
            </w:tcBorders>
            <w:shd w:val="clear" w:color="auto" w:fill="auto"/>
          </w:tcPr>
          <w:p w14:paraId="0C2D3627" w14:textId="77777777" w:rsidR="00BF0C8E" w:rsidRPr="00786E23" w:rsidRDefault="00BF0C8E" w:rsidP="009429E4">
            <w:pPr>
              <w:pStyle w:val="05Tabletext22"/>
            </w:pPr>
          </w:p>
        </w:tc>
        <w:tc>
          <w:tcPr>
            <w:tcW w:w="719" w:type="pct"/>
            <w:tcBorders>
              <w:top w:val="dotted" w:sz="4" w:space="0" w:color="auto"/>
            </w:tcBorders>
          </w:tcPr>
          <w:p w14:paraId="3D8337BB" w14:textId="77777777" w:rsidR="00BF0C8E" w:rsidRPr="00786E23" w:rsidRDefault="00BF0C8E" w:rsidP="009429E4">
            <w:pPr>
              <w:pStyle w:val="05Tabletext22"/>
            </w:pPr>
            <w:r>
              <w:t>Persistent AF</w:t>
            </w:r>
          </w:p>
        </w:tc>
        <w:tc>
          <w:tcPr>
            <w:tcW w:w="916" w:type="pct"/>
            <w:tcBorders>
              <w:top w:val="dotted" w:sz="4" w:space="0" w:color="auto"/>
            </w:tcBorders>
          </w:tcPr>
          <w:p w14:paraId="6DFDD84C" w14:textId="77777777" w:rsidR="00BF0C8E" w:rsidRDefault="00BF0C8E" w:rsidP="009429E4">
            <w:pPr>
              <w:pStyle w:val="05Tabletext22"/>
            </w:pPr>
            <w:r>
              <w:t>1 OBS (N=412)</w:t>
            </w:r>
            <w:r>
              <w:br/>
              <w:t>FU 1 month</w:t>
            </w:r>
            <w:r>
              <w:br/>
            </w:r>
            <w:r w:rsidRPr="002F3BCE">
              <w:rPr>
                <w:i/>
              </w:rPr>
              <w:t>[AHRQ 2015]</w:t>
            </w:r>
          </w:p>
        </w:tc>
        <w:tc>
          <w:tcPr>
            <w:tcW w:w="596" w:type="pct"/>
            <w:tcBorders>
              <w:top w:val="dotted" w:sz="4" w:space="0" w:color="auto"/>
            </w:tcBorders>
          </w:tcPr>
          <w:p w14:paraId="3E5FD3DF" w14:textId="77777777" w:rsidR="00BF0C8E" w:rsidRDefault="00BF0C8E" w:rsidP="009429E4">
            <w:pPr>
              <w:pStyle w:val="05Tabletext22"/>
            </w:pPr>
            <w:r>
              <w:t>Insufficient</w:t>
            </w:r>
          </w:p>
        </w:tc>
        <w:tc>
          <w:tcPr>
            <w:tcW w:w="2068" w:type="pct"/>
            <w:tcBorders>
              <w:top w:val="dotted" w:sz="4" w:space="0" w:color="auto"/>
            </w:tcBorders>
          </w:tcPr>
          <w:p w14:paraId="7D4FDA04" w14:textId="77777777" w:rsidR="00BF0C8E" w:rsidRDefault="00BF0C8E" w:rsidP="009429E4">
            <w:pPr>
              <w:pStyle w:val="05Tabletext22"/>
            </w:pPr>
            <w:r>
              <w:t>1.3% for RFA vs. 0.8% for MT; P=NR.</w:t>
            </w:r>
            <w:r>
              <w:br/>
              <w:t>Definitive conclusions are not possible. Events are uncommon.</w:t>
            </w:r>
          </w:p>
        </w:tc>
      </w:tr>
    </w:tbl>
    <w:p w14:paraId="6EE43B0F" w14:textId="77777777" w:rsidR="00BF0C8E" w:rsidRDefault="00BF0C8E" w:rsidP="00BF0C8E">
      <w:pPr>
        <w:pStyle w:val="10Tablefootnotes"/>
      </w:pPr>
      <w:r w:rsidRPr="00524AFB">
        <w:t>Abbreviations:</w:t>
      </w:r>
      <w:r>
        <w:t xml:space="preserve"> AAD, antiarrhythmic drug;</w:t>
      </w:r>
      <w:r w:rsidRPr="00524AFB">
        <w:t xml:space="preserve"> AF, atrial fibrillation; </w:t>
      </w:r>
      <w:r>
        <w:t xml:space="preserve">CA, cardiac ablation; CBA, cryoballoon ablation; FU, follow up; HF, heart failure; MT, medical therapy; NR, not reported; NS, not statistically significant; OBS, observational study; </w:t>
      </w:r>
      <w:r w:rsidRPr="00524AFB">
        <w:t>RCT, randomised controlled trial</w:t>
      </w:r>
      <w:r>
        <w:t>; RFA, radiofrequency ablation.</w:t>
      </w:r>
    </w:p>
    <w:p w14:paraId="44BA96AD" w14:textId="77777777" w:rsidR="00BF0C8E" w:rsidRDefault="00BF0C8E" w:rsidP="00BF0C8E">
      <w:pPr>
        <w:pStyle w:val="10Tablefootnotes"/>
      </w:pPr>
      <w:r w:rsidRPr="00C32DA1">
        <w:rPr>
          <w:b/>
        </w:rPr>
        <w:t>a</w:t>
      </w:r>
      <w:r>
        <w:t xml:space="preserve"> Refers to the published review that provides the best evidence.</w:t>
      </w:r>
    </w:p>
    <w:p w14:paraId="51E898AE" w14:textId="2A6C2616" w:rsidR="002669D4" w:rsidRDefault="00BF0C8E" w:rsidP="00BF0C8E">
      <w:pPr>
        <w:pStyle w:val="11Tablefootnoteslast-nostick"/>
      </w:pPr>
      <w:r w:rsidRPr="00C32DA1">
        <w:rPr>
          <w:b/>
        </w:rPr>
        <w:t>b</w:t>
      </w:r>
      <w:r>
        <w:t xml:space="preserve"> Strength of evidence has been judged informally by the authors of the Rapid Review.</w:t>
      </w:r>
    </w:p>
    <w:p w14:paraId="63362FC3" w14:textId="77777777" w:rsidR="002669D4" w:rsidRPr="002669D4" w:rsidRDefault="002669D4" w:rsidP="003F0732">
      <w:pPr>
        <w:spacing w:after="120"/>
        <w:rPr>
          <w:b/>
        </w:rPr>
      </w:pPr>
      <w:r w:rsidRPr="002669D4">
        <w:rPr>
          <w:b/>
        </w:rPr>
        <w:t>Is there sufficient clinical evidence to demonstrate the superiority of one cardiac ablation technique over another?</w:t>
      </w:r>
    </w:p>
    <w:p w14:paraId="30D342E7" w14:textId="6D785314" w:rsidR="006F377E" w:rsidRDefault="006F377E" w:rsidP="0032416B">
      <w:pPr>
        <w:pStyle w:val="NormalBeforeBullet"/>
      </w:pPr>
      <w:r>
        <w:t>MSAC noted that evidence comparing cryoballoon ablation with medical therapy is insufficient to draw firm conclusions regarding efficacy or safety. However, there is moderate quality comparative evidence that there is no difference between cr</w:t>
      </w:r>
      <w:r w:rsidR="00BF0C8E">
        <w:t>y</w:t>
      </w:r>
      <w:r>
        <w:t>oablation and radiofrequency ablation in achieving freedom from AF.</w:t>
      </w:r>
    </w:p>
    <w:p w14:paraId="1085E9DA" w14:textId="7DD8B69C" w:rsidR="006F377E" w:rsidRDefault="006F377E" w:rsidP="0032416B">
      <w:pPr>
        <w:pStyle w:val="NormalBeforeBullet"/>
      </w:pPr>
      <w:r>
        <w:t xml:space="preserve">The key findings from studies comparing the two techniques is summarised in Table </w:t>
      </w:r>
      <w:r w:rsidR="00BF0C8E">
        <w:t>2.</w:t>
      </w:r>
    </w:p>
    <w:p w14:paraId="72BD450E" w14:textId="04559B5F" w:rsidR="00BF0C8E" w:rsidRDefault="00BF0C8E" w:rsidP="00BF0C8E">
      <w:pPr>
        <w:pStyle w:val="Caption"/>
      </w:pPr>
      <w:bookmarkStart w:id="4" w:name="_Ref527053594"/>
      <w:bookmarkStart w:id="5" w:name="_Toc528599492"/>
      <w:r>
        <w:t xml:space="preserve">Table </w:t>
      </w:r>
      <w:bookmarkEnd w:id="4"/>
      <w:r>
        <w:t>2</w:t>
      </w:r>
      <w:r>
        <w:tab/>
        <w:t>Key findings and strength of evidence: RF ablation vs. cryoablation</w:t>
      </w:r>
      <w:bookmarkEnd w:id="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59"/>
        <w:gridCol w:w="1315"/>
        <w:gridCol w:w="1846"/>
        <w:gridCol w:w="1048"/>
        <w:gridCol w:w="3674"/>
      </w:tblGrid>
      <w:tr w:rsidR="00BF0C8E" w:rsidRPr="008532A5" w14:paraId="341A7C9A" w14:textId="77777777" w:rsidTr="009429E4">
        <w:trPr>
          <w:cantSplit/>
          <w:tblHeader/>
        </w:trPr>
        <w:tc>
          <w:tcPr>
            <w:tcW w:w="702" w:type="pct"/>
            <w:tcBorders>
              <w:bottom w:val="single" w:sz="4" w:space="0" w:color="auto"/>
            </w:tcBorders>
            <w:shd w:val="clear" w:color="auto" w:fill="BFBFBF"/>
          </w:tcPr>
          <w:p w14:paraId="620F124F" w14:textId="77777777" w:rsidR="00BF0C8E" w:rsidRPr="008532A5" w:rsidRDefault="00BF0C8E" w:rsidP="009429E4">
            <w:pPr>
              <w:pStyle w:val="01TableHeading"/>
              <w:keepNext/>
              <w:rPr>
                <w:sz w:val="18"/>
                <w:szCs w:val="18"/>
              </w:rPr>
            </w:pPr>
            <w:r>
              <w:rPr>
                <w:sz w:val="18"/>
                <w:szCs w:val="18"/>
                <w:lang w:val="en-AU"/>
              </w:rPr>
              <w:t>Outcome</w:t>
            </w:r>
          </w:p>
        </w:tc>
        <w:tc>
          <w:tcPr>
            <w:tcW w:w="720" w:type="pct"/>
            <w:tcBorders>
              <w:bottom w:val="single" w:sz="4" w:space="0" w:color="auto"/>
            </w:tcBorders>
            <w:shd w:val="clear" w:color="auto" w:fill="BFBFBF"/>
          </w:tcPr>
          <w:p w14:paraId="773E5403" w14:textId="77777777" w:rsidR="00BF0C8E" w:rsidRDefault="00BF0C8E" w:rsidP="009429E4">
            <w:pPr>
              <w:pStyle w:val="01TableHeading"/>
              <w:keepNext/>
              <w:rPr>
                <w:sz w:val="18"/>
                <w:szCs w:val="18"/>
                <w:lang w:val="en-AU"/>
              </w:rPr>
            </w:pPr>
            <w:r>
              <w:rPr>
                <w:sz w:val="18"/>
                <w:szCs w:val="18"/>
                <w:lang w:val="en-AU"/>
              </w:rPr>
              <w:t>Population</w:t>
            </w:r>
          </w:p>
        </w:tc>
        <w:tc>
          <w:tcPr>
            <w:tcW w:w="1007" w:type="pct"/>
            <w:tcBorders>
              <w:bottom w:val="single" w:sz="4" w:space="0" w:color="auto"/>
            </w:tcBorders>
            <w:shd w:val="clear" w:color="auto" w:fill="BFBFBF"/>
          </w:tcPr>
          <w:p w14:paraId="2D29E5D6" w14:textId="77777777" w:rsidR="00BF0C8E" w:rsidRPr="008532A5" w:rsidRDefault="00BF0C8E" w:rsidP="009429E4">
            <w:pPr>
              <w:pStyle w:val="01TableHeading"/>
              <w:keepNext/>
              <w:rPr>
                <w:sz w:val="18"/>
                <w:szCs w:val="18"/>
              </w:rPr>
            </w:pPr>
            <w:r>
              <w:rPr>
                <w:sz w:val="18"/>
                <w:szCs w:val="18"/>
                <w:lang w:val="en-AU"/>
              </w:rPr>
              <w:t>No. of studies</w:t>
            </w:r>
            <w:r>
              <w:rPr>
                <w:sz w:val="18"/>
                <w:szCs w:val="18"/>
                <w:lang w:val="en-AU"/>
              </w:rPr>
              <w:br/>
            </w:r>
            <w:r w:rsidRPr="002F3BCE">
              <w:rPr>
                <w:i/>
                <w:sz w:val="18"/>
                <w:szCs w:val="18"/>
              </w:rPr>
              <w:t>[source]</w:t>
            </w:r>
            <w:r w:rsidRPr="002F3BCE">
              <w:rPr>
                <w:i/>
                <w:sz w:val="18"/>
                <w:szCs w:val="18"/>
                <w:vertAlign w:val="superscript"/>
              </w:rPr>
              <w:t>a</w:t>
            </w:r>
          </w:p>
        </w:tc>
        <w:tc>
          <w:tcPr>
            <w:tcW w:w="575" w:type="pct"/>
            <w:tcBorders>
              <w:bottom w:val="single" w:sz="4" w:space="0" w:color="auto"/>
            </w:tcBorders>
            <w:shd w:val="clear" w:color="auto" w:fill="BFBFBF"/>
          </w:tcPr>
          <w:p w14:paraId="3B630834" w14:textId="77777777" w:rsidR="00BF0C8E" w:rsidRDefault="00BF0C8E" w:rsidP="009429E4">
            <w:pPr>
              <w:pStyle w:val="01TableHeading"/>
              <w:keepNext/>
              <w:rPr>
                <w:sz w:val="18"/>
                <w:szCs w:val="18"/>
                <w:lang w:val="en-AU"/>
              </w:rPr>
            </w:pPr>
            <w:r>
              <w:rPr>
                <w:sz w:val="18"/>
                <w:szCs w:val="18"/>
                <w:lang w:val="en-AU"/>
              </w:rPr>
              <w:t>Strength of evidence</w:t>
            </w:r>
            <w:r>
              <w:rPr>
                <w:sz w:val="18"/>
                <w:szCs w:val="18"/>
                <w:vertAlign w:val="superscript"/>
                <w:lang w:val="en-AU"/>
              </w:rPr>
              <w:t>b</w:t>
            </w:r>
          </w:p>
        </w:tc>
        <w:tc>
          <w:tcPr>
            <w:tcW w:w="1996" w:type="pct"/>
            <w:tcBorders>
              <w:bottom w:val="single" w:sz="4" w:space="0" w:color="auto"/>
            </w:tcBorders>
            <w:shd w:val="clear" w:color="auto" w:fill="BFBFBF"/>
          </w:tcPr>
          <w:p w14:paraId="613E74FA" w14:textId="77777777" w:rsidR="00BF0C8E" w:rsidRDefault="00BF0C8E" w:rsidP="009429E4">
            <w:pPr>
              <w:pStyle w:val="01TableHeading"/>
              <w:keepNext/>
              <w:rPr>
                <w:sz w:val="18"/>
                <w:szCs w:val="18"/>
                <w:lang w:val="en-AU"/>
              </w:rPr>
            </w:pPr>
            <w:r>
              <w:rPr>
                <w:sz w:val="18"/>
                <w:szCs w:val="18"/>
                <w:lang w:val="en-AU"/>
              </w:rPr>
              <w:t>Conclusion</w:t>
            </w:r>
          </w:p>
        </w:tc>
      </w:tr>
      <w:tr w:rsidR="00BF0C8E" w:rsidRPr="008532A5" w14:paraId="02E85D12" w14:textId="77777777" w:rsidTr="009429E4">
        <w:trPr>
          <w:cantSplit/>
        </w:trPr>
        <w:tc>
          <w:tcPr>
            <w:tcW w:w="702" w:type="pct"/>
            <w:vMerge w:val="restart"/>
            <w:shd w:val="clear" w:color="auto" w:fill="auto"/>
          </w:tcPr>
          <w:p w14:paraId="772AFB5B" w14:textId="77777777" w:rsidR="00BF0C8E" w:rsidRPr="008532A5" w:rsidRDefault="00BF0C8E" w:rsidP="009429E4">
            <w:pPr>
              <w:pStyle w:val="05Tabletext22"/>
            </w:pPr>
            <w:r>
              <w:t>All-cause mortality</w:t>
            </w:r>
          </w:p>
        </w:tc>
        <w:tc>
          <w:tcPr>
            <w:tcW w:w="720" w:type="pct"/>
            <w:tcBorders>
              <w:bottom w:val="dotted" w:sz="4" w:space="0" w:color="auto"/>
            </w:tcBorders>
          </w:tcPr>
          <w:p w14:paraId="46F9C2FA" w14:textId="77777777" w:rsidR="00BF0C8E" w:rsidRDefault="00BF0C8E" w:rsidP="009429E4">
            <w:pPr>
              <w:pStyle w:val="05Tabletext22"/>
            </w:pPr>
            <w:r>
              <w:t>Any AF</w:t>
            </w:r>
          </w:p>
        </w:tc>
        <w:tc>
          <w:tcPr>
            <w:tcW w:w="1007" w:type="pct"/>
            <w:tcBorders>
              <w:bottom w:val="dotted" w:sz="4" w:space="0" w:color="auto"/>
            </w:tcBorders>
          </w:tcPr>
          <w:p w14:paraId="76B9C077" w14:textId="77777777" w:rsidR="00BF0C8E" w:rsidRPr="008532A5" w:rsidRDefault="00BF0C8E" w:rsidP="009429E4">
            <w:pPr>
              <w:pStyle w:val="05Tabletext22"/>
            </w:pPr>
            <w:r>
              <w:t>0 studies</w:t>
            </w:r>
          </w:p>
        </w:tc>
        <w:tc>
          <w:tcPr>
            <w:tcW w:w="575" w:type="pct"/>
            <w:tcBorders>
              <w:bottom w:val="dotted" w:sz="4" w:space="0" w:color="auto"/>
            </w:tcBorders>
          </w:tcPr>
          <w:p w14:paraId="4F1998A7" w14:textId="77777777" w:rsidR="00BF0C8E" w:rsidRPr="008532A5" w:rsidRDefault="00BF0C8E" w:rsidP="009429E4">
            <w:pPr>
              <w:pStyle w:val="05Tabletext22"/>
            </w:pPr>
            <w:r>
              <w:t>-</w:t>
            </w:r>
          </w:p>
        </w:tc>
        <w:tc>
          <w:tcPr>
            <w:tcW w:w="1996" w:type="pct"/>
            <w:tcBorders>
              <w:bottom w:val="dotted" w:sz="4" w:space="0" w:color="auto"/>
            </w:tcBorders>
          </w:tcPr>
          <w:p w14:paraId="24022F96" w14:textId="77777777" w:rsidR="00BF0C8E" w:rsidRPr="008532A5" w:rsidRDefault="00BF0C8E" w:rsidP="009429E4">
            <w:pPr>
              <w:pStyle w:val="05Tabletext22"/>
            </w:pPr>
            <w:r>
              <w:t>-</w:t>
            </w:r>
          </w:p>
        </w:tc>
      </w:tr>
      <w:tr w:rsidR="00BF0C8E" w:rsidRPr="008532A5" w14:paraId="26995C6B" w14:textId="77777777" w:rsidTr="009429E4">
        <w:trPr>
          <w:cantSplit/>
        </w:trPr>
        <w:tc>
          <w:tcPr>
            <w:tcW w:w="702" w:type="pct"/>
            <w:vMerge/>
            <w:tcBorders>
              <w:bottom w:val="nil"/>
            </w:tcBorders>
            <w:shd w:val="clear" w:color="auto" w:fill="auto"/>
          </w:tcPr>
          <w:p w14:paraId="27472B45" w14:textId="77777777" w:rsidR="00BF0C8E" w:rsidRPr="008532A5" w:rsidRDefault="00BF0C8E" w:rsidP="009429E4">
            <w:pPr>
              <w:pStyle w:val="05Tabletext22"/>
            </w:pPr>
          </w:p>
        </w:tc>
        <w:tc>
          <w:tcPr>
            <w:tcW w:w="720" w:type="pct"/>
            <w:tcBorders>
              <w:top w:val="dotted" w:sz="4" w:space="0" w:color="auto"/>
              <w:bottom w:val="dotted" w:sz="4" w:space="0" w:color="auto"/>
            </w:tcBorders>
          </w:tcPr>
          <w:p w14:paraId="7053C497"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58A9D37C" w14:textId="77777777" w:rsidR="00BF0C8E" w:rsidRPr="00B329C7" w:rsidRDefault="00BF0C8E" w:rsidP="009429E4">
            <w:pPr>
              <w:pStyle w:val="05Tabletext22"/>
            </w:pPr>
            <w:r>
              <w:t>1 OBS (N=396)</w:t>
            </w:r>
            <w:r>
              <w:br/>
              <w:t>FU mean 23 months</w:t>
            </w:r>
            <w:r>
              <w:br/>
            </w:r>
            <w:r w:rsidRPr="002F3BCE">
              <w:rPr>
                <w:i/>
              </w:rPr>
              <w:t>[AHRQ 2015]</w:t>
            </w:r>
          </w:p>
        </w:tc>
        <w:tc>
          <w:tcPr>
            <w:tcW w:w="575" w:type="pct"/>
            <w:tcBorders>
              <w:top w:val="dotted" w:sz="4" w:space="0" w:color="auto"/>
              <w:bottom w:val="dotted" w:sz="4" w:space="0" w:color="auto"/>
            </w:tcBorders>
          </w:tcPr>
          <w:p w14:paraId="062314FE" w14:textId="77777777" w:rsidR="00BF0C8E" w:rsidRPr="00B329C7" w:rsidRDefault="00BF0C8E" w:rsidP="009429E4">
            <w:pPr>
              <w:pStyle w:val="05Tabletext22"/>
            </w:pPr>
            <w:r>
              <w:t>Insufficient</w:t>
            </w:r>
          </w:p>
        </w:tc>
        <w:tc>
          <w:tcPr>
            <w:tcW w:w="1996" w:type="pct"/>
            <w:tcBorders>
              <w:top w:val="dotted" w:sz="4" w:space="0" w:color="auto"/>
              <w:bottom w:val="dotted" w:sz="4" w:space="0" w:color="auto"/>
            </w:tcBorders>
          </w:tcPr>
          <w:p w14:paraId="0AE8F8B1" w14:textId="77777777" w:rsidR="00BF0C8E" w:rsidRPr="00B329C7" w:rsidRDefault="00BF0C8E" w:rsidP="009429E4">
            <w:pPr>
              <w:pStyle w:val="05Tabletext22"/>
            </w:pPr>
            <w:r w:rsidRPr="005B7CEF">
              <w:rPr>
                <w:b/>
              </w:rPr>
              <w:t>No difference</w:t>
            </w:r>
            <w:r w:rsidRPr="005B7CEF">
              <w:rPr>
                <w:b/>
              </w:rPr>
              <w:br/>
            </w:r>
            <w:r>
              <w:t>1.2% for CBA vs. 0% for RFA.</w:t>
            </w:r>
            <w:r>
              <w:br/>
              <w:t>Definitive conclusions are not possible.</w:t>
            </w:r>
          </w:p>
        </w:tc>
      </w:tr>
      <w:tr w:rsidR="00BF0C8E" w:rsidRPr="008532A5" w14:paraId="59262A7B" w14:textId="77777777" w:rsidTr="009429E4">
        <w:trPr>
          <w:cantSplit/>
        </w:trPr>
        <w:tc>
          <w:tcPr>
            <w:tcW w:w="702" w:type="pct"/>
            <w:tcBorders>
              <w:top w:val="nil"/>
              <w:bottom w:val="single" w:sz="4" w:space="0" w:color="auto"/>
            </w:tcBorders>
            <w:shd w:val="clear" w:color="auto" w:fill="auto"/>
          </w:tcPr>
          <w:p w14:paraId="647B3E99" w14:textId="77777777" w:rsidR="00BF0C8E" w:rsidRPr="008532A5" w:rsidRDefault="00BF0C8E" w:rsidP="009429E4">
            <w:pPr>
              <w:pStyle w:val="05Tabletext22"/>
            </w:pPr>
          </w:p>
        </w:tc>
        <w:tc>
          <w:tcPr>
            <w:tcW w:w="720" w:type="pct"/>
            <w:tcBorders>
              <w:top w:val="dotted" w:sz="4" w:space="0" w:color="auto"/>
              <w:bottom w:val="single" w:sz="4" w:space="0" w:color="auto"/>
            </w:tcBorders>
          </w:tcPr>
          <w:p w14:paraId="671D6998"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6E68C947" w14:textId="77777777" w:rsidR="00BF0C8E" w:rsidRDefault="00BF0C8E" w:rsidP="009429E4">
            <w:pPr>
              <w:pStyle w:val="05Tabletext22"/>
            </w:pPr>
            <w:r>
              <w:t>0 studies</w:t>
            </w:r>
          </w:p>
        </w:tc>
        <w:tc>
          <w:tcPr>
            <w:tcW w:w="575" w:type="pct"/>
            <w:tcBorders>
              <w:top w:val="dotted" w:sz="4" w:space="0" w:color="auto"/>
              <w:bottom w:val="single" w:sz="4" w:space="0" w:color="auto"/>
            </w:tcBorders>
          </w:tcPr>
          <w:p w14:paraId="44FE998F" w14:textId="77777777" w:rsidR="00BF0C8E" w:rsidRDefault="00BF0C8E" w:rsidP="009429E4">
            <w:pPr>
              <w:pStyle w:val="05Tabletext22"/>
            </w:pPr>
            <w:r>
              <w:t>-</w:t>
            </w:r>
          </w:p>
        </w:tc>
        <w:tc>
          <w:tcPr>
            <w:tcW w:w="1996" w:type="pct"/>
            <w:tcBorders>
              <w:top w:val="dotted" w:sz="4" w:space="0" w:color="auto"/>
              <w:bottom w:val="single" w:sz="4" w:space="0" w:color="auto"/>
            </w:tcBorders>
          </w:tcPr>
          <w:p w14:paraId="7655EB06" w14:textId="77777777" w:rsidR="00BF0C8E" w:rsidRDefault="00BF0C8E" w:rsidP="009429E4">
            <w:pPr>
              <w:pStyle w:val="05Tabletext22"/>
            </w:pPr>
            <w:r>
              <w:t>-</w:t>
            </w:r>
          </w:p>
        </w:tc>
      </w:tr>
      <w:tr w:rsidR="00BF0C8E" w:rsidRPr="008532A5" w14:paraId="02BFF75F" w14:textId="77777777" w:rsidTr="009429E4">
        <w:trPr>
          <w:cantSplit/>
        </w:trPr>
        <w:tc>
          <w:tcPr>
            <w:tcW w:w="702" w:type="pct"/>
            <w:vMerge w:val="restart"/>
            <w:shd w:val="clear" w:color="auto" w:fill="auto"/>
          </w:tcPr>
          <w:p w14:paraId="2838A0B4" w14:textId="77777777" w:rsidR="00BF0C8E" w:rsidRPr="00CE417B" w:rsidRDefault="00BF0C8E" w:rsidP="009429E4">
            <w:pPr>
              <w:pStyle w:val="05Tabletext22"/>
            </w:pPr>
            <w:r>
              <w:t>Stroke</w:t>
            </w:r>
          </w:p>
        </w:tc>
        <w:tc>
          <w:tcPr>
            <w:tcW w:w="720" w:type="pct"/>
            <w:tcBorders>
              <w:bottom w:val="dotted" w:sz="4" w:space="0" w:color="auto"/>
            </w:tcBorders>
          </w:tcPr>
          <w:p w14:paraId="1F79E213" w14:textId="77777777" w:rsidR="00BF0C8E" w:rsidRDefault="00BF0C8E" w:rsidP="009429E4">
            <w:pPr>
              <w:pStyle w:val="05Tabletext22"/>
            </w:pPr>
            <w:r>
              <w:t>Any AF</w:t>
            </w:r>
          </w:p>
        </w:tc>
        <w:tc>
          <w:tcPr>
            <w:tcW w:w="1007" w:type="pct"/>
            <w:tcBorders>
              <w:bottom w:val="dotted" w:sz="4" w:space="0" w:color="auto"/>
            </w:tcBorders>
          </w:tcPr>
          <w:p w14:paraId="21E2ADB9" w14:textId="77777777" w:rsidR="00BF0C8E" w:rsidRPr="008532A5" w:rsidRDefault="00BF0C8E" w:rsidP="009429E4">
            <w:pPr>
              <w:pStyle w:val="05Tabletext22"/>
            </w:pPr>
            <w:r>
              <w:t>NR (N= 4058)</w:t>
            </w:r>
            <w:r>
              <w:br/>
              <w:t xml:space="preserve">FU </w:t>
            </w:r>
            <w:r>
              <w:rPr>
                <w:rFonts w:cs="Calibri"/>
              </w:rPr>
              <w:t>≥</w:t>
            </w:r>
            <w:r>
              <w:t>12 months</w:t>
            </w:r>
            <w:r>
              <w:br/>
            </w:r>
            <w:r w:rsidRPr="002F3BCE">
              <w:rPr>
                <w:i/>
              </w:rPr>
              <w:t>[Cardoso 2016]</w:t>
            </w:r>
          </w:p>
        </w:tc>
        <w:tc>
          <w:tcPr>
            <w:tcW w:w="575" w:type="pct"/>
            <w:tcBorders>
              <w:bottom w:val="dotted" w:sz="4" w:space="0" w:color="auto"/>
            </w:tcBorders>
            <w:shd w:val="clear" w:color="auto" w:fill="FFE599"/>
          </w:tcPr>
          <w:p w14:paraId="102F5C3D" w14:textId="77777777" w:rsidR="00BF0C8E" w:rsidRPr="008532A5" w:rsidRDefault="00BF0C8E" w:rsidP="009429E4">
            <w:pPr>
              <w:pStyle w:val="05Tabletext22"/>
            </w:pPr>
            <w:r>
              <w:t>Low</w:t>
            </w:r>
          </w:p>
        </w:tc>
        <w:tc>
          <w:tcPr>
            <w:tcW w:w="1996" w:type="pct"/>
            <w:tcBorders>
              <w:bottom w:val="dotted" w:sz="4" w:space="0" w:color="auto"/>
            </w:tcBorders>
          </w:tcPr>
          <w:p w14:paraId="03F25553" w14:textId="77777777" w:rsidR="00BF0C8E" w:rsidRPr="008532A5" w:rsidRDefault="00BF0C8E" w:rsidP="009429E4">
            <w:pPr>
              <w:pStyle w:val="05Tabletext22"/>
            </w:pPr>
            <w:r w:rsidRPr="005B7CEF">
              <w:rPr>
                <w:b/>
              </w:rPr>
              <w:t>No difference</w:t>
            </w:r>
            <w:r w:rsidRPr="005B7CEF">
              <w:rPr>
                <w:b/>
              </w:rPr>
              <w:br/>
            </w:r>
            <w:r>
              <w:t>0.2% for CBA vs. 0.3% for RFA; P=0.63.</w:t>
            </w:r>
          </w:p>
        </w:tc>
      </w:tr>
      <w:tr w:rsidR="00BF0C8E" w:rsidRPr="008532A5" w14:paraId="03297EC1" w14:textId="77777777" w:rsidTr="009429E4">
        <w:trPr>
          <w:cantSplit/>
        </w:trPr>
        <w:tc>
          <w:tcPr>
            <w:tcW w:w="702" w:type="pct"/>
            <w:vMerge/>
            <w:tcBorders>
              <w:bottom w:val="nil"/>
            </w:tcBorders>
            <w:shd w:val="clear" w:color="auto" w:fill="auto"/>
          </w:tcPr>
          <w:p w14:paraId="19819D0E" w14:textId="77777777" w:rsidR="00BF0C8E" w:rsidRPr="00CE417B" w:rsidRDefault="00BF0C8E" w:rsidP="009429E4">
            <w:pPr>
              <w:pStyle w:val="05Tabletext22"/>
            </w:pPr>
          </w:p>
        </w:tc>
        <w:tc>
          <w:tcPr>
            <w:tcW w:w="720" w:type="pct"/>
            <w:tcBorders>
              <w:top w:val="dotted" w:sz="4" w:space="0" w:color="auto"/>
              <w:bottom w:val="dotted" w:sz="4" w:space="0" w:color="auto"/>
            </w:tcBorders>
          </w:tcPr>
          <w:p w14:paraId="1C72D5A4"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7C7ABDDB" w14:textId="77777777" w:rsidR="00BF0C8E" w:rsidRPr="00786E23" w:rsidRDefault="00BF0C8E" w:rsidP="009429E4">
            <w:pPr>
              <w:pStyle w:val="05Tabletext22"/>
            </w:pPr>
            <w:r>
              <w:t>0 studies</w:t>
            </w:r>
          </w:p>
        </w:tc>
        <w:tc>
          <w:tcPr>
            <w:tcW w:w="575" w:type="pct"/>
            <w:tcBorders>
              <w:top w:val="dotted" w:sz="4" w:space="0" w:color="auto"/>
              <w:bottom w:val="dotted" w:sz="4" w:space="0" w:color="auto"/>
            </w:tcBorders>
          </w:tcPr>
          <w:p w14:paraId="0BD26D21" w14:textId="77777777" w:rsidR="00BF0C8E" w:rsidRPr="00786E23" w:rsidRDefault="00BF0C8E" w:rsidP="009429E4">
            <w:pPr>
              <w:pStyle w:val="05Tabletext22"/>
            </w:pPr>
            <w:r>
              <w:t>-</w:t>
            </w:r>
          </w:p>
        </w:tc>
        <w:tc>
          <w:tcPr>
            <w:tcW w:w="1996" w:type="pct"/>
            <w:tcBorders>
              <w:top w:val="dotted" w:sz="4" w:space="0" w:color="auto"/>
              <w:bottom w:val="dotted" w:sz="4" w:space="0" w:color="auto"/>
            </w:tcBorders>
          </w:tcPr>
          <w:p w14:paraId="22B13420" w14:textId="77777777" w:rsidR="00BF0C8E" w:rsidRPr="00786E23" w:rsidRDefault="00BF0C8E" w:rsidP="009429E4">
            <w:pPr>
              <w:pStyle w:val="05Tabletext22"/>
            </w:pPr>
            <w:r>
              <w:t>-</w:t>
            </w:r>
          </w:p>
        </w:tc>
      </w:tr>
      <w:tr w:rsidR="00BF0C8E" w:rsidRPr="008532A5" w14:paraId="2D51FD08" w14:textId="77777777" w:rsidTr="009429E4">
        <w:trPr>
          <w:cantSplit/>
        </w:trPr>
        <w:tc>
          <w:tcPr>
            <w:tcW w:w="702" w:type="pct"/>
            <w:tcBorders>
              <w:top w:val="nil"/>
              <w:bottom w:val="single" w:sz="4" w:space="0" w:color="auto"/>
            </w:tcBorders>
            <w:shd w:val="clear" w:color="auto" w:fill="auto"/>
          </w:tcPr>
          <w:p w14:paraId="69F05E65" w14:textId="77777777" w:rsidR="00BF0C8E" w:rsidRPr="00CE417B" w:rsidRDefault="00BF0C8E" w:rsidP="009429E4">
            <w:pPr>
              <w:pStyle w:val="05Tabletext22"/>
            </w:pPr>
          </w:p>
        </w:tc>
        <w:tc>
          <w:tcPr>
            <w:tcW w:w="720" w:type="pct"/>
            <w:tcBorders>
              <w:top w:val="dotted" w:sz="4" w:space="0" w:color="auto"/>
              <w:bottom w:val="single" w:sz="4" w:space="0" w:color="auto"/>
            </w:tcBorders>
          </w:tcPr>
          <w:p w14:paraId="45622FF2"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62D62CEE" w14:textId="77777777" w:rsidR="00BF0C8E" w:rsidRPr="00786E23" w:rsidRDefault="00BF0C8E" w:rsidP="009429E4">
            <w:pPr>
              <w:pStyle w:val="05Tabletext22"/>
            </w:pPr>
            <w:r>
              <w:t>0 studies</w:t>
            </w:r>
          </w:p>
        </w:tc>
        <w:tc>
          <w:tcPr>
            <w:tcW w:w="575" w:type="pct"/>
            <w:tcBorders>
              <w:top w:val="dotted" w:sz="4" w:space="0" w:color="auto"/>
              <w:bottom w:val="single" w:sz="4" w:space="0" w:color="auto"/>
            </w:tcBorders>
          </w:tcPr>
          <w:p w14:paraId="4D869461" w14:textId="77777777" w:rsidR="00BF0C8E" w:rsidRPr="00786E23" w:rsidRDefault="00BF0C8E" w:rsidP="009429E4">
            <w:pPr>
              <w:pStyle w:val="05Tabletext22"/>
            </w:pPr>
            <w:r>
              <w:t>-</w:t>
            </w:r>
          </w:p>
        </w:tc>
        <w:tc>
          <w:tcPr>
            <w:tcW w:w="1996" w:type="pct"/>
            <w:tcBorders>
              <w:top w:val="dotted" w:sz="4" w:space="0" w:color="auto"/>
              <w:bottom w:val="single" w:sz="4" w:space="0" w:color="auto"/>
            </w:tcBorders>
          </w:tcPr>
          <w:p w14:paraId="3EF738FC" w14:textId="77777777" w:rsidR="00BF0C8E" w:rsidRPr="00786E23" w:rsidRDefault="00BF0C8E" w:rsidP="009429E4">
            <w:pPr>
              <w:pStyle w:val="05Tabletext22"/>
            </w:pPr>
            <w:r>
              <w:t>-</w:t>
            </w:r>
          </w:p>
        </w:tc>
      </w:tr>
      <w:tr w:rsidR="00BF0C8E" w:rsidRPr="008532A5" w14:paraId="1AEADE8B" w14:textId="77777777" w:rsidTr="009429E4">
        <w:trPr>
          <w:cantSplit/>
        </w:trPr>
        <w:tc>
          <w:tcPr>
            <w:tcW w:w="702" w:type="pct"/>
            <w:vMerge w:val="restart"/>
            <w:tcBorders>
              <w:bottom w:val="nil"/>
            </w:tcBorders>
            <w:shd w:val="clear" w:color="auto" w:fill="auto"/>
          </w:tcPr>
          <w:p w14:paraId="3D64DB72" w14:textId="77777777" w:rsidR="00BF0C8E" w:rsidRPr="00C327F9" w:rsidRDefault="00BF0C8E" w:rsidP="009429E4">
            <w:pPr>
              <w:pStyle w:val="05Tabletext22"/>
            </w:pPr>
            <w:r>
              <w:t>Arrythmia recurrence</w:t>
            </w:r>
          </w:p>
        </w:tc>
        <w:tc>
          <w:tcPr>
            <w:tcW w:w="720" w:type="pct"/>
            <w:tcBorders>
              <w:bottom w:val="dotted" w:sz="4" w:space="0" w:color="auto"/>
            </w:tcBorders>
          </w:tcPr>
          <w:p w14:paraId="61437F73" w14:textId="77777777" w:rsidR="00BF0C8E" w:rsidRDefault="00BF0C8E" w:rsidP="009429E4">
            <w:pPr>
              <w:pStyle w:val="05Tabletext22"/>
            </w:pPr>
            <w:r>
              <w:t>Any AF</w:t>
            </w:r>
          </w:p>
        </w:tc>
        <w:tc>
          <w:tcPr>
            <w:tcW w:w="1007" w:type="pct"/>
            <w:tcBorders>
              <w:bottom w:val="dotted" w:sz="4" w:space="0" w:color="auto"/>
            </w:tcBorders>
          </w:tcPr>
          <w:p w14:paraId="757D5337" w14:textId="77777777" w:rsidR="00BF0C8E" w:rsidRPr="00320CBF" w:rsidRDefault="00BF0C8E" w:rsidP="009429E4">
            <w:pPr>
              <w:pStyle w:val="05Tabletext22"/>
            </w:pPr>
            <w:r>
              <w:t>5 RCT (N=1306)</w:t>
            </w:r>
            <w:r>
              <w:br/>
              <w:t>FU 12-40 months</w:t>
            </w:r>
            <w:r>
              <w:br/>
            </w:r>
            <w:r w:rsidRPr="002F3BCE">
              <w:rPr>
                <w:i/>
              </w:rPr>
              <w:t>[Cardoso 2016]</w:t>
            </w:r>
          </w:p>
        </w:tc>
        <w:tc>
          <w:tcPr>
            <w:tcW w:w="575" w:type="pct"/>
            <w:tcBorders>
              <w:bottom w:val="dotted" w:sz="4" w:space="0" w:color="auto"/>
            </w:tcBorders>
            <w:shd w:val="clear" w:color="auto" w:fill="F4B083"/>
          </w:tcPr>
          <w:p w14:paraId="63EE4928" w14:textId="77777777" w:rsidR="00BF0C8E" w:rsidRPr="00320CBF" w:rsidRDefault="00BF0C8E" w:rsidP="009429E4">
            <w:pPr>
              <w:pStyle w:val="05Tabletext22"/>
            </w:pPr>
            <w:r>
              <w:t>Moderate</w:t>
            </w:r>
          </w:p>
        </w:tc>
        <w:tc>
          <w:tcPr>
            <w:tcW w:w="1996" w:type="pct"/>
            <w:tcBorders>
              <w:bottom w:val="dotted" w:sz="4" w:space="0" w:color="auto"/>
            </w:tcBorders>
          </w:tcPr>
          <w:p w14:paraId="47797E30" w14:textId="77777777" w:rsidR="00BF0C8E" w:rsidRPr="00320CBF" w:rsidRDefault="00BF0C8E" w:rsidP="009429E4">
            <w:pPr>
              <w:pStyle w:val="05Tabletext22"/>
            </w:pPr>
            <w:r w:rsidRPr="005B7CEF">
              <w:rPr>
                <w:b/>
              </w:rPr>
              <w:t>No difference</w:t>
            </w:r>
            <w:r w:rsidRPr="005B7CEF">
              <w:rPr>
                <w:b/>
              </w:rPr>
              <w:br/>
            </w:r>
            <w:r>
              <w:t>62.4% for CBA vs. 61.1% for RFA; P=0.99.</w:t>
            </w:r>
            <w:r>
              <w:br/>
              <w:t>Similar results when 14 OBS are included in analysis.</w:t>
            </w:r>
          </w:p>
        </w:tc>
      </w:tr>
      <w:tr w:rsidR="00BF0C8E" w:rsidRPr="008532A5" w14:paraId="7E070384" w14:textId="77777777" w:rsidTr="009429E4">
        <w:trPr>
          <w:cantSplit/>
        </w:trPr>
        <w:tc>
          <w:tcPr>
            <w:tcW w:w="702" w:type="pct"/>
            <w:vMerge/>
            <w:tcBorders>
              <w:bottom w:val="nil"/>
            </w:tcBorders>
            <w:shd w:val="clear" w:color="auto" w:fill="auto"/>
          </w:tcPr>
          <w:p w14:paraId="3F682B93" w14:textId="77777777" w:rsidR="00BF0C8E" w:rsidRPr="00C327F9" w:rsidRDefault="00BF0C8E" w:rsidP="009429E4">
            <w:pPr>
              <w:pStyle w:val="05Tabletext22"/>
            </w:pPr>
          </w:p>
        </w:tc>
        <w:tc>
          <w:tcPr>
            <w:tcW w:w="720" w:type="pct"/>
            <w:tcBorders>
              <w:top w:val="dotted" w:sz="4" w:space="0" w:color="auto"/>
              <w:bottom w:val="dotted" w:sz="4" w:space="0" w:color="auto"/>
            </w:tcBorders>
          </w:tcPr>
          <w:p w14:paraId="1A5C7F45"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698B3DE0" w14:textId="77777777" w:rsidR="00BF0C8E" w:rsidRPr="00786E23" w:rsidRDefault="00BF0C8E" w:rsidP="009429E4">
            <w:pPr>
              <w:pStyle w:val="05Tabletext22"/>
            </w:pPr>
            <w:r>
              <w:t>NR (N=6055)</w:t>
            </w:r>
            <w:r>
              <w:br/>
              <w:t>FU 12-40 months</w:t>
            </w:r>
            <w:r>
              <w:br/>
            </w:r>
            <w:r w:rsidRPr="002F3BCE">
              <w:rPr>
                <w:i/>
              </w:rPr>
              <w:t>[Cardoso 2016]</w:t>
            </w:r>
          </w:p>
        </w:tc>
        <w:tc>
          <w:tcPr>
            <w:tcW w:w="575" w:type="pct"/>
            <w:tcBorders>
              <w:top w:val="dotted" w:sz="4" w:space="0" w:color="auto"/>
              <w:bottom w:val="dotted" w:sz="4" w:space="0" w:color="auto"/>
            </w:tcBorders>
            <w:shd w:val="clear" w:color="auto" w:fill="F4B083"/>
          </w:tcPr>
          <w:p w14:paraId="1DD1A2FA" w14:textId="77777777" w:rsidR="00BF0C8E" w:rsidRPr="00786E23" w:rsidRDefault="00BF0C8E" w:rsidP="009429E4">
            <w:pPr>
              <w:pStyle w:val="05Tabletext22"/>
            </w:pPr>
            <w:r>
              <w:t>Moderate</w:t>
            </w:r>
          </w:p>
        </w:tc>
        <w:tc>
          <w:tcPr>
            <w:tcW w:w="1996" w:type="pct"/>
            <w:tcBorders>
              <w:top w:val="dotted" w:sz="4" w:space="0" w:color="auto"/>
              <w:bottom w:val="dotted" w:sz="4" w:space="0" w:color="auto"/>
            </w:tcBorders>
          </w:tcPr>
          <w:p w14:paraId="0E661A2E" w14:textId="77777777" w:rsidR="00BF0C8E" w:rsidRPr="00786E23" w:rsidRDefault="00BF0C8E" w:rsidP="009429E4">
            <w:pPr>
              <w:pStyle w:val="05Tabletext22"/>
            </w:pPr>
            <w:r w:rsidRPr="005B7CEF">
              <w:rPr>
                <w:b/>
              </w:rPr>
              <w:t>No difference</w:t>
            </w:r>
            <w:r w:rsidRPr="005B7CEF">
              <w:rPr>
                <w:b/>
              </w:rPr>
              <w:br/>
            </w:r>
            <w:r>
              <w:t>66.3% for CBA vs. 62.1% for RFA; P=0.28.</w:t>
            </w:r>
          </w:p>
        </w:tc>
      </w:tr>
      <w:tr w:rsidR="00BF0C8E" w:rsidRPr="008532A5" w14:paraId="7D7060C1" w14:textId="77777777" w:rsidTr="009429E4">
        <w:trPr>
          <w:cantSplit/>
        </w:trPr>
        <w:tc>
          <w:tcPr>
            <w:tcW w:w="702" w:type="pct"/>
            <w:tcBorders>
              <w:top w:val="nil"/>
              <w:bottom w:val="single" w:sz="4" w:space="0" w:color="auto"/>
            </w:tcBorders>
            <w:shd w:val="clear" w:color="auto" w:fill="auto"/>
          </w:tcPr>
          <w:p w14:paraId="6E1ED09E" w14:textId="77777777" w:rsidR="00BF0C8E" w:rsidRPr="00C327F9" w:rsidRDefault="00BF0C8E" w:rsidP="009429E4">
            <w:pPr>
              <w:pStyle w:val="05Tabletext22"/>
            </w:pPr>
          </w:p>
        </w:tc>
        <w:tc>
          <w:tcPr>
            <w:tcW w:w="720" w:type="pct"/>
            <w:tcBorders>
              <w:top w:val="dotted" w:sz="4" w:space="0" w:color="auto"/>
              <w:bottom w:val="single" w:sz="4" w:space="0" w:color="auto"/>
            </w:tcBorders>
          </w:tcPr>
          <w:p w14:paraId="2F362C5E"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4C50EC70" w14:textId="77777777" w:rsidR="00BF0C8E" w:rsidRPr="00786E23" w:rsidRDefault="00BF0C8E" w:rsidP="009429E4">
            <w:pPr>
              <w:pStyle w:val="05Tabletext22"/>
            </w:pPr>
            <w:r>
              <w:t>0 studies</w:t>
            </w:r>
          </w:p>
        </w:tc>
        <w:tc>
          <w:tcPr>
            <w:tcW w:w="575" w:type="pct"/>
            <w:tcBorders>
              <w:top w:val="dotted" w:sz="4" w:space="0" w:color="auto"/>
              <w:bottom w:val="single" w:sz="4" w:space="0" w:color="auto"/>
            </w:tcBorders>
          </w:tcPr>
          <w:p w14:paraId="578B59CE" w14:textId="77777777" w:rsidR="00BF0C8E" w:rsidRPr="00786E23" w:rsidRDefault="00BF0C8E" w:rsidP="009429E4">
            <w:pPr>
              <w:pStyle w:val="05Tabletext22"/>
            </w:pPr>
            <w:r>
              <w:t>-</w:t>
            </w:r>
          </w:p>
        </w:tc>
        <w:tc>
          <w:tcPr>
            <w:tcW w:w="1996" w:type="pct"/>
            <w:tcBorders>
              <w:top w:val="dotted" w:sz="4" w:space="0" w:color="auto"/>
              <w:bottom w:val="single" w:sz="4" w:space="0" w:color="auto"/>
            </w:tcBorders>
          </w:tcPr>
          <w:p w14:paraId="18011ADD" w14:textId="77777777" w:rsidR="00BF0C8E" w:rsidRPr="00786E23" w:rsidRDefault="00BF0C8E" w:rsidP="009429E4">
            <w:pPr>
              <w:pStyle w:val="05Tabletext22"/>
            </w:pPr>
            <w:r>
              <w:t>-</w:t>
            </w:r>
          </w:p>
        </w:tc>
      </w:tr>
      <w:tr w:rsidR="00BF0C8E" w:rsidRPr="008532A5" w14:paraId="5229494D" w14:textId="77777777" w:rsidTr="009429E4">
        <w:trPr>
          <w:cantSplit/>
        </w:trPr>
        <w:tc>
          <w:tcPr>
            <w:tcW w:w="702" w:type="pct"/>
            <w:vMerge w:val="restart"/>
            <w:shd w:val="clear" w:color="auto" w:fill="auto"/>
          </w:tcPr>
          <w:p w14:paraId="5B3CCF76" w14:textId="77777777" w:rsidR="00BF0C8E" w:rsidRPr="008532A5" w:rsidRDefault="00BF0C8E" w:rsidP="009429E4">
            <w:pPr>
              <w:pStyle w:val="05Tabletext22"/>
            </w:pPr>
            <w:r>
              <w:t>Repeat ablation</w:t>
            </w:r>
          </w:p>
        </w:tc>
        <w:tc>
          <w:tcPr>
            <w:tcW w:w="720" w:type="pct"/>
            <w:tcBorders>
              <w:bottom w:val="dotted" w:sz="4" w:space="0" w:color="auto"/>
            </w:tcBorders>
          </w:tcPr>
          <w:p w14:paraId="46EFCBBE" w14:textId="77777777" w:rsidR="00BF0C8E" w:rsidRDefault="00BF0C8E" w:rsidP="009429E4">
            <w:pPr>
              <w:pStyle w:val="05Tabletext22"/>
            </w:pPr>
            <w:r>
              <w:t>Any AF</w:t>
            </w:r>
          </w:p>
        </w:tc>
        <w:tc>
          <w:tcPr>
            <w:tcW w:w="1007" w:type="pct"/>
            <w:tcBorders>
              <w:bottom w:val="dotted" w:sz="4" w:space="0" w:color="auto"/>
            </w:tcBorders>
          </w:tcPr>
          <w:p w14:paraId="786804BF" w14:textId="77777777" w:rsidR="00BF0C8E" w:rsidRPr="008532A5" w:rsidRDefault="00BF0C8E" w:rsidP="009429E4">
            <w:pPr>
              <w:pStyle w:val="05Tabletext22"/>
            </w:pPr>
            <w:r>
              <w:t>5 RCT (N=1306)</w:t>
            </w:r>
            <w:r>
              <w:br/>
              <w:t>FU 12-40 months</w:t>
            </w:r>
            <w:r>
              <w:br/>
            </w:r>
            <w:r w:rsidRPr="002F3BCE">
              <w:rPr>
                <w:i/>
              </w:rPr>
              <w:t>[Cardoso 2016]</w:t>
            </w:r>
          </w:p>
        </w:tc>
        <w:tc>
          <w:tcPr>
            <w:tcW w:w="575" w:type="pct"/>
            <w:tcBorders>
              <w:bottom w:val="dotted" w:sz="4" w:space="0" w:color="auto"/>
            </w:tcBorders>
            <w:shd w:val="clear" w:color="auto" w:fill="F4B083"/>
          </w:tcPr>
          <w:p w14:paraId="498B1397" w14:textId="77777777" w:rsidR="00BF0C8E" w:rsidRPr="008532A5" w:rsidRDefault="00BF0C8E" w:rsidP="009429E4">
            <w:pPr>
              <w:pStyle w:val="05Tabletext22"/>
            </w:pPr>
            <w:r>
              <w:t>Moderate</w:t>
            </w:r>
          </w:p>
        </w:tc>
        <w:tc>
          <w:tcPr>
            <w:tcW w:w="1996" w:type="pct"/>
            <w:tcBorders>
              <w:bottom w:val="dotted" w:sz="4" w:space="0" w:color="auto"/>
            </w:tcBorders>
          </w:tcPr>
          <w:p w14:paraId="777B5999" w14:textId="77777777" w:rsidR="00BF0C8E" w:rsidRPr="008532A5" w:rsidRDefault="00BF0C8E" w:rsidP="009429E4">
            <w:pPr>
              <w:pStyle w:val="05Tabletext22"/>
            </w:pPr>
            <w:r w:rsidRPr="005B7CEF">
              <w:rPr>
                <w:b/>
              </w:rPr>
              <w:t>No difference</w:t>
            </w:r>
            <w:r w:rsidRPr="005B7CEF">
              <w:rPr>
                <w:b/>
              </w:rPr>
              <w:br/>
            </w:r>
            <w:r>
              <w:t>10.2% for CBA vs. 9.0% for RFA; P=0.61.</w:t>
            </w:r>
            <w:r>
              <w:br/>
              <w:t>Similar results when OBS are included in analysis.</w:t>
            </w:r>
          </w:p>
        </w:tc>
      </w:tr>
      <w:tr w:rsidR="00BF0C8E" w:rsidRPr="008532A5" w14:paraId="7B64B11F" w14:textId="77777777" w:rsidTr="009429E4">
        <w:trPr>
          <w:cantSplit/>
        </w:trPr>
        <w:tc>
          <w:tcPr>
            <w:tcW w:w="702" w:type="pct"/>
            <w:vMerge/>
            <w:tcBorders>
              <w:bottom w:val="nil"/>
            </w:tcBorders>
            <w:shd w:val="clear" w:color="auto" w:fill="auto"/>
          </w:tcPr>
          <w:p w14:paraId="14EDFF98" w14:textId="77777777" w:rsidR="00BF0C8E" w:rsidRPr="008532A5" w:rsidRDefault="00BF0C8E" w:rsidP="009429E4">
            <w:pPr>
              <w:pStyle w:val="05Tabletext22"/>
            </w:pPr>
          </w:p>
        </w:tc>
        <w:tc>
          <w:tcPr>
            <w:tcW w:w="720" w:type="pct"/>
            <w:tcBorders>
              <w:top w:val="dotted" w:sz="4" w:space="0" w:color="auto"/>
              <w:bottom w:val="dotted" w:sz="4" w:space="0" w:color="auto"/>
            </w:tcBorders>
          </w:tcPr>
          <w:p w14:paraId="09731DEC"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204FA6F3" w14:textId="77777777" w:rsidR="00BF0C8E" w:rsidRPr="00786E23" w:rsidRDefault="00BF0C8E" w:rsidP="009429E4">
            <w:pPr>
              <w:pStyle w:val="05Tabletext22"/>
            </w:pPr>
            <w:r>
              <w:t>1 RCT (N=50)</w:t>
            </w:r>
            <w:r>
              <w:br/>
              <w:t>FU 12 months</w:t>
            </w:r>
            <w:r>
              <w:br/>
            </w:r>
            <w:r w:rsidRPr="002F3BCE">
              <w:rPr>
                <w:i/>
              </w:rPr>
              <w:t>[AHRQ 2015]</w:t>
            </w:r>
          </w:p>
        </w:tc>
        <w:tc>
          <w:tcPr>
            <w:tcW w:w="575" w:type="pct"/>
            <w:tcBorders>
              <w:top w:val="dotted" w:sz="4" w:space="0" w:color="auto"/>
              <w:bottom w:val="dotted" w:sz="4" w:space="0" w:color="auto"/>
            </w:tcBorders>
          </w:tcPr>
          <w:p w14:paraId="2AC4854E" w14:textId="77777777" w:rsidR="00BF0C8E" w:rsidRPr="00786E23" w:rsidRDefault="00BF0C8E" w:rsidP="009429E4">
            <w:pPr>
              <w:pStyle w:val="05Tabletext22"/>
            </w:pPr>
            <w:r>
              <w:t>Insufficient</w:t>
            </w:r>
          </w:p>
        </w:tc>
        <w:tc>
          <w:tcPr>
            <w:tcW w:w="1996" w:type="pct"/>
            <w:tcBorders>
              <w:top w:val="dotted" w:sz="4" w:space="0" w:color="auto"/>
              <w:bottom w:val="dotted" w:sz="4" w:space="0" w:color="auto"/>
            </w:tcBorders>
            <w:shd w:val="clear" w:color="auto" w:fill="9CC2E5"/>
          </w:tcPr>
          <w:p w14:paraId="503AD0AF" w14:textId="77777777" w:rsidR="00BF0C8E" w:rsidRPr="00786E23" w:rsidRDefault="00BF0C8E" w:rsidP="009429E4">
            <w:pPr>
              <w:pStyle w:val="05Tabletext22"/>
            </w:pPr>
            <w:r w:rsidRPr="005B7CEF">
              <w:rPr>
                <w:b/>
              </w:rPr>
              <w:t>Favours RFA</w:t>
            </w:r>
            <w:r w:rsidRPr="005B7CEF">
              <w:rPr>
                <w:b/>
              </w:rPr>
              <w:br/>
            </w:r>
            <w:r>
              <w:t>24.0% for CBA vs. 0% for RFA; P=0.01.</w:t>
            </w:r>
            <w:r>
              <w:br/>
              <w:t>Definitive conclusions are not possible.</w:t>
            </w:r>
          </w:p>
        </w:tc>
      </w:tr>
      <w:tr w:rsidR="00BF0C8E" w:rsidRPr="008532A5" w14:paraId="5DF5513B" w14:textId="77777777" w:rsidTr="009429E4">
        <w:trPr>
          <w:cantSplit/>
        </w:trPr>
        <w:tc>
          <w:tcPr>
            <w:tcW w:w="702" w:type="pct"/>
            <w:tcBorders>
              <w:top w:val="nil"/>
              <w:bottom w:val="single" w:sz="4" w:space="0" w:color="auto"/>
            </w:tcBorders>
            <w:shd w:val="clear" w:color="auto" w:fill="auto"/>
          </w:tcPr>
          <w:p w14:paraId="60EBF383" w14:textId="77777777" w:rsidR="00BF0C8E" w:rsidRPr="008532A5" w:rsidRDefault="00BF0C8E" w:rsidP="009429E4">
            <w:pPr>
              <w:pStyle w:val="05Tabletext22"/>
            </w:pPr>
          </w:p>
        </w:tc>
        <w:tc>
          <w:tcPr>
            <w:tcW w:w="720" w:type="pct"/>
            <w:tcBorders>
              <w:top w:val="dotted" w:sz="4" w:space="0" w:color="auto"/>
              <w:bottom w:val="single" w:sz="4" w:space="0" w:color="auto"/>
            </w:tcBorders>
          </w:tcPr>
          <w:p w14:paraId="56E9CF2A"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62BD71A5" w14:textId="77777777" w:rsidR="00BF0C8E" w:rsidRPr="00786E23" w:rsidRDefault="00BF0C8E" w:rsidP="009429E4">
            <w:pPr>
              <w:pStyle w:val="05Tabletext22"/>
            </w:pPr>
            <w:r>
              <w:t>0 studies</w:t>
            </w:r>
          </w:p>
        </w:tc>
        <w:tc>
          <w:tcPr>
            <w:tcW w:w="575" w:type="pct"/>
            <w:tcBorders>
              <w:top w:val="dotted" w:sz="4" w:space="0" w:color="auto"/>
              <w:bottom w:val="single" w:sz="4" w:space="0" w:color="auto"/>
            </w:tcBorders>
          </w:tcPr>
          <w:p w14:paraId="18BDBCA8" w14:textId="77777777" w:rsidR="00BF0C8E" w:rsidRPr="00786E23" w:rsidRDefault="00BF0C8E" w:rsidP="009429E4">
            <w:pPr>
              <w:pStyle w:val="05Tabletext22"/>
            </w:pPr>
            <w:r>
              <w:t>-</w:t>
            </w:r>
          </w:p>
        </w:tc>
        <w:tc>
          <w:tcPr>
            <w:tcW w:w="1996" w:type="pct"/>
            <w:tcBorders>
              <w:top w:val="dotted" w:sz="4" w:space="0" w:color="auto"/>
              <w:bottom w:val="single" w:sz="4" w:space="0" w:color="auto"/>
            </w:tcBorders>
          </w:tcPr>
          <w:p w14:paraId="41FB3A38" w14:textId="77777777" w:rsidR="00BF0C8E" w:rsidRPr="00786E23" w:rsidRDefault="00BF0C8E" w:rsidP="009429E4">
            <w:pPr>
              <w:pStyle w:val="05Tabletext22"/>
            </w:pPr>
            <w:r>
              <w:t>-</w:t>
            </w:r>
          </w:p>
        </w:tc>
      </w:tr>
      <w:tr w:rsidR="00BF0C8E" w:rsidRPr="008532A5" w14:paraId="5E0862ED" w14:textId="77777777" w:rsidTr="009429E4">
        <w:trPr>
          <w:cantSplit/>
        </w:trPr>
        <w:tc>
          <w:tcPr>
            <w:tcW w:w="702" w:type="pct"/>
            <w:vMerge w:val="restart"/>
            <w:shd w:val="clear" w:color="auto" w:fill="auto"/>
          </w:tcPr>
          <w:p w14:paraId="273A2AF0" w14:textId="77777777" w:rsidR="00BF0C8E" w:rsidRPr="00786E23" w:rsidRDefault="00BF0C8E" w:rsidP="009429E4">
            <w:pPr>
              <w:pStyle w:val="05Tabletext22"/>
            </w:pPr>
            <w:r>
              <w:t xml:space="preserve">Cardiac hospitalisation/ </w:t>
            </w:r>
            <w:r>
              <w:lastRenderedPageBreak/>
              <w:t>re-admission</w:t>
            </w:r>
          </w:p>
        </w:tc>
        <w:tc>
          <w:tcPr>
            <w:tcW w:w="720" w:type="pct"/>
            <w:tcBorders>
              <w:bottom w:val="dotted" w:sz="4" w:space="0" w:color="auto"/>
            </w:tcBorders>
          </w:tcPr>
          <w:p w14:paraId="7D8DFF3E" w14:textId="77777777" w:rsidR="00BF0C8E" w:rsidRDefault="00BF0C8E" w:rsidP="009429E4">
            <w:pPr>
              <w:pStyle w:val="05Tabletext22"/>
            </w:pPr>
            <w:r>
              <w:lastRenderedPageBreak/>
              <w:t>Any AF</w:t>
            </w:r>
          </w:p>
        </w:tc>
        <w:tc>
          <w:tcPr>
            <w:tcW w:w="1007" w:type="pct"/>
            <w:tcBorders>
              <w:bottom w:val="dotted" w:sz="4" w:space="0" w:color="auto"/>
            </w:tcBorders>
          </w:tcPr>
          <w:p w14:paraId="4B85E75B" w14:textId="77777777" w:rsidR="00BF0C8E" w:rsidRPr="00786E23" w:rsidRDefault="00BF0C8E" w:rsidP="009429E4">
            <w:pPr>
              <w:pStyle w:val="05Tabletext22"/>
            </w:pPr>
            <w:r>
              <w:t>0 studies</w:t>
            </w:r>
          </w:p>
        </w:tc>
        <w:tc>
          <w:tcPr>
            <w:tcW w:w="575" w:type="pct"/>
            <w:tcBorders>
              <w:bottom w:val="dotted" w:sz="4" w:space="0" w:color="auto"/>
            </w:tcBorders>
          </w:tcPr>
          <w:p w14:paraId="6B097562" w14:textId="77777777" w:rsidR="00BF0C8E" w:rsidRPr="00786E23" w:rsidRDefault="00BF0C8E" w:rsidP="009429E4">
            <w:pPr>
              <w:pStyle w:val="05Tabletext22"/>
            </w:pPr>
            <w:r>
              <w:t>-</w:t>
            </w:r>
          </w:p>
        </w:tc>
        <w:tc>
          <w:tcPr>
            <w:tcW w:w="1996" w:type="pct"/>
            <w:tcBorders>
              <w:bottom w:val="dotted" w:sz="4" w:space="0" w:color="auto"/>
            </w:tcBorders>
          </w:tcPr>
          <w:p w14:paraId="64E91CF2" w14:textId="77777777" w:rsidR="00BF0C8E" w:rsidRPr="00786E23" w:rsidRDefault="00BF0C8E" w:rsidP="009429E4">
            <w:pPr>
              <w:pStyle w:val="05Tabletext22"/>
            </w:pPr>
            <w:r>
              <w:t>-</w:t>
            </w:r>
          </w:p>
        </w:tc>
      </w:tr>
      <w:tr w:rsidR="00BF0C8E" w:rsidRPr="008532A5" w14:paraId="7D813C6C" w14:textId="77777777" w:rsidTr="009429E4">
        <w:trPr>
          <w:cantSplit/>
        </w:trPr>
        <w:tc>
          <w:tcPr>
            <w:tcW w:w="702" w:type="pct"/>
            <w:vMerge/>
            <w:shd w:val="clear" w:color="auto" w:fill="auto"/>
          </w:tcPr>
          <w:p w14:paraId="02C81756" w14:textId="77777777" w:rsidR="00BF0C8E" w:rsidRPr="00786E23" w:rsidRDefault="00BF0C8E" w:rsidP="009429E4">
            <w:pPr>
              <w:pStyle w:val="05Tabletext22"/>
            </w:pPr>
          </w:p>
        </w:tc>
        <w:tc>
          <w:tcPr>
            <w:tcW w:w="720" w:type="pct"/>
            <w:tcBorders>
              <w:top w:val="dotted" w:sz="4" w:space="0" w:color="auto"/>
              <w:bottom w:val="dotted" w:sz="4" w:space="0" w:color="auto"/>
            </w:tcBorders>
          </w:tcPr>
          <w:p w14:paraId="5133EDAC"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5031B880" w14:textId="77777777" w:rsidR="00BF0C8E" w:rsidRPr="00786E23" w:rsidRDefault="00BF0C8E" w:rsidP="009429E4">
            <w:pPr>
              <w:pStyle w:val="05Tabletext22"/>
            </w:pPr>
            <w:r>
              <w:t>0 studies</w:t>
            </w:r>
          </w:p>
        </w:tc>
        <w:tc>
          <w:tcPr>
            <w:tcW w:w="575" w:type="pct"/>
            <w:tcBorders>
              <w:top w:val="dotted" w:sz="4" w:space="0" w:color="auto"/>
              <w:bottom w:val="dotted" w:sz="4" w:space="0" w:color="auto"/>
            </w:tcBorders>
          </w:tcPr>
          <w:p w14:paraId="1E7FEF41" w14:textId="77777777" w:rsidR="00BF0C8E" w:rsidRPr="00786E23" w:rsidRDefault="00BF0C8E" w:rsidP="009429E4">
            <w:pPr>
              <w:pStyle w:val="05Tabletext22"/>
            </w:pPr>
            <w:r>
              <w:t>-</w:t>
            </w:r>
          </w:p>
        </w:tc>
        <w:tc>
          <w:tcPr>
            <w:tcW w:w="1996" w:type="pct"/>
            <w:tcBorders>
              <w:top w:val="dotted" w:sz="4" w:space="0" w:color="auto"/>
              <w:bottom w:val="dotted" w:sz="4" w:space="0" w:color="auto"/>
            </w:tcBorders>
          </w:tcPr>
          <w:p w14:paraId="2D0A418B" w14:textId="77777777" w:rsidR="00BF0C8E" w:rsidRPr="00786E23" w:rsidRDefault="00BF0C8E" w:rsidP="009429E4">
            <w:pPr>
              <w:pStyle w:val="05Tabletext22"/>
            </w:pPr>
            <w:r>
              <w:t>-</w:t>
            </w:r>
          </w:p>
        </w:tc>
      </w:tr>
      <w:tr w:rsidR="00BF0C8E" w:rsidRPr="008532A5" w14:paraId="5C63900E" w14:textId="77777777" w:rsidTr="009429E4">
        <w:trPr>
          <w:cantSplit/>
        </w:trPr>
        <w:tc>
          <w:tcPr>
            <w:tcW w:w="702" w:type="pct"/>
            <w:vMerge/>
            <w:tcBorders>
              <w:bottom w:val="single" w:sz="4" w:space="0" w:color="auto"/>
            </w:tcBorders>
            <w:shd w:val="clear" w:color="auto" w:fill="auto"/>
          </w:tcPr>
          <w:p w14:paraId="61F7EDA6" w14:textId="77777777" w:rsidR="00BF0C8E" w:rsidRPr="00786E23" w:rsidRDefault="00BF0C8E" w:rsidP="009429E4">
            <w:pPr>
              <w:pStyle w:val="05Tabletext22"/>
            </w:pPr>
          </w:p>
        </w:tc>
        <w:tc>
          <w:tcPr>
            <w:tcW w:w="720" w:type="pct"/>
            <w:tcBorders>
              <w:top w:val="dotted" w:sz="4" w:space="0" w:color="auto"/>
              <w:bottom w:val="single" w:sz="4" w:space="0" w:color="auto"/>
            </w:tcBorders>
          </w:tcPr>
          <w:p w14:paraId="7F64E13A"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5C216BCC" w14:textId="77777777" w:rsidR="00BF0C8E" w:rsidRPr="00786E23" w:rsidRDefault="00BF0C8E" w:rsidP="009429E4">
            <w:pPr>
              <w:pStyle w:val="05Tabletext22"/>
            </w:pPr>
            <w:r>
              <w:t>0 studies</w:t>
            </w:r>
          </w:p>
        </w:tc>
        <w:tc>
          <w:tcPr>
            <w:tcW w:w="575" w:type="pct"/>
            <w:tcBorders>
              <w:top w:val="dotted" w:sz="4" w:space="0" w:color="auto"/>
              <w:bottom w:val="single" w:sz="4" w:space="0" w:color="auto"/>
            </w:tcBorders>
          </w:tcPr>
          <w:p w14:paraId="09316986" w14:textId="77777777" w:rsidR="00BF0C8E" w:rsidRPr="00786E23" w:rsidRDefault="00BF0C8E" w:rsidP="009429E4">
            <w:pPr>
              <w:pStyle w:val="05Tabletext22"/>
            </w:pPr>
            <w:r>
              <w:t>-</w:t>
            </w:r>
          </w:p>
        </w:tc>
        <w:tc>
          <w:tcPr>
            <w:tcW w:w="1996" w:type="pct"/>
            <w:tcBorders>
              <w:top w:val="dotted" w:sz="4" w:space="0" w:color="auto"/>
              <w:bottom w:val="single" w:sz="4" w:space="0" w:color="auto"/>
            </w:tcBorders>
          </w:tcPr>
          <w:p w14:paraId="47A9E92F" w14:textId="77777777" w:rsidR="00BF0C8E" w:rsidRPr="00786E23" w:rsidRDefault="00BF0C8E" w:rsidP="009429E4">
            <w:pPr>
              <w:pStyle w:val="05Tabletext22"/>
            </w:pPr>
            <w:r>
              <w:t>-</w:t>
            </w:r>
          </w:p>
        </w:tc>
      </w:tr>
      <w:tr w:rsidR="00BF0C8E" w:rsidRPr="008532A5" w14:paraId="201D7CF8" w14:textId="77777777" w:rsidTr="009429E4">
        <w:trPr>
          <w:cantSplit/>
        </w:trPr>
        <w:tc>
          <w:tcPr>
            <w:tcW w:w="702" w:type="pct"/>
            <w:vMerge w:val="restart"/>
            <w:shd w:val="clear" w:color="auto" w:fill="auto"/>
          </w:tcPr>
          <w:p w14:paraId="729A5D12" w14:textId="77777777" w:rsidR="00BF0C8E" w:rsidRPr="00786E23" w:rsidRDefault="00BF0C8E" w:rsidP="009429E4">
            <w:pPr>
              <w:pStyle w:val="05Tabletext22"/>
            </w:pPr>
            <w:r>
              <w:t>Pericardial effusion</w:t>
            </w:r>
          </w:p>
        </w:tc>
        <w:tc>
          <w:tcPr>
            <w:tcW w:w="720" w:type="pct"/>
            <w:tcBorders>
              <w:bottom w:val="dotted" w:sz="4" w:space="0" w:color="auto"/>
            </w:tcBorders>
          </w:tcPr>
          <w:p w14:paraId="26F182A3" w14:textId="77777777" w:rsidR="00BF0C8E" w:rsidRDefault="00BF0C8E" w:rsidP="009429E4">
            <w:pPr>
              <w:pStyle w:val="05Tabletext22"/>
            </w:pPr>
            <w:r>
              <w:t>Any AF</w:t>
            </w:r>
          </w:p>
        </w:tc>
        <w:tc>
          <w:tcPr>
            <w:tcW w:w="1007" w:type="pct"/>
            <w:tcBorders>
              <w:bottom w:val="dotted" w:sz="4" w:space="0" w:color="auto"/>
            </w:tcBorders>
          </w:tcPr>
          <w:p w14:paraId="1A2D6DE0" w14:textId="77777777" w:rsidR="00BF0C8E" w:rsidRPr="00786E23" w:rsidRDefault="00BF0C8E" w:rsidP="009429E4">
            <w:pPr>
              <w:pStyle w:val="05Tabletext22"/>
            </w:pPr>
            <w:r>
              <w:t>3 RCT, 10 OBS (N=7117)</w:t>
            </w:r>
            <w:r>
              <w:br/>
            </w:r>
            <w:r w:rsidRPr="002F3BCE">
              <w:rPr>
                <w:i/>
              </w:rPr>
              <w:t>[Cardoso 2016]</w:t>
            </w:r>
          </w:p>
        </w:tc>
        <w:tc>
          <w:tcPr>
            <w:tcW w:w="575" w:type="pct"/>
            <w:tcBorders>
              <w:bottom w:val="dotted" w:sz="4" w:space="0" w:color="auto"/>
            </w:tcBorders>
            <w:shd w:val="clear" w:color="auto" w:fill="FFD966"/>
          </w:tcPr>
          <w:p w14:paraId="5BDCE8DD" w14:textId="77777777" w:rsidR="00BF0C8E" w:rsidRPr="00786E23" w:rsidRDefault="00BF0C8E" w:rsidP="009429E4">
            <w:pPr>
              <w:pStyle w:val="05Tabletext22"/>
            </w:pPr>
            <w:r>
              <w:t>Low</w:t>
            </w:r>
          </w:p>
        </w:tc>
        <w:tc>
          <w:tcPr>
            <w:tcW w:w="1996" w:type="pct"/>
            <w:tcBorders>
              <w:bottom w:val="dotted" w:sz="4" w:space="0" w:color="auto"/>
            </w:tcBorders>
            <w:shd w:val="clear" w:color="auto" w:fill="A8D08D"/>
          </w:tcPr>
          <w:p w14:paraId="44DE52DB" w14:textId="77777777" w:rsidR="00BF0C8E" w:rsidRPr="00786E23" w:rsidRDefault="00BF0C8E" w:rsidP="009429E4">
            <w:pPr>
              <w:pStyle w:val="05Tabletext22"/>
            </w:pPr>
            <w:r w:rsidRPr="005B7CEF">
              <w:rPr>
                <w:b/>
              </w:rPr>
              <w:t>Favours CBA</w:t>
            </w:r>
            <w:r w:rsidRPr="005B7CEF">
              <w:rPr>
                <w:b/>
              </w:rPr>
              <w:br/>
            </w:r>
            <w:r>
              <w:rPr>
                <w:lang w:val="en-AU"/>
              </w:rPr>
              <w:t>0.8% for CBA vs. 2.1% for RFA; P&lt;0.001.</w:t>
            </w:r>
            <w:r>
              <w:rPr>
                <w:lang w:val="en-AU"/>
              </w:rPr>
              <w:br/>
            </w:r>
            <w:r>
              <w:t>No significant difference when OBS are excluded from analysis.</w:t>
            </w:r>
          </w:p>
        </w:tc>
      </w:tr>
      <w:tr w:rsidR="00BF0C8E" w:rsidRPr="008532A5" w14:paraId="13442ECF" w14:textId="77777777" w:rsidTr="009429E4">
        <w:trPr>
          <w:cantSplit/>
        </w:trPr>
        <w:tc>
          <w:tcPr>
            <w:tcW w:w="702" w:type="pct"/>
            <w:vMerge/>
            <w:tcBorders>
              <w:bottom w:val="nil"/>
            </w:tcBorders>
            <w:shd w:val="clear" w:color="auto" w:fill="auto"/>
          </w:tcPr>
          <w:p w14:paraId="264FEEAB" w14:textId="77777777" w:rsidR="00BF0C8E" w:rsidRPr="00786E23" w:rsidRDefault="00BF0C8E" w:rsidP="009429E4">
            <w:pPr>
              <w:pStyle w:val="05Tabletext22"/>
            </w:pPr>
          </w:p>
        </w:tc>
        <w:tc>
          <w:tcPr>
            <w:tcW w:w="720" w:type="pct"/>
            <w:tcBorders>
              <w:top w:val="dotted" w:sz="4" w:space="0" w:color="auto"/>
              <w:bottom w:val="dotted" w:sz="4" w:space="0" w:color="auto"/>
            </w:tcBorders>
          </w:tcPr>
          <w:p w14:paraId="6383CEEA"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52A5DB12" w14:textId="77777777" w:rsidR="00BF0C8E" w:rsidRPr="00786E23" w:rsidRDefault="00BF0C8E" w:rsidP="009429E4">
            <w:pPr>
              <w:pStyle w:val="05Tabletext22"/>
            </w:pPr>
            <w:r>
              <w:t>11 studies (N=5821)</w:t>
            </w:r>
            <w:r>
              <w:br/>
            </w:r>
            <w:r w:rsidRPr="002F3BCE">
              <w:rPr>
                <w:i/>
              </w:rPr>
              <w:t>[Cardoso 2016]</w:t>
            </w:r>
          </w:p>
        </w:tc>
        <w:tc>
          <w:tcPr>
            <w:tcW w:w="575" w:type="pct"/>
            <w:tcBorders>
              <w:top w:val="dotted" w:sz="4" w:space="0" w:color="auto"/>
              <w:bottom w:val="dotted" w:sz="4" w:space="0" w:color="auto"/>
            </w:tcBorders>
            <w:shd w:val="clear" w:color="auto" w:fill="FFD966"/>
          </w:tcPr>
          <w:p w14:paraId="3FD2293D" w14:textId="77777777" w:rsidR="00BF0C8E" w:rsidRPr="00786E23" w:rsidRDefault="00BF0C8E" w:rsidP="009429E4">
            <w:pPr>
              <w:pStyle w:val="05Tabletext22"/>
            </w:pPr>
            <w:r>
              <w:t>Low</w:t>
            </w:r>
          </w:p>
        </w:tc>
        <w:tc>
          <w:tcPr>
            <w:tcW w:w="1996" w:type="pct"/>
            <w:tcBorders>
              <w:top w:val="dotted" w:sz="4" w:space="0" w:color="auto"/>
              <w:bottom w:val="dotted" w:sz="4" w:space="0" w:color="auto"/>
            </w:tcBorders>
            <w:shd w:val="clear" w:color="auto" w:fill="A8D08D"/>
          </w:tcPr>
          <w:p w14:paraId="7C84F1FB" w14:textId="77777777" w:rsidR="00BF0C8E" w:rsidRPr="00786E23" w:rsidRDefault="00BF0C8E" w:rsidP="009429E4">
            <w:pPr>
              <w:pStyle w:val="05Tabletext22"/>
            </w:pPr>
            <w:r w:rsidRPr="005B7CEF">
              <w:rPr>
                <w:b/>
              </w:rPr>
              <w:t>Favours CBA</w:t>
            </w:r>
            <w:r w:rsidRPr="005B7CEF">
              <w:rPr>
                <w:b/>
              </w:rPr>
              <w:br/>
            </w:r>
            <w:r>
              <w:rPr>
                <w:lang w:val="en-AU"/>
              </w:rPr>
              <w:t>0.8% for CBA vs. 2.1% for RFA; P&lt;0.01.</w:t>
            </w:r>
          </w:p>
        </w:tc>
      </w:tr>
      <w:tr w:rsidR="00BF0C8E" w:rsidRPr="008532A5" w14:paraId="47EF6AD7" w14:textId="77777777" w:rsidTr="009429E4">
        <w:trPr>
          <w:cantSplit/>
        </w:trPr>
        <w:tc>
          <w:tcPr>
            <w:tcW w:w="702" w:type="pct"/>
            <w:tcBorders>
              <w:top w:val="nil"/>
              <w:bottom w:val="single" w:sz="4" w:space="0" w:color="auto"/>
            </w:tcBorders>
            <w:shd w:val="clear" w:color="auto" w:fill="auto"/>
          </w:tcPr>
          <w:p w14:paraId="39C48228" w14:textId="77777777" w:rsidR="00BF0C8E" w:rsidRPr="008532A5" w:rsidRDefault="00BF0C8E" w:rsidP="009429E4">
            <w:pPr>
              <w:pStyle w:val="05Tabletext22"/>
            </w:pPr>
          </w:p>
        </w:tc>
        <w:tc>
          <w:tcPr>
            <w:tcW w:w="720" w:type="pct"/>
            <w:tcBorders>
              <w:top w:val="dotted" w:sz="4" w:space="0" w:color="auto"/>
              <w:bottom w:val="single" w:sz="4" w:space="0" w:color="auto"/>
            </w:tcBorders>
          </w:tcPr>
          <w:p w14:paraId="42C212E5"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2A5BB748" w14:textId="77777777" w:rsidR="00BF0C8E" w:rsidRPr="00786E23" w:rsidRDefault="00BF0C8E" w:rsidP="009429E4">
            <w:pPr>
              <w:pStyle w:val="05Tabletext22"/>
            </w:pPr>
            <w:r>
              <w:t>0 studies</w:t>
            </w:r>
          </w:p>
        </w:tc>
        <w:tc>
          <w:tcPr>
            <w:tcW w:w="575" w:type="pct"/>
            <w:tcBorders>
              <w:top w:val="dotted" w:sz="4" w:space="0" w:color="auto"/>
              <w:bottom w:val="single" w:sz="4" w:space="0" w:color="auto"/>
            </w:tcBorders>
          </w:tcPr>
          <w:p w14:paraId="1B9301B3" w14:textId="77777777" w:rsidR="00BF0C8E" w:rsidRPr="00786E23" w:rsidRDefault="00BF0C8E" w:rsidP="009429E4">
            <w:pPr>
              <w:pStyle w:val="05Tabletext22"/>
            </w:pPr>
            <w:r>
              <w:t>-</w:t>
            </w:r>
          </w:p>
        </w:tc>
        <w:tc>
          <w:tcPr>
            <w:tcW w:w="1996" w:type="pct"/>
            <w:tcBorders>
              <w:top w:val="dotted" w:sz="4" w:space="0" w:color="auto"/>
              <w:bottom w:val="single" w:sz="4" w:space="0" w:color="auto"/>
            </w:tcBorders>
          </w:tcPr>
          <w:p w14:paraId="71B500DF" w14:textId="77777777" w:rsidR="00BF0C8E" w:rsidRPr="00786E23" w:rsidRDefault="00BF0C8E" w:rsidP="009429E4">
            <w:pPr>
              <w:pStyle w:val="05Tabletext22"/>
            </w:pPr>
            <w:r>
              <w:t>-</w:t>
            </w:r>
          </w:p>
        </w:tc>
      </w:tr>
      <w:tr w:rsidR="00BF0C8E" w:rsidRPr="008532A5" w14:paraId="588F5F8C" w14:textId="77777777" w:rsidTr="009429E4">
        <w:trPr>
          <w:cantSplit/>
        </w:trPr>
        <w:tc>
          <w:tcPr>
            <w:tcW w:w="702" w:type="pct"/>
            <w:vMerge w:val="restart"/>
            <w:tcBorders>
              <w:top w:val="single" w:sz="4" w:space="0" w:color="auto"/>
            </w:tcBorders>
            <w:shd w:val="clear" w:color="auto" w:fill="auto"/>
          </w:tcPr>
          <w:p w14:paraId="46E28F73" w14:textId="77777777" w:rsidR="00BF0C8E" w:rsidRPr="008532A5" w:rsidRDefault="00BF0C8E" w:rsidP="009429E4">
            <w:pPr>
              <w:pStyle w:val="05Tabletext22"/>
            </w:pPr>
            <w:r>
              <w:t>Pericardial tamponade</w:t>
            </w:r>
          </w:p>
        </w:tc>
        <w:tc>
          <w:tcPr>
            <w:tcW w:w="720" w:type="pct"/>
            <w:tcBorders>
              <w:bottom w:val="dotted" w:sz="4" w:space="0" w:color="auto"/>
            </w:tcBorders>
          </w:tcPr>
          <w:p w14:paraId="7CA60458" w14:textId="77777777" w:rsidR="00BF0C8E" w:rsidRDefault="00BF0C8E" w:rsidP="009429E4">
            <w:pPr>
              <w:pStyle w:val="05Tabletext22"/>
            </w:pPr>
            <w:r>
              <w:t>Any AF</w:t>
            </w:r>
          </w:p>
        </w:tc>
        <w:tc>
          <w:tcPr>
            <w:tcW w:w="1007" w:type="pct"/>
            <w:tcBorders>
              <w:bottom w:val="dotted" w:sz="4" w:space="0" w:color="auto"/>
            </w:tcBorders>
          </w:tcPr>
          <w:p w14:paraId="08018E72" w14:textId="77777777" w:rsidR="00BF0C8E" w:rsidRDefault="00BF0C8E" w:rsidP="009429E4">
            <w:pPr>
              <w:pStyle w:val="05Tabletext22"/>
            </w:pPr>
            <w:r>
              <w:t>2 RCT, 6 OBS (N=5120)</w:t>
            </w:r>
            <w:r>
              <w:br/>
            </w:r>
            <w:r w:rsidRPr="002F3BCE">
              <w:rPr>
                <w:i/>
              </w:rPr>
              <w:t>[Cardoso 2016]</w:t>
            </w:r>
          </w:p>
        </w:tc>
        <w:tc>
          <w:tcPr>
            <w:tcW w:w="575" w:type="pct"/>
            <w:tcBorders>
              <w:bottom w:val="dotted" w:sz="4" w:space="0" w:color="auto"/>
            </w:tcBorders>
            <w:shd w:val="clear" w:color="auto" w:fill="FFD966"/>
          </w:tcPr>
          <w:p w14:paraId="3EC2633C" w14:textId="77777777" w:rsidR="00BF0C8E" w:rsidRDefault="00BF0C8E" w:rsidP="009429E4">
            <w:pPr>
              <w:pStyle w:val="05Tabletext22"/>
            </w:pPr>
            <w:r>
              <w:t>Low</w:t>
            </w:r>
          </w:p>
        </w:tc>
        <w:tc>
          <w:tcPr>
            <w:tcW w:w="1996" w:type="pct"/>
            <w:tcBorders>
              <w:bottom w:val="dotted" w:sz="4" w:space="0" w:color="auto"/>
            </w:tcBorders>
            <w:shd w:val="clear" w:color="auto" w:fill="A8D08D"/>
          </w:tcPr>
          <w:p w14:paraId="4265DB00" w14:textId="77777777" w:rsidR="00BF0C8E" w:rsidRDefault="00BF0C8E" w:rsidP="009429E4">
            <w:pPr>
              <w:pStyle w:val="05Tabletext22"/>
            </w:pPr>
            <w:r w:rsidRPr="005B7CEF">
              <w:rPr>
                <w:b/>
              </w:rPr>
              <w:t>Favours CBA</w:t>
            </w:r>
            <w:r w:rsidRPr="005B7CEF">
              <w:rPr>
                <w:b/>
              </w:rPr>
              <w:br/>
            </w:r>
            <w:r>
              <w:rPr>
                <w:lang w:val="en-AU"/>
              </w:rPr>
              <w:t>0.4% for CBA vs. 1.4% for RFA; P=0.002.</w:t>
            </w:r>
          </w:p>
        </w:tc>
      </w:tr>
      <w:tr w:rsidR="00BF0C8E" w:rsidRPr="008532A5" w14:paraId="04ABC1F7" w14:textId="77777777" w:rsidTr="009429E4">
        <w:trPr>
          <w:cantSplit/>
        </w:trPr>
        <w:tc>
          <w:tcPr>
            <w:tcW w:w="702" w:type="pct"/>
            <w:vMerge/>
            <w:tcBorders>
              <w:bottom w:val="nil"/>
            </w:tcBorders>
            <w:shd w:val="clear" w:color="auto" w:fill="auto"/>
          </w:tcPr>
          <w:p w14:paraId="0F5161D1" w14:textId="77777777" w:rsidR="00BF0C8E" w:rsidRPr="008532A5" w:rsidRDefault="00BF0C8E" w:rsidP="009429E4">
            <w:pPr>
              <w:pStyle w:val="05Tabletext22"/>
            </w:pPr>
          </w:p>
        </w:tc>
        <w:tc>
          <w:tcPr>
            <w:tcW w:w="720" w:type="pct"/>
            <w:tcBorders>
              <w:top w:val="dotted" w:sz="4" w:space="0" w:color="auto"/>
              <w:bottom w:val="dotted" w:sz="4" w:space="0" w:color="auto"/>
            </w:tcBorders>
          </w:tcPr>
          <w:p w14:paraId="40224E3E"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7F2066A7" w14:textId="77777777" w:rsidR="00BF0C8E" w:rsidRDefault="00BF0C8E" w:rsidP="009429E4">
            <w:pPr>
              <w:pStyle w:val="05Tabletext22"/>
            </w:pPr>
            <w:r>
              <w:t>7 studies (N=5020)</w:t>
            </w:r>
            <w:r>
              <w:br/>
            </w:r>
            <w:r w:rsidRPr="002F3BCE">
              <w:rPr>
                <w:i/>
              </w:rPr>
              <w:t>[Cardoso 2016]</w:t>
            </w:r>
          </w:p>
        </w:tc>
        <w:tc>
          <w:tcPr>
            <w:tcW w:w="575" w:type="pct"/>
            <w:tcBorders>
              <w:top w:val="dotted" w:sz="4" w:space="0" w:color="auto"/>
              <w:bottom w:val="dotted" w:sz="4" w:space="0" w:color="auto"/>
            </w:tcBorders>
            <w:shd w:val="clear" w:color="auto" w:fill="FFD966"/>
          </w:tcPr>
          <w:p w14:paraId="190F1579" w14:textId="77777777" w:rsidR="00BF0C8E" w:rsidRPr="00786E23" w:rsidRDefault="00BF0C8E" w:rsidP="009429E4">
            <w:pPr>
              <w:pStyle w:val="05Tabletext22"/>
            </w:pPr>
            <w:r>
              <w:t>Low</w:t>
            </w:r>
          </w:p>
        </w:tc>
        <w:tc>
          <w:tcPr>
            <w:tcW w:w="1996" w:type="pct"/>
            <w:tcBorders>
              <w:top w:val="dotted" w:sz="4" w:space="0" w:color="auto"/>
              <w:bottom w:val="dotted" w:sz="4" w:space="0" w:color="auto"/>
            </w:tcBorders>
            <w:shd w:val="clear" w:color="auto" w:fill="A8D08D"/>
          </w:tcPr>
          <w:p w14:paraId="72B77FB9" w14:textId="77777777" w:rsidR="00BF0C8E" w:rsidRPr="00786E23" w:rsidRDefault="00BF0C8E" w:rsidP="009429E4">
            <w:pPr>
              <w:pStyle w:val="05Tabletext22"/>
            </w:pPr>
            <w:r w:rsidRPr="005B7CEF">
              <w:rPr>
                <w:b/>
              </w:rPr>
              <w:t>Favours CBA</w:t>
            </w:r>
            <w:r w:rsidRPr="005B7CEF">
              <w:rPr>
                <w:b/>
              </w:rPr>
              <w:br/>
            </w:r>
            <w:r>
              <w:rPr>
                <w:lang w:val="en-AU"/>
              </w:rPr>
              <w:t>0.3% for CBA vs. 1.3% for RFA; P&lt;0.01.</w:t>
            </w:r>
          </w:p>
        </w:tc>
      </w:tr>
      <w:tr w:rsidR="00BF0C8E" w:rsidRPr="008532A5" w14:paraId="4B6D6DCA" w14:textId="77777777" w:rsidTr="009429E4">
        <w:trPr>
          <w:cantSplit/>
        </w:trPr>
        <w:tc>
          <w:tcPr>
            <w:tcW w:w="702" w:type="pct"/>
            <w:tcBorders>
              <w:top w:val="nil"/>
              <w:bottom w:val="single" w:sz="4" w:space="0" w:color="auto"/>
            </w:tcBorders>
            <w:shd w:val="clear" w:color="auto" w:fill="auto"/>
          </w:tcPr>
          <w:p w14:paraId="4C3CC79E" w14:textId="77777777" w:rsidR="00BF0C8E" w:rsidRPr="008532A5" w:rsidRDefault="00BF0C8E" w:rsidP="009429E4">
            <w:pPr>
              <w:pStyle w:val="05Tabletext22"/>
            </w:pPr>
          </w:p>
        </w:tc>
        <w:tc>
          <w:tcPr>
            <w:tcW w:w="720" w:type="pct"/>
            <w:tcBorders>
              <w:top w:val="dotted" w:sz="4" w:space="0" w:color="auto"/>
              <w:bottom w:val="single" w:sz="4" w:space="0" w:color="auto"/>
            </w:tcBorders>
          </w:tcPr>
          <w:p w14:paraId="52C2DCA7"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1897CDDC" w14:textId="77777777" w:rsidR="00BF0C8E" w:rsidRPr="00786E23" w:rsidRDefault="00BF0C8E" w:rsidP="009429E4">
            <w:pPr>
              <w:pStyle w:val="05Tabletext22"/>
            </w:pPr>
            <w:r>
              <w:t>0 studies</w:t>
            </w:r>
          </w:p>
        </w:tc>
        <w:tc>
          <w:tcPr>
            <w:tcW w:w="575" w:type="pct"/>
            <w:tcBorders>
              <w:top w:val="dotted" w:sz="4" w:space="0" w:color="auto"/>
              <w:bottom w:val="single" w:sz="4" w:space="0" w:color="auto"/>
            </w:tcBorders>
          </w:tcPr>
          <w:p w14:paraId="12C12693" w14:textId="77777777" w:rsidR="00BF0C8E" w:rsidRPr="00786E23" w:rsidRDefault="00BF0C8E" w:rsidP="009429E4">
            <w:pPr>
              <w:pStyle w:val="05Tabletext22"/>
            </w:pPr>
            <w:r>
              <w:t>-</w:t>
            </w:r>
          </w:p>
        </w:tc>
        <w:tc>
          <w:tcPr>
            <w:tcW w:w="1996" w:type="pct"/>
            <w:tcBorders>
              <w:top w:val="dotted" w:sz="4" w:space="0" w:color="auto"/>
              <w:bottom w:val="single" w:sz="4" w:space="0" w:color="auto"/>
            </w:tcBorders>
          </w:tcPr>
          <w:p w14:paraId="16F18AFB" w14:textId="77777777" w:rsidR="00BF0C8E" w:rsidRPr="00786E23" w:rsidRDefault="00BF0C8E" w:rsidP="009429E4">
            <w:pPr>
              <w:pStyle w:val="05Tabletext22"/>
            </w:pPr>
            <w:r>
              <w:t>-</w:t>
            </w:r>
          </w:p>
        </w:tc>
      </w:tr>
      <w:tr w:rsidR="00BF0C8E" w:rsidRPr="008532A5" w14:paraId="7434C0B5" w14:textId="77777777" w:rsidTr="009429E4">
        <w:trPr>
          <w:cantSplit/>
        </w:trPr>
        <w:tc>
          <w:tcPr>
            <w:tcW w:w="702" w:type="pct"/>
            <w:vMerge w:val="restart"/>
            <w:tcBorders>
              <w:top w:val="single" w:sz="4" w:space="0" w:color="auto"/>
            </w:tcBorders>
            <w:shd w:val="clear" w:color="auto" w:fill="auto"/>
          </w:tcPr>
          <w:p w14:paraId="4019B779" w14:textId="77777777" w:rsidR="00BF0C8E" w:rsidRPr="008532A5" w:rsidRDefault="00BF0C8E" w:rsidP="009429E4">
            <w:pPr>
              <w:pStyle w:val="05Tabletext22"/>
            </w:pPr>
            <w:r>
              <w:t>Pulmonary vein stenosis</w:t>
            </w:r>
          </w:p>
        </w:tc>
        <w:tc>
          <w:tcPr>
            <w:tcW w:w="720" w:type="pct"/>
            <w:tcBorders>
              <w:bottom w:val="dotted" w:sz="4" w:space="0" w:color="auto"/>
            </w:tcBorders>
          </w:tcPr>
          <w:p w14:paraId="35A075AC" w14:textId="77777777" w:rsidR="00BF0C8E" w:rsidRDefault="00BF0C8E" w:rsidP="009429E4">
            <w:pPr>
              <w:pStyle w:val="05Tabletext22"/>
            </w:pPr>
            <w:r>
              <w:t>Any AF</w:t>
            </w:r>
          </w:p>
        </w:tc>
        <w:tc>
          <w:tcPr>
            <w:tcW w:w="1007" w:type="pct"/>
            <w:tcBorders>
              <w:bottom w:val="dotted" w:sz="4" w:space="0" w:color="auto"/>
            </w:tcBorders>
          </w:tcPr>
          <w:p w14:paraId="67CF23B8" w14:textId="77777777" w:rsidR="00BF0C8E" w:rsidRDefault="00BF0C8E" w:rsidP="009429E4">
            <w:pPr>
              <w:pStyle w:val="05Tabletext22"/>
            </w:pPr>
            <w:r>
              <w:t>3 OBS (N=4295)</w:t>
            </w:r>
            <w:r>
              <w:br/>
            </w:r>
            <w:r w:rsidRPr="002F3BCE">
              <w:rPr>
                <w:i/>
              </w:rPr>
              <w:t>[AHRQ 2015]</w:t>
            </w:r>
          </w:p>
        </w:tc>
        <w:tc>
          <w:tcPr>
            <w:tcW w:w="575" w:type="pct"/>
            <w:tcBorders>
              <w:bottom w:val="dotted" w:sz="4" w:space="0" w:color="auto"/>
            </w:tcBorders>
            <w:shd w:val="clear" w:color="auto" w:fill="FFD966"/>
          </w:tcPr>
          <w:p w14:paraId="109A3AB0" w14:textId="77777777" w:rsidR="00BF0C8E" w:rsidRDefault="00BF0C8E" w:rsidP="009429E4">
            <w:pPr>
              <w:pStyle w:val="05Tabletext22"/>
            </w:pPr>
            <w:r>
              <w:t>Low</w:t>
            </w:r>
          </w:p>
        </w:tc>
        <w:tc>
          <w:tcPr>
            <w:tcW w:w="1996" w:type="pct"/>
            <w:tcBorders>
              <w:bottom w:val="dotted" w:sz="4" w:space="0" w:color="auto"/>
            </w:tcBorders>
          </w:tcPr>
          <w:p w14:paraId="07CA3A8C" w14:textId="77777777" w:rsidR="00BF0C8E" w:rsidRDefault="00BF0C8E" w:rsidP="009429E4">
            <w:pPr>
              <w:pStyle w:val="05Tabletext22"/>
            </w:pPr>
            <w:r w:rsidRPr="005B7CEF">
              <w:rPr>
                <w:b/>
              </w:rPr>
              <w:t>No difference</w:t>
            </w:r>
            <w:r w:rsidRPr="005B7CEF">
              <w:rPr>
                <w:b/>
              </w:rPr>
              <w:br/>
            </w:r>
            <w:r>
              <w:rPr>
                <w:lang w:val="en-AU"/>
              </w:rPr>
              <w:t>0% for CBA vs. 0% for RFA.</w:t>
            </w:r>
          </w:p>
        </w:tc>
      </w:tr>
      <w:tr w:rsidR="00BF0C8E" w:rsidRPr="008532A5" w14:paraId="43F928A8" w14:textId="77777777" w:rsidTr="009429E4">
        <w:trPr>
          <w:cantSplit/>
        </w:trPr>
        <w:tc>
          <w:tcPr>
            <w:tcW w:w="702" w:type="pct"/>
            <w:vMerge/>
            <w:tcBorders>
              <w:bottom w:val="nil"/>
            </w:tcBorders>
            <w:shd w:val="clear" w:color="auto" w:fill="auto"/>
          </w:tcPr>
          <w:p w14:paraId="26D1D445" w14:textId="77777777" w:rsidR="00BF0C8E" w:rsidRPr="008532A5" w:rsidRDefault="00BF0C8E" w:rsidP="009429E4">
            <w:pPr>
              <w:pStyle w:val="05Tabletext22"/>
            </w:pPr>
          </w:p>
        </w:tc>
        <w:tc>
          <w:tcPr>
            <w:tcW w:w="720" w:type="pct"/>
            <w:tcBorders>
              <w:top w:val="dotted" w:sz="4" w:space="0" w:color="auto"/>
              <w:bottom w:val="dotted" w:sz="4" w:space="0" w:color="auto"/>
            </w:tcBorders>
          </w:tcPr>
          <w:p w14:paraId="5AC91FED"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70DA9E29" w14:textId="77777777" w:rsidR="00BF0C8E" w:rsidRDefault="00BF0C8E" w:rsidP="009429E4">
            <w:pPr>
              <w:pStyle w:val="05Tabletext22"/>
            </w:pPr>
            <w:r>
              <w:t>2 OBS (N=4171)</w:t>
            </w:r>
            <w:r>
              <w:br/>
            </w:r>
            <w:r w:rsidRPr="002F3BCE">
              <w:rPr>
                <w:i/>
              </w:rPr>
              <w:t>[AHRQ 2015]</w:t>
            </w:r>
          </w:p>
        </w:tc>
        <w:tc>
          <w:tcPr>
            <w:tcW w:w="575" w:type="pct"/>
            <w:tcBorders>
              <w:top w:val="dotted" w:sz="4" w:space="0" w:color="auto"/>
              <w:bottom w:val="dotted" w:sz="4" w:space="0" w:color="auto"/>
            </w:tcBorders>
            <w:shd w:val="clear" w:color="auto" w:fill="FFD966"/>
          </w:tcPr>
          <w:p w14:paraId="0DF28DA6" w14:textId="77777777" w:rsidR="00BF0C8E" w:rsidRDefault="00BF0C8E" w:rsidP="009429E4">
            <w:pPr>
              <w:pStyle w:val="05Tabletext22"/>
            </w:pPr>
            <w:r>
              <w:t>Low</w:t>
            </w:r>
          </w:p>
        </w:tc>
        <w:tc>
          <w:tcPr>
            <w:tcW w:w="1996" w:type="pct"/>
            <w:tcBorders>
              <w:top w:val="dotted" w:sz="4" w:space="0" w:color="auto"/>
              <w:bottom w:val="dotted" w:sz="4" w:space="0" w:color="auto"/>
            </w:tcBorders>
          </w:tcPr>
          <w:p w14:paraId="2D30CB6F" w14:textId="77777777" w:rsidR="00BF0C8E" w:rsidRDefault="00BF0C8E" w:rsidP="009429E4">
            <w:pPr>
              <w:pStyle w:val="05Tabletext22"/>
            </w:pPr>
            <w:r w:rsidRPr="00B76598">
              <w:rPr>
                <w:b/>
              </w:rPr>
              <w:t>No difference</w:t>
            </w:r>
            <w:r w:rsidRPr="00B76598">
              <w:rPr>
                <w:b/>
              </w:rPr>
              <w:br/>
            </w:r>
            <w:r>
              <w:rPr>
                <w:lang w:val="en-AU"/>
              </w:rPr>
              <w:t>0% for CBA vs. 0% for RFA.</w:t>
            </w:r>
          </w:p>
        </w:tc>
      </w:tr>
      <w:tr w:rsidR="00BF0C8E" w:rsidRPr="008532A5" w14:paraId="43088932" w14:textId="77777777" w:rsidTr="009429E4">
        <w:trPr>
          <w:cantSplit/>
        </w:trPr>
        <w:tc>
          <w:tcPr>
            <w:tcW w:w="702" w:type="pct"/>
            <w:tcBorders>
              <w:top w:val="nil"/>
              <w:bottom w:val="single" w:sz="4" w:space="0" w:color="auto"/>
            </w:tcBorders>
            <w:shd w:val="clear" w:color="auto" w:fill="auto"/>
          </w:tcPr>
          <w:p w14:paraId="48998BDF" w14:textId="77777777" w:rsidR="00BF0C8E" w:rsidRPr="008532A5" w:rsidRDefault="00BF0C8E" w:rsidP="009429E4">
            <w:pPr>
              <w:pStyle w:val="05Tabletext22"/>
            </w:pPr>
          </w:p>
        </w:tc>
        <w:tc>
          <w:tcPr>
            <w:tcW w:w="720" w:type="pct"/>
            <w:tcBorders>
              <w:top w:val="dotted" w:sz="4" w:space="0" w:color="auto"/>
              <w:bottom w:val="single" w:sz="4" w:space="0" w:color="auto"/>
            </w:tcBorders>
          </w:tcPr>
          <w:p w14:paraId="4597D7DB" w14:textId="77777777" w:rsidR="00BF0C8E" w:rsidRDefault="00BF0C8E" w:rsidP="009429E4">
            <w:pPr>
              <w:pStyle w:val="05Tabletext22"/>
            </w:pPr>
            <w:r>
              <w:t>Persistent AF</w:t>
            </w:r>
          </w:p>
        </w:tc>
        <w:tc>
          <w:tcPr>
            <w:tcW w:w="1007" w:type="pct"/>
            <w:tcBorders>
              <w:top w:val="dotted" w:sz="4" w:space="0" w:color="auto"/>
              <w:bottom w:val="single" w:sz="4" w:space="0" w:color="auto"/>
            </w:tcBorders>
          </w:tcPr>
          <w:p w14:paraId="6D40D156" w14:textId="77777777" w:rsidR="00BF0C8E" w:rsidRPr="00786E23" w:rsidRDefault="00BF0C8E" w:rsidP="009429E4">
            <w:pPr>
              <w:pStyle w:val="05Tabletext22"/>
            </w:pPr>
            <w:r>
              <w:t>0 studies</w:t>
            </w:r>
          </w:p>
        </w:tc>
        <w:tc>
          <w:tcPr>
            <w:tcW w:w="575" w:type="pct"/>
            <w:tcBorders>
              <w:top w:val="dotted" w:sz="4" w:space="0" w:color="auto"/>
              <w:bottom w:val="single" w:sz="4" w:space="0" w:color="auto"/>
            </w:tcBorders>
          </w:tcPr>
          <w:p w14:paraId="6AABB5D8" w14:textId="77777777" w:rsidR="00BF0C8E" w:rsidRPr="00786E23" w:rsidRDefault="00BF0C8E" w:rsidP="009429E4">
            <w:pPr>
              <w:pStyle w:val="05Tabletext22"/>
            </w:pPr>
            <w:r>
              <w:t>-</w:t>
            </w:r>
          </w:p>
        </w:tc>
        <w:tc>
          <w:tcPr>
            <w:tcW w:w="1996" w:type="pct"/>
            <w:tcBorders>
              <w:top w:val="dotted" w:sz="4" w:space="0" w:color="auto"/>
              <w:bottom w:val="single" w:sz="4" w:space="0" w:color="auto"/>
            </w:tcBorders>
          </w:tcPr>
          <w:p w14:paraId="586C04FF" w14:textId="77777777" w:rsidR="00BF0C8E" w:rsidRPr="00786E23" w:rsidRDefault="00BF0C8E" w:rsidP="009429E4">
            <w:pPr>
              <w:pStyle w:val="05Tabletext22"/>
            </w:pPr>
            <w:r>
              <w:t>-</w:t>
            </w:r>
          </w:p>
        </w:tc>
      </w:tr>
      <w:tr w:rsidR="00BF0C8E" w:rsidRPr="008532A5" w14:paraId="78C861E3" w14:textId="77777777" w:rsidTr="009429E4">
        <w:trPr>
          <w:cantSplit/>
        </w:trPr>
        <w:tc>
          <w:tcPr>
            <w:tcW w:w="702" w:type="pct"/>
            <w:vMerge w:val="restart"/>
            <w:tcBorders>
              <w:top w:val="single" w:sz="4" w:space="0" w:color="auto"/>
            </w:tcBorders>
            <w:shd w:val="clear" w:color="auto" w:fill="auto"/>
          </w:tcPr>
          <w:p w14:paraId="398425D8" w14:textId="77777777" w:rsidR="00BF0C8E" w:rsidRPr="008532A5" w:rsidRDefault="00BF0C8E" w:rsidP="009429E4">
            <w:pPr>
              <w:pStyle w:val="05Tabletext22"/>
            </w:pPr>
            <w:r>
              <w:t>Major vascular complications</w:t>
            </w:r>
          </w:p>
        </w:tc>
        <w:tc>
          <w:tcPr>
            <w:tcW w:w="720" w:type="pct"/>
            <w:tcBorders>
              <w:bottom w:val="dotted" w:sz="4" w:space="0" w:color="auto"/>
            </w:tcBorders>
          </w:tcPr>
          <w:p w14:paraId="1DACB1C7" w14:textId="77777777" w:rsidR="00BF0C8E" w:rsidRDefault="00BF0C8E" w:rsidP="009429E4">
            <w:pPr>
              <w:pStyle w:val="05Tabletext22"/>
            </w:pPr>
            <w:r>
              <w:t>Any AF</w:t>
            </w:r>
          </w:p>
        </w:tc>
        <w:tc>
          <w:tcPr>
            <w:tcW w:w="1007" w:type="pct"/>
            <w:tcBorders>
              <w:bottom w:val="dotted" w:sz="4" w:space="0" w:color="auto"/>
            </w:tcBorders>
          </w:tcPr>
          <w:p w14:paraId="052CDEC3" w14:textId="77777777" w:rsidR="00BF0C8E" w:rsidRDefault="00BF0C8E" w:rsidP="009429E4">
            <w:pPr>
              <w:pStyle w:val="05Tabletext22"/>
            </w:pPr>
            <w:r>
              <w:t>7 studies (NR)</w:t>
            </w:r>
            <w:r>
              <w:br/>
            </w:r>
            <w:r w:rsidRPr="002F3BCE">
              <w:rPr>
                <w:i/>
              </w:rPr>
              <w:t>[Cardoso 2016]</w:t>
            </w:r>
          </w:p>
        </w:tc>
        <w:tc>
          <w:tcPr>
            <w:tcW w:w="575" w:type="pct"/>
            <w:tcBorders>
              <w:bottom w:val="dotted" w:sz="4" w:space="0" w:color="auto"/>
            </w:tcBorders>
            <w:shd w:val="clear" w:color="auto" w:fill="FFD966"/>
          </w:tcPr>
          <w:p w14:paraId="256A8C8C" w14:textId="77777777" w:rsidR="00BF0C8E" w:rsidRDefault="00BF0C8E" w:rsidP="009429E4">
            <w:pPr>
              <w:pStyle w:val="05Tabletext22"/>
            </w:pPr>
            <w:r>
              <w:t>Low</w:t>
            </w:r>
          </w:p>
        </w:tc>
        <w:tc>
          <w:tcPr>
            <w:tcW w:w="1996" w:type="pct"/>
            <w:tcBorders>
              <w:bottom w:val="dotted" w:sz="4" w:space="0" w:color="auto"/>
            </w:tcBorders>
          </w:tcPr>
          <w:p w14:paraId="039EA90F" w14:textId="77777777" w:rsidR="00BF0C8E" w:rsidRDefault="00BF0C8E" w:rsidP="009429E4">
            <w:pPr>
              <w:pStyle w:val="05Tabletext22"/>
            </w:pPr>
            <w:r w:rsidRPr="005B7CEF">
              <w:rPr>
                <w:b/>
              </w:rPr>
              <w:t>No difference</w:t>
            </w:r>
            <w:r w:rsidRPr="005B7CEF">
              <w:rPr>
                <w:b/>
              </w:rPr>
              <w:br/>
            </w:r>
            <w:r>
              <w:rPr>
                <w:lang w:val="en-AU"/>
              </w:rPr>
              <w:t>1.1% for CBA vs. 1.3% for RFA; P=0.52.</w:t>
            </w:r>
          </w:p>
        </w:tc>
      </w:tr>
      <w:tr w:rsidR="00BF0C8E" w:rsidRPr="008532A5" w14:paraId="415DF14E" w14:textId="77777777" w:rsidTr="009429E4">
        <w:trPr>
          <w:cantSplit/>
        </w:trPr>
        <w:tc>
          <w:tcPr>
            <w:tcW w:w="702" w:type="pct"/>
            <w:vMerge/>
            <w:tcBorders>
              <w:bottom w:val="nil"/>
            </w:tcBorders>
            <w:shd w:val="clear" w:color="auto" w:fill="auto"/>
          </w:tcPr>
          <w:p w14:paraId="3A603F92" w14:textId="77777777" w:rsidR="00BF0C8E" w:rsidRPr="008532A5" w:rsidRDefault="00BF0C8E" w:rsidP="009429E4">
            <w:pPr>
              <w:pStyle w:val="05Tabletext22"/>
            </w:pPr>
          </w:p>
        </w:tc>
        <w:tc>
          <w:tcPr>
            <w:tcW w:w="720" w:type="pct"/>
            <w:tcBorders>
              <w:top w:val="dotted" w:sz="4" w:space="0" w:color="auto"/>
              <w:bottom w:val="dotted" w:sz="4" w:space="0" w:color="auto"/>
            </w:tcBorders>
          </w:tcPr>
          <w:p w14:paraId="1973927E" w14:textId="77777777" w:rsidR="00BF0C8E" w:rsidRDefault="00BF0C8E" w:rsidP="009429E4">
            <w:pPr>
              <w:pStyle w:val="05Tabletext22"/>
            </w:pPr>
            <w:r>
              <w:t>Paroxysmal AF</w:t>
            </w:r>
          </w:p>
        </w:tc>
        <w:tc>
          <w:tcPr>
            <w:tcW w:w="1007" w:type="pct"/>
            <w:tcBorders>
              <w:top w:val="dotted" w:sz="4" w:space="0" w:color="auto"/>
              <w:bottom w:val="dotted" w:sz="4" w:space="0" w:color="auto"/>
            </w:tcBorders>
          </w:tcPr>
          <w:p w14:paraId="01C7A612" w14:textId="77777777" w:rsidR="00BF0C8E" w:rsidRPr="00786E23" w:rsidRDefault="00BF0C8E" w:rsidP="009429E4">
            <w:pPr>
              <w:pStyle w:val="05Tabletext22"/>
            </w:pPr>
            <w:r>
              <w:t>0 studies</w:t>
            </w:r>
          </w:p>
        </w:tc>
        <w:tc>
          <w:tcPr>
            <w:tcW w:w="575" w:type="pct"/>
            <w:tcBorders>
              <w:top w:val="dotted" w:sz="4" w:space="0" w:color="auto"/>
              <w:bottom w:val="dotted" w:sz="4" w:space="0" w:color="auto"/>
            </w:tcBorders>
          </w:tcPr>
          <w:p w14:paraId="633AC027" w14:textId="77777777" w:rsidR="00BF0C8E" w:rsidRPr="00786E23" w:rsidRDefault="00BF0C8E" w:rsidP="009429E4">
            <w:pPr>
              <w:pStyle w:val="05Tabletext22"/>
            </w:pPr>
            <w:r>
              <w:t>-</w:t>
            </w:r>
          </w:p>
        </w:tc>
        <w:tc>
          <w:tcPr>
            <w:tcW w:w="1996" w:type="pct"/>
            <w:tcBorders>
              <w:top w:val="dotted" w:sz="4" w:space="0" w:color="auto"/>
              <w:bottom w:val="dotted" w:sz="4" w:space="0" w:color="auto"/>
            </w:tcBorders>
          </w:tcPr>
          <w:p w14:paraId="5FEA7A2D" w14:textId="77777777" w:rsidR="00BF0C8E" w:rsidRPr="00786E23" w:rsidRDefault="00BF0C8E" w:rsidP="009429E4">
            <w:pPr>
              <w:pStyle w:val="05Tabletext22"/>
            </w:pPr>
            <w:r>
              <w:t>-</w:t>
            </w:r>
          </w:p>
        </w:tc>
      </w:tr>
      <w:tr w:rsidR="00BF0C8E" w:rsidRPr="008532A5" w14:paraId="73EEF558" w14:textId="77777777" w:rsidTr="009429E4">
        <w:trPr>
          <w:cantSplit/>
        </w:trPr>
        <w:tc>
          <w:tcPr>
            <w:tcW w:w="702" w:type="pct"/>
            <w:tcBorders>
              <w:top w:val="nil"/>
            </w:tcBorders>
            <w:shd w:val="clear" w:color="auto" w:fill="auto"/>
          </w:tcPr>
          <w:p w14:paraId="4BFF18D3" w14:textId="77777777" w:rsidR="00BF0C8E" w:rsidRPr="008532A5" w:rsidRDefault="00BF0C8E" w:rsidP="009429E4">
            <w:pPr>
              <w:pStyle w:val="05Tabletext22"/>
            </w:pPr>
          </w:p>
        </w:tc>
        <w:tc>
          <w:tcPr>
            <w:tcW w:w="720" w:type="pct"/>
            <w:tcBorders>
              <w:top w:val="dotted" w:sz="4" w:space="0" w:color="auto"/>
            </w:tcBorders>
          </w:tcPr>
          <w:p w14:paraId="1468282D" w14:textId="77777777" w:rsidR="00BF0C8E" w:rsidRDefault="00BF0C8E" w:rsidP="009429E4">
            <w:pPr>
              <w:pStyle w:val="05Tabletext22"/>
            </w:pPr>
            <w:r>
              <w:t>Persistent AF</w:t>
            </w:r>
          </w:p>
        </w:tc>
        <w:tc>
          <w:tcPr>
            <w:tcW w:w="1007" w:type="pct"/>
            <w:tcBorders>
              <w:top w:val="dotted" w:sz="4" w:space="0" w:color="auto"/>
            </w:tcBorders>
          </w:tcPr>
          <w:p w14:paraId="7ADA11CC" w14:textId="77777777" w:rsidR="00BF0C8E" w:rsidRPr="00786E23" w:rsidRDefault="00BF0C8E" w:rsidP="009429E4">
            <w:pPr>
              <w:pStyle w:val="05Tabletext22"/>
            </w:pPr>
            <w:r>
              <w:t>0 studies</w:t>
            </w:r>
          </w:p>
        </w:tc>
        <w:tc>
          <w:tcPr>
            <w:tcW w:w="575" w:type="pct"/>
            <w:tcBorders>
              <w:top w:val="dotted" w:sz="4" w:space="0" w:color="auto"/>
            </w:tcBorders>
          </w:tcPr>
          <w:p w14:paraId="1AE9BBF1" w14:textId="77777777" w:rsidR="00BF0C8E" w:rsidRPr="00786E23" w:rsidRDefault="00BF0C8E" w:rsidP="009429E4">
            <w:pPr>
              <w:pStyle w:val="05Tabletext22"/>
            </w:pPr>
            <w:r>
              <w:t>-</w:t>
            </w:r>
          </w:p>
        </w:tc>
        <w:tc>
          <w:tcPr>
            <w:tcW w:w="1996" w:type="pct"/>
            <w:tcBorders>
              <w:top w:val="dotted" w:sz="4" w:space="0" w:color="auto"/>
            </w:tcBorders>
          </w:tcPr>
          <w:p w14:paraId="13DBD7B5" w14:textId="77777777" w:rsidR="00BF0C8E" w:rsidRPr="00786E23" w:rsidRDefault="00BF0C8E" w:rsidP="009429E4">
            <w:pPr>
              <w:pStyle w:val="05Tabletext22"/>
            </w:pPr>
            <w:r>
              <w:t>-</w:t>
            </w:r>
          </w:p>
        </w:tc>
      </w:tr>
    </w:tbl>
    <w:p w14:paraId="314732D2" w14:textId="77777777" w:rsidR="00BF0C8E" w:rsidRDefault="00BF0C8E" w:rsidP="00BF0C8E">
      <w:pPr>
        <w:pStyle w:val="10Tablefootnotes"/>
      </w:pPr>
      <w:r w:rsidRPr="00524AFB">
        <w:t xml:space="preserve">Abbreviations: AF, atrial </w:t>
      </w:r>
      <w:r w:rsidRPr="008E4ACA">
        <w:t xml:space="preserve">fibrillation; </w:t>
      </w:r>
      <w:r>
        <w:t xml:space="preserve">CBA, cryoballoon ablation; FU, follow up; NR, not reported; OBS, observational study; </w:t>
      </w:r>
      <w:r w:rsidRPr="008E4ACA">
        <w:t xml:space="preserve">RCT, randomised controlled trial; </w:t>
      </w:r>
      <w:r>
        <w:t xml:space="preserve">RF, radiofrequency; </w:t>
      </w:r>
      <w:r w:rsidRPr="008E4ACA">
        <w:t>RF</w:t>
      </w:r>
      <w:r>
        <w:t>A</w:t>
      </w:r>
      <w:r w:rsidRPr="008E4ACA">
        <w:t>, radiofrequency</w:t>
      </w:r>
      <w:r>
        <w:t xml:space="preserve"> ablation.</w:t>
      </w:r>
    </w:p>
    <w:p w14:paraId="137573E4" w14:textId="77777777" w:rsidR="00BF0C8E" w:rsidRDefault="00BF0C8E" w:rsidP="00BF0C8E">
      <w:pPr>
        <w:pStyle w:val="10Tablefootnotes"/>
      </w:pPr>
      <w:r w:rsidRPr="00C32DA1">
        <w:rPr>
          <w:b/>
        </w:rPr>
        <w:t>a</w:t>
      </w:r>
      <w:r>
        <w:t xml:space="preserve"> Refers to the published review that provides the best evidence.</w:t>
      </w:r>
    </w:p>
    <w:p w14:paraId="1BEB9DE3" w14:textId="77777777" w:rsidR="00BF0C8E" w:rsidRPr="00C32DA1" w:rsidRDefault="00BF0C8E" w:rsidP="00BF0C8E">
      <w:pPr>
        <w:pStyle w:val="11Tablefootnoteslast-nostick"/>
      </w:pPr>
      <w:r w:rsidRPr="00C32DA1">
        <w:rPr>
          <w:b/>
        </w:rPr>
        <w:t>b</w:t>
      </w:r>
      <w:r>
        <w:t xml:space="preserve"> Strength of evidence has been judged informally by the authors of the Rapid Review.</w:t>
      </w:r>
    </w:p>
    <w:p w14:paraId="2A0B636B" w14:textId="77777777" w:rsidR="004C548B" w:rsidRPr="004C548B" w:rsidRDefault="004C548B" w:rsidP="003F0732">
      <w:pPr>
        <w:spacing w:after="120"/>
        <w:rPr>
          <w:b/>
        </w:rPr>
      </w:pPr>
      <w:r w:rsidRPr="004C548B">
        <w:rPr>
          <w:b/>
        </w:rPr>
        <w:t>Recent findings from the CABANA trial</w:t>
      </w:r>
    </w:p>
    <w:p w14:paraId="11F1D003" w14:textId="69BB24D2" w:rsidR="00992AE5" w:rsidRDefault="00992AE5" w:rsidP="00992AE5">
      <w:r>
        <w:t>The findings from the high-level clinical evidence</w:t>
      </w:r>
      <w:r w:rsidR="00D8647A">
        <w:t xml:space="preserve"> review are </w:t>
      </w:r>
      <w:r>
        <w:t>consistent with findings from the landmark Catheter ABlation vs ANtiarrhythmic Drug Therapy in Atrial Fibrillation (CABANA) trial, which is yet to be formally published but has recently been reported in a conference presentation. This large RCT (</w:t>
      </w:r>
      <w:r w:rsidRPr="0032416B">
        <w:rPr>
          <w:i/>
        </w:rPr>
        <w:t>N</w:t>
      </w:r>
      <w:r>
        <w:t xml:space="preserve">=2204) found that cardiac ablation was associated with a significant reduction in recurrence of AF compared with </w:t>
      </w:r>
      <w:r w:rsidR="0032416B">
        <w:t>‘</w:t>
      </w:r>
      <w:r>
        <w:t>current state-of-the-art pharmacologic therapy</w:t>
      </w:r>
      <w:r w:rsidR="0032416B">
        <w:t>’</w:t>
      </w:r>
      <w:r>
        <w:t xml:space="preserve"> at a median follow</w:t>
      </w:r>
      <w:r w:rsidR="0032416B">
        <w:t>-</w:t>
      </w:r>
      <w:r>
        <w:t xml:space="preserve">up of approximately </w:t>
      </w:r>
      <w:r w:rsidR="0032416B">
        <w:t>4</w:t>
      </w:r>
      <w:r>
        <w:t xml:space="preserve"> years. However, there was no statistically significant difference between arms in the primary endpoint of the trial (the composite of all-cause mortality, disabling stroke, serious bleeding, or cardiac arrest) or the individual components of the primary endpoint using an intention-to-treat (ITT) approach.</w:t>
      </w:r>
    </w:p>
    <w:p w14:paraId="04C5AD8A" w14:textId="756DA5FE" w:rsidR="00992AE5" w:rsidRDefault="00992AE5" w:rsidP="00992AE5">
      <w:r>
        <w:t xml:space="preserve">Despite CABANA being the largest randomised trial of cardiac ablation, and the most comprehensive and inclusive study </w:t>
      </w:r>
      <w:r w:rsidR="00CD0D55">
        <w:t>evaluating</w:t>
      </w:r>
      <w:r>
        <w:t xml:space="preserve"> outcomes such as mortality, stroke and cardiac hospitalisation, interpretation of the findings from this trial are confounded by incomplete blinding and high rates of crossover between arms. Nevertheless, the results from this trial, when published in full, </w:t>
      </w:r>
      <w:r w:rsidR="00C67D61">
        <w:t xml:space="preserve">may </w:t>
      </w:r>
      <w:r>
        <w:t>provide valuable additional evidence to inform the clinical effectiveness and cost-effectiveness of cardiac ablation compared with medical therapy.</w:t>
      </w:r>
    </w:p>
    <w:p w14:paraId="6E43E00E" w14:textId="77777777" w:rsidR="003F0732" w:rsidRDefault="003F0732">
      <w:pPr>
        <w:spacing w:after="0"/>
        <w:rPr>
          <w:b/>
        </w:rPr>
      </w:pPr>
      <w:r>
        <w:rPr>
          <w:b/>
        </w:rPr>
        <w:br w:type="page"/>
      </w:r>
    </w:p>
    <w:p w14:paraId="2E9F49EF" w14:textId="3DBBF21C" w:rsidR="004C548B" w:rsidRPr="004C548B" w:rsidRDefault="004C548B" w:rsidP="003F0732">
      <w:pPr>
        <w:spacing w:after="120"/>
        <w:rPr>
          <w:b/>
        </w:rPr>
      </w:pPr>
      <w:r w:rsidRPr="004C548B">
        <w:rPr>
          <w:b/>
        </w:rPr>
        <w:lastRenderedPageBreak/>
        <w:t>Recent Australian guidance on management of AF</w:t>
      </w:r>
    </w:p>
    <w:p w14:paraId="2FE419E6" w14:textId="77777777" w:rsidR="004C548B" w:rsidRDefault="00992AE5" w:rsidP="0032416B">
      <w:pPr>
        <w:pStyle w:val="NormalBeforeBullet"/>
      </w:pPr>
      <w:r>
        <w:t xml:space="preserve">MSAC noted that the </w:t>
      </w:r>
      <w:r w:rsidR="004C548B">
        <w:t xml:space="preserve">National Heart Foundation of Australia and the Cardiac Society of Australia and New Zealand have recently published </w:t>
      </w:r>
      <w:r w:rsidR="004C548B" w:rsidRPr="00C40DEB">
        <w:rPr>
          <w:i/>
        </w:rPr>
        <w:t xml:space="preserve">Australian </w:t>
      </w:r>
      <w:r w:rsidR="0032416B" w:rsidRPr="00C40DEB">
        <w:rPr>
          <w:i/>
        </w:rPr>
        <w:t>clinical guidelines for the diagnosis and management of atrial fibrillation</w:t>
      </w:r>
      <w:r w:rsidR="004C548B" w:rsidRPr="00C40DEB">
        <w:rPr>
          <w:i/>
        </w:rPr>
        <w:t xml:space="preserve"> </w:t>
      </w:r>
      <w:r w:rsidR="004C548B" w:rsidRPr="0032416B">
        <w:t xml:space="preserve">(2018). </w:t>
      </w:r>
      <w:r w:rsidR="004C548B">
        <w:t>The recommendations in relation to percutaneous catheter AF ablation are as follows:</w:t>
      </w:r>
    </w:p>
    <w:p w14:paraId="5CC253FF" w14:textId="77777777" w:rsidR="004C548B" w:rsidRDefault="004C548B" w:rsidP="0032416B">
      <w:pPr>
        <w:pStyle w:val="Bullet"/>
      </w:pPr>
      <w:r>
        <w:t>Catheter ablation should be considered for symptomatic paroxysmal or persistent AF refractory or intolerant to at least one Class I or III anti</w:t>
      </w:r>
      <w:r w:rsidR="0032416B">
        <w:t>-</w:t>
      </w:r>
      <w:r>
        <w:t>arrhythmic medication [GRADE quality of evidence: High; GRADE strength of recommendation: Strong]</w:t>
      </w:r>
      <w:r w:rsidR="0032416B">
        <w:t>.</w:t>
      </w:r>
    </w:p>
    <w:p w14:paraId="261D521D" w14:textId="77777777" w:rsidR="004C548B" w:rsidRDefault="004C548B" w:rsidP="0032416B">
      <w:pPr>
        <w:pStyle w:val="Bullet"/>
      </w:pPr>
      <w:r>
        <w:t>Catheter ablation can be considered for symptomatic paroxysmal or persistent AF before initiation of anti</w:t>
      </w:r>
      <w:r w:rsidR="0032416B">
        <w:t>-</w:t>
      </w:r>
      <w:r>
        <w:t>arrhythmic therapy [GRADE quality of evidence: Moderate; GRADE strength of recommendation: Strong]</w:t>
      </w:r>
      <w:r w:rsidR="0032416B">
        <w:t>.</w:t>
      </w:r>
    </w:p>
    <w:p w14:paraId="4DE3F70E" w14:textId="77777777" w:rsidR="004C548B" w:rsidRDefault="004C548B" w:rsidP="0032416B">
      <w:pPr>
        <w:pStyle w:val="BulletLast"/>
      </w:pPr>
      <w:r>
        <w:t>Catheter ablation can be considered for symptomatic paroxysmal or persistent AF in selected patients with heart failure with reduced ejection fraction [GRADE quality of evidence: Moderate; GRADE strength of recommendation: Strong]</w:t>
      </w:r>
      <w:r w:rsidR="0032416B">
        <w:t>.</w:t>
      </w:r>
    </w:p>
    <w:p w14:paraId="3D89A9BB" w14:textId="77777777" w:rsidR="004C548B" w:rsidRDefault="004C548B" w:rsidP="004C548B">
      <w:r>
        <w:t>The guideline</w:t>
      </w:r>
      <w:r w:rsidR="0032416B">
        <w:t>s</w:t>
      </w:r>
      <w:r>
        <w:t xml:space="preserve"> advise that AF ablation is an effective procedure for appropriately selected patients with symptomatic AF. The procedure is considered applicable to patients who have failed or are intolerant to anti</w:t>
      </w:r>
      <w:r w:rsidR="0032416B">
        <w:t>-</w:t>
      </w:r>
      <w:r>
        <w:t>arrhythmic drugs, or for some patients who decline medical therapy. It also note</w:t>
      </w:r>
      <w:r w:rsidR="0079244D">
        <w:t>s</w:t>
      </w:r>
      <w:r>
        <w:t xml:space="preserve"> that outcomes are better when experienced operators are performing the procedure in high-volume centres.</w:t>
      </w:r>
    </w:p>
    <w:p w14:paraId="65413603" w14:textId="77777777" w:rsidR="004C548B" w:rsidRDefault="004C548B" w:rsidP="004C548B">
      <w:r>
        <w:t>The Australian guideline</w:t>
      </w:r>
      <w:r w:rsidR="0032416B">
        <w:t>s</w:t>
      </w:r>
      <w:r>
        <w:t xml:space="preserve"> acknowledge that patients frequently report a ‘dramatic improvement’ in quality of life with AF ablation, and that the procedure may have a mortality benefit in patients with heart failure. The CABANA trial is noted as an ongoing study awaiting publication.</w:t>
      </w:r>
    </w:p>
    <w:p w14:paraId="11C1EB15" w14:textId="77777777" w:rsidR="002F7371" w:rsidRPr="002669D4" w:rsidRDefault="002F7371" w:rsidP="002F7371">
      <w:pPr>
        <w:rPr>
          <w:b/>
        </w:rPr>
      </w:pPr>
      <w:r w:rsidRPr="0032416B">
        <w:rPr>
          <w:b/>
        </w:rPr>
        <w:t>Are the clinical outcomes different in different age groups?</w:t>
      </w:r>
    </w:p>
    <w:p w14:paraId="57643DDF" w14:textId="77777777" w:rsidR="002F7371" w:rsidRDefault="002F7371" w:rsidP="002F7371">
      <w:r>
        <w:t xml:space="preserve">No systematic reviews were identified that focus on the effect of age on clinical outcomes for cardiac ablation. The AHRQ 2015 </w:t>
      </w:r>
      <w:r w:rsidR="0032416B">
        <w:t>health technology assessment</w:t>
      </w:r>
      <w:r>
        <w:t xml:space="preserve"> concluded that there were no studies that provide evidence as to how age modifies the effects of the interventions. However, the authors noted two poor-quality observational studies that provide data specifically in populations over the age of 65 years. One found no statistical difference in mortality risk between cardiac ablation and medical therapy, whereas the other found a lower mortality risk in the ablation group.</w:t>
      </w:r>
    </w:p>
    <w:p w14:paraId="3BA68B86" w14:textId="77777777" w:rsidR="002F7371" w:rsidRDefault="002F7371" w:rsidP="002F7371">
      <w:r>
        <w:t>One systematic review (Barra 2018) performed a meta-regression to assess the individual impact of moderator variables on the effectiveness of cardiac ablation. The analysis showed that</w:t>
      </w:r>
      <w:r w:rsidR="0032416B">
        <w:t>,</w:t>
      </w:r>
      <w:r>
        <w:t xml:space="preserve"> for studies with a higher mean patient age, cardiac ablation had a more pronounced benefit in </w:t>
      </w:r>
      <w:r w:rsidR="0032416B">
        <w:t xml:space="preserve">reducing </w:t>
      </w:r>
      <w:r>
        <w:t>all-cause mortality and stroke. In contrast, all other systematic reviews that analysed potential sources of heterogeneity by meta-regression found that age was not a contributory confounder. Given that many of these reviews included studies with participants in a narrow age range, it is unlikely that a significant effect would be found.</w:t>
      </w:r>
    </w:p>
    <w:p w14:paraId="7F4362A7" w14:textId="2904E9BA" w:rsidR="000E105E" w:rsidRPr="000E105E" w:rsidRDefault="00E86DE2" w:rsidP="000E105E">
      <w:pPr>
        <w:rPr>
          <w:b/>
        </w:rPr>
      </w:pPr>
      <w:r>
        <w:rPr>
          <w:b/>
        </w:rPr>
        <w:t>Are</w:t>
      </w:r>
      <w:r w:rsidRPr="000E105E">
        <w:rPr>
          <w:b/>
        </w:rPr>
        <w:t xml:space="preserve"> </w:t>
      </w:r>
      <w:r w:rsidR="000E105E" w:rsidRPr="000E105E">
        <w:rPr>
          <w:b/>
        </w:rPr>
        <w:t>there sufficient data to establish that the devices are cost</w:t>
      </w:r>
      <w:r w:rsidR="0032416B">
        <w:rPr>
          <w:b/>
        </w:rPr>
        <w:t>-</w:t>
      </w:r>
      <w:r w:rsidR="000E105E" w:rsidRPr="000E105E">
        <w:rPr>
          <w:b/>
        </w:rPr>
        <w:t>effective at the prices currently being paid in Australia?</w:t>
      </w:r>
    </w:p>
    <w:p w14:paraId="572C8BBD" w14:textId="32AF47B0" w:rsidR="000E105E" w:rsidRDefault="000E105E" w:rsidP="002F7371">
      <w:r>
        <w:t>Based on the data included in the high-level review</w:t>
      </w:r>
      <w:r w:rsidR="0032416B">
        <w:t>,</w:t>
      </w:r>
      <w:r>
        <w:t xml:space="preserve"> it appears that </w:t>
      </w:r>
      <w:r w:rsidR="00D8647A">
        <w:t xml:space="preserve">cardiac ablation using </w:t>
      </w:r>
      <w:r>
        <w:t xml:space="preserve">either RF ablation catheters </w:t>
      </w:r>
      <w:r w:rsidR="00D8647A">
        <w:t>or</w:t>
      </w:r>
      <w:r>
        <w:t xml:space="preserve"> cryoablation catheters </w:t>
      </w:r>
      <w:r w:rsidR="00D8647A">
        <w:t>is</w:t>
      </w:r>
      <w:r>
        <w:t xml:space="preserve"> </w:t>
      </w:r>
      <w:r w:rsidR="00FE48C4">
        <w:t xml:space="preserve">not </w:t>
      </w:r>
      <w:r>
        <w:t xml:space="preserve">cost-effective at the </w:t>
      </w:r>
      <w:r w:rsidR="00D8647A">
        <w:t xml:space="preserve">device </w:t>
      </w:r>
      <w:r>
        <w:t xml:space="preserve">prices </w:t>
      </w:r>
      <w:r>
        <w:lastRenderedPageBreak/>
        <w:t xml:space="preserve">currently being paid in Australia (average prices of $2300 for mapping catheters, $6000 for RF ablation catheters, and $4065 for cryoablation catheters). The </w:t>
      </w:r>
      <w:r w:rsidR="0032416B">
        <w:t>incremental</w:t>
      </w:r>
      <w:r>
        <w:t xml:space="preserve"> cost-effectiveness </w:t>
      </w:r>
      <w:r w:rsidR="0032416B">
        <w:t xml:space="preserve">ratio (ICER) </w:t>
      </w:r>
      <w:r>
        <w:t>of the different types of ablation compared with medical therapy</w:t>
      </w:r>
      <w:r w:rsidR="002F7371">
        <w:t xml:space="preserve"> at 12 months</w:t>
      </w:r>
      <w:r>
        <w:t xml:space="preserve"> was found to be $110,321</w:t>
      </w:r>
      <w:r w:rsidR="0032416B">
        <w:t xml:space="preserve"> per </w:t>
      </w:r>
      <w:r>
        <w:t>QALY for RF ablation and $95,481</w:t>
      </w:r>
      <w:r w:rsidR="0032416B">
        <w:t xml:space="preserve"> per </w:t>
      </w:r>
      <w:r>
        <w:t xml:space="preserve">QALY for cryoablation. </w:t>
      </w:r>
      <w:r w:rsidR="002F7371">
        <w:t xml:space="preserve">The ICER over a longer duration was </w:t>
      </w:r>
      <w:r w:rsidR="00352A03">
        <w:t>not calculated.</w:t>
      </w:r>
      <w:r w:rsidR="002F7371" w:rsidRPr="00B97301">
        <w:t xml:space="preserve"> </w:t>
      </w:r>
    </w:p>
    <w:p w14:paraId="62F9C13A" w14:textId="77777777" w:rsidR="0035043E" w:rsidRDefault="002F7371" w:rsidP="000E105E">
      <w:r w:rsidRPr="0035043E">
        <w:t xml:space="preserve">Sensitivity </w:t>
      </w:r>
      <w:r w:rsidR="0035043E" w:rsidRPr="0035043E">
        <w:t xml:space="preserve">analyses </w:t>
      </w:r>
      <w:r>
        <w:t xml:space="preserve">showed that </w:t>
      </w:r>
      <w:r w:rsidRPr="0035043E">
        <w:t xml:space="preserve">the </w:t>
      </w:r>
      <w:r w:rsidR="0035043E" w:rsidRPr="0035043E">
        <w:t>model is relatively insensitive to all changes in variables (despite the use of a wide range of values for the assumptions), except for the cost of the catheters. When the costs of mapping and ablation catheters are assumed to be $500 each (i.e.</w:t>
      </w:r>
      <w:r w:rsidR="0032416B">
        <w:t> </w:t>
      </w:r>
      <w:r w:rsidR="0035043E" w:rsidRPr="0035043E">
        <w:t xml:space="preserve">the total cost of all catheters for each ablation procedure is $1000), the indicative </w:t>
      </w:r>
      <w:r w:rsidR="0032416B">
        <w:t>ICER</w:t>
      </w:r>
      <w:r w:rsidR="0035043E" w:rsidRPr="0035043E">
        <w:t xml:space="preserve"> for catheter ablation versus medical therapy is approximately $54,031</w:t>
      </w:r>
      <w:r w:rsidR="0032416B">
        <w:t xml:space="preserve"> per QALY</w:t>
      </w:r>
      <w:r w:rsidR="0035043E" w:rsidRPr="0035043E">
        <w:t>.</w:t>
      </w:r>
    </w:p>
    <w:p w14:paraId="2276B9AB" w14:textId="77777777" w:rsidR="00F30394" w:rsidRPr="00B36412" w:rsidRDefault="00F30394" w:rsidP="00F30394">
      <w:r w:rsidRPr="00F30394">
        <w:t xml:space="preserve">MSAC noted that the potential cost of ongoing oral anticoagulants and </w:t>
      </w:r>
      <w:r w:rsidR="0032416B">
        <w:t xml:space="preserve">anti-arrhythmic </w:t>
      </w:r>
      <w:r w:rsidRPr="00F30394">
        <w:t>therapy will affect the economic model because of the long timeframe that patients need to use these medical therapies. However, this cost is not a major driver of the ICER.</w:t>
      </w:r>
    </w:p>
    <w:p w14:paraId="69FC6FE6" w14:textId="77777777" w:rsidR="00896025" w:rsidRDefault="00896025" w:rsidP="000E105E">
      <w:r>
        <w:t>Although some published economic evaluations report that cardiac ablation is cost-effective, these evaluations appear to be driven by the inclusion of outcomes in heart failure patients (who are out of scope for the current consideration) or the assumption that cardiac ablation reduces the rate of subsequent stroke and/or mortality (claims that are not supported by the available clinical evidence).</w:t>
      </w:r>
    </w:p>
    <w:p w14:paraId="145DCB36" w14:textId="4D7C40CA" w:rsidR="000E105E" w:rsidRDefault="00896025" w:rsidP="00C40DEB">
      <w:r>
        <w:t xml:space="preserve">MSAC noted that a </w:t>
      </w:r>
      <w:r w:rsidR="000E105E">
        <w:t xml:space="preserve">number of simplifying assumptions </w:t>
      </w:r>
      <w:r w:rsidR="002F7371">
        <w:t>were</w:t>
      </w:r>
      <w:r w:rsidR="000E105E">
        <w:t xml:space="preserve"> required to develop the focused economic evaluation</w:t>
      </w:r>
      <w:r>
        <w:t xml:space="preserve"> and that</w:t>
      </w:r>
      <w:r w:rsidR="000E105E">
        <w:t xml:space="preserve"> a more comprehensive economic evaluation </w:t>
      </w:r>
      <w:r w:rsidR="00C40DEB" w:rsidRPr="00B54256">
        <w:t xml:space="preserve">with </w:t>
      </w:r>
      <w:r w:rsidR="00C40DEB">
        <w:t xml:space="preserve">a </w:t>
      </w:r>
      <w:r w:rsidR="00C40DEB" w:rsidRPr="00B54256">
        <w:t>longer time horizon</w:t>
      </w:r>
      <w:r w:rsidR="00C40DEB">
        <w:t xml:space="preserve"> and more specific inputs </w:t>
      </w:r>
      <w:r>
        <w:t>would</w:t>
      </w:r>
      <w:r w:rsidR="000E105E">
        <w:t xml:space="preserve"> generate more reliable estimates of cost-effectiveness. </w:t>
      </w:r>
      <w:r w:rsidR="00D8647A">
        <w:t>MSAC suggests that any further economic modelling should include</w:t>
      </w:r>
      <w:r w:rsidR="00CD6210">
        <w:t xml:space="preserve"> a </w:t>
      </w:r>
      <w:r w:rsidR="00D8647A">
        <w:t>l</w:t>
      </w:r>
      <w:r w:rsidR="00CD6210">
        <w:t>o</w:t>
      </w:r>
      <w:r w:rsidR="00D8647A">
        <w:t>nger timeframe for benefit over medical therapy of 10 years</w:t>
      </w:r>
      <w:r w:rsidR="00BF0C8E">
        <w:t>,</w:t>
      </w:r>
      <w:r w:rsidR="00D8647A">
        <w:t xml:space="preserve"> use a MBS</w:t>
      </w:r>
      <w:r w:rsidR="00BF0C8E">
        <w:t>-</w:t>
      </w:r>
      <w:r w:rsidR="00D8647A">
        <w:t>derived repeat procedure rate (about 20%)</w:t>
      </w:r>
      <w:r w:rsidR="00CD6210">
        <w:t xml:space="preserve"> and include more robust assumptions about the type and number of catheters used per procedure.</w:t>
      </w:r>
    </w:p>
    <w:p w14:paraId="6D49855F" w14:textId="77777777" w:rsidR="000E105E" w:rsidRPr="000E105E" w:rsidRDefault="000E105E" w:rsidP="000E105E">
      <w:pPr>
        <w:rPr>
          <w:b/>
        </w:rPr>
      </w:pPr>
      <w:r w:rsidRPr="000E105E">
        <w:rPr>
          <w:b/>
        </w:rPr>
        <w:t>What is the likely financial impact of listing the devices on the Prostheses List?</w:t>
      </w:r>
    </w:p>
    <w:p w14:paraId="388E748A" w14:textId="3FEA9C16" w:rsidR="000E105E" w:rsidRDefault="000E105E" w:rsidP="000E105E">
      <w:r>
        <w:t xml:space="preserve">MSAC noted that the total cost of cardiac catheters (mapping catheters, RF ablation catheters and cryoablation catheters) is currently $44 million to $50 million per year to </w:t>
      </w:r>
      <w:r w:rsidR="00B21059">
        <w:t xml:space="preserve">private health insurers </w:t>
      </w:r>
      <w:r>
        <w:t xml:space="preserve">(PHIs), and $24 to $27 million per year to the MBS. The current estimate of costs to PHIs is similar to an estimate from the Department of Health of total PHI outlays for cardiac ablation devices (roughly $43 million), based on data and market share assumptions from a medium size health insurer. If it is assumed that the listing of the devices on the PL generates a 10% increased uptake in the private </w:t>
      </w:r>
      <w:r w:rsidR="00D8647A">
        <w:t>sector use of these services</w:t>
      </w:r>
      <w:r>
        <w:t xml:space="preserve"> the </w:t>
      </w:r>
      <w:r w:rsidR="00D8647A">
        <w:t xml:space="preserve">net increase in </w:t>
      </w:r>
      <w:r>
        <w:t xml:space="preserve">cost to PHIs is estimated to be $4 million to $5 million per year, and the net </w:t>
      </w:r>
      <w:r w:rsidR="00D8647A">
        <w:t xml:space="preserve">increase in </w:t>
      </w:r>
      <w:r>
        <w:t>cost to the MBS is estimated to be approximately $2 million per year. However, these estimates are highly uncertain.</w:t>
      </w:r>
    </w:p>
    <w:sectPr w:rsidR="000E105E" w:rsidSect="00372C2A">
      <w:footerReference w:type="even" r:id="rId9"/>
      <w:footerReference w:type="default" r:id="rId10"/>
      <w:footerReference w:type="first" r:id="rId11"/>
      <w:footnotePr>
        <w:numRestart w:val="eachSect"/>
      </w:footnotePr>
      <w:type w:val="oddPage"/>
      <w:pgSz w:w="11906" w:h="16838" w:code="9"/>
      <w:pgMar w:top="1440" w:right="1440" w:bottom="1440" w:left="1440" w:header="576"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5F9E1" w16cid:durableId="1FDA02D2"/>
  <w16cid:commentId w16cid:paraId="4AD730C7" w16cid:durableId="1FDA0476"/>
  <w16cid:commentId w16cid:paraId="7C1AD566" w16cid:durableId="1FDA04B6"/>
  <w16cid:commentId w16cid:paraId="78488515" w16cid:durableId="1FDA0B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B8237" w14:textId="77777777" w:rsidR="00CF0F1E" w:rsidRDefault="00CF0F1E">
      <w:pPr>
        <w:spacing w:after="0"/>
      </w:pPr>
      <w:r>
        <w:separator/>
      </w:r>
    </w:p>
  </w:endnote>
  <w:endnote w:type="continuationSeparator" w:id="0">
    <w:p w14:paraId="24F4C9E2" w14:textId="77777777" w:rsidR="00CF0F1E" w:rsidRDefault="00CF0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E711" w14:textId="77777777" w:rsidR="00372C2A" w:rsidRDefault="00372C2A" w:rsidP="00140E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3263C0" w14:textId="77777777" w:rsidR="00372C2A" w:rsidRDefault="00372C2A"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311A2" w14:textId="43D1CCE2" w:rsidR="00372C2A" w:rsidRPr="00972B87" w:rsidRDefault="00372C2A" w:rsidP="00140E42">
    <w:pPr>
      <w:pStyle w:val="Footer"/>
      <w:framePr w:wrap="none" w:vAnchor="text" w:hAnchor="margin" w:xAlign="right" w:y="1"/>
      <w:rPr>
        <w:rStyle w:val="PageNumber"/>
        <w:b w:val="0"/>
      </w:rPr>
    </w:pPr>
    <w:r w:rsidRPr="00972B87">
      <w:rPr>
        <w:rStyle w:val="PageNumber"/>
        <w:b w:val="0"/>
      </w:rPr>
      <w:fldChar w:fldCharType="begin"/>
    </w:r>
    <w:r w:rsidRPr="00972B87">
      <w:rPr>
        <w:rStyle w:val="PageNumber"/>
        <w:b w:val="0"/>
      </w:rPr>
      <w:instrText xml:space="preserve">PAGE  </w:instrText>
    </w:r>
    <w:r w:rsidRPr="00972B87">
      <w:rPr>
        <w:rStyle w:val="PageNumber"/>
        <w:b w:val="0"/>
      </w:rPr>
      <w:fldChar w:fldCharType="separate"/>
    </w:r>
    <w:r w:rsidR="00AD07A9">
      <w:rPr>
        <w:rStyle w:val="PageNumber"/>
        <w:b w:val="0"/>
        <w:noProof/>
      </w:rPr>
      <w:t>1</w:t>
    </w:r>
    <w:r w:rsidRPr="00972B87">
      <w:rPr>
        <w:rStyle w:val="PageNumber"/>
        <w:b w:val="0"/>
      </w:rPr>
      <w:fldChar w:fldCharType="end"/>
    </w:r>
  </w:p>
  <w:p w14:paraId="3BE8606C" w14:textId="77777777" w:rsidR="00372C2A" w:rsidRDefault="00372C2A"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17680"/>
      <w:docPartObj>
        <w:docPartGallery w:val="Page Numbers (Bottom of Page)"/>
        <w:docPartUnique/>
      </w:docPartObj>
    </w:sdtPr>
    <w:sdtEndPr>
      <w:rPr>
        <w:noProof/>
      </w:rPr>
    </w:sdtEndPr>
    <w:sdtContent>
      <w:p w14:paraId="7D67A282" w14:textId="77777777" w:rsidR="00600D70" w:rsidRDefault="00600D70" w:rsidP="005A72C4">
        <w:pPr>
          <w:pStyle w:val="Footer"/>
          <w:jc w:val="right"/>
        </w:pPr>
        <w:r>
          <w:fldChar w:fldCharType="begin"/>
        </w:r>
        <w:r>
          <w:instrText xml:space="preserve"> PAGE   \* MERGEFORMAT </w:instrText>
        </w:r>
        <w:r>
          <w:fldChar w:fldCharType="separate"/>
        </w:r>
        <w:r w:rsidR="00372C2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86014" w14:textId="77777777" w:rsidR="00CF0F1E" w:rsidRDefault="00CF0F1E">
      <w:pPr>
        <w:spacing w:after="0"/>
      </w:pPr>
      <w:r>
        <w:separator/>
      </w:r>
    </w:p>
  </w:footnote>
  <w:footnote w:type="continuationSeparator" w:id="0">
    <w:p w14:paraId="6FFE1AB3" w14:textId="77777777" w:rsidR="00CF0F1E" w:rsidRDefault="00CF0F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775AF"/>
    <w:multiLevelType w:val="hybridMultilevel"/>
    <w:tmpl w:val="68505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6570AF1"/>
    <w:multiLevelType w:val="hybridMultilevel"/>
    <w:tmpl w:val="7E5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6C6ECC"/>
    <w:multiLevelType w:val="hybridMultilevel"/>
    <w:tmpl w:val="F384C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0210E"/>
    <w:multiLevelType w:val="hybridMultilevel"/>
    <w:tmpl w:val="AE1E2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921B69"/>
    <w:multiLevelType w:val="hybridMultilevel"/>
    <w:tmpl w:val="882EB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FC031F"/>
    <w:multiLevelType w:val="hybridMultilevel"/>
    <w:tmpl w:val="CD8E42C4"/>
    <w:lvl w:ilvl="0" w:tplc="C184A09A">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27124F"/>
    <w:multiLevelType w:val="hybridMultilevel"/>
    <w:tmpl w:val="882EB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AA071B"/>
    <w:multiLevelType w:val="hybridMultilevel"/>
    <w:tmpl w:val="7250C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2506A"/>
    <w:multiLevelType w:val="hybridMultilevel"/>
    <w:tmpl w:val="D1D6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ED77BB"/>
    <w:multiLevelType w:val="hybridMultilevel"/>
    <w:tmpl w:val="1E06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244AC"/>
    <w:multiLevelType w:val="hybridMultilevel"/>
    <w:tmpl w:val="877E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A45353"/>
    <w:multiLevelType w:val="hybridMultilevel"/>
    <w:tmpl w:val="9DF2EB2E"/>
    <w:lvl w:ilvl="0" w:tplc="03D09A42">
      <w:start w:val="1"/>
      <w:numFmt w:val="bullet"/>
      <w:pStyle w:val="Instruction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83056"/>
    <w:multiLevelType w:val="hybridMultilevel"/>
    <w:tmpl w:val="882EB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4A5BB2"/>
    <w:multiLevelType w:val="hybridMultilevel"/>
    <w:tmpl w:val="0A2EC3E2"/>
    <w:lvl w:ilvl="0" w:tplc="DF183732">
      <w:start w:val="1"/>
      <w:numFmt w:val="bulle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406DF1"/>
    <w:multiLevelType w:val="hybridMultilevel"/>
    <w:tmpl w:val="2372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37"/>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5"/>
  </w:num>
  <w:num w:numId="17">
    <w:abstractNumId w:val="0"/>
  </w:num>
  <w:num w:numId="18">
    <w:abstractNumId w:val="15"/>
  </w:num>
  <w:num w:numId="19">
    <w:abstractNumId w:val="36"/>
  </w:num>
  <w:num w:numId="20">
    <w:abstractNumId w:val="18"/>
  </w:num>
  <w:num w:numId="21">
    <w:abstractNumId w:val="36"/>
  </w:num>
  <w:num w:numId="22">
    <w:abstractNumId w:val="21"/>
  </w:num>
  <w:num w:numId="23">
    <w:abstractNumId w:val="23"/>
  </w:num>
  <w:num w:numId="24">
    <w:abstractNumId w:val="13"/>
  </w:num>
  <w:num w:numId="25">
    <w:abstractNumId w:val="20"/>
  </w:num>
  <w:num w:numId="26">
    <w:abstractNumId w:val="34"/>
  </w:num>
  <w:num w:numId="27">
    <w:abstractNumId w:val="14"/>
  </w:num>
  <w:num w:numId="28">
    <w:abstractNumId w:val="22"/>
  </w:num>
  <w:num w:numId="29">
    <w:abstractNumId w:val="29"/>
  </w:num>
  <w:num w:numId="30">
    <w:abstractNumId w:val="26"/>
  </w:num>
  <w:num w:numId="31">
    <w:abstractNumId w:val="33"/>
  </w:num>
  <w:num w:numId="32">
    <w:abstractNumId w:val="16"/>
  </w:num>
  <w:num w:numId="33">
    <w:abstractNumId w:val="17"/>
  </w:num>
  <w:num w:numId="34">
    <w:abstractNumId w:val="27"/>
  </w:num>
  <w:num w:numId="35">
    <w:abstractNumId w:val="19"/>
  </w:num>
  <w:num w:numId="36">
    <w:abstractNumId w:val="25"/>
  </w:num>
  <w:num w:numId="37">
    <w:abstractNumId w:val="28"/>
  </w:num>
  <w:num w:numId="38">
    <w:abstractNumId w:val="38"/>
  </w:num>
  <w:num w:numId="39">
    <w:abstractNumId w:val="3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10"/>
  <w:drawingGridVerticalSpacing w:val="299"/>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3E"/>
    <w:rsid w:val="00013A29"/>
    <w:rsid w:val="00021D20"/>
    <w:rsid w:val="00063D41"/>
    <w:rsid w:val="00066E89"/>
    <w:rsid w:val="0007619D"/>
    <w:rsid w:val="00080EA9"/>
    <w:rsid w:val="000853B1"/>
    <w:rsid w:val="000A58E2"/>
    <w:rsid w:val="000A5DE2"/>
    <w:rsid w:val="000A71CB"/>
    <w:rsid w:val="000B0ACA"/>
    <w:rsid w:val="000C10BA"/>
    <w:rsid w:val="000C291F"/>
    <w:rsid w:val="000D6AB8"/>
    <w:rsid w:val="000E105E"/>
    <w:rsid w:val="000E6E09"/>
    <w:rsid w:val="000E7F9F"/>
    <w:rsid w:val="000F1020"/>
    <w:rsid w:val="00100909"/>
    <w:rsid w:val="00104E39"/>
    <w:rsid w:val="00106FE7"/>
    <w:rsid w:val="00114BAC"/>
    <w:rsid w:val="00117909"/>
    <w:rsid w:val="001342D1"/>
    <w:rsid w:val="00165D94"/>
    <w:rsid w:val="00180AE1"/>
    <w:rsid w:val="00192A9D"/>
    <w:rsid w:val="00195C20"/>
    <w:rsid w:val="001D4D1F"/>
    <w:rsid w:val="0020319C"/>
    <w:rsid w:val="00223521"/>
    <w:rsid w:val="002669D4"/>
    <w:rsid w:val="00271B40"/>
    <w:rsid w:val="002820F5"/>
    <w:rsid w:val="00284611"/>
    <w:rsid w:val="00292843"/>
    <w:rsid w:val="0029345F"/>
    <w:rsid w:val="002C19BF"/>
    <w:rsid w:val="002C3F92"/>
    <w:rsid w:val="002C61F5"/>
    <w:rsid w:val="002D0313"/>
    <w:rsid w:val="002E52DD"/>
    <w:rsid w:val="002E6060"/>
    <w:rsid w:val="002F7371"/>
    <w:rsid w:val="0032416B"/>
    <w:rsid w:val="0033188B"/>
    <w:rsid w:val="003375F1"/>
    <w:rsid w:val="00347A92"/>
    <w:rsid w:val="0035043E"/>
    <w:rsid w:val="00352A03"/>
    <w:rsid w:val="00355AEA"/>
    <w:rsid w:val="003576E4"/>
    <w:rsid w:val="00361042"/>
    <w:rsid w:val="003620E8"/>
    <w:rsid w:val="0036770E"/>
    <w:rsid w:val="00372C2A"/>
    <w:rsid w:val="00377938"/>
    <w:rsid w:val="0039361E"/>
    <w:rsid w:val="003B4511"/>
    <w:rsid w:val="003B6080"/>
    <w:rsid w:val="003C5109"/>
    <w:rsid w:val="003C513B"/>
    <w:rsid w:val="003D0620"/>
    <w:rsid w:val="003F041E"/>
    <w:rsid w:val="003F0732"/>
    <w:rsid w:val="003F36EB"/>
    <w:rsid w:val="003F6FF6"/>
    <w:rsid w:val="00406B78"/>
    <w:rsid w:val="00422EF0"/>
    <w:rsid w:val="00426354"/>
    <w:rsid w:val="0044143B"/>
    <w:rsid w:val="004822BC"/>
    <w:rsid w:val="0048295D"/>
    <w:rsid w:val="0048716B"/>
    <w:rsid w:val="004900B9"/>
    <w:rsid w:val="004957C3"/>
    <w:rsid w:val="00497D20"/>
    <w:rsid w:val="004A311B"/>
    <w:rsid w:val="004B68D7"/>
    <w:rsid w:val="004C548B"/>
    <w:rsid w:val="004D4B62"/>
    <w:rsid w:val="004D79BE"/>
    <w:rsid w:val="00501A62"/>
    <w:rsid w:val="00506F39"/>
    <w:rsid w:val="00523F72"/>
    <w:rsid w:val="005529A9"/>
    <w:rsid w:val="005555F8"/>
    <w:rsid w:val="005A3244"/>
    <w:rsid w:val="005A72C4"/>
    <w:rsid w:val="005B7395"/>
    <w:rsid w:val="005F1827"/>
    <w:rsid w:val="00600D70"/>
    <w:rsid w:val="00612D73"/>
    <w:rsid w:val="00620D8B"/>
    <w:rsid w:val="006277D9"/>
    <w:rsid w:val="006338FD"/>
    <w:rsid w:val="006678D2"/>
    <w:rsid w:val="006928ED"/>
    <w:rsid w:val="00692B58"/>
    <w:rsid w:val="00697D6B"/>
    <w:rsid w:val="006A3A42"/>
    <w:rsid w:val="006B4086"/>
    <w:rsid w:val="006C1769"/>
    <w:rsid w:val="006C62B2"/>
    <w:rsid w:val="006C759F"/>
    <w:rsid w:val="006F377E"/>
    <w:rsid w:val="006F3E72"/>
    <w:rsid w:val="006F5743"/>
    <w:rsid w:val="00704FE3"/>
    <w:rsid w:val="00706E84"/>
    <w:rsid w:val="007110C8"/>
    <w:rsid w:val="00721310"/>
    <w:rsid w:val="007232E1"/>
    <w:rsid w:val="00732485"/>
    <w:rsid w:val="007532F6"/>
    <w:rsid w:val="00767B9D"/>
    <w:rsid w:val="00770969"/>
    <w:rsid w:val="00772D67"/>
    <w:rsid w:val="00773806"/>
    <w:rsid w:val="007754ED"/>
    <w:rsid w:val="007760FE"/>
    <w:rsid w:val="0079244D"/>
    <w:rsid w:val="00793655"/>
    <w:rsid w:val="00793721"/>
    <w:rsid w:val="007B60F7"/>
    <w:rsid w:val="007B6376"/>
    <w:rsid w:val="007C1D1B"/>
    <w:rsid w:val="007C3B62"/>
    <w:rsid w:val="007C741E"/>
    <w:rsid w:val="007D16C0"/>
    <w:rsid w:val="007D567E"/>
    <w:rsid w:val="00800549"/>
    <w:rsid w:val="00805D0D"/>
    <w:rsid w:val="008553FE"/>
    <w:rsid w:val="00865C2A"/>
    <w:rsid w:val="008720B7"/>
    <w:rsid w:val="0088030E"/>
    <w:rsid w:val="008813EB"/>
    <w:rsid w:val="00896025"/>
    <w:rsid w:val="008B2CBE"/>
    <w:rsid w:val="008B37AD"/>
    <w:rsid w:val="008B7077"/>
    <w:rsid w:val="008D09FB"/>
    <w:rsid w:val="008D32BA"/>
    <w:rsid w:val="008D5825"/>
    <w:rsid w:val="008F3AA8"/>
    <w:rsid w:val="0090376D"/>
    <w:rsid w:val="00922CF5"/>
    <w:rsid w:val="00932C6D"/>
    <w:rsid w:val="009355F0"/>
    <w:rsid w:val="00945E3D"/>
    <w:rsid w:val="0096081E"/>
    <w:rsid w:val="00961243"/>
    <w:rsid w:val="00972B87"/>
    <w:rsid w:val="00976D59"/>
    <w:rsid w:val="009849FF"/>
    <w:rsid w:val="00992AE5"/>
    <w:rsid w:val="009C4DE1"/>
    <w:rsid w:val="009C7BA5"/>
    <w:rsid w:val="009C7EBA"/>
    <w:rsid w:val="009E3B68"/>
    <w:rsid w:val="009F74FA"/>
    <w:rsid w:val="00A02CE8"/>
    <w:rsid w:val="00A064A6"/>
    <w:rsid w:val="00A260E2"/>
    <w:rsid w:val="00A54F06"/>
    <w:rsid w:val="00A5552B"/>
    <w:rsid w:val="00A564A7"/>
    <w:rsid w:val="00A9331B"/>
    <w:rsid w:val="00A97BD8"/>
    <w:rsid w:val="00AB653E"/>
    <w:rsid w:val="00AC246D"/>
    <w:rsid w:val="00AC3F9E"/>
    <w:rsid w:val="00AD07A9"/>
    <w:rsid w:val="00AD0CD0"/>
    <w:rsid w:val="00B1647E"/>
    <w:rsid w:val="00B21059"/>
    <w:rsid w:val="00B36412"/>
    <w:rsid w:val="00B4360E"/>
    <w:rsid w:val="00B50D30"/>
    <w:rsid w:val="00B533AA"/>
    <w:rsid w:val="00B54256"/>
    <w:rsid w:val="00B55F41"/>
    <w:rsid w:val="00B64994"/>
    <w:rsid w:val="00B7037D"/>
    <w:rsid w:val="00B743B7"/>
    <w:rsid w:val="00B83EE2"/>
    <w:rsid w:val="00B859E2"/>
    <w:rsid w:val="00B97301"/>
    <w:rsid w:val="00BA7CAC"/>
    <w:rsid w:val="00BB1574"/>
    <w:rsid w:val="00BB5800"/>
    <w:rsid w:val="00BD346C"/>
    <w:rsid w:val="00BE2E9B"/>
    <w:rsid w:val="00BF0C8E"/>
    <w:rsid w:val="00BF6965"/>
    <w:rsid w:val="00C049B6"/>
    <w:rsid w:val="00C40DEB"/>
    <w:rsid w:val="00C45C28"/>
    <w:rsid w:val="00C56A9B"/>
    <w:rsid w:val="00C67D61"/>
    <w:rsid w:val="00C71005"/>
    <w:rsid w:val="00C75DE5"/>
    <w:rsid w:val="00C831DF"/>
    <w:rsid w:val="00C92341"/>
    <w:rsid w:val="00C9562E"/>
    <w:rsid w:val="00CA15C8"/>
    <w:rsid w:val="00CA17E0"/>
    <w:rsid w:val="00CA7419"/>
    <w:rsid w:val="00CB502A"/>
    <w:rsid w:val="00CD0D55"/>
    <w:rsid w:val="00CD4E02"/>
    <w:rsid w:val="00CD6210"/>
    <w:rsid w:val="00CF0F1E"/>
    <w:rsid w:val="00CF1989"/>
    <w:rsid w:val="00CF3130"/>
    <w:rsid w:val="00CF4C32"/>
    <w:rsid w:val="00CF6C64"/>
    <w:rsid w:val="00CF775B"/>
    <w:rsid w:val="00D03C40"/>
    <w:rsid w:val="00D20FD9"/>
    <w:rsid w:val="00D2317A"/>
    <w:rsid w:val="00D85147"/>
    <w:rsid w:val="00D8647A"/>
    <w:rsid w:val="00D9052C"/>
    <w:rsid w:val="00D96F7C"/>
    <w:rsid w:val="00DA007B"/>
    <w:rsid w:val="00DC122C"/>
    <w:rsid w:val="00DC1850"/>
    <w:rsid w:val="00DD652D"/>
    <w:rsid w:val="00DE180A"/>
    <w:rsid w:val="00DE3FBF"/>
    <w:rsid w:val="00DF4792"/>
    <w:rsid w:val="00DF4B39"/>
    <w:rsid w:val="00DF56DD"/>
    <w:rsid w:val="00E2360E"/>
    <w:rsid w:val="00E260AF"/>
    <w:rsid w:val="00E31DDC"/>
    <w:rsid w:val="00E35DF1"/>
    <w:rsid w:val="00E50CBE"/>
    <w:rsid w:val="00E601A6"/>
    <w:rsid w:val="00E61CC5"/>
    <w:rsid w:val="00E62EC1"/>
    <w:rsid w:val="00E63746"/>
    <w:rsid w:val="00E752C0"/>
    <w:rsid w:val="00E83607"/>
    <w:rsid w:val="00E86DE2"/>
    <w:rsid w:val="00E914CA"/>
    <w:rsid w:val="00EB12CA"/>
    <w:rsid w:val="00EE7B06"/>
    <w:rsid w:val="00F03B53"/>
    <w:rsid w:val="00F238D9"/>
    <w:rsid w:val="00F30394"/>
    <w:rsid w:val="00F31128"/>
    <w:rsid w:val="00F33CC3"/>
    <w:rsid w:val="00F731F2"/>
    <w:rsid w:val="00F90D07"/>
    <w:rsid w:val="00F9550C"/>
    <w:rsid w:val="00F961D5"/>
    <w:rsid w:val="00FA5DE1"/>
    <w:rsid w:val="00FA7372"/>
    <w:rsid w:val="00FB2918"/>
    <w:rsid w:val="00FB738A"/>
    <w:rsid w:val="00FB798A"/>
    <w:rsid w:val="00FC06B6"/>
    <w:rsid w:val="00FC5D65"/>
    <w:rsid w:val="00FC74B3"/>
    <w:rsid w:val="00FD2FAD"/>
    <w:rsid w:val="00FD383D"/>
    <w:rsid w:val="00FD5102"/>
    <w:rsid w:val="00FE48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7E8ED"/>
  <w15:docId w15:val="{5A67DCAE-97A1-4F3B-A6D9-C8A13717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B87"/>
    <w:pPr>
      <w:spacing w:after="240"/>
    </w:pPr>
    <w:rPr>
      <w:color w:val="000000"/>
      <w:sz w:val="24"/>
    </w:rPr>
  </w:style>
  <w:style w:type="paragraph" w:styleId="Heading1">
    <w:name w:val="heading 1"/>
    <w:basedOn w:val="Normal"/>
    <w:next w:val="Normal"/>
    <w:qFormat/>
    <w:rsid w:val="00A5552B"/>
    <w:pPr>
      <w:keepNext/>
      <w:spacing w:after="360"/>
      <w:outlineLvl w:val="0"/>
    </w:pPr>
    <w:rPr>
      <w:rFonts w:ascii="Arial" w:hAnsi="Arial" w:cs="Arial"/>
      <w:b/>
      <w:bCs/>
      <w:kern w:val="32"/>
      <w:szCs w:val="32"/>
    </w:rPr>
  </w:style>
  <w:style w:type="paragraph" w:styleId="Heading2">
    <w:name w:val="heading 2"/>
    <w:basedOn w:val="Normal"/>
    <w:next w:val="Normal"/>
    <w:qFormat/>
    <w:rsid w:val="00972B87"/>
    <w:pPr>
      <w:keepNext/>
      <w:spacing w:before="240"/>
      <w:outlineLvl w:val="1"/>
    </w:pPr>
    <w:rPr>
      <w:rFonts w:ascii="Arial" w:hAnsi="Arial" w:cs="Arial"/>
      <w:b/>
      <w:bCs/>
      <w:iCs/>
      <w:szCs w:val="28"/>
    </w:rPr>
  </w:style>
  <w:style w:type="paragraph" w:styleId="Heading3">
    <w:name w:val="heading 3"/>
    <w:basedOn w:val="Normal"/>
    <w:next w:val="Normal"/>
    <w:qFormat/>
    <w:rsid w:val="00972B87"/>
    <w:pPr>
      <w:keepNext/>
      <w:spacing w:before="240"/>
      <w:outlineLvl w:val="2"/>
    </w:pPr>
    <w:rPr>
      <w:rFonts w:ascii="Arial" w:hAnsi="Arial"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TFAbbrevs">
    <w:name w:val="TFAbbrevs"/>
    <w:basedOn w:val="TFListNotes"/>
    <w:rsid w:val="003D0620"/>
  </w:style>
  <w:style w:type="paragraph" w:customStyle="1" w:styleId="BulletBeforeDash">
    <w:name w:val="BulletBeforeDash"/>
    <w:basedOn w:val="Normal"/>
    <w:rsid w:val="00972B87"/>
    <w:pPr>
      <w:numPr>
        <w:numId w:val="3"/>
      </w:numPr>
      <w:spacing w:after="0"/>
      <w:ind w:left="720"/>
    </w:pPr>
  </w:style>
  <w:style w:type="paragraph" w:customStyle="1" w:styleId="Bullet">
    <w:name w:val="Bullet"/>
    <w:basedOn w:val="BulletBeforeDash"/>
    <w:qFormat/>
    <w:rsid w:val="00972B87"/>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972B87"/>
    <w:pPr>
      <w:numPr>
        <w:numId w:val="4"/>
      </w:numPr>
      <w:tabs>
        <w:tab w:val="clear" w:pos="216"/>
        <w:tab w:val="left" w:pos="720"/>
      </w:tabs>
      <w:spacing w:after="0"/>
      <w:ind w:left="108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FigureName">
    <w:name w:val="FigureName"/>
    <w:basedOn w:val="Normal"/>
    <w:next w:val="Normal"/>
    <w:rsid w:val="00972B87"/>
    <w:pPr>
      <w:keepNext/>
      <w:keepLines/>
      <w:tabs>
        <w:tab w:val="left" w:pos="1080"/>
      </w:tabs>
      <w:spacing w:before="120" w:after="120"/>
      <w:ind w:left="1077" w:hanging="1077"/>
    </w:pPr>
    <w:rPr>
      <w:b/>
      <w:bCs/>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paragraph" w:customStyle="1" w:styleId="TFAbbrevsSpace">
    <w:name w:val="TFAbbrevs+Space"/>
    <w:basedOn w:val="TFAbbrevs"/>
    <w:next w:val="Normal"/>
    <w:rsid w:val="00EE7B06"/>
    <w:pPr>
      <w:spacing w:after="360"/>
    </w:p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paragraph" w:styleId="ListParagraph">
    <w:name w:val="List Paragraph"/>
    <w:basedOn w:val="Normal"/>
    <w:uiPriority w:val="34"/>
    <w:rsid w:val="00165D94"/>
    <w:pPr>
      <w:ind w:left="720"/>
      <w:contextualSpacing/>
    </w:pPr>
  </w:style>
  <w:style w:type="character" w:styleId="CommentReference">
    <w:name w:val="annotation reference"/>
    <w:basedOn w:val="DefaultParagraphFont"/>
    <w:uiPriority w:val="99"/>
    <w:semiHidden/>
    <w:unhideWhenUsed/>
    <w:rsid w:val="009C7EBA"/>
    <w:rPr>
      <w:sz w:val="16"/>
      <w:szCs w:val="16"/>
    </w:rPr>
  </w:style>
  <w:style w:type="paragraph" w:styleId="CommentText">
    <w:name w:val="annotation text"/>
    <w:basedOn w:val="Normal"/>
    <w:link w:val="CommentTextChar"/>
    <w:uiPriority w:val="99"/>
    <w:semiHidden/>
    <w:unhideWhenUsed/>
    <w:rsid w:val="009C7EBA"/>
    <w:rPr>
      <w:sz w:val="20"/>
    </w:rPr>
  </w:style>
  <w:style w:type="character" w:customStyle="1" w:styleId="CommentTextChar">
    <w:name w:val="Comment Text Char"/>
    <w:basedOn w:val="DefaultParagraphFont"/>
    <w:link w:val="CommentText"/>
    <w:uiPriority w:val="99"/>
    <w:semiHidden/>
    <w:rsid w:val="009C7EBA"/>
    <w:rPr>
      <w:color w:val="000000"/>
    </w:rPr>
  </w:style>
  <w:style w:type="paragraph" w:styleId="CommentSubject">
    <w:name w:val="annotation subject"/>
    <w:basedOn w:val="CommentText"/>
    <w:next w:val="CommentText"/>
    <w:link w:val="CommentSubjectChar"/>
    <w:uiPriority w:val="99"/>
    <w:semiHidden/>
    <w:unhideWhenUsed/>
    <w:rsid w:val="009C7EBA"/>
    <w:rPr>
      <w:b/>
      <w:bCs/>
    </w:rPr>
  </w:style>
  <w:style w:type="character" w:customStyle="1" w:styleId="CommentSubjectChar">
    <w:name w:val="Comment Subject Char"/>
    <w:basedOn w:val="CommentTextChar"/>
    <w:link w:val="CommentSubject"/>
    <w:uiPriority w:val="99"/>
    <w:semiHidden/>
    <w:rsid w:val="009C7EBA"/>
    <w:rPr>
      <w:b/>
      <w:bCs/>
      <w:color w:val="000000"/>
    </w:rPr>
  </w:style>
  <w:style w:type="paragraph" w:styleId="BodyText">
    <w:name w:val="Body Text"/>
    <w:basedOn w:val="Normal"/>
    <w:link w:val="BodyTextChar"/>
    <w:uiPriority w:val="1"/>
    <w:qFormat/>
    <w:rsid w:val="00BF6965"/>
    <w:pPr>
      <w:spacing w:before="180" w:after="0" w:line="259" w:lineRule="auto"/>
    </w:pPr>
    <w:rPr>
      <w:rFonts w:asciiTheme="minorHAnsi" w:hAnsiTheme="minorHAnsi"/>
      <w:color w:val="auto"/>
      <w:sz w:val="20"/>
      <w:szCs w:val="24"/>
    </w:rPr>
  </w:style>
  <w:style w:type="character" w:customStyle="1" w:styleId="BodyTextChar">
    <w:name w:val="Body Text Char"/>
    <w:basedOn w:val="DefaultParagraphFont"/>
    <w:link w:val="BodyText"/>
    <w:uiPriority w:val="1"/>
    <w:rsid w:val="00BF6965"/>
    <w:rPr>
      <w:rFonts w:asciiTheme="minorHAnsi" w:hAnsiTheme="minorHAnsi"/>
      <w:szCs w:val="24"/>
    </w:rPr>
  </w:style>
  <w:style w:type="paragraph" w:styleId="Revision">
    <w:name w:val="Revision"/>
    <w:hidden/>
    <w:uiPriority w:val="99"/>
    <w:semiHidden/>
    <w:rsid w:val="00355AEA"/>
    <w:rPr>
      <w:color w:val="000000"/>
      <w:sz w:val="24"/>
    </w:rPr>
  </w:style>
  <w:style w:type="paragraph" w:styleId="Caption">
    <w:name w:val="caption"/>
    <w:next w:val="Normal"/>
    <w:uiPriority w:val="35"/>
    <w:unhideWhenUsed/>
    <w:qFormat/>
    <w:rsid w:val="00BF0C8E"/>
    <w:pPr>
      <w:keepNext/>
      <w:spacing w:before="240"/>
      <w:ind w:left="1418" w:hanging="1418"/>
    </w:pPr>
    <w:rPr>
      <w:rFonts w:ascii="Calibri" w:hAnsi="Calibri"/>
      <w:b/>
      <w:iCs/>
      <w:szCs w:val="18"/>
      <w:lang w:val="en-US" w:eastAsia="ja-JP"/>
    </w:rPr>
  </w:style>
  <w:style w:type="paragraph" w:customStyle="1" w:styleId="Instructionsbullet">
    <w:name w:val="Instructions bullet"/>
    <w:basedOn w:val="Normal"/>
    <w:qFormat/>
    <w:rsid w:val="00BF0C8E"/>
    <w:pPr>
      <w:numPr>
        <w:numId w:val="39"/>
      </w:numPr>
      <w:spacing w:after="0" w:line="259" w:lineRule="auto"/>
    </w:pPr>
    <w:rPr>
      <w:rFonts w:ascii="Calibri" w:hAnsi="Calibri"/>
      <w:i/>
      <w:color w:val="00B0F0"/>
      <w:sz w:val="22"/>
      <w:szCs w:val="22"/>
      <w:lang w:val="en-US" w:eastAsia="ja-JP"/>
    </w:rPr>
  </w:style>
  <w:style w:type="paragraph" w:customStyle="1" w:styleId="01TableHeading">
    <w:name w:val="01. Table Heading"/>
    <w:qFormat/>
    <w:rsid w:val="00BF0C8E"/>
    <w:pPr>
      <w:spacing w:before="80" w:after="40" w:line="259" w:lineRule="auto"/>
    </w:pPr>
    <w:rPr>
      <w:rFonts w:ascii="Calibri" w:hAnsi="Calibri"/>
      <w:b/>
      <w:sz w:val="16"/>
      <w:szCs w:val="22"/>
      <w:lang w:val="en-US" w:eastAsia="ja-JP"/>
    </w:rPr>
  </w:style>
  <w:style w:type="paragraph" w:customStyle="1" w:styleId="05Tabletext22">
    <w:name w:val="05. Table text 2:2"/>
    <w:link w:val="05Tabletext22Char"/>
    <w:qFormat/>
    <w:rsid w:val="00BF0C8E"/>
    <w:pPr>
      <w:spacing w:before="40" w:after="40"/>
    </w:pPr>
    <w:rPr>
      <w:rFonts w:ascii="Calibri" w:hAnsi="Calibri"/>
      <w:sz w:val="18"/>
      <w:szCs w:val="22"/>
      <w:lang w:val="en-US" w:eastAsia="ja-JP"/>
    </w:rPr>
  </w:style>
  <w:style w:type="character" w:customStyle="1" w:styleId="05Tabletext22Char">
    <w:name w:val="05. Table text 2:2 Char"/>
    <w:link w:val="05Tabletext22"/>
    <w:rsid w:val="00BF0C8E"/>
    <w:rPr>
      <w:rFonts w:ascii="Calibri" w:hAnsi="Calibri"/>
      <w:sz w:val="18"/>
      <w:szCs w:val="22"/>
      <w:lang w:val="en-US" w:eastAsia="ja-JP"/>
    </w:rPr>
  </w:style>
  <w:style w:type="paragraph" w:customStyle="1" w:styleId="07Tablebullet">
    <w:name w:val="07. Table bullet"/>
    <w:qFormat/>
    <w:rsid w:val="00BF0C8E"/>
    <w:pPr>
      <w:numPr>
        <w:numId w:val="40"/>
      </w:numPr>
      <w:spacing w:before="40" w:after="40" w:line="259" w:lineRule="auto"/>
    </w:pPr>
    <w:rPr>
      <w:rFonts w:ascii="Calibri" w:hAnsi="Calibri"/>
      <w:sz w:val="16"/>
      <w:szCs w:val="22"/>
      <w:lang w:val="en-US" w:eastAsia="ja-JP"/>
    </w:rPr>
  </w:style>
  <w:style w:type="paragraph" w:customStyle="1" w:styleId="10Tablefootnotes">
    <w:name w:val="10. Table footnotes"/>
    <w:link w:val="10TablefootnotesChar"/>
    <w:qFormat/>
    <w:rsid w:val="00BF0C8E"/>
    <w:pPr>
      <w:keepNext/>
      <w:spacing w:line="259" w:lineRule="auto"/>
    </w:pPr>
    <w:rPr>
      <w:rFonts w:ascii="Calibri" w:hAnsi="Calibri"/>
      <w:sz w:val="16"/>
      <w:szCs w:val="22"/>
      <w:lang w:val="en-US" w:eastAsia="ja-JP"/>
    </w:rPr>
  </w:style>
  <w:style w:type="character" w:customStyle="1" w:styleId="10TablefootnotesChar">
    <w:name w:val="10. Table footnotes Char"/>
    <w:link w:val="10Tablefootnotes"/>
    <w:rsid w:val="00BF0C8E"/>
    <w:rPr>
      <w:rFonts w:ascii="Calibri" w:hAnsi="Calibri"/>
      <w:sz w:val="16"/>
      <w:szCs w:val="22"/>
      <w:lang w:val="en-US" w:eastAsia="ja-JP"/>
    </w:rPr>
  </w:style>
  <w:style w:type="paragraph" w:customStyle="1" w:styleId="11Tablefootnoteslast-nostick">
    <w:name w:val="11. Table footnotes last - no stick"/>
    <w:next w:val="BodyText"/>
    <w:qFormat/>
    <w:rsid w:val="00BF0C8E"/>
    <w:pPr>
      <w:spacing w:after="360" w:line="259" w:lineRule="auto"/>
    </w:pPr>
    <w:rPr>
      <w:rFonts w:ascii="Calibri" w:hAnsi="Calibri"/>
      <w:sz w:val="16"/>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2869">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53687961">
      <w:bodyDiv w:val="1"/>
      <w:marLeft w:val="0"/>
      <w:marRight w:val="0"/>
      <w:marTop w:val="0"/>
      <w:marBottom w:val="0"/>
      <w:divBdr>
        <w:top w:val="none" w:sz="0" w:space="0" w:color="auto"/>
        <w:left w:val="none" w:sz="0" w:space="0" w:color="auto"/>
        <w:bottom w:val="none" w:sz="0" w:space="0" w:color="auto"/>
        <w:right w:val="none" w:sz="0" w:space="0" w:color="auto"/>
      </w:divBdr>
    </w:div>
    <w:div w:id="1619608675">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AppData\Local\Microsoft\Windows\INetCache\Content.Outlook\4EZK2IBZ\MS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B95B5-35A5-4720-88FA-6633AF2A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MSAC template</Template>
  <TotalTime>0</TotalTime>
  <Pages>8</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Report Title</vt:lpstr>
    </vt:vector>
  </TitlesOfParts>
  <Company>dpplus</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Malini Devadas</dc:creator>
  <cp:lastModifiedBy>GHAZI, Faraz</cp:lastModifiedBy>
  <cp:revision>2</cp:revision>
  <cp:lastPrinted>2018-12-11T22:12:00Z</cp:lastPrinted>
  <dcterms:created xsi:type="dcterms:W3CDTF">2019-01-09T02:02:00Z</dcterms:created>
  <dcterms:modified xsi:type="dcterms:W3CDTF">2019-01-09T02:02:00Z</dcterms:modified>
</cp:coreProperties>
</file>