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B143" w14:textId="23B27062" w:rsidR="00D95E54" w:rsidRDefault="00D95E54" w:rsidP="00D95E54">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sidRPr="00582F66">
        <w:br/>
      </w:r>
      <w:r w:rsidRPr="00F76D74">
        <w:rPr>
          <w:rFonts w:ascii="Arial" w:hAnsi="Arial" w:cs="Arial"/>
          <w:b/>
          <w:bCs/>
          <w:color w:val="000080"/>
          <w:sz w:val="36"/>
          <w:szCs w:val="36"/>
        </w:rPr>
        <w:t>Public Summary Document</w:t>
      </w:r>
    </w:p>
    <w:bookmarkEnd w:id="0"/>
    <w:p w14:paraId="5F394A6E" w14:textId="477CA662" w:rsidR="00D95E54" w:rsidRPr="00CE28E3" w:rsidRDefault="00D95E54" w:rsidP="00D95E54">
      <w:pPr>
        <w:pStyle w:val="Subtitle"/>
      </w:pPr>
      <w:r w:rsidRPr="00CE28E3">
        <w:t xml:space="preserve">Application No. </w:t>
      </w:r>
      <w:r>
        <w:t>1690.1</w:t>
      </w:r>
      <w:r w:rsidRPr="0044745D">
        <w:t xml:space="preserve"> – </w:t>
      </w:r>
      <w:proofErr w:type="spellStart"/>
      <w:r w:rsidRPr="00842B53">
        <w:t>Ciltacabtagene</w:t>
      </w:r>
      <w:proofErr w:type="spellEnd"/>
      <w:r w:rsidRPr="00842B53">
        <w:t xml:space="preserve"> </w:t>
      </w:r>
      <w:proofErr w:type="spellStart"/>
      <w:r w:rsidRPr="00842B53">
        <w:t>autoleucel</w:t>
      </w:r>
      <w:proofErr w:type="spellEnd"/>
      <w:r w:rsidRPr="00842B53">
        <w:t>, a B-cell maturation antigen-directed chimeric antigen receptor T cell to treat refractory or relapsed multiple myeloma</w:t>
      </w:r>
    </w:p>
    <w:p w14:paraId="33E937CD" w14:textId="3932A08A" w:rsidR="00D95E54" w:rsidRDefault="00D95E54" w:rsidP="00D95E54">
      <w:pPr>
        <w:tabs>
          <w:tab w:val="left" w:pos="3686"/>
        </w:tabs>
        <w:spacing w:before="120"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Pr="001D021C">
        <w:rPr>
          <w:rFonts w:ascii="Arial" w:hAnsi="Arial" w:cs="Arial"/>
          <w:b/>
          <w:szCs w:val="24"/>
        </w:rPr>
        <w:t>Janssen-Cilag Pty Ltd</w:t>
      </w:r>
      <w:r w:rsidRPr="002C0248">
        <w:rPr>
          <w:rFonts w:ascii="Arial" w:eastAsia="Calibri" w:hAnsi="Arial" w:cs="Arial"/>
          <w:b/>
          <w:szCs w:val="24"/>
        </w:rPr>
        <w:t xml:space="preserve"> </w:t>
      </w:r>
    </w:p>
    <w:p w14:paraId="076E6D39" w14:textId="3DE5B447" w:rsidR="005A32EF" w:rsidRDefault="00D95E54" w:rsidP="00E45510">
      <w:pPr>
        <w:tabs>
          <w:tab w:val="left" w:pos="3686"/>
        </w:tabs>
        <w:spacing w:before="120" w:after="0" w:line="259" w:lineRule="auto"/>
        <w:rPr>
          <w:rFonts w:ascii="Arial" w:eastAsia="Calibri" w:hAnsi="Arial" w:cs="Arial"/>
          <w:b/>
          <w:szCs w:val="24"/>
        </w:rPr>
      </w:pPr>
      <w:r w:rsidRPr="002C0248">
        <w:rPr>
          <w:rFonts w:ascii="Arial" w:eastAsia="Calibri" w:hAnsi="Arial" w:cs="Arial"/>
          <w:b/>
          <w:szCs w:val="24"/>
        </w:rPr>
        <w:t xml:space="preserve">Date of </w:t>
      </w:r>
      <w:r>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0042687A" w:rsidRPr="00935D17">
        <w:rPr>
          <w:rFonts w:ascii="Arial" w:eastAsia="Calibri" w:hAnsi="Arial" w:cs="Arial"/>
          <w:b/>
          <w:szCs w:val="24"/>
        </w:rPr>
        <w:t>29 November 2024</w:t>
      </w:r>
    </w:p>
    <w:p w14:paraId="6916B5D4" w14:textId="52B200D8" w:rsidR="00D95E54" w:rsidRDefault="005A32EF" w:rsidP="00582F66">
      <w:pPr>
        <w:tabs>
          <w:tab w:val="left" w:pos="3686"/>
        </w:tabs>
        <w:spacing w:after="360" w:line="259" w:lineRule="auto"/>
        <w:rPr>
          <w:rFonts w:ascii="Arial" w:eastAsia="Calibri" w:hAnsi="Arial" w:cs="Arial"/>
          <w:b/>
          <w:szCs w:val="24"/>
        </w:rPr>
      </w:pPr>
      <w:r>
        <w:rPr>
          <w:rFonts w:ascii="Arial" w:eastAsia="Calibri" w:hAnsi="Arial" w:cs="Arial"/>
          <w:b/>
          <w:szCs w:val="24"/>
        </w:rPr>
        <w:tab/>
      </w:r>
      <w:r w:rsidR="00D95E54" w:rsidRPr="00D95E54">
        <w:rPr>
          <w:rFonts w:ascii="Arial" w:eastAsia="Calibri" w:hAnsi="Arial" w:cs="Arial"/>
          <w:b/>
          <w:szCs w:val="24"/>
        </w:rPr>
        <w:t>4-5 April 2024</w:t>
      </w:r>
    </w:p>
    <w:p w14:paraId="274A7A9B" w14:textId="77777777" w:rsidR="00D95E54" w:rsidRPr="00AE32E0" w:rsidRDefault="00D95E54" w:rsidP="00D95E54">
      <w:pPr>
        <w:rPr>
          <w:rFonts w:ascii="Franklin Gothic Book" w:hAnsi="Franklin Gothic Book"/>
          <w:color w:val="0000FF"/>
          <w:szCs w:val="24"/>
          <w:u w:val="single"/>
        </w:rPr>
      </w:pPr>
      <w:r w:rsidRPr="00AE32E0">
        <w:rPr>
          <w:rFonts w:ascii="Franklin Gothic Book" w:hAnsi="Franklin Gothic Book"/>
          <w:szCs w:val="24"/>
        </w:rPr>
        <w:t xml:space="preserve">Context for decision: MSAC makes its advice in accordance with its Terms of Reference, </w:t>
      </w:r>
      <w:hyperlink r:id="rId11" w:tooltip="Link to Medical Services Advisory Committee website" w:history="1">
        <w:r w:rsidRPr="00AE32E0">
          <w:rPr>
            <w:rStyle w:val="Hyperlink"/>
            <w:rFonts w:ascii="Franklin Gothic Book" w:hAnsi="Franklin Gothic Book"/>
            <w:szCs w:val="24"/>
          </w:rPr>
          <w:t>visit the MSAC website</w:t>
        </w:r>
      </w:hyperlink>
    </w:p>
    <w:p w14:paraId="6F4E580F" w14:textId="77777777" w:rsidR="00D95E54" w:rsidRPr="004F3649" w:rsidRDefault="00D95E54" w:rsidP="00D95E54">
      <w:pPr>
        <w:pStyle w:val="Heading2"/>
        <w:numPr>
          <w:ilvl w:val="0"/>
          <w:numId w:val="15"/>
        </w:numPr>
        <w:ind w:left="737" w:hanging="737"/>
      </w:pPr>
      <w:bookmarkStart w:id="1" w:name="_Toc69491415"/>
      <w:r w:rsidRPr="004F3649">
        <w:t xml:space="preserve">Purpose </w:t>
      </w:r>
      <w:r w:rsidRPr="004F3649">
        <w:rPr>
          <w:szCs w:val="32"/>
        </w:rPr>
        <w:t>of</w:t>
      </w:r>
      <w:r w:rsidRPr="004F3649">
        <w:t xml:space="preserve"> application</w:t>
      </w:r>
      <w:bookmarkEnd w:id="1"/>
    </w:p>
    <w:p w14:paraId="14710B6B" w14:textId="77777777" w:rsidR="00D95E54" w:rsidRPr="0031055E" w:rsidRDefault="00D95E54" w:rsidP="00D95E54">
      <w:pPr>
        <w:rPr>
          <w:rFonts w:ascii="Franklin Gothic Book" w:hAnsi="Franklin Gothic Book"/>
        </w:rPr>
      </w:pPr>
      <w:r w:rsidRPr="0031055E">
        <w:rPr>
          <w:rFonts w:ascii="Franklin Gothic Book" w:hAnsi="Franklin Gothic Book"/>
        </w:rPr>
        <w:t xml:space="preserve">A funding proposal was received from Janssen-Cilag (the applicant) by the Department of Health and Aged Care in relation to the public funding of </w:t>
      </w:r>
      <w:proofErr w:type="spellStart"/>
      <w:r w:rsidRPr="0031055E">
        <w:rPr>
          <w:rFonts w:ascii="Franklin Gothic Book" w:hAnsi="Franklin Gothic Book"/>
        </w:rPr>
        <w:t>ciltacabtagene</w:t>
      </w:r>
      <w:proofErr w:type="spellEnd"/>
      <w:r w:rsidRPr="0031055E">
        <w:rPr>
          <w:rFonts w:ascii="Franklin Gothic Book" w:hAnsi="Franklin Gothic Book"/>
        </w:rPr>
        <w:t xml:space="preserve"> </w:t>
      </w:r>
      <w:proofErr w:type="spellStart"/>
      <w:r w:rsidRPr="0031055E">
        <w:rPr>
          <w:rFonts w:ascii="Franklin Gothic Book" w:hAnsi="Franklin Gothic Book"/>
        </w:rPr>
        <w:t>autoleucel</w:t>
      </w:r>
      <w:proofErr w:type="spellEnd"/>
      <w:r w:rsidRPr="0031055E">
        <w:rPr>
          <w:rFonts w:ascii="Franklin Gothic Book" w:hAnsi="Franklin Gothic Book"/>
        </w:rPr>
        <w:t xml:space="preserve"> (</w:t>
      </w:r>
      <w:proofErr w:type="spellStart"/>
      <w:r w:rsidRPr="0031055E">
        <w:rPr>
          <w:rFonts w:ascii="Franklin Gothic Book" w:hAnsi="Franklin Gothic Book"/>
        </w:rPr>
        <w:t>cilta</w:t>
      </w:r>
      <w:proofErr w:type="spellEnd"/>
      <w:r w:rsidRPr="0031055E">
        <w:rPr>
          <w:rFonts w:ascii="Franklin Gothic Book" w:hAnsi="Franklin Gothic Book"/>
        </w:rPr>
        <w:t>-cel, CARVYKTI®)) for the treatment of adult patients with relapsed or refractory multiple myeloma (RRMM) who have received at least 4 prior lines of therapy (i.e. fifth line or later treatment), including a proteasome inhibitor (PI), an immunomodulatory agent (</w:t>
      </w:r>
      <w:proofErr w:type="spellStart"/>
      <w:r w:rsidRPr="0031055E">
        <w:rPr>
          <w:rFonts w:ascii="Franklin Gothic Book" w:hAnsi="Franklin Gothic Book"/>
        </w:rPr>
        <w:t>IMiD</w:t>
      </w:r>
      <w:proofErr w:type="spellEnd"/>
      <w:r w:rsidRPr="0031055E">
        <w:rPr>
          <w:rFonts w:ascii="Franklin Gothic Book" w:hAnsi="Franklin Gothic Book"/>
        </w:rPr>
        <w:t xml:space="preserve">) and an anti-CD38 antibody (5L+ RRMM). The applicant is seeking public funding for </w:t>
      </w:r>
      <w:proofErr w:type="spellStart"/>
      <w:r w:rsidRPr="0031055E">
        <w:rPr>
          <w:rFonts w:ascii="Franklin Gothic Book" w:hAnsi="Franklin Gothic Book"/>
        </w:rPr>
        <w:t>cilta</w:t>
      </w:r>
      <w:proofErr w:type="spellEnd"/>
      <w:r w:rsidRPr="0031055E">
        <w:rPr>
          <w:rFonts w:ascii="Franklin Gothic Book" w:hAnsi="Franklin Gothic Book"/>
        </w:rPr>
        <w:t>-cel in patients with RRMM as a Highly Specialised Therapy through the National Health Reform Agreement (NHRA), jointly funded by the Commonwealth and State and Territory governments.</w:t>
      </w:r>
    </w:p>
    <w:p w14:paraId="6B47EC2D" w14:textId="77777777" w:rsidR="00D95E54" w:rsidRDefault="00D95E54" w:rsidP="00D72F76">
      <w:pPr>
        <w:pStyle w:val="Heading2"/>
        <w:numPr>
          <w:ilvl w:val="0"/>
          <w:numId w:val="15"/>
        </w:numPr>
        <w:ind w:left="737" w:hanging="737"/>
      </w:pPr>
      <w:r>
        <w:t>MSAC’s advice to the Minister</w:t>
      </w:r>
    </w:p>
    <w:p w14:paraId="4A5BCADF" w14:textId="5265EBFC" w:rsidR="00BE446D" w:rsidRPr="00B43C11" w:rsidRDefault="00BE446D" w:rsidP="00BE446D">
      <w:pPr>
        <w:rPr>
          <w:b/>
          <w:bCs/>
        </w:rPr>
      </w:pPr>
      <w:r w:rsidRPr="00B43C11">
        <w:rPr>
          <w:b/>
          <w:bCs/>
          <w:i/>
          <w:iCs/>
        </w:rPr>
        <w:t xml:space="preserve">November 2024 MSAC consideration </w:t>
      </w:r>
    </w:p>
    <w:p w14:paraId="15765A32" w14:textId="050E5E1B" w:rsidR="00C7676A" w:rsidRPr="00B43C11" w:rsidRDefault="008733F3" w:rsidP="00C7676A">
      <w:pPr>
        <w:rPr>
          <w:rFonts w:ascii="Franklin Gothic Book" w:hAnsi="Franklin Gothic Book"/>
        </w:rPr>
      </w:pPr>
      <w:r w:rsidRPr="00B43C11">
        <w:rPr>
          <w:rFonts w:ascii="Franklin Gothic Book" w:hAnsi="Franklin Gothic Book"/>
        </w:rPr>
        <w:t xml:space="preserve">In November 2024, MSAC considered </w:t>
      </w:r>
      <w:r w:rsidR="00C7676A" w:rsidRPr="00B43C11">
        <w:rPr>
          <w:rFonts w:ascii="Franklin Gothic Book" w:hAnsi="Franklin Gothic Book"/>
        </w:rPr>
        <w:t>an updated funding proposal submitted by Janssen-Cilag</w:t>
      </w:r>
      <w:r w:rsidR="00242104" w:rsidRPr="00B43C11">
        <w:rPr>
          <w:rFonts w:ascii="Franklin Gothic Book" w:hAnsi="Franklin Gothic Book"/>
        </w:rPr>
        <w:t xml:space="preserve"> </w:t>
      </w:r>
      <w:r w:rsidR="0004593A" w:rsidRPr="00B43C11">
        <w:rPr>
          <w:rFonts w:ascii="Franklin Gothic Book" w:hAnsi="Franklin Gothic Book"/>
        </w:rPr>
        <w:t xml:space="preserve">(Janssen) </w:t>
      </w:r>
      <w:r w:rsidR="00242104" w:rsidRPr="00B43C11">
        <w:rPr>
          <w:rFonts w:ascii="Franklin Gothic Book" w:hAnsi="Franklin Gothic Book"/>
        </w:rPr>
        <w:t>in October 2024</w:t>
      </w:r>
      <w:r w:rsidR="00C7676A" w:rsidRPr="00B43C11">
        <w:rPr>
          <w:rFonts w:ascii="Franklin Gothic Book" w:hAnsi="Franklin Gothic Book"/>
        </w:rPr>
        <w:t xml:space="preserve"> to progress the public funding of </w:t>
      </w:r>
      <w:proofErr w:type="spellStart"/>
      <w:r w:rsidR="00303F19" w:rsidRPr="00B43C11">
        <w:rPr>
          <w:rFonts w:ascii="Franklin Gothic Book" w:hAnsi="Franklin Gothic Book"/>
        </w:rPr>
        <w:t>cilta</w:t>
      </w:r>
      <w:proofErr w:type="spellEnd"/>
      <w:r w:rsidR="00303F19" w:rsidRPr="00B43C11">
        <w:rPr>
          <w:rFonts w:ascii="Franklin Gothic Book" w:hAnsi="Franklin Gothic Book"/>
        </w:rPr>
        <w:t xml:space="preserve">-cel </w:t>
      </w:r>
      <w:r w:rsidR="00C7676A" w:rsidRPr="00B43C11">
        <w:rPr>
          <w:rFonts w:ascii="Franklin Gothic Book" w:hAnsi="Franklin Gothic Book"/>
        </w:rPr>
        <w:t xml:space="preserve">for </w:t>
      </w:r>
      <w:r w:rsidR="00303F19" w:rsidRPr="00B43C11">
        <w:rPr>
          <w:rFonts w:ascii="Franklin Gothic Book" w:hAnsi="Franklin Gothic Book"/>
        </w:rPr>
        <w:t>5L+ RRMM</w:t>
      </w:r>
      <w:r w:rsidR="00C7676A" w:rsidRPr="00B43C11">
        <w:rPr>
          <w:rFonts w:ascii="Franklin Gothic Book" w:hAnsi="Franklin Gothic Book"/>
        </w:rPr>
        <w:t>, supported by MSAC at its Ap</w:t>
      </w:r>
      <w:r w:rsidR="00512B1D" w:rsidRPr="00B43C11">
        <w:rPr>
          <w:rFonts w:ascii="Franklin Gothic Book" w:hAnsi="Franklin Gothic Book"/>
        </w:rPr>
        <w:t>r</w:t>
      </w:r>
      <w:r w:rsidR="00C7676A" w:rsidRPr="00B43C11">
        <w:rPr>
          <w:rFonts w:ascii="Franklin Gothic Book" w:hAnsi="Franklin Gothic Book"/>
        </w:rPr>
        <w:t xml:space="preserve">il 2024 meeting. </w:t>
      </w:r>
    </w:p>
    <w:p w14:paraId="74360CC9" w14:textId="2E9988CE" w:rsidR="00BE446D" w:rsidRPr="00B43C11" w:rsidRDefault="00EB6D89" w:rsidP="00BE446D">
      <w:pPr>
        <w:rPr>
          <w:rFonts w:ascii="Franklin Gothic Book" w:hAnsi="Franklin Gothic Book"/>
        </w:rPr>
      </w:pPr>
      <w:r w:rsidRPr="00B43C11">
        <w:rPr>
          <w:rFonts w:ascii="Franklin Gothic Book" w:hAnsi="Franklin Gothic Book"/>
        </w:rPr>
        <w:t xml:space="preserve">Given </w:t>
      </w:r>
      <w:r w:rsidR="00242104" w:rsidRPr="00B43C11">
        <w:rPr>
          <w:rFonts w:ascii="Franklin Gothic Book" w:hAnsi="Franklin Gothic Book"/>
        </w:rPr>
        <w:t>the</w:t>
      </w:r>
      <w:r w:rsidR="00C57A33" w:rsidRPr="00B43C11">
        <w:rPr>
          <w:rFonts w:ascii="Franklin Gothic Book" w:hAnsi="Franklin Gothic Book"/>
        </w:rPr>
        <w:t xml:space="preserve"> applicant submitted the </w:t>
      </w:r>
      <w:r w:rsidR="002B775B" w:rsidRPr="00B43C11">
        <w:rPr>
          <w:rFonts w:ascii="Franklin Gothic Book" w:hAnsi="Franklin Gothic Book"/>
        </w:rPr>
        <w:t>funding</w:t>
      </w:r>
      <w:r w:rsidR="00242104" w:rsidRPr="00B43C11">
        <w:rPr>
          <w:rFonts w:ascii="Franklin Gothic Book" w:hAnsi="Franklin Gothic Book"/>
        </w:rPr>
        <w:t xml:space="preserve"> proposal</w:t>
      </w:r>
      <w:r w:rsidR="00C57A33" w:rsidRPr="00B43C11">
        <w:rPr>
          <w:rFonts w:ascii="Franklin Gothic Book" w:hAnsi="Franklin Gothic Book"/>
        </w:rPr>
        <w:t xml:space="preserve"> in October 2024, accompanied by </w:t>
      </w:r>
      <w:r w:rsidR="001E2ED9" w:rsidRPr="00B43C11">
        <w:rPr>
          <w:rFonts w:ascii="Franklin Gothic Book" w:hAnsi="Franklin Gothic Book"/>
        </w:rPr>
        <w:t>an updated economic model and financial estimates that substantially</w:t>
      </w:r>
      <w:r w:rsidR="00242104" w:rsidRPr="00B43C11">
        <w:rPr>
          <w:rFonts w:ascii="Franklin Gothic Book" w:hAnsi="Franklin Gothic Book"/>
        </w:rPr>
        <w:t xml:space="preserve"> varied from the MSAC’s April 2024 advice</w:t>
      </w:r>
      <w:r w:rsidR="00AE32B9" w:rsidRPr="00B43C11">
        <w:rPr>
          <w:rFonts w:ascii="Franklin Gothic Book" w:hAnsi="Franklin Gothic Book"/>
        </w:rPr>
        <w:t xml:space="preserve">, </w:t>
      </w:r>
      <w:r w:rsidR="00D812C7" w:rsidRPr="00B43C11">
        <w:rPr>
          <w:rFonts w:ascii="Franklin Gothic Book" w:hAnsi="Franklin Gothic Book"/>
        </w:rPr>
        <w:t xml:space="preserve">MSAC considered it would be most appropriate for it to consider the </w:t>
      </w:r>
      <w:r w:rsidR="002B775B" w:rsidRPr="00B43C11">
        <w:rPr>
          <w:rFonts w:ascii="Franklin Gothic Book" w:hAnsi="Franklin Gothic Book"/>
        </w:rPr>
        <w:t xml:space="preserve">funding </w:t>
      </w:r>
      <w:r w:rsidR="00D812C7" w:rsidRPr="00B43C11">
        <w:rPr>
          <w:rFonts w:ascii="Franklin Gothic Book" w:hAnsi="Franklin Gothic Book"/>
        </w:rPr>
        <w:t xml:space="preserve">proposal at its upcoming November 2024 meeting. </w:t>
      </w:r>
    </w:p>
    <w:p w14:paraId="48E67567" w14:textId="77777777" w:rsidR="00E77D3A" w:rsidRPr="00B43C11" w:rsidRDefault="00880DC1" w:rsidP="00E77D3A">
      <w:pPr>
        <w:rPr>
          <w:rFonts w:ascii="Franklin Gothic Book" w:hAnsi="Franklin Gothic Book"/>
        </w:rPr>
      </w:pPr>
      <w:r w:rsidRPr="00B43C11">
        <w:rPr>
          <w:rFonts w:ascii="Franklin Gothic Book" w:hAnsi="Franklin Gothic Book"/>
        </w:rPr>
        <w:t xml:space="preserve">MSAC continued to support the public funding of </w:t>
      </w:r>
      <w:proofErr w:type="spellStart"/>
      <w:r w:rsidRPr="00B43C11">
        <w:rPr>
          <w:rFonts w:ascii="Franklin Gothic Book" w:hAnsi="Franklin Gothic Book"/>
        </w:rPr>
        <w:t>cilta</w:t>
      </w:r>
      <w:proofErr w:type="spellEnd"/>
      <w:r w:rsidRPr="00B43C11">
        <w:rPr>
          <w:rFonts w:ascii="Franklin Gothic Book" w:hAnsi="Franklin Gothic Book"/>
        </w:rPr>
        <w:t xml:space="preserve">-cel for </w:t>
      </w:r>
      <w:r w:rsidR="00C62E8B" w:rsidRPr="00B43C11">
        <w:rPr>
          <w:rFonts w:ascii="Franklin Gothic Book" w:hAnsi="Franklin Gothic Book"/>
        </w:rPr>
        <w:t xml:space="preserve">the treatment of adult patients with 5L+ RRMM. </w:t>
      </w:r>
      <w:r w:rsidR="008B3849" w:rsidRPr="00B43C11">
        <w:rPr>
          <w:rFonts w:ascii="Franklin Gothic Book" w:hAnsi="Franklin Gothic Book"/>
        </w:rPr>
        <w:t>MSA</w:t>
      </w:r>
      <w:r w:rsidR="00E77D3A" w:rsidRPr="00B43C11">
        <w:rPr>
          <w:rFonts w:ascii="Franklin Gothic Book" w:hAnsi="Franklin Gothic Book"/>
        </w:rPr>
        <w:t>C</w:t>
      </w:r>
      <w:r w:rsidR="008B3849" w:rsidRPr="00B43C11">
        <w:rPr>
          <w:rFonts w:ascii="Franklin Gothic Book" w:hAnsi="Franklin Gothic Book"/>
        </w:rPr>
        <w:t xml:space="preserve"> acknowledged the applicant ha</w:t>
      </w:r>
      <w:r w:rsidR="00E77D3A" w:rsidRPr="00B43C11">
        <w:rPr>
          <w:rFonts w:ascii="Franklin Gothic Book" w:hAnsi="Franklin Gothic Book"/>
        </w:rPr>
        <w:t xml:space="preserve">d reduced its price since its April 2024 pricing proposal and that it no longer proposed to place caps on the number of patients treated with </w:t>
      </w:r>
      <w:proofErr w:type="spellStart"/>
      <w:r w:rsidR="00E77D3A" w:rsidRPr="00B43C11">
        <w:rPr>
          <w:rFonts w:ascii="Franklin Gothic Book" w:hAnsi="Franklin Gothic Book"/>
        </w:rPr>
        <w:t>cilta</w:t>
      </w:r>
      <w:proofErr w:type="spellEnd"/>
      <w:r w:rsidR="00E77D3A" w:rsidRPr="00B43C11">
        <w:rPr>
          <w:rFonts w:ascii="Franklin Gothic Book" w:hAnsi="Franklin Gothic Book"/>
        </w:rPr>
        <w:t xml:space="preserve">-cel per year. However, MSAC considered the alternative funding proposal submitted by the applicant did not appropriately address the clinical, economic and financial uncertainty associated with public funding. </w:t>
      </w:r>
    </w:p>
    <w:p w14:paraId="7023B76D" w14:textId="1360C380" w:rsidR="00E77D3A" w:rsidRPr="00B43C11" w:rsidRDefault="0FEE411F" w:rsidP="00E77D3A">
      <w:pPr>
        <w:rPr>
          <w:rFonts w:ascii="Franklin Gothic Book" w:hAnsi="Franklin Gothic Book"/>
        </w:rPr>
      </w:pPr>
      <w:r w:rsidRPr="00B43C11">
        <w:rPr>
          <w:rFonts w:ascii="Franklin Gothic Book" w:hAnsi="Franklin Gothic Book"/>
        </w:rPr>
        <w:t>MSAC considered the outcome measure of overall survival</w:t>
      </w:r>
      <w:r w:rsidR="09C91316" w:rsidRPr="00B43C11">
        <w:rPr>
          <w:rFonts w:ascii="Franklin Gothic Book" w:hAnsi="Franklin Gothic Book"/>
        </w:rPr>
        <w:t xml:space="preserve"> (OS)</w:t>
      </w:r>
      <w:r w:rsidRPr="00B43C11">
        <w:rPr>
          <w:rFonts w:ascii="Franklin Gothic Book" w:hAnsi="Franklin Gothic Book"/>
        </w:rPr>
        <w:t xml:space="preserve"> proposed by the applicant was not an appropriate outcome on which </w:t>
      </w:r>
      <w:r w:rsidR="49107B5E" w:rsidRPr="00B43C11">
        <w:rPr>
          <w:rFonts w:ascii="Franklin Gothic Book" w:hAnsi="Franklin Gothic Book"/>
        </w:rPr>
        <w:t>a Pay-for-Performa</w:t>
      </w:r>
      <w:r w:rsidR="00FB4F73" w:rsidRPr="00B43C11">
        <w:rPr>
          <w:rFonts w:ascii="Franklin Gothic Book" w:hAnsi="Franklin Gothic Book"/>
        </w:rPr>
        <w:t>n</w:t>
      </w:r>
      <w:r w:rsidR="49107B5E" w:rsidRPr="00B43C11">
        <w:rPr>
          <w:rFonts w:ascii="Franklin Gothic Book" w:hAnsi="Franklin Gothic Book"/>
        </w:rPr>
        <w:t>ce (</w:t>
      </w:r>
      <w:proofErr w:type="spellStart"/>
      <w:r w:rsidRPr="00B43C11">
        <w:rPr>
          <w:rFonts w:ascii="Franklin Gothic Book" w:hAnsi="Franklin Gothic Book"/>
        </w:rPr>
        <w:t>PfP</w:t>
      </w:r>
      <w:proofErr w:type="spellEnd"/>
      <w:r w:rsidR="49107B5E" w:rsidRPr="00B43C11">
        <w:rPr>
          <w:rFonts w:ascii="Franklin Gothic Book" w:hAnsi="Franklin Gothic Book"/>
        </w:rPr>
        <w:t xml:space="preserve">) </w:t>
      </w:r>
      <w:r w:rsidR="367B6EF6" w:rsidRPr="00B43C11">
        <w:rPr>
          <w:rFonts w:ascii="Franklin Gothic Book" w:hAnsi="Franklin Gothic Book"/>
        </w:rPr>
        <w:t>arrangement</w:t>
      </w:r>
      <w:r w:rsidRPr="00B43C11">
        <w:rPr>
          <w:rFonts w:ascii="Franklin Gothic Book" w:hAnsi="Franklin Gothic Book"/>
        </w:rPr>
        <w:t xml:space="preserve"> should be based. MSAC considered the </w:t>
      </w:r>
      <w:proofErr w:type="spellStart"/>
      <w:r w:rsidRPr="00B43C11">
        <w:rPr>
          <w:rFonts w:ascii="Franklin Gothic Book" w:hAnsi="Franklin Gothic Book"/>
        </w:rPr>
        <w:t>PfP</w:t>
      </w:r>
      <w:proofErr w:type="spellEnd"/>
      <w:r w:rsidRPr="00B43C11">
        <w:rPr>
          <w:rFonts w:ascii="Franklin Gothic Book" w:hAnsi="Franklin Gothic Book"/>
        </w:rPr>
        <w:t xml:space="preserve"> should be based on an outcome that could be attributed directly to </w:t>
      </w:r>
      <w:r w:rsidR="33DD5F5C" w:rsidRPr="00B43C11">
        <w:rPr>
          <w:rFonts w:ascii="Franklin Gothic Book" w:hAnsi="Franklin Gothic Book"/>
        </w:rPr>
        <w:t xml:space="preserve">the </w:t>
      </w:r>
      <w:r w:rsidRPr="00B43C11">
        <w:rPr>
          <w:rFonts w:ascii="Franklin Gothic Book" w:hAnsi="Franklin Gothic Book"/>
        </w:rPr>
        <w:t xml:space="preserve">use of </w:t>
      </w:r>
      <w:proofErr w:type="spellStart"/>
      <w:r w:rsidRPr="00B43C11">
        <w:rPr>
          <w:rFonts w:ascii="Franklin Gothic Book" w:hAnsi="Franklin Gothic Book"/>
        </w:rPr>
        <w:t>cilta</w:t>
      </w:r>
      <w:proofErr w:type="spellEnd"/>
      <w:r w:rsidRPr="00B43C11">
        <w:rPr>
          <w:rFonts w:ascii="Franklin Gothic Book" w:hAnsi="Franklin Gothic Book"/>
        </w:rPr>
        <w:t>-cel, such as stringent complete response</w:t>
      </w:r>
      <w:r w:rsidR="5103EAC5" w:rsidRPr="00B43C11">
        <w:rPr>
          <w:rFonts w:ascii="Franklin Gothic Book" w:hAnsi="Franklin Gothic Book"/>
        </w:rPr>
        <w:t xml:space="preserve"> (</w:t>
      </w:r>
      <w:proofErr w:type="spellStart"/>
      <w:r w:rsidR="5103EAC5" w:rsidRPr="00B43C11">
        <w:rPr>
          <w:rFonts w:ascii="Franklin Gothic Book" w:hAnsi="Franklin Gothic Book"/>
        </w:rPr>
        <w:t>sCR</w:t>
      </w:r>
      <w:proofErr w:type="spellEnd"/>
      <w:r w:rsidR="5103EAC5" w:rsidRPr="00B43C11">
        <w:rPr>
          <w:rFonts w:ascii="Franklin Gothic Book" w:hAnsi="Franklin Gothic Book"/>
        </w:rPr>
        <w:t>)</w:t>
      </w:r>
      <w:r w:rsidRPr="00B43C11">
        <w:rPr>
          <w:rFonts w:ascii="Franklin Gothic Book" w:hAnsi="Franklin Gothic Book"/>
        </w:rPr>
        <w:t xml:space="preserve"> with no use of subsequent therapies. MSAC maintained that a 4-year </w:t>
      </w:r>
      <w:proofErr w:type="spellStart"/>
      <w:r w:rsidRPr="00B43C11">
        <w:rPr>
          <w:rFonts w:ascii="Franklin Gothic Book" w:hAnsi="Franklin Gothic Book"/>
        </w:rPr>
        <w:t>PfP</w:t>
      </w:r>
      <w:proofErr w:type="spellEnd"/>
      <w:r w:rsidRPr="00B43C11">
        <w:rPr>
          <w:rFonts w:ascii="Franklin Gothic Book" w:hAnsi="Franklin Gothic Book"/>
        </w:rPr>
        <w:t xml:space="preserve"> arrangement is most closely aligned with the available clinical evidence (to account for the diminishing effectiveness of the treatment over time). However, MSAC considered that a shorter </w:t>
      </w:r>
      <w:proofErr w:type="spellStart"/>
      <w:r w:rsidRPr="00B43C11">
        <w:rPr>
          <w:rFonts w:ascii="Franklin Gothic Book" w:hAnsi="Franklin Gothic Book"/>
        </w:rPr>
        <w:t>PfP</w:t>
      </w:r>
      <w:proofErr w:type="spellEnd"/>
      <w:r w:rsidRPr="00B43C11">
        <w:rPr>
          <w:rFonts w:ascii="Franklin Gothic Book" w:hAnsi="Franklin Gothic Book"/>
        </w:rPr>
        <w:t xml:space="preserve"> arrangement based on </w:t>
      </w:r>
      <w:proofErr w:type="spellStart"/>
      <w:r w:rsidR="5103EAC5" w:rsidRPr="00B43C11">
        <w:rPr>
          <w:rFonts w:ascii="Franklin Gothic Book" w:hAnsi="Franklin Gothic Book"/>
        </w:rPr>
        <w:t>sCR</w:t>
      </w:r>
      <w:proofErr w:type="spellEnd"/>
      <w:r w:rsidRPr="00B43C11">
        <w:rPr>
          <w:rFonts w:ascii="Franklin Gothic Book" w:hAnsi="Franklin Gothic Book"/>
        </w:rPr>
        <w:t xml:space="preserve"> at 12 months and progression free survival</w:t>
      </w:r>
      <w:r w:rsidR="5103EAC5" w:rsidRPr="00B43C11">
        <w:rPr>
          <w:rFonts w:ascii="Franklin Gothic Book" w:hAnsi="Franklin Gothic Book"/>
        </w:rPr>
        <w:t xml:space="preserve"> (PFS)</w:t>
      </w:r>
      <w:r w:rsidRPr="00B43C11">
        <w:rPr>
          <w:rFonts w:ascii="Franklin Gothic Book" w:hAnsi="Franklin Gothic Book"/>
        </w:rPr>
        <w:t xml:space="preserve"> thereafter with no use of subsequent treatments</w:t>
      </w:r>
      <w:r w:rsidR="1CCC175B" w:rsidRPr="00B43C11">
        <w:rPr>
          <w:rFonts w:ascii="Franklin Gothic Book" w:hAnsi="Franklin Gothic Book"/>
        </w:rPr>
        <w:t>,</w:t>
      </w:r>
      <w:r w:rsidRPr="00B43C11">
        <w:rPr>
          <w:rFonts w:ascii="Franklin Gothic Book" w:hAnsi="Franklin Gothic Book"/>
        </w:rPr>
        <w:t xml:space="preserve"> that resulted in a price and ICER </w:t>
      </w:r>
      <w:r w:rsidR="07165F5B" w:rsidRPr="00B43C11">
        <w:rPr>
          <w:rFonts w:ascii="Franklin Gothic Book" w:hAnsi="Franklin Gothic Book"/>
        </w:rPr>
        <w:t>largely aligned with the applicant’s October 2024</w:t>
      </w:r>
      <w:r w:rsidRPr="00B43C11">
        <w:rPr>
          <w:rFonts w:ascii="Franklin Gothic Book" w:hAnsi="Franklin Gothic Book"/>
        </w:rPr>
        <w:t xml:space="preserve"> </w:t>
      </w:r>
      <w:r w:rsidR="32BAB4D6" w:rsidRPr="00B43C11">
        <w:rPr>
          <w:rFonts w:ascii="Franklin Gothic Book" w:hAnsi="Franklin Gothic Book"/>
        </w:rPr>
        <w:t>funding</w:t>
      </w:r>
      <w:r w:rsidRPr="00B43C11">
        <w:rPr>
          <w:rFonts w:ascii="Franklin Gothic Book" w:hAnsi="Franklin Gothic Book"/>
        </w:rPr>
        <w:t xml:space="preserve"> proposal would be acceptable</w:t>
      </w:r>
      <w:r w:rsidR="32BAB4D6" w:rsidRPr="00B43C11">
        <w:rPr>
          <w:rFonts w:ascii="Franklin Gothic Book" w:hAnsi="Franklin Gothic Book"/>
        </w:rPr>
        <w:t xml:space="preserve"> (i.e. </w:t>
      </w:r>
      <w:r w:rsidR="0787D1BD" w:rsidRPr="00B43C11">
        <w:rPr>
          <w:rFonts w:ascii="Franklin Gothic Book" w:hAnsi="Franklin Gothic Book"/>
        </w:rPr>
        <w:t>maximum price per responder of $</w:t>
      </w:r>
      <w:r w:rsidR="00DE62FE" w:rsidRPr="00DE62FE">
        <w:rPr>
          <w:rFonts w:ascii="Franklin Gothic Book" w:hAnsi="Franklin Gothic Book"/>
          <w:color w:val="000000"/>
          <w:w w:val="66"/>
          <w:shd w:val="solid" w:color="000000" w:fill="000000"/>
          <w:fitText w:val="440" w:id="-775724032"/>
          <w14:textFill>
            <w14:solidFill>
              <w14:srgbClr w14:val="000000">
                <w14:alpha w14:val="100000"/>
              </w14:srgbClr>
            </w14:solidFill>
          </w14:textFill>
        </w:rPr>
        <w:t>||||||</w:t>
      </w:r>
      <w:r w:rsidR="0787D1BD" w:rsidRPr="00B43C11">
        <w:rPr>
          <w:rFonts w:ascii="Franklin Gothic Book" w:hAnsi="Franklin Gothic Book"/>
        </w:rPr>
        <w:t xml:space="preserve">; average price </w:t>
      </w:r>
      <w:r w:rsidR="19779487" w:rsidRPr="00B43C11">
        <w:rPr>
          <w:rFonts w:ascii="Franklin Gothic Book" w:hAnsi="Franklin Gothic Book"/>
        </w:rPr>
        <w:t>$</w:t>
      </w:r>
      <w:r w:rsidR="00DE62FE" w:rsidRPr="00DE62FE">
        <w:rPr>
          <w:rFonts w:ascii="Franklin Gothic Book" w:hAnsi="Franklin Gothic Book"/>
          <w:color w:val="000000"/>
          <w:w w:val="66"/>
          <w:shd w:val="solid" w:color="000000" w:fill="000000"/>
          <w:fitText w:val="440" w:id="-775724031"/>
          <w14:textFill>
            <w14:solidFill>
              <w14:srgbClr w14:val="000000">
                <w14:alpha w14:val="100000"/>
              </w14:srgbClr>
            </w14:solidFill>
          </w14:textFill>
        </w:rPr>
        <w:t>||||||</w:t>
      </w:r>
      <w:r w:rsidR="19779487" w:rsidRPr="00B43C11">
        <w:rPr>
          <w:rFonts w:ascii="Franklin Gothic Book" w:hAnsi="Franklin Gothic Book"/>
        </w:rPr>
        <w:t xml:space="preserve">; and ICER </w:t>
      </w:r>
      <w:r w:rsidR="007141ED" w:rsidRPr="006923E9">
        <w:rPr>
          <w:rFonts w:ascii="Franklin Gothic Book" w:hAnsi="Franklin Gothic Book"/>
        </w:rPr>
        <w:t>$95,000 to &lt; $115,000/ QALY</w:t>
      </w:r>
      <w:r w:rsidR="007141ED">
        <w:rPr>
          <w:rFonts w:ascii="Franklin Gothic Book" w:hAnsi="Franklin Gothic Book"/>
        </w:rPr>
        <w:t>.</w:t>
      </w:r>
      <w:r w:rsidR="007141ED" w:rsidRPr="00B43C11">
        <w:rPr>
          <w:rFonts w:ascii="Franklin Gothic Book" w:hAnsi="Franklin Gothic Book"/>
        </w:rPr>
        <w:t xml:space="preserve"> </w:t>
      </w:r>
      <w:r w:rsidRPr="00B43C11">
        <w:rPr>
          <w:rFonts w:ascii="Franklin Gothic Book" w:hAnsi="Franklin Gothic Book"/>
        </w:rPr>
        <w:t>MSAC also considered a single payment on successful infusion that appropriately accounted for the diminishing effectiveness of the treatment over time could be considered</w:t>
      </w:r>
      <w:r w:rsidR="2921FA0F" w:rsidRPr="00B43C11">
        <w:rPr>
          <w:rFonts w:ascii="Franklin Gothic Book" w:hAnsi="Franklin Gothic Book"/>
        </w:rPr>
        <w:t xml:space="preserve"> as an alternative funding arrangement</w:t>
      </w:r>
      <w:r w:rsidR="166ABBFD" w:rsidRPr="00B43C11">
        <w:rPr>
          <w:rFonts w:ascii="Franklin Gothic Book" w:hAnsi="Franklin Gothic Book"/>
        </w:rPr>
        <w:t xml:space="preserve"> to a </w:t>
      </w:r>
      <w:proofErr w:type="spellStart"/>
      <w:r w:rsidR="166ABBFD" w:rsidRPr="00B43C11">
        <w:rPr>
          <w:rFonts w:ascii="Franklin Gothic Book" w:hAnsi="Franklin Gothic Book"/>
        </w:rPr>
        <w:t>PfP</w:t>
      </w:r>
      <w:proofErr w:type="spellEnd"/>
      <w:r w:rsidR="2921FA0F" w:rsidRPr="00B43C11">
        <w:rPr>
          <w:rFonts w:ascii="Franklin Gothic Book" w:hAnsi="Franklin Gothic Book"/>
        </w:rPr>
        <w:t>.</w:t>
      </w:r>
      <w:r w:rsidRPr="00B43C11">
        <w:rPr>
          <w:rFonts w:ascii="Franklin Gothic Book" w:hAnsi="Franklin Gothic Book"/>
        </w:rPr>
        <w:t> </w:t>
      </w:r>
      <w:r w:rsidR="2921FA0F" w:rsidRPr="00B43C11">
        <w:rPr>
          <w:rFonts w:ascii="Franklin Gothic Book" w:hAnsi="Franklin Gothic Book"/>
        </w:rPr>
        <w:t xml:space="preserve">MSAC </w:t>
      </w:r>
      <w:r w:rsidR="166ABBFD" w:rsidRPr="00B43C11">
        <w:rPr>
          <w:rFonts w:ascii="Franklin Gothic Book" w:hAnsi="Franklin Gothic Book"/>
        </w:rPr>
        <w:t>considered</w:t>
      </w:r>
      <w:r w:rsidR="2921FA0F" w:rsidRPr="00B43C11">
        <w:rPr>
          <w:rFonts w:ascii="Franklin Gothic Book" w:hAnsi="Franklin Gothic Book"/>
        </w:rPr>
        <w:t xml:space="preserve"> this would require a</w:t>
      </w:r>
      <w:r w:rsidR="541233F0" w:rsidRPr="00B43C11">
        <w:rPr>
          <w:rFonts w:ascii="Franklin Gothic Book" w:hAnsi="Franklin Gothic Book"/>
        </w:rPr>
        <w:t xml:space="preserve"> commensurate</w:t>
      </w:r>
      <w:r w:rsidR="2921FA0F" w:rsidRPr="00B43C11">
        <w:rPr>
          <w:rFonts w:ascii="Franklin Gothic Book" w:hAnsi="Franklin Gothic Book"/>
        </w:rPr>
        <w:t xml:space="preserve"> </w:t>
      </w:r>
      <w:r w:rsidR="4ED3E769" w:rsidRPr="00B43C11">
        <w:rPr>
          <w:rFonts w:ascii="Franklin Gothic Book" w:hAnsi="Franklin Gothic Book"/>
        </w:rPr>
        <w:t xml:space="preserve">price reduction. </w:t>
      </w:r>
      <w:r w:rsidR="23845ABD" w:rsidRPr="00B43C11">
        <w:rPr>
          <w:rFonts w:ascii="Franklin Gothic Book" w:hAnsi="Franklin Gothic Book"/>
        </w:rPr>
        <w:t>MSAC considered the requirement for a review post funding is still required.</w:t>
      </w:r>
    </w:p>
    <w:p w14:paraId="03903F3A" w14:textId="132FBA0D" w:rsidR="007F1B9A" w:rsidRDefault="7880538E" w:rsidP="00BE446D">
      <w:pPr>
        <w:rPr>
          <w:rFonts w:ascii="Franklin Gothic Book" w:hAnsi="Franklin Gothic Book"/>
        </w:rPr>
      </w:pPr>
      <w:r w:rsidRPr="00B43C11">
        <w:rPr>
          <w:rFonts w:ascii="Franklin Gothic Book" w:hAnsi="Franklin Gothic Book"/>
        </w:rPr>
        <w:t xml:space="preserve">MSAC considered that if a </w:t>
      </w:r>
      <w:proofErr w:type="spellStart"/>
      <w:r w:rsidRPr="00B43C11">
        <w:rPr>
          <w:rFonts w:ascii="Franklin Gothic Book" w:hAnsi="Franklin Gothic Book"/>
        </w:rPr>
        <w:t>PfP</w:t>
      </w:r>
      <w:proofErr w:type="spellEnd"/>
      <w:r w:rsidRPr="00B43C11">
        <w:rPr>
          <w:rFonts w:ascii="Franklin Gothic Book" w:hAnsi="Franklin Gothic Book"/>
        </w:rPr>
        <w:t xml:space="preserve"> arrangement is implemented, then paying up to the average price</w:t>
      </w:r>
      <w:r w:rsidR="6F516E04" w:rsidRPr="00B43C11">
        <w:rPr>
          <w:rFonts w:ascii="Franklin Gothic Book" w:hAnsi="Franklin Gothic Book"/>
        </w:rPr>
        <w:t xml:space="preserve"> per patient</w:t>
      </w:r>
      <w:r w:rsidR="09ED6991" w:rsidRPr="00B43C11">
        <w:rPr>
          <w:rFonts w:ascii="Franklin Gothic Book" w:hAnsi="Franklin Gothic Book"/>
        </w:rPr>
        <w:t xml:space="preserve"> for patients lost to follow-up was </w:t>
      </w:r>
      <w:r w:rsidR="3C03C593" w:rsidRPr="00B43C11">
        <w:rPr>
          <w:rFonts w:ascii="Franklin Gothic Book" w:hAnsi="Franklin Gothic Book"/>
        </w:rPr>
        <w:t>reasonable</w:t>
      </w:r>
      <w:r w:rsidR="09ED6991" w:rsidRPr="00B43C11">
        <w:rPr>
          <w:rFonts w:ascii="Franklin Gothic Book" w:hAnsi="Franklin Gothic Book"/>
        </w:rPr>
        <w:t>.</w:t>
      </w:r>
      <w:r w:rsidR="3C03C593" w:rsidRPr="00B43C11">
        <w:rPr>
          <w:rFonts w:ascii="Franklin Gothic Book" w:hAnsi="Franklin Gothic Book"/>
        </w:rPr>
        <w:t xml:space="preserve"> </w:t>
      </w:r>
      <w:r w:rsidR="7D9DD82A" w:rsidRPr="00B43C11">
        <w:rPr>
          <w:rFonts w:ascii="Franklin Gothic Book" w:hAnsi="Franklin Gothic Book"/>
        </w:rPr>
        <w:t>MSAC noted that the applicant’s interpretation of its April 2024 advice</w:t>
      </w:r>
      <w:r w:rsidR="031C6D95" w:rsidRPr="00B43C11">
        <w:rPr>
          <w:rFonts w:ascii="Franklin Gothic Book" w:hAnsi="Franklin Gothic Book"/>
        </w:rPr>
        <w:t xml:space="preserve"> related to </w:t>
      </w:r>
      <w:r w:rsidR="5288667D" w:rsidRPr="00B43C11">
        <w:rPr>
          <w:rFonts w:ascii="Franklin Gothic Book" w:hAnsi="Franklin Gothic Book"/>
        </w:rPr>
        <w:t>the Risk Sharing Arrangement (RSA)</w:t>
      </w:r>
      <w:r w:rsidR="7D9DD82A" w:rsidRPr="00B43C11">
        <w:rPr>
          <w:rFonts w:ascii="Franklin Gothic Book" w:hAnsi="Franklin Gothic Book"/>
        </w:rPr>
        <w:t xml:space="preserve">. MSAC reaffirmed that for any patient treated above the </w:t>
      </w:r>
      <w:r w:rsidR="53DE42BE" w:rsidRPr="00B43C11">
        <w:rPr>
          <w:rFonts w:ascii="Franklin Gothic Book" w:hAnsi="Franklin Gothic Book"/>
        </w:rPr>
        <w:t>subsidisation cap, the company should receive a one-off reduced payment at</w:t>
      </w:r>
      <w:r w:rsidR="055A8646" w:rsidRPr="00B43C11">
        <w:rPr>
          <w:rFonts w:ascii="Franklin Gothic Book" w:hAnsi="Franklin Gothic Book"/>
        </w:rPr>
        <w:t xml:space="preserve"> </w:t>
      </w:r>
      <w:r w:rsidR="53DE42BE" w:rsidRPr="00B43C11">
        <w:rPr>
          <w:rFonts w:ascii="Franklin Gothic Book" w:hAnsi="Franklin Gothic Book"/>
        </w:rPr>
        <w:t xml:space="preserve">successful infusion only. </w:t>
      </w:r>
      <w:r w:rsidR="085093E0" w:rsidRPr="00B43C11">
        <w:rPr>
          <w:rFonts w:ascii="Franklin Gothic Book" w:hAnsi="Franklin Gothic Book"/>
        </w:rPr>
        <w:t>Given MSAC accepted the patient estimates put forward by Janssen, MSAC did not consider the applicant’s proposal represented a reasonable RSA</w:t>
      </w:r>
      <w:r w:rsidR="008758EA" w:rsidRPr="00B43C11">
        <w:rPr>
          <w:rFonts w:ascii="Franklin Gothic Book" w:hAnsi="Franklin Gothic Book"/>
        </w:rPr>
        <w:t xml:space="preserve"> f</w:t>
      </w:r>
      <w:r w:rsidR="00AF73E2" w:rsidRPr="00B43C11">
        <w:rPr>
          <w:rFonts w:ascii="Franklin Gothic Book" w:hAnsi="Franklin Gothic Book"/>
        </w:rPr>
        <w:t>o</w:t>
      </w:r>
      <w:r w:rsidR="008758EA" w:rsidRPr="00B43C11">
        <w:rPr>
          <w:rFonts w:ascii="Franklin Gothic Book" w:hAnsi="Franklin Gothic Book"/>
        </w:rPr>
        <w:t>r patients</w:t>
      </w:r>
      <w:r w:rsidR="00AF73E2" w:rsidRPr="00B43C11">
        <w:rPr>
          <w:rFonts w:ascii="Franklin Gothic Book" w:hAnsi="Franklin Gothic Book"/>
        </w:rPr>
        <w:t xml:space="preserve"> treated above the </w:t>
      </w:r>
      <w:r w:rsidR="00A12192" w:rsidRPr="00B43C11">
        <w:rPr>
          <w:rFonts w:ascii="Franklin Gothic Book" w:hAnsi="Franklin Gothic Book"/>
        </w:rPr>
        <w:t>subsidisation</w:t>
      </w:r>
      <w:r w:rsidR="00AF73E2" w:rsidRPr="00B43C11">
        <w:rPr>
          <w:rFonts w:ascii="Franklin Gothic Book" w:hAnsi="Franklin Gothic Book"/>
        </w:rPr>
        <w:t xml:space="preserve"> ca</w:t>
      </w:r>
      <w:r w:rsidR="00A12192" w:rsidRPr="00B43C11">
        <w:rPr>
          <w:rFonts w:ascii="Franklin Gothic Book" w:hAnsi="Franklin Gothic Book"/>
        </w:rPr>
        <w:t>p</w:t>
      </w:r>
      <w:r w:rsidR="085093E0" w:rsidRPr="00B43C11">
        <w:rPr>
          <w:rFonts w:ascii="Franklin Gothic Book" w:hAnsi="Franklin Gothic Book"/>
        </w:rPr>
        <w:t xml:space="preserve">. </w:t>
      </w:r>
      <w:r w:rsidR="055A8646" w:rsidRPr="00B43C11">
        <w:rPr>
          <w:rFonts w:ascii="Franklin Gothic Book" w:hAnsi="Franklin Gothic Book"/>
        </w:rPr>
        <w:t>MSAC considered</w:t>
      </w:r>
      <w:r w:rsidR="75A13706" w:rsidRPr="00B43C11">
        <w:rPr>
          <w:rFonts w:ascii="Franklin Gothic Book" w:hAnsi="Franklin Gothic Book"/>
        </w:rPr>
        <w:t xml:space="preserve"> a reasonable RSA </w:t>
      </w:r>
      <w:r w:rsidR="79D0DB69" w:rsidRPr="00B43C11">
        <w:rPr>
          <w:rFonts w:ascii="Franklin Gothic Book" w:hAnsi="Franklin Gothic Book"/>
        </w:rPr>
        <w:t xml:space="preserve">price </w:t>
      </w:r>
      <w:r w:rsidR="00A12192" w:rsidRPr="00B43C11">
        <w:rPr>
          <w:rFonts w:ascii="Franklin Gothic Book" w:hAnsi="Franklin Gothic Book"/>
        </w:rPr>
        <w:t xml:space="preserve">for such patients </w:t>
      </w:r>
      <w:r w:rsidR="75A13706" w:rsidRPr="00B43C11">
        <w:rPr>
          <w:rFonts w:ascii="Franklin Gothic Book" w:hAnsi="Franklin Gothic Book"/>
        </w:rPr>
        <w:t xml:space="preserve">would be </w:t>
      </w:r>
      <w:r w:rsidR="77D6E5D0" w:rsidRPr="00B43C11">
        <w:rPr>
          <w:rFonts w:ascii="Franklin Gothic Book" w:hAnsi="Franklin Gothic Book"/>
        </w:rPr>
        <w:t>approximately</w:t>
      </w:r>
      <w:r w:rsidR="004B0B96">
        <w:rPr>
          <w:rFonts w:ascii="Franklin Gothic Book" w:hAnsi="Franklin Gothic Book"/>
        </w:rPr>
        <w:t xml:space="preserve"> </w:t>
      </w:r>
      <w:r w:rsidR="00DE62FE" w:rsidRPr="00DE62FE">
        <w:rPr>
          <w:rFonts w:ascii="Franklin Gothic Book" w:hAnsi="Franklin Gothic Book"/>
          <w:color w:val="000000"/>
          <w:w w:val="66"/>
          <w:shd w:val="solid" w:color="000000" w:fill="000000"/>
          <w:fitText w:val="440" w:id="-775724030"/>
          <w14:textFill>
            <w14:solidFill>
              <w14:srgbClr w14:val="000000">
                <w14:alpha w14:val="100000"/>
              </w14:srgbClr>
            </w14:solidFill>
          </w14:textFill>
        </w:rPr>
        <w:t>||||||</w:t>
      </w:r>
      <w:r w:rsidR="75A13706" w:rsidRPr="00B43C11">
        <w:rPr>
          <w:rFonts w:ascii="Franklin Gothic Book" w:hAnsi="Franklin Gothic Book"/>
        </w:rPr>
        <w:t>%</w:t>
      </w:r>
      <w:r w:rsidR="22EA7141" w:rsidRPr="00B43C11">
        <w:rPr>
          <w:rFonts w:ascii="Franklin Gothic Book" w:hAnsi="Franklin Gothic Book"/>
        </w:rPr>
        <w:t xml:space="preserve"> of the price paid per responder (i.e. </w:t>
      </w:r>
      <w:r w:rsidR="00DE62FE" w:rsidRPr="00DE62FE">
        <w:rPr>
          <w:rFonts w:ascii="Franklin Gothic Book" w:hAnsi="Franklin Gothic Book"/>
          <w:color w:val="000000"/>
          <w:w w:val="66"/>
          <w:shd w:val="solid" w:color="000000" w:fill="000000"/>
          <w:fitText w:val="440" w:id="-775723776"/>
          <w14:textFill>
            <w14:solidFill>
              <w14:srgbClr w14:val="000000">
                <w14:alpha w14:val="100000"/>
              </w14:srgbClr>
            </w14:solidFill>
          </w14:textFill>
        </w:rPr>
        <w:t>||||||</w:t>
      </w:r>
      <w:r w:rsidR="00A12192" w:rsidRPr="00B43C11">
        <w:rPr>
          <w:rFonts w:ascii="Franklin Gothic Book" w:hAnsi="Franklin Gothic Book"/>
        </w:rPr>
        <w:t xml:space="preserve">% of the </w:t>
      </w:r>
      <w:r w:rsidR="22EA7141" w:rsidRPr="00B43C11">
        <w:rPr>
          <w:rFonts w:ascii="Franklin Gothic Book" w:hAnsi="Franklin Gothic Book"/>
        </w:rPr>
        <w:t>maximum price).</w:t>
      </w:r>
      <w:r w:rsidR="22EA7141" w:rsidRPr="717614A0">
        <w:rPr>
          <w:rFonts w:ascii="Franklin Gothic Book" w:hAnsi="Franklin Gothic Book"/>
        </w:rPr>
        <w:t xml:space="preserve"> </w:t>
      </w:r>
    </w:p>
    <w:p w14:paraId="095D111B" w14:textId="63B5F899" w:rsidR="00BE446D" w:rsidRPr="007F1B9A" w:rsidRDefault="00BE446D" w:rsidP="00D95E54">
      <w:pPr>
        <w:rPr>
          <w:rFonts w:ascii="Franklin Gothic Book" w:hAnsi="Franklin Gothic Book"/>
        </w:rPr>
      </w:pPr>
      <w:r w:rsidRPr="00BE446D">
        <w:rPr>
          <w:b/>
          <w:bCs/>
          <w:i/>
          <w:iCs/>
        </w:rPr>
        <w:t xml:space="preserve">April 2024 MSAC consideration </w:t>
      </w:r>
    </w:p>
    <w:p w14:paraId="472DD0DE" w14:textId="001D7ED5" w:rsidR="00D95E54" w:rsidRPr="001D5327" w:rsidRDefault="00D95E54" w:rsidP="00D95E54">
      <w:pPr>
        <w:rPr>
          <w:rFonts w:ascii="Franklin Gothic Book" w:hAnsi="Franklin Gothic Book"/>
        </w:rPr>
      </w:pPr>
      <w:r w:rsidRPr="001D5327">
        <w:rPr>
          <w:rFonts w:ascii="Franklin Gothic Book" w:hAnsi="Franklin Gothic Book"/>
        </w:rPr>
        <w:t xml:space="preserve">Following the MSAC’s decision to defer its advice on the public funding of </w:t>
      </w:r>
      <w:proofErr w:type="spellStart"/>
      <w:r w:rsidRPr="001D5327">
        <w:rPr>
          <w:rFonts w:ascii="Franklin Gothic Book" w:hAnsi="Franklin Gothic Book"/>
        </w:rPr>
        <w:t>cilta</w:t>
      </w:r>
      <w:proofErr w:type="spellEnd"/>
      <w:r w:rsidRPr="001D5327">
        <w:rPr>
          <w:rFonts w:ascii="Franklin Gothic Book" w:hAnsi="Franklin Gothic Book"/>
        </w:rPr>
        <w:t xml:space="preserve">-cel for 5L+ RRMM at the November 2023 meeting, the applicant re-submitted details of a funding proposal. </w:t>
      </w:r>
      <w:r w:rsidRPr="00D95E54">
        <w:rPr>
          <w:rFonts w:ascii="Franklin Gothic Book" w:hAnsi="Franklin Gothic Book"/>
          <w:iCs/>
        </w:rPr>
        <w:t xml:space="preserve">MSAC considered it was necessary to establish an alternative way forward to enable the public funding of </w:t>
      </w:r>
      <w:proofErr w:type="spellStart"/>
      <w:r w:rsidRPr="00D95E54">
        <w:rPr>
          <w:rFonts w:ascii="Franklin Gothic Book" w:hAnsi="Franklin Gothic Book"/>
          <w:iCs/>
        </w:rPr>
        <w:t>cilta</w:t>
      </w:r>
      <w:proofErr w:type="spellEnd"/>
      <w:r w:rsidRPr="00D95E54">
        <w:rPr>
          <w:rFonts w:ascii="Franklin Gothic Book" w:hAnsi="Franklin Gothic Book"/>
          <w:iCs/>
        </w:rPr>
        <w:t xml:space="preserve">-cel than what had been proposed by the applicant. </w:t>
      </w:r>
      <w:r w:rsidRPr="00D95E54">
        <w:rPr>
          <w:rFonts w:ascii="Franklin Gothic Book" w:hAnsi="Franklin Gothic Book"/>
        </w:rPr>
        <w:t xml:space="preserve">MSAC supported the public funding of </w:t>
      </w:r>
      <w:proofErr w:type="spellStart"/>
      <w:r w:rsidRPr="00D95E54">
        <w:rPr>
          <w:rFonts w:ascii="Franklin Gothic Book" w:hAnsi="Franklin Gothic Book"/>
        </w:rPr>
        <w:t>cilta</w:t>
      </w:r>
      <w:proofErr w:type="spellEnd"/>
      <w:r w:rsidRPr="00D95E54">
        <w:rPr>
          <w:rFonts w:ascii="Franklin Gothic Book" w:hAnsi="Franklin Gothic Book"/>
        </w:rPr>
        <w:t xml:space="preserve">-cel </w:t>
      </w:r>
      <w:r w:rsidRPr="001D5327">
        <w:rPr>
          <w:rFonts w:ascii="Franklin Gothic Book" w:hAnsi="Franklin Gothic Book"/>
        </w:rPr>
        <w:t>for 5L+ RRMM</w:t>
      </w:r>
      <w:r w:rsidRPr="00D95E54">
        <w:rPr>
          <w:rFonts w:ascii="Franklin Gothic Book" w:hAnsi="Franklin Gothic Book"/>
        </w:rPr>
        <w:t xml:space="preserve"> at its April 2024 meeting based on an alternative funding model </w:t>
      </w:r>
      <w:r w:rsidRPr="001D5327">
        <w:rPr>
          <w:rFonts w:ascii="Franklin Gothic Book" w:hAnsi="Franklin Gothic Book"/>
        </w:rPr>
        <w:t xml:space="preserve">that appropriately managed the clinical, economic and financial uncertainty associated with the public funding of </w:t>
      </w:r>
      <w:proofErr w:type="spellStart"/>
      <w:r w:rsidRPr="001D5327">
        <w:rPr>
          <w:rFonts w:ascii="Franklin Gothic Book" w:hAnsi="Franklin Gothic Book"/>
        </w:rPr>
        <w:t>cilta</w:t>
      </w:r>
      <w:proofErr w:type="spellEnd"/>
      <w:r w:rsidRPr="001D5327">
        <w:rPr>
          <w:rFonts w:ascii="Franklin Gothic Book" w:hAnsi="Franklin Gothic Book"/>
        </w:rPr>
        <w:t>-cel</w:t>
      </w:r>
      <w:r w:rsidRPr="00D95E54">
        <w:rPr>
          <w:rFonts w:ascii="Franklin Gothic Book" w:hAnsi="Franklin Gothic Book"/>
        </w:rPr>
        <w:t xml:space="preserve">, in conjunction with </w:t>
      </w:r>
      <w:proofErr w:type="gramStart"/>
      <w:r w:rsidRPr="00D95E54">
        <w:rPr>
          <w:rFonts w:ascii="Franklin Gothic Book" w:hAnsi="Franklin Gothic Book"/>
        </w:rPr>
        <w:t>a</w:t>
      </w:r>
      <w:proofErr w:type="gramEnd"/>
      <w:r w:rsidRPr="00D95E54">
        <w:rPr>
          <w:rFonts w:ascii="Franklin Gothic Book" w:hAnsi="Franklin Gothic Book"/>
        </w:rPr>
        <w:t xml:space="preserve"> RSA that appropriately managed the risk of the applicant’s financial estimates being exceeded.</w:t>
      </w:r>
    </w:p>
    <w:p w14:paraId="43B2B083" w14:textId="4C8FF4BC" w:rsidR="00D95E54" w:rsidRPr="001D5327" w:rsidRDefault="00D95E54" w:rsidP="00D95E54">
      <w:pPr>
        <w:rPr>
          <w:rFonts w:ascii="Franklin Gothic Book" w:hAnsi="Franklin Gothic Book"/>
        </w:rPr>
      </w:pPr>
      <w:r w:rsidRPr="001D5327">
        <w:rPr>
          <w:rFonts w:ascii="Franklin Gothic Book" w:hAnsi="Franklin Gothic Book"/>
        </w:rPr>
        <w:t xml:space="preserve">MSAC recalled it deferred its advice </w:t>
      </w:r>
      <w:proofErr w:type="gramStart"/>
      <w:r w:rsidRPr="001D5327">
        <w:rPr>
          <w:rFonts w:ascii="Franklin Gothic Book" w:hAnsi="Franklin Gothic Book"/>
        </w:rPr>
        <w:t>on the basis of</w:t>
      </w:r>
      <w:proofErr w:type="gramEnd"/>
      <w:r w:rsidRPr="001D5327">
        <w:rPr>
          <w:rFonts w:ascii="Franklin Gothic Book" w:hAnsi="Franklin Gothic Book"/>
        </w:rPr>
        <w:t xml:space="preserve"> an unacceptably high and underestimated incremental cost-effectiveness ratio (ICER); the higher cost of </w:t>
      </w:r>
      <w:proofErr w:type="spellStart"/>
      <w:r w:rsidRPr="001D5327">
        <w:rPr>
          <w:rFonts w:ascii="Franklin Gothic Book" w:hAnsi="Franklin Gothic Book"/>
        </w:rPr>
        <w:t>cilta</w:t>
      </w:r>
      <w:proofErr w:type="spellEnd"/>
      <w:r w:rsidRPr="001D5327">
        <w:rPr>
          <w:rFonts w:ascii="Franklin Gothic Book" w:hAnsi="Franklin Gothic Book"/>
        </w:rPr>
        <w:t xml:space="preserve">-cel compared to other CAR-T therapies previously supported by MSAC; and highly uncertain and underestimated estimates of the costs associated with </w:t>
      </w:r>
      <w:proofErr w:type="spellStart"/>
      <w:r w:rsidRPr="001D5327">
        <w:rPr>
          <w:rFonts w:ascii="Franklin Gothic Book" w:hAnsi="Franklin Gothic Book"/>
        </w:rPr>
        <w:t>cilta</w:t>
      </w:r>
      <w:proofErr w:type="spellEnd"/>
      <w:r w:rsidRPr="001D5327">
        <w:rPr>
          <w:rFonts w:ascii="Franklin Gothic Book" w:hAnsi="Franklin Gothic Book"/>
        </w:rPr>
        <w:t>-cel therapy.</w:t>
      </w:r>
      <w:r w:rsidR="00360B03">
        <w:rPr>
          <w:rFonts w:ascii="Franklin Gothic Book" w:hAnsi="Franklin Gothic Book"/>
        </w:rPr>
        <w:t xml:space="preserve"> </w:t>
      </w:r>
      <w:r w:rsidR="00887012" w:rsidRPr="00887012">
        <w:rPr>
          <w:rFonts w:ascii="Franklin Gothic Book" w:hAnsi="Franklin Gothic Book"/>
        </w:rPr>
        <w:t xml:space="preserve">MSAC deferred its advice to see whether a lower ICER could be achieved through adjusting inputs in the economic model (particularly hospital costs and health benefits gained - to be verified by jurisdictions) and for a significant price reduction to be offered by the company. MSAC advised that an ICER in the range of those for other treatments in later line RRMM recommended by PBAC would be more likely to be acceptable. Furthermore, MSAC requested the Department negotiate a </w:t>
      </w:r>
      <w:proofErr w:type="spellStart"/>
      <w:r w:rsidR="00432920">
        <w:rPr>
          <w:rFonts w:ascii="Franklin Gothic Book" w:hAnsi="Franklin Gothic Book"/>
        </w:rPr>
        <w:t>PfP</w:t>
      </w:r>
      <w:proofErr w:type="spellEnd"/>
      <w:r w:rsidR="00887012" w:rsidRPr="00887012">
        <w:rPr>
          <w:rFonts w:ascii="Franklin Gothic Book" w:hAnsi="Franklin Gothic Book"/>
        </w:rPr>
        <w:t xml:space="preserve"> arrangement to incentivise payment on the performance of the deeper level of clinical response achieved at 12-months after </w:t>
      </w:r>
      <w:proofErr w:type="spellStart"/>
      <w:r w:rsidR="00887012" w:rsidRPr="00887012">
        <w:rPr>
          <w:rFonts w:ascii="Franklin Gothic Book" w:hAnsi="Franklin Gothic Book"/>
        </w:rPr>
        <w:t>cilta</w:t>
      </w:r>
      <w:proofErr w:type="spellEnd"/>
      <w:r w:rsidR="00887012" w:rsidRPr="00887012">
        <w:rPr>
          <w:rFonts w:ascii="Franklin Gothic Book" w:hAnsi="Franklin Gothic Book"/>
        </w:rPr>
        <w:t>-cel infusion.</w:t>
      </w:r>
    </w:p>
    <w:p w14:paraId="392A5F97" w14:textId="484E6033" w:rsidR="00D95E54" w:rsidRPr="00906282" w:rsidRDefault="00D95E54" w:rsidP="00D95E54">
      <w:pPr>
        <w:rPr>
          <w:rFonts w:ascii="Franklin Gothic Book" w:hAnsi="Franklin Gothic Book"/>
        </w:rPr>
      </w:pPr>
      <w:r w:rsidRPr="00906282">
        <w:rPr>
          <w:rFonts w:ascii="Franklin Gothic Book" w:hAnsi="Franklin Gothic Book"/>
        </w:rPr>
        <w:t xml:space="preserve">MSAC reviewed the funding proposal re-submitted by the </w:t>
      </w:r>
      <w:r w:rsidR="00187EE1" w:rsidRPr="00906282">
        <w:rPr>
          <w:rFonts w:ascii="Franklin Gothic Book" w:hAnsi="Franklin Gothic Book"/>
        </w:rPr>
        <w:t>applicant</w:t>
      </w:r>
      <w:r w:rsidRPr="00906282">
        <w:rPr>
          <w:rFonts w:ascii="Franklin Gothic Book" w:hAnsi="Franklin Gothic Book"/>
        </w:rPr>
        <w:t xml:space="preserve"> at its April 2024 meeting and considered that, despite being the third application, there had been no attempt from Janssen-Cilag to adequately address MSAC’s concerns following the November 2023 deferral of its advice. MSAC also noted Janssen-Cilag’s claim that this was its final price offer </w:t>
      </w:r>
      <w:proofErr w:type="gramStart"/>
      <w:r w:rsidRPr="00906282">
        <w:rPr>
          <w:rFonts w:ascii="Franklin Gothic Book" w:hAnsi="Franklin Gothic Book"/>
        </w:rPr>
        <w:t>in order to</w:t>
      </w:r>
      <w:proofErr w:type="gramEnd"/>
      <w:r w:rsidRPr="00906282">
        <w:rPr>
          <w:rFonts w:ascii="Franklin Gothic Book" w:hAnsi="Franklin Gothic Book"/>
        </w:rPr>
        <w:t xml:space="preserve"> secure supply of </w:t>
      </w:r>
      <w:proofErr w:type="spellStart"/>
      <w:r w:rsidRPr="00906282">
        <w:rPr>
          <w:rFonts w:ascii="Franklin Gothic Book" w:hAnsi="Franklin Gothic Book"/>
        </w:rPr>
        <w:t>cilta</w:t>
      </w:r>
      <w:proofErr w:type="spellEnd"/>
      <w:r w:rsidRPr="00906282">
        <w:rPr>
          <w:rFonts w:ascii="Franklin Gothic Book" w:hAnsi="Franklin Gothic Book"/>
        </w:rPr>
        <w:t>-cel for Australia.</w:t>
      </w:r>
    </w:p>
    <w:p w14:paraId="29A20111" w14:textId="39AE16E2" w:rsidR="00D95E54" w:rsidRPr="00906282" w:rsidRDefault="00D95E54" w:rsidP="00D95E54">
      <w:pPr>
        <w:rPr>
          <w:rFonts w:ascii="Franklin Gothic Book" w:hAnsi="Franklin Gothic Book"/>
        </w:rPr>
      </w:pPr>
      <w:r w:rsidRPr="00906282">
        <w:rPr>
          <w:rFonts w:ascii="Franklin Gothic Book" w:hAnsi="Franklin Gothic Book"/>
        </w:rPr>
        <w:t xml:space="preserve">MSAC considered the proposal by Janssen-Cilag, to limit the number of patients who could receive treatment with </w:t>
      </w:r>
      <w:proofErr w:type="spellStart"/>
      <w:r w:rsidRPr="00906282">
        <w:rPr>
          <w:rFonts w:ascii="Franklin Gothic Book" w:hAnsi="Franklin Gothic Book"/>
        </w:rPr>
        <w:t>cilta</w:t>
      </w:r>
      <w:proofErr w:type="spellEnd"/>
      <w:r w:rsidRPr="00906282">
        <w:rPr>
          <w:rFonts w:ascii="Franklin Gothic Book" w:hAnsi="Franklin Gothic Book"/>
        </w:rPr>
        <w:t xml:space="preserve">-cel in a given funding year (i.e. a fixed cap) to compensate for the high-cost of the treatment and provide certainty around its financial estimates, was inequitable and unethical. MSAC noted that if implemented, the proposal would mean that a patient’s eligibility to receive </w:t>
      </w:r>
      <w:proofErr w:type="spellStart"/>
      <w:r w:rsidRPr="00906282">
        <w:rPr>
          <w:rFonts w:ascii="Franklin Gothic Book" w:hAnsi="Franklin Gothic Book"/>
        </w:rPr>
        <w:t>cilta</w:t>
      </w:r>
      <w:proofErr w:type="spellEnd"/>
      <w:r w:rsidRPr="00906282">
        <w:rPr>
          <w:rFonts w:ascii="Franklin Gothic Book" w:hAnsi="Franklin Gothic Book"/>
        </w:rPr>
        <w:t xml:space="preserve">-cel would be influenced by the time of year they were deemed eligible for treatment, meaning that an eligible patient presenting at the beginning of the year had a higher likelihood of receiving the treatment than an eligible patient presenting at the end of the year. MSAC considered it was unacceptable in any circumstance for patients to be denied effective treatment based on when they became eligible, as a mechanism for Janssen-Cilag to provide certainty its financial estimates would not be exceeded. MSAC noted Janssen-Cilag presented the proposal as </w:t>
      </w:r>
      <w:proofErr w:type="gramStart"/>
      <w:r w:rsidRPr="00906282">
        <w:rPr>
          <w:rFonts w:ascii="Franklin Gothic Book" w:hAnsi="Franklin Gothic Book"/>
        </w:rPr>
        <w:t>a</w:t>
      </w:r>
      <w:proofErr w:type="gramEnd"/>
      <w:r w:rsidRPr="00906282">
        <w:rPr>
          <w:rFonts w:ascii="Franklin Gothic Book" w:hAnsi="Franklin Gothic Book"/>
        </w:rPr>
        <w:t xml:space="preserve"> RSA however MSAC rejected this characterisation, noting that RSAs are a long-established practice used to provide budget certainty for publicly funded treatments, but they require the treatment provider to bear the financial risk associated with the financial estimates being exceeded and, in no circumstances, the patient.</w:t>
      </w:r>
    </w:p>
    <w:p w14:paraId="470FC184" w14:textId="41253AE6" w:rsidR="00D95E54" w:rsidRPr="001D5327" w:rsidRDefault="00D95E54" w:rsidP="00D95E54">
      <w:pPr>
        <w:rPr>
          <w:rFonts w:ascii="Franklin Gothic Book" w:hAnsi="Franklin Gothic Book"/>
        </w:rPr>
      </w:pPr>
      <w:r w:rsidRPr="00906282">
        <w:rPr>
          <w:rFonts w:ascii="Franklin Gothic Book" w:hAnsi="Franklin Gothic Book"/>
        </w:rPr>
        <w:t xml:space="preserve">MSAC considered the applicant’s unwillingness to negotiate on the unit price of </w:t>
      </w:r>
      <w:proofErr w:type="spellStart"/>
      <w:r w:rsidRPr="00906282">
        <w:rPr>
          <w:rFonts w:ascii="Franklin Gothic Book" w:hAnsi="Franklin Gothic Book"/>
        </w:rPr>
        <w:t>cilta</w:t>
      </w:r>
      <w:proofErr w:type="spellEnd"/>
      <w:r w:rsidRPr="00906282">
        <w:rPr>
          <w:rFonts w:ascii="Franklin Gothic Book" w:hAnsi="Franklin Gothic Book"/>
        </w:rPr>
        <w:t>-cel since its initial application in July 2022 and failure to address the MSAC’s concerns was delaying access to publicly funded treatment for Australian patients.</w:t>
      </w:r>
      <w:r w:rsidRPr="001D5327">
        <w:rPr>
          <w:rFonts w:ascii="Franklin Gothic Book" w:hAnsi="Franklin Gothic Book"/>
        </w:rPr>
        <w:t xml:space="preserve"> Given the high and unmet clinical need for an effective treatment option to be available in the 5L+ RRMM setting, MSAC considered it was necessary to establish an alternative way forward to that proposed by the sponsor </w:t>
      </w:r>
      <w:proofErr w:type="gramStart"/>
      <w:r w:rsidRPr="001D5327">
        <w:rPr>
          <w:rFonts w:ascii="Franklin Gothic Book" w:hAnsi="Franklin Gothic Book"/>
        </w:rPr>
        <w:t>in order to</w:t>
      </w:r>
      <w:proofErr w:type="gramEnd"/>
      <w:r w:rsidRPr="001D5327">
        <w:rPr>
          <w:rFonts w:ascii="Franklin Gothic Book" w:hAnsi="Franklin Gothic Book"/>
        </w:rPr>
        <w:t xml:space="preserve"> enable the public funding of </w:t>
      </w:r>
      <w:proofErr w:type="spellStart"/>
      <w:r w:rsidRPr="001D5327">
        <w:rPr>
          <w:rFonts w:ascii="Franklin Gothic Book" w:hAnsi="Franklin Gothic Book"/>
        </w:rPr>
        <w:t>cilta</w:t>
      </w:r>
      <w:proofErr w:type="spellEnd"/>
      <w:r w:rsidRPr="001D5327">
        <w:rPr>
          <w:rFonts w:ascii="Franklin Gothic Book" w:hAnsi="Franklin Gothic Book"/>
        </w:rPr>
        <w:t>-cel. Hence</w:t>
      </w:r>
      <w:r w:rsidRPr="00D95E54">
        <w:rPr>
          <w:rFonts w:ascii="Franklin Gothic Book" w:hAnsi="Franklin Gothic Book"/>
        </w:rPr>
        <w:t>,</w:t>
      </w:r>
      <w:r w:rsidRPr="001D5327">
        <w:rPr>
          <w:rFonts w:ascii="Franklin Gothic Book" w:hAnsi="Franklin Gothic Book"/>
        </w:rPr>
        <w:t xml:space="preserve"> MSAC supported the public funding of </w:t>
      </w:r>
      <w:proofErr w:type="spellStart"/>
      <w:r w:rsidRPr="001D5327">
        <w:rPr>
          <w:rFonts w:ascii="Franklin Gothic Book" w:hAnsi="Franklin Gothic Book"/>
        </w:rPr>
        <w:t>cilta</w:t>
      </w:r>
      <w:proofErr w:type="spellEnd"/>
      <w:r w:rsidRPr="001D5327">
        <w:rPr>
          <w:rFonts w:ascii="Franklin Gothic Book" w:hAnsi="Franklin Gothic Book"/>
        </w:rPr>
        <w:t xml:space="preserve">-cel for patients with 5L+ RRMM at the requested </w:t>
      </w:r>
      <w:r w:rsidRPr="00906282">
        <w:rPr>
          <w:rFonts w:ascii="Franklin Gothic Book" w:hAnsi="Franklin Gothic Book"/>
        </w:rPr>
        <w:t xml:space="preserve">unit price </w:t>
      </w:r>
      <w:r w:rsidR="00411FC3" w:rsidRPr="00906282">
        <w:rPr>
          <w:rFonts w:ascii="Franklin Gothic Book" w:hAnsi="Franklin Gothic Book"/>
        </w:rPr>
        <w:t>of</w:t>
      </w:r>
      <w:r w:rsidR="00411FC3">
        <w:rPr>
          <w:rFonts w:ascii="Franklin Gothic Book" w:hAnsi="Franklin Gothic Book"/>
        </w:rPr>
        <w:t xml:space="preserve"> </w:t>
      </w:r>
      <w:r w:rsidRPr="00906282">
        <w:rPr>
          <w:rFonts w:ascii="Franklin Gothic Book" w:hAnsi="Franklin Gothic Book"/>
        </w:rPr>
        <w:t>$</w:t>
      </w:r>
      <w:r w:rsidR="007E3177" w:rsidRPr="00DE62FE">
        <w:rPr>
          <w:rFonts w:ascii="Franklin Gothic Book" w:hAnsi="Franklin Gothic Book"/>
          <w:color w:val="000000"/>
          <w:w w:val="66"/>
          <w:shd w:val="solid" w:color="000000" w:fill="000000"/>
          <w:fitText w:val="440" w:id="-959204608"/>
          <w14:textFill>
            <w14:solidFill>
              <w14:srgbClr w14:val="000000">
                <w14:alpha w14:val="100000"/>
              </w14:srgbClr>
            </w14:solidFill>
          </w14:textFill>
        </w:rPr>
        <w:t>|||||</w:t>
      </w:r>
      <w:r w:rsidR="007E3177" w:rsidRPr="00DE62FE">
        <w:rPr>
          <w:rFonts w:ascii="Franklin Gothic Book" w:hAnsi="Franklin Gothic Book"/>
          <w:color w:val="000000"/>
          <w:spacing w:val="4"/>
          <w:w w:val="66"/>
          <w:shd w:val="solid" w:color="000000" w:fill="000000"/>
          <w:fitText w:val="440" w:id="-959204608"/>
          <w14:textFill>
            <w14:solidFill>
              <w14:srgbClr w14:val="000000">
                <w14:alpha w14:val="100000"/>
              </w14:srgbClr>
            </w14:solidFill>
          </w14:textFill>
        </w:rPr>
        <w:t>|</w:t>
      </w:r>
      <w:r w:rsidRPr="001D5327">
        <w:rPr>
          <w:rFonts w:ascii="Franklin Gothic Book" w:hAnsi="Franklin Gothic Book"/>
        </w:rPr>
        <w:t xml:space="preserve">, but only in conjunction with a </w:t>
      </w:r>
      <w:proofErr w:type="spellStart"/>
      <w:r w:rsidRPr="001D5327">
        <w:rPr>
          <w:rFonts w:ascii="Franklin Gothic Book" w:hAnsi="Franklin Gothic Book"/>
        </w:rPr>
        <w:t>PfP</w:t>
      </w:r>
      <w:proofErr w:type="spellEnd"/>
      <w:r w:rsidRPr="001D5327">
        <w:rPr>
          <w:rFonts w:ascii="Franklin Gothic Book" w:hAnsi="Franklin Gothic Book"/>
        </w:rPr>
        <w:t xml:space="preserve"> arrangement that appropriately managed the clinical, economic and financial uncertainty associated with the public funding of </w:t>
      </w:r>
      <w:proofErr w:type="spellStart"/>
      <w:r w:rsidRPr="001D5327">
        <w:rPr>
          <w:rFonts w:ascii="Franklin Gothic Book" w:hAnsi="Franklin Gothic Book"/>
        </w:rPr>
        <w:t>cilta</w:t>
      </w:r>
      <w:proofErr w:type="spellEnd"/>
      <w:r w:rsidRPr="001D5327">
        <w:rPr>
          <w:rFonts w:ascii="Franklin Gothic Book" w:hAnsi="Franklin Gothic Book"/>
        </w:rPr>
        <w:t>-cel.</w:t>
      </w:r>
    </w:p>
    <w:p w14:paraId="427FC4B6" w14:textId="46E1AAC8" w:rsidR="00D95E54" w:rsidRPr="001D5327" w:rsidRDefault="00D95E54" w:rsidP="00D95E54">
      <w:pPr>
        <w:rPr>
          <w:rFonts w:ascii="Franklin Gothic Book" w:hAnsi="Franklin Gothic Book"/>
        </w:rPr>
      </w:pPr>
      <w:r w:rsidRPr="001D5327">
        <w:rPr>
          <w:rFonts w:ascii="Franklin Gothic Book" w:hAnsi="Franklin Gothic Book"/>
        </w:rPr>
        <w:t>In reviewing the clinical data, MSAC noted the CARTITUDE-1 phase 1b/2 single arm study, where the treated cohort continued to accrue disease progression events over a period 4 years</w:t>
      </w:r>
      <w:r w:rsidR="0028332E">
        <w:rPr>
          <w:rFonts w:ascii="Franklin Gothic Book" w:hAnsi="Franklin Gothic Book"/>
        </w:rPr>
        <w:br/>
      </w:r>
      <w:r w:rsidRPr="00933448">
        <w:rPr>
          <w:rFonts w:ascii="Franklin Gothic Book" w:hAnsi="Franklin Gothic Book"/>
          <w:kern w:val="2"/>
          <w14:ligatures w14:val="standardContextual"/>
        </w:rPr>
        <w:t>(</w:t>
      </w:r>
      <w:r w:rsidR="002901BD" w:rsidRPr="00D95E54">
        <w:rPr>
          <w:rFonts w:ascii="Franklin Gothic Book" w:hAnsi="Franklin Gothic Book"/>
          <w:kern w:val="2"/>
          <w14:ligatures w14:val="standardContextual"/>
        </w:rPr>
        <w:t>Figure</w:t>
      </w:r>
      <w:r w:rsidR="002901BD">
        <w:rPr>
          <w:rFonts w:ascii="Franklin Gothic Book" w:hAnsi="Franklin Gothic Book"/>
          <w:kern w:val="2"/>
          <w14:ligatures w14:val="standardContextual"/>
        </w:rPr>
        <w:t xml:space="preserve"> 1, Figure 2</w:t>
      </w:r>
      <w:r w:rsidRPr="00933448">
        <w:rPr>
          <w:rFonts w:ascii="Franklin Gothic Book" w:hAnsi="Franklin Gothic Book"/>
          <w:kern w:val="2"/>
          <w14:ligatures w14:val="standardContextual"/>
        </w:rPr>
        <w:t xml:space="preserve">) </w:t>
      </w:r>
      <w:bookmarkStart w:id="2" w:name="_Hlk170120808"/>
      <w:r w:rsidRPr="00906282">
        <w:rPr>
          <w:rFonts w:ascii="Franklin Gothic Book" w:hAnsi="Franklin Gothic Book"/>
        </w:rPr>
        <w:t xml:space="preserve">and therefore considered a </w:t>
      </w:r>
      <w:r w:rsidR="007E3177" w:rsidRPr="00DE62FE">
        <w:rPr>
          <w:rFonts w:ascii="Franklin Gothic Book" w:hAnsi="Franklin Gothic Book"/>
          <w:color w:val="000000"/>
          <w:w w:val="66"/>
          <w:shd w:val="solid" w:color="000000" w:fill="000000"/>
          <w:fitText w:val="440" w:id="-959204607"/>
          <w14:textFill>
            <w14:solidFill>
              <w14:srgbClr w14:val="000000">
                <w14:alpha w14:val="100000"/>
              </w14:srgbClr>
            </w14:solidFill>
          </w14:textFill>
        </w:rPr>
        <w:t>|||||</w:t>
      </w:r>
      <w:r w:rsidR="007E3177" w:rsidRPr="00DE62FE">
        <w:rPr>
          <w:rFonts w:ascii="Franklin Gothic Book" w:hAnsi="Franklin Gothic Book"/>
          <w:color w:val="000000"/>
          <w:spacing w:val="4"/>
          <w:w w:val="66"/>
          <w:shd w:val="solid" w:color="000000" w:fill="000000"/>
          <w:fitText w:val="440" w:id="-959204607"/>
          <w14:textFill>
            <w14:solidFill>
              <w14:srgbClr w14:val="000000">
                <w14:alpha w14:val="100000"/>
              </w14:srgbClr>
            </w14:solidFill>
          </w14:textFill>
        </w:rPr>
        <w:t>|</w:t>
      </w:r>
      <w:r w:rsidR="007E3177" w:rsidRPr="007E3177">
        <w:rPr>
          <w:rFonts w:ascii="Franklin Gothic Book" w:hAnsi="Franklin Gothic Book"/>
        </w:rPr>
        <w:t xml:space="preserve"> </w:t>
      </w:r>
      <w:r w:rsidR="007E3177" w:rsidRPr="00DE62FE">
        <w:rPr>
          <w:rFonts w:ascii="Franklin Gothic Book" w:hAnsi="Franklin Gothic Book"/>
          <w:color w:val="000000"/>
          <w:w w:val="66"/>
          <w:shd w:val="solid" w:color="000000" w:fill="000000"/>
          <w:fitText w:val="440" w:id="-959204606"/>
          <w14:textFill>
            <w14:solidFill>
              <w14:srgbClr w14:val="000000">
                <w14:alpha w14:val="100000"/>
              </w14:srgbClr>
            </w14:solidFill>
          </w14:textFill>
        </w:rPr>
        <w:t>|||||</w:t>
      </w:r>
      <w:r w:rsidR="007E3177" w:rsidRPr="00DE62FE">
        <w:rPr>
          <w:rFonts w:ascii="Franklin Gothic Book" w:hAnsi="Franklin Gothic Book"/>
          <w:color w:val="000000"/>
          <w:spacing w:val="4"/>
          <w:w w:val="66"/>
          <w:shd w:val="solid" w:color="000000" w:fill="000000"/>
          <w:fitText w:val="440" w:id="-959204606"/>
          <w14:textFill>
            <w14:solidFill>
              <w14:srgbClr w14:val="000000">
                <w14:alpha w14:val="100000"/>
              </w14:srgbClr>
            </w14:solidFill>
          </w14:textFill>
        </w:rPr>
        <w:t>|</w:t>
      </w:r>
      <w:r w:rsidR="007E3177" w:rsidRPr="007E3177">
        <w:rPr>
          <w:rFonts w:ascii="Franklin Gothic Book" w:hAnsi="Franklin Gothic Book"/>
        </w:rPr>
        <w:t xml:space="preserve"> </w:t>
      </w:r>
      <w:r w:rsidRPr="00906282">
        <w:rPr>
          <w:rFonts w:ascii="Franklin Gothic Book" w:hAnsi="Franklin Gothic Book"/>
        </w:rPr>
        <w:t xml:space="preserve">to estimate a durable response would not be appropriate. MSAC advised an extended </w:t>
      </w:r>
      <w:proofErr w:type="spellStart"/>
      <w:r w:rsidRPr="00906282">
        <w:rPr>
          <w:rFonts w:ascii="Franklin Gothic Book" w:hAnsi="Franklin Gothic Book"/>
        </w:rPr>
        <w:t>PfP</w:t>
      </w:r>
      <w:proofErr w:type="spellEnd"/>
      <w:r w:rsidRPr="00906282">
        <w:rPr>
          <w:rFonts w:ascii="Franklin Gothic Book" w:hAnsi="Franklin Gothic Book"/>
        </w:rPr>
        <w:t xml:space="preserve"> arrangement reflecting </w:t>
      </w:r>
      <w:proofErr w:type="gramStart"/>
      <w:r w:rsidRPr="00906282">
        <w:rPr>
          <w:rFonts w:ascii="Franklin Gothic Book" w:hAnsi="Franklin Gothic Book"/>
        </w:rPr>
        <w:t>that patients</w:t>
      </w:r>
      <w:proofErr w:type="gramEnd"/>
      <w:r w:rsidRPr="00906282">
        <w:rPr>
          <w:rFonts w:ascii="Franklin Gothic Book" w:hAnsi="Franklin Gothic Book"/>
        </w:rPr>
        <w:t xml:space="preserve"> continued to relapse over a period of 4 years</w:t>
      </w:r>
      <w:r w:rsidRPr="001D5327">
        <w:rPr>
          <w:rFonts w:ascii="Franklin Gothic Book" w:hAnsi="Franklin Gothic Book"/>
        </w:rPr>
        <w:t xml:space="preserve"> </w:t>
      </w:r>
      <w:bookmarkEnd w:id="2"/>
      <w:r w:rsidRPr="001D5327">
        <w:rPr>
          <w:rFonts w:ascii="Franklin Gothic Book" w:hAnsi="Franklin Gothic Book"/>
        </w:rPr>
        <w:t xml:space="preserve">was required to appropriately balance the high ICER and very high price of </w:t>
      </w:r>
      <w:proofErr w:type="spellStart"/>
      <w:r w:rsidRPr="001D5327">
        <w:rPr>
          <w:rFonts w:ascii="Franklin Gothic Book" w:hAnsi="Franklin Gothic Book"/>
        </w:rPr>
        <w:t>cilta</w:t>
      </w:r>
      <w:proofErr w:type="spellEnd"/>
      <w:r w:rsidRPr="001D5327">
        <w:rPr>
          <w:rFonts w:ascii="Franklin Gothic Book" w:hAnsi="Franklin Gothic Book"/>
        </w:rPr>
        <w:t xml:space="preserve">-cel against the uncertainty related to the magnitude of benefit and durability of response </w:t>
      </w:r>
      <w:proofErr w:type="spellStart"/>
      <w:r w:rsidRPr="001D5327">
        <w:rPr>
          <w:rFonts w:ascii="Franklin Gothic Book" w:hAnsi="Franklin Gothic Book"/>
        </w:rPr>
        <w:t>cilta</w:t>
      </w:r>
      <w:proofErr w:type="spellEnd"/>
      <w:r w:rsidRPr="001D5327">
        <w:rPr>
          <w:rFonts w:ascii="Franklin Gothic Book" w:hAnsi="Franklin Gothic Book"/>
        </w:rPr>
        <w:t>-cel claims to provide to patients.</w:t>
      </w:r>
    </w:p>
    <w:p w14:paraId="39984D96" w14:textId="3F4C2D59" w:rsidR="00D95E54" w:rsidRDefault="00D95E54" w:rsidP="00D95E54">
      <w:pPr>
        <w:rPr>
          <w:rFonts w:ascii="Franklin Gothic Book" w:hAnsi="Franklin Gothic Book"/>
        </w:rPr>
      </w:pPr>
      <w:r w:rsidRPr="001D5327" w:rsidDel="00571846">
        <w:rPr>
          <w:rFonts w:ascii="Franklin Gothic Book" w:hAnsi="Franklin Gothic Book"/>
        </w:rPr>
        <w:t xml:space="preserve">MSAC advised that an </w:t>
      </w:r>
      <w:r w:rsidRPr="00906282" w:rsidDel="00571846">
        <w:rPr>
          <w:rFonts w:ascii="Franklin Gothic Book" w:hAnsi="Franklin Gothic Book"/>
        </w:rPr>
        <w:t>acceptable RSA</w:t>
      </w:r>
      <w:r w:rsidRPr="00906282">
        <w:rPr>
          <w:rFonts w:ascii="Franklin Gothic Book" w:hAnsi="Franklin Gothic Book"/>
        </w:rPr>
        <w:t xml:space="preserve"> should also be implemented,</w:t>
      </w:r>
      <w:r w:rsidRPr="00906282" w:rsidDel="00571846">
        <w:rPr>
          <w:rFonts w:ascii="Franklin Gothic Book" w:hAnsi="Franklin Gothic Book"/>
        </w:rPr>
        <w:t xml:space="preserve"> where the risk of exceeding the financial estimates </w:t>
      </w:r>
      <w:r w:rsidR="00FB3244" w:rsidRPr="00906282">
        <w:rPr>
          <w:rFonts w:ascii="Franklin Gothic Book" w:hAnsi="Franklin Gothic Book"/>
        </w:rPr>
        <w:t>i</w:t>
      </w:r>
      <w:r w:rsidR="00FB3244" w:rsidRPr="00906282" w:rsidDel="00571846">
        <w:rPr>
          <w:rFonts w:ascii="Franklin Gothic Book" w:hAnsi="Franklin Gothic Book"/>
        </w:rPr>
        <w:t xml:space="preserve">s </w:t>
      </w:r>
      <w:r w:rsidRPr="00906282" w:rsidDel="00571846">
        <w:rPr>
          <w:rFonts w:ascii="Franklin Gothic Book" w:hAnsi="Franklin Gothic Book"/>
        </w:rPr>
        <w:t xml:space="preserve">borne by the applicant and did not limit the number of </w:t>
      </w:r>
      <w:r w:rsidRPr="00906282">
        <w:rPr>
          <w:rFonts w:ascii="Franklin Gothic Book" w:hAnsi="Franklin Gothic Book"/>
        </w:rPr>
        <w:t xml:space="preserve">eligible </w:t>
      </w:r>
      <w:r w:rsidRPr="00906282" w:rsidDel="00571846">
        <w:rPr>
          <w:rFonts w:ascii="Franklin Gothic Book" w:hAnsi="Franklin Gothic Book"/>
        </w:rPr>
        <w:t>patients who could receive treatment in any funding year.</w:t>
      </w:r>
    </w:p>
    <w:tbl>
      <w:tblPr>
        <w:tblStyle w:val="TableGrid"/>
        <w:tblW w:w="0" w:type="auto"/>
        <w:tblLook w:val="04A0" w:firstRow="1" w:lastRow="0" w:firstColumn="1" w:lastColumn="0" w:noHBand="0" w:noVBand="1"/>
        <w:tblDescription w:val="Consumer summary of MSAC consideration"/>
      </w:tblPr>
      <w:tblGrid>
        <w:gridCol w:w="9016"/>
      </w:tblGrid>
      <w:tr w:rsidR="00D95E54" w:rsidRPr="00AF46D8" w14:paraId="4E45508C" w14:textId="77777777">
        <w:trPr>
          <w:tblHeader/>
        </w:trPr>
        <w:tc>
          <w:tcPr>
            <w:tcW w:w="9016" w:type="dxa"/>
          </w:tcPr>
          <w:p w14:paraId="22E53595" w14:textId="447ACD70" w:rsidR="00D95E54" w:rsidRPr="00D95E54" w:rsidRDefault="00D95E54">
            <w:pPr>
              <w:pStyle w:val="Heading3"/>
              <w:numPr>
                <w:ilvl w:val="0"/>
                <w:numId w:val="0"/>
              </w:numPr>
              <w:spacing w:before="120"/>
              <w:rPr>
                <w:iCs/>
              </w:rPr>
            </w:pPr>
            <w:r w:rsidRPr="00D95E54">
              <w:t xml:space="preserve">Consumer </w:t>
            </w:r>
            <w:r w:rsidRPr="00F33C73">
              <w:t>summary</w:t>
            </w:r>
            <w:r w:rsidR="00686792" w:rsidRPr="00F33C73">
              <w:t xml:space="preserve"> April 2024</w:t>
            </w:r>
          </w:p>
        </w:tc>
      </w:tr>
      <w:tr w:rsidR="00D95E54" w:rsidRPr="00AF46D8" w14:paraId="27AA50F8" w14:textId="77777777">
        <w:tc>
          <w:tcPr>
            <w:tcW w:w="9016" w:type="dxa"/>
          </w:tcPr>
          <w:p w14:paraId="542FE645" w14:textId="7C1AEE5F" w:rsidR="00D95E54" w:rsidRPr="00D95E54" w:rsidRDefault="00D95E54" w:rsidP="00B7604F">
            <w:pPr>
              <w:pStyle w:val="Default"/>
              <w:spacing w:before="120" w:after="240"/>
              <w:rPr>
                <w:rFonts w:ascii="Franklin Gothic Book" w:hAnsi="Franklin Gothic Book"/>
                <w:iCs/>
                <w:color w:val="auto"/>
                <w:sz w:val="22"/>
                <w:szCs w:val="22"/>
              </w:rPr>
            </w:pPr>
            <w:r w:rsidRPr="00D95E54">
              <w:rPr>
                <w:rFonts w:ascii="Franklin Gothic Book" w:hAnsi="Franklin Gothic Book"/>
                <w:iCs/>
                <w:color w:val="auto"/>
                <w:sz w:val="22"/>
                <w:szCs w:val="22"/>
              </w:rPr>
              <w:t>This was a funding proposal from Janssen-Cilag Pty Ltd</w:t>
            </w:r>
            <w:r w:rsidR="00034C65">
              <w:rPr>
                <w:rFonts w:ascii="Franklin Gothic Book" w:hAnsi="Franklin Gothic Book"/>
                <w:iCs/>
                <w:color w:val="auto"/>
                <w:sz w:val="22"/>
                <w:szCs w:val="22"/>
              </w:rPr>
              <w:t xml:space="preserve"> (the company)</w:t>
            </w:r>
            <w:r w:rsidRPr="00D95E54">
              <w:rPr>
                <w:rFonts w:ascii="Franklin Gothic Book" w:hAnsi="Franklin Gothic Book"/>
                <w:iCs/>
                <w:color w:val="auto"/>
                <w:sz w:val="22"/>
                <w:szCs w:val="22"/>
              </w:rPr>
              <w:t xml:space="preserve"> to support the public funding of </w:t>
            </w:r>
            <w:proofErr w:type="spellStart"/>
            <w:r w:rsidRPr="00D95E54">
              <w:rPr>
                <w:rFonts w:ascii="Franklin Gothic Book" w:hAnsi="Franklin Gothic Book"/>
                <w:iCs/>
                <w:color w:val="auto"/>
                <w:sz w:val="22"/>
                <w:szCs w:val="22"/>
              </w:rPr>
              <w:t>ciltacabtagene</w:t>
            </w:r>
            <w:proofErr w:type="spellEnd"/>
            <w:r w:rsidRPr="00D95E54">
              <w:rPr>
                <w:rFonts w:ascii="Franklin Gothic Book" w:hAnsi="Franklin Gothic Book"/>
                <w:iCs/>
                <w:color w:val="auto"/>
                <w:sz w:val="22"/>
                <w:szCs w:val="22"/>
              </w:rPr>
              <w:t xml:space="preserve"> </w:t>
            </w:r>
            <w:proofErr w:type="spellStart"/>
            <w:r w:rsidRPr="00D95E54">
              <w:rPr>
                <w:rFonts w:ascii="Franklin Gothic Book" w:hAnsi="Franklin Gothic Book"/>
                <w:iCs/>
                <w:color w:val="auto"/>
                <w:sz w:val="22"/>
                <w:szCs w:val="22"/>
              </w:rPr>
              <w:t>autoleucel</w:t>
            </w:r>
            <w:proofErr w:type="spellEnd"/>
            <w:r w:rsidRPr="00D95E54">
              <w:rPr>
                <w:rFonts w:ascii="Franklin Gothic Book" w:hAnsi="Franklin Gothic Book"/>
                <w:iCs/>
                <w:color w:val="auto"/>
                <w:sz w:val="22"/>
                <w:szCs w:val="22"/>
              </w:rPr>
              <w:t xml:space="preserve">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to treat adults with myeloma that has not responded to previous treatment (refractory) or </w:t>
            </w:r>
            <w:r w:rsidRPr="00D95E54">
              <w:rPr>
                <w:rFonts w:ascii="Franklin Gothic Book" w:hAnsi="Franklin Gothic Book"/>
                <w:color w:val="auto"/>
                <w:sz w:val="22"/>
                <w:szCs w:val="22"/>
              </w:rPr>
              <w:t xml:space="preserve">has </w:t>
            </w:r>
            <w:r w:rsidRPr="00D95E54" w:rsidDel="001B12DF">
              <w:rPr>
                <w:rFonts w:ascii="Franklin Gothic Book" w:hAnsi="Franklin Gothic Book"/>
                <w:iCs/>
                <w:color w:val="auto"/>
                <w:sz w:val="22"/>
                <w:szCs w:val="22"/>
              </w:rPr>
              <w:t xml:space="preserve">come </w:t>
            </w:r>
            <w:r w:rsidRPr="00D95E54">
              <w:rPr>
                <w:rFonts w:ascii="Franklin Gothic Book" w:hAnsi="Franklin Gothic Book"/>
                <w:iCs/>
                <w:color w:val="auto"/>
                <w:sz w:val="22"/>
                <w:szCs w:val="22"/>
              </w:rPr>
              <w:t xml:space="preserve">back after treatment (relapsed). This funding proposal is to use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as a fifth-line treatment, which means after four other treatments have already been tried and have not resulted in remission (disappearance of evidence of cancer). This is the third time that MSAC </w:t>
            </w:r>
            <w:r w:rsidRPr="00D95E54" w:rsidDel="00565100">
              <w:rPr>
                <w:rFonts w:ascii="Franklin Gothic Book" w:hAnsi="Franklin Gothic Book"/>
                <w:iCs/>
                <w:color w:val="auto"/>
                <w:sz w:val="22"/>
                <w:szCs w:val="22"/>
              </w:rPr>
              <w:t xml:space="preserve">has </w:t>
            </w:r>
            <w:r w:rsidRPr="00D95E54">
              <w:rPr>
                <w:rFonts w:ascii="Franklin Gothic Book" w:hAnsi="Franklin Gothic Book"/>
                <w:iCs/>
                <w:color w:val="auto"/>
                <w:sz w:val="22"/>
                <w:szCs w:val="22"/>
              </w:rPr>
              <w:t>considered this application. In July</w:t>
            </w:r>
            <w:r w:rsidR="00B7604F">
              <w:rPr>
                <w:rFonts w:ascii="Franklin Gothic Book" w:hAnsi="Franklin Gothic Book"/>
                <w:iCs/>
                <w:color w:val="auto"/>
                <w:sz w:val="22"/>
                <w:szCs w:val="22"/>
              </w:rPr>
              <w:t> </w:t>
            </w:r>
            <w:r w:rsidRPr="00D95E54">
              <w:rPr>
                <w:rFonts w:ascii="Franklin Gothic Book" w:hAnsi="Franklin Gothic Book"/>
                <w:iCs/>
                <w:color w:val="auto"/>
                <w:sz w:val="22"/>
                <w:szCs w:val="22"/>
              </w:rPr>
              <w:t xml:space="preserve">2022, MSAC did not support funding of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for this condition and in November 2023 it deferred providing its advice on the public funding of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w:t>
            </w:r>
          </w:p>
          <w:p w14:paraId="4CA1D5FC" w14:textId="77777777" w:rsidR="00D95E54" w:rsidRPr="00D95E54" w:rsidRDefault="00D95E54">
            <w:pPr>
              <w:pStyle w:val="Default"/>
              <w:spacing w:after="240"/>
              <w:rPr>
                <w:rFonts w:ascii="Franklin Gothic Book" w:hAnsi="Franklin Gothic Book"/>
                <w:iCs/>
                <w:color w:val="auto"/>
                <w:sz w:val="22"/>
                <w:szCs w:val="22"/>
              </w:rPr>
            </w:pPr>
            <w:r w:rsidRPr="00D95E54">
              <w:rPr>
                <w:rFonts w:ascii="Franklin Gothic Book" w:hAnsi="Franklin Gothic Book"/>
                <w:iCs/>
                <w:color w:val="auto"/>
                <w:sz w:val="22"/>
                <w:szCs w:val="22"/>
              </w:rPr>
              <w:t xml:space="preserve">At its November 2023 meeting, MSAC considered that the treatment was effective and safe enough for people as a </w:t>
            </w:r>
            <w:proofErr w:type="gramStart"/>
            <w:r w:rsidRPr="00D95E54">
              <w:rPr>
                <w:rFonts w:ascii="Franklin Gothic Book" w:hAnsi="Franklin Gothic Book"/>
                <w:iCs/>
                <w:color w:val="auto"/>
                <w:sz w:val="22"/>
                <w:szCs w:val="22"/>
              </w:rPr>
              <w:t>fifth-line</w:t>
            </w:r>
            <w:proofErr w:type="gramEnd"/>
            <w:r w:rsidRPr="00D95E54">
              <w:rPr>
                <w:rFonts w:ascii="Franklin Gothic Book" w:hAnsi="Franklin Gothic Book"/>
                <w:iCs/>
                <w:color w:val="auto"/>
                <w:sz w:val="22"/>
                <w:szCs w:val="22"/>
              </w:rPr>
              <w:t xml:space="preserve"> therapy, but considered the actual cost of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to be too high. This affected </w:t>
            </w:r>
            <w:r w:rsidRPr="00D95E54">
              <w:rPr>
                <w:rFonts w:ascii="Franklin Gothic Book" w:hAnsi="Franklin Gothic Book"/>
                <w:color w:val="auto"/>
                <w:sz w:val="22"/>
                <w:szCs w:val="22"/>
              </w:rPr>
              <w:t xml:space="preserve">MSAC’s view about the </w:t>
            </w:r>
            <w:r w:rsidRPr="00D95E54">
              <w:rPr>
                <w:rFonts w:ascii="Franklin Gothic Book" w:hAnsi="Franklin Gothic Book"/>
                <w:iCs/>
                <w:color w:val="auto"/>
                <w:sz w:val="22"/>
                <w:szCs w:val="22"/>
              </w:rPr>
              <w:t>value for money</w:t>
            </w:r>
            <w:r w:rsidRPr="00D95E54">
              <w:rPr>
                <w:rFonts w:ascii="Franklin Gothic Book" w:hAnsi="Franklin Gothic Book"/>
                <w:color w:val="auto"/>
                <w:sz w:val="22"/>
                <w:szCs w:val="22"/>
              </w:rPr>
              <w:t xml:space="preserve"> offered by </w:t>
            </w:r>
            <w:proofErr w:type="spellStart"/>
            <w:r w:rsidRPr="00D95E54">
              <w:rPr>
                <w:rFonts w:ascii="Franklin Gothic Book" w:hAnsi="Franklin Gothic Book"/>
                <w:color w:val="auto"/>
                <w:sz w:val="22"/>
                <w:szCs w:val="22"/>
              </w:rPr>
              <w:t>cilta</w:t>
            </w:r>
            <w:proofErr w:type="spellEnd"/>
            <w:r w:rsidRPr="00D95E54">
              <w:rPr>
                <w:rFonts w:ascii="Franklin Gothic Book" w:hAnsi="Franklin Gothic Book"/>
                <w:color w:val="auto"/>
                <w:sz w:val="22"/>
                <w:szCs w:val="22"/>
              </w:rPr>
              <w:t xml:space="preserve">-cel, as the cost of </w:t>
            </w:r>
            <w:proofErr w:type="spellStart"/>
            <w:r w:rsidRPr="00D95E54">
              <w:rPr>
                <w:rFonts w:ascii="Franklin Gothic Book" w:hAnsi="Franklin Gothic Book"/>
                <w:color w:val="auto"/>
                <w:sz w:val="22"/>
                <w:szCs w:val="22"/>
              </w:rPr>
              <w:t>cilta</w:t>
            </w:r>
            <w:proofErr w:type="spellEnd"/>
            <w:r w:rsidRPr="00D95E54">
              <w:rPr>
                <w:rFonts w:ascii="Franklin Gothic Book" w:hAnsi="Franklin Gothic Book"/>
                <w:color w:val="auto"/>
                <w:sz w:val="22"/>
                <w:szCs w:val="22"/>
              </w:rPr>
              <w:t>-cel was much higher than alternative myeloma treatments when measured against the health benefits it provided and much higher than other funded CAR-T cell therapies.</w:t>
            </w:r>
            <w:r w:rsidRPr="00D95E54">
              <w:rPr>
                <w:rFonts w:ascii="Franklin Gothic Book" w:hAnsi="Franklin Gothic Book"/>
                <w:iCs/>
                <w:color w:val="auto"/>
                <w:sz w:val="22"/>
                <w:szCs w:val="22"/>
              </w:rPr>
              <w:t xml:space="preserve"> Therefore, MSAC determined that additional work should be done on the price and how payments </w:t>
            </w:r>
            <w:r w:rsidRPr="00D95E54">
              <w:rPr>
                <w:rFonts w:ascii="Franklin Gothic Book" w:hAnsi="Franklin Gothic Book"/>
                <w:color w:val="auto"/>
                <w:sz w:val="22"/>
                <w:szCs w:val="22"/>
              </w:rPr>
              <w:t>to the company would</w:t>
            </w:r>
            <w:r w:rsidRPr="00D95E54">
              <w:rPr>
                <w:rFonts w:ascii="Franklin Gothic Book" w:hAnsi="Franklin Gothic Book"/>
                <w:iCs/>
                <w:color w:val="auto"/>
                <w:sz w:val="22"/>
                <w:szCs w:val="22"/>
              </w:rPr>
              <w:t xml:space="preserve"> be </w:t>
            </w:r>
            <w:r w:rsidRPr="00D95E54">
              <w:rPr>
                <w:rFonts w:ascii="Franklin Gothic Book" w:hAnsi="Franklin Gothic Book"/>
                <w:color w:val="auto"/>
                <w:sz w:val="22"/>
                <w:szCs w:val="22"/>
              </w:rPr>
              <w:t xml:space="preserve">made for supplying </w:t>
            </w:r>
            <w:proofErr w:type="spellStart"/>
            <w:r w:rsidRPr="00D95E54">
              <w:rPr>
                <w:rFonts w:ascii="Franklin Gothic Book" w:hAnsi="Franklin Gothic Book"/>
                <w:color w:val="auto"/>
                <w:sz w:val="22"/>
                <w:szCs w:val="22"/>
              </w:rPr>
              <w:t>cilta</w:t>
            </w:r>
            <w:proofErr w:type="spellEnd"/>
            <w:r w:rsidRPr="00D95E54">
              <w:rPr>
                <w:rFonts w:ascii="Franklin Gothic Book" w:hAnsi="Franklin Gothic Book"/>
                <w:color w:val="auto"/>
                <w:sz w:val="22"/>
                <w:szCs w:val="22"/>
              </w:rPr>
              <w:t>-cel.</w:t>
            </w:r>
          </w:p>
          <w:p w14:paraId="3BD508E4" w14:textId="74BE4868" w:rsidR="00BA2720" w:rsidRPr="00906282" w:rsidRDefault="00BA2720">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noted the applicant put forward a revised pay for performance arrangement. </w:t>
            </w:r>
            <w:r w:rsidR="00BD6146" w:rsidRPr="00906282">
              <w:rPr>
                <w:rFonts w:ascii="Franklin Gothic Book" w:hAnsi="Franklin Gothic Book"/>
                <w:iCs/>
                <w:color w:val="auto"/>
                <w:sz w:val="22"/>
                <w:szCs w:val="22"/>
              </w:rPr>
              <w:t>MSAC also noted</w:t>
            </w:r>
            <w:r w:rsidR="003D54D7" w:rsidRPr="00906282">
              <w:rPr>
                <w:rFonts w:ascii="Franklin Gothic Book" w:hAnsi="Franklin Gothic Book"/>
                <w:iCs/>
                <w:color w:val="auto"/>
                <w:sz w:val="22"/>
                <w:szCs w:val="22"/>
              </w:rPr>
              <w:t xml:space="preserve"> that</w:t>
            </w:r>
            <w:r w:rsidR="00930B82" w:rsidRPr="00906282">
              <w:rPr>
                <w:rFonts w:ascii="Franklin Gothic Book" w:hAnsi="Franklin Gothic Book"/>
                <w:iCs/>
                <w:color w:val="auto"/>
                <w:sz w:val="22"/>
                <w:szCs w:val="22"/>
              </w:rPr>
              <w:t xml:space="preserve"> </w:t>
            </w:r>
            <w:r w:rsidRPr="00906282">
              <w:rPr>
                <w:rFonts w:ascii="Franklin Gothic Book" w:hAnsi="Franklin Gothic Book"/>
                <w:iCs/>
                <w:color w:val="auto"/>
                <w:sz w:val="22"/>
                <w:szCs w:val="22"/>
              </w:rPr>
              <w:t>the Department of Health and Aged Care</w:t>
            </w:r>
            <w:r w:rsidR="00244046" w:rsidRPr="00906282">
              <w:rPr>
                <w:rFonts w:ascii="Franklin Gothic Book" w:hAnsi="Franklin Gothic Book"/>
                <w:iCs/>
                <w:color w:val="auto"/>
                <w:sz w:val="22"/>
                <w:szCs w:val="22"/>
              </w:rPr>
              <w:t xml:space="preserve"> requested the applicant provide </w:t>
            </w:r>
            <w:r w:rsidR="00E53608" w:rsidRPr="00906282">
              <w:rPr>
                <w:rFonts w:ascii="Franklin Gothic Book" w:hAnsi="Franklin Gothic Book"/>
                <w:iCs/>
                <w:color w:val="auto"/>
                <w:sz w:val="22"/>
                <w:szCs w:val="22"/>
              </w:rPr>
              <w:t>an arra</w:t>
            </w:r>
            <w:r w:rsidR="00635B57" w:rsidRPr="00906282">
              <w:rPr>
                <w:rFonts w:ascii="Franklin Gothic Book" w:hAnsi="Franklin Gothic Book"/>
                <w:iCs/>
                <w:color w:val="auto"/>
                <w:sz w:val="22"/>
                <w:szCs w:val="22"/>
              </w:rPr>
              <w:t>ngement</w:t>
            </w:r>
            <w:r w:rsidR="000156B1" w:rsidRPr="00906282">
              <w:rPr>
                <w:rFonts w:ascii="Franklin Gothic Book" w:hAnsi="Franklin Gothic Book"/>
                <w:iCs/>
                <w:color w:val="auto"/>
                <w:sz w:val="22"/>
                <w:szCs w:val="22"/>
              </w:rPr>
              <w:t xml:space="preserve"> (called risk</w:t>
            </w:r>
            <w:r w:rsidR="00DD1F37" w:rsidRPr="00906282">
              <w:rPr>
                <w:rFonts w:ascii="Franklin Gothic Book" w:hAnsi="Franklin Gothic Book"/>
                <w:iCs/>
                <w:color w:val="auto"/>
                <w:sz w:val="22"/>
                <w:szCs w:val="22"/>
              </w:rPr>
              <w:t xml:space="preserve"> sharing arrangements)</w:t>
            </w:r>
            <w:r w:rsidRPr="00906282">
              <w:rPr>
                <w:rFonts w:ascii="Franklin Gothic Book" w:hAnsi="Franklin Gothic Book"/>
                <w:iCs/>
                <w:color w:val="auto"/>
                <w:sz w:val="22"/>
                <w:szCs w:val="22"/>
              </w:rPr>
              <w:t xml:space="preserve"> </w:t>
            </w:r>
            <w:r w:rsidR="00370C07" w:rsidRPr="00906282">
              <w:rPr>
                <w:rFonts w:ascii="Franklin Gothic Book" w:hAnsi="Franklin Gothic Book"/>
                <w:iCs/>
                <w:color w:val="auto"/>
                <w:sz w:val="22"/>
                <w:szCs w:val="22"/>
              </w:rPr>
              <w:t>that sought to address MSAC’s concerns from the November 2023 meeting</w:t>
            </w:r>
            <w:r w:rsidRPr="00906282">
              <w:rPr>
                <w:rFonts w:ascii="Franklin Gothic Book" w:hAnsi="Franklin Gothic Book"/>
                <w:iCs/>
                <w:color w:val="auto"/>
                <w:sz w:val="22"/>
                <w:szCs w:val="22"/>
              </w:rPr>
              <w:t>.</w:t>
            </w:r>
          </w:p>
          <w:p w14:paraId="779AF41E" w14:textId="522F8C13" w:rsidR="00D95E54" w:rsidRPr="00906282"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noted the company did not address any of its concerns from its November 2023 meeting and did not offer a lower price, stating this was its final price offer. MSAC noted that despite this being the third time it had considered this application, the company </w:t>
            </w:r>
            <w:r w:rsidR="002A2D7F" w:rsidRPr="00906282">
              <w:rPr>
                <w:rFonts w:ascii="Franklin Gothic Book" w:hAnsi="Franklin Gothic Book"/>
                <w:iCs/>
                <w:color w:val="auto"/>
                <w:sz w:val="22"/>
                <w:szCs w:val="22"/>
              </w:rPr>
              <w:t xml:space="preserve">had been unwilling to </w:t>
            </w:r>
            <w:r w:rsidRPr="00906282">
              <w:rPr>
                <w:rFonts w:ascii="Franklin Gothic Book" w:hAnsi="Franklin Gothic Book"/>
                <w:iCs/>
                <w:color w:val="auto"/>
                <w:sz w:val="22"/>
                <w:szCs w:val="22"/>
              </w:rPr>
              <w:t xml:space="preserve">negotiate on the price of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-cel since the first time the application was considered by MSAC in July 2022.</w:t>
            </w:r>
          </w:p>
          <w:p w14:paraId="0E941F5C" w14:textId="7809A994" w:rsidR="00D95E54" w:rsidRPr="00906282"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was concerned by the arrangement put forward by the company that proposed a fixed number of patients would receive treatment with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 xml:space="preserve">-cel per year and once that number was reached, no more patients could receive treatment until the following year. The company considered this was an appropriate, alternative way of limiting the total amount of money the Commonwealth and state and territory governments would pay to fund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-cel each year.</w:t>
            </w:r>
          </w:p>
          <w:p w14:paraId="6383B4A8" w14:textId="7809BECB" w:rsidR="00D95E54" w:rsidRPr="00D95E54"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considered any proposal to deny an eligible patient access to treatment was unacceptable. MSAC noted arrangements </w:t>
            </w:r>
            <w:r w:rsidRPr="00D95E54">
              <w:rPr>
                <w:rFonts w:ascii="Franklin Gothic Book" w:hAnsi="Franklin Gothic Book"/>
                <w:iCs/>
                <w:color w:val="auto"/>
                <w:sz w:val="22"/>
                <w:szCs w:val="22"/>
              </w:rPr>
              <w:t xml:space="preserve">(called risk sharing arrangements) </w:t>
            </w:r>
            <w:r w:rsidRPr="00906282">
              <w:rPr>
                <w:rFonts w:ascii="Franklin Gothic Book" w:hAnsi="Franklin Gothic Book"/>
                <w:iCs/>
                <w:color w:val="auto"/>
                <w:sz w:val="22"/>
                <w:szCs w:val="22"/>
              </w:rPr>
              <w:t>that offer governments financial certainty in relation to the total amount of money they will pay for a treatment over a set period are common practice in the public funding of therapies. However, MSAC noted these arrangements are constructed in a way that both governments and companies share the risk of more money being spent on the treatment than initially estimated (for example, the price of the treatment reducing if more patients are treated per year than expected), and do not impact patients’ access to treatment.</w:t>
            </w:r>
          </w:p>
          <w:p w14:paraId="4EB67FA0" w14:textId="77777777" w:rsidR="00D95E54" w:rsidRPr="00D95E54" w:rsidRDefault="00D95E54">
            <w:pPr>
              <w:pStyle w:val="Heading3"/>
              <w:numPr>
                <w:ilvl w:val="0"/>
                <w:numId w:val="0"/>
              </w:numPr>
            </w:pPr>
            <w:r w:rsidRPr="00D95E54">
              <w:t xml:space="preserve">MSAC’s advice to the </w:t>
            </w:r>
            <w:proofErr w:type="gramStart"/>
            <w:r w:rsidRPr="00D95E54">
              <w:t>Commonwealth Minister</w:t>
            </w:r>
            <w:proofErr w:type="gramEnd"/>
            <w:r w:rsidRPr="00D95E54">
              <w:t xml:space="preserve"> for Health and Aged Care</w:t>
            </w:r>
          </w:p>
          <w:p w14:paraId="4A4AFADC" w14:textId="77777777" w:rsidR="00D95E54" w:rsidRPr="00D95E54" w:rsidRDefault="00D95E54">
            <w:pPr>
              <w:pStyle w:val="Default"/>
              <w:spacing w:after="240"/>
              <w:rPr>
                <w:rFonts w:ascii="Franklin Gothic Book" w:hAnsi="Franklin Gothic Book"/>
                <w:b/>
                <w:bCs/>
                <w:i/>
                <w:color w:val="auto"/>
                <w:sz w:val="22"/>
                <w:szCs w:val="22"/>
              </w:rPr>
            </w:pPr>
            <w:r w:rsidRPr="00D95E54">
              <w:rPr>
                <w:rFonts w:ascii="Franklin Gothic Book" w:hAnsi="Franklin Gothic Book"/>
                <w:b/>
                <w:bCs/>
                <w:i/>
                <w:color w:val="auto"/>
                <w:sz w:val="22"/>
                <w:szCs w:val="22"/>
              </w:rPr>
              <w:t xml:space="preserve">MSAC proposes an alternative funding model to allow Australian patients to access </w:t>
            </w:r>
            <w:proofErr w:type="spellStart"/>
            <w:r w:rsidRPr="00D95E54">
              <w:rPr>
                <w:rFonts w:ascii="Franklin Gothic Book" w:hAnsi="Franklin Gothic Book"/>
                <w:b/>
                <w:bCs/>
                <w:i/>
                <w:color w:val="auto"/>
                <w:sz w:val="22"/>
                <w:szCs w:val="22"/>
              </w:rPr>
              <w:t>cilta</w:t>
            </w:r>
            <w:proofErr w:type="spellEnd"/>
            <w:r w:rsidRPr="00D95E54">
              <w:rPr>
                <w:rFonts w:ascii="Franklin Gothic Book" w:hAnsi="Franklin Gothic Book"/>
                <w:b/>
                <w:bCs/>
                <w:i/>
                <w:color w:val="auto"/>
                <w:sz w:val="22"/>
                <w:szCs w:val="22"/>
              </w:rPr>
              <w:t>-cel</w:t>
            </w:r>
          </w:p>
          <w:p w14:paraId="3986ACAE" w14:textId="26B65FBE" w:rsidR="00D95E54" w:rsidRPr="00906282" w:rsidRDefault="00D95E54">
            <w:pPr>
              <w:pStyle w:val="Default"/>
              <w:spacing w:after="240"/>
              <w:rPr>
                <w:rFonts w:ascii="Franklin Gothic Book" w:hAnsi="Franklin Gothic Book"/>
                <w:iCs/>
                <w:color w:val="auto"/>
                <w:sz w:val="22"/>
                <w:szCs w:val="22"/>
              </w:rPr>
            </w:pPr>
            <w:r w:rsidRPr="00906282">
              <w:rPr>
                <w:rFonts w:ascii="Franklin Gothic Book" w:hAnsi="Franklin Gothic Book"/>
                <w:iCs/>
                <w:color w:val="auto"/>
                <w:sz w:val="22"/>
                <w:szCs w:val="22"/>
              </w:rPr>
              <w:t xml:space="preserve">MSAC considered the company was delaying access to treatment for patients by </w:t>
            </w:r>
            <w:r w:rsidR="002A2D7F" w:rsidRPr="00906282">
              <w:rPr>
                <w:rFonts w:ascii="Franklin Gothic Book" w:hAnsi="Franklin Gothic Book"/>
                <w:iCs/>
                <w:color w:val="auto"/>
                <w:sz w:val="22"/>
                <w:szCs w:val="22"/>
              </w:rPr>
              <w:t>being unwilling</w:t>
            </w:r>
            <w:r w:rsidRPr="00906282">
              <w:rPr>
                <w:rFonts w:ascii="Franklin Gothic Book" w:hAnsi="Franklin Gothic Book"/>
                <w:iCs/>
                <w:color w:val="auto"/>
                <w:sz w:val="22"/>
                <w:szCs w:val="22"/>
              </w:rPr>
              <w:t xml:space="preserve"> to negotiate on its price and not putting forward any meaningful proposals for funding over the course of 3 applications. MSAC considered it was necessary for it to establish an alternative way forward to enable the public funding of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 xml:space="preserve">-cel. </w:t>
            </w:r>
            <w:bookmarkStart w:id="3" w:name="_Hlk166524079"/>
            <w:r w:rsidRPr="00906282">
              <w:rPr>
                <w:rFonts w:ascii="Franklin Gothic Book" w:hAnsi="Franklin Gothic Book"/>
                <w:iCs/>
                <w:color w:val="auto"/>
                <w:sz w:val="22"/>
                <w:szCs w:val="22"/>
              </w:rPr>
              <w:t xml:space="preserve">Therefore, MSAC supported the public funding of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 xml:space="preserve">-cel at the price requested by the company, however MSAC considered that </w:t>
            </w:r>
            <w:bookmarkStart w:id="4" w:name="_Hlk170121418"/>
            <w:r w:rsidRPr="00906282">
              <w:rPr>
                <w:rFonts w:ascii="Franklin Gothic Book" w:hAnsi="Franklin Gothic Book"/>
                <w:iCs/>
                <w:color w:val="auto"/>
                <w:sz w:val="22"/>
                <w:szCs w:val="22"/>
              </w:rPr>
              <w:t xml:space="preserve">payment should be made to the company in instalments over a 4-year period, where there was evidence that the patient remained with no signs of myeloma progressing. </w:t>
            </w:r>
            <w:r w:rsidR="000A4F31" w:rsidRPr="00906282">
              <w:rPr>
                <w:rFonts w:ascii="Franklin Gothic Book" w:hAnsi="Franklin Gothic Book"/>
                <w:iCs/>
                <w:color w:val="auto"/>
                <w:sz w:val="22"/>
                <w:szCs w:val="22"/>
              </w:rPr>
              <w:t xml:space="preserve">MSAC considered this arrangement was appropriate based on the evidence available through the clinical trial conducted for </w:t>
            </w:r>
            <w:proofErr w:type="spellStart"/>
            <w:r w:rsidR="000A4F31" w:rsidRPr="00906282">
              <w:rPr>
                <w:rFonts w:ascii="Franklin Gothic Book" w:hAnsi="Franklin Gothic Book"/>
                <w:iCs/>
                <w:color w:val="auto"/>
                <w:sz w:val="22"/>
                <w:szCs w:val="22"/>
              </w:rPr>
              <w:t>cilta</w:t>
            </w:r>
            <w:proofErr w:type="spellEnd"/>
            <w:r w:rsidR="000A4F31" w:rsidRPr="00906282">
              <w:rPr>
                <w:rFonts w:ascii="Franklin Gothic Book" w:hAnsi="Franklin Gothic Book"/>
                <w:iCs/>
                <w:color w:val="auto"/>
                <w:sz w:val="22"/>
                <w:szCs w:val="22"/>
              </w:rPr>
              <w:t xml:space="preserve">-cel, which showed that in some patients their myeloma returned following treatment with </w:t>
            </w:r>
            <w:proofErr w:type="spellStart"/>
            <w:r w:rsidR="000A4F31" w:rsidRPr="00906282">
              <w:rPr>
                <w:rFonts w:ascii="Franklin Gothic Book" w:hAnsi="Franklin Gothic Book"/>
                <w:iCs/>
                <w:color w:val="auto"/>
                <w:sz w:val="22"/>
                <w:szCs w:val="22"/>
              </w:rPr>
              <w:t>cilta</w:t>
            </w:r>
            <w:proofErr w:type="spellEnd"/>
            <w:r w:rsidR="000A4F31" w:rsidRPr="00906282">
              <w:rPr>
                <w:rFonts w:ascii="Franklin Gothic Book" w:hAnsi="Franklin Gothic Book"/>
                <w:iCs/>
                <w:color w:val="auto"/>
                <w:sz w:val="22"/>
                <w:szCs w:val="22"/>
              </w:rPr>
              <w:t>-cel within 4 years after receiving treatment</w:t>
            </w:r>
            <w:bookmarkEnd w:id="4"/>
            <w:r w:rsidRPr="00906282">
              <w:rPr>
                <w:rFonts w:ascii="Franklin Gothic Book" w:hAnsi="Franklin Gothic Book"/>
                <w:iCs/>
                <w:color w:val="auto"/>
                <w:sz w:val="22"/>
                <w:szCs w:val="22"/>
              </w:rPr>
              <w:t xml:space="preserve">. </w:t>
            </w:r>
            <w:bookmarkEnd w:id="3"/>
            <w:r w:rsidRPr="00906282">
              <w:rPr>
                <w:rFonts w:ascii="Franklin Gothic Book" w:hAnsi="Franklin Gothic Book"/>
                <w:iCs/>
                <w:color w:val="auto"/>
                <w:sz w:val="22"/>
                <w:szCs w:val="22"/>
              </w:rPr>
              <w:t xml:space="preserve">MSAC considered it was only appropriate to pay the high price requested by the company for those people who remained well after receiving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 xml:space="preserve">-cel and pay less for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 xml:space="preserve">-cel in cases where the myeloma returned, and the treatment proved to be less effective. </w:t>
            </w:r>
          </w:p>
          <w:p w14:paraId="7E9B521E" w14:textId="7753D0C3" w:rsidR="00D95E54" w:rsidRPr="00D95E54" w:rsidRDefault="00D95E54" w:rsidP="00B7604F">
            <w:pPr>
              <w:pStyle w:val="Default"/>
              <w:spacing w:after="120"/>
            </w:pPr>
            <w:r w:rsidRPr="00906282">
              <w:rPr>
                <w:rFonts w:ascii="Franklin Gothic Book" w:hAnsi="Franklin Gothic Book"/>
                <w:iCs/>
                <w:color w:val="auto"/>
                <w:sz w:val="22"/>
                <w:szCs w:val="22"/>
              </w:rPr>
              <w:t xml:space="preserve">MSAC welcomed the company’s statement that it was open to discussions about its proposal to limit the number of patients that could receive treatment with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 xml:space="preserve">-cel </w:t>
            </w:r>
            <w:proofErr w:type="gramStart"/>
            <w:r w:rsidRPr="00906282">
              <w:rPr>
                <w:rFonts w:ascii="Franklin Gothic Book" w:hAnsi="Franklin Gothic Book"/>
                <w:iCs/>
                <w:color w:val="auto"/>
                <w:sz w:val="22"/>
                <w:szCs w:val="22"/>
              </w:rPr>
              <w:t>in a given year</w:t>
            </w:r>
            <w:proofErr w:type="gramEnd"/>
            <w:r w:rsidRPr="00906282">
              <w:rPr>
                <w:rFonts w:ascii="Franklin Gothic Book" w:hAnsi="Franklin Gothic Book"/>
                <w:iCs/>
                <w:color w:val="auto"/>
                <w:sz w:val="22"/>
                <w:szCs w:val="22"/>
              </w:rPr>
              <w:t xml:space="preserve"> </w:t>
            </w:r>
            <w:r w:rsidR="1597675C" w:rsidRPr="00906282">
              <w:rPr>
                <w:rFonts w:ascii="Franklin Gothic Book" w:hAnsi="Franklin Gothic Book"/>
                <w:color w:val="auto"/>
                <w:sz w:val="22"/>
                <w:szCs w:val="22"/>
              </w:rPr>
              <w:t>if</w:t>
            </w:r>
            <w:r w:rsidRPr="00906282">
              <w:rPr>
                <w:rFonts w:ascii="Franklin Gothic Book" w:hAnsi="Franklin Gothic Book"/>
                <w:iCs/>
                <w:color w:val="auto"/>
                <w:sz w:val="22"/>
                <w:szCs w:val="22"/>
              </w:rPr>
              <w:t xml:space="preserve"> MSAC supported the funding of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-cel. MSAC</w:t>
            </w:r>
            <w:r w:rsidRPr="00D95E54">
              <w:rPr>
                <w:rFonts w:ascii="Franklin Gothic Book" w:hAnsi="Franklin Gothic Book"/>
                <w:iCs/>
                <w:color w:val="auto"/>
                <w:sz w:val="22"/>
                <w:szCs w:val="22"/>
              </w:rPr>
              <w:t xml:space="preserve"> accepted the company’s estimates of the number of patients likely to be treated per year and considered that instead of limiting the number of patients that could receive treatment with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per year, if more patients than estimated were treated, the company should continue to supply </w:t>
            </w:r>
            <w:proofErr w:type="spellStart"/>
            <w:r w:rsidRPr="00D95E54">
              <w:rPr>
                <w:rFonts w:ascii="Franklin Gothic Book" w:hAnsi="Franklin Gothic Book"/>
                <w:iCs/>
                <w:color w:val="auto"/>
                <w:sz w:val="22"/>
                <w:szCs w:val="22"/>
              </w:rPr>
              <w:t>cilta</w:t>
            </w:r>
            <w:proofErr w:type="spellEnd"/>
            <w:r w:rsidRPr="00D95E54">
              <w:rPr>
                <w:rFonts w:ascii="Franklin Gothic Book" w:hAnsi="Franklin Gothic Book"/>
                <w:iCs/>
                <w:color w:val="auto"/>
                <w:sz w:val="22"/>
                <w:szCs w:val="22"/>
              </w:rPr>
              <w:t xml:space="preserve">-cel for eligible patients at a reduced cost. MSAC considered </w:t>
            </w:r>
            <w:bookmarkStart w:id="5" w:name="_Hlk170121599"/>
            <w:r w:rsidRPr="00906282">
              <w:rPr>
                <w:rFonts w:ascii="Franklin Gothic Book" w:hAnsi="Franklin Gothic Book"/>
                <w:iCs/>
                <w:color w:val="auto"/>
                <w:sz w:val="22"/>
                <w:szCs w:val="22"/>
              </w:rPr>
              <w:t xml:space="preserve">if the company was not able to provide supply of </w:t>
            </w:r>
            <w:proofErr w:type="spellStart"/>
            <w:r w:rsidRPr="00906282">
              <w:rPr>
                <w:rFonts w:ascii="Franklin Gothic Book" w:hAnsi="Franklin Gothic Book"/>
                <w:iCs/>
                <w:color w:val="auto"/>
                <w:sz w:val="22"/>
                <w:szCs w:val="22"/>
              </w:rPr>
              <w:t>cilta</w:t>
            </w:r>
            <w:proofErr w:type="spellEnd"/>
            <w:r w:rsidRPr="00906282">
              <w:rPr>
                <w:rFonts w:ascii="Franklin Gothic Book" w:hAnsi="Franklin Gothic Book"/>
                <w:iCs/>
                <w:color w:val="auto"/>
                <w:sz w:val="22"/>
                <w:szCs w:val="22"/>
              </w:rPr>
              <w:t>-cel for Australian patients until</w:t>
            </w:r>
            <w:r w:rsidR="004A0A15">
              <w:rPr>
                <w:rFonts w:ascii="Franklin Gothic Book" w:hAnsi="Franklin Gothic Book"/>
                <w:iCs/>
                <w:color w:val="auto"/>
                <w:sz w:val="22"/>
                <w:szCs w:val="22"/>
              </w:rPr>
              <w:t xml:space="preserve"> </w:t>
            </w:r>
            <w:r w:rsidR="007E3177" w:rsidRPr="000B5302">
              <w:rPr>
                <w:rFonts w:ascii="Franklin Gothic Book" w:hAnsi="Franklin Gothic Book"/>
                <w:iCs/>
                <w:w w:val="66"/>
                <w:sz w:val="22"/>
                <w:szCs w:val="22"/>
                <w:shd w:val="solid" w:color="000000" w:fill="000000"/>
                <w:fitText w:val="440" w:id="-959204605"/>
                <w14:textFill>
                  <w14:solidFill>
                    <w14:srgbClr w14:val="000000">
                      <w14:alpha w14:val="100000"/>
                    </w14:srgbClr>
                  </w14:solidFill>
                </w14:textFill>
              </w:rPr>
              <w:t>||||||</w:t>
            </w:r>
            <w:r w:rsidRPr="00906282">
              <w:rPr>
                <w:rFonts w:ascii="Franklin Gothic Book" w:hAnsi="Franklin Gothic Book"/>
                <w:iCs/>
                <w:color w:val="auto"/>
                <w:sz w:val="22"/>
                <w:szCs w:val="22"/>
              </w:rPr>
              <w:t xml:space="preserve"> as it had indicated to the Department of Health and Aged Care, then there was adequate time</w:t>
            </w:r>
            <w:r w:rsidRPr="00D95E54">
              <w:rPr>
                <w:rFonts w:ascii="Franklin Gothic Book" w:hAnsi="Franklin Gothic Book"/>
                <w:iCs/>
                <w:color w:val="auto"/>
                <w:sz w:val="22"/>
                <w:szCs w:val="22"/>
              </w:rPr>
              <w:t xml:space="preserve"> </w:t>
            </w:r>
            <w:bookmarkEnd w:id="5"/>
            <w:r w:rsidRPr="00D95E54">
              <w:rPr>
                <w:rFonts w:ascii="Franklin Gothic Book" w:hAnsi="Franklin Gothic Book"/>
                <w:iCs/>
                <w:color w:val="auto"/>
                <w:sz w:val="22"/>
                <w:szCs w:val="22"/>
              </w:rPr>
              <w:t>for the company to reach agreement on the alternative funding model recommended by MSAC and to ensure the right measures were in place to monitor how well the treatment worked over time.</w:t>
            </w:r>
            <w:r w:rsidRPr="00D95E54">
              <w:t xml:space="preserve"> </w:t>
            </w:r>
          </w:p>
        </w:tc>
      </w:tr>
    </w:tbl>
    <w:p w14:paraId="3070C904" w14:textId="77777777" w:rsidR="00D95E54" w:rsidRPr="00D72F76" w:rsidRDefault="00D95E54" w:rsidP="00D72F76">
      <w:pPr>
        <w:pStyle w:val="Heading2"/>
        <w:numPr>
          <w:ilvl w:val="0"/>
          <w:numId w:val="15"/>
        </w:numPr>
        <w:ind w:left="737" w:hanging="737"/>
      </w:pPr>
      <w:r w:rsidRPr="00D72F76">
        <w:t>Summary of consideration and rationale for MSAC’s advice</w:t>
      </w:r>
    </w:p>
    <w:p w14:paraId="79F756DA" w14:textId="77777777" w:rsidR="00DF0454" w:rsidRPr="004B0B96" w:rsidRDefault="00DF0454" w:rsidP="00542FE5">
      <w:pPr>
        <w:keepNext/>
        <w:keepLines/>
        <w:spacing w:after="160" w:line="259" w:lineRule="auto"/>
        <w:rPr>
          <w:rFonts w:ascii="Franklin Gothic Book" w:hAnsi="Franklin Gothic Book"/>
          <w:b/>
          <w:bCs/>
          <w:i/>
          <w:iCs/>
        </w:rPr>
      </w:pPr>
      <w:r w:rsidRPr="004B0B96">
        <w:rPr>
          <w:rFonts w:ascii="Franklin Gothic Book" w:hAnsi="Franklin Gothic Book"/>
          <w:b/>
          <w:bCs/>
          <w:i/>
          <w:iCs/>
        </w:rPr>
        <w:t xml:space="preserve">November 2024 MSAC consideration </w:t>
      </w:r>
    </w:p>
    <w:p w14:paraId="0847735B" w14:textId="77777777" w:rsidR="00753646" w:rsidRPr="004B0B96" w:rsidRDefault="00300942" w:rsidP="00542FE5">
      <w:pPr>
        <w:keepNext/>
        <w:keepLines/>
        <w:rPr>
          <w:rFonts w:ascii="Franklin Gothic Book" w:hAnsi="Franklin Gothic Book"/>
        </w:rPr>
      </w:pPr>
      <w:r w:rsidRPr="004B0B96">
        <w:rPr>
          <w:rFonts w:ascii="Franklin Gothic Book" w:hAnsi="Franklin Gothic Book"/>
        </w:rPr>
        <w:t xml:space="preserve">In November 2024, MSAC considered an updated funding proposal submitted by Janssen-Cilag in October 2024 to progress the public funding of </w:t>
      </w:r>
      <w:proofErr w:type="spellStart"/>
      <w:r w:rsidRPr="004B0B96">
        <w:rPr>
          <w:rFonts w:ascii="Franklin Gothic Book" w:hAnsi="Franklin Gothic Book"/>
        </w:rPr>
        <w:t>cilta</w:t>
      </w:r>
      <w:proofErr w:type="spellEnd"/>
      <w:r w:rsidRPr="004B0B96">
        <w:rPr>
          <w:rFonts w:ascii="Franklin Gothic Book" w:hAnsi="Franklin Gothic Book"/>
        </w:rPr>
        <w:t>-cel for 5L+ RRMM, supported by MSAC at its April 2024 meeting.</w:t>
      </w:r>
    </w:p>
    <w:p w14:paraId="736104D8" w14:textId="33F44277" w:rsidR="00AE1D07" w:rsidRPr="004B0B96" w:rsidRDefault="00994A11" w:rsidP="00542FE5">
      <w:pPr>
        <w:keepNext/>
        <w:keepLines/>
        <w:spacing w:after="160" w:line="259" w:lineRule="auto"/>
        <w:rPr>
          <w:rFonts w:ascii="Franklin Gothic Book" w:hAnsi="Franklin Gothic Book"/>
          <w:kern w:val="2"/>
          <w14:ligatures w14:val="standardContextual"/>
        </w:rPr>
      </w:pPr>
      <w:r w:rsidRPr="004B0B96">
        <w:rPr>
          <w:rFonts w:ascii="Franklin Gothic Book" w:hAnsi="Franklin Gothic Book"/>
        </w:rPr>
        <w:t xml:space="preserve">MSAC noted that in April 2024 it supported the public funding of </w:t>
      </w:r>
      <w:proofErr w:type="spellStart"/>
      <w:r w:rsidRPr="004B0B96">
        <w:rPr>
          <w:rFonts w:ascii="Franklin Gothic Book" w:hAnsi="Franklin Gothic Book"/>
        </w:rPr>
        <w:t>c</w:t>
      </w:r>
      <w:r w:rsidR="002309E7" w:rsidRPr="004B0B96">
        <w:rPr>
          <w:rFonts w:ascii="Franklin Gothic Book" w:hAnsi="Franklin Gothic Book"/>
        </w:rPr>
        <w:t>i</w:t>
      </w:r>
      <w:r w:rsidRPr="004B0B96">
        <w:rPr>
          <w:rFonts w:ascii="Franklin Gothic Book" w:hAnsi="Franklin Gothic Book"/>
        </w:rPr>
        <w:t>lta</w:t>
      </w:r>
      <w:proofErr w:type="spellEnd"/>
      <w:r w:rsidRPr="004B0B96">
        <w:rPr>
          <w:rFonts w:ascii="Franklin Gothic Book" w:hAnsi="Franklin Gothic Book"/>
        </w:rPr>
        <w:t xml:space="preserve">-cel for adult patients with 5L+ RRMM at the </w:t>
      </w:r>
      <w:r w:rsidR="00517081" w:rsidRPr="004B0B96">
        <w:rPr>
          <w:rFonts w:ascii="Franklin Gothic Book" w:hAnsi="Franklin Gothic Book"/>
        </w:rPr>
        <w:t>unit price</w:t>
      </w:r>
      <w:r w:rsidR="00227473" w:rsidRPr="004B0B96">
        <w:rPr>
          <w:rFonts w:ascii="Franklin Gothic Book" w:hAnsi="Franklin Gothic Book"/>
        </w:rPr>
        <w:t xml:space="preserve"> of $</w:t>
      </w:r>
      <w:r w:rsidR="00DE62FE" w:rsidRPr="00DE62FE">
        <w:rPr>
          <w:rFonts w:ascii="Franklin Gothic Book" w:hAnsi="Franklin Gothic Book"/>
          <w:color w:val="000000"/>
          <w:w w:val="66"/>
          <w:shd w:val="solid" w:color="000000" w:fill="000000"/>
          <w:fitText w:val="440" w:id="-775723775"/>
          <w14:textFill>
            <w14:solidFill>
              <w14:srgbClr w14:val="000000">
                <w14:alpha w14:val="100000"/>
              </w14:srgbClr>
            </w14:solidFill>
          </w14:textFill>
        </w:rPr>
        <w:t>||||||</w:t>
      </w:r>
      <w:r w:rsidR="00CC3A29" w:rsidRPr="004B0B96">
        <w:rPr>
          <w:rFonts w:ascii="Franklin Gothic Book" w:hAnsi="Franklin Gothic Book"/>
        </w:rPr>
        <w:t xml:space="preserve">, as </w:t>
      </w:r>
      <w:r w:rsidR="00517081" w:rsidRPr="004B0B96">
        <w:rPr>
          <w:rFonts w:ascii="Franklin Gothic Book" w:hAnsi="Franklin Gothic Book"/>
        </w:rPr>
        <w:t>requested by Janssen</w:t>
      </w:r>
      <w:r w:rsidR="00931558" w:rsidRPr="004B0B96">
        <w:rPr>
          <w:rFonts w:ascii="Franklin Gothic Book" w:hAnsi="Franklin Gothic Book"/>
        </w:rPr>
        <w:t>-Cilag</w:t>
      </w:r>
      <w:r w:rsidR="00CC3A29" w:rsidRPr="004B0B96">
        <w:rPr>
          <w:rFonts w:ascii="Franklin Gothic Book" w:hAnsi="Franklin Gothic Book"/>
        </w:rPr>
        <w:t>,</w:t>
      </w:r>
      <w:r w:rsidR="00D4721B" w:rsidRPr="004B0B96">
        <w:rPr>
          <w:rFonts w:ascii="Franklin Gothic Book" w:hAnsi="Franklin Gothic Book"/>
        </w:rPr>
        <w:t xml:space="preserve"> </w:t>
      </w:r>
      <w:r w:rsidR="00F04C34" w:rsidRPr="004B0B96">
        <w:rPr>
          <w:rFonts w:ascii="Franklin Gothic Book" w:hAnsi="Franklin Gothic Book"/>
          <w:kern w:val="2"/>
          <w14:ligatures w14:val="standardContextual"/>
        </w:rPr>
        <w:t xml:space="preserve">based on an </w:t>
      </w:r>
      <w:r w:rsidR="00AE1D07" w:rsidRPr="004B0B96">
        <w:rPr>
          <w:rFonts w:ascii="Franklin Gothic Book" w:hAnsi="Franklin Gothic Book"/>
          <w:kern w:val="2"/>
          <w14:ligatures w14:val="standardContextual"/>
        </w:rPr>
        <w:t xml:space="preserve">extended </w:t>
      </w:r>
      <w:proofErr w:type="spellStart"/>
      <w:r w:rsidR="00AE1D07" w:rsidRPr="004B0B96">
        <w:rPr>
          <w:rFonts w:ascii="Franklin Gothic Book" w:hAnsi="Franklin Gothic Book"/>
          <w:kern w:val="2"/>
          <w14:ligatures w14:val="standardContextual"/>
        </w:rPr>
        <w:t>PfP</w:t>
      </w:r>
      <w:proofErr w:type="spellEnd"/>
      <w:r w:rsidR="00AE1D07" w:rsidRPr="004B0B96">
        <w:rPr>
          <w:rFonts w:ascii="Franklin Gothic Book" w:hAnsi="Franklin Gothic Book"/>
          <w:kern w:val="2"/>
          <w14:ligatures w14:val="standardContextual"/>
        </w:rPr>
        <w:t xml:space="preserve"> arrangement reflecting </w:t>
      </w:r>
      <w:proofErr w:type="gramStart"/>
      <w:r w:rsidR="00AE1D07" w:rsidRPr="004B0B96">
        <w:rPr>
          <w:rFonts w:ascii="Franklin Gothic Book" w:hAnsi="Franklin Gothic Book"/>
          <w:kern w:val="2"/>
          <w14:ligatures w14:val="standardContextual"/>
        </w:rPr>
        <w:t>that patients</w:t>
      </w:r>
      <w:proofErr w:type="gramEnd"/>
      <w:r w:rsidR="00AE1D07" w:rsidRPr="004B0B96">
        <w:rPr>
          <w:rFonts w:ascii="Franklin Gothic Book" w:hAnsi="Franklin Gothic Book"/>
          <w:kern w:val="2"/>
          <w14:ligatures w14:val="standardContextual"/>
        </w:rPr>
        <w:t xml:space="preserve"> continued to relapse over a period of 4 years</w:t>
      </w:r>
      <w:r w:rsidR="00F04C34" w:rsidRPr="004B0B96">
        <w:rPr>
          <w:rFonts w:ascii="Franklin Gothic Book" w:hAnsi="Franklin Gothic Book"/>
          <w:kern w:val="2"/>
          <w14:ligatures w14:val="standardContextual"/>
        </w:rPr>
        <w:t xml:space="preserve">. MSAC recalled that it considered this </w:t>
      </w:r>
      <w:r w:rsidR="002557F0" w:rsidRPr="004B0B96">
        <w:rPr>
          <w:rFonts w:ascii="Franklin Gothic Book" w:hAnsi="Franklin Gothic Book"/>
          <w:kern w:val="2"/>
          <w14:ligatures w14:val="standardContextual"/>
        </w:rPr>
        <w:t xml:space="preserve">arrangement </w:t>
      </w:r>
      <w:r w:rsidR="00F04C34" w:rsidRPr="004B0B96">
        <w:rPr>
          <w:rFonts w:ascii="Franklin Gothic Book" w:hAnsi="Franklin Gothic Book"/>
          <w:kern w:val="2"/>
          <w14:ligatures w14:val="standardContextual"/>
        </w:rPr>
        <w:t>appropriately</w:t>
      </w:r>
      <w:r w:rsidR="00AE1D07" w:rsidRPr="004B0B96">
        <w:rPr>
          <w:rFonts w:ascii="Franklin Gothic Book" w:hAnsi="Franklin Gothic Book"/>
          <w:kern w:val="2"/>
          <w14:ligatures w14:val="standardContextual"/>
        </w:rPr>
        <w:t xml:space="preserve"> balance</w:t>
      </w:r>
      <w:r w:rsidR="002557F0" w:rsidRPr="004B0B96">
        <w:rPr>
          <w:rFonts w:ascii="Franklin Gothic Book" w:hAnsi="Franklin Gothic Book"/>
          <w:kern w:val="2"/>
          <w14:ligatures w14:val="standardContextual"/>
        </w:rPr>
        <w:t>d</w:t>
      </w:r>
      <w:r w:rsidR="00AE1D07" w:rsidRPr="004B0B96">
        <w:rPr>
          <w:rFonts w:ascii="Franklin Gothic Book" w:hAnsi="Franklin Gothic Book"/>
          <w:kern w:val="2"/>
          <w14:ligatures w14:val="standardContextual"/>
        </w:rPr>
        <w:t xml:space="preserve"> the high ICER and very high price of </w:t>
      </w:r>
      <w:proofErr w:type="spellStart"/>
      <w:r w:rsidR="00AE1D07" w:rsidRPr="004B0B96">
        <w:rPr>
          <w:rFonts w:ascii="Franklin Gothic Book" w:hAnsi="Franklin Gothic Book"/>
          <w:kern w:val="2"/>
          <w14:ligatures w14:val="standardContextual"/>
        </w:rPr>
        <w:t>cilta</w:t>
      </w:r>
      <w:proofErr w:type="spellEnd"/>
      <w:r w:rsidR="00AE1D07" w:rsidRPr="004B0B96">
        <w:rPr>
          <w:rFonts w:ascii="Franklin Gothic Book" w:hAnsi="Franklin Gothic Book"/>
          <w:kern w:val="2"/>
          <w14:ligatures w14:val="standardContextual"/>
        </w:rPr>
        <w:t xml:space="preserve">-cel against the uncertainty related to the magnitude of benefit and durability of response </w:t>
      </w:r>
      <w:proofErr w:type="spellStart"/>
      <w:r w:rsidR="00AE1D07" w:rsidRPr="004B0B96">
        <w:rPr>
          <w:rFonts w:ascii="Franklin Gothic Book" w:hAnsi="Franklin Gothic Book"/>
          <w:kern w:val="2"/>
          <w14:ligatures w14:val="standardContextual"/>
        </w:rPr>
        <w:t>cilta</w:t>
      </w:r>
      <w:proofErr w:type="spellEnd"/>
      <w:r w:rsidR="00AE1D07" w:rsidRPr="004B0B96">
        <w:rPr>
          <w:rFonts w:ascii="Franklin Gothic Book" w:hAnsi="Franklin Gothic Book"/>
          <w:kern w:val="2"/>
          <w14:ligatures w14:val="standardContextual"/>
        </w:rPr>
        <w:t>-cel claims to provide to patients. This included:</w:t>
      </w:r>
    </w:p>
    <w:p w14:paraId="6C03D883" w14:textId="77777777" w:rsidR="00AE1D07" w:rsidRPr="004B0B96" w:rsidRDefault="00AE1D07" w:rsidP="00AE1D07">
      <w:pPr>
        <w:numPr>
          <w:ilvl w:val="0"/>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 xml:space="preserve">A </w:t>
      </w:r>
      <w:proofErr w:type="spellStart"/>
      <w:r w:rsidRPr="004B0B96">
        <w:rPr>
          <w:rFonts w:ascii="Franklin Gothic Book" w:hAnsi="Franklin Gothic Book"/>
          <w:kern w:val="2"/>
          <w14:ligatures w14:val="standardContextual"/>
        </w:rPr>
        <w:t>PfP</w:t>
      </w:r>
      <w:proofErr w:type="spellEnd"/>
      <w:r w:rsidRPr="004B0B96">
        <w:rPr>
          <w:rFonts w:ascii="Franklin Gothic Book" w:hAnsi="Franklin Gothic Book"/>
          <w:kern w:val="2"/>
          <w14:ligatures w14:val="standardContextual"/>
        </w:rPr>
        <w:t xml:space="preserve"> arrangement composed of the following payment structure: </w:t>
      </w:r>
    </w:p>
    <w:p w14:paraId="6A961824" w14:textId="746D21AF" w:rsidR="00AE1D07" w:rsidRPr="004B0B96" w:rsidRDefault="00AE1D07" w:rsidP="00AE1D07">
      <w:pPr>
        <w:numPr>
          <w:ilvl w:val="1"/>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an initial payment only on successful infusion (up to $</w:t>
      </w:r>
      <w:r w:rsidR="00DE62FE" w:rsidRPr="00DE62FE">
        <w:rPr>
          <w:rFonts w:ascii="Franklin Gothic Book" w:hAnsi="Franklin Gothic Book"/>
          <w:color w:val="000000"/>
          <w:w w:val="66"/>
          <w:shd w:val="solid" w:color="000000" w:fill="000000"/>
          <w:fitText w:val="440" w:id="-775723774"/>
          <w14:textFill>
            <w14:solidFill>
              <w14:srgbClr w14:val="000000">
                <w14:alpha w14:val="100000"/>
              </w14:srgbClr>
            </w14:solidFill>
          </w14:textFill>
        </w:rPr>
        <w:t>||||||</w:t>
      </w:r>
      <w:r w:rsidRPr="004B0B96">
        <w:rPr>
          <w:rFonts w:ascii="Franklin Gothic Book" w:hAnsi="Franklin Gothic Book"/>
          <w:kern w:val="2"/>
          <w14:ligatures w14:val="standardContextual"/>
        </w:rPr>
        <w:t>); and</w:t>
      </w:r>
    </w:p>
    <w:p w14:paraId="1B291557" w14:textId="649325F9" w:rsidR="00AE1D07" w:rsidRPr="004B0B96" w:rsidRDefault="00AE1D07" w:rsidP="00AE1D07">
      <w:pPr>
        <w:numPr>
          <w:ilvl w:val="1"/>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Subsequent equal payments ($</w:t>
      </w:r>
      <w:r w:rsidR="00DE62FE" w:rsidRPr="00DE62FE">
        <w:rPr>
          <w:rFonts w:ascii="Franklin Gothic Book" w:hAnsi="Franklin Gothic Book"/>
          <w:color w:val="000000"/>
          <w:w w:val="66"/>
          <w:shd w:val="solid" w:color="000000" w:fill="000000"/>
          <w:fitText w:val="440" w:id="-775723773"/>
          <w14:textFill>
            <w14:solidFill>
              <w14:srgbClr w14:val="000000">
                <w14:alpha w14:val="100000"/>
              </w14:srgbClr>
            </w14:solidFill>
          </w14:textFill>
        </w:rPr>
        <w:t>||||||</w:t>
      </w:r>
      <w:r w:rsidR="00DE62FE" w:rsidRPr="007E3177">
        <w:rPr>
          <w:rFonts w:ascii="Franklin Gothic Book" w:hAnsi="Franklin Gothic Book"/>
        </w:rPr>
        <w:t xml:space="preserve"> </w:t>
      </w:r>
      <w:r w:rsidRPr="004B0B96">
        <w:rPr>
          <w:rFonts w:ascii="Franklin Gothic Book" w:hAnsi="Franklin Gothic Book"/>
          <w:kern w:val="2"/>
          <w14:ligatures w14:val="standardContextual"/>
        </w:rPr>
        <w:t>per payment) at 12, 24, 36 and 48 months upon confirmation that the patient has not died and is in stringent complete response (</w:t>
      </w:r>
      <w:proofErr w:type="spellStart"/>
      <w:r w:rsidRPr="004B0B96">
        <w:rPr>
          <w:rFonts w:ascii="Franklin Gothic Book" w:hAnsi="Franklin Gothic Book"/>
          <w:kern w:val="2"/>
          <w14:ligatures w14:val="standardContextual"/>
        </w:rPr>
        <w:t>sCR</w:t>
      </w:r>
      <w:proofErr w:type="spellEnd"/>
      <w:r w:rsidRPr="004B0B96">
        <w:rPr>
          <w:rFonts w:ascii="Franklin Gothic Book" w:hAnsi="Franklin Gothic Book"/>
          <w:kern w:val="2"/>
          <w14:ligatures w14:val="standardContextual"/>
        </w:rPr>
        <w:t xml:space="preserve">) (as defined by the IMWG criteria) at 12 months post infusion, and with no evidence of progressive disease (as defined by the IMWG criteria) at 24, 36, or 48 months thereafter (refer to </w:t>
      </w:r>
      <w:r w:rsidR="00F12443">
        <w:rPr>
          <w:rFonts w:ascii="Franklin Gothic Book" w:hAnsi="Franklin Gothic Book"/>
          <w:kern w:val="2"/>
          <w14:ligatures w14:val="standardContextual"/>
        </w:rPr>
        <w:fldChar w:fldCharType="begin"/>
      </w:r>
      <w:r w:rsidR="00F12443">
        <w:rPr>
          <w:rFonts w:ascii="Franklin Gothic Book" w:hAnsi="Franklin Gothic Book"/>
          <w:kern w:val="2"/>
          <w14:ligatures w14:val="standardContextual"/>
        </w:rPr>
        <w:instrText xml:space="preserve"> REF _Ref188617823 \h </w:instrText>
      </w:r>
      <w:r w:rsidR="00F12443">
        <w:rPr>
          <w:rFonts w:ascii="Franklin Gothic Book" w:hAnsi="Franklin Gothic Book"/>
          <w:kern w:val="2"/>
          <w14:ligatures w14:val="standardContextual"/>
        </w:rPr>
      </w:r>
      <w:r w:rsidR="00F12443">
        <w:rPr>
          <w:rFonts w:ascii="Franklin Gothic Book" w:hAnsi="Franklin Gothic Book"/>
          <w:kern w:val="2"/>
          <w14:ligatures w14:val="standardContextual"/>
        </w:rPr>
        <w:fldChar w:fldCharType="separate"/>
      </w:r>
      <w:r w:rsidR="00F12443">
        <w:t xml:space="preserve">Table </w:t>
      </w:r>
      <w:r w:rsidR="00F12443">
        <w:rPr>
          <w:noProof/>
        </w:rPr>
        <w:t>4</w:t>
      </w:r>
      <w:r w:rsidR="00F12443">
        <w:rPr>
          <w:rFonts w:ascii="Franklin Gothic Book" w:hAnsi="Franklin Gothic Book"/>
          <w:kern w:val="2"/>
          <w14:ligatures w14:val="standardContextual"/>
        </w:rPr>
        <w:fldChar w:fldCharType="end"/>
      </w:r>
      <w:r w:rsidRPr="004B0B96">
        <w:rPr>
          <w:rFonts w:ascii="Franklin Gothic Book" w:hAnsi="Franklin Gothic Book"/>
          <w:kern w:val="2"/>
          <w14:ligatures w14:val="standardContextual"/>
        </w:rPr>
        <w:t>).</w:t>
      </w:r>
    </w:p>
    <w:p w14:paraId="1224728A" w14:textId="65C303CC" w:rsidR="00AE1D07" w:rsidRPr="004B0B96" w:rsidRDefault="00AE1D07" w:rsidP="00AE1D07">
      <w:pPr>
        <w:numPr>
          <w:ilvl w:val="0"/>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a maximum price per responder that does not exceed the unit price of $</w:t>
      </w:r>
      <w:r w:rsidR="00DE62FE" w:rsidRPr="00DE62FE">
        <w:rPr>
          <w:rFonts w:ascii="Franklin Gothic Book" w:hAnsi="Franklin Gothic Book"/>
          <w:color w:val="000000"/>
          <w:w w:val="66"/>
          <w:shd w:val="solid" w:color="000000" w:fill="000000"/>
          <w:fitText w:val="440" w:id="-775723772"/>
          <w14:textFill>
            <w14:solidFill>
              <w14:srgbClr w14:val="000000">
                <w14:alpha w14:val="100000"/>
              </w14:srgbClr>
            </w14:solidFill>
          </w14:textFill>
        </w:rPr>
        <w:t>||||||</w:t>
      </w:r>
      <w:r w:rsidRPr="004B0B96">
        <w:rPr>
          <w:rFonts w:ascii="Franklin Gothic Book" w:hAnsi="Franklin Gothic Book"/>
          <w:kern w:val="2"/>
          <w14:ligatures w14:val="standardContextual"/>
        </w:rPr>
        <w:t>; and</w:t>
      </w:r>
    </w:p>
    <w:p w14:paraId="1B4AD9FF" w14:textId="77777777" w:rsidR="00AE1D07" w:rsidRPr="004B0B96" w:rsidRDefault="00AE1D07" w:rsidP="00AE1D07">
      <w:pPr>
        <w:numPr>
          <w:ilvl w:val="0"/>
          <w:numId w:val="31"/>
        </w:numPr>
        <w:spacing w:after="160" w:line="259" w:lineRule="auto"/>
        <w:contextualSpacing/>
        <w:rPr>
          <w:rFonts w:ascii="Franklin Gothic Book" w:hAnsi="Franklin Gothic Book"/>
          <w:kern w:val="2"/>
          <w14:ligatures w14:val="standardContextual"/>
        </w:rPr>
      </w:pPr>
      <w:proofErr w:type="gramStart"/>
      <w:r w:rsidRPr="004B0B96">
        <w:rPr>
          <w:rFonts w:ascii="Franklin Gothic Book" w:hAnsi="Franklin Gothic Book"/>
          <w:kern w:val="2"/>
          <w14:ligatures w14:val="standardContextual"/>
        </w:rPr>
        <w:t>in order for</w:t>
      </w:r>
      <w:proofErr w:type="gramEnd"/>
      <w:r w:rsidRPr="004B0B96">
        <w:rPr>
          <w:rFonts w:ascii="Franklin Gothic Book" w:hAnsi="Franklin Gothic Book"/>
          <w:kern w:val="2"/>
          <w14:ligatures w14:val="standardContextual"/>
        </w:rPr>
        <w:t xml:space="preserve"> payments beyond the initial payment for successful infusion to be paid, the patient must not have received active anti-myeloma treatment for RRMM following infusion with </w:t>
      </w:r>
      <w:proofErr w:type="spellStart"/>
      <w:r w:rsidRPr="004B0B96">
        <w:rPr>
          <w:rFonts w:ascii="Franklin Gothic Book" w:hAnsi="Franklin Gothic Book"/>
          <w:kern w:val="2"/>
          <w14:ligatures w14:val="standardContextual"/>
        </w:rPr>
        <w:t>cilta</w:t>
      </w:r>
      <w:proofErr w:type="spellEnd"/>
      <w:r w:rsidRPr="004B0B96">
        <w:rPr>
          <w:rFonts w:ascii="Franklin Gothic Book" w:hAnsi="Franklin Gothic Book"/>
          <w:kern w:val="2"/>
          <w14:ligatures w14:val="standardContextual"/>
        </w:rPr>
        <w:t>-cel, including non-PBS subsidised therapies or autologous stem cell transplant; and</w:t>
      </w:r>
    </w:p>
    <w:p w14:paraId="2199D884" w14:textId="77777777" w:rsidR="00AE1D07" w:rsidRPr="004B0B96" w:rsidRDefault="00AE1D07" w:rsidP="00AE1D07">
      <w:pPr>
        <w:numPr>
          <w:ilvl w:val="0"/>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a reduced payment only on successful infusion to be paid for each patient treated above the patient estimates in a given funding year; and</w:t>
      </w:r>
    </w:p>
    <w:p w14:paraId="2614015E" w14:textId="77777777" w:rsidR="00AE1D07" w:rsidRPr="004B0B96" w:rsidRDefault="00AE1D07" w:rsidP="00AE1D07">
      <w:pPr>
        <w:numPr>
          <w:ilvl w:val="0"/>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 xml:space="preserve">treatment to be limited to a single infusion of </w:t>
      </w:r>
      <w:proofErr w:type="spellStart"/>
      <w:r w:rsidRPr="004B0B96">
        <w:rPr>
          <w:rFonts w:ascii="Franklin Gothic Book" w:hAnsi="Franklin Gothic Book"/>
          <w:kern w:val="2"/>
          <w14:ligatures w14:val="standardContextual"/>
        </w:rPr>
        <w:t>cilta</w:t>
      </w:r>
      <w:proofErr w:type="spellEnd"/>
      <w:r w:rsidRPr="004B0B96">
        <w:rPr>
          <w:rFonts w:ascii="Franklin Gothic Book" w:hAnsi="Franklin Gothic Book"/>
          <w:kern w:val="2"/>
          <w14:ligatures w14:val="standardContextual"/>
        </w:rPr>
        <w:t>-cel, as there is no evidence currently available informing the effectiveness or safety of multiple infusions; and</w:t>
      </w:r>
    </w:p>
    <w:p w14:paraId="68853C93" w14:textId="77777777" w:rsidR="00AE1D07" w:rsidRPr="004B0B96" w:rsidRDefault="00AE1D07" w:rsidP="00AE1D07">
      <w:pPr>
        <w:numPr>
          <w:ilvl w:val="0"/>
          <w:numId w:val="31"/>
        </w:numPr>
        <w:spacing w:after="160" w:line="259" w:lineRule="auto"/>
        <w:contextualSpacing/>
        <w:rPr>
          <w:rFonts w:ascii="Franklin Gothic Book" w:hAnsi="Franklin Gothic Book"/>
          <w:kern w:val="2"/>
          <w14:ligatures w14:val="standardContextual"/>
        </w:rPr>
      </w:pPr>
      <w:r w:rsidRPr="004B0B96">
        <w:rPr>
          <w:rFonts w:ascii="Franklin Gothic Book" w:hAnsi="Franklin Gothic Book"/>
          <w:kern w:val="2"/>
          <w14:ligatures w14:val="standardContextual"/>
        </w:rPr>
        <w:t>mandatory data collection via a registry; and</w:t>
      </w:r>
    </w:p>
    <w:p w14:paraId="5A71D3E7" w14:textId="77777777" w:rsidR="00AE1D07" w:rsidRPr="004B0B96" w:rsidRDefault="00AE1D07" w:rsidP="00AE1D07">
      <w:pPr>
        <w:numPr>
          <w:ilvl w:val="0"/>
          <w:numId w:val="31"/>
        </w:numPr>
        <w:spacing w:line="259" w:lineRule="auto"/>
        <w:ind w:left="714" w:hanging="357"/>
        <w:rPr>
          <w:rFonts w:ascii="Franklin Gothic Book" w:hAnsi="Franklin Gothic Book"/>
          <w:kern w:val="2"/>
          <w14:ligatures w14:val="standardContextual"/>
        </w:rPr>
      </w:pPr>
      <w:r w:rsidRPr="004B0B96">
        <w:rPr>
          <w:rFonts w:ascii="Franklin Gothic Book" w:hAnsi="Franklin Gothic Book"/>
          <w:kern w:val="2"/>
          <w14:ligatures w14:val="standardContextual"/>
        </w:rPr>
        <w:t>a review conducted by the MSAC no later than 2 years post the commencement of public subsidy.</w:t>
      </w:r>
    </w:p>
    <w:p w14:paraId="0F336CB6" w14:textId="13BFA06D" w:rsidR="00300942" w:rsidRPr="004B0B96" w:rsidRDefault="50C75E24" w:rsidP="00F23E92">
      <w:pPr>
        <w:rPr>
          <w:rFonts w:ascii="Franklin Gothic Book" w:hAnsi="Franklin Gothic Book"/>
        </w:rPr>
      </w:pPr>
      <w:r w:rsidRPr="004B0B96">
        <w:rPr>
          <w:rFonts w:ascii="Franklin Gothic Book" w:hAnsi="Franklin Gothic Book"/>
        </w:rPr>
        <w:t xml:space="preserve">MSAC noted </w:t>
      </w:r>
      <w:r w:rsidR="197D9948" w:rsidRPr="004B0B96">
        <w:rPr>
          <w:rFonts w:ascii="Franklin Gothic Book" w:hAnsi="Franklin Gothic Book"/>
        </w:rPr>
        <w:t xml:space="preserve">that based on </w:t>
      </w:r>
      <w:r w:rsidR="0CDE9B0C" w:rsidRPr="004B0B96">
        <w:rPr>
          <w:rFonts w:ascii="Franklin Gothic Book" w:hAnsi="Franklin Gothic Book"/>
        </w:rPr>
        <w:t>Janssen’s</w:t>
      </w:r>
      <w:r w:rsidR="7672F6DF" w:rsidRPr="004B0B96">
        <w:rPr>
          <w:rFonts w:ascii="Franklin Gothic Book" w:hAnsi="Franklin Gothic Book"/>
        </w:rPr>
        <w:t xml:space="preserve"> estimates, </w:t>
      </w:r>
      <w:r w:rsidR="06CF2E05" w:rsidRPr="004B0B96">
        <w:rPr>
          <w:rFonts w:ascii="Franklin Gothic Book" w:hAnsi="Franklin Gothic Book"/>
        </w:rPr>
        <w:t xml:space="preserve">the </w:t>
      </w:r>
      <w:proofErr w:type="spellStart"/>
      <w:r w:rsidR="06CF2E05" w:rsidRPr="004B0B96">
        <w:rPr>
          <w:rFonts w:ascii="Franklin Gothic Book" w:hAnsi="Franklin Gothic Book"/>
        </w:rPr>
        <w:t>PfP</w:t>
      </w:r>
      <w:proofErr w:type="spellEnd"/>
      <w:r w:rsidR="06CF2E05" w:rsidRPr="004B0B96">
        <w:rPr>
          <w:rFonts w:ascii="Franklin Gothic Book" w:hAnsi="Franklin Gothic Book"/>
        </w:rPr>
        <w:t xml:space="preserve"> arrangement it supported at its April 2024 meeting</w:t>
      </w:r>
      <w:r w:rsidR="7672F6DF" w:rsidRPr="004B0B96">
        <w:rPr>
          <w:rFonts w:ascii="Franklin Gothic Book" w:hAnsi="Franklin Gothic Book"/>
        </w:rPr>
        <w:t xml:space="preserve"> </w:t>
      </w:r>
      <w:r w:rsidR="0CDE9B0C" w:rsidRPr="004B0B96">
        <w:rPr>
          <w:rFonts w:ascii="Franklin Gothic Book" w:hAnsi="Franklin Gothic Book"/>
        </w:rPr>
        <w:t xml:space="preserve">would result </w:t>
      </w:r>
      <w:r w:rsidR="12400864" w:rsidRPr="004B0B96">
        <w:rPr>
          <w:rFonts w:ascii="Franklin Gothic Book" w:hAnsi="Franklin Gothic Book"/>
        </w:rPr>
        <w:t xml:space="preserve">in an average price per </w:t>
      </w:r>
      <w:r w:rsidR="6394939E" w:rsidRPr="004B0B96">
        <w:rPr>
          <w:rFonts w:ascii="Franklin Gothic Book" w:hAnsi="Franklin Gothic Book"/>
        </w:rPr>
        <w:t>successfully infused patient of $</w:t>
      </w:r>
      <w:r w:rsidR="00DE62FE" w:rsidRPr="00DE62FE">
        <w:rPr>
          <w:rFonts w:ascii="Franklin Gothic Book" w:hAnsi="Franklin Gothic Book"/>
          <w:color w:val="000000"/>
          <w:w w:val="66"/>
          <w:shd w:val="solid" w:color="000000" w:fill="000000"/>
          <w:fitText w:val="440" w:id="-775723771"/>
          <w14:textFill>
            <w14:solidFill>
              <w14:srgbClr w14:val="000000">
                <w14:alpha w14:val="100000"/>
              </w14:srgbClr>
            </w14:solidFill>
          </w14:textFill>
        </w:rPr>
        <w:t>||||||</w:t>
      </w:r>
      <w:r w:rsidR="743A612E" w:rsidRPr="004B0B96">
        <w:rPr>
          <w:rFonts w:ascii="Franklin Gothic Book" w:hAnsi="Franklin Gothic Book"/>
        </w:rPr>
        <w:t>. MSAC noted</w:t>
      </w:r>
      <w:r w:rsidR="72B4E535" w:rsidRPr="004B0B96">
        <w:rPr>
          <w:rFonts w:ascii="Franklin Gothic Book" w:hAnsi="Franklin Gothic Book"/>
        </w:rPr>
        <w:t xml:space="preserve"> Janssen</w:t>
      </w:r>
      <w:r w:rsidR="00931558" w:rsidRPr="004B0B96">
        <w:rPr>
          <w:rFonts w:ascii="Franklin Gothic Book" w:hAnsi="Franklin Gothic Book"/>
        </w:rPr>
        <w:t>-Cilag</w:t>
      </w:r>
      <w:r w:rsidR="1EC93923" w:rsidRPr="004B0B96">
        <w:rPr>
          <w:rFonts w:ascii="Franklin Gothic Book" w:hAnsi="Franklin Gothic Book"/>
        </w:rPr>
        <w:t xml:space="preserve">’s advice that </w:t>
      </w:r>
      <w:r w:rsidR="04690162" w:rsidRPr="004B0B96">
        <w:rPr>
          <w:rFonts w:ascii="Franklin Gothic Book" w:hAnsi="Franklin Gothic Book"/>
        </w:rPr>
        <w:t>an</w:t>
      </w:r>
      <w:r w:rsidR="06CF2E05" w:rsidRPr="004B0B96">
        <w:rPr>
          <w:rFonts w:ascii="Franklin Gothic Book" w:hAnsi="Franklin Gothic Book"/>
        </w:rPr>
        <w:t xml:space="preserve"> average price </w:t>
      </w:r>
      <w:r w:rsidR="2D8AA7EB" w:rsidRPr="004B0B96">
        <w:rPr>
          <w:rFonts w:ascii="Franklin Gothic Book" w:hAnsi="Franklin Gothic Book"/>
        </w:rPr>
        <w:t xml:space="preserve">per </w:t>
      </w:r>
      <w:r w:rsidR="04690162" w:rsidRPr="004B0B96">
        <w:rPr>
          <w:rFonts w:ascii="Franklin Gothic Book" w:hAnsi="Franklin Gothic Book"/>
        </w:rPr>
        <w:t>patient of $</w:t>
      </w:r>
      <w:r w:rsidR="00DE62FE" w:rsidRPr="00DE62FE">
        <w:rPr>
          <w:rFonts w:ascii="Franklin Gothic Book" w:hAnsi="Franklin Gothic Book"/>
          <w:color w:val="000000"/>
          <w:w w:val="66"/>
          <w:shd w:val="solid" w:color="000000" w:fill="000000"/>
          <w:fitText w:val="440" w:id="-775723770"/>
          <w14:textFill>
            <w14:solidFill>
              <w14:srgbClr w14:val="000000">
                <w14:alpha w14:val="100000"/>
              </w14:srgbClr>
            </w14:solidFill>
          </w14:textFill>
        </w:rPr>
        <w:t>||||||</w:t>
      </w:r>
      <w:r w:rsidR="00DE62FE" w:rsidRPr="007E3177">
        <w:rPr>
          <w:rFonts w:ascii="Franklin Gothic Book" w:hAnsi="Franklin Gothic Book"/>
        </w:rPr>
        <w:t xml:space="preserve"> </w:t>
      </w:r>
      <w:r w:rsidR="06CF2E05" w:rsidRPr="004B0B96">
        <w:rPr>
          <w:rFonts w:ascii="Franklin Gothic Book" w:hAnsi="Franklin Gothic Book"/>
        </w:rPr>
        <w:t xml:space="preserve">per successfully infused patient </w:t>
      </w:r>
      <w:r w:rsidR="672AE82E" w:rsidRPr="004B0B96">
        <w:rPr>
          <w:rFonts w:ascii="Franklin Gothic Book" w:hAnsi="Franklin Gothic Book"/>
        </w:rPr>
        <w:t xml:space="preserve">reduced the price of </w:t>
      </w:r>
      <w:proofErr w:type="spellStart"/>
      <w:r w:rsidR="672AE82E" w:rsidRPr="004B0B96">
        <w:rPr>
          <w:rFonts w:ascii="Franklin Gothic Book" w:hAnsi="Franklin Gothic Book"/>
        </w:rPr>
        <w:t>cilta</w:t>
      </w:r>
      <w:proofErr w:type="spellEnd"/>
      <w:r w:rsidR="672AE82E" w:rsidRPr="004B0B96">
        <w:rPr>
          <w:rFonts w:ascii="Franklin Gothic Book" w:hAnsi="Franklin Gothic Book"/>
        </w:rPr>
        <w:t xml:space="preserve">-cel </w:t>
      </w:r>
      <w:r w:rsidR="02CEE7AB" w:rsidRPr="004B0B96">
        <w:rPr>
          <w:rFonts w:ascii="Franklin Gothic Book" w:hAnsi="Franklin Gothic Book"/>
        </w:rPr>
        <w:t xml:space="preserve">to a level that </w:t>
      </w:r>
      <w:r w:rsidR="06CF2E05" w:rsidRPr="004B0B96">
        <w:rPr>
          <w:rFonts w:ascii="Franklin Gothic Book" w:hAnsi="Franklin Gothic Book"/>
        </w:rPr>
        <w:t>Janssen</w:t>
      </w:r>
      <w:r w:rsidR="00931558" w:rsidRPr="004B0B96">
        <w:rPr>
          <w:rFonts w:ascii="Franklin Gothic Book" w:hAnsi="Franklin Gothic Book"/>
        </w:rPr>
        <w:t>-Cilag</w:t>
      </w:r>
      <w:r w:rsidR="02CEE7AB" w:rsidRPr="004B0B96">
        <w:rPr>
          <w:rFonts w:ascii="Franklin Gothic Book" w:hAnsi="Franklin Gothic Book"/>
        </w:rPr>
        <w:t xml:space="preserve"> canno</w:t>
      </w:r>
      <w:r w:rsidR="06CF2E05" w:rsidRPr="004B0B96">
        <w:rPr>
          <w:rFonts w:ascii="Franklin Gothic Book" w:hAnsi="Franklin Gothic Book"/>
        </w:rPr>
        <w:t xml:space="preserve">t </w:t>
      </w:r>
      <w:r w:rsidR="02CEE7AB" w:rsidRPr="004B0B96">
        <w:rPr>
          <w:rFonts w:ascii="Franklin Gothic Book" w:hAnsi="Franklin Gothic Book"/>
        </w:rPr>
        <w:t>accept</w:t>
      </w:r>
      <w:r w:rsidR="47B7E214" w:rsidRPr="004B0B96">
        <w:rPr>
          <w:rFonts w:ascii="Franklin Gothic Book" w:hAnsi="Franklin Gothic Book"/>
        </w:rPr>
        <w:t>.</w:t>
      </w:r>
      <w:r w:rsidR="72B4E535" w:rsidRPr="004B0B96">
        <w:rPr>
          <w:rFonts w:ascii="Franklin Gothic Book" w:hAnsi="Franklin Gothic Book"/>
        </w:rPr>
        <w:t xml:space="preserve"> MSA</w:t>
      </w:r>
      <w:r w:rsidR="0DA16D18" w:rsidRPr="004B0B96">
        <w:rPr>
          <w:rFonts w:ascii="Franklin Gothic Book" w:hAnsi="Franklin Gothic Book"/>
        </w:rPr>
        <w:t>C</w:t>
      </w:r>
      <w:r w:rsidR="72B4E535" w:rsidRPr="004B0B96">
        <w:rPr>
          <w:rFonts w:ascii="Franklin Gothic Book" w:hAnsi="Franklin Gothic Book"/>
        </w:rPr>
        <w:t xml:space="preserve"> note</w:t>
      </w:r>
      <w:r w:rsidR="0DA16D18" w:rsidRPr="004B0B96">
        <w:rPr>
          <w:rFonts w:ascii="Franklin Gothic Book" w:hAnsi="Franklin Gothic Book"/>
        </w:rPr>
        <w:t xml:space="preserve">d the alternative </w:t>
      </w:r>
      <w:r w:rsidR="2BE6DCF4" w:rsidRPr="004B0B96">
        <w:rPr>
          <w:rFonts w:ascii="Franklin Gothic Book" w:hAnsi="Franklin Gothic Book"/>
        </w:rPr>
        <w:t>funding</w:t>
      </w:r>
      <w:r w:rsidR="0DA16D18" w:rsidRPr="004B0B96">
        <w:rPr>
          <w:rFonts w:ascii="Franklin Gothic Book" w:hAnsi="Franklin Gothic Book"/>
        </w:rPr>
        <w:t xml:space="preserve"> prop</w:t>
      </w:r>
      <w:r w:rsidR="44DF0278" w:rsidRPr="004B0B96">
        <w:rPr>
          <w:rFonts w:ascii="Franklin Gothic Book" w:hAnsi="Franklin Gothic Book"/>
        </w:rPr>
        <w:t>osal submitted by</w:t>
      </w:r>
      <w:r w:rsidR="72B4E535" w:rsidRPr="004B0B96">
        <w:rPr>
          <w:rFonts w:ascii="Franklin Gothic Book" w:hAnsi="Franklin Gothic Book"/>
        </w:rPr>
        <w:t xml:space="preserve"> Jan</w:t>
      </w:r>
      <w:r w:rsidR="0DA16D18" w:rsidRPr="004B0B96">
        <w:rPr>
          <w:rFonts w:ascii="Franklin Gothic Book" w:hAnsi="Franklin Gothic Book"/>
        </w:rPr>
        <w:t>ssen</w:t>
      </w:r>
      <w:r w:rsidR="00931558" w:rsidRPr="004B0B96">
        <w:rPr>
          <w:rFonts w:ascii="Franklin Gothic Book" w:hAnsi="Franklin Gothic Book"/>
        </w:rPr>
        <w:t>-Cilag</w:t>
      </w:r>
      <w:r w:rsidR="0DA16D18" w:rsidRPr="004B0B96">
        <w:rPr>
          <w:rFonts w:ascii="Franklin Gothic Book" w:hAnsi="Franklin Gothic Book"/>
        </w:rPr>
        <w:t xml:space="preserve"> </w:t>
      </w:r>
      <w:r w:rsidR="44DF0278" w:rsidRPr="004B0B96">
        <w:rPr>
          <w:rFonts w:ascii="Franklin Gothic Book" w:hAnsi="Franklin Gothic Book"/>
        </w:rPr>
        <w:t xml:space="preserve">in </w:t>
      </w:r>
      <w:r w:rsidR="0DA16D18" w:rsidRPr="004B0B96">
        <w:rPr>
          <w:rFonts w:ascii="Franklin Gothic Book" w:hAnsi="Franklin Gothic Book"/>
        </w:rPr>
        <w:t>October 2024</w:t>
      </w:r>
      <w:r w:rsidR="4BC25555" w:rsidRPr="004B0B96">
        <w:rPr>
          <w:rFonts w:ascii="Franklin Gothic Book" w:hAnsi="Franklin Gothic Book"/>
        </w:rPr>
        <w:t xml:space="preserve"> </w:t>
      </w:r>
      <w:r w:rsidR="45366AA3" w:rsidRPr="004B0B96">
        <w:rPr>
          <w:rFonts w:ascii="Franklin Gothic Book" w:hAnsi="Franklin Gothic Book"/>
        </w:rPr>
        <w:t xml:space="preserve">varied substantially from that supported by MSAC at its April meeting </w:t>
      </w:r>
      <w:r w:rsidR="76770B22" w:rsidRPr="004B0B96">
        <w:rPr>
          <w:rFonts w:ascii="Franklin Gothic Book" w:hAnsi="Franklin Gothic Book"/>
        </w:rPr>
        <w:t>2024</w:t>
      </w:r>
      <w:r w:rsidR="2BE6DCF4" w:rsidRPr="004B0B96">
        <w:rPr>
          <w:rFonts w:ascii="Franklin Gothic Book" w:hAnsi="Franklin Gothic Book"/>
        </w:rPr>
        <w:t xml:space="preserve"> </w:t>
      </w:r>
      <w:r w:rsidR="45366AA3" w:rsidRPr="004B0B96">
        <w:rPr>
          <w:rFonts w:ascii="Franklin Gothic Book" w:hAnsi="Franklin Gothic Book"/>
        </w:rPr>
        <w:t>(</w:t>
      </w:r>
      <w:r w:rsidR="004D12B0">
        <w:rPr>
          <w:rFonts w:ascii="Franklin Gothic Book" w:hAnsi="Franklin Gothic Book"/>
        </w:rPr>
        <w:fldChar w:fldCharType="begin"/>
      </w:r>
      <w:r w:rsidR="004D12B0">
        <w:rPr>
          <w:rFonts w:ascii="Franklin Gothic Book" w:hAnsi="Franklin Gothic Book"/>
        </w:rPr>
        <w:instrText xml:space="preserve"> REF _Ref188617418 \h </w:instrText>
      </w:r>
      <w:r w:rsidR="004D12B0">
        <w:rPr>
          <w:rFonts w:ascii="Franklin Gothic Book" w:hAnsi="Franklin Gothic Book"/>
        </w:rPr>
      </w:r>
      <w:r w:rsidR="004D12B0">
        <w:rPr>
          <w:rFonts w:ascii="Franklin Gothic Book" w:hAnsi="Franklin Gothic Book"/>
        </w:rPr>
        <w:fldChar w:fldCharType="separate"/>
      </w:r>
      <w:r w:rsidR="004D12B0">
        <w:t xml:space="preserve">Table </w:t>
      </w:r>
      <w:r w:rsidR="004D12B0">
        <w:rPr>
          <w:noProof/>
        </w:rPr>
        <w:t>1</w:t>
      </w:r>
      <w:r w:rsidR="004D12B0">
        <w:rPr>
          <w:rFonts w:ascii="Franklin Gothic Book" w:hAnsi="Franklin Gothic Book"/>
        </w:rPr>
        <w:fldChar w:fldCharType="end"/>
      </w:r>
      <w:r w:rsidR="45366AA3" w:rsidRPr="004B0B96">
        <w:rPr>
          <w:rFonts w:ascii="Franklin Gothic Book" w:hAnsi="Franklin Gothic Book"/>
        </w:rPr>
        <w:t xml:space="preserve">). </w:t>
      </w:r>
    </w:p>
    <w:p w14:paraId="15D769B9" w14:textId="289A92AE" w:rsidR="004D12B0" w:rsidRDefault="004D12B0" w:rsidP="004D12B0">
      <w:pPr>
        <w:pStyle w:val="Caption"/>
      </w:pPr>
      <w:bookmarkStart w:id="6" w:name="_Ref188617418"/>
      <w:r>
        <w:t xml:space="preserve">Table </w:t>
      </w:r>
      <w:r w:rsidR="00AF7479">
        <w:fldChar w:fldCharType="begin"/>
      </w:r>
      <w:r w:rsidR="00AF7479">
        <w:instrText xml:space="preserve"> SEQ Table \* ARABIC </w:instrText>
      </w:r>
      <w:r w:rsidR="00AF7479">
        <w:fldChar w:fldCharType="separate"/>
      </w:r>
      <w:r w:rsidR="00AF7479">
        <w:rPr>
          <w:noProof/>
        </w:rPr>
        <w:t>1</w:t>
      </w:r>
      <w:r w:rsidR="00AF7479">
        <w:rPr>
          <w:noProof/>
        </w:rPr>
        <w:fldChar w:fldCharType="end"/>
      </w:r>
      <w:bookmarkEnd w:id="6"/>
      <w:r w:rsidRPr="004D12B0">
        <w:t xml:space="preserve"> </w:t>
      </w:r>
      <w:r w:rsidRPr="004B0B96">
        <w:tab/>
        <w:t xml:space="preserve">Overview of Janssen-Cilag’s proposed </w:t>
      </w:r>
      <w:proofErr w:type="spellStart"/>
      <w:r w:rsidRPr="004B0B96">
        <w:t>PfP</w:t>
      </w:r>
      <w:proofErr w:type="spellEnd"/>
      <w:r w:rsidRPr="004B0B96">
        <w:t xml:space="preserve"> for MSAC consideration (October 2024)</w:t>
      </w:r>
    </w:p>
    <w:tbl>
      <w:tblPr>
        <w:tblW w:w="8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1745"/>
        <w:gridCol w:w="1745"/>
        <w:gridCol w:w="1745"/>
        <w:gridCol w:w="1745"/>
      </w:tblGrid>
      <w:tr w:rsidR="00F4331B" w:rsidRPr="004B0B96" w14:paraId="427E26D8" w14:textId="36620052" w:rsidTr="00F4331B">
        <w:trPr>
          <w:trHeight w:val="119"/>
        </w:trPr>
        <w:tc>
          <w:tcPr>
            <w:tcW w:w="1745" w:type="dxa"/>
            <w:shd w:val="clear" w:color="auto" w:fill="BFBFBF" w:themeFill="background1" w:themeFillShade="BF"/>
          </w:tcPr>
          <w:p w14:paraId="10E3B8F5" w14:textId="5F34B5E7" w:rsidR="00F4331B" w:rsidRPr="004B0B96" w:rsidRDefault="00F4331B" w:rsidP="00EE19AD">
            <w:pPr>
              <w:pStyle w:val="Tabletext0"/>
              <w:rPr>
                <w:b/>
                <w:bCs/>
                <w14:ligatures w14:val="standardContextual"/>
              </w:rPr>
            </w:pPr>
            <w:r w:rsidRPr="004B0B96">
              <w:rPr>
                <w:b/>
                <w:bCs/>
                <w14:ligatures w14:val="standardContextual"/>
              </w:rPr>
              <w:t>Milestone</w:t>
            </w:r>
          </w:p>
        </w:tc>
        <w:tc>
          <w:tcPr>
            <w:tcW w:w="1745" w:type="dxa"/>
            <w:shd w:val="clear" w:color="auto" w:fill="BFBFBF" w:themeFill="background1" w:themeFillShade="BF"/>
          </w:tcPr>
          <w:p w14:paraId="0B3B4E8C" w14:textId="7B26838E" w:rsidR="00F4331B" w:rsidRPr="004B0B96" w:rsidRDefault="00F4331B" w:rsidP="00EE19AD">
            <w:pPr>
              <w:pStyle w:val="Tabletext0"/>
              <w:rPr>
                <w:b/>
                <w:bCs/>
                <w14:ligatures w14:val="standardContextual"/>
              </w:rPr>
            </w:pPr>
            <w:r w:rsidRPr="004B0B96">
              <w:rPr>
                <w:b/>
                <w:bCs/>
                <w14:ligatures w14:val="standardContextual"/>
              </w:rPr>
              <w:t xml:space="preserve">Price paid on milestone  </w:t>
            </w:r>
          </w:p>
        </w:tc>
        <w:tc>
          <w:tcPr>
            <w:tcW w:w="1745" w:type="dxa"/>
            <w:shd w:val="clear" w:color="auto" w:fill="BFBFBF" w:themeFill="background1" w:themeFillShade="BF"/>
          </w:tcPr>
          <w:p w14:paraId="7D410588" w14:textId="3309006C" w:rsidR="00F4331B" w:rsidRPr="004B0B96" w:rsidRDefault="00F4331B" w:rsidP="00EE19AD">
            <w:pPr>
              <w:pStyle w:val="Tabletext0"/>
              <w:rPr>
                <w:b/>
                <w:bCs/>
                <w14:ligatures w14:val="standardContextual"/>
              </w:rPr>
            </w:pPr>
            <w:r w:rsidRPr="004B0B96">
              <w:rPr>
                <w:b/>
                <w:bCs/>
                <w14:ligatures w14:val="standardContextual"/>
              </w:rPr>
              <w:t xml:space="preserve">Proportion of payment (of unit cost) </w:t>
            </w:r>
          </w:p>
        </w:tc>
        <w:tc>
          <w:tcPr>
            <w:tcW w:w="1745" w:type="dxa"/>
            <w:shd w:val="clear" w:color="auto" w:fill="BFBFBF" w:themeFill="background1" w:themeFillShade="BF"/>
          </w:tcPr>
          <w:p w14:paraId="1D1791E6" w14:textId="5968C140" w:rsidR="00F4331B" w:rsidRPr="004B0B96" w:rsidRDefault="00F4331B" w:rsidP="00EE19AD">
            <w:pPr>
              <w:pStyle w:val="Tabletext0"/>
              <w:rPr>
                <w:b/>
                <w:bCs/>
                <w14:ligatures w14:val="standardContextual"/>
              </w:rPr>
            </w:pPr>
            <w:r w:rsidRPr="004B0B96">
              <w:rPr>
                <w:b/>
                <w:bCs/>
                <w14:ligatures w14:val="standardContextual"/>
              </w:rPr>
              <w:t>Overall survival</w:t>
            </w:r>
            <w:r w:rsidR="00F326D9" w:rsidRPr="004B0B96">
              <w:rPr>
                <w:b/>
                <w:bCs/>
                <w14:ligatures w14:val="standardContextual"/>
              </w:rPr>
              <w:t xml:space="preserve"> (OS)</w:t>
            </w:r>
            <w:r w:rsidRPr="004B0B96">
              <w:rPr>
                <w:b/>
                <w:bCs/>
                <w14:ligatures w14:val="standardContextual"/>
              </w:rPr>
              <w:t xml:space="preserve"> rate </w:t>
            </w:r>
            <w:proofErr w:type="spellStart"/>
            <w:r w:rsidRPr="004B0B96">
              <w:rPr>
                <w:b/>
                <w:bCs/>
                <w14:ligatures w14:val="standardContextual"/>
              </w:rPr>
              <w:t>mITT</w:t>
            </w:r>
            <w:proofErr w:type="spellEnd"/>
            <w:r w:rsidRPr="004B0B96">
              <w:rPr>
                <w:b/>
                <w:bCs/>
                <w14:ligatures w14:val="standardContextual"/>
              </w:rPr>
              <w:t xml:space="preserve"> 5L+ (%)</w:t>
            </w:r>
          </w:p>
        </w:tc>
        <w:tc>
          <w:tcPr>
            <w:tcW w:w="1745" w:type="dxa"/>
            <w:shd w:val="clear" w:color="auto" w:fill="BFBFBF" w:themeFill="background1" w:themeFillShade="BF"/>
          </w:tcPr>
          <w:p w14:paraId="68B31278" w14:textId="463F8375" w:rsidR="00F4331B" w:rsidRPr="004B0B96" w:rsidRDefault="00F4331B" w:rsidP="00EE19AD">
            <w:pPr>
              <w:pStyle w:val="Tabletext0"/>
              <w:rPr>
                <w:b/>
                <w:bCs/>
                <w14:ligatures w14:val="standardContextual"/>
              </w:rPr>
            </w:pPr>
            <w:r w:rsidRPr="004B0B96">
              <w:rPr>
                <w:b/>
                <w:bCs/>
                <w14:ligatures w14:val="standardContextual"/>
              </w:rPr>
              <w:t>Net price based on CARTITUDE-1</w:t>
            </w:r>
          </w:p>
        </w:tc>
      </w:tr>
      <w:tr w:rsidR="00EC6DD5" w:rsidRPr="004B0B96" w14:paraId="6732AF45" w14:textId="4BF1F750" w:rsidTr="00F4331B">
        <w:trPr>
          <w:trHeight w:val="115"/>
        </w:trPr>
        <w:tc>
          <w:tcPr>
            <w:tcW w:w="1745" w:type="dxa"/>
          </w:tcPr>
          <w:p w14:paraId="7CA510CB" w14:textId="1E3EB2CF" w:rsidR="00EC6DD5" w:rsidRPr="004B0B96" w:rsidRDefault="00DE62FE" w:rsidP="00EC6DD5">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63824443" w14:textId="12876962" w:rsidR="00EC6DD5" w:rsidRPr="004B0B96" w:rsidRDefault="00DE62FE" w:rsidP="00EC6DD5">
            <w:pPr>
              <w:autoSpaceDE w:val="0"/>
              <w:autoSpaceDN w:val="0"/>
              <w:adjustRightInd w:val="0"/>
              <w:spacing w:after="0"/>
              <w:rPr>
                <w:rFonts w:ascii="Arial Narrow" w:eastAsia="Times New Roman" w:hAnsi="Arial Narrow" w:cs="Tahoma"/>
                <w:sz w:val="20"/>
                <w:szCs w:val="20"/>
                <w:lang w:eastAsia="en-AU"/>
                <w14:ligatures w14:val="standardContextual"/>
              </w:rPr>
            </w:pPr>
            <w:r w:rsidRPr="00DE62FE">
              <w:rPr>
                <w:rFonts w:ascii="Franklin Gothic Book" w:hAnsi="Franklin Gothic Book"/>
                <w:color w:val="000000"/>
                <w:w w:val="66"/>
                <w:shd w:val="solid" w:color="000000" w:fill="000000"/>
                <w:fitText w:val="440" w:id="-959204607"/>
                <w14:textFill>
                  <w14:solidFill>
                    <w14:srgbClr w14:val="000000">
                      <w14:alpha w14:val="100000"/>
                    </w14:srgbClr>
                  </w14:solidFill>
                </w14:textFill>
              </w:rPr>
              <w:t>||||||</w:t>
            </w:r>
          </w:p>
        </w:tc>
        <w:tc>
          <w:tcPr>
            <w:tcW w:w="1745" w:type="dxa"/>
          </w:tcPr>
          <w:p w14:paraId="1781BCBF" w14:textId="62430526" w:rsidR="00EC6DD5" w:rsidRPr="004B0B96" w:rsidRDefault="00DE62FE" w:rsidP="00EC6DD5">
            <w:pPr>
              <w:autoSpaceDE w:val="0"/>
              <w:autoSpaceDN w:val="0"/>
              <w:adjustRightInd w:val="0"/>
              <w:spacing w:after="0"/>
              <w:rPr>
                <w:rFonts w:ascii="Arial Narrow" w:eastAsia="Times New Roman" w:hAnsi="Arial Narrow" w:cs="Tahoma"/>
                <w:sz w:val="20"/>
                <w:szCs w:val="20"/>
                <w:lang w:eastAsia="en-AU"/>
                <w14:ligatures w14:val="standardContextual"/>
              </w:rPr>
            </w:pPr>
            <w:r w:rsidRPr="00DE62FE">
              <w:rPr>
                <w:rFonts w:ascii="Franklin Gothic Book" w:hAnsi="Franklin Gothic Book"/>
                <w:color w:val="000000"/>
                <w:w w:val="66"/>
                <w:shd w:val="solid" w:color="000000" w:fill="000000"/>
                <w:fitText w:val="440" w:id="-959204607"/>
                <w14:textFill>
                  <w14:solidFill>
                    <w14:srgbClr w14:val="000000">
                      <w14:alpha w14:val="100000"/>
                    </w14:srgbClr>
                  </w14:solidFill>
                </w14:textFill>
              </w:rPr>
              <w:t>||||||</w:t>
            </w:r>
          </w:p>
        </w:tc>
        <w:tc>
          <w:tcPr>
            <w:tcW w:w="1745" w:type="dxa"/>
          </w:tcPr>
          <w:p w14:paraId="69780B46" w14:textId="2DD251F9" w:rsidR="00EC6DD5" w:rsidRPr="004B0B96" w:rsidRDefault="00EC6DD5" w:rsidP="00EC6DD5">
            <w:pPr>
              <w:autoSpaceDE w:val="0"/>
              <w:autoSpaceDN w:val="0"/>
              <w:adjustRightInd w:val="0"/>
              <w:spacing w:after="0"/>
              <w:rPr>
                <w:rFonts w:ascii="Arial Narrow" w:eastAsia="Times New Roman" w:hAnsi="Arial Narrow" w:cs="Tahoma"/>
                <w:sz w:val="20"/>
                <w:szCs w:val="20"/>
                <w:lang w:eastAsia="en-AU"/>
                <w14:ligatures w14:val="standardContextual"/>
              </w:rPr>
            </w:pPr>
            <w:r w:rsidRPr="004B0B96">
              <w:rPr>
                <w:rFonts w:ascii="Arial Narrow" w:eastAsia="Times New Roman" w:hAnsi="Arial Narrow" w:cs="Tahoma"/>
                <w:sz w:val="20"/>
                <w:szCs w:val="20"/>
                <w:lang w:eastAsia="en-AU"/>
                <w14:ligatures w14:val="standardContextual"/>
              </w:rPr>
              <w:t>100%</w:t>
            </w:r>
          </w:p>
        </w:tc>
        <w:tc>
          <w:tcPr>
            <w:tcW w:w="1745" w:type="dxa"/>
          </w:tcPr>
          <w:p w14:paraId="1CA984A4" w14:textId="110452E3" w:rsidR="00EC6DD5" w:rsidRPr="004B0B96" w:rsidRDefault="00DE62FE" w:rsidP="00EC6DD5">
            <w:pPr>
              <w:autoSpaceDE w:val="0"/>
              <w:autoSpaceDN w:val="0"/>
              <w:adjustRightInd w:val="0"/>
              <w:spacing w:after="0"/>
              <w:rPr>
                <w:rFonts w:ascii="Arial Narrow" w:eastAsia="Times New Roman" w:hAnsi="Arial Narrow" w:cs="Tahoma"/>
                <w:sz w:val="20"/>
                <w:szCs w:val="20"/>
                <w:lang w:eastAsia="en-AU"/>
                <w14:ligatures w14:val="standardContextual"/>
              </w:rPr>
            </w:pPr>
            <w:r w:rsidRPr="00DE62FE">
              <w:rPr>
                <w:rFonts w:ascii="Franklin Gothic Book" w:hAnsi="Franklin Gothic Book"/>
                <w:color w:val="000000"/>
                <w:w w:val="66"/>
                <w:shd w:val="solid" w:color="000000" w:fill="000000"/>
                <w:fitText w:val="440" w:id="-959204607"/>
                <w14:textFill>
                  <w14:solidFill>
                    <w14:srgbClr w14:val="000000">
                      <w14:alpha w14:val="100000"/>
                    </w14:srgbClr>
                  </w14:solidFill>
                </w14:textFill>
              </w:rPr>
              <w:t>||||||</w:t>
            </w:r>
          </w:p>
        </w:tc>
      </w:tr>
      <w:tr w:rsidR="00DE62FE" w:rsidRPr="004B0B96" w14:paraId="6C4B29EE" w14:textId="2D1B1939" w:rsidTr="00F4331B">
        <w:trPr>
          <w:trHeight w:val="115"/>
        </w:trPr>
        <w:tc>
          <w:tcPr>
            <w:tcW w:w="1745" w:type="dxa"/>
          </w:tcPr>
          <w:p w14:paraId="1E7AD9A3" w14:textId="44AB124E"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69FC0772" w14:textId="3D81E398"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04B69A54" w14:textId="4F78721A"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095AB925" w14:textId="651E93E1" w:rsidR="00DE62FE" w:rsidRPr="004B0B96" w:rsidRDefault="00DE62FE" w:rsidP="00DE62FE">
            <w:pPr>
              <w:pStyle w:val="Tabletext0"/>
              <w:rPr>
                <w14:ligatures w14:val="standardContextual"/>
              </w:rPr>
            </w:pPr>
            <w:r w:rsidRPr="004B0B96">
              <w:rPr>
                <w14:ligatures w14:val="standardContextual"/>
              </w:rPr>
              <w:t>87.5%</w:t>
            </w:r>
          </w:p>
        </w:tc>
        <w:tc>
          <w:tcPr>
            <w:tcW w:w="1745" w:type="dxa"/>
          </w:tcPr>
          <w:p w14:paraId="03A374FB" w14:textId="19951DCB"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r>
      <w:tr w:rsidR="00DE62FE" w:rsidRPr="004B0B96" w14:paraId="4E7F2507" w14:textId="1488DEF8" w:rsidTr="00F4331B">
        <w:trPr>
          <w:trHeight w:val="221"/>
        </w:trPr>
        <w:tc>
          <w:tcPr>
            <w:tcW w:w="1745" w:type="dxa"/>
          </w:tcPr>
          <w:p w14:paraId="1A94901E" w14:textId="4B7F2FFC"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50697DBA" w14:textId="3F0AC43D"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7A093690" w14:textId="632E03F2"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2DF1BD0E" w14:textId="611C0EE7" w:rsidR="00DE62FE" w:rsidRPr="004B0B96" w:rsidRDefault="00DE62FE" w:rsidP="00DE62FE">
            <w:pPr>
              <w:pStyle w:val="Tabletext0"/>
              <w:rPr>
                <w14:ligatures w14:val="standardContextual"/>
              </w:rPr>
            </w:pPr>
            <w:r w:rsidRPr="004B0B96">
              <w:rPr>
                <w14:ligatures w14:val="standardContextual"/>
              </w:rPr>
              <w:t>75.%</w:t>
            </w:r>
          </w:p>
        </w:tc>
        <w:tc>
          <w:tcPr>
            <w:tcW w:w="1745" w:type="dxa"/>
          </w:tcPr>
          <w:p w14:paraId="61DE8C7C" w14:textId="3126B540"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r>
      <w:tr w:rsidR="00DE62FE" w:rsidRPr="004B0B96" w14:paraId="303A49FD" w14:textId="681F2594" w:rsidTr="00F4331B">
        <w:trPr>
          <w:trHeight w:val="115"/>
        </w:trPr>
        <w:tc>
          <w:tcPr>
            <w:tcW w:w="1745" w:type="dxa"/>
          </w:tcPr>
          <w:p w14:paraId="7EBC5AFA" w14:textId="2AC08432" w:rsidR="00DE62FE" w:rsidRPr="004B0B96" w:rsidRDefault="00DE62FE" w:rsidP="00DE62FE">
            <w:pPr>
              <w:pStyle w:val="Tabletext0"/>
              <w:rPr>
                <w14:ligatures w14:val="standardContextual"/>
              </w:rPr>
            </w:pPr>
            <w:r w:rsidRPr="004B0B96">
              <w:rPr>
                <w14:ligatures w14:val="standardContextual"/>
              </w:rPr>
              <w:t>Total price</w:t>
            </w:r>
          </w:p>
        </w:tc>
        <w:tc>
          <w:tcPr>
            <w:tcW w:w="1745" w:type="dxa"/>
          </w:tcPr>
          <w:p w14:paraId="1AFB1612" w14:textId="507A7B0A"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2D8A5DB9" w14:textId="72F4F695"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c>
          <w:tcPr>
            <w:tcW w:w="1745" w:type="dxa"/>
          </w:tcPr>
          <w:p w14:paraId="3053E64A" w14:textId="739D500A" w:rsidR="00DE62FE" w:rsidRPr="004B0B96" w:rsidRDefault="00DE62FE" w:rsidP="00DE62FE">
            <w:pPr>
              <w:pStyle w:val="Tabletext0"/>
              <w:rPr>
                <w14:ligatures w14:val="standardContextual"/>
              </w:rPr>
            </w:pPr>
            <w:r w:rsidRPr="004B0B96">
              <w:rPr>
                <w14:ligatures w14:val="standardContextual"/>
              </w:rPr>
              <w:t>n/a</w:t>
            </w:r>
          </w:p>
        </w:tc>
        <w:tc>
          <w:tcPr>
            <w:tcW w:w="1745" w:type="dxa"/>
          </w:tcPr>
          <w:p w14:paraId="0DF193CF" w14:textId="79ACB46F" w:rsidR="00DE62FE" w:rsidRPr="004B0B96" w:rsidRDefault="00DE62FE" w:rsidP="00DE62FE">
            <w:pPr>
              <w:pStyle w:val="Tabletext0"/>
              <w:rPr>
                <w14:ligatures w14:val="standardContextual"/>
              </w:rPr>
            </w:pPr>
            <w:r w:rsidRPr="00DE62FE">
              <w:rPr>
                <w:rFonts w:ascii="Franklin Gothic Book" w:hAnsi="Franklin Gothic Book"/>
                <w:color w:val="000000"/>
                <w:spacing w:val="8"/>
                <w:w w:val="66"/>
                <w:shd w:val="solid" w:color="000000" w:fill="000000"/>
                <w:fitText w:val="440" w:id="-959204607"/>
                <w14:textFill>
                  <w14:solidFill>
                    <w14:srgbClr w14:val="000000">
                      <w14:alpha w14:val="100000"/>
                    </w14:srgbClr>
                  </w14:solidFill>
                </w14:textFill>
              </w:rPr>
              <w:t>|||||</w:t>
            </w:r>
            <w:r w:rsidRPr="00DE62FE">
              <w:rPr>
                <w:rFonts w:ascii="Franklin Gothic Book" w:hAnsi="Franklin Gothic Book"/>
                <w:color w:val="000000"/>
                <w:spacing w:val="5"/>
                <w:w w:val="66"/>
                <w:shd w:val="solid" w:color="000000" w:fill="000000"/>
                <w:fitText w:val="440" w:id="-959204607"/>
                <w14:textFill>
                  <w14:solidFill>
                    <w14:srgbClr w14:val="000000">
                      <w14:alpha w14:val="100000"/>
                    </w14:srgbClr>
                  </w14:solidFill>
                </w14:textFill>
              </w:rPr>
              <w:t>|</w:t>
            </w:r>
          </w:p>
        </w:tc>
      </w:tr>
    </w:tbl>
    <w:p w14:paraId="46C92234" w14:textId="6518D360" w:rsidR="00DF0454" w:rsidRPr="004B0B96" w:rsidRDefault="00E92999" w:rsidP="00D95E54">
      <w:pPr>
        <w:spacing w:after="160" w:line="259" w:lineRule="auto"/>
        <w:rPr>
          <w:rFonts w:ascii="Arial Narrow" w:hAnsi="Arial Narrow"/>
          <w:sz w:val="16"/>
          <w:szCs w:val="16"/>
        </w:rPr>
      </w:pPr>
      <w:r w:rsidRPr="004B0B96">
        <w:rPr>
          <w:rFonts w:ascii="Arial Narrow" w:hAnsi="Arial Narrow"/>
          <w:sz w:val="16"/>
          <w:szCs w:val="16"/>
        </w:rPr>
        <w:t>Source: October 2024 funding proposal</w:t>
      </w:r>
    </w:p>
    <w:p w14:paraId="4F22E1A1" w14:textId="4A2E05DA" w:rsidR="00201AB3" w:rsidRPr="004B0B96" w:rsidRDefault="00611906" w:rsidP="00201AB3">
      <w:pPr>
        <w:spacing w:after="160" w:line="259" w:lineRule="auto"/>
        <w:rPr>
          <w:rFonts w:ascii="Franklin Gothic Book" w:hAnsi="Franklin Gothic Book"/>
        </w:rPr>
      </w:pPr>
      <w:r w:rsidRPr="004B0B96">
        <w:rPr>
          <w:rFonts w:ascii="Franklin Gothic Book" w:hAnsi="Franklin Gothic Book"/>
        </w:rPr>
        <w:t>MSAC noted Janssen</w:t>
      </w:r>
      <w:r w:rsidR="00931558" w:rsidRPr="004B0B96">
        <w:rPr>
          <w:rFonts w:ascii="Franklin Gothic Book" w:hAnsi="Franklin Gothic Book"/>
        </w:rPr>
        <w:t>-Cilag</w:t>
      </w:r>
      <w:r w:rsidRPr="004B0B96">
        <w:rPr>
          <w:rFonts w:ascii="Franklin Gothic Book" w:hAnsi="Franklin Gothic Book"/>
        </w:rPr>
        <w:t xml:space="preserve">’s claim that the 4-year </w:t>
      </w:r>
      <w:proofErr w:type="spellStart"/>
      <w:r w:rsidRPr="004B0B96">
        <w:rPr>
          <w:rFonts w:ascii="Franklin Gothic Book" w:hAnsi="Franklin Gothic Book"/>
        </w:rPr>
        <w:t>PfP</w:t>
      </w:r>
      <w:proofErr w:type="spellEnd"/>
      <w:r w:rsidRPr="004B0B96">
        <w:rPr>
          <w:rFonts w:ascii="Franklin Gothic Book" w:hAnsi="Franklin Gothic Book"/>
        </w:rPr>
        <w:t xml:space="preserve"> arrangement supported by MSAC would be</w:t>
      </w:r>
      <w:r w:rsidR="00144FD7" w:rsidRPr="004B0B96">
        <w:rPr>
          <w:rFonts w:ascii="Franklin Gothic Book" w:hAnsi="Franklin Gothic Book"/>
        </w:rPr>
        <w:t xml:space="preserve"> difficult to administer. Janssen referred to advice it sought from </w:t>
      </w:r>
      <w:r w:rsidR="00966510" w:rsidRPr="004B0B96">
        <w:rPr>
          <w:rFonts w:ascii="Franklin Gothic Book" w:hAnsi="Franklin Gothic Book"/>
        </w:rPr>
        <w:t>the jurisdictions</w:t>
      </w:r>
      <w:r w:rsidR="00CD0533" w:rsidRPr="004B0B96">
        <w:rPr>
          <w:rFonts w:ascii="Franklin Gothic Book" w:hAnsi="Franklin Gothic Book"/>
        </w:rPr>
        <w:t xml:space="preserve"> that raised difficulties around</w:t>
      </w:r>
      <w:r w:rsidR="00966510" w:rsidRPr="004B0B96">
        <w:rPr>
          <w:rFonts w:ascii="Franklin Gothic Book" w:hAnsi="Franklin Gothic Book"/>
        </w:rPr>
        <w:t xml:space="preserve"> budget management and accrual of payments</w:t>
      </w:r>
      <w:r w:rsidR="00FD7F06" w:rsidRPr="004B0B96">
        <w:rPr>
          <w:rFonts w:ascii="Franklin Gothic Book" w:hAnsi="Franklin Gothic Book"/>
        </w:rPr>
        <w:t xml:space="preserve"> over a 4-year period</w:t>
      </w:r>
      <w:r w:rsidR="00966510" w:rsidRPr="004B0B96">
        <w:rPr>
          <w:rFonts w:ascii="Franklin Gothic Book" w:hAnsi="Franklin Gothic Book"/>
        </w:rPr>
        <w:t xml:space="preserve">. </w:t>
      </w:r>
      <w:r w:rsidR="00CD0533" w:rsidRPr="004B0B96">
        <w:rPr>
          <w:rFonts w:ascii="Franklin Gothic Book" w:hAnsi="Franklin Gothic Book"/>
        </w:rPr>
        <w:t>MSAC noted Janssen</w:t>
      </w:r>
      <w:r w:rsidR="00931558" w:rsidRPr="004B0B96">
        <w:rPr>
          <w:rFonts w:ascii="Franklin Gothic Book" w:hAnsi="Franklin Gothic Book"/>
        </w:rPr>
        <w:t>-Cilag</w:t>
      </w:r>
      <w:r w:rsidR="00CD0533" w:rsidRPr="004B0B96">
        <w:rPr>
          <w:rFonts w:ascii="Franklin Gothic Book" w:hAnsi="Franklin Gothic Book"/>
        </w:rPr>
        <w:t xml:space="preserve">’s alternative funding proposal </w:t>
      </w:r>
      <w:r w:rsidR="00201AB3" w:rsidRPr="004B0B96">
        <w:rPr>
          <w:rFonts w:ascii="Franklin Gothic Book" w:hAnsi="Franklin Gothic Book"/>
        </w:rPr>
        <w:t>was</w:t>
      </w:r>
      <w:r w:rsidR="00201AB3" w:rsidRPr="004B0B96">
        <w:rPr>
          <w:rFonts w:ascii="Calibri" w:hAnsi="Calibri" w:cs="Calibri"/>
          <w:sz w:val="20"/>
          <w:szCs w:val="20"/>
          <w14:ligatures w14:val="standardContextual"/>
        </w:rPr>
        <w:t xml:space="preserve"> </w:t>
      </w:r>
      <w:r w:rsidR="00201AB3" w:rsidRPr="004B0B96">
        <w:rPr>
          <w:rFonts w:ascii="Franklin Gothic Book" w:hAnsi="Franklin Gothic Book"/>
        </w:rPr>
        <w:t xml:space="preserve">based on a </w:t>
      </w:r>
      <w:r w:rsidR="00DE62FE" w:rsidRPr="00DE62FE">
        <w:rPr>
          <w:rFonts w:ascii="Franklin Gothic Book" w:hAnsi="Franklin Gothic Book"/>
          <w:color w:val="000000"/>
          <w:w w:val="66"/>
          <w:shd w:val="solid" w:color="000000" w:fill="000000"/>
          <w:fitText w:val="440" w:id="-775723517"/>
          <w14:textFill>
            <w14:solidFill>
              <w14:srgbClr w14:val="000000">
                <w14:alpha w14:val="100000"/>
              </w14:srgbClr>
            </w14:solidFill>
          </w14:textFill>
        </w:rPr>
        <w:t>||||||</w:t>
      </w:r>
      <w:r w:rsidR="00201AB3" w:rsidRPr="004B0B96">
        <w:rPr>
          <w:rFonts w:ascii="Franklin Gothic Book" w:hAnsi="Franklin Gothic Book"/>
        </w:rPr>
        <w:t xml:space="preserve">-year, </w:t>
      </w:r>
      <w:r w:rsidR="00DE62FE" w:rsidRPr="00DE62FE">
        <w:rPr>
          <w:rFonts w:ascii="Franklin Gothic Book" w:hAnsi="Franklin Gothic Book"/>
          <w:color w:val="000000"/>
          <w:w w:val="66"/>
          <w:shd w:val="solid" w:color="000000" w:fill="000000"/>
          <w:fitText w:val="440" w:id="-775723516"/>
          <w14:textFill>
            <w14:solidFill>
              <w14:srgbClr w14:val="000000">
                <w14:alpha w14:val="100000"/>
              </w14:srgbClr>
            </w14:solidFill>
          </w14:textFill>
        </w:rPr>
        <w:t>||||||</w:t>
      </w:r>
      <w:r w:rsidR="00201AB3" w:rsidRPr="004B0B96">
        <w:rPr>
          <w:rFonts w:ascii="Franklin Gothic Book" w:hAnsi="Franklin Gothic Book"/>
        </w:rPr>
        <w:t xml:space="preserve"> milestone arrangement, informed by the outcome of OS (</w:t>
      </w:r>
      <w:r w:rsidR="004D12B0">
        <w:rPr>
          <w:rFonts w:ascii="Franklin Gothic Book" w:hAnsi="Franklin Gothic Book"/>
        </w:rPr>
        <w:fldChar w:fldCharType="begin"/>
      </w:r>
      <w:r w:rsidR="004D12B0">
        <w:rPr>
          <w:rFonts w:ascii="Franklin Gothic Book" w:hAnsi="Franklin Gothic Book"/>
        </w:rPr>
        <w:instrText xml:space="preserve"> REF _Ref188617418 \h </w:instrText>
      </w:r>
      <w:r w:rsidR="004D12B0">
        <w:rPr>
          <w:rFonts w:ascii="Franklin Gothic Book" w:hAnsi="Franklin Gothic Book"/>
        </w:rPr>
      </w:r>
      <w:r w:rsidR="004D12B0">
        <w:rPr>
          <w:rFonts w:ascii="Franklin Gothic Book" w:hAnsi="Franklin Gothic Book"/>
        </w:rPr>
        <w:fldChar w:fldCharType="separate"/>
      </w:r>
      <w:r w:rsidR="004D12B0">
        <w:t xml:space="preserve">Table </w:t>
      </w:r>
      <w:r w:rsidR="004D12B0">
        <w:rPr>
          <w:noProof/>
        </w:rPr>
        <w:t>1</w:t>
      </w:r>
      <w:r w:rsidR="004D12B0">
        <w:rPr>
          <w:rFonts w:ascii="Franklin Gothic Book" w:hAnsi="Franklin Gothic Book"/>
        </w:rPr>
        <w:fldChar w:fldCharType="end"/>
      </w:r>
      <w:r w:rsidR="00201AB3" w:rsidRPr="004B0B96">
        <w:rPr>
          <w:rFonts w:ascii="Franklin Gothic Book" w:hAnsi="Franklin Gothic Book"/>
        </w:rPr>
        <w:t>)</w:t>
      </w:r>
      <w:r w:rsidR="00FD7F06" w:rsidRPr="004B0B96">
        <w:rPr>
          <w:rFonts w:ascii="Franklin Gothic Book" w:hAnsi="Franklin Gothic Book"/>
        </w:rPr>
        <w:t xml:space="preserve">. </w:t>
      </w:r>
    </w:p>
    <w:p w14:paraId="1AD6AA8A" w14:textId="07E5F0C9" w:rsidR="00F734C0" w:rsidRPr="004B0B96" w:rsidRDefault="2105F633" w:rsidP="00E54B4B">
      <w:pPr>
        <w:spacing w:after="160" w:line="259" w:lineRule="auto"/>
        <w:rPr>
          <w:rFonts w:ascii="Franklin Gothic Book" w:hAnsi="Franklin Gothic Book"/>
        </w:rPr>
      </w:pPr>
      <w:r w:rsidRPr="004B0B96">
        <w:rPr>
          <w:rFonts w:ascii="Franklin Gothic Book" w:hAnsi="Franklin Gothic Book"/>
        </w:rPr>
        <w:t xml:space="preserve">MSAC noted the </w:t>
      </w:r>
      <w:r w:rsidR="00DE62FE" w:rsidRPr="00DE62FE">
        <w:rPr>
          <w:rFonts w:ascii="Franklin Gothic Book" w:hAnsi="Franklin Gothic Book"/>
          <w:color w:val="000000"/>
          <w:w w:val="66"/>
          <w:shd w:val="solid" w:color="000000" w:fill="000000"/>
          <w:fitText w:val="440" w:id="-775723515"/>
          <w14:textFill>
            <w14:solidFill>
              <w14:srgbClr w14:val="000000">
                <w14:alpha w14:val="100000"/>
              </w14:srgbClr>
            </w14:solidFill>
          </w14:textFill>
        </w:rPr>
        <w:t>||||||</w:t>
      </w:r>
      <w:r w:rsidRPr="004B0B96">
        <w:rPr>
          <w:rFonts w:ascii="Franklin Gothic Book" w:hAnsi="Franklin Gothic Book"/>
        </w:rPr>
        <w:t xml:space="preserve">-year </w:t>
      </w:r>
      <w:proofErr w:type="spellStart"/>
      <w:r w:rsidRPr="004B0B96">
        <w:rPr>
          <w:rFonts w:ascii="Franklin Gothic Book" w:hAnsi="Franklin Gothic Book"/>
        </w:rPr>
        <w:t>PfP</w:t>
      </w:r>
      <w:proofErr w:type="spellEnd"/>
      <w:r w:rsidRPr="004B0B96">
        <w:rPr>
          <w:rFonts w:ascii="Franklin Gothic Book" w:hAnsi="Franklin Gothic Book"/>
        </w:rPr>
        <w:t xml:space="preserve"> arrangement </w:t>
      </w:r>
      <w:r w:rsidR="0BF4F37D" w:rsidRPr="004B0B96">
        <w:rPr>
          <w:rFonts w:ascii="Franklin Gothic Book" w:hAnsi="Franklin Gothic Book"/>
        </w:rPr>
        <w:t>offered</w:t>
      </w:r>
      <w:r w:rsidRPr="004B0B96">
        <w:rPr>
          <w:rFonts w:ascii="Franklin Gothic Book" w:hAnsi="Franklin Gothic Book"/>
        </w:rPr>
        <w:t xml:space="preserve"> a </w:t>
      </w:r>
      <w:r w:rsidR="00DE62FE" w:rsidRPr="00DE62FE">
        <w:rPr>
          <w:rFonts w:ascii="Franklin Gothic Book" w:hAnsi="Franklin Gothic Book"/>
          <w:color w:val="000000"/>
          <w:w w:val="66"/>
          <w:shd w:val="solid" w:color="000000" w:fill="000000"/>
          <w:fitText w:val="440" w:id="-775723514"/>
          <w14:textFill>
            <w14:solidFill>
              <w14:srgbClr w14:val="000000">
                <w14:alpha w14:val="100000"/>
              </w14:srgbClr>
            </w14:solidFill>
          </w14:textFill>
        </w:rPr>
        <w:t>||||||</w:t>
      </w:r>
      <w:r w:rsidRPr="004B0B96">
        <w:rPr>
          <w:rFonts w:ascii="Franklin Gothic Book" w:hAnsi="Franklin Gothic Book"/>
        </w:rPr>
        <w:t xml:space="preserve">% reduction to the maximum price </w:t>
      </w:r>
      <w:r w:rsidR="22C8BB0C" w:rsidRPr="004B0B96">
        <w:rPr>
          <w:rFonts w:ascii="Franklin Gothic Book" w:hAnsi="Franklin Gothic Book"/>
        </w:rPr>
        <w:t>per responder</w:t>
      </w:r>
      <w:r w:rsidRPr="004B0B96">
        <w:rPr>
          <w:rFonts w:ascii="Franklin Gothic Book" w:hAnsi="Franklin Gothic Book"/>
        </w:rPr>
        <w:t xml:space="preserve"> compared to Janssen</w:t>
      </w:r>
      <w:r w:rsidR="00931558" w:rsidRPr="004B0B96">
        <w:rPr>
          <w:rFonts w:ascii="Franklin Gothic Book" w:hAnsi="Franklin Gothic Book"/>
        </w:rPr>
        <w:t>-Cilag</w:t>
      </w:r>
      <w:r w:rsidRPr="004B0B96">
        <w:rPr>
          <w:rFonts w:ascii="Franklin Gothic Book" w:hAnsi="Franklin Gothic Book"/>
        </w:rPr>
        <w:t>’s April 2024 proposal, reducing from $</w:t>
      </w:r>
      <w:r w:rsidR="00DE62FE" w:rsidRPr="00DE62FE">
        <w:rPr>
          <w:rFonts w:ascii="Franklin Gothic Book" w:hAnsi="Franklin Gothic Book"/>
          <w:color w:val="000000"/>
          <w:w w:val="66"/>
          <w:shd w:val="solid" w:color="000000" w:fill="000000"/>
          <w:fitText w:val="440" w:id="-775723513"/>
          <w14:textFill>
            <w14:solidFill>
              <w14:srgbClr w14:val="000000">
                <w14:alpha w14:val="100000"/>
              </w14:srgbClr>
            </w14:solidFill>
          </w14:textFill>
        </w:rPr>
        <w:t>||||||</w:t>
      </w:r>
      <w:r w:rsidRPr="004B0B96">
        <w:rPr>
          <w:rFonts w:ascii="Franklin Gothic Book" w:hAnsi="Franklin Gothic Book"/>
        </w:rPr>
        <w:t xml:space="preserve"> to $</w:t>
      </w:r>
      <w:r w:rsidR="00DE62FE" w:rsidRPr="00DE62FE">
        <w:rPr>
          <w:rFonts w:ascii="Franklin Gothic Book" w:hAnsi="Franklin Gothic Book"/>
          <w:color w:val="000000"/>
          <w:w w:val="66"/>
          <w:shd w:val="solid" w:color="000000" w:fill="000000"/>
          <w:fitText w:val="440" w:id="-775723512"/>
          <w14:textFill>
            <w14:solidFill>
              <w14:srgbClr w14:val="000000">
                <w14:alpha w14:val="100000"/>
              </w14:srgbClr>
            </w14:solidFill>
          </w14:textFill>
        </w:rPr>
        <w:t>||||||</w:t>
      </w:r>
      <w:r w:rsidR="00073F2B" w:rsidRPr="004B0B96">
        <w:rPr>
          <w:rFonts w:ascii="Franklin Gothic Book" w:hAnsi="Franklin Gothic Book"/>
        </w:rPr>
        <w:t>,</w:t>
      </w:r>
      <w:r w:rsidR="2FD64639" w:rsidRPr="004B0B96">
        <w:rPr>
          <w:rFonts w:ascii="Franklin Gothic Book" w:hAnsi="Franklin Gothic Book"/>
        </w:rPr>
        <w:t xml:space="preserve"> and </w:t>
      </w:r>
      <w:r w:rsidR="22C8BB0C" w:rsidRPr="004B0B96">
        <w:rPr>
          <w:rFonts w:ascii="Franklin Gothic Book" w:hAnsi="Franklin Gothic Book"/>
        </w:rPr>
        <w:t xml:space="preserve">a </w:t>
      </w:r>
      <w:r w:rsidR="00DE62FE" w:rsidRPr="00DE62FE">
        <w:rPr>
          <w:rFonts w:ascii="Franklin Gothic Book" w:hAnsi="Franklin Gothic Book"/>
          <w:color w:val="000000"/>
          <w:w w:val="66"/>
          <w:shd w:val="solid" w:color="000000" w:fill="000000"/>
          <w:fitText w:val="440" w:id="-775723511"/>
          <w14:textFill>
            <w14:solidFill>
              <w14:srgbClr w14:val="000000">
                <w14:alpha w14:val="100000"/>
              </w14:srgbClr>
            </w14:solidFill>
          </w14:textFill>
        </w:rPr>
        <w:t>||||||</w:t>
      </w:r>
      <w:r w:rsidR="22C8BB0C" w:rsidRPr="004B0B96">
        <w:rPr>
          <w:rFonts w:ascii="Franklin Gothic Book" w:hAnsi="Franklin Gothic Book"/>
        </w:rPr>
        <w:t>%</w:t>
      </w:r>
      <w:r w:rsidR="29693429" w:rsidRPr="004B0B96">
        <w:rPr>
          <w:rFonts w:ascii="Franklin Gothic Book" w:hAnsi="Franklin Gothic Book"/>
        </w:rPr>
        <w:t xml:space="preserve"> </w:t>
      </w:r>
      <w:r w:rsidR="22C8BB0C" w:rsidRPr="004B0B96">
        <w:rPr>
          <w:rFonts w:ascii="Franklin Gothic Book" w:hAnsi="Franklin Gothic Book"/>
        </w:rPr>
        <w:t>reduction in the average (net) price per successfully infused patient, reducing from $</w:t>
      </w:r>
      <w:r w:rsidR="00DE62FE" w:rsidRPr="00DE62FE">
        <w:rPr>
          <w:rFonts w:ascii="Franklin Gothic Book" w:hAnsi="Franklin Gothic Book"/>
          <w:color w:val="000000"/>
          <w:w w:val="66"/>
          <w:shd w:val="solid" w:color="000000" w:fill="000000"/>
          <w:fitText w:val="440" w:id="-775723510"/>
          <w14:textFill>
            <w14:solidFill>
              <w14:srgbClr w14:val="000000">
                <w14:alpha w14:val="100000"/>
              </w14:srgbClr>
            </w14:solidFill>
          </w14:textFill>
        </w:rPr>
        <w:t>||||||</w:t>
      </w:r>
      <w:r w:rsidR="22C8BB0C" w:rsidRPr="004B0B96">
        <w:rPr>
          <w:rFonts w:ascii="Franklin Gothic Book" w:hAnsi="Franklin Gothic Book"/>
        </w:rPr>
        <w:t>to $</w:t>
      </w:r>
      <w:r w:rsidR="00DE62FE" w:rsidRPr="00DE62FE">
        <w:rPr>
          <w:rFonts w:ascii="Franklin Gothic Book" w:hAnsi="Franklin Gothic Book"/>
          <w:color w:val="000000"/>
          <w:w w:val="66"/>
          <w:shd w:val="solid" w:color="000000" w:fill="000000"/>
          <w:fitText w:val="440" w:id="-775723509"/>
          <w14:textFill>
            <w14:solidFill>
              <w14:srgbClr w14:val="000000">
                <w14:alpha w14:val="100000"/>
              </w14:srgbClr>
            </w14:solidFill>
          </w14:textFill>
        </w:rPr>
        <w:t>||||||</w:t>
      </w:r>
      <w:r w:rsidRPr="004B0B96">
        <w:rPr>
          <w:rFonts w:ascii="Franklin Gothic Book" w:hAnsi="Franklin Gothic Book"/>
        </w:rPr>
        <w:t xml:space="preserve">. </w:t>
      </w:r>
      <w:r w:rsidR="1E3DB077" w:rsidRPr="004B0B96">
        <w:rPr>
          <w:rFonts w:ascii="Franklin Gothic Book" w:hAnsi="Franklin Gothic Book"/>
        </w:rPr>
        <w:t xml:space="preserve">MSAC noted </w:t>
      </w:r>
      <w:r w:rsidR="7180CB9A" w:rsidRPr="004B0B96">
        <w:rPr>
          <w:rFonts w:ascii="Franklin Gothic Book" w:hAnsi="Franklin Gothic Book"/>
        </w:rPr>
        <w:t xml:space="preserve">that to provide the reduction in the unit cost, </w:t>
      </w:r>
      <w:r w:rsidR="54E19E1E" w:rsidRPr="004B0B96">
        <w:rPr>
          <w:rFonts w:ascii="Franklin Gothic Book" w:hAnsi="Franklin Gothic Book"/>
        </w:rPr>
        <w:t>Janssen</w:t>
      </w:r>
      <w:r w:rsidR="7180CB9A" w:rsidRPr="004B0B96">
        <w:rPr>
          <w:rFonts w:ascii="Franklin Gothic Book" w:hAnsi="Franklin Gothic Book"/>
        </w:rPr>
        <w:t xml:space="preserve"> </w:t>
      </w:r>
      <w:r w:rsidR="54E19E1E" w:rsidRPr="004B0B96">
        <w:rPr>
          <w:rFonts w:ascii="Franklin Gothic Book" w:hAnsi="Franklin Gothic Book"/>
        </w:rPr>
        <w:t>proposed</w:t>
      </w:r>
      <w:r w:rsidR="7180CB9A" w:rsidRPr="004B0B96">
        <w:rPr>
          <w:rFonts w:ascii="Franklin Gothic Book" w:hAnsi="Franklin Gothic Book"/>
        </w:rPr>
        <w:t xml:space="preserve"> a change to the outcome measure</w:t>
      </w:r>
      <w:r w:rsidR="54E19E1E" w:rsidRPr="004B0B96">
        <w:rPr>
          <w:rFonts w:ascii="Franklin Gothic Book" w:hAnsi="Franklin Gothic Book"/>
        </w:rPr>
        <w:t xml:space="preserve"> </w:t>
      </w:r>
      <w:r w:rsidR="7180CB9A" w:rsidRPr="004B0B96">
        <w:rPr>
          <w:rFonts w:ascii="Franklin Gothic Book" w:hAnsi="Franklin Gothic Book"/>
        </w:rPr>
        <w:t xml:space="preserve">for the </w:t>
      </w:r>
      <w:r w:rsidR="00DE62FE" w:rsidRPr="00DE62FE">
        <w:rPr>
          <w:rFonts w:ascii="Franklin Gothic Book" w:hAnsi="Franklin Gothic Book"/>
          <w:color w:val="000000"/>
          <w:w w:val="66"/>
          <w:shd w:val="solid" w:color="000000" w:fill="000000"/>
          <w:fitText w:val="440" w:id="-775723508"/>
          <w14:textFill>
            <w14:solidFill>
              <w14:srgbClr w14:val="000000">
                <w14:alpha w14:val="100000"/>
              </w14:srgbClr>
            </w14:solidFill>
          </w14:textFill>
        </w:rPr>
        <w:t>||||||</w:t>
      </w:r>
      <w:r w:rsidR="7180CB9A" w:rsidRPr="004B0B96">
        <w:rPr>
          <w:rFonts w:ascii="Franklin Gothic Book" w:hAnsi="Franklin Gothic Book"/>
        </w:rPr>
        <w:t xml:space="preserve">- month and </w:t>
      </w:r>
      <w:r w:rsidR="00DE62FE" w:rsidRPr="00DE62FE">
        <w:rPr>
          <w:rFonts w:ascii="Franklin Gothic Book" w:hAnsi="Franklin Gothic Book"/>
          <w:color w:val="000000"/>
          <w:w w:val="66"/>
          <w:shd w:val="solid" w:color="000000" w:fill="000000"/>
          <w:fitText w:val="440" w:id="-775723507"/>
          <w14:textFill>
            <w14:solidFill>
              <w14:srgbClr w14:val="000000">
                <w14:alpha w14:val="100000"/>
              </w14:srgbClr>
            </w14:solidFill>
          </w14:textFill>
        </w:rPr>
        <w:t>||||||</w:t>
      </w:r>
      <w:r w:rsidR="7180CB9A" w:rsidRPr="004B0B96">
        <w:rPr>
          <w:rFonts w:ascii="Franklin Gothic Book" w:hAnsi="Franklin Gothic Book"/>
        </w:rPr>
        <w:t xml:space="preserve">- month milestones from </w:t>
      </w:r>
      <w:proofErr w:type="spellStart"/>
      <w:r w:rsidR="3C298F02" w:rsidRPr="004B0B96">
        <w:rPr>
          <w:rFonts w:ascii="Franklin Gothic Book" w:hAnsi="Franklin Gothic Book"/>
        </w:rPr>
        <w:t>sCR</w:t>
      </w:r>
      <w:proofErr w:type="spellEnd"/>
      <w:r w:rsidR="7180CB9A" w:rsidRPr="004B0B96">
        <w:rPr>
          <w:rFonts w:ascii="Franklin Gothic Book" w:hAnsi="Franklin Gothic Book"/>
        </w:rPr>
        <w:t xml:space="preserve"> and in </w:t>
      </w:r>
      <w:r w:rsidR="3C298F02" w:rsidRPr="004B0B96">
        <w:rPr>
          <w:rFonts w:ascii="Franklin Gothic Book" w:hAnsi="Franklin Gothic Book"/>
        </w:rPr>
        <w:t>PFS</w:t>
      </w:r>
      <w:r w:rsidR="7180CB9A" w:rsidRPr="004B0B96">
        <w:rPr>
          <w:rFonts w:ascii="Franklin Gothic Book" w:hAnsi="Franklin Gothic Book"/>
        </w:rPr>
        <w:t xml:space="preserve"> as supported by MSAC</w:t>
      </w:r>
      <w:r w:rsidR="54E19E1E" w:rsidRPr="004B0B96">
        <w:rPr>
          <w:rFonts w:ascii="Franklin Gothic Book" w:hAnsi="Franklin Gothic Book"/>
        </w:rPr>
        <w:t xml:space="preserve"> in April 2024</w:t>
      </w:r>
      <w:r w:rsidR="7180CB9A" w:rsidRPr="004B0B96">
        <w:rPr>
          <w:rFonts w:ascii="Franklin Gothic Book" w:hAnsi="Franklin Gothic Book"/>
        </w:rPr>
        <w:t>, to overall survival</w:t>
      </w:r>
      <w:r w:rsidR="00073F2B" w:rsidRPr="004B0B96">
        <w:rPr>
          <w:rFonts w:ascii="Franklin Gothic Book" w:hAnsi="Franklin Gothic Book"/>
        </w:rPr>
        <w:t xml:space="preserve"> (OS)</w:t>
      </w:r>
      <w:r w:rsidR="7180CB9A" w:rsidRPr="004B0B96">
        <w:rPr>
          <w:rFonts w:ascii="Franklin Gothic Book" w:hAnsi="Franklin Gothic Book"/>
        </w:rPr>
        <w:t>.</w:t>
      </w:r>
      <w:r w:rsidR="54E19E1E" w:rsidRPr="004B0B96">
        <w:rPr>
          <w:rFonts w:ascii="Franklin Gothic Book" w:hAnsi="Franklin Gothic Book"/>
        </w:rPr>
        <w:t xml:space="preserve"> </w:t>
      </w:r>
    </w:p>
    <w:p w14:paraId="07ADAE37" w14:textId="1A0B5E57" w:rsidR="006B4E47" w:rsidRPr="004B0B96" w:rsidRDefault="1BECCE93" w:rsidP="00E54B4B">
      <w:pPr>
        <w:spacing w:after="160" w:line="259" w:lineRule="auto"/>
        <w:rPr>
          <w:rFonts w:ascii="Franklin Gothic Book" w:hAnsi="Franklin Gothic Book"/>
        </w:rPr>
      </w:pPr>
      <w:r w:rsidRPr="004B0B96">
        <w:rPr>
          <w:rFonts w:ascii="Franklin Gothic Book" w:hAnsi="Franklin Gothic Book"/>
        </w:rPr>
        <w:t xml:space="preserve">MSAC noted </w:t>
      </w:r>
      <w:r w:rsidR="037EAB26" w:rsidRPr="004B0B96">
        <w:rPr>
          <w:rFonts w:ascii="Franklin Gothic Book" w:hAnsi="Franklin Gothic Book"/>
        </w:rPr>
        <w:t>Janssen</w:t>
      </w:r>
      <w:r w:rsidR="00073F2B" w:rsidRPr="004B0B96">
        <w:rPr>
          <w:rFonts w:ascii="Franklin Gothic Book" w:hAnsi="Franklin Gothic Book"/>
        </w:rPr>
        <w:t>-Cilag</w:t>
      </w:r>
      <w:r w:rsidR="037EAB26" w:rsidRPr="004B0B96">
        <w:rPr>
          <w:rFonts w:ascii="Franklin Gothic Book" w:hAnsi="Franklin Gothic Book"/>
        </w:rPr>
        <w:t xml:space="preserve">’s claim that </w:t>
      </w:r>
      <w:r w:rsidR="568AA1E3" w:rsidRPr="004B0B96">
        <w:rPr>
          <w:rFonts w:ascii="Franklin Gothic Book" w:hAnsi="Franklin Gothic Book"/>
        </w:rPr>
        <w:t xml:space="preserve">“OS remains an objective, valid and robust outcome for </w:t>
      </w:r>
      <w:proofErr w:type="spellStart"/>
      <w:r w:rsidR="568AA1E3" w:rsidRPr="004B0B96">
        <w:rPr>
          <w:rFonts w:ascii="Franklin Gothic Book" w:hAnsi="Franklin Gothic Book"/>
        </w:rPr>
        <w:t>cilta</w:t>
      </w:r>
      <w:proofErr w:type="spellEnd"/>
      <w:r w:rsidR="568AA1E3" w:rsidRPr="004B0B96">
        <w:rPr>
          <w:rFonts w:ascii="Franklin Gothic Book" w:hAnsi="Franklin Gothic Book"/>
        </w:rPr>
        <w:t xml:space="preserve">-cel in 5L+ MM” and that </w:t>
      </w:r>
      <w:r w:rsidR="30B0692E" w:rsidRPr="004B0B96">
        <w:rPr>
          <w:rFonts w:ascii="Franklin Gothic Book" w:hAnsi="Franklin Gothic Book"/>
        </w:rPr>
        <w:t>“</w:t>
      </w:r>
      <w:r w:rsidR="54E19E1E" w:rsidRPr="004B0B96">
        <w:rPr>
          <w:rFonts w:ascii="Franklin Gothic Book" w:hAnsi="Franklin Gothic Book"/>
        </w:rPr>
        <w:t>O</w:t>
      </w:r>
      <w:r w:rsidR="302F0742" w:rsidRPr="004B0B96">
        <w:rPr>
          <w:rFonts w:ascii="Franklin Gothic Book" w:hAnsi="Franklin Gothic Book"/>
        </w:rPr>
        <w:t xml:space="preserve">S has been accepted for other </w:t>
      </w:r>
      <w:proofErr w:type="spellStart"/>
      <w:r w:rsidR="302F0742" w:rsidRPr="004B0B96">
        <w:rPr>
          <w:rFonts w:ascii="Franklin Gothic Book" w:hAnsi="Franklin Gothic Book"/>
        </w:rPr>
        <w:t>PfPs</w:t>
      </w:r>
      <w:proofErr w:type="spellEnd"/>
      <w:r w:rsidR="302F0742" w:rsidRPr="004B0B96">
        <w:rPr>
          <w:rFonts w:ascii="Franklin Gothic Book" w:hAnsi="Franklin Gothic Book"/>
        </w:rPr>
        <w:t xml:space="preserve"> of funded CAR-T cell therapies</w:t>
      </w:r>
      <w:r w:rsidR="30B0692E" w:rsidRPr="004B0B96">
        <w:rPr>
          <w:rFonts w:ascii="Franklin Gothic Book" w:hAnsi="Franklin Gothic Book"/>
        </w:rPr>
        <w:t>”</w:t>
      </w:r>
      <w:r w:rsidR="568AA1E3" w:rsidRPr="004B0B96">
        <w:rPr>
          <w:rFonts w:ascii="Franklin Gothic Book" w:hAnsi="Franklin Gothic Book"/>
        </w:rPr>
        <w:t>.</w:t>
      </w:r>
      <w:r w:rsidR="302F0742" w:rsidRPr="004B0B96">
        <w:rPr>
          <w:rFonts w:ascii="Franklin Gothic Book" w:hAnsi="Franklin Gothic Book"/>
        </w:rPr>
        <w:t xml:space="preserve"> </w:t>
      </w:r>
      <w:r w:rsidR="00105CAA" w:rsidRPr="004B0B96">
        <w:rPr>
          <w:rFonts w:ascii="Franklin Gothic Book" w:hAnsi="Franklin Gothic Book"/>
        </w:rPr>
        <w:t>B</w:t>
      </w:r>
      <w:r w:rsidR="7BB4D9BA" w:rsidRPr="004B0B96">
        <w:rPr>
          <w:rFonts w:ascii="Franklin Gothic Book" w:hAnsi="Franklin Gothic Book"/>
        </w:rPr>
        <w:t xml:space="preserve">ased </w:t>
      </w:r>
      <w:r w:rsidR="33DA7F17" w:rsidRPr="004B0B96">
        <w:rPr>
          <w:rFonts w:ascii="Franklin Gothic Book" w:hAnsi="Franklin Gothic Book"/>
        </w:rPr>
        <w:t xml:space="preserve">on the </w:t>
      </w:r>
      <w:r w:rsidR="29B0756A" w:rsidRPr="004B0B96">
        <w:rPr>
          <w:rFonts w:ascii="Franklin Gothic Book" w:hAnsi="Franklin Gothic Book"/>
        </w:rPr>
        <w:t>information included in M</w:t>
      </w:r>
      <w:r w:rsidR="3C298F02" w:rsidRPr="004B0B96">
        <w:rPr>
          <w:rFonts w:ascii="Franklin Gothic Book" w:hAnsi="Franklin Gothic Book"/>
        </w:rPr>
        <w:t xml:space="preserve">SAC PSDs for other CAR-T cell therapies, </w:t>
      </w:r>
      <w:r w:rsidR="00105CAA" w:rsidRPr="004B0B96">
        <w:rPr>
          <w:rFonts w:ascii="Franklin Gothic Book" w:hAnsi="Franklin Gothic Book"/>
        </w:rPr>
        <w:t xml:space="preserve">MSAC considered </w:t>
      </w:r>
      <w:r w:rsidR="20A8CFF9" w:rsidRPr="004B0B96">
        <w:rPr>
          <w:rFonts w:ascii="Franklin Gothic Book" w:hAnsi="Franklin Gothic Book"/>
        </w:rPr>
        <w:t xml:space="preserve">that it </w:t>
      </w:r>
      <w:r w:rsidR="7BB4D9BA" w:rsidRPr="004B0B96">
        <w:rPr>
          <w:rFonts w:ascii="Franklin Gothic Book" w:hAnsi="Franklin Gothic Book"/>
        </w:rPr>
        <w:t xml:space="preserve">could </w:t>
      </w:r>
      <w:r w:rsidR="000C4C15" w:rsidRPr="004B0B96">
        <w:rPr>
          <w:rFonts w:ascii="Franklin Gothic Book" w:hAnsi="Franklin Gothic Book"/>
        </w:rPr>
        <w:t xml:space="preserve">not </w:t>
      </w:r>
      <w:r w:rsidR="20A8CFF9" w:rsidRPr="004B0B96">
        <w:rPr>
          <w:rFonts w:ascii="Franklin Gothic Book" w:hAnsi="Franklin Gothic Book"/>
        </w:rPr>
        <w:t xml:space="preserve">be </w:t>
      </w:r>
      <w:r w:rsidR="7BB4D9BA" w:rsidRPr="004B0B96">
        <w:rPr>
          <w:rFonts w:ascii="Franklin Gothic Book" w:hAnsi="Franklin Gothic Book"/>
        </w:rPr>
        <w:t>reasonably conclude</w:t>
      </w:r>
      <w:r w:rsidR="20A8CFF9" w:rsidRPr="004B0B96">
        <w:rPr>
          <w:rFonts w:ascii="Franklin Gothic Book" w:hAnsi="Franklin Gothic Book"/>
        </w:rPr>
        <w:t>d that</w:t>
      </w:r>
      <w:r w:rsidR="7BB4D9BA" w:rsidRPr="004B0B96">
        <w:rPr>
          <w:rFonts w:ascii="Franklin Gothic Book" w:hAnsi="Franklin Gothic Book"/>
        </w:rPr>
        <w:t xml:space="preserve"> OS had been </w:t>
      </w:r>
      <w:r w:rsidR="5B4D03FF" w:rsidRPr="004B0B96">
        <w:rPr>
          <w:rFonts w:ascii="Franklin Gothic Book" w:hAnsi="Franklin Gothic Book"/>
        </w:rPr>
        <w:t xml:space="preserve">an </w:t>
      </w:r>
      <w:r w:rsidR="7BB4D9BA" w:rsidRPr="004B0B96">
        <w:rPr>
          <w:rFonts w:ascii="Franklin Gothic Book" w:hAnsi="Franklin Gothic Book"/>
        </w:rPr>
        <w:t>accepted</w:t>
      </w:r>
      <w:r w:rsidR="5B4D03FF" w:rsidRPr="004B0B96">
        <w:rPr>
          <w:rFonts w:ascii="Franklin Gothic Book" w:hAnsi="Franklin Gothic Book"/>
        </w:rPr>
        <w:t xml:space="preserve"> outcome measure used</w:t>
      </w:r>
      <w:r w:rsidR="7BB4D9BA" w:rsidRPr="004B0B96">
        <w:rPr>
          <w:rFonts w:ascii="Franklin Gothic Book" w:hAnsi="Franklin Gothic Book"/>
        </w:rPr>
        <w:t xml:space="preserve"> </w:t>
      </w:r>
      <w:r w:rsidR="5B4D03FF" w:rsidRPr="004B0B96">
        <w:rPr>
          <w:rFonts w:ascii="Franklin Gothic Book" w:hAnsi="Franklin Gothic Book"/>
        </w:rPr>
        <w:t>in</w:t>
      </w:r>
      <w:r w:rsidR="7BB4D9BA" w:rsidRPr="004B0B96">
        <w:rPr>
          <w:rFonts w:ascii="Franklin Gothic Book" w:hAnsi="Franklin Gothic Book"/>
        </w:rPr>
        <w:t xml:space="preserve"> </w:t>
      </w:r>
      <w:proofErr w:type="spellStart"/>
      <w:r w:rsidR="7BB4D9BA" w:rsidRPr="004B0B96">
        <w:rPr>
          <w:rFonts w:ascii="Franklin Gothic Book" w:hAnsi="Franklin Gothic Book"/>
        </w:rPr>
        <w:t>PfP</w:t>
      </w:r>
      <w:proofErr w:type="spellEnd"/>
      <w:r w:rsidR="5B4D03FF" w:rsidRPr="004B0B96">
        <w:rPr>
          <w:rFonts w:ascii="Franklin Gothic Book" w:hAnsi="Franklin Gothic Book"/>
        </w:rPr>
        <w:t xml:space="preserve"> arrangements</w:t>
      </w:r>
      <w:r w:rsidR="7BB4D9BA" w:rsidRPr="004B0B96">
        <w:rPr>
          <w:rFonts w:ascii="Franklin Gothic Book" w:hAnsi="Franklin Gothic Book"/>
        </w:rPr>
        <w:t xml:space="preserve"> f</w:t>
      </w:r>
      <w:r w:rsidR="5B4D03FF" w:rsidRPr="004B0B96">
        <w:rPr>
          <w:rFonts w:ascii="Franklin Gothic Book" w:hAnsi="Franklin Gothic Book"/>
        </w:rPr>
        <w:t>or funding</w:t>
      </w:r>
      <w:r w:rsidR="7BB4D9BA" w:rsidRPr="004B0B96">
        <w:rPr>
          <w:rFonts w:ascii="Franklin Gothic Book" w:hAnsi="Franklin Gothic Book"/>
        </w:rPr>
        <w:t xml:space="preserve"> </w:t>
      </w:r>
      <w:r w:rsidR="5B4D03FF" w:rsidRPr="004B0B96">
        <w:rPr>
          <w:rFonts w:ascii="Franklin Gothic Book" w:hAnsi="Franklin Gothic Book"/>
        </w:rPr>
        <w:t xml:space="preserve">other </w:t>
      </w:r>
      <w:r w:rsidR="7BB4D9BA" w:rsidRPr="004B0B96">
        <w:rPr>
          <w:rFonts w:ascii="Franklin Gothic Book" w:hAnsi="Franklin Gothic Book"/>
        </w:rPr>
        <w:t>CAR-T cell therapies</w:t>
      </w:r>
      <w:r w:rsidR="3C298F02" w:rsidRPr="004B0B96">
        <w:rPr>
          <w:rFonts w:ascii="Franklin Gothic Book" w:hAnsi="Franklin Gothic Book"/>
        </w:rPr>
        <w:t>.</w:t>
      </w:r>
    </w:p>
    <w:p w14:paraId="37F654EF" w14:textId="09B7FD05" w:rsidR="001C3B30" w:rsidRPr="004B0B96" w:rsidRDefault="006143CE" w:rsidP="001C3B30">
      <w:pPr>
        <w:spacing w:after="160" w:line="259" w:lineRule="auto"/>
      </w:pPr>
      <w:r w:rsidRPr="004B0B96">
        <w:rPr>
          <w:rFonts w:ascii="Franklin Gothic Book" w:hAnsi="Franklin Gothic Book"/>
          <w:kern w:val="2"/>
          <w14:ligatures w14:val="standardContextual"/>
        </w:rPr>
        <w:t xml:space="preserve">MSAC recalled it had </w:t>
      </w:r>
      <w:r w:rsidR="009B4F0C" w:rsidRPr="004B0B96">
        <w:rPr>
          <w:rFonts w:ascii="Franklin Gothic Book" w:hAnsi="Franklin Gothic Book"/>
          <w:kern w:val="2"/>
          <w14:ligatures w14:val="standardContextual"/>
        </w:rPr>
        <w:t xml:space="preserve">based its </w:t>
      </w:r>
      <w:r w:rsidR="00E6677B" w:rsidRPr="004B0B96">
        <w:rPr>
          <w:rFonts w:ascii="Franklin Gothic Book" w:hAnsi="Franklin Gothic Book"/>
          <w:kern w:val="2"/>
          <w14:ligatures w14:val="standardContextual"/>
        </w:rPr>
        <w:t xml:space="preserve">April 2024 </w:t>
      </w:r>
      <w:r w:rsidR="00A64359" w:rsidRPr="004B0B96">
        <w:rPr>
          <w:rFonts w:ascii="Franklin Gothic Book" w:hAnsi="Franklin Gothic Book"/>
          <w:kern w:val="2"/>
          <w14:ligatures w14:val="standardContextual"/>
        </w:rPr>
        <w:t>advice on the</w:t>
      </w:r>
      <w:r w:rsidRPr="004B0B96">
        <w:rPr>
          <w:rFonts w:ascii="Franklin Gothic Book" w:hAnsi="Franklin Gothic Book"/>
          <w:kern w:val="2"/>
          <w14:ligatures w14:val="standardContextual"/>
        </w:rPr>
        <w:t xml:space="preserve"> </w:t>
      </w:r>
      <w:r w:rsidR="00A64359" w:rsidRPr="004B0B96">
        <w:rPr>
          <w:rFonts w:ascii="Franklin Gothic Book" w:hAnsi="Franklin Gothic Book"/>
          <w:kern w:val="2"/>
          <w14:ligatures w14:val="standardContextual"/>
        </w:rPr>
        <w:t xml:space="preserve">clinical evidence presented in the </w:t>
      </w:r>
      <w:r w:rsidRPr="004B0B96">
        <w:rPr>
          <w:rFonts w:ascii="Franklin Gothic Book" w:hAnsi="Franklin Gothic Book"/>
          <w:kern w:val="2"/>
          <w14:ligatures w14:val="standardContextual"/>
        </w:rPr>
        <w:t>CARTITUDE-1 phase 1b/2 single arm study, where the treated cohort continued to accrue disease progression events over a period 4 years (Figure 1, Figure 2).</w:t>
      </w:r>
      <w:r w:rsidR="00141150" w:rsidRPr="004B0B96">
        <w:rPr>
          <w:rFonts w:ascii="Franklin Gothic Book" w:hAnsi="Franklin Gothic Book"/>
          <w:kern w:val="2"/>
          <w14:ligatures w14:val="standardContextual"/>
        </w:rPr>
        <w:t xml:space="preserve"> </w:t>
      </w:r>
      <w:r w:rsidR="007028A9" w:rsidRPr="004B0B96">
        <w:rPr>
          <w:rFonts w:ascii="Franklin Gothic Book" w:hAnsi="Franklin Gothic Book"/>
        </w:rPr>
        <w:t xml:space="preserve">MSAC considered the alternative </w:t>
      </w:r>
      <w:r w:rsidR="00141150" w:rsidRPr="004B0B96">
        <w:rPr>
          <w:rFonts w:ascii="Franklin Gothic Book" w:hAnsi="Franklin Gothic Book"/>
        </w:rPr>
        <w:t>funding</w:t>
      </w:r>
      <w:r w:rsidR="007028A9" w:rsidRPr="004B0B96">
        <w:rPr>
          <w:rFonts w:ascii="Franklin Gothic Book" w:hAnsi="Franklin Gothic Book"/>
        </w:rPr>
        <w:t xml:space="preserve"> proposal </w:t>
      </w:r>
      <w:r w:rsidR="00933C43" w:rsidRPr="004B0B96">
        <w:rPr>
          <w:rFonts w:ascii="Franklin Gothic Book" w:hAnsi="Franklin Gothic Book"/>
        </w:rPr>
        <w:t xml:space="preserve">based on OS </w:t>
      </w:r>
      <w:r w:rsidR="00520B2A" w:rsidRPr="004B0B96">
        <w:rPr>
          <w:rFonts w:ascii="Franklin Gothic Book" w:hAnsi="Franklin Gothic Book"/>
        </w:rPr>
        <w:t>did not appropriately address the clinical, economic and financial uncertainty associated with public fundin</w:t>
      </w:r>
      <w:r w:rsidR="00933C43" w:rsidRPr="004B0B96">
        <w:rPr>
          <w:rFonts w:ascii="Franklin Gothic Book" w:hAnsi="Franklin Gothic Book"/>
        </w:rPr>
        <w:t xml:space="preserve">g. </w:t>
      </w:r>
      <w:r w:rsidR="00FA2D02" w:rsidRPr="004B0B96">
        <w:rPr>
          <w:rFonts w:ascii="Franklin Gothic Book" w:hAnsi="Franklin Gothic Book"/>
        </w:rPr>
        <w:t xml:space="preserve">MSAC considered </w:t>
      </w:r>
      <w:r w:rsidR="007F694A" w:rsidRPr="004B0B96">
        <w:rPr>
          <w:rFonts w:ascii="Franklin Gothic Book" w:hAnsi="Franklin Gothic Book"/>
        </w:rPr>
        <w:t>the key risk</w:t>
      </w:r>
      <w:r w:rsidR="002A5EF4" w:rsidRPr="004B0B96">
        <w:rPr>
          <w:rFonts w:ascii="Franklin Gothic Book" w:hAnsi="Franklin Gothic Book"/>
        </w:rPr>
        <w:t>s</w:t>
      </w:r>
      <w:r w:rsidR="007F694A" w:rsidRPr="004B0B96">
        <w:rPr>
          <w:rFonts w:ascii="Franklin Gothic Book" w:hAnsi="Franklin Gothic Book"/>
        </w:rPr>
        <w:t xml:space="preserve"> associated with Janssen</w:t>
      </w:r>
      <w:r w:rsidR="000C4C15" w:rsidRPr="004B0B96">
        <w:rPr>
          <w:rFonts w:ascii="Franklin Gothic Book" w:hAnsi="Franklin Gothic Book"/>
        </w:rPr>
        <w:t>-Cilag</w:t>
      </w:r>
      <w:r w:rsidR="007F694A" w:rsidRPr="004B0B96">
        <w:rPr>
          <w:rFonts w:ascii="Franklin Gothic Book" w:hAnsi="Franklin Gothic Book"/>
        </w:rPr>
        <w:t xml:space="preserve">’s revised proposal </w:t>
      </w:r>
      <w:r w:rsidR="00141150" w:rsidRPr="004B0B96">
        <w:rPr>
          <w:rFonts w:ascii="Franklin Gothic Book" w:hAnsi="Franklin Gothic Book"/>
        </w:rPr>
        <w:t>was that</w:t>
      </w:r>
      <w:r w:rsidR="00A644E9" w:rsidRPr="004B0B96">
        <w:rPr>
          <w:rFonts w:ascii="Franklin Gothic Book" w:hAnsi="Franklin Gothic Book"/>
        </w:rPr>
        <w:t xml:space="preserve"> survival benefit at </w:t>
      </w:r>
      <w:r w:rsidR="00DE62FE" w:rsidRPr="00DE62FE">
        <w:rPr>
          <w:rFonts w:ascii="Franklin Gothic Book" w:hAnsi="Franklin Gothic Book"/>
          <w:color w:val="000000"/>
          <w:w w:val="66"/>
          <w:shd w:val="solid" w:color="000000" w:fill="000000"/>
          <w:fitText w:val="440" w:id="-775723506"/>
          <w14:textFill>
            <w14:solidFill>
              <w14:srgbClr w14:val="000000">
                <w14:alpha w14:val="100000"/>
              </w14:srgbClr>
            </w14:solidFill>
          </w14:textFill>
        </w:rPr>
        <w:t>||||||</w:t>
      </w:r>
      <w:r w:rsidR="00A644E9" w:rsidRPr="004B0B96">
        <w:rPr>
          <w:rFonts w:ascii="Franklin Gothic Book" w:hAnsi="Franklin Gothic Book"/>
        </w:rPr>
        <w:t xml:space="preserve"> years could not be attributed directly to </w:t>
      </w:r>
      <w:proofErr w:type="spellStart"/>
      <w:r w:rsidR="00A644E9" w:rsidRPr="004B0B96">
        <w:rPr>
          <w:rFonts w:ascii="Franklin Gothic Book" w:hAnsi="Franklin Gothic Book"/>
        </w:rPr>
        <w:t>cilta</w:t>
      </w:r>
      <w:proofErr w:type="spellEnd"/>
      <w:r w:rsidR="00A644E9" w:rsidRPr="004B0B96">
        <w:rPr>
          <w:rFonts w:ascii="Franklin Gothic Book" w:hAnsi="Franklin Gothic Book"/>
        </w:rPr>
        <w:t>-cel and that</w:t>
      </w:r>
      <w:r w:rsidR="00F160AD" w:rsidRPr="004B0B96">
        <w:rPr>
          <w:rFonts w:ascii="Franklin Gothic Book" w:hAnsi="Franklin Gothic Book"/>
        </w:rPr>
        <w:t xml:space="preserve"> as discussed by MSAC at its April 2024 </w:t>
      </w:r>
      <w:r w:rsidR="0062156E" w:rsidRPr="004B0B96">
        <w:rPr>
          <w:rFonts w:ascii="Franklin Gothic Book" w:hAnsi="Franklin Gothic Book"/>
        </w:rPr>
        <w:t xml:space="preserve">meeting, </w:t>
      </w:r>
      <w:r w:rsidR="00C148BA" w:rsidRPr="004B0B96">
        <w:rPr>
          <w:rFonts w:ascii="Franklin Gothic Book" w:hAnsi="Franklin Gothic Book"/>
        </w:rPr>
        <w:t xml:space="preserve">a proportion of </w:t>
      </w:r>
      <w:r w:rsidR="0062156E" w:rsidRPr="004B0B96">
        <w:rPr>
          <w:rFonts w:ascii="Franklin Gothic Book" w:hAnsi="Franklin Gothic Book"/>
        </w:rPr>
        <w:t>patients</w:t>
      </w:r>
      <w:r w:rsidR="002A5EF4" w:rsidRPr="004B0B96">
        <w:rPr>
          <w:rFonts w:ascii="Franklin Gothic Book" w:hAnsi="Franklin Gothic Book"/>
        </w:rPr>
        <w:t xml:space="preserve"> alive at 2 years will continue to progress in </w:t>
      </w:r>
      <w:r w:rsidR="00AE1D76" w:rsidRPr="00AE1D76">
        <w:rPr>
          <w:rFonts w:ascii="Franklin Gothic Book" w:hAnsi="Franklin Gothic Book"/>
        </w:rPr>
        <w:t>years 3 &amp; 4</w:t>
      </w:r>
      <w:r w:rsidR="00AE1D76">
        <w:rPr>
          <w:rFonts w:ascii="Franklin Gothic Book" w:hAnsi="Franklin Gothic Book"/>
        </w:rPr>
        <w:t xml:space="preserve">. </w:t>
      </w:r>
      <w:r w:rsidR="0062156E" w:rsidRPr="004B0B96">
        <w:rPr>
          <w:rFonts w:ascii="Franklin Gothic Book" w:hAnsi="Franklin Gothic Book"/>
        </w:rPr>
        <w:t xml:space="preserve">MSAC considered it problematic that </w:t>
      </w:r>
      <w:r w:rsidR="008724AC" w:rsidRPr="004B0B96">
        <w:rPr>
          <w:rFonts w:ascii="Franklin Gothic Book" w:hAnsi="Franklin Gothic Book"/>
        </w:rPr>
        <w:t>Janssen</w:t>
      </w:r>
      <w:r w:rsidR="00C148BA" w:rsidRPr="004B0B96">
        <w:rPr>
          <w:rFonts w:ascii="Franklin Gothic Book" w:hAnsi="Franklin Gothic Book"/>
        </w:rPr>
        <w:t>-Cilag</w:t>
      </w:r>
      <w:r w:rsidR="008724AC" w:rsidRPr="004B0B96">
        <w:rPr>
          <w:rFonts w:ascii="Franklin Gothic Book" w:hAnsi="Franklin Gothic Book"/>
        </w:rPr>
        <w:t>’s funding proposal</w:t>
      </w:r>
      <w:r w:rsidR="001C3B30" w:rsidRPr="004B0B96">
        <w:rPr>
          <w:rFonts w:ascii="Franklin Gothic Book" w:hAnsi="Franklin Gothic Book"/>
        </w:rPr>
        <w:t xml:space="preserve"> removed the restriction on payments being made for patients who received other anti-myeloma therapies after </w:t>
      </w:r>
      <w:proofErr w:type="spellStart"/>
      <w:r w:rsidR="00A040B8" w:rsidRPr="004B0B96">
        <w:rPr>
          <w:rFonts w:ascii="Franklin Gothic Book" w:hAnsi="Franklin Gothic Book"/>
        </w:rPr>
        <w:t>c</w:t>
      </w:r>
      <w:r w:rsidR="001C3B30" w:rsidRPr="004B0B96">
        <w:rPr>
          <w:rFonts w:ascii="Franklin Gothic Book" w:hAnsi="Franklin Gothic Book"/>
        </w:rPr>
        <w:t>ilta</w:t>
      </w:r>
      <w:proofErr w:type="spellEnd"/>
      <w:r w:rsidR="001C3B30" w:rsidRPr="004B0B96">
        <w:rPr>
          <w:rFonts w:ascii="Franklin Gothic Book" w:hAnsi="Franklin Gothic Book"/>
        </w:rPr>
        <w:t xml:space="preserve">-cel. </w:t>
      </w:r>
      <w:r w:rsidR="00A040B8" w:rsidRPr="004B0B96">
        <w:rPr>
          <w:rFonts w:ascii="Franklin Gothic Book" w:hAnsi="Franklin Gothic Book"/>
        </w:rPr>
        <w:t xml:space="preserve">MSAC considered this </w:t>
      </w:r>
      <w:r w:rsidR="001C3B30" w:rsidRPr="004B0B96">
        <w:rPr>
          <w:rFonts w:ascii="Franklin Gothic Book" w:hAnsi="Franklin Gothic Book"/>
        </w:rPr>
        <w:t>further compound</w:t>
      </w:r>
      <w:r w:rsidR="00A040B8" w:rsidRPr="004B0B96">
        <w:rPr>
          <w:rFonts w:ascii="Franklin Gothic Book" w:hAnsi="Franklin Gothic Book"/>
        </w:rPr>
        <w:t>ed</w:t>
      </w:r>
      <w:r w:rsidR="001C3B30" w:rsidRPr="004B0B96">
        <w:rPr>
          <w:rFonts w:ascii="Franklin Gothic Book" w:hAnsi="Franklin Gothic Book"/>
        </w:rPr>
        <w:t xml:space="preserve"> the risk </w:t>
      </w:r>
      <w:r w:rsidR="00A040B8" w:rsidRPr="004B0B96">
        <w:rPr>
          <w:rFonts w:ascii="Franklin Gothic Book" w:hAnsi="Franklin Gothic Book"/>
        </w:rPr>
        <w:t xml:space="preserve">of paying for outcomes that could not </w:t>
      </w:r>
      <w:r w:rsidR="001667D4" w:rsidRPr="004B0B96">
        <w:rPr>
          <w:rFonts w:ascii="Franklin Gothic Book" w:hAnsi="Franklin Gothic Book"/>
        </w:rPr>
        <w:t xml:space="preserve">be </w:t>
      </w:r>
      <w:r w:rsidR="00A040B8" w:rsidRPr="004B0B96">
        <w:rPr>
          <w:rFonts w:ascii="Franklin Gothic Book" w:hAnsi="Franklin Gothic Book"/>
        </w:rPr>
        <w:t>directly</w:t>
      </w:r>
      <w:r w:rsidR="001667D4" w:rsidRPr="004B0B96">
        <w:rPr>
          <w:rFonts w:ascii="Franklin Gothic Book" w:hAnsi="Franklin Gothic Book"/>
        </w:rPr>
        <w:t xml:space="preserve"> </w:t>
      </w:r>
      <w:r w:rsidR="00A040B8" w:rsidRPr="004B0B96">
        <w:rPr>
          <w:rFonts w:ascii="Franklin Gothic Book" w:hAnsi="Franklin Gothic Book"/>
        </w:rPr>
        <w:t xml:space="preserve">attributed to </w:t>
      </w:r>
      <w:proofErr w:type="spellStart"/>
      <w:r w:rsidR="00A040B8" w:rsidRPr="004B0B96">
        <w:rPr>
          <w:rFonts w:ascii="Franklin Gothic Book" w:hAnsi="Franklin Gothic Book"/>
        </w:rPr>
        <w:t>cilta</w:t>
      </w:r>
      <w:proofErr w:type="spellEnd"/>
      <w:r w:rsidR="00A040B8" w:rsidRPr="004B0B96">
        <w:rPr>
          <w:rFonts w:ascii="Franklin Gothic Book" w:hAnsi="Franklin Gothic Book"/>
        </w:rPr>
        <w:t>-</w:t>
      </w:r>
      <w:r w:rsidR="00F62CED" w:rsidRPr="004B0B96">
        <w:rPr>
          <w:rFonts w:ascii="Franklin Gothic Book" w:hAnsi="Franklin Gothic Book"/>
        </w:rPr>
        <w:t>cel</w:t>
      </w:r>
      <w:r w:rsidR="001C3B30" w:rsidRPr="004B0B96">
        <w:rPr>
          <w:rFonts w:ascii="Franklin Gothic Book" w:hAnsi="Franklin Gothic Book"/>
        </w:rPr>
        <w:t>.</w:t>
      </w:r>
    </w:p>
    <w:p w14:paraId="1D908199" w14:textId="06B362E0" w:rsidR="00656174" w:rsidRPr="004B0B96" w:rsidRDefault="6AAE11C6" w:rsidP="00656174">
      <w:pPr>
        <w:spacing w:after="160"/>
        <w:rPr>
          <w:rFonts w:ascii="Franklin Gothic Book" w:hAnsi="Franklin Gothic Book"/>
        </w:rPr>
      </w:pPr>
      <w:r w:rsidRPr="004B0B96">
        <w:rPr>
          <w:rFonts w:ascii="Franklin Gothic Book" w:hAnsi="Franklin Gothic Book"/>
        </w:rPr>
        <w:t xml:space="preserve">MSAC </w:t>
      </w:r>
      <w:r w:rsidR="3C7F7F37" w:rsidRPr="004B0B96">
        <w:rPr>
          <w:rFonts w:ascii="Franklin Gothic Book" w:hAnsi="Franklin Gothic Book"/>
        </w:rPr>
        <w:t>noted the revised economic model submitted by the applicant resulted in a</w:t>
      </w:r>
      <w:r w:rsidR="1E81264F" w:rsidRPr="004B0B96">
        <w:rPr>
          <w:rFonts w:ascii="Franklin Gothic Book" w:hAnsi="Franklin Gothic Book"/>
        </w:rPr>
        <w:t>n</w:t>
      </w:r>
      <w:r w:rsidR="3C7F7F37" w:rsidRPr="004B0B96">
        <w:rPr>
          <w:rFonts w:ascii="Franklin Gothic Book" w:hAnsi="Franklin Gothic Book"/>
        </w:rPr>
        <w:t xml:space="preserve"> ICER of </w:t>
      </w:r>
      <w:r w:rsidR="006923E9" w:rsidRPr="006923E9">
        <w:rPr>
          <w:rFonts w:ascii="Franklin Gothic Book" w:hAnsi="Franklin Gothic Book"/>
        </w:rPr>
        <w:t>$95,000 to &lt; $115,000/ QALY</w:t>
      </w:r>
      <w:r w:rsidR="621C3B7E" w:rsidRPr="004B0B96">
        <w:rPr>
          <w:rFonts w:ascii="Franklin Gothic Book" w:hAnsi="Franklin Gothic Book"/>
        </w:rPr>
        <w:t>,</w:t>
      </w:r>
      <w:r w:rsidR="0D75B279" w:rsidRPr="004B0B96">
        <w:rPr>
          <w:rFonts w:ascii="Franklin Gothic Book" w:hAnsi="Franklin Gothic Book"/>
        </w:rPr>
        <w:t xml:space="preserve"> </w:t>
      </w:r>
      <w:r w:rsidR="194D6AD1" w:rsidRPr="004B0B96">
        <w:rPr>
          <w:rFonts w:ascii="Franklin Gothic Book" w:hAnsi="Franklin Gothic Book"/>
        </w:rPr>
        <w:t xml:space="preserve">that was lower </w:t>
      </w:r>
      <w:r w:rsidR="3C7F7F37" w:rsidRPr="004B0B96">
        <w:rPr>
          <w:rFonts w:ascii="Franklin Gothic Book" w:hAnsi="Franklin Gothic Book"/>
        </w:rPr>
        <w:t>than th</w:t>
      </w:r>
      <w:r w:rsidR="0D75B279" w:rsidRPr="004B0B96">
        <w:rPr>
          <w:rFonts w:ascii="Franklin Gothic Book" w:hAnsi="Franklin Gothic Book"/>
        </w:rPr>
        <w:t xml:space="preserve">e </w:t>
      </w:r>
      <w:r w:rsidR="006923E9" w:rsidRPr="006923E9">
        <w:rPr>
          <w:rFonts w:ascii="Franklin Gothic Book" w:hAnsi="Franklin Gothic Book"/>
        </w:rPr>
        <w:t>$</w:t>
      </w:r>
      <w:r w:rsidR="007141ED">
        <w:rPr>
          <w:rFonts w:ascii="Franklin Gothic Book" w:hAnsi="Franklin Gothic Book"/>
        </w:rPr>
        <w:t>115,000</w:t>
      </w:r>
      <w:r w:rsidR="006923E9" w:rsidRPr="006923E9">
        <w:rPr>
          <w:rFonts w:ascii="Franklin Gothic Book" w:hAnsi="Franklin Gothic Book"/>
        </w:rPr>
        <w:t xml:space="preserve"> to &lt; $1</w:t>
      </w:r>
      <w:r w:rsidR="007141ED">
        <w:rPr>
          <w:rFonts w:ascii="Franklin Gothic Book" w:hAnsi="Franklin Gothic Book"/>
        </w:rPr>
        <w:t>3</w:t>
      </w:r>
      <w:r w:rsidR="006923E9" w:rsidRPr="006923E9">
        <w:rPr>
          <w:rFonts w:ascii="Franklin Gothic Book" w:hAnsi="Franklin Gothic Book"/>
        </w:rPr>
        <w:t xml:space="preserve">5,000/ QALY </w:t>
      </w:r>
      <w:r w:rsidR="3C7F7F37" w:rsidRPr="004B0B96">
        <w:rPr>
          <w:rFonts w:ascii="Franklin Gothic Book" w:hAnsi="Franklin Gothic Book"/>
        </w:rPr>
        <w:t>considered by MSAC in April 2024</w:t>
      </w:r>
      <w:r w:rsidR="194D6AD1" w:rsidRPr="004B0B96">
        <w:rPr>
          <w:rFonts w:ascii="Franklin Gothic Book" w:hAnsi="Franklin Gothic Book"/>
        </w:rPr>
        <w:t xml:space="preserve">. MSAC noted the revised economic model </w:t>
      </w:r>
      <w:r w:rsidR="035CF733" w:rsidRPr="004B0B96">
        <w:rPr>
          <w:rFonts w:ascii="Franklin Gothic Book" w:hAnsi="Franklin Gothic Book"/>
        </w:rPr>
        <w:t>incorporated</w:t>
      </w:r>
      <w:r w:rsidR="194D6AD1" w:rsidRPr="004B0B96">
        <w:rPr>
          <w:rFonts w:ascii="Franklin Gothic Book" w:hAnsi="Franklin Gothic Book"/>
        </w:rPr>
        <w:t xml:space="preserve"> the</w:t>
      </w:r>
      <w:r w:rsidR="621C3B7E" w:rsidRPr="004B0B96">
        <w:rPr>
          <w:rFonts w:ascii="Franklin Gothic Book" w:hAnsi="Franklin Gothic Book"/>
        </w:rPr>
        <w:t xml:space="preserve"> </w:t>
      </w:r>
      <w:r w:rsidR="00DE62FE" w:rsidRPr="00DE62FE">
        <w:rPr>
          <w:rFonts w:ascii="Franklin Gothic Book" w:hAnsi="Franklin Gothic Book"/>
          <w:color w:val="000000"/>
          <w:w w:val="66"/>
          <w:shd w:val="solid" w:color="000000" w:fill="000000"/>
          <w:fitText w:val="440" w:id="-775723520"/>
          <w14:textFill>
            <w14:solidFill>
              <w14:srgbClr w14:val="000000">
                <w14:alpha w14:val="100000"/>
              </w14:srgbClr>
            </w14:solidFill>
          </w14:textFill>
        </w:rPr>
        <w:t>||||||</w:t>
      </w:r>
      <w:r w:rsidR="621C3B7E" w:rsidRPr="004B0B96">
        <w:rPr>
          <w:rFonts w:ascii="Franklin Gothic Book" w:hAnsi="Franklin Gothic Book"/>
        </w:rPr>
        <w:t xml:space="preserve">-year, </w:t>
      </w:r>
      <w:r w:rsidR="00DE62FE" w:rsidRPr="00DE62FE">
        <w:rPr>
          <w:rFonts w:ascii="Franklin Gothic Book" w:hAnsi="Franklin Gothic Book"/>
          <w:color w:val="000000"/>
          <w:w w:val="66"/>
          <w:shd w:val="solid" w:color="000000" w:fill="000000"/>
          <w:fitText w:val="440" w:id="-775723519"/>
          <w14:textFill>
            <w14:solidFill>
              <w14:srgbClr w14:val="000000">
                <w14:alpha w14:val="100000"/>
              </w14:srgbClr>
            </w14:solidFill>
          </w14:textFill>
        </w:rPr>
        <w:t>||||||</w:t>
      </w:r>
      <w:r w:rsidR="621C3B7E" w:rsidRPr="004B0B96">
        <w:rPr>
          <w:rFonts w:ascii="Franklin Gothic Book" w:hAnsi="Franklin Gothic Book"/>
        </w:rPr>
        <w:t xml:space="preserve"> milestone</w:t>
      </w:r>
      <w:r w:rsidR="194D6AD1" w:rsidRPr="004B0B96">
        <w:rPr>
          <w:rFonts w:ascii="Franklin Gothic Book" w:hAnsi="Franklin Gothic Book"/>
        </w:rPr>
        <w:t xml:space="preserve"> </w:t>
      </w:r>
      <w:proofErr w:type="spellStart"/>
      <w:r w:rsidR="194D6AD1" w:rsidRPr="004B0B96">
        <w:rPr>
          <w:rFonts w:ascii="Franklin Gothic Book" w:hAnsi="Franklin Gothic Book"/>
        </w:rPr>
        <w:t>PfP</w:t>
      </w:r>
      <w:proofErr w:type="spellEnd"/>
      <w:r w:rsidR="194D6AD1" w:rsidRPr="004B0B96">
        <w:rPr>
          <w:rFonts w:ascii="Franklin Gothic Book" w:hAnsi="Franklin Gothic Book"/>
        </w:rPr>
        <w:t xml:space="preserve"> arrangement</w:t>
      </w:r>
      <w:r w:rsidR="621C3B7E" w:rsidRPr="004B0B96">
        <w:rPr>
          <w:rFonts w:ascii="Franklin Gothic Book" w:hAnsi="Franklin Gothic Book"/>
        </w:rPr>
        <w:t xml:space="preserve"> proposed by Janssen</w:t>
      </w:r>
      <w:r w:rsidR="001667D4" w:rsidRPr="004B0B96">
        <w:rPr>
          <w:rFonts w:ascii="Franklin Gothic Book" w:hAnsi="Franklin Gothic Book"/>
        </w:rPr>
        <w:t>-Cilag</w:t>
      </w:r>
      <w:r w:rsidR="194D6AD1" w:rsidRPr="004B0B96">
        <w:rPr>
          <w:rFonts w:ascii="Franklin Gothic Book" w:hAnsi="Franklin Gothic Book"/>
        </w:rPr>
        <w:t xml:space="preserve">. </w:t>
      </w:r>
      <w:r w:rsidR="585E79AE" w:rsidRPr="004B0B96">
        <w:rPr>
          <w:rFonts w:ascii="Franklin Gothic Book" w:hAnsi="Franklin Gothic Book"/>
        </w:rPr>
        <w:t xml:space="preserve">MSAC noted the applicant’s claim </w:t>
      </w:r>
      <w:r w:rsidR="621C3B7E" w:rsidRPr="004B0B96">
        <w:rPr>
          <w:rFonts w:ascii="Franklin Gothic Book" w:hAnsi="Franklin Gothic Book"/>
        </w:rPr>
        <w:t xml:space="preserve">that </w:t>
      </w:r>
      <w:r w:rsidR="585E79AE" w:rsidRPr="004B0B96">
        <w:rPr>
          <w:rFonts w:ascii="Franklin Gothic Book" w:hAnsi="Franklin Gothic Book"/>
        </w:rPr>
        <w:t xml:space="preserve">the </w:t>
      </w:r>
      <w:r w:rsidR="585E79AE" w:rsidRPr="004B0B96">
        <w:rPr>
          <w:rFonts w:ascii="Franklin Gothic Book" w:hAnsi="Franklin Gothic Book"/>
          <w:lang w:val="en-GB"/>
        </w:rPr>
        <w:t>PBAC have previously considered that in the context of high clinical need an ICER of up to $95,000 to &lt; $115,000</w:t>
      </w:r>
      <w:r w:rsidR="7E0E1045" w:rsidRPr="004B0B96">
        <w:rPr>
          <w:rFonts w:ascii="Franklin Gothic Book" w:hAnsi="Franklin Gothic Book"/>
          <w:lang w:val="en-GB"/>
        </w:rPr>
        <w:t xml:space="preserve">/ QALY </w:t>
      </w:r>
      <w:r w:rsidR="585E79AE" w:rsidRPr="004B0B96">
        <w:rPr>
          <w:rFonts w:ascii="Franklin Gothic Book" w:hAnsi="Franklin Gothic Book"/>
          <w:lang w:val="en-GB"/>
        </w:rPr>
        <w:t>is acceptable, but</w:t>
      </w:r>
      <w:r w:rsidR="5F135216" w:rsidRPr="004B0B96">
        <w:rPr>
          <w:rFonts w:ascii="Franklin Gothic Book" w:hAnsi="Franklin Gothic Book"/>
          <w:lang w:val="en-GB"/>
        </w:rPr>
        <w:t xml:space="preserve"> noted the applicant</w:t>
      </w:r>
      <w:r w:rsidR="585E79AE" w:rsidRPr="004B0B96">
        <w:rPr>
          <w:rFonts w:ascii="Franklin Gothic Book" w:hAnsi="Franklin Gothic Book"/>
          <w:lang w:val="en-GB"/>
        </w:rPr>
        <w:t xml:space="preserve"> did not refer to a specific PBAC consideration to allow this </w:t>
      </w:r>
      <w:r w:rsidR="2320FABB" w:rsidRPr="004B0B96">
        <w:rPr>
          <w:rFonts w:ascii="Franklin Gothic Book" w:hAnsi="Franklin Gothic Book"/>
          <w:lang w:val="en-GB"/>
        </w:rPr>
        <w:t xml:space="preserve">claim </w:t>
      </w:r>
      <w:r w:rsidR="585E79AE" w:rsidRPr="004B0B96">
        <w:rPr>
          <w:rFonts w:ascii="Franklin Gothic Book" w:hAnsi="Franklin Gothic Book"/>
          <w:lang w:val="en-GB"/>
        </w:rPr>
        <w:t xml:space="preserve">to be verified. </w:t>
      </w:r>
      <w:r w:rsidR="7E0E1045" w:rsidRPr="004B0B96">
        <w:rPr>
          <w:rFonts w:ascii="Franklin Gothic Book" w:hAnsi="Franklin Gothic Book"/>
          <w:lang w:val="en-GB"/>
        </w:rPr>
        <w:t xml:space="preserve">MSAC noted these are standard ICER ranges used by PBAC in its PSDs and exact ICERs accepted by PBAC </w:t>
      </w:r>
      <w:r w:rsidR="035CF733" w:rsidRPr="004B0B96">
        <w:rPr>
          <w:rFonts w:ascii="Franklin Gothic Book" w:hAnsi="Franklin Gothic Book"/>
          <w:lang w:val="en-GB"/>
        </w:rPr>
        <w:t xml:space="preserve">in this context were unknown. </w:t>
      </w:r>
    </w:p>
    <w:p w14:paraId="04820111" w14:textId="59D38F00" w:rsidR="007028A9" w:rsidRPr="004B0B96" w:rsidRDefault="72BAAB5E" w:rsidP="00E70F1A">
      <w:pPr>
        <w:spacing w:after="160" w:line="259" w:lineRule="auto"/>
        <w:rPr>
          <w:rFonts w:ascii="Franklin Gothic Book" w:hAnsi="Franklin Gothic Book"/>
        </w:rPr>
      </w:pPr>
      <w:r w:rsidRPr="004B0B96">
        <w:rPr>
          <w:rFonts w:ascii="Franklin Gothic Book" w:hAnsi="Franklin Gothic Book"/>
        </w:rPr>
        <w:t xml:space="preserve">MSAC noted the revised financial estimates provided by the applicant </w:t>
      </w:r>
      <w:r w:rsidR="72B9BF86" w:rsidRPr="004B0B96">
        <w:rPr>
          <w:rFonts w:ascii="Franklin Gothic Book" w:hAnsi="Franklin Gothic Book"/>
        </w:rPr>
        <w:t>based on the updated pricing proposal (</w:t>
      </w:r>
      <w:r w:rsidR="004D12B0">
        <w:rPr>
          <w:rFonts w:ascii="Franklin Gothic Book" w:hAnsi="Franklin Gothic Book"/>
        </w:rPr>
        <w:fldChar w:fldCharType="begin"/>
      </w:r>
      <w:r w:rsidR="004D12B0">
        <w:rPr>
          <w:rFonts w:ascii="Franklin Gothic Book" w:hAnsi="Franklin Gothic Book"/>
        </w:rPr>
        <w:instrText xml:space="preserve"> REF _Ref188617450 \h </w:instrText>
      </w:r>
      <w:r w:rsidR="004D12B0">
        <w:rPr>
          <w:rFonts w:ascii="Franklin Gothic Book" w:hAnsi="Franklin Gothic Book"/>
        </w:rPr>
      </w:r>
      <w:r w:rsidR="004D12B0">
        <w:rPr>
          <w:rFonts w:ascii="Franklin Gothic Book" w:hAnsi="Franklin Gothic Book"/>
        </w:rPr>
        <w:fldChar w:fldCharType="separate"/>
      </w:r>
      <w:r w:rsidR="004D12B0">
        <w:t xml:space="preserve">Table </w:t>
      </w:r>
      <w:r w:rsidR="004D12B0">
        <w:rPr>
          <w:noProof/>
        </w:rPr>
        <w:t>2</w:t>
      </w:r>
      <w:r w:rsidR="004D12B0">
        <w:rPr>
          <w:rFonts w:ascii="Franklin Gothic Book" w:hAnsi="Franklin Gothic Book"/>
        </w:rPr>
        <w:fldChar w:fldCharType="end"/>
      </w:r>
      <w:r w:rsidR="72B9BF86" w:rsidRPr="004B0B96">
        <w:rPr>
          <w:rFonts w:ascii="Franklin Gothic Book" w:hAnsi="Franklin Gothic Book"/>
        </w:rPr>
        <w:t xml:space="preserve">). MSAC noted the financial estimates did not </w:t>
      </w:r>
      <w:r w:rsidR="671E60AA" w:rsidRPr="004B0B96">
        <w:rPr>
          <w:rFonts w:ascii="Franklin Gothic Book" w:hAnsi="Franklin Gothic Book"/>
        </w:rPr>
        <w:t>reflect</w:t>
      </w:r>
      <w:r w:rsidR="65E71780" w:rsidRPr="004B0B96">
        <w:rPr>
          <w:rFonts w:ascii="Franklin Gothic Book" w:hAnsi="Franklin Gothic Book"/>
        </w:rPr>
        <w:t xml:space="preserve"> the</w:t>
      </w:r>
      <w:r w:rsidR="671E60AA" w:rsidRPr="004B0B96">
        <w:rPr>
          <w:rFonts w:ascii="Franklin Gothic Book" w:hAnsi="Franklin Gothic Book"/>
        </w:rPr>
        <w:t xml:space="preserve"> additional costs that would be incurred if patients above the</w:t>
      </w:r>
      <w:r w:rsidR="65E71780" w:rsidRPr="004B0B96">
        <w:rPr>
          <w:rFonts w:ascii="Franklin Gothic Book" w:hAnsi="Franklin Gothic Book"/>
        </w:rPr>
        <w:t xml:space="preserve"> proposed </w:t>
      </w:r>
      <w:r w:rsidR="671E60AA" w:rsidRPr="004B0B96">
        <w:rPr>
          <w:rFonts w:ascii="Franklin Gothic Book" w:hAnsi="Franklin Gothic Book"/>
        </w:rPr>
        <w:t xml:space="preserve">estimates were treated. </w:t>
      </w:r>
    </w:p>
    <w:p w14:paraId="2DA9D750" w14:textId="2CFB9C1C" w:rsidR="004D12B0" w:rsidRDefault="004D12B0" w:rsidP="004D12B0">
      <w:pPr>
        <w:pStyle w:val="Caption"/>
      </w:pPr>
      <w:bookmarkStart w:id="7" w:name="_Ref188617450"/>
      <w:r>
        <w:t xml:space="preserve">Table </w:t>
      </w:r>
      <w:r w:rsidR="00AF7479">
        <w:fldChar w:fldCharType="begin"/>
      </w:r>
      <w:r w:rsidR="00AF7479">
        <w:instrText xml:space="preserve"> SEQ Table \* ARABIC </w:instrText>
      </w:r>
      <w:r w:rsidR="00AF7479">
        <w:fldChar w:fldCharType="separate"/>
      </w:r>
      <w:r w:rsidR="00AF7479">
        <w:rPr>
          <w:noProof/>
        </w:rPr>
        <w:t>2</w:t>
      </w:r>
      <w:r w:rsidR="00AF7479">
        <w:rPr>
          <w:noProof/>
        </w:rPr>
        <w:fldChar w:fldCharType="end"/>
      </w:r>
      <w:bookmarkEnd w:id="7"/>
      <w:r w:rsidRPr="004D12B0">
        <w:t xml:space="preserve"> </w:t>
      </w:r>
      <w:r w:rsidRPr="004B0B96">
        <w:tab/>
        <w:t>Overview of patient numbers and budget impact October 2024 funding proposal</w:t>
      </w:r>
    </w:p>
    <w:tbl>
      <w:tblPr>
        <w:tblStyle w:val="TableGrid"/>
        <w:tblW w:w="9067" w:type="dxa"/>
        <w:tblLayout w:type="fixed"/>
        <w:tblLook w:val="0020" w:firstRow="1" w:lastRow="0" w:firstColumn="0" w:lastColumn="0" w:noHBand="0" w:noVBand="0"/>
      </w:tblPr>
      <w:tblGrid>
        <w:gridCol w:w="1323"/>
        <w:gridCol w:w="6"/>
        <w:gridCol w:w="1222"/>
        <w:gridCol w:w="58"/>
        <w:gridCol w:w="1294"/>
        <w:gridCol w:w="7"/>
        <w:gridCol w:w="1301"/>
        <w:gridCol w:w="44"/>
        <w:gridCol w:w="1228"/>
        <w:gridCol w:w="29"/>
        <w:gridCol w:w="1301"/>
        <w:gridCol w:w="22"/>
        <w:gridCol w:w="1232"/>
      </w:tblGrid>
      <w:tr w:rsidR="00BD3A14" w:rsidRPr="004B0B96" w14:paraId="0EBDFA6E" w14:textId="77777777" w:rsidTr="00EE19AD">
        <w:trPr>
          <w:trHeight w:val="399"/>
        </w:trPr>
        <w:tc>
          <w:tcPr>
            <w:tcW w:w="1329" w:type="dxa"/>
            <w:gridSpan w:val="2"/>
            <w:shd w:val="clear" w:color="auto" w:fill="BFBFBF" w:themeFill="background1" w:themeFillShade="BF"/>
          </w:tcPr>
          <w:p w14:paraId="7CC6BEB4" w14:textId="77777777" w:rsidR="00BD3A14" w:rsidRPr="004B0B96" w:rsidRDefault="00BD3A14" w:rsidP="00EE19AD">
            <w:pPr>
              <w:keepNext/>
              <w:autoSpaceDE w:val="0"/>
              <w:autoSpaceDN w:val="0"/>
              <w:adjustRightInd w:val="0"/>
              <w:spacing w:after="0"/>
              <w:rPr>
                <w:rFonts w:ascii="Arial Narrow" w:hAnsi="Arial Narrow" w:cs="Calibri"/>
                <w:color w:val="000000"/>
                <w:sz w:val="20"/>
                <w:szCs w:val="20"/>
              </w:rPr>
            </w:pPr>
          </w:p>
        </w:tc>
        <w:tc>
          <w:tcPr>
            <w:tcW w:w="1280" w:type="dxa"/>
            <w:gridSpan w:val="2"/>
            <w:shd w:val="clear" w:color="auto" w:fill="BFBFBF" w:themeFill="background1" w:themeFillShade="BF"/>
          </w:tcPr>
          <w:p w14:paraId="6F8F0210" w14:textId="355F16DB" w:rsidR="00BD3A14" w:rsidRPr="004B0B96" w:rsidRDefault="00BD3A14" w:rsidP="00EE19AD">
            <w:pPr>
              <w:keepNext/>
              <w:autoSpaceDE w:val="0"/>
              <w:autoSpaceDN w:val="0"/>
              <w:adjustRightInd w:val="0"/>
              <w:spacing w:after="0"/>
              <w:rPr>
                <w:rFonts w:ascii="Arial Narrow" w:hAnsi="Arial Narrow" w:cs="Calibri"/>
                <w:b/>
                <w:bCs/>
                <w:color w:val="000000"/>
                <w:sz w:val="20"/>
                <w:szCs w:val="20"/>
              </w:rPr>
            </w:pPr>
            <w:r w:rsidRPr="004B0B96">
              <w:rPr>
                <w:rFonts w:ascii="Arial Narrow" w:hAnsi="Arial Narrow" w:cs="Calibri"/>
                <w:b/>
                <w:bCs/>
                <w:color w:val="000000"/>
                <w:sz w:val="20"/>
                <w:szCs w:val="20"/>
              </w:rPr>
              <w:t xml:space="preserve">Year 1 </w:t>
            </w:r>
          </w:p>
        </w:tc>
        <w:tc>
          <w:tcPr>
            <w:tcW w:w="1301" w:type="dxa"/>
            <w:gridSpan w:val="2"/>
            <w:shd w:val="clear" w:color="auto" w:fill="BFBFBF" w:themeFill="background1" w:themeFillShade="BF"/>
          </w:tcPr>
          <w:p w14:paraId="5C4F179F" w14:textId="77777777" w:rsidR="00BD3A14" w:rsidRPr="004B0B96" w:rsidRDefault="00BD3A14" w:rsidP="00EE19AD">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b/>
                <w:bCs/>
                <w:color w:val="000000"/>
                <w:sz w:val="20"/>
                <w:szCs w:val="20"/>
              </w:rPr>
              <w:t xml:space="preserve">Year 2 </w:t>
            </w:r>
          </w:p>
        </w:tc>
        <w:tc>
          <w:tcPr>
            <w:tcW w:w="1301" w:type="dxa"/>
            <w:shd w:val="clear" w:color="auto" w:fill="BFBFBF" w:themeFill="background1" w:themeFillShade="BF"/>
          </w:tcPr>
          <w:p w14:paraId="614A19AF" w14:textId="77777777" w:rsidR="00BD3A14" w:rsidRPr="004B0B96" w:rsidRDefault="00BD3A14" w:rsidP="00EE19AD">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b/>
                <w:bCs/>
                <w:color w:val="000000"/>
                <w:sz w:val="20"/>
                <w:szCs w:val="20"/>
              </w:rPr>
              <w:t xml:space="preserve">Year 3 </w:t>
            </w:r>
          </w:p>
        </w:tc>
        <w:tc>
          <w:tcPr>
            <w:tcW w:w="1301" w:type="dxa"/>
            <w:gridSpan w:val="3"/>
            <w:shd w:val="clear" w:color="auto" w:fill="BFBFBF" w:themeFill="background1" w:themeFillShade="BF"/>
          </w:tcPr>
          <w:p w14:paraId="72C83021" w14:textId="77777777" w:rsidR="00BD3A14" w:rsidRPr="004B0B96" w:rsidRDefault="00BD3A14" w:rsidP="00EE19AD">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b/>
                <w:bCs/>
                <w:color w:val="000000"/>
                <w:sz w:val="20"/>
                <w:szCs w:val="20"/>
              </w:rPr>
              <w:t xml:space="preserve">Year 4 </w:t>
            </w:r>
          </w:p>
        </w:tc>
        <w:tc>
          <w:tcPr>
            <w:tcW w:w="1301" w:type="dxa"/>
            <w:shd w:val="clear" w:color="auto" w:fill="BFBFBF" w:themeFill="background1" w:themeFillShade="BF"/>
          </w:tcPr>
          <w:p w14:paraId="04EB4EDD" w14:textId="77777777" w:rsidR="00BD3A14" w:rsidRPr="004B0B96" w:rsidRDefault="00BD3A14" w:rsidP="00EE19AD">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b/>
                <w:bCs/>
                <w:color w:val="000000"/>
                <w:sz w:val="20"/>
                <w:szCs w:val="20"/>
              </w:rPr>
              <w:t xml:space="preserve">Year 5 </w:t>
            </w:r>
          </w:p>
        </w:tc>
        <w:tc>
          <w:tcPr>
            <w:tcW w:w="1254" w:type="dxa"/>
            <w:gridSpan w:val="2"/>
            <w:shd w:val="clear" w:color="auto" w:fill="BFBFBF" w:themeFill="background1" w:themeFillShade="BF"/>
          </w:tcPr>
          <w:p w14:paraId="523D24EA" w14:textId="77777777" w:rsidR="00BD3A14" w:rsidRPr="004B0B96" w:rsidRDefault="00BD3A14" w:rsidP="00EE19AD">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b/>
                <w:bCs/>
                <w:color w:val="000000"/>
                <w:sz w:val="20"/>
                <w:szCs w:val="20"/>
              </w:rPr>
              <w:t xml:space="preserve">Years 1 – 5 </w:t>
            </w:r>
          </w:p>
        </w:tc>
      </w:tr>
      <w:tr w:rsidR="00BD3A14" w:rsidRPr="004B0B96" w14:paraId="24D472B5" w14:textId="77777777" w:rsidTr="00EE19AD">
        <w:trPr>
          <w:trHeight w:val="144"/>
        </w:trPr>
        <w:tc>
          <w:tcPr>
            <w:tcW w:w="9067" w:type="dxa"/>
            <w:gridSpan w:val="13"/>
            <w:shd w:val="clear" w:color="auto" w:fill="E7E6E6" w:themeFill="background2"/>
          </w:tcPr>
          <w:p w14:paraId="293D0423" w14:textId="1BFC8F53" w:rsidR="00BD3A14" w:rsidRPr="004B0B96" w:rsidRDefault="00BD3A14" w:rsidP="00EE19AD">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b/>
                <w:bCs/>
                <w:color w:val="000000"/>
                <w:sz w:val="20"/>
                <w:szCs w:val="20"/>
              </w:rPr>
              <w:t xml:space="preserve">5L+ MM population patient numbers </w:t>
            </w:r>
          </w:p>
        </w:tc>
      </w:tr>
      <w:tr w:rsidR="00DE62FE" w:rsidRPr="004B0B96" w14:paraId="16C1B35F" w14:textId="77777777" w:rsidTr="00EE19AD">
        <w:trPr>
          <w:trHeight w:val="267"/>
        </w:trPr>
        <w:tc>
          <w:tcPr>
            <w:tcW w:w="1323" w:type="dxa"/>
          </w:tcPr>
          <w:p w14:paraId="054141E1" w14:textId="77777777"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color w:val="000000"/>
                <w:sz w:val="20"/>
                <w:szCs w:val="20"/>
              </w:rPr>
              <w:t xml:space="preserve">Initiating patients </w:t>
            </w:r>
          </w:p>
        </w:tc>
        <w:tc>
          <w:tcPr>
            <w:tcW w:w="1228" w:type="dxa"/>
            <w:gridSpan w:val="2"/>
          </w:tcPr>
          <w:p w14:paraId="33890A17" w14:textId="6FB4D483"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DE62FE">
              <w:rPr>
                <w:rFonts w:ascii="Franklin Gothic Book" w:hAnsi="Franklin Gothic Book"/>
                <w:color w:val="000000"/>
                <w:w w:val="66"/>
                <w:shd w:val="solid" w:color="000000" w:fill="000000"/>
                <w:fitText w:val="440" w:id="-775723770"/>
                <w14:textFill>
                  <w14:solidFill>
                    <w14:srgbClr w14:val="000000">
                      <w14:alpha w14:val="100000"/>
                    </w14:srgbClr>
                  </w14:solidFill>
                </w14:textFill>
              </w:rPr>
              <w:t>||||||</w:t>
            </w:r>
          </w:p>
        </w:tc>
        <w:tc>
          <w:tcPr>
            <w:tcW w:w="1352" w:type="dxa"/>
            <w:gridSpan w:val="2"/>
          </w:tcPr>
          <w:p w14:paraId="2B54D46C" w14:textId="2F2916B5"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9C35D7">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3"/>
          </w:tcPr>
          <w:p w14:paraId="7065F252" w14:textId="2B1A16AE"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9C35D7">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228" w:type="dxa"/>
          </w:tcPr>
          <w:p w14:paraId="120E31BF" w14:textId="42708B06"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9C35D7">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3"/>
          </w:tcPr>
          <w:p w14:paraId="45972CE6" w14:textId="71687EE3"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9C35D7">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232" w:type="dxa"/>
          </w:tcPr>
          <w:p w14:paraId="53A25C74" w14:textId="282E9082"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9C35D7">
              <w:rPr>
                <w:rFonts w:ascii="Franklin Gothic Book" w:hAnsi="Franklin Gothic Book"/>
                <w:color w:val="000000"/>
                <w:w w:val="66"/>
                <w:shd w:val="solid" w:color="000000" w:fill="000000"/>
                <w14:textFill>
                  <w14:solidFill>
                    <w14:srgbClr w14:val="000000">
                      <w14:alpha w14:val="100000"/>
                    </w14:srgbClr>
                  </w14:solidFill>
                </w14:textFill>
              </w:rPr>
              <w:t>||||||</w:t>
            </w:r>
          </w:p>
        </w:tc>
      </w:tr>
      <w:tr w:rsidR="00DE62FE" w:rsidRPr="004B0B96" w14:paraId="65FCA28C" w14:textId="77777777" w:rsidTr="00EE19AD">
        <w:trPr>
          <w:trHeight w:val="267"/>
        </w:trPr>
        <w:tc>
          <w:tcPr>
            <w:tcW w:w="1323" w:type="dxa"/>
          </w:tcPr>
          <w:p w14:paraId="200B0633" w14:textId="77777777"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color w:val="000000"/>
                <w:sz w:val="20"/>
                <w:szCs w:val="20"/>
              </w:rPr>
              <w:t xml:space="preserve">Infused patients </w:t>
            </w:r>
          </w:p>
        </w:tc>
        <w:tc>
          <w:tcPr>
            <w:tcW w:w="1228" w:type="dxa"/>
            <w:gridSpan w:val="2"/>
          </w:tcPr>
          <w:p w14:paraId="61F99F54" w14:textId="46624F06"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734BE9">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2"/>
          </w:tcPr>
          <w:p w14:paraId="40623A53" w14:textId="4082AA56"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734BE9">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3"/>
          </w:tcPr>
          <w:p w14:paraId="13644FB5" w14:textId="387D26B8"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734BE9">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228" w:type="dxa"/>
          </w:tcPr>
          <w:p w14:paraId="0A528629" w14:textId="0E2FCB4A"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734BE9">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3"/>
          </w:tcPr>
          <w:p w14:paraId="1AF1773D" w14:textId="5D7390D5"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734BE9">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232" w:type="dxa"/>
          </w:tcPr>
          <w:p w14:paraId="3C78164F" w14:textId="426EC253"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734BE9">
              <w:rPr>
                <w:rFonts w:ascii="Franklin Gothic Book" w:hAnsi="Franklin Gothic Book"/>
                <w:color w:val="000000"/>
                <w:w w:val="66"/>
                <w:shd w:val="solid" w:color="000000" w:fill="000000"/>
                <w14:textFill>
                  <w14:solidFill>
                    <w14:srgbClr w14:val="000000">
                      <w14:alpha w14:val="100000"/>
                    </w14:srgbClr>
                  </w14:solidFill>
                </w14:textFill>
              </w:rPr>
              <w:t>||||||</w:t>
            </w:r>
          </w:p>
        </w:tc>
      </w:tr>
      <w:tr w:rsidR="00BD3A14" w:rsidRPr="004B0B96" w14:paraId="75094AB7" w14:textId="77777777" w:rsidTr="00EE19AD">
        <w:trPr>
          <w:trHeight w:val="272"/>
        </w:trPr>
        <w:tc>
          <w:tcPr>
            <w:tcW w:w="9067" w:type="dxa"/>
            <w:gridSpan w:val="13"/>
            <w:shd w:val="clear" w:color="auto" w:fill="E7E6E6" w:themeFill="background2"/>
          </w:tcPr>
          <w:p w14:paraId="27F4CA80" w14:textId="0F58DF98" w:rsidR="00BD3A14" w:rsidRPr="004B0B96" w:rsidRDefault="00DB33FA" w:rsidP="00EE19AD">
            <w:pPr>
              <w:keepNext/>
              <w:autoSpaceDE w:val="0"/>
              <w:autoSpaceDN w:val="0"/>
              <w:adjustRightInd w:val="0"/>
              <w:spacing w:after="0"/>
              <w:rPr>
                <w:rFonts w:ascii="Arial Narrow" w:hAnsi="Arial Narrow" w:cs="Calibri"/>
                <w:color w:val="000000"/>
                <w:sz w:val="20"/>
                <w:szCs w:val="20"/>
                <w:lang w:val="en-US"/>
              </w:rPr>
            </w:pPr>
            <w:r w:rsidRPr="004B0B96">
              <w:rPr>
                <w:rFonts w:ascii="Arial Narrow" w:hAnsi="Arial Narrow" w:cs="Calibri"/>
                <w:b/>
                <w:color w:val="000000"/>
                <w:sz w:val="20"/>
                <w:szCs w:val="20"/>
                <w:lang w:val="en-US"/>
              </w:rPr>
              <w:t xml:space="preserve">Financial estimates after conditional payments </w:t>
            </w:r>
            <w:r w:rsidR="00BD3A14" w:rsidRPr="004B0B96">
              <w:rPr>
                <w:rFonts w:ascii="Arial Narrow" w:hAnsi="Arial Narrow" w:cs="Calibri"/>
                <w:b/>
                <w:color w:val="000000"/>
                <w:sz w:val="20"/>
                <w:szCs w:val="20"/>
                <w:lang w:val="en-US"/>
              </w:rPr>
              <w:t xml:space="preserve"> </w:t>
            </w:r>
          </w:p>
        </w:tc>
      </w:tr>
      <w:tr w:rsidR="00DE62FE" w:rsidRPr="004B0B96" w14:paraId="4F8DCD48" w14:textId="77777777" w:rsidTr="00EE19AD">
        <w:trPr>
          <w:trHeight w:val="266"/>
        </w:trPr>
        <w:tc>
          <w:tcPr>
            <w:tcW w:w="1323" w:type="dxa"/>
          </w:tcPr>
          <w:p w14:paraId="008453DB" w14:textId="77777777"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color w:val="000000"/>
                <w:sz w:val="20"/>
                <w:szCs w:val="20"/>
              </w:rPr>
              <w:t xml:space="preserve">Financial estimates </w:t>
            </w:r>
          </w:p>
        </w:tc>
        <w:tc>
          <w:tcPr>
            <w:tcW w:w="1228" w:type="dxa"/>
            <w:gridSpan w:val="2"/>
          </w:tcPr>
          <w:p w14:paraId="6F91B852" w14:textId="6C4B7625"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4B0B96">
              <w:rPr>
                <w:rFonts w:ascii="Arial Narrow" w:hAnsi="Arial Narrow" w:cs="Calibri"/>
                <w:color w:val="000000"/>
                <w:sz w:val="20"/>
                <w:szCs w:val="20"/>
              </w:rPr>
              <w:t>$</w:t>
            </w:r>
            <w:r w:rsidRPr="00DE62FE">
              <w:rPr>
                <w:rFonts w:ascii="Franklin Gothic Book" w:hAnsi="Franklin Gothic Book"/>
                <w:color w:val="000000"/>
                <w:w w:val="66"/>
                <w:shd w:val="solid" w:color="000000" w:fill="000000"/>
                <w:fitText w:val="440" w:id="-775723770"/>
                <w14:textFill>
                  <w14:solidFill>
                    <w14:srgbClr w14:val="000000">
                      <w14:alpha w14:val="100000"/>
                    </w14:srgbClr>
                  </w14:solidFill>
                </w14:textFill>
              </w:rPr>
              <w:t>||||||</w:t>
            </w:r>
          </w:p>
        </w:tc>
        <w:tc>
          <w:tcPr>
            <w:tcW w:w="1352" w:type="dxa"/>
            <w:gridSpan w:val="2"/>
          </w:tcPr>
          <w:p w14:paraId="445911BC" w14:textId="7DE6F5F0"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B65B3B">
              <w:rPr>
                <w:rFonts w:ascii="Arial Narrow" w:hAnsi="Arial Narrow" w:cs="Calibri"/>
                <w:color w:val="000000"/>
                <w:sz w:val="20"/>
                <w:szCs w:val="20"/>
              </w:rPr>
              <w:t>$</w:t>
            </w:r>
            <w:r w:rsidRPr="00B65B3B">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3"/>
          </w:tcPr>
          <w:p w14:paraId="280A268D" w14:textId="659C4A8B"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B65B3B">
              <w:rPr>
                <w:rFonts w:ascii="Arial Narrow" w:hAnsi="Arial Narrow" w:cs="Calibri"/>
                <w:color w:val="000000"/>
                <w:sz w:val="20"/>
                <w:szCs w:val="20"/>
              </w:rPr>
              <w:t>$</w:t>
            </w:r>
            <w:r w:rsidRPr="00B65B3B">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228" w:type="dxa"/>
          </w:tcPr>
          <w:p w14:paraId="2875AD1D" w14:textId="592B4643"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B65B3B">
              <w:rPr>
                <w:rFonts w:ascii="Arial Narrow" w:hAnsi="Arial Narrow" w:cs="Calibri"/>
                <w:color w:val="000000"/>
                <w:sz w:val="20"/>
                <w:szCs w:val="20"/>
              </w:rPr>
              <w:t>$</w:t>
            </w:r>
            <w:r w:rsidRPr="00B65B3B">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352" w:type="dxa"/>
            <w:gridSpan w:val="3"/>
          </w:tcPr>
          <w:p w14:paraId="457F0CB9" w14:textId="0AEF7D57"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B65B3B">
              <w:rPr>
                <w:rFonts w:ascii="Arial Narrow" w:hAnsi="Arial Narrow" w:cs="Calibri"/>
                <w:color w:val="000000"/>
                <w:sz w:val="20"/>
                <w:szCs w:val="20"/>
              </w:rPr>
              <w:t>$</w:t>
            </w:r>
            <w:r w:rsidRPr="00B65B3B">
              <w:rPr>
                <w:rFonts w:ascii="Franklin Gothic Book" w:hAnsi="Franklin Gothic Book"/>
                <w:color w:val="000000"/>
                <w:w w:val="66"/>
                <w:shd w:val="solid" w:color="000000" w:fill="000000"/>
                <w14:textFill>
                  <w14:solidFill>
                    <w14:srgbClr w14:val="000000">
                      <w14:alpha w14:val="100000"/>
                    </w14:srgbClr>
                  </w14:solidFill>
                </w14:textFill>
              </w:rPr>
              <w:t>||||||</w:t>
            </w:r>
          </w:p>
        </w:tc>
        <w:tc>
          <w:tcPr>
            <w:tcW w:w="1232" w:type="dxa"/>
          </w:tcPr>
          <w:p w14:paraId="3617F138" w14:textId="6D178D51" w:rsidR="00DE62FE" w:rsidRPr="004B0B96" w:rsidRDefault="00DE62FE" w:rsidP="00DE62FE">
            <w:pPr>
              <w:keepNext/>
              <w:autoSpaceDE w:val="0"/>
              <w:autoSpaceDN w:val="0"/>
              <w:adjustRightInd w:val="0"/>
              <w:spacing w:after="0"/>
              <w:rPr>
                <w:rFonts w:ascii="Arial Narrow" w:hAnsi="Arial Narrow" w:cs="Calibri"/>
                <w:color w:val="000000"/>
                <w:sz w:val="20"/>
                <w:szCs w:val="20"/>
              </w:rPr>
            </w:pPr>
            <w:r w:rsidRPr="00B65B3B">
              <w:rPr>
                <w:rFonts w:ascii="Arial Narrow" w:hAnsi="Arial Narrow" w:cs="Calibri"/>
                <w:color w:val="000000"/>
                <w:sz w:val="20"/>
                <w:szCs w:val="20"/>
              </w:rPr>
              <w:t>$</w:t>
            </w:r>
            <w:r w:rsidRPr="00B65B3B">
              <w:rPr>
                <w:rFonts w:ascii="Franklin Gothic Book" w:hAnsi="Franklin Gothic Book"/>
                <w:color w:val="000000"/>
                <w:w w:val="66"/>
                <w:shd w:val="solid" w:color="000000" w:fill="000000"/>
                <w14:textFill>
                  <w14:solidFill>
                    <w14:srgbClr w14:val="000000">
                      <w14:alpha w14:val="100000"/>
                    </w14:srgbClr>
                  </w14:solidFill>
                </w14:textFill>
              </w:rPr>
              <w:t>||||||</w:t>
            </w:r>
          </w:p>
        </w:tc>
      </w:tr>
    </w:tbl>
    <w:p w14:paraId="416B4AEE" w14:textId="200E7BFF" w:rsidR="000974C8" w:rsidRPr="004B0B96" w:rsidRDefault="00BD3A14" w:rsidP="001B712E">
      <w:pPr>
        <w:tabs>
          <w:tab w:val="num" w:pos="426"/>
        </w:tabs>
        <w:spacing w:after="0" w:line="259" w:lineRule="auto"/>
        <w:ind w:left="-142" w:firstLine="142"/>
        <w:rPr>
          <w:rFonts w:ascii="Arial Narrow" w:hAnsi="Arial Narrow"/>
          <w:bCs/>
          <w:kern w:val="2"/>
          <w:sz w:val="16"/>
          <w:szCs w:val="16"/>
          <w14:ligatures w14:val="standardContextual"/>
        </w:rPr>
      </w:pPr>
      <w:r w:rsidRPr="004B0B96">
        <w:rPr>
          <w:rFonts w:ascii="Arial Narrow" w:hAnsi="Arial Narrow"/>
          <w:bCs/>
          <w:kern w:val="2"/>
          <w:sz w:val="16"/>
          <w:szCs w:val="16"/>
          <w14:ligatures w14:val="standardContextual"/>
        </w:rPr>
        <w:t xml:space="preserve">Source: </w:t>
      </w:r>
      <w:r w:rsidR="00DB33FA" w:rsidRPr="004B0B96">
        <w:rPr>
          <w:rFonts w:ascii="Arial Narrow" w:hAnsi="Arial Narrow"/>
          <w:bCs/>
          <w:kern w:val="2"/>
          <w:sz w:val="16"/>
          <w:szCs w:val="16"/>
          <w14:ligatures w14:val="standardContextual"/>
        </w:rPr>
        <w:t xml:space="preserve">October 2024 funding proposal </w:t>
      </w:r>
    </w:p>
    <w:p w14:paraId="1F773D45" w14:textId="1A47E035" w:rsidR="00B01620" w:rsidRPr="004B0B96" w:rsidRDefault="610F96F1" w:rsidP="001B712E">
      <w:pPr>
        <w:spacing w:before="240"/>
        <w:rPr>
          <w:rFonts w:ascii="Franklin Gothic Book" w:hAnsi="Franklin Gothic Book"/>
        </w:rPr>
      </w:pPr>
      <w:r w:rsidRPr="004B0B96">
        <w:rPr>
          <w:rFonts w:ascii="Franklin Gothic Book" w:hAnsi="Franklin Gothic Book"/>
        </w:rPr>
        <w:t xml:space="preserve">MSAC considered that if a </w:t>
      </w:r>
      <w:proofErr w:type="spellStart"/>
      <w:r w:rsidRPr="004B0B96">
        <w:rPr>
          <w:rFonts w:ascii="Franklin Gothic Book" w:hAnsi="Franklin Gothic Book"/>
        </w:rPr>
        <w:t>PfP</w:t>
      </w:r>
      <w:proofErr w:type="spellEnd"/>
      <w:r w:rsidRPr="004B0B96">
        <w:rPr>
          <w:rFonts w:ascii="Franklin Gothic Book" w:hAnsi="Franklin Gothic Book"/>
        </w:rPr>
        <w:t xml:space="preserve"> arrangement is implemented, then paying up to the average price per patient for patients lost to follow-up was reasonable. MSAC </w:t>
      </w:r>
      <w:r w:rsidR="18F735F4" w:rsidRPr="004B0B96">
        <w:rPr>
          <w:rFonts w:ascii="Franklin Gothic Book" w:hAnsi="Franklin Gothic Book"/>
        </w:rPr>
        <w:t xml:space="preserve">considered </w:t>
      </w:r>
      <w:r w:rsidRPr="004B0B96">
        <w:rPr>
          <w:rFonts w:ascii="Franklin Gothic Book" w:hAnsi="Franklin Gothic Book"/>
        </w:rPr>
        <w:t xml:space="preserve">the applicant’s interpretation of its April 2024 advice related </w:t>
      </w:r>
      <w:r w:rsidR="3A561B63" w:rsidRPr="004B0B96">
        <w:rPr>
          <w:rFonts w:ascii="Franklin Gothic Book" w:hAnsi="Franklin Gothic Book"/>
        </w:rPr>
        <w:t xml:space="preserve">to </w:t>
      </w:r>
      <w:r w:rsidR="3B985E2B" w:rsidRPr="004B0B96">
        <w:rPr>
          <w:rFonts w:ascii="Franklin Gothic Book" w:hAnsi="Franklin Gothic Book"/>
        </w:rPr>
        <w:t>the RSA</w:t>
      </w:r>
      <w:r w:rsidRPr="004B0B96">
        <w:rPr>
          <w:rFonts w:ascii="Franklin Gothic Book" w:hAnsi="Franklin Gothic Book"/>
        </w:rPr>
        <w:t xml:space="preserve"> was incorrect. MSAC reaffirmed that for any patient treated above the subsidisation cap, the company should receive a one-off reduced payment at successful infusion only. </w:t>
      </w:r>
      <w:r w:rsidR="75E71376" w:rsidRPr="004B0B96">
        <w:rPr>
          <w:rFonts w:ascii="Franklin Gothic Book" w:hAnsi="Franklin Gothic Book"/>
        </w:rPr>
        <w:t xml:space="preserve">MSAC noted that the price </w:t>
      </w:r>
      <w:r w:rsidR="293A9AF1" w:rsidRPr="004B0B96">
        <w:rPr>
          <w:rFonts w:ascii="Franklin Gothic Book" w:hAnsi="Franklin Gothic Book"/>
        </w:rPr>
        <w:t>J</w:t>
      </w:r>
      <w:r w:rsidR="75E71376" w:rsidRPr="004B0B96">
        <w:rPr>
          <w:rFonts w:ascii="Franklin Gothic Book" w:hAnsi="Franklin Gothic Book"/>
        </w:rPr>
        <w:t>anssen</w:t>
      </w:r>
      <w:r w:rsidR="00EC02F3" w:rsidRPr="004B0B96">
        <w:rPr>
          <w:rFonts w:ascii="Franklin Gothic Book" w:hAnsi="Franklin Gothic Book"/>
        </w:rPr>
        <w:t>-Cilag</w:t>
      </w:r>
      <w:r w:rsidR="75E71376" w:rsidRPr="004B0B96">
        <w:rPr>
          <w:rFonts w:ascii="Franklin Gothic Book" w:hAnsi="Franklin Gothic Book"/>
        </w:rPr>
        <w:t xml:space="preserve"> proposed to be paid for patients treated above the cap</w:t>
      </w:r>
      <w:r w:rsidR="6EB72C79" w:rsidRPr="004B0B96">
        <w:rPr>
          <w:rFonts w:ascii="Franklin Gothic Book" w:hAnsi="Franklin Gothic Book"/>
        </w:rPr>
        <w:t xml:space="preserve"> was</w:t>
      </w:r>
      <w:r w:rsidR="00DE62FE">
        <w:rPr>
          <w:rFonts w:ascii="Franklin Gothic Book" w:hAnsi="Franklin Gothic Book"/>
        </w:rPr>
        <w:t xml:space="preserve"> </w:t>
      </w:r>
      <w:r w:rsidR="00DE62FE" w:rsidRPr="009C35D7">
        <w:rPr>
          <w:rFonts w:ascii="Franklin Gothic Book" w:hAnsi="Franklin Gothic Book"/>
          <w:color w:val="000000"/>
          <w:w w:val="66"/>
          <w:shd w:val="solid" w:color="000000" w:fill="000000"/>
          <w14:textFill>
            <w14:solidFill>
              <w14:srgbClr w14:val="000000">
                <w14:alpha w14:val="100000"/>
              </w14:srgbClr>
            </w14:solidFill>
          </w14:textFill>
        </w:rPr>
        <w:t>||||||</w:t>
      </w:r>
      <w:r w:rsidR="748E2DBD" w:rsidRPr="004B0B96">
        <w:rPr>
          <w:rFonts w:ascii="Franklin Gothic Book" w:hAnsi="Franklin Gothic Book"/>
        </w:rPr>
        <w:t xml:space="preserve">% </w:t>
      </w:r>
      <w:r w:rsidR="6565EB52" w:rsidRPr="004B0B96">
        <w:rPr>
          <w:rFonts w:ascii="Franklin Gothic Book" w:hAnsi="Franklin Gothic Book"/>
        </w:rPr>
        <w:t xml:space="preserve">lower than </w:t>
      </w:r>
      <w:r w:rsidR="748E2DBD" w:rsidRPr="004B0B96">
        <w:rPr>
          <w:rFonts w:ascii="Franklin Gothic Book" w:hAnsi="Franklin Gothic Book"/>
        </w:rPr>
        <w:t>the maximum price per responde</w:t>
      </w:r>
      <w:r w:rsidR="3EA09FC7" w:rsidRPr="004B0B96">
        <w:rPr>
          <w:rFonts w:ascii="Franklin Gothic Book" w:hAnsi="Franklin Gothic Book"/>
        </w:rPr>
        <w:t>r</w:t>
      </w:r>
      <w:r w:rsidR="748E2DBD" w:rsidRPr="004B0B96">
        <w:rPr>
          <w:rFonts w:ascii="Franklin Gothic Book" w:hAnsi="Franklin Gothic Book"/>
        </w:rPr>
        <w:t xml:space="preserve"> (i.e. $</w:t>
      </w:r>
      <w:r w:rsidR="00DE62FE" w:rsidRPr="009C35D7">
        <w:rPr>
          <w:rFonts w:ascii="Franklin Gothic Book" w:hAnsi="Franklin Gothic Book"/>
          <w:color w:val="000000"/>
          <w:w w:val="66"/>
          <w:shd w:val="solid" w:color="000000" w:fill="000000"/>
          <w14:textFill>
            <w14:solidFill>
              <w14:srgbClr w14:val="000000">
                <w14:alpha w14:val="100000"/>
              </w14:srgbClr>
            </w14:solidFill>
          </w14:textFill>
        </w:rPr>
        <w:t>||||||</w:t>
      </w:r>
      <w:r w:rsidR="748E2DBD" w:rsidRPr="004B0B96">
        <w:rPr>
          <w:rFonts w:ascii="Franklin Gothic Book" w:hAnsi="Franklin Gothic Book"/>
        </w:rPr>
        <w:t xml:space="preserve">). </w:t>
      </w:r>
      <w:r w:rsidR="34CF3109" w:rsidRPr="004B0B96">
        <w:rPr>
          <w:rFonts w:ascii="Franklin Gothic Book" w:hAnsi="Franklin Gothic Book"/>
        </w:rPr>
        <w:t xml:space="preserve">Given MSAC accepted the patient </w:t>
      </w:r>
      <w:r w:rsidR="0FE5DFEF" w:rsidRPr="004B0B96">
        <w:rPr>
          <w:rFonts w:ascii="Franklin Gothic Book" w:hAnsi="Franklin Gothic Book"/>
        </w:rPr>
        <w:t>e</w:t>
      </w:r>
      <w:r w:rsidR="34CF3109" w:rsidRPr="004B0B96">
        <w:rPr>
          <w:rFonts w:ascii="Franklin Gothic Book" w:hAnsi="Franklin Gothic Book"/>
        </w:rPr>
        <w:t>stimates put forward by Janssen</w:t>
      </w:r>
      <w:r w:rsidR="00EC02F3" w:rsidRPr="004B0B96">
        <w:rPr>
          <w:rFonts w:ascii="Franklin Gothic Book" w:hAnsi="Franklin Gothic Book"/>
        </w:rPr>
        <w:t>-Cilag</w:t>
      </w:r>
      <w:r w:rsidR="34CF3109" w:rsidRPr="004B0B96">
        <w:rPr>
          <w:rFonts w:ascii="Franklin Gothic Book" w:hAnsi="Franklin Gothic Book"/>
        </w:rPr>
        <w:t xml:space="preserve">, MSAC did not consider </w:t>
      </w:r>
      <w:r w:rsidR="1BACB6BA" w:rsidRPr="004B0B96">
        <w:rPr>
          <w:rFonts w:ascii="Franklin Gothic Book" w:hAnsi="Franklin Gothic Book"/>
        </w:rPr>
        <w:t>th</w:t>
      </w:r>
      <w:r w:rsidR="3CA2A099" w:rsidRPr="004B0B96">
        <w:rPr>
          <w:rFonts w:ascii="Franklin Gothic Book" w:hAnsi="Franklin Gothic Book"/>
        </w:rPr>
        <w:t>e applicant’s proposal</w:t>
      </w:r>
      <w:r w:rsidR="34CF3109" w:rsidRPr="004B0B96">
        <w:rPr>
          <w:rFonts w:ascii="Franklin Gothic Book" w:hAnsi="Franklin Gothic Book"/>
        </w:rPr>
        <w:t xml:space="preserve"> represented a reasonable RSA. </w:t>
      </w:r>
      <w:r w:rsidR="3592094A" w:rsidRPr="004B0B96">
        <w:rPr>
          <w:rFonts w:ascii="Franklin Gothic Book" w:hAnsi="Franklin Gothic Book"/>
        </w:rPr>
        <w:t xml:space="preserve">MSAC considered a reasonable RSA price </w:t>
      </w:r>
      <w:r w:rsidR="00EC02F3" w:rsidRPr="004B0B96">
        <w:rPr>
          <w:rFonts w:ascii="Franklin Gothic Book" w:hAnsi="Franklin Gothic Book"/>
        </w:rPr>
        <w:t xml:space="preserve">for patients treated above the subsidisation cap </w:t>
      </w:r>
      <w:r w:rsidR="3592094A" w:rsidRPr="004B0B96">
        <w:rPr>
          <w:rFonts w:ascii="Franklin Gothic Book" w:hAnsi="Franklin Gothic Book"/>
        </w:rPr>
        <w:t xml:space="preserve">would be </w:t>
      </w:r>
      <w:r w:rsidR="3B557FB3" w:rsidRPr="004B0B96">
        <w:rPr>
          <w:rFonts w:ascii="Franklin Gothic Book" w:hAnsi="Franklin Gothic Book"/>
        </w:rPr>
        <w:t>approximately</w:t>
      </w:r>
      <w:r w:rsidR="3592094A" w:rsidRPr="004B0B96">
        <w:rPr>
          <w:rFonts w:ascii="Franklin Gothic Book" w:hAnsi="Franklin Gothic Book"/>
        </w:rPr>
        <w:t xml:space="preserve"> </w:t>
      </w:r>
      <w:r w:rsidR="00DE62FE" w:rsidRPr="009C35D7">
        <w:rPr>
          <w:rFonts w:ascii="Franklin Gothic Book" w:hAnsi="Franklin Gothic Book"/>
          <w:color w:val="000000"/>
          <w:w w:val="66"/>
          <w:shd w:val="solid" w:color="000000" w:fill="000000"/>
          <w14:textFill>
            <w14:solidFill>
              <w14:srgbClr w14:val="000000">
                <w14:alpha w14:val="100000"/>
              </w14:srgbClr>
            </w14:solidFill>
          </w14:textFill>
        </w:rPr>
        <w:t>||||||</w:t>
      </w:r>
      <w:r w:rsidR="3592094A" w:rsidRPr="004B0B96">
        <w:rPr>
          <w:rFonts w:ascii="Franklin Gothic Book" w:hAnsi="Franklin Gothic Book"/>
        </w:rPr>
        <w:t xml:space="preserve">% of the price paid per responder (i.e. maximum price). </w:t>
      </w:r>
    </w:p>
    <w:p w14:paraId="1BDEA375" w14:textId="36D50C4D" w:rsidR="00AA5932" w:rsidRPr="004B0B96" w:rsidRDefault="073856F9" w:rsidP="717614A0">
      <w:pPr>
        <w:rPr>
          <w:rFonts w:ascii="Franklin Gothic Book" w:hAnsi="Franklin Gothic Book"/>
        </w:rPr>
      </w:pPr>
      <w:r w:rsidRPr="004B0B96">
        <w:rPr>
          <w:rFonts w:ascii="Franklin Gothic Book" w:hAnsi="Franklin Gothic Book"/>
        </w:rPr>
        <w:t xml:space="preserve">MSAC noted the feedback provided by NSW, </w:t>
      </w:r>
      <w:r w:rsidR="2E165A1B" w:rsidRPr="004B0B96">
        <w:rPr>
          <w:rFonts w:ascii="Franklin Gothic Book" w:hAnsi="Franklin Gothic Book"/>
        </w:rPr>
        <w:t>WA, Qld and Vict</w:t>
      </w:r>
      <w:r w:rsidR="43FE25EF" w:rsidRPr="004B0B96">
        <w:rPr>
          <w:rFonts w:ascii="Franklin Gothic Book" w:hAnsi="Franklin Gothic Book"/>
        </w:rPr>
        <w:t>o</w:t>
      </w:r>
      <w:r w:rsidR="2E165A1B" w:rsidRPr="004B0B96">
        <w:rPr>
          <w:rFonts w:ascii="Franklin Gothic Book" w:hAnsi="Franklin Gothic Book"/>
        </w:rPr>
        <w:t xml:space="preserve">ria on the applicant’s alternative pricing proposal. </w:t>
      </w:r>
      <w:r w:rsidR="5C7BCEEF" w:rsidRPr="004B0B96">
        <w:rPr>
          <w:rFonts w:ascii="Franklin Gothic Book" w:hAnsi="Franklin Gothic Book"/>
        </w:rPr>
        <w:t xml:space="preserve">MSAC noted that </w:t>
      </w:r>
      <w:proofErr w:type="gramStart"/>
      <w:r w:rsidR="343DB0F6" w:rsidRPr="004B0B96">
        <w:rPr>
          <w:rFonts w:ascii="Franklin Gothic Book" w:hAnsi="Franklin Gothic Book"/>
        </w:rPr>
        <w:t>o</w:t>
      </w:r>
      <w:r w:rsidR="1844531B" w:rsidRPr="004B0B96">
        <w:rPr>
          <w:rFonts w:ascii="Franklin Gothic Book" w:hAnsi="Franklin Gothic Book"/>
        </w:rPr>
        <w:t>n the whole</w:t>
      </w:r>
      <w:proofErr w:type="gramEnd"/>
      <w:r w:rsidR="343DB0F6" w:rsidRPr="004B0B96">
        <w:rPr>
          <w:rFonts w:ascii="Franklin Gothic Book" w:hAnsi="Franklin Gothic Book"/>
        </w:rPr>
        <w:t xml:space="preserve">, </w:t>
      </w:r>
      <w:r w:rsidR="1C32A8D2" w:rsidRPr="004B0B96">
        <w:rPr>
          <w:rFonts w:ascii="Franklin Gothic Book" w:hAnsi="Franklin Gothic Book"/>
        </w:rPr>
        <w:t xml:space="preserve">jurisdictions </w:t>
      </w:r>
      <w:r w:rsidR="343DB0F6" w:rsidRPr="004B0B96">
        <w:rPr>
          <w:rFonts w:ascii="Franklin Gothic Book" w:hAnsi="Franklin Gothic Book"/>
        </w:rPr>
        <w:t xml:space="preserve">did not accept the </w:t>
      </w:r>
      <w:r w:rsidR="6E5CA4F9" w:rsidRPr="004B0B96">
        <w:rPr>
          <w:rFonts w:ascii="Franklin Gothic Book" w:hAnsi="Franklin Gothic Book"/>
        </w:rPr>
        <w:t xml:space="preserve">funding </w:t>
      </w:r>
      <w:r w:rsidR="343DB0F6" w:rsidRPr="004B0B96">
        <w:rPr>
          <w:rFonts w:ascii="Franklin Gothic Book" w:hAnsi="Franklin Gothic Book"/>
        </w:rPr>
        <w:t xml:space="preserve">proposal </w:t>
      </w:r>
      <w:r w:rsidR="6E5CA4F9" w:rsidRPr="004B0B96">
        <w:rPr>
          <w:rFonts w:ascii="Franklin Gothic Book" w:hAnsi="Franklin Gothic Book"/>
        </w:rPr>
        <w:t xml:space="preserve">as </w:t>
      </w:r>
      <w:r w:rsidR="343DB0F6" w:rsidRPr="004B0B96">
        <w:rPr>
          <w:rFonts w:ascii="Franklin Gothic Book" w:hAnsi="Franklin Gothic Book"/>
        </w:rPr>
        <w:t>submitted by Janssen</w:t>
      </w:r>
      <w:r w:rsidR="00EC02F3" w:rsidRPr="004B0B96">
        <w:rPr>
          <w:rFonts w:ascii="Franklin Gothic Book" w:hAnsi="Franklin Gothic Book"/>
        </w:rPr>
        <w:t>-Cilag</w:t>
      </w:r>
      <w:r w:rsidR="343DB0F6" w:rsidRPr="004B0B96">
        <w:rPr>
          <w:rFonts w:ascii="Franklin Gothic Book" w:hAnsi="Franklin Gothic Book"/>
        </w:rPr>
        <w:t xml:space="preserve">. </w:t>
      </w:r>
      <w:r w:rsidR="740D3D8D" w:rsidRPr="004B0B96">
        <w:rPr>
          <w:rFonts w:ascii="Franklin Gothic Book" w:hAnsi="Franklin Gothic Book"/>
        </w:rPr>
        <w:t xml:space="preserve">Overall, jurisdictions supported </w:t>
      </w:r>
      <w:proofErr w:type="spellStart"/>
      <w:r w:rsidR="740D3D8D" w:rsidRPr="004B0B96">
        <w:rPr>
          <w:rFonts w:ascii="Franklin Gothic Book" w:hAnsi="Franklin Gothic Book"/>
        </w:rPr>
        <w:t>PfP</w:t>
      </w:r>
      <w:proofErr w:type="spellEnd"/>
      <w:r w:rsidR="740D3D8D" w:rsidRPr="004B0B96">
        <w:rPr>
          <w:rFonts w:ascii="Franklin Gothic Book" w:hAnsi="Franklin Gothic Book"/>
        </w:rPr>
        <w:t xml:space="preserve"> arrangements that were consistent with those recommended for other CAR-T cell therapies. </w:t>
      </w:r>
      <w:r w:rsidR="5937A0E6" w:rsidRPr="004B0B96">
        <w:rPr>
          <w:rFonts w:ascii="Franklin Gothic Book" w:hAnsi="Franklin Gothic Book"/>
        </w:rPr>
        <w:t xml:space="preserve">Jurisdictions expressed concern regarding </w:t>
      </w:r>
      <w:r w:rsidR="09D7053A" w:rsidRPr="004B0B96">
        <w:rPr>
          <w:rFonts w:ascii="Franklin Gothic Book" w:hAnsi="Franklin Gothic Book"/>
        </w:rPr>
        <w:t>the change</w:t>
      </w:r>
      <w:r w:rsidR="48B9FA39" w:rsidRPr="004B0B96">
        <w:rPr>
          <w:rFonts w:ascii="Franklin Gothic Book" w:hAnsi="Franklin Gothic Book"/>
        </w:rPr>
        <w:t xml:space="preserve"> in</w:t>
      </w:r>
      <w:r w:rsidR="09D7053A" w:rsidRPr="004B0B96">
        <w:rPr>
          <w:rFonts w:ascii="Franklin Gothic Book" w:hAnsi="Franklin Gothic Book"/>
        </w:rPr>
        <w:t xml:space="preserve"> </w:t>
      </w:r>
      <w:r w:rsidR="48B9FA39" w:rsidRPr="004B0B96">
        <w:rPr>
          <w:rFonts w:ascii="Franklin Gothic Book" w:hAnsi="Franklin Gothic Book"/>
        </w:rPr>
        <w:t xml:space="preserve">the </w:t>
      </w:r>
      <w:r w:rsidR="09D7053A" w:rsidRPr="004B0B96">
        <w:rPr>
          <w:rFonts w:ascii="Franklin Gothic Book" w:hAnsi="Franklin Gothic Book"/>
        </w:rPr>
        <w:t>outcome measures</w:t>
      </w:r>
      <w:r w:rsidR="48B9FA39" w:rsidRPr="004B0B96">
        <w:rPr>
          <w:rFonts w:ascii="Franklin Gothic Book" w:hAnsi="Franklin Gothic Book"/>
        </w:rPr>
        <w:t xml:space="preserve"> </w:t>
      </w:r>
      <w:r w:rsidR="717BC51C" w:rsidRPr="004B0B96">
        <w:rPr>
          <w:rFonts w:ascii="Franklin Gothic Book" w:hAnsi="Franklin Gothic Book"/>
        </w:rPr>
        <w:t xml:space="preserve">from </w:t>
      </w:r>
      <w:proofErr w:type="spellStart"/>
      <w:r w:rsidR="78BF5749" w:rsidRPr="004B0B96">
        <w:rPr>
          <w:rFonts w:ascii="Franklin Gothic Book" w:hAnsi="Franklin Gothic Book"/>
        </w:rPr>
        <w:t>sCR</w:t>
      </w:r>
      <w:proofErr w:type="spellEnd"/>
      <w:r w:rsidR="78BF5749" w:rsidRPr="004B0B96">
        <w:rPr>
          <w:rFonts w:ascii="Franklin Gothic Book" w:hAnsi="Franklin Gothic Book"/>
        </w:rPr>
        <w:t xml:space="preserve"> and PFS to OS</w:t>
      </w:r>
      <w:r w:rsidR="09D7053A" w:rsidRPr="004B0B96">
        <w:rPr>
          <w:rFonts w:ascii="Franklin Gothic Book" w:hAnsi="Franklin Gothic Book"/>
        </w:rPr>
        <w:t>,</w:t>
      </w:r>
      <w:r w:rsidR="7C02B1AE" w:rsidRPr="004B0B96">
        <w:rPr>
          <w:rFonts w:ascii="Franklin Gothic Book" w:hAnsi="Franklin Gothic Book"/>
        </w:rPr>
        <w:t xml:space="preserve"> as using OS may result in paying for performance not attributable to the product and/or patients who have relapsed since treatment</w:t>
      </w:r>
      <w:r w:rsidR="78BF5749" w:rsidRPr="004B0B96">
        <w:rPr>
          <w:rFonts w:ascii="Franklin Gothic Book" w:hAnsi="Franklin Gothic Book"/>
        </w:rPr>
        <w:t xml:space="preserve">. </w:t>
      </w:r>
      <w:r w:rsidR="740D3D8D" w:rsidRPr="004B0B96">
        <w:rPr>
          <w:rFonts w:ascii="Franklin Gothic Book" w:hAnsi="Franklin Gothic Book"/>
        </w:rPr>
        <w:t>Jurisdictions</w:t>
      </w:r>
      <w:r w:rsidR="63B476B9" w:rsidRPr="004B0B96">
        <w:rPr>
          <w:rFonts w:ascii="Franklin Gothic Book" w:hAnsi="Franklin Gothic Book"/>
        </w:rPr>
        <w:t xml:space="preserve"> acknowledged that while </w:t>
      </w:r>
      <w:r w:rsidR="3F0B379F" w:rsidRPr="004B0B96">
        <w:rPr>
          <w:rFonts w:ascii="Franklin Gothic Book" w:hAnsi="Franklin Gothic Book"/>
        </w:rPr>
        <w:t xml:space="preserve">a 4-year </w:t>
      </w:r>
      <w:proofErr w:type="spellStart"/>
      <w:r w:rsidR="3F0B379F" w:rsidRPr="004B0B96">
        <w:rPr>
          <w:rFonts w:ascii="Franklin Gothic Book" w:hAnsi="Franklin Gothic Book"/>
        </w:rPr>
        <w:t>PfP</w:t>
      </w:r>
      <w:proofErr w:type="spellEnd"/>
      <w:r w:rsidR="3F0B379F" w:rsidRPr="004B0B96">
        <w:rPr>
          <w:rFonts w:ascii="Franklin Gothic Book" w:hAnsi="Franklin Gothic Book"/>
        </w:rPr>
        <w:t xml:space="preserve"> presented administrative challenges, it sought to </w:t>
      </w:r>
      <w:r w:rsidR="70D504E3" w:rsidRPr="004B0B96">
        <w:rPr>
          <w:rFonts w:ascii="Franklin Gothic Book" w:hAnsi="Franklin Gothic Book"/>
        </w:rPr>
        <w:t xml:space="preserve">account for </w:t>
      </w:r>
      <w:r w:rsidR="3A974629" w:rsidRPr="004B0B96">
        <w:rPr>
          <w:rFonts w:ascii="Franklin Gothic Book" w:hAnsi="Franklin Gothic Book"/>
        </w:rPr>
        <w:t xml:space="preserve">the </w:t>
      </w:r>
      <w:r w:rsidR="70D504E3" w:rsidRPr="004B0B96">
        <w:rPr>
          <w:rFonts w:ascii="Franklin Gothic Book" w:hAnsi="Franklin Gothic Book"/>
        </w:rPr>
        <w:t xml:space="preserve">uncertainty related to the magnitude and durability of effect with </w:t>
      </w:r>
      <w:proofErr w:type="spellStart"/>
      <w:r w:rsidR="70D504E3" w:rsidRPr="004B0B96">
        <w:rPr>
          <w:rFonts w:ascii="Franklin Gothic Book" w:hAnsi="Franklin Gothic Book"/>
        </w:rPr>
        <w:t>cilta</w:t>
      </w:r>
      <w:proofErr w:type="spellEnd"/>
      <w:r w:rsidR="70D504E3" w:rsidRPr="004B0B96">
        <w:rPr>
          <w:rFonts w:ascii="Franklin Gothic Book" w:hAnsi="Franklin Gothic Book"/>
        </w:rPr>
        <w:t>-cel.</w:t>
      </w:r>
      <w:r w:rsidR="3B74455F" w:rsidRPr="004B0B96">
        <w:rPr>
          <w:rFonts w:ascii="Franklin Gothic Book" w:hAnsi="Franklin Gothic Book"/>
        </w:rPr>
        <w:t xml:space="preserve"> </w:t>
      </w:r>
      <w:r w:rsidR="779F996B" w:rsidRPr="004B0B96">
        <w:rPr>
          <w:rFonts w:ascii="Franklin Gothic Book" w:hAnsi="Franklin Gothic Book"/>
        </w:rPr>
        <w:t xml:space="preserve">Most jurisdictions expressed their strong preference that </w:t>
      </w:r>
      <w:r w:rsidR="2F985F7E" w:rsidRPr="004B0B96">
        <w:rPr>
          <w:rFonts w:ascii="Franklin Gothic Book" w:hAnsi="Franklin Gothic Book"/>
        </w:rPr>
        <w:t xml:space="preserve">a single national registry for CAR-T cell </w:t>
      </w:r>
      <w:r w:rsidR="641AEE66" w:rsidRPr="004B0B96">
        <w:rPr>
          <w:rFonts w:ascii="Franklin Gothic Book" w:hAnsi="Franklin Gothic Book"/>
        </w:rPr>
        <w:t>therapies</w:t>
      </w:r>
      <w:r w:rsidR="2F985F7E" w:rsidRPr="004B0B96">
        <w:rPr>
          <w:rFonts w:ascii="Franklin Gothic Book" w:hAnsi="Franklin Gothic Book"/>
        </w:rPr>
        <w:t xml:space="preserve"> </w:t>
      </w:r>
      <w:r w:rsidR="7D6FD705" w:rsidRPr="004B0B96">
        <w:rPr>
          <w:rFonts w:ascii="Franklin Gothic Book" w:hAnsi="Franklin Gothic Book"/>
        </w:rPr>
        <w:t>be maintained</w:t>
      </w:r>
      <w:r w:rsidR="2F985F7E" w:rsidRPr="004B0B96">
        <w:rPr>
          <w:rFonts w:ascii="Franklin Gothic Book" w:hAnsi="Franklin Gothic Book"/>
        </w:rPr>
        <w:t xml:space="preserve">, as opposed to </w:t>
      </w:r>
      <w:r w:rsidR="641AEE66" w:rsidRPr="004B0B96">
        <w:rPr>
          <w:rFonts w:ascii="Franklin Gothic Book" w:hAnsi="Franklin Gothic Book"/>
        </w:rPr>
        <w:t xml:space="preserve">a different registry being used for </w:t>
      </w:r>
      <w:proofErr w:type="spellStart"/>
      <w:r w:rsidR="641AEE66" w:rsidRPr="004B0B96">
        <w:rPr>
          <w:rFonts w:ascii="Franklin Gothic Book" w:hAnsi="Franklin Gothic Book"/>
        </w:rPr>
        <w:t>cilta</w:t>
      </w:r>
      <w:proofErr w:type="spellEnd"/>
      <w:r w:rsidR="641AEE66" w:rsidRPr="004B0B96">
        <w:rPr>
          <w:rFonts w:ascii="Franklin Gothic Book" w:hAnsi="Franklin Gothic Book"/>
        </w:rPr>
        <w:t xml:space="preserve">-cel. NSW expressed concern that </w:t>
      </w:r>
      <w:r w:rsidR="0E66BFF4" w:rsidRPr="004B0B96">
        <w:rPr>
          <w:rFonts w:ascii="Franklin Gothic Book" w:hAnsi="Franklin Gothic Book"/>
        </w:rPr>
        <w:t xml:space="preserve">given the current requirements for </w:t>
      </w:r>
      <w:r w:rsidR="6D6D8E5D" w:rsidRPr="004B0B96">
        <w:rPr>
          <w:rFonts w:ascii="Franklin Gothic Book" w:hAnsi="Franklin Gothic Book"/>
        </w:rPr>
        <w:t xml:space="preserve">NSW </w:t>
      </w:r>
      <w:r w:rsidR="3A974629" w:rsidRPr="004B0B96">
        <w:rPr>
          <w:rFonts w:ascii="Franklin Gothic Book" w:hAnsi="Franklin Gothic Book"/>
        </w:rPr>
        <w:t>c</w:t>
      </w:r>
      <w:r w:rsidR="6D6D8E5D" w:rsidRPr="004B0B96">
        <w:rPr>
          <w:rFonts w:ascii="Franklin Gothic Book" w:hAnsi="Franklin Gothic Book"/>
        </w:rPr>
        <w:t xml:space="preserve">entres to report to </w:t>
      </w:r>
      <w:r w:rsidR="50BC46D0" w:rsidRPr="004B0B96">
        <w:rPr>
          <w:rFonts w:ascii="Franklin Gothic Book" w:hAnsi="Franklin Gothic Book"/>
        </w:rPr>
        <w:t>the Australia and New Zealand</w:t>
      </w:r>
      <w:r w:rsidR="005A383F" w:rsidRPr="004B0B96">
        <w:rPr>
          <w:rFonts w:ascii="Franklin Gothic Book" w:hAnsi="Franklin Gothic Book"/>
        </w:rPr>
        <w:t xml:space="preserve"> </w:t>
      </w:r>
      <w:r w:rsidR="50BC46D0" w:rsidRPr="004B0B96">
        <w:rPr>
          <w:rFonts w:ascii="Franklin Gothic Book" w:hAnsi="Franklin Gothic Book"/>
        </w:rPr>
        <w:t>Transplant &amp; Cellular Therapies</w:t>
      </w:r>
      <w:r w:rsidR="6AB6AE0A" w:rsidRPr="004B0B96">
        <w:rPr>
          <w:rFonts w:ascii="Franklin Gothic Book" w:hAnsi="Franklin Gothic Book"/>
        </w:rPr>
        <w:t xml:space="preserve"> (</w:t>
      </w:r>
      <w:r w:rsidR="6D6D8E5D" w:rsidRPr="004B0B96">
        <w:rPr>
          <w:rFonts w:ascii="Franklin Gothic Book" w:hAnsi="Franklin Gothic Book"/>
        </w:rPr>
        <w:t>ANZTCT</w:t>
      </w:r>
      <w:r w:rsidR="6AB6AE0A" w:rsidRPr="004B0B96">
        <w:rPr>
          <w:rFonts w:ascii="Franklin Gothic Book" w:hAnsi="Franklin Gothic Book"/>
        </w:rPr>
        <w:t>)</w:t>
      </w:r>
      <w:r w:rsidR="6D6D8E5D" w:rsidRPr="004B0B96">
        <w:rPr>
          <w:rFonts w:ascii="Franklin Gothic Book" w:hAnsi="Franklin Gothic Book"/>
        </w:rPr>
        <w:t xml:space="preserve"> </w:t>
      </w:r>
      <w:r w:rsidR="6AB6AE0A" w:rsidRPr="004B0B96">
        <w:rPr>
          <w:rFonts w:ascii="Franklin Gothic Book" w:hAnsi="Franklin Gothic Book"/>
        </w:rPr>
        <w:t>and</w:t>
      </w:r>
      <w:r w:rsidR="6D6D8E5D" w:rsidRPr="004B0B96">
        <w:rPr>
          <w:rFonts w:ascii="Franklin Gothic Book" w:hAnsi="Franklin Gothic Book"/>
        </w:rPr>
        <w:t xml:space="preserve"> CIBMTR (for FACT) or EBMT (for JACIE) accreditation, it would not be </w:t>
      </w:r>
      <w:r w:rsidR="3A974629" w:rsidRPr="004B0B96">
        <w:rPr>
          <w:rFonts w:ascii="Franklin Gothic Book" w:hAnsi="Franklin Gothic Book"/>
        </w:rPr>
        <w:t>feasible</w:t>
      </w:r>
      <w:r w:rsidR="6D6D8E5D" w:rsidRPr="004B0B96">
        <w:rPr>
          <w:rFonts w:ascii="Franklin Gothic Book" w:hAnsi="Franklin Gothic Book"/>
        </w:rPr>
        <w:t xml:space="preserve"> to use the Myeloma &amp; Disease Related Registry</w:t>
      </w:r>
      <w:r w:rsidR="5687E120" w:rsidRPr="004B0B96">
        <w:rPr>
          <w:rFonts w:ascii="Franklin Gothic Book" w:hAnsi="Franklin Gothic Book"/>
        </w:rPr>
        <w:t xml:space="preserve"> (as proposed by Janssen</w:t>
      </w:r>
      <w:r w:rsidR="00EC02F3" w:rsidRPr="004B0B96">
        <w:rPr>
          <w:rFonts w:ascii="Franklin Gothic Book" w:hAnsi="Franklin Gothic Book"/>
        </w:rPr>
        <w:t>-Cilag</w:t>
      </w:r>
      <w:r w:rsidR="5687E120" w:rsidRPr="004B0B96">
        <w:rPr>
          <w:rFonts w:ascii="Franklin Gothic Book" w:hAnsi="Franklin Gothic Book"/>
        </w:rPr>
        <w:t>)</w:t>
      </w:r>
      <w:r w:rsidR="6D6D8E5D" w:rsidRPr="004B0B96">
        <w:rPr>
          <w:rFonts w:ascii="Franklin Gothic Book" w:hAnsi="Franklin Gothic Book"/>
        </w:rPr>
        <w:t xml:space="preserve"> for </w:t>
      </w:r>
      <w:proofErr w:type="spellStart"/>
      <w:r w:rsidR="6E5CA4F9" w:rsidRPr="004B0B96">
        <w:rPr>
          <w:rFonts w:ascii="Franklin Gothic Book" w:hAnsi="Franklin Gothic Book"/>
        </w:rPr>
        <w:t>cilta</w:t>
      </w:r>
      <w:proofErr w:type="spellEnd"/>
      <w:r w:rsidR="6E5CA4F9" w:rsidRPr="004B0B96">
        <w:rPr>
          <w:rFonts w:ascii="Franklin Gothic Book" w:hAnsi="Franklin Gothic Book"/>
        </w:rPr>
        <w:t xml:space="preserve">-cel. </w:t>
      </w:r>
      <w:r w:rsidR="6A2E3AA0" w:rsidRPr="004B0B96">
        <w:rPr>
          <w:rFonts w:ascii="Franklin Gothic Book" w:hAnsi="Franklin Gothic Book"/>
        </w:rPr>
        <w:t xml:space="preserve">Two jurisdictions </w:t>
      </w:r>
      <w:r w:rsidR="16B7C9DE" w:rsidRPr="004B0B96">
        <w:rPr>
          <w:rFonts w:ascii="Franklin Gothic Book" w:hAnsi="Franklin Gothic Book"/>
        </w:rPr>
        <w:t xml:space="preserve">highlighted that the </w:t>
      </w:r>
      <w:r w:rsidR="31A76D7A" w:rsidRPr="004B0B96">
        <w:rPr>
          <w:rFonts w:ascii="Franklin Gothic Book" w:hAnsi="Franklin Gothic Book"/>
        </w:rPr>
        <w:t xml:space="preserve">costs associated with treatment were underestimated. One jurisdiction expressed </w:t>
      </w:r>
      <w:r w:rsidR="6C614A53" w:rsidRPr="004B0B96">
        <w:rPr>
          <w:rFonts w:ascii="Franklin Gothic Book" w:hAnsi="Franklin Gothic Book"/>
        </w:rPr>
        <w:t xml:space="preserve">concerns related to the supply of </w:t>
      </w:r>
      <w:proofErr w:type="spellStart"/>
      <w:r w:rsidR="6C614A53" w:rsidRPr="004B0B96">
        <w:rPr>
          <w:rFonts w:ascii="Franklin Gothic Book" w:hAnsi="Franklin Gothic Book"/>
        </w:rPr>
        <w:t>cilta</w:t>
      </w:r>
      <w:proofErr w:type="spellEnd"/>
      <w:r w:rsidR="6C614A53" w:rsidRPr="004B0B96">
        <w:rPr>
          <w:rFonts w:ascii="Franklin Gothic Book" w:hAnsi="Franklin Gothic Book"/>
        </w:rPr>
        <w:t xml:space="preserve">-cel, seeking assurances </w:t>
      </w:r>
      <w:r w:rsidR="00EC02F3" w:rsidRPr="004B0B96">
        <w:rPr>
          <w:rFonts w:ascii="Franklin Gothic Book" w:hAnsi="Franklin Gothic Book"/>
        </w:rPr>
        <w:t xml:space="preserve">that patient </w:t>
      </w:r>
      <w:r w:rsidR="159CDD82" w:rsidRPr="004B0B96">
        <w:rPr>
          <w:rFonts w:ascii="Franklin Gothic Book" w:hAnsi="Franklin Gothic Book"/>
        </w:rPr>
        <w:t>dema</w:t>
      </w:r>
      <w:r w:rsidR="706DFDC6" w:rsidRPr="004B0B96">
        <w:rPr>
          <w:rFonts w:ascii="Franklin Gothic Book" w:hAnsi="Franklin Gothic Book"/>
        </w:rPr>
        <w:t>n</w:t>
      </w:r>
      <w:r w:rsidR="159CDD82" w:rsidRPr="004B0B96">
        <w:rPr>
          <w:rFonts w:ascii="Franklin Gothic Book" w:hAnsi="Franklin Gothic Book"/>
        </w:rPr>
        <w:t xml:space="preserve">d could be met by </w:t>
      </w:r>
      <w:r w:rsidR="706DFDC6" w:rsidRPr="004B0B96">
        <w:rPr>
          <w:rFonts w:ascii="Franklin Gothic Book" w:hAnsi="Franklin Gothic Book"/>
        </w:rPr>
        <w:t>J</w:t>
      </w:r>
      <w:r w:rsidR="159CDD82" w:rsidRPr="004B0B96">
        <w:rPr>
          <w:rFonts w:ascii="Franklin Gothic Book" w:hAnsi="Franklin Gothic Book"/>
        </w:rPr>
        <w:t>anssen</w:t>
      </w:r>
      <w:r w:rsidR="00EC02F3" w:rsidRPr="004B0B96">
        <w:rPr>
          <w:rFonts w:ascii="Franklin Gothic Book" w:hAnsi="Franklin Gothic Book"/>
        </w:rPr>
        <w:t>-Cilag</w:t>
      </w:r>
      <w:r w:rsidR="159CDD82" w:rsidRPr="004B0B96">
        <w:rPr>
          <w:rFonts w:ascii="Franklin Gothic Book" w:hAnsi="Franklin Gothic Book"/>
        </w:rPr>
        <w:t xml:space="preserve"> and </w:t>
      </w:r>
      <w:r w:rsidR="2120B7F5" w:rsidRPr="004B0B96">
        <w:rPr>
          <w:rFonts w:ascii="Franklin Gothic Book" w:hAnsi="Franklin Gothic Book"/>
        </w:rPr>
        <w:t xml:space="preserve">seeking an understanding of </w:t>
      </w:r>
      <w:r w:rsidR="159CDD82" w:rsidRPr="004B0B96">
        <w:rPr>
          <w:rFonts w:ascii="Franklin Gothic Book" w:hAnsi="Franklin Gothic Book"/>
        </w:rPr>
        <w:t>how this will be managed.</w:t>
      </w:r>
      <w:r w:rsidR="159CDD82" w:rsidRPr="004B0B96">
        <w:t xml:space="preserve"> </w:t>
      </w:r>
      <w:r w:rsidR="5687E120" w:rsidRPr="004B0B96">
        <w:rPr>
          <w:rFonts w:ascii="Franklin Gothic Book" w:hAnsi="Franklin Gothic Book"/>
        </w:rPr>
        <w:t xml:space="preserve">MSAC considered that given the administrative issues associated with using multiple registries it was reasonable that a single registry </w:t>
      </w:r>
      <w:r w:rsidR="1E57E769" w:rsidRPr="004B0B96">
        <w:rPr>
          <w:rFonts w:ascii="Franklin Gothic Book" w:hAnsi="Franklin Gothic Book"/>
        </w:rPr>
        <w:t xml:space="preserve">is used to capture data for all CAR-T cell </w:t>
      </w:r>
      <w:r w:rsidR="29346EC5" w:rsidRPr="004B0B96">
        <w:rPr>
          <w:rFonts w:ascii="Franklin Gothic Book" w:hAnsi="Franklin Gothic Book"/>
        </w:rPr>
        <w:t>therapies</w:t>
      </w:r>
      <w:r w:rsidR="1E57E769" w:rsidRPr="004B0B96">
        <w:rPr>
          <w:rFonts w:ascii="Franklin Gothic Book" w:hAnsi="Franklin Gothic Book"/>
        </w:rPr>
        <w:t xml:space="preserve">, noting the current registry </w:t>
      </w:r>
      <w:r w:rsidR="29346EC5" w:rsidRPr="004B0B96">
        <w:rPr>
          <w:rFonts w:ascii="Franklin Gothic Book" w:hAnsi="Franklin Gothic Book"/>
        </w:rPr>
        <w:t>used</w:t>
      </w:r>
      <w:r w:rsidR="1E57E769" w:rsidRPr="004B0B96">
        <w:rPr>
          <w:rFonts w:ascii="Franklin Gothic Book" w:hAnsi="Franklin Gothic Book"/>
        </w:rPr>
        <w:t xml:space="preserve"> is the ANZTCT.</w:t>
      </w:r>
    </w:p>
    <w:p w14:paraId="5893A83B" w14:textId="77777777" w:rsidR="00BA38A9" w:rsidRPr="004B0B96" w:rsidRDefault="00BA38A9" w:rsidP="00BA38A9">
      <w:pPr>
        <w:rPr>
          <w:rFonts w:ascii="Franklin Gothic Book" w:hAnsi="Franklin Gothic Book"/>
        </w:rPr>
      </w:pPr>
      <w:r w:rsidRPr="004B0B96">
        <w:rPr>
          <w:rFonts w:ascii="Franklin Gothic Book" w:hAnsi="Franklin Gothic Book"/>
        </w:rPr>
        <w:t xml:space="preserve">MSAC continued to support the public funding of </w:t>
      </w:r>
      <w:proofErr w:type="spellStart"/>
      <w:r w:rsidRPr="004B0B96">
        <w:rPr>
          <w:rFonts w:ascii="Franklin Gothic Book" w:hAnsi="Franklin Gothic Book"/>
        </w:rPr>
        <w:t>cilta</w:t>
      </w:r>
      <w:proofErr w:type="spellEnd"/>
      <w:r w:rsidRPr="004B0B96">
        <w:rPr>
          <w:rFonts w:ascii="Franklin Gothic Book" w:hAnsi="Franklin Gothic Book"/>
        </w:rPr>
        <w:t xml:space="preserve">-cel for the treatment of adult patients with 5L+ RRMM. MSAC acknowledged the applicant had reduced its price since its April 2024 pricing proposal and that it no longer proposed to place caps on the number of patients treated with </w:t>
      </w:r>
      <w:proofErr w:type="spellStart"/>
      <w:r w:rsidRPr="004B0B96">
        <w:rPr>
          <w:rFonts w:ascii="Franklin Gothic Book" w:hAnsi="Franklin Gothic Book"/>
        </w:rPr>
        <w:t>cilta</w:t>
      </w:r>
      <w:proofErr w:type="spellEnd"/>
      <w:r w:rsidRPr="004B0B96">
        <w:rPr>
          <w:rFonts w:ascii="Franklin Gothic Book" w:hAnsi="Franklin Gothic Book"/>
        </w:rPr>
        <w:t xml:space="preserve">-cel per year. However, MSAC considered the alternative funding proposal submitted by the applicant did not appropriately address the clinical, economic and financial uncertainty associated with public funding. </w:t>
      </w:r>
    </w:p>
    <w:p w14:paraId="610823E6" w14:textId="4D07790F" w:rsidR="007D5C09" w:rsidRPr="00E77D3A" w:rsidRDefault="00973013" w:rsidP="007D5C09">
      <w:pPr>
        <w:rPr>
          <w:rFonts w:ascii="Franklin Gothic Book" w:hAnsi="Franklin Gothic Book"/>
        </w:rPr>
      </w:pPr>
      <w:r w:rsidRPr="004B0B96">
        <w:rPr>
          <w:rFonts w:ascii="Franklin Gothic Book" w:hAnsi="Franklin Gothic Book"/>
        </w:rPr>
        <w:t>MSAC considered the outcome measure of overall survival (OS) proposed by the applicant was not an appropriate outcome on which a Pay-for-</w:t>
      </w:r>
      <w:r w:rsidR="00CB6D06" w:rsidRPr="004B0B96">
        <w:rPr>
          <w:rFonts w:ascii="Franklin Gothic Book" w:hAnsi="Franklin Gothic Book"/>
        </w:rPr>
        <w:t>Performance</w:t>
      </w:r>
      <w:r w:rsidRPr="004B0B96">
        <w:rPr>
          <w:rFonts w:ascii="Franklin Gothic Book" w:hAnsi="Franklin Gothic Book"/>
        </w:rPr>
        <w:t xml:space="preserve"> (</w:t>
      </w:r>
      <w:proofErr w:type="spellStart"/>
      <w:r w:rsidRPr="004B0B96">
        <w:rPr>
          <w:rFonts w:ascii="Franklin Gothic Book" w:hAnsi="Franklin Gothic Book"/>
        </w:rPr>
        <w:t>PfP</w:t>
      </w:r>
      <w:proofErr w:type="spellEnd"/>
      <w:r w:rsidRPr="004B0B96">
        <w:rPr>
          <w:rFonts w:ascii="Franklin Gothic Book" w:hAnsi="Franklin Gothic Book"/>
        </w:rPr>
        <w:t xml:space="preserve">) </w:t>
      </w:r>
      <w:r w:rsidR="00CB6D06" w:rsidRPr="004B0B96">
        <w:rPr>
          <w:rFonts w:ascii="Franklin Gothic Book" w:hAnsi="Franklin Gothic Book"/>
        </w:rPr>
        <w:t>arrangement</w:t>
      </w:r>
      <w:r w:rsidRPr="004B0B96">
        <w:rPr>
          <w:rFonts w:ascii="Franklin Gothic Book" w:hAnsi="Franklin Gothic Book"/>
        </w:rPr>
        <w:t xml:space="preserve"> should be based. MSAC considered the </w:t>
      </w:r>
      <w:proofErr w:type="spellStart"/>
      <w:r w:rsidRPr="004B0B96">
        <w:rPr>
          <w:rFonts w:ascii="Franklin Gothic Book" w:hAnsi="Franklin Gothic Book"/>
        </w:rPr>
        <w:t>PfP</w:t>
      </w:r>
      <w:proofErr w:type="spellEnd"/>
      <w:r w:rsidRPr="004B0B96">
        <w:rPr>
          <w:rFonts w:ascii="Franklin Gothic Book" w:hAnsi="Franklin Gothic Book"/>
        </w:rPr>
        <w:t xml:space="preserve"> should be based on an outcome that could be attributed directly to the use of </w:t>
      </w:r>
      <w:proofErr w:type="spellStart"/>
      <w:r w:rsidRPr="004B0B96">
        <w:rPr>
          <w:rFonts w:ascii="Franklin Gothic Book" w:hAnsi="Franklin Gothic Book"/>
        </w:rPr>
        <w:t>cilta</w:t>
      </w:r>
      <w:proofErr w:type="spellEnd"/>
      <w:r w:rsidRPr="004B0B96">
        <w:rPr>
          <w:rFonts w:ascii="Franklin Gothic Book" w:hAnsi="Franklin Gothic Book"/>
        </w:rPr>
        <w:t xml:space="preserve">-cel, such as </w:t>
      </w:r>
      <w:proofErr w:type="spellStart"/>
      <w:r w:rsidRPr="004B0B96">
        <w:rPr>
          <w:rFonts w:ascii="Franklin Gothic Book" w:hAnsi="Franklin Gothic Book"/>
        </w:rPr>
        <w:t>sCR</w:t>
      </w:r>
      <w:proofErr w:type="spellEnd"/>
      <w:r w:rsidRPr="004B0B96">
        <w:rPr>
          <w:rFonts w:ascii="Franklin Gothic Book" w:hAnsi="Franklin Gothic Book"/>
        </w:rPr>
        <w:t xml:space="preserve"> with no use of subsequent therapies. MSAC maintained that a 4-year </w:t>
      </w:r>
      <w:proofErr w:type="spellStart"/>
      <w:r w:rsidRPr="004B0B96">
        <w:rPr>
          <w:rFonts w:ascii="Franklin Gothic Book" w:hAnsi="Franklin Gothic Book"/>
        </w:rPr>
        <w:t>PfP</w:t>
      </w:r>
      <w:proofErr w:type="spellEnd"/>
      <w:r w:rsidRPr="004B0B96">
        <w:rPr>
          <w:rFonts w:ascii="Franklin Gothic Book" w:hAnsi="Franklin Gothic Book"/>
        </w:rPr>
        <w:t xml:space="preserve"> arrangement is most closely aligned with the available clinical evidence (to account for the diminishing effectiveness of the treatment over time). However, MSAC considered that a shorter </w:t>
      </w:r>
      <w:proofErr w:type="spellStart"/>
      <w:r w:rsidRPr="004B0B96">
        <w:rPr>
          <w:rFonts w:ascii="Franklin Gothic Book" w:hAnsi="Franklin Gothic Book"/>
        </w:rPr>
        <w:t>PfP</w:t>
      </w:r>
      <w:proofErr w:type="spellEnd"/>
      <w:r w:rsidRPr="004B0B96">
        <w:rPr>
          <w:rFonts w:ascii="Franklin Gothic Book" w:hAnsi="Franklin Gothic Book"/>
        </w:rPr>
        <w:t xml:space="preserve"> arrangement based on </w:t>
      </w:r>
      <w:proofErr w:type="spellStart"/>
      <w:r w:rsidRPr="004B0B96">
        <w:rPr>
          <w:rFonts w:ascii="Franklin Gothic Book" w:hAnsi="Franklin Gothic Book"/>
        </w:rPr>
        <w:t>sCR</w:t>
      </w:r>
      <w:proofErr w:type="spellEnd"/>
      <w:r w:rsidRPr="004B0B96">
        <w:rPr>
          <w:rFonts w:ascii="Franklin Gothic Book" w:hAnsi="Franklin Gothic Book"/>
        </w:rPr>
        <w:t xml:space="preserve"> at 12 months and PFS thereafter with no use of subsequent treatments, that resulted in a price and ICER largely aligned with the applicant’s October 2024 funding proposal would be acceptable (i.e. maximum price per responder of $</w:t>
      </w:r>
      <w:r w:rsidR="00DE62FE" w:rsidRPr="009C35D7">
        <w:rPr>
          <w:rFonts w:ascii="Franklin Gothic Book" w:hAnsi="Franklin Gothic Book"/>
          <w:color w:val="000000"/>
          <w:w w:val="66"/>
          <w:shd w:val="solid" w:color="000000" w:fill="000000"/>
          <w14:textFill>
            <w14:solidFill>
              <w14:srgbClr w14:val="000000">
                <w14:alpha w14:val="100000"/>
              </w14:srgbClr>
            </w14:solidFill>
          </w14:textFill>
        </w:rPr>
        <w:t>||||||</w:t>
      </w:r>
      <w:r w:rsidRPr="004B0B96">
        <w:rPr>
          <w:rFonts w:ascii="Franklin Gothic Book" w:hAnsi="Franklin Gothic Book"/>
        </w:rPr>
        <w:t>; average price $</w:t>
      </w:r>
      <w:r w:rsidR="00DE62FE" w:rsidRPr="009C35D7">
        <w:rPr>
          <w:rFonts w:ascii="Franklin Gothic Book" w:hAnsi="Franklin Gothic Book"/>
          <w:color w:val="000000"/>
          <w:w w:val="66"/>
          <w:shd w:val="solid" w:color="000000" w:fill="000000"/>
          <w14:textFill>
            <w14:solidFill>
              <w14:srgbClr w14:val="000000">
                <w14:alpha w14:val="100000"/>
              </w14:srgbClr>
            </w14:solidFill>
          </w14:textFill>
        </w:rPr>
        <w:t>||||||</w:t>
      </w:r>
      <w:r w:rsidR="00C0783F" w:rsidRPr="004B0B96">
        <w:rPr>
          <w:rFonts w:ascii="Franklin Gothic Book" w:hAnsi="Franklin Gothic Book"/>
        </w:rPr>
        <w:t xml:space="preserve"> per successfully infused patient</w:t>
      </w:r>
      <w:r w:rsidRPr="004B0B96">
        <w:rPr>
          <w:rFonts w:ascii="Franklin Gothic Book" w:hAnsi="Franklin Gothic Book"/>
        </w:rPr>
        <w:t xml:space="preserve">; and ICER </w:t>
      </w:r>
      <w:r w:rsidR="00515E21" w:rsidRPr="00515E21">
        <w:rPr>
          <w:rFonts w:ascii="Franklin Gothic Book" w:hAnsi="Franklin Gothic Book"/>
        </w:rPr>
        <w:t>$95,000 to &lt; $115,000</w:t>
      </w:r>
      <w:r w:rsidRPr="004B0B96">
        <w:rPr>
          <w:rFonts w:ascii="Franklin Gothic Book" w:hAnsi="Franklin Gothic Book"/>
        </w:rPr>
        <w:t xml:space="preserve">). MSAC also considered a single payment on successful infusion that appropriately accounted for the diminishing effectiveness of </w:t>
      </w:r>
      <w:proofErr w:type="spellStart"/>
      <w:r w:rsidR="00D962AD" w:rsidRPr="004B0B96">
        <w:rPr>
          <w:rFonts w:ascii="Franklin Gothic Book" w:hAnsi="Franklin Gothic Book"/>
        </w:rPr>
        <w:t>cilta</w:t>
      </w:r>
      <w:proofErr w:type="spellEnd"/>
      <w:r w:rsidR="00D962AD" w:rsidRPr="004B0B96">
        <w:rPr>
          <w:rFonts w:ascii="Franklin Gothic Book" w:hAnsi="Franklin Gothic Book"/>
        </w:rPr>
        <w:t>-cel</w:t>
      </w:r>
      <w:r w:rsidRPr="004B0B96">
        <w:rPr>
          <w:rFonts w:ascii="Franklin Gothic Book" w:hAnsi="Franklin Gothic Book"/>
        </w:rPr>
        <w:t xml:space="preserve"> over time could be considered as an alternative funding arrangement to a </w:t>
      </w:r>
      <w:proofErr w:type="spellStart"/>
      <w:r w:rsidRPr="004B0B96">
        <w:rPr>
          <w:rFonts w:ascii="Franklin Gothic Book" w:hAnsi="Franklin Gothic Book"/>
        </w:rPr>
        <w:t>PfP</w:t>
      </w:r>
      <w:proofErr w:type="spellEnd"/>
      <w:r w:rsidRPr="004B0B96">
        <w:rPr>
          <w:rFonts w:ascii="Franklin Gothic Book" w:hAnsi="Franklin Gothic Book"/>
        </w:rPr>
        <w:t>. MSAC considered this would require</w:t>
      </w:r>
      <w:r w:rsidR="007E7BE7" w:rsidRPr="004B0B96">
        <w:rPr>
          <w:rFonts w:ascii="Franklin Gothic Book" w:hAnsi="Franklin Gothic Book"/>
        </w:rPr>
        <w:t xml:space="preserve"> a</w:t>
      </w:r>
      <w:r w:rsidR="00B57E24" w:rsidRPr="004B0B96">
        <w:rPr>
          <w:rFonts w:ascii="Franklin Gothic Book" w:hAnsi="Franklin Gothic Book"/>
        </w:rPr>
        <w:t xml:space="preserve"> </w:t>
      </w:r>
      <w:r w:rsidR="00C938F6" w:rsidRPr="004B0B96">
        <w:rPr>
          <w:rFonts w:ascii="Franklin Gothic Book" w:hAnsi="Franklin Gothic Book"/>
        </w:rPr>
        <w:t>commensurate</w:t>
      </w:r>
      <w:r w:rsidRPr="004B0B96">
        <w:rPr>
          <w:rFonts w:ascii="Franklin Gothic Book" w:hAnsi="Franklin Gothic Book"/>
        </w:rPr>
        <w:t xml:space="preserve"> price reduction.  </w:t>
      </w:r>
      <w:r w:rsidR="007D5C09" w:rsidRPr="004B0B96">
        <w:rPr>
          <w:rFonts w:ascii="Franklin Gothic Book" w:hAnsi="Franklin Gothic Book"/>
        </w:rPr>
        <w:t>MSAC considered a review</w:t>
      </w:r>
      <w:r w:rsidR="00A94252" w:rsidRPr="004B0B96">
        <w:rPr>
          <w:rFonts w:ascii="Franklin Gothic Book" w:hAnsi="Franklin Gothic Book"/>
        </w:rPr>
        <w:t xml:space="preserve"> of </w:t>
      </w:r>
      <w:proofErr w:type="spellStart"/>
      <w:r w:rsidR="00A94252" w:rsidRPr="004B0B96">
        <w:rPr>
          <w:rFonts w:ascii="Franklin Gothic Book" w:hAnsi="Franklin Gothic Book"/>
        </w:rPr>
        <w:t>cilta</w:t>
      </w:r>
      <w:proofErr w:type="spellEnd"/>
      <w:r w:rsidR="00A94252" w:rsidRPr="004B0B96">
        <w:rPr>
          <w:rFonts w:ascii="Franklin Gothic Book" w:hAnsi="Franklin Gothic Book"/>
        </w:rPr>
        <w:t>-cel</w:t>
      </w:r>
      <w:r w:rsidR="007D5C09" w:rsidRPr="004B0B96">
        <w:rPr>
          <w:rFonts w:ascii="Franklin Gothic Book" w:hAnsi="Franklin Gothic Book"/>
        </w:rPr>
        <w:t xml:space="preserve"> post funding </w:t>
      </w:r>
      <w:r w:rsidR="00A94252" w:rsidRPr="004B0B96">
        <w:rPr>
          <w:rFonts w:ascii="Franklin Gothic Book" w:hAnsi="Franklin Gothic Book"/>
        </w:rPr>
        <w:t>wa</w:t>
      </w:r>
      <w:r w:rsidR="007D5C09" w:rsidRPr="004B0B96">
        <w:rPr>
          <w:rFonts w:ascii="Franklin Gothic Book" w:hAnsi="Franklin Gothic Book"/>
        </w:rPr>
        <w:t>s still required.</w:t>
      </w:r>
    </w:p>
    <w:p w14:paraId="6195DC06" w14:textId="5A08BEA0" w:rsidR="00DF0454" w:rsidRDefault="00DF0454" w:rsidP="00D95E54">
      <w:pPr>
        <w:spacing w:after="160" w:line="259" w:lineRule="auto"/>
        <w:rPr>
          <w:b/>
          <w:bCs/>
          <w:i/>
          <w:iCs/>
        </w:rPr>
      </w:pPr>
      <w:r w:rsidRPr="00BE446D">
        <w:rPr>
          <w:b/>
          <w:bCs/>
          <w:i/>
          <w:iCs/>
        </w:rPr>
        <w:t xml:space="preserve">April 2024 MSAC consideration </w:t>
      </w:r>
    </w:p>
    <w:p w14:paraId="31F42770" w14:textId="77777777"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noted that this funding proposal from Janssen-Cilag Pty Ltd, was for using </w:t>
      </w:r>
      <w:proofErr w:type="spellStart"/>
      <w:r w:rsidRPr="00933448">
        <w:rPr>
          <w:rFonts w:ascii="Franklin Gothic Book" w:hAnsi="Franklin Gothic Book"/>
          <w:kern w:val="2"/>
          <w14:ligatures w14:val="standardContextual"/>
        </w:rPr>
        <w:t>ciltacabtagene</w:t>
      </w:r>
      <w:proofErr w:type="spellEnd"/>
      <w:r w:rsidRPr="00933448">
        <w:rPr>
          <w:rFonts w:ascii="Franklin Gothic Book" w:hAnsi="Franklin Gothic Book"/>
          <w:kern w:val="2"/>
          <w14:ligatures w14:val="standardContextual"/>
        </w:rPr>
        <w:t xml:space="preserve"> </w:t>
      </w:r>
      <w:proofErr w:type="spellStart"/>
      <w:r w:rsidRPr="00933448">
        <w:rPr>
          <w:rFonts w:ascii="Franklin Gothic Book" w:hAnsi="Franklin Gothic Book"/>
          <w:kern w:val="2"/>
          <w14:ligatures w14:val="standardContextual"/>
        </w:rPr>
        <w:t>autoleucel</w:t>
      </w:r>
      <w:proofErr w:type="spellEnd"/>
      <w:r w:rsidRPr="00933448">
        <w:rPr>
          <w:rFonts w:ascii="Franklin Gothic Book" w:hAnsi="Franklin Gothic Book"/>
          <w:kern w:val="2"/>
          <w14:ligatures w14:val="standardContextual"/>
        </w:rPr>
        <w:t xml:space="preserve">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to treat adult patients with RRMM who have received at least four prior lines of therapy (i.e., fifth line or later treatment), including a proteasome inhibitor (PI), an immunomodulatory agent (</w:t>
      </w:r>
      <w:proofErr w:type="spellStart"/>
      <w:r w:rsidRPr="00933448">
        <w:rPr>
          <w:rFonts w:ascii="Franklin Gothic Book" w:hAnsi="Franklin Gothic Book"/>
          <w:kern w:val="2"/>
          <w14:ligatures w14:val="standardContextual"/>
        </w:rPr>
        <w:t>IMiD</w:t>
      </w:r>
      <w:proofErr w:type="spellEnd"/>
      <w:r w:rsidRPr="00933448">
        <w:rPr>
          <w:rFonts w:ascii="Franklin Gothic Book" w:hAnsi="Franklin Gothic Book"/>
          <w:kern w:val="2"/>
          <w14:ligatures w14:val="standardContextual"/>
        </w:rPr>
        <w:t xml:space="preserve">) and an anti-CD38 antibody (5L+ RRMM). The applicant was seeking public funding for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in patients with 5L+ RRMM as a Highly Specialised Therapy (HST) through the National Health Reform Agreement (NHRA), jointly funded by the Commonwealth and state and territory governments.</w:t>
      </w:r>
    </w:p>
    <w:p w14:paraId="7E99B758" w14:textId="035EEF79"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recalled it had considered an application for public funding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for the treatment of RRMM on two previous occasions, at its July 2022 and November 2023 meetings. MSAC noted that at its November 2023 meeting it considered the ICER was both unacceptably high and underestimated. In addition, MSAC noted the cost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was higher compared to other </w:t>
      </w:r>
      <w:r w:rsidR="00B7604F">
        <w:rPr>
          <w:rFonts w:ascii="Franklin Gothic Book" w:hAnsi="Franklin Gothic Book"/>
          <w:kern w:val="2"/>
          <w14:ligatures w14:val="standardContextual"/>
        </w:rPr>
        <w:br/>
      </w:r>
      <w:r w:rsidRPr="00933448">
        <w:rPr>
          <w:rFonts w:ascii="Franklin Gothic Book" w:hAnsi="Franklin Gothic Book"/>
          <w:kern w:val="2"/>
          <w14:ligatures w14:val="standardContextual"/>
        </w:rPr>
        <w:t>CAR</w:t>
      </w:r>
      <w:r w:rsidRPr="00D95E54">
        <w:rPr>
          <w:rFonts w:ascii="Franklin Gothic Book" w:hAnsi="Franklin Gothic Book"/>
          <w:kern w:val="2"/>
          <w14:ligatures w14:val="standardContextual"/>
        </w:rPr>
        <w:t>-</w:t>
      </w:r>
      <w:r w:rsidRPr="00933448">
        <w:rPr>
          <w:rFonts w:ascii="Franklin Gothic Book" w:hAnsi="Franklin Gothic Book"/>
          <w:kern w:val="2"/>
          <w14:ligatures w14:val="standardContextual"/>
        </w:rPr>
        <w:t>T</w:t>
      </w:r>
      <w:r w:rsidRPr="00D95E54">
        <w:rPr>
          <w:rFonts w:ascii="Franklin Gothic Book" w:hAnsi="Franklin Gothic Book"/>
          <w:kern w:val="2"/>
          <w14:ligatures w14:val="standardContextual"/>
        </w:rPr>
        <w:t xml:space="preserve"> cell</w:t>
      </w:r>
      <w:r w:rsidRPr="00933448">
        <w:rPr>
          <w:rFonts w:ascii="Franklin Gothic Book" w:hAnsi="Franklin Gothic Book"/>
          <w:kern w:val="2"/>
          <w14:ligatures w14:val="standardContextual"/>
        </w:rPr>
        <w:t xml:space="preserve"> therapies previously supported by MSAC. MSAC recalled it deferred its advice on that occasion to see whether a lower ICER could be achieved through adjusting inputs in the economic model (particularly hospital costs and health benefits gained - to be verified by jurisdictions) and for a significant price reduction to be offered by the company. MSAC advised that an ICER in the range of those for other treatments in later line RRMM recommended by </w:t>
      </w:r>
      <w:r w:rsidRPr="00D95E54">
        <w:rPr>
          <w:rFonts w:ascii="Franklin Gothic Book" w:hAnsi="Franklin Gothic Book"/>
          <w:kern w:val="2"/>
          <w14:ligatures w14:val="standardContextual"/>
        </w:rPr>
        <w:t xml:space="preserve">the </w:t>
      </w:r>
      <w:r w:rsidRPr="00933448">
        <w:rPr>
          <w:rFonts w:ascii="Franklin Gothic Book" w:hAnsi="Franklin Gothic Book"/>
          <w:kern w:val="2"/>
          <w14:ligatures w14:val="standardContextual"/>
        </w:rPr>
        <w:t>PBAC was more likely to be acceptable. Furthermore, MSAC requested the Department negotiate a pay-for-performance</w:t>
      </w:r>
      <w:r w:rsidR="001B1671">
        <w:rPr>
          <w:rFonts w:ascii="Franklin Gothic Book" w:hAnsi="Franklin Gothic Book"/>
          <w:kern w:val="2"/>
          <w14:ligatures w14:val="standardContextual"/>
        </w:rPr>
        <w:t xml:space="preserve"> (</w:t>
      </w:r>
      <w:proofErr w:type="spellStart"/>
      <w:r w:rsidR="000C3FED">
        <w:rPr>
          <w:rFonts w:ascii="Franklin Gothic Book" w:hAnsi="Franklin Gothic Book"/>
          <w:kern w:val="2"/>
          <w14:ligatures w14:val="standardContextual"/>
        </w:rPr>
        <w:t>PfP</w:t>
      </w:r>
      <w:proofErr w:type="spellEnd"/>
      <w:r w:rsidR="000C3FED">
        <w:rPr>
          <w:rFonts w:ascii="Franklin Gothic Book" w:hAnsi="Franklin Gothic Book"/>
          <w:kern w:val="2"/>
          <w14:ligatures w14:val="standardContextual"/>
        </w:rPr>
        <w:t>)</w:t>
      </w:r>
      <w:r w:rsidRPr="00933448">
        <w:rPr>
          <w:rFonts w:ascii="Franklin Gothic Book" w:hAnsi="Franklin Gothic Book"/>
          <w:kern w:val="2"/>
          <w14:ligatures w14:val="standardContextual"/>
        </w:rPr>
        <w:t xml:space="preserve"> arrangement to incentivise payment on the performance of a deeper level of clinical response.</w:t>
      </w:r>
    </w:p>
    <w:p w14:paraId="6A1BABFE" w14:textId="53B4E36B"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noted that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is a high-cost therapy, with a high ICER and high annual financial expenditure, that is supported by evidence generated from a single phase 1b/2 single arm study, CARTITUDE-1. MSAC noted that it has supported the public funding of other CAR-T cell therapies based on single-arm studies however these were for lower prevalence conditions. In Australia, myeloma has an incidence of approximately 2,600 people and a prevalence of approximately 20,000 people, with those having received at least 4 prior lines of therapy representing a subset of this population. MSAC again noted the price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was substantially higher compared to all other CAR-T cell therapies considered by MSAC and much higher than any therapy currently listed on the Pharmaceutical Benefits Scheme (PBS) for the treatment of multiple myeloma.</w:t>
      </w:r>
    </w:p>
    <w:p w14:paraId="42A22762" w14:textId="4D4EF0BC" w:rsidR="00D95E54" w:rsidRPr="00933448" w:rsidRDefault="00D95E54" w:rsidP="00D95E54">
      <w:pPr>
        <w:spacing w:after="160" w:line="259" w:lineRule="auto"/>
        <w:rPr>
          <w:rFonts w:ascii="Franklin Gothic Book" w:hAnsi="Franklin Gothic Book"/>
          <w:kern w:val="2"/>
          <w14:ligatures w14:val="standardContextual"/>
        </w:rPr>
      </w:pPr>
      <w:r w:rsidRPr="00906282">
        <w:rPr>
          <w:rFonts w:ascii="Franklin Gothic Book" w:hAnsi="Franklin Gothic Book"/>
          <w:kern w:val="2"/>
          <w14:ligatures w14:val="standardContextual"/>
        </w:rPr>
        <w:t xml:space="preserve">MSAC noted that the applicant did not address any of MSAC’s matters of concern from its November 2023 consideration. On the contrary, it introduced an additional new concern (a fixed cap characterised as </w:t>
      </w:r>
      <w:proofErr w:type="gramStart"/>
      <w:r w:rsidRPr="00906282">
        <w:rPr>
          <w:rFonts w:ascii="Franklin Gothic Book" w:hAnsi="Franklin Gothic Book"/>
          <w:kern w:val="2"/>
          <w14:ligatures w14:val="standardContextual"/>
        </w:rPr>
        <w:t>a</w:t>
      </w:r>
      <w:proofErr w:type="gramEnd"/>
      <w:r w:rsidR="00085930" w:rsidRPr="00906282">
        <w:rPr>
          <w:rFonts w:ascii="Franklin Gothic Book" w:hAnsi="Franklin Gothic Book"/>
          <w:kern w:val="2"/>
          <w14:ligatures w14:val="standardContextual"/>
        </w:rPr>
        <w:t xml:space="preserve"> </w:t>
      </w:r>
      <w:r w:rsidRPr="00906282">
        <w:rPr>
          <w:rFonts w:ascii="Franklin Gothic Book" w:hAnsi="Franklin Gothic Book"/>
          <w:kern w:val="2"/>
          <w14:ligatures w14:val="standardContextual"/>
        </w:rPr>
        <w:t>RSA).</w:t>
      </w:r>
      <w:r w:rsidRPr="00933448">
        <w:rPr>
          <w:rFonts w:ascii="Franklin Gothic Book" w:hAnsi="Franklin Gothic Book"/>
          <w:kern w:val="2"/>
          <w14:ligatures w14:val="standardContextual"/>
        </w:rPr>
        <w:t xml:space="preserve"> MSAC noted the applicant did not address its request to lower the ICER via adjustments to modelled hospital costs, health benefits gained and/or by offering a significant price reduction. MSAC noted the applicant’s assertion that “traditional ICER thresholds” should not be applied to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because it was not a conventional medicine and that its price should not be compared to other CAR-T cell therapies given incremental benefits vary across therapies and the complexity associated in the supply and manufacturing process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MSAC considered these reasons did not adequately justify the magnitude of difference between the cost of the currently funded CAR-T cell therapies and the price being requested by Janssen-Cilag for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with no evidence provided to substantiate these claims. MSAC also noted the very high cost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relative to other PBS listed medicines for multiple myeloma, and that in its considerations, MSAC (and PBAC) is primarily informed by the strength and quality of evidence in relation to the comparative health gain offered by the therapy and not by the complexity or cost associated with manufacturing.</w:t>
      </w:r>
    </w:p>
    <w:p w14:paraId="61CDBAF5" w14:textId="799CE962"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confirmed the patient eligibility criteria outlined in the November 2023 application remained </w:t>
      </w:r>
      <w:r w:rsidRPr="00822131">
        <w:rPr>
          <w:rFonts w:ascii="Franklin Gothic Book" w:hAnsi="Franklin Gothic Book"/>
          <w:kern w:val="2"/>
          <w14:ligatures w14:val="standardContextual"/>
        </w:rPr>
        <w:t>appropriate for determining access to treatment (</w:t>
      </w:r>
      <w:r w:rsidR="000364DE" w:rsidRPr="00822131">
        <w:rPr>
          <w:rFonts w:ascii="Franklin Gothic Book" w:hAnsi="Franklin Gothic Book"/>
          <w:kern w:val="2"/>
          <w14:ligatures w14:val="standardContextual"/>
        </w:rPr>
        <w:t xml:space="preserve">November 2023 1690.1 PSD, </w:t>
      </w:r>
      <w:r w:rsidRPr="00822131">
        <w:rPr>
          <w:rFonts w:ascii="Franklin Gothic Book" w:hAnsi="Franklin Gothic Book"/>
          <w:kern w:val="2"/>
          <w14:ligatures w14:val="standardContextual"/>
        </w:rPr>
        <w:t>Table</w:t>
      </w:r>
      <w:r w:rsidR="00B7604F" w:rsidRPr="00822131">
        <w:rPr>
          <w:rFonts w:ascii="Franklin Gothic Book" w:hAnsi="Franklin Gothic Book"/>
          <w:kern w:val="2"/>
          <w14:ligatures w14:val="standardContextual"/>
        </w:rPr>
        <w:t> </w:t>
      </w:r>
      <w:r w:rsidR="00364934" w:rsidRPr="00822131">
        <w:rPr>
          <w:rFonts w:ascii="Franklin Gothic Book" w:hAnsi="Franklin Gothic Book"/>
          <w:kern w:val="2"/>
          <w14:ligatures w14:val="standardContextual"/>
        </w:rPr>
        <w:t>3, p.10</w:t>
      </w:r>
      <w:r w:rsidR="00C2791F" w:rsidRPr="00822131">
        <w:rPr>
          <w:rStyle w:val="FootnoteReference"/>
          <w:rFonts w:ascii="Franklin Gothic Book" w:hAnsi="Franklin Gothic Book"/>
          <w:kern w:val="2"/>
          <w14:ligatures w14:val="standardContextual"/>
        </w:rPr>
        <w:footnoteReference w:id="2"/>
      </w:r>
      <w:r w:rsidRPr="00822131">
        <w:rPr>
          <w:rFonts w:ascii="Franklin Gothic Book" w:hAnsi="Franklin Gothic Book"/>
          <w:kern w:val="2"/>
          <w14:ligatures w14:val="standardContextual"/>
        </w:rPr>
        <w:t xml:space="preserve">). MSAC noted that </w:t>
      </w:r>
      <w:proofErr w:type="spellStart"/>
      <w:r w:rsidRPr="00822131">
        <w:rPr>
          <w:rFonts w:ascii="Franklin Gothic Book" w:hAnsi="Franklin Gothic Book"/>
          <w:kern w:val="2"/>
          <w14:ligatures w14:val="standardContextual"/>
        </w:rPr>
        <w:t>cilta</w:t>
      </w:r>
      <w:proofErr w:type="spellEnd"/>
      <w:r w:rsidRPr="00822131">
        <w:rPr>
          <w:rFonts w:ascii="Franklin Gothic Book" w:hAnsi="Franklin Gothic Book"/>
          <w:kern w:val="2"/>
          <w14:ligatures w14:val="standardContextual"/>
        </w:rPr>
        <w:t xml:space="preserve">-cel was currently supplied only in a limited number of countries, the United States, Germany, and Austria. </w:t>
      </w:r>
      <w:bookmarkStart w:id="8" w:name="_Hlk170121795"/>
      <w:r w:rsidRPr="00822131">
        <w:rPr>
          <w:rFonts w:ascii="Franklin Gothic Book" w:hAnsi="Franklin Gothic Book"/>
          <w:kern w:val="2"/>
          <w14:ligatures w14:val="standardContextual"/>
        </w:rPr>
        <w:t xml:space="preserve">MSAC noted that other international HTA bodies, such as the Canadian Agency for Drugs and Technologies in Health (CADTH) had supported the public funding of </w:t>
      </w:r>
      <w:proofErr w:type="spellStart"/>
      <w:r w:rsidRPr="00822131">
        <w:rPr>
          <w:rFonts w:ascii="Franklin Gothic Book" w:hAnsi="Franklin Gothic Book"/>
          <w:kern w:val="2"/>
          <w14:ligatures w14:val="standardContextual"/>
        </w:rPr>
        <w:t>cilta</w:t>
      </w:r>
      <w:proofErr w:type="spellEnd"/>
      <w:r w:rsidRPr="00822131">
        <w:rPr>
          <w:rFonts w:ascii="Franklin Gothic Book" w:hAnsi="Franklin Gothic Book"/>
          <w:kern w:val="2"/>
          <w14:ligatures w14:val="standardContextual"/>
        </w:rPr>
        <w:t>-cel contingent on a 70%-80% price reduction, however publicly funded access to the therapy remains unavailable</w:t>
      </w:r>
      <w:bookmarkEnd w:id="8"/>
      <w:r w:rsidRPr="00822131">
        <w:rPr>
          <w:rFonts w:ascii="Franklin Gothic Book" w:hAnsi="Franklin Gothic Book"/>
          <w:kern w:val="2"/>
          <w14:ligatures w14:val="standardContextual"/>
        </w:rPr>
        <w:t>.</w:t>
      </w:r>
    </w:p>
    <w:p w14:paraId="2C8A3979" w14:textId="2CF9DFD9" w:rsidR="00D95E54" w:rsidRPr="00933448" w:rsidRDefault="00D95E54" w:rsidP="00D95E54">
      <w:pPr>
        <w:spacing w:after="160" w:line="259" w:lineRule="auto"/>
        <w:rPr>
          <w:rFonts w:ascii="Franklin Gothic Book" w:hAnsi="Franklin Gothic Book"/>
          <w:kern w:val="2"/>
          <w14:ligatures w14:val="standardContextual"/>
        </w:rPr>
      </w:pPr>
      <w:bookmarkStart w:id="9" w:name="_Hlk170121876"/>
      <w:r w:rsidRPr="00822131">
        <w:rPr>
          <w:rFonts w:ascii="Franklin Gothic Book" w:hAnsi="Franklin Gothic Book"/>
          <w:kern w:val="2"/>
          <w14:ligatures w14:val="standardContextual"/>
        </w:rPr>
        <w:t xml:space="preserve">MSAC noted that despite the applicant emphasising that it is operating within a </w:t>
      </w:r>
      <w:r w:rsidR="007E3177" w:rsidRPr="00C54BB8">
        <w:rPr>
          <w:rFonts w:ascii="Franklin Gothic Book" w:hAnsi="Franklin Gothic Book"/>
          <w:color w:val="000000"/>
          <w:w w:val="66"/>
          <w:shd w:val="solid" w:color="000000" w:fill="000000"/>
          <w:fitText w:val="440" w:id="-959204603"/>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C54BB8">
        <w:rPr>
          <w:rFonts w:ascii="Franklin Gothic Book" w:hAnsi="Franklin Gothic Book"/>
          <w:color w:val="000000"/>
          <w:w w:val="66"/>
          <w:shd w:val="solid" w:color="000000" w:fill="000000"/>
          <w:fitText w:val="440" w:id="-959204602"/>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Pr="00822131">
        <w:rPr>
          <w:rFonts w:ascii="Franklin Gothic Book" w:hAnsi="Franklin Gothic Book"/>
          <w:kern w:val="2"/>
          <w14:ligatures w14:val="standardContextual"/>
        </w:rPr>
        <w:t xml:space="preserve">no assurance was provided by Janssen-Cilag that if the MSAC supported public funding of </w:t>
      </w:r>
      <w:proofErr w:type="spellStart"/>
      <w:r w:rsidRPr="00822131">
        <w:rPr>
          <w:rFonts w:ascii="Franklin Gothic Book" w:hAnsi="Franklin Gothic Book"/>
          <w:kern w:val="2"/>
          <w14:ligatures w14:val="standardContextual"/>
        </w:rPr>
        <w:t>cilta</w:t>
      </w:r>
      <w:proofErr w:type="spellEnd"/>
      <w:r w:rsidRPr="00822131">
        <w:rPr>
          <w:rFonts w:ascii="Franklin Gothic Book" w:hAnsi="Franklin Gothic Book"/>
          <w:kern w:val="2"/>
          <w14:ligatures w14:val="standardContextual"/>
        </w:rPr>
        <w:t xml:space="preserve">-cel, Janssen-Cilag would guarantee supply of treatment to all eligible Australian patients in a timely manner. MSAC noted advice from the Department of Health and Aged Care that the applicant indicated supply for Australia would be available from </w:t>
      </w:r>
      <w:r w:rsidR="007E3177" w:rsidRPr="00C54BB8">
        <w:rPr>
          <w:rFonts w:ascii="Franklin Gothic Book" w:hAnsi="Franklin Gothic Book"/>
          <w:color w:val="000000"/>
          <w:w w:val="66"/>
          <w:shd w:val="solid" w:color="000000" w:fill="000000"/>
          <w:fitText w:val="440" w:id="-959204601"/>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xml:space="preserve"> onwards, at the earliest. MSAC considered that penalties should exist in the </w:t>
      </w:r>
      <w:r w:rsidR="00633473" w:rsidRPr="00822131">
        <w:rPr>
          <w:rFonts w:ascii="Franklin Gothic Book" w:hAnsi="Franklin Gothic Book"/>
          <w:kern w:val="2"/>
          <w14:ligatures w14:val="standardContextual"/>
        </w:rPr>
        <w:t xml:space="preserve">Deed of Agreement </w:t>
      </w:r>
      <w:r w:rsidRPr="00822131">
        <w:rPr>
          <w:rFonts w:ascii="Franklin Gothic Book" w:hAnsi="Franklin Gothic Book"/>
          <w:kern w:val="2"/>
          <w14:ligatures w14:val="standardContextual"/>
        </w:rPr>
        <w:t xml:space="preserve">if the company failed to provide supply of </w:t>
      </w:r>
      <w:proofErr w:type="spellStart"/>
      <w:r w:rsidRPr="00822131">
        <w:rPr>
          <w:rFonts w:ascii="Franklin Gothic Book" w:hAnsi="Franklin Gothic Book"/>
          <w:kern w:val="2"/>
          <w14:ligatures w14:val="standardContextual"/>
        </w:rPr>
        <w:t>cilta</w:t>
      </w:r>
      <w:proofErr w:type="spellEnd"/>
      <w:r w:rsidRPr="00822131">
        <w:rPr>
          <w:rFonts w:ascii="Franklin Gothic Book" w:hAnsi="Franklin Gothic Book"/>
          <w:kern w:val="2"/>
          <w14:ligatures w14:val="standardContextual"/>
        </w:rPr>
        <w:t>-cel to eligible patients in a timely manner.</w:t>
      </w:r>
    </w:p>
    <w:bookmarkEnd w:id="9"/>
    <w:p w14:paraId="4DCBA315" w14:textId="35A056AE" w:rsidR="00D95E54" w:rsidRPr="00D95E54"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noted this was the third time it had considered a request for the public funding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and for </w:t>
      </w:r>
      <w:r w:rsidRPr="00822131">
        <w:rPr>
          <w:rFonts w:ascii="Franklin Gothic Book" w:hAnsi="Franklin Gothic Book"/>
          <w:kern w:val="2"/>
          <w14:ligatures w14:val="standardContextual"/>
        </w:rPr>
        <w:t xml:space="preserve">the third consecutive time since an initial application for public funding was considered in July 2022, the applicant remained unwilling to negotiate on the unit price. MSAC noted the pricing proposal presented a minor adjustment to the weighting of the initial and subsequent payments (payment 1 and payment 2) of the </w:t>
      </w:r>
      <w:proofErr w:type="spellStart"/>
      <w:r w:rsidRPr="00822131">
        <w:rPr>
          <w:rFonts w:ascii="Franklin Gothic Book" w:hAnsi="Franklin Gothic Book"/>
          <w:kern w:val="2"/>
          <w14:ligatures w14:val="standardContextual"/>
        </w:rPr>
        <w:t>PfP</w:t>
      </w:r>
      <w:proofErr w:type="spellEnd"/>
      <w:r w:rsidRPr="00822131">
        <w:rPr>
          <w:rFonts w:ascii="Franklin Gothic Book" w:hAnsi="Franklin Gothic Book"/>
          <w:kern w:val="2"/>
          <w14:ligatures w14:val="standardContextual"/>
        </w:rPr>
        <w:t xml:space="preserve"> arrangement</w:t>
      </w:r>
      <w:r w:rsidRPr="00933448">
        <w:rPr>
          <w:rFonts w:ascii="Franklin Gothic Book" w:hAnsi="Franklin Gothic Book"/>
          <w:kern w:val="2"/>
          <w14:ligatures w14:val="standardContextual"/>
        </w:rPr>
        <w:t xml:space="preserve"> outlined in the November 2023 application, thereby reducing the estimated average price per </w:t>
      </w:r>
      <w:r w:rsidRPr="00822131">
        <w:rPr>
          <w:rFonts w:ascii="Franklin Gothic Book" w:hAnsi="Franklin Gothic Book"/>
          <w:kern w:val="2"/>
          <w14:ligatures w14:val="standardContextual"/>
        </w:rPr>
        <w:t xml:space="preserve">successfully infused patient by less than </w:t>
      </w:r>
      <w:r w:rsidR="002A7B62" w:rsidRPr="00307272">
        <w:rPr>
          <w:rFonts w:ascii="Franklin Gothic Book" w:hAnsi="Franklin Gothic Book"/>
          <w:color w:val="000000"/>
          <w:w w:val="66"/>
          <w:shd w:val="solid" w:color="000000" w:fill="000000"/>
          <w:fitText w:val="439" w:id="-959184128"/>
          <w14:textFill>
            <w14:solidFill>
              <w14:srgbClr w14:val="000000">
                <w14:alpha w14:val="100000"/>
              </w14:srgbClr>
            </w14:solidFill>
          </w14:textFill>
          <w14:ligatures w14:val="standardContextual"/>
        </w:rPr>
        <w:t>|||||</w:t>
      </w:r>
      <w:r w:rsidR="002A7B62" w:rsidRPr="00307272">
        <w:rPr>
          <w:rFonts w:ascii="Franklin Gothic Book" w:hAnsi="Franklin Gothic Book"/>
          <w:color w:val="000000"/>
          <w:spacing w:val="3"/>
          <w:w w:val="66"/>
          <w:shd w:val="solid" w:color="000000" w:fill="000000"/>
          <w:fitText w:val="439" w:id="-959184128"/>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w:t>
      </w:r>
      <w:r w:rsidR="002A7B62" w:rsidRPr="00DE62FE">
        <w:rPr>
          <w:rFonts w:ascii="Franklin Gothic Book" w:hAnsi="Franklin Gothic Book"/>
          <w:color w:val="000000"/>
          <w:w w:val="66"/>
          <w:shd w:val="solid" w:color="000000" w:fill="000000"/>
          <w:fitText w:val="439" w:id="-959184127"/>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xml:space="preserve"> to</w:t>
      </w:r>
      <w:r w:rsidR="00714789">
        <w:rPr>
          <w:rFonts w:ascii="Franklin Gothic Book" w:hAnsi="Franklin Gothic Book"/>
          <w:kern w:val="2"/>
          <w14:ligatures w14:val="standardContextual"/>
        </w:rPr>
        <w:t xml:space="preserve"> </w:t>
      </w:r>
      <w:r w:rsidRPr="00822131">
        <w:rPr>
          <w:rFonts w:ascii="Franklin Gothic Book" w:hAnsi="Franklin Gothic Book"/>
          <w:kern w:val="2"/>
          <w14:ligatures w14:val="standardContextual"/>
        </w:rPr>
        <w:t>$</w:t>
      </w:r>
      <w:r w:rsidR="002A7B62" w:rsidRPr="00714789">
        <w:rPr>
          <w:rFonts w:ascii="Franklin Gothic Book" w:hAnsi="Franklin Gothic Book"/>
          <w:color w:val="000000"/>
          <w:w w:val="66"/>
          <w:shd w:val="solid" w:color="000000" w:fill="000000"/>
          <w:fitText w:val="438" w:id="-959184126"/>
          <w14:textFill>
            <w14:solidFill>
              <w14:srgbClr w14:val="000000">
                <w14:alpha w14:val="100000"/>
              </w14:srgbClr>
            </w14:solidFill>
          </w14:textFill>
          <w14:ligatures w14:val="standardContextual"/>
        </w:rPr>
        <w:t>||||||</w:t>
      </w:r>
      <w:r w:rsidRPr="00822131">
        <w:rPr>
          <w:rFonts w:ascii="Franklin Gothic Book" w:hAnsi="Franklin Gothic Book"/>
          <w:kern w:val="2"/>
          <w14:ligatures w14:val="standardContextual"/>
        </w:rPr>
        <w:t xml:space="preserve">) </w:t>
      </w:r>
      <w:r w:rsidRPr="00AF7479">
        <w:rPr>
          <w:rFonts w:ascii="Franklin Gothic Book" w:hAnsi="Franklin Gothic Book"/>
          <w:kern w:val="2"/>
          <w14:ligatures w14:val="standardContextual"/>
        </w:rPr>
        <w:t>(</w:t>
      </w:r>
      <w:r w:rsidR="00AF7479" w:rsidRPr="00AF7479">
        <w:rPr>
          <w:rFonts w:ascii="Franklin Gothic Book" w:hAnsi="Franklin Gothic Book"/>
          <w:kern w:val="2"/>
          <w14:ligatures w14:val="standardContextual"/>
        </w:rPr>
        <w:fldChar w:fldCharType="begin"/>
      </w:r>
      <w:r w:rsidR="00AF7479" w:rsidRPr="00AF7479">
        <w:rPr>
          <w:rFonts w:ascii="Franklin Gothic Book" w:hAnsi="Franklin Gothic Book"/>
          <w:kern w:val="2"/>
          <w14:ligatures w14:val="standardContextual"/>
        </w:rPr>
        <w:instrText xml:space="preserve"> REF _Ref188617559 \h </w:instrText>
      </w:r>
      <w:r w:rsidR="00AF7479">
        <w:rPr>
          <w:rFonts w:ascii="Franklin Gothic Book" w:hAnsi="Franklin Gothic Book"/>
          <w:kern w:val="2"/>
          <w14:ligatures w14:val="standardContextual"/>
        </w:rPr>
        <w:instrText xml:space="preserve"> \* MERGEFORMAT </w:instrText>
      </w:r>
      <w:r w:rsidR="00AF7479" w:rsidRPr="00AF7479">
        <w:rPr>
          <w:rFonts w:ascii="Franklin Gothic Book" w:hAnsi="Franklin Gothic Book"/>
          <w:kern w:val="2"/>
          <w14:ligatures w14:val="standardContextual"/>
        </w:rPr>
      </w:r>
      <w:r w:rsidR="00AF7479" w:rsidRPr="00AF7479">
        <w:rPr>
          <w:rFonts w:ascii="Franklin Gothic Book" w:hAnsi="Franklin Gothic Book"/>
          <w:kern w:val="2"/>
          <w14:ligatures w14:val="standardContextual"/>
        </w:rPr>
        <w:fldChar w:fldCharType="separate"/>
      </w:r>
      <w:r w:rsidR="00AF7479" w:rsidRPr="00AF7479">
        <w:rPr>
          <w:rFonts w:ascii="Franklin Gothic Book" w:hAnsi="Franklin Gothic Book"/>
        </w:rPr>
        <w:t xml:space="preserve">Table </w:t>
      </w:r>
      <w:r w:rsidR="00AF7479" w:rsidRPr="00AF7479">
        <w:rPr>
          <w:rFonts w:ascii="Franklin Gothic Book" w:hAnsi="Franklin Gothic Book"/>
          <w:noProof/>
        </w:rPr>
        <w:t>3</w:t>
      </w:r>
      <w:r w:rsidR="00AF7479" w:rsidRPr="00AF7479">
        <w:rPr>
          <w:rFonts w:ascii="Franklin Gothic Book" w:hAnsi="Franklin Gothic Book"/>
          <w:kern w:val="2"/>
          <w14:ligatures w14:val="standardContextual"/>
        </w:rPr>
        <w:fldChar w:fldCharType="end"/>
      </w:r>
      <w:r w:rsidRPr="00AF7479">
        <w:rPr>
          <w:rFonts w:ascii="Franklin Gothic Book" w:hAnsi="Franklin Gothic Book"/>
          <w:kern w:val="2"/>
          <w14:ligatures w14:val="standardContextual"/>
        </w:rPr>
        <w:t>).</w:t>
      </w:r>
      <w:r w:rsidRPr="00822131">
        <w:rPr>
          <w:rFonts w:ascii="Franklin Gothic Book" w:hAnsi="Franklin Gothic Book"/>
          <w:kern w:val="2"/>
          <w14:ligatures w14:val="standardContextual"/>
        </w:rPr>
        <w:t xml:space="preserve"> MSAC considered the minimal reduction in</w:t>
      </w:r>
      <w:r w:rsidRPr="00933448">
        <w:rPr>
          <w:rFonts w:ascii="Franklin Gothic Book" w:hAnsi="Franklin Gothic Book"/>
          <w:kern w:val="2"/>
          <w14:ligatures w14:val="standardContextual"/>
        </w:rPr>
        <w:t xml:space="preserve"> the average price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did not represent a meaningful price reduction.</w:t>
      </w:r>
    </w:p>
    <w:p w14:paraId="640F7ABD" w14:textId="5EEFA78C" w:rsidR="00AF7479" w:rsidRDefault="00AF7479" w:rsidP="00AF7479">
      <w:pPr>
        <w:pStyle w:val="Caption"/>
      </w:pPr>
      <w:bookmarkStart w:id="10" w:name="_Ref188617559"/>
      <w:r>
        <w:t xml:space="preserve">Table </w:t>
      </w:r>
      <w:r>
        <w:fldChar w:fldCharType="begin"/>
      </w:r>
      <w:r>
        <w:instrText xml:space="preserve"> SEQ Table \* ARABIC </w:instrText>
      </w:r>
      <w:r>
        <w:fldChar w:fldCharType="separate"/>
      </w:r>
      <w:r>
        <w:rPr>
          <w:noProof/>
        </w:rPr>
        <w:t>3</w:t>
      </w:r>
      <w:r>
        <w:rPr>
          <w:noProof/>
        </w:rPr>
        <w:fldChar w:fldCharType="end"/>
      </w:r>
      <w:bookmarkEnd w:id="10"/>
      <w:r w:rsidRPr="00AF7479">
        <w:t xml:space="preserve"> </w:t>
      </w:r>
      <w:r w:rsidRPr="00D95E54">
        <w:tab/>
      </w:r>
      <w:r w:rsidRPr="00933448">
        <w:t xml:space="preserve">Overview of the revised pay for performance model proposed for </w:t>
      </w:r>
      <w:proofErr w:type="spellStart"/>
      <w:r w:rsidRPr="00933448">
        <w:t>cilta</w:t>
      </w:r>
      <w:proofErr w:type="spellEnd"/>
      <w:r w:rsidRPr="00933448">
        <w:t>-cel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4"/>
        <w:gridCol w:w="2774"/>
        <w:gridCol w:w="2774"/>
      </w:tblGrid>
      <w:tr w:rsidR="002F0531" w:rsidRPr="00933448" w14:paraId="2E529DFD" w14:textId="77777777">
        <w:trPr>
          <w:trHeight w:val="138"/>
        </w:trPr>
        <w:tc>
          <w:tcPr>
            <w:tcW w:w="2774" w:type="dxa"/>
            <w:shd w:val="clear" w:color="auto" w:fill="BFBFBF" w:themeFill="background1" w:themeFillShade="BF"/>
          </w:tcPr>
          <w:p w14:paraId="5C27470E" w14:textId="77777777" w:rsidR="00D95E54" w:rsidRPr="00933448" w:rsidRDefault="00D95E54">
            <w:pPr>
              <w:pStyle w:val="Tabletext0"/>
              <w:rPr>
                <w:b/>
                <w:bCs/>
                <w14:ligatures w14:val="standardContextual"/>
              </w:rPr>
            </w:pPr>
            <w:r w:rsidRPr="00933448">
              <w:rPr>
                <w:b/>
                <w:bCs/>
                <w14:ligatures w14:val="standardContextual"/>
              </w:rPr>
              <w:t xml:space="preserve">Description </w:t>
            </w:r>
          </w:p>
        </w:tc>
        <w:tc>
          <w:tcPr>
            <w:tcW w:w="2774" w:type="dxa"/>
            <w:shd w:val="clear" w:color="auto" w:fill="BFBFBF" w:themeFill="background1" w:themeFillShade="BF"/>
          </w:tcPr>
          <w:p w14:paraId="69DDBA7A" w14:textId="77777777" w:rsidR="00D95E54" w:rsidRPr="00933448" w:rsidRDefault="00D95E54">
            <w:pPr>
              <w:pStyle w:val="Tabletext0"/>
              <w:rPr>
                <w:b/>
                <w:bCs/>
                <w14:ligatures w14:val="standardContextual"/>
              </w:rPr>
            </w:pPr>
            <w:r w:rsidRPr="00933448">
              <w:rPr>
                <w:b/>
                <w:bCs/>
                <w14:ligatures w14:val="standardContextual"/>
              </w:rPr>
              <w:t xml:space="preserve">November 2023 </w:t>
            </w:r>
          </w:p>
        </w:tc>
        <w:tc>
          <w:tcPr>
            <w:tcW w:w="2774" w:type="dxa"/>
            <w:shd w:val="clear" w:color="auto" w:fill="BFBFBF" w:themeFill="background1" w:themeFillShade="BF"/>
          </w:tcPr>
          <w:p w14:paraId="7A47C4B7" w14:textId="77777777" w:rsidR="00D95E54" w:rsidRPr="00933448" w:rsidRDefault="00D95E54">
            <w:pPr>
              <w:pStyle w:val="Tabletext0"/>
              <w:rPr>
                <w:b/>
                <w:bCs/>
                <w14:ligatures w14:val="standardContextual"/>
              </w:rPr>
            </w:pPr>
            <w:r w:rsidRPr="00933448">
              <w:rPr>
                <w:b/>
                <w:bCs/>
                <w14:ligatures w14:val="standardContextual"/>
              </w:rPr>
              <w:t xml:space="preserve">April 2024 </w:t>
            </w:r>
          </w:p>
        </w:tc>
      </w:tr>
      <w:tr w:rsidR="00D95E54" w:rsidRPr="00933448" w14:paraId="1A7DED7E" w14:textId="77777777">
        <w:trPr>
          <w:trHeight w:val="133"/>
        </w:trPr>
        <w:tc>
          <w:tcPr>
            <w:tcW w:w="2774" w:type="dxa"/>
          </w:tcPr>
          <w:p w14:paraId="3283AFFA" w14:textId="77777777" w:rsidR="00D95E54" w:rsidRPr="00933448" w:rsidRDefault="00D95E54">
            <w:pPr>
              <w:pStyle w:val="Tabletext0"/>
              <w:rPr>
                <w14:ligatures w14:val="standardContextual"/>
              </w:rPr>
            </w:pPr>
            <w:proofErr w:type="spellStart"/>
            <w:r w:rsidRPr="00933448">
              <w:rPr>
                <w14:ligatures w14:val="standardContextual"/>
              </w:rPr>
              <w:t>Cilta</w:t>
            </w:r>
            <w:proofErr w:type="spellEnd"/>
            <w:r w:rsidRPr="00933448">
              <w:rPr>
                <w14:ligatures w14:val="standardContextual"/>
              </w:rPr>
              <w:t xml:space="preserve">-cel unit cost </w:t>
            </w:r>
          </w:p>
        </w:tc>
        <w:tc>
          <w:tcPr>
            <w:tcW w:w="2774" w:type="dxa"/>
          </w:tcPr>
          <w:p w14:paraId="0102E516" w14:textId="77184DBE" w:rsidR="00D95E54" w:rsidRPr="00067911" w:rsidRDefault="00D95E54">
            <w:pPr>
              <w:autoSpaceDE w:val="0"/>
              <w:autoSpaceDN w:val="0"/>
              <w:adjustRightInd w:val="0"/>
              <w:spacing w:after="0"/>
              <w:rPr>
                <w:rFonts w:ascii="Arial Narrow" w:eastAsia="Times New Roman" w:hAnsi="Arial Narrow" w:cs="Tahoma"/>
                <w:sz w:val="20"/>
                <w:szCs w:val="20"/>
                <w:highlight w:val="cyan"/>
                <w:lang w:eastAsia="en-AU"/>
                <w14:ligatures w14:val="standardContextual"/>
              </w:rPr>
            </w:pPr>
            <w:r w:rsidRPr="00822131">
              <w:rPr>
                <w:rFonts w:ascii="Arial Narrow" w:eastAsia="Times New Roman" w:hAnsi="Arial Narrow" w:cs="Tahoma"/>
                <w:sz w:val="20"/>
                <w:szCs w:val="20"/>
                <w:lang w:eastAsia="en-AU"/>
                <w14:ligatures w14:val="standardContextual"/>
              </w:rPr>
              <w:t>$</w:t>
            </w:r>
            <w:r w:rsidR="007E3177" w:rsidRPr="00307272">
              <w:rPr>
                <w:rFonts w:ascii="Arial Narrow" w:eastAsia="Times New Roman" w:hAnsi="Arial Narrow" w:cs="Tahoma"/>
                <w:color w:val="000000"/>
                <w:spacing w:val="53"/>
                <w:sz w:val="20"/>
                <w:szCs w:val="20"/>
                <w:shd w:val="solid" w:color="000000" w:fill="000000"/>
                <w:fitText w:val="330" w:id="-959204600"/>
                <w:lang w:eastAsia="en-AU"/>
                <w14:textFill>
                  <w14:solidFill>
                    <w14:srgbClr w14:val="000000">
                      <w14:alpha w14:val="100000"/>
                    </w14:srgbClr>
                  </w14:solidFill>
                </w14:textFill>
                <w14:ligatures w14:val="standardContextual"/>
              </w:rPr>
              <w:t>|||</w:t>
            </w:r>
            <w:r w:rsidR="007E3177" w:rsidRPr="00307272">
              <w:rPr>
                <w:rFonts w:ascii="Arial Narrow" w:eastAsia="Times New Roman" w:hAnsi="Arial Narrow" w:cs="Tahoma"/>
                <w:color w:val="000000"/>
                <w:spacing w:val="1"/>
                <w:sz w:val="20"/>
                <w:szCs w:val="20"/>
                <w:shd w:val="solid" w:color="000000" w:fill="000000"/>
                <w:fitText w:val="330" w:id="-959204600"/>
                <w:lang w:eastAsia="en-AU"/>
                <w14:textFill>
                  <w14:solidFill>
                    <w14:srgbClr w14:val="000000">
                      <w14:alpha w14:val="100000"/>
                    </w14:srgbClr>
                  </w14:solidFill>
                </w14:textFill>
                <w14:ligatures w14:val="standardContextual"/>
              </w:rPr>
              <w:t>|</w:t>
            </w:r>
            <w:r w:rsidR="007E3177" w:rsidRPr="00714789">
              <w:rPr>
                <w:rFonts w:ascii="Arial Narrow" w:hAnsi="Arial Narrow"/>
                <w:sz w:val="20"/>
                <w14:ligatures w14:val="standardContextual"/>
              </w:rPr>
              <w:t xml:space="preserve"> </w:t>
            </w:r>
          </w:p>
        </w:tc>
        <w:tc>
          <w:tcPr>
            <w:tcW w:w="2774" w:type="dxa"/>
          </w:tcPr>
          <w:p w14:paraId="671B399B" w14:textId="7A6B652F" w:rsidR="00D95E54" w:rsidRPr="00067911" w:rsidRDefault="00D95E54">
            <w:pPr>
              <w:autoSpaceDE w:val="0"/>
              <w:autoSpaceDN w:val="0"/>
              <w:adjustRightInd w:val="0"/>
              <w:spacing w:after="0"/>
              <w:rPr>
                <w:rFonts w:ascii="Arial Narrow" w:eastAsia="Times New Roman" w:hAnsi="Arial Narrow" w:cs="Tahoma"/>
                <w:sz w:val="20"/>
                <w:szCs w:val="20"/>
                <w:highlight w:val="cyan"/>
                <w:lang w:eastAsia="en-AU"/>
                <w14:ligatures w14:val="standardContextual"/>
              </w:rPr>
            </w:pPr>
            <w:r w:rsidRPr="00822131">
              <w:rPr>
                <w:rFonts w:ascii="Arial Narrow" w:eastAsia="Times New Roman" w:hAnsi="Arial Narrow" w:cs="Tahoma"/>
                <w:sz w:val="20"/>
                <w:szCs w:val="20"/>
                <w:lang w:eastAsia="en-AU"/>
                <w14:ligatures w14:val="standardContextual"/>
              </w:rPr>
              <w:t>$</w:t>
            </w:r>
            <w:r w:rsidR="007E3177" w:rsidRPr="00307272">
              <w:rPr>
                <w:rFonts w:ascii="Arial Narrow" w:eastAsia="Times New Roman" w:hAnsi="Arial Narrow" w:cs="Tahoma"/>
                <w:color w:val="000000"/>
                <w:spacing w:val="53"/>
                <w:sz w:val="20"/>
                <w:szCs w:val="20"/>
                <w:shd w:val="solid" w:color="000000" w:fill="000000"/>
                <w:fitText w:val="330" w:id="-959204599"/>
                <w:lang w:eastAsia="en-AU"/>
                <w14:textFill>
                  <w14:solidFill>
                    <w14:srgbClr w14:val="000000">
                      <w14:alpha w14:val="100000"/>
                    </w14:srgbClr>
                  </w14:solidFill>
                </w14:textFill>
                <w14:ligatures w14:val="standardContextual"/>
              </w:rPr>
              <w:t>|||</w:t>
            </w:r>
            <w:r w:rsidR="007E3177" w:rsidRPr="00307272">
              <w:rPr>
                <w:rFonts w:ascii="Arial Narrow" w:eastAsia="Times New Roman" w:hAnsi="Arial Narrow" w:cs="Tahoma"/>
                <w:color w:val="000000"/>
                <w:spacing w:val="1"/>
                <w:sz w:val="20"/>
                <w:szCs w:val="20"/>
                <w:shd w:val="solid" w:color="000000" w:fill="000000"/>
                <w:fitText w:val="330" w:id="-959204599"/>
                <w:lang w:eastAsia="en-AU"/>
                <w14:textFill>
                  <w14:solidFill>
                    <w14:srgbClr w14:val="000000">
                      <w14:alpha w14:val="100000"/>
                    </w14:srgbClr>
                  </w14:solidFill>
                </w14:textFill>
                <w14:ligatures w14:val="standardContextual"/>
              </w:rPr>
              <w:t>|</w:t>
            </w:r>
            <w:r w:rsidR="007E3177" w:rsidRPr="00714789">
              <w:rPr>
                <w:rFonts w:ascii="Arial Narrow" w:hAnsi="Arial Narrow"/>
                <w:sz w:val="20"/>
                <w14:ligatures w14:val="standardContextual"/>
              </w:rPr>
              <w:t xml:space="preserve"> </w:t>
            </w:r>
          </w:p>
        </w:tc>
      </w:tr>
      <w:tr w:rsidR="00D95E54" w:rsidRPr="00933448" w14:paraId="2C0AA594" w14:textId="77777777">
        <w:trPr>
          <w:trHeight w:val="133"/>
        </w:trPr>
        <w:tc>
          <w:tcPr>
            <w:tcW w:w="2774" w:type="dxa"/>
          </w:tcPr>
          <w:p w14:paraId="6C0CB537" w14:textId="0515C353" w:rsidR="00D95E54" w:rsidRPr="00067911" w:rsidRDefault="007E3177">
            <w:pPr>
              <w:pStyle w:val="Tabletext0"/>
              <w:rPr>
                <w:highlight w:val="cyan"/>
                <w14:ligatures w14:val="standardContextual"/>
              </w:rPr>
            </w:pPr>
            <w:r w:rsidRPr="00307272">
              <w:rPr>
                <w:color w:val="000000"/>
                <w:spacing w:val="53"/>
                <w:shd w:val="solid" w:color="000000" w:fill="000000"/>
                <w:fitText w:val="330" w:id="-959204598"/>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7"/>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3"/>
                <w14:textFill>
                  <w14:solidFill>
                    <w14:srgbClr w14:val="000000">
                      <w14:alpha w14:val="100000"/>
                    </w14:srgbClr>
                  </w14:solidFill>
                </w14:textFill>
                <w14:ligatures w14:val="standardContextual"/>
              </w:rPr>
              <w:t>|</w:t>
            </w:r>
            <w:r w:rsidRPr="007E3177">
              <w:rPr>
                <w14:ligatures w14:val="standardContextual"/>
              </w:rPr>
              <w:t xml:space="preserve"> </w:t>
            </w:r>
          </w:p>
        </w:tc>
        <w:tc>
          <w:tcPr>
            <w:tcW w:w="2774" w:type="dxa"/>
          </w:tcPr>
          <w:p w14:paraId="3E90F2E5" w14:textId="2EF2F562"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592"/>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592"/>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8"/>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8"/>
                <w14:textFill>
                  <w14:solidFill>
                    <w14:srgbClr w14:val="000000">
                      <w14:alpha w14:val="100000"/>
                    </w14:srgbClr>
                  </w14:solidFill>
                </w14:textFill>
                <w14:ligatures w14:val="standardContextual"/>
              </w:rPr>
              <w:t>|</w:t>
            </w:r>
            <w:r w:rsidR="007E3177" w:rsidRPr="007E3177">
              <w:rPr>
                <w14:ligatures w14:val="standardContextual"/>
              </w:rPr>
              <w:t xml:space="preserve"> </w:t>
            </w:r>
          </w:p>
        </w:tc>
        <w:tc>
          <w:tcPr>
            <w:tcW w:w="2774" w:type="dxa"/>
          </w:tcPr>
          <w:p w14:paraId="59C31507" w14:textId="39BC8D37"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7"/>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7"/>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6"/>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6"/>
                <w14:textFill>
                  <w14:solidFill>
                    <w14:srgbClr w14:val="000000">
                      <w14:alpha w14:val="100000"/>
                    </w14:srgbClr>
                  </w14:solidFill>
                </w14:textFill>
                <w14:ligatures w14:val="standardContextual"/>
              </w:rPr>
              <w:t>|</w:t>
            </w:r>
            <w:r w:rsidR="007E3177" w:rsidRPr="007E3177">
              <w:rPr>
                <w14:ligatures w14:val="standardContextual"/>
              </w:rPr>
              <w:t xml:space="preserve"> </w:t>
            </w:r>
          </w:p>
        </w:tc>
      </w:tr>
      <w:tr w:rsidR="00D95E54" w:rsidRPr="00933448" w14:paraId="0DD84D6A" w14:textId="77777777">
        <w:trPr>
          <w:trHeight w:val="255"/>
        </w:trPr>
        <w:tc>
          <w:tcPr>
            <w:tcW w:w="2774" w:type="dxa"/>
          </w:tcPr>
          <w:p w14:paraId="2F7EF828" w14:textId="11823DF1" w:rsidR="00D95E54" w:rsidRPr="00067911" w:rsidRDefault="007E3177">
            <w:pPr>
              <w:pStyle w:val="Tabletext0"/>
              <w:rPr>
                <w:highlight w:val="cyan"/>
                <w14:ligatures w14:val="standardContextual"/>
              </w:rPr>
            </w:pPr>
            <w:r w:rsidRPr="00307272">
              <w:rPr>
                <w:color w:val="000000"/>
                <w:spacing w:val="53"/>
                <w:shd w:val="solid" w:color="000000" w:fill="000000"/>
                <w:fitText w:val="330" w:id="-95920460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604"/>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60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3"/>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2"/>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2"/>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1"/>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1"/>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0"/>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0"/>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9"/>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9"/>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8"/>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7"/>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3"/>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2"/>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2"/>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8"/>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7"/>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60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604"/>
                <w14:textFill>
                  <w14:solidFill>
                    <w14:srgbClr w14:val="000000">
                      <w14:alpha w14:val="100000"/>
                    </w14:srgbClr>
                  </w14:solidFill>
                </w14:textFill>
                <w14:ligatures w14:val="standardContextual"/>
              </w:rPr>
              <w:t>|</w:t>
            </w:r>
            <w:r w:rsidRPr="007E3177">
              <w:rPr>
                <w14:ligatures w14:val="standardContextual"/>
              </w:rPr>
              <w:t xml:space="preserve"> </w:t>
            </w:r>
          </w:p>
        </w:tc>
        <w:tc>
          <w:tcPr>
            <w:tcW w:w="2774" w:type="dxa"/>
          </w:tcPr>
          <w:p w14:paraId="3502E4C2" w14:textId="4C8EFA8D"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3"/>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3"/>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2"/>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2"/>
                <w14:textFill>
                  <w14:solidFill>
                    <w14:srgbClr w14:val="000000">
                      <w14:alpha w14:val="100000"/>
                    </w14:srgbClr>
                  </w14:solidFill>
                </w14:textFill>
                <w14:ligatures w14:val="standardContextual"/>
              </w:rPr>
              <w:t>|</w:t>
            </w:r>
            <w:r w:rsidR="007E3177" w:rsidRPr="007E3177">
              <w:rPr>
                <w14:ligatures w14:val="standardContextual"/>
              </w:rPr>
              <w:t xml:space="preserve"> </w:t>
            </w:r>
          </w:p>
        </w:tc>
        <w:tc>
          <w:tcPr>
            <w:tcW w:w="2774" w:type="dxa"/>
          </w:tcPr>
          <w:p w14:paraId="4B0EB23B" w14:textId="242ECF50"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1"/>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1"/>
                <w14:textFill>
                  <w14:solidFill>
                    <w14:srgbClr w14:val="000000">
                      <w14:alpha w14:val="100000"/>
                    </w14:srgbClr>
                  </w14:solidFill>
                </w14:textFill>
                <w14:ligatures w14:val="standardContextual"/>
              </w:rPr>
              <w:t>|</w:t>
            </w:r>
            <w:r w:rsidR="007E3177" w:rsidRPr="007E3177">
              <w:rPr>
                <w14:ligatures w14:val="standardContextual"/>
              </w:rPr>
              <w:t xml:space="preserve"> </w:t>
            </w:r>
            <w:r w:rsidR="007E3177" w:rsidRPr="00307272">
              <w:rPr>
                <w:color w:val="000000"/>
                <w:spacing w:val="49"/>
                <w:shd w:val="solid" w:color="000000" w:fill="000000"/>
                <w:fitText w:val="320" w:id="-959204600"/>
                <w14:textFill>
                  <w14:solidFill>
                    <w14:srgbClr w14:val="000000">
                      <w14:alpha w14:val="100000"/>
                    </w14:srgbClr>
                  </w14:solidFill>
                </w14:textFill>
                <w14:ligatures w14:val="standardContextual"/>
              </w:rPr>
              <w:t>|||</w:t>
            </w:r>
            <w:r w:rsidR="007E3177" w:rsidRPr="00307272">
              <w:rPr>
                <w:color w:val="000000"/>
                <w:spacing w:val="3"/>
                <w:shd w:val="solid" w:color="000000" w:fill="000000"/>
                <w:fitText w:val="320" w:id="-959204600"/>
                <w14:textFill>
                  <w14:solidFill>
                    <w14:srgbClr w14:val="000000">
                      <w14:alpha w14:val="100000"/>
                    </w14:srgbClr>
                  </w14:solidFill>
                </w14:textFill>
                <w14:ligatures w14:val="standardContextual"/>
              </w:rPr>
              <w:t>|</w:t>
            </w:r>
            <w:r w:rsidR="007E3177" w:rsidRPr="007E3177">
              <w:rPr>
                <w14:ligatures w14:val="standardContextual"/>
              </w:rPr>
              <w:t xml:space="preserve"> </w:t>
            </w:r>
          </w:p>
        </w:tc>
      </w:tr>
      <w:tr w:rsidR="00D95E54" w:rsidRPr="00933448" w14:paraId="4C345995" w14:textId="77777777">
        <w:trPr>
          <w:trHeight w:val="133"/>
        </w:trPr>
        <w:tc>
          <w:tcPr>
            <w:tcW w:w="2774" w:type="dxa"/>
          </w:tcPr>
          <w:p w14:paraId="3E1E9607" w14:textId="32D3EC9B" w:rsidR="00D95E54" w:rsidRPr="00067911" w:rsidRDefault="007E3177">
            <w:pPr>
              <w:pStyle w:val="Tabletext0"/>
              <w:rPr>
                <w:highlight w:val="cyan"/>
                <w14:ligatures w14:val="standardContextual"/>
              </w:rPr>
            </w:pPr>
            <w:r w:rsidRPr="00307272">
              <w:rPr>
                <w:color w:val="000000"/>
                <w:spacing w:val="53"/>
                <w:shd w:val="solid" w:color="000000" w:fill="000000"/>
                <w:fitText w:val="330" w:id="-959204599"/>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9"/>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49"/>
                <w:shd w:val="solid" w:color="000000" w:fill="000000"/>
                <w:fitText w:val="320" w:id="-959204598"/>
                <w14:textFill>
                  <w14:solidFill>
                    <w14:srgbClr w14:val="000000">
                      <w14:alpha w14:val="100000"/>
                    </w14:srgbClr>
                  </w14:solidFill>
                </w14:textFill>
                <w14:ligatures w14:val="standardContextual"/>
              </w:rPr>
              <w:t>|||</w:t>
            </w:r>
            <w:r w:rsidRPr="00307272">
              <w:rPr>
                <w:color w:val="000000"/>
                <w:spacing w:val="3"/>
                <w:shd w:val="solid" w:color="000000" w:fill="000000"/>
                <w:fitText w:val="320" w:id="-959204598"/>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7"/>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7"/>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6"/>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6"/>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5"/>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5"/>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4"/>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4"/>
                <w14:textFill>
                  <w14:solidFill>
                    <w14:srgbClr w14:val="000000">
                      <w14:alpha w14:val="100000"/>
                    </w14:srgbClr>
                  </w14:solidFill>
                </w14:textFill>
                <w14:ligatures w14:val="standardContextual"/>
              </w:rPr>
              <w:t>|</w:t>
            </w:r>
            <w:r w:rsidRPr="007E3177">
              <w:rPr>
                <w14:ligatures w14:val="standardContextual"/>
              </w:rPr>
              <w:t xml:space="preserve"> </w:t>
            </w:r>
            <w:r w:rsidRPr="00307272">
              <w:rPr>
                <w:color w:val="000000"/>
                <w:spacing w:val="53"/>
                <w:shd w:val="solid" w:color="000000" w:fill="000000"/>
                <w:fitText w:val="330" w:id="-959204593"/>
                <w14:textFill>
                  <w14:solidFill>
                    <w14:srgbClr w14:val="000000">
                      <w14:alpha w14:val="100000"/>
                    </w14:srgbClr>
                  </w14:solidFill>
                </w14:textFill>
                <w14:ligatures w14:val="standardContextual"/>
              </w:rPr>
              <w:t>|||</w:t>
            </w:r>
            <w:r w:rsidRPr="00307272">
              <w:rPr>
                <w:color w:val="000000"/>
                <w:spacing w:val="1"/>
                <w:shd w:val="solid" w:color="000000" w:fill="000000"/>
                <w:fitText w:val="330" w:id="-959204593"/>
                <w14:textFill>
                  <w14:solidFill>
                    <w14:srgbClr w14:val="000000">
                      <w14:alpha w14:val="100000"/>
                    </w14:srgbClr>
                  </w14:solidFill>
                </w14:textFill>
                <w14:ligatures w14:val="standardContextual"/>
              </w:rPr>
              <w:t>|</w:t>
            </w:r>
            <w:r w:rsidRPr="007E3177">
              <w:rPr>
                <w14:ligatures w14:val="standardContextual"/>
              </w:rPr>
              <w:t xml:space="preserve"> </w:t>
            </w:r>
          </w:p>
        </w:tc>
        <w:tc>
          <w:tcPr>
            <w:tcW w:w="2774" w:type="dxa"/>
          </w:tcPr>
          <w:p w14:paraId="366E5F10" w14:textId="0728C729"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592"/>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592"/>
                <w14:textFill>
                  <w14:solidFill>
                    <w14:srgbClr w14:val="000000">
                      <w14:alpha w14:val="100000"/>
                    </w14:srgbClr>
                  </w14:solidFill>
                </w14:textFill>
                <w14:ligatures w14:val="standardContextual"/>
              </w:rPr>
              <w:t>|</w:t>
            </w:r>
            <w:r w:rsidR="007E3177" w:rsidRPr="00714789">
              <w:rPr>
                <w14:ligatures w14:val="standardContextual"/>
              </w:rPr>
              <w:t xml:space="preserve"> </w:t>
            </w:r>
          </w:p>
        </w:tc>
        <w:tc>
          <w:tcPr>
            <w:tcW w:w="2774" w:type="dxa"/>
          </w:tcPr>
          <w:p w14:paraId="4341BE75" w14:textId="426D22FF" w:rsidR="00D95E54" w:rsidRPr="00067911" w:rsidRDefault="00D95E54">
            <w:pPr>
              <w:pStyle w:val="Tabletext0"/>
              <w:rPr>
                <w:highlight w:val="cyan"/>
                <w14:ligatures w14:val="standardContextual"/>
              </w:rPr>
            </w:pPr>
            <w:r w:rsidRPr="00822131">
              <w:rPr>
                <w14:ligatures w14:val="standardContextual"/>
              </w:rPr>
              <w:t>$</w:t>
            </w:r>
            <w:r w:rsidR="007E3177" w:rsidRPr="00307272">
              <w:rPr>
                <w:color w:val="000000"/>
                <w:spacing w:val="53"/>
                <w:shd w:val="solid" w:color="000000" w:fill="000000"/>
                <w:fitText w:val="330" w:id="-959204608"/>
                <w14:textFill>
                  <w14:solidFill>
                    <w14:srgbClr w14:val="000000">
                      <w14:alpha w14:val="100000"/>
                    </w14:srgbClr>
                  </w14:solidFill>
                </w14:textFill>
                <w14:ligatures w14:val="standardContextual"/>
              </w:rPr>
              <w:t>|||</w:t>
            </w:r>
            <w:r w:rsidR="007E3177" w:rsidRPr="00307272">
              <w:rPr>
                <w:color w:val="000000"/>
                <w:spacing w:val="1"/>
                <w:shd w:val="solid" w:color="000000" w:fill="000000"/>
                <w:fitText w:val="330" w:id="-959204608"/>
                <w14:textFill>
                  <w14:solidFill>
                    <w14:srgbClr w14:val="000000">
                      <w14:alpha w14:val="100000"/>
                    </w14:srgbClr>
                  </w14:solidFill>
                </w14:textFill>
                <w14:ligatures w14:val="standardContextual"/>
              </w:rPr>
              <w:t>|</w:t>
            </w:r>
            <w:r w:rsidR="007E3177" w:rsidRPr="00714789">
              <w:rPr>
                <w14:ligatures w14:val="standardContextual"/>
              </w:rPr>
              <w:t xml:space="preserve"> </w:t>
            </w:r>
          </w:p>
        </w:tc>
      </w:tr>
    </w:tbl>
    <w:p w14:paraId="0F5D831F" w14:textId="77777777" w:rsidR="00D95E54" w:rsidRPr="00933448" w:rsidRDefault="00D95E54" w:rsidP="00D95E54">
      <w:pPr>
        <w:tabs>
          <w:tab w:val="num" w:pos="426"/>
        </w:tabs>
        <w:spacing w:after="16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Source:</w:t>
      </w:r>
      <w:r w:rsidRPr="00D95E54">
        <w:rPr>
          <w:rFonts w:ascii="Arial Narrow" w:hAnsi="Arial Narrow"/>
          <w:bCs/>
          <w:kern w:val="2"/>
          <w:sz w:val="18"/>
          <w:szCs w:val="18"/>
          <w14:ligatures w14:val="standardContextual"/>
        </w:rPr>
        <w:t xml:space="preserve"> 1690.1 ADAR and</w:t>
      </w:r>
      <w:r w:rsidRPr="00933448">
        <w:rPr>
          <w:rFonts w:ascii="Arial Narrow" w:hAnsi="Arial Narrow"/>
          <w:bCs/>
          <w:kern w:val="2"/>
          <w:sz w:val="18"/>
          <w:szCs w:val="18"/>
          <w14:ligatures w14:val="standardContextual"/>
        </w:rPr>
        <w:t xml:space="preserve"> </w:t>
      </w:r>
      <w:r w:rsidRPr="00D95E54">
        <w:rPr>
          <w:rFonts w:ascii="Arial Narrow" w:hAnsi="Arial Narrow"/>
          <w:bCs/>
          <w:kern w:val="2"/>
          <w:sz w:val="18"/>
          <w:szCs w:val="18"/>
          <w14:ligatures w14:val="standardContextual"/>
        </w:rPr>
        <w:t>r</w:t>
      </w:r>
      <w:r w:rsidRPr="00933448">
        <w:rPr>
          <w:rFonts w:ascii="Arial Narrow" w:hAnsi="Arial Narrow"/>
          <w:bCs/>
          <w:kern w:val="2"/>
          <w:sz w:val="18"/>
          <w:szCs w:val="18"/>
          <w14:ligatures w14:val="standardContextual"/>
        </w:rPr>
        <w:t xml:space="preserve">esubmission letter for </w:t>
      </w:r>
      <w:proofErr w:type="spellStart"/>
      <w:r w:rsidRPr="00933448">
        <w:rPr>
          <w:rFonts w:ascii="Arial Narrow" w:hAnsi="Arial Narrow"/>
          <w:bCs/>
          <w:kern w:val="2"/>
          <w:sz w:val="18"/>
          <w:szCs w:val="18"/>
          <w14:ligatures w14:val="standardContextual"/>
        </w:rPr>
        <w:t>cilta</w:t>
      </w:r>
      <w:proofErr w:type="spellEnd"/>
      <w:r w:rsidRPr="00933448">
        <w:rPr>
          <w:rFonts w:ascii="Arial Narrow" w:hAnsi="Arial Narrow"/>
          <w:bCs/>
          <w:kern w:val="2"/>
          <w:sz w:val="18"/>
          <w:szCs w:val="18"/>
          <w14:ligatures w14:val="standardContextual"/>
        </w:rPr>
        <w:t>-cel received 0</w:t>
      </w:r>
      <w:r w:rsidRPr="00D95E54">
        <w:rPr>
          <w:rFonts w:ascii="Arial Narrow" w:hAnsi="Arial Narrow"/>
          <w:bCs/>
          <w:kern w:val="2"/>
          <w:sz w:val="18"/>
          <w:szCs w:val="18"/>
          <w14:ligatures w14:val="standardContextual"/>
        </w:rPr>
        <w:t>1</w:t>
      </w:r>
      <w:r w:rsidRPr="00933448">
        <w:rPr>
          <w:rFonts w:ascii="Arial Narrow" w:hAnsi="Arial Narrow"/>
          <w:bCs/>
          <w:kern w:val="2"/>
          <w:sz w:val="18"/>
          <w:szCs w:val="18"/>
          <w14:ligatures w14:val="standardContextual"/>
        </w:rPr>
        <w:t xml:space="preserve"> March 2024</w:t>
      </w:r>
    </w:p>
    <w:p w14:paraId="117BF583" w14:textId="77777777" w:rsidR="00D95E54" w:rsidRPr="00933448" w:rsidRDefault="00D95E54" w:rsidP="00D95E54">
      <w:pPr>
        <w:spacing w:after="160" w:line="259" w:lineRule="auto"/>
        <w:rPr>
          <w:rFonts w:ascii="Franklin Gothic Book" w:hAnsi="Franklin Gothic Book"/>
          <w:kern w:val="2"/>
          <w14:ligatures w14:val="standardContextual"/>
        </w:rPr>
      </w:pPr>
      <w:r w:rsidRPr="002519A9">
        <w:rPr>
          <w:rFonts w:ascii="Franklin Gothic Book" w:hAnsi="Franklin Gothic Book"/>
          <w:kern w:val="2"/>
          <w14:ligatures w14:val="standardContextual"/>
        </w:rPr>
        <w:t xml:space="preserve">MSAC considered the applicant’s persistent unwillingness to negotiate on the price of </w:t>
      </w:r>
      <w:proofErr w:type="spellStart"/>
      <w:r w:rsidRPr="002519A9">
        <w:rPr>
          <w:rFonts w:ascii="Franklin Gothic Book" w:hAnsi="Franklin Gothic Book"/>
          <w:kern w:val="2"/>
          <w14:ligatures w14:val="standardContextual"/>
        </w:rPr>
        <w:t>cilta</w:t>
      </w:r>
      <w:proofErr w:type="spellEnd"/>
      <w:r w:rsidRPr="002519A9">
        <w:rPr>
          <w:rFonts w:ascii="Franklin Gothic Book" w:hAnsi="Franklin Gothic Book"/>
          <w:kern w:val="2"/>
          <w14:ligatures w14:val="standardContextual"/>
        </w:rPr>
        <w:t>-cel and address MSAC’s concerns was delaying access to funded treatment for Australian patients. Given</w:t>
      </w:r>
      <w:r w:rsidRPr="00933448">
        <w:rPr>
          <w:rFonts w:ascii="Franklin Gothic Book" w:hAnsi="Franklin Gothic Book"/>
          <w:kern w:val="2"/>
          <w14:ligatures w14:val="standardContextual"/>
        </w:rPr>
        <w:t xml:space="preserve"> the high and unmet clinical need for an effective treatment option to be available to patients in the 5L+ RRMM setting, MSAC considered it was necessary to establish an alternative way forward than what was proposed by the applicant </w:t>
      </w:r>
      <w:r w:rsidRPr="00D95E54">
        <w:rPr>
          <w:rFonts w:ascii="Franklin Gothic Book" w:hAnsi="Franklin Gothic Book"/>
          <w:kern w:val="2"/>
          <w14:ligatures w14:val="standardContextual"/>
        </w:rPr>
        <w:t>to</w:t>
      </w:r>
      <w:r w:rsidRPr="00933448">
        <w:rPr>
          <w:rFonts w:ascii="Franklin Gothic Book" w:hAnsi="Franklin Gothic Book"/>
          <w:kern w:val="2"/>
          <w14:ligatures w14:val="standardContextual"/>
        </w:rPr>
        <w:t xml:space="preserve"> enable publicly funded access to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w:t>
      </w:r>
    </w:p>
    <w:p w14:paraId="5B864D5F" w14:textId="54C8408E"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supported the public funding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for patients with 5L+ RRMM at the </w:t>
      </w:r>
      <w:r w:rsidRPr="00123312">
        <w:rPr>
          <w:rFonts w:ascii="Franklin Gothic Book" w:hAnsi="Franklin Gothic Book"/>
          <w:kern w:val="2"/>
          <w14:ligatures w14:val="standardContextual"/>
        </w:rPr>
        <w:t>requested unit price of</w:t>
      </w:r>
      <w:r w:rsidR="00714789">
        <w:rPr>
          <w:rFonts w:ascii="Franklin Gothic Book" w:hAnsi="Franklin Gothic Book"/>
          <w:kern w:val="2"/>
          <w14:ligatures w14:val="standardContextual"/>
        </w:rPr>
        <w:t xml:space="preserve"> </w:t>
      </w:r>
      <w:r w:rsidRPr="00123312">
        <w:rPr>
          <w:rFonts w:ascii="Franklin Gothic Book" w:hAnsi="Franklin Gothic Book"/>
          <w:kern w:val="2"/>
          <w14:ligatures w14:val="standardContextual"/>
        </w:rPr>
        <w:t>$</w:t>
      </w:r>
      <w:r w:rsidR="007E3177" w:rsidRPr="00307272">
        <w:rPr>
          <w:rFonts w:ascii="Franklin Gothic Book" w:hAnsi="Franklin Gothic Book"/>
          <w:color w:val="000000"/>
          <w:w w:val="66"/>
          <w:shd w:val="solid" w:color="000000" w:fill="000000"/>
          <w:fitText w:val="440" w:id="-959204607"/>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7"/>
          <w14:textFill>
            <w14:solidFill>
              <w14:srgbClr w14:val="000000">
                <w14:alpha w14:val="100000"/>
              </w14:srgbClr>
            </w14:solidFill>
          </w14:textFill>
          <w14:ligatures w14:val="standardContextual"/>
        </w:rPr>
        <w:t>|</w:t>
      </w:r>
      <w:r w:rsidRPr="00933448">
        <w:rPr>
          <w:rFonts w:ascii="Franklin Gothic Book" w:hAnsi="Franklin Gothic Book"/>
          <w:kern w:val="2"/>
          <w14:ligatures w14:val="standardContextual"/>
        </w:rPr>
        <w:t xml:space="preserve">, but only if based on a </w:t>
      </w:r>
      <w:proofErr w:type="spellStart"/>
      <w:r w:rsidRPr="00933448">
        <w:rPr>
          <w:rFonts w:ascii="Franklin Gothic Book" w:hAnsi="Franklin Gothic Book"/>
          <w:kern w:val="2"/>
          <w14:ligatures w14:val="standardContextual"/>
        </w:rPr>
        <w:t>PfP</w:t>
      </w:r>
      <w:proofErr w:type="spellEnd"/>
      <w:r w:rsidRPr="00933448">
        <w:rPr>
          <w:rFonts w:ascii="Franklin Gothic Book" w:hAnsi="Franklin Gothic Book"/>
          <w:kern w:val="2"/>
          <w14:ligatures w14:val="standardContextual"/>
        </w:rPr>
        <w:t xml:space="preserve"> arrangement that appropriately managed the clinical, economic and financial uncertainty associated with the public funding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In reviewing the clinical data, MSAC noted the CARTITUDE-1 phase 1b/2 single arm study, where the treated cohort continued to accrue disease progression events over a period 4 years</w:t>
      </w:r>
      <w:r w:rsidR="002901BD">
        <w:rPr>
          <w:rFonts w:ascii="Franklin Gothic Book" w:hAnsi="Franklin Gothic Book"/>
          <w:kern w:val="2"/>
          <w14:ligatures w14:val="standardContextual"/>
        </w:rPr>
        <w:t xml:space="preserve"> </w:t>
      </w:r>
      <w:r w:rsidR="00B7604F">
        <w:rPr>
          <w:rFonts w:ascii="Franklin Gothic Book" w:hAnsi="Franklin Gothic Book"/>
          <w:kern w:val="2"/>
          <w14:ligatures w14:val="standardContextual"/>
        </w:rPr>
        <w:br/>
      </w:r>
      <w:r w:rsidRPr="00933448">
        <w:rPr>
          <w:rFonts w:ascii="Franklin Gothic Book" w:hAnsi="Franklin Gothic Book"/>
          <w:kern w:val="2"/>
          <w14:ligatures w14:val="standardContextual"/>
        </w:rPr>
        <w:t>(</w:t>
      </w:r>
      <w:r w:rsidRPr="00D95E54">
        <w:rPr>
          <w:rFonts w:ascii="Franklin Gothic Book" w:hAnsi="Franklin Gothic Book"/>
          <w:kern w:val="2"/>
          <w14:ligatures w14:val="standardContextual"/>
        </w:rPr>
        <w:t>Figure</w:t>
      </w:r>
      <w:r w:rsidR="00F026E6">
        <w:rPr>
          <w:rFonts w:ascii="Franklin Gothic Book" w:hAnsi="Franklin Gothic Book"/>
          <w:kern w:val="2"/>
          <w14:ligatures w14:val="standardContextual"/>
        </w:rPr>
        <w:t xml:space="preserve"> 1</w:t>
      </w:r>
      <w:r w:rsidR="002901BD">
        <w:rPr>
          <w:rFonts w:ascii="Franklin Gothic Book" w:hAnsi="Franklin Gothic Book"/>
          <w:kern w:val="2"/>
          <w14:ligatures w14:val="standardContextual"/>
        </w:rPr>
        <w:t>, Figure 2</w:t>
      </w:r>
      <w:r w:rsidRPr="00933448">
        <w:rPr>
          <w:rFonts w:ascii="Franklin Gothic Book" w:hAnsi="Franklin Gothic Book"/>
          <w:kern w:val="2"/>
          <w14:ligatures w14:val="standardContextual"/>
        </w:rPr>
        <w:t xml:space="preserve">) </w:t>
      </w:r>
      <w:bookmarkStart w:id="11" w:name="_Hlk170122377"/>
      <w:r w:rsidRPr="00123312">
        <w:rPr>
          <w:rFonts w:ascii="Franklin Gothic Book" w:hAnsi="Franklin Gothic Book"/>
          <w:kern w:val="2"/>
          <w14:ligatures w14:val="standardContextual"/>
        </w:rPr>
        <w:t>and therefore considered a</w:t>
      </w:r>
      <w:r w:rsidR="00714789">
        <w:rPr>
          <w:rFonts w:ascii="Franklin Gothic Book" w:hAnsi="Franklin Gothic Book"/>
          <w:kern w:val="2"/>
          <w14:ligatures w14:val="standardContextual"/>
        </w:rPr>
        <w:t xml:space="preserve"> </w:t>
      </w:r>
      <w:r w:rsidR="007E3177" w:rsidRPr="00307272">
        <w:rPr>
          <w:rFonts w:ascii="Franklin Gothic Book" w:hAnsi="Franklin Gothic Book"/>
          <w:color w:val="000000"/>
          <w:w w:val="66"/>
          <w:shd w:val="solid" w:color="000000" w:fill="000000"/>
          <w:fitText w:val="440" w:id="-959204606"/>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6"/>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307272">
        <w:rPr>
          <w:rFonts w:ascii="Franklin Gothic Book" w:hAnsi="Franklin Gothic Book"/>
          <w:color w:val="000000"/>
          <w:w w:val="66"/>
          <w:shd w:val="solid" w:color="000000" w:fill="000000"/>
          <w:fitText w:val="440" w:id="-959204605"/>
          <w14:textFill>
            <w14:solidFill>
              <w14:srgbClr w14:val="000000">
                <w14:alpha w14:val="100000"/>
              </w14:srgbClr>
            </w14:solidFill>
          </w14:textFill>
          <w14:ligatures w14:val="standardContextual"/>
        </w:rPr>
        <w:t>|||||</w:t>
      </w:r>
      <w:r w:rsidR="007E3177" w:rsidRPr="00307272">
        <w:rPr>
          <w:rFonts w:ascii="Franklin Gothic Book" w:hAnsi="Franklin Gothic Book"/>
          <w:color w:val="000000"/>
          <w:spacing w:val="4"/>
          <w:w w:val="66"/>
          <w:shd w:val="solid" w:color="000000" w:fill="000000"/>
          <w:fitText w:val="440" w:id="-959204605"/>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714789">
        <w:rPr>
          <w:rFonts w:ascii="Franklin Gothic Book" w:hAnsi="Franklin Gothic Book"/>
          <w:color w:val="000000"/>
          <w:w w:val="66"/>
          <w:shd w:val="solid" w:color="000000" w:fill="000000"/>
          <w:fitText w:val="440" w:id="-959204604"/>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Pr="00123312">
        <w:rPr>
          <w:rFonts w:ascii="Franklin Gothic Book" w:hAnsi="Franklin Gothic Book"/>
          <w:kern w:val="2"/>
          <w14:ligatures w14:val="standardContextual"/>
        </w:rPr>
        <w:t xml:space="preserve">to estimate a durable response would not be appropriate. MSAC advised an extended </w:t>
      </w:r>
      <w:proofErr w:type="spellStart"/>
      <w:r w:rsidRPr="00123312">
        <w:rPr>
          <w:rFonts w:ascii="Franklin Gothic Book" w:hAnsi="Franklin Gothic Book"/>
          <w:kern w:val="2"/>
          <w14:ligatures w14:val="standardContextual"/>
        </w:rPr>
        <w:t>PfP</w:t>
      </w:r>
      <w:proofErr w:type="spellEnd"/>
      <w:r w:rsidRPr="00123312">
        <w:rPr>
          <w:rFonts w:ascii="Franklin Gothic Book" w:hAnsi="Franklin Gothic Book"/>
          <w:kern w:val="2"/>
          <w14:ligatures w14:val="standardContextual"/>
        </w:rPr>
        <w:t xml:space="preserve"> arrangement reflecting </w:t>
      </w:r>
      <w:proofErr w:type="gramStart"/>
      <w:r w:rsidRPr="00123312">
        <w:rPr>
          <w:rFonts w:ascii="Franklin Gothic Book" w:hAnsi="Franklin Gothic Book"/>
          <w:kern w:val="2"/>
          <w14:ligatures w14:val="standardContextual"/>
        </w:rPr>
        <w:t>that patients</w:t>
      </w:r>
      <w:proofErr w:type="gramEnd"/>
      <w:r w:rsidRPr="00123312">
        <w:rPr>
          <w:rFonts w:ascii="Franklin Gothic Book" w:hAnsi="Franklin Gothic Book"/>
          <w:kern w:val="2"/>
          <w14:ligatures w14:val="standardContextual"/>
        </w:rPr>
        <w:t xml:space="preserve"> continued to relapse over a period of 4 years </w:t>
      </w:r>
      <w:bookmarkEnd w:id="11"/>
      <w:r w:rsidRPr="00123312">
        <w:rPr>
          <w:rFonts w:ascii="Franklin Gothic Book" w:hAnsi="Franklin Gothic Book"/>
          <w:kern w:val="2"/>
          <w14:ligatures w14:val="standardContextual"/>
        </w:rPr>
        <w:t>was required to ap</w:t>
      </w:r>
      <w:r w:rsidRPr="00933448">
        <w:rPr>
          <w:rFonts w:ascii="Franklin Gothic Book" w:hAnsi="Franklin Gothic Book"/>
          <w:kern w:val="2"/>
          <w14:ligatures w14:val="standardContextual"/>
        </w:rPr>
        <w:t xml:space="preserve">propriately balance the high ICER and very high price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against the uncertainty related to the magnitude of benefit and durability of response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claims to provide to patients. This included:</w:t>
      </w:r>
    </w:p>
    <w:p w14:paraId="4A532AD9"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bookmarkStart w:id="12" w:name="_Hlk170122463"/>
      <w:r w:rsidRPr="00933448">
        <w:rPr>
          <w:rFonts w:ascii="Franklin Gothic Book" w:hAnsi="Franklin Gothic Book"/>
          <w:kern w:val="2"/>
          <w14:ligatures w14:val="standardContextual"/>
        </w:rPr>
        <w:t xml:space="preserve">A </w:t>
      </w:r>
      <w:proofErr w:type="spellStart"/>
      <w:r w:rsidRPr="00933448">
        <w:rPr>
          <w:rFonts w:ascii="Franklin Gothic Book" w:hAnsi="Franklin Gothic Book"/>
          <w:kern w:val="2"/>
          <w14:ligatures w14:val="standardContextual"/>
        </w:rPr>
        <w:t>PfP</w:t>
      </w:r>
      <w:proofErr w:type="spellEnd"/>
      <w:r w:rsidRPr="00933448">
        <w:rPr>
          <w:rFonts w:ascii="Franklin Gothic Book" w:hAnsi="Franklin Gothic Book"/>
          <w:kern w:val="2"/>
          <w14:ligatures w14:val="standardContextual"/>
        </w:rPr>
        <w:t xml:space="preserve"> arrangement composed of the following payment structure: </w:t>
      </w:r>
    </w:p>
    <w:p w14:paraId="739FB1E7" w14:textId="5EA3D7E8" w:rsidR="00D95E54" w:rsidRPr="004F08DC" w:rsidRDefault="00D95E54" w:rsidP="00D95E54">
      <w:pPr>
        <w:numPr>
          <w:ilvl w:val="1"/>
          <w:numId w:val="31"/>
        </w:numPr>
        <w:spacing w:after="160" w:line="259" w:lineRule="auto"/>
        <w:contextualSpacing/>
        <w:rPr>
          <w:rFonts w:ascii="Franklin Gothic Book" w:hAnsi="Franklin Gothic Book"/>
          <w:kern w:val="2"/>
          <w14:ligatures w14:val="standardContextual"/>
        </w:rPr>
      </w:pPr>
      <w:r w:rsidRPr="004F08DC">
        <w:rPr>
          <w:rFonts w:ascii="Franklin Gothic Book" w:hAnsi="Franklin Gothic Book"/>
          <w:kern w:val="2"/>
          <w14:ligatures w14:val="standardContextual"/>
        </w:rPr>
        <w:t>an initial payment only on successful infusion (up to $</w:t>
      </w:r>
      <w:r w:rsidR="007E3177" w:rsidRPr="007E3177">
        <w:rPr>
          <w:rFonts w:ascii="Franklin Gothic Book" w:hAnsi="Franklin Gothic Book"/>
          <w:color w:val="000000"/>
          <w:kern w:val="2"/>
          <w:shd w:val="solid" w:color="000000" w:fill="000000"/>
          <w14:textFill>
            <w14:solidFill>
              <w14:srgbClr w14:val="000000">
                <w14:alpha w14:val="100000"/>
              </w14:srgbClr>
            </w14:solidFill>
          </w14:textFill>
          <w14:ligatures w14:val="standardContextual"/>
        </w:rPr>
        <w:t>|</w:t>
      </w:r>
      <w:r w:rsidRPr="004F08DC">
        <w:rPr>
          <w:rFonts w:ascii="Franklin Gothic Book" w:hAnsi="Franklin Gothic Book"/>
          <w:kern w:val="2"/>
          <w14:ligatures w14:val="standardContextual"/>
        </w:rPr>
        <w:t>); and</w:t>
      </w:r>
    </w:p>
    <w:p w14:paraId="5078DA69" w14:textId="1BA699DB" w:rsidR="00D95E54" w:rsidRPr="004F08DC" w:rsidRDefault="00D95E54" w:rsidP="00D95E54">
      <w:pPr>
        <w:numPr>
          <w:ilvl w:val="1"/>
          <w:numId w:val="31"/>
        </w:numPr>
        <w:spacing w:after="160" w:line="259" w:lineRule="auto"/>
        <w:contextualSpacing/>
        <w:rPr>
          <w:rFonts w:ascii="Franklin Gothic Book" w:hAnsi="Franklin Gothic Book"/>
          <w:kern w:val="2"/>
          <w14:ligatures w14:val="standardContextual"/>
        </w:rPr>
      </w:pPr>
      <w:r w:rsidRPr="004F08DC">
        <w:rPr>
          <w:rFonts w:ascii="Franklin Gothic Book" w:hAnsi="Franklin Gothic Book"/>
          <w:kern w:val="2"/>
          <w14:ligatures w14:val="standardContextual"/>
        </w:rPr>
        <w:t>Subsequent equal payments ($</w:t>
      </w:r>
      <w:r w:rsidR="007E3177" w:rsidRPr="007E3177">
        <w:rPr>
          <w:rFonts w:ascii="Franklin Gothic Book" w:hAnsi="Franklin Gothic Book"/>
          <w:color w:val="000000"/>
          <w:kern w:val="2"/>
          <w:shd w:val="solid" w:color="000000" w:fill="000000"/>
          <w14:textFill>
            <w14:solidFill>
              <w14:srgbClr w14:val="000000">
                <w14:alpha w14:val="100000"/>
              </w14:srgbClr>
            </w14:solidFill>
          </w14:textFill>
          <w14:ligatures w14:val="standardContextual"/>
        </w:rPr>
        <w:t>|</w:t>
      </w:r>
      <w:r w:rsidRPr="004F08DC">
        <w:rPr>
          <w:rFonts w:ascii="Franklin Gothic Book" w:hAnsi="Franklin Gothic Book"/>
          <w:kern w:val="2"/>
          <w14:ligatures w14:val="standardContextual"/>
        </w:rPr>
        <w:t xml:space="preserve"> per payment) at 12, 24, 36 and 48</w:t>
      </w:r>
      <w:r w:rsidR="0095250C" w:rsidRPr="004F08DC">
        <w:rPr>
          <w:rFonts w:ascii="Franklin Gothic Book" w:hAnsi="Franklin Gothic Book"/>
          <w:kern w:val="2"/>
          <w14:ligatures w14:val="standardContextual"/>
        </w:rPr>
        <w:t> </w:t>
      </w:r>
      <w:r w:rsidRPr="004F08DC">
        <w:rPr>
          <w:rFonts w:ascii="Franklin Gothic Book" w:hAnsi="Franklin Gothic Book"/>
          <w:kern w:val="2"/>
          <w14:ligatures w14:val="standardContextual"/>
        </w:rPr>
        <w:t>months upon confirmation that the patient has not died and is in stringent complete response (</w:t>
      </w:r>
      <w:proofErr w:type="spellStart"/>
      <w:r w:rsidRPr="004F08DC">
        <w:rPr>
          <w:rFonts w:ascii="Franklin Gothic Book" w:hAnsi="Franklin Gothic Book"/>
          <w:kern w:val="2"/>
          <w14:ligatures w14:val="standardContextual"/>
        </w:rPr>
        <w:t>sCR</w:t>
      </w:r>
      <w:proofErr w:type="spellEnd"/>
      <w:r w:rsidRPr="004F08DC">
        <w:rPr>
          <w:rFonts w:ascii="Franklin Gothic Book" w:hAnsi="Franklin Gothic Book"/>
          <w:kern w:val="2"/>
          <w14:ligatures w14:val="standardContextual"/>
        </w:rPr>
        <w:t xml:space="preserve">) (as defined by the IMWG criteria) at 12 months post infusion, and with no evidence of progressive disease (as defined by the IMWG criteria) at 24, 36, or 48 months thereafter (refer to </w:t>
      </w:r>
      <w:r w:rsidR="00D2102E">
        <w:rPr>
          <w:rFonts w:ascii="Franklin Gothic Book" w:hAnsi="Franklin Gothic Book"/>
          <w:kern w:val="2"/>
          <w14:ligatures w14:val="standardContextual"/>
        </w:rPr>
        <w:fldChar w:fldCharType="begin"/>
      </w:r>
      <w:r w:rsidR="00D2102E">
        <w:rPr>
          <w:rFonts w:ascii="Franklin Gothic Book" w:hAnsi="Franklin Gothic Book"/>
          <w:kern w:val="2"/>
          <w14:ligatures w14:val="standardContextual"/>
        </w:rPr>
        <w:instrText xml:space="preserve"> REF _Ref188617823 \h </w:instrText>
      </w:r>
      <w:r w:rsidR="00D2102E">
        <w:rPr>
          <w:rFonts w:ascii="Franklin Gothic Book" w:hAnsi="Franklin Gothic Book"/>
          <w:kern w:val="2"/>
          <w14:ligatures w14:val="standardContextual"/>
        </w:rPr>
      </w:r>
      <w:r w:rsidR="00D2102E">
        <w:rPr>
          <w:rFonts w:ascii="Franklin Gothic Book" w:hAnsi="Franklin Gothic Book"/>
          <w:kern w:val="2"/>
          <w14:ligatures w14:val="standardContextual"/>
        </w:rPr>
        <w:fldChar w:fldCharType="separate"/>
      </w:r>
      <w:r w:rsidR="00D2102E">
        <w:t xml:space="preserve">Table </w:t>
      </w:r>
      <w:r w:rsidR="00D2102E">
        <w:rPr>
          <w:noProof/>
        </w:rPr>
        <w:t>4</w:t>
      </w:r>
      <w:r w:rsidR="00D2102E">
        <w:rPr>
          <w:rFonts w:ascii="Franklin Gothic Book" w:hAnsi="Franklin Gothic Book"/>
          <w:kern w:val="2"/>
          <w14:ligatures w14:val="standardContextual"/>
        </w:rPr>
        <w:fldChar w:fldCharType="end"/>
      </w:r>
      <w:r w:rsidRPr="004F08DC">
        <w:rPr>
          <w:rFonts w:ascii="Franklin Gothic Book" w:hAnsi="Franklin Gothic Book"/>
          <w:kern w:val="2"/>
          <w14:ligatures w14:val="standardContextual"/>
        </w:rPr>
        <w:t>).</w:t>
      </w:r>
    </w:p>
    <w:bookmarkEnd w:id="12"/>
    <w:p w14:paraId="475FD2C6" w14:textId="501B9F0E" w:rsidR="00D95E54" w:rsidRPr="004F08DC"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4F08DC">
        <w:rPr>
          <w:rFonts w:ascii="Franklin Gothic Book" w:hAnsi="Franklin Gothic Book"/>
          <w:kern w:val="2"/>
          <w14:ligatures w14:val="standardContextual"/>
        </w:rPr>
        <w:t xml:space="preserve">a maximum price per responder that does not exceed the unit price of </w:t>
      </w:r>
      <w:r w:rsidRPr="009C0BA1">
        <w:rPr>
          <w:rFonts w:ascii="Franklin Gothic Book" w:hAnsi="Franklin Gothic Book"/>
          <w:kern w:val="2"/>
          <w14:ligatures w14:val="standardContextual"/>
        </w:rPr>
        <w:t>$</w:t>
      </w:r>
      <w:r w:rsidR="007E3177" w:rsidRPr="009C0BA1">
        <w:rPr>
          <w:rFonts w:ascii="Franklin Gothic Book" w:hAnsi="Franklin Gothic Book" w:hint="eastAsia"/>
          <w:color w:val="000000"/>
          <w:w w:val="15"/>
          <w:shd w:val="solid" w:color="000000" w:fill="000000"/>
          <w:fitText w:val="80" w:id="-959204603"/>
          <w14:textFill>
            <w14:solidFill>
              <w14:srgbClr w14:val="000000">
                <w14:alpha w14:val="100000"/>
              </w14:srgbClr>
            </w14:solidFill>
          </w14:textFill>
          <w14:ligatures w14:val="standardContextual"/>
        </w:rPr>
        <w:t xml:space="preserve">　</w:t>
      </w:r>
      <w:proofErr w:type="gramStart"/>
      <w:r w:rsidR="007E3177" w:rsidRPr="009C0BA1">
        <w:rPr>
          <w:rFonts w:ascii="Franklin Gothic Book" w:hAnsi="Franklin Gothic Book"/>
          <w:color w:val="000000"/>
          <w:w w:val="15"/>
          <w:shd w:val="solid" w:color="000000" w:fill="000000"/>
          <w:fitText w:val="80" w:id="-959204603"/>
          <w14:textFill>
            <w14:solidFill>
              <w14:srgbClr w14:val="000000">
                <w14:alpha w14:val="100000"/>
              </w14:srgbClr>
            </w14:solidFill>
          </w14:textFill>
          <w14:ligatures w14:val="standardContextual"/>
        </w:rPr>
        <w:t>|</w:t>
      </w:r>
      <w:r w:rsidR="007E3177" w:rsidRPr="009C0BA1">
        <w:rPr>
          <w:rFonts w:ascii="Franklin Gothic Book" w:hAnsi="Franklin Gothic Book" w:hint="eastAsia"/>
          <w:color w:val="000000"/>
          <w:w w:val="15"/>
          <w:shd w:val="solid" w:color="000000" w:fill="000000"/>
          <w:fitText w:val="80" w:id="-959204603"/>
          <w14:textFill>
            <w14:solidFill>
              <w14:srgbClr w14:val="000000">
                <w14:alpha w14:val="100000"/>
              </w14:srgbClr>
            </w14:solidFill>
          </w14:textFill>
          <w14:ligatures w14:val="standardContextual"/>
        </w:rPr>
        <w:t xml:space="preserve">　</w:t>
      </w:r>
      <w:r w:rsidRPr="004F08DC">
        <w:rPr>
          <w:rFonts w:ascii="Franklin Gothic Book" w:hAnsi="Franklin Gothic Book"/>
          <w:kern w:val="2"/>
          <w14:ligatures w14:val="standardContextual"/>
        </w:rPr>
        <w:t>;</w:t>
      </w:r>
      <w:proofErr w:type="gramEnd"/>
      <w:r w:rsidRPr="004F08DC">
        <w:rPr>
          <w:rFonts w:ascii="Franklin Gothic Book" w:hAnsi="Franklin Gothic Book"/>
          <w:kern w:val="2"/>
          <w14:ligatures w14:val="standardContextual"/>
        </w:rPr>
        <w:t xml:space="preserve"> and</w:t>
      </w:r>
    </w:p>
    <w:p w14:paraId="4225CD99" w14:textId="1838B96B" w:rsidR="00D95E54" w:rsidRPr="004F08DC" w:rsidRDefault="00D95E54" w:rsidP="00D95E54">
      <w:pPr>
        <w:numPr>
          <w:ilvl w:val="0"/>
          <w:numId w:val="31"/>
        </w:numPr>
        <w:spacing w:after="160" w:line="259" w:lineRule="auto"/>
        <w:contextualSpacing/>
        <w:rPr>
          <w:rFonts w:ascii="Franklin Gothic Book" w:hAnsi="Franklin Gothic Book"/>
          <w:kern w:val="2"/>
          <w14:ligatures w14:val="standardContextual"/>
        </w:rPr>
      </w:pPr>
      <w:bookmarkStart w:id="13" w:name="_Hlk170122500"/>
      <w:proofErr w:type="gramStart"/>
      <w:r w:rsidRPr="004F08DC">
        <w:rPr>
          <w:rFonts w:ascii="Franklin Gothic Book" w:hAnsi="Franklin Gothic Book"/>
          <w:kern w:val="2"/>
          <w14:ligatures w14:val="standardContextual"/>
        </w:rPr>
        <w:t>in order for</w:t>
      </w:r>
      <w:proofErr w:type="gramEnd"/>
      <w:r w:rsidRPr="004F08DC">
        <w:rPr>
          <w:rFonts w:ascii="Franklin Gothic Book" w:hAnsi="Franklin Gothic Book"/>
          <w:kern w:val="2"/>
          <w14:ligatures w14:val="standardContextual"/>
        </w:rPr>
        <w:t xml:space="preserve"> payments beyond the initial payment for successful infusion to be paid, the patient must not have received active anti-myeloma treatment for RRMM following infusion with </w:t>
      </w:r>
      <w:proofErr w:type="spellStart"/>
      <w:r w:rsidRPr="004F08DC">
        <w:rPr>
          <w:rFonts w:ascii="Franklin Gothic Book" w:hAnsi="Franklin Gothic Book"/>
          <w:kern w:val="2"/>
          <w14:ligatures w14:val="standardContextual"/>
        </w:rPr>
        <w:t>cilta</w:t>
      </w:r>
      <w:proofErr w:type="spellEnd"/>
      <w:r w:rsidRPr="004F08DC">
        <w:rPr>
          <w:rFonts w:ascii="Franklin Gothic Book" w:hAnsi="Franklin Gothic Book"/>
          <w:kern w:val="2"/>
          <w14:ligatures w14:val="standardContextual"/>
        </w:rPr>
        <w:t>-cel, including non-PBS subsidised therapies or autologous stem cell transplant; and</w:t>
      </w:r>
    </w:p>
    <w:bookmarkEnd w:id="13"/>
    <w:p w14:paraId="3F4D2DFD"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933448">
        <w:rPr>
          <w:rFonts w:ascii="Franklin Gothic Book" w:hAnsi="Franklin Gothic Book"/>
          <w:kern w:val="2"/>
          <w14:ligatures w14:val="standardContextual"/>
        </w:rPr>
        <w:t>a reduced payment only on successful infusion to be paid for each patient treated above the patient estimates in a given funding year;</w:t>
      </w:r>
      <w:r w:rsidRPr="00D95E54">
        <w:rPr>
          <w:rFonts w:ascii="Franklin Gothic Book" w:hAnsi="Franklin Gothic Book"/>
          <w:kern w:val="2"/>
          <w14:ligatures w14:val="standardContextual"/>
        </w:rPr>
        <w:t xml:space="preserve"> and</w:t>
      </w:r>
    </w:p>
    <w:p w14:paraId="0EEA20B9"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treatment to be limited to a single infusion of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as there is no evidence currently available informing the effectiveness or safety of multiple infusions; and</w:t>
      </w:r>
    </w:p>
    <w:p w14:paraId="46F61C91" w14:textId="77777777" w:rsidR="00D95E54" w:rsidRPr="00933448" w:rsidRDefault="00D95E54" w:rsidP="00D95E54">
      <w:pPr>
        <w:numPr>
          <w:ilvl w:val="0"/>
          <w:numId w:val="31"/>
        </w:numPr>
        <w:spacing w:after="160" w:line="259" w:lineRule="auto"/>
        <w:contextualSpacing/>
        <w:rPr>
          <w:rFonts w:ascii="Franklin Gothic Book" w:hAnsi="Franklin Gothic Book"/>
          <w:kern w:val="2"/>
          <w14:ligatures w14:val="standardContextual"/>
        </w:rPr>
      </w:pPr>
      <w:r w:rsidRPr="00933448">
        <w:rPr>
          <w:rFonts w:ascii="Franklin Gothic Book" w:hAnsi="Franklin Gothic Book"/>
          <w:kern w:val="2"/>
          <w14:ligatures w14:val="standardContextual"/>
        </w:rPr>
        <w:t>mandatory data collection via a registry; and</w:t>
      </w:r>
    </w:p>
    <w:p w14:paraId="6AB2CBD4" w14:textId="77777777" w:rsidR="00D95E54" w:rsidRPr="00933448" w:rsidRDefault="00D95E54" w:rsidP="0095250C">
      <w:pPr>
        <w:numPr>
          <w:ilvl w:val="0"/>
          <w:numId w:val="31"/>
        </w:numPr>
        <w:spacing w:line="259" w:lineRule="auto"/>
        <w:ind w:left="714" w:hanging="357"/>
        <w:rPr>
          <w:rFonts w:ascii="Franklin Gothic Book" w:hAnsi="Franklin Gothic Book"/>
          <w:kern w:val="2"/>
          <w14:ligatures w14:val="standardContextual"/>
        </w:rPr>
      </w:pPr>
      <w:r w:rsidRPr="00933448">
        <w:rPr>
          <w:rFonts w:ascii="Franklin Gothic Book" w:hAnsi="Franklin Gothic Book"/>
          <w:kern w:val="2"/>
          <w14:ligatures w14:val="standardContextual"/>
        </w:rPr>
        <w:t>a review conducted by the MSAC no later than 2 years post the commencement of public subsidy.</w:t>
      </w:r>
    </w:p>
    <w:p w14:paraId="56539E01" w14:textId="35EB9DB8" w:rsidR="00D95E54" w:rsidRDefault="00D95E54" w:rsidP="00D95E54">
      <w:pPr>
        <w:spacing w:after="160" w:line="259" w:lineRule="auto"/>
        <w:rPr>
          <w:rFonts w:ascii="Franklin Gothic Book" w:hAnsi="Franklin Gothic Book"/>
          <w:kern w:val="2"/>
          <w14:ligatures w14:val="standardContextual"/>
        </w:rPr>
      </w:pPr>
      <w:r w:rsidRPr="004F08DC">
        <w:rPr>
          <w:rFonts w:ascii="Franklin Gothic Book" w:hAnsi="Franklin Gothic Book"/>
          <w:kern w:val="2"/>
          <w14:ligatures w14:val="standardContextual"/>
        </w:rPr>
        <w:t>MSAC considered the nominated response measures reflected the outcomes used in the CARTITUDE-1 trial as well as standard clinical practice, noting it was not appropriate to require patients to receive repeated bone marrow biopsies if not otherwise clinically indicated post 12</w:t>
      </w:r>
      <w:r w:rsidR="0095250C" w:rsidRPr="004F08DC">
        <w:rPr>
          <w:rFonts w:ascii="Franklin Gothic Book" w:hAnsi="Franklin Gothic Book"/>
          <w:kern w:val="2"/>
          <w14:ligatures w14:val="standardContextual"/>
        </w:rPr>
        <w:t> </w:t>
      </w:r>
      <w:r w:rsidRPr="004F08DC">
        <w:rPr>
          <w:rFonts w:ascii="Franklin Gothic Book" w:hAnsi="Franklin Gothic Book"/>
          <w:kern w:val="2"/>
          <w14:ligatures w14:val="standardContextual"/>
        </w:rPr>
        <w:t>months. MSAC considered that if the company was not able to supply treatment to Australia until</w:t>
      </w:r>
      <w:r w:rsidR="00714789">
        <w:rPr>
          <w:rFonts w:ascii="Franklin Gothic Book" w:hAnsi="Franklin Gothic Book"/>
          <w:kern w:val="2"/>
          <w14:ligatures w14:val="standardContextual"/>
        </w:rPr>
        <w:t xml:space="preserve"> </w:t>
      </w:r>
      <w:r w:rsidR="007E3177" w:rsidRPr="00714789">
        <w:rPr>
          <w:rFonts w:ascii="Franklin Gothic Book" w:hAnsi="Franklin Gothic Book"/>
          <w:color w:val="000000"/>
          <w:w w:val="66"/>
          <w:shd w:val="solid" w:color="000000" w:fill="000000"/>
          <w:fitText w:val="440" w:id="-959204602"/>
          <w14:textFill>
            <w14:solidFill>
              <w14:srgbClr w14:val="000000">
                <w14:alpha w14:val="100000"/>
              </w14:srgbClr>
            </w14:solidFill>
          </w14:textFill>
          <w14:ligatures w14:val="standardContextual"/>
        </w:rPr>
        <w:t>||||||</w:t>
      </w:r>
      <w:r w:rsidRPr="004F08DC">
        <w:rPr>
          <w:rFonts w:ascii="Franklin Gothic Book" w:hAnsi="Franklin Gothic Book"/>
          <w:kern w:val="2"/>
          <w14:ligatures w14:val="standardContextual"/>
        </w:rPr>
        <w:t xml:space="preserve">, there was adequate time to negotiate the details of this </w:t>
      </w:r>
      <w:proofErr w:type="spellStart"/>
      <w:r w:rsidRPr="004F08DC">
        <w:rPr>
          <w:rFonts w:ascii="Franklin Gothic Book" w:hAnsi="Franklin Gothic Book"/>
          <w:kern w:val="2"/>
          <w14:ligatures w14:val="standardContextual"/>
        </w:rPr>
        <w:t>PfP</w:t>
      </w:r>
      <w:proofErr w:type="spellEnd"/>
      <w:r w:rsidRPr="004F08DC">
        <w:rPr>
          <w:rFonts w:ascii="Franklin Gothic Book" w:hAnsi="Franklin Gothic Book"/>
          <w:kern w:val="2"/>
          <w14:ligatures w14:val="standardContextual"/>
        </w:rPr>
        <w:t xml:space="preserve"> arrangement and to ensure the appropriate infrastructure was in place to report on patient outcomes.</w:t>
      </w:r>
    </w:p>
    <w:p w14:paraId="5734594C" w14:textId="796CDDDC" w:rsidR="00AF7479" w:rsidRDefault="00AF7479" w:rsidP="00AF7479">
      <w:pPr>
        <w:pStyle w:val="Caption"/>
        <w:jc w:val="left"/>
      </w:pPr>
      <w:r>
        <w:t xml:space="preserve">Figure </w:t>
      </w:r>
      <w:r>
        <w:fldChar w:fldCharType="begin"/>
      </w:r>
      <w:r>
        <w:instrText xml:space="preserve"> SEQ Figure \* ARABIC </w:instrText>
      </w:r>
      <w:r>
        <w:fldChar w:fldCharType="separate"/>
      </w:r>
      <w:r>
        <w:rPr>
          <w:noProof/>
        </w:rPr>
        <w:t>1</w:t>
      </w:r>
      <w:r>
        <w:rPr>
          <w:noProof/>
        </w:rPr>
        <w:fldChar w:fldCharType="end"/>
      </w:r>
      <w:r w:rsidRPr="00AF7479">
        <w:t xml:space="preserve"> </w:t>
      </w:r>
      <w:r w:rsidRPr="004F08DC">
        <w:tab/>
        <w:t>Kaplan-Meier curves of PFS for the ITT 5L+ population of CARTITUDE-1 vs CE-MRDR main cohort</w:t>
      </w:r>
    </w:p>
    <w:p w14:paraId="0EF8AE65" w14:textId="293ED3A1" w:rsidR="00892698" w:rsidRDefault="00C41291" w:rsidP="00D95E54">
      <w:pPr>
        <w:spacing w:after="160" w:line="259" w:lineRule="auto"/>
        <w:rPr>
          <w:rFonts w:ascii="Franklin Gothic Book" w:hAnsi="Franklin Gothic Book"/>
          <w:kern w:val="2"/>
          <w14:ligatures w14:val="standardContextual"/>
        </w:rPr>
      </w:pPr>
      <w:r w:rsidRPr="00ED70EF">
        <w:rPr>
          <w:noProof/>
          <w:lang w:eastAsia="en-AU"/>
        </w:rPr>
        <w:drawing>
          <wp:inline distT="0" distB="0" distL="0" distR="0" wp14:anchorId="6A4990C4" wp14:editId="50E5C56E">
            <wp:extent cx="4507200" cy="3042815"/>
            <wp:effectExtent l="0" t="0" r="8255" b="5715"/>
            <wp:docPr id="2020092365" name="Picture 2020092365" descr="A graph of a patient's disease&#10;&#10;Kaplan-Meier curves of PFS for the ITT 5L+ population of CARTITUDE-1 vs CE-MRDR main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92365" name="Picture 2020092365" descr="A graph of a patient's disease&#10;&#10;Kaplan-Meier curves of PFS for the ITT 5L+ population of CARTITUDE-1 vs CE-MRDR main coho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7200" cy="3042815"/>
                    </a:xfrm>
                    <a:prstGeom prst="rect">
                      <a:avLst/>
                    </a:prstGeom>
                    <a:noFill/>
                    <a:ln>
                      <a:noFill/>
                    </a:ln>
                  </pic:spPr>
                </pic:pic>
              </a:graphicData>
            </a:graphic>
          </wp:inline>
        </w:drawing>
      </w:r>
    </w:p>
    <w:p w14:paraId="34F16177" w14:textId="64B7BEC7" w:rsidR="00551BB1" w:rsidRPr="004F3649" w:rsidRDefault="00551BB1" w:rsidP="00551BB1">
      <w:pPr>
        <w:pStyle w:val="Tablenotes0"/>
        <w:rPr>
          <w:shd w:val="clear" w:color="auto" w:fill="FFFFFF"/>
        </w:rPr>
      </w:pPr>
      <w:r w:rsidRPr="004F3649">
        <w:rPr>
          <w:b/>
          <w:bCs/>
        </w:rPr>
        <w:t>Source</w:t>
      </w:r>
      <w:r w:rsidRPr="004F3649">
        <w:t>: Figure 2-3</w:t>
      </w:r>
      <w:r w:rsidRPr="004F3649">
        <w:rPr>
          <w:rStyle w:val="normaltextrun"/>
          <w:color w:val="000000"/>
          <w:szCs w:val="18"/>
          <w:shd w:val="clear" w:color="auto" w:fill="FFFFFF"/>
        </w:rPr>
        <w:t>, Section 2.3.2.1. of the ADAR</w:t>
      </w:r>
      <w:r>
        <w:rPr>
          <w:rStyle w:val="normaltextrun"/>
          <w:color w:val="000000"/>
          <w:szCs w:val="18"/>
          <w:shd w:val="clear" w:color="auto" w:fill="FFFFFF"/>
        </w:rPr>
        <w:t xml:space="preserve"> 1690.1</w:t>
      </w:r>
      <w:r w:rsidRPr="004F3649">
        <w:rPr>
          <w:rStyle w:val="normaltextrun"/>
          <w:color w:val="000000"/>
          <w:szCs w:val="18"/>
          <w:shd w:val="clear" w:color="auto" w:fill="FFFFFF"/>
        </w:rPr>
        <w:t>.</w:t>
      </w:r>
      <w:r w:rsidRPr="004F3649">
        <w:rPr>
          <w:shd w:val="clear" w:color="auto" w:fill="FFFFFF"/>
        </w:rPr>
        <w:t xml:space="preserve"> </w:t>
      </w:r>
    </w:p>
    <w:p w14:paraId="35B2A71D" w14:textId="6B0D8067" w:rsidR="00AF7479" w:rsidRDefault="00AF7479" w:rsidP="00AF7479">
      <w:pPr>
        <w:pStyle w:val="Caption"/>
        <w:jc w:val="left"/>
      </w:pPr>
      <w:r>
        <w:t xml:space="preserve">Figure </w:t>
      </w:r>
      <w:r>
        <w:fldChar w:fldCharType="begin"/>
      </w:r>
      <w:r>
        <w:instrText xml:space="preserve"> SEQ Figure \* ARABIC </w:instrText>
      </w:r>
      <w:r>
        <w:fldChar w:fldCharType="separate"/>
      </w:r>
      <w:r>
        <w:rPr>
          <w:noProof/>
        </w:rPr>
        <w:t>2</w:t>
      </w:r>
      <w:r>
        <w:rPr>
          <w:noProof/>
        </w:rPr>
        <w:fldChar w:fldCharType="end"/>
      </w:r>
      <w:r w:rsidRPr="00AF7479">
        <w:t xml:space="preserve"> </w:t>
      </w:r>
      <w:r w:rsidRPr="004F08DC">
        <w:tab/>
        <w:t>Kaplan-Meier curves of OS for the ITT 5L+ population of CARTITUDE-1 vs CE-MRDR main cohort</w:t>
      </w:r>
    </w:p>
    <w:p w14:paraId="7440BC4E" w14:textId="77777777" w:rsidR="005B1C38" w:rsidRPr="004F3649" w:rsidRDefault="005B1C38" w:rsidP="005B1C38">
      <w:r w:rsidRPr="00ED70EF">
        <w:rPr>
          <w:noProof/>
          <w:lang w:eastAsia="en-AU"/>
        </w:rPr>
        <w:drawing>
          <wp:inline distT="0" distB="0" distL="0" distR="0" wp14:anchorId="6F669381" wp14:editId="4D35BADE">
            <wp:extent cx="4507200" cy="3042811"/>
            <wp:effectExtent l="0" t="0" r="8255" b="5715"/>
            <wp:docPr id="635235939" name="Picture 635235939" descr="A graph of a patient's disease&#10;&#10;Kaplan-Meier curves of OS for the ITT 5L+ population of CARTITUDE-1 vs CE-MRDR main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35939" name="Picture 635235939" descr="A graph of a patient's disease&#10;&#10;Kaplan-Meier curves of OS for the ITT 5L+ population of CARTITUDE-1 vs CE-MRDR main coh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7200" cy="3042811"/>
                    </a:xfrm>
                    <a:prstGeom prst="rect">
                      <a:avLst/>
                    </a:prstGeom>
                    <a:noFill/>
                    <a:ln>
                      <a:noFill/>
                    </a:ln>
                  </pic:spPr>
                </pic:pic>
              </a:graphicData>
            </a:graphic>
          </wp:inline>
        </w:drawing>
      </w:r>
    </w:p>
    <w:p w14:paraId="766149F0" w14:textId="1C37041F" w:rsidR="0095250C" w:rsidRDefault="005B1C38" w:rsidP="0095250C">
      <w:pPr>
        <w:pStyle w:val="Tablenotes0"/>
        <w:rPr>
          <w:shd w:val="clear" w:color="auto" w:fill="FFFFFF"/>
        </w:rPr>
      </w:pPr>
      <w:r w:rsidRPr="00BE6881">
        <w:rPr>
          <w:b/>
          <w:bCs/>
        </w:rPr>
        <w:t>Source</w:t>
      </w:r>
      <w:r w:rsidRPr="00BE6881">
        <w:t>: Figure 2-11</w:t>
      </w:r>
      <w:r w:rsidRPr="00BE6881">
        <w:rPr>
          <w:rStyle w:val="normaltextrun"/>
          <w:color w:val="000000"/>
          <w:szCs w:val="18"/>
          <w:shd w:val="clear" w:color="auto" w:fill="FFFFFF"/>
        </w:rPr>
        <w:t>, Section 2.3.2.2. of the ADAR 1690.1.</w:t>
      </w:r>
      <w:r w:rsidRPr="004F3649">
        <w:rPr>
          <w:shd w:val="clear" w:color="auto" w:fill="FFFFFF"/>
        </w:rPr>
        <w:t xml:space="preserve"> </w:t>
      </w:r>
      <w:r w:rsidR="0095250C">
        <w:rPr>
          <w:shd w:val="clear" w:color="auto" w:fill="FFFFFF"/>
        </w:rPr>
        <w:br w:type="page"/>
      </w:r>
    </w:p>
    <w:p w14:paraId="70FC6065" w14:textId="48AB996A" w:rsidR="00AF7479" w:rsidRDefault="00AF7479" w:rsidP="00AF7479">
      <w:pPr>
        <w:pStyle w:val="Caption"/>
      </w:pPr>
      <w:bookmarkStart w:id="14" w:name="_Ref188617823"/>
      <w:r>
        <w:t xml:space="preserve">Table </w:t>
      </w:r>
      <w:r>
        <w:fldChar w:fldCharType="begin"/>
      </w:r>
      <w:r>
        <w:instrText xml:space="preserve"> SEQ Table \* ARABIC </w:instrText>
      </w:r>
      <w:r>
        <w:fldChar w:fldCharType="separate"/>
      </w:r>
      <w:r>
        <w:rPr>
          <w:noProof/>
        </w:rPr>
        <w:t>4</w:t>
      </w:r>
      <w:r>
        <w:rPr>
          <w:noProof/>
        </w:rPr>
        <w:fldChar w:fldCharType="end"/>
      </w:r>
      <w:bookmarkEnd w:id="14"/>
      <w:r w:rsidRPr="00D95E54">
        <w:tab/>
      </w:r>
      <w:r w:rsidRPr="00933448">
        <w:t xml:space="preserve">Supported </w:t>
      </w:r>
      <w:proofErr w:type="spellStart"/>
      <w:r w:rsidRPr="00933448">
        <w:t>PfP</w:t>
      </w:r>
      <w:proofErr w:type="spellEnd"/>
      <w:r w:rsidRPr="00933448">
        <w:t xml:space="preserve"> schedule for </w:t>
      </w:r>
      <w:proofErr w:type="spellStart"/>
      <w:r w:rsidRPr="00933448">
        <w:t>cilta</w:t>
      </w:r>
      <w:proofErr w:type="spellEnd"/>
      <w:r w:rsidRPr="00933448">
        <w:t>-cel</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4"/>
        <w:gridCol w:w="4564"/>
      </w:tblGrid>
      <w:tr w:rsidR="00D95E54" w:rsidRPr="00933448" w14:paraId="21846C76" w14:textId="77777777">
        <w:trPr>
          <w:trHeight w:val="121"/>
        </w:trPr>
        <w:tc>
          <w:tcPr>
            <w:tcW w:w="4564" w:type="dxa"/>
            <w:shd w:val="clear" w:color="auto" w:fill="BFBFBF" w:themeFill="background1" w:themeFillShade="BF"/>
          </w:tcPr>
          <w:p w14:paraId="43179F2F" w14:textId="77777777" w:rsidR="00D95E54" w:rsidRPr="00933448" w:rsidRDefault="00D95E54">
            <w:pPr>
              <w:pStyle w:val="Tabletext0"/>
              <w:rPr>
                <w:b/>
                <w:bCs/>
                <w14:ligatures w14:val="standardContextual"/>
              </w:rPr>
            </w:pPr>
            <w:r w:rsidRPr="00933448">
              <w:rPr>
                <w:b/>
                <w:bCs/>
                <w14:ligatures w14:val="standardContextual"/>
              </w:rPr>
              <w:t xml:space="preserve">Description </w:t>
            </w:r>
          </w:p>
        </w:tc>
        <w:tc>
          <w:tcPr>
            <w:tcW w:w="4564" w:type="dxa"/>
            <w:shd w:val="clear" w:color="auto" w:fill="BFBFBF" w:themeFill="background1" w:themeFillShade="BF"/>
          </w:tcPr>
          <w:p w14:paraId="7C429614" w14:textId="77777777" w:rsidR="00D95E54" w:rsidRPr="00933448" w:rsidRDefault="00D95E54">
            <w:pPr>
              <w:pStyle w:val="Tabletext0"/>
              <w:rPr>
                <w:b/>
                <w:bCs/>
                <w14:ligatures w14:val="standardContextual"/>
              </w:rPr>
            </w:pPr>
            <w:r w:rsidRPr="00933448">
              <w:rPr>
                <w:b/>
                <w:bCs/>
                <w14:ligatures w14:val="standardContextual"/>
              </w:rPr>
              <w:t xml:space="preserve">Payment schedule </w:t>
            </w:r>
          </w:p>
        </w:tc>
      </w:tr>
      <w:tr w:rsidR="00D95E54" w:rsidRPr="00933448" w14:paraId="1D065111" w14:textId="77777777">
        <w:trPr>
          <w:trHeight w:val="117"/>
        </w:trPr>
        <w:tc>
          <w:tcPr>
            <w:tcW w:w="4564" w:type="dxa"/>
          </w:tcPr>
          <w:p w14:paraId="7041B39F"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proofErr w:type="spellStart"/>
            <w:r w:rsidRPr="004F08DC">
              <w:rPr>
                <w:rFonts w:ascii="Arial Narrow" w:hAnsi="Arial Narrow" w:cs="Calibri"/>
                <w:color w:val="000000"/>
                <w:sz w:val="20"/>
                <w:szCs w:val="20"/>
                <w14:ligatures w14:val="standardContextual"/>
              </w:rPr>
              <w:t>Cilta</w:t>
            </w:r>
            <w:proofErr w:type="spellEnd"/>
            <w:r w:rsidRPr="004F08DC">
              <w:rPr>
                <w:rFonts w:ascii="Arial Narrow" w:hAnsi="Arial Narrow" w:cs="Calibri"/>
                <w:color w:val="000000"/>
                <w:sz w:val="20"/>
                <w:szCs w:val="20"/>
                <w14:ligatures w14:val="standardContextual"/>
              </w:rPr>
              <w:t xml:space="preserve">-cel unit cost/maximum cost </w:t>
            </w:r>
          </w:p>
        </w:tc>
        <w:tc>
          <w:tcPr>
            <w:tcW w:w="4564" w:type="dxa"/>
          </w:tcPr>
          <w:p w14:paraId="2394C2EA" w14:textId="2641DF56"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601"/>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601"/>
                <w14:textFill>
                  <w14:solidFill>
                    <w14:srgbClr w14:val="000000">
                      <w14:alpha w14:val="100000"/>
                    </w14:srgbClr>
                  </w14:solidFill>
                </w14:textFill>
                <w14:ligatures w14:val="standardContextual"/>
              </w:rPr>
              <w:t>|</w:t>
            </w:r>
            <w:r w:rsidR="007E3177" w:rsidRPr="009C0BA1">
              <w:rPr>
                <w:rFonts w:ascii="Arial Narrow" w:hAnsi="Arial Narrow"/>
                <w:color w:val="000000"/>
                <w:sz w:val="20"/>
                <w14:ligatures w14:val="standardContextual"/>
              </w:rPr>
              <w:t xml:space="preserve"> </w:t>
            </w:r>
          </w:p>
        </w:tc>
      </w:tr>
      <w:tr w:rsidR="00D95E54" w:rsidRPr="00933448" w14:paraId="4A3F064F" w14:textId="77777777">
        <w:trPr>
          <w:trHeight w:val="117"/>
        </w:trPr>
        <w:tc>
          <w:tcPr>
            <w:tcW w:w="4564" w:type="dxa"/>
          </w:tcPr>
          <w:p w14:paraId="1660CCA6"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1 at successful infusion </w:t>
            </w:r>
          </w:p>
        </w:tc>
        <w:tc>
          <w:tcPr>
            <w:tcW w:w="4564" w:type="dxa"/>
          </w:tcPr>
          <w:p w14:paraId="1A97BD1F" w14:textId="4821BDC2"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600"/>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600"/>
                <w14:textFill>
                  <w14:solidFill>
                    <w14:srgbClr w14:val="000000">
                      <w14:alpha w14:val="100000"/>
                    </w14:srgbClr>
                  </w14:solidFill>
                </w14:textFill>
                <w14:ligatures w14:val="standardContextual"/>
              </w:rPr>
              <w:t>|</w:t>
            </w:r>
            <w:r w:rsidR="007E3177" w:rsidRPr="009C0BA1">
              <w:rPr>
                <w:rFonts w:ascii="Arial Narrow" w:hAnsi="Arial Narrow"/>
                <w:color w:val="000000"/>
                <w:sz w:val="20"/>
                <w14:ligatures w14:val="standardContextual"/>
              </w:rPr>
              <w:t xml:space="preserve"> </w:t>
            </w:r>
          </w:p>
        </w:tc>
      </w:tr>
      <w:tr w:rsidR="00D95E54" w:rsidRPr="00933448" w14:paraId="16BA08D0" w14:textId="77777777">
        <w:trPr>
          <w:trHeight w:val="225"/>
        </w:trPr>
        <w:tc>
          <w:tcPr>
            <w:tcW w:w="4564" w:type="dxa"/>
          </w:tcPr>
          <w:p w14:paraId="6EE1D971"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2 at 12 months and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w:t>
            </w:r>
          </w:p>
        </w:tc>
        <w:tc>
          <w:tcPr>
            <w:tcW w:w="4564" w:type="dxa"/>
          </w:tcPr>
          <w:p w14:paraId="695FAE99" w14:textId="51799B4F"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9"/>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9"/>
                <w14:textFill>
                  <w14:solidFill>
                    <w14:srgbClr w14:val="000000">
                      <w14:alpha w14:val="100000"/>
                    </w14:srgbClr>
                  </w14:solidFill>
                </w14:textFill>
                <w14:ligatures w14:val="standardContextual"/>
              </w:rPr>
              <w:t>|</w:t>
            </w:r>
          </w:p>
        </w:tc>
      </w:tr>
      <w:tr w:rsidR="00D95E54" w:rsidRPr="00933448" w14:paraId="7B1F2D9A" w14:textId="77777777">
        <w:trPr>
          <w:trHeight w:val="117"/>
        </w:trPr>
        <w:tc>
          <w:tcPr>
            <w:tcW w:w="4564" w:type="dxa"/>
          </w:tcPr>
          <w:p w14:paraId="79F0D63F"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3 for patients at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12 months and no progressive disease at 24 months</w:t>
            </w:r>
          </w:p>
        </w:tc>
        <w:tc>
          <w:tcPr>
            <w:tcW w:w="4564" w:type="dxa"/>
          </w:tcPr>
          <w:p w14:paraId="2758220E" w14:textId="41480BC0"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8"/>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8"/>
                <w14:textFill>
                  <w14:solidFill>
                    <w14:srgbClr w14:val="000000">
                      <w14:alpha w14:val="100000"/>
                    </w14:srgbClr>
                  </w14:solidFill>
                </w14:textFill>
                <w14:ligatures w14:val="standardContextual"/>
              </w:rPr>
              <w:t>|</w:t>
            </w:r>
          </w:p>
        </w:tc>
      </w:tr>
      <w:tr w:rsidR="00D95E54" w:rsidRPr="00933448" w14:paraId="529EEF8C" w14:textId="77777777">
        <w:trPr>
          <w:trHeight w:val="117"/>
        </w:trPr>
        <w:tc>
          <w:tcPr>
            <w:tcW w:w="4564" w:type="dxa"/>
          </w:tcPr>
          <w:p w14:paraId="762567D3"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4 for patients at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12 months and no progressive disease at 24 and 36 months</w:t>
            </w:r>
          </w:p>
        </w:tc>
        <w:tc>
          <w:tcPr>
            <w:tcW w:w="4564" w:type="dxa"/>
          </w:tcPr>
          <w:p w14:paraId="140D05A9" w14:textId="03F7ADBB"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7"/>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7"/>
                <w14:textFill>
                  <w14:solidFill>
                    <w14:srgbClr w14:val="000000">
                      <w14:alpha w14:val="100000"/>
                    </w14:srgbClr>
                  </w14:solidFill>
                </w14:textFill>
                <w14:ligatures w14:val="standardContextual"/>
              </w:rPr>
              <w:t>|</w:t>
            </w:r>
          </w:p>
        </w:tc>
      </w:tr>
      <w:tr w:rsidR="00D95E54" w:rsidRPr="00933448" w14:paraId="7EEDAB07" w14:textId="77777777">
        <w:trPr>
          <w:trHeight w:val="117"/>
        </w:trPr>
        <w:tc>
          <w:tcPr>
            <w:tcW w:w="4564" w:type="dxa"/>
          </w:tcPr>
          <w:p w14:paraId="3658AED1"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 xml:space="preserve">Conditional payment 5 for patients at </w:t>
            </w:r>
            <w:proofErr w:type="spellStart"/>
            <w:r w:rsidRPr="004F08DC">
              <w:rPr>
                <w:rFonts w:ascii="Arial Narrow" w:hAnsi="Arial Narrow" w:cs="Calibri"/>
                <w:color w:val="000000"/>
                <w:sz w:val="20"/>
                <w:szCs w:val="20"/>
                <w14:ligatures w14:val="standardContextual"/>
              </w:rPr>
              <w:t>sCR</w:t>
            </w:r>
            <w:proofErr w:type="spellEnd"/>
            <w:r w:rsidRPr="004F08DC">
              <w:rPr>
                <w:rFonts w:ascii="Arial Narrow" w:hAnsi="Arial Narrow" w:cs="Calibri"/>
                <w:color w:val="000000"/>
                <w:sz w:val="20"/>
                <w:szCs w:val="20"/>
                <w14:ligatures w14:val="standardContextual"/>
              </w:rPr>
              <w:t xml:space="preserve"> 12 months and no progressive disease at 24, 36 and 48 months</w:t>
            </w:r>
          </w:p>
        </w:tc>
        <w:tc>
          <w:tcPr>
            <w:tcW w:w="4564" w:type="dxa"/>
          </w:tcPr>
          <w:p w14:paraId="0337636B" w14:textId="4FD07E67" w:rsidR="00D95E54" w:rsidRPr="00067911" w:rsidRDefault="00D95E54">
            <w:pPr>
              <w:autoSpaceDE w:val="0"/>
              <w:autoSpaceDN w:val="0"/>
              <w:adjustRightInd w:val="0"/>
              <w:spacing w:after="0"/>
              <w:rPr>
                <w:rFonts w:ascii="Arial Narrow" w:hAnsi="Arial Narrow" w:cs="Calibri"/>
                <w:color w:val="000000"/>
                <w:sz w:val="20"/>
                <w:szCs w:val="20"/>
                <w:highlight w:val="cyan"/>
                <w14:ligatures w14:val="standardContextual"/>
              </w:rPr>
            </w:pPr>
            <w:r w:rsidRPr="00BE6881">
              <w:rPr>
                <w:rFonts w:ascii="Arial Narrow" w:hAnsi="Arial Narrow" w:cs="Calibri"/>
                <w:color w:val="000000"/>
                <w:sz w:val="20"/>
                <w:szCs w:val="20"/>
                <w14:ligatures w14:val="standardContextual"/>
              </w:rPr>
              <w:t>$</w:t>
            </w:r>
            <w:r w:rsidR="007E3177" w:rsidRPr="00307272">
              <w:rPr>
                <w:rFonts w:ascii="Arial Narrow" w:hAnsi="Arial Narrow" w:cs="Calibri"/>
                <w:color w:val="000000"/>
                <w:spacing w:val="53"/>
                <w:sz w:val="20"/>
                <w:szCs w:val="20"/>
                <w:shd w:val="solid" w:color="000000" w:fill="000000"/>
                <w:fitText w:val="330" w:id="-959204596"/>
                <w14:textFill>
                  <w14:solidFill>
                    <w14:srgbClr w14:val="000000">
                      <w14:alpha w14:val="100000"/>
                    </w14:srgbClr>
                  </w14:solidFill>
                </w14:textFill>
                <w14:ligatures w14:val="standardContextual"/>
              </w:rPr>
              <w:t>|||</w:t>
            </w:r>
            <w:r w:rsidR="007E3177" w:rsidRPr="00307272">
              <w:rPr>
                <w:rFonts w:ascii="Arial Narrow" w:hAnsi="Arial Narrow" w:cs="Calibri"/>
                <w:color w:val="000000"/>
                <w:spacing w:val="1"/>
                <w:sz w:val="20"/>
                <w:szCs w:val="20"/>
                <w:shd w:val="solid" w:color="000000" w:fill="000000"/>
                <w:fitText w:val="330" w:id="-959204596"/>
                <w14:textFill>
                  <w14:solidFill>
                    <w14:srgbClr w14:val="000000">
                      <w14:alpha w14:val="100000"/>
                    </w14:srgbClr>
                  </w14:solidFill>
                </w14:textFill>
                <w14:ligatures w14:val="standardContextual"/>
              </w:rPr>
              <w:t>|</w:t>
            </w:r>
          </w:p>
        </w:tc>
      </w:tr>
      <w:tr w:rsidR="00D95E54" w:rsidRPr="00933448" w14:paraId="6D11EFEC" w14:textId="77777777">
        <w:trPr>
          <w:trHeight w:val="117"/>
        </w:trPr>
        <w:tc>
          <w:tcPr>
            <w:tcW w:w="4564" w:type="dxa"/>
          </w:tcPr>
          <w:p w14:paraId="7EC71D5C" w14:textId="77777777" w:rsidR="00D95E54" w:rsidRPr="004F08DC" w:rsidRDefault="00D95E54">
            <w:pPr>
              <w:autoSpaceDE w:val="0"/>
              <w:autoSpaceDN w:val="0"/>
              <w:adjustRightInd w:val="0"/>
              <w:spacing w:after="0"/>
              <w:rPr>
                <w:rFonts w:ascii="Arial Narrow" w:hAnsi="Arial Narrow" w:cs="Calibri"/>
                <w:color w:val="000000"/>
                <w:sz w:val="20"/>
                <w:szCs w:val="20"/>
                <w14:ligatures w14:val="standardContextual"/>
              </w:rPr>
            </w:pPr>
            <w:r w:rsidRPr="004F08DC">
              <w:rPr>
                <w:rFonts w:ascii="Arial Narrow" w:hAnsi="Arial Narrow" w:cs="Calibri"/>
                <w:color w:val="000000"/>
                <w:sz w:val="20"/>
                <w:szCs w:val="20"/>
                <w14:ligatures w14:val="standardContextual"/>
              </w:rPr>
              <w:t>Additional Requirements</w:t>
            </w:r>
          </w:p>
        </w:tc>
        <w:tc>
          <w:tcPr>
            <w:tcW w:w="4564" w:type="dxa"/>
          </w:tcPr>
          <w:p w14:paraId="37BE3FE5" w14:textId="77777777" w:rsidR="00D95E54" w:rsidRPr="00BE6881" w:rsidRDefault="00D95E54">
            <w:pPr>
              <w:autoSpaceDE w:val="0"/>
              <w:autoSpaceDN w:val="0"/>
              <w:adjustRightInd w:val="0"/>
              <w:spacing w:after="0"/>
              <w:rPr>
                <w:rFonts w:ascii="Arial Narrow" w:hAnsi="Arial Narrow" w:cs="Calibri"/>
                <w:color w:val="000000"/>
                <w:sz w:val="20"/>
                <w:szCs w:val="20"/>
                <w14:ligatures w14:val="standardContextual"/>
              </w:rPr>
            </w:pPr>
            <w:proofErr w:type="gramStart"/>
            <w:r w:rsidRPr="00BE6881">
              <w:rPr>
                <w:rFonts w:ascii="Arial Narrow" w:hAnsi="Arial Narrow" w:cs="Calibri"/>
                <w:color w:val="000000"/>
                <w:sz w:val="20"/>
                <w:szCs w:val="20"/>
                <w14:ligatures w14:val="standardContextual"/>
              </w:rPr>
              <w:t>In order to</w:t>
            </w:r>
            <w:proofErr w:type="gramEnd"/>
            <w:r w:rsidRPr="00BE6881">
              <w:rPr>
                <w:rFonts w:ascii="Arial Narrow" w:hAnsi="Arial Narrow" w:cs="Calibri"/>
                <w:color w:val="000000"/>
                <w:sz w:val="20"/>
                <w:szCs w:val="20"/>
                <w14:ligatures w14:val="standardContextual"/>
              </w:rPr>
              <w:t xml:space="preserve"> receive payment at 12, 24, 36 or 48 months:</w:t>
            </w:r>
          </w:p>
          <w:p w14:paraId="65AF6992" w14:textId="0C8E1A5A" w:rsidR="00DF1512" w:rsidRDefault="00D95E54" w:rsidP="00DF1512">
            <w:pPr>
              <w:numPr>
                <w:ilvl w:val="0"/>
                <w:numId w:val="32"/>
              </w:numPr>
              <w:autoSpaceDE w:val="0"/>
              <w:autoSpaceDN w:val="0"/>
              <w:adjustRightInd w:val="0"/>
              <w:spacing w:after="0" w:line="259" w:lineRule="auto"/>
              <w:rPr>
                <w:rFonts w:ascii="Arial Narrow" w:hAnsi="Arial Narrow" w:cs="Calibri"/>
                <w:color w:val="000000"/>
                <w:sz w:val="20"/>
                <w:szCs w:val="20"/>
                <w14:ligatures w14:val="standardContextual"/>
              </w:rPr>
            </w:pPr>
            <w:r w:rsidRPr="00BE6881">
              <w:rPr>
                <w:rFonts w:ascii="Arial Narrow" w:hAnsi="Arial Narrow" w:cs="Calibri"/>
                <w:color w:val="000000"/>
                <w:sz w:val="20"/>
                <w:szCs w:val="20"/>
                <w14:ligatures w14:val="standardContextual"/>
              </w:rPr>
              <w:t>the patient must not have died; and</w:t>
            </w:r>
          </w:p>
          <w:p w14:paraId="31E303B4" w14:textId="38E93552" w:rsidR="00D95E54" w:rsidRPr="00DF1512" w:rsidRDefault="00D95E54" w:rsidP="00DF1512">
            <w:pPr>
              <w:numPr>
                <w:ilvl w:val="0"/>
                <w:numId w:val="32"/>
              </w:numPr>
              <w:autoSpaceDE w:val="0"/>
              <w:autoSpaceDN w:val="0"/>
              <w:adjustRightInd w:val="0"/>
              <w:spacing w:after="0" w:line="259" w:lineRule="auto"/>
              <w:rPr>
                <w:rFonts w:ascii="Arial Narrow" w:hAnsi="Arial Narrow" w:cs="Calibri"/>
                <w:color w:val="000000"/>
                <w:sz w:val="20"/>
                <w:szCs w:val="20"/>
                <w14:ligatures w14:val="standardContextual"/>
              </w:rPr>
            </w:pPr>
            <w:r w:rsidRPr="00DF1512">
              <w:rPr>
                <w:rFonts w:ascii="Arial Narrow" w:hAnsi="Arial Narrow" w:cs="Calibri"/>
                <w:color w:val="000000"/>
                <w:sz w:val="20"/>
                <w:szCs w:val="20"/>
                <w14:ligatures w14:val="standardContextual"/>
              </w:rPr>
              <w:t xml:space="preserve">the patient must not have received treatment with active anti-myeloma therapy post successful infusion with </w:t>
            </w:r>
            <w:proofErr w:type="spellStart"/>
            <w:r w:rsidRPr="00DF1512">
              <w:rPr>
                <w:rFonts w:ascii="Arial Narrow" w:hAnsi="Arial Narrow" w:cs="Calibri"/>
                <w:color w:val="000000"/>
                <w:sz w:val="20"/>
                <w:szCs w:val="20"/>
                <w14:ligatures w14:val="standardContextual"/>
              </w:rPr>
              <w:t>cilta</w:t>
            </w:r>
            <w:proofErr w:type="spellEnd"/>
            <w:r w:rsidRPr="00DF1512">
              <w:rPr>
                <w:rFonts w:ascii="Arial Narrow" w:hAnsi="Arial Narrow" w:cs="Calibri"/>
                <w:color w:val="000000"/>
                <w:sz w:val="20"/>
                <w:szCs w:val="20"/>
                <w14:ligatures w14:val="standardContextual"/>
              </w:rPr>
              <w:t>-cel, including non-PBS subsidised therapies or autologous stem cell transplant</w:t>
            </w:r>
          </w:p>
        </w:tc>
      </w:tr>
    </w:tbl>
    <w:p w14:paraId="642E2146" w14:textId="77777777" w:rsidR="00D95E54" w:rsidRPr="00933448" w:rsidRDefault="00D95E54" w:rsidP="00D95E54">
      <w:pPr>
        <w:tabs>
          <w:tab w:val="num" w:pos="426"/>
        </w:tabs>
        <w:spacing w:after="16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 xml:space="preserve">Source: Resubmission letter for </w:t>
      </w:r>
      <w:proofErr w:type="spellStart"/>
      <w:r w:rsidRPr="00933448">
        <w:rPr>
          <w:rFonts w:ascii="Arial Narrow" w:hAnsi="Arial Narrow"/>
          <w:bCs/>
          <w:kern w:val="2"/>
          <w:sz w:val="18"/>
          <w:szCs w:val="18"/>
          <w14:ligatures w14:val="standardContextual"/>
        </w:rPr>
        <w:t>cilta</w:t>
      </w:r>
      <w:proofErr w:type="spellEnd"/>
      <w:r w:rsidRPr="00933448">
        <w:rPr>
          <w:rFonts w:ascii="Arial Narrow" w:hAnsi="Arial Narrow"/>
          <w:bCs/>
          <w:kern w:val="2"/>
          <w:sz w:val="18"/>
          <w:szCs w:val="18"/>
          <w14:ligatures w14:val="standardContextual"/>
        </w:rPr>
        <w:t>-cel received 0</w:t>
      </w:r>
      <w:r w:rsidRPr="00D95E54">
        <w:rPr>
          <w:rFonts w:ascii="Arial Narrow" w:hAnsi="Arial Narrow"/>
          <w:bCs/>
          <w:kern w:val="2"/>
          <w:sz w:val="18"/>
          <w:szCs w:val="18"/>
          <w14:ligatures w14:val="standardContextual"/>
        </w:rPr>
        <w:t>1</w:t>
      </w:r>
      <w:r w:rsidRPr="00933448">
        <w:rPr>
          <w:rFonts w:ascii="Arial Narrow" w:hAnsi="Arial Narrow"/>
          <w:bCs/>
          <w:kern w:val="2"/>
          <w:sz w:val="18"/>
          <w:szCs w:val="18"/>
          <w14:ligatures w14:val="standardContextual"/>
        </w:rPr>
        <w:t xml:space="preserve"> March 2024</w:t>
      </w:r>
    </w:p>
    <w:p w14:paraId="58BF740A" w14:textId="679184D5" w:rsidR="00D95E54" w:rsidRPr="00933448" w:rsidRDefault="00D95E54" w:rsidP="00D95E54">
      <w:pPr>
        <w:spacing w:after="160" w:line="259" w:lineRule="auto"/>
        <w:rPr>
          <w:rFonts w:ascii="Franklin Gothic Book" w:hAnsi="Franklin Gothic Book"/>
          <w:kern w:val="2"/>
          <w14:ligatures w14:val="standardContextual"/>
        </w:rPr>
      </w:pPr>
      <w:r w:rsidRPr="00933448">
        <w:rPr>
          <w:rFonts w:ascii="Franklin Gothic Book" w:hAnsi="Franklin Gothic Book"/>
          <w:kern w:val="2"/>
          <w14:ligatures w14:val="standardContextual"/>
        </w:rPr>
        <w:t xml:space="preserve">MSAC noted the applicant revised the financial estimates based on the updated </w:t>
      </w:r>
      <w:proofErr w:type="spellStart"/>
      <w:r w:rsidRPr="00933448">
        <w:rPr>
          <w:rFonts w:ascii="Franklin Gothic Book" w:hAnsi="Franklin Gothic Book"/>
          <w:kern w:val="2"/>
          <w14:ligatures w14:val="standardContextual"/>
        </w:rPr>
        <w:t>PfP</w:t>
      </w:r>
      <w:proofErr w:type="spellEnd"/>
      <w:r w:rsidRPr="00933448">
        <w:rPr>
          <w:rFonts w:ascii="Franklin Gothic Book" w:hAnsi="Franklin Gothic Book"/>
          <w:kern w:val="2"/>
          <w14:ligatures w14:val="standardContextual"/>
        </w:rPr>
        <w:t xml:space="preserve"> arrangement proposed by them, with an estimated total expenditure of </w:t>
      </w:r>
      <w:r w:rsidRPr="00DF1512">
        <w:rPr>
          <w:rFonts w:ascii="Franklin Gothic Book" w:hAnsi="Franklin Gothic Book"/>
          <w:kern w:val="2"/>
          <w14:ligatures w14:val="standardContextual"/>
        </w:rPr>
        <w:t>$</w:t>
      </w:r>
      <w:r w:rsidR="007E3177" w:rsidRPr="008C22DA">
        <w:rPr>
          <w:rFonts w:ascii="Franklin Gothic Book" w:hAnsi="Franklin Gothic Book"/>
          <w:color w:val="000000"/>
          <w:w w:val="66"/>
          <w:shd w:val="solid" w:color="000000" w:fill="000000"/>
          <w:fitText w:val="440" w:id="-959204595"/>
          <w14:textFill>
            <w14:solidFill>
              <w14:srgbClr w14:val="000000">
                <w14:alpha w14:val="100000"/>
              </w14:srgbClr>
            </w14:solidFill>
          </w14:textFill>
          <w14:ligatures w14:val="standardContextual"/>
        </w:rPr>
        <w:t>||||||</w:t>
      </w:r>
      <w:r w:rsidR="007E3177" w:rsidRPr="007E3177">
        <w:rPr>
          <w:rFonts w:ascii="Franklin Gothic Book" w:hAnsi="Franklin Gothic Book"/>
          <w:kern w:val="2"/>
          <w14:ligatures w14:val="standardContextual"/>
        </w:rPr>
        <w:t xml:space="preserve"> </w:t>
      </w:r>
      <w:r w:rsidR="007E3177" w:rsidRPr="007E3177">
        <w:rPr>
          <w:rFonts w:ascii="Franklin Gothic Book" w:hAnsi="Franklin Gothic Book"/>
          <w:color w:val="000000"/>
          <w:w w:val="66"/>
          <w:shd w:val="solid" w:color="000000" w:fill="000000"/>
          <w:fitText w:val="440" w:id="-959204594"/>
          <w14:textFill>
            <w14:solidFill>
              <w14:srgbClr w14:val="000000">
                <w14:alpha w14:val="100000"/>
              </w14:srgbClr>
            </w14:solidFill>
          </w14:textFill>
          <w14:ligatures w14:val="standardContextual"/>
        </w:rPr>
        <w:t>|||||</w:t>
      </w:r>
      <w:r w:rsidR="007E3177" w:rsidRPr="007E3177">
        <w:rPr>
          <w:rFonts w:ascii="Franklin Gothic Book" w:hAnsi="Franklin Gothic Book"/>
          <w:color w:val="000000"/>
          <w:spacing w:val="4"/>
          <w:w w:val="66"/>
          <w:shd w:val="solid" w:color="000000" w:fill="000000"/>
          <w:fitText w:val="440" w:id="-959204594"/>
          <w14:textFill>
            <w14:solidFill>
              <w14:srgbClr w14:val="000000">
                <w14:alpha w14:val="100000"/>
              </w14:srgbClr>
            </w14:solidFill>
          </w14:textFill>
          <w14:ligatures w14:val="standardContextual"/>
        </w:rPr>
        <w:t>|</w:t>
      </w:r>
      <w:r w:rsidRPr="00DF1512">
        <w:rPr>
          <w:rFonts w:ascii="Franklin Gothic Book" w:hAnsi="Franklin Gothic Book"/>
          <w:kern w:val="2"/>
          <w14:ligatures w14:val="standardContextual"/>
        </w:rPr>
        <w:t xml:space="preserve"> over 5 years </w:t>
      </w:r>
      <w:r w:rsidRPr="00933448">
        <w:rPr>
          <w:rFonts w:ascii="Franklin Gothic Book" w:hAnsi="Franklin Gothic Book"/>
          <w:kern w:val="2"/>
          <w14:ligatures w14:val="standardContextual"/>
        </w:rPr>
        <w:t>(</w:t>
      </w:r>
      <w:r w:rsidR="00AF7479">
        <w:rPr>
          <w:rFonts w:ascii="Franklin Gothic Book" w:hAnsi="Franklin Gothic Book"/>
          <w:kern w:val="2"/>
          <w14:ligatures w14:val="standardContextual"/>
        </w:rPr>
        <w:fldChar w:fldCharType="begin"/>
      </w:r>
      <w:r w:rsidR="00AF7479">
        <w:rPr>
          <w:rFonts w:ascii="Franklin Gothic Book" w:hAnsi="Franklin Gothic Book"/>
          <w:kern w:val="2"/>
          <w14:ligatures w14:val="standardContextual"/>
        </w:rPr>
        <w:instrText xml:space="preserve"> REF _Ref188617709 \h </w:instrText>
      </w:r>
      <w:r w:rsidR="00AF7479">
        <w:rPr>
          <w:rFonts w:ascii="Franklin Gothic Book" w:hAnsi="Franklin Gothic Book"/>
          <w:kern w:val="2"/>
          <w14:ligatures w14:val="standardContextual"/>
        </w:rPr>
      </w:r>
      <w:r w:rsidR="00AF7479">
        <w:rPr>
          <w:rFonts w:ascii="Franklin Gothic Book" w:hAnsi="Franklin Gothic Book"/>
          <w:kern w:val="2"/>
          <w14:ligatures w14:val="standardContextual"/>
        </w:rPr>
        <w:fldChar w:fldCharType="separate"/>
      </w:r>
      <w:r w:rsidR="00AF7479">
        <w:t xml:space="preserve">Table </w:t>
      </w:r>
      <w:r w:rsidR="00AF7479">
        <w:rPr>
          <w:noProof/>
        </w:rPr>
        <w:t>5</w:t>
      </w:r>
      <w:r w:rsidR="00AF7479">
        <w:rPr>
          <w:rFonts w:ascii="Franklin Gothic Book" w:hAnsi="Franklin Gothic Book"/>
          <w:kern w:val="2"/>
          <w14:ligatures w14:val="standardContextual"/>
        </w:rPr>
        <w:fldChar w:fldCharType="end"/>
      </w:r>
      <w:r w:rsidRPr="00933448">
        <w:rPr>
          <w:rFonts w:ascii="Franklin Gothic Book" w:hAnsi="Franklin Gothic Book"/>
          <w:kern w:val="2"/>
          <w14:ligatures w14:val="standardContextual"/>
        </w:rPr>
        <w:t xml:space="preserve">). MSAC considered the financial estimates were substantial and noted they only accounted for the cost of the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 xml:space="preserve">-cel. MSAC noted an additional net budget impact to the health system of </w:t>
      </w:r>
      <w:r w:rsidRPr="00D20839">
        <w:rPr>
          <w:rFonts w:ascii="Franklin Gothic Book" w:hAnsi="Franklin Gothic Book"/>
          <w:kern w:val="2"/>
          <w14:ligatures w14:val="standardContextual"/>
        </w:rPr>
        <w:t>$2.5million to $9million</w:t>
      </w:r>
      <w:r w:rsidRPr="00933448">
        <w:rPr>
          <w:rFonts w:ascii="Franklin Gothic Book" w:hAnsi="Franklin Gothic Book"/>
          <w:kern w:val="2"/>
          <w14:ligatures w14:val="standardContextual"/>
        </w:rPr>
        <w:t xml:space="preserve"> per year was likely given the ancillary costs associated with providing </w:t>
      </w:r>
      <w:proofErr w:type="spellStart"/>
      <w:r w:rsidRPr="00933448">
        <w:rPr>
          <w:rFonts w:ascii="Franklin Gothic Book" w:hAnsi="Franklin Gothic Book"/>
          <w:kern w:val="2"/>
          <w14:ligatures w14:val="standardContextual"/>
        </w:rPr>
        <w:t>cilta</w:t>
      </w:r>
      <w:proofErr w:type="spellEnd"/>
      <w:r w:rsidRPr="00933448">
        <w:rPr>
          <w:rFonts w:ascii="Franklin Gothic Book" w:hAnsi="Franklin Gothic Book"/>
          <w:kern w:val="2"/>
          <w14:ligatures w14:val="standardContextual"/>
        </w:rPr>
        <w:t>-cel, and that the estimates were likely underestimated.</w:t>
      </w:r>
    </w:p>
    <w:p w14:paraId="43AC0F22" w14:textId="480219AE" w:rsidR="00AF7479" w:rsidRDefault="00AF7479" w:rsidP="00AF7479">
      <w:pPr>
        <w:pStyle w:val="Caption"/>
      </w:pPr>
      <w:bookmarkStart w:id="15" w:name="_Ref188617709"/>
      <w:r>
        <w:t xml:space="preserve">Table </w:t>
      </w:r>
      <w:r>
        <w:fldChar w:fldCharType="begin"/>
      </w:r>
      <w:r>
        <w:instrText xml:space="preserve"> SEQ Table \* ARABIC </w:instrText>
      </w:r>
      <w:r>
        <w:fldChar w:fldCharType="separate"/>
      </w:r>
      <w:r>
        <w:rPr>
          <w:noProof/>
        </w:rPr>
        <w:t>5</w:t>
      </w:r>
      <w:r>
        <w:rPr>
          <w:noProof/>
        </w:rPr>
        <w:fldChar w:fldCharType="end"/>
      </w:r>
      <w:bookmarkEnd w:id="15"/>
      <w:r w:rsidRPr="00AF7479">
        <w:t xml:space="preserve"> </w:t>
      </w:r>
      <w:r w:rsidRPr="00D95E54">
        <w:tab/>
      </w:r>
      <w:r w:rsidRPr="00933448">
        <w:t>Overview of patient numbers and budget impact</w:t>
      </w:r>
    </w:p>
    <w:tbl>
      <w:tblPr>
        <w:tblStyle w:val="TableGrid"/>
        <w:tblW w:w="9067" w:type="dxa"/>
        <w:tblLayout w:type="fixed"/>
        <w:tblLook w:val="0020" w:firstRow="1" w:lastRow="0" w:firstColumn="0" w:lastColumn="0" w:noHBand="0" w:noVBand="0"/>
      </w:tblPr>
      <w:tblGrid>
        <w:gridCol w:w="1323"/>
        <w:gridCol w:w="6"/>
        <w:gridCol w:w="1222"/>
        <w:gridCol w:w="58"/>
        <w:gridCol w:w="1294"/>
        <w:gridCol w:w="7"/>
        <w:gridCol w:w="1301"/>
        <w:gridCol w:w="44"/>
        <w:gridCol w:w="1228"/>
        <w:gridCol w:w="29"/>
        <w:gridCol w:w="1301"/>
        <w:gridCol w:w="22"/>
        <w:gridCol w:w="1232"/>
      </w:tblGrid>
      <w:tr w:rsidR="00D95E54" w:rsidRPr="00933448" w14:paraId="31551BF1" w14:textId="77777777" w:rsidTr="00415619">
        <w:trPr>
          <w:trHeight w:val="399"/>
        </w:trPr>
        <w:tc>
          <w:tcPr>
            <w:tcW w:w="1329" w:type="dxa"/>
            <w:gridSpan w:val="2"/>
            <w:shd w:val="clear" w:color="auto" w:fill="BFBFBF" w:themeFill="background1" w:themeFillShade="BF"/>
          </w:tcPr>
          <w:p w14:paraId="225F09B1"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p>
        </w:tc>
        <w:tc>
          <w:tcPr>
            <w:tcW w:w="1280" w:type="dxa"/>
            <w:gridSpan w:val="2"/>
            <w:shd w:val="clear" w:color="auto" w:fill="BFBFBF" w:themeFill="background1" w:themeFillShade="BF"/>
          </w:tcPr>
          <w:p w14:paraId="33039EEC" w14:textId="77777777" w:rsidR="00D95E54" w:rsidRPr="00933448" w:rsidRDefault="00D95E54">
            <w:pPr>
              <w:keepNext/>
              <w:autoSpaceDE w:val="0"/>
              <w:autoSpaceDN w:val="0"/>
              <w:adjustRightInd w:val="0"/>
              <w:spacing w:after="0"/>
              <w:rPr>
                <w:rFonts w:ascii="Arial Narrow" w:hAnsi="Arial Narrow" w:cs="Calibri"/>
                <w:b/>
                <w:bCs/>
                <w:color w:val="000000"/>
                <w:sz w:val="20"/>
                <w:szCs w:val="20"/>
              </w:rPr>
            </w:pPr>
            <w:r w:rsidRPr="00933448">
              <w:rPr>
                <w:rFonts w:ascii="Arial Narrow" w:hAnsi="Arial Narrow" w:cs="Calibri"/>
                <w:b/>
                <w:bCs/>
                <w:color w:val="000000"/>
                <w:sz w:val="20"/>
                <w:szCs w:val="20"/>
              </w:rPr>
              <w:t>Year 1 (of NHRA funding)</w:t>
            </w:r>
          </w:p>
        </w:tc>
        <w:tc>
          <w:tcPr>
            <w:tcW w:w="1301" w:type="dxa"/>
            <w:gridSpan w:val="2"/>
            <w:shd w:val="clear" w:color="auto" w:fill="BFBFBF" w:themeFill="background1" w:themeFillShade="BF"/>
          </w:tcPr>
          <w:p w14:paraId="2CF4927C"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2 </w:t>
            </w:r>
          </w:p>
        </w:tc>
        <w:tc>
          <w:tcPr>
            <w:tcW w:w="1301" w:type="dxa"/>
            <w:shd w:val="clear" w:color="auto" w:fill="BFBFBF" w:themeFill="background1" w:themeFillShade="BF"/>
          </w:tcPr>
          <w:p w14:paraId="3DA47537"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3 </w:t>
            </w:r>
          </w:p>
        </w:tc>
        <w:tc>
          <w:tcPr>
            <w:tcW w:w="1301" w:type="dxa"/>
            <w:gridSpan w:val="3"/>
            <w:shd w:val="clear" w:color="auto" w:fill="BFBFBF" w:themeFill="background1" w:themeFillShade="BF"/>
          </w:tcPr>
          <w:p w14:paraId="69319479"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4 </w:t>
            </w:r>
          </w:p>
        </w:tc>
        <w:tc>
          <w:tcPr>
            <w:tcW w:w="1301" w:type="dxa"/>
            <w:shd w:val="clear" w:color="auto" w:fill="BFBFBF" w:themeFill="background1" w:themeFillShade="BF"/>
          </w:tcPr>
          <w:p w14:paraId="2E19C977"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 5 </w:t>
            </w:r>
          </w:p>
        </w:tc>
        <w:tc>
          <w:tcPr>
            <w:tcW w:w="1254" w:type="dxa"/>
            <w:gridSpan w:val="2"/>
            <w:shd w:val="clear" w:color="auto" w:fill="BFBFBF" w:themeFill="background1" w:themeFillShade="BF"/>
          </w:tcPr>
          <w:p w14:paraId="2E529619"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Years 1 – 5 </w:t>
            </w:r>
          </w:p>
        </w:tc>
      </w:tr>
      <w:tr w:rsidR="00D95E54" w:rsidRPr="00933448" w14:paraId="76117ED8" w14:textId="77777777" w:rsidTr="00415619">
        <w:trPr>
          <w:trHeight w:val="144"/>
        </w:trPr>
        <w:tc>
          <w:tcPr>
            <w:tcW w:w="9067" w:type="dxa"/>
            <w:gridSpan w:val="13"/>
            <w:shd w:val="clear" w:color="auto" w:fill="E7E6E6" w:themeFill="background2"/>
          </w:tcPr>
          <w:p w14:paraId="291DC4BE"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b/>
                <w:bCs/>
                <w:color w:val="000000"/>
                <w:sz w:val="20"/>
                <w:szCs w:val="20"/>
              </w:rPr>
              <w:t xml:space="preserve">April 2024 proposal: 5L+ MM population patient numbers </w:t>
            </w:r>
          </w:p>
        </w:tc>
      </w:tr>
      <w:tr w:rsidR="00D95E54" w:rsidRPr="00933448" w14:paraId="6E3D1166" w14:textId="77777777" w:rsidTr="00415619">
        <w:trPr>
          <w:trHeight w:val="267"/>
        </w:trPr>
        <w:tc>
          <w:tcPr>
            <w:tcW w:w="1323" w:type="dxa"/>
          </w:tcPr>
          <w:p w14:paraId="183C0BCC"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color w:val="000000"/>
                <w:sz w:val="20"/>
                <w:szCs w:val="20"/>
              </w:rPr>
              <w:t xml:space="preserve">Initiating patients </w:t>
            </w:r>
          </w:p>
        </w:tc>
        <w:tc>
          <w:tcPr>
            <w:tcW w:w="1228" w:type="dxa"/>
            <w:gridSpan w:val="2"/>
          </w:tcPr>
          <w:p w14:paraId="529D572B" w14:textId="7A890445"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52"/>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52"/>
                <w14:textFill>
                  <w14:solidFill>
                    <w14:srgbClr w14:val="000000">
                      <w14:alpha w14:val="100000"/>
                    </w14:srgbClr>
                  </w14:solidFill>
                </w14:textFill>
              </w:rPr>
              <w:t>|</w:t>
            </w:r>
            <w:r w:rsidRPr="008C22DA">
              <w:rPr>
                <w:rFonts w:ascii="Arial Narrow" w:hAnsi="Arial Narrow"/>
                <w:color w:val="000000"/>
                <w:sz w:val="20"/>
              </w:rPr>
              <w:t xml:space="preserve"> </w:t>
            </w:r>
          </w:p>
        </w:tc>
        <w:tc>
          <w:tcPr>
            <w:tcW w:w="1352" w:type="dxa"/>
            <w:gridSpan w:val="2"/>
          </w:tcPr>
          <w:p w14:paraId="7925E017" w14:textId="7575CDE3"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51"/>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51"/>
                <w14:textFill>
                  <w14:solidFill>
                    <w14:srgbClr w14:val="000000">
                      <w14:alpha w14:val="100000"/>
                    </w14:srgbClr>
                  </w14:solidFill>
                </w14:textFill>
              </w:rPr>
              <w:t>|</w:t>
            </w:r>
            <w:r w:rsidRPr="008C22DA">
              <w:rPr>
                <w:rFonts w:ascii="Arial Narrow" w:hAnsi="Arial Narrow"/>
                <w:color w:val="000000"/>
                <w:sz w:val="20"/>
              </w:rPr>
              <w:t xml:space="preserve"> </w:t>
            </w:r>
          </w:p>
        </w:tc>
        <w:tc>
          <w:tcPr>
            <w:tcW w:w="1352" w:type="dxa"/>
            <w:gridSpan w:val="3"/>
          </w:tcPr>
          <w:p w14:paraId="3D12B988" w14:textId="4368835D"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50"/>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50"/>
                <w14:textFill>
                  <w14:solidFill>
                    <w14:srgbClr w14:val="000000">
                      <w14:alpha w14:val="100000"/>
                    </w14:srgbClr>
                  </w14:solidFill>
                </w14:textFill>
              </w:rPr>
              <w:t>|</w:t>
            </w:r>
            <w:r w:rsidRPr="008C22DA">
              <w:rPr>
                <w:rFonts w:ascii="Arial Narrow" w:hAnsi="Arial Narrow"/>
                <w:color w:val="000000"/>
                <w:sz w:val="20"/>
              </w:rPr>
              <w:t xml:space="preserve"> </w:t>
            </w:r>
          </w:p>
        </w:tc>
        <w:tc>
          <w:tcPr>
            <w:tcW w:w="1228" w:type="dxa"/>
          </w:tcPr>
          <w:p w14:paraId="126474E5" w14:textId="1B84510B"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9"/>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9"/>
                <w14:textFill>
                  <w14:solidFill>
                    <w14:srgbClr w14:val="000000">
                      <w14:alpha w14:val="100000"/>
                    </w14:srgbClr>
                  </w14:solidFill>
                </w14:textFill>
              </w:rPr>
              <w:t>|</w:t>
            </w:r>
            <w:r w:rsidRPr="008C22DA">
              <w:rPr>
                <w:rFonts w:ascii="Arial Narrow" w:hAnsi="Arial Narrow"/>
                <w:color w:val="000000"/>
                <w:sz w:val="20"/>
              </w:rPr>
              <w:t xml:space="preserve"> </w:t>
            </w:r>
          </w:p>
        </w:tc>
        <w:tc>
          <w:tcPr>
            <w:tcW w:w="1352" w:type="dxa"/>
            <w:gridSpan w:val="3"/>
          </w:tcPr>
          <w:p w14:paraId="32E52A8B" w14:textId="3E25C6B2"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8"/>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8"/>
                <w14:textFill>
                  <w14:solidFill>
                    <w14:srgbClr w14:val="000000">
                      <w14:alpha w14:val="100000"/>
                    </w14:srgbClr>
                  </w14:solidFill>
                </w14:textFill>
              </w:rPr>
              <w:t>|</w:t>
            </w:r>
            <w:r w:rsidRPr="008C22DA">
              <w:rPr>
                <w:rFonts w:ascii="Arial Narrow" w:hAnsi="Arial Narrow"/>
                <w:color w:val="000000"/>
                <w:sz w:val="20"/>
              </w:rPr>
              <w:t xml:space="preserve"> </w:t>
            </w:r>
          </w:p>
        </w:tc>
        <w:tc>
          <w:tcPr>
            <w:tcW w:w="1232" w:type="dxa"/>
          </w:tcPr>
          <w:p w14:paraId="1C9DD690" w14:textId="4A44813E"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7"/>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7"/>
                <w14:textFill>
                  <w14:solidFill>
                    <w14:srgbClr w14:val="000000">
                      <w14:alpha w14:val="100000"/>
                    </w14:srgbClr>
                  </w14:solidFill>
                </w14:textFill>
              </w:rPr>
              <w:t>|</w:t>
            </w:r>
            <w:r w:rsidRPr="008C22DA">
              <w:rPr>
                <w:rFonts w:ascii="Arial Narrow" w:hAnsi="Arial Narrow"/>
                <w:color w:val="000000"/>
                <w:sz w:val="20"/>
              </w:rPr>
              <w:t xml:space="preserve"> </w:t>
            </w:r>
          </w:p>
        </w:tc>
      </w:tr>
      <w:tr w:rsidR="00D95E54" w:rsidRPr="00933448" w14:paraId="73DBBB47" w14:textId="77777777" w:rsidTr="00415619">
        <w:trPr>
          <w:trHeight w:val="267"/>
        </w:trPr>
        <w:tc>
          <w:tcPr>
            <w:tcW w:w="1323" w:type="dxa"/>
          </w:tcPr>
          <w:p w14:paraId="37D17403"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color w:val="000000"/>
                <w:sz w:val="20"/>
                <w:szCs w:val="20"/>
              </w:rPr>
              <w:t xml:space="preserve">Infused patients </w:t>
            </w:r>
          </w:p>
        </w:tc>
        <w:tc>
          <w:tcPr>
            <w:tcW w:w="1228" w:type="dxa"/>
            <w:gridSpan w:val="2"/>
          </w:tcPr>
          <w:p w14:paraId="795C579A" w14:textId="411EF48D"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6"/>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6"/>
                <w14:textFill>
                  <w14:solidFill>
                    <w14:srgbClr w14:val="000000">
                      <w14:alpha w14:val="100000"/>
                    </w14:srgbClr>
                  </w14:solidFill>
                </w14:textFill>
              </w:rPr>
              <w:t>|</w:t>
            </w:r>
            <w:r w:rsidRPr="008C22DA">
              <w:rPr>
                <w:rFonts w:ascii="Arial Narrow" w:hAnsi="Arial Narrow"/>
                <w:color w:val="000000"/>
                <w:sz w:val="20"/>
              </w:rPr>
              <w:t xml:space="preserve"> </w:t>
            </w:r>
          </w:p>
        </w:tc>
        <w:tc>
          <w:tcPr>
            <w:tcW w:w="1352" w:type="dxa"/>
            <w:gridSpan w:val="2"/>
          </w:tcPr>
          <w:p w14:paraId="669997D8" w14:textId="5B989492"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5"/>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5"/>
                <w14:textFill>
                  <w14:solidFill>
                    <w14:srgbClr w14:val="000000">
                      <w14:alpha w14:val="100000"/>
                    </w14:srgbClr>
                  </w14:solidFill>
                </w14:textFill>
              </w:rPr>
              <w:t>|</w:t>
            </w:r>
            <w:r w:rsidRPr="008C22DA">
              <w:rPr>
                <w:rFonts w:ascii="Arial Narrow" w:hAnsi="Arial Narrow"/>
                <w:color w:val="000000"/>
                <w:sz w:val="20"/>
              </w:rPr>
              <w:t xml:space="preserve"> </w:t>
            </w:r>
          </w:p>
        </w:tc>
        <w:tc>
          <w:tcPr>
            <w:tcW w:w="1352" w:type="dxa"/>
            <w:gridSpan w:val="3"/>
          </w:tcPr>
          <w:p w14:paraId="2D631EB3" w14:textId="07888C98"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4"/>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4"/>
                <w14:textFill>
                  <w14:solidFill>
                    <w14:srgbClr w14:val="000000">
                      <w14:alpha w14:val="100000"/>
                    </w14:srgbClr>
                  </w14:solidFill>
                </w14:textFill>
              </w:rPr>
              <w:t>|</w:t>
            </w:r>
            <w:r w:rsidRPr="008C22DA">
              <w:rPr>
                <w:rFonts w:ascii="Arial Narrow" w:hAnsi="Arial Narrow"/>
                <w:color w:val="000000"/>
                <w:sz w:val="20"/>
              </w:rPr>
              <w:t xml:space="preserve"> </w:t>
            </w:r>
          </w:p>
        </w:tc>
        <w:tc>
          <w:tcPr>
            <w:tcW w:w="1228" w:type="dxa"/>
          </w:tcPr>
          <w:p w14:paraId="4E9D7BB7" w14:textId="1C8657BF"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3"/>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3"/>
                <w14:textFill>
                  <w14:solidFill>
                    <w14:srgbClr w14:val="000000">
                      <w14:alpha w14:val="100000"/>
                    </w14:srgbClr>
                  </w14:solidFill>
                </w14:textFill>
              </w:rPr>
              <w:t>|</w:t>
            </w:r>
            <w:r w:rsidRPr="008C22DA">
              <w:rPr>
                <w:rFonts w:ascii="Arial Narrow" w:hAnsi="Arial Narrow"/>
                <w:color w:val="000000"/>
                <w:sz w:val="20"/>
              </w:rPr>
              <w:t xml:space="preserve"> </w:t>
            </w:r>
          </w:p>
        </w:tc>
        <w:tc>
          <w:tcPr>
            <w:tcW w:w="1352" w:type="dxa"/>
            <w:gridSpan w:val="3"/>
          </w:tcPr>
          <w:p w14:paraId="0A9FE849" w14:textId="68E0FA86"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2"/>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2"/>
                <w14:textFill>
                  <w14:solidFill>
                    <w14:srgbClr w14:val="000000">
                      <w14:alpha w14:val="100000"/>
                    </w14:srgbClr>
                  </w14:solidFill>
                </w14:textFill>
              </w:rPr>
              <w:t>|</w:t>
            </w:r>
            <w:r w:rsidRPr="008C22DA">
              <w:rPr>
                <w:rFonts w:ascii="Arial Narrow" w:hAnsi="Arial Narrow"/>
                <w:color w:val="000000"/>
                <w:sz w:val="20"/>
              </w:rPr>
              <w:t xml:space="preserve"> </w:t>
            </w:r>
          </w:p>
        </w:tc>
        <w:tc>
          <w:tcPr>
            <w:tcW w:w="1232" w:type="dxa"/>
          </w:tcPr>
          <w:p w14:paraId="339EF2F7" w14:textId="19F7D31B" w:rsidR="00D95E54" w:rsidRPr="00067911" w:rsidRDefault="007E3177">
            <w:pPr>
              <w:keepNext/>
              <w:autoSpaceDE w:val="0"/>
              <w:autoSpaceDN w:val="0"/>
              <w:adjustRightInd w:val="0"/>
              <w:spacing w:after="0"/>
              <w:rPr>
                <w:rFonts w:ascii="Arial Narrow" w:hAnsi="Arial Narrow" w:cs="Calibri"/>
                <w:color w:val="000000"/>
                <w:sz w:val="20"/>
                <w:szCs w:val="20"/>
                <w:highlight w:val="cyan"/>
              </w:rPr>
            </w:pPr>
            <w:r w:rsidRPr="00307272">
              <w:rPr>
                <w:rFonts w:ascii="Arial Narrow" w:hAnsi="Arial Narrow" w:cs="Calibri"/>
                <w:color w:val="000000"/>
                <w:spacing w:val="53"/>
                <w:sz w:val="20"/>
                <w:szCs w:val="20"/>
                <w:shd w:val="solid" w:color="000000" w:fill="000000"/>
                <w:fitText w:val="330" w:id="-959204341"/>
                <w14:textFill>
                  <w14:solidFill>
                    <w14:srgbClr w14:val="000000">
                      <w14:alpha w14:val="100000"/>
                    </w14:srgbClr>
                  </w14:solidFill>
                </w14:textFill>
              </w:rPr>
              <w:t>|||</w:t>
            </w:r>
            <w:r w:rsidRPr="00307272">
              <w:rPr>
                <w:rFonts w:ascii="Arial Narrow" w:hAnsi="Arial Narrow" w:cs="Calibri"/>
                <w:color w:val="000000"/>
                <w:spacing w:val="1"/>
                <w:sz w:val="20"/>
                <w:szCs w:val="20"/>
                <w:shd w:val="solid" w:color="000000" w:fill="000000"/>
                <w:fitText w:val="330" w:id="-959204341"/>
                <w14:textFill>
                  <w14:solidFill>
                    <w14:srgbClr w14:val="000000">
                      <w14:alpha w14:val="100000"/>
                    </w14:srgbClr>
                  </w14:solidFill>
                </w14:textFill>
              </w:rPr>
              <w:t>|</w:t>
            </w:r>
            <w:r w:rsidRPr="008C22DA">
              <w:rPr>
                <w:rFonts w:ascii="Arial Narrow" w:hAnsi="Arial Narrow"/>
                <w:color w:val="000000"/>
                <w:sz w:val="20"/>
              </w:rPr>
              <w:t xml:space="preserve"> </w:t>
            </w:r>
          </w:p>
        </w:tc>
      </w:tr>
      <w:tr w:rsidR="00D95E54" w:rsidRPr="00933448" w14:paraId="2A8D3297" w14:textId="77777777" w:rsidTr="00415619">
        <w:trPr>
          <w:trHeight w:val="272"/>
        </w:trPr>
        <w:tc>
          <w:tcPr>
            <w:tcW w:w="9067" w:type="dxa"/>
            <w:gridSpan w:val="13"/>
            <w:shd w:val="clear" w:color="auto" w:fill="E7E6E6" w:themeFill="background2"/>
          </w:tcPr>
          <w:p w14:paraId="4FAC92EB" w14:textId="01F8987D" w:rsidR="00D95E54" w:rsidRPr="00933448" w:rsidRDefault="00D95E54">
            <w:pPr>
              <w:keepNext/>
              <w:autoSpaceDE w:val="0"/>
              <w:autoSpaceDN w:val="0"/>
              <w:adjustRightInd w:val="0"/>
              <w:spacing w:after="0"/>
              <w:rPr>
                <w:rFonts w:ascii="Arial Narrow" w:hAnsi="Arial Narrow" w:cs="Calibri"/>
                <w:color w:val="000000"/>
                <w:sz w:val="20"/>
                <w:szCs w:val="20"/>
                <w:lang w:val="en-US"/>
              </w:rPr>
            </w:pPr>
            <w:r w:rsidRPr="00933448">
              <w:rPr>
                <w:rFonts w:ascii="Arial Narrow" w:hAnsi="Arial Narrow" w:cs="Calibri"/>
                <w:b/>
                <w:color w:val="000000"/>
                <w:sz w:val="20"/>
                <w:szCs w:val="20"/>
                <w:lang w:val="en-US"/>
              </w:rPr>
              <w:t xml:space="preserve">April 2024 proposal: Maximum budget impact of 5L+ MM population with revised payment for outcome model </w:t>
            </w:r>
            <w:r w:rsidR="007E3177" w:rsidRPr="00307272">
              <w:rPr>
                <w:rFonts w:ascii="Arial Narrow" w:hAnsi="Arial Narrow" w:cs="Calibri"/>
                <w:b/>
                <w:color w:val="000000"/>
                <w:spacing w:val="55"/>
                <w:sz w:val="20"/>
                <w:szCs w:val="20"/>
                <w:shd w:val="solid" w:color="000000" w:fill="000000"/>
                <w:fitText w:val="350" w:id="-959204340"/>
                <w:lang w:val="en-US"/>
                <w14:textFill>
                  <w14:solidFill>
                    <w14:srgbClr w14:val="000000">
                      <w14:alpha w14:val="100000"/>
                    </w14:srgbClr>
                  </w14:solidFill>
                </w14:textFill>
              </w:rPr>
              <w:t>|||</w:t>
            </w:r>
            <w:r w:rsidR="007E3177" w:rsidRPr="00307272">
              <w:rPr>
                <w:rFonts w:ascii="Arial Narrow" w:hAnsi="Arial Narrow" w:cs="Calibri"/>
                <w:b/>
                <w:color w:val="000000"/>
                <w:spacing w:val="2"/>
                <w:sz w:val="20"/>
                <w:szCs w:val="20"/>
                <w:shd w:val="solid" w:color="000000" w:fill="000000"/>
                <w:fitText w:val="350" w:id="-959204340"/>
                <w:lang w:val="en-US"/>
                <w14:textFill>
                  <w14:solidFill>
                    <w14:srgbClr w14:val="000000">
                      <w14:alpha w14:val="100000"/>
                    </w14:srgbClr>
                  </w14:solidFill>
                </w14:textFill>
              </w:rPr>
              <w:t>|</w:t>
            </w:r>
            <w:r w:rsidR="007E3177" w:rsidRPr="007E3177">
              <w:rPr>
                <w:rFonts w:ascii="Arial Narrow" w:hAnsi="Arial Narrow" w:cs="Calibri"/>
                <w:b/>
                <w:color w:val="000000"/>
                <w:sz w:val="20"/>
                <w:szCs w:val="20"/>
                <w:lang w:val="en-US"/>
              </w:rPr>
              <w:t xml:space="preserve"> </w:t>
            </w:r>
            <w:r w:rsidR="007E3177" w:rsidRPr="00307272">
              <w:rPr>
                <w:rFonts w:ascii="Arial Narrow" w:hAnsi="Arial Narrow" w:cs="Calibri"/>
                <w:b/>
                <w:color w:val="000000"/>
                <w:spacing w:val="58"/>
                <w:sz w:val="20"/>
                <w:szCs w:val="20"/>
                <w:shd w:val="solid" w:color="000000" w:fill="000000"/>
                <w:fitText w:val="360" w:id="-959204339"/>
                <w:lang w:val="en-US"/>
                <w14:textFill>
                  <w14:solidFill>
                    <w14:srgbClr w14:val="000000">
                      <w14:alpha w14:val="100000"/>
                    </w14:srgbClr>
                  </w14:solidFill>
                </w14:textFill>
              </w:rPr>
              <w:t>|||</w:t>
            </w:r>
            <w:r w:rsidR="007E3177" w:rsidRPr="00307272">
              <w:rPr>
                <w:rFonts w:ascii="Arial Narrow" w:hAnsi="Arial Narrow" w:cs="Calibri"/>
                <w:b/>
                <w:color w:val="000000"/>
                <w:spacing w:val="3"/>
                <w:sz w:val="20"/>
                <w:szCs w:val="20"/>
                <w:shd w:val="solid" w:color="000000" w:fill="000000"/>
                <w:fitText w:val="360" w:id="-959204339"/>
                <w:lang w:val="en-US"/>
                <w14:textFill>
                  <w14:solidFill>
                    <w14:srgbClr w14:val="000000">
                      <w14:alpha w14:val="100000"/>
                    </w14:srgbClr>
                  </w14:solidFill>
                </w14:textFill>
              </w:rPr>
              <w:t>|</w:t>
            </w:r>
            <w:r w:rsidRPr="00933448">
              <w:rPr>
                <w:rFonts w:ascii="Arial Narrow" w:hAnsi="Arial Narrow" w:cs="Calibri"/>
                <w:b/>
                <w:color w:val="000000"/>
                <w:sz w:val="20"/>
                <w:szCs w:val="20"/>
                <w:lang w:val="en-US"/>
              </w:rPr>
              <w:t xml:space="preserve"> </w:t>
            </w:r>
          </w:p>
        </w:tc>
      </w:tr>
      <w:tr w:rsidR="00D95E54" w:rsidRPr="00933448" w14:paraId="70BC824E" w14:textId="77777777" w:rsidTr="00415619">
        <w:trPr>
          <w:trHeight w:val="266"/>
        </w:trPr>
        <w:tc>
          <w:tcPr>
            <w:tcW w:w="1323" w:type="dxa"/>
          </w:tcPr>
          <w:p w14:paraId="05DA8FF1" w14:textId="77777777" w:rsidR="00D95E54" w:rsidRPr="00933448" w:rsidRDefault="00D95E54">
            <w:pPr>
              <w:keepNext/>
              <w:autoSpaceDE w:val="0"/>
              <w:autoSpaceDN w:val="0"/>
              <w:adjustRightInd w:val="0"/>
              <w:spacing w:after="0"/>
              <w:rPr>
                <w:rFonts w:ascii="Arial Narrow" w:hAnsi="Arial Narrow" w:cs="Calibri"/>
                <w:color w:val="000000"/>
                <w:sz w:val="20"/>
                <w:szCs w:val="20"/>
              </w:rPr>
            </w:pPr>
            <w:r w:rsidRPr="00933448">
              <w:rPr>
                <w:rFonts w:ascii="Arial Narrow" w:hAnsi="Arial Narrow" w:cs="Calibri"/>
                <w:color w:val="000000"/>
                <w:sz w:val="20"/>
                <w:szCs w:val="20"/>
              </w:rPr>
              <w:t xml:space="preserve">Financial estimates </w:t>
            </w:r>
          </w:p>
        </w:tc>
        <w:tc>
          <w:tcPr>
            <w:tcW w:w="1228" w:type="dxa"/>
            <w:gridSpan w:val="2"/>
          </w:tcPr>
          <w:p w14:paraId="2CD0D629" w14:textId="38FEA1CB"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38"/>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38"/>
                <w14:textFill>
                  <w14:solidFill>
                    <w14:srgbClr w14:val="000000">
                      <w14:alpha w14:val="100000"/>
                    </w14:srgbClr>
                  </w14:solidFill>
                </w14:textFill>
              </w:rPr>
              <w:t>|</w:t>
            </w:r>
            <w:r w:rsidR="007E3177" w:rsidRPr="008C22DA">
              <w:rPr>
                <w:rFonts w:ascii="Arial Narrow" w:hAnsi="Arial Narrow"/>
                <w:color w:val="000000"/>
                <w:sz w:val="20"/>
              </w:rPr>
              <w:t xml:space="preserve"> </w:t>
            </w:r>
          </w:p>
        </w:tc>
        <w:tc>
          <w:tcPr>
            <w:tcW w:w="1352" w:type="dxa"/>
            <w:gridSpan w:val="2"/>
          </w:tcPr>
          <w:p w14:paraId="62B4B2EB" w14:textId="1B91ACF0"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37"/>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37"/>
                <w14:textFill>
                  <w14:solidFill>
                    <w14:srgbClr w14:val="000000">
                      <w14:alpha w14:val="100000"/>
                    </w14:srgbClr>
                  </w14:solidFill>
                </w14:textFill>
              </w:rPr>
              <w:t>|</w:t>
            </w:r>
            <w:r w:rsidR="007E3177" w:rsidRPr="008C22DA">
              <w:rPr>
                <w:rFonts w:ascii="Arial Narrow" w:hAnsi="Arial Narrow"/>
                <w:color w:val="000000"/>
                <w:sz w:val="20"/>
              </w:rPr>
              <w:t xml:space="preserve"> </w:t>
            </w:r>
          </w:p>
        </w:tc>
        <w:tc>
          <w:tcPr>
            <w:tcW w:w="1352" w:type="dxa"/>
            <w:gridSpan w:val="3"/>
          </w:tcPr>
          <w:p w14:paraId="4940BAE9" w14:textId="3EA4228B"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36"/>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36"/>
                <w14:textFill>
                  <w14:solidFill>
                    <w14:srgbClr w14:val="000000">
                      <w14:alpha w14:val="100000"/>
                    </w14:srgbClr>
                  </w14:solidFill>
                </w14:textFill>
              </w:rPr>
              <w:t>|</w:t>
            </w:r>
            <w:r w:rsidR="007E3177" w:rsidRPr="008C22DA">
              <w:rPr>
                <w:rFonts w:ascii="Arial Narrow" w:hAnsi="Arial Narrow"/>
                <w:color w:val="000000"/>
                <w:sz w:val="20"/>
              </w:rPr>
              <w:t xml:space="preserve"> </w:t>
            </w:r>
          </w:p>
        </w:tc>
        <w:tc>
          <w:tcPr>
            <w:tcW w:w="1228" w:type="dxa"/>
          </w:tcPr>
          <w:p w14:paraId="534F58CE" w14:textId="39CE008B"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52"/>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52"/>
                <w14:textFill>
                  <w14:solidFill>
                    <w14:srgbClr w14:val="000000">
                      <w14:alpha w14:val="100000"/>
                    </w14:srgbClr>
                  </w14:solidFill>
                </w14:textFill>
              </w:rPr>
              <w:t>|</w:t>
            </w:r>
            <w:r w:rsidR="007E3177" w:rsidRPr="008C22DA">
              <w:rPr>
                <w:rFonts w:ascii="Arial Narrow" w:hAnsi="Arial Narrow"/>
                <w:color w:val="000000"/>
                <w:sz w:val="20"/>
              </w:rPr>
              <w:t xml:space="preserve"> </w:t>
            </w:r>
          </w:p>
        </w:tc>
        <w:tc>
          <w:tcPr>
            <w:tcW w:w="1352" w:type="dxa"/>
            <w:gridSpan w:val="3"/>
          </w:tcPr>
          <w:p w14:paraId="260EC0B6" w14:textId="2EF7AA5E"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51"/>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51"/>
                <w14:textFill>
                  <w14:solidFill>
                    <w14:srgbClr w14:val="000000">
                      <w14:alpha w14:val="100000"/>
                    </w14:srgbClr>
                  </w14:solidFill>
                </w14:textFill>
              </w:rPr>
              <w:t>|</w:t>
            </w:r>
            <w:r w:rsidR="007E3177" w:rsidRPr="008C22DA">
              <w:rPr>
                <w:rFonts w:ascii="Arial Narrow" w:hAnsi="Arial Narrow"/>
                <w:color w:val="000000"/>
                <w:sz w:val="20"/>
              </w:rPr>
              <w:t xml:space="preserve"> </w:t>
            </w:r>
          </w:p>
        </w:tc>
        <w:tc>
          <w:tcPr>
            <w:tcW w:w="1232" w:type="dxa"/>
          </w:tcPr>
          <w:p w14:paraId="1F03D2D9" w14:textId="6E4F91C4" w:rsidR="00D95E54" w:rsidRPr="00067911" w:rsidRDefault="00D95E54">
            <w:pPr>
              <w:keepNext/>
              <w:autoSpaceDE w:val="0"/>
              <w:autoSpaceDN w:val="0"/>
              <w:adjustRightInd w:val="0"/>
              <w:spacing w:after="0"/>
              <w:rPr>
                <w:rFonts w:ascii="Arial Narrow" w:hAnsi="Arial Narrow" w:cs="Calibri"/>
                <w:color w:val="000000"/>
                <w:sz w:val="20"/>
                <w:szCs w:val="20"/>
                <w:highlight w:val="cyan"/>
              </w:rPr>
            </w:pPr>
            <w:r w:rsidRPr="00DF1512">
              <w:rPr>
                <w:rFonts w:ascii="Arial Narrow" w:hAnsi="Arial Narrow" w:cs="Calibri"/>
                <w:color w:val="000000"/>
                <w:sz w:val="20"/>
                <w:szCs w:val="20"/>
              </w:rPr>
              <w:t>$</w:t>
            </w:r>
            <w:r w:rsidR="007E3177" w:rsidRPr="00307272">
              <w:rPr>
                <w:rFonts w:ascii="Arial Narrow" w:hAnsi="Arial Narrow" w:cs="Calibri"/>
                <w:color w:val="000000"/>
                <w:spacing w:val="53"/>
                <w:sz w:val="20"/>
                <w:szCs w:val="20"/>
                <w:shd w:val="solid" w:color="000000" w:fill="000000"/>
                <w:fitText w:val="330" w:id="-959204350"/>
                <w14:textFill>
                  <w14:solidFill>
                    <w14:srgbClr w14:val="000000">
                      <w14:alpha w14:val="100000"/>
                    </w14:srgbClr>
                  </w14:solidFill>
                </w14:textFill>
              </w:rPr>
              <w:t>|||</w:t>
            </w:r>
            <w:r w:rsidR="007E3177" w:rsidRPr="00307272">
              <w:rPr>
                <w:rFonts w:ascii="Arial Narrow" w:hAnsi="Arial Narrow" w:cs="Calibri"/>
                <w:color w:val="000000"/>
                <w:spacing w:val="1"/>
                <w:sz w:val="20"/>
                <w:szCs w:val="20"/>
                <w:shd w:val="solid" w:color="000000" w:fill="000000"/>
                <w:fitText w:val="330" w:id="-959204350"/>
                <w14:textFill>
                  <w14:solidFill>
                    <w14:srgbClr w14:val="000000">
                      <w14:alpha w14:val="100000"/>
                    </w14:srgbClr>
                  </w14:solidFill>
                </w14:textFill>
              </w:rPr>
              <w:t>|</w:t>
            </w:r>
            <w:r w:rsidR="007E3177" w:rsidRPr="008C22DA">
              <w:rPr>
                <w:rFonts w:ascii="Arial Narrow" w:hAnsi="Arial Narrow"/>
                <w:color w:val="000000"/>
                <w:sz w:val="20"/>
              </w:rPr>
              <w:t xml:space="preserve"> </w:t>
            </w:r>
          </w:p>
        </w:tc>
      </w:tr>
    </w:tbl>
    <w:p w14:paraId="0ADFE260" w14:textId="77777777" w:rsidR="00D95E54" w:rsidRPr="00D95E54" w:rsidRDefault="00D95E54" w:rsidP="00D95E54">
      <w:pPr>
        <w:tabs>
          <w:tab w:val="num" w:pos="426"/>
        </w:tabs>
        <w:spacing w:after="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 xml:space="preserve">Source: Resubmission letter for </w:t>
      </w:r>
      <w:proofErr w:type="spellStart"/>
      <w:r w:rsidRPr="00933448">
        <w:rPr>
          <w:rFonts w:ascii="Arial Narrow" w:hAnsi="Arial Narrow"/>
          <w:bCs/>
          <w:kern w:val="2"/>
          <w:sz w:val="18"/>
          <w:szCs w:val="18"/>
          <w14:ligatures w14:val="standardContextual"/>
        </w:rPr>
        <w:t>cilta</w:t>
      </w:r>
      <w:proofErr w:type="spellEnd"/>
      <w:r w:rsidRPr="00933448">
        <w:rPr>
          <w:rFonts w:ascii="Arial Narrow" w:hAnsi="Arial Narrow"/>
          <w:bCs/>
          <w:kern w:val="2"/>
          <w:sz w:val="18"/>
          <w:szCs w:val="18"/>
          <w14:ligatures w14:val="standardContextual"/>
        </w:rPr>
        <w:t>-cel received 08 March 2024</w:t>
      </w:r>
    </w:p>
    <w:p w14:paraId="49FC300D" w14:textId="77777777" w:rsidR="00D95E54" w:rsidRPr="00D95E54" w:rsidRDefault="00D95E54" w:rsidP="00D95E54">
      <w:pPr>
        <w:tabs>
          <w:tab w:val="num" w:pos="426"/>
        </w:tabs>
        <w:spacing w:after="0" w:line="259" w:lineRule="auto"/>
        <w:ind w:left="-142" w:firstLine="142"/>
        <w:rPr>
          <w:rFonts w:ascii="Arial Narrow" w:hAnsi="Arial Narrow"/>
          <w:bCs/>
          <w:kern w:val="2"/>
          <w:sz w:val="18"/>
          <w:szCs w:val="18"/>
          <w14:ligatures w14:val="standardContextual"/>
        </w:rPr>
      </w:pPr>
      <w:r w:rsidRPr="00933448">
        <w:rPr>
          <w:rFonts w:ascii="Arial Narrow" w:hAnsi="Arial Narrow"/>
          <w:bCs/>
          <w:kern w:val="2"/>
          <w:sz w:val="18"/>
          <w:szCs w:val="18"/>
          <w14:ligatures w14:val="standardContextual"/>
        </w:rPr>
        <w:t xml:space="preserve">Abbreviations: 5L = </w:t>
      </w:r>
      <w:proofErr w:type="gramStart"/>
      <w:r w:rsidRPr="00933448">
        <w:rPr>
          <w:rFonts w:ascii="Arial Narrow" w:hAnsi="Arial Narrow"/>
          <w:bCs/>
          <w:kern w:val="2"/>
          <w:sz w:val="18"/>
          <w:szCs w:val="18"/>
          <w14:ligatures w14:val="standardContextual"/>
        </w:rPr>
        <w:t>fifth-line</w:t>
      </w:r>
      <w:proofErr w:type="gramEnd"/>
      <w:r w:rsidRPr="00933448">
        <w:rPr>
          <w:rFonts w:ascii="Arial Narrow" w:hAnsi="Arial Narrow"/>
          <w:bCs/>
          <w:kern w:val="2"/>
          <w:sz w:val="18"/>
          <w:szCs w:val="18"/>
          <w14:ligatures w14:val="standardContextual"/>
        </w:rPr>
        <w:t>; MM = multiple myeloma; NHRA =</w:t>
      </w:r>
      <w:r w:rsidRPr="00933448">
        <w:rPr>
          <w:rFonts w:ascii="Arial Narrow" w:hAnsi="Arial Narrow"/>
          <w:kern w:val="2"/>
          <w:sz w:val="18"/>
          <w:szCs w:val="18"/>
          <w14:ligatures w14:val="standardContextual"/>
        </w:rPr>
        <w:t xml:space="preserve"> </w:t>
      </w:r>
      <w:r w:rsidRPr="00933448">
        <w:rPr>
          <w:rFonts w:ascii="Arial Narrow" w:hAnsi="Arial Narrow"/>
          <w:bCs/>
          <w:kern w:val="2"/>
          <w:sz w:val="18"/>
          <w:szCs w:val="18"/>
          <w14:ligatures w14:val="standardContextual"/>
        </w:rPr>
        <w:t>National Health Reform Agreement</w:t>
      </w:r>
    </w:p>
    <w:p w14:paraId="38954DFA" w14:textId="0F5E5937" w:rsidR="00D95E54" w:rsidRPr="000871DB" w:rsidRDefault="005500A3" w:rsidP="0095250C">
      <w:pPr>
        <w:spacing w:before="240" w:after="160" w:line="259" w:lineRule="auto"/>
        <w:rPr>
          <w:rFonts w:ascii="Franklin Gothic Book" w:hAnsi="Franklin Gothic Book"/>
          <w:kern w:val="2"/>
          <w14:ligatures w14:val="standardContextual"/>
        </w:rPr>
      </w:pPr>
      <w:r w:rsidRPr="000871DB">
        <w:rPr>
          <w:rFonts w:ascii="Franklin Gothic Book" w:hAnsi="Franklin Gothic Book"/>
          <w:iCs/>
        </w:rPr>
        <w:t>MSAC noted</w:t>
      </w:r>
      <w:r w:rsidR="000F3790" w:rsidRPr="000871DB">
        <w:rPr>
          <w:rFonts w:ascii="Franklin Gothic Book" w:hAnsi="Franklin Gothic Book"/>
          <w:iCs/>
        </w:rPr>
        <w:t xml:space="preserve"> that the</w:t>
      </w:r>
      <w:r w:rsidRPr="000871DB">
        <w:rPr>
          <w:rFonts w:ascii="Franklin Gothic Book" w:hAnsi="Franklin Gothic Book"/>
          <w:iCs/>
        </w:rPr>
        <w:t xml:space="preserve"> Department of Health and Aged Care</w:t>
      </w:r>
      <w:r w:rsidR="000F3790" w:rsidRPr="000871DB">
        <w:rPr>
          <w:rFonts w:ascii="Franklin Gothic Book" w:hAnsi="Franklin Gothic Book"/>
          <w:iCs/>
        </w:rPr>
        <w:t xml:space="preserve"> requested</w:t>
      </w:r>
      <w:r w:rsidR="00B530CD" w:rsidRPr="000871DB">
        <w:rPr>
          <w:rFonts w:ascii="Franklin Gothic Book" w:hAnsi="Franklin Gothic Book"/>
          <w:iCs/>
        </w:rPr>
        <w:t xml:space="preserve"> the applicant provide </w:t>
      </w:r>
      <w:r w:rsidR="006A5473" w:rsidRPr="000871DB">
        <w:rPr>
          <w:rFonts w:ascii="Franklin Gothic Book" w:hAnsi="Franklin Gothic Book"/>
          <w:iCs/>
        </w:rPr>
        <w:t>a risk sharing arrangement</w:t>
      </w:r>
      <w:r w:rsidR="0040362C" w:rsidRPr="000871DB">
        <w:rPr>
          <w:rFonts w:ascii="Franklin Gothic Book" w:hAnsi="Franklin Gothic Book"/>
          <w:iCs/>
        </w:rPr>
        <w:t xml:space="preserve"> that sought to address MSAC’s concerns from the November 2023 meeting</w:t>
      </w:r>
      <w:r w:rsidRPr="000871DB">
        <w:rPr>
          <w:rFonts w:ascii="Franklin Gothic Book" w:hAnsi="Franklin Gothic Book"/>
          <w:iCs/>
        </w:rPr>
        <w:t xml:space="preserve">. </w:t>
      </w:r>
      <w:r w:rsidR="00D95E54" w:rsidRPr="000871DB">
        <w:rPr>
          <w:rFonts w:ascii="Franklin Gothic Book" w:hAnsi="Franklin Gothic Book"/>
          <w:kern w:val="2"/>
          <w14:ligatures w14:val="standardContextual"/>
        </w:rPr>
        <w:t xml:space="preserve">MSAC noted the proposal by Janssen-Cilag to limit the number of patients who could receive treatment with </w:t>
      </w:r>
      <w:proofErr w:type="spellStart"/>
      <w:r w:rsidR="00D95E54" w:rsidRPr="000871DB">
        <w:rPr>
          <w:rFonts w:ascii="Franklin Gothic Book" w:hAnsi="Franklin Gothic Book"/>
          <w:kern w:val="2"/>
          <w14:ligatures w14:val="standardContextual"/>
        </w:rPr>
        <w:t>cilta</w:t>
      </w:r>
      <w:proofErr w:type="spellEnd"/>
      <w:r w:rsidR="00D95E54" w:rsidRPr="000871DB">
        <w:rPr>
          <w:rFonts w:ascii="Franklin Gothic Book" w:hAnsi="Franklin Gothic Book"/>
          <w:kern w:val="2"/>
          <w14:ligatures w14:val="standardContextual"/>
        </w:rPr>
        <w:t xml:space="preserve">-cel in any given funding year, with the patient number limit resetting at the end of each funding year. MSAC noted that if implemented, the proposal would mean that a patient’s eligibility to receive </w:t>
      </w:r>
      <w:proofErr w:type="spellStart"/>
      <w:r w:rsidR="00D95E54" w:rsidRPr="000871DB">
        <w:rPr>
          <w:rFonts w:ascii="Franklin Gothic Book" w:hAnsi="Franklin Gothic Book"/>
          <w:kern w:val="2"/>
          <w14:ligatures w14:val="standardContextual"/>
        </w:rPr>
        <w:t>cilta</w:t>
      </w:r>
      <w:proofErr w:type="spellEnd"/>
      <w:r w:rsidR="00D95E54" w:rsidRPr="000871DB">
        <w:rPr>
          <w:rFonts w:ascii="Franklin Gothic Book" w:hAnsi="Franklin Gothic Book"/>
          <w:kern w:val="2"/>
          <w14:ligatures w14:val="standardContextual"/>
        </w:rPr>
        <w:t xml:space="preserve">-cel would be influenced by the time of year they were deemed eligible for treatment, meaning that an eligible patient presenting at the beginning of the year had a higher likelihood of receiving the treatment than an eligible patient presenting at the end of the year. MSAC considered it was unacceptable in any circumstance for patients to be denied access to effective treatment as a mechanism for Janssen-Cilag to provide certainty its financial estimates would not be exceeded. At the end of a funding year, the applicant proposed that if the “infused patient number” limit was not reached, these patients could be carried over to the subsequent funding year, should Janssen-Cilag be able to meet the additional supply demand in that timeframe. This further concerned MSAC that Janssen-Cilag could not guarantee adequate supply of </w:t>
      </w:r>
      <w:proofErr w:type="spellStart"/>
      <w:r w:rsidR="00D95E54" w:rsidRPr="000871DB">
        <w:rPr>
          <w:rFonts w:ascii="Franklin Gothic Book" w:hAnsi="Franklin Gothic Book"/>
          <w:kern w:val="2"/>
          <w14:ligatures w14:val="standardContextual"/>
        </w:rPr>
        <w:t>cilta</w:t>
      </w:r>
      <w:proofErr w:type="spellEnd"/>
      <w:r w:rsidR="00D95E54" w:rsidRPr="000871DB">
        <w:rPr>
          <w:rFonts w:ascii="Franklin Gothic Book" w:hAnsi="Franklin Gothic Book"/>
          <w:kern w:val="2"/>
          <w14:ligatures w14:val="standardContextual"/>
        </w:rPr>
        <w:t>-cel for Australian patients</w:t>
      </w:r>
      <w:r w:rsidR="00C82AB6" w:rsidRPr="000871DB">
        <w:rPr>
          <w:rFonts w:ascii="Franklin Gothic Book" w:hAnsi="Franklin Gothic Book"/>
          <w:kern w:val="2"/>
          <w14:ligatures w14:val="standardContextual"/>
        </w:rPr>
        <w:t>.</w:t>
      </w:r>
    </w:p>
    <w:p w14:paraId="52DD3C9F" w14:textId="30DBA768"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Janssen-Cilag proposed that the National CAR-T Prioritisation Committee (NPC), which includes a specialist group of physicians working in multi-disciplinary teams delivering CAR-T therapy in approved hospitals, could oversee patient selection for CAR-T cell therapy at the national level, thereby managing the proposed limit on the number of patients treated with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-cel per year. MSAC noted feedback provided by the states and territories that Australia does not have a national entity with authority to arbitrate on which patients do or do not receive CAR-T cell therapy, and that the NPC was set up to provide clinical advice and support very early in implementation of CAR-T cell therapies and was not tasked to manage patient caps. MSAC noted that final determination of patient eligibility does not sit with this group, with each state and territory determining this through their own multi-disciplinary teams, and therefore it would be inappropriate for the NPC to now be charged to facilitate or otherwise manage a cap on patient numbers.</w:t>
      </w:r>
    </w:p>
    <w:p w14:paraId="0C6B8093" w14:textId="36704A9B"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MSAC noted that in the case a proposed annual allocation was reached, Janssen-Cilag would be willing to amend the parameters of its current compassionate daratumumab program for RRMM to ensure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 xml:space="preserve">-cel eligible patients could instead access an additional option that is not available on the PBS and that these patients may also potentially have alternative PBS options available to manage their RRMM until the next funding year starts. MSAC agreed with the state and territory feedback and considered the use of daratumumab in this setting was questionable given all patients deemed eligible to receive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 xml:space="preserve">-cel would have already received daratumumab, and offering patients alternative therapies if they were eligible to receive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-cel and had already exhausted all other treatment options went against good clinical practice.</w:t>
      </w:r>
    </w:p>
    <w:p w14:paraId="13302E98" w14:textId="532DF8C4"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MSAC considered the proposal put forward by Janssen-Cilag was not a genuine RSA, with the applicant bearing no financial risk if the utilisation estimates were to be exceeded. MSAC considered Janssen-Cilag’s proposal transferred all the risk associated with exceeding their proposed financial estimates to the patients and the health system. MSAC considered that any suggestion to limit the number of eligible patients who could receive treatment with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 xml:space="preserve">-cel per year was inequitable and unethical. MSAC welcomed Janssen-Cilag’s statement that it was open to further discussion on this matter should MSAC support funding of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-cel. MSAC considered that should the patient estimates be exceeded an acceptable RSA would be one where a reduced payment on successful infusion only was paid for each eligible patient treated above the patient estimates in a given funding year.</w:t>
      </w:r>
    </w:p>
    <w:p w14:paraId="3A78309F" w14:textId="31753358" w:rsidR="00D95E54" w:rsidRPr="000871DB"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MSAC noted feedback on the funding proposal was provided by four states and territories.  MSAC noted </w:t>
      </w:r>
      <w:r w:rsidR="00C80513" w:rsidRPr="000871DB">
        <w:rPr>
          <w:rFonts w:ascii="Franklin Gothic Book" w:hAnsi="Franklin Gothic Book"/>
          <w:kern w:val="2"/>
          <w14:ligatures w14:val="standardContextual"/>
        </w:rPr>
        <w:t xml:space="preserve">all </w:t>
      </w:r>
      <w:r w:rsidRPr="000871DB">
        <w:rPr>
          <w:rFonts w:ascii="Franklin Gothic Book" w:hAnsi="Franklin Gothic Book"/>
          <w:kern w:val="2"/>
          <w14:ligatures w14:val="standardContextual"/>
        </w:rPr>
        <w:t xml:space="preserve">states and territories </w:t>
      </w:r>
      <w:r w:rsidR="00C80513" w:rsidRPr="000871DB">
        <w:rPr>
          <w:rFonts w:ascii="Franklin Gothic Book" w:hAnsi="Franklin Gothic Book"/>
          <w:kern w:val="2"/>
          <w14:ligatures w14:val="standardContextual"/>
        </w:rPr>
        <w:t xml:space="preserve">except one </w:t>
      </w:r>
      <w:r w:rsidRPr="000871DB">
        <w:rPr>
          <w:rFonts w:ascii="Franklin Gothic Book" w:hAnsi="Franklin Gothic Book"/>
          <w:kern w:val="2"/>
          <w14:ligatures w14:val="standardContextual"/>
        </w:rPr>
        <w:t>shared the same concerns as the Committee, particularly that the company had not made a sufficient attempt to address the MSAC’s concerns and that the pricing proposal and limit on patient numbers put forward by the applicant were inadequate and unacceptable.</w:t>
      </w:r>
    </w:p>
    <w:p w14:paraId="2FEE0E77" w14:textId="77777777" w:rsidR="00D95E54" w:rsidRPr="00933448" w:rsidRDefault="00D95E54" w:rsidP="00D95E54">
      <w:pPr>
        <w:spacing w:after="160" w:line="259" w:lineRule="auto"/>
        <w:rPr>
          <w:rFonts w:ascii="Franklin Gothic Book" w:hAnsi="Franklin Gothic Book"/>
          <w:kern w:val="2"/>
          <w14:ligatures w14:val="standardContextual"/>
        </w:rPr>
      </w:pPr>
      <w:r w:rsidRPr="000871DB">
        <w:rPr>
          <w:rFonts w:ascii="Franklin Gothic Book" w:hAnsi="Franklin Gothic Book"/>
          <w:kern w:val="2"/>
          <w14:ligatures w14:val="standardContextual"/>
        </w:rPr>
        <w:t xml:space="preserve">MSAC considered data collection was mandatory for the public funding of </w:t>
      </w:r>
      <w:proofErr w:type="spellStart"/>
      <w:r w:rsidRPr="000871DB">
        <w:rPr>
          <w:rFonts w:ascii="Franklin Gothic Book" w:hAnsi="Franklin Gothic Book"/>
          <w:kern w:val="2"/>
          <w14:ligatures w14:val="standardContextual"/>
        </w:rPr>
        <w:t>cilta</w:t>
      </w:r>
      <w:proofErr w:type="spellEnd"/>
      <w:r w:rsidRPr="000871DB">
        <w:rPr>
          <w:rFonts w:ascii="Franklin Gothic Book" w:hAnsi="Franklin Gothic Book"/>
          <w:kern w:val="2"/>
          <w14:ligatures w14:val="standardContextual"/>
        </w:rPr>
        <w:t>-cel. More broadly, MSAC considered there should be a single national registry that collected standardised sets of data for all cell and gene therapies, independent of the condition. MSAC reiterated its previous advice that there is an urgent and important need for the Commonwealth, jurisdictions and other relevant stakeholders to work together to determine the most appropriate data collection mechanism for highly specialised therapies.</w:t>
      </w:r>
    </w:p>
    <w:p w14:paraId="0F9D82C2" w14:textId="77777777" w:rsidR="00191C5C" w:rsidRDefault="00191C5C" w:rsidP="00191C5C">
      <w:pPr>
        <w:pStyle w:val="Heading2"/>
        <w:numPr>
          <w:ilvl w:val="0"/>
          <w:numId w:val="27"/>
        </w:numPr>
        <w:ind w:left="709" w:hanging="709"/>
      </w:pPr>
      <w:bookmarkStart w:id="16" w:name="_Toc69491416"/>
      <w:r w:rsidRPr="004F3649">
        <w:t>Background</w:t>
      </w:r>
      <w:bookmarkEnd w:id="16"/>
    </w:p>
    <w:p w14:paraId="14E31F18" w14:textId="4DA6A8B3" w:rsidR="00F85775" w:rsidRPr="00F85775" w:rsidRDefault="001A66BE" w:rsidP="00E22927">
      <w:pPr>
        <w:pStyle w:val="paragraph"/>
        <w:spacing w:before="0" w:beforeAutospacing="0" w:after="0" w:afterAutospacing="0"/>
        <w:jc w:val="left"/>
        <w:textAlignment w:val="baseline"/>
        <w:rPr>
          <w:rFonts w:ascii="Franklin Gothic Book" w:eastAsiaTheme="minorHAnsi" w:hAnsi="Franklin Gothic Book" w:cstheme="minorBidi"/>
          <w:kern w:val="2"/>
          <w:sz w:val="22"/>
          <w:szCs w:val="22"/>
          <w:lang w:val="en-AU" w:eastAsia="en-US"/>
          <w14:ligatures w14:val="standardContextual"/>
        </w:rPr>
      </w:pPr>
      <w:proofErr w:type="spellStart"/>
      <w:r w:rsidRPr="00F85775">
        <w:rPr>
          <w:rFonts w:ascii="Franklin Gothic Book" w:eastAsiaTheme="minorHAnsi" w:hAnsi="Franklin Gothic Book" w:cstheme="minorBidi"/>
          <w:kern w:val="2"/>
          <w:sz w:val="22"/>
          <w:szCs w:val="22"/>
          <w:lang w:val="en-AU" w:eastAsia="en-US"/>
          <w14:ligatures w14:val="standardContextual"/>
        </w:rPr>
        <w:t>Cilta</w:t>
      </w:r>
      <w:proofErr w:type="spellEnd"/>
      <w:r w:rsidRPr="00F85775">
        <w:rPr>
          <w:rFonts w:ascii="Franklin Gothic Book" w:eastAsiaTheme="minorHAnsi" w:hAnsi="Franklin Gothic Book" w:cstheme="minorBidi"/>
          <w:kern w:val="2"/>
          <w:sz w:val="22"/>
          <w:szCs w:val="22"/>
          <w:lang w:val="en-AU" w:eastAsia="en-US"/>
          <w14:ligatures w14:val="standardContextual"/>
        </w:rPr>
        <w:t xml:space="preserve">-cel was considered by the </w:t>
      </w:r>
      <w:r w:rsidR="00322FF9" w:rsidRPr="00F85775">
        <w:rPr>
          <w:rFonts w:ascii="Franklin Gothic Book" w:eastAsiaTheme="minorHAnsi" w:hAnsi="Franklin Gothic Book" w:cstheme="minorBidi"/>
          <w:kern w:val="2"/>
          <w:sz w:val="22"/>
          <w:szCs w:val="22"/>
          <w:lang w:val="en-AU" w:eastAsia="en-US"/>
          <w14:ligatures w14:val="standardContextual"/>
        </w:rPr>
        <w:t xml:space="preserve">Medical Services Advisory Committee (MSAC) in November 2023 for the treatment of </w:t>
      </w:r>
      <w:r w:rsidR="005848FC" w:rsidRPr="00F85775">
        <w:rPr>
          <w:rFonts w:ascii="Franklin Gothic Book" w:eastAsiaTheme="minorHAnsi" w:hAnsi="Franklin Gothic Book" w:cstheme="minorBidi"/>
          <w:kern w:val="2"/>
          <w:sz w:val="22"/>
          <w:szCs w:val="22"/>
          <w:lang w:val="en-AU" w:eastAsia="en-US"/>
          <w14:ligatures w14:val="standardContextual"/>
        </w:rPr>
        <w:t xml:space="preserve">adult patients with RRMM who have received at least 4 prior lines of therapy, including a PI, an </w:t>
      </w:r>
      <w:proofErr w:type="spellStart"/>
      <w:r w:rsidR="005848FC" w:rsidRPr="00F85775">
        <w:rPr>
          <w:rFonts w:ascii="Franklin Gothic Book" w:eastAsiaTheme="minorHAnsi" w:hAnsi="Franklin Gothic Book" w:cstheme="minorBidi"/>
          <w:kern w:val="2"/>
          <w:sz w:val="22"/>
          <w:szCs w:val="22"/>
          <w:lang w:val="en-AU" w:eastAsia="en-US"/>
          <w14:ligatures w14:val="standardContextual"/>
        </w:rPr>
        <w:t>IMiD</w:t>
      </w:r>
      <w:proofErr w:type="spellEnd"/>
      <w:r w:rsidR="005848FC" w:rsidRPr="00F85775">
        <w:rPr>
          <w:rFonts w:ascii="Franklin Gothic Book" w:eastAsiaTheme="minorHAnsi" w:hAnsi="Franklin Gothic Book" w:cstheme="minorBidi"/>
          <w:kern w:val="2"/>
          <w:sz w:val="22"/>
          <w:szCs w:val="22"/>
          <w:lang w:val="en-AU" w:eastAsia="en-US"/>
          <w14:ligatures w14:val="standardContextual"/>
        </w:rPr>
        <w:t xml:space="preserve"> and an anti-CD38 antibody. MSAC deferred its advice in relation to the public funding of </w:t>
      </w:r>
      <w:proofErr w:type="spellStart"/>
      <w:r w:rsidR="005848FC" w:rsidRPr="00F85775">
        <w:rPr>
          <w:rFonts w:ascii="Franklin Gothic Book" w:eastAsiaTheme="minorHAnsi" w:hAnsi="Franklin Gothic Book" w:cstheme="minorBidi"/>
          <w:kern w:val="2"/>
          <w:sz w:val="22"/>
          <w:szCs w:val="22"/>
          <w:lang w:val="en-AU" w:eastAsia="en-US"/>
          <w14:ligatures w14:val="standardContextual"/>
        </w:rPr>
        <w:t>cilta</w:t>
      </w:r>
      <w:proofErr w:type="spellEnd"/>
      <w:r w:rsidR="005848FC" w:rsidRPr="00F85775">
        <w:rPr>
          <w:rFonts w:ascii="Franklin Gothic Book" w:eastAsiaTheme="minorHAnsi" w:hAnsi="Franklin Gothic Book" w:cstheme="minorBidi"/>
          <w:kern w:val="2"/>
          <w:sz w:val="22"/>
          <w:szCs w:val="22"/>
          <w:lang w:val="en-AU" w:eastAsia="en-US"/>
          <w14:ligatures w14:val="standardContextual"/>
        </w:rPr>
        <w:t>-cel</w:t>
      </w:r>
      <w:r w:rsidR="0077366A" w:rsidRPr="00F85775">
        <w:rPr>
          <w:rFonts w:ascii="Franklin Gothic Book" w:eastAsiaTheme="minorHAnsi" w:hAnsi="Franklin Gothic Book" w:cstheme="minorBidi"/>
          <w:kern w:val="2"/>
          <w:sz w:val="22"/>
          <w:szCs w:val="22"/>
          <w:lang w:val="en-AU" w:eastAsia="en-US"/>
          <w14:ligatures w14:val="standardContextual"/>
        </w:rPr>
        <w:t xml:space="preserve"> </w:t>
      </w:r>
      <w:r w:rsidR="00F85775" w:rsidRPr="00F85775">
        <w:rPr>
          <w:rFonts w:ascii="Franklin Gothic Book" w:eastAsiaTheme="minorHAnsi" w:hAnsi="Franklin Gothic Book" w:cstheme="minorBidi"/>
          <w:kern w:val="2"/>
          <w:sz w:val="22"/>
          <w:szCs w:val="22"/>
          <w:lang w:val="en-AU" w:eastAsia="en-US"/>
          <w14:ligatures w14:val="standardContextual"/>
        </w:rPr>
        <w:t xml:space="preserve">to see whether a lower ICER could be achieved through adjusting inputs in the economic model (particularly hospital costs and health benefits gained - to be verified by jurisdictions) and for a significant price reduction to be offered by the company. MSAC advised that an ICER in the range of those for other treatments in later line RRMM recommended by PBAC would be more likely to be acceptable. Furthermore, MSAC requested the Department negotiate a pay-for-performance arrangement to incentivise payment on the performance of the deeper level of clinical response achieved at 12-months after </w:t>
      </w:r>
      <w:proofErr w:type="spellStart"/>
      <w:r w:rsidR="00F85775" w:rsidRPr="00F85775">
        <w:rPr>
          <w:rFonts w:ascii="Franklin Gothic Book" w:eastAsiaTheme="minorHAnsi" w:hAnsi="Franklin Gothic Book" w:cstheme="minorBidi"/>
          <w:kern w:val="2"/>
          <w:sz w:val="22"/>
          <w:szCs w:val="22"/>
          <w:lang w:val="en-AU" w:eastAsia="en-US"/>
          <w14:ligatures w14:val="standardContextual"/>
        </w:rPr>
        <w:t>cilta</w:t>
      </w:r>
      <w:proofErr w:type="spellEnd"/>
      <w:r w:rsidR="00F85775" w:rsidRPr="00F85775">
        <w:rPr>
          <w:rFonts w:ascii="Franklin Gothic Book" w:eastAsiaTheme="minorHAnsi" w:hAnsi="Franklin Gothic Book" w:cstheme="minorBidi"/>
          <w:kern w:val="2"/>
          <w:sz w:val="22"/>
          <w:szCs w:val="22"/>
          <w:lang w:val="en-AU" w:eastAsia="en-US"/>
          <w14:ligatures w14:val="standardContextual"/>
        </w:rPr>
        <w:t>-cel infusion.</w:t>
      </w:r>
    </w:p>
    <w:p w14:paraId="2A4EDB18" w14:textId="68764006" w:rsidR="0081236F" w:rsidRPr="0081236F" w:rsidRDefault="0081236F" w:rsidP="00E22927">
      <w:pPr>
        <w:spacing w:before="240"/>
        <w:rPr>
          <w:rFonts w:ascii="Franklin Gothic Book" w:hAnsi="Franklin Gothic Book"/>
        </w:rPr>
      </w:pPr>
      <w:r w:rsidRPr="0081236F">
        <w:rPr>
          <w:rFonts w:ascii="Franklin Gothic Book" w:hAnsi="Franklin Gothic Book"/>
        </w:rPr>
        <w:t xml:space="preserve">Following the MSAC’s decision to defer its advice on the public funding of </w:t>
      </w:r>
      <w:proofErr w:type="spellStart"/>
      <w:r w:rsidRPr="0081236F">
        <w:rPr>
          <w:rFonts w:ascii="Franklin Gothic Book" w:hAnsi="Franklin Gothic Book"/>
        </w:rPr>
        <w:t>cilta</w:t>
      </w:r>
      <w:proofErr w:type="spellEnd"/>
      <w:r w:rsidRPr="0081236F">
        <w:rPr>
          <w:rFonts w:ascii="Franklin Gothic Book" w:hAnsi="Franklin Gothic Book"/>
        </w:rPr>
        <w:t>-cel for 5L+ RRMM at the November 2023 meeting, the applicant re-submitted details of a funding proposal</w:t>
      </w:r>
      <w:r w:rsidR="009757D5">
        <w:rPr>
          <w:rFonts w:ascii="Franklin Gothic Book" w:hAnsi="Franklin Gothic Book"/>
        </w:rPr>
        <w:t xml:space="preserve"> and </w:t>
      </w:r>
      <w:proofErr w:type="gramStart"/>
      <w:r w:rsidR="009757D5">
        <w:rPr>
          <w:rFonts w:ascii="Franklin Gothic Book" w:hAnsi="Franklin Gothic Book"/>
        </w:rPr>
        <w:t>a</w:t>
      </w:r>
      <w:proofErr w:type="gramEnd"/>
      <w:r w:rsidR="009757D5">
        <w:rPr>
          <w:rFonts w:ascii="Franklin Gothic Book" w:hAnsi="Franklin Gothic Book"/>
        </w:rPr>
        <w:t xml:space="preserve"> RSA</w:t>
      </w:r>
      <w:r w:rsidRPr="0081236F">
        <w:rPr>
          <w:rFonts w:ascii="Franklin Gothic Book" w:hAnsi="Franklin Gothic Book"/>
        </w:rPr>
        <w:t>.</w:t>
      </w:r>
    </w:p>
    <w:p w14:paraId="1ECC2733" w14:textId="77777777" w:rsidR="009B326D" w:rsidRDefault="009B326D" w:rsidP="009B326D">
      <w:pPr>
        <w:pStyle w:val="Heading2"/>
        <w:numPr>
          <w:ilvl w:val="0"/>
          <w:numId w:val="27"/>
        </w:numPr>
        <w:ind w:left="737" w:hanging="737"/>
      </w:pPr>
      <w:bookmarkStart w:id="17" w:name="_Toc69491417"/>
      <w:r w:rsidRPr="004F3649">
        <w:t>Prerequisites to implementation of any funding advice</w:t>
      </w:r>
      <w:bookmarkEnd w:id="17"/>
    </w:p>
    <w:p w14:paraId="7A2E65A6" w14:textId="63B5E267" w:rsidR="009B326D" w:rsidRPr="00394FEF" w:rsidRDefault="009B326D" w:rsidP="009B326D">
      <w:pPr>
        <w:rPr>
          <w:b/>
          <w:bCs/>
          <w:i/>
          <w:iCs/>
          <w:sz w:val="24"/>
          <w:szCs w:val="24"/>
        </w:rPr>
      </w:pPr>
      <w:proofErr w:type="spellStart"/>
      <w:r w:rsidRPr="00FD6C78">
        <w:rPr>
          <w:rFonts w:ascii="Franklin Gothic Book" w:hAnsi="Franklin Gothic Book"/>
        </w:rPr>
        <w:t>Cilta</w:t>
      </w:r>
      <w:proofErr w:type="spellEnd"/>
      <w:r w:rsidRPr="00FD6C78">
        <w:rPr>
          <w:rFonts w:ascii="Franklin Gothic Book" w:hAnsi="Franklin Gothic Book"/>
        </w:rPr>
        <w:t>-cel qualifies as a high-cost, highly specialised therapy as per the NHRA definition (Addendum to the NHRA 2020–2025 (NHRA 2020–2025).</w:t>
      </w:r>
    </w:p>
    <w:p w14:paraId="0CAEA1D2" w14:textId="77777777" w:rsidR="000B681E" w:rsidRPr="004F3649" w:rsidRDefault="000B681E" w:rsidP="000B681E">
      <w:pPr>
        <w:pStyle w:val="Heading3"/>
        <w:numPr>
          <w:ilvl w:val="0"/>
          <w:numId w:val="0"/>
        </w:numPr>
        <w:rPr>
          <w:rFonts w:ascii="Franklin Gothic Book" w:hAnsi="Franklin Gothic Book" w:cstheme="minorHAnsi"/>
          <w:b/>
          <w:bCs/>
        </w:rPr>
      </w:pPr>
      <w:bookmarkStart w:id="18" w:name="_Toc95314662"/>
      <w:bookmarkStart w:id="19" w:name="_Toc139447879"/>
      <w:r w:rsidRPr="004F3649">
        <w:rPr>
          <w:rFonts w:ascii="Franklin Gothic Book" w:hAnsi="Franklin Gothic Book" w:cstheme="minorHAnsi"/>
          <w:b/>
          <w:bCs/>
        </w:rPr>
        <w:t>TGA details</w:t>
      </w:r>
      <w:bookmarkEnd w:id="18"/>
      <w:bookmarkEnd w:id="19"/>
    </w:p>
    <w:p w14:paraId="2282BCB3" w14:textId="741FAB83" w:rsidR="000B681E" w:rsidRPr="00FD6C78" w:rsidRDefault="000B681E" w:rsidP="000B681E">
      <w:pPr>
        <w:rPr>
          <w:rFonts w:ascii="Franklin Gothic Book" w:hAnsi="Franklin Gothic Book"/>
        </w:rPr>
      </w:pPr>
      <w:proofErr w:type="spellStart"/>
      <w:r w:rsidRPr="00FD6C78">
        <w:rPr>
          <w:rFonts w:ascii="Franklin Gothic Book" w:hAnsi="Franklin Gothic Book"/>
        </w:rPr>
        <w:t>Cilta</w:t>
      </w:r>
      <w:proofErr w:type="spellEnd"/>
      <w:r w:rsidRPr="00FD6C78">
        <w:rPr>
          <w:rFonts w:ascii="Franklin Gothic Book" w:hAnsi="Franklin Gothic Book"/>
        </w:rPr>
        <w:t>-cel (CARVYKTI®) was included on the Australian Register of Therapeutic Goods (ARTG) on 6</w:t>
      </w:r>
      <w:r w:rsidR="00C82AB6">
        <w:rPr>
          <w:rFonts w:ascii="Franklin Gothic Book" w:hAnsi="Franklin Gothic Book"/>
        </w:rPr>
        <w:t> </w:t>
      </w:r>
      <w:r w:rsidRPr="00FD6C78">
        <w:rPr>
          <w:rFonts w:ascii="Franklin Gothic Book" w:hAnsi="Franklin Gothic Book"/>
        </w:rPr>
        <w:t xml:space="preserve">June 2023. </w:t>
      </w:r>
      <w:proofErr w:type="spellStart"/>
      <w:r w:rsidRPr="00FD6C78">
        <w:rPr>
          <w:rFonts w:ascii="Franklin Gothic Book" w:hAnsi="Franklin Gothic Book"/>
        </w:rPr>
        <w:t>Cilta</w:t>
      </w:r>
      <w:proofErr w:type="spellEnd"/>
      <w:r w:rsidRPr="00FD6C78">
        <w:rPr>
          <w:rFonts w:ascii="Franklin Gothic Book" w:hAnsi="Franklin Gothic Book"/>
        </w:rPr>
        <w:t>-cel was registered on the ARTG as a Class 4 biological.</w:t>
      </w:r>
      <w:r>
        <w:rPr>
          <w:rStyle w:val="FootnoteReference"/>
          <w:rFonts w:ascii="Franklin Gothic Book" w:hAnsi="Franklin Gothic Book"/>
        </w:rPr>
        <w:footnoteReference w:id="3"/>
      </w:r>
      <w:r w:rsidRPr="00FD6C78">
        <w:rPr>
          <w:rFonts w:ascii="Franklin Gothic Book" w:hAnsi="Franklin Gothic Book"/>
        </w:rPr>
        <w:t xml:space="preserve"> </w:t>
      </w:r>
    </w:p>
    <w:p w14:paraId="0C8DD67A" w14:textId="71E17A0A" w:rsidR="000B681E" w:rsidRPr="00FD6C78" w:rsidRDefault="000B681E" w:rsidP="000B681E">
      <w:pPr>
        <w:rPr>
          <w:rFonts w:ascii="Franklin Gothic Book" w:hAnsi="Franklin Gothic Book"/>
        </w:rPr>
      </w:pPr>
      <w:r w:rsidRPr="00FD6C78">
        <w:rPr>
          <w:rFonts w:ascii="Franklin Gothic Book" w:hAnsi="Franklin Gothic Book"/>
        </w:rPr>
        <w:t>The TGA approved indication is: ‘</w:t>
      </w:r>
      <w:proofErr w:type="spellStart"/>
      <w:r w:rsidRPr="00FD6C78">
        <w:rPr>
          <w:rFonts w:ascii="Franklin Gothic Book" w:hAnsi="Franklin Gothic Book"/>
        </w:rPr>
        <w:t>cilta</w:t>
      </w:r>
      <w:proofErr w:type="spellEnd"/>
      <w:r w:rsidRPr="00FD6C78">
        <w:rPr>
          <w:rFonts w:ascii="Franklin Gothic Book" w:hAnsi="Franklin Gothic Book"/>
        </w:rPr>
        <w:t xml:space="preserve">-cel is indicated for the treatment of adult patients with RRMM, who have received at least 3 prior lines of therapy, including a PI, an </w:t>
      </w:r>
      <w:proofErr w:type="spellStart"/>
      <w:r w:rsidRPr="00FD6C78">
        <w:rPr>
          <w:rFonts w:ascii="Franklin Gothic Book" w:hAnsi="Franklin Gothic Book"/>
        </w:rPr>
        <w:t>IMiD</w:t>
      </w:r>
      <w:proofErr w:type="spellEnd"/>
      <w:r w:rsidRPr="00FD6C78">
        <w:rPr>
          <w:rFonts w:ascii="Franklin Gothic Book" w:hAnsi="Franklin Gothic Book"/>
        </w:rPr>
        <w:t>, and an anti-CD38 antibody.’</w:t>
      </w:r>
    </w:p>
    <w:p w14:paraId="76B10262" w14:textId="77777777" w:rsidR="000862B2" w:rsidRPr="004F3649" w:rsidRDefault="000862B2" w:rsidP="000862B2">
      <w:pPr>
        <w:pStyle w:val="Heading2"/>
        <w:numPr>
          <w:ilvl w:val="0"/>
          <w:numId w:val="27"/>
        </w:numPr>
        <w:ind w:left="737" w:hanging="737"/>
      </w:pPr>
      <w:bookmarkStart w:id="20" w:name="_Toc69491421"/>
      <w:r w:rsidRPr="004F3649">
        <w:t>Summary of public consultation input</w:t>
      </w:r>
      <w:bookmarkEnd w:id="20"/>
    </w:p>
    <w:p w14:paraId="22DF5311" w14:textId="0DF27A30" w:rsidR="00BF758E" w:rsidRPr="00C647B0" w:rsidRDefault="000862B2" w:rsidP="00BF758E">
      <w:pPr>
        <w:rPr>
          <w:rFonts w:ascii="Franklin Gothic Book" w:hAnsi="Franklin Gothic Book"/>
        </w:rPr>
      </w:pPr>
      <w:r w:rsidRPr="00C647B0">
        <w:rPr>
          <w:rFonts w:ascii="Franklin Gothic Book" w:hAnsi="Franklin Gothic Book"/>
        </w:rPr>
        <w:t xml:space="preserve">A summary of previous consultation feedback received for MSAC Application 1690 is available in the Public Summary Document. Please refer to application 1690 </w:t>
      </w:r>
      <w:r w:rsidR="00C159E8">
        <w:rPr>
          <w:rFonts w:ascii="Franklin Gothic Book" w:hAnsi="Franklin Gothic Book"/>
        </w:rPr>
        <w:t>Public Summary Document</w:t>
      </w:r>
      <w:r w:rsidRPr="00C647B0">
        <w:rPr>
          <w:rFonts w:ascii="Franklin Gothic Book" w:hAnsi="Franklin Gothic Book"/>
        </w:rPr>
        <w:t xml:space="preserve"> July</w:t>
      </w:r>
      <w:r w:rsidR="00C82AB6">
        <w:rPr>
          <w:rFonts w:ascii="Franklin Gothic Book" w:hAnsi="Franklin Gothic Book"/>
        </w:rPr>
        <w:t> </w:t>
      </w:r>
      <w:r w:rsidRPr="00C647B0">
        <w:rPr>
          <w:rFonts w:ascii="Franklin Gothic Book" w:hAnsi="Franklin Gothic Book"/>
        </w:rPr>
        <w:t>2022 (pp10-12)</w:t>
      </w:r>
      <w:r w:rsidR="003F284F">
        <w:rPr>
          <w:rStyle w:val="FootnoteReference"/>
          <w:rFonts w:ascii="Franklin Gothic Book" w:hAnsi="Franklin Gothic Book"/>
        </w:rPr>
        <w:footnoteReference w:id="4"/>
      </w:r>
      <w:r w:rsidRPr="00C647B0">
        <w:rPr>
          <w:rFonts w:ascii="Franklin Gothic Book" w:hAnsi="Franklin Gothic Book"/>
        </w:rPr>
        <w:t>.</w:t>
      </w:r>
      <w:r w:rsidR="00BF758E">
        <w:rPr>
          <w:rFonts w:ascii="Franklin Gothic Book" w:hAnsi="Franklin Gothic Book"/>
        </w:rPr>
        <w:t xml:space="preserve"> </w:t>
      </w:r>
      <w:r w:rsidR="00BF758E" w:rsidRPr="00C647B0">
        <w:rPr>
          <w:rFonts w:ascii="Franklin Gothic Book" w:hAnsi="Franklin Gothic Book"/>
        </w:rPr>
        <w:t>A summary of previous consultation feedback received for MSAC Application 1690</w:t>
      </w:r>
      <w:r w:rsidR="00BF758E">
        <w:rPr>
          <w:rFonts w:ascii="Franklin Gothic Book" w:hAnsi="Franklin Gothic Book"/>
        </w:rPr>
        <w:t>.1 considered at the November 2023 meeting</w:t>
      </w:r>
      <w:r w:rsidR="00BF758E" w:rsidRPr="00C647B0">
        <w:rPr>
          <w:rFonts w:ascii="Franklin Gothic Book" w:hAnsi="Franklin Gothic Book"/>
        </w:rPr>
        <w:t xml:space="preserve"> is available in the </w:t>
      </w:r>
      <w:r w:rsidR="00C159E8">
        <w:rPr>
          <w:rFonts w:ascii="Franklin Gothic Book" w:hAnsi="Franklin Gothic Book"/>
        </w:rPr>
        <w:t>November</w:t>
      </w:r>
      <w:r w:rsidR="00E22927">
        <w:rPr>
          <w:rFonts w:ascii="Franklin Gothic Book" w:hAnsi="Franklin Gothic Book"/>
        </w:rPr>
        <w:t> </w:t>
      </w:r>
      <w:r w:rsidR="00C159E8">
        <w:rPr>
          <w:rFonts w:ascii="Franklin Gothic Book" w:hAnsi="Franklin Gothic Book"/>
        </w:rPr>
        <w:t xml:space="preserve">2023 1690.1 </w:t>
      </w:r>
      <w:r w:rsidR="00BF758E" w:rsidRPr="00C647B0">
        <w:rPr>
          <w:rFonts w:ascii="Franklin Gothic Book" w:hAnsi="Franklin Gothic Book"/>
        </w:rPr>
        <w:t>Public Summary Document</w:t>
      </w:r>
      <w:r w:rsidR="00132968">
        <w:rPr>
          <w:rFonts w:ascii="Franklin Gothic Book" w:hAnsi="Franklin Gothic Book"/>
        </w:rPr>
        <w:t xml:space="preserve"> (pp</w:t>
      </w:r>
      <w:r w:rsidR="00BF758E" w:rsidRPr="00C647B0">
        <w:rPr>
          <w:rFonts w:ascii="Franklin Gothic Book" w:hAnsi="Franklin Gothic Book"/>
        </w:rPr>
        <w:t>.</w:t>
      </w:r>
      <w:r w:rsidR="00560C4C">
        <w:rPr>
          <w:rFonts w:ascii="Franklin Gothic Book" w:hAnsi="Franklin Gothic Book"/>
        </w:rPr>
        <w:t>13-15).</w:t>
      </w:r>
      <w:r w:rsidR="00BF758E" w:rsidRPr="00C647B0">
        <w:rPr>
          <w:rFonts w:ascii="Franklin Gothic Book" w:hAnsi="Franklin Gothic Book"/>
        </w:rPr>
        <w:t xml:space="preserve"> Please refer to application 1690</w:t>
      </w:r>
      <w:r w:rsidR="00524EBE">
        <w:rPr>
          <w:rFonts w:ascii="Franklin Gothic Book" w:hAnsi="Franklin Gothic Book"/>
        </w:rPr>
        <w:t>.1</w:t>
      </w:r>
      <w:r w:rsidR="00BF758E" w:rsidRPr="00C647B0">
        <w:rPr>
          <w:rFonts w:ascii="Franklin Gothic Book" w:hAnsi="Franklin Gothic Book"/>
        </w:rPr>
        <w:t xml:space="preserve"> PSD </w:t>
      </w:r>
      <w:r w:rsidR="00524EBE">
        <w:rPr>
          <w:rFonts w:ascii="Franklin Gothic Book" w:hAnsi="Franklin Gothic Book"/>
        </w:rPr>
        <w:t>November</w:t>
      </w:r>
      <w:r w:rsidR="00524EBE" w:rsidRPr="00C647B0">
        <w:rPr>
          <w:rFonts w:ascii="Franklin Gothic Book" w:hAnsi="Franklin Gothic Book"/>
        </w:rPr>
        <w:t xml:space="preserve"> </w:t>
      </w:r>
      <w:r w:rsidR="00BF758E" w:rsidRPr="00C647B0">
        <w:rPr>
          <w:rFonts w:ascii="Franklin Gothic Book" w:hAnsi="Franklin Gothic Book"/>
        </w:rPr>
        <w:t>202</w:t>
      </w:r>
      <w:r w:rsidR="00524EBE">
        <w:rPr>
          <w:rFonts w:ascii="Franklin Gothic Book" w:hAnsi="Franklin Gothic Book"/>
        </w:rPr>
        <w:t>3</w:t>
      </w:r>
      <w:r w:rsidR="00BF758E" w:rsidRPr="00C647B0">
        <w:rPr>
          <w:rFonts w:ascii="Franklin Gothic Book" w:hAnsi="Franklin Gothic Book"/>
        </w:rPr>
        <w:t xml:space="preserve"> (pp</w:t>
      </w:r>
      <w:r w:rsidR="00EA45F9">
        <w:rPr>
          <w:rFonts w:ascii="Franklin Gothic Book" w:hAnsi="Franklin Gothic Book"/>
        </w:rPr>
        <w:t>13-15</w:t>
      </w:r>
      <w:r w:rsidR="00BF758E" w:rsidRPr="00C647B0">
        <w:rPr>
          <w:rFonts w:ascii="Franklin Gothic Book" w:hAnsi="Franklin Gothic Book"/>
        </w:rPr>
        <w:t>)</w:t>
      </w:r>
      <w:r w:rsidR="00971D94">
        <w:rPr>
          <w:rStyle w:val="FootnoteReference"/>
          <w:rFonts w:ascii="Franklin Gothic Book" w:hAnsi="Franklin Gothic Book"/>
        </w:rPr>
        <w:footnoteReference w:id="5"/>
      </w:r>
      <w:r w:rsidR="00BF758E" w:rsidRPr="00C647B0">
        <w:rPr>
          <w:rFonts w:ascii="Franklin Gothic Book" w:hAnsi="Franklin Gothic Book"/>
        </w:rPr>
        <w:t>.</w:t>
      </w:r>
    </w:p>
    <w:p w14:paraId="6C10A7F2" w14:textId="1A30F864" w:rsidR="000862B2" w:rsidRPr="00231287" w:rsidRDefault="000862B2" w:rsidP="006C5F36">
      <w:pPr>
        <w:keepNext/>
        <w:keepLines/>
        <w:spacing w:after="120"/>
        <w:rPr>
          <w:rFonts w:ascii="Franklin Gothic Book" w:hAnsi="Franklin Gothic Book"/>
        </w:rPr>
      </w:pPr>
      <w:r w:rsidRPr="00231287">
        <w:rPr>
          <w:rFonts w:ascii="Franklin Gothic Book" w:hAnsi="Franklin Gothic Book"/>
        </w:rPr>
        <w:t>Consultation input to this resubmission</w:t>
      </w:r>
      <w:r>
        <w:rPr>
          <w:rFonts w:ascii="Franklin Gothic Book" w:hAnsi="Franklin Gothic Book"/>
        </w:rPr>
        <w:t xml:space="preserve"> </w:t>
      </w:r>
      <w:r w:rsidRPr="00231287">
        <w:rPr>
          <w:rFonts w:ascii="Franklin Gothic Book" w:hAnsi="Franklin Gothic Book"/>
        </w:rPr>
        <w:t xml:space="preserve">was received from </w:t>
      </w:r>
      <w:r w:rsidR="00970C1B">
        <w:rPr>
          <w:rFonts w:ascii="Franklin Gothic Book" w:hAnsi="Franklin Gothic Book"/>
        </w:rPr>
        <w:t>2</w:t>
      </w:r>
      <w:r w:rsidRPr="00231287">
        <w:rPr>
          <w:rFonts w:ascii="Franklin Gothic Book" w:hAnsi="Franklin Gothic Book"/>
        </w:rPr>
        <w:t xml:space="preserve"> health professional organisations The organisations that submitted input was:</w:t>
      </w:r>
    </w:p>
    <w:p w14:paraId="062009AC" w14:textId="77777777" w:rsidR="000862B2" w:rsidRPr="00786C78" w:rsidRDefault="000862B2" w:rsidP="006C5F36">
      <w:pPr>
        <w:pStyle w:val="ListParagraph"/>
        <w:keepNext/>
        <w:keepLines/>
        <w:numPr>
          <w:ilvl w:val="0"/>
          <w:numId w:val="28"/>
        </w:numPr>
        <w:spacing w:before="0" w:after="120"/>
        <w:contextualSpacing w:val="0"/>
        <w:jc w:val="left"/>
      </w:pPr>
      <w:r w:rsidRPr="00786C78">
        <w:t>Myeloma Australia</w:t>
      </w:r>
    </w:p>
    <w:p w14:paraId="7F7535A0" w14:textId="680278DD" w:rsidR="000862B2" w:rsidRPr="00786C78" w:rsidRDefault="000862B2" w:rsidP="006C5F36">
      <w:pPr>
        <w:pStyle w:val="ListParagraph"/>
        <w:keepNext/>
        <w:keepLines/>
        <w:numPr>
          <w:ilvl w:val="0"/>
          <w:numId w:val="28"/>
        </w:numPr>
        <w:spacing w:before="0" w:after="120"/>
        <w:contextualSpacing w:val="0"/>
        <w:jc w:val="left"/>
      </w:pPr>
      <w:r w:rsidRPr="00786C78">
        <w:t>The National CAR T Patient Prioritisation Committee (N</w:t>
      </w:r>
      <w:r w:rsidR="00E9449F">
        <w:t>PC</w:t>
      </w:r>
      <w:r w:rsidRPr="00786C78">
        <w:t>)</w:t>
      </w:r>
    </w:p>
    <w:p w14:paraId="034AC751" w14:textId="6A5156DE" w:rsidR="00AF4DB3" w:rsidRPr="006C5F36" w:rsidRDefault="000862B2" w:rsidP="006C5F36">
      <w:pPr>
        <w:pStyle w:val="Default"/>
        <w:rPr>
          <w:rFonts w:ascii="Franklin Gothic Book" w:hAnsi="Franklin Gothic Book" w:cstheme="minorBidi"/>
          <w:color w:val="auto"/>
          <w:sz w:val="22"/>
          <w:szCs w:val="22"/>
        </w:rPr>
      </w:pPr>
      <w:r w:rsidRPr="00786C78">
        <w:rPr>
          <w:rFonts w:ascii="Franklin Gothic Book" w:hAnsi="Franklin Gothic Book" w:cstheme="minorBidi"/>
          <w:color w:val="auto"/>
          <w:sz w:val="22"/>
          <w:szCs w:val="22"/>
        </w:rPr>
        <w:t>All consultation feedback received was supportive of making this therapy available to patients with refractory or relapsed multiple myeloma (</w:t>
      </w:r>
      <w:r w:rsidRPr="00231287">
        <w:rPr>
          <w:rFonts w:ascii="Franklin Gothic Book" w:hAnsi="Franklin Gothic Book" w:cstheme="minorBidi"/>
          <w:color w:val="auto"/>
          <w:sz w:val="22"/>
          <w:szCs w:val="22"/>
        </w:rPr>
        <w:t>RRMM).</w:t>
      </w:r>
    </w:p>
    <w:p w14:paraId="6A355B5C" w14:textId="77777777" w:rsidR="00D1597B" w:rsidRDefault="00D1597B" w:rsidP="006C5F36">
      <w:pPr>
        <w:pStyle w:val="Heading2"/>
        <w:numPr>
          <w:ilvl w:val="0"/>
          <w:numId w:val="27"/>
        </w:numPr>
        <w:ind w:left="737" w:hanging="737"/>
      </w:pPr>
      <w:r>
        <w:t>Applicant comments on MSAC’s Public Summary Document</w:t>
      </w:r>
    </w:p>
    <w:p w14:paraId="3B896430" w14:textId="2C75B35A" w:rsidR="00C94F5E" w:rsidRPr="002B0691" w:rsidRDefault="00C94F5E" w:rsidP="0006117F">
      <w:pPr>
        <w:pStyle w:val="NormalBeforeBullet"/>
        <w:rPr>
          <w:rFonts w:eastAsiaTheme="majorEastAsia"/>
        </w:rPr>
      </w:pPr>
      <w:r w:rsidRPr="00C94F5E">
        <w:rPr>
          <w:rFonts w:eastAsiaTheme="majorEastAsia"/>
        </w:rPr>
        <w:t>Johnson &amp; Johnson welcomes MSAC’s recommendation to continue to support the public funding of CARVYKTI</w:t>
      </w:r>
      <w:r w:rsidRPr="00C94F5E">
        <w:rPr>
          <w:rFonts w:eastAsiaTheme="majorEastAsia"/>
          <w:vertAlign w:val="superscript"/>
        </w:rPr>
        <w:t>®</w:t>
      </w:r>
      <w:r w:rsidRPr="00C94F5E">
        <w:rPr>
          <w:rFonts w:eastAsiaTheme="majorEastAsia"/>
        </w:rPr>
        <w:t xml:space="preserve"> (</w:t>
      </w:r>
      <w:proofErr w:type="spellStart"/>
      <w:r w:rsidRPr="00C94F5E">
        <w:rPr>
          <w:rFonts w:eastAsiaTheme="majorEastAsia"/>
        </w:rPr>
        <w:t>ciltacabtagene</w:t>
      </w:r>
      <w:proofErr w:type="spellEnd"/>
      <w:r w:rsidRPr="00C94F5E">
        <w:rPr>
          <w:rFonts w:eastAsiaTheme="majorEastAsia"/>
        </w:rPr>
        <w:t xml:space="preserve"> </w:t>
      </w:r>
      <w:proofErr w:type="spellStart"/>
      <w:r w:rsidRPr="00C94F5E">
        <w:rPr>
          <w:rFonts w:eastAsiaTheme="majorEastAsia"/>
        </w:rPr>
        <w:t>autoleucel</w:t>
      </w:r>
      <w:proofErr w:type="spellEnd"/>
      <w:r w:rsidRPr="00C94F5E">
        <w:rPr>
          <w:rFonts w:eastAsiaTheme="majorEastAsia"/>
        </w:rPr>
        <w:t>) for myeloma patients who have received four prior lines of therapy. Johnson &amp; Johnson will continue negotiations with Federal and State Governments to bring this highly specialised therapy to Australian patients.</w:t>
      </w:r>
    </w:p>
    <w:p w14:paraId="7D9D8F5C" w14:textId="25AB54C5" w:rsidR="00D1597B" w:rsidRDefault="00D1597B" w:rsidP="006C77BD">
      <w:pPr>
        <w:pStyle w:val="Heading2"/>
        <w:numPr>
          <w:ilvl w:val="0"/>
          <w:numId w:val="27"/>
        </w:numPr>
        <w:ind w:left="737" w:hanging="737"/>
      </w:pPr>
      <w:r>
        <w:t>Further information on MSAC</w:t>
      </w:r>
    </w:p>
    <w:p w14:paraId="2091C132" w14:textId="77777777" w:rsidR="00D1597B" w:rsidRPr="00847587" w:rsidRDefault="00D1597B" w:rsidP="00D1597B">
      <w:pPr>
        <w:pStyle w:val="BodyText"/>
        <w:rPr>
          <w:b/>
          <w:bCs/>
          <w:i/>
          <w:iCs/>
        </w:rPr>
      </w:pPr>
      <w:r w:rsidRPr="00F309FA">
        <w:rPr>
          <w:bCs/>
          <w:iCs/>
        </w:rPr>
        <w:t xml:space="preserve">MSAC Terms of Reference and other information are available on the MSAC Website: </w:t>
      </w:r>
      <w:hyperlink r:id="rId14" w:tooltip="Link to the MSAC website" w:history="1">
        <w:r w:rsidRPr="00F309FA">
          <w:rPr>
            <w:rStyle w:val="Hyperlink"/>
            <w:iCs/>
          </w:rPr>
          <w:t>visit the MSAC website</w:t>
        </w:r>
      </w:hyperlink>
    </w:p>
    <w:sectPr w:rsidR="00D1597B" w:rsidRPr="0084758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15CEE" w14:textId="77777777" w:rsidR="000A33B3" w:rsidRDefault="000A33B3" w:rsidP="00D95E54">
      <w:pPr>
        <w:spacing w:after="0"/>
      </w:pPr>
      <w:r>
        <w:separator/>
      </w:r>
    </w:p>
  </w:endnote>
  <w:endnote w:type="continuationSeparator" w:id="0">
    <w:p w14:paraId="62441021" w14:textId="77777777" w:rsidR="000A33B3" w:rsidRDefault="000A33B3" w:rsidP="00D95E54">
      <w:pPr>
        <w:spacing w:after="0"/>
      </w:pPr>
      <w:r>
        <w:continuationSeparator/>
      </w:r>
    </w:p>
  </w:endnote>
  <w:endnote w:type="continuationNotice" w:id="1">
    <w:p w14:paraId="70CB103E" w14:textId="77777777" w:rsidR="000A33B3" w:rsidRDefault="000A33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C4AE" w14:textId="77777777" w:rsidR="00DE62FE" w:rsidRDefault="00DE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493054"/>
      <w:docPartObj>
        <w:docPartGallery w:val="Page Numbers (Bottom of Page)"/>
        <w:docPartUnique/>
      </w:docPartObj>
    </w:sdtPr>
    <w:sdtEndPr>
      <w:rPr>
        <w:noProof/>
      </w:rPr>
    </w:sdtEndPr>
    <w:sdtContent>
      <w:p w14:paraId="468123AB" w14:textId="0522F4F8" w:rsidR="00C83DD2" w:rsidRDefault="00C83DD2" w:rsidP="009525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F70C" w14:textId="77777777" w:rsidR="00DE62FE" w:rsidRDefault="00DE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9EC3" w14:textId="77777777" w:rsidR="000A33B3" w:rsidRDefault="000A33B3" w:rsidP="00D95E54">
      <w:pPr>
        <w:spacing w:after="0"/>
      </w:pPr>
      <w:r>
        <w:separator/>
      </w:r>
    </w:p>
  </w:footnote>
  <w:footnote w:type="continuationSeparator" w:id="0">
    <w:p w14:paraId="47558E6A" w14:textId="77777777" w:rsidR="000A33B3" w:rsidRDefault="000A33B3" w:rsidP="00D95E54">
      <w:pPr>
        <w:spacing w:after="0"/>
      </w:pPr>
      <w:r>
        <w:continuationSeparator/>
      </w:r>
    </w:p>
  </w:footnote>
  <w:footnote w:type="continuationNotice" w:id="1">
    <w:p w14:paraId="57358957" w14:textId="77777777" w:rsidR="000A33B3" w:rsidRDefault="000A33B3">
      <w:pPr>
        <w:spacing w:after="0"/>
      </w:pPr>
    </w:p>
  </w:footnote>
  <w:footnote w:id="2">
    <w:p w14:paraId="33F63423" w14:textId="1CDA0A80" w:rsidR="00C2791F" w:rsidRDefault="00C2791F">
      <w:pPr>
        <w:pStyle w:val="FootnoteText"/>
      </w:pPr>
      <w:r>
        <w:rPr>
          <w:rStyle w:val="FootnoteReference"/>
        </w:rPr>
        <w:footnoteRef/>
      </w:r>
      <w:r>
        <w:t xml:space="preserve"> </w:t>
      </w:r>
      <w:r w:rsidR="00364934" w:rsidRPr="00364934">
        <w:t>http://www.msac.gov.au/internet/msac/publishing.nsf/Content/28CCF400501579E3CA2589CD000B2D68/$File/1690.1%20Final%20PSD%20-%20Nov2023%20(redacted).pdf</w:t>
      </w:r>
    </w:p>
  </w:footnote>
  <w:footnote w:id="3">
    <w:p w14:paraId="3869C9AE" w14:textId="77777777" w:rsidR="000B681E" w:rsidRDefault="000B681E" w:rsidP="000B681E">
      <w:pPr>
        <w:pStyle w:val="FootnoteText"/>
      </w:pPr>
      <w:r>
        <w:rPr>
          <w:rStyle w:val="FootnoteReference"/>
        </w:rPr>
        <w:footnoteRef/>
      </w:r>
      <w:r>
        <w:t xml:space="preserve"> </w:t>
      </w:r>
      <w:r w:rsidRPr="00EB5B8D">
        <w:t>https://www.tga.gov.au/resources/artg/410143</w:t>
      </w:r>
    </w:p>
  </w:footnote>
  <w:footnote w:id="4">
    <w:p w14:paraId="26C4AA26" w14:textId="041566C8" w:rsidR="003F284F" w:rsidRDefault="003F284F">
      <w:pPr>
        <w:pStyle w:val="FootnoteText"/>
      </w:pPr>
      <w:r>
        <w:rPr>
          <w:rStyle w:val="FootnoteReference"/>
        </w:rPr>
        <w:footnoteRef/>
      </w:r>
      <w:r w:rsidR="009622CE">
        <w:t xml:space="preserve"> </w:t>
      </w:r>
      <w:r w:rsidR="00971D94" w:rsidRPr="00971D94">
        <w:t>http://www.msac.gov.au/internet/msac/publishing.nsf/Content/62970FEB7C513544CA25874F008251EB/$File/1690%20Final%20PSD_Jul2022%20-%20Redacted_Final.pdf</w:t>
      </w:r>
    </w:p>
  </w:footnote>
  <w:footnote w:id="5">
    <w:p w14:paraId="05D9D333" w14:textId="746140BD" w:rsidR="00971D94" w:rsidRDefault="00971D94">
      <w:pPr>
        <w:pStyle w:val="FootnoteText"/>
      </w:pPr>
      <w:r>
        <w:rPr>
          <w:rStyle w:val="FootnoteReference"/>
        </w:rPr>
        <w:footnoteRef/>
      </w:r>
      <w:r>
        <w:t xml:space="preserve"> </w:t>
      </w:r>
      <w:r w:rsidR="009622CE" w:rsidRPr="009622CE">
        <w:t>http://www.msac.gov.au/internet/msac/publishing.nsf/Content/28CCF400501579E3CA2589CD000B2D68/$File/1690.1%20Final%20PSD%20-%20Nov2023%20(redacted).pdf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26FB" w14:textId="77777777" w:rsidR="00DE62FE" w:rsidRDefault="00DE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9D49" w14:textId="77777777" w:rsidR="00DE62FE" w:rsidRDefault="00DE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F858" w14:textId="77777777" w:rsidR="00DE62FE" w:rsidRDefault="00DE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683"/>
    <w:multiLevelType w:val="hybridMultilevel"/>
    <w:tmpl w:val="72800640"/>
    <w:lvl w:ilvl="0" w:tplc="480C50A8">
      <w:start w:val="1"/>
      <w:numFmt w:val="bullet"/>
      <w:lvlText w:val=""/>
      <w:lvlJc w:val="left"/>
      <w:pPr>
        <w:tabs>
          <w:tab w:val="num" w:pos="720"/>
        </w:tabs>
        <w:ind w:left="720" w:hanging="360"/>
      </w:pPr>
      <w:rPr>
        <w:rFonts w:ascii="Wingdings" w:hAnsi="Wingdings" w:hint="default"/>
      </w:rPr>
    </w:lvl>
    <w:lvl w:ilvl="1" w:tplc="A5949260" w:tentative="1">
      <w:start w:val="1"/>
      <w:numFmt w:val="bullet"/>
      <w:lvlText w:val=""/>
      <w:lvlJc w:val="left"/>
      <w:pPr>
        <w:tabs>
          <w:tab w:val="num" w:pos="1440"/>
        </w:tabs>
        <w:ind w:left="1440" w:hanging="360"/>
      </w:pPr>
      <w:rPr>
        <w:rFonts w:ascii="Wingdings" w:hAnsi="Wingdings" w:hint="default"/>
      </w:rPr>
    </w:lvl>
    <w:lvl w:ilvl="2" w:tplc="E45C63D0" w:tentative="1">
      <w:start w:val="1"/>
      <w:numFmt w:val="bullet"/>
      <w:lvlText w:val=""/>
      <w:lvlJc w:val="left"/>
      <w:pPr>
        <w:tabs>
          <w:tab w:val="num" w:pos="2160"/>
        </w:tabs>
        <w:ind w:left="2160" w:hanging="360"/>
      </w:pPr>
      <w:rPr>
        <w:rFonts w:ascii="Wingdings" w:hAnsi="Wingdings" w:hint="default"/>
      </w:rPr>
    </w:lvl>
    <w:lvl w:ilvl="3" w:tplc="898A1146" w:tentative="1">
      <w:start w:val="1"/>
      <w:numFmt w:val="bullet"/>
      <w:lvlText w:val=""/>
      <w:lvlJc w:val="left"/>
      <w:pPr>
        <w:tabs>
          <w:tab w:val="num" w:pos="2880"/>
        </w:tabs>
        <w:ind w:left="2880" w:hanging="360"/>
      </w:pPr>
      <w:rPr>
        <w:rFonts w:ascii="Wingdings" w:hAnsi="Wingdings" w:hint="default"/>
      </w:rPr>
    </w:lvl>
    <w:lvl w:ilvl="4" w:tplc="EF8A2FB8" w:tentative="1">
      <w:start w:val="1"/>
      <w:numFmt w:val="bullet"/>
      <w:lvlText w:val=""/>
      <w:lvlJc w:val="left"/>
      <w:pPr>
        <w:tabs>
          <w:tab w:val="num" w:pos="3600"/>
        </w:tabs>
        <w:ind w:left="3600" w:hanging="360"/>
      </w:pPr>
      <w:rPr>
        <w:rFonts w:ascii="Wingdings" w:hAnsi="Wingdings" w:hint="default"/>
      </w:rPr>
    </w:lvl>
    <w:lvl w:ilvl="5" w:tplc="16AC039C" w:tentative="1">
      <w:start w:val="1"/>
      <w:numFmt w:val="bullet"/>
      <w:lvlText w:val=""/>
      <w:lvlJc w:val="left"/>
      <w:pPr>
        <w:tabs>
          <w:tab w:val="num" w:pos="4320"/>
        </w:tabs>
        <w:ind w:left="4320" w:hanging="360"/>
      </w:pPr>
      <w:rPr>
        <w:rFonts w:ascii="Wingdings" w:hAnsi="Wingdings" w:hint="default"/>
      </w:rPr>
    </w:lvl>
    <w:lvl w:ilvl="6" w:tplc="B5AC3362" w:tentative="1">
      <w:start w:val="1"/>
      <w:numFmt w:val="bullet"/>
      <w:lvlText w:val=""/>
      <w:lvlJc w:val="left"/>
      <w:pPr>
        <w:tabs>
          <w:tab w:val="num" w:pos="5040"/>
        </w:tabs>
        <w:ind w:left="5040" w:hanging="360"/>
      </w:pPr>
      <w:rPr>
        <w:rFonts w:ascii="Wingdings" w:hAnsi="Wingdings" w:hint="default"/>
      </w:rPr>
    </w:lvl>
    <w:lvl w:ilvl="7" w:tplc="A4D4EF9A" w:tentative="1">
      <w:start w:val="1"/>
      <w:numFmt w:val="bullet"/>
      <w:lvlText w:val=""/>
      <w:lvlJc w:val="left"/>
      <w:pPr>
        <w:tabs>
          <w:tab w:val="num" w:pos="5760"/>
        </w:tabs>
        <w:ind w:left="5760" w:hanging="360"/>
      </w:pPr>
      <w:rPr>
        <w:rFonts w:ascii="Wingdings" w:hAnsi="Wingdings" w:hint="default"/>
      </w:rPr>
    </w:lvl>
    <w:lvl w:ilvl="8" w:tplc="6B10CC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64A05"/>
    <w:multiLevelType w:val="hybridMultilevel"/>
    <w:tmpl w:val="D99A7E5E"/>
    <w:lvl w:ilvl="0" w:tplc="A282C92E">
      <w:start w:val="4"/>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400D9"/>
    <w:multiLevelType w:val="hybridMultilevel"/>
    <w:tmpl w:val="5352063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F1F480A"/>
    <w:multiLevelType w:val="hybridMultilevel"/>
    <w:tmpl w:val="E54C39D8"/>
    <w:lvl w:ilvl="0" w:tplc="8C087B6C">
      <w:start w:val="1"/>
      <w:numFmt w:val="bullet"/>
      <w:lvlText w:val=""/>
      <w:lvlJc w:val="left"/>
      <w:pPr>
        <w:ind w:left="720" w:hanging="360"/>
      </w:pPr>
      <w:rPr>
        <w:rFonts w:ascii="Symbol" w:hAnsi="Symbol"/>
      </w:rPr>
    </w:lvl>
    <w:lvl w:ilvl="1" w:tplc="7BA29408">
      <w:start w:val="1"/>
      <w:numFmt w:val="bullet"/>
      <w:lvlText w:val=""/>
      <w:lvlJc w:val="left"/>
      <w:pPr>
        <w:ind w:left="720" w:hanging="360"/>
      </w:pPr>
      <w:rPr>
        <w:rFonts w:ascii="Symbol" w:hAnsi="Symbol"/>
      </w:rPr>
    </w:lvl>
    <w:lvl w:ilvl="2" w:tplc="72EE80AA">
      <w:start w:val="1"/>
      <w:numFmt w:val="bullet"/>
      <w:lvlText w:val=""/>
      <w:lvlJc w:val="left"/>
      <w:pPr>
        <w:ind w:left="720" w:hanging="360"/>
      </w:pPr>
      <w:rPr>
        <w:rFonts w:ascii="Symbol" w:hAnsi="Symbol"/>
      </w:rPr>
    </w:lvl>
    <w:lvl w:ilvl="3" w:tplc="8ECEFE1E">
      <w:start w:val="1"/>
      <w:numFmt w:val="bullet"/>
      <w:lvlText w:val=""/>
      <w:lvlJc w:val="left"/>
      <w:pPr>
        <w:ind w:left="720" w:hanging="360"/>
      </w:pPr>
      <w:rPr>
        <w:rFonts w:ascii="Symbol" w:hAnsi="Symbol"/>
      </w:rPr>
    </w:lvl>
    <w:lvl w:ilvl="4" w:tplc="922AF7EA">
      <w:start w:val="1"/>
      <w:numFmt w:val="bullet"/>
      <w:lvlText w:val=""/>
      <w:lvlJc w:val="left"/>
      <w:pPr>
        <w:ind w:left="720" w:hanging="360"/>
      </w:pPr>
      <w:rPr>
        <w:rFonts w:ascii="Symbol" w:hAnsi="Symbol"/>
      </w:rPr>
    </w:lvl>
    <w:lvl w:ilvl="5" w:tplc="92ECF612">
      <w:start w:val="1"/>
      <w:numFmt w:val="bullet"/>
      <w:lvlText w:val=""/>
      <w:lvlJc w:val="left"/>
      <w:pPr>
        <w:ind w:left="720" w:hanging="360"/>
      </w:pPr>
      <w:rPr>
        <w:rFonts w:ascii="Symbol" w:hAnsi="Symbol"/>
      </w:rPr>
    </w:lvl>
    <w:lvl w:ilvl="6" w:tplc="C9624CF2">
      <w:start w:val="1"/>
      <w:numFmt w:val="bullet"/>
      <w:lvlText w:val=""/>
      <w:lvlJc w:val="left"/>
      <w:pPr>
        <w:ind w:left="720" w:hanging="360"/>
      </w:pPr>
      <w:rPr>
        <w:rFonts w:ascii="Symbol" w:hAnsi="Symbol"/>
      </w:rPr>
    </w:lvl>
    <w:lvl w:ilvl="7" w:tplc="3C20100A">
      <w:start w:val="1"/>
      <w:numFmt w:val="bullet"/>
      <w:lvlText w:val=""/>
      <w:lvlJc w:val="left"/>
      <w:pPr>
        <w:ind w:left="720" w:hanging="360"/>
      </w:pPr>
      <w:rPr>
        <w:rFonts w:ascii="Symbol" w:hAnsi="Symbol"/>
      </w:rPr>
    </w:lvl>
    <w:lvl w:ilvl="8" w:tplc="C63EC7E0">
      <w:start w:val="1"/>
      <w:numFmt w:val="bullet"/>
      <w:lvlText w:val=""/>
      <w:lvlJc w:val="left"/>
      <w:pPr>
        <w:ind w:left="720" w:hanging="360"/>
      </w:pPr>
      <w:rPr>
        <w:rFonts w:ascii="Symbol" w:hAnsi="Symbol"/>
      </w:rPr>
    </w:lvl>
  </w:abstractNum>
  <w:abstractNum w:abstractNumId="4" w15:restartNumberingAfterBreak="0">
    <w:nsid w:val="10042E68"/>
    <w:multiLevelType w:val="hybridMultilevel"/>
    <w:tmpl w:val="AEC66D1A"/>
    <w:lvl w:ilvl="0" w:tplc="17D49C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80094"/>
    <w:multiLevelType w:val="hybridMultilevel"/>
    <w:tmpl w:val="A5F63A9E"/>
    <w:lvl w:ilvl="0" w:tplc="40AC7D42">
      <w:start w:val="1"/>
      <w:numFmt w:val="bullet"/>
      <w:lvlText w:val=""/>
      <w:lvlJc w:val="left"/>
      <w:pPr>
        <w:ind w:left="1080" w:hanging="360"/>
      </w:pPr>
      <w:rPr>
        <w:rFonts w:ascii="Symbol" w:hAnsi="Symbol"/>
      </w:rPr>
    </w:lvl>
    <w:lvl w:ilvl="1" w:tplc="C6AAF83E">
      <w:start w:val="1"/>
      <w:numFmt w:val="bullet"/>
      <w:lvlText w:val=""/>
      <w:lvlJc w:val="left"/>
      <w:pPr>
        <w:ind w:left="1080" w:hanging="360"/>
      </w:pPr>
      <w:rPr>
        <w:rFonts w:ascii="Symbol" w:hAnsi="Symbol"/>
      </w:rPr>
    </w:lvl>
    <w:lvl w:ilvl="2" w:tplc="E4E259F0">
      <w:start w:val="1"/>
      <w:numFmt w:val="bullet"/>
      <w:lvlText w:val=""/>
      <w:lvlJc w:val="left"/>
      <w:pPr>
        <w:ind w:left="1080" w:hanging="360"/>
      </w:pPr>
      <w:rPr>
        <w:rFonts w:ascii="Symbol" w:hAnsi="Symbol"/>
      </w:rPr>
    </w:lvl>
    <w:lvl w:ilvl="3" w:tplc="9E3CF58A">
      <w:start w:val="1"/>
      <w:numFmt w:val="bullet"/>
      <w:lvlText w:val=""/>
      <w:lvlJc w:val="left"/>
      <w:pPr>
        <w:ind w:left="1080" w:hanging="360"/>
      </w:pPr>
      <w:rPr>
        <w:rFonts w:ascii="Symbol" w:hAnsi="Symbol"/>
      </w:rPr>
    </w:lvl>
    <w:lvl w:ilvl="4" w:tplc="51DE173C">
      <w:start w:val="1"/>
      <w:numFmt w:val="bullet"/>
      <w:lvlText w:val=""/>
      <w:lvlJc w:val="left"/>
      <w:pPr>
        <w:ind w:left="1080" w:hanging="360"/>
      </w:pPr>
      <w:rPr>
        <w:rFonts w:ascii="Symbol" w:hAnsi="Symbol"/>
      </w:rPr>
    </w:lvl>
    <w:lvl w:ilvl="5" w:tplc="E1C0110A">
      <w:start w:val="1"/>
      <w:numFmt w:val="bullet"/>
      <w:lvlText w:val=""/>
      <w:lvlJc w:val="left"/>
      <w:pPr>
        <w:ind w:left="1080" w:hanging="360"/>
      </w:pPr>
      <w:rPr>
        <w:rFonts w:ascii="Symbol" w:hAnsi="Symbol"/>
      </w:rPr>
    </w:lvl>
    <w:lvl w:ilvl="6" w:tplc="E86289D4">
      <w:start w:val="1"/>
      <w:numFmt w:val="bullet"/>
      <w:lvlText w:val=""/>
      <w:lvlJc w:val="left"/>
      <w:pPr>
        <w:ind w:left="1080" w:hanging="360"/>
      </w:pPr>
      <w:rPr>
        <w:rFonts w:ascii="Symbol" w:hAnsi="Symbol"/>
      </w:rPr>
    </w:lvl>
    <w:lvl w:ilvl="7" w:tplc="04D608F4">
      <w:start w:val="1"/>
      <w:numFmt w:val="bullet"/>
      <w:lvlText w:val=""/>
      <w:lvlJc w:val="left"/>
      <w:pPr>
        <w:ind w:left="1080" w:hanging="360"/>
      </w:pPr>
      <w:rPr>
        <w:rFonts w:ascii="Symbol" w:hAnsi="Symbol"/>
      </w:rPr>
    </w:lvl>
    <w:lvl w:ilvl="8" w:tplc="FD3EFB3C">
      <w:start w:val="1"/>
      <w:numFmt w:val="bullet"/>
      <w:lvlText w:val=""/>
      <w:lvlJc w:val="left"/>
      <w:pPr>
        <w:ind w:left="1080" w:hanging="360"/>
      </w:pPr>
      <w:rPr>
        <w:rFonts w:ascii="Symbol" w:hAnsi="Symbol"/>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1095A"/>
    <w:multiLevelType w:val="hybridMultilevel"/>
    <w:tmpl w:val="07C2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449FD"/>
    <w:multiLevelType w:val="hybridMultilevel"/>
    <w:tmpl w:val="4C221D24"/>
    <w:lvl w:ilvl="0" w:tplc="3278A168">
      <w:start w:val="1"/>
      <w:numFmt w:val="bullet"/>
      <w:lvlText w:val=""/>
      <w:lvlJc w:val="left"/>
      <w:pPr>
        <w:ind w:left="720" w:hanging="360"/>
      </w:pPr>
      <w:rPr>
        <w:rFonts w:ascii="Symbol" w:hAnsi="Symbol"/>
      </w:rPr>
    </w:lvl>
    <w:lvl w:ilvl="1" w:tplc="A4E0B0CC">
      <w:start w:val="1"/>
      <w:numFmt w:val="bullet"/>
      <w:lvlText w:val=""/>
      <w:lvlJc w:val="left"/>
      <w:pPr>
        <w:ind w:left="720" w:hanging="360"/>
      </w:pPr>
      <w:rPr>
        <w:rFonts w:ascii="Symbol" w:hAnsi="Symbol"/>
      </w:rPr>
    </w:lvl>
    <w:lvl w:ilvl="2" w:tplc="F94EEF62">
      <w:start w:val="1"/>
      <w:numFmt w:val="bullet"/>
      <w:lvlText w:val=""/>
      <w:lvlJc w:val="left"/>
      <w:pPr>
        <w:ind w:left="720" w:hanging="360"/>
      </w:pPr>
      <w:rPr>
        <w:rFonts w:ascii="Symbol" w:hAnsi="Symbol"/>
      </w:rPr>
    </w:lvl>
    <w:lvl w:ilvl="3" w:tplc="422852EC">
      <w:start w:val="1"/>
      <w:numFmt w:val="bullet"/>
      <w:lvlText w:val=""/>
      <w:lvlJc w:val="left"/>
      <w:pPr>
        <w:ind w:left="720" w:hanging="360"/>
      </w:pPr>
      <w:rPr>
        <w:rFonts w:ascii="Symbol" w:hAnsi="Symbol"/>
      </w:rPr>
    </w:lvl>
    <w:lvl w:ilvl="4" w:tplc="8E909B5C">
      <w:start w:val="1"/>
      <w:numFmt w:val="bullet"/>
      <w:lvlText w:val=""/>
      <w:lvlJc w:val="left"/>
      <w:pPr>
        <w:ind w:left="720" w:hanging="360"/>
      </w:pPr>
      <w:rPr>
        <w:rFonts w:ascii="Symbol" w:hAnsi="Symbol"/>
      </w:rPr>
    </w:lvl>
    <w:lvl w:ilvl="5" w:tplc="B8504C40">
      <w:start w:val="1"/>
      <w:numFmt w:val="bullet"/>
      <w:lvlText w:val=""/>
      <w:lvlJc w:val="left"/>
      <w:pPr>
        <w:ind w:left="720" w:hanging="360"/>
      </w:pPr>
      <w:rPr>
        <w:rFonts w:ascii="Symbol" w:hAnsi="Symbol"/>
      </w:rPr>
    </w:lvl>
    <w:lvl w:ilvl="6" w:tplc="81FC1362">
      <w:start w:val="1"/>
      <w:numFmt w:val="bullet"/>
      <w:lvlText w:val=""/>
      <w:lvlJc w:val="left"/>
      <w:pPr>
        <w:ind w:left="720" w:hanging="360"/>
      </w:pPr>
      <w:rPr>
        <w:rFonts w:ascii="Symbol" w:hAnsi="Symbol"/>
      </w:rPr>
    </w:lvl>
    <w:lvl w:ilvl="7" w:tplc="0AB87118">
      <w:start w:val="1"/>
      <w:numFmt w:val="bullet"/>
      <w:lvlText w:val=""/>
      <w:lvlJc w:val="left"/>
      <w:pPr>
        <w:ind w:left="720" w:hanging="360"/>
      </w:pPr>
      <w:rPr>
        <w:rFonts w:ascii="Symbol" w:hAnsi="Symbol"/>
      </w:rPr>
    </w:lvl>
    <w:lvl w:ilvl="8" w:tplc="20C444EC">
      <w:start w:val="1"/>
      <w:numFmt w:val="bullet"/>
      <w:lvlText w:val=""/>
      <w:lvlJc w:val="left"/>
      <w:pPr>
        <w:ind w:left="720" w:hanging="360"/>
      </w:pPr>
      <w:rPr>
        <w:rFonts w:ascii="Symbol" w:hAnsi="Symbol"/>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1A7663"/>
    <w:multiLevelType w:val="hybridMultilevel"/>
    <w:tmpl w:val="FC4800E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D1347"/>
    <w:multiLevelType w:val="hybridMultilevel"/>
    <w:tmpl w:val="A9141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371DC"/>
    <w:multiLevelType w:val="multilevel"/>
    <w:tmpl w:val="4A02812C"/>
    <w:lvl w:ilvl="0">
      <w:start w:val="1"/>
      <w:numFmt w:val="decimal"/>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12489A"/>
    <w:multiLevelType w:val="hybridMultilevel"/>
    <w:tmpl w:val="13BA3D8C"/>
    <w:lvl w:ilvl="0" w:tplc="6C8E1240">
      <w:start w:val="1"/>
      <w:numFmt w:val="bullet"/>
      <w:lvlText w:val=""/>
      <w:lvlJc w:val="left"/>
      <w:pPr>
        <w:ind w:left="720" w:hanging="360"/>
      </w:pPr>
      <w:rPr>
        <w:rFonts w:ascii="Symbol" w:hAnsi="Symbol"/>
      </w:rPr>
    </w:lvl>
    <w:lvl w:ilvl="1" w:tplc="7DD60FE8">
      <w:start w:val="1"/>
      <w:numFmt w:val="bullet"/>
      <w:lvlText w:val=""/>
      <w:lvlJc w:val="left"/>
      <w:pPr>
        <w:ind w:left="720" w:hanging="360"/>
      </w:pPr>
      <w:rPr>
        <w:rFonts w:ascii="Symbol" w:hAnsi="Symbol"/>
      </w:rPr>
    </w:lvl>
    <w:lvl w:ilvl="2" w:tplc="A4B8D64E">
      <w:start w:val="1"/>
      <w:numFmt w:val="bullet"/>
      <w:lvlText w:val=""/>
      <w:lvlJc w:val="left"/>
      <w:pPr>
        <w:ind w:left="720" w:hanging="360"/>
      </w:pPr>
      <w:rPr>
        <w:rFonts w:ascii="Symbol" w:hAnsi="Symbol"/>
      </w:rPr>
    </w:lvl>
    <w:lvl w:ilvl="3" w:tplc="EA16E892">
      <w:start w:val="1"/>
      <w:numFmt w:val="bullet"/>
      <w:lvlText w:val=""/>
      <w:lvlJc w:val="left"/>
      <w:pPr>
        <w:ind w:left="720" w:hanging="360"/>
      </w:pPr>
      <w:rPr>
        <w:rFonts w:ascii="Symbol" w:hAnsi="Symbol"/>
      </w:rPr>
    </w:lvl>
    <w:lvl w:ilvl="4" w:tplc="B3E02918">
      <w:start w:val="1"/>
      <w:numFmt w:val="bullet"/>
      <w:lvlText w:val=""/>
      <w:lvlJc w:val="left"/>
      <w:pPr>
        <w:ind w:left="720" w:hanging="360"/>
      </w:pPr>
      <w:rPr>
        <w:rFonts w:ascii="Symbol" w:hAnsi="Symbol"/>
      </w:rPr>
    </w:lvl>
    <w:lvl w:ilvl="5" w:tplc="D4C2C3A6">
      <w:start w:val="1"/>
      <w:numFmt w:val="bullet"/>
      <w:lvlText w:val=""/>
      <w:lvlJc w:val="left"/>
      <w:pPr>
        <w:ind w:left="720" w:hanging="360"/>
      </w:pPr>
      <w:rPr>
        <w:rFonts w:ascii="Symbol" w:hAnsi="Symbol"/>
      </w:rPr>
    </w:lvl>
    <w:lvl w:ilvl="6" w:tplc="4E4C2C36">
      <w:start w:val="1"/>
      <w:numFmt w:val="bullet"/>
      <w:lvlText w:val=""/>
      <w:lvlJc w:val="left"/>
      <w:pPr>
        <w:ind w:left="720" w:hanging="360"/>
      </w:pPr>
      <w:rPr>
        <w:rFonts w:ascii="Symbol" w:hAnsi="Symbol"/>
      </w:rPr>
    </w:lvl>
    <w:lvl w:ilvl="7" w:tplc="63425878">
      <w:start w:val="1"/>
      <w:numFmt w:val="bullet"/>
      <w:lvlText w:val=""/>
      <w:lvlJc w:val="left"/>
      <w:pPr>
        <w:ind w:left="720" w:hanging="360"/>
      </w:pPr>
      <w:rPr>
        <w:rFonts w:ascii="Symbol" w:hAnsi="Symbol"/>
      </w:rPr>
    </w:lvl>
    <w:lvl w:ilvl="8" w:tplc="44CA5E22">
      <w:start w:val="1"/>
      <w:numFmt w:val="bullet"/>
      <w:lvlText w:val=""/>
      <w:lvlJc w:val="left"/>
      <w:pPr>
        <w:ind w:left="720" w:hanging="360"/>
      </w:pPr>
      <w:rPr>
        <w:rFonts w:ascii="Symbol" w:hAnsi="Symbol"/>
      </w:rPr>
    </w:lvl>
  </w:abstractNum>
  <w:abstractNum w:abstractNumId="19" w15:restartNumberingAfterBreak="0">
    <w:nsid w:val="40AA6FBC"/>
    <w:multiLevelType w:val="hybridMultilevel"/>
    <w:tmpl w:val="9BCC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403FD7"/>
    <w:multiLevelType w:val="hybridMultilevel"/>
    <w:tmpl w:val="BC20D1BA"/>
    <w:lvl w:ilvl="0" w:tplc="88F0EF78">
      <w:start w:val="1"/>
      <w:numFmt w:val="bullet"/>
      <w:lvlText w:val=""/>
      <w:lvlJc w:val="left"/>
      <w:pPr>
        <w:ind w:left="720" w:hanging="360"/>
      </w:pPr>
      <w:rPr>
        <w:rFonts w:ascii="Symbol" w:hAnsi="Symbol"/>
      </w:rPr>
    </w:lvl>
    <w:lvl w:ilvl="1" w:tplc="64DE1E30">
      <w:start w:val="1"/>
      <w:numFmt w:val="bullet"/>
      <w:lvlText w:val=""/>
      <w:lvlJc w:val="left"/>
      <w:pPr>
        <w:ind w:left="720" w:hanging="360"/>
      </w:pPr>
      <w:rPr>
        <w:rFonts w:ascii="Symbol" w:hAnsi="Symbol"/>
      </w:rPr>
    </w:lvl>
    <w:lvl w:ilvl="2" w:tplc="5CC44282">
      <w:start w:val="1"/>
      <w:numFmt w:val="bullet"/>
      <w:lvlText w:val=""/>
      <w:lvlJc w:val="left"/>
      <w:pPr>
        <w:ind w:left="720" w:hanging="360"/>
      </w:pPr>
      <w:rPr>
        <w:rFonts w:ascii="Symbol" w:hAnsi="Symbol"/>
      </w:rPr>
    </w:lvl>
    <w:lvl w:ilvl="3" w:tplc="C2D03600">
      <w:start w:val="1"/>
      <w:numFmt w:val="bullet"/>
      <w:lvlText w:val=""/>
      <w:lvlJc w:val="left"/>
      <w:pPr>
        <w:ind w:left="720" w:hanging="360"/>
      </w:pPr>
      <w:rPr>
        <w:rFonts w:ascii="Symbol" w:hAnsi="Symbol"/>
      </w:rPr>
    </w:lvl>
    <w:lvl w:ilvl="4" w:tplc="298A167C">
      <w:start w:val="1"/>
      <w:numFmt w:val="bullet"/>
      <w:lvlText w:val=""/>
      <w:lvlJc w:val="left"/>
      <w:pPr>
        <w:ind w:left="720" w:hanging="360"/>
      </w:pPr>
      <w:rPr>
        <w:rFonts w:ascii="Symbol" w:hAnsi="Symbol"/>
      </w:rPr>
    </w:lvl>
    <w:lvl w:ilvl="5" w:tplc="17080E5A">
      <w:start w:val="1"/>
      <w:numFmt w:val="bullet"/>
      <w:lvlText w:val=""/>
      <w:lvlJc w:val="left"/>
      <w:pPr>
        <w:ind w:left="720" w:hanging="360"/>
      </w:pPr>
      <w:rPr>
        <w:rFonts w:ascii="Symbol" w:hAnsi="Symbol"/>
      </w:rPr>
    </w:lvl>
    <w:lvl w:ilvl="6" w:tplc="0B648178">
      <w:start w:val="1"/>
      <w:numFmt w:val="bullet"/>
      <w:lvlText w:val=""/>
      <w:lvlJc w:val="left"/>
      <w:pPr>
        <w:ind w:left="720" w:hanging="360"/>
      </w:pPr>
      <w:rPr>
        <w:rFonts w:ascii="Symbol" w:hAnsi="Symbol"/>
      </w:rPr>
    </w:lvl>
    <w:lvl w:ilvl="7" w:tplc="392256C6">
      <w:start w:val="1"/>
      <w:numFmt w:val="bullet"/>
      <w:lvlText w:val=""/>
      <w:lvlJc w:val="left"/>
      <w:pPr>
        <w:ind w:left="720" w:hanging="360"/>
      </w:pPr>
      <w:rPr>
        <w:rFonts w:ascii="Symbol" w:hAnsi="Symbol"/>
      </w:rPr>
    </w:lvl>
    <w:lvl w:ilvl="8" w:tplc="6D46A39C">
      <w:start w:val="1"/>
      <w:numFmt w:val="bullet"/>
      <w:lvlText w:val=""/>
      <w:lvlJc w:val="left"/>
      <w:pPr>
        <w:ind w:left="720" w:hanging="360"/>
      </w:pPr>
      <w:rPr>
        <w:rFonts w:ascii="Symbol" w:hAnsi="Symbol"/>
      </w:rPr>
    </w:lvl>
  </w:abstractNum>
  <w:abstractNum w:abstractNumId="21" w15:restartNumberingAfterBreak="0">
    <w:nsid w:val="47095746"/>
    <w:multiLevelType w:val="hybridMultilevel"/>
    <w:tmpl w:val="9D287834"/>
    <w:lvl w:ilvl="0" w:tplc="E18AF33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79D2856"/>
    <w:multiLevelType w:val="hybridMultilevel"/>
    <w:tmpl w:val="60B8D4EA"/>
    <w:lvl w:ilvl="0" w:tplc="0C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3956E7"/>
    <w:multiLevelType w:val="hybridMultilevel"/>
    <w:tmpl w:val="3D9C1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15C3A"/>
    <w:multiLevelType w:val="hybridMultilevel"/>
    <w:tmpl w:val="BFD84DA2"/>
    <w:lvl w:ilvl="0" w:tplc="CD105544">
      <w:start w:val="1"/>
      <w:numFmt w:val="bullet"/>
      <w:lvlText w:val=""/>
      <w:lvlJc w:val="left"/>
      <w:pPr>
        <w:ind w:left="720" w:hanging="360"/>
      </w:pPr>
      <w:rPr>
        <w:rFonts w:ascii="Symbol" w:hAnsi="Symbol"/>
      </w:rPr>
    </w:lvl>
    <w:lvl w:ilvl="1" w:tplc="7CECE474">
      <w:start w:val="1"/>
      <w:numFmt w:val="bullet"/>
      <w:lvlText w:val=""/>
      <w:lvlJc w:val="left"/>
      <w:pPr>
        <w:ind w:left="720" w:hanging="360"/>
      </w:pPr>
      <w:rPr>
        <w:rFonts w:ascii="Symbol" w:hAnsi="Symbol"/>
      </w:rPr>
    </w:lvl>
    <w:lvl w:ilvl="2" w:tplc="C49E8756">
      <w:start w:val="1"/>
      <w:numFmt w:val="bullet"/>
      <w:lvlText w:val=""/>
      <w:lvlJc w:val="left"/>
      <w:pPr>
        <w:ind w:left="720" w:hanging="360"/>
      </w:pPr>
      <w:rPr>
        <w:rFonts w:ascii="Symbol" w:hAnsi="Symbol"/>
      </w:rPr>
    </w:lvl>
    <w:lvl w:ilvl="3" w:tplc="98686DAC">
      <w:start w:val="1"/>
      <w:numFmt w:val="bullet"/>
      <w:lvlText w:val=""/>
      <w:lvlJc w:val="left"/>
      <w:pPr>
        <w:ind w:left="720" w:hanging="360"/>
      </w:pPr>
      <w:rPr>
        <w:rFonts w:ascii="Symbol" w:hAnsi="Symbol"/>
      </w:rPr>
    </w:lvl>
    <w:lvl w:ilvl="4" w:tplc="B9C40B3C">
      <w:start w:val="1"/>
      <w:numFmt w:val="bullet"/>
      <w:lvlText w:val=""/>
      <w:lvlJc w:val="left"/>
      <w:pPr>
        <w:ind w:left="720" w:hanging="360"/>
      </w:pPr>
      <w:rPr>
        <w:rFonts w:ascii="Symbol" w:hAnsi="Symbol"/>
      </w:rPr>
    </w:lvl>
    <w:lvl w:ilvl="5" w:tplc="54E0799C">
      <w:start w:val="1"/>
      <w:numFmt w:val="bullet"/>
      <w:lvlText w:val=""/>
      <w:lvlJc w:val="left"/>
      <w:pPr>
        <w:ind w:left="720" w:hanging="360"/>
      </w:pPr>
      <w:rPr>
        <w:rFonts w:ascii="Symbol" w:hAnsi="Symbol"/>
      </w:rPr>
    </w:lvl>
    <w:lvl w:ilvl="6" w:tplc="F30E0C1C">
      <w:start w:val="1"/>
      <w:numFmt w:val="bullet"/>
      <w:lvlText w:val=""/>
      <w:lvlJc w:val="left"/>
      <w:pPr>
        <w:ind w:left="720" w:hanging="360"/>
      </w:pPr>
      <w:rPr>
        <w:rFonts w:ascii="Symbol" w:hAnsi="Symbol"/>
      </w:rPr>
    </w:lvl>
    <w:lvl w:ilvl="7" w:tplc="D1DA2552">
      <w:start w:val="1"/>
      <w:numFmt w:val="bullet"/>
      <w:lvlText w:val=""/>
      <w:lvlJc w:val="left"/>
      <w:pPr>
        <w:ind w:left="720" w:hanging="360"/>
      </w:pPr>
      <w:rPr>
        <w:rFonts w:ascii="Symbol" w:hAnsi="Symbol"/>
      </w:rPr>
    </w:lvl>
    <w:lvl w:ilvl="8" w:tplc="0DB0608C">
      <w:start w:val="1"/>
      <w:numFmt w:val="bullet"/>
      <w:lvlText w:val=""/>
      <w:lvlJc w:val="left"/>
      <w:pPr>
        <w:ind w:left="720" w:hanging="360"/>
      </w:pPr>
      <w:rPr>
        <w:rFonts w:ascii="Symbol" w:hAnsi="Symbol"/>
      </w:rPr>
    </w:lvl>
  </w:abstractNum>
  <w:abstractNum w:abstractNumId="25" w15:restartNumberingAfterBreak="0">
    <w:nsid w:val="4AF25AC8"/>
    <w:multiLevelType w:val="hybridMultilevel"/>
    <w:tmpl w:val="7D965A98"/>
    <w:lvl w:ilvl="0" w:tplc="08090001">
      <w:start w:val="1"/>
      <w:numFmt w:val="bullet"/>
      <w:lvlText w:val=""/>
      <w:lvlJc w:val="left"/>
      <w:pPr>
        <w:ind w:left="720" w:hanging="360"/>
      </w:pPr>
      <w:rPr>
        <w:rFonts w:ascii="Symbol" w:hAnsi="Symbol" w:hint="default"/>
      </w:rPr>
    </w:lvl>
    <w:lvl w:ilvl="1" w:tplc="CD607438">
      <w:numFmt w:val="bullet"/>
      <w:lvlText w:val="•"/>
      <w:lvlJc w:val="left"/>
      <w:pPr>
        <w:ind w:left="1800" w:hanging="72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52193"/>
    <w:multiLevelType w:val="hybridMultilevel"/>
    <w:tmpl w:val="9A16E8A2"/>
    <w:lvl w:ilvl="0" w:tplc="4386C5B6">
      <w:start w:val="1"/>
      <w:numFmt w:val="bullet"/>
      <w:lvlText w:val=""/>
      <w:lvlJc w:val="left"/>
      <w:pPr>
        <w:ind w:left="720" w:hanging="360"/>
      </w:pPr>
      <w:rPr>
        <w:rFonts w:ascii="Symbol" w:hAnsi="Symbol"/>
      </w:rPr>
    </w:lvl>
    <w:lvl w:ilvl="1" w:tplc="7CD0CD8E">
      <w:start w:val="1"/>
      <w:numFmt w:val="bullet"/>
      <w:lvlText w:val=""/>
      <w:lvlJc w:val="left"/>
      <w:pPr>
        <w:ind w:left="720" w:hanging="360"/>
      </w:pPr>
      <w:rPr>
        <w:rFonts w:ascii="Symbol" w:hAnsi="Symbol"/>
      </w:rPr>
    </w:lvl>
    <w:lvl w:ilvl="2" w:tplc="409C16B6">
      <w:start w:val="1"/>
      <w:numFmt w:val="bullet"/>
      <w:lvlText w:val=""/>
      <w:lvlJc w:val="left"/>
      <w:pPr>
        <w:ind w:left="720" w:hanging="360"/>
      </w:pPr>
      <w:rPr>
        <w:rFonts w:ascii="Symbol" w:hAnsi="Symbol"/>
      </w:rPr>
    </w:lvl>
    <w:lvl w:ilvl="3" w:tplc="882A4984">
      <w:start w:val="1"/>
      <w:numFmt w:val="bullet"/>
      <w:lvlText w:val=""/>
      <w:lvlJc w:val="left"/>
      <w:pPr>
        <w:ind w:left="720" w:hanging="360"/>
      </w:pPr>
      <w:rPr>
        <w:rFonts w:ascii="Symbol" w:hAnsi="Symbol"/>
      </w:rPr>
    </w:lvl>
    <w:lvl w:ilvl="4" w:tplc="B6B00C56">
      <w:start w:val="1"/>
      <w:numFmt w:val="bullet"/>
      <w:lvlText w:val=""/>
      <w:lvlJc w:val="left"/>
      <w:pPr>
        <w:ind w:left="720" w:hanging="360"/>
      </w:pPr>
      <w:rPr>
        <w:rFonts w:ascii="Symbol" w:hAnsi="Symbol"/>
      </w:rPr>
    </w:lvl>
    <w:lvl w:ilvl="5" w:tplc="93EAE5CE">
      <w:start w:val="1"/>
      <w:numFmt w:val="bullet"/>
      <w:lvlText w:val=""/>
      <w:lvlJc w:val="left"/>
      <w:pPr>
        <w:ind w:left="720" w:hanging="360"/>
      </w:pPr>
      <w:rPr>
        <w:rFonts w:ascii="Symbol" w:hAnsi="Symbol"/>
      </w:rPr>
    </w:lvl>
    <w:lvl w:ilvl="6" w:tplc="9F54C7B8">
      <w:start w:val="1"/>
      <w:numFmt w:val="bullet"/>
      <w:lvlText w:val=""/>
      <w:lvlJc w:val="left"/>
      <w:pPr>
        <w:ind w:left="720" w:hanging="360"/>
      </w:pPr>
      <w:rPr>
        <w:rFonts w:ascii="Symbol" w:hAnsi="Symbol"/>
      </w:rPr>
    </w:lvl>
    <w:lvl w:ilvl="7" w:tplc="58042450">
      <w:start w:val="1"/>
      <w:numFmt w:val="bullet"/>
      <w:lvlText w:val=""/>
      <w:lvlJc w:val="left"/>
      <w:pPr>
        <w:ind w:left="720" w:hanging="360"/>
      </w:pPr>
      <w:rPr>
        <w:rFonts w:ascii="Symbol" w:hAnsi="Symbol"/>
      </w:rPr>
    </w:lvl>
    <w:lvl w:ilvl="8" w:tplc="98046B68">
      <w:start w:val="1"/>
      <w:numFmt w:val="bullet"/>
      <w:lvlText w:val=""/>
      <w:lvlJc w:val="left"/>
      <w:pPr>
        <w:ind w:left="720" w:hanging="360"/>
      </w:pPr>
      <w:rPr>
        <w:rFonts w:ascii="Symbol" w:hAnsi="Symbol"/>
      </w:rPr>
    </w:lvl>
  </w:abstractNum>
  <w:abstractNum w:abstractNumId="27" w15:restartNumberingAfterBreak="0">
    <w:nsid w:val="53325B6A"/>
    <w:multiLevelType w:val="hybridMultilevel"/>
    <w:tmpl w:val="2C7E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53961"/>
    <w:multiLevelType w:val="hybridMultilevel"/>
    <w:tmpl w:val="D8F6D5A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0D210E"/>
    <w:multiLevelType w:val="hybridMultilevel"/>
    <w:tmpl w:val="BF36EA78"/>
    <w:lvl w:ilvl="0" w:tplc="804AF9A8">
      <w:start w:val="1"/>
      <w:numFmt w:val="bullet"/>
      <w:lvlText w:val="•"/>
      <w:lvlJc w:val="left"/>
      <w:pPr>
        <w:tabs>
          <w:tab w:val="num" w:pos="720"/>
        </w:tabs>
        <w:ind w:left="720" w:hanging="360"/>
      </w:pPr>
      <w:rPr>
        <w:rFonts w:ascii="Arial" w:hAnsi="Arial" w:hint="default"/>
      </w:rPr>
    </w:lvl>
    <w:lvl w:ilvl="1" w:tplc="641E66CA" w:tentative="1">
      <w:start w:val="1"/>
      <w:numFmt w:val="bullet"/>
      <w:lvlText w:val="•"/>
      <w:lvlJc w:val="left"/>
      <w:pPr>
        <w:tabs>
          <w:tab w:val="num" w:pos="1440"/>
        </w:tabs>
        <w:ind w:left="1440" w:hanging="360"/>
      </w:pPr>
      <w:rPr>
        <w:rFonts w:ascii="Arial" w:hAnsi="Arial" w:hint="default"/>
      </w:rPr>
    </w:lvl>
    <w:lvl w:ilvl="2" w:tplc="C298D78A" w:tentative="1">
      <w:start w:val="1"/>
      <w:numFmt w:val="bullet"/>
      <w:lvlText w:val="•"/>
      <w:lvlJc w:val="left"/>
      <w:pPr>
        <w:tabs>
          <w:tab w:val="num" w:pos="2160"/>
        </w:tabs>
        <w:ind w:left="2160" w:hanging="360"/>
      </w:pPr>
      <w:rPr>
        <w:rFonts w:ascii="Arial" w:hAnsi="Arial" w:hint="default"/>
      </w:rPr>
    </w:lvl>
    <w:lvl w:ilvl="3" w:tplc="75F487B6" w:tentative="1">
      <w:start w:val="1"/>
      <w:numFmt w:val="bullet"/>
      <w:lvlText w:val="•"/>
      <w:lvlJc w:val="left"/>
      <w:pPr>
        <w:tabs>
          <w:tab w:val="num" w:pos="2880"/>
        </w:tabs>
        <w:ind w:left="2880" w:hanging="360"/>
      </w:pPr>
      <w:rPr>
        <w:rFonts w:ascii="Arial" w:hAnsi="Arial" w:hint="default"/>
      </w:rPr>
    </w:lvl>
    <w:lvl w:ilvl="4" w:tplc="C66CD8EC" w:tentative="1">
      <w:start w:val="1"/>
      <w:numFmt w:val="bullet"/>
      <w:lvlText w:val="•"/>
      <w:lvlJc w:val="left"/>
      <w:pPr>
        <w:tabs>
          <w:tab w:val="num" w:pos="3600"/>
        </w:tabs>
        <w:ind w:left="3600" w:hanging="360"/>
      </w:pPr>
      <w:rPr>
        <w:rFonts w:ascii="Arial" w:hAnsi="Arial" w:hint="default"/>
      </w:rPr>
    </w:lvl>
    <w:lvl w:ilvl="5" w:tplc="533A580A" w:tentative="1">
      <w:start w:val="1"/>
      <w:numFmt w:val="bullet"/>
      <w:lvlText w:val="•"/>
      <w:lvlJc w:val="left"/>
      <w:pPr>
        <w:tabs>
          <w:tab w:val="num" w:pos="4320"/>
        </w:tabs>
        <w:ind w:left="4320" w:hanging="360"/>
      </w:pPr>
      <w:rPr>
        <w:rFonts w:ascii="Arial" w:hAnsi="Arial" w:hint="default"/>
      </w:rPr>
    </w:lvl>
    <w:lvl w:ilvl="6" w:tplc="0854F126" w:tentative="1">
      <w:start w:val="1"/>
      <w:numFmt w:val="bullet"/>
      <w:lvlText w:val="•"/>
      <w:lvlJc w:val="left"/>
      <w:pPr>
        <w:tabs>
          <w:tab w:val="num" w:pos="5040"/>
        </w:tabs>
        <w:ind w:left="5040" w:hanging="360"/>
      </w:pPr>
      <w:rPr>
        <w:rFonts w:ascii="Arial" w:hAnsi="Arial" w:hint="default"/>
      </w:rPr>
    </w:lvl>
    <w:lvl w:ilvl="7" w:tplc="F9F4CA48" w:tentative="1">
      <w:start w:val="1"/>
      <w:numFmt w:val="bullet"/>
      <w:lvlText w:val="•"/>
      <w:lvlJc w:val="left"/>
      <w:pPr>
        <w:tabs>
          <w:tab w:val="num" w:pos="5760"/>
        </w:tabs>
        <w:ind w:left="5760" w:hanging="360"/>
      </w:pPr>
      <w:rPr>
        <w:rFonts w:ascii="Arial" w:hAnsi="Arial" w:hint="default"/>
      </w:rPr>
    </w:lvl>
    <w:lvl w:ilvl="8" w:tplc="DB8C14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7E051C"/>
    <w:multiLevelType w:val="hybridMultilevel"/>
    <w:tmpl w:val="E8582E76"/>
    <w:lvl w:ilvl="0" w:tplc="7FCC4FDE">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AF1597"/>
    <w:multiLevelType w:val="hybridMultilevel"/>
    <w:tmpl w:val="CA98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DA5D96"/>
    <w:multiLevelType w:val="hybridMultilevel"/>
    <w:tmpl w:val="0756E538"/>
    <w:lvl w:ilvl="0" w:tplc="3224DF46">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D384A67"/>
    <w:multiLevelType w:val="multilevel"/>
    <w:tmpl w:val="A5FEA4E2"/>
    <w:lvl w:ilvl="0">
      <w:start w:val="1"/>
      <w:numFmt w:val="decimal"/>
      <w:pStyle w:val="Heading1"/>
      <w:lvlText w:val="Section %1"/>
      <w:lvlJc w:val="left"/>
      <w:pPr>
        <w:ind w:left="0" w:firstLine="0"/>
      </w:pPr>
    </w:lvl>
    <w:lvl w:ilvl="1">
      <w:start w:val="1"/>
      <w:numFmt w:val="decimal"/>
      <w:pStyle w:val="Heading2"/>
      <w:lvlText w:val="%1.%2"/>
      <w:lvlJc w:val="left"/>
      <w:pPr>
        <w:ind w:left="0" w:firstLine="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Heading3"/>
      <w:lvlText w:val="%1.%2.%3"/>
      <w:lvlJc w:val="left"/>
      <w:pPr>
        <w:ind w:left="284" w:firstLine="0"/>
      </w:pPr>
    </w:lvl>
    <w:lvl w:ilvl="3">
      <w:start w:val="1"/>
      <w:numFmt w:val="decimal"/>
      <w:lvlText w:val="(%4)"/>
      <w:lvlJc w:val="left"/>
      <w:pPr>
        <w:ind w:left="81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5C34E6"/>
    <w:multiLevelType w:val="hybridMultilevel"/>
    <w:tmpl w:val="7EEE07E2"/>
    <w:lvl w:ilvl="0" w:tplc="0A72F52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172F10"/>
    <w:multiLevelType w:val="multilevel"/>
    <w:tmpl w:val="AED6F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E76DEA"/>
    <w:multiLevelType w:val="hybridMultilevel"/>
    <w:tmpl w:val="F588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2560C0"/>
    <w:multiLevelType w:val="hybridMultilevel"/>
    <w:tmpl w:val="F6967F2A"/>
    <w:lvl w:ilvl="0" w:tplc="F31C2A0C">
      <w:start w:val="1"/>
      <w:numFmt w:val="bullet"/>
      <w:lvlText w:val=""/>
      <w:lvlJc w:val="left"/>
      <w:pPr>
        <w:ind w:left="720" w:hanging="360"/>
      </w:pPr>
      <w:rPr>
        <w:rFonts w:ascii="Symbol" w:hAnsi="Symbol"/>
      </w:rPr>
    </w:lvl>
    <w:lvl w:ilvl="1" w:tplc="5CDE40BC">
      <w:start w:val="1"/>
      <w:numFmt w:val="bullet"/>
      <w:lvlText w:val=""/>
      <w:lvlJc w:val="left"/>
      <w:pPr>
        <w:ind w:left="720" w:hanging="360"/>
      </w:pPr>
      <w:rPr>
        <w:rFonts w:ascii="Symbol" w:hAnsi="Symbol"/>
      </w:rPr>
    </w:lvl>
    <w:lvl w:ilvl="2" w:tplc="CED42F0A">
      <w:start w:val="1"/>
      <w:numFmt w:val="bullet"/>
      <w:lvlText w:val=""/>
      <w:lvlJc w:val="left"/>
      <w:pPr>
        <w:ind w:left="720" w:hanging="360"/>
      </w:pPr>
      <w:rPr>
        <w:rFonts w:ascii="Symbol" w:hAnsi="Symbol"/>
      </w:rPr>
    </w:lvl>
    <w:lvl w:ilvl="3" w:tplc="F036D88C">
      <w:start w:val="1"/>
      <w:numFmt w:val="bullet"/>
      <w:lvlText w:val=""/>
      <w:lvlJc w:val="left"/>
      <w:pPr>
        <w:ind w:left="720" w:hanging="360"/>
      </w:pPr>
      <w:rPr>
        <w:rFonts w:ascii="Symbol" w:hAnsi="Symbol"/>
      </w:rPr>
    </w:lvl>
    <w:lvl w:ilvl="4" w:tplc="24E00416">
      <w:start w:val="1"/>
      <w:numFmt w:val="bullet"/>
      <w:lvlText w:val=""/>
      <w:lvlJc w:val="left"/>
      <w:pPr>
        <w:ind w:left="720" w:hanging="360"/>
      </w:pPr>
      <w:rPr>
        <w:rFonts w:ascii="Symbol" w:hAnsi="Symbol"/>
      </w:rPr>
    </w:lvl>
    <w:lvl w:ilvl="5" w:tplc="2ADECC3E">
      <w:start w:val="1"/>
      <w:numFmt w:val="bullet"/>
      <w:lvlText w:val=""/>
      <w:lvlJc w:val="left"/>
      <w:pPr>
        <w:ind w:left="720" w:hanging="360"/>
      </w:pPr>
      <w:rPr>
        <w:rFonts w:ascii="Symbol" w:hAnsi="Symbol"/>
      </w:rPr>
    </w:lvl>
    <w:lvl w:ilvl="6" w:tplc="FFA858B2">
      <w:start w:val="1"/>
      <w:numFmt w:val="bullet"/>
      <w:lvlText w:val=""/>
      <w:lvlJc w:val="left"/>
      <w:pPr>
        <w:ind w:left="720" w:hanging="360"/>
      </w:pPr>
      <w:rPr>
        <w:rFonts w:ascii="Symbol" w:hAnsi="Symbol"/>
      </w:rPr>
    </w:lvl>
    <w:lvl w:ilvl="7" w:tplc="041C01DA">
      <w:start w:val="1"/>
      <w:numFmt w:val="bullet"/>
      <w:lvlText w:val=""/>
      <w:lvlJc w:val="left"/>
      <w:pPr>
        <w:ind w:left="720" w:hanging="360"/>
      </w:pPr>
      <w:rPr>
        <w:rFonts w:ascii="Symbol" w:hAnsi="Symbol"/>
      </w:rPr>
    </w:lvl>
    <w:lvl w:ilvl="8" w:tplc="7BB083E4">
      <w:start w:val="1"/>
      <w:numFmt w:val="bullet"/>
      <w:lvlText w:val=""/>
      <w:lvlJc w:val="left"/>
      <w:pPr>
        <w:ind w:left="720" w:hanging="360"/>
      </w:pPr>
      <w:rPr>
        <w:rFonts w:ascii="Symbol" w:hAnsi="Symbol"/>
      </w:rPr>
    </w:lvl>
  </w:abstractNum>
  <w:abstractNum w:abstractNumId="38"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F64E9"/>
    <w:multiLevelType w:val="hybridMultilevel"/>
    <w:tmpl w:val="33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abstractNum w:abstractNumId="42" w15:restartNumberingAfterBreak="0">
    <w:nsid w:val="7FEC5333"/>
    <w:multiLevelType w:val="hybridMultilevel"/>
    <w:tmpl w:val="2352769A"/>
    <w:lvl w:ilvl="0" w:tplc="825C7054">
      <w:start w:val="1"/>
      <w:numFmt w:val="bullet"/>
      <w:lvlText w:val=""/>
      <w:lvlJc w:val="left"/>
      <w:pPr>
        <w:tabs>
          <w:tab w:val="num" w:pos="720"/>
        </w:tabs>
        <w:ind w:left="720" w:hanging="360"/>
      </w:pPr>
      <w:rPr>
        <w:rFonts w:ascii="Wingdings" w:hAnsi="Wingdings" w:hint="default"/>
      </w:rPr>
    </w:lvl>
    <w:lvl w:ilvl="1" w:tplc="AC7EE4B4" w:tentative="1">
      <w:start w:val="1"/>
      <w:numFmt w:val="bullet"/>
      <w:lvlText w:val=""/>
      <w:lvlJc w:val="left"/>
      <w:pPr>
        <w:tabs>
          <w:tab w:val="num" w:pos="1440"/>
        </w:tabs>
        <w:ind w:left="1440" w:hanging="360"/>
      </w:pPr>
      <w:rPr>
        <w:rFonts w:ascii="Wingdings" w:hAnsi="Wingdings" w:hint="default"/>
      </w:rPr>
    </w:lvl>
    <w:lvl w:ilvl="2" w:tplc="6E869B80" w:tentative="1">
      <w:start w:val="1"/>
      <w:numFmt w:val="bullet"/>
      <w:lvlText w:val=""/>
      <w:lvlJc w:val="left"/>
      <w:pPr>
        <w:tabs>
          <w:tab w:val="num" w:pos="2160"/>
        </w:tabs>
        <w:ind w:left="2160" w:hanging="360"/>
      </w:pPr>
      <w:rPr>
        <w:rFonts w:ascii="Wingdings" w:hAnsi="Wingdings" w:hint="default"/>
      </w:rPr>
    </w:lvl>
    <w:lvl w:ilvl="3" w:tplc="E844F56A" w:tentative="1">
      <w:start w:val="1"/>
      <w:numFmt w:val="bullet"/>
      <w:lvlText w:val=""/>
      <w:lvlJc w:val="left"/>
      <w:pPr>
        <w:tabs>
          <w:tab w:val="num" w:pos="2880"/>
        </w:tabs>
        <w:ind w:left="2880" w:hanging="360"/>
      </w:pPr>
      <w:rPr>
        <w:rFonts w:ascii="Wingdings" w:hAnsi="Wingdings" w:hint="default"/>
      </w:rPr>
    </w:lvl>
    <w:lvl w:ilvl="4" w:tplc="89FE5B1C" w:tentative="1">
      <w:start w:val="1"/>
      <w:numFmt w:val="bullet"/>
      <w:lvlText w:val=""/>
      <w:lvlJc w:val="left"/>
      <w:pPr>
        <w:tabs>
          <w:tab w:val="num" w:pos="3600"/>
        </w:tabs>
        <w:ind w:left="3600" w:hanging="360"/>
      </w:pPr>
      <w:rPr>
        <w:rFonts w:ascii="Wingdings" w:hAnsi="Wingdings" w:hint="default"/>
      </w:rPr>
    </w:lvl>
    <w:lvl w:ilvl="5" w:tplc="942E2806" w:tentative="1">
      <w:start w:val="1"/>
      <w:numFmt w:val="bullet"/>
      <w:lvlText w:val=""/>
      <w:lvlJc w:val="left"/>
      <w:pPr>
        <w:tabs>
          <w:tab w:val="num" w:pos="4320"/>
        </w:tabs>
        <w:ind w:left="4320" w:hanging="360"/>
      </w:pPr>
      <w:rPr>
        <w:rFonts w:ascii="Wingdings" w:hAnsi="Wingdings" w:hint="default"/>
      </w:rPr>
    </w:lvl>
    <w:lvl w:ilvl="6" w:tplc="E9F4B7F2" w:tentative="1">
      <w:start w:val="1"/>
      <w:numFmt w:val="bullet"/>
      <w:lvlText w:val=""/>
      <w:lvlJc w:val="left"/>
      <w:pPr>
        <w:tabs>
          <w:tab w:val="num" w:pos="5040"/>
        </w:tabs>
        <w:ind w:left="5040" w:hanging="360"/>
      </w:pPr>
      <w:rPr>
        <w:rFonts w:ascii="Wingdings" w:hAnsi="Wingdings" w:hint="default"/>
      </w:rPr>
    </w:lvl>
    <w:lvl w:ilvl="7" w:tplc="5C604C4C" w:tentative="1">
      <w:start w:val="1"/>
      <w:numFmt w:val="bullet"/>
      <w:lvlText w:val=""/>
      <w:lvlJc w:val="left"/>
      <w:pPr>
        <w:tabs>
          <w:tab w:val="num" w:pos="5760"/>
        </w:tabs>
        <w:ind w:left="5760" w:hanging="360"/>
      </w:pPr>
      <w:rPr>
        <w:rFonts w:ascii="Wingdings" w:hAnsi="Wingdings" w:hint="default"/>
      </w:rPr>
    </w:lvl>
    <w:lvl w:ilvl="8" w:tplc="63008214" w:tentative="1">
      <w:start w:val="1"/>
      <w:numFmt w:val="bullet"/>
      <w:lvlText w:val=""/>
      <w:lvlJc w:val="left"/>
      <w:pPr>
        <w:tabs>
          <w:tab w:val="num" w:pos="6480"/>
        </w:tabs>
        <w:ind w:left="6480" w:hanging="360"/>
      </w:pPr>
      <w:rPr>
        <w:rFonts w:ascii="Wingdings" w:hAnsi="Wingdings" w:hint="default"/>
      </w:rPr>
    </w:lvl>
  </w:abstractNum>
  <w:num w:numId="1" w16cid:durableId="511647671">
    <w:abstractNumId w:val="21"/>
  </w:num>
  <w:num w:numId="2" w16cid:durableId="18632067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293169">
    <w:abstractNumId w:val="6"/>
  </w:num>
  <w:num w:numId="4" w16cid:durableId="842933781">
    <w:abstractNumId w:val="39"/>
  </w:num>
  <w:num w:numId="5" w16cid:durableId="592738579">
    <w:abstractNumId w:val="41"/>
  </w:num>
  <w:num w:numId="6" w16cid:durableId="1114518143">
    <w:abstractNumId w:val="10"/>
  </w:num>
  <w:num w:numId="7" w16cid:durableId="220016852">
    <w:abstractNumId w:val="38"/>
  </w:num>
  <w:num w:numId="8" w16cid:durableId="888880651">
    <w:abstractNumId w:val="11"/>
  </w:num>
  <w:num w:numId="9" w16cid:durableId="1629511523">
    <w:abstractNumId w:val="12"/>
  </w:num>
  <w:num w:numId="10" w16cid:durableId="829100206">
    <w:abstractNumId w:val="16"/>
  </w:num>
  <w:num w:numId="11" w16cid:durableId="1202671901">
    <w:abstractNumId w:val="30"/>
  </w:num>
  <w:num w:numId="12" w16cid:durableId="1372920723">
    <w:abstractNumId w:val="13"/>
    <w:lvlOverride w:ilvl="0">
      <w:startOverride w:val="1"/>
    </w:lvlOverride>
  </w:num>
  <w:num w:numId="13" w16cid:durableId="985008917">
    <w:abstractNumId w:val="40"/>
  </w:num>
  <w:num w:numId="14" w16cid:durableId="620188081">
    <w:abstractNumId w:val="15"/>
  </w:num>
  <w:num w:numId="15" w16cid:durableId="133839881">
    <w:abstractNumId w:val="4"/>
  </w:num>
  <w:num w:numId="16" w16cid:durableId="518007981">
    <w:abstractNumId w:val="27"/>
  </w:num>
  <w:num w:numId="17" w16cid:durableId="1176725043">
    <w:abstractNumId w:val="25"/>
  </w:num>
  <w:num w:numId="18" w16cid:durableId="1765296588">
    <w:abstractNumId w:val="28"/>
  </w:num>
  <w:num w:numId="19" w16cid:durableId="399132262">
    <w:abstractNumId w:val="14"/>
  </w:num>
  <w:num w:numId="20" w16cid:durableId="1219056009">
    <w:abstractNumId w:val="34"/>
  </w:num>
  <w:num w:numId="21" w16cid:durableId="1910798273">
    <w:abstractNumId w:val="36"/>
  </w:num>
  <w:num w:numId="22" w16cid:durableId="491482331">
    <w:abstractNumId w:val="35"/>
  </w:num>
  <w:num w:numId="23" w16cid:durableId="1478231271">
    <w:abstractNumId w:val="22"/>
  </w:num>
  <w:num w:numId="24" w16cid:durableId="948052579">
    <w:abstractNumId w:val="7"/>
  </w:num>
  <w:num w:numId="25" w16cid:durableId="1870753970">
    <w:abstractNumId w:val="32"/>
  </w:num>
  <w:num w:numId="26" w16cid:durableId="1271669731">
    <w:abstractNumId w:val="9"/>
  </w:num>
  <w:num w:numId="27" w16cid:durableId="1128014739">
    <w:abstractNumId w:val="1"/>
  </w:num>
  <w:num w:numId="28" w16cid:durableId="536047630">
    <w:abstractNumId w:val="2"/>
  </w:num>
  <w:num w:numId="29" w16cid:durableId="847213652">
    <w:abstractNumId w:val="17"/>
  </w:num>
  <w:num w:numId="30" w16cid:durableId="1310132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548713">
    <w:abstractNumId w:val="23"/>
  </w:num>
  <w:num w:numId="32" w16cid:durableId="1746105510">
    <w:abstractNumId w:val="31"/>
  </w:num>
  <w:num w:numId="33" w16cid:durableId="1639841873">
    <w:abstractNumId w:val="19"/>
  </w:num>
  <w:num w:numId="34" w16cid:durableId="18457059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902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14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85384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2756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516114">
    <w:abstractNumId w:val="18"/>
  </w:num>
  <w:num w:numId="40" w16cid:durableId="910116764">
    <w:abstractNumId w:val="8"/>
  </w:num>
  <w:num w:numId="41" w16cid:durableId="455954766">
    <w:abstractNumId w:val="20"/>
  </w:num>
  <w:num w:numId="42" w16cid:durableId="170025970">
    <w:abstractNumId w:val="5"/>
  </w:num>
  <w:num w:numId="43" w16cid:durableId="41441655">
    <w:abstractNumId w:val="3"/>
  </w:num>
  <w:num w:numId="44" w16cid:durableId="432018118">
    <w:abstractNumId w:val="24"/>
  </w:num>
  <w:num w:numId="45" w16cid:durableId="683672890">
    <w:abstractNumId w:val="37"/>
  </w:num>
  <w:num w:numId="46" w16cid:durableId="2022967927">
    <w:abstractNumId w:val="26"/>
  </w:num>
  <w:num w:numId="47" w16cid:durableId="1807045425">
    <w:abstractNumId w:val="42"/>
  </w:num>
  <w:num w:numId="48" w16cid:durableId="654603659">
    <w:abstractNumId w:val="29"/>
  </w:num>
  <w:num w:numId="49" w16cid:durableId="1158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4"/>
    <w:rsid w:val="00002EE3"/>
    <w:rsid w:val="00003431"/>
    <w:rsid w:val="000074C5"/>
    <w:rsid w:val="000076D4"/>
    <w:rsid w:val="0001382A"/>
    <w:rsid w:val="000156B1"/>
    <w:rsid w:val="0001599D"/>
    <w:rsid w:val="00020F66"/>
    <w:rsid w:val="000226C3"/>
    <w:rsid w:val="00023389"/>
    <w:rsid w:val="0002341E"/>
    <w:rsid w:val="000234B2"/>
    <w:rsid w:val="00023B1C"/>
    <w:rsid w:val="00023D6C"/>
    <w:rsid w:val="00026350"/>
    <w:rsid w:val="00032D33"/>
    <w:rsid w:val="00033007"/>
    <w:rsid w:val="000343B2"/>
    <w:rsid w:val="00034C65"/>
    <w:rsid w:val="00035BDF"/>
    <w:rsid w:val="000364DE"/>
    <w:rsid w:val="00040D56"/>
    <w:rsid w:val="00041877"/>
    <w:rsid w:val="00043A89"/>
    <w:rsid w:val="000442FD"/>
    <w:rsid w:val="00044D6A"/>
    <w:rsid w:val="0004593A"/>
    <w:rsid w:val="00047E9E"/>
    <w:rsid w:val="00050888"/>
    <w:rsid w:val="000553FE"/>
    <w:rsid w:val="00055D71"/>
    <w:rsid w:val="0005640C"/>
    <w:rsid w:val="000607A1"/>
    <w:rsid w:val="000608B3"/>
    <w:rsid w:val="0006117F"/>
    <w:rsid w:val="000626EC"/>
    <w:rsid w:val="00065CAC"/>
    <w:rsid w:val="00067911"/>
    <w:rsid w:val="00071B2C"/>
    <w:rsid w:val="00073D67"/>
    <w:rsid w:val="00073F2B"/>
    <w:rsid w:val="000742DD"/>
    <w:rsid w:val="00076CA1"/>
    <w:rsid w:val="000777C8"/>
    <w:rsid w:val="00077B92"/>
    <w:rsid w:val="00077E35"/>
    <w:rsid w:val="00080967"/>
    <w:rsid w:val="000812A3"/>
    <w:rsid w:val="00081CAD"/>
    <w:rsid w:val="00082F79"/>
    <w:rsid w:val="0008506D"/>
    <w:rsid w:val="00085930"/>
    <w:rsid w:val="000862B2"/>
    <w:rsid w:val="000871DB"/>
    <w:rsid w:val="00090339"/>
    <w:rsid w:val="00091815"/>
    <w:rsid w:val="0009255D"/>
    <w:rsid w:val="00092FB4"/>
    <w:rsid w:val="000931BD"/>
    <w:rsid w:val="0009420B"/>
    <w:rsid w:val="00095B0C"/>
    <w:rsid w:val="000974C8"/>
    <w:rsid w:val="000978E0"/>
    <w:rsid w:val="000A0EA3"/>
    <w:rsid w:val="000A12B5"/>
    <w:rsid w:val="000A33B3"/>
    <w:rsid w:val="000A4F31"/>
    <w:rsid w:val="000A69E9"/>
    <w:rsid w:val="000A6F66"/>
    <w:rsid w:val="000B1332"/>
    <w:rsid w:val="000B1D30"/>
    <w:rsid w:val="000B3B83"/>
    <w:rsid w:val="000B5302"/>
    <w:rsid w:val="000B5EAC"/>
    <w:rsid w:val="000B681E"/>
    <w:rsid w:val="000B685E"/>
    <w:rsid w:val="000B68D8"/>
    <w:rsid w:val="000C3FED"/>
    <w:rsid w:val="000C4C15"/>
    <w:rsid w:val="000C4EF6"/>
    <w:rsid w:val="000C7FDF"/>
    <w:rsid w:val="000D48C4"/>
    <w:rsid w:val="000D6868"/>
    <w:rsid w:val="000E1244"/>
    <w:rsid w:val="000E1C9C"/>
    <w:rsid w:val="000E2081"/>
    <w:rsid w:val="000E3515"/>
    <w:rsid w:val="000E3704"/>
    <w:rsid w:val="000E45BF"/>
    <w:rsid w:val="000F0785"/>
    <w:rsid w:val="000F0C19"/>
    <w:rsid w:val="000F346C"/>
    <w:rsid w:val="000F3790"/>
    <w:rsid w:val="000F3AE0"/>
    <w:rsid w:val="000F5566"/>
    <w:rsid w:val="000F5724"/>
    <w:rsid w:val="000F5D67"/>
    <w:rsid w:val="00103DA1"/>
    <w:rsid w:val="00105810"/>
    <w:rsid w:val="00105CAA"/>
    <w:rsid w:val="00106AB7"/>
    <w:rsid w:val="00107338"/>
    <w:rsid w:val="00111537"/>
    <w:rsid w:val="00115EA5"/>
    <w:rsid w:val="00117BA1"/>
    <w:rsid w:val="00120CF5"/>
    <w:rsid w:val="001224D8"/>
    <w:rsid w:val="00122600"/>
    <w:rsid w:val="001232B3"/>
    <w:rsid w:val="001232CD"/>
    <w:rsid w:val="00123312"/>
    <w:rsid w:val="00126748"/>
    <w:rsid w:val="00127C3F"/>
    <w:rsid w:val="00130519"/>
    <w:rsid w:val="00131F49"/>
    <w:rsid w:val="00132968"/>
    <w:rsid w:val="001338F1"/>
    <w:rsid w:val="00136D07"/>
    <w:rsid w:val="00141150"/>
    <w:rsid w:val="001448E6"/>
    <w:rsid w:val="001449AB"/>
    <w:rsid w:val="00144FD7"/>
    <w:rsid w:val="00145686"/>
    <w:rsid w:val="00147876"/>
    <w:rsid w:val="0015056B"/>
    <w:rsid w:val="00151EE6"/>
    <w:rsid w:val="001530E2"/>
    <w:rsid w:val="001569BB"/>
    <w:rsid w:val="00160183"/>
    <w:rsid w:val="001608F7"/>
    <w:rsid w:val="00163079"/>
    <w:rsid w:val="001631DB"/>
    <w:rsid w:val="001641D2"/>
    <w:rsid w:val="00165080"/>
    <w:rsid w:val="001667D4"/>
    <w:rsid w:val="00166B92"/>
    <w:rsid w:val="001707AF"/>
    <w:rsid w:val="001722D3"/>
    <w:rsid w:val="00173855"/>
    <w:rsid w:val="001738A8"/>
    <w:rsid w:val="00174C79"/>
    <w:rsid w:val="00176C0F"/>
    <w:rsid w:val="00176D79"/>
    <w:rsid w:val="00177096"/>
    <w:rsid w:val="00177C03"/>
    <w:rsid w:val="00180050"/>
    <w:rsid w:val="00180B17"/>
    <w:rsid w:val="001832B1"/>
    <w:rsid w:val="001850F2"/>
    <w:rsid w:val="00186C16"/>
    <w:rsid w:val="00187EE1"/>
    <w:rsid w:val="00191C5C"/>
    <w:rsid w:val="00192789"/>
    <w:rsid w:val="00192C80"/>
    <w:rsid w:val="001945C6"/>
    <w:rsid w:val="001947DF"/>
    <w:rsid w:val="001963C0"/>
    <w:rsid w:val="0019783D"/>
    <w:rsid w:val="00197A4F"/>
    <w:rsid w:val="001A1888"/>
    <w:rsid w:val="001A66BE"/>
    <w:rsid w:val="001B11C2"/>
    <w:rsid w:val="001B1671"/>
    <w:rsid w:val="001B18DF"/>
    <w:rsid w:val="001B1F81"/>
    <w:rsid w:val="001B351D"/>
    <w:rsid w:val="001B574B"/>
    <w:rsid w:val="001B712E"/>
    <w:rsid w:val="001C07BA"/>
    <w:rsid w:val="001C3B30"/>
    <w:rsid w:val="001C60AB"/>
    <w:rsid w:val="001D2206"/>
    <w:rsid w:val="001D2993"/>
    <w:rsid w:val="001D5003"/>
    <w:rsid w:val="001E2EA5"/>
    <w:rsid w:val="001E2ED9"/>
    <w:rsid w:val="001E42B0"/>
    <w:rsid w:val="001E47BC"/>
    <w:rsid w:val="001E5C99"/>
    <w:rsid w:val="001F5329"/>
    <w:rsid w:val="00201AB3"/>
    <w:rsid w:val="00201FC9"/>
    <w:rsid w:val="00202821"/>
    <w:rsid w:val="002038DB"/>
    <w:rsid w:val="00205522"/>
    <w:rsid w:val="002057E0"/>
    <w:rsid w:val="00205BD5"/>
    <w:rsid w:val="00214FF2"/>
    <w:rsid w:val="00215311"/>
    <w:rsid w:val="00215396"/>
    <w:rsid w:val="00215928"/>
    <w:rsid w:val="00215E12"/>
    <w:rsid w:val="00216BD4"/>
    <w:rsid w:val="002176AC"/>
    <w:rsid w:val="00217F56"/>
    <w:rsid w:val="00220905"/>
    <w:rsid w:val="00222BFB"/>
    <w:rsid w:val="00223C96"/>
    <w:rsid w:val="00224C88"/>
    <w:rsid w:val="00224E48"/>
    <w:rsid w:val="002251D2"/>
    <w:rsid w:val="00227473"/>
    <w:rsid w:val="00230151"/>
    <w:rsid w:val="002309E7"/>
    <w:rsid w:val="00230BE2"/>
    <w:rsid w:val="002339F5"/>
    <w:rsid w:val="00236105"/>
    <w:rsid w:val="002410E5"/>
    <w:rsid w:val="00242104"/>
    <w:rsid w:val="00244046"/>
    <w:rsid w:val="00245BAA"/>
    <w:rsid w:val="00246083"/>
    <w:rsid w:val="00247E4E"/>
    <w:rsid w:val="002519A9"/>
    <w:rsid w:val="002528CA"/>
    <w:rsid w:val="00252C9C"/>
    <w:rsid w:val="00253F62"/>
    <w:rsid w:val="002549D0"/>
    <w:rsid w:val="002557F0"/>
    <w:rsid w:val="00257651"/>
    <w:rsid w:val="00267109"/>
    <w:rsid w:val="00270DD7"/>
    <w:rsid w:val="00272B26"/>
    <w:rsid w:val="00274440"/>
    <w:rsid w:val="002750C3"/>
    <w:rsid w:val="00275875"/>
    <w:rsid w:val="00276048"/>
    <w:rsid w:val="0028054D"/>
    <w:rsid w:val="00281B1B"/>
    <w:rsid w:val="0028332E"/>
    <w:rsid w:val="00285747"/>
    <w:rsid w:val="00285EE5"/>
    <w:rsid w:val="002901BD"/>
    <w:rsid w:val="00290407"/>
    <w:rsid w:val="00295868"/>
    <w:rsid w:val="00296692"/>
    <w:rsid w:val="00296C8B"/>
    <w:rsid w:val="00297A11"/>
    <w:rsid w:val="002A1129"/>
    <w:rsid w:val="002A2D7F"/>
    <w:rsid w:val="002A4A8B"/>
    <w:rsid w:val="002A5209"/>
    <w:rsid w:val="002A5EF4"/>
    <w:rsid w:val="002A611B"/>
    <w:rsid w:val="002A701F"/>
    <w:rsid w:val="002A7B62"/>
    <w:rsid w:val="002B0691"/>
    <w:rsid w:val="002B2E75"/>
    <w:rsid w:val="002B370B"/>
    <w:rsid w:val="002B44F2"/>
    <w:rsid w:val="002B4819"/>
    <w:rsid w:val="002B5B27"/>
    <w:rsid w:val="002B6EA5"/>
    <w:rsid w:val="002B775B"/>
    <w:rsid w:val="002C0186"/>
    <w:rsid w:val="002C37B7"/>
    <w:rsid w:val="002C6C84"/>
    <w:rsid w:val="002D0E4C"/>
    <w:rsid w:val="002D1738"/>
    <w:rsid w:val="002D348E"/>
    <w:rsid w:val="002D5E7D"/>
    <w:rsid w:val="002E1E48"/>
    <w:rsid w:val="002F0531"/>
    <w:rsid w:val="002F1CE5"/>
    <w:rsid w:val="002F4275"/>
    <w:rsid w:val="002F43AC"/>
    <w:rsid w:val="00300942"/>
    <w:rsid w:val="00300D9E"/>
    <w:rsid w:val="00303F19"/>
    <w:rsid w:val="00305B4C"/>
    <w:rsid w:val="00307272"/>
    <w:rsid w:val="0030767B"/>
    <w:rsid w:val="00310567"/>
    <w:rsid w:val="003152CD"/>
    <w:rsid w:val="003162D8"/>
    <w:rsid w:val="00316CD9"/>
    <w:rsid w:val="0031734D"/>
    <w:rsid w:val="0032254F"/>
    <w:rsid w:val="003225FC"/>
    <w:rsid w:val="00322848"/>
    <w:rsid w:val="003228E2"/>
    <w:rsid w:val="00322FF9"/>
    <w:rsid w:val="00325B83"/>
    <w:rsid w:val="0032740E"/>
    <w:rsid w:val="00327DD0"/>
    <w:rsid w:val="003315C9"/>
    <w:rsid w:val="0033247A"/>
    <w:rsid w:val="00333F45"/>
    <w:rsid w:val="00341F53"/>
    <w:rsid w:val="0034328B"/>
    <w:rsid w:val="00345A52"/>
    <w:rsid w:val="003538FD"/>
    <w:rsid w:val="00360687"/>
    <w:rsid w:val="00360B03"/>
    <w:rsid w:val="00360C9A"/>
    <w:rsid w:val="00360F4E"/>
    <w:rsid w:val="003618A5"/>
    <w:rsid w:val="00362F49"/>
    <w:rsid w:val="00364934"/>
    <w:rsid w:val="00370C07"/>
    <w:rsid w:val="00374A2B"/>
    <w:rsid w:val="00380162"/>
    <w:rsid w:val="003805A6"/>
    <w:rsid w:val="00380BDD"/>
    <w:rsid w:val="00384C1D"/>
    <w:rsid w:val="0038694E"/>
    <w:rsid w:val="0038751E"/>
    <w:rsid w:val="00391D10"/>
    <w:rsid w:val="00397867"/>
    <w:rsid w:val="003A0FD6"/>
    <w:rsid w:val="003A1552"/>
    <w:rsid w:val="003A524D"/>
    <w:rsid w:val="003A7EAE"/>
    <w:rsid w:val="003B1298"/>
    <w:rsid w:val="003B1918"/>
    <w:rsid w:val="003B2111"/>
    <w:rsid w:val="003B2AE6"/>
    <w:rsid w:val="003B57A3"/>
    <w:rsid w:val="003C4C54"/>
    <w:rsid w:val="003C5633"/>
    <w:rsid w:val="003C5F5C"/>
    <w:rsid w:val="003C6529"/>
    <w:rsid w:val="003C7C39"/>
    <w:rsid w:val="003D1A4B"/>
    <w:rsid w:val="003D1BBE"/>
    <w:rsid w:val="003D54D7"/>
    <w:rsid w:val="003D55CA"/>
    <w:rsid w:val="003D6177"/>
    <w:rsid w:val="003D659D"/>
    <w:rsid w:val="003E29BB"/>
    <w:rsid w:val="003E7850"/>
    <w:rsid w:val="003F02C0"/>
    <w:rsid w:val="003F284F"/>
    <w:rsid w:val="003F5D1E"/>
    <w:rsid w:val="003F6018"/>
    <w:rsid w:val="00401311"/>
    <w:rsid w:val="0040362C"/>
    <w:rsid w:val="004037CB"/>
    <w:rsid w:val="0040393B"/>
    <w:rsid w:val="004062AB"/>
    <w:rsid w:val="00411FC3"/>
    <w:rsid w:val="00413944"/>
    <w:rsid w:val="00413EBA"/>
    <w:rsid w:val="00415619"/>
    <w:rsid w:val="004164D8"/>
    <w:rsid w:val="00417BCF"/>
    <w:rsid w:val="00422007"/>
    <w:rsid w:val="00424403"/>
    <w:rsid w:val="00425E07"/>
    <w:rsid w:val="0042687A"/>
    <w:rsid w:val="00427F72"/>
    <w:rsid w:val="00432920"/>
    <w:rsid w:val="004437CA"/>
    <w:rsid w:val="00444564"/>
    <w:rsid w:val="00444DFA"/>
    <w:rsid w:val="00445270"/>
    <w:rsid w:val="00446AB1"/>
    <w:rsid w:val="0044733B"/>
    <w:rsid w:val="0045006F"/>
    <w:rsid w:val="00450106"/>
    <w:rsid w:val="00450273"/>
    <w:rsid w:val="00453591"/>
    <w:rsid w:val="004535DC"/>
    <w:rsid w:val="00456C77"/>
    <w:rsid w:val="00460CB9"/>
    <w:rsid w:val="0046479E"/>
    <w:rsid w:val="00465C8E"/>
    <w:rsid w:val="004679AA"/>
    <w:rsid w:val="00473396"/>
    <w:rsid w:val="004736B0"/>
    <w:rsid w:val="00477127"/>
    <w:rsid w:val="00483EDB"/>
    <w:rsid w:val="00484AF2"/>
    <w:rsid w:val="00491886"/>
    <w:rsid w:val="004965D8"/>
    <w:rsid w:val="004A081C"/>
    <w:rsid w:val="004A0A15"/>
    <w:rsid w:val="004A5A49"/>
    <w:rsid w:val="004A6E85"/>
    <w:rsid w:val="004B0B96"/>
    <w:rsid w:val="004B2016"/>
    <w:rsid w:val="004B36DF"/>
    <w:rsid w:val="004B54DD"/>
    <w:rsid w:val="004B7022"/>
    <w:rsid w:val="004C0B7D"/>
    <w:rsid w:val="004D12B0"/>
    <w:rsid w:val="004D1A62"/>
    <w:rsid w:val="004D2786"/>
    <w:rsid w:val="004D2B1C"/>
    <w:rsid w:val="004D2C91"/>
    <w:rsid w:val="004D4342"/>
    <w:rsid w:val="004D5934"/>
    <w:rsid w:val="004D6336"/>
    <w:rsid w:val="004E3FA0"/>
    <w:rsid w:val="004E47CC"/>
    <w:rsid w:val="004E4DA4"/>
    <w:rsid w:val="004E4EAA"/>
    <w:rsid w:val="004E632E"/>
    <w:rsid w:val="004F08DC"/>
    <w:rsid w:val="004F1637"/>
    <w:rsid w:val="005030A2"/>
    <w:rsid w:val="005030CA"/>
    <w:rsid w:val="00503827"/>
    <w:rsid w:val="00510255"/>
    <w:rsid w:val="00511200"/>
    <w:rsid w:val="00512231"/>
    <w:rsid w:val="00512B1D"/>
    <w:rsid w:val="00515E21"/>
    <w:rsid w:val="005167BE"/>
    <w:rsid w:val="00517081"/>
    <w:rsid w:val="00520B2A"/>
    <w:rsid w:val="005226FE"/>
    <w:rsid w:val="00524EBE"/>
    <w:rsid w:val="0052514E"/>
    <w:rsid w:val="00525951"/>
    <w:rsid w:val="00531689"/>
    <w:rsid w:val="00531EE6"/>
    <w:rsid w:val="00533798"/>
    <w:rsid w:val="00534A07"/>
    <w:rsid w:val="00535A82"/>
    <w:rsid w:val="0053712D"/>
    <w:rsid w:val="005377D9"/>
    <w:rsid w:val="00541344"/>
    <w:rsid w:val="0054149C"/>
    <w:rsid w:val="00542FE5"/>
    <w:rsid w:val="005434B1"/>
    <w:rsid w:val="00544C65"/>
    <w:rsid w:val="005450F4"/>
    <w:rsid w:val="005500A3"/>
    <w:rsid w:val="00550B1C"/>
    <w:rsid w:val="0055126E"/>
    <w:rsid w:val="00551BB1"/>
    <w:rsid w:val="00551E2D"/>
    <w:rsid w:val="005541CA"/>
    <w:rsid w:val="00557499"/>
    <w:rsid w:val="00557F00"/>
    <w:rsid w:val="00560C4C"/>
    <w:rsid w:val="0056144A"/>
    <w:rsid w:val="00562D6A"/>
    <w:rsid w:val="00564FD7"/>
    <w:rsid w:val="005673AC"/>
    <w:rsid w:val="00567B42"/>
    <w:rsid w:val="00570896"/>
    <w:rsid w:val="00572E96"/>
    <w:rsid w:val="00572FFA"/>
    <w:rsid w:val="00573B9D"/>
    <w:rsid w:val="00575DE4"/>
    <w:rsid w:val="00577EC1"/>
    <w:rsid w:val="00582F66"/>
    <w:rsid w:val="00583700"/>
    <w:rsid w:val="00583B35"/>
    <w:rsid w:val="005848FC"/>
    <w:rsid w:val="005862C9"/>
    <w:rsid w:val="00586A4E"/>
    <w:rsid w:val="00587665"/>
    <w:rsid w:val="00595252"/>
    <w:rsid w:val="0059564E"/>
    <w:rsid w:val="00595A9F"/>
    <w:rsid w:val="00597457"/>
    <w:rsid w:val="005A2F3E"/>
    <w:rsid w:val="005A32EF"/>
    <w:rsid w:val="005A383F"/>
    <w:rsid w:val="005A3A21"/>
    <w:rsid w:val="005A7124"/>
    <w:rsid w:val="005B1C38"/>
    <w:rsid w:val="005C091D"/>
    <w:rsid w:val="005C0BD6"/>
    <w:rsid w:val="005C63B6"/>
    <w:rsid w:val="005D03AC"/>
    <w:rsid w:val="005D20BE"/>
    <w:rsid w:val="005D529C"/>
    <w:rsid w:val="005D720B"/>
    <w:rsid w:val="005E0980"/>
    <w:rsid w:val="005E2AF1"/>
    <w:rsid w:val="005E30D0"/>
    <w:rsid w:val="005E3A45"/>
    <w:rsid w:val="005E6DEA"/>
    <w:rsid w:val="005F16D0"/>
    <w:rsid w:val="005F3435"/>
    <w:rsid w:val="005F3C63"/>
    <w:rsid w:val="005F3D45"/>
    <w:rsid w:val="005F576E"/>
    <w:rsid w:val="005F73E1"/>
    <w:rsid w:val="00600271"/>
    <w:rsid w:val="00600551"/>
    <w:rsid w:val="006024C8"/>
    <w:rsid w:val="00605440"/>
    <w:rsid w:val="00605596"/>
    <w:rsid w:val="006065ED"/>
    <w:rsid w:val="006066F6"/>
    <w:rsid w:val="00607978"/>
    <w:rsid w:val="00611906"/>
    <w:rsid w:val="006143CE"/>
    <w:rsid w:val="00614A7F"/>
    <w:rsid w:val="0061571D"/>
    <w:rsid w:val="006166A4"/>
    <w:rsid w:val="00620091"/>
    <w:rsid w:val="00620167"/>
    <w:rsid w:val="006204BD"/>
    <w:rsid w:val="0062156E"/>
    <w:rsid w:val="00623A61"/>
    <w:rsid w:val="00626925"/>
    <w:rsid w:val="0063001C"/>
    <w:rsid w:val="006308B1"/>
    <w:rsid w:val="00631652"/>
    <w:rsid w:val="00632EFE"/>
    <w:rsid w:val="00633473"/>
    <w:rsid w:val="00635B57"/>
    <w:rsid w:val="0064141F"/>
    <w:rsid w:val="00644E50"/>
    <w:rsid w:val="00645321"/>
    <w:rsid w:val="00651A52"/>
    <w:rsid w:val="006549F7"/>
    <w:rsid w:val="00656174"/>
    <w:rsid w:val="006604AD"/>
    <w:rsid w:val="006610D4"/>
    <w:rsid w:val="0066143E"/>
    <w:rsid w:val="00663839"/>
    <w:rsid w:val="006654F5"/>
    <w:rsid w:val="006655E5"/>
    <w:rsid w:val="006656D0"/>
    <w:rsid w:val="0066604D"/>
    <w:rsid w:val="00671315"/>
    <w:rsid w:val="006767AB"/>
    <w:rsid w:val="006773A3"/>
    <w:rsid w:val="0068243D"/>
    <w:rsid w:val="00682FBF"/>
    <w:rsid w:val="0068341B"/>
    <w:rsid w:val="006859E0"/>
    <w:rsid w:val="006861C7"/>
    <w:rsid w:val="00686792"/>
    <w:rsid w:val="00686A48"/>
    <w:rsid w:val="006923E9"/>
    <w:rsid w:val="00696352"/>
    <w:rsid w:val="00697171"/>
    <w:rsid w:val="00697970"/>
    <w:rsid w:val="006A2B4E"/>
    <w:rsid w:val="006A5473"/>
    <w:rsid w:val="006A6175"/>
    <w:rsid w:val="006B08DF"/>
    <w:rsid w:val="006B0B94"/>
    <w:rsid w:val="006B1802"/>
    <w:rsid w:val="006B4E47"/>
    <w:rsid w:val="006C0EEF"/>
    <w:rsid w:val="006C1A57"/>
    <w:rsid w:val="006C36E1"/>
    <w:rsid w:val="006C5500"/>
    <w:rsid w:val="006C5F36"/>
    <w:rsid w:val="006C77BD"/>
    <w:rsid w:val="006D0162"/>
    <w:rsid w:val="006D0CB5"/>
    <w:rsid w:val="006D684A"/>
    <w:rsid w:val="006D693D"/>
    <w:rsid w:val="006E2456"/>
    <w:rsid w:val="006E4B1C"/>
    <w:rsid w:val="006F1748"/>
    <w:rsid w:val="006F3380"/>
    <w:rsid w:val="006F635E"/>
    <w:rsid w:val="00700024"/>
    <w:rsid w:val="00700A71"/>
    <w:rsid w:val="00700EB3"/>
    <w:rsid w:val="0070132D"/>
    <w:rsid w:val="007028A9"/>
    <w:rsid w:val="00704ABB"/>
    <w:rsid w:val="00706E5C"/>
    <w:rsid w:val="0070764D"/>
    <w:rsid w:val="007135E5"/>
    <w:rsid w:val="00713B2B"/>
    <w:rsid w:val="007141ED"/>
    <w:rsid w:val="00714789"/>
    <w:rsid w:val="0071579A"/>
    <w:rsid w:val="00717686"/>
    <w:rsid w:val="007204B5"/>
    <w:rsid w:val="00721462"/>
    <w:rsid w:val="00722DE0"/>
    <w:rsid w:val="00723792"/>
    <w:rsid w:val="00726490"/>
    <w:rsid w:val="00726A85"/>
    <w:rsid w:val="00730F5F"/>
    <w:rsid w:val="00731987"/>
    <w:rsid w:val="00732495"/>
    <w:rsid w:val="00736261"/>
    <w:rsid w:val="00742A74"/>
    <w:rsid w:val="00743CA7"/>
    <w:rsid w:val="007443E9"/>
    <w:rsid w:val="00752FDD"/>
    <w:rsid w:val="00753646"/>
    <w:rsid w:val="00754CEA"/>
    <w:rsid w:val="007616C7"/>
    <w:rsid w:val="0076291C"/>
    <w:rsid w:val="0076460D"/>
    <w:rsid w:val="00764A49"/>
    <w:rsid w:val="0076580D"/>
    <w:rsid w:val="00771967"/>
    <w:rsid w:val="0077366A"/>
    <w:rsid w:val="00774554"/>
    <w:rsid w:val="007756E1"/>
    <w:rsid w:val="00783390"/>
    <w:rsid w:val="00786AFA"/>
    <w:rsid w:val="00786C78"/>
    <w:rsid w:val="00792611"/>
    <w:rsid w:val="00795B11"/>
    <w:rsid w:val="0079657C"/>
    <w:rsid w:val="007965D9"/>
    <w:rsid w:val="00797800"/>
    <w:rsid w:val="00797CAC"/>
    <w:rsid w:val="007A3BC6"/>
    <w:rsid w:val="007A44F3"/>
    <w:rsid w:val="007A6D71"/>
    <w:rsid w:val="007B00EF"/>
    <w:rsid w:val="007B0CB4"/>
    <w:rsid w:val="007B1541"/>
    <w:rsid w:val="007B3FE2"/>
    <w:rsid w:val="007B6754"/>
    <w:rsid w:val="007C0E13"/>
    <w:rsid w:val="007C38AB"/>
    <w:rsid w:val="007D3476"/>
    <w:rsid w:val="007D5C09"/>
    <w:rsid w:val="007D7685"/>
    <w:rsid w:val="007E2C6B"/>
    <w:rsid w:val="007E3177"/>
    <w:rsid w:val="007E3C71"/>
    <w:rsid w:val="007E7BE7"/>
    <w:rsid w:val="007F1B9A"/>
    <w:rsid w:val="007F694A"/>
    <w:rsid w:val="00801C33"/>
    <w:rsid w:val="00806A12"/>
    <w:rsid w:val="008073E7"/>
    <w:rsid w:val="008079A5"/>
    <w:rsid w:val="0081185E"/>
    <w:rsid w:val="008118E4"/>
    <w:rsid w:val="0081217F"/>
    <w:rsid w:val="0081236F"/>
    <w:rsid w:val="00812DFA"/>
    <w:rsid w:val="008148FA"/>
    <w:rsid w:val="008150D3"/>
    <w:rsid w:val="00816B38"/>
    <w:rsid w:val="00822131"/>
    <w:rsid w:val="00824840"/>
    <w:rsid w:val="00825555"/>
    <w:rsid w:val="0083102B"/>
    <w:rsid w:val="00832735"/>
    <w:rsid w:val="00832A7E"/>
    <w:rsid w:val="00834934"/>
    <w:rsid w:val="008425AB"/>
    <w:rsid w:val="00842C29"/>
    <w:rsid w:val="008446F6"/>
    <w:rsid w:val="0085249E"/>
    <w:rsid w:val="00852E19"/>
    <w:rsid w:val="008576BB"/>
    <w:rsid w:val="0086037A"/>
    <w:rsid w:val="0086177D"/>
    <w:rsid w:val="0086517E"/>
    <w:rsid w:val="008724AC"/>
    <w:rsid w:val="00872DF8"/>
    <w:rsid w:val="008733F3"/>
    <w:rsid w:val="008758EA"/>
    <w:rsid w:val="00880AF2"/>
    <w:rsid w:val="00880B95"/>
    <w:rsid w:val="00880DC1"/>
    <w:rsid w:val="00880E3A"/>
    <w:rsid w:val="0088251A"/>
    <w:rsid w:val="00886D8C"/>
    <w:rsid w:val="00887012"/>
    <w:rsid w:val="00887051"/>
    <w:rsid w:val="00890425"/>
    <w:rsid w:val="00892698"/>
    <w:rsid w:val="00896F88"/>
    <w:rsid w:val="008B073E"/>
    <w:rsid w:val="008B1581"/>
    <w:rsid w:val="008B1DD3"/>
    <w:rsid w:val="008B3849"/>
    <w:rsid w:val="008B44AE"/>
    <w:rsid w:val="008B5A14"/>
    <w:rsid w:val="008B71BA"/>
    <w:rsid w:val="008B7859"/>
    <w:rsid w:val="008B7C9D"/>
    <w:rsid w:val="008C0041"/>
    <w:rsid w:val="008C22DA"/>
    <w:rsid w:val="008C29E7"/>
    <w:rsid w:val="008C3204"/>
    <w:rsid w:val="008C62E9"/>
    <w:rsid w:val="008D3B98"/>
    <w:rsid w:val="008E2BDE"/>
    <w:rsid w:val="008E3844"/>
    <w:rsid w:val="008E584D"/>
    <w:rsid w:val="008E7F72"/>
    <w:rsid w:val="008F04EB"/>
    <w:rsid w:val="008F2F21"/>
    <w:rsid w:val="009000A6"/>
    <w:rsid w:val="009004F0"/>
    <w:rsid w:val="00900DE8"/>
    <w:rsid w:val="00903033"/>
    <w:rsid w:val="0090507C"/>
    <w:rsid w:val="00905121"/>
    <w:rsid w:val="00905ADA"/>
    <w:rsid w:val="00906282"/>
    <w:rsid w:val="0090761A"/>
    <w:rsid w:val="00910A44"/>
    <w:rsid w:val="009121CF"/>
    <w:rsid w:val="0091349D"/>
    <w:rsid w:val="009139A9"/>
    <w:rsid w:val="009155AD"/>
    <w:rsid w:val="00916860"/>
    <w:rsid w:val="0091761B"/>
    <w:rsid w:val="0092094E"/>
    <w:rsid w:val="009253EF"/>
    <w:rsid w:val="009256AE"/>
    <w:rsid w:val="00927668"/>
    <w:rsid w:val="00927A2E"/>
    <w:rsid w:val="00927E41"/>
    <w:rsid w:val="00930170"/>
    <w:rsid w:val="00930B82"/>
    <w:rsid w:val="00931558"/>
    <w:rsid w:val="00932FD4"/>
    <w:rsid w:val="00933C43"/>
    <w:rsid w:val="0093589D"/>
    <w:rsid w:val="00935D17"/>
    <w:rsid w:val="0094070C"/>
    <w:rsid w:val="009433E3"/>
    <w:rsid w:val="00944870"/>
    <w:rsid w:val="00945005"/>
    <w:rsid w:val="009466C4"/>
    <w:rsid w:val="0095250C"/>
    <w:rsid w:val="009541AC"/>
    <w:rsid w:val="00955085"/>
    <w:rsid w:val="009558B3"/>
    <w:rsid w:val="0095716D"/>
    <w:rsid w:val="009607D9"/>
    <w:rsid w:val="00960C4A"/>
    <w:rsid w:val="009622CE"/>
    <w:rsid w:val="0096245D"/>
    <w:rsid w:val="009638ED"/>
    <w:rsid w:val="00964DAD"/>
    <w:rsid w:val="00966510"/>
    <w:rsid w:val="009679A6"/>
    <w:rsid w:val="00970C1B"/>
    <w:rsid w:val="00971359"/>
    <w:rsid w:val="00971D94"/>
    <w:rsid w:val="00973013"/>
    <w:rsid w:val="009757D5"/>
    <w:rsid w:val="00981A67"/>
    <w:rsid w:val="00984D60"/>
    <w:rsid w:val="009857EA"/>
    <w:rsid w:val="00985CE6"/>
    <w:rsid w:val="00987B5A"/>
    <w:rsid w:val="00990258"/>
    <w:rsid w:val="009925F7"/>
    <w:rsid w:val="009945C5"/>
    <w:rsid w:val="00994A11"/>
    <w:rsid w:val="00994D54"/>
    <w:rsid w:val="00994EB5"/>
    <w:rsid w:val="0099549C"/>
    <w:rsid w:val="009970D2"/>
    <w:rsid w:val="00997407"/>
    <w:rsid w:val="009A1D40"/>
    <w:rsid w:val="009A5623"/>
    <w:rsid w:val="009A7F9B"/>
    <w:rsid w:val="009B1054"/>
    <w:rsid w:val="009B12C0"/>
    <w:rsid w:val="009B1B57"/>
    <w:rsid w:val="009B326D"/>
    <w:rsid w:val="009B4F0C"/>
    <w:rsid w:val="009C0BA1"/>
    <w:rsid w:val="009C108E"/>
    <w:rsid w:val="009C12D2"/>
    <w:rsid w:val="009C3D18"/>
    <w:rsid w:val="009C59EF"/>
    <w:rsid w:val="009C6472"/>
    <w:rsid w:val="009C69EE"/>
    <w:rsid w:val="009D566E"/>
    <w:rsid w:val="009E149A"/>
    <w:rsid w:val="009E2D21"/>
    <w:rsid w:val="009F1F4D"/>
    <w:rsid w:val="009F4A32"/>
    <w:rsid w:val="009F5772"/>
    <w:rsid w:val="009F751D"/>
    <w:rsid w:val="00A008C3"/>
    <w:rsid w:val="00A013BB"/>
    <w:rsid w:val="00A0170F"/>
    <w:rsid w:val="00A040B8"/>
    <w:rsid w:val="00A04285"/>
    <w:rsid w:val="00A04CA7"/>
    <w:rsid w:val="00A07109"/>
    <w:rsid w:val="00A07D96"/>
    <w:rsid w:val="00A11C9E"/>
    <w:rsid w:val="00A12192"/>
    <w:rsid w:val="00A130B2"/>
    <w:rsid w:val="00A13ECA"/>
    <w:rsid w:val="00A145EB"/>
    <w:rsid w:val="00A14B75"/>
    <w:rsid w:val="00A17B60"/>
    <w:rsid w:val="00A20694"/>
    <w:rsid w:val="00A23F61"/>
    <w:rsid w:val="00A249CF"/>
    <w:rsid w:val="00A30BAE"/>
    <w:rsid w:val="00A313FC"/>
    <w:rsid w:val="00A343F2"/>
    <w:rsid w:val="00A34732"/>
    <w:rsid w:val="00A34F57"/>
    <w:rsid w:val="00A3582D"/>
    <w:rsid w:val="00A372DF"/>
    <w:rsid w:val="00A41C50"/>
    <w:rsid w:val="00A44562"/>
    <w:rsid w:val="00A5002F"/>
    <w:rsid w:val="00A5309F"/>
    <w:rsid w:val="00A552C8"/>
    <w:rsid w:val="00A57D48"/>
    <w:rsid w:val="00A63281"/>
    <w:rsid w:val="00A64359"/>
    <w:rsid w:val="00A644E9"/>
    <w:rsid w:val="00A672AD"/>
    <w:rsid w:val="00A6776B"/>
    <w:rsid w:val="00A713E0"/>
    <w:rsid w:val="00A72E36"/>
    <w:rsid w:val="00A73187"/>
    <w:rsid w:val="00A80150"/>
    <w:rsid w:val="00A815EF"/>
    <w:rsid w:val="00A8167D"/>
    <w:rsid w:val="00A81CE8"/>
    <w:rsid w:val="00A83AF1"/>
    <w:rsid w:val="00A84096"/>
    <w:rsid w:val="00A87246"/>
    <w:rsid w:val="00A9102E"/>
    <w:rsid w:val="00A9120B"/>
    <w:rsid w:val="00A94252"/>
    <w:rsid w:val="00A944C2"/>
    <w:rsid w:val="00A96238"/>
    <w:rsid w:val="00A96995"/>
    <w:rsid w:val="00A97528"/>
    <w:rsid w:val="00AA235F"/>
    <w:rsid w:val="00AA262C"/>
    <w:rsid w:val="00AA3318"/>
    <w:rsid w:val="00AA3F01"/>
    <w:rsid w:val="00AA5932"/>
    <w:rsid w:val="00AA5DB0"/>
    <w:rsid w:val="00AA662E"/>
    <w:rsid w:val="00AB1062"/>
    <w:rsid w:val="00AB5863"/>
    <w:rsid w:val="00AB6FA3"/>
    <w:rsid w:val="00AC1A0D"/>
    <w:rsid w:val="00AC25D5"/>
    <w:rsid w:val="00AC3FFE"/>
    <w:rsid w:val="00AC52A3"/>
    <w:rsid w:val="00AC551B"/>
    <w:rsid w:val="00AC6A66"/>
    <w:rsid w:val="00AC77C2"/>
    <w:rsid w:val="00AD103E"/>
    <w:rsid w:val="00AD1062"/>
    <w:rsid w:val="00AD3104"/>
    <w:rsid w:val="00AD3973"/>
    <w:rsid w:val="00AD7591"/>
    <w:rsid w:val="00AE1D07"/>
    <w:rsid w:val="00AE1D76"/>
    <w:rsid w:val="00AE2F6F"/>
    <w:rsid w:val="00AE32B9"/>
    <w:rsid w:val="00AE5F72"/>
    <w:rsid w:val="00AE61AE"/>
    <w:rsid w:val="00AE718A"/>
    <w:rsid w:val="00AF2A1D"/>
    <w:rsid w:val="00AF4BD5"/>
    <w:rsid w:val="00AF4DB3"/>
    <w:rsid w:val="00AF73E2"/>
    <w:rsid w:val="00AF7479"/>
    <w:rsid w:val="00B01620"/>
    <w:rsid w:val="00B047E6"/>
    <w:rsid w:val="00B07701"/>
    <w:rsid w:val="00B11839"/>
    <w:rsid w:val="00B16341"/>
    <w:rsid w:val="00B16F20"/>
    <w:rsid w:val="00B35DA6"/>
    <w:rsid w:val="00B36122"/>
    <w:rsid w:val="00B40CC8"/>
    <w:rsid w:val="00B40F1C"/>
    <w:rsid w:val="00B4137D"/>
    <w:rsid w:val="00B43C11"/>
    <w:rsid w:val="00B43F00"/>
    <w:rsid w:val="00B4751C"/>
    <w:rsid w:val="00B530CD"/>
    <w:rsid w:val="00B54A41"/>
    <w:rsid w:val="00B54F7E"/>
    <w:rsid w:val="00B56B9E"/>
    <w:rsid w:val="00B57BFE"/>
    <w:rsid w:val="00B57E24"/>
    <w:rsid w:val="00B61576"/>
    <w:rsid w:val="00B616E6"/>
    <w:rsid w:val="00B61EFB"/>
    <w:rsid w:val="00B65042"/>
    <w:rsid w:val="00B67112"/>
    <w:rsid w:val="00B67CF1"/>
    <w:rsid w:val="00B67EA5"/>
    <w:rsid w:val="00B706B0"/>
    <w:rsid w:val="00B72796"/>
    <w:rsid w:val="00B73C96"/>
    <w:rsid w:val="00B752F0"/>
    <w:rsid w:val="00B7604F"/>
    <w:rsid w:val="00B772E9"/>
    <w:rsid w:val="00B84C14"/>
    <w:rsid w:val="00B85B1C"/>
    <w:rsid w:val="00B85D81"/>
    <w:rsid w:val="00B85FD6"/>
    <w:rsid w:val="00B87604"/>
    <w:rsid w:val="00B916A7"/>
    <w:rsid w:val="00B92A13"/>
    <w:rsid w:val="00B934F7"/>
    <w:rsid w:val="00B9488A"/>
    <w:rsid w:val="00B94A35"/>
    <w:rsid w:val="00B94CFA"/>
    <w:rsid w:val="00B95516"/>
    <w:rsid w:val="00B97265"/>
    <w:rsid w:val="00BA2720"/>
    <w:rsid w:val="00BA38A9"/>
    <w:rsid w:val="00BA3C85"/>
    <w:rsid w:val="00BA5E63"/>
    <w:rsid w:val="00BA62E6"/>
    <w:rsid w:val="00BB2C07"/>
    <w:rsid w:val="00BB4131"/>
    <w:rsid w:val="00BB6118"/>
    <w:rsid w:val="00BC0B34"/>
    <w:rsid w:val="00BC189A"/>
    <w:rsid w:val="00BC5DCF"/>
    <w:rsid w:val="00BD0CC5"/>
    <w:rsid w:val="00BD2B03"/>
    <w:rsid w:val="00BD3A14"/>
    <w:rsid w:val="00BD4FB9"/>
    <w:rsid w:val="00BD6146"/>
    <w:rsid w:val="00BE1F44"/>
    <w:rsid w:val="00BE2244"/>
    <w:rsid w:val="00BE446D"/>
    <w:rsid w:val="00BE531E"/>
    <w:rsid w:val="00BE5F3F"/>
    <w:rsid w:val="00BE6881"/>
    <w:rsid w:val="00BE7117"/>
    <w:rsid w:val="00BE7F5A"/>
    <w:rsid w:val="00BF036B"/>
    <w:rsid w:val="00BF0498"/>
    <w:rsid w:val="00BF2F49"/>
    <w:rsid w:val="00BF3ED6"/>
    <w:rsid w:val="00BF4EA5"/>
    <w:rsid w:val="00BF758E"/>
    <w:rsid w:val="00C00428"/>
    <w:rsid w:val="00C0240B"/>
    <w:rsid w:val="00C03FDE"/>
    <w:rsid w:val="00C046A8"/>
    <w:rsid w:val="00C05109"/>
    <w:rsid w:val="00C05E84"/>
    <w:rsid w:val="00C06EEF"/>
    <w:rsid w:val="00C0783F"/>
    <w:rsid w:val="00C10F4D"/>
    <w:rsid w:val="00C12AC3"/>
    <w:rsid w:val="00C1322C"/>
    <w:rsid w:val="00C13CB6"/>
    <w:rsid w:val="00C148BA"/>
    <w:rsid w:val="00C159E8"/>
    <w:rsid w:val="00C20880"/>
    <w:rsid w:val="00C2633F"/>
    <w:rsid w:val="00C2791F"/>
    <w:rsid w:val="00C37D50"/>
    <w:rsid w:val="00C41291"/>
    <w:rsid w:val="00C4191D"/>
    <w:rsid w:val="00C44FA9"/>
    <w:rsid w:val="00C46B08"/>
    <w:rsid w:val="00C46EA7"/>
    <w:rsid w:val="00C50D27"/>
    <w:rsid w:val="00C51F83"/>
    <w:rsid w:val="00C542DF"/>
    <w:rsid w:val="00C54BB8"/>
    <w:rsid w:val="00C56D45"/>
    <w:rsid w:val="00C57A33"/>
    <w:rsid w:val="00C6166B"/>
    <w:rsid w:val="00C626BA"/>
    <w:rsid w:val="00C62E8B"/>
    <w:rsid w:val="00C6415B"/>
    <w:rsid w:val="00C64F84"/>
    <w:rsid w:val="00C66D94"/>
    <w:rsid w:val="00C7676A"/>
    <w:rsid w:val="00C80513"/>
    <w:rsid w:val="00C82AB6"/>
    <w:rsid w:val="00C82FA3"/>
    <w:rsid w:val="00C83DD2"/>
    <w:rsid w:val="00C84787"/>
    <w:rsid w:val="00C84F54"/>
    <w:rsid w:val="00C92CAD"/>
    <w:rsid w:val="00C936D6"/>
    <w:rsid w:val="00C938F6"/>
    <w:rsid w:val="00C94160"/>
    <w:rsid w:val="00C94F5E"/>
    <w:rsid w:val="00C96B47"/>
    <w:rsid w:val="00C9767B"/>
    <w:rsid w:val="00CA0FB8"/>
    <w:rsid w:val="00CA4915"/>
    <w:rsid w:val="00CA507D"/>
    <w:rsid w:val="00CB2C55"/>
    <w:rsid w:val="00CB3B5D"/>
    <w:rsid w:val="00CB65C8"/>
    <w:rsid w:val="00CB6D06"/>
    <w:rsid w:val="00CB7039"/>
    <w:rsid w:val="00CB72BE"/>
    <w:rsid w:val="00CC08BE"/>
    <w:rsid w:val="00CC3A29"/>
    <w:rsid w:val="00CC54AC"/>
    <w:rsid w:val="00CD0533"/>
    <w:rsid w:val="00CD175C"/>
    <w:rsid w:val="00CD282D"/>
    <w:rsid w:val="00CD2A08"/>
    <w:rsid w:val="00CD3E2B"/>
    <w:rsid w:val="00CD7418"/>
    <w:rsid w:val="00CD7EF6"/>
    <w:rsid w:val="00CE2DDE"/>
    <w:rsid w:val="00CE3133"/>
    <w:rsid w:val="00CE41D4"/>
    <w:rsid w:val="00CE5B8E"/>
    <w:rsid w:val="00CE5CCE"/>
    <w:rsid w:val="00CE6FC9"/>
    <w:rsid w:val="00CF1334"/>
    <w:rsid w:val="00CF334B"/>
    <w:rsid w:val="00CF5596"/>
    <w:rsid w:val="00CF5BE0"/>
    <w:rsid w:val="00CF6A02"/>
    <w:rsid w:val="00D002D7"/>
    <w:rsid w:val="00D00373"/>
    <w:rsid w:val="00D01E4D"/>
    <w:rsid w:val="00D0319A"/>
    <w:rsid w:val="00D1071A"/>
    <w:rsid w:val="00D11730"/>
    <w:rsid w:val="00D12DC6"/>
    <w:rsid w:val="00D1516C"/>
    <w:rsid w:val="00D1597B"/>
    <w:rsid w:val="00D1603A"/>
    <w:rsid w:val="00D16AD7"/>
    <w:rsid w:val="00D17EAC"/>
    <w:rsid w:val="00D200FC"/>
    <w:rsid w:val="00D20839"/>
    <w:rsid w:val="00D2102E"/>
    <w:rsid w:val="00D24CDF"/>
    <w:rsid w:val="00D266AE"/>
    <w:rsid w:val="00D302C8"/>
    <w:rsid w:val="00D3224B"/>
    <w:rsid w:val="00D36829"/>
    <w:rsid w:val="00D37636"/>
    <w:rsid w:val="00D45207"/>
    <w:rsid w:val="00D45831"/>
    <w:rsid w:val="00D46611"/>
    <w:rsid w:val="00D46B4B"/>
    <w:rsid w:val="00D4721B"/>
    <w:rsid w:val="00D4761A"/>
    <w:rsid w:val="00D47A20"/>
    <w:rsid w:val="00D50123"/>
    <w:rsid w:val="00D51655"/>
    <w:rsid w:val="00D53404"/>
    <w:rsid w:val="00D54046"/>
    <w:rsid w:val="00D64BCA"/>
    <w:rsid w:val="00D64E26"/>
    <w:rsid w:val="00D710EE"/>
    <w:rsid w:val="00D72779"/>
    <w:rsid w:val="00D72F76"/>
    <w:rsid w:val="00D74317"/>
    <w:rsid w:val="00D812C7"/>
    <w:rsid w:val="00D82E33"/>
    <w:rsid w:val="00D83A7B"/>
    <w:rsid w:val="00D85F9C"/>
    <w:rsid w:val="00D86C67"/>
    <w:rsid w:val="00D86E11"/>
    <w:rsid w:val="00D87CA8"/>
    <w:rsid w:val="00D9043D"/>
    <w:rsid w:val="00D913B4"/>
    <w:rsid w:val="00D925E4"/>
    <w:rsid w:val="00D93853"/>
    <w:rsid w:val="00D93DA5"/>
    <w:rsid w:val="00D95A50"/>
    <w:rsid w:val="00D95E54"/>
    <w:rsid w:val="00D962AD"/>
    <w:rsid w:val="00D969ED"/>
    <w:rsid w:val="00D96EA8"/>
    <w:rsid w:val="00DA0870"/>
    <w:rsid w:val="00DA13B0"/>
    <w:rsid w:val="00DA2D4B"/>
    <w:rsid w:val="00DA367C"/>
    <w:rsid w:val="00DA4210"/>
    <w:rsid w:val="00DA4C1C"/>
    <w:rsid w:val="00DA5BB4"/>
    <w:rsid w:val="00DA789C"/>
    <w:rsid w:val="00DA7B6F"/>
    <w:rsid w:val="00DB33FA"/>
    <w:rsid w:val="00DB4A51"/>
    <w:rsid w:val="00DB6E54"/>
    <w:rsid w:val="00DC3BF4"/>
    <w:rsid w:val="00DC47DB"/>
    <w:rsid w:val="00DC6C86"/>
    <w:rsid w:val="00DC6E9D"/>
    <w:rsid w:val="00DD1F37"/>
    <w:rsid w:val="00DD26A4"/>
    <w:rsid w:val="00DD7E1E"/>
    <w:rsid w:val="00DE129D"/>
    <w:rsid w:val="00DE289F"/>
    <w:rsid w:val="00DE28DF"/>
    <w:rsid w:val="00DE399D"/>
    <w:rsid w:val="00DE62FE"/>
    <w:rsid w:val="00DE7618"/>
    <w:rsid w:val="00DF0454"/>
    <w:rsid w:val="00DF0D6C"/>
    <w:rsid w:val="00DF0F13"/>
    <w:rsid w:val="00DF1512"/>
    <w:rsid w:val="00DF79B8"/>
    <w:rsid w:val="00E01979"/>
    <w:rsid w:val="00E05465"/>
    <w:rsid w:val="00E06CE0"/>
    <w:rsid w:val="00E126FE"/>
    <w:rsid w:val="00E16803"/>
    <w:rsid w:val="00E203E4"/>
    <w:rsid w:val="00E20E38"/>
    <w:rsid w:val="00E215F4"/>
    <w:rsid w:val="00E22927"/>
    <w:rsid w:val="00E22E9C"/>
    <w:rsid w:val="00E362BE"/>
    <w:rsid w:val="00E36590"/>
    <w:rsid w:val="00E366B9"/>
    <w:rsid w:val="00E4234D"/>
    <w:rsid w:val="00E45510"/>
    <w:rsid w:val="00E4743A"/>
    <w:rsid w:val="00E474FB"/>
    <w:rsid w:val="00E507EE"/>
    <w:rsid w:val="00E51490"/>
    <w:rsid w:val="00E53608"/>
    <w:rsid w:val="00E54B4B"/>
    <w:rsid w:val="00E57421"/>
    <w:rsid w:val="00E57CE4"/>
    <w:rsid w:val="00E609B6"/>
    <w:rsid w:val="00E6286C"/>
    <w:rsid w:val="00E64411"/>
    <w:rsid w:val="00E6677B"/>
    <w:rsid w:val="00E707B5"/>
    <w:rsid w:val="00E70F1A"/>
    <w:rsid w:val="00E72958"/>
    <w:rsid w:val="00E72E80"/>
    <w:rsid w:val="00E73554"/>
    <w:rsid w:val="00E77D3A"/>
    <w:rsid w:val="00E81FCA"/>
    <w:rsid w:val="00E82363"/>
    <w:rsid w:val="00E82E14"/>
    <w:rsid w:val="00E8339D"/>
    <w:rsid w:val="00E84069"/>
    <w:rsid w:val="00E90D1D"/>
    <w:rsid w:val="00E927F3"/>
    <w:rsid w:val="00E92999"/>
    <w:rsid w:val="00E9449F"/>
    <w:rsid w:val="00EA45F9"/>
    <w:rsid w:val="00EA6191"/>
    <w:rsid w:val="00EA7E52"/>
    <w:rsid w:val="00EB1005"/>
    <w:rsid w:val="00EB4ADB"/>
    <w:rsid w:val="00EB5931"/>
    <w:rsid w:val="00EB678F"/>
    <w:rsid w:val="00EB6D89"/>
    <w:rsid w:val="00EB783E"/>
    <w:rsid w:val="00EB7F27"/>
    <w:rsid w:val="00EC02F3"/>
    <w:rsid w:val="00EC51D5"/>
    <w:rsid w:val="00EC5B57"/>
    <w:rsid w:val="00EC6343"/>
    <w:rsid w:val="00EC6DD5"/>
    <w:rsid w:val="00ED79D1"/>
    <w:rsid w:val="00EE19AD"/>
    <w:rsid w:val="00EE5D91"/>
    <w:rsid w:val="00EF5E8F"/>
    <w:rsid w:val="00F00962"/>
    <w:rsid w:val="00F00F28"/>
    <w:rsid w:val="00F02524"/>
    <w:rsid w:val="00F026E6"/>
    <w:rsid w:val="00F03C16"/>
    <w:rsid w:val="00F04578"/>
    <w:rsid w:val="00F04785"/>
    <w:rsid w:val="00F04C34"/>
    <w:rsid w:val="00F053FF"/>
    <w:rsid w:val="00F060DB"/>
    <w:rsid w:val="00F0648B"/>
    <w:rsid w:val="00F077B2"/>
    <w:rsid w:val="00F07C47"/>
    <w:rsid w:val="00F1090B"/>
    <w:rsid w:val="00F10E26"/>
    <w:rsid w:val="00F11305"/>
    <w:rsid w:val="00F116B5"/>
    <w:rsid w:val="00F12443"/>
    <w:rsid w:val="00F1427C"/>
    <w:rsid w:val="00F160AD"/>
    <w:rsid w:val="00F1624D"/>
    <w:rsid w:val="00F16703"/>
    <w:rsid w:val="00F16D63"/>
    <w:rsid w:val="00F23E92"/>
    <w:rsid w:val="00F248D2"/>
    <w:rsid w:val="00F25A20"/>
    <w:rsid w:val="00F27158"/>
    <w:rsid w:val="00F30917"/>
    <w:rsid w:val="00F31392"/>
    <w:rsid w:val="00F326D9"/>
    <w:rsid w:val="00F33C73"/>
    <w:rsid w:val="00F4331B"/>
    <w:rsid w:val="00F438BC"/>
    <w:rsid w:val="00F4535E"/>
    <w:rsid w:val="00F45D21"/>
    <w:rsid w:val="00F46505"/>
    <w:rsid w:val="00F467A8"/>
    <w:rsid w:val="00F46DF0"/>
    <w:rsid w:val="00F50EFA"/>
    <w:rsid w:val="00F51238"/>
    <w:rsid w:val="00F5288D"/>
    <w:rsid w:val="00F537EC"/>
    <w:rsid w:val="00F5390D"/>
    <w:rsid w:val="00F55461"/>
    <w:rsid w:val="00F56FE1"/>
    <w:rsid w:val="00F57E76"/>
    <w:rsid w:val="00F60985"/>
    <w:rsid w:val="00F610C2"/>
    <w:rsid w:val="00F61B9A"/>
    <w:rsid w:val="00F62CED"/>
    <w:rsid w:val="00F7126E"/>
    <w:rsid w:val="00F72E58"/>
    <w:rsid w:val="00F734C0"/>
    <w:rsid w:val="00F749CF"/>
    <w:rsid w:val="00F77DE8"/>
    <w:rsid w:val="00F8212B"/>
    <w:rsid w:val="00F85775"/>
    <w:rsid w:val="00F86391"/>
    <w:rsid w:val="00F911D6"/>
    <w:rsid w:val="00F94C6C"/>
    <w:rsid w:val="00FA1913"/>
    <w:rsid w:val="00FA2D02"/>
    <w:rsid w:val="00FA3944"/>
    <w:rsid w:val="00FA4D7C"/>
    <w:rsid w:val="00FA5E8A"/>
    <w:rsid w:val="00FB0B79"/>
    <w:rsid w:val="00FB26EC"/>
    <w:rsid w:val="00FB3244"/>
    <w:rsid w:val="00FB4F73"/>
    <w:rsid w:val="00FB6237"/>
    <w:rsid w:val="00FB6E01"/>
    <w:rsid w:val="00FC064C"/>
    <w:rsid w:val="00FC09CA"/>
    <w:rsid w:val="00FC3EF5"/>
    <w:rsid w:val="00FD0F59"/>
    <w:rsid w:val="00FD5326"/>
    <w:rsid w:val="00FD77AF"/>
    <w:rsid w:val="00FD7ABE"/>
    <w:rsid w:val="00FD7F06"/>
    <w:rsid w:val="00FE108B"/>
    <w:rsid w:val="00FE3E71"/>
    <w:rsid w:val="00FE48E8"/>
    <w:rsid w:val="00FE52A9"/>
    <w:rsid w:val="00FE56A9"/>
    <w:rsid w:val="00FF2988"/>
    <w:rsid w:val="00FF5155"/>
    <w:rsid w:val="024F977C"/>
    <w:rsid w:val="0252C83E"/>
    <w:rsid w:val="02CEE7AB"/>
    <w:rsid w:val="031C6D95"/>
    <w:rsid w:val="032DB82D"/>
    <w:rsid w:val="035CF733"/>
    <w:rsid w:val="037EAB26"/>
    <w:rsid w:val="04690162"/>
    <w:rsid w:val="05295272"/>
    <w:rsid w:val="052A2820"/>
    <w:rsid w:val="055A8646"/>
    <w:rsid w:val="061D90BF"/>
    <w:rsid w:val="06CF2E05"/>
    <w:rsid w:val="07165F5B"/>
    <w:rsid w:val="073856F9"/>
    <w:rsid w:val="0758E648"/>
    <w:rsid w:val="0787D1BD"/>
    <w:rsid w:val="07F250AD"/>
    <w:rsid w:val="085093E0"/>
    <w:rsid w:val="0853D8FE"/>
    <w:rsid w:val="0924FDA2"/>
    <w:rsid w:val="09C91316"/>
    <w:rsid w:val="09D7053A"/>
    <w:rsid w:val="09ED6991"/>
    <w:rsid w:val="0AF37715"/>
    <w:rsid w:val="0BC0DAE9"/>
    <w:rsid w:val="0BF4F37D"/>
    <w:rsid w:val="0CDE9B0C"/>
    <w:rsid w:val="0D75B279"/>
    <w:rsid w:val="0DA16D18"/>
    <w:rsid w:val="0E66BFF4"/>
    <w:rsid w:val="0F75FC49"/>
    <w:rsid w:val="0FE5DFEF"/>
    <w:rsid w:val="0FEE411F"/>
    <w:rsid w:val="1081B1B7"/>
    <w:rsid w:val="11B127B2"/>
    <w:rsid w:val="123A81C9"/>
    <w:rsid w:val="12400864"/>
    <w:rsid w:val="129F0788"/>
    <w:rsid w:val="1597675C"/>
    <w:rsid w:val="159CDD82"/>
    <w:rsid w:val="161F4A9F"/>
    <w:rsid w:val="166ABBFD"/>
    <w:rsid w:val="1681DF3F"/>
    <w:rsid w:val="169B6822"/>
    <w:rsid w:val="16B7C9DE"/>
    <w:rsid w:val="1844531B"/>
    <w:rsid w:val="18F735F4"/>
    <w:rsid w:val="194D6AD1"/>
    <w:rsid w:val="19779487"/>
    <w:rsid w:val="197D9948"/>
    <w:rsid w:val="19EDCA4D"/>
    <w:rsid w:val="1A22AD03"/>
    <w:rsid w:val="1A99E904"/>
    <w:rsid w:val="1BACB6BA"/>
    <w:rsid w:val="1BECCE93"/>
    <w:rsid w:val="1C32A8D2"/>
    <w:rsid w:val="1CCC175B"/>
    <w:rsid w:val="1E3DB077"/>
    <w:rsid w:val="1E57E769"/>
    <w:rsid w:val="1E81264F"/>
    <w:rsid w:val="1EC93923"/>
    <w:rsid w:val="1F253F30"/>
    <w:rsid w:val="20A8CFF9"/>
    <w:rsid w:val="20E6FBDE"/>
    <w:rsid w:val="2105F633"/>
    <w:rsid w:val="2120B7F5"/>
    <w:rsid w:val="22C8BB0C"/>
    <w:rsid w:val="22EA7141"/>
    <w:rsid w:val="2320FABB"/>
    <w:rsid w:val="23845ABD"/>
    <w:rsid w:val="2495842F"/>
    <w:rsid w:val="277A3F43"/>
    <w:rsid w:val="28F261C1"/>
    <w:rsid w:val="2921FA0F"/>
    <w:rsid w:val="29346EC5"/>
    <w:rsid w:val="293A9AF1"/>
    <w:rsid w:val="295540A6"/>
    <w:rsid w:val="29693429"/>
    <w:rsid w:val="29B0756A"/>
    <w:rsid w:val="29BCCBC9"/>
    <w:rsid w:val="29D26895"/>
    <w:rsid w:val="2AB26AAE"/>
    <w:rsid w:val="2BA4B315"/>
    <w:rsid w:val="2BE6DCF4"/>
    <w:rsid w:val="2CA304D2"/>
    <w:rsid w:val="2D8AA7EB"/>
    <w:rsid w:val="2D94FFFC"/>
    <w:rsid w:val="2E165A1B"/>
    <w:rsid w:val="2E581113"/>
    <w:rsid w:val="2F985F7E"/>
    <w:rsid w:val="2FD64639"/>
    <w:rsid w:val="302F0742"/>
    <w:rsid w:val="307B2EC7"/>
    <w:rsid w:val="30B0692E"/>
    <w:rsid w:val="31324376"/>
    <w:rsid w:val="31A76D7A"/>
    <w:rsid w:val="32BAB4D6"/>
    <w:rsid w:val="331E8947"/>
    <w:rsid w:val="33DA7F17"/>
    <w:rsid w:val="33DD5F5C"/>
    <w:rsid w:val="33DF33FC"/>
    <w:rsid w:val="343DB0F6"/>
    <w:rsid w:val="34CF3109"/>
    <w:rsid w:val="3592094A"/>
    <w:rsid w:val="35E5B17C"/>
    <w:rsid w:val="367B6EF6"/>
    <w:rsid w:val="383F01E0"/>
    <w:rsid w:val="3A561B63"/>
    <w:rsid w:val="3A5925CA"/>
    <w:rsid w:val="3A974629"/>
    <w:rsid w:val="3B557FB3"/>
    <w:rsid w:val="3B74455F"/>
    <w:rsid w:val="3B985E2B"/>
    <w:rsid w:val="3BCA9F6D"/>
    <w:rsid w:val="3C03C593"/>
    <w:rsid w:val="3C298F02"/>
    <w:rsid w:val="3C368FC6"/>
    <w:rsid w:val="3C7F7F37"/>
    <w:rsid w:val="3C978022"/>
    <w:rsid w:val="3CA2A099"/>
    <w:rsid w:val="3D6DC14B"/>
    <w:rsid w:val="3EA09FC7"/>
    <w:rsid w:val="3F0B379F"/>
    <w:rsid w:val="43FE25EF"/>
    <w:rsid w:val="44DF0278"/>
    <w:rsid w:val="45366AA3"/>
    <w:rsid w:val="47B7E214"/>
    <w:rsid w:val="48B9FA39"/>
    <w:rsid w:val="49107B5E"/>
    <w:rsid w:val="4A512FFC"/>
    <w:rsid w:val="4AEA7186"/>
    <w:rsid w:val="4BC25555"/>
    <w:rsid w:val="4EA0C792"/>
    <w:rsid w:val="4ED3E769"/>
    <w:rsid w:val="4F106DF6"/>
    <w:rsid w:val="4F417C46"/>
    <w:rsid w:val="50BC46D0"/>
    <w:rsid w:val="50C70D9A"/>
    <w:rsid w:val="50C75E24"/>
    <w:rsid w:val="5103EAC5"/>
    <w:rsid w:val="5288667D"/>
    <w:rsid w:val="53DE42BE"/>
    <w:rsid w:val="53FCACB9"/>
    <w:rsid w:val="541233F0"/>
    <w:rsid w:val="54E19E1E"/>
    <w:rsid w:val="54E62B6A"/>
    <w:rsid w:val="553E8471"/>
    <w:rsid w:val="5687E120"/>
    <w:rsid w:val="568AA1E3"/>
    <w:rsid w:val="585E79AE"/>
    <w:rsid w:val="5937A0E6"/>
    <w:rsid w:val="5B4D03FF"/>
    <w:rsid w:val="5C6489E1"/>
    <w:rsid w:val="5C7BCEEF"/>
    <w:rsid w:val="5F135216"/>
    <w:rsid w:val="600E97A0"/>
    <w:rsid w:val="610F96F1"/>
    <w:rsid w:val="61719EED"/>
    <w:rsid w:val="621C3B7E"/>
    <w:rsid w:val="6355FA4B"/>
    <w:rsid w:val="638E91B6"/>
    <w:rsid w:val="6394939E"/>
    <w:rsid w:val="63B0DD65"/>
    <w:rsid w:val="63B476B9"/>
    <w:rsid w:val="641AEE66"/>
    <w:rsid w:val="6565EB52"/>
    <w:rsid w:val="65E71780"/>
    <w:rsid w:val="671E60AA"/>
    <w:rsid w:val="672AE82E"/>
    <w:rsid w:val="6867A6CC"/>
    <w:rsid w:val="6A2E3AA0"/>
    <w:rsid w:val="6A4C89AE"/>
    <w:rsid w:val="6AAE11C6"/>
    <w:rsid w:val="6AB6AE0A"/>
    <w:rsid w:val="6ACF408B"/>
    <w:rsid w:val="6C614A53"/>
    <w:rsid w:val="6CAE233C"/>
    <w:rsid w:val="6D6D8E5D"/>
    <w:rsid w:val="6E5CA4F9"/>
    <w:rsid w:val="6E6FC7E1"/>
    <w:rsid w:val="6E811B9A"/>
    <w:rsid w:val="6EB72C79"/>
    <w:rsid w:val="6F516E04"/>
    <w:rsid w:val="6F599ADF"/>
    <w:rsid w:val="706DFDC6"/>
    <w:rsid w:val="70BEA0C8"/>
    <w:rsid w:val="70D504E3"/>
    <w:rsid w:val="717614A0"/>
    <w:rsid w:val="717BC51C"/>
    <w:rsid w:val="7180CB9A"/>
    <w:rsid w:val="72B4E535"/>
    <w:rsid w:val="72B9BF86"/>
    <w:rsid w:val="72BAAB5E"/>
    <w:rsid w:val="740D3D8D"/>
    <w:rsid w:val="743A612E"/>
    <w:rsid w:val="748E2DBD"/>
    <w:rsid w:val="7555DA09"/>
    <w:rsid w:val="756002AB"/>
    <w:rsid w:val="75A13706"/>
    <w:rsid w:val="75E71376"/>
    <w:rsid w:val="7672F6DF"/>
    <w:rsid w:val="76770B22"/>
    <w:rsid w:val="779F996B"/>
    <w:rsid w:val="77D6E5D0"/>
    <w:rsid w:val="7880538E"/>
    <w:rsid w:val="78BF5749"/>
    <w:rsid w:val="79D0DB69"/>
    <w:rsid w:val="7A54E23E"/>
    <w:rsid w:val="7BB4D9BA"/>
    <w:rsid w:val="7BC35F92"/>
    <w:rsid w:val="7BDE713F"/>
    <w:rsid w:val="7C02B1AE"/>
    <w:rsid w:val="7CA849D7"/>
    <w:rsid w:val="7D6FD705"/>
    <w:rsid w:val="7D9DD82A"/>
    <w:rsid w:val="7E0E10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8B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E54"/>
    <w:pPr>
      <w:spacing w:after="240" w:line="240" w:lineRule="auto"/>
    </w:pPr>
    <w:rPr>
      <w:kern w:val="0"/>
      <w14:ligatures w14:val="none"/>
    </w:rPr>
  </w:style>
  <w:style w:type="paragraph" w:styleId="Heading1">
    <w:name w:val="heading 1"/>
    <w:basedOn w:val="Normal"/>
    <w:next w:val="Normal"/>
    <w:link w:val="Heading1Char"/>
    <w:uiPriority w:val="9"/>
    <w:qFormat/>
    <w:rsid w:val="00D95E54"/>
    <w:pPr>
      <w:keepNext/>
      <w:keepLines/>
      <w:numPr>
        <w:numId w:val="2"/>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D95E54"/>
    <w:pPr>
      <w:keepNext/>
      <w:keepLines/>
      <w:numPr>
        <w:ilvl w:val="1"/>
        <w:numId w:val="2"/>
      </w:numPr>
      <w:spacing w:before="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D95E54"/>
    <w:pPr>
      <w:keepNext/>
      <w:keepLines/>
      <w:numPr>
        <w:ilvl w:val="2"/>
        <w:numId w:val="2"/>
      </w:numPr>
      <w:tabs>
        <w:tab w:val="left" w:pos="851"/>
      </w:tabs>
      <w:spacing w:before="360" w:after="200"/>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D95E54"/>
    <w:pPr>
      <w:numPr>
        <w:ilvl w:val="0"/>
        <w:numId w:val="0"/>
      </w:numPr>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E54"/>
    <w:rPr>
      <w:rFonts w:ascii="Franklin Gothic Medium" w:eastAsiaTheme="majorEastAsia" w:hAnsi="Franklin Gothic Medium" w:cstheme="majorBidi"/>
      <w:kern w:val="0"/>
      <w:sz w:val="44"/>
      <w:szCs w:val="32"/>
      <w14:ligatures w14:val="none"/>
    </w:rPr>
  </w:style>
  <w:style w:type="character" w:customStyle="1" w:styleId="Heading2Char">
    <w:name w:val="Heading 2 Char"/>
    <w:basedOn w:val="DefaultParagraphFont"/>
    <w:link w:val="Heading2"/>
    <w:uiPriority w:val="9"/>
    <w:rsid w:val="00D95E54"/>
    <w:rPr>
      <w:rFonts w:ascii="Franklin Gothic Medium" w:eastAsiaTheme="majorEastAsia" w:hAnsi="Franklin Gothic Medium" w:cstheme="majorBidi"/>
      <w:color w:val="000000" w:themeColor="text1"/>
      <w:kern w:val="0"/>
      <w:sz w:val="32"/>
      <w:szCs w:val="26"/>
      <w14:ligatures w14:val="none"/>
    </w:rPr>
  </w:style>
  <w:style w:type="character" w:customStyle="1" w:styleId="Heading3Char">
    <w:name w:val="Heading 3 Char"/>
    <w:basedOn w:val="DefaultParagraphFont"/>
    <w:link w:val="Heading3"/>
    <w:uiPriority w:val="9"/>
    <w:rsid w:val="00D95E54"/>
    <w:rPr>
      <w:rFonts w:ascii="Franklin Gothic Medium" w:eastAsiaTheme="majorEastAsia" w:hAnsi="Franklin Gothic Medium" w:cstheme="majorBidi"/>
      <w:kern w:val="0"/>
      <w:sz w:val="24"/>
      <w:szCs w:val="24"/>
      <w14:ligatures w14:val="none"/>
    </w:rPr>
  </w:style>
  <w:style w:type="character" w:customStyle="1" w:styleId="Heading4Char">
    <w:name w:val="Heading 4 Char"/>
    <w:basedOn w:val="DefaultParagraphFont"/>
    <w:link w:val="Heading4"/>
    <w:uiPriority w:val="9"/>
    <w:rsid w:val="00D95E54"/>
    <w:rPr>
      <w:rFonts w:ascii="Franklin Gothic Medium" w:eastAsiaTheme="majorEastAsia" w:hAnsi="Franklin Gothic Medium" w:cstheme="majorBidi"/>
      <w:i/>
      <w:kern w:val="0"/>
      <w:sz w:val="24"/>
      <w:szCs w:val="24"/>
      <w14:ligatures w14:val="none"/>
    </w:rPr>
  </w:style>
  <w:style w:type="table" w:styleId="TableGrid">
    <w:name w:val="Table Grid"/>
    <w:aliases w:val="Summary box,Table Gridbeth,RTI AMCP Table,new style,ASD Table,HealthConsult,CMA Table Template,PBAC table,Conclusion box,Table Grid nm,HTAtableplain,Dossier table,Section 3- footnotes,MSD Table Grid,Lash Style Table"/>
    <w:basedOn w:val="TableNormal"/>
    <w:rsid w:val="00D95E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qFormat/>
    <w:rsid w:val="00D95E54"/>
    <w:pPr>
      <w:spacing w:before="120" w:after="160" w:line="259" w:lineRule="auto"/>
    </w:pPr>
    <w:rPr>
      <w:rFonts w:ascii="Franklin Gothic Book" w:hAnsi="Franklin Gothic Book"/>
      <w:color w:val="258221"/>
    </w:rPr>
  </w:style>
  <w:style w:type="character" w:customStyle="1" w:styleId="InstructionaltextChar">
    <w:name w:val="Instructional text Char"/>
    <w:basedOn w:val="DefaultParagraphFont"/>
    <w:link w:val="Instructionaltext"/>
    <w:rsid w:val="00D95E54"/>
    <w:rPr>
      <w:rFonts w:ascii="Franklin Gothic Book" w:hAnsi="Franklin Gothic Book"/>
      <w:color w:val="258221"/>
      <w:kern w:val="0"/>
      <w14:ligatures w14:val="none"/>
    </w:rPr>
  </w:style>
  <w:style w:type="paragraph" w:customStyle="1" w:styleId="Instructionaltext-bullet">
    <w:name w:val="Instructional text - bullet"/>
    <w:basedOn w:val="Instructionaltext"/>
    <w:qFormat/>
    <w:rsid w:val="00D95E54"/>
    <w:pPr>
      <w:numPr>
        <w:numId w:val="1"/>
      </w:numPr>
      <w:tabs>
        <w:tab w:val="num" w:pos="360"/>
      </w:tabs>
      <w:spacing w:before="0" w:after="0"/>
      <w:ind w:left="714" w:hanging="357"/>
    </w:pPr>
  </w:style>
  <w:style w:type="paragraph" w:styleId="Subtitle">
    <w:name w:val="Subtitle"/>
    <w:basedOn w:val="Normal"/>
    <w:next w:val="Normal"/>
    <w:link w:val="SubtitleChar"/>
    <w:qFormat/>
    <w:rsid w:val="00D95E54"/>
    <w:pPr>
      <w:spacing w:before="12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D95E54"/>
    <w:rPr>
      <w:rFonts w:ascii="Arial" w:eastAsia="Times New Roman" w:hAnsi="Arial" w:cs="Arial"/>
      <w:b/>
      <w:bCs/>
      <w:i/>
      <w:color w:val="000080"/>
      <w:kern w:val="0"/>
      <w:sz w:val="28"/>
      <w:szCs w:val="28"/>
      <w:lang w:eastAsia="en-AU"/>
      <w14:ligatures w14:val="none"/>
    </w:rPr>
  </w:style>
  <w:style w:type="paragraph" w:customStyle="1" w:styleId="BoxName">
    <w:name w:val="BoxName"/>
    <w:basedOn w:val="Normal"/>
    <w:rsid w:val="00D95E54"/>
    <w:pPr>
      <w:keepNext/>
      <w:pBdr>
        <w:top w:val="single" w:sz="4" w:space="4" w:color="000000"/>
        <w:left w:val="single" w:sz="4" w:space="4" w:color="000000"/>
        <w:bottom w:val="single" w:sz="4" w:space="4" w:color="000000"/>
        <w:right w:val="single" w:sz="4" w:space="4" w:color="000000"/>
      </w:pBdr>
      <w:spacing w:before="240"/>
      <w:ind w:left="1077" w:hanging="1077"/>
    </w:pPr>
    <w:rPr>
      <w:rFonts w:ascii="Franklin Gothic Book" w:eastAsia="Times New Roman" w:hAnsi="Franklin Gothic Book" w:cs="Times New Roman"/>
      <w:b/>
      <w:bCs/>
      <w:color w:val="000000"/>
      <w:sz w:val="24"/>
      <w:szCs w:val="20"/>
      <w:lang w:eastAsia="en-AU"/>
    </w:rPr>
  </w:style>
  <w:style w:type="paragraph" w:customStyle="1" w:styleId="BoxBullet">
    <w:name w:val="BoxBullet"/>
    <w:basedOn w:val="Normal"/>
    <w:rsid w:val="00D95E54"/>
    <w:pPr>
      <w:numPr>
        <w:numId w:val="3"/>
      </w:numPr>
      <w:pBdr>
        <w:top w:val="single" w:sz="4" w:space="4" w:color="000000"/>
        <w:left w:val="single" w:sz="4" w:space="4" w:color="000000"/>
        <w:bottom w:val="single" w:sz="4" w:space="4" w:color="000000"/>
        <w:right w:val="single" w:sz="4" w:space="4" w:color="000000"/>
      </w:pBdr>
      <w:spacing w:after="120"/>
    </w:pPr>
    <w:rPr>
      <w:rFonts w:ascii="Franklin Gothic Book" w:eastAsia="Times New Roman" w:hAnsi="Franklin Gothic Book" w:cs="Times New Roman"/>
      <w:color w:val="000000"/>
      <w:szCs w:val="20"/>
      <w:lang w:eastAsia="en-AU"/>
    </w:rPr>
  </w:style>
  <w:style w:type="paragraph" w:customStyle="1" w:styleId="BoxHeading">
    <w:name w:val="BoxHeading"/>
    <w:basedOn w:val="Normal"/>
    <w:rsid w:val="00D95E54"/>
    <w:pPr>
      <w:keepNext/>
      <w:pBdr>
        <w:top w:val="single" w:sz="4" w:space="4" w:color="000000"/>
        <w:left w:val="single" w:sz="4" w:space="4" w:color="000000"/>
        <w:bottom w:val="single" w:sz="4" w:space="4" w:color="000000"/>
        <w:right w:val="single" w:sz="4" w:space="4" w:color="000000"/>
      </w:pBdr>
      <w:spacing w:before="120" w:after="60"/>
    </w:pPr>
    <w:rPr>
      <w:rFonts w:ascii="Franklin Gothic Book" w:eastAsia="Times New Roman" w:hAnsi="Franklin Gothic Book" w:cs="Times New Roman"/>
      <w:b/>
      <w:bCs/>
      <w:color w:val="000000"/>
      <w:szCs w:val="20"/>
      <w:lang w:eastAsia="en-AU"/>
    </w:rPr>
  </w:style>
  <w:style w:type="paragraph" w:customStyle="1" w:styleId="BulletBeforeDash">
    <w:name w:val="BulletBeforeDash"/>
    <w:basedOn w:val="Normal"/>
    <w:rsid w:val="00D95E54"/>
    <w:pPr>
      <w:numPr>
        <w:numId w:val="4"/>
      </w:numPr>
      <w:spacing w:after="0"/>
    </w:pPr>
    <w:rPr>
      <w:rFonts w:ascii="Franklin Gothic Book" w:eastAsia="Times New Roman" w:hAnsi="Franklin Gothic Book" w:cs="Times New Roman"/>
      <w:color w:val="000000"/>
      <w:szCs w:val="20"/>
      <w:lang w:eastAsia="en-AU"/>
    </w:rPr>
  </w:style>
  <w:style w:type="paragraph" w:customStyle="1" w:styleId="Bullet">
    <w:name w:val="Bullet"/>
    <w:basedOn w:val="BulletBeforeDash"/>
    <w:qFormat/>
    <w:rsid w:val="00D95E54"/>
    <w:pPr>
      <w:spacing w:after="120"/>
    </w:pPr>
  </w:style>
  <w:style w:type="paragraph" w:customStyle="1" w:styleId="BulletLast">
    <w:name w:val="BulletLast"/>
    <w:basedOn w:val="Bullet"/>
    <w:qFormat/>
    <w:rsid w:val="00D95E54"/>
    <w:pPr>
      <w:spacing w:after="240"/>
    </w:pPr>
  </w:style>
  <w:style w:type="paragraph" w:customStyle="1" w:styleId="NormalBeforeBullet">
    <w:name w:val="NormalBeforeBullet"/>
    <w:basedOn w:val="Normal"/>
    <w:qFormat/>
    <w:rsid w:val="00D95E54"/>
    <w:pPr>
      <w:keepNext/>
      <w:spacing w:after="120"/>
    </w:pPr>
    <w:rPr>
      <w:rFonts w:ascii="Franklin Gothic Book" w:eastAsia="Times New Roman" w:hAnsi="Franklin Gothic Book" w:cs="Times New Roman"/>
      <w:color w:val="000000"/>
      <w:szCs w:val="20"/>
      <w:lang w:eastAsia="en-AU"/>
    </w:rPr>
  </w:style>
  <w:style w:type="paragraph" w:customStyle="1" w:styleId="TableText">
    <w:name w:val="Table Text"/>
    <w:basedOn w:val="Normal"/>
    <w:link w:val="TableTextChar"/>
    <w:qFormat/>
    <w:rsid w:val="00D95E54"/>
    <w:pPr>
      <w:spacing w:before="40" w:after="40"/>
      <w:jc w:val="both"/>
    </w:pPr>
    <w:rPr>
      <w:rFonts w:ascii="Arial Narrow" w:eastAsia="SimSun" w:hAnsi="Arial Narrow"/>
      <w:sz w:val="20"/>
    </w:rPr>
  </w:style>
  <w:style w:type="paragraph" w:customStyle="1" w:styleId="TableHeading">
    <w:name w:val="TableHeading"/>
    <w:basedOn w:val="Normal"/>
    <w:link w:val="TableHeadingChar"/>
    <w:qFormat/>
    <w:rsid w:val="00D95E54"/>
    <w:pPr>
      <w:keepNext/>
      <w:spacing w:before="120" w:after="60"/>
      <w:jc w:val="both"/>
    </w:pPr>
    <w:rPr>
      <w:rFonts w:ascii="Arial Narrow" w:eastAsia="SimSun"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D95E54"/>
    <w:pPr>
      <w:spacing w:before="120"/>
      <w:jc w:val="both"/>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D95E54"/>
    <w:rPr>
      <w:rFonts w:ascii="Calibri" w:eastAsia="Times New Roman" w:hAnsi="Calibri" w:cs="Times New Roman"/>
      <w:color w:val="000000"/>
      <w:kern w:val="0"/>
      <w:szCs w:val="24"/>
      <w:lang w:eastAsia="en-AU"/>
      <w14:ligatures w14:val="none"/>
    </w:rPr>
  </w:style>
  <w:style w:type="character" w:styleId="CommentReference">
    <w:name w:val="annotation reference"/>
    <w:aliases w:val="Table Title,-H18"/>
    <w:basedOn w:val="DefaultParagraphFont"/>
    <w:uiPriority w:val="99"/>
    <w:unhideWhenUsed/>
    <w:qFormat/>
    <w:rsid w:val="00D95E54"/>
    <w:rPr>
      <w:sz w:val="16"/>
      <w:szCs w:val="16"/>
    </w:rPr>
  </w:style>
  <w:style w:type="character" w:customStyle="1" w:styleId="TableTextChar">
    <w:name w:val="Table Text Char"/>
    <w:basedOn w:val="DefaultParagraphFont"/>
    <w:link w:val="TableText"/>
    <w:rsid w:val="00D95E54"/>
    <w:rPr>
      <w:rFonts w:ascii="Arial Narrow" w:eastAsia="SimSun" w:hAnsi="Arial Narrow"/>
      <w:kern w:val="0"/>
      <w:sz w:val="20"/>
      <w14:ligatures w14:val="none"/>
    </w:rPr>
  </w:style>
  <w:style w:type="character" w:customStyle="1" w:styleId="TableHeadingChar">
    <w:name w:val="TableHeading Char"/>
    <w:link w:val="TableHeading"/>
    <w:rsid w:val="00D95E54"/>
    <w:rPr>
      <w:rFonts w:ascii="Arial Narrow" w:eastAsia="SimSun" w:hAnsi="Arial Narrow"/>
      <w:b/>
      <w:kern w:val="0"/>
      <w:sz w:val="20"/>
      <w14:ligatures w14:val="none"/>
    </w:rPr>
  </w:style>
  <w:style w:type="paragraph" w:styleId="BalloonText">
    <w:name w:val="Balloon Text"/>
    <w:basedOn w:val="Normal"/>
    <w:link w:val="BalloonTextChar"/>
    <w:uiPriority w:val="99"/>
    <w:semiHidden/>
    <w:unhideWhenUsed/>
    <w:rsid w:val="00D95E54"/>
    <w:pPr>
      <w:spacing w:before="120" w:after="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95E54"/>
    <w:rPr>
      <w:rFonts w:ascii="Segoe UI" w:eastAsia="SimSun"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D95E54"/>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D95E54"/>
    <w:rPr>
      <w:rFonts w:ascii="Calibri" w:eastAsia="Times New Roman" w:hAnsi="Calibri" w:cs="Times New Roman"/>
      <w:b/>
      <w:bCs/>
      <w:color w:val="000000"/>
      <w:kern w:val="0"/>
      <w:sz w:val="20"/>
      <w:szCs w:val="20"/>
      <w:lang w:eastAsia="en-AU"/>
      <w14:ligatures w14:val="non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qFormat/>
    <w:rsid w:val="00D95E54"/>
    <w:pPr>
      <w:keepNext/>
      <w:tabs>
        <w:tab w:val="left" w:pos="851"/>
      </w:tabs>
      <w:spacing w:before="360" w:after="120"/>
      <w:jc w:val="both"/>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D95E54"/>
    <w:pPr>
      <w:spacing w:before="40" w:after="40" w:line="240" w:lineRule="auto"/>
    </w:pPr>
    <w:rPr>
      <w:rFonts w:ascii="Arial Narrow" w:eastAsia="Times New Roman" w:hAnsi="Arial Narrow"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Symbol" w:hAnsi="Segoe UI Symbol"/>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rsid w:val="00D95E54"/>
    <w:rPr>
      <w:rFonts w:ascii="Arial Narrow" w:eastAsia="Times New Roman" w:hAnsi="Arial Narrow" w:cs="Times New Roman"/>
      <w:b/>
      <w:bCs/>
      <w:kern w:val="0"/>
      <w:sz w:val="20"/>
      <w:szCs w:val="20"/>
      <w14:ligatures w14:val="none"/>
    </w:rPr>
  </w:style>
  <w:style w:type="paragraph" w:customStyle="1" w:styleId="TableFigNote">
    <w:name w:val="TableFigNote"/>
    <w:basedOn w:val="Normal"/>
    <w:qFormat/>
    <w:rsid w:val="00D95E54"/>
    <w:pPr>
      <w:spacing w:before="120" w:after="360"/>
      <w:contextualSpacing/>
      <w:jc w:val="both"/>
    </w:pPr>
    <w:rPr>
      <w:rFonts w:ascii="Franklin Gothic Book" w:eastAsia="SimSun" w:hAnsi="Franklin Gothic Book"/>
      <w:sz w:val="18"/>
    </w:rPr>
  </w:style>
  <w:style w:type="paragraph" w:styleId="ListParagraph">
    <w:name w:val="List Paragraph"/>
    <w:aliases w:val="BulletPoints,Bullet point,List Paragraph1,List Paragraph11,Recommendation,Section heading,Numbered para,ES Paragraph,PBAC ES Paragraph,PBAC normal points,Bullet List,Figure_name,Numbered Indented Text,Bullet- First level,List NUmber,lp1,n"/>
    <w:basedOn w:val="Normal"/>
    <w:link w:val="ListParagraphChar"/>
    <w:uiPriority w:val="34"/>
    <w:qFormat/>
    <w:rsid w:val="00D95E54"/>
    <w:pPr>
      <w:numPr>
        <w:numId w:val="11"/>
      </w:numPr>
      <w:spacing w:before="120" w:after="0"/>
      <w:contextualSpacing/>
      <w:jc w:val="both"/>
    </w:pPr>
    <w:rPr>
      <w:rFonts w:ascii="Franklin Gothic Book" w:eastAsia="SimSun" w:hAnsi="Franklin Gothic Book"/>
    </w:rPr>
  </w:style>
  <w:style w:type="character" w:styleId="Strong">
    <w:name w:val="Strong"/>
    <w:basedOn w:val="DefaultParagraphFont"/>
    <w:uiPriority w:val="22"/>
    <w:qFormat/>
    <w:rsid w:val="00D95E54"/>
    <w:rPr>
      <w:b/>
      <w:bCs/>
    </w:rPr>
  </w:style>
  <w:style w:type="paragraph" w:customStyle="1" w:styleId="TableName">
    <w:name w:val="TableName"/>
    <w:basedOn w:val="Normal"/>
    <w:qFormat/>
    <w:rsid w:val="00D95E54"/>
    <w:pPr>
      <w:keepNext/>
      <w:spacing w:before="120"/>
      <w:ind w:left="1418" w:hanging="1418"/>
      <w:jc w:val="both"/>
    </w:pPr>
    <w:rPr>
      <w:rFonts w:ascii="Franklin Gothic Medium" w:eastAsia="SimSun" w:hAnsi="Franklin Gothic Medium"/>
    </w:rPr>
  </w:style>
  <w:style w:type="paragraph" w:customStyle="1" w:styleId="TableFigNoteHangingLast">
    <w:name w:val="TableFigNoteHanging Last"/>
    <w:basedOn w:val="TableFigNote"/>
    <w:qFormat/>
    <w:rsid w:val="00D95E54"/>
    <w:pPr>
      <w:ind w:left="142" w:hanging="142"/>
    </w:pPr>
  </w:style>
  <w:style w:type="paragraph" w:customStyle="1" w:styleId="TableTextCA">
    <w:name w:val="Table Text CA"/>
    <w:basedOn w:val="TableText"/>
    <w:qFormat/>
    <w:rsid w:val="00D95E54"/>
    <w:pPr>
      <w:jc w:val="center"/>
    </w:pPr>
  </w:style>
  <w:style w:type="paragraph" w:customStyle="1" w:styleId="TableHeadingCA">
    <w:name w:val="Table Heading CA"/>
    <w:basedOn w:val="TableHeading0"/>
    <w:qFormat/>
    <w:rsid w:val="00D95E54"/>
    <w:pPr>
      <w:jc w:val="center"/>
    </w:pPr>
  </w:style>
  <w:style w:type="paragraph" w:customStyle="1" w:styleId="TableHeading0">
    <w:name w:val="Table Heading"/>
    <w:basedOn w:val="Normal"/>
    <w:link w:val="TableHeadingChar0"/>
    <w:qFormat/>
    <w:rsid w:val="00D95E54"/>
    <w:pPr>
      <w:spacing w:before="120" w:after="60"/>
      <w:jc w:val="both"/>
    </w:pPr>
    <w:rPr>
      <w:rFonts w:ascii="Arial Narrow" w:eastAsia="SimSun" w:hAnsi="Arial Narrow"/>
      <w:b/>
      <w:sz w:val="20"/>
    </w:rPr>
  </w:style>
  <w:style w:type="paragraph" w:customStyle="1" w:styleId="TableFigNoteLast">
    <w:name w:val="TableFigNote Last"/>
    <w:basedOn w:val="TableFigNote"/>
    <w:qFormat/>
    <w:rsid w:val="00D95E54"/>
  </w:style>
  <w:style w:type="paragraph" w:customStyle="1" w:styleId="2ChapterText">
    <w:name w:val="2ChapterText"/>
    <w:basedOn w:val="Normal"/>
    <w:qFormat/>
    <w:rsid w:val="00D95E54"/>
    <w:pPr>
      <w:spacing w:before="120" w:after="160" w:line="259" w:lineRule="auto"/>
      <w:jc w:val="both"/>
    </w:pPr>
    <w:rPr>
      <w:rFonts w:ascii="Franklin Gothic Book" w:eastAsia="SimSun" w:hAnsi="Franklin Gothic Book"/>
      <w:shd w:val="clear" w:color="auto" w:fill="B4C6E7" w:themeFill="accent1" w:themeFillTint="66"/>
    </w:rPr>
  </w:style>
  <w:style w:type="paragraph" w:customStyle="1" w:styleId="1ExplanatoryText">
    <w:name w:val="1ExplanatoryText"/>
    <w:basedOn w:val="Normal"/>
    <w:qFormat/>
    <w:rsid w:val="00D95E54"/>
    <w:pPr>
      <w:shd w:val="clear" w:color="auto" w:fill="C5E0B3" w:themeFill="accent6" w:themeFillTint="66"/>
      <w:spacing w:before="120" w:after="160" w:line="259" w:lineRule="auto"/>
      <w:jc w:val="both"/>
    </w:pPr>
    <w:rPr>
      <w:rFonts w:ascii="Franklin Gothic Book" w:eastAsia="SimSun" w:hAnsi="Franklin Gothic Book"/>
    </w:rPr>
  </w:style>
  <w:style w:type="character" w:styleId="Hyperlink">
    <w:name w:val="Hyperlink"/>
    <w:basedOn w:val="DefaultParagraphFont"/>
    <w:uiPriority w:val="99"/>
    <w:unhideWhenUsed/>
    <w:rsid w:val="00D95E54"/>
    <w:rPr>
      <w:color w:val="0070C0"/>
      <w:u w:val="single"/>
    </w:rPr>
  </w:style>
  <w:style w:type="paragraph" w:styleId="TOC1">
    <w:name w:val="toc 1"/>
    <w:basedOn w:val="Normal"/>
    <w:next w:val="Normal"/>
    <w:autoRedefine/>
    <w:uiPriority w:val="39"/>
    <w:unhideWhenUsed/>
    <w:rsid w:val="00D95E54"/>
    <w:pPr>
      <w:tabs>
        <w:tab w:val="left" w:pos="1100"/>
        <w:tab w:val="left" w:pos="1531"/>
        <w:tab w:val="right" w:leader="dot" w:pos="9010"/>
      </w:tabs>
      <w:spacing w:before="120" w:after="100"/>
      <w:jc w:val="both"/>
    </w:pPr>
    <w:rPr>
      <w:rFonts w:eastAsia="SimSun"/>
      <w:b/>
    </w:rPr>
  </w:style>
  <w:style w:type="paragraph" w:styleId="TOC2">
    <w:name w:val="toc 2"/>
    <w:basedOn w:val="Normal"/>
    <w:next w:val="Normal"/>
    <w:autoRedefine/>
    <w:uiPriority w:val="39"/>
    <w:unhideWhenUsed/>
    <w:rsid w:val="00D95E54"/>
    <w:pPr>
      <w:tabs>
        <w:tab w:val="left" w:pos="1089"/>
        <w:tab w:val="right" w:leader="dot" w:pos="9010"/>
      </w:tabs>
      <w:spacing w:before="120" w:after="100"/>
      <w:jc w:val="both"/>
    </w:pPr>
    <w:rPr>
      <w:rFonts w:eastAsia="SimSun"/>
    </w:rPr>
  </w:style>
  <w:style w:type="paragraph" w:styleId="TOC3">
    <w:name w:val="toc 3"/>
    <w:basedOn w:val="Normal"/>
    <w:next w:val="Normal"/>
    <w:autoRedefine/>
    <w:uiPriority w:val="39"/>
    <w:unhideWhenUsed/>
    <w:rsid w:val="00D95E54"/>
    <w:pPr>
      <w:spacing w:before="120" w:after="100"/>
      <w:ind w:left="720"/>
      <w:jc w:val="both"/>
    </w:pPr>
    <w:rPr>
      <w:rFonts w:eastAsia="SimSun"/>
    </w:rPr>
  </w:style>
  <w:style w:type="character" w:styleId="FollowedHyperlink">
    <w:name w:val="FollowedHyperlink"/>
    <w:basedOn w:val="DefaultParagraphFont"/>
    <w:uiPriority w:val="99"/>
    <w:semiHidden/>
    <w:unhideWhenUsed/>
    <w:rsid w:val="00D95E54"/>
    <w:rPr>
      <w:color w:val="954F72" w:themeColor="followedHyperlink"/>
      <w:u w:val="single"/>
    </w:rPr>
  </w:style>
  <w:style w:type="paragraph" w:styleId="TOC9">
    <w:name w:val="toc 9"/>
    <w:basedOn w:val="Normal"/>
    <w:next w:val="Normal"/>
    <w:autoRedefine/>
    <w:uiPriority w:val="39"/>
    <w:unhideWhenUsed/>
    <w:rsid w:val="00D95E54"/>
    <w:pPr>
      <w:spacing w:before="120" w:after="100" w:line="259" w:lineRule="auto"/>
      <w:ind w:left="1760"/>
      <w:jc w:val="both"/>
    </w:pPr>
    <w:rPr>
      <w:rFonts w:ascii="Franklin Gothic Book" w:eastAsia="SimSun" w:hAnsi="Franklin Gothic Book"/>
    </w:rPr>
  </w:style>
  <w:style w:type="paragraph" w:styleId="Date">
    <w:name w:val="Date"/>
    <w:basedOn w:val="Normal"/>
    <w:next w:val="Normal"/>
    <w:link w:val="DateChar"/>
    <w:rsid w:val="00D95E54"/>
    <w:pPr>
      <w:spacing w:before="1134" w:after="800" w:line="259" w:lineRule="auto"/>
      <w:ind w:left="4536"/>
      <w:jc w:val="both"/>
    </w:pPr>
    <w:rPr>
      <w:rFonts w:ascii="Arial" w:eastAsia="Times New Roman" w:hAnsi="Arial" w:cs="Tahoma"/>
      <w:b/>
      <w:sz w:val="36"/>
      <w:lang w:eastAsia="en-AU"/>
    </w:rPr>
  </w:style>
  <w:style w:type="character" w:customStyle="1" w:styleId="DateChar">
    <w:name w:val="Date Char"/>
    <w:basedOn w:val="DefaultParagraphFont"/>
    <w:link w:val="Date"/>
    <w:rsid w:val="00D95E54"/>
    <w:rPr>
      <w:rFonts w:ascii="Arial" w:eastAsia="Times New Roman" w:hAnsi="Arial" w:cs="Tahoma"/>
      <w:b/>
      <w:kern w:val="0"/>
      <w:sz w:val="36"/>
      <w:lang w:eastAsia="en-AU"/>
      <w14:ligatures w14:val="none"/>
    </w:rPr>
  </w:style>
  <w:style w:type="paragraph" w:customStyle="1" w:styleId="PublicationTitle">
    <w:name w:val="PublicationTitle"/>
    <w:basedOn w:val="Normal"/>
    <w:rsid w:val="00D95E54"/>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D95E54"/>
    <w:pPr>
      <w:spacing w:before="1701" w:after="160" w:line="259" w:lineRule="auto"/>
      <w:ind w:left="4536"/>
      <w:jc w:val="both"/>
    </w:pPr>
    <w:rPr>
      <w:rFonts w:ascii="Arial" w:eastAsia="Times New Roman" w:hAnsi="Arial" w:cs="Tahoma"/>
      <w:b/>
      <w:sz w:val="32"/>
      <w:lang w:eastAsia="en-AU"/>
    </w:rPr>
  </w:style>
  <w:style w:type="paragraph" w:customStyle="1" w:styleId="Nnumberedlist">
    <w:name w:val="Nnumbered list"/>
    <w:basedOn w:val="Normal"/>
    <w:rsid w:val="00D95E54"/>
    <w:pPr>
      <w:numPr>
        <w:numId w:val="5"/>
      </w:numPr>
      <w:spacing w:before="120" w:after="160" w:line="259" w:lineRule="auto"/>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95E54"/>
    <w:pPr>
      <w:numPr>
        <w:numId w:val="0"/>
      </w:numPr>
      <w:pBdr>
        <w:bottom w:val="none" w:sz="0" w:space="0" w:color="auto"/>
      </w:pBdr>
      <w:spacing w:before="240" w:after="0" w:line="259" w:lineRule="auto"/>
      <w:jc w:val="both"/>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unhideWhenUsed/>
    <w:rsid w:val="00D95E54"/>
    <w:pPr>
      <w:spacing w:before="120" w:after="100" w:line="259" w:lineRule="auto"/>
      <w:ind w:left="660"/>
      <w:jc w:val="both"/>
    </w:pPr>
    <w:rPr>
      <w:rFonts w:eastAsiaTheme="minorEastAsia"/>
      <w:lang w:eastAsia="en-AU"/>
    </w:rPr>
  </w:style>
  <w:style w:type="paragraph" w:styleId="TOC5">
    <w:name w:val="toc 5"/>
    <w:basedOn w:val="Normal"/>
    <w:next w:val="Normal"/>
    <w:autoRedefine/>
    <w:uiPriority w:val="39"/>
    <w:unhideWhenUsed/>
    <w:rsid w:val="00D95E54"/>
    <w:pPr>
      <w:spacing w:before="120" w:after="100" w:line="259" w:lineRule="auto"/>
      <w:ind w:left="880"/>
      <w:jc w:val="both"/>
    </w:pPr>
    <w:rPr>
      <w:rFonts w:eastAsiaTheme="minorEastAsia"/>
      <w:lang w:eastAsia="en-AU"/>
    </w:rPr>
  </w:style>
  <w:style w:type="paragraph" w:styleId="TOC6">
    <w:name w:val="toc 6"/>
    <w:basedOn w:val="Normal"/>
    <w:next w:val="Normal"/>
    <w:autoRedefine/>
    <w:uiPriority w:val="39"/>
    <w:unhideWhenUsed/>
    <w:rsid w:val="00D95E54"/>
    <w:pPr>
      <w:spacing w:before="120" w:after="100" w:line="259" w:lineRule="auto"/>
      <w:ind w:left="1100"/>
      <w:jc w:val="both"/>
    </w:pPr>
    <w:rPr>
      <w:rFonts w:eastAsiaTheme="minorEastAsia"/>
      <w:lang w:eastAsia="en-AU"/>
    </w:rPr>
  </w:style>
  <w:style w:type="paragraph" w:styleId="TOC7">
    <w:name w:val="toc 7"/>
    <w:basedOn w:val="Normal"/>
    <w:next w:val="Normal"/>
    <w:autoRedefine/>
    <w:uiPriority w:val="39"/>
    <w:unhideWhenUsed/>
    <w:rsid w:val="00D95E54"/>
    <w:pPr>
      <w:spacing w:before="120" w:after="100" w:line="259" w:lineRule="auto"/>
      <w:ind w:left="1320"/>
      <w:jc w:val="both"/>
    </w:pPr>
    <w:rPr>
      <w:rFonts w:eastAsiaTheme="minorEastAsia"/>
      <w:lang w:eastAsia="en-AU"/>
    </w:rPr>
  </w:style>
  <w:style w:type="paragraph" w:styleId="TOC8">
    <w:name w:val="toc 8"/>
    <w:basedOn w:val="Normal"/>
    <w:next w:val="Normal"/>
    <w:autoRedefine/>
    <w:uiPriority w:val="39"/>
    <w:unhideWhenUsed/>
    <w:rsid w:val="00D95E54"/>
    <w:pPr>
      <w:spacing w:before="120" w:after="100" w:line="259" w:lineRule="auto"/>
      <w:ind w:left="1540"/>
      <w:jc w:val="both"/>
    </w:pPr>
    <w:rPr>
      <w:rFonts w:eastAsiaTheme="minorEastAsia"/>
      <w:lang w:eastAsia="en-AU"/>
    </w:rPr>
  </w:style>
  <w:style w:type="paragraph" w:customStyle="1" w:styleId="In-tableHeading">
    <w:name w:val="In-table Heading"/>
    <w:qFormat/>
    <w:rsid w:val="00D95E54"/>
    <w:pPr>
      <w:keepNext/>
      <w:spacing w:after="0" w:line="240" w:lineRule="auto"/>
    </w:pPr>
    <w:rPr>
      <w:rFonts w:ascii="Arial Narrow" w:eastAsiaTheme="majorEastAsia" w:hAnsi="Arial Narrow" w:cs="Times New Roman"/>
      <w:b/>
      <w:kern w:val="0"/>
      <w:sz w:val="20"/>
      <w:szCs w:val="24"/>
      <w:lang w:val="en-US" w:eastAsia="en-AU"/>
      <w14:ligatures w14:val="none"/>
    </w:rPr>
  </w:style>
  <w:style w:type="paragraph" w:customStyle="1" w:styleId="TableFigureFooter">
    <w:name w:val="Table/Figure Footer"/>
    <w:basedOn w:val="Normal"/>
    <w:link w:val="TableFigureFooterChar"/>
    <w:qFormat/>
    <w:rsid w:val="00D95E54"/>
    <w:pPr>
      <w:tabs>
        <w:tab w:val="left" w:pos="284"/>
      </w:tabs>
      <w:spacing w:before="120" w:after="360"/>
      <w:jc w:val="both"/>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D95E54"/>
    <w:rPr>
      <w:rFonts w:ascii="Arial Narrow" w:eastAsia="Times New Roman" w:hAnsi="Arial Narrow" w:cs="Arial"/>
      <w:snapToGrid w:val="0"/>
      <w:kern w:val="0"/>
      <w:sz w:val="18"/>
      <w:lang w:eastAsia="en-AU"/>
      <w14:ligatures w14:val="none"/>
    </w:rPr>
  </w:style>
  <w:style w:type="character" w:styleId="Emphasis">
    <w:name w:val="Emphasis"/>
    <w:uiPriority w:val="20"/>
    <w:qFormat/>
    <w:rsid w:val="00D95E54"/>
    <w:rPr>
      <w:i/>
      <w:iCs/>
    </w:rPr>
  </w:style>
  <w:style w:type="paragraph" w:styleId="Header">
    <w:name w:val="header"/>
    <w:basedOn w:val="Normal"/>
    <w:link w:val="HeaderChar"/>
    <w:uiPriority w:val="99"/>
    <w:unhideWhenUsed/>
    <w:rsid w:val="00D95E54"/>
    <w:pPr>
      <w:tabs>
        <w:tab w:val="center" w:pos="4513"/>
        <w:tab w:val="right" w:pos="9026"/>
      </w:tabs>
      <w:spacing w:before="120" w:after="0"/>
      <w:jc w:val="both"/>
    </w:pPr>
    <w:rPr>
      <w:rFonts w:ascii="Franklin Gothic Book" w:eastAsia="SimSun" w:hAnsi="Franklin Gothic Book"/>
    </w:rPr>
  </w:style>
  <w:style w:type="character" w:customStyle="1" w:styleId="HeaderChar">
    <w:name w:val="Header Char"/>
    <w:basedOn w:val="DefaultParagraphFont"/>
    <w:link w:val="Header"/>
    <w:uiPriority w:val="99"/>
    <w:rsid w:val="00D95E54"/>
    <w:rPr>
      <w:rFonts w:ascii="Franklin Gothic Book" w:eastAsia="SimSun" w:hAnsi="Franklin Gothic Book"/>
      <w:kern w:val="0"/>
      <w14:ligatures w14:val="none"/>
    </w:rPr>
  </w:style>
  <w:style w:type="paragraph" w:styleId="Footer">
    <w:name w:val="footer"/>
    <w:basedOn w:val="Normal"/>
    <w:link w:val="FooterChar"/>
    <w:uiPriority w:val="99"/>
    <w:unhideWhenUsed/>
    <w:rsid w:val="00D95E54"/>
    <w:pPr>
      <w:tabs>
        <w:tab w:val="center" w:pos="4513"/>
        <w:tab w:val="right" w:pos="9026"/>
      </w:tabs>
      <w:spacing w:before="120" w:after="0"/>
      <w:jc w:val="both"/>
    </w:pPr>
    <w:rPr>
      <w:rFonts w:ascii="Franklin Gothic Book" w:eastAsia="SimSun" w:hAnsi="Franklin Gothic Book"/>
    </w:rPr>
  </w:style>
  <w:style w:type="character" w:customStyle="1" w:styleId="FooterChar">
    <w:name w:val="Footer Char"/>
    <w:basedOn w:val="DefaultParagraphFont"/>
    <w:link w:val="Footer"/>
    <w:uiPriority w:val="99"/>
    <w:rsid w:val="00D95E54"/>
    <w:rPr>
      <w:rFonts w:ascii="Franklin Gothic Book" w:eastAsia="SimSun" w:hAnsi="Franklin Gothic Book"/>
      <w:kern w:val="0"/>
      <w14:ligatures w14:val="none"/>
    </w:rPr>
  </w:style>
  <w:style w:type="paragraph" w:customStyle="1" w:styleId="Tablenotes">
    <w:name w:val="Tablenotes"/>
    <w:basedOn w:val="Normal"/>
    <w:link w:val="TablenotesChar"/>
    <w:qFormat/>
    <w:rsid w:val="00D95E54"/>
    <w:pPr>
      <w:widowControl w:val="0"/>
      <w:spacing w:before="120" w:after="120"/>
      <w:contextualSpacing/>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95E54"/>
    <w:rPr>
      <w:rFonts w:ascii="Arial Narrow" w:eastAsia="Times New Roman" w:hAnsi="Arial Narrow" w:cs="Arial"/>
      <w:snapToGrid w:val="0"/>
      <w:kern w:val="0"/>
      <w:sz w:val="18"/>
      <w:szCs w:val="20"/>
      <w14:ligatures w14:val="none"/>
    </w:rPr>
  </w:style>
  <w:style w:type="character" w:customStyle="1" w:styleId="ListParagraphChar">
    <w:name w:val="List Paragraph Char"/>
    <w:aliases w:val="BulletPoints Char,Bullet point Char,List Paragraph1 Char,List Paragraph11 Char,Recommendation Char,Section heading Char,Numbered para Char,ES Paragraph Char,PBAC ES Paragraph Char,PBAC normal points Char,Bullet List Char,lp1 Char"/>
    <w:basedOn w:val="DefaultParagraphFont"/>
    <w:link w:val="ListParagraph"/>
    <w:uiPriority w:val="34"/>
    <w:qFormat/>
    <w:rsid w:val="00D95E54"/>
    <w:rPr>
      <w:rFonts w:ascii="Franklin Gothic Book" w:eastAsia="SimSun" w:hAnsi="Franklin Gothic Book"/>
      <w:kern w:val="0"/>
      <w14:ligatures w14:val="none"/>
    </w:rPr>
  </w:style>
  <w:style w:type="table" w:customStyle="1" w:styleId="TableGridLight1">
    <w:name w:val="Table Grid Light1"/>
    <w:basedOn w:val="TableNormal"/>
    <w:uiPriority w:val="40"/>
    <w:rsid w:val="00D95E54"/>
    <w:pPr>
      <w:spacing w:after="0" w:line="240" w:lineRule="auto"/>
    </w:pPr>
    <w:rPr>
      <w:rFonts w:eastAsia="SimSun"/>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FigureHeading">
    <w:name w:val="Table/Figure Heading"/>
    <w:next w:val="In-tableHeading"/>
    <w:link w:val="TableFigureHeadingChar"/>
    <w:qFormat/>
    <w:rsid w:val="00D95E54"/>
    <w:pPr>
      <w:keepNext/>
      <w:spacing w:after="0" w:line="240" w:lineRule="auto"/>
    </w:pPr>
    <w:rPr>
      <w:rFonts w:ascii="Arial Narrow" w:eastAsiaTheme="majorEastAsia" w:hAnsi="Arial Narrow" w:cstheme="majorBidi"/>
      <w:b/>
      <w:bCs/>
      <w:kern w:val="0"/>
      <w:sz w:val="20"/>
      <w:szCs w:val="24"/>
      <w:lang w:eastAsia="en-AU"/>
      <w14:ligatures w14:val="none"/>
    </w:rPr>
  </w:style>
  <w:style w:type="character" w:customStyle="1" w:styleId="TableFigureHeadingChar">
    <w:name w:val="Table/Figure Heading Char"/>
    <w:basedOn w:val="DefaultParagraphFont"/>
    <w:link w:val="TableFigureHeading"/>
    <w:rsid w:val="00D95E54"/>
    <w:rPr>
      <w:rFonts w:ascii="Arial Narrow" w:eastAsiaTheme="majorEastAsia" w:hAnsi="Arial Narrow" w:cstheme="majorBidi"/>
      <w:b/>
      <w:bCs/>
      <w:kern w:val="0"/>
      <w:sz w:val="20"/>
      <w:szCs w:val="24"/>
      <w:lang w:eastAsia="en-AU"/>
      <w14:ligatures w14:val="none"/>
    </w:rPr>
  </w:style>
  <w:style w:type="paragraph" w:customStyle="1" w:styleId="Tabletext0">
    <w:name w:val="Table text"/>
    <w:basedOn w:val="Normal"/>
    <w:link w:val="TabletextChar0"/>
    <w:qFormat/>
    <w:rsid w:val="00D95E54"/>
    <w:pPr>
      <w:spacing w:before="40" w:after="40"/>
    </w:pPr>
    <w:rPr>
      <w:rFonts w:ascii="Arial Narrow" w:eastAsia="Times New Roman" w:hAnsi="Arial Narrow" w:cs="Tahoma"/>
      <w:sz w:val="20"/>
      <w:szCs w:val="20"/>
      <w:lang w:eastAsia="en-AU"/>
    </w:rPr>
  </w:style>
  <w:style w:type="character" w:customStyle="1" w:styleId="TabletextChar0">
    <w:name w:val="Table text Char"/>
    <w:link w:val="Tabletext0"/>
    <w:rsid w:val="00D95E54"/>
    <w:rPr>
      <w:rFonts w:ascii="Arial Narrow" w:eastAsia="Times New Roman" w:hAnsi="Arial Narrow" w:cs="Tahoma"/>
      <w:kern w:val="0"/>
      <w:sz w:val="20"/>
      <w:szCs w:val="20"/>
      <w:lang w:eastAsia="en-AU"/>
      <w14:ligatures w14:val="none"/>
    </w:rPr>
  </w:style>
  <w:style w:type="paragraph" w:customStyle="1" w:styleId="Tablenotes0">
    <w:name w:val="Table notes"/>
    <w:basedOn w:val="Normal"/>
    <w:link w:val="TablenotesChar0"/>
    <w:qFormat/>
    <w:rsid w:val="00D95E54"/>
    <w:pPr>
      <w:spacing w:before="120" w:line="259" w:lineRule="auto"/>
      <w:contextualSpacing/>
      <w:jc w:val="both"/>
    </w:pPr>
    <w:rPr>
      <w:rFonts w:ascii="Arial Narrow" w:eastAsia="SimSun" w:hAnsi="Arial Narrow" w:cs="Arial"/>
      <w:sz w:val="18"/>
    </w:rPr>
  </w:style>
  <w:style w:type="character" w:customStyle="1" w:styleId="TablenotesChar0">
    <w:name w:val="Table notes Char"/>
    <w:basedOn w:val="DefaultParagraphFont"/>
    <w:link w:val="Tablenotes0"/>
    <w:rsid w:val="00D95E54"/>
    <w:rPr>
      <w:rFonts w:ascii="Arial Narrow" w:eastAsia="SimSun" w:hAnsi="Arial Narrow" w:cs="Arial"/>
      <w:kern w:val="0"/>
      <w:sz w:val="18"/>
      <w14:ligatures w14:val="none"/>
    </w:rPr>
  </w:style>
  <w:style w:type="numbering" w:customStyle="1" w:styleId="ESSectionheading-numbered">
    <w:name w:val="ES. Section heading - numbered"/>
    <w:uiPriority w:val="99"/>
    <w:rsid w:val="00D95E54"/>
    <w:pPr>
      <w:numPr>
        <w:numId w:val="6"/>
      </w:numPr>
    </w:pPr>
  </w:style>
  <w:style w:type="paragraph" w:customStyle="1" w:styleId="2-SectionHeading">
    <w:name w:val="2-Section Heading"/>
    <w:qFormat/>
    <w:rsid w:val="00D95E54"/>
    <w:pPr>
      <w:keepNext/>
      <w:numPr>
        <w:numId w:val="7"/>
      </w:numPr>
      <w:spacing w:before="240" w:after="120" w:line="240" w:lineRule="auto"/>
      <w:outlineLvl w:val="0"/>
    </w:pPr>
    <w:rPr>
      <w:rFonts w:eastAsia="Times New Roman" w:cs="Arial"/>
      <w:b/>
      <w:snapToGrid w:val="0"/>
      <w:kern w:val="0"/>
      <w:sz w:val="32"/>
      <w:szCs w:val="32"/>
      <w:lang w:eastAsia="en-AU"/>
      <w14:ligatures w14:val="none"/>
    </w:rPr>
  </w:style>
  <w:style w:type="paragraph" w:customStyle="1" w:styleId="3-BodyText">
    <w:name w:val="3-Body Text"/>
    <w:basedOn w:val="ListParagraph"/>
    <w:qFormat/>
    <w:rsid w:val="00D95E54"/>
    <w:pPr>
      <w:numPr>
        <w:ilvl w:val="1"/>
        <w:numId w:val="7"/>
      </w:numPr>
      <w:tabs>
        <w:tab w:val="num" w:pos="360"/>
      </w:tabs>
      <w:spacing w:after="120"/>
      <w:contextualSpacing w:val="0"/>
    </w:pPr>
    <w:rPr>
      <w:rFonts w:asciiTheme="minorHAnsi" w:eastAsia="Times New Roman" w:hAnsiTheme="minorHAnsi" w:cs="Arial"/>
      <w:snapToGrid w:val="0"/>
      <w:sz w:val="24"/>
      <w:szCs w:val="24"/>
      <w:lang w:eastAsia="en-AU"/>
    </w:rPr>
  </w:style>
  <w:style w:type="paragraph" w:customStyle="1" w:styleId="BoxName0">
    <w:name w:val="Box Name"/>
    <w:basedOn w:val="Normal"/>
    <w:qFormat/>
    <w:rsid w:val="00D95E54"/>
    <w:pPr>
      <w:pBdr>
        <w:top w:val="single" w:sz="4" w:space="4" w:color="auto"/>
        <w:left w:val="single" w:sz="4" w:space="4" w:color="auto"/>
        <w:bottom w:val="single" w:sz="4" w:space="4" w:color="auto"/>
        <w:right w:val="single" w:sz="4" w:space="4" w:color="auto"/>
      </w:pBdr>
      <w:spacing w:before="120" w:after="120"/>
      <w:jc w:val="both"/>
    </w:pPr>
    <w:rPr>
      <w:rFonts w:ascii="Franklin Gothic Medium" w:eastAsia="SimSun" w:hAnsi="Franklin Gothic Medium"/>
      <w:sz w:val="21"/>
    </w:rPr>
  </w:style>
  <w:style w:type="character" w:customStyle="1" w:styleId="InstructionBulletpointChar">
    <w:name w:val="Instruction Bullet point Char"/>
    <w:basedOn w:val="DefaultParagraphFont"/>
    <w:link w:val="InstructionBulletpoint"/>
    <w:uiPriority w:val="3"/>
    <w:locked/>
    <w:rsid w:val="00D95E54"/>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D95E54"/>
    <w:pPr>
      <w:numPr>
        <w:numId w:val="8"/>
      </w:numPr>
      <w:spacing w:before="120" w:after="120"/>
      <w:jc w:val="both"/>
    </w:pPr>
    <w:rPr>
      <w:rFonts w:ascii="Calibri" w:hAnsi="Calibri" w:cs="Calibri"/>
      <w:color w:val="0070C0"/>
      <w:kern w:val="2"/>
      <w:sz w:val="24"/>
      <w14:ligatures w14:val="standardContextual"/>
    </w:rPr>
  </w:style>
  <w:style w:type="character" w:customStyle="1" w:styleId="TableFooterChar">
    <w:name w:val="Table Footer Char"/>
    <w:link w:val="TableFooter"/>
    <w:locked/>
    <w:rsid w:val="00D95E54"/>
    <w:rPr>
      <w:rFonts w:ascii="Arial Narrow" w:eastAsia="Times New Roman" w:hAnsi="Arial Narrow" w:cs="Arial"/>
      <w:sz w:val="18"/>
      <w:szCs w:val="20"/>
    </w:rPr>
  </w:style>
  <w:style w:type="paragraph" w:customStyle="1" w:styleId="TableFooter">
    <w:name w:val="Table Footer"/>
    <w:basedOn w:val="Normal"/>
    <w:link w:val="TableFooterChar"/>
    <w:qFormat/>
    <w:rsid w:val="00D95E54"/>
    <w:pPr>
      <w:widowControl w:val="0"/>
      <w:snapToGrid w:val="0"/>
      <w:spacing w:before="120"/>
      <w:contextualSpacing/>
      <w:jc w:val="both"/>
    </w:pPr>
    <w:rPr>
      <w:rFonts w:ascii="Arial Narrow" w:eastAsia="Times New Roman" w:hAnsi="Arial Narrow" w:cs="Arial"/>
      <w:kern w:val="2"/>
      <w:sz w:val="18"/>
      <w:szCs w:val="20"/>
      <w14:ligatures w14:val="standardContextual"/>
    </w:rPr>
  </w:style>
  <w:style w:type="table" w:customStyle="1" w:styleId="PBACTableStyle">
    <w:name w:val="PBAC Table Style"/>
    <w:basedOn w:val="TableGrid10"/>
    <w:uiPriority w:val="99"/>
    <w:rsid w:val="00D95E54"/>
    <w:pPr>
      <w:widowControl w:val="0"/>
      <w:spacing w:before="120" w:after="0" w:line="240" w:lineRule="auto"/>
      <w:contextualSpacing/>
      <w:jc w:val="center"/>
    </w:pPr>
    <w:rPr>
      <w:rFonts w:ascii="Arial Narrow" w:hAnsi="Arial Narrow"/>
      <w:color w:val="000000" w:themeColor="text1"/>
      <w:sz w:val="20"/>
      <w:szCs w:val="20"/>
      <w:lang w:val="en-NZ"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Symbol" w:hAnsi="Segoe UI Symbol"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Symbol" w:hAnsi="Segoe UI Symbol"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Symbol" w:hAnsi="Segoe UI Symbol"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95E54"/>
    <w:rPr>
      <w:rFonts w:eastAsia="SimSun"/>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D95E54"/>
    <w:rPr>
      <w:rFonts w:ascii="Times New Roman" w:hAnsi="Times New Roman" w:cs="Times New Roman"/>
      <w:sz w:val="24"/>
    </w:rPr>
  </w:style>
  <w:style w:type="paragraph" w:customStyle="1" w:styleId="MSACESParagraph">
    <w:name w:val="MSAC ES Paragraph"/>
    <w:link w:val="MSACESParagraphChar"/>
    <w:uiPriority w:val="1"/>
    <w:qFormat/>
    <w:rsid w:val="00D95E54"/>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D95E54"/>
    <w:pPr>
      <w:spacing w:before="120" w:after="0"/>
      <w:jc w:val="both"/>
    </w:pPr>
    <w:rPr>
      <w:rFonts w:eastAsia="SimSun"/>
      <w:sz w:val="18"/>
      <w:szCs w:val="20"/>
    </w:rPr>
  </w:style>
  <w:style w:type="character" w:customStyle="1" w:styleId="FootnoteTextChar">
    <w:name w:val="Footnote Text Char"/>
    <w:basedOn w:val="DefaultParagraphFont"/>
    <w:link w:val="FootnoteText"/>
    <w:uiPriority w:val="99"/>
    <w:rsid w:val="00D95E54"/>
    <w:rPr>
      <w:rFonts w:eastAsia="SimSun"/>
      <w:kern w:val="0"/>
      <w:sz w:val="18"/>
      <w:szCs w:val="20"/>
      <w14:ligatures w14:val="none"/>
    </w:rPr>
  </w:style>
  <w:style w:type="character" w:styleId="FootnoteReference">
    <w:name w:val="footnote reference"/>
    <w:basedOn w:val="DefaultParagraphFont"/>
    <w:uiPriority w:val="99"/>
    <w:unhideWhenUsed/>
    <w:rsid w:val="00D95E54"/>
    <w:rPr>
      <w:vertAlign w:val="superscript"/>
    </w:rPr>
  </w:style>
  <w:style w:type="paragraph" w:customStyle="1" w:styleId="TableFigNoteHanging">
    <w:name w:val="TableFigNoteHanging"/>
    <w:basedOn w:val="TableFigNoteHangingLast"/>
    <w:qFormat/>
    <w:rsid w:val="00D95E54"/>
    <w:pPr>
      <w:spacing w:after="0"/>
      <w:contextualSpacing w:val="0"/>
    </w:pPr>
    <w:rPr>
      <w:rFonts w:asciiTheme="minorHAnsi" w:hAnsiTheme="minorHAnsi"/>
    </w:rPr>
  </w:style>
  <w:style w:type="table" w:customStyle="1" w:styleId="TableGrid2">
    <w:name w:val="Table Grid2"/>
    <w:basedOn w:val="TableNormal"/>
    <w:next w:val="TableGrid"/>
    <w:uiPriority w:val="59"/>
    <w:rsid w:val="00D95E54"/>
    <w:pPr>
      <w:spacing w:after="240" w:line="240" w:lineRule="auto"/>
      <w:ind w:left="720"/>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D95E54"/>
    <w:pPr>
      <w:spacing w:before="120" w:after="100" w:afterAutospacing="1" w:line="259" w:lineRule="auto"/>
      <w:jc w:val="both"/>
    </w:pPr>
    <w:rPr>
      <w:rFonts w:ascii="Arial Narrow" w:eastAsia="Times New Roman" w:hAnsi="Arial Narrow" w:cs="Tahoma"/>
      <w:b/>
      <w:lang w:eastAsia="en-AU"/>
    </w:rPr>
  </w:style>
  <w:style w:type="paragraph" w:customStyle="1" w:styleId="TableText1">
    <w:name w:val="TableText"/>
    <w:basedOn w:val="Normal"/>
    <w:link w:val="TableTextChar1"/>
    <w:rsid w:val="00D95E54"/>
    <w:pPr>
      <w:keepNext/>
      <w:spacing w:before="40" w:after="40" w:line="259" w:lineRule="auto"/>
      <w:jc w:val="both"/>
    </w:pPr>
    <w:rPr>
      <w:rFonts w:ascii="Arial Narrow" w:eastAsia="Times New Roman" w:hAnsi="Arial Narrow" w:cs="Tahoma"/>
      <w:sz w:val="18"/>
      <w:lang w:eastAsia="en-AU"/>
    </w:rPr>
  </w:style>
  <w:style w:type="character" w:customStyle="1" w:styleId="TableTextChar1">
    <w:name w:val="TableText Char"/>
    <w:link w:val="TableText1"/>
    <w:rsid w:val="00D95E54"/>
    <w:rPr>
      <w:rFonts w:ascii="Arial Narrow" w:eastAsia="Times New Roman" w:hAnsi="Arial Narrow" w:cs="Tahoma"/>
      <w:kern w:val="0"/>
      <w:sz w:val="18"/>
      <w:lang w:eastAsia="en-AU"/>
      <w14:ligatures w14:val="none"/>
    </w:rPr>
  </w:style>
  <w:style w:type="paragraph" w:customStyle="1" w:styleId="References">
    <w:name w:val="References"/>
    <w:basedOn w:val="Normal"/>
    <w:rsid w:val="00D95E54"/>
    <w:pPr>
      <w:keepLines/>
      <w:spacing w:before="120" w:line="312" w:lineRule="auto"/>
      <w:ind w:left="1440" w:hanging="720"/>
      <w:jc w:val="both"/>
    </w:pPr>
    <w:rPr>
      <w:rFonts w:ascii="Calibri" w:eastAsia="Times New Roman" w:hAnsi="Calibri" w:cs="Tahoma"/>
      <w:lang w:eastAsia="en-AU"/>
    </w:rPr>
  </w:style>
  <w:style w:type="paragraph" w:styleId="Title">
    <w:name w:val="Title"/>
    <w:basedOn w:val="Normal"/>
    <w:next w:val="Normal"/>
    <w:link w:val="TitleChar"/>
    <w:qFormat/>
    <w:rsid w:val="00D95E54"/>
    <w:pPr>
      <w:spacing w:before="48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D95E54"/>
    <w:rPr>
      <w:rFonts w:ascii="Arial" w:eastAsia="Times New Roman" w:hAnsi="Arial" w:cs="Arial"/>
      <w:b/>
      <w:bCs/>
      <w:color w:val="000080"/>
      <w:kern w:val="0"/>
      <w:sz w:val="36"/>
      <w:szCs w:val="36"/>
      <w:lang w:eastAsia="en-AU"/>
      <w14:ligatures w14:val="none"/>
    </w:rPr>
  </w:style>
  <w:style w:type="paragraph" w:customStyle="1" w:styleId="ESHeading1">
    <w:name w:val="ES Heading1"/>
    <w:basedOn w:val="Heading2"/>
    <w:next w:val="Normal"/>
    <w:qFormat/>
    <w:rsid w:val="00D95E54"/>
    <w:pPr>
      <w:numPr>
        <w:ilvl w:val="0"/>
        <w:numId w:val="9"/>
      </w:numPr>
      <w:spacing w:before="240"/>
      <w:jc w:val="both"/>
    </w:pPr>
  </w:style>
  <w:style w:type="paragraph" w:customStyle="1" w:styleId="NormalBeforeBullet0">
    <w:name w:val="Normal Before Bullet"/>
    <w:basedOn w:val="Normal"/>
    <w:qFormat/>
    <w:rsid w:val="00D95E54"/>
    <w:pPr>
      <w:keepNext/>
      <w:spacing w:before="120" w:after="120"/>
      <w:jc w:val="both"/>
    </w:pPr>
    <w:rPr>
      <w:rFonts w:eastAsia="SimSun"/>
    </w:rPr>
  </w:style>
  <w:style w:type="paragraph" w:customStyle="1" w:styleId="Dash">
    <w:name w:val="Dash"/>
    <w:basedOn w:val="Bullet"/>
    <w:qFormat/>
    <w:rsid w:val="00D95E54"/>
    <w:pPr>
      <w:numPr>
        <w:numId w:val="10"/>
      </w:numPr>
      <w:spacing w:before="120" w:after="40"/>
      <w:jc w:val="both"/>
    </w:pPr>
    <w:rPr>
      <w:rFonts w:asciiTheme="minorHAnsi" w:eastAsia="SimSun" w:hAnsiTheme="minorHAnsi" w:cstheme="minorBidi"/>
      <w:color w:val="auto"/>
      <w:szCs w:val="22"/>
      <w:lang w:eastAsia="en-US"/>
    </w:rPr>
  </w:style>
  <w:style w:type="character" w:customStyle="1" w:styleId="UnresolvedMention1">
    <w:name w:val="Unresolved Mention1"/>
    <w:basedOn w:val="DefaultParagraphFont"/>
    <w:uiPriority w:val="99"/>
    <w:semiHidden/>
    <w:unhideWhenUsed/>
    <w:rsid w:val="00D95E54"/>
    <w:rPr>
      <w:color w:val="605E5C"/>
      <w:shd w:val="clear" w:color="auto" w:fill="E1DFDD"/>
    </w:rPr>
  </w:style>
  <w:style w:type="paragraph" w:customStyle="1" w:styleId="Instructionaltext-afterfiguretable">
    <w:name w:val="Instructional text - after figure/table"/>
    <w:basedOn w:val="Instructionaltext"/>
    <w:qFormat/>
    <w:rsid w:val="00D95E54"/>
    <w:pPr>
      <w:spacing w:before="360"/>
      <w:jc w:val="both"/>
    </w:pPr>
    <w:rPr>
      <w:rFonts w:eastAsia="SimSun"/>
    </w:rPr>
  </w:style>
  <w:style w:type="paragraph" w:customStyle="1" w:styleId="Guidelinescross-ref">
    <w:name w:val="Guidelines cross-ref"/>
    <w:basedOn w:val="Normal"/>
    <w:qFormat/>
    <w:rsid w:val="00D95E54"/>
    <w:pPr>
      <w:spacing w:before="240" w:line="259" w:lineRule="auto"/>
      <w:jc w:val="both"/>
    </w:pPr>
    <w:rPr>
      <w:rFonts w:ascii="Franklin Gothic Book" w:eastAsia="SimSun" w:hAnsi="Franklin Gothic Book"/>
      <w:b/>
      <w:color w:val="0070C0"/>
      <w:sz w:val="24"/>
    </w:rPr>
  </w:style>
  <w:style w:type="paragraph" w:styleId="Revision">
    <w:name w:val="Revision"/>
    <w:hidden/>
    <w:uiPriority w:val="99"/>
    <w:semiHidden/>
    <w:rsid w:val="00D95E54"/>
    <w:pPr>
      <w:spacing w:after="0" w:line="240" w:lineRule="auto"/>
    </w:pPr>
    <w:rPr>
      <w:rFonts w:ascii="Franklin Gothic Book" w:eastAsia="SimSun" w:hAnsi="Franklin Gothic Book"/>
      <w:kern w:val="0"/>
      <w14:ligatures w14:val="none"/>
    </w:rPr>
  </w:style>
  <w:style w:type="character" w:customStyle="1" w:styleId="UnresolvedMention2">
    <w:name w:val="Unresolved Mention2"/>
    <w:basedOn w:val="DefaultParagraphFont"/>
    <w:uiPriority w:val="99"/>
    <w:semiHidden/>
    <w:unhideWhenUsed/>
    <w:rsid w:val="00D95E54"/>
    <w:rPr>
      <w:color w:val="605E5C"/>
      <w:shd w:val="clear" w:color="auto" w:fill="E1DFDD"/>
    </w:rPr>
  </w:style>
  <w:style w:type="character" w:customStyle="1" w:styleId="UnresolvedMention3">
    <w:name w:val="Unresolved Mention3"/>
    <w:basedOn w:val="DefaultParagraphFont"/>
    <w:uiPriority w:val="99"/>
    <w:unhideWhenUsed/>
    <w:rsid w:val="00D95E54"/>
    <w:rPr>
      <w:color w:val="605E5C"/>
      <w:shd w:val="clear" w:color="auto" w:fill="E1DFDD"/>
    </w:rPr>
  </w:style>
  <w:style w:type="character" w:customStyle="1" w:styleId="Mention1">
    <w:name w:val="Mention1"/>
    <w:basedOn w:val="DefaultParagraphFont"/>
    <w:uiPriority w:val="99"/>
    <w:unhideWhenUsed/>
    <w:rsid w:val="00D95E54"/>
    <w:rPr>
      <w:color w:val="2B579A"/>
      <w:shd w:val="clear" w:color="auto" w:fill="E1DFDD"/>
    </w:rPr>
  </w:style>
  <w:style w:type="paragraph" w:customStyle="1" w:styleId="Notes-TableFigure">
    <w:name w:val="Notes - Table/Figure"/>
    <w:basedOn w:val="Normal"/>
    <w:link w:val="Notes-TableFigureChar"/>
    <w:qFormat/>
    <w:rsid w:val="00D95E54"/>
    <w:pPr>
      <w:spacing w:before="120" w:after="360"/>
      <w:contextualSpacing/>
      <w:jc w:val="both"/>
    </w:pPr>
    <w:rPr>
      <w:rFonts w:ascii="Arial Narrow" w:eastAsia="SimSun" w:hAnsi="Arial Narrow"/>
      <w:sz w:val="18"/>
      <w:lang w:val="en-US"/>
    </w:rPr>
  </w:style>
  <w:style w:type="character" w:customStyle="1" w:styleId="Notes-TableFigureChar">
    <w:name w:val="Notes - Table/Figure Char"/>
    <w:basedOn w:val="DefaultParagraphFont"/>
    <w:link w:val="Notes-TableFigure"/>
    <w:rsid w:val="00D95E54"/>
    <w:rPr>
      <w:rFonts w:ascii="Arial Narrow" w:eastAsia="SimSun" w:hAnsi="Arial Narrow"/>
      <w:kern w:val="0"/>
      <w:sz w:val="18"/>
      <w:lang w:val="en-US"/>
      <w14:ligatures w14:val="none"/>
    </w:rPr>
  </w:style>
  <w:style w:type="paragraph" w:customStyle="1" w:styleId="Heading2execsummary">
    <w:name w:val="Heading 2 exec summary"/>
    <w:basedOn w:val="Heading2"/>
    <w:next w:val="Normal"/>
    <w:link w:val="Heading2execsummaryChar"/>
    <w:qFormat/>
    <w:rsid w:val="00D95E54"/>
    <w:pPr>
      <w:numPr>
        <w:ilvl w:val="0"/>
        <w:numId w:val="12"/>
      </w:numPr>
      <w:spacing w:before="0"/>
      <w:jc w:val="both"/>
    </w:pPr>
    <w:rPr>
      <w:lang w:val="en-US"/>
    </w:rPr>
  </w:style>
  <w:style w:type="character" w:customStyle="1" w:styleId="Heading2execsummaryChar">
    <w:name w:val="Heading 2 exec summary Char"/>
    <w:basedOn w:val="Heading2Char"/>
    <w:link w:val="Heading2execsummary"/>
    <w:rsid w:val="00D95E54"/>
    <w:rPr>
      <w:rFonts w:ascii="Franklin Gothic Medium" w:eastAsiaTheme="majorEastAsia" w:hAnsi="Franklin Gothic Medium" w:cstheme="majorBidi"/>
      <w:color w:val="000000" w:themeColor="text1"/>
      <w:kern w:val="0"/>
      <w:sz w:val="32"/>
      <w:szCs w:val="26"/>
      <w:lang w:val="en-US"/>
      <w14:ligatures w14:val="none"/>
    </w:rPr>
  </w:style>
  <w:style w:type="paragraph" w:customStyle="1" w:styleId="Heading3nonumbers">
    <w:name w:val="Heading 3 no numbers"/>
    <w:basedOn w:val="Heading3"/>
    <w:next w:val="Normal"/>
    <w:link w:val="Heading3nonumbersChar"/>
    <w:qFormat/>
    <w:rsid w:val="00D95E54"/>
    <w:pPr>
      <w:numPr>
        <w:ilvl w:val="0"/>
        <w:numId w:val="0"/>
      </w:numPr>
      <w:tabs>
        <w:tab w:val="clear" w:pos="851"/>
      </w:tabs>
      <w:jc w:val="both"/>
    </w:pPr>
    <w:rPr>
      <w:color w:val="000000" w:themeColor="text1"/>
      <w:lang w:val="en-US"/>
    </w:rPr>
  </w:style>
  <w:style w:type="character" w:customStyle="1" w:styleId="Heading3nonumbersChar">
    <w:name w:val="Heading 3 no numbers Char"/>
    <w:basedOn w:val="Heading3Char"/>
    <w:link w:val="Heading3nonumbers"/>
    <w:rsid w:val="00D95E54"/>
    <w:rPr>
      <w:rFonts w:ascii="Franklin Gothic Medium" w:eastAsiaTheme="majorEastAsia" w:hAnsi="Franklin Gothic Medium" w:cstheme="majorBidi"/>
      <w:color w:val="000000" w:themeColor="text1"/>
      <w:kern w:val="0"/>
      <w:sz w:val="24"/>
      <w:szCs w:val="24"/>
      <w:lang w:val="en-US"/>
      <w14:ligatures w14:val="none"/>
    </w:rPr>
  </w:style>
  <w:style w:type="paragraph" w:customStyle="1" w:styleId="BodyTextSTD">
    <w:name w:val="Body Text STD"/>
    <w:basedOn w:val="Normal"/>
    <w:link w:val="BodyTextSTDChar"/>
    <w:rsid w:val="00D95E54"/>
    <w:pPr>
      <w:spacing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D95E54"/>
    <w:rPr>
      <w:rFonts w:ascii="Calibri" w:eastAsia="Times New Roman" w:hAnsi="Calibri" w:cs="Tahoma"/>
      <w:kern w:val="0"/>
      <w:lang w:eastAsia="en-AU"/>
      <w14:ligatures w14:val="none"/>
    </w:rPr>
  </w:style>
  <w:style w:type="paragraph" w:customStyle="1" w:styleId="Rosscomments">
    <w:name w:val="Ross comments"/>
    <w:basedOn w:val="Normal"/>
    <w:qFormat/>
    <w:rsid w:val="00D95E54"/>
    <w:pPr>
      <w:spacing w:before="120" w:after="160" w:line="259" w:lineRule="auto"/>
      <w:jc w:val="both"/>
    </w:pPr>
    <w:rPr>
      <w:rFonts w:ascii="Franklin Gothic Book" w:eastAsia="SimSun" w:hAnsi="Franklin Gothic Book"/>
      <w:i/>
      <w:iCs/>
      <w:color w:val="FF0000"/>
    </w:rPr>
  </w:style>
  <w:style w:type="paragraph" w:customStyle="1" w:styleId="Style1">
    <w:name w:val="Style1"/>
    <w:basedOn w:val="Instructionaltext"/>
    <w:qFormat/>
    <w:rsid w:val="00D95E54"/>
    <w:pPr>
      <w:jc w:val="both"/>
    </w:pPr>
    <w:rPr>
      <w:rFonts w:eastAsia="SimSun"/>
      <w:color w:val="auto"/>
    </w:rPr>
  </w:style>
  <w:style w:type="character" w:customStyle="1" w:styleId="ilfuvd">
    <w:name w:val="ilfuvd"/>
    <w:basedOn w:val="DefaultParagraphFont"/>
    <w:rsid w:val="00D95E54"/>
  </w:style>
  <w:style w:type="character" w:customStyle="1" w:styleId="TableHeadingChar0">
    <w:name w:val="Table Heading Char"/>
    <w:basedOn w:val="DefaultParagraphFont"/>
    <w:link w:val="TableHeading0"/>
    <w:rsid w:val="00D95E54"/>
    <w:rPr>
      <w:rFonts w:ascii="Arial Narrow" w:eastAsia="SimSun" w:hAnsi="Arial Narrow"/>
      <w:b/>
      <w:kern w:val="0"/>
      <w:sz w:val="20"/>
      <w14:ligatures w14:val="none"/>
    </w:rPr>
  </w:style>
  <w:style w:type="table" w:styleId="TableGridLight">
    <w:name w:val="Grid Table Light"/>
    <w:basedOn w:val="TableNormal"/>
    <w:uiPriority w:val="40"/>
    <w:rsid w:val="00D95E54"/>
    <w:pPr>
      <w:spacing w:after="0" w:line="240" w:lineRule="auto"/>
    </w:pPr>
    <w:rPr>
      <w:rFonts w:eastAsia="SimSun"/>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D95E54"/>
    <w:pPr>
      <w:widowControl w:val="0"/>
      <w:autoSpaceDE w:val="0"/>
      <w:autoSpaceDN w:val="0"/>
      <w:spacing w:before="120" w:after="120" w:line="276" w:lineRule="auto"/>
      <w:jc w:val="both"/>
    </w:pPr>
    <w:rPr>
      <w:rFonts w:ascii="Franklin Gothic Book" w:eastAsia="SimSun" w:hAnsi="Franklin Gothic Book"/>
      <w:lang w:val="en-US"/>
    </w:rPr>
  </w:style>
  <w:style w:type="character" w:customStyle="1" w:styleId="BodyTextChar">
    <w:name w:val="Body Text Char"/>
    <w:basedOn w:val="DefaultParagraphFont"/>
    <w:link w:val="BodyText"/>
    <w:uiPriority w:val="1"/>
    <w:rsid w:val="00D95E54"/>
    <w:rPr>
      <w:rFonts w:ascii="Franklin Gothic Book" w:eastAsia="SimSun" w:hAnsi="Franklin Gothic Book"/>
      <w:kern w:val="0"/>
      <w:lang w:val="en-US"/>
      <w14:ligatures w14:val="none"/>
    </w:rPr>
  </w:style>
  <w:style w:type="character" w:customStyle="1" w:styleId="normaltextrun">
    <w:name w:val="normaltextrun"/>
    <w:basedOn w:val="DefaultParagraphFont"/>
    <w:rsid w:val="00D95E54"/>
  </w:style>
  <w:style w:type="paragraph" w:styleId="NormalWeb">
    <w:name w:val="Normal (Web)"/>
    <w:basedOn w:val="Normal"/>
    <w:uiPriority w:val="99"/>
    <w:semiHidden/>
    <w:unhideWhenUsed/>
    <w:rsid w:val="00D95E54"/>
    <w:pPr>
      <w:spacing w:before="120" w:after="160" w:line="259" w:lineRule="auto"/>
      <w:jc w:val="both"/>
    </w:pPr>
    <w:rPr>
      <w:rFonts w:ascii="Times New Roman" w:eastAsia="SimSun" w:hAnsi="Times New Roman" w:cs="Times New Roman"/>
      <w:sz w:val="24"/>
      <w:szCs w:val="24"/>
    </w:rPr>
  </w:style>
  <w:style w:type="paragraph" w:customStyle="1" w:styleId="EndNoteBibliographyTitle">
    <w:name w:val="EndNote Bibliography Title"/>
    <w:basedOn w:val="Normal"/>
    <w:link w:val="EndNoteBibliographyTitleChar"/>
    <w:rsid w:val="00D95E54"/>
    <w:pPr>
      <w:spacing w:before="120" w:after="0" w:line="259" w:lineRule="auto"/>
      <w:jc w:val="center"/>
    </w:pPr>
    <w:rPr>
      <w:rFonts w:ascii="Franklin Gothic Book" w:eastAsia="SimSun" w:hAnsi="Franklin Gothic Book"/>
      <w:noProof/>
      <w:lang w:val="en-US"/>
    </w:rPr>
  </w:style>
  <w:style w:type="character" w:customStyle="1" w:styleId="EndNoteBibliographyTitleChar">
    <w:name w:val="EndNote Bibliography Title Char"/>
    <w:basedOn w:val="DefaultParagraphFont"/>
    <w:link w:val="EndNoteBibliographyTitle"/>
    <w:rsid w:val="00D95E54"/>
    <w:rPr>
      <w:rFonts w:ascii="Franklin Gothic Book" w:eastAsia="SimSun" w:hAnsi="Franklin Gothic Book"/>
      <w:noProof/>
      <w:kern w:val="0"/>
      <w:lang w:val="en-US"/>
      <w14:ligatures w14:val="none"/>
    </w:rPr>
  </w:style>
  <w:style w:type="paragraph" w:customStyle="1" w:styleId="EndNoteBibliography">
    <w:name w:val="EndNote Bibliography"/>
    <w:basedOn w:val="Normal"/>
    <w:link w:val="EndNoteBibliographyChar"/>
    <w:rsid w:val="00D95E54"/>
    <w:pPr>
      <w:spacing w:before="120" w:after="160"/>
      <w:jc w:val="both"/>
    </w:pPr>
    <w:rPr>
      <w:rFonts w:ascii="Franklin Gothic Book" w:eastAsia="SimSun" w:hAnsi="Franklin Gothic Book"/>
      <w:noProof/>
      <w:lang w:val="en-US"/>
    </w:rPr>
  </w:style>
  <w:style w:type="character" w:customStyle="1" w:styleId="EndNoteBibliographyChar">
    <w:name w:val="EndNote Bibliography Char"/>
    <w:basedOn w:val="DefaultParagraphFont"/>
    <w:link w:val="EndNoteBibliography"/>
    <w:rsid w:val="00D95E54"/>
    <w:rPr>
      <w:rFonts w:ascii="Franklin Gothic Book" w:eastAsia="SimSun" w:hAnsi="Franklin Gothic Book"/>
      <w:noProof/>
      <w:kern w:val="0"/>
      <w:lang w:val="en-US"/>
      <w14:ligatures w14:val="none"/>
    </w:rPr>
  </w:style>
  <w:style w:type="character" w:customStyle="1" w:styleId="findhit">
    <w:name w:val="findhit"/>
    <w:basedOn w:val="DefaultParagraphFont"/>
    <w:rsid w:val="00D95E54"/>
  </w:style>
  <w:style w:type="character" w:customStyle="1" w:styleId="eop">
    <w:name w:val="eop"/>
    <w:basedOn w:val="DefaultParagraphFont"/>
    <w:rsid w:val="00D95E54"/>
  </w:style>
  <w:style w:type="character" w:customStyle="1" w:styleId="cf01">
    <w:name w:val="cf01"/>
    <w:basedOn w:val="DefaultParagraphFont"/>
    <w:rsid w:val="00D95E54"/>
    <w:rPr>
      <w:rFonts w:ascii="Segoe UI" w:hAnsi="Segoe UI" w:cs="Segoe UI" w:hint="default"/>
      <w:sz w:val="18"/>
      <w:szCs w:val="18"/>
      <w:shd w:val="clear" w:color="auto" w:fill="FFFFFF"/>
    </w:rPr>
  </w:style>
  <w:style w:type="paragraph" w:customStyle="1" w:styleId="paragraph">
    <w:name w:val="paragraph"/>
    <w:basedOn w:val="Normal"/>
    <w:rsid w:val="00D95E54"/>
    <w:pPr>
      <w:spacing w:before="100" w:beforeAutospacing="1" w:after="100" w:afterAutospacing="1"/>
      <w:jc w:val="both"/>
    </w:pPr>
    <w:rPr>
      <w:rFonts w:ascii="Times New Roman" w:eastAsia="Times New Roman" w:hAnsi="Times New Roman" w:cs="Times New Roman"/>
      <w:sz w:val="24"/>
      <w:szCs w:val="24"/>
      <w:lang w:val="en-GB" w:eastAsia="en-GB"/>
    </w:rPr>
  </w:style>
  <w:style w:type="table" w:customStyle="1" w:styleId="TableGrid3">
    <w:name w:val="Table Grid3"/>
    <w:basedOn w:val="TableNormal"/>
    <w:next w:val="TableGrid"/>
    <w:uiPriority w:val="39"/>
    <w:rsid w:val="00D95E54"/>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5E54"/>
    <w:pPr>
      <w:widowControl w:val="0"/>
      <w:spacing w:after="0"/>
      <w:jc w:val="both"/>
    </w:pPr>
    <w:rPr>
      <w:rFonts w:eastAsia="SimSun"/>
      <w:lang w:val="en-US"/>
    </w:rPr>
  </w:style>
  <w:style w:type="paragraph" w:customStyle="1" w:styleId="ql-indent-1">
    <w:name w:val="ql-indent-1"/>
    <w:basedOn w:val="Normal"/>
    <w:rsid w:val="00D95E54"/>
    <w:pPr>
      <w:spacing w:before="100" w:beforeAutospacing="1" w:after="100" w:afterAutospacing="1"/>
      <w:jc w:val="both"/>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D95E54"/>
  </w:style>
  <w:style w:type="character" w:styleId="Mention">
    <w:name w:val="Mention"/>
    <w:basedOn w:val="DefaultParagraphFont"/>
    <w:uiPriority w:val="99"/>
    <w:unhideWhenUsed/>
    <w:rsid w:val="00D95E54"/>
    <w:rPr>
      <w:color w:val="2B579A"/>
      <w:shd w:val="clear" w:color="auto" w:fill="E1DFDD"/>
    </w:rPr>
  </w:style>
  <w:style w:type="paragraph" w:customStyle="1" w:styleId="Default">
    <w:name w:val="Default"/>
    <w:rsid w:val="00D95E54"/>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D9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09029">
      <w:bodyDiv w:val="1"/>
      <w:marLeft w:val="0"/>
      <w:marRight w:val="0"/>
      <w:marTop w:val="0"/>
      <w:marBottom w:val="0"/>
      <w:divBdr>
        <w:top w:val="none" w:sz="0" w:space="0" w:color="auto"/>
        <w:left w:val="none" w:sz="0" w:space="0" w:color="auto"/>
        <w:bottom w:val="none" w:sz="0" w:space="0" w:color="auto"/>
        <w:right w:val="none" w:sz="0" w:space="0" w:color="auto"/>
      </w:divBdr>
      <w:divsChild>
        <w:div w:id="453643015">
          <w:marLeft w:val="547"/>
          <w:marRight w:val="0"/>
          <w:marTop w:val="0"/>
          <w:marBottom w:val="120"/>
          <w:divBdr>
            <w:top w:val="none" w:sz="0" w:space="0" w:color="auto"/>
            <w:left w:val="none" w:sz="0" w:space="0" w:color="auto"/>
            <w:bottom w:val="none" w:sz="0" w:space="0" w:color="auto"/>
            <w:right w:val="none" w:sz="0" w:space="0" w:color="auto"/>
          </w:divBdr>
        </w:div>
      </w:divsChild>
    </w:div>
    <w:div w:id="890458635">
      <w:bodyDiv w:val="1"/>
      <w:marLeft w:val="0"/>
      <w:marRight w:val="0"/>
      <w:marTop w:val="0"/>
      <w:marBottom w:val="0"/>
      <w:divBdr>
        <w:top w:val="none" w:sz="0" w:space="0" w:color="auto"/>
        <w:left w:val="none" w:sz="0" w:space="0" w:color="auto"/>
        <w:bottom w:val="none" w:sz="0" w:space="0" w:color="auto"/>
        <w:right w:val="none" w:sz="0" w:space="0" w:color="auto"/>
      </w:divBdr>
      <w:divsChild>
        <w:div w:id="1357584223">
          <w:marLeft w:val="446"/>
          <w:marRight w:val="0"/>
          <w:marTop w:val="0"/>
          <w:marBottom w:val="120"/>
          <w:divBdr>
            <w:top w:val="none" w:sz="0" w:space="0" w:color="auto"/>
            <w:left w:val="none" w:sz="0" w:space="0" w:color="auto"/>
            <w:bottom w:val="none" w:sz="0" w:space="0" w:color="auto"/>
            <w:right w:val="none" w:sz="0" w:space="0" w:color="auto"/>
          </w:divBdr>
        </w:div>
      </w:divsChild>
    </w:div>
    <w:div w:id="915630010">
      <w:bodyDiv w:val="1"/>
      <w:marLeft w:val="0"/>
      <w:marRight w:val="0"/>
      <w:marTop w:val="0"/>
      <w:marBottom w:val="0"/>
      <w:divBdr>
        <w:top w:val="none" w:sz="0" w:space="0" w:color="auto"/>
        <w:left w:val="none" w:sz="0" w:space="0" w:color="auto"/>
        <w:bottom w:val="none" w:sz="0" w:space="0" w:color="auto"/>
        <w:right w:val="none" w:sz="0" w:space="0" w:color="auto"/>
      </w:divBdr>
    </w:div>
    <w:div w:id="974916281">
      <w:bodyDiv w:val="1"/>
      <w:marLeft w:val="0"/>
      <w:marRight w:val="0"/>
      <w:marTop w:val="0"/>
      <w:marBottom w:val="0"/>
      <w:divBdr>
        <w:top w:val="none" w:sz="0" w:space="0" w:color="auto"/>
        <w:left w:val="none" w:sz="0" w:space="0" w:color="auto"/>
        <w:bottom w:val="none" w:sz="0" w:space="0" w:color="auto"/>
        <w:right w:val="none" w:sz="0" w:space="0" w:color="auto"/>
      </w:divBdr>
      <w:divsChild>
        <w:div w:id="1906793830">
          <w:marLeft w:val="547"/>
          <w:marRight w:val="0"/>
          <w:marTop w:val="77"/>
          <w:marBottom w:val="0"/>
          <w:divBdr>
            <w:top w:val="none" w:sz="0" w:space="0" w:color="auto"/>
            <w:left w:val="none" w:sz="0" w:space="0" w:color="auto"/>
            <w:bottom w:val="none" w:sz="0" w:space="0" w:color="auto"/>
            <w:right w:val="none" w:sz="0" w:space="0" w:color="auto"/>
          </w:divBdr>
        </w:div>
      </w:divsChild>
    </w:div>
    <w:div w:id="1242836926">
      <w:bodyDiv w:val="1"/>
      <w:marLeft w:val="0"/>
      <w:marRight w:val="0"/>
      <w:marTop w:val="0"/>
      <w:marBottom w:val="0"/>
      <w:divBdr>
        <w:top w:val="none" w:sz="0" w:space="0" w:color="auto"/>
        <w:left w:val="none" w:sz="0" w:space="0" w:color="auto"/>
        <w:bottom w:val="none" w:sz="0" w:space="0" w:color="auto"/>
        <w:right w:val="none" w:sz="0" w:space="0" w:color="auto"/>
      </w:divBdr>
    </w:div>
    <w:div w:id="1250891865">
      <w:bodyDiv w:val="1"/>
      <w:marLeft w:val="0"/>
      <w:marRight w:val="0"/>
      <w:marTop w:val="0"/>
      <w:marBottom w:val="0"/>
      <w:divBdr>
        <w:top w:val="none" w:sz="0" w:space="0" w:color="auto"/>
        <w:left w:val="none" w:sz="0" w:space="0" w:color="auto"/>
        <w:bottom w:val="none" w:sz="0" w:space="0" w:color="auto"/>
        <w:right w:val="none" w:sz="0" w:space="0" w:color="auto"/>
      </w:divBdr>
    </w:div>
    <w:div w:id="15776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sac.gov.au/internet/msac/publishing.nsf/Content/Home-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7d54a9e-4aca-451b-99db-b94fe438e987">
      <UserInfo>
        <DisplayName/>
        <AccountId xsi:nil="true"/>
        <AccountType/>
      </UserInfo>
    </SharedWithUsers>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A9173-3526-445D-841C-7806C0C72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4F873-9344-4529-AD6B-297BBB9F8A14}">
  <ds:schemaRefs>
    <ds:schemaRef ds:uri="http://schemas.openxmlformats.org/officeDocument/2006/bibliography"/>
  </ds:schemaRefs>
</ds:datastoreItem>
</file>

<file path=customXml/itemProps3.xml><?xml version="1.0" encoding="utf-8"?>
<ds:datastoreItem xmlns:ds="http://schemas.openxmlformats.org/officeDocument/2006/customXml" ds:itemID="{979F6292-8FD9-46ED-A96F-5BC494B4B169}">
  <ds:schemaRefs>
    <ds:schemaRef ds:uri="http://schemas.microsoft.com/office/2006/metadata/properties"/>
    <ds:schemaRef ds:uri="http://schemas.microsoft.com/office/infopath/2007/PartnerControls"/>
    <ds:schemaRef ds:uri="e7d54a9e-4aca-451b-99db-b94fe438e987"/>
    <ds:schemaRef ds:uri="7513b557-581c-46d3-8cc7-77c65017dc6f"/>
  </ds:schemaRefs>
</ds:datastoreItem>
</file>

<file path=customXml/itemProps4.xml><?xml version="1.0" encoding="utf-8"?>
<ds:datastoreItem xmlns:ds="http://schemas.openxmlformats.org/officeDocument/2006/customXml" ds:itemID="{5C6BB05E-1EA4-4810-B17B-33B1C44DF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7034</Words>
  <Characters>40094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47034</CharactersWithSpaces>
  <SharedDoc>false</SharedDoc>
  <HLinks>
    <vt:vector size="12" baseType="variant">
      <vt:variant>
        <vt:i4>6684716</vt:i4>
      </vt:variant>
      <vt:variant>
        <vt:i4>3</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2025-01-30T06:35:00Z</dcterms:created>
  <dcterms:modified xsi:type="dcterms:W3CDTF">2025-01-30T06:35:00Z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37681000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0x0101005E4A37BE997BE34FBB7D5057D341D123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