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9D58" w14:textId="77777777" w:rsidR="00FA283C" w:rsidRPr="00FA283C" w:rsidRDefault="00FA283C" w:rsidP="00FA283C">
      <w:pPr>
        <w:pStyle w:val="Subtitle"/>
        <w:spacing w:after="0"/>
        <w:rPr>
          <w:rFonts w:eastAsiaTheme="majorEastAsia"/>
          <w:i w:val="0"/>
          <w:sz w:val="36"/>
          <w:szCs w:val="36"/>
          <w:lang w:eastAsia="en-US"/>
        </w:rPr>
      </w:pPr>
      <w:r w:rsidRPr="00FA283C">
        <w:rPr>
          <w:rFonts w:eastAsiaTheme="majorEastAsia"/>
          <w:i w:val="0"/>
          <w:sz w:val="36"/>
          <w:szCs w:val="36"/>
          <w:lang w:eastAsia="en-US"/>
        </w:rPr>
        <w:t>Medical Services Advisory Committee (MSAC)</w:t>
      </w:r>
    </w:p>
    <w:p w14:paraId="33A63148" w14:textId="77777777" w:rsidR="00FA283C" w:rsidRDefault="00FA283C" w:rsidP="00FA283C">
      <w:pPr>
        <w:pStyle w:val="Subtitle"/>
        <w:spacing w:before="0" w:after="360"/>
        <w:rPr>
          <w:rFonts w:eastAsiaTheme="majorEastAsia"/>
          <w:i w:val="0"/>
          <w:sz w:val="36"/>
          <w:szCs w:val="36"/>
          <w:lang w:eastAsia="en-US"/>
        </w:rPr>
      </w:pPr>
      <w:r w:rsidRPr="00FA283C">
        <w:rPr>
          <w:rFonts w:eastAsiaTheme="majorEastAsia"/>
          <w:i w:val="0"/>
          <w:sz w:val="36"/>
          <w:szCs w:val="36"/>
          <w:lang w:eastAsia="en-US"/>
        </w:rPr>
        <w:t>Public Summary Document</w:t>
      </w:r>
    </w:p>
    <w:p w14:paraId="7A128FDE" w14:textId="7C5A6A1F" w:rsidR="00772829" w:rsidRPr="001B036C" w:rsidRDefault="00772829" w:rsidP="00BE2721">
      <w:pPr>
        <w:pStyle w:val="Subtitle"/>
        <w:spacing w:after="360"/>
      </w:pPr>
      <w:r w:rsidRPr="001B036C">
        <w:t>Application No.</w:t>
      </w:r>
      <w:r w:rsidR="00873B79" w:rsidRPr="001B036C">
        <w:t xml:space="preserve"> 1761</w:t>
      </w:r>
      <w:r w:rsidRPr="001B036C">
        <w:t xml:space="preserve"> – </w:t>
      </w:r>
      <w:r w:rsidR="00855DBC" w:rsidRPr="001B036C">
        <w:t>Faecal calprotectin for the monitoring of disease activity in patients with inflammatory bowel disease</w:t>
      </w:r>
    </w:p>
    <w:p w14:paraId="35263561" w14:textId="49B1E20B" w:rsidR="00772829" w:rsidRPr="001B036C" w:rsidRDefault="00772829" w:rsidP="00772829">
      <w:pPr>
        <w:tabs>
          <w:tab w:val="left" w:pos="3686"/>
        </w:tabs>
        <w:spacing w:after="240"/>
        <w:rPr>
          <w:rFonts w:ascii="Arial" w:hAnsi="Arial" w:cs="Arial"/>
          <w:b/>
          <w:szCs w:val="24"/>
        </w:rPr>
      </w:pPr>
      <w:r w:rsidRPr="001B036C">
        <w:rPr>
          <w:rFonts w:ascii="Arial" w:hAnsi="Arial" w:cs="Arial"/>
          <w:b/>
          <w:szCs w:val="24"/>
        </w:rPr>
        <w:t>Applicant:</w:t>
      </w:r>
      <w:r w:rsidRPr="001B036C">
        <w:tab/>
      </w:r>
      <w:r w:rsidR="00E864E8" w:rsidRPr="001B036C">
        <w:rPr>
          <w:rFonts w:ascii="Arial" w:hAnsi="Arial" w:cs="Arial"/>
          <w:b/>
          <w:szCs w:val="24"/>
        </w:rPr>
        <w:t>Gastroenterological Society</w:t>
      </w:r>
      <w:r w:rsidR="00483A71" w:rsidRPr="001B036C">
        <w:rPr>
          <w:rFonts w:ascii="Arial" w:hAnsi="Arial" w:cs="Arial"/>
          <w:b/>
          <w:szCs w:val="24"/>
        </w:rPr>
        <w:t xml:space="preserve"> of Australia</w:t>
      </w:r>
    </w:p>
    <w:p w14:paraId="0CB5E260" w14:textId="46075B5B" w:rsidR="00E67317" w:rsidRDefault="00772829" w:rsidP="00FA283C">
      <w:pPr>
        <w:tabs>
          <w:tab w:val="left" w:pos="3686"/>
        </w:tabs>
        <w:spacing w:after="240"/>
        <w:rPr>
          <w:rFonts w:ascii="Arial" w:hAnsi="Arial" w:cs="Arial"/>
          <w:b/>
          <w:szCs w:val="24"/>
        </w:rPr>
      </w:pPr>
      <w:r w:rsidRPr="001B036C">
        <w:rPr>
          <w:rFonts w:ascii="Arial" w:hAnsi="Arial" w:cs="Arial"/>
          <w:b/>
          <w:szCs w:val="24"/>
        </w:rPr>
        <w:t xml:space="preserve">Date of </w:t>
      </w:r>
      <w:r w:rsidR="00FA283C">
        <w:rPr>
          <w:rFonts w:ascii="Arial" w:hAnsi="Arial" w:cs="Arial"/>
          <w:b/>
          <w:szCs w:val="24"/>
        </w:rPr>
        <w:t>MSAC</w:t>
      </w:r>
      <w:r w:rsidRPr="001B036C">
        <w:rPr>
          <w:rFonts w:ascii="Arial" w:hAnsi="Arial" w:cs="Arial"/>
          <w:b/>
          <w:szCs w:val="24"/>
        </w:rPr>
        <w:t xml:space="preserve"> consideration:</w:t>
      </w:r>
      <w:r w:rsidRPr="001B036C">
        <w:tab/>
      </w:r>
      <w:r w:rsidR="00FA283C">
        <w:rPr>
          <w:rFonts w:ascii="Arial" w:hAnsi="Arial" w:cs="Arial"/>
          <w:b/>
          <w:szCs w:val="24"/>
        </w:rPr>
        <w:t>29 November</w:t>
      </w:r>
      <w:r w:rsidR="00855DBC" w:rsidRPr="001B036C">
        <w:rPr>
          <w:rFonts w:ascii="Arial" w:hAnsi="Arial" w:cs="Arial"/>
          <w:b/>
          <w:szCs w:val="24"/>
        </w:rPr>
        <w:t xml:space="preserve"> 2024</w:t>
      </w:r>
    </w:p>
    <w:p w14:paraId="67D1BCA8" w14:textId="77777777" w:rsidR="00FA283C" w:rsidRPr="00201854" w:rsidRDefault="00FA283C" w:rsidP="00FA283C">
      <w:pPr>
        <w:spacing w:before="0" w:after="360"/>
        <w:rPr>
          <w:color w:val="0000FF"/>
          <w:u w:val="single"/>
        </w:rPr>
      </w:pPr>
      <w:r w:rsidRPr="00201854">
        <w:t xml:space="preserve">Context for decision: MSAC makes its advice in accordance with its Terms of Reference, </w:t>
      </w:r>
      <w:hyperlink r:id="rId8" w:tooltip="Link to Medical Services Advisory Committee website" w:history="1">
        <w:r w:rsidRPr="00201854">
          <w:rPr>
            <w:rStyle w:val="Hyperlink"/>
          </w:rPr>
          <w:t>visit the MSAC website</w:t>
        </w:r>
      </w:hyperlink>
    </w:p>
    <w:p w14:paraId="284ED0D0" w14:textId="2ABB1754" w:rsidR="007E00E8" w:rsidRPr="001B036C" w:rsidRDefault="007E00E8" w:rsidP="00C36633">
      <w:pPr>
        <w:pStyle w:val="Heading2"/>
        <w:numPr>
          <w:ilvl w:val="0"/>
          <w:numId w:val="0"/>
        </w:numPr>
      </w:pPr>
      <w:bookmarkStart w:id="0" w:name="_Toc176422702"/>
      <w:bookmarkStart w:id="1" w:name="_Toc172581582"/>
      <w:r w:rsidRPr="001B036C">
        <w:t>1.</w:t>
      </w:r>
      <w:r w:rsidRPr="001B036C">
        <w:tab/>
        <w:t>Purpose of application</w:t>
      </w:r>
      <w:bookmarkEnd w:id="0"/>
    </w:p>
    <w:p w14:paraId="72AD94E0" w14:textId="351A15D9" w:rsidR="007E00E8" w:rsidRDefault="007E00E8" w:rsidP="00772829">
      <w:pPr>
        <w:spacing w:after="240"/>
        <w:rPr>
          <w:iCs/>
        </w:rPr>
      </w:pPr>
      <w:r w:rsidRPr="001B036C">
        <w:rPr>
          <w:iCs/>
        </w:rPr>
        <w:t>An application requesting Medicare Benefits Schedule (MBS) listing of f</w:t>
      </w:r>
      <w:r w:rsidRPr="001B036C">
        <w:t xml:space="preserve">aecal calprotectin (FC) </w:t>
      </w:r>
      <w:r w:rsidR="000C1F21" w:rsidRPr="001B036C">
        <w:t>testing</w:t>
      </w:r>
      <w:r w:rsidRPr="001B036C">
        <w:t xml:space="preserve"> for the monitoring of inflammatory bowel disease (IBD) </w:t>
      </w:r>
      <w:r w:rsidRPr="001B036C">
        <w:rPr>
          <w:iCs/>
        </w:rPr>
        <w:t>was received from the Gastroenterological Society of Australia by the Department of Health and Aged Care.</w:t>
      </w:r>
    </w:p>
    <w:p w14:paraId="7331569D" w14:textId="2390E0E3" w:rsidR="00FA283C" w:rsidRPr="00FA283C" w:rsidRDefault="00FA283C" w:rsidP="00FA283C">
      <w:pPr>
        <w:pStyle w:val="Heading2"/>
        <w:numPr>
          <w:ilvl w:val="0"/>
          <w:numId w:val="0"/>
        </w:numPr>
      </w:pPr>
      <w:r>
        <w:t>2.</w:t>
      </w:r>
      <w:r>
        <w:tab/>
      </w:r>
      <w:r w:rsidRPr="00FA283C">
        <w:t>MSAC’s advice to the Minister</w:t>
      </w:r>
    </w:p>
    <w:p w14:paraId="5C84C0F6" w14:textId="07B99572" w:rsidR="00B81D5C" w:rsidRPr="00B81D5C" w:rsidRDefault="0028080A" w:rsidP="00B81D5C">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t>MSAC supported</w:t>
      </w:r>
      <w:r w:rsidR="00B81D5C">
        <w:t xml:space="preserve"> </w:t>
      </w:r>
      <w:r w:rsidR="00A40E2F" w:rsidRPr="003D1609">
        <w:rPr>
          <w:rFonts w:eastAsia="Franklin Gothic Book"/>
        </w:rPr>
        <w:t>the creation of a new Medicare Benefits Schedule (MBS) item</w:t>
      </w:r>
      <w:r w:rsidR="00A40E2F" w:rsidDel="00B81D5C">
        <w:t xml:space="preserve"> </w:t>
      </w:r>
      <w:r w:rsidR="00A40E2F">
        <w:t xml:space="preserve">for </w:t>
      </w:r>
      <w:r w:rsidR="00B81D5C">
        <w:t xml:space="preserve">faecal calprotectin (FC) testing for the </w:t>
      </w:r>
      <w:r w:rsidR="10ED3FC7">
        <w:t>management</w:t>
      </w:r>
      <w:r w:rsidR="00B81D5C">
        <w:t xml:space="preserve"> of symptomatic patients with inflammatory bowel disease (IBD). MSAC did not support public funding of FC testing for the monitoring of asymptomatic patients with IBD. MSAC considered general practitioners (GPs) should be able to </w:t>
      </w:r>
      <w:r w:rsidR="2FEC7466">
        <w:t>request</w:t>
      </w:r>
      <w:r w:rsidR="00B81D5C">
        <w:t xml:space="preserve"> FC testing </w:t>
      </w:r>
      <w:r w:rsidR="25FA0FAE">
        <w:t>on behalf of a specialist or consultant physician</w:t>
      </w:r>
      <w:r w:rsidR="00B81D5C">
        <w:t>.</w:t>
      </w:r>
    </w:p>
    <w:p w14:paraId="48005E9D" w14:textId="5578E9D0" w:rsidR="00B81D5C" w:rsidRPr="00B81D5C" w:rsidRDefault="00B81D5C" w:rsidP="00B81D5C">
      <w:pPr>
        <w:rPr>
          <w:szCs w:val="24"/>
        </w:rPr>
      </w:pPr>
      <w:r w:rsidRPr="00B81D5C">
        <w:rPr>
          <w:szCs w:val="24"/>
        </w:rPr>
        <w:t xml:space="preserve">MSAC considered that FC testing for patients with symptomatic IBD has non-inferior clinical effectiveness and non-inferior safety compared with colonoscopy (the comparator). MSAC considered FC testing has clinical utility for symptomatic patients as it can help detect whether symptoms are due to increased IBD activity and monitor healing after an IBD flare. MSAC considered the clinical utility of FC testing for asymptomatic patients was highly uncertain due to limited evidence that using the test would change management and improve health outcomes in this subpopulation. MSAC considered that the claim of non-inferior comparative safety of FC testing was not supported for asymptomatic patients given the high rate of false positive FC results, which may lead to unnecessary escalation of therapy or additional colonoscopy and potentially expose this group to the adverse effects of these interventions. </w:t>
      </w:r>
    </w:p>
    <w:p w14:paraId="4B3E691A" w14:textId="59E519F4" w:rsidR="00B81D5C" w:rsidRPr="00B81D5C" w:rsidRDefault="00B81D5C" w:rsidP="00B81D5C">
      <w:pPr>
        <w:rPr>
          <w:szCs w:val="24"/>
        </w:rPr>
      </w:pPr>
      <w:r w:rsidRPr="00B81D5C">
        <w:rPr>
          <w:szCs w:val="24"/>
        </w:rPr>
        <w:t>MSAC noted that while the economic and financial models estimated cost savings from adoption of FC testing due to reductions in colonoscopies, MSAC considered this was unlikely even for the symptomatic population. MSAC considered that some of the estimated reductions in colonoscopies may have already occurred in clinical practice due to current usage of FC testing through private funding, public hospital</w:t>
      </w:r>
      <w:r w:rsidR="00543CDC">
        <w:rPr>
          <w:szCs w:val="24"/>
        </w:rPr>
        <w:t>s</w:t>
      </w:r>
      <w:r w:rsidRPr="00B81D5C">
        <w:rPr>
          <w:szCs w:val="24"/>
        </w:rPr>
        <w:t xml:space="preserve"> or use of existing MBS items for IBD diagnosis. </w:t>
      </w:r>
    </w:p>
    <w:p w14:paraId="4ACBC542" w14:textId="1AAEA456" w:rsidR="0028080A" w:rsidRDefault="00B81D5C" w:rsidP="00B81D5C">
      <w:pPr>
        <w:rPr>
          <w:szCs w:val="24"/>
        </w:rPr>
      </w:pPr>
      <w:r w:rsidRPr="00B81D5C">
        <w:rPr>
          <w:szCs w:val="24"/>
        </w:rPr>
        <w:t>MSAC considered that there is a risk that the MBS item for symptomatic patients would be inappropriately used for asymptomatic IBD patients. MSAC advised that the utilisation of the MBS items for FC testing should be reviewed 2 years after the new item for symptomatic patients i</w:t>
      </w:r>
      <w:r w:rsidR="00144000">
        <w:rPr>
          <w:szCs w:val="24"/>
        </w:rPr>
        <w:t>s</w:t>
      </w:r>
      <w:r w:rsidRPr="00B81D5C">
        <w:rPr>
          <w:szCs w:val="24"/>
        </w:rPr>
        <w:t xml:space="preserve"> implemented.  </w:t>
      </w:r>
    </w:p>
    <w:p w14:paraId="065B4DFF" w14:textId="38E32D91" w:rsidR="0028080A" w:rsidRDefault="00B4653B" w:rsidP="0028080A">
      <w:pPr>
        <w:rPr>
          <w:szCs w:val="24"/>
        </w:rPr>
      </w:pPr>
      <w:r>
        <w:rPr>
          <w:szCs w:val="24"/>
        </w:rPr>
        <w:lastRenderedPageBreak/>
        <w:t xml:space="preserve">MSAC’s supported MBS item descriptor is provided below in </w:t>
      </w:r>
      <w:r>
        <w:rPr>
          <w:szCs w:val="24"/>
        </w:rPr>
        <w:fldChar w:fldCharType="begin"/>
      </w:r>
      <w:r>
        <w:rPr>
          <w:szCs w:val="24"/>
        </w:rPr>
        <w:instrText xml:space="preserve"> REF _Ref184797835 \h </w:instrText>
      </w:r>
      <w:r>
        <w:rPr>
          <w:szCs w:val="24"/>
        </w:rPr>
      </w:r>
      <w:r>
        <w:rPr>
          <w:szCs w:val="24"/>
        </w:rPr>
        <w:fldChar w:fldCharType="separate"/>
      </w:r>
      <w:r>
        <w:t xml:space="preserve">Table </w:t>
      </w:r>
      <w:r>
        <w:rPr>
          <w:noProof/>
        </w:rPr>
        <w:t>1</w:t>
      </w:r>
      <w:r>
        <w:rPr>
          <w:szCs w:val="24"/>
        </w:rPr>
        <w:fldChar w:fldCharType="end"/>
      </w:r>
      <w:r>
        <w:rPr>
          <w:szCs w:val="24"/>
        </w:rPr>
        <w:t>.</w:t>
      </w:r>
    </w:p>
    <w:p w14:paraId="14F761AC" w14:textId="55EA3AEE" w:rsidR="00B4653B" w:rsidRDefault="00B4653B" w:rsidP="00B4653B">
      <w:pPr>
        <w:pStyle w:val="Caption"/>
      </w:pPr>
      <w:bookmarkStart w:id="2" w:name="_Ref184797835"/>
      <w:r>
        <w:t xml:space="preserve">Table </w:t>
      </w:r>
      <w:r>
        <w:fldChar w:fldCharType="begin"/>
      </w:r>
      <w:r>
        <w:instrText xml:space="preserve"> SEQ Table \* ARABIC </w:instrText>
      </w:r>
      <w:r>
        <w:fldChar w:fldCharType="separate"/>
      </w:r>
      <w:r>
        <w:rPr>
          <w:noProof/>
        </w:rPr>
        <w:t>1</w:t>
      </w:r>
      <w:r>
        <w:fldChar w:fldCharType="end"/>
      </w:r>
      <w:bookmarkEnd w:id="2"/>
      <w:r>
        <w:t>: MSAC’s supported MBS item descriptor</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28080A" w:rsidRPr="001B036C" w14:paraId="629E2F2C" w14:textId="77777777" w:rsidTr="00BF1C52">
        <w:trPr>
          <w:cantSplit/>
          <w:trHeight w:val="350"/>
          <w:tblHeader/>
        </w:trPr>
        <w:tc>
          <w:tcPr>
            <w:tcW w:w="9016" w:type="dxa"/>
          </w:tcPr>
          <w:p w14:paraId="77CBDB04" w14:textId="77777777" w:rsidR="0028080A" w:rsidRPr="001B036C" w:rsidRDefault="0028080A" w:rsidP="00BF1C52">
            <w:pPr>
              <w:pStyle w:val="TableText"/>
            </w:pPr>
            <w:r w:rsidRPr="001B036C">
              <w:t>Category 6 – Pathology Services</w:t>
            </w:r>
          </w:p>
        </w:tc>
      </w:tr>
      <w:tr w:rsidR="0028080A" w:rsidRPr="001B036C" w14:paraId="41D56422" w14:textId="77777777" w:rsidTr="00BF1C52">
        <w:trPr>
          <w:cantSplit/>
          <w:tblHeader/>
        </w:trPr>
        <w:tc>
          <w:tcPr>
            <w:tcW w:w="9016" w:type="dxa"/>
          </w:tcPr>
          <w:p w14:paraId="69849B99" w14:textId="77777777" w:rsidR="0028080A" w:rsidRPr="001B036C" w:rsidRDefault="0028080A" w:rsidP="00BF1C52">
            <w:pPr>
              <w:pStyle w:val="TableText"/>
              <w:rPr>
                <w:lang w:eastAsia="ja-JP"/>
              </w:rPr>
            </w:pPr>
            <w:r w:rsidRPr="001B036C">
              <w:rPr>
                <w:szCs w:val="20"/>
                <w:lang w:eastAsia="ja-JP"/>
              </w:rPr>
              <w:t>MBS item *XXXX</w:t>
            </w:r>
          </w:p>
          <w:p w14:paraId="1F523D03" w14:textId="1CEAC5C2" w:rsidR="0028080A" w:rsidRPr="001B036C" w:rsidRDefault="0028080A" w:rsidP="00BF1C52">
            <w:pPr>
              <w:pStyle w:val="TableText"/>
              <w:rPr>
                <w:lang w:eastAsia="ja-JP"/>
              </w:rPr>
            </w:pPr>
            <w:r w:rsidRPr="21060516">
              <w:rPr>
                <w:lang w:eastAsia="ja-JP"/>
              </w:rPr>
              <w:t xml:space="preserve">Faecal Calprotectin test for </w:t>
            </w:r>
            <w:r w:rsidR="4285CEEB" w:rsidRPr="21060516">
              <w:rPr>
                <w:lang w:eastAsia="ja-JP"/>
              </w:rPr>
              <w:t xml:space="preserve">the management of </w:t>
            </w:r>
            <w:r w:rsidRPr="21060516">
              <w:rPr>
                <w:lang w:eastAsia="ja-JP"/>
              </w:rPr>
              <w:t xml:space="preserve">a </w:t>
            </w:r>
            <w:r w:rsidR="3A238BA3" w:rsidRPr="21060516">
              <w:rPr>
                <w:lang w:eastAsia="ja-JP"/>
              </w:rPr>
              <w:t>symptomatic</w:t>
            </w:r>
            <w:r w:rsidRPr="21060516">
              <w:rPr>
                <w:lang w:eastAsia="ja-JP"/>
              </w:rPr>
              <w:t xml:space="preserve"> patient with diagnosed inflammatory bowel disease</w:t>
            </w:r>
            <w:r w:rsidR="00260B28" w:rsidRPr="21060516">
              <w:rPr>
                <w:lang w:eastAsia="ja-JP"/>
              </w:rPr>
              <w:t xml:space="preserve">, </w:t>
            </w:r>
            <w:r w:rsidR="79D3A040" w:rsidRPr="21060516">
              <w:rPr>
                <w:lang w:eastAsia="ja-JP"/>
              </w:rPr>
              <w:t>requested by, or on behalf of, a specialist or consultant physician</w:t>
            </w:r>
            <w:r w:rsidRPr="21060516">
              <w:rPr>
                <w:lang w:eastAsia="ja-JP"/>
              </w:rPr>
              <w:t>.</w:t>
            </w:r>
          </w:p>
          <w:p w14:paraId="3610E95D" w14:textId="66B08A49" w:rsidR="0028080A" w:rsidRPr="004B7DDE" w:rsidRDefault="0028080A" w:rsidP="00BF1C52">
            <w:pPr>
              <w:pStyle w:val="TableText"/>
              <w:rPr>
                <w:strike/>
                <w:szCs w:val="20"/>
              </w:rPr>
            </w:pPr>
          </w:p>
        </w:tc>
      </w:tr>
      <w:tr w:rsidR="0028080A" w:rsidRPr="001B036C" w14:paraId="73F29FCE" w14:textId="77777777" w:rsidTr="00BF1C52">
        <w:trPr>
          <w:cantSplit/>
          <w:trHeight w:val="223"/>
          <w:tblHeader/>
        </w:trPr>
        <w:tc>
          <w:tcPr>
            <w:tcW w:w="9016" w:type="dxa"/>
          </w:tcPr>
          <w:p w14:paraId="326F53E7" w14:textId="307FC57D" w:rsidR="0028080A" w:rsidRPr="001B036C" w:rsidRDefault="0028080A" w:rsidP="00BF1C52">
            <w:pPr>
              <w:pStyle w:val="TableText"/>
            </w:pPr>
            <w:r w:rsidRPr="001B036C">
              <w:t>Fee: $75.00 Benefit: 75% = $56.25 85% = $63.75</w:t>
            </w:r>
          </w:p>
        </w:tc>
      </w:tr>
    </w:tbl>
    <w:p w14:paraId="3DE98857" w14:textId="77777777" w:rsidR="0028080A" w:rsidRDefault="0028080A" w:rsidP="0028080A">
      <w:pPr>
        <w:rPr>
          <w:szCs w:val="24"/>
        </w:rPr>
      </w:pPr>
    </w:p>
    <w:tbl>
      <w:tblPr>
        <w:tblStyle w:val="TableGrid"/>
        <w:tblW w:w="0" w:type="auto"/>
        <w:tblLook w:val="04A0" w:firstRow="1" w:lastRow="0" w:firstColumn="1" w:lastColumn="0" w:noHBand="0" w:noVBand="1"/>
        <w:tblDescription w:val="Consumer summary of MSAC consideration"/>
      </w:tblPr>
      <w:tblGrid>
        <w:gridCol w:w="9016"/>
      </w:tblGrid>
      <w:tr w:rsidR="0028080A" w:rsidRPr="00AF46D8" w14:paraId="4604483A" w14:textId="77777777" w:rsidTr="00BF1C52">
        <w:trPr>
          <w:tblHeader/>
        </w:trPr>
        <w:tc>
          <w:tcPr>
            <w:tcW w:w="9016" w:type="dxa"/>
          </w:tcPr>
          <w:p w14:paraId="432037AA" w14:textId="77777777" w:rsidR="0028080A" w:rsidRPr="00AF46D8" w:rsidRDefault="0028080A" w:rsidP="005E5E88">
            <w:pPr>
              <w:pStyle w:val="Heading3"/>
              <w:spacing w:before="120" w:after="120"/>
              <w:rPr>
                <w:rFonts w:eastAsiaTheme="minorHAnsi" w:cstheme="minorBidi"/>
                <w:iCs/>
              </w:rPr>
            </w:pPr>
            <w:r w:rsidRPr="00AF46D8">
              <w:t>Consumer summary</w:t>
            </w:r>
          </w:p>
        </w:tc>
      </w:tr>
      <w:tr w:rsidR="0028080A" w:rsidRPr="00AF46D8" w14:paraId="65FD37CC" w14:textId="77777777" w:rsidTr="00BF1C52">
        <w:tc>
          <w:tcPr>
            <w:tcW w:w="9016" w:type="dxa"/>
          </w:tcPr>
          <w:p w14:paraId="2D53C03F" w14:textId="13C1F75C" w:rsidR="0028080A" w:rsidRDefault="0028080A" w:rsidP="00BF1C52">
            <w:r w:rsidRPr="00AF46D8">
              <w:t xml:space="preserve">This is an application from </w:t>
            </w:r>
            <w:r>
              <w:t xml:space="preserve">the Gastroenterological Society of Australia </w:t>
            </w:r>
            <w:r w:rsidRPr="00AF46D8">
              <w:t>requesting Medicare Benefits Schedule (MBS) listing of</w:t>
            </w:r>
            <w:r>
              <w:t xml:space="preserve"> </w:t>
            </w:r>
            <w:r w:rsidRPr="00570A99">
              <w:t>faecal calprotectin</w:t>
            </w:r>
            <w:r w:rsidR="008663FC">
              <w:t xml:space="preserve"> </w:t>
            </w:r>
            <w:r w:rsidRPr="00570A99">
              <w:t>testing for the monitoring of people with inflammatory bowel disease (IBD).</w:t>
            </w:r>
          </w:p>
          <w:p w14:paraId="01030F4D" w14:textId="459553D9" w:rsidR="0028080A" w:rsidRDefault="0028080A" w:rsidP="00BF1C52">
            <w:r>
              <w:t>IBD is not one disease but a group of conditions that are characterised by recurring inflammation of the gastrointestinal (GI) tract. These conditions include Crohn</w:t>
            </w:r>
            <w:r w:rsidR="00F445F4">
              <w:t xml:space="preserve"> </w:t>
            </w:r>
            <w:r>
              <w:t>disease and ulcerative colitis. People with active IBD can have symptoms such as diarrhoea, stomach pain, weight loss and fatigue. If left untreated, IBD can lead to hospital admission, anaemia (when there are not enough red blood cells to carry oxygen around the body) and surgery, among other things. IBD can also greatly affect the person’s emotional and social wellbeing. To avoid these outcomes, guidelines recommend that IBD be regularly monitored</w:t>
            </w:r>
            <w:r w:rsidR="00927285">
              <w:t xml:space="preserve"> as a part of standard management</w:t>
            </w:r>
            <w:r w:rsidR="00277736">
              <w:t xml:space="preserve"> and treatment</w:t>
            </w:r>
            <w:r>
              <w:t>.</w:t>
            </w:r>
          </w:p>
          <w:p w14:paraId="6D6EAB5A" w14:textId="6223208F" w:rsidR="0028080A" w:rsidRDefault="0028080A" w:rsidP="00BF1C52">
            <w:r>
              <w:t xml:space="preserve">Inflammation in the GI tract, specifically the intestines, causes the immune system to send white blood cells (neutrophils) to the inflamed area. The neutrophils release a protein called calprotectin into the intestines, where it mixes with </w:t>
            </w:r>
            <w:r w:rsidR="00253715">
              <w:t>faeces/</w:t>
            </w:r>
            <w:r>
              <w:t xml:space="preserve">stools. This </w:t>
            </w:r>
            <w:r w:rsidR="00FC39FC">
              <w:t>protein</w:t>
            </w:r>
            <w:r>
              <w:t xml:space="preserve"> is called faecal calprotectin (FC</w:t>
            </w:r>
            <w:r w:rsidR="00466D87">
              <w:t>). A</w:t>
            </w:r>
            <w:r>
              <w:t xml:space="preserve"> high level of FC </w:t>
            </w:r>
            <w:r w:rsidR="00466D87">
              <w:t xml:space="preserve">can be </w:t>
            </w:r>
            <w:r>
              <w:t>a sign that the intestines are inflamed. Therefore, measuring FC using an FC test can be a way to determine intestinal inflammation</w:t>
            </w:r>
            <w:r w:rsidR="00895445">
              <w:t xml:space="preserve"> in </w:t>
            </w:r>
            <w:r w:rsidR="00051C66">
              <w:t xml:space="preserve">people with </w:t>
            </w:r>
            <w:r w:rsidR="00895445">
              <w:t>IBD</w:t>
            </w:r>
            <w:r>
              <w:t>. This is</w:t>
            </w:r>
            <w:r w:rsidR="0042689E">
              <w:t xml:space="preserve"> a </w:t>
            </w:r>
            <w:r w:rsidR="00382B73">
              <w:t>non-invasive</w:t>
            </w:r>
            <w:r w:rsidR="0042689E">
              <w:t xml:space="preserve"> te</w:t>
            </w:r>
            <w:r w:rsidR="00382B73">
              <w:t>st and</w:t>
            </w:r>
            <w:r>
              <w:t xml:space="preserve"> is done by taking a sample of the stool, which is then sent to a laboratory for testing. </w:t>
            </w:r>
            <w:r w:rsidR="006D22C6">
              <w:t>A</w:t>
            </w:r>
            <w:r>
              <w:t>lternative</w:t>
            </w:r>
            <w:r w:rsidR="006D22C6">
              <w:t>s</w:t>
            </w:r>
            <w:r>
              <w:t xml:space="preserve"> to FC testing </w:t>
            </w:r>
            <w:r w:rsidR="006D22C6">
              <w:t>include</w:t>
            </w:r>
            <w:r w:rsidR="00DC2398">
              <w:t xml:space="preserve"> </w:t>
            </w:r>
            <w:r w:rsidR="008663FC">
              <w:t xml:space="preserve">current </w:t>
            </w:r>
            <w:r w:rsidR="00DC2398">
              <w:t>standard medical management (e.g. examining the patient’s clinical history</w:t>
            </w:r>
            <w:r w:rsidR="008663FC">
              <w:t xml:space="preserve"> and </w:t>
            </w:r>
            <w:r w:rsidR="008A6154">
              <w:t xml:space="preserve">other </w:t>
            </w:r>
            <w:r w:rsidR="006C3B85">
              <w:t>blood test</w:t>
            </w:r>
            <w:r w:rsidR="00DC2398">
              <w:t>s</w:t>
            </w:r>
            <w:r w:rsidR="00B25B0B">
              <w:t xml:space="preserve"> </w:t>
            </w:r>
            <w:r w:rsidR="00DC2398">
              <w:t>to check for</w:t>
            </w:r>
            <w:r w:rsidR="00B25B0B">
              <w:t xml:space="preserve"> </w:t>
            </w:r>
            <w:r w:rsidR="008F0756">
              <w:t xml:space="preserve">inflammation </w:t>
            </w:r>
            <w:r w:rsidR="00DC2398">
              <w:t>in</w:t>
            </w:r>
            <w:r w:rsidR="008F0756">
              <w:t xml:space="preserve"> the body</w:t>
            </w:r>
            <w:r w:rsidR="00DC2398">
              <w:t>)</w:t>
            </w:r>
            <w:r w:rsidR="00090E7F">
              <w:t xml:space="preserve"> and/or a</w:t>
            </w:r>
            <w:r>
              <w:t xml:space="preserve"> colonoscopy </w:t>
            </w:r>
            <w:r w:rsidR="00270DB7">
              <w:t>(</w:t>
            </w:r>
            <w:r w:rsidR="00455E72">
              <w:t xml:space="preserve">which involves </w:t>
            </w:r>
            <w:r w:rsidR="00270DB7">
              <w:t>putting a camera into the bowel to look at the insides of the intestines)</w:t>
            </w:r>
            <w:r w:rsidR="00432DBE">
              <w:t xml:space="preserve"> </w:t>
            </w:r>
            <w:r>
              <w:t>to look for inflammation</w:t>
            </w:r>
            <w:r w:rsidR="00090E7F">
              <w:t xml:space="preserve"> within the GI tract</w:t>
            </w:r>
            <w:r w:rsidR="00432DBE">
              <w:t>. A colonoscopy</w:t>
            </w:r>
            <w:r w:rsidR="00455E72">
              <w:t xml:space="preserve"> </w:t>
            </w:r>
            <w:r>
              <w:t>is a</w:t>
            </w:r>
            <w:r w:rsidDel="00524C7F">
              <w:t xml:space="preserve"> </w:t>
            </w:r>
            <w:r>
              <w:t>more invasive procedure</w:t>
            </w:r>
            <w:r w:rsidR="00432DBE">
              <w:t xml:space="preserve"> </w:t>
            </w:r>
            <w:r w:rsidR="348CBD8F">
              <w:t xml:space="preserve">that </w:t>
            </w:r>
            <w:r w:rsidR="00F14B60">
              <w:t>has risk</w:t>
            </w:r>
            <w:r w:rsidR="00A37036">
              <w:t>s</w:t>
            </w:r>
            <w:r w:rsidR="009B34C4">
              <w:t xml:space="preserve"> such as perforation (small tearing) of the </w:t>
            </w:r>
            <w:r w:rsidR="00FB324E">
              <w:t>colon</w:t>
            </w:r>
            <w:r>
              <w:t>.</w:t>
            </w:r>
            <w:r w:rsidR="004651DE">
              <w:t xml:space="preserve"> FC testing may help some patients avoid having a colonoscopy.</w:t>
            </w:r>
          </w:p>
          <w:p w14:paraId="49B0863F" w14:textId="477C0CEF" w:rsidR="0028080A" w:rsidRDefault="0028080A" w:rsidP="00BF1C52">
            <w:r>
              <w:t xml:space="preserve">MBS items already exist for FC testing to diagnose IBD in patients under 50 years of age. </w:t>
            </w:r>
            <w:r w:rsidR="00FC726D">
              <w:t>This application proposes</w:t>
            </w:r>
            <w:r w:rsidR="005A2034">
              <w:t xml:space="preserve"> </w:t>
            </w:r>
            <w:r w:rsidR="00FC726D">
              <w:t xml:space="preserve">a new MBS item for </w:t>
            </w:r>
            <w:r>
              <w:t>FC test</w:t>
            </w:r>
            <w:r w:rsidR="00FC726D">
              <w:t>ing</w:t>
            </w:r>
            <w:r>
              <w:t xml:space="preserve"> </w:t>
            </w:r>
            <w:r w:rsidR="005A2034">
              <w:t>that</w:t>
            </w:r>
            <w:r>
              <w:t xml:space="preserve"> can be used to monitor people with IBD, to check if </w:t>
            </w:r>
            <w:r w:rsidR="001F2B44">
              <w:t xml:space="preserve">they might be </w:t>
            </w:r>
            <w:r w:rsidR="0016368F">
              <w:t>having</w:t>
            </w:r>
            <w:r w:rsidR="001F2B44">
              <w:t xml:space="preserve"> </w:t>
            </w:r>
            <w:r w:rsidR="00CE59D4">
              <w:t>a flare in their IBD, whether</w:t>
            </w:r>
            <w:r w:rsidR="00DC2398">
              <w:t xml:space="preserve"> changes need to be made to </w:t>
            </w:r>
            <w:r w:rsidR="00F421D6">
              <w:t>a patient’s</w:t>
            </w:r>
            <w:r w:rsidR="008663FC">
              <w:t xml:space="preserve"> </w:t>
            </w:r>
            <w:r>
              <w:t>treatment</w:t>
            </w:r>
            <w:r w:rsidR="008663FC">
              <w:t xml:space="preserve"> </w:t>
            </w:r>
            <w:r w:rsidR="00F421D6">
              <w:t>and whether</w:t>
            </w:r>
            <w:r w:rsidR="008663FC">
              <w:t xml:space="preserve"> the </w:t>
            </w:r>
            <w:r w:rsidR="006D42CE">
              <w:t>treatment</w:t>
            </w:r>
            <w:r w:rsidR="005B60B5">
              <w:t xml:space="preserve"> </w:t>
            </w:r>
            <w:r w:rsidR="000E3316">
              <w:t>a patient is</w:t>
            </w:r>
            <w:r w:rsidR="005B60B5">
              <w:t xml:space="preserve"> </w:t>
            </w:r>
            <w:r w:rsidR="00325C8F">
              <w:t>using</w:t>
            </w:r>
            <w:r w:rsidR="006D42CE">
              <w:t xml:space="preserve"> </w:t>
            </w:r>
            <w:r w:rsidR="00325C8F">
              <w:t>is</w:t>
            </w:r>
            <w:r>
              <w:t xml:space="preserve"> working. </w:t>
            </w:r>
            <w:r w:rsidR="007C552C" w:rsidDel="007C552C">
              <w:t xml:space="preserve"> </w:t>
            </w:r>
          </w:p>
          <w:p w14:paraId="141AE925" w14:textId="63BAA368" w:rsidR="0028080A" w:rsidRDefault="0028080A" w:rsidP="00BF1C52">
            <w:r>
              <w:t xml:space="preserve">MSAC acknowledged that FC testing is already being widely used in Australia, and patients </w:t>
            </w:r>
            <w:r w:rsidR="00EB0C4B">
              <w:t xml:space="preserve">may </w:t>
            </w:r>
            <w:r w:rsidR="005F4F35">
              <w:t xml:space="preserve">currently </w:t>
            </w:r>
            <w:r w:rsidR="00B23D7E">
              <w:t xml:space="preserve">have difficulty </w:t>
            </w:r>
            <w:r w:rsidR="00EB0C4B">
              <w:t>access</w:t>
            </w:r>
            <w:r w:rsidR="00B23D7E">
              <w:t>ing</w:t>
            </w:r>
            <w:r w:rsidR="00EB0C4B">
              <w:t xml:space="preserve"> </w:t>
            </w:r>
            <w:r w:rsidR="00B23D7E">
              <w:t>the test</w:t>
            </w:r>
            <w:r w:rsidR="00EB0C4B">
              <w:t xml:space="preserve"> </w:t>
            </w:r>
            <w:r w:rsidR="00283C3B">
              <w:t xml:space="preserve">because of </w:t>
            </w:r>
            <w:r>
              <w:t xml:space="preserve">out-of-pocket </w:t>
            </w:r>
            <w:r w:rsidR="00283C3B">
              <w:t>costs</w:t>
            </w:r>
            <w:r>
              <w:t xml:space="preserve"> for the test</w:t>
            </w:r>
            <w:r w:rsidR="00283C3B">
              <w:t>.</w:t>
            </w:r>
            <w:r>
              <w:t xml:space="preserve"> MSAC also recognised that </w:t>
            </w:r>
            <w:r w:rsidR="00114FDB">
              <w:t xml:space="preserve">FC testing would be particularly useful in </w:t>
            </w:r>
            <w:r>
              <w:t xml:space="preserve">children </w:t>
            </w:r>
            <w:r w:rsidR="00834486">
              <w:t>because it may help them</w:t>
            </w:r>
            <w:r w:rsidR="00283C3B">
              <w:t xml:space="preserve"> to avoid more invasive procedures such as </w:t>
            </w:r>
            <w:r>
              <w:t xml:space="preserve">colonoscopy. However, based on the evidence, MSAC considered that the </w:t>
            </w:r>
            <w:r w:rsidR="00A425B1">
              <w:t xml:space="preserve">FC </w:t>
            </w:r>
            <w:r>
              <w:t>test was most beneficial for p</w:t>
            </w:r>
            <w:r w:rsidR="00283C3B">
              <w:t>atients</w:t>
            </w:r>
            <w:r>
              <w:t xml:space="preserve"> </w:t>
            </w:r>
            <w:r w:rsidR="008A3E0E">
              <w:t xml:space="preserve">diagnosed with IBD </w:t>
            </w:r>
            <w:r>
              <w:t xml:space="preserve">who </w:t>
            </w:r>
            <w:r w:rsidR="00926DCF">
              <w:t xml:space="preserve">present with </w:t>
            </w:r>
            <w:r>
              <w:t>symptoms (symptomatic</w:t>
            </w:r>
            <w:r w:rsidR="003F2056">
              <w:t xml:space="preserve"> group</w:t>
            </w:r>
            <w:r>
              <w:t>)</w:t>
            </w:r>
            <w:r w:rsidR="003F2056">
              <w:t xml:space="preserve">, to help work out if those symptoms are due to </w:t>
            </w:r>
            <w:r w:rsidR="004F46E7">
              <w:t>a flare in their IBD.</w:t>
            </w:r>
            <w:r w:rsidR="00B8003A">
              <w:t xml:space="preserve"> </w:t>
            </w:r>
            <w:r w:rsidR="00DC2398">
              <w:t>The</w:t>
            </w:r>
            <w:r w:rsidR="008A3E0E">
              <w:t xml:space="preserve"> benefits</w:t>
            </w:r>
            <w:r w:rsidR="00DC2398">
              <w:t xml:space="preserve"> of FC testing</w:t>
            </w:r>
            <w:r w:rsidR="008A3E0E">
              <w:t xml:space="preserve"> were less clear for patients who are diagnosed with IBD but were currently not experiencing symptoms (asymptomatic</w:t>
            </w:r>
            <w:r w:rsidR="000E77B9">
              <w:t xml:space="preserve"> group</w:t>
            </w:r>
            <w:r w:rsidR="008A3E0E">
              <w:t>)</w:t>
            </w:r>
            <w:r>
              <w:t xml:space="preserve">. </w:t>
            </w:r>
            <w:r w:rsidR="00587707">
              <w:t>T</w:t>
            </w:r>
            <w:r w:rsidR="00F3731F">
              <w:t xml:space="preserve">here is </w:t>
            </w:r>
            <w:r w:rsidR="001257A6">
              <w:t>better</w:t>
            </w:r>
            <w:r w:rsidR="00F3731F">
              <w:t xml:space="preserve"> </w:t>
            </w:r>
            <w:r w:rsidR="00BF1EAD">
              <w:t xml:space="preserve">guidance </w:t>
            </w:r>
            <w:r w:rsidR="00251756">
              <w:t>backed up by research</w:t>
            </w:r>
            <w:r w:rsidR="00BF1EAD">
              <w:t xml:space="preserve"> on </w:t>
            </w:r>
            <w:r w:rsidR="00EF3629">
              <w:t xml:space="preserve">how </w:t>
            </w:r>
            <w:r w:rsidR="002479C5">
              <w:t>symptomatic patients</w:t>
            </w:r>
            <w:r w:rsidR="001257A6">
              <w:t xml:space="preserve"> </w:t>
            </w:r>
            <w:r w:rsidR="004E5AAE">
              <w:t xml:space="preserve">should be managed </w:t>
            </w:r>
            <w:r w:rsidR="00D2146B">
              <w:t>following a FC test result</w:t>
            </w:r>
            <w:r w:rsidR="00836D85">
              <w:t>,</w:t>
            </w:r>
            <w:r w:rsidR="00D2146B">
              <w:t xml:space="preserve"> whereas it is unclear </w:t>
            </w:r>
            <w:r w:rsidR="0020216B">
              <w:t xml:space="preserve">how </w:t>
            </w:r>
            <w:r w:rsidR="00A81B97">
              <w:t xml:space="preserve">the results of </w:t>
            </w:r>
            <w:r w:rsidR="0020216B">
              <w:t xml:space="preserve">FC testing should be used </w:t>
            </w:r>
            <w:r w:rsidR="00C60F6A">
              <w:t>to guide</w:t>
            </w:r>
            <w:r w:rsidR="00A81B97">
              <w:t xml:space="preserve"> the management of </w:t>
            </w:r>
            <w:r w:rsidR="008A3E0E">
              <w:t xml:space="preserve">asymptomatic patients. </w:t>
            </w:r>
            <w:r w:rsidR="00981BEB">
              <w:t xml:space="preserve">In addition, </w:t>
            </w:r>
            <w:r w:rsidR="008A3E0E">
              <w:t>the</w:t>
            </w:r>
            <w:r w:rsidR="00CC39D1">
              <w:t>re is a</w:t>
            </w:r>
            <w:r w:rsidR="008A3E0E">
              <w:t xml:space="preserve"> risk that </w:t>
            </w:r>
            <w:r w:rsidR="008A3E0E">
              <w:lastRenderedPageBreak/>
              <w:t xml:space="preserve">asymptomatic patients may be </w:t>
            </w:r>
            <w:r w:rsidR="002253FF">
              <w:t xml:space="preserve">more likely to be </w:t>
            </w:r>
            <w:r w:rsidR="008A3E0E">
              <w:t>inadvertently harmed from use of the test due to</w:t>
            </w:r>
            <w:r w:rsidR="002253FF">
              <w:t xml:space="preserve"> introduction of</w:t>
            </w:r>
            <w:r w:rsidR="008A3E0E">
              <w:t xml:space="preserve"> unnecessary invasive procedures</w:t>
            </w:r>
            <w:r w:rsidR="003A50D1">
              <w:t xml:space="preserve">, </w:t>
            </w:r>
            <w:r w:rsidR="002253FF">
              <w:t xml:space="preserve">new </w:t>
            </w:r>
            <w:r w:rsidR="009B5D4D">
              <w:t>treatment</w:t>
            </w:r>
            <w:r w:rsidR="003A50D1">
              <w:t>s</w:t>
            </w:r>
            <w:r w:rsidR="002253FF">
              <w:t xml:space="preserve"> or </w:t>
            </w:r>
            <w:r w:rsidR="008A3E0E">
              <w:t xml:space="preserve">escalation of their </w:t>
            </w:r>
            <w:r w:rsidR="00F60754">
              <w:t xml:space="preserve">existing </w:t>
            </w:r>
            <w:r w:rsidR="009B5D4D">
              <w:t>treatment</w:t>
            </w:r>
            <w:r w:rsidR="00594AC4">
              <w:t xml:space="preserve"> </w:t>
            </w:r>
            <w:r w:rsidR="00CC39D1">
              <w:t xml:space="preserve">that may result </w:t>
            </w:r>
            <w:r w:rsidR="00594AC4">
              <w:t xml:space="preserve">from </w:t>
            </w:r>
            <w:r w:rsidR="007A667B">
              <w:t>uncertain</w:t>
            </w:r>
            <w:r w:rsidR="000B31E3">
              <w:t>/intermediate</w:t>
            </w:r>
            <w:r w:rsidR="007A667B">
              <w:t xml:space="preserve"> (</w:t>
            </w:r>
            <w:r w:rsidR="00C22A78">
              <w:t>neither positive or negative)</w:t>
            </w:r>
            <w:r w:rsidR="00CC39D1">
              <w:t xml:space="preserve"> or</w:t>
            </w:r>
            <w:r w:rsidR="00594AC4">
              <w:t xml:space="preserve"> false positive test results</w:t>
            </w:r>
            <w:r w:rsidR="00E938A7">
              <w:t xml:space="preserve"> </w:t>
            </w:r>
            <w:r w:rsidR="00A34DDF">
              <w:t>(</w:t>
            </w:r>
            <w:r w:rsidR="00066BE4">
              <w:t xml:space="preserve">a test result that is incorrectly </w:t>
            </w:r>
            <w:r w:rsidR="00DC7A6D">
              <w:t>positive</w:t>
            </w:r>
            <w:r w:rsidR="00E938A7">
              <w:t>)</w:t>
            </w:r>
            <w:r w:rsidR="008A3E0E">
              <w:t xml:space="preserve">. </w:t>
            </w:r>
            <w:r>
              <w:t>Therefore, MSAC supported funding the test</w:t>
            </w:r>
            <w:r w:rsidR="00EE2C40">
              <w:t xml:space="preserve"> only</w:t>
            </w:r>
            <w:r>
              <w:t xml:space="preserve"> for symptomatic patients (including children). </w:t>
            </w:r>
            <w:r w:rsidR="007F4D56">
              <w:t xml:space="preserve">To </w:t>
            </w:r>
            <w:r w:rsidR="008326E8">
              <w:t xml:space="preserve">help patients </w:t>
            </w:r>
            <w:r w:rsidR="007F4D56">
              <w:t xml:space="preserve">access </w:t>
            </w:r>
            <w:r w:rsidR="008326E8">
              <w:t>FC testing,</w:t>
            </w:r>
            <w:r w:rsidR="007F4D56">
              <w:t xml:space="preserve"> </w:t>
            </w:r>
            <w:r>
              <w:t xml:space="preserve">MSAC also considered that general practitioners (GPs) should be able to request the test, </w:t>
            </w:r>
            <w:r w:rsidR="00064DFA">
              <w:t>in consultation with a specialist</w:t>
            </w:r>
            <w:r>
              <w:t>.</w:t>
            </w:r>
          </w:p>
          <w:p w14:paraId="676EE424" w14:textId="18F5D5D9" w:rsidR="0028080A" w:rsidRDefault="0028080A" w:rsidP="00BF1C52">
            <w:r>
              <w:t xml:space="preserve">MSAC </w:t>
            </w:r>
            <w:r w:rsidR="00A6747C">
              <w:t>considered</w:t>
            </w:r>
            <w:r>
              <w:t xml:space="preserve"> that GPs and specialists </w:t>
            </w:r>
            <w:r w:rsidR="00F45B95">
              <w:t>need further</w:t>
            </w:r>
            <w:r>
              <w:t xml:space="preserve"> educat</w:t>
            </w:r>
            <w:r w:rsidR="00F45B95">
              <w:t>ion</w:t>
            </w:r>
            <w:r>
              <w:t xml:space="preserve"> about how to properly interpret the test results</w:t>
            </w:r>
            <w:r w:rsidR="00F45B95">
              <w:t xml:space="preserve"> given </w:t>
            </w:r>
            <w:r w:rsidR="00C42040">
              <w:t>that</w:t>
            </w:r>
            <w:r w:rsidR="00F45B95">
              <w:t xml:space="preserve"> IBD</w:t>
            </w:r>
            <w:r w:rsidR="00C42040">
              <w:t xml:space="preserve"> is a complex condition</w:t>
            </w:r>
            <w:r>
              <w:t xml:space="preserve">. MSAC also advised that a review </w:t>
            </w:r>
            <w:r w:rsidR="00187E77">
              <w:t xml:space="preserve">of the </w:t>
            </w:r>
            <w:r w:rsidR="009B5D4D">
              <w:t>supported</w:t>
            </w:r>
            <w:r w:rsidR="00187E77">
              <w:t xml:space="preserve"> item</w:t>
            </w:r>
            <w:r>
              <w:t xml:space="preserve"> should be performed after 24 months</w:t>
            </w:r>
            <w:r w:rsidR="00026517">
              <w:t xml:space="preserve"> to ensure it is not being inappropriately used</w:t>
            </w:r>
            <w:r>
              <w:t>.</w:t>
            </w:r>
          </w:p>
          <w:p w14:paraId="24331FA8" w14:textId="77777777" w:rsidR="0028080A" w:rsidRPr="00AF46D8" w:rsidRDefault="0028080A" w:rsidP="00BF1C52">
            <w:pPr>
              <w:pStyle w:val="Heading3"/>
            </w:pPr>
            <w:r w:rsidRPr="00AF46D8">
              <w:t xml:space="preserve">MSAC’s advice to the </w:t>
            </w:r>
            <w:proofErr w:type="gramStart"/>
            <w:r w:rsidRPr="00AF46D8">
              <w:t>Commonwealth Minister</w:t>
            </w:r>
            <w:proofErr w:type="gramEnd"/>
            <w:r w:rsidRPr="00AF46D8">
              <w:t xml:space="preserve"> for Health</w:t>
            </w:r>
            <w:r>
              <w:t xml:space="preserve"> and Aged Care</w:t>
            </w:r>
          </w:p>
          <w:p w14:paraId="58523D0E" w14:textId="072EB88C" w:rsidR="0028080A" w:rsidRPr="00AF46D8" w:rsidRDefault="0028080A" w:rsidP="00BF1C52">
            <w:r w:rsidRPr="00AF46D8">
              <w:t>MSAC supported</w:t>
            </w:r>
            <w:r>
              <w:t xml:space="preserve"> public funding of FC testing for the </w:t>
            </w:r>
            <w:r w:rsidR="0E9D293E">
              <w:t>management</w:t>
            </w:r>
            <w:r>
              <w:t xml:space="preserve"> of symptomatic people with IBD. MSAC considered that the test was safe and effective for symptomatic people, but </w:t>
            </w:r>
            <w:r w:rsidR="009B5D4D">
              <w:t>there was no</w:t>
            </w:r>
            <w:r w:rsidR="00325C8F">
              <w:t>t</w:t>
            </w:r>
            <w:r w:rsidR="009B5D4D">
              <w:t xml:space="preserve"> sufficient </w:t>
            </w:r>
            <w:r>
              <w:t xml:space="preserve">evidence </w:t>
            </w:r>
            <w:r w:rsidR="009B5D4D">
              <w:t>to support the clinical utility of the test in</w:t>
            </w:r>
            <w:r>
              <w:t xml:space="preserve"> asymptomatic people</w:t>
            </w:r>
            <w:r w:rsidR="001C3762">
              <w:t xml:space="preserve"> with IBD</w:t>
            </w:r>
            <w:r>
              <w:t>. MSAC advised that a review</w:t>
            </w:r>
            <w:r w:rsidR="00026517">
              <w:t xml:space="preserve"> of the usage of FC testing </w:t>
            </w:r>
            <w:r>
              <w:t>should be performed after 24 months.</w:t>
            </w:r>
          </w:p>
        </w:tc>
      </w:tr>
    </w:tbl>
    <w:p w14:paraId="13A3EC04" w14:textId="53147C9F" w:rsidR="00FA283C" w:rsidRPr="00FA283C" w:rsidRDefault="00FA283C" w:rsidP="00FA283C">
      <w:pPr>
        <w:pStyle w:val="Heading2"/>
        <w:numPr>
          <w:ilvl w:val="0"/>
          <w:numId w:val="0"/>
        </w:numPr>
      </w:pPr>
      <w:r>
        <w:lastRenderedPageBreak/>
        <w:t>3.</w:t>
      </w:r>
      <w:r>
        <w:tab/>
      </w:r>
      <w:r w:rsidRPr="00FA283C">
        <w:t>Summary of consideration and rationale for MSAC’s advice</w:t>
      </w:r>
    </w:p>
    <w:p w14:paraId="6FF8A3C4" w14:textId="77777777" w:rsidR="003F1736" w:rsidRDefault="003F1736" w:rsidP="003F1736">
      <w:r w:rsidRPr="00516D4E">
        <w:t>MSAC</w:t>
      </w:r>
      <w:r>
        <w:t xml:space="preserve"> noted that this was an application from the Gastroenterological Society of Australia requesting Medicare Benefits Schedule (MBS) listing of faecal calprotectin (FC) testing for the monitoring of people with inflammatory bowel disease (IBD).</w:t>
      </w:r>
    </w:p>
    <w:p w14:paraId="5918FD53" w14:textId="0D8A418A" w:rsidR="003F1736" w:rsidRDefault="003F1736" w:rsidP="003F1736">
      <w:r>
        <w:t>MSAC recalled that, in 2018, it had considered MBS listing of FC testing for the diagnosis and monitoring of IBD (</w:t>
      </w:r>
      <w:r w:rsidR="001848BC" w:rsidRPr="00083E3C">
        <w:t>MSAC Application 1353</w:t>
      </w:r>
      <w:r>
        <w:t>). MSAC did not support listing at the time, requesting further clarification on current Australian practice to monitor IBD, the clinical utility of the test, and the biological variability of inflammation among stable IBD patients (to understand when a change in clinical management would be initiated and for a better basis for the requested frequency of testing). In 2019, MSAC considered a resubmission (</w:t>
      </w:r>
      <w:r w:rsidR="001848BC" w:rsidRPr="00083E3C">
        <w:t>MSAC Application 1353.1</w:t>
      </w:r>
      <w:r>
        <w:t>) that requested MBS listing of FC testing for diagnosis of IBD only, which MSAC subsequently supported.</w:t>
      </w:r>
      <w:r w:rsidR="00E65253">
        <w:t xml:space="preserve"> MSAC noted FC testing is most useful </w:t>
      </w:r>
      <w:r w:rsidR="33F0BB73">
        <w:t>in the diagnostic setting,</w:t>
      </w:r>
      <w:r w:rsidR="00E65253">
        <w:t xml:space="preserve"> due to its strong negative predictive value.</w:t>
      </w:r>
      <w:r>
        <w:t xml:space="preserve"> In 2021, </w:t>
      </w:r>
      <w:r w:rsidR="00A73CEA">
        <w:t>two</w:t>
      </w:r>
      <w:r>
        <w:t> items were introduced</w:t>
      </w:r>
      <w:r w:rsidR="00F73805">
        <w:t xml:space="preserve"> to the MBS</w:t>
      </w:r>
      <w:r>
        <w:t xml:space="preserve"> for FC testing for the diagnosis of IBD in patients aged &lt;50 years (item </w:t>
      </w:r>
      <w:r w:rsidR="00ED1D9C">
        <w:t xml:space="preserve">66522 </w:t>
      </w:r>
      <w:r>
        <w:t xml:space="preserve">for general practitioners [GPs] and item </w:t>
      </w:r>
      <w:r w:rsidR="00ED1D9C">
        <w:t>66523</w:t>
      </w:r>
      <w:r>
        <w:t xml:space="preserve"> for specialists). MSAC noted some repeat testing is occurring</w:t>
      </w:r>
      <w:r w:rsidR="00340B8E">
        <w:t>,</w:t>
      </w:r>
      <w:r w:rsidR="00B04244">
        <w:t xml:space="preserve"> meaning that </w:t>
      </w:r>
      <w:r w:rsidR="007B100D">
        <w:t>some uses of the diagnostic test item</w:t>
      </w:r>
      <w:r w:rsidR="00780884">
        <w:t xml:space="preserve"> </w:t>
      </w:r>
      <w:r w:rsidR="396960B5">
        <w:t>could be</w:t>
      </w:r>
      <w:r w:rsidR="00780884">
        <w:t xml:space="preserve"> </w:t>
      </w:r>
      <w:r w:rsidR="00CE171A">
        <w:t>for monitoring</w:t>
      </w:r>
      <w:r>
        <w:t>.</w:t>
      </w:r>
      <w:r w:rsidR="00780884">
        <w:t xml:space="preserve"> </w:t>
      </w:r>
      <w:r w:rsidR="00B06C2C">
        <w:t xml:space="preserve">MSAC </w:t>
      </w:r>
      <w:r w:rsidR="280B96AD">
        <w:t>noted that none of this usage was</w:t>
      </w:r>
      <w:r w:rsidR="00B06C2C">
        <w:t xml:space="preserve"> occurring in </w:t>
      </w:r>
      <w:r>
        <w:t>people aged &gt;50 years</w:t>
      </w:r>
      <w:r w:rsidR="00B06C2C">
        <w:t xml:space="preserve">, due to the </w:t>
      </w:r>
      <w:r w:rsidR="002D71F1">
        <w:t>age restrictions on this item</w:t>
      </w:r>
      <w:r>
        <w:t>.</w:t>
      </w:r>
    </w:p>
    <w:p w14:paraId="5044D9DF" w14:textId="1EADF4F2" w:rsidR="00D3756B" w:rsidRDefault="003F1736" w:rsidP="003F1736">
      <w:r>
        <w:t xml:space="preserve">MSAC noted that feedback from stakeholders was supportive of public funding. </w:t>
      </w:r>
      <w:r w:rsidR="00FA3B0C">
        <w:t>MSAC noted that</w:t>
      </w:r>
      <w:r w:rsidR="002837B1">
        <w:t xml:space="preserve"> the f</w:t>
      </w:r>
      <w:r>
        <w:t xml:space="preserve">eedback had a strong view that </w:t>
      </w:r>
      <w:r w:rsidR="002837B1">
        <w:t>overall</w:t>
      </w:r>
      <w:r w:rsidR="675A1109">
        <w:t>,</w:t>
      </w:r>
      <w:r w:rsidR="002837B1">
        <w:t xml:space="preserve"> </w:t>
      </w:r>
      <w:r>
        <w:t xml:space="preserve">FC testing would reduce unnecessary colonoscopies and be useful for </w:t>
      </w:r>
      <w:r w:rsidR="007277A9">
        <w:t>monitoring disease activity</w:t>
      </w:r>
      <w:r>
        <w:t>.</w:t>
      </w:r>
      <w:r w:rsidR="004622E5">
        <w:t xml:space="preserve"> </w:t>
      </w:r>
      <w:r w:rsidR="00D3756B">
        <w:t>MSAC noted that FC testing</w:t>
      </w:r>
      <w:r w:rsidR="00A7134A">
        <w:t xml:space="preserve"> for </w:t>
      </w:r>
      <w:r w:rsidR="00416E3E">
        <w:t>monitoring patients</w:t>
      </w:r>
      <w:r w:rsidR="00A7134A">
        <w:t xml:space="preserve"> </w:t>
      </w:r>
      <w:r w:rsidR="00416E3E">
        <w:t xml:space="preserve">with </w:t>
      </w:r>
      <w:r w:rsidR="00A7134A">
        <w:t>IBD</w:t>
      </w:r>
      <w:r w:rsidR="00D3756B">
        <w:t xml:space="preserve"> is already being widely used in Australia</w:t>
      </w:r>
      <w:r w:rsidR="00416E3E">
        <w:t xml:space="preserve"> and funded through various means including</w:t>
      </w:r>
      <w:r w:rsidR="009F097A">
        <w:t xml:space="preserve"> </w:t>
      </w:r>
      <w:r w:rsidR="00416E3E">
        <w:t>through public hospital settings</w:t>
      </w:r>
      <w:r w:rsidR="00C1570C">
        <w:t>,</w:t>
      </w:r>
      <w:r w:rsidR="00416E3E">
        <w:t xml:space="preserve"> through</w:t>
      </w:r>
      <w:r w:rsidR="00611F1E">
        <w:t xml:space="preserve"> </w:t>
      </w:r>
      <w:r w:rsidR="009F097A">
        <w:t xml:space="preserve">private </w:t>
      </w:r>
      <w:r w:rsidR="00416E3E">
        <w:t>funding</w:t>
      </w:r>
      <w:r w:rsidR="00C1570C">
        <w:t xml:space="preserve"> and </w:t>
      </w:r>
      <w:r w:rsidR="00416E3E">
        <w:t xml:space="preserve">the </w:t>
      </w:r>
      <w:r w:rsidR="001B32F9">
        <w:t xml:space="preserve">inappropriate </w:t>
      </w:r>
      <w:r w:rsidR="00416E3E">
        <w:t>use of the existing MBS items for diagnosis</w:t>
      </w:r>
      <w:r w:rsidR="009F097A">
        <w:t>. MSAC considered that current arrangements for patients may result in access and equity issues</w:t>
      </w:r>
      <w:r w:rsidR="00D3756B" w:rsidDel="007D51FC">
        <w:t xml:space="preserve"> </w:t>
      </w:r>
      <w:r w:rsidR="007D51FC">
        <w:t>as</w:t>
      </w:r>
      <w:r w:rsidR="00D3756B">
        <w:t xml:space="preserve"> patients </w:t>
      </w:r>
      <w:r w:rsidR="00416E3E">
        <w:t>may need to pay</w:t>
      </w:r>
      <w:r w:rsidR="00D3756B">
        <w:t xml:space="preserve"> out-of-pocket for the test.</w:t>
      </w:r>
      <w:r w:rsidR="00647BB0">
        <w:t xml:space="preserve"> </w:t>
      </w:r>
    </w:p>
    <w:p w14:paraId="5E413036" w14:textId="15E56623" w:rsidR="003F1736" w:rsidRDefault="003F1736" w:rsidP="003F1736">
      <w:r>
        <w:t>MSAC noted that FC is a biomarker of gut inflammation. Raised levels in the stool reflect the migration of neutrophils into the gut lumen</w:t>
      </w:r>
      <w:r w:rsidR="00C17563">
        <w:t xml:space="preserve"> and may be indicative of IBD disease activity</w:t>
      </w:r>
      <w:r>
        <w:t xml:space="preserve">. MSAC noted the following thresholds for FC levels proposed in the clinical management algorithm, </w:t>
      </w:r>
      <w:r>
        <w:lastRenderedPageBreak/>
        <w:t>which align with some clinical guidelines including recommendations by the Gastroenterological Society of Australia:</w:t>
      </w:r>
    </w:p>
    <w:p w14:paraId="05E375EA" w14:textId="4C46C1B6" w:rsidR="003F1736" w:rsidRDefault="003F1736" w:rsidP="003F1736">
      <w:pPr>
        <w:pStyle w:val="ListParagraph"/>
        <w:numPr>
          <w:ilvl w:val="0"/>
          <w:numId w:val="55"/>
        </w:numPr>
        <w:spacing w:before="0" w:after="0" w:line="240" w:lineRule="auto"/>
      </w:pPr>
      <w:r>
        <w:t>&lt;100 µg/g: no inflammation</w:t>
      </w:r>
    </w:p>
    <w:p w14:paraId="022F53E0" w14:textId="77777777" w:rsidR="003F1736" w:rsidRDefault="003F1736" w:rsidP="003F1736">
      <w:pPr>
        <w:pStyle w:val="ListParagraph"/>
        <w:numPr>
          <w:ilvl w:val="0"/>
          <w:numId w:val="55"/>
        </w:numPr>
        <w:spacing w:before="0" w:after="0" w:line="240" w:lineRule="auto"/>
      </w:pPr>
      <w:r>
        <w:t>100–250 µg/g: intermediate</w:t>
      </w:r>
    </w:p>
    <w:p w14:paraId="6CB15EE3" w14:textId="77777777" w:rsidR="003F1736" w:rsidRDefault="003F1736" w:rsidP="003F1736">
      <w:pPr>
        <w:pStyle w:val="ListParagraph"/>
        <w:numPr>
          <w:ilvl w:val="0"/>
          <w:numId w:val="55"/>
        </w:numPr>
        <w:spacing w:before="0" w:after="0" w:line="240" w:lineRule="auto"/>
      </w:pPr>
      <w:r>
        <w:t>&gt;250 µg/g: active inflammation.</w:t>
      </w:r>
    </w:p>
    <w:p w14:paraId="3D42EA7B" w14:textId="099FB842" w:rsidR="009361DC" w:rsidRDefault="009361DC" w:rsidP="00E85592">
      <w:r>
        <w:t>MSAC noted from the pre-MSAC response that there is a lack of consensus around FC thresholds in the literature and that there is no absolute level in which subsequent actions are mandated. MSAC also noted that the ‘intermediate’ range proposed in the clinical management algorithm of the current application covers a relatively wide range (100-250</w:t>
      </w:r>
      <w:r w:rsidRPr="00C1046A">
        <w:rPr>
          <w:vertAlign w:val="subscript"/>
        </w:rPr>
        <w:t xml:space="preserve"> </w:t>
      </w:r>
      <w:r>
        <w:t xml:space="preserve">µg/g) and noted that results within this range can be difficult to interpret. In their pre-MSAC response, the applicant proposed to work with pathology companies and other relevant/interested parties </w:t>
      </w:r>
      <w:r w:rsidR="00132D3E">
        <w:t>to</w:t>
      </w:r>
      <w:r>
        <w:t xml:space="preserve"> standardis</w:t>
      </w:r>
      <w:r w:rsidR="00132D3E">
        <w:t>e</w:t>
      </w:r>
      <w:r>
        <w:t xml:space="preserve"> and clari</w:t>
      </w:r>
      <w:r w:rsidR="00132D3E">
        <w:t>f</w:t>
      </w:r>
      <w:r>
        <w:t xml:space="preserve">y the wording of FC thresholds. </w:t>
      </w:r>
    </w:p>
    <w:p w14:paraId="7774EC26" w14:textId="08E83EB7" w:rsidR="003F1736" w:rsidRDefault="003F1736" w:rsidP="003F1736">
      <w:r>
        <w:t>MSAC noted that interpreting FC results in isolation can be misleading, as FC values up to 600 µg/g can still be associated with minimal inflammation</w:t>
      </w:r>
      <w:r w:rsidR="00E14CA8">
        <w:t>.</w:t>
      </w:r>
      <w:r>
        <w:t xml:space="preserve"> </w:t>
      </w:r>
      <w:r w:rsidR="00E14CA8">
        <w:t xml:space="preserve">MSAC also noted that </w:t>
      </w:r>
      <w:r>
        <w:t xml:space="preserve">there can be poor correlation between symptoms and inflammation </w:t>
      </w:r>
      <w:r w:rsidR="001F7F41">
        <w:t>at</w:t>
      </w:r>
      <w:r>
        <w:t xml:space="preserve"> colonoscopy. Additionally, inter</w:t>
      </w:r>
      <w:r w:rsidR="00611F1E">
        <w:t>-</w:t>
      </w:r>
      <w:r>
        <w:t>patient and intra</w:t>
      </w:r>
      <w:r w:rsidR="000D43D6">
        <w:t>-</w:t>
      </w:r>
      <w:r>
        <w:t>patient variation</w:t>
      </w:r>
      <w:r w:rsidR="00611F1E">
        <w:t xml:space="preserve"> is observed with FC test results</w:t>
      </w:r>
      <w:r>
        <w:t>.</w:t>
      </w:r>
      <w:r w:rsidR="00851F5D" w:rsidRPr="00851F5D">
        <w:t xml:space="preserve"> </w:t>
      </w:r>
      <w:r w:rsidR="00851F5D">
        <w:t xml:space="preserve">Therefore, </w:t>
      </w:r>
      <w:r w:rsidR="009F11A9">
        <w:t xml:space="preserve">MSAC considered that the </w:t>
      </w:r>
      <w:r w:rsidR="0072753F">
        <w:t>FC</w:t>
      </w:r>
      <w:r w:rsidR="00851F5D">
        <w:t xml:space="preserve"> </w:t>
      </w:r>
      <w:r w:rsidR="009F11A9">
        <w:t>trend over time is</w:t>
      </w:r>
      <w:r w:rsidR="00851F5D">
        <w:t xml:space="preserve"> more meaningful </w:t>
      </w:r>
      <w:r w:rsidR="009F11A9">
        <w:t>than the absolute value of a single FC result</w:t>
      </w:r>
      <w:r w:rsidR="00851F5D">
        <w:t xml:space="preserve">. </w:t>
      </w:r>
      <w:r w:rsidR="00F12342">
        <w:t>MSAC noted that</w:t>
      </w:r>
      <w:r w:rsidR="00D320EC">
        <w:t xml:space="preserve"> </w:t>
      </w:r>
      <w:r w:rsidR="00F12342">
        <w:t>t</w:t>
      </w:r>
      <w:r w:rsidR="00D320EC">
        <w:t>he Royal College of Pathologists of Australasia (RCPA) and Public Pathology Australia both advised that the patient’s clinical history, the trend in FC results and other diagnostic findings must be evaluated alongside an FC result</w:t>
      </w:r>
      <w:r w:rsidR="009F11A9">
        <w:t>.</w:t>
      </w:r>
      <w:r w:rsidR="00D320EC">
        <w:t xml:space="preserve"> </w:t>
      </w:r>
      <w:r w:rsidR="00E85592">
        <w:t xml:space="preserve">MSAC noted that </w:t>
      </w:r>
      <w:r w:rsidR="009F11A9">
        <w:t xml:space="preserve">an </w:t>
      </w:r>
      <w:r w:rsidR="00E27466">
        <w:t>elevated</w:t>
      </w:r>
      <w:r w:rsidR="00957D8D">
        <w:t xml:space="preserve"> FC</w:t>
      </w:r>
      <w:r w:rsidR="00E85592">
        <w:t xml:space="preserve"> result may be </w:t>
      </w:r>
      <w:r w:rsidR="009F11A9">
        <w:t>due to</w:t>
      </w:r>
      <w:r w:rsidR="00E85592">
        <w:t xml:space="preserve"> </w:t>
      </w:r>
      <w:r w:rsidR="00957D8D">
        <w:t>causes other than an IBD,</w:t>
      </w:r>
      <w:r w:rsidR="009F11A9">
        <w:t xml:space="preserve"> </w:t>
      </w:r>
      <w:r w:rsidR="009B2902">
        <w:t>and infection should</w:t>
      </w:r>
      <w:r w:rsidR="00957D8D">
        <w:t xml:space="preserve"> be ruled out before any subsequent treatment decisions regarding IBD management are made</w:t>
      </w:r>
      <w:r w:rsidR="00E85592" w:rsidDel="009F11A9">
        <w:t>.</w:t>
      </w:r>
      <w:r w:rsidR="00B64C72">
        <w:t xml:space="preserve"> </w:t>
      </w:r>
      <w:r w:rsidR="009361DC">
        <w:t xml:space="preserve">MSAC advised that if FC testing for IBD monitoring is funded, education measures are needed for GPs and specialists around the interpretation of results in a clinical context. </w:t>
      </w:r>
      <w:r w:rsidR="009361DC">
        <w:rPr>
          <w:rFonts w:eastAsia="Franklin Gothic Book"/>
        </w:rPr>
        <w:t xml:space="preserve">MSAC noted that in their pre-MSAC response, the applicant proposed to implement an education program targeted to GPs and specialists on interpretation of FC results in </w:t>
      </w:r>
      <w:r w:rsidR="00424791">
        <w:rPr>
          <w:rFonts w:eastAsia="Franklin Gothic Book"/>
        </w:rPr>
        <w:t xml:space="preserve">a </w:t>
      </w:r>
      <w:r w:rsidR="009361DC">
        <w:rPr>
          <w:rFonts w:eastAsia="Franklin Gothic Book"/>
        </w:rPr>
        <w:t>clinical context to encourage clinically appropriate decision making and reduce any risk of leakage</w:t>
      </w:r>
      <w:r w:rsidR="005C665C">
        <w:rPr>
          <w:rFonts w:eastAsia="Franklin Gothic Book"/>
        </w:rPr>
        <w:t xml:space="preserve"> and inappropriate referral for colonoscopy</w:t>
      </w:r>
      <w:r w:rsidR="009361DC">
        <w:t>.</w:t>
      </w:r>
    </w:p>
    <w:p w14:paraId="7A382C09" w14:textId="6691796B" w:rsidR="003F1736" w:rsidRDefault="003F1736" w:rsidP="003F1736">
      <w:r>
        <w:t xml:space="preserve">MSAC noted that the application presented </w:t>
      </w:r>
      <w:r w:rsidR="000D43D6">
        <w:t>two</w:t>
      </w:r>
      <w:r>
        <w:t> PICO sets. PICO set 1 included symptomatic patients</w:t>
      </w:r>
      <w:r w:rsidR="0032783F">
        <w:t xml:space="preserve"> with IBD</w:t>
      </w:r>
      <w:r>
        <w:t>, with FC testing used to assess disease activity</w:t>
      </w:r>
      <w:r w:rsidR="00E40B4E">
        <w:t xml:space="preserve"> and mucosal healing</w:t>
      </w:r>
      <w:r>
        <w:t>. PICO set 2 included asymptomatic patients, with FC testing used to predict IBD flares and relapses. The comparator for both PICO sets was colonoscopy + biops</w:t>
      </w:r>
      <w:r w:rsidR="000D43D6">
        <w:t>y</w:t>
      </w:r>
      <w:r w:rsidR="0037746C">
        <w:t>, with</w:t>
      </w:r>
      <w:r>
        <w:t xml:space="preserve"> PICO set 2 ha</w:t>
      </w:r>
      <w:r w:rsidR="0037746C">
        <w:t>ving</w:t>
      </w:r>
      <w:r>
        <w:t xml:space="preserve"> an additional comparator of standard medical management</w:t>
      </w:r>
      <w:r w:rsidR="0037746C">
        <w:t>.</w:t>
      </w:r>
      <w:r>
        <w:t xml:space="preserve"> MSAC noted that no ev</w:t>
      </w:r>
      <w:r w:rsidR="00DA0966">
        <w:t>idence</w:t>
      </w:r>
      <w:r>
        <w:t xml:space="preserve"> was presented for </w:t>
      </w:r>
      <w:r w:rsidR="00F0177F">
        <w:t>standard medical management a</w:t>
      </w:r>
      <w:r>
        <w:t>s</w:t>
      </w:r>
      <w:r w:rsidR="00F0177F">
        <w:t xml:space="preserve"> </w:t>
      </w:r>
      <w:r w:rsidR="008B4696">
        <w:t>a</w:t>
      </w:r>
      <w:r>
        <w:t xml:space="preserve"> comparator</w:t>
      </w:r>
      <w:r w:rsidR="00083E3C">
        <w:t>,</w:t>
      </w:r>
      <w:r w:rsidR="000D43D6">
        <w:t xml:space="preserve"> so no additional evaluation was undertaken based on this second comparator</w:t>
      </w:r>
      <w:r>
        <w:t xml:space="preserve">. </w:t>
      </w:r>
    </w:p>
    <w:p w14:paraId="57FE5805" w14:textId="46B9811A" w:rsidR="003F1736" w:rsidRDefault="0029610E" w:rsidP="003F1736">
      <w:r>
        <w:t xml:space="preserve">MSAC noted that there was limited evidence available to inform safety of FC testing. </w:t>
      </w:r>
      <w:r w:rsidR="003F1736">
        <w:t>MSAC</w:t>
      </w:r>
      <w:r w:rsidR="00036ECF">
        <w:t xml:space="preserve"> </w:t>
      </w:r>
      <w:r w:rsidR="00853203">
        <w:t>considered</w:t>
      </w:r>
      <w:r w:rsidR="003F1736">
        <w:t xml:space="preserve"> that</w:t>
      </w:r>
      <w:r w:rsidR="003F1736" w:rsidDel="00447368">
        <w:t xml:space="preserve"> </w:t>
      </w:r>
      <w:r w:rsidR="003F1736">
        <w:t>FC testing</w:t>
      </w:r>
      <w:r w:rsidR="00447368">
        <w:t xml:space="preserve"> in the symptomatic group likely had non-inferior safety compared to colonoscopy, although raised concerns of the relatively high false positive rate of FC testing (~30%).</w:t>
      </w:r>
      <w:r w:rsidR="003F1736">
        <w:t xml:space="preserve"> </w:t>
      </w:r>
      <w:r w:rsidR="00B57459">
        <w:t>MSAC considered that the comparative safety claim</w:t>
      </w:r>
      <w:r w:rsidR="00EF6938">
        <w:t xml:space="preserve"> in the asymptomatic group </w:t>
      </w:r>
      <w:r w:rsidR="00B57459">
        <w:t xml:space="preserve">was uncertain </w:t>
      </w:r>
      <w:r w:rsidR="005F680A">
        <w:t xml:space="preserve">because </w:t>
      </w:r>
      <w:r w:rsidR="00B57459">
        <w:t>the high false-positive rate</w:t>
      </w:r>
      <w:r w:rsidR="00EF6938">
        <w:t xml:space="preserve"> </w:t>
      </w:r>
      <w:r w:rsidR="005F680A">
        <w:t xml:space="preserve">meant that this group would be </w:t>
      </w:r>
      <w:r w:rsidR="00316D03">
        <w:t xml:space="preserve">more likely to be harmed due to </w:t>
      </w:r>
      <w:r w:rsidR="000C4BCB">
        <w:t xml:space="preserve">unnecessary </w:t>
      </w:r>
      <w:r w:rsidR="00F33411">
        <w:t xml:space="preserve">treatment </w:t>
      </w:r>
      <w:r w:rsidR="000C4BCB">
        <w:t>escalation or further investigation</w:t>
      </w:r>
      <w:r w:rsidR="00316D03">
        <w:t xml:space="preserve"> including colonoscop</w:t>
      </w:r>
      <w:r w:rsidR="008A04B5">
        <w:t>y</w:t>
      </w:r>
      <w:r w:rsidR="00EF6938">
        <w:t xml:space="preserve">. </w:t>
      </w:r>
      <w:r w:rsidR="003F1736">
        <w:t xml:space="preserve">MSAC noted that in the pre-MSAC response, the applicant agreed that </w:t>
      </w:r>
      <w:r w:rsidR="008E3695">
        <w:t xml:space="preserve">while </w:t>
      </w:r>
      <w:r w:rsidR="00EE47CB">
        <w:t>in th</w:t>
      </w:r>
      <w:r w:rsidR="008500E4">
        <w:t>e</w:t>
      </w:r>
      <w:r w:rsidR="00EE47CB">
        <w:t xml:space="preserve"> asymptomatic group </w:t>
      </w:r>
      <w:r w:rsidR="003F1736">
        <w:t xml:space="preserve">there was a potential for unnecessary colonoscopy </w:t>
      </w:r>
      <w:r w:rsidR="003F1736" w:rsidDel="00744549">
        <w:t>referrals</w:t>
      </w:r>
      <w:r w:rsidR="008E3695">
        <w:t xml:space="preserve"> from FC testing</w:t>
      </w:r>
      <w:r w:rsidR="00956FCD">
        <w:t>,</w:t>
      </w:r>
      <w:r w:rsidR="008E3695">
        <w:t xml:space="preserve"> it was</w:t>
      </w:r>
      <w:r w:rsidR="003F1736" w:rsidDel="008E3695">
        <w:t xml:space="preserve"> ‘</w:t>
      </w:r>
      <w:r w:rsidR="003F1736">
        <w:t xml:space="preserve">very unlikely to lead to additional colonoscopies because gastroenterologists are likely to retest in this circumstance’. </w:t>
      </w:r>
      <w:r w:rsidR="00EE47CB">
        <w:t xml:space="preserve">However, </w:t>
      </w:r>
      <w:r w:rsidR="003F1736">
        <w:t xml:space="preserve">MSAC considered that while not all patients with a </w:t>
      </w:r>
      <w:r w:rsidR="00FF3AAD">
        <w:t>high</w:t>
      </w:r>
      <w:r w:rsidR="0041139F">
        <w:t xml:space="preserve"> FC</w:t>
      </w:r>
      <w:r w:rsidR="003F1736">
        <w:t xml:space="preserve"> result will </w:t>
      </w:r>
      <w:r w:rsidR="00FF3AAD">
        <w:t xml:space="preserve">further </w:t>
      </w:r>
      <w:r w:rsidR="0041139F">
        <w:t>proceed to</w:t>
      </w:r>
      <w:r w:rsidR="003F1736">
        <w:t xml:space="preserve"> a colonoscopy, they </w:t>
      </w:r>
      <w:r w:rsidR="0072481C">
        <w:t xml:space="preserve">may </w:t>
      </w:r>
      <w:r w:rsidR="003F1736">
        <w:t xml:space="preserve">require escalation in therapy. </w:t>
      </w:r>
      <w:r w:rsidR="00EE47CB">
        <w:t>Thus, a</w:t>
      </w:r>
      <w:r w:rsidR="003F1736">
        <w:t xml:space="preserve">lthough an FC test may facilitate faster escalation in therapy, it could lead to unnecessary </w:t>
      </w:r>
      <w:r w:rsidR="00615CDD">
        <w:t>treatment</w:t>
      </w:r>
      <w:r w:rsidR="003F1736">
        <w:t xml:space="preserve"> escalation in the case of false positive</w:t>
      </w:r>
      <w:r w:rsidR="00615CDD">
        <w:t xml:space="preserve"> FC results</w:t>
      </w:r>
      <w:r w:rsidR="00D42185">
        <w:t>.</w:t>
      </w:r>
      <w:r w:rsidR="003F1736">
        <w:t xml:space="preserve"> </w:t>
      </w:r>
      <w:r w:rsidR="00D42185">
        <w:t>This</w:t>
      </w:r>
      <w:r w:rsidR="003F1736">
        <w:t xml:space="preserve"> was most concerning for the asymptomatic group</w:t>
      </w:r>
      <w:r w:rsidR="00AB163A">
        <w:t xml:space="preserve"> because they would not otherwise </w:t>
      </w:r>
      <w:r w:rsidR="00E26455">
        <w:t>receive</w:t>
      </w:r>
      <w:r w:rsidR="00DC102A">
        <w:t xml:space="preserve"> an escalation in treatment</w:t>
      </w:r>
      <w:r w:rsidR="00083E3C">
        <w:t>,</w:t>
      </w:r>
      <w:r w:rsidR="00D42185">
        <w:t xml:space="preserve"> and </w:t>
      </w:r>
      <w:r w:rsidR="001E0A33">
        <w:t xml:space="preserve">this </w:t>
      </w:r>
      <w:r w:rsidR="000C0ED3">
        <w:t xml:space="preserve">may </w:t>
      </w:r>
      <w:r w:rsidR="001E0A33">
        <w:t>unnecessarily</w:t>
      </w:r>
      <w:r w:rsidR="00D42185">
        <w:t xml:space="preserve"> expose them to the side effects of </w:t>
      </w:r>
      <w:r w:rsidR="001E0A33">
        <w:t>medication</w:t>
      </w:r>
      <w:r w:rsidR="003F1736">
        <w:t>.</w:t>
      </w:r>
    </w:p>
    <w:p w14:paraId="5383904E" w14:textId="5932B5B5" w:rsidR="003F1736" w:rsidRDefault="003F1736" w:rsidP="003F1736">
      <w:r>
        <w:lastRenderedPageBreak/>
        <w:t>MSAC considered it appropriate that a linked evidence approach was used to determine clinical effectiveness. MSAC also considered it appropriate that clinical effectiveness was considered</w:t>
      </w:r>
      <w:r w:rsidR="00131EB1">
        <w:t xml:space="preserve"> separately</w:t>
      </w:r>
      <w:r>
        <w:t xml:space="preserve"> in both PICO sets, as utility </w:t>
      </w:r>
      <w:r w:rsidR="00900FE7">
        <w:t>of the test varied</w:t>
      </w:r>
      <w:r>
        <w:t xml:space="preserve"> between the </w:t>
      </w:r>
      <w:r w:rsidR="00900FE7">
        <w:t>two populations</w:t>
      </w:r>
      <w:r>
        <w:t xml:space="preserve">. Based on a systematic review and meta-analysis of test accuracy studies (using a threshold of 100 µg/g), MSAC </w:t>
      </w:r>
      <w:r w:rsidR="00131EB1">
        <w:t>considered</w:t>
      </w:r>
      <w:r>
        <w:t xml:space="preserve"> that FC testing had acceptable diagnostic accuracy in predicting disease activity and mucosal healing</w:t>
      </w:r>
      <w:r w:rsidR="00131EB1">
        <w:t xml:space="preserve"> with</w:t>
      </w:r>
      <w:r>
        <w:t xml:space="preserve"> a </w:t>
      </w:r>
      <w:r w:rsidR="006F0914">
        <w:t>pooled</w:t>
      </w:r>
      <w:r>
        <w:t xml:space="preserve"> </w:t>
      </w:r>
      <w:r w:rsidR="0029610E">
        <w:t xml:space="preserve">sensitivity and </w:t>
      </w:r>
      <w:r>
        <w:t xml:space="preserve">specificity of </w:t>
      </w:r>
      <w:r w:rsidR="0029610E">
        <w:t xml:space="preserve">83% and </w:t>
      </w:r>
      <w:r>
        <w:t>7</w:t>
      </w:r>
      <w:r w:rsidR="00CC5D5E">
        <w:t>1</w:t>
      </w:r>
      <w:r>
        <w:t>%</w:t>
      </w:r>
      <w:r w:rsidR="0029610E">
        <w:t xml:space="preserve"> respectively</w:t>
      </w:r>
      <w:r w:rsidR="009361DC">
        <w:t>.</w:t>
      </w:r>
      <w:r w:rsidR="006F0914" w:rsidDel="009361DC">
        <w:t xml:space="preserve"> </w:t>
      </w:r>
      <w:r w:rsidR="00167DA3">
        <w:t xml:space="preserve">MSAC </w:t>
      </w:r>
      <w:r w:rsidR="00920353">
        <w:t>noted</w:t>
      </w:r>
      <w:r w:rsidR="00167DA3">
        <w:t xml:space="preserve"> the meta</w:t>
      </w:r>
      <w:r w:rsidR="000E7785">
        <w:t xml:space="preserve">-analysis </w:t>
      </w:r>
      <w:r w:rsidR="00131EB1">
        <w:t xml:space="preserve">for active disease monitoring </w:t>
      </w:r>
      <w:r w:rsidR="000E7785">
        <w:t xml:space="preserve">had high heterogeneity. </w:t>
      </w:r>
    </w:p>
    <w:p w14:paraId="7943EE07" w14:textId="346C3FC1" w:rsidR="003F1736" w:rsidRDefault="003F1736" w:rsidP="003F1736">
      <w:r>
        <w:t xml:space="preserve">MSAC noted that there was more evidence </w:t>
      </w:r>
      <w:r w:rsidR="00CC5D5E">
        <w:t>relating to</w:t>
      </w:r>
      <w:r>
        <w:t xml:space="preserve"> </w:t>
      </w:r>
      <w:r w:rsidR="006C1682">
        <w:t xml:space="preserve">the </w:t>
      </w:r>
      <w:r w:rsidR="009D0EDA">
        <w:t>accuracy</w:t>
      </w:r>
      <w:r w:rsidR="006C1682">
        <w:t xml:space="preserve"> of FC testing in monitoring </w:t>
      </w:r>
      <w:r>
        <w:t>ulcerative colitis (UC) than for Crohn disease (CD). MSAC considered that, generally, patients with CD have more complications and more varied symptoms than those with UC</w:t>
      </w:r>
      <w:r w:rsidR="00A93017">
        <w:t xml:space="preserve">. MSAC also </w:t>
      </w:r>
      <w:r w:rsidR="00CC5D5E">
        <w:t>considered that</w:t>
      </w:r>
      <w:r w:rsidDel="00A93017">
        <w:t xml:space="preserve"> </w:t>
      </w:r>
      <w:r>
        <w:t>CD is</w:t>
      </w:r>
      <w:r w:rsidR="00A93017">
        <w:t xml:space="preserve"> </w:t>
      </w:r>
      <w:r w:rsidR="00DA0EF8">
        <w:t>typically</w:t>
      </w:r>
      <w:r w:rsidR="00A93017">
        <w:t xml:space="preserve"> </w:t>
      </w:r>
      <w:r w:rsidR="00DA0EF8">
        <w:t xml:space="preserve">more difficult </w:t>
      </w:r>
      <w:r>
        <w:t>to diagnose than UC.</w:t>
      </w:r>
    </w:p>
    <w:p w14:paraId="3E0F7FC0" w14:textId="102DF403" w:rsidR="003F1736" w:rsidRDefault="003F1736" w:rsidP="003F1736">
      <w:r>
        <w:t xml:space="preserve">MSAC noted that there was limited literature for the paediatric </w:t>
      </w:r>
      <w:r w:rsidDel="00A93017">
        <w:t>population</w:t>
      </w:r>
      <w:r w:rsidR="00A93017">
        <w:t xml:space="preserve"> but</w:t>
      </w:r>
      <w:r>
        <w:t xml:space="preserve"> considered the available evidence to be acceptable. MSAC considered that</w:t>
      </w:r>
      <w:r w:rsidR="00B30CD5">
        <w:t xml:space="preserve"> colonoscopy should be avoided where</w:t>
      </w:r>
      <w:r w:rsidR="00AC3D76">
        <w:t>ver</w:t>
      </w:r>
      <w:r w:rsidR="00B30CD5">
        <w:t xml:space="preserve"> possible in</w:t>
      </w:r>
      <w:r>
        <w:t xml:space="preserve"> the paediatric population</w:t>
      </w:r>
      <w:r w:rsidR="00B30CD5">
        <w:t xml:space="preserve">, due to the significant burden </w:t>
      </w:r>
      <w:r w:rsidR="00354792">
        <w:t xml:space="preserve">that </w:t>
      </w:r>
      <w:r w:rsidR="006348B7">
        <w:t xml:space="preserve">undergoing </w:t>
      </w:r>
      <w:r w:rsidR="00354792">
        <w:t>colonoscopy presents</w:t>
      </w:r>
      <w:r w:rsidR="00B30CD5">
        <w:t xml:space="preserve"> to </w:t>
      </w:r>
      <w:r w:rsidR="001C0DED">
        <w:t>this patient group. As such</w:t>
      </w:r>
      <w:r w:rsidR="00AC3D76">
        <w:t>, MSAC considered that</w:t>
      </w:r>
      <w:r w:rsidR="001C0DED">
        <w:t xml:space="preserve"> there is a</w:t>
      </w:r>
      <w:r w:rsidDel="001C0DED">
        <w:t xml:space="preserve"> </w:t>
      </w:r>
      <w:r>
        <w:t xml:space="preserve">high clinical need for </w:t>
      </w:r>
      <w:r w:rsidR="00AC3D76">
        <w:t>FC</w:t>
      </w:r>
      <w:r>
        <w:t xml:space="preserve"> test</w:t>
      </w:r>
      <w:r w:rsidR="003B228F">
        <w:t xml:space="preserve"> within the paediatric population</w:t>
      </w:r>
      <w:r>
        <w:t>.</w:t>
      </w:r>
    </w:p>
    <w:p w14:paraId="49AA268C" w14:textId="183A10D9" w:rsidR="00105A6C" w:rsidRDefault="003F1736" w:rsidP="003F1736">
      <w:r>
        <w:t xml:space="preserve">MSAC </w:t>
      </w:r>
      <w:r w:rsidR="00AD3A88">
        <w:t>agreed with ESC</w:t>
      </w:r>
      <w:r>
        <w:t xml:space="preserve"> </w:t>
      </w:r>
      <w:r w:rsidR="00AD3A88">
        <w:t xml:space="preserve">and considered </w:t>
      </w:r>
      <w:r>
        <w:t xml:space="preserve">that </w:t>
      </w:r>
      <w:r w:rsidR="00AD3A88">
        <w:t xml:space="preserve">the </w:t>
      </w:r>
      <w:r>
        <w:t xml:space="preserve">clinical utility in the asymptomatic group was highly uncertain. </w:t>
      </w:r>
      <w:r w:rsidR="00131EB1">
        <w:t>MSAC considered that a</w:t>
      </w:r>
      <w:r>
        <w:t xml:space="preserve">lthough FC </w:t>
      </w:r>
      <w:r w:rsidR="00663D90">
        <w:t xml:space="preserve">testing </w:t>
      </w:r>
      <w:r>
        <w:t xml:space="preserve">has acceptable sensitivity and specificity to predict relapse, </w:t>
      </w:r>
      <w:r w:rsidDel="00AC527B">
        <w:t xml:space="preserve">it </w:t>
      </w:r>
      <w:r w:rsidR="00131EB1">
        <w:t>was uncertain</w:t>
      </w:r>
      <w:r w:rsidR="00AC527B">
        <w:t xml:space="preserve"> how use of this test for monitoring </w:t>
      </w:r>
      <w:r>
        <w:t xml:space="preserve">affects clinical management </w:t>
      </w:r>
      <w:r w:rsidR="0091106F">
        <w:t>and</w:t>
      </w:r>
      <w:r w:rsidDel="00AC527B">
        <w:t xml:space="preserve"> </w:t>
      </w:r>
      <w:r>
        <w:t>health outcomes</w:t>
      </w:r>
      <w:r w:rsidR="00AC527B">
        <w:t xml:space="preserve"> in asymptomatic patients</w:t>
      </w:r>
      <w:r>
        <w:t xml:space="preserve">. </w:t>
      </w:r>
      <w:r w:rsidR="00E455EF">
        <w:t>There was moderate to high risk of bias in the retrospective evidence</w:t>
      </w:r>
      <w:r w:rsidR="009E75D5">
        <w:t xml:space="preserve"> presented </w:t>
      </w:r>
      <w:r w:rsidR="00E455EF">
        <w:t xml:space="preserve">for clinical effectiveness </w:t>
      </w:r>
      <w:r w:rsidR="009E75D5">
        <w:t xml:space="preserve">in this group of patients. </w:t>
      </w:r>
      <w:r>
        <w:t xml:space="preserve">MSAC also noted that the </w:t>
      </w:r>
      <w:r w:rsidR="009E75D5">
        <w:t xml:space="preserve">recommended </w:t>
      </w:r>
      <w:r>
        <w:t xml:space="preserve">frequency of FC testing or colonoscopy </w:t>
      </w:r>
      <w:r w:rsidR="00466349">
        <w:t>i</w:t>
      </w:r>
      <w:r>
        <w:t>n asymptomatic IBD patients is unclear. MSAC considered that most patients with IBD usually have regular planned colonoscopies regardless of symptoms, and the interval depends on severity, extent and type of disease.</w:t>
      </w:r>
      <w:r w:rsidR="00451878">
        <w:t xml:space="preserve"> MSAC noted that many guidelines have included FC testing </w:t>
      </w:r>
      <w:r w:rsidR="00C04733">
        <w:t xml:space="preserve">as a part of standard management of IBD without </w:t>
      </w:r>
      <w:r w:rsidR="00932198">
        <w:t xml:space="preserve">much </w:t>
      </w:r>
      <w:r w:rsidR="00C04733">
        <w:t>supporting evidence.</w:t>
      </w:r>
      <w:r w:rsidR="00466349">
        <w:t xml:space="preserve"> </w:t>
      </w:r>
    </w:p>
    <w:p w14:paraId="3A5AE796" w14:textId="7D6C0103" w:rsidR="008F7D4F" w:rsidRDefault="008F7D4F" w:rsidP="008F7D4F">
      <w:r>
        <w:t>Noting that FC results should be considered in context with clinical history and patient presentation</w:t>
      </w:r>
      <w:r w:rsidR="00105A6C">
        <w:t xml:space="preserve">, </w:t>
      </w:r>
      <w:r>
        <w:t>MSAC considered that the test is most useful when:</w:t>
      </w:r>
    </w:p>
    <w:p w14:paraId="4C732DDF" w14:textId="221C623A" w:rsidR="008F7D4F" w:rsidRDefault="00466349" w:rsidP="008F7D4F">
      <w:pPr>
        <w:pStyle w:val="ListParagraph"/>
        <w:numPr>
          <w:ilvl w:val="0"/>
          <w:numId w:val="56"/>
        </w:numPr>
        <w:spacing w:before="0" w:after="0" w:line="240" w:lineRule="auto"/>
      </w:pPr>
      <w:r>
        <w:t xml:space="preserve">a patient diagnosed with </w:t>
      </w:r>
      <w:r w:rsidR="008F7D4F">
        <w:t>IBD has symptoms that may or may not be related to an IBD flare</w:t>
      </w:r>
      <w:r w:rsidR="00501F47">
        <w:t>,</w:t>
      </w:r>
    </w:p>
    <w:p w14:paraId="79B3AFAE" w14:textId="35F120F0" w:rsidR="008F7D4F" w:rsidRDefault="008F7D4F" w:rsidP="008F7D4F">
      <w:pPr>
        <w:pStyle w:val="ListParagraph"/>
        <w:numPr>
          <w:ilvl w:val="0"/>
          <w:numId w:val="56"/>
        </w:numPr>
        <w:spacing w:before="0" w:after="0" w:line="240" w:lineRule="auto"/>
      </w:pPr>
      <w:r>
        <w:t>a patient has had a recent flare and there is a need to monitor healing as a supplement to their recent symptoms</w:t>
      </w:r>
      <w:r w:rsidR="00501F47">
        <w:t>,</w:t>
      </w:r>
    </w:p>
    <w:p w14:paraId="7D67A716" w14:textId="6E55B66A" w:rsidR="008F7D4F" w:rsidRDefault="008F7D4F" w:rsidP="008F7D4F">
      <w:pPr>
        <w:pStyle w:val="ListParagraph"/>
        <w:numPr>
          <w:ilvl w:val="0"/>
          <w:numId w:val="56"/>
        </w:numPr>
        <w:spacing w:before="0" w:after="0" w:line="240" w:lineRule="auto"/>
      </w:pPr>
      <w:r>
        <w:t>performed in children, who are likely the patient group with the highest clinical need.</w:t>
      </w:r>
    </w:p>
    <w:p w14:paraId="33A532E8" w14:textId="6EBE23B4" w:rsidR="00B065F4" w:rsidRDefault="00B065F4" w:rsidP="003F1736">
      <w:r>
        <w:t>Overall</w:t>
      </w:r>
      <w:r w:rsidR="00105A6C">
        <w:t>,</w:t>
      </w:r>
      <w:r>
        <w:t xml:space="preserve"> MSAC accepted the clinical claim of non-inferior safety and effectiveness for </w:t>
      </w:r>
      <w:r w:rsidR="000865FF">
        <w:t>FC testing in the symptomatic population. However</w:t>
      </w:r>
      <w:r w:rsidR="007914E9">
        <w:t>,</w:t>
      </w:r>
      <w:r w:rsidR="000865FF">
        <w:t xml:space="preserve"> MSAC considered the claim of non-inferior safety in the asymptomatic population to be uncertain because </w:t>
      </w:r>
      <w:r w:rsidR="00D45473">
        <w:t>the high false positive rate</w:t>
      </w:r>
      <w:r w:rsidR="00FD32E9">
        <w:t xml:space="preserve"> of testing</w:t>
      </w:r>
      <w:r w:rsidR="00D45473">
        <w:t xml:space="preserve"> posed a particularly high risk of </w:t>
      </w:r>
      <w:r w:rsidR="004E4012">
        <w:t xml:space="preserve">inadvertent harm to this group </w:t>
      </w:r>
      <w:r w:rsidR="00D45473">
        <w:t xml:space="preserve">due to </w:t>
      </w:r>
      <w:r w:rsidR="00FB451E">
        <w:t xml:space="preserve">the </w:t>
      </w:r>
      <w:r w:rsidR="00D45473">
        <w:t xml:space="preserve">introduction of unnecessary invasive procedures </w:t>
      </w:r>
      <w:proofErr w:type="gramStart"/>
      <w:r w:rsidR="00D45473">
        <w:t>or</w:t>
      </w:r>
      <w:r w:rsidR="00A560FD">
        <w:t>,</w:t>
      </w:r>
      <w:proofErr w:type="gramEnd"/>
      <w:r w:rsidR="00A560FD">
        <w:t xml:space="preserve"> the</w:t>
      </w:r>
      <w:r w:rsidR="00D45473">
        <w:t xml:space="preserve"> introduction of new therapy or escalation of their existing therapy</w:t>
      </w:r>
      <w:r w:rsidR="00A560FD">
        <w:t>,</w:t>
      </w:r>
      <w:r w:rsidR="00D45473">
        <w:t xml:space="preserve"> </w:t>
      </w:r>
      <w:r w:rsidR="00FD32E9">
        <w:t xml:space="preserve">from a false positive result. The claim of non-inferior effectiveness for this group was also uncertain due to the lack of evidence that FC testing </w:t>
      </w:r>
      <w:r w:rsidR="00466349">
        <w:t xml:space="preserve">results in </w:t>
      </w:r>
      <w:r w:rsidR="00FD32E9">
        <w:t xml:space="preserve">changes </w:t>
      </w:r>
      <w:r w:rsidR="00466349">
        <w:t xml:space="preserve">to </w:t>
      </w:r>
      <w:r w:rsidR="00FD32E9">
        <w:t>patient</w:t>
      </w:r>
      <w:r w:rsidR="00466349">
        <w:t xml:space="preserve"> management and health outcomes</w:t>
      </w:r>
      <w:r w:rsidR="00FD32E9">
        <w:t>.</w:t>
      </w:r>
    </w:p>
    <w:p w14:paraId="2EDC715F" w14:textId="26947AE2" w:rsidR="003F1736" w:rsidRDefault="003F1736" w:rsidP="003F1736">
      <w:r>
        <w:t xml:space="preserve">MSAC noted that the economic evaluation was a cost-minimisation analysis for the </w:t>
      </w:r>
      <w:r w:rsidR="00FC3215">
        <w:t>two</w:t>
      </w:r>
      <w:r>
        <w:t xml:space="preserve"> PICO </w:t>
      </w:r>
      <w:r w:rsidR="00E6252A">
        <w:t>set populations</w:t>
      </w:r>
      <w:r>
        <w:t xml:space="preserve">, based on an assumption of non-inferior effectiveness and non-inferior safety. </w:t>
      </w:r>
      <w:r w:rsidR="00425437">
        <w:t xml:space="preserve">MSAC considered that inclusion of standard management as a comparator for asymptomatic patients would require a cost-utility analysis rather than </w:t>
      </w:r>
      <w:r w:rsidR="00E6252A">
        <w:t>a</w:t>
      </w:r>
      <w:r w:rsidR="00425437">
        <w:t xml:space="preserve"> cost minimisation analysis</w:t>
      </w:r>
      <w:r w:rsidR="00E6252A">
        <w:t xml:space="preserve"> for this population</w:t>
      </w:r>
      <w:r w:rsidR="00425437">
        <w:t>. MSAC noted the model</w:t>
      </w:r>
      <w:r w:rsidDel="00425437">
        <w:t xml:space="preserve"> </w:t>
      </w:r>
      <w:r>
        <w:t xml:space="preserve">included biannual </w:t>
      </w:r>
      <w:r w:rsidR="00E70D6D">
        <w:t xml:space="preserve">surveillance </w:t>
      </w:r>
      <w:r>
        <w:t>FC testing to detect either</w:t>
      </w:r>
      <w:r w:rsidR="006839F5">
        <w:t>, disease activity and</w:t>
      </w:r>
      <w:r>
        <w:t xml:space="preserve"> mucosal healing (for the symptomatic population; &lt;100 µg/g)</w:t>
      </w:r>
      <w:r w:rsidR="006839F5">
        <w:t>,</w:t>
      </w:r>
      <w:r>
        <w:t xml:space="preserve"> or relapse (for the asymptomatic population; &gt;100 µg/g). The comparator </w:t>
      </w:r>
      <w:r w:rsidR="0034010D">
        <w:t xml:space="preserve">for both populations </w:t>
      </w:r>
      <w:r w:rsidR="00AC0138">
        <w:t xml:space="preserve">in the economic </w:t>
      </w:r>
      <w:r w:rsidR="00AC0138">
        <w:lastRenderedPageBreak/>
        <w:t xml:space="preserve">model </w:t>
      </w:r>
      <w:r>
        <w:t xml:space="preserve">was colonoscopy + biopsy. Adherence to </w:t>
      </w:r>
      <w:r w:rsidR="000015FB">
        <w:t xml:space="preserve">the </w:t>
      </w:r>
      <w:r w:rsidR="00E70D6D">
        <w:t>surveillance</w:t>
      </w:r>
      <w:r w:rsidR="000015FB">
        <w:t xml:space="preserve"> </w:t>
      </w:r>
      <w:r>
        <w:t>testing was assumed to be 70% for symptomatic patients and 50% for asymptomatic patients.</w:t>
      </w:r>
    </w:p>
    <w:p w14:paraId="66B2701E" w14:textId="1F4FD256" w:rsidR="003F1736" w:rsidRDefault="00E61E9E" w:rsidP="006B648B">
      <w:r>
        <w:t xml:space="preserve">MSAC noted </w:t>
      </w:r>
      <w:r w:rsidR="00684F49">
        <w:t>that the</w:t>
      </w:r>
      <w:r w:rsidR="00D5592C">
        <w:t xml:space="preserve"> updated base case (following advi</w:t>
      </w:r>
      <w:r w:rsidR="00FC3215">
        <w:t>c</w:t>
      </w:r>
      <w:r w:rsidR="00D5592C">
        <w:t xml:space="preserve">e from the applicant about the appropriate MBS item number </w:t>
      </w:r>
      <w:r w:rsidR="000015FB">
        <w:t xml:space="preserve">for biopsy which is </w:t>
      </w:r>
      <w:r w:rsidR="00D5592C">
        <w:t xml:space="preserve">typically claimed </w:t>
      </w:r>
      <w:r w:rsidR="006F3A4B">
        <w:t xml:space="preserve">with colonoscopy) was a </w:t>
      </w:r>
      <w:r w:rsidR="003F1736">
        <w:t>cost saving of $17,951 per 100 patients with IBD</w:t>
      </w:r>
      <w:r w:rsidR="00B95682">
        <w:t xml:space="preserve">, comprising </w:t>
      </w:r>
      <w:r w:rsidR="009E239F">
        <w:t xml:space="preserve">cost savings for PICO set 1 (symptomatic group) </w:t>
      </w:r>
      <w:r w:rsidR="002E7AF8">
        <w:t>of</w:t>
      </w:r>
      <w:r w:rsidR="009E239F">
        <w:t xml:space="preserve"> $3</w:t>
      </w:r>
      <w:r w:rsidR="00BB3272">
        <w:t>4</w:t>
      </w:r>
      <w:r w:rsidR="009E239F">
        <w:t>,</w:t>
      </w:r>
      <w:r w:rsidR="00BB3272">
        <w:t>031</w:t>
      </w:r>
      <w:r w:rsidR="009E239F">
        <w:t xml:space="preserve"> per 100 patients</w:t>
      </w:r>
      <w:r w:rsidR="00BB3272">
        <w:t xml:space="preserve"> and increased costs of </w:t>
      </w:r>
      <w:r w:rsidR="00540C0B">
        <w:t xml:space="preserve">$16,080 per 100 patients in </w:t>
      </w:r>
      <w:r w:rsidR="009E239F">
        <w:t>PICO set 2 (asymptomatic group).</w:t>
      </w:r>
      <w:r w:rsidR="00E70D6D">
        <w:t xml:space="preserve"> MSAC noted that t</w:t>
      </w:r>
      <w:r w:rsidR="003F1736">
        <w:t>he key drivers of the model were</w:t>
      </w:r>
      <w:r w:rsidR="00E70D6D">
        <w:t xml:space="preserve"> </w:t>
      </w:r>
      <w:r w:rsidR="003F1736">
        <w:t>the proportion of colonoscopies performed in public hospitals</w:t>
      </w:r>
      <w:r w:rsidR="00E70D6D">
        <w:t>, adherence to and frequency of FC testing</w:t>
      </w:r>
      <w:r w:rsidR="00B3182B">
        <w:t>,</w:t>
      </w:r>
      <w:r w:rsidR="00E70D6D">
        <w:t xml:space="preserve"> and </w:t>
      </w:r>
      <w:r w:rsidR="003F1736">
        <w:t xml:space="preserve">the reduction in </w:t>
      </w:r>
      <w:r w:rsidR="000F6103">
        <w:t xml:space="preserve">the </w:t>
      </w:r>
      <w:r w:rsidR="004716C0">
        <w:t xml:space="preserve">rate of </w:t>
      </w:r>
      <w:r w:rsidR="003F1736">
        <w:t>colonoscopies.</w:t>
      </w:r>
    </w:p>
    <w:p w14:paraId="72BC078C" w14:textId="7E89772B" w:rsidR="00EA32D3" w:rsidRDefault="003F1736" w:rsidP="003F1736">
      <w:r>
        <w:t xml:space="preserve">MSAC </w:t>
      </w:r>
      <w:r w:rsidR="00AB1586">
        <w:t>considered that the</w:t>
      </w:r>
      <w:r w:rsidR="00F85307">
        <w:t xml:space="preserve">re were </w:t>
      </w:r>
      <w:proofErr w:type="gramStart"/>
      <w:r w:rsidR="00F85307">
        <w:t>a number of</w:t>
      </w:r>
      <w:proofErr w:type="gramEnd"/>
      <w:r w:rsidR="00F85307">
        <w:t xml:space="preserve"> issues with the model that contributed to its uncertainty. Firstly,</w:t>
      </w:r>
      <w:r w:rsidR="00FF0331" w:rsidDel="00E70D6D">
        <w:t xml:space="preserve"> </w:t>
      </w:r>
      <w:r w:rsidR="00FF0331">
        <w:t xml:space="preserve">the model assumed that </w:t>
      </w:r>
      <w:r w:rsidR="00081068">
        <w:t xml:space="preserve">100% of symptomatic patients would receive the comparator (colonoscopy) in the absence of FC testing </w:t>
      </w:r>
      <w:r w:rsidR="00D113C8">
        <w:t>which MSAC considered to be unrealistic. This assumption was a key driver of the cost savings projected for FC testing. Secondly</w:t>
      </w:r>
      <w:r w:rsidR="00591C2B">
        <w:t>,</w:t>
      </w:r>
      <w:r w:rsidR="00D113C8">
        <w:t xml:space="preserve"> the model did not account for escalated IBD treatment in the case of false-positive results, which would increase the cost and reduce savings estimated in the base case. </w:t>
      </w:r>
      <w:r w:rsidR="00E30028">
        <w:t>Finally</w:t>
      </w:r>
      <w:r w:rsidR="00501F47">
        <w:t>,</w:t>
      </w:r>
      <w:r w:rsidR="00C327F8">
        <w:t xml:space="preserve"> the modelling inputs </w:t>
      </w:r>
      <w:r w:rsidR="00805D7C">
        <w:t>w</w:t>
      </w:r>
      <w:r w:rsidR="00C327F8">
        <w:t>ere</w:t>
      </w:r>
      <w:r w:rsidR="00805D7C">
        <w:t xml:space="preserve"> based on a study of a </w:t>
      </w:r>
      <w:r w:rsidR="3D7681AA">
        <w:t>single</w:t>
      </w:r>
      <w:r w:rsidR="00805D7C">
        <w:t xml:space="preserve"> </w:t>
      </w:r>
      <w:r w:rsidR="00C327F8">
        <w:t xml:space="preserve">clinic in Melbourne and there were concerns </w:t>
      </w:r>
      <w:r w:rsidR="005C5448">
        <w:t xml:space="preserve">with the translation and transferability of this study’s inputs. </w:t>
      </w:r>
      <w:r w:rsidR="00AB1586" w:rsidDel="005C5448">
        <w:t xml:space="preserve"> </w:t>
      </w:r>
    </w:p>
    <w:p w14:paraId="66840E6E" w14:textId="26EB429E" w:rsidR="003F1736" w:rsidRDefault="00226122" w:rsidP="003F1736">
      <w:r>
        <w:t xml:space="preserve">MSAC </w:t>
      </w:r>
      <w:r w:rsidR="009B38FE">
        <w:t>noted</w:t>
      </w:r>
      <w:r w:rsidR="007774E4">
        <w:t xml:space="preserve"> that ESC considered </w:t>
      </w:r>
      <w:r w:rsidR="00671992">
        <w:t xml:space="preserve">it unlikely that </w:t>
      </w:r>
      <w:r w:rsidR="00BA2416">
        <w:t xml:space="preserve">in clinical practice </w:t>
      </w:r>
      <w:r w:rsidR="00671992">
        <w:t xml:space="preserve">100% of symptomatic patients would </w:t>
      </w:r>
      <w:r w:rsidR="00BA2416">
        <w:t>undergo</w:t>
      </w:r>
      <w:r w:rsidR="00671992">
        <w:t xml:space="preserve"> a colonoscopy each year in the absence of FC testing</w:t>
      </w:r>
      <w:r w:rsidR="00BA2416">
        <w:t xml:space="preserve"> </w:t>
      </w:r>
      <w:r w:rsidR="00671992">
        <w:t>given that colonoscopies are generally recommended</w:t>
      </w:r>
      <w:r w:rsidR="007774E4" w:rsidDel="00671992">
        <w:t xml:space="preserve"> </w:t>
      </w:r>
      <w:r w:rsidR="00D259D2">
        <w:t xml:space="preserve">1-3 </w:t>
      </w:r>
      <w:r w:rsidR="00501F47">
        <w:t>yearly</w:t>
      </w:r>
      <w:r w:rsidR="00174DC8">
        <w:t xml:space="preserve"> but noted </w:t>
      </w:r>
      <w:r w:rsidR="009B38FE">
        <w:t xml:space="preserve">the </w:t>
      </w:r>
      <w:r w:rsidR="005737C7">
        <w:t>applicant</w:t>
      </w:r>
      <w:r w:rsidR="00C709B7">
        <w:t>’</w:t>
      </w:r>
      <w:r w:rsidR="005737C7">
        <w:t>s</w:t>
      </w:r>
      <w:r w:rsidR="003F1736">
        <w:t xml:space="preserve"> pre-MSAC response</w:t>
      </w:r>
      <w:r w:rsidR="00174DC8">
        <w:t xml:space="preserve"> clarifying that this proposed </w:t>
      </w:r>
      <w:r w:rsidR="009B38FE">
        <w:t>lower 1–3 yearly frequency</w:t>
      </w:r>
      <w:r w:rsidR="009479FE">
        <w:t xml:space="preserve"> </w:t>
      </w:r>
      <w:r w:rsidR="00111BE3">
        <w:t>was for dy</w:t>
      </w:r>
      <w:r w:rsidR="00174DC8">
        <w:t>s</w:t>
      </w:r>
      <w:r w:rsidR="00111BE3">
        <w:t>plas</w:t>
      </w:r>
      <w:r w:rsidR="005A19DE">
        <w:t>ia</w:t>
      </w:r>
      <w:r w:rsidR="00BA2416">
        <w:t xml:space="preserve"> surveillance</w:t>
      </w:r>
      <w:r w:rsidR="005A19DE">
        <w:t xml:space="preserve"> </w:t>
      </w:r>
      <w:r w:rsidR="00174DC8">
        <w:t>rather than for</w:t>
      </w:r>
      <w:r w:rsidR="009479FE">
        <w:t xml:space="preserve"> IBD disease monitoring</w:t>
      </w:r>
      <w:r w:rsidR="003F1736">
        <w:t>.</w:t>
      </w:r>
      <w:r w:rsidR="009E239F">
        <w:t xml:space="preserve"> </w:t>
      </w:r>
      <w:r w:rsidR="009479FE">
        <w:t>Nonetheless</w:t>
      </w:r>
      <w:r w:rsidR="00671992">
        <w:t>,</w:t>
      </w:r>
      <w:r w:rsidR="009479FE">
        <w:t xml:space="preserve"> </w:t>
      </w:r>
      <w:r w:rsidR="001842D7">
        <w:t xml:space="preserve">MSAC </w:t>
      </w:r>
      <w:r w:rsidR="001646C0">
        <w:t>considered</w:t>
      </w:r>
      <w:r w:rsidR="001842D7">
        <w:t xml:space="preserve"> that </w:t>
      </w:r>
      <w:r w:rsidR="00034BC4">
        <w:t xml:space="preserve">the assumption of a 100% colonoscopy rate was still unrealistic and that </w:t>
      </w:r>
      <w:r w:rsidR="001842D7">
        <w:t xml:space="preserve">additional sensitivity analysis conducted post ESC with more </w:t>
      </w:r>
      <w:r w:rsidR="001646C0">
        <w:t>realistic</w:t>
      </w:r>
      <w:r w:rsidR="001842D7">
        <w:t xml:space="preserve"> assumptions</w:t>
      </w:r>
      <w:r w:rsidR="00DD2CD7">
        <w:t xml:space="preserve">, such as </w:t>
      </w:r>
      <w:r w:rsidR="00E06BB7">
        <w:t>reducing the</w:t>
      </w:r>
      <w:r w:rsidR="009F5736">
        <w:t xml:space="preserve"> proportion of patients who would receive a colonoscopy in the absence of FC testing to 70% or</w:t>
      </w:r>
      <w:r w:rsidR="00E06BB7">
        <w:t xml:space="preserve"> </w:t>
      </w:r>
      <w:r w:rsidR="00DD2CD7">
        <w:t xml:space="preserve">reduction in colonoscopy </w:t>
      </w:r>
      <w:r w:rsidR="00E06BB7">
        <w:t xml:space="preserve">rates </w:t>
      </w:r>
      <w:r w:rsidR="00DD2CD7">
        <w:t xml:space="preserve">from 30% to </w:t>
      </w:r>
      <w:r w:rsidR="009F5736">
        <w:t>1</w:t>
      </w:r>
      <w:r w:rsidR="00DD2CD7">
        <w:t xml:space="preserve">0% </w:t>
      </w:r>
      <w:r w:rsidR="00FC3215">
        <w:t xml:space="preserve">led to cost increases rather than cost savings from </w:t>
      </w:r>
      <w:r w:rsidR="00A5064A">
        <w:t xml:space="preserve">the </w:t>
      </w:r>
      <w:r w:rsidR="00FC3215">
        <w:t>use of FC testing</w:t>
      </w:r>
      <w:r w:rsidR="00DD2CD7">
        <w:t xml:space="preserve">. </w:t>
      </w:r>
    </w:p>
    <w:p w14:paraId="40DD61F6" w14:textId="5CB544B3" w:rsidR="003F1736" w:rsidRDefault="003F1736" w:rsidP="003F1736">
      <w:r>
        <w:t>MSAC noted that the revised base case net financial impact to the MBS was estimated as $32.9 million in year 1 to $37.2 million in year 6</w:t>
      </w:r>
      <w:r w:rsidDel="00B174D7">
        <w:t>.</w:t>
      </w:r>
      <w:r w:rsidDel="00591C2B">
        <w:t xml:space="preserve"> </w:t>
      </w:r>
      <w:r>
        <w:t>MSAC noted that, when separat</w:t>
      </w:r>
      <w:r w:rsidR="0073112B">
        <w:t>ed</w:t>
      </w:r>
      <w:r>
        <w:t xml:space="preserve"> into the 2 PICO sets, the budget impacts were as follows:</w:t>
      </w:r>
    </w:p>
    <w:p w14:paraId="0803DEC8" w14:textId="1F1C6EBE" w:rsidR="003F1736" w:rsidRDefault="003F1736" w:rsidP="003F1736">
      <w:pPr>
        <w:pStyle w:val="ListParagraph"/>
        <w:numPr>
          <w:ilvl w:val="0"/>
          <w:numId w:val="58"/>
        </w:numPr>
        <w:spacing w:before="0" w:after="0" w:line="240" w:lineRule="auto"/>
      </w:pPr>
      <w:r>
        <w:t>PICO set 1</w:t>
      </w:r>
      <w:r w:rsidR="00881A3A">
        <w:t xml:space="preserve"> (symptomatic patients)</w:t>
      </w:r>
      <w:r>
        <w:t>: $9.73 million in year 1 to $11.00 million in year 6</w:t>
      </w:r>
    </w:p>
    <w:p w14:paraId="3D1E3D8F" w14:textId="7724412B" w:rsidR="00591C2B" w:rsidRDefault="003F1736" w:rsidP="00591C2B">
      <w:pPr>
        <w:pStyle w:val="ListParagraph"/>
        <w:numPr>
          <w:ilvl w:val="0"/>
          <w:numId w:val="58"/>
        </w:numPr>
        <w:spacing w:before="0" w:after="0" w:line="240" w:lineRule="auto"/>
      </w:pPr>
      <w:r>
        <w:t>PICO set 2</w:t>
      </w:r>
      <w:r w:rsidR="00881A3A">
        <w:t xml:space="preserve"> (asymptomatic patients)</w:t>
      </w:r>
      <w:r>
        <w:t>: $23.2 million in year 1 to $26.21 million in year 6.</w:t>
      </w:r>
    </w:p>
    <w:p w14:paraId="161B1EC3" w14:textId="78D6AFF1" w:rsidR="003F1736" w:rsidRDefault="00591C2B" w:rsidP="00D6766B">
      <w:pPr>
        <w:spacing w:before="240" w:after="0" w:line="240" w:lineRule="auto"/>
      </w:pPr>
      <w:r>
        <w:t>Assuming a 30% reduction in public hospital colonoscopies</w:t>
      </w:r>
      <w:r w:rsidR="00B947BB">
        <w:t>,</w:t>
      </w:r>
      <w:r>
        <w:t xml:space="preserve"> and no change in private colonoscopes</w:t>
      </w:r>
      <w:r w:rsidR="00B947BB">
        <w:t>,</w:t>
      </w:r>
      <w:r>
        <w:t xml:space="preserve"> increased the net financial impact to the MBS to</w:t>
      </w:r>
      <w:r w:rsidRPr="00CA388C">
        <w:t xml:space="preserve"> $</w:t>
      </w:r>
      <w:r>
        <w:t>40.1</w:t>
      </w:r>
      <w:r w:rsidRPr="00CA388C">
        <w:t xml:space="preserve"> million in </w:t>
      </w:r>
      <w:r>
        <w:t>y</w:t>
      </w:r>
      <w:r w:rsidRPr="00CA388C">
        <w:t>ear 1 to $</w:t>
      </w:r>
      <w:r>
        <w:t>45.4 </w:t>
      </w:r>
      <w:r w:rsidRPr="00CA388C">
        <w:t xml:space="preserve">million in </w:t>
      </w:r>
      <w:r>
        <w:t>y</w:t>
      </w:r>
      <w:r w:rsidRPr="00CA388C">
        <w:t>ear 6</w:t>
      </w:r>
      <w:r>
        <w:t xml:space="preserve">. </w:t>
      </w:r>
      <w:r w:rsidR="003F1736">
        <w:t>MSAC noted that all</w:t>
      </w:r>
      <w:r w:rsidR="003F1736" w:rsidRPr="00CA388C">
        <w:t xml:space="preserve"> </w:t>
      </w:r>
      <w:r w:rsidR="003F1736">
        <w:t>estimates are</w:t>
      </w:r>
      <w:r w:rsidR="003F1736" w:rsidRPr="00CA388C">
        <w:t xml:space="preserve"> highly variable </w:t>
      </w:r>
      <w:r w:rsidR="003F1736">
        <w:t>because of the</w:t>
      </w:r>
      <w:r w:rsidR="003F1736" w:rsidRPr="00CA388C">
        <w:t xml:space="preserve"> uncertainty of the assumptions</w:t>
      </w:r>
      <w:r w:rsidR="003F1736">
        <w:t xml:space="preserve"> informing them</w:t>
      </w:r>
      <w:r w:rsidR="003F1736" w:rsidRPr="00CA388C">
        <w:t xml:space="preserve">. </w:t>
      </w:r>
      <w:r w:rsidR="003F1736">
        <w:t xml:space="preserve">MSAC considered the reduction in colonoscopies to be uncertain as there is already widespread use of the test and any effect on the number of colonoscopies has likely </w:t>
      </w:r>
      <w:r w:rsidR="00CE6BDF">
        <w:t xml:space="preserve">already </w:t>
      </w:r>
      <w:r w:rsidR="003F1736">
        <w:t xml:space="preserve">been realised. MSAC considered that any potential reductions in </w:t>
      </w:r>
      <w:r w:rsidR="00D22851">
        <w:t>total</w:t>
      </w:r>
      <w:r w:rsidR="003F1736">
        <w:t xml:space="preserve"> colonoscopy rates will likely only be seen in the symptomatic group </w:t>
      </w:r>
      <w:r w:rsidR="00881A3A">
        <w:t>in</w:t>
      </w:r>
      <w:r w:rsidR="003F1736">
        <w:t xml:space="preserve"> public hospitals and rural locations, given the abundant supply of colonoscopy services in most </w:t>
      </w:r>
      <w:r w:rsidR="00881A3A">
        <w:t xml:space="preserve">other </w:t>
      </w:r>
      <w:r w:rsidR="003F1736">
        <w:t>areas.</w:t>
      </w:r>
    </w:p>
    <w:p w14:paraId="607ED708" w14:textId="37FEAF6E" w:rsidR="00C63D45" w:rsidRDefault="00B065F4" w:rsidP="00C63D45">
      <w:r>
        <w:t>O</w:t>
      </w:r>
      <w:r w:rsidR="001A5683">
        <w:t>verall, MSAC was supportive of public funding for FC testing for the monitoring of people with IBD when limited to symptomatic patients (PICO set 1), including children.</w:t>
      </w:r>
      <w:r w:rsidR="003F2AB1">
        <w:t xml:space="preserve"> MSAC acknowledged that the proposed cost savings from funding FC testing were unlikely, however, the test has demonstrated clinical utility in th</w:t>
      </w:r>
      <w:r w:rsidR="00A11705">
        <w:t xml:space="preserve">e symptomatic </w:t>
      </w:r>
      <w:r w:rsidR="003F2AB1">
        <w:t xml:space="preserve">population, acceptable diagnostic accuracy, and is already widely used for diagnosis and privately for monitoring. </w:t>
      </w:r>
      <w:r w:rsidR="00C63D45">
        <w:t xml:space="preserve">MSAC did not support funding the service for asymptomatic patients due to the uncertain safety </w:t>
      </w:r>
      <w:r w:rsidR="00FD32E9">
        <w:t xml:space="preserve">and effectiveness for this </w:t>
      </w:r>
      <w:r w:rsidR="00F853BE">
        <w:t xml:space="preserve">group of patients. </w:t>
      </w:r>
      <w:r w:rsidR="00594671">
        <w:t xml:space="preserve">Post-MSAC, Departmental advice was accepted that the specific MBS </w:t>
      </w:r>
      <w:r w:rsidR="00594671" w:rsidRPr="7D36DCDF">
        <w:rPr>
          <w:rFonts w:eastAsia="Franklin Gothic Book"/>
        </w:rPr>
        <w:t>item should be</w:t>
      </w:r>
      <w:r w:rsidR="00594671">
        <w:t xml:space="preserve"> for the ‘management’ of symptomatic patients with IBD (although the application was for use of </w:t>
      </w:r>
      <w:r w:rsidR="00594671">
        <w:lastRenderedPageBreak/>
        <w:t xml:space="preserve">the test for ‘monitoring’) because ‘management’ was more appropriate terminology for symptomatic patients. </w:t>
      </w:r>
    </w:p>
    <w:p w14:paraId="4ECE98EA" w14:textId="1D6372AA" w:rsidR="00B174D7" w:rsidRDefault="00DA0966" w:rsidP="00B174D7">
      <w:r w:rsidDel="00B174D7">
        <w:t xml:space="preserve">MSAC considered </w:t>
      </w:r>
      <w:r w:rsidR="004D5B85">
        <w:t xml:space="preserve">there was no need to </w:t>
      </w:r>
      <w:r>
        <w:t xml:space="preserve">specify a frequency in the MBS item descriptor, </w:t>
      </w:r>
      <w:proofErr w:type="gramStart"/>
      <w:r w:rsidR="004D5B85">
        <w:t xml:space="preserve">so </w:t>
      </w:r>
      <w:r>
        <w:t>as</w:t>
      </w:r>
      <w:r w:rsidR="005269B1">
        <w:t xml:space="preserve"> to</w:t>
      </w:r>
      <w:proofErr w:type="gramEnd"/>
      <w:r w:rsidR="005269B1">
        <w:t xml:space="preserve"> ensure access for patients who may need multiple tests.</w:t>
      </w:r>
      <w:r w:rsidR="005269B1" w:rsidDel="005F08B3">
        <w:rPr>
          <w:rFonts w:eastAsia="Franklin Gothic Book"/>
        </w:rPr>
        <w:t xml:space="preserve"> </w:t>
      </w:r>
      <w:r w:rsidR="007910F3">
        <w:t xml:space="preserve">MSAC considered the </w:t>
      </w:r>
      <w:r>
        <w:t xml:space="preserve">MBS item descriptor should be age-agnostic. MSAC </w:t>
      </w:r>
      <w:r w:rsidR="008F7D4F">
        <w:t xml:space="preserve">noted that </w:t>
      </w:r>
      <w:r>
        <w:t>the proposed fee ($75.00)</w:t>
      </w:r>
      <w:r w:rsidR="008F7D4F">
        <w:t xml:space="preserve"> is equivalent to that of the diagnosis items and considered this</w:t>
      </w:r>
      <w:r>
        <w:t xml:space="preserve"> to be appropriate. MSAC also considered that GPs should be able to request </w:t>
      </w:r>
      <w:r w:rsidR="758F4B66">
        <w:t>FC</w:t>
      </w:r>
      <w:r w:rsidR="00597A4F">
        <w:t xml:space="preserve"> testing</w:t>
      </w:r>
      <w:r w:rsidR="758F4B66">
        <w:t xml:space="preserve"> </w:t>
      </w:r>
      <w:r w:rsidR="5D4B7663">
        <w:t>on behalf of a specialist or consultant physician</w:t>
      </w:r>
      <w:r>
        <w:t xml:space="preserve"> </w:t>
      </w:r>
      <w:r w:rsidR="00796338">
        <w:t>which will</w:t>
      </w:r>
      <w:r>
        <w:t xml:space="preserve"> help address</w:t>
      </w:r>
      <w:r w:rsidDel="00796338">
        <w:t xml:space="preserve"> </w:t>
      </w:r>
      <w:r>
        <w:t>equity issues</w:t>
      </w:r>
      <w:r w:rsidR="00796338">
        <w:t>, particularly in rural and remote patients,</w:t>
      </w:r>
      <w:r>
        <w:t xml:space="preserve"> by reducing the need to access a specialist.</w:t>
      </w:r>
      <w:r w:rsidR="00B174D7">
        <w:t xml:space="preserve"> MSAC considered that an explanatory note should be accompanied to the MBS item ensuring infection has been excluded, and that this should be included on pathology reports to guide interpretation.</w:t>
      </w:r>
      <w:r w:rsidR="00B174D7" w:rsidRPr="00C05194">
        <w:t xml:space="preserve"> </w:t>
      </w:r>
      <w:proofErr w:type="gramStart"/>
      <w:r w:rsidR="00B174D7">
        <w:t>In order to</w:t>
      </w:r>
      <w:proofErr w:type="gramEnd"/>
      <w:r w:rsidR="00B174D7">
        <w:t xml:space="preserve"> future proof the item descriptor, MSAC considered that relevant clinical guidelines (e.g. those developed by the Gastroenterological Society of Australia) should be referenced in the explanatory note rather than specifying currently used FC thresholds.</w:t>
      </w:r>
    </w:p>
    <w:p w14:paraId="60732EC0" w14:textId="4A8C3807" w:rsidR="005F08B3" w:rsidRDefault="005F08B3" w:rsidP="00B174D7">
      <w:r>
        <w:rPr>
          <w:rFonts w:eastAsia="Franklin Gothic Book"/>
        </w:rPr>
        <w:t xml:space="preserve">MSAC noted that there is </w:t>
      </w:r>
      <w:r w:rsidR="2624DEDA" w:rsidRPr="72E5D673">
        <w:rPr>
          <w:rFonts w:eastAsia="Franklin Gothic Book"/>
        </w:rPr>
        <w:t>possible</w:t>
      </w:r>
      <w:r>
        <w:rPr>
          <w:rFonts w:eastAsia="Franklin Gothic Book"/>
        </w:rPr>
        <w:t xml:space="preserve"> leakage between current FC testing items available for diagnosis</w:t>
      </w:r>
      <w:r w:rsidR="00CF5153">
        <w:rPr>
          <w:rFonts w:eastAsia="Franklin Gothic Book"/>
        </w:rPr>
        <w:t xml:space="preserve">, which </w:t>
      </w:r>
      <w:r w:rsidR="65EE9421" w:rsidRPr="72E5D673">
        <w:rPr>
          <w:rFonts w:eastAsia="Franklin Gothic Book"/>
        </w:rPr>
        <w:t>could be</w:t>
      </w:r>
      <w:r w:rsidR="00CF5153">
        <w:rPr>
          <w:rFonts w:eastAsia="Franklin Gothic Book"/>
        </w:rPr>
        <w:t xml:space="preserve"> used</w:t>
      </w:r>
      <w:r>
        <w:rPr>
          <w:rFonts w:eastAsia="Franklin Gothic Book"/>
        </w:rPr>
        <w:t xml:space="preserve"> for monitoring patients who have already been diagnosed with IBD. MSAC acknowledged that further leakage between symptomatic and asymptomatic IBD patients may occur with supported funding for a monitoring item for symptomatic patients. </w:t>
      </w:r>
      <w:r>
        <w:t>MSAC noted from the pre-MSAC response that the applicant may look to perform a post-implementation study at 12 months with guidance from the Department to understand the impact on healthcare resource use and health outcomes.</w:t>
      </w:r>
      <w:r w:rsidR="00C81D28">
        <w:t xml:space="preserve"> MSAC advised that a post-implementation review at 24 months is appropriate to observe changes in FC testing for both monitoring and diagnosis, particularly concerning patients aged &gt;50 years who currently do not have access to the MBS items for FC testing for IBD diagnosis</w:t>
      </w:r>
      <w:r w:rsidR="14D86A29">
        <w:t>, and it would be of clinical concern if this test was being used for diagnostic purposes in this age group</w:t>
      </w:r>
      <w:r w:rsidR="00C81D28">
        <w:t xml:space="preserve"> MSAC advised that colonoscopy utilisation data as a part of this review is not required as colonoscopy is used for various other indications and therefore </w:t>
      </w:r>
      <w:r w:rsidR="002B68DA">
        <w:t xml:space="preserve">this data is </w:t>
      </w:r>
      <w:r w:rsidR="00C81D28">
        <w:t>unlikely to be informative.</w:t>
      </w:r>
    </w:p>
    <w:p w14:paraId="08354300" w14:textId="4772BE5E" w:rsidR="007E00E8" w:rsidRPr="001B036C" w:rsidRDefault="00FA283C" w:rsidP="002A18BE">
      <w:pPr>
        <w:pStyle w:val="Heading2"/>
        <w:numPr>
          <w:ilvl w:val="0"/>
          <w:numId w:val="0"/>
        </w:numPr>
      </w:pPr>
      <w:bookmarkStart w:id="3" w:name="_Toc176422703"/>
      <w:r>
        <w:t>4</w:t>
      </w:r>
      <w:r w:rsidR="007E00E8" w:rsidRPr="001B036C">
        <w:t>.</w:t>
      </w:r>
      <w:r w:rsidR="007E00E8" w:rsidRPr="001B036C">
        <w:tab/>
        <w:t>Background</w:t>
      </w:r>
      <w:bookmarkEnd w:id="3"/>
    </w:p>
    <w:p w14:paraId="7E580095" w14:textId="2B6B2FB7" w:rsidR="007E00E8" w:rsidRPr="001B036C" w:rsidRDefault="007E00E8" w:rsidP="008D2C17">
      <w:r w:rsidRPr="001B036C">
        <w:t>In March 2018, MSAC considered but did not support MSAC application 1353, which requested public funding for FC testing for diagnosis and monitoring disease activity in patients with known IBD. Regarding the monitoring of disease, MSAC advised that further clarification should be provided on the matters of concern summarised in</w:t>
      </w:r>
      <w:r w:rsidR="001F1D31" w:rsidRPr="001B036C">
        <w:t xml:space="preserve"> </w:t>
      </w:r>
      <w:r w:rsidR="001F1D31" w:rsidRPr="001B036C">
        <w:fldChar w:fldCharType="begin"/>
      </w:r>
      <w:r w:rsidR="001F1D31" w:rsidRPr="001B036C">
        <w:instrText xml:space="preserve"> REF _Ref174970926 \h </w:instrText>
      </w:r>
      <w:r w:rsidR="001B036C">
        <w:instrText xml:space="preserve"> \* MERGEFORMAT </w:instrText>
      </w:r>
      <w:r w:rsidR="001F1D31" w:rsidRPr="001B036C">
        <w:fldChar w:fldCharType="separate"/>
      </w:r>
      <w:r w:rsidR="00C31E39" w:rsidRPr="001B036C">
        <w:t>Table </w:t>
      </w:r>
      <w:r w:rsidR="00C31E39">
        <w:t>2</w:t>
      </w:r>
      <w:r w:rsidR="001F1D31" w:rsidRPr="001B036C">
        <w:fldChar w:fldCharType="end"/>
      </w:r>
      <w:r w:rsidRPr="001B036C">
        <w:t>.</w:t>
      </w:r>
    </w:p>
    <w:p w14:paraId="111B4D11" w14:textId="560BD712" w:rsidR="007E00E8" w:rsidRPr="001B036C" w:rsidRDefault="007E00E8" w:rsidP="00880821">
      <w:pPr>
        <w:rPr>
          <w:shd w:val="clear" w:color="auto" w:fill="FBFBFB"/>
        </w:rPr>
      </w:pPr>
      <w:r w:rsidRPr="001B036C">
        <w:rPr>
          <w:shd w:val="clear" w:color="auto" w:fill="FBFBFB"/>
        </w:rPr>
        <w:t>MBS items 66522 and 66523 corresponding to FC testing for the diagnosis of IBD, were introduced on the MBS from 1 November 2021 (MSAC application 1353.1).</w:t>
      </w:r>
    </w:p>
    <w:p w14:paraId="5F683F3E" w14:textId="6895D0D0" w:rsidR="007E00E8" w:rsidRPr="001B036C" w:rsidRDefault="007E00E8" w:rsidP="0050489A">
      <w:pPr>
        <w:pStyle w:val="Caption"/>
      </w:pPr>
      <w:bookmarkStart w:id="4" w:name="_Ref174970926"/>
      <w:r w:rsidRPr="001B036C">
        <w:lastRenderedPageBreak/>
        <w:t>Table </w:t>
      </w:r>
      <w:r>
        <w:fldChar w:fldCharType="begin"/>
      </w:r>
      <w:r>
        <w:instrText xml:space="preserve"> SEQ Table \* ARABIC </w:instrText>
      </w:r>
      <w:r>
        <w:fldChar w:fldCharType="separate"/>
      </w:r>
      <w:r w:rsidR="00B4653B">
        <w:rPr>
          <w:noProof/>
        </w:rPr>
        <w:t>2</w:t>
      </w:r>
      <w:r>
        <w:rPr>
          <w:noProof/>
        </w:rPr>
        <w:fldChar w:fldCharType="end"/>
      </w:r>
      <w:bookmarkEnd w:id="4"/>
      <w:r w:rsidRPr="001B036C">
        <w:tab/>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4117"/>
        <w:gridCol w:w="2925"/>
      </w:tblGrid>
      <w:tr w:rsidR="007E00E8" w:rsidRPr="001B036C" w14:paraId="4ADFC882" w14:textId="77777777">
        <w:trPr>
          <w:cantSplit/>
          <w:tblHeader/>
        </w:trPr>
        <w:tc>
          <w:tcPr>
            <w:tcW w:w="1095" w:type="pct"/>
            <w:vAlign w:val="center"/>
          </w:tcPr>
          <w:p w14:paraId="3D4F24F6" w14:textId="77777777" w:rsidR="007E00E8" w:rsidRPr="001B036C" w:rsidRDefault="007E00E8">
            <w:pPr>
              <w:pStyle w:val="In-tableHeading"/>
              <w:rPr>
                <w:lang w:val="en-AU"/>
              </w:rPr>
            </w:pPr>
            <w:r w:rsidRPr="001B036C">
              <w:rPr>
                <w:lang w:val="en-AU"/>
              </w:rPr>
              <w:t>Component</w:t>
            </w:r>
          </w:p>
        </w:tc>
        <w:tc>
          <w:tcPr>
            <w:tcW w:w="2283" w:type="pct"/>
            <w:vAlign w:val="center"/>
          </w:tcPr>
          <w:p w14:paraId="2049B960" w14:textId="77777777" w:rsidR="007E00E8" w:rsidRPr="001B036C" w:rsidRDefault="007E00E8">
            <w:pPr>
              <w:pStyle w:val="In-tableHeading"/>
              <w:rPr>
                <w:lang w:val="en-AU"/>
              </w:rPr>
            </w:pPr>
            <w:r w:rsidRPr="001B036C">
              <w:rPr>
                <w:lang w:val="en-AU"/>
              </w:rPr>
              <w:t>Matter of concern (MSAC 1353)</w:t>
            </w:r>
          </w:p>
        </w:tc>
        <w:tc>
          <w:tcPr>
            <w:tcW w:w="1622" w:type="pct"/>
            <w:vAlign w:val="center"/>
          </w:tcPr>
          <w:p w14:paraId="475960B5" w14:textId="77777777" w:rsidR="007E00E8" w:rsidRPr="001B036C" w:rsidRDefault="007E00E8">
            <w:pPr>
              <w:pStyle w:val="In-tableHeading"/>
              <w:rPr>
                <w:lang w:val="en-AU"/>
              </w:rPr>
            </w:pPr>
            <w:r w:rsidRPr="001B036C">
              <w:rPr>
                <w:lang w:val="en-AU"/>
              </w:rPr>
              <w:t>How the current assessment report addresses it</w:t>
            </w:r>
          </w:p>
        </w:tc>
      </w:tr>
      <w:tr w:rsidR="007E00E8" w:rsidRPr="001B036C" w14:paraId="14A0700F" w14:textId="77777777">
        <w:trPr>
          <w:cantSplit/>
        </w:trPr>
        <w:tc>
          <w:tcPr>
            <w:tcW w:w="1095" w:type="pct"/>
          </w:tcPr>
          <w:p w14:paraId="061C0B61" w14:textId="77777777" w:rsidR="007E00E8" w:rsidRPr="001B036C" w:rsidRDefault="007E00E8">
            <w:pPr>
              <w:pStyle w:val="TableText"/>
              <w:keepNext/>
              <w:spacing w:after="160"/>
            </w:pPr>
            <w:r w:rsidRPr="001B036C">
              <w:t>Clinical claim</w:t>
            </w:r>
          </w:p>
        </w:tc>
        <w:tc>
          <w:tcPr>
            <w:tcW w:w="2283" w:type="pct"/>
          </w:tcPr>
          <w:p w14:paraId="7CED4E25" w14:textId="1F46A176" w:rsidR="007E00E8" w:rsidRPr="001B036C" w:rsidRDefault="007E00E8">
            <w:pPr>
              <w:pStyle w:val="TableText"/>
              <w:keepNext/>
            </w:pPr>
            <w:r w:rsidRPr="001B036C">
              <w:t xml:space="preserve">MSAC noted that no direct evidence had been presented to support use of the FC test for monitoring of patients already diagnosed with IBD (MSAC PSD 1353, page 4). </w:t>
            </w:r>
          </w:p>
        </w:tc>
        <w:tc>
          <w:tcPr>
            <w:tcW w:w="1622" w:type="pct"/>
            <w:vAlign w:val="center"/>
          </w:tcPr>
          <w:p w14:paraId="36DBCD57" w14:textId="26916851" w:rsidR="007E00E8" w:rsidRPr="001B036C" w:rsidRDefault="006740B6">
            <w:pPr>
              <w:pStyle w:val="TableText"/>
              <w:keepNext/>
              <w:spacing w:after="160"/>
            </w:pPr>
            <w:r>
              <w:t>Clinical claim of diagnostic accuracy a</w:t>
            </w:r>
            <w:r w:rsidR="007E00E8" w:rsidRPr="001B036C">
              <w:t>ddressed</w:t>
            </w:r>
          </w:p>
          <w:p w14:paraId="29614BAA" w14:textId="77777777" w:rsidR="007E00E8" w:rsidRPr="001B036C" w:rsidRDefault="007E00E8">
            <w:pPr>
              <w:pStyle w:val="TableText"/>
              <w:keepNext/>
              <w:spacing w:after="160"/>
            </w:pPr>
            <w:r w:rsidRPr="001B036C">
              <w:t xml:space="preserve">SLR and meta-analysis was conducted to assess the use of FC testing for monitoring purposes. </w:t>
            </w:r>
          </w:p>
        </w:tc>
      </w:tr>
      <w:tr w:rsidR="007E00E8" w:rsidRPr="001B036C" w14:paraId="10075EC3" w14:textId="77777777">
        <w:trPr>
          <w:cantSplit/>
        </w:trPr>
        <w:tc>
          <w:tcPr>
            <w:tcW w:w="1095" w:type="pct"/>
          </w:tcPr>
          <w:p w14:paraId="69F7A4DF" w14:textId="77777777" w:rsidR="007E00E8" w:rsidRPr="001B036C" w:rsidRDefault="007E00E8">
            <w:pPr>
              <w:pStyle w:val="TableText"/>
              <w:keepNext/>
              <w:spacing w:after="160"/>
            </w:pPr>
            <w:r w:rsidRPr="001B036C">
              <w:t>Clinical utility and management</w:t>
            </w:r>
          </w:p>
        </w:tc>
        <w:tc>
          <w:tcPr>
            <w:tcW w:w="2283" w:type="pct"/>
          </w:tcPr>
          <w:p w14:paraId="3F86331D" w14:textId="1E9C53FB" w:rsidR="007E00E8" w:rsidRPr="001B036C" w:rsidRDefault="007E00E8">
            <w:pPr>
              <w:pStyle w:val="TableText"/>
              <w:keepNext/>
            </w:pPr>
            <w:r w:rsidRPr="001B036C">
              <w:t xml:space="preserve">Unclear definition of current Australian practice to monitor IBD. Lack of supportive data on the clinical utility to establish any clinical need for FC monitoring and better identification of the downstream management practices and health outcomes which might be improved by introducing FC monitoring (MSAC PSD 1353, page 2). </w:t>
            </w:r>
          </w:p>
          <w:p w14:paraId="1A63B781" w14:textId="77777777" w:rsidR="007E00E8" w:rsidRPr="001B036C" w:rsidRDefault="007E00E8">
            <w:pPr>
              <w:pStyle w:val="TableText"/>
              <w:keepNext/>
            </w:pPr>
            <w:r w:rsidRPr="001B036C">
              <w:t xml:space="preserve">MSAC suggested that more information on the biological variability of inflammation in the stable IBD patients (FC test result &lt;200 </w:t>
            </w:r>
            <w:proofErr w:type="spellStart"/>
            <w:r w:rsidRPr="001B036C">
              <w:t>μg</w:t>
            </w:r>
            <w:proofErr w:type="spellEnd"/>
            <w:r w:rsidRPr="001B036C">
              <w:t xml:space="preserve">/g) would be helpful to provide a better basis for when to initiate a change in clinical management and frequency of FC testing (MSAC PSD 1353, page 2). </w:t>
            </w:r>
          </w:p>
          <w:p w14:paraId="7E838CC7" w14:textId="6E4E84EB" w:rsidR="007E00E8" w:rsidRPr="001B036C" w:rsidRDefault="007E00E8">
            <w:pPr>
              <w:pStyle w:val="TableText"/>
              <w:keepNext/>
            </w:pPr>
            <w:r w:rsidRPr="001B036C">
              <w:t>MSAC suggested that expert opinion would be helpful to define the current approach to monitoring of IBD in Australia (e.g. frequency of colonoscopies) and that data were needed to determine the frequency and clinical utility of the FC test for monitoring (MSAC PSD 1353, page 5).</w:t>
            </w:r>
          </w:p>
        </w:tc>
        <w:tc>
          <w:tcPr>
            <w:tcW w:w="1622" w:type="pct"/>
            <w:vAlign w:val="center"/>
          </w:tcPr>
          <w:p w14:paraId="17BCA1FC" w14:textId="77777777" w:rsidR="007E00E8" w:rsidRPr="001B036C" w:rsidRDefault="007E00E8">
            <w:pPr>
              <w:pStyle w:val="TableText"/>
              <w:keepNext/>
              <w:spacing w:after="160"/>
            </w:pPr>
            <w:r w:rsidRPr="001B036C">
              <w:t>“Partially” addressed</w:t>
            </w:r>
          </w:p>
          <w:p w14:paraId="3A9F0568" w14:textId="75ADFA98" w:rsidR="007E00E8" w:rsidRPr="001B036C" w:rsidRDefault="007E00E8">
            <w:pPr>
              <w:pStyle w:val="TableText"/>
              <w:keepNext/>
              <w:spacing w:after="160"/>
            </w:pPr>
            <w:r w:rsidRPr="001B036C">
              <w:t>Review of clinical guidelines on the use of FC testing for monitoring purposes. Targeted literature search to assess the potential for colonoscopy replacement (Section 2.B3)</w:t>
            </w:r>
            <w:r w:rsidR="007F2838" w:rsidRPr="001B036C">
              <w:t>.</w:t>
            </w:r>
          </w:p>
          <w:p w14:paraId="55148A38" w14:textId="5207851F" w:rsidR="007E00E8" w:rsidRPr="001B036C" w:rsidRDefault="007E00E8">
            <w:pPr>
              <w:pStyle w:val="TableText"/>
              <w:keepNext/>
              <w:spacing w:after="160"/>
            </w:pPr>
            <w:r w:rsidRPr="001B036C">
              <w:t xml:space="preserve">Australian data from Monash Health was analysed for a better proxy regarding frequency of testing and use of health resources. Some limitations were identified in this data set (Section 2B.3). </w:t>
            </w:r>
          </w:p>
        </w:tc>
      </w:tr>
      <w:tr w:rsidR="007E00E8" w:rsidRPr="001B036C" w14:paraId="0CF6945C" w14:textId="77777777">
        <w:trPr>
          <w:cantSplit/>
        </w:trPr>
        <w:tc>
          <w:tcPr>
            <w:tcW w:w="1095" w:type="pct"/>
          </w:tcPr>
          <w:p w14:paraId="05CB2AAC" w14:textId="77777777" w:rsidR="007E00E8" w:rsidRPr="001B036C" w:rsidRDefault="007E00E8">
            <w:pPr>
              <w:pStyle w:val="TableText"/>
              <w:keepNext/>
              <w:spacing w:after="160"/>
            </w:pPr>
            <w:r w:rsidRPr="001B036C">
              <w:t>Economic evaluation</w:t>
            </w:r>
          </w:p>
        </w:tc>
        <w:tc>
          <w:tcPr>
            <w:tcW w:w="2283" w:type="pct"/>
          </w:tcPr>
          <w:p w14:paraId="5E30B511" w14:textId="77777777" w:rsidR="007E00E8" w:rsidRPr="001B036C" w:rsidRDefault="007E00E8">
            <w:pPr>
              <w:pStyle w:val="TableText"/>
              <w:keepNext/>
            </w:pPr>
            <w:r w:rsidRPr="001B036C">
              <w:t>The economic model assumed that there was a 1:1 relationship between test performance and subsequent management. MSAC considered that this was an oversimplification which resulted in unreliable estimates of the comparative consequences of the changes in management in terms of subsequent healthcare resource use and health outcomes.</w:t>
            </w:r>
          </w:p>
          <w:p w14:paraId="0D9F29F1" w14:textId="2B6E1662" w:rsidR="007E00E8" w:rsidRPr="001B036C" w:rsidRDefault="007E00E8">
            <w:pPr>
              <w:pStyle w:val="TableText"/>
              <w:keepNext/>
            </w:pPr>
            <w:r w:rsidRPr="001B036C">
              <w:t>For example, the model underestimated the subsequent use of medicines to treat IBD</w:t>
            </w:r>
            <w:r w:rsidR="007F2838" w:rsidRPr="001B036C">
              <w:t xml:space="preserve"> (MSAC PSD 1353, page 5)</w:t>
            </w:r>
            <w:r w:rsidRPr="001B036C">
              <w:t xml:space="preserve">. </w:t>
            </w:r>
          </w:p>
          <w:p w14:paraId="2E18B115" w14:textId="554E292D" w:rsidR="007E00E8" w:rsidRPr="001B036C" w:rsidRDefault="007E00E8">
            <w:pPr>
              <w:pStyle w:val="TableText"/>
              <w:keepNext/>
            </w:pPr>
            <w:r w:rsidRPr="001B036C">
              <w:t xml:space="preserve">Need to appropriately amend the economic model structure (e.g. accurately capture the downstream changes in healthcare resource use and health outcomes of the claimed earlier detection of worsening IBD) and inputs (e.g. the frequency of monitoring) (MSAC PSD 1353, page 6). </w:t>
            </w:r>
          </w:p>
        </w:tc>
        <w:tc>
          <w:tcPr>
            <w:tcW w:w="1622" w:type="pct"/>
            <w:vAlign w:val="center"/>
          </w:tcPr>
          <w:p w14:paraId="044E44C1" w14:textId="0F6447BF" w:rsidR="007E00E8" w:rsidRPr="001B036C" w:rsidRDefault="007E00E8">
            <w:pPr>
              <w:pStyle w:val="TableText"/>
              <w:keepNext/>
              <w:spacing w:after="160"/>
            </w:pPr>
            <w:r w:rsidRPr="001B036C">
              <w:t>Addressed</w:t>
            </w:r>
          </w:p>
          <w:p w14:paraId="49B05696" w14:textId="19327E28" w:rsidR="007E00E8" w:rsidRPr="001B036C" w:rsidRDefault="007E00E8">
            <w:pPr>
              <w:pStyle w:val="TableText"/>
              <w:keepNext/>
              <w:spacing w:after="160"/>
            </w:pPr>
            <w:r w:rsidRPr="001B036C">
              <w:t>Section 3 includes an updated economic model (cost</w:t>
            </w:r>
            <w:r w:rsidR="00486D92" w:rsidRPr="001B036C">
              <w:t>-</w:t>
            </w:r>
            <w:r w:rsidRPr="001B036C">
              <w:t xml:space="preserve">minimisation) with sensitivity analysis that account for the uncertainty on the frequency of use of FC testing and reduction in the colonoscopy use. </w:t>
            </w:r>
          </w:p>
        </w:tc>
      </w:tr>
    </w:tbl>
    <w:p w14:paraId="6AA6350F" w14:textId="77777777" w:rsidR="007E00E8" w:rsidRPr="001B036C" w:rsidRDefault="007E00E8" w:rsidP="0050489A">
      <w:pPr>
        <w:pStyle w:val="TableFigureFooter"/>
        <w:spacing w:after="120"/>
      </w:pPr>
      <w:r w:rsidRPr="001B036C">
        <w:rPr>
          <w:szCs w:val="20"/>
        </w:rPr>
        <w:t>FC = faecal calprotectin; IBD, inflammatory bowel disease</w:t>
      </w:r>
      <w:r w:rsidRPr="001B036C">
        <w:t>; MSAC = Medical Services Advisory Committee; PSD = Public Summary Document; SLR = systematic literature review.</w:t>
      </w:r>
    </w:p>
    <w:p w14:paraId="054E5DAA" w14:textId="00A44C4B" w:rsidR="007E00E8" w:rsidRPr="001B036C" w:rsidRDefault="00FA283C" w:rsidP="002A18BE">
      <w:pPr>
        <w:pStyle w:val="Heading2"/>
        <w:numPr>
          <w:ilvl w:val="0"/>
          <w:numId w:val="0"/>
        </w:numPr>
      </w:pPr>
      <w:bookmarkStart w:id="5" w:name="_Toc176422704"/>
      <w:r>
        <w:t>5</w:t>
      </w:r>
      <w:r w:rsidR="007E00E8" w:rsidRPr="001B036C">
        <w:t>.</w:t>
      </w:r>
      <w:r w:rsidR="007E00E8" w:rsidRPr="001B036C">
        <w:tab/>
        <w:t>Prerequisites to implementation of any funding advice</w:t>
      </w:r>
      <w:bookmarkEnd w:id="5"/>
    </w:p>
    <w:p w14:paraId="2A6BF4BD" w14:textId="00433625" w:rsidR="007E00E8" w:rsidRPr="001B036C" w:rsidRDefault="007E00E8">
      <w:pPr>
        <w:pStyle w:val="Instructionaltext"/>
        <w:rPr>
          <w:color w:val="auto"/>
        </w:rPr>
      </w:pPr>
      <w:r w:rsidRPr="001B036C">
        <w:rPr>
          <w:color w:val="auto"/>
        </w:rPr>
        <w:t>Laboratory-based testing will be carried out in National Association of Testing Authorities (NATA)-accredited pathology laboratories.</w:t>
      </w:r>
    </w:p>
    <w:p w14:paraId="1EA6E82C" w14:textId="43715780" w:rsidR="007E00E8" w:rsidRPr="001B036C" w:rsidRDefault="00FA283C" w:rsidP="002A18BE">
      <w:pPr>
        <w:pStyle w:val="Heading2"/>
        <w:numPr>
          <w:ilvl w:val="0"/>
          <w:numId w:val="0"/>
        </w:numPr>
      </w:pPr>
      <w:bookmarkStart w:id="6" w:name="_Toc176422705"/>
      <w:r>
        <w:lastRenderedPageBreak/>
        <w:t>6</w:t>
      </w:r>
      <w:r w:rsidR="007E00E8" w:rsidRPr="001B036C">
        <w:t>.</w:t>
      </w:r>
      <w:r w:rsidR="007E00E8" w:rsidRPr="001B036C">
        <w:tab/>
        <w:t>Proposal for public funding</w:t>
      </w:r>
      <w:bookmarkEnd w:id="6"/>
    </w:p>
    <w:p w14:paraId="0425A6B8" w14:textId="5EDB5C7C" w:rsidR="007E00E8" w:rsidRPr="001B036C" w:rsidRDefault="007E00E8" w:rsidP="002A624B">
      <w:r w:rsidRPr="001B036C">
        <w:t>The new MBS item descriptor as proposed in the ratified PICO for the current application is summarised in</w:t>
      </w:r>
      <w:r w:rsidR="001F1D31" w:rsidRPr="001B036C">
        <w:t xml:space="preserve"> </w:t>
      </w:r>
      <w:r w:rsidR="001F1D31" w:rsidRPr="001B036C">
        <w:fldChar w:fldCharType="begin"/>
      </w:r>
      <w:r w:rsidR="001F1D31" w:rsidRPr="001B036C">
        <w:instrText xml:space="preserve"> REF _Ref174970966 \h </w:instrText>
      </w:r>
      <w:r w:rsidR="001B036C">
        <w:instrText xml:space="preserve"> \* MERGEFORMAT </w:instrText>
      </w:r>
      <w:r w:rsidR="001F1D31" w:rsidRPr="001B036C">
        <w:fldChar w:fldCharType="separate"/>
      </w:r>
      <w:r w:rsidR="00AD48CD" w:rsidRPr="001B036C">
        <w:t>Table </w:t>
      </w:r>
      <w:r w:rsidR="00AD48CD">
        <w:t>3</w:t>
      </w:r>
      <w:r w:rsidR="001F1D31" w:rsidRPr="001B036C">
        <w:fldChar w:fldCharType="end"/>
      </w:r>
      <w:r w:rsidRPr="001B036C">
        <w:t xml:space="preserve">. The proposed fee is equivalent to the fee for FC testing for diagnostic purposes (MBS items 66522 and 66523). The descriptor allows general practitioners (GPs) to order the test on behalf of a specialist gastroenterologist. PASC noted that some patients with IBD, particularly those who are in remission or with less severe disease, are in regular contact with their GP and access to the test would </w:t>
      </w:r>
      <w:r w:rsidR="000821FF" w:rsidRPr="001B036C">
        <w:t xml:space="preserve">be </w:t>
      </w:r>
      <w:r w:rsidRPr="001B036C">
        <w:t>improve</w:t>
      </w:r>
      <w:r w:rsidR="000821FF" w:rsidRPr="001B036C">
        <w:t>d</w:t>
      </w:r>
      <w:r w:rsidRPr="001B036C">
        <w:t xml:space="preserve"> if GPs could order it. This view is aligned with the consultation feedback and the Royal Australian College of General Practitioners (RACGP) that advised that allowing this test to be provided in primary care by GPs improves equity of access and better assessment of regional patients. </w:t>
      </w:r>
    </w:p>
    <w:p w14:paraId="3379A64E" w14:textId="77777777" w:rsidR="007E00E8" w:rsidRPr="001B036C" w:rsidRDefault="007E00E8" w:rsidP="002A624B">
      <w:r w:rsidRPr="001B036C">
        <w:t xml:space="preserve">PASC noted that the PICO proposed item descriptor for FC testing should be reviewed by the RACGP for feedback regarding how ordering of FC tests for monitoring IBD patients by GPs should be addressed in the item descriptor. Following this advice, the department sought advice from RACGP on the PICO proposed item descriptor and 3 alternative department proposed item descriptors: </w:t>
      </w:r>
    </w:p>
    <w:p w14:paraId="27FBD105" w14:textId="0391637C" w:rsidR="007E00E8" w:rsidRPr="001B036C" w:rsidRDefault="007E00E8" w:rsidP="007E00E8">
      <w:pPr>
        <w:pStyle w:val="ListParagraph"/>
        <w:numPr>
          <w:ilvl w:val="0"/>
          <w:numId w:val="12"/>
        </w:numPr>
      </w:pPr>
      <w:r w:rsidRPr="001B036C">
        <w:t>Alternative item descriptor 1: with GPs allowed to request the test by remaining silent on requestor type (</w:t>
      </w:r>
      <w:r w:rsidRPr="001B036C">
        <w:fldChar w:fldCharType="begin"/>
      </w:r>
      <w:r w:rsidRPr="001B036C">
        <w:instrText xml:space="preserve"> REF _Ref174103175 \h </w:instrText>
      </w:r>
      <w:r w:rsidR="001B036C">
        <w:instrText xml:space="preserve"> \* MERGEFORMAT </w:instrText>
      </w:r>
      <w:r w:rsidRPr="001B036C">
        <w:fldChar w:fldCharType="separate"/>
      </w:r>
      <w:r w:rsidR="00AD48CD" w:rsidRPr="001B036C">
        <w:t xml:space="preserve">Table </w:t>
      </w:r>
      <w:r w:rsidR="00AD48CD">
        <w:rPr>
          <w:noProof/>
        </w:rPr>
        <w:t>4</w:t>
      </w:r>
      <w:r w:rsidRPr="001B036C">
        <w:fldChar w:fldCharType="end"/>
      </w:r>
      <w:r w:rsidRPr="001B036C">
        <w:t>)</w:t>
      </w:r>
      <w:r w:rsidR="0051599D" w:rsidRPr="001B036C">
        <w:t>.</w:t>
      </w:r>
    </w:p>
    <w:p w14:paraId="028E61DF" w14:textId="3C79273F" w:rsidR="007E00E8" w:rsidRPr="001B036C" w:rsidRDefault="007E00E8" w:rsidP="007E00E8">
      <w:pPr>
        <w:pStyle w:val="ListParagraph"/>
        <w:numPr>
          <w:ilvl w:val="0"/>
          <w:numId w:val="12"/>
        </w:numPr>
      </w:pPr>
      <w:r w:rsidRPr="001B036C">
        <w:t>Alternative item descriptor 2: with GPs allowed to request the test but to ensure that a specialist is involved in the patient’s care, the descriptor also specified that the IBD must be confirmed by a specialist/consultant physician</w:t>
      </w:r>
      <w:r w:rsidR="0051599D" w:rsidRPr="001B036C">
        <w:t>.</w:t>
      </w:r>
    </w:p>
    <w:p w14:paraId="2B4D4C34" w14:textId="1076476E" w:rsidR="007E00E8" w:rsidRPr="001B036C" w:rsidRDefault="007E00E8" w:rsidP="007E00E8">
      <w:pPr>
        <w:pStyle w:val="ListParagraph"/>
        <w:numPr>
          <w:ilvl w:val="0"/>
          <w:numId w:val="12"/>
        </w:numPr>
      </w:pPr>
      <w:r w:rsidRPr="001B036C">
        <w:t>Alternative descriptor 3: with GPs allowed to request the test in the same manner as that proposed in</w:t>
      </w:r>
      <w:r w:rsidR="00536A6E" w:rsidRPr="001B036C">
        <w:t xml:space="preserve"> </w:t>
      </w:r>
      <w:r w:rsidR="00B90475" w:rsidRPr="001B036C">
        <w:fldChar w:fldCharType="begin"/>
      </w:r>
      <w:r w:rsidR="00B90475" w:rsidRPr="001B036C">
        <w:instrText xml:space="preserve"> REF _Ref174970966 \h </w:instrText>
      </w:r>
      <w:r w:rsidR="001B036C">
        <w:instrText xml:space="preserve"> \* MERGEFORMAT </w:instrText>
      </w:r>
      <w:r w:rsidR="00B90475" w:rsidRPr="001B036C">
        <w:fldChar w:fldCharType="separate"/>
      </w:r>
      <w:r w:rsidR="00AD48CD" w:rsidRPr="001B036C">
        <w:t>Table </w:t>
      </w:r>
      <w:r w:rsidR="00AD48CD">
        <w:t>3</w:t>
      </w:r>
      <w:r w:rsidR="00B90475" w:rsidRPr="001B036C">
        <w:fldChar w:fldCharType="end"/>
      </w:r>
      <w:r w:rsidRPr="001B036C">
        <w:t xml:space="preserve"> but without specifying gastroenterologist as the specialist type in ‘b)’ (i.e. stating that ‘b) the service is requested by or on behalf of a specialist or consultant physician’). </w:t>
      </w:r>
    </w:p>
    <w:p w14:paraId="4F713677" w14:textId="31118C15" w:rsidR="007E00E8" w:rsidRPr="001B036C" w:rsidRDefault="007E00E8" w:rsidP="00EB186C">
      <w:r w:rsidRPr="001B036C">
        <w:t xml:space="preserve">RACGP preference was to allow GPs to order the test by remaining silent on requestor type (i.e. specialists and non-specialist medical practitioners can request the test; alternative item descriptor 1, Table </w:t>
      </w:r>
      <w:r w:rsidR="005E05F9">
        <w:t>4</w:t>
      </w:r>
      <w:r w:rsidRPr="001B036C">
        <w:t xml:space="preserve">). The RACGP stated that this item supported a shared care model for IBD monitoring in asymptomatic patients with established </w:t>
      </w:r>
      <w:r w:rsidR="004B4352" w:rsidRPr="001B036C">
        <w:t xml:space="preserve">IBD </w:t>
      </w:r>
      <w:r w:rsidRPr="001B036C">
        <w:t>diagnos</w:t>
      </w:r>
      <w:r w:rsidR="002F4E8B" w:rsidRPr="001B036C">
        <w:t>e</w:t>
      </w:r>
      <w:r w:rsidRPr="001B036C">
        <w:t xml:space="preserve">s where the GP can monitor for symptoms </w:t>
      </w:r>
      <w:r w:rsidR="00C24C9F" w:rsidRPr="001B036C">
        <w:t>and perform</w:t>
      </w:r>
      <w:r w:rsidR="00813E3F" w:rsidRPr="001B036C">
        <w:t xml:space="preserve"> </w:t>
      </w:r>
      <w:r w:rsidR="00C24C9F" w:rsidRPr="001B036C">
        <w:t>investigations as required</w:t>
      </w:r>
      <w:r w:rsidR="002F4E8B" w:rsidRPr="001B036C">
        <w:t xml:space="preserve"> (</w:t>
      </w:r>
      <w:proofErr w:type="spellStart"/>
      <w:r w:rsidR="002F4E8B" w:rsidRPr="001B036C">
        <w:t>eg.</w:t>
      </w:r>
      <w:proofErr w:type="spellEnd"/>
      <w:r w:rsidR="002F4E8B" w:rsidRPr="001B036C">
        <w:t xml:space="preserve"> </w:t>
      </w:r>
      <w:r w:rsidR="006E70D2" w:rsidRPr="001B036C">
        <w:t>C-reactive protein (</w:t>
      </w:r>
      <w:r w:rsidRPr="001B036C">
        <w:t>CRP</w:t>
      </w:r>
      <w:r w:rsidR="006E70D2" w:rsidRPr="001B036C">
        <w:t>)</w:t>
      </w:r>
      <w:r w:rsidRPr="001B036C">
        <w:t xml:space="preserve"> and FC</w:t>
      </w:r>
      <w:r w:rsidR="00E741B9" w:rsidRPr="001B036C">
        <w:t>)</w:t>
      </w:r>
      <w:r w:rsidRPr="001B036C">
        <w:t xml:space="preserve"> while the endoscopist can identify histological healing. </w:t>
      </w:r>
      <w:r w:rsidR="006E70D2" w:rsidRPr="001B036C">
        <w:t>RACGP noted that i</w:t>
      </w:r>
      <w:r w:rsidRPr="001B036C">
        <w:t xml:space="preserve">n symptomatic patients, the GP is well positioned to initially collate symptoms, signs and test results to establish if the symptoms </w:t>
      </w:r>
      <w:r w:rsidR="002F4E8B" w:rsidRPr="001B036C">
        <w:t>represent an</w:t>
      </w:r>
      <w:r w:rsidRPr="001B036C">
        <w:t xml:space="preserve"> IBD</w:t>
      </w:r>
      <w:r w:rsidR="002F4E8B" w:rsidRPr="001B036C">
        <w:t xml:space="preserve"> flare</w:t>
      </w:r>
      <w:r w:rsidRPr="001B036C">
        <w:t>.</w:t>
      </w:r>
    </w:p>
    <w:p w14:paraId="7226510F" w14:textId="0D202411" w:rsidR="007E00E8" w:rsidRPr="001B036C" w:rsidRDefault="007E00E8" w:rsidP="00862FF2">
      <w:r w:rsidRPr="001B036C">
        <w:t xml:space="preserve">The RACGP further noted that as IBD can only be diagnosed with gastroscopy/colonoscopy, all cases will have an initial diagnosis by a gastroenterologist. A requirement for IBD to be confirmed by a gastroenterologist on each request for FC as described in alternative descriptor 2 is unnecessary and may impose a barrier to patient care. In addition, public gastroenterology appointments and affordable private gastroenterology appointments are only available in select locations across Australia. Therefore, </w:t>
      </w:r>
      <w:r w:rsidR="004B2DD8" w:rsidRPr="001B036C">
        <w:t xml:space="preserve">requiring gastroenterologist confirmation of </w:t>
      </w:r>
      <w:r w:rsidR="008C3EFC" w:rsidRPr="001B036C">
        <w:t xml:space="preserve">an IBD diagnosis may </w:t>
      </w:r>
      <w:r w:rsidRPr="001B036C">
        <w:t xml:space="preserve">limit access to monitoring </w:t>
      </w:r>
      <w:r w:rsidR="008C3EFC" w:rsidRPr="001B036C">
        <w:t xml:space="preserve">FC </w:t>
      </w:r>
      <w:r w:rsidRPr="001B036C">
        <w:t>test</w:t>
      </w:r>
      <w:r w:rsidR="008C3EFC" w:rsidRPr="001B036C">
        <w:t>ing and may be</w:t>
      </w:r>
      <w:r w:rsidRPr="001B036C">
        <w:t xml:space="preserve"> a barrier to effective patient care.</w:t>
      </w:r>
    </w:p>
    <w:p w14:paraId="4300AE4D" w14:textId="1D99A3AB" w:rsidR="007E00E8" w:rsidRPr="001B036C" w:rsidRDefault="007E00E8" w:rsidP="00310C3F">
      <w:pPr>
        <w:pStyle w:val="Caption"/>
        <w:rPr>
          <w:rFonts w:cs="Arial"/>
        </w:rPr>
      </w:pPr>
      <w:bookmarkStart w:id="7" w:name="_Ref174970966"/>
      <w:r w:rsidRPr="001B036C">
        <w:lastRenderedPageBreak/>
        <w:t>Table </w:t>
      </w:r>
      <w:r>
        <w:fldChar w:fldCharType="begin"/>
      </w:r>
      <w:r>
        <w:instrText xml:space="preserve"> SEQ Table \* ARABIC </w:instrText>
      </w:r>
      <w:r>
        <w:fldChar w:fldCharType="separate"/>
      </w:r>
      <w:r w:rsidR="00B4653B">
        <w:rPr>
          <w:noProof/>
        </w:rPr>
        <w:t>3</w:t>
      </w:r>
      <w:r>
        <w:rPr>
          <w:noProof/>
        </w:rPr>
        <w:fldChar w:fldCharType="end"/>
      </w:r>
      <w:bookmarkEnd w:id="7"/>
      <w:r w:rsidRPr="001B036C">
        <w:rPr>
          <w:rFonts w:cs="Arial"/>
        </w:rPr>
        <w:tab/>
      </w:r>
      <w:r w:rsidR="00AA3C3C" w:rsidRPr="001B036C">
        <w:rPr>
          <w:rFonts w:cs="Arial"/>
        </w:rPr>
        <w:t>P</w:t>
      </w:r>
      <w:r w:rsidRPr="001B036C">
        <w:rPr>
          <w:rFonts w:cs="Arial"/>
        </w:rPr>
        <w:t xml:space="preserve">roposed MBS item </w:t>
      </w:r>
      <w:r w:rsidR="00AA3C3C" w:rsidRPr="001B036C">
        <w:rPr>
          <w:rFonts w:cs="Arial"/>
        </w:rPr>
        <w:t>descriptor</w:t>
      </w:r>
      <w:r w:rsidRPr="001B036C">
        <w:rPr>
          <w:rFonts w:cs="Arial"/>
        </w:rPr>
        <w:t xml:space="preserve"> as per the ratified PICO of MSAC application 1761</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7E00E8" w:rsidRPr="001B036C" w14:paraId="7E7C6075" w14:textId="77777777" w:rsidTr="003F48F1">
        <w:trPr>
          <w:cantSplit/>
          <w:trHeight w:val="350"/>
          <w:tblHeader/>
        </w:trPr>
        <w:tc>
          <w:tcPr>
            <w:tcW w:w="9016" w:type="dxa"/>
          </w:tcPr>
          <w:p w14:paraId="0C2B9193" w14:textId="77777777" w:rsidR="007E00E8" w:rsidRPr="001B036C" w:rsidRDefault="007E00E8" w:rsidP="003F48F1">
            <w:pPr>
              <w:pStyle w:val="TableText"/>
            </w:pPr>
            <w:r w:rsidRPr="001B036C">
              <w:t>Category 6 – Pathology Services</w:t>
            </w:r>
          </w:p>
        </w:tc>
      </w:tr>
      <w:tr w:rsidR="007E00E8" w:rsidRPr="001B036C" w14:paraId="4BDF854C" w14:textId="77777777" w:rsidTr="003F48F1">
        <w:trPr>
          <w:cantSplit/>
          <w:tblHeader/>
        </w:trPr>
        <w:tc>
          <w:tcPr>
            <w:tcW w:w="9016" w:type="dxa"/>
          </w:tcPr>
          <w:p w14:paraId="048D6138" w14:textId="77777777" w:rsidR="007E00E8" w:rsidRPr="001B036C" w:rsidRDefault="007E00E8" w:rsidP="003F48F1">
            <w:pPr>
              <w:spacing w:after="120"/>
              <w:rPr>
                <w:szCs w:val="20"/>
                <w:lang w:val="en-US" w:eastAsia="ja-JP"/>
              </w:rPr>
            </w:pPr>
            <w:r w:rsidRPr="001B036C">
              <w:rPr>
                <w:rFonts w:ascii="Arial Narrow" w:hAnsi="Arial Narrow"/>
                <w:sz w:val="20"/>
                <w:szCs w:val="20"/>
              </w:rPr>
              <w:t>MBS item *XXXX</w:t>
            </w:r>
          </w:p>
          <w:p w14:paraId="3ED7466F" w14:textId="77777777" w:rsidR="007E00E8" w:rsidRPr="001B036C" w:rsidRDefault="007E00E8" w:rsidP="003F48F1">
            <w:pPr>
              <w:spacing w:after="120"/>
              <w:rPr>
                <w:rFonts w:ascii="Arial Narrow" w:hAnsi="Arial Narrow"/>
                <w:sz w:val="20"/>
                <w:szCs w:val="20"/>
                <w:lang w:val="en-US" w:eastAsia="ja-JP"/>
              </w:rPr>
            </w:pPr>
            <w:r w:rsidRPr="001B036C">
              <w:rPr>
                <w:rFonts w:ascii="Arial Narrow" w:hAnsi="Arial Narrow"/>
                <w:sz w:val="20"/>
                <w:szCs w:val="20"/>
              </w:rPr>
              <w:t>Faecal Calprotectin test for assessment of disease activity if all the following apply:</w:t>
            </w:r>
          </w:p>
          <w:p w14:paraId="63B5E6CA" w14:textId="77777777" w:rsidR="007E00E8" w:rsidRPr="001B036C" w:rsidRDefault="007E00E8" w:rsidP="007E00E8">
            <w:pPr>
              <w:pStyle w:val="ListParagraph"/>
              <w:numPr>
                <w:ilvl w:val="0"/>
                <w:numId w:val="10"/>
              </w:numPr>
              <w:spacing w:after="120"/>
              <w:rPr>
                <w:rFonts w:ascii="Arial Narrow" w:hAnsi="Arial Narrow"/>
                <w:sz w:val="20"/>
                <w:szCs w:val="20"/>
                <w:lang w:val="en-US" w:eastAsia="ja-JP"/>
              </w:rPr>
            </w:pPr>
            <w:r w:rsidRPr="001B036C">
              <w:rPr>
                <w:rFonts w:ascii="Arial Narrow" w:hAnsi="Arial Narrow"/>
                <w:sz w:val="20"/>
                <w:szCs w:val="20"/>
              </w:rPr>
              <w:t xml:space="preserve">the patient has diagnosed inflammatory bowel </w:t>
            </w:r>
            <w:proofErr w:type="gramStart"/>
            <w:r w:rsidRPr="001B036C">
              <w:rPr>
                <w:rFonts w:ascii="Arial Narrow" w:hAnsi="Arial Narrow"/>
                <w:sz w:val="20"/>
                <w:szCs w:val="20"/>
              </w:rPr>
              <w:t>disease;</w:t>
            </w:r>
            <w:proofErr w:type="gramEnd"/>
          </w:p>
          <w:p w14:paraId="5463C4C0" w14:textId="77777777" w:rsidR="007E00E8" w:rsidRPr="001B036C" w:rsidRDefault="007E00E8" w:rsidP="007E00E8">
            <w:pPr>
              <w:pStyle w:val="ListParagraph"/>
              <w:numPr>
                <w:ilvl w:val="0"/>
                <w:numId w:val="10"/>
              </w:numPr>
              <w:spacing w:after="120"/>
              <w:rPr>
                <w:rFonts w:ascii="Arial Narrow" w:hAnsi="Arial Narrow"/>
                <w:sz w:val="20"/>
                <w:szCs w:val="20"/>
                <w:lang w:val="en-US" w:eastAsia="ja-JP"/>
              </w:rPr>
            </w:pPr>
            <w:r w:rsidRPr="001B036C">
              <w:rPr>
                <w:rFonts w:ascii="Arial Narrow" w:hAnsi="Arial Narrow"/>
                <w:sz w:val="20"/>
                <w:szCs w:val="20"/>
              </w:rPr>
              <w:t>the service is requested by or on behalf of a specialist or consultant physician practising as a specialist gastroenterologist.</w:t>
            </w:r>
          </w:p>
          <w:p w14:paraId="127FCCC6" w14:textId="77777777" w:rsidR="007E00E8" w:rsidRPr="001B036C" w:rsidRDefault="007E00E8" w:rsidP="00D47945">
            <w:pPr>
              <w:spacing w:after="120"/>
              <w:ind w:left="113" w:right="113"/>
              <w:rPr>
                <w:rFonts w:ascii="Arial Narrow" w:hAnsi="Arial Narrow"/>
                <w:sz w:val="20"/>
                <w:szCs w:val="20"/>
              </w:rPr>
            </w:pPr>
            <w:r w:rsidRPr="001B036C">
              <w:rPr>
                <w:rFonts w:ascii="Arial Narrow" w:hAnsi="Arial Narrow"/>
                <w:sz w:val="20"/>
                <w:szCs w:val="20"/>
              </w:rPr>
              <w:t>A maximum of 10 tests per year may be performed.</w:t>
            </w:r>
          </w:p>
        </w:tc>
      </w:tr>
      <w:tr w:rsidR="007E00E8" w:rsidRPr="001B036C" w14:paraId="5D4ED319" w14:textId="77777777" w:rsidTr="003F48F1">
        <w:trPr>
          <w:cantSplit/>
          <w:trHeight w:val="223"/>
          <w:tblHeader/>
        </w:trPr>
        <w:tc>
          <w:tcPr>
            <w:tcW w:w="9016" w:type="dxa"/>
          </w:tcPr>
          <w:p w14:paraId="59098562" w14:textId="77777777" w:rsidR="007E00E8" w:rsidRPr="001B036C" w:rsidRDefault="007E00E8" w:rsidP="003F48F1">
            <w:pPr>
              <w:pStyle w:val="TableText"/>
              <w:rPr>
                <w:snapToGrid w:val="0"/>
              </w:rPr>
            </w:pPr>
            <w:r w:rsidRPr="001B036C">
              <w:t>Fee: $75.00 Benefit: 75% = $56.25 85% = $63.75</w:t>
            </w:r>
          </w:p>
        </w:tc>
      </w:tr>
    </w:tbl>
    <w:p w14:paraId="34053F66" w14:textId="658E72ED" w:rsidR="007E00E8" w:rsidRPr="001B036C" w:rsidRDefault="007E00E8">
      <w:pPr>
        <w:pStyle w:val="Caption"/>
      </w:pPr>
      <w:bookmarkStart w:id="8" w:name="_Ref174103175"/>
      <w:r w:rsidRPr="001B036C">
        <w:t xml:space="preserve">Table </w:t>
      </w:r>
      <w:r>
        <w:fldChar w:fldCharType="begin"/>
      </w:r>
      <w:r>
        <w:instrText xml:space="preserve"> SEQ Table \* ARABIC </w:instrText>
      </w:r>
      <w:r>
        <w:fldChar w:fldCharType="separate"/>
      </w:r>
      <w:r w:rsidR="00B4653B">
        <w:rPr>
          <w:noProof/>
        </w:rPr>
        <w:t>4</w:t>
      </w:r>
      <w:r>
        <w:rPr>
          <w:noProof/>
        </w:rPr>
        <w:fldChar w:fldCharType="end"/>
      </w:r>
      <w:bookmarkEnd w:id="8"/>
      <w:r w:rsidRPr="001B036C">
        <w:t xml:space="preserve"> </w:t>
      </w:r>
      <w:r w:rsidR="00AA3C3C" w:rsidRPr="001B036C">
        <w:t>MBS i</w:t>
      </w:r>
      <w:r w:rsidRPr="001B036C">
        <w:t>tem descriptor recommended by the Royal College of General Practitioners for faecal calprotectin testing</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7E00E8" w:rsidRPr="001B036C" w14:paraId="574C13EF" w14:textId="77777777">
        <w:trPr>
          <w:cantSplit/>
          <w:trHeight w:val="350"/>
          <w:tblHeader/>
        </w:trPr>
        <w:tc>
          <w:tcPr>
            <w:tcW w:w="9016" w:type="dxa"/>
          </w:tcPr>
          <w:p w14:paraId="485DF350" w14:textId="77777777" w:rsidR="007E00E8" w:rsidRPr="001B036C" w:rsidRDefault="007E00E8">
            <w:pPr>
              <w:pStyle w:val="TableText"/>
            </w:pPr>
            <w:r w:rsidRPr="001B036C">
              <w:t>Category 6 – Pathology Services</w:t>
            </w:r>
          </w:p>
        </w:tc>
      </w:tr>
      <w:tr w:rsidR="007E00E8" w:rsidRPr="001B036C" w14:paraId="71AA854D" w14:textId="77777777">
        <w:trPr>
          <w:cantSplit/>
          <w:tblHeader/>
        </w:trPr>
        <w:tc>
          <w:tcPr>
            <w:tcW w:w="9016" w:type="dxa"/>
          </w:tcPr>
          <w:p w14:paraId="1CA5A9CB" w14:textId="77777777" w:rsidR="007E00E8" w:rsidRPr="001B036C" w:rsidRDefault="007E00E8">
            <w:pPr>
              <w:pStyle w:val="TableText"/>
              <w:rPr>
                <w:lang w:eastAsia="ja-JP"/>
              </w:rPr>
            </w:pPr>
            <w:r w:rsidRPr="001B036C">
              <w:rPr>
                <w:szCs w:val="20"/>
                <w:lang w:eastAsia="ja-JP"/>
              </w:rPr>
              <w:t>MBS item *XXXX</w:t>
            </w:r>
          </w:p>
          <w:p w14:paraId="1A6F8ECA" w14:textId="77777777" w:rsidR="007E00E8" w:rsidRPr="001B036C" w:rsidRDefault="007E00E8">
            <w:pPr>
              <w:pStyle w:val="TableText"/>
              <w:rPr>
                <w:szCs w:val="20"/>
                <w:lang w:eastAsia="ja-JP"/>
              </w:rPr>
            </w:pPr>
            <w:r w:rsidRPr="001B036C">
              <w:rPr>
                <w:szCs w:val="20"/>
                <w:lang w:eastAsia="ja-JP"/>
              </w:rPr>
              <w:t>Faecal Calprotectin test for assessment of disease activity a patient with diagnosed inflammatory bowel disease:</w:t>
            </w:r>
          </w:p>
          <w:p w14:paraId="44C59E25" w14:textId="77777777" w:rsidR="007E00E8" w:rsidRPr="001B036C" w:rsidRDefault="007E00E8">
            <w:pPr>
              <w:pStyle w:val="TableText"/>
              <w:rPr>
                <w:szCs w:val="20"/>
                <w:lang w:eastAsia="ja-JP"/>
              </w:rPr>
            </w:pPr>
          </w:p>
          <w:p w14:paraId="6C50C535" w14:textId="77777777" w:rsidR="007E00E8" w:rsidRPr="001B036C" w:rsidRDefault="007E00E8">
            <w:pPr>
              <w:pStyle w:val="TableText"/>
              <w:rPr>
                <w:szCs w:val="20"/>
              </w:rPr>
            </w:pPr>
            <w:r w:rsidRPr="001B036C">
              <w:rPr>
                <w:szCs w:val="20"/>
                <w:lang w:eastAsia="ja-JP"/>
              </w:rPr>
              <w:t>A maximum of 10 tests per year may be performed.</w:t>
            </w:r>
          </w:p>
        </w:tc>
      </w:tr>
      <w:tr w:rsidR="007E00E8" w:rsidRPr="001B036C" w14:paraId="73C6F386" w14:textId="77777777">
        <w:trPr>
          <w:cantSplit/>
          <w:trHeight w:val="223"/>
          <w:tblHeader/>
        </w:trPr>
        <w:tc>
          <w:tcPr>
            <w:tcW w:w="9016" w:type="dxa"/>
          </w:tcPr>
          <w:p w14:paraId="35C8CF56" w14:textId="77777777" w:rsidR="007E00E8" w:rsidRPr="001B036C" w:rsidRDefault="007E00E8">
            <w:pPr>
              <w:pStyle w:val="TableText"/>
            </w:pPr>
            <w:r w:rsidRPr="001B036C">
              <w:t>Fee: $75.00 Benefit: 75% = $56.25 85% = $63.75</w:t>
            </w:r>
          </w:p>
        </w:tc>
      </w:tr>
    </w:tbl>
    <w:p w14:paraId="3279615A" w14:textId="43781782" w:rsidR="007E00E8" w:rsidRPr="001B036C" w:rsidRDefault="00FA283C" w:rsidP="002A18BE">
      <w:pPr>
        <w:pStyle w:val="Heading2"/>
        <w:numPr>
          <w:ilvl w:val="0"/>
          <w:numId w:val="0"/>
        </w:numPr>
      </w:pPr>
      <w:bookmarkStart w:id="9" w:name="_Toc176422706"/>
      <w:r>
        <w:t>7</w:t>
      </w:r>
      <w:r w:rsidR="007E00E8" w:rsidRPr="001B036C">
        <w:t>.</w:t>
      </w:r>
      <w:r w:rsidR="007E00E8" w:rsidRPr="001B036C">
        <w:tab/>
        <w:t>Population</w:t>
      </w:r>
      <w:bookmarkEnd w:id="9"/>
      <w:r w:rsidR="007E00E8" w:rsidRPr="001B036C">
        <w:t xml:space="preserve"> </w:t>
      </w:r>
    </w:p>
    <w:p w14:paraId="75989554" w14:textId="0017F134" w:rsidR="007E00E8" w:rsidRPr="001B036C" w:rsidRDefault="007E00E8" w:rsidP="00A56426">
      <w:pPr>
        <w:pStyle w:val="Instructionaltext"/>
        <w:rPr>
          <w:color w:val="auto"/>
        </w:rPr>
      </w:pPr>
      <w:r w:rsidRPr="001B036C">
        <w:rPr>
          <w:color w:val="auto"/>
        </w:rPr>
        <w:t xml:space="preserve">The application is for the use of FC testing in monitoring of disease activity in patients with known IBD. IBD is comprised of two chronic inflammatory conditions of the gastrointestinal (GI) tract: (1) ulcerative colitis (UC) where the disease is limited to the colon </w:t>
      </w:r>
      <w:proofErr w:type="gramStart"/>
      <w:r w:rsidRPr="001B036C">
        <w:rPr>
          <w:color w:val="auto"/>
        </w:rPr>
        <w:t>and;</w:t>
      </w:r>
      <w:proofErr w:type="gramEnd"/>
      <w:r w:rsidRPr="001B036C">
        <w:rPr>
          <w:color w:val="auto"/>
        </w:rPr>
        <w:t xml:space="preserve"> (2) Crohn disease (CD), which can affect any part of the GI tract, from the mouth to the anus. </w:t>
      </w:r>
    </w:p>
    <w:p w14:paraId="0748D039" w14:textId="034E4BE3" w:rsidR="0089185C" w:rsidRPr="001B036C" w:rsidRDefault="007E00E8" w:rsidP="00D47945">
      <w:r w:rsidRPr="001B036C">
        <w:t>The aetiology of IBD is unknown, with the disease arising through a combination of genetic and environmental factors. Both CD and UC carry enormous morbidity, neither is curable (unless a colectomy is performed in those with disease confined to the large bowel only), and both increase the risk of GI and extra-intestinal malignancies</w:t>
      </w:r>
      <w:r w:rsidR="003C0416" w:rsidRPr="001B036C">
        <w:t xml:space="preserve">. </w:t>
      </w:r>
    </w:p>
    <w:p w14:paraId="0E900894" w14:textId="4486B7DE" w:rsidR="00E8665A" w:rsidRPr="001B036C" w:rsidRDefault="00E8665A" w:rsidP="00D47945">
      <w:r w:rsidRPr="001B036C">
        <w:t>In Australia, a cross-sectional study performed on a national database of general practice electronic health records (</w:t>
      </w:r>
      <w:proofErr w:type="spellStart"/>
      <w:r w:rsidRPr="001B036C">
        <w:t>MedicineInsight</w:t>
      </w:r>
      <w:proofErr w:type="spellEnd"/>
      <w:r w:rsidRPr="001B036C">
        <w:t>) estimated a crude prevalence of IBD as 653 per 100,000 people (CD: 306 per 100,000 and UC: 334 per 100,000) (Busingye et al. 2021). This means that prevalence may be as high as 181,000 people in Australia</w:t>
      </w:r>
      <w:r w:rsidR="00ED3CC2">
        <w:rPr>
          <w:rStyle w:val="FootnoteReference"/>
        </w:rPr>
        <w:footnoteReference w:id="2"/>
      </w:r>
      <w:r w:rsidRPr="001B036C">
        <w:t xml:space="preserve"> (. Approximately 10–20% of IBD cases are diagnosed during childhood, with peak age of onset at 15–29 years</w:t>
      </w:r>
      <w:r w:rsidRPr="001B036C">
        <w:rPr>
          <w:rStyle w:val="FootnoteReference"/>
        </w:rPr>
        <w:footnoteReference w:id="3"/>
      </w:r>
      <w:r w:rsidRPr="001B036C">
        <w:t>.</w:t>
      </w:r>
    </w:p>
    <w:p w14:paraId="79A5BD56" w14:textId="35B30284" w:rsidR="007E00E8" w:rsidRPr="001B036C" w:rsidRDefault="007E00E8" w:rsidP="00365BBE">
      <w:pPr>
        <w:pStyle w:val="Instructionaltext"/>
        <w:rPr>
          <w:color w:val="auto"/>
        </w:rPr>
      </w:pPr>
      <w:r w:rsidRPr="001B036C">
        <w:rPr>
          <w:color w:val="auto"/>
        </w:rPr>
        <w:t xml:space="preserve">IBD presents in a variable manner with a single patient possibly relapsing/remitting and therefore potentially transitioning between </w:t>
      </w:r>
      <w:r w:rsidR="004B1B56" w:rsidRPr="001B036C">
        <w:rPr>
          <w:color w:val="auto"/>
        </w:rPr>
        <w:t xml:space="preserve">the </w:t>
      </w:r>
      <w:r w:rsidRPr="001B036C">
        <w:rPr>
          <w:color w:val="auto"/>
        </w:rPr>
        <w:t xml:space="preserve">four </w:t>
      </w:r>
      <w:r w:rsidR="004B1B56" w:rsidRPr="001B036C">
        <w:rPr>
          <w:color w:val="auto"/>
        </w:rPr>
        <w:t xml:space="preserve">below </w:t>
      </w:r>
      <w:r w:rsidRPr="001B036C">
        <w:rPr>
          <w:color w:val="auto"/>
        </w:rPr>
        <w:t xml:space="preserve">health states </w:t>
      </w:r>
      <w:proofErr w:type="gramStart"/>
      <w:r w:rsidRPr="001B036C">
        <w:rPr>
          <w:color w:val="auto"/>
        </w:rPr>
        <w:t>in a given year</w:t>
      </w:r>
      <w:proofErr w:type="gramEnd"/>
      <w:r w:rsidRPr="001B036C">
        <w:rPr>
          <w:color w:val="auto"/>
        </w:rPr>
        <w:t xml:space="preserve">: </w:t>
      </w:r>
    </w:p>
    <w:p w14:paraId="665D75F7" w14:textId="77777777" w:rsidR="007E00E8" w:rsidRPr="001B036C" w:rsidRDefault="007E00E8" w:rsidP="007E00E8">
      <w:pPr>
        <w:pStyle w:val="Instructionaltext"/>
        <w:numPr>
          <w:ilvl w:val="0"/>
          <w:numId w:val="9"/>
        </w:numPr>
        <w:rPr>
          <w:color w:val="auto"/>
        </w:rPr>
      </w:pPr>
      <w:r w:rsidRPr="001B036C">
        <w:rPr>
          <w:color w:val="auto"/>
        </w:rPr>
        <w:t>Asymptomatic, no biochemical evidence (e.g., elevated FC levels) of impending IBD relapse.</w:t>
      </w:r>
    </w:p>
    <w:p w14:paraId="2A8369F6" w14:textId="77777777" w:rsidR="007E00E8" w:rsidRPr="001B036C" w:rsidRDefault="007E00E8" w:rsidP="007E00E8">
      <w:pPr>
        <w:pStyle w:val="Instructionaltext"/>
        <w:numPr>
          <w:ilvl w:val="0"/>
          <w:numId w:val="9"/>
        </w:numPr>
        <w:rPr>
          <w:color w:val="auto"/>
        </w:rPr>
      </w:pPr>
      <w:r w:rsidRPr="001B036C">
        <w:rPr>
          <w:color w:val="auto"/>
        </w:rPr>
        <w:t>Asymptomatic, with biochemical evidence of impending IBD relapse.</w:t>
      </w:r>
    </w:p>
    <w:p w14:paraId="0E84C50F" w14:textId="77777777" w:rsidR="007E00E8" w:rsidRPr="001B036C" w:rsidRDefault="007E00E8" w:rsidP="007E00E8">
      <w:pPr>
        <w:pStyle w:val="Instructionaltext"/>
        <w:numPr>
          <w:ilvl w:val="0"/>
          <w:numId w:val="9"/>
        </w:numPr>
        <w:rPr>
          <w:color w:val="auto"/>
        </w:rPr>
      </w:pPr>
      <w:r w:rsidRPr="001B036C">
        <w:rPr>
          <w:color w:val="auto"/>
        </w:rPr>
        <w:lastRenderedPageBreak/>
        <w:t>Symptomatic, with no evidence of IBD relapse (as demonstrated by the results of blood tests, FC levels and/or imaging).</w:t>
      </w:r>
    </w:p>
    <w:p w14:paraId="168876E4" w14:textId="77777777" w:rsidR="007E00E8" w:rsidRPr="001B036C" w:rsidRDefault="007E00E8" w:rsidP="007E00E8">
      <w:pPr>
        <w:pStyle w:val="Instructionaltext"/>
        <w:numPr>
          <w:ilvl w:val="0"/>
          <w:numId w:val="9"/>
        </w:numPr>
        <w:rPr>
          <w:color w:val="auto"/>
        </w:rPr>
      </w:pPr>
      <w:r w:rsidRPr="001B036C">
        <w:rPr>
          <w:color w:val="auto"/>
        </w:rPr>
        <w:t>Symptomatic, with evidence of IBD relapse.</w:t>
      </w:r>
    </w:p>
    <w:p w14:paraId="4E914F7A" w14:textId="7EAC4934" w:rsidR="00733473" w:rsidRPr="001B036C" w:rsidRDefault="007E00E8" w:rsidP="00D47945">
      <w:r w:rsidRPr="001B036C">
        <w:t>While asymptomatic patients are at risk of IBD relapse (e.g., patients with recent flare or surgery but currently asymptomatic), symptomatic patients may present within a range of clinical severity (mild, moderate and severe), although this has poor correlation with mucosal disease activity</w:t>
      </w:r>
      <w:r w:rsidR="000D7F18">
        <w:rPr>
          <w:rStyle w:val="FootnoteReference"/>
        </w:rPr>
        <w:footnoteReference w:id="4"/>
      </w:r>
      <w:r w:rsidR="00F116C2">
        <w:t xml:space="preserve"> </w:t>
      </w:r>
      <w:r w:rsidR="00F116C2">
        <w:rPr>
          <w:rStyle w:val="FootnoteReference"/>
        </w:rPr>
        <w:footnoteReference w:id="5"/>
      </w:r>
      <w:r w:rsidRPr="001B036C">
        <w:t xml:space="preserve"> . </w:t>
      </w:r>
      <w:r w:rsidR="00E25551" w:rsidRPr="001B036C">
        <w:t xml:space="preserve">Different </w:t>
      </w:r>
      <w:r w:rsidR="00CC2684" w:rsidRPr="001B036C">
        <w:t xml:space="preserve">disease </w:t>
      </w:r>
      <w:r w:rsidR="00E25551" w:rsidRPr="001B036C">
        <w:t>indexes</w:t>
      </w:r>
      <w:r w:rsidR="00CC2684" w:rsidRPr="001B036C">
        <w:t xml:space="preserve"> are used for CD and UC </w:t>
      </w:r>
      <w:r w:rsidR="00F862DF">
        <w:t xml:space="preserve">which use </w:t>
      </w:r>
      <w:r w:rsidR="00F46600" w:rsidRPr="001B036C">
        <w:t xml:space="preserve">clinically evaluable </w:t>
      </w:r>
      <w:r w:rsidR="00D30537" w:rsidRPr="001B036C">
        <w:t>symptoms</w:t>
      </w:r>
      <w:r w:rsidR="00F46600" w:rsidRPr="001B036C">
        <w:t xml:space="preserve"> and </w:t>
      </w:r>
      <w:r w:rsidR="00F862DF">
        <w:t xml:space="preserve">the </w:t>
      </w:r>
      <w:r w:rsidR="00F46600" w:rsidRPr="001B036C">
        <w:t xml:space="preserve">history of the disease to categorise patients as </w:t>
      </w:r>
      <w:r w:rsidR="009305E7" w:rsidRPr="001B036C">
        <w:t>having</w:t>
      </w:r>
      <w:r w:rsidR="00733473" w:rsidRPr="001B036C">
        <w:t xml:space="preserve"> mild, moderate or severe</w:t>
      </w:r>
      <w:r w:rsidR="009305E7" w:rsidRPr="001B036C">
        <w:t xml:space="preserve"> disease</w:t>
      </w:r>
      <w:r w:rsidR="00916FCE" w:rsidRPr="001B036C">
        <w:t xml:space="preserve"> (</w:t>
      </w:r>
      <w:r w:rsidR="00916FCE" w:rsidRPr="001B036C">
        <w:fldChar w:fldCharType="begin"/>
      </w:r>
      <w:r w:rsidR="00916FCE" w:rsidRPr="001B036C">
        <w:instrText xml:space="preserve"> REF _Ref175645462 \h </w:instrText>
      </w:r>
      <w:r w:rsidR="001B036C">
        <w:instrText xml:space="preserve"> \* MERGEFORMAT </w:instrText>
      </w:r>
      <w:r w:rsidR="00916FCE" w:rsidRPr="001B036C">
        <w:fldChar w:fldCharType="separate"/>
      </w:r>
      <w:r w:rsidR="006C4704" w:rsidRPr="001B036C">
        <w:t xml:space="preserve">Table </w:t>
      </w:r>
      <w:r w:rsidR="006C4704">
        <w:rPr>
          <w:noProof/>
        </w:rPr>
        <w:t>5</w:t>
      </w:r>
      <w:r w:rsidR="00916FCE" w:rsidRPr="001B036C">
        <w:fldChar w:fldCharType="end"/>
      </w:r>
      <w:r w:rsidR="00916FCE" w:rsidRPr="001B036C">
        <w:t>)</w:t>
      </w:r>
      <w:r w:rsidR="00733473" w:rsidRPr="001B036C">
        <w:t>.</w:t>
      </w:r>
    </w:p>
    <w:p w14:paraId="07F1DDB6" w14:textId="2023B75A" w:rsidR="0054576E" w:rsidRPr="001B036C" w:rsidRDefault="0054576E" w:rsidP="001C6A90">
      <w:pPr>
        <w:pStyle w:val="Caption"/>
      </w:pPr>
      <w:bookmarkStart w:id="10" w:name="_Ref175645462"/>
      <w:r w:rsidRPr="001B036C">
        <w:t xml:space="preserve">Table </w:t>
      </w:r>
      <w:r>
        <w:fldChar w:fldCharType="begin"/>
      </w:r>
      <w:r>
        <w:instrText xml:space="preserve"> SEQ Table \* ARABIC </w:instrText>
      </w:r>
      <w:r>
        <w:fldChar w:fldCharType="separate"/>
      </w:r>
      <w:r w:rsidR="00B4653B">
        <w:rPr>
          <w:noProof/>
        </w:rPr>
        <w:t>5</w:t>
      </w:r>
      <w:r>
        <w:rPr>
          <w:noProof/>
        </w:rPr>
        <w:fldChar w:fldCharType="end"/>
      </w:r>
      <w:bookmarkEnd w:id="10"/>
      <w:r w:rsidRPr="001B036C">
        <w:t xml:space="preserve"> </w:t>
      </w:r>
      <w:r w:rsidR="00916FCE" w:rsidRPr="001B036C">
        <w:t>Classification of disease based on IBD severity</w:t>
      </w:r>
    </w:p>
    <w:tbl>
      <w:tblPr>
        <w:tblStyle w:val="TableGrid"/>
        <w:tblW w:w="0" w:type="auto"/>
        <w:tblLook w:val="04A0" w:firstRow="1" w:lastRow="0" w:firstColumn="1" w:lastColumn="0" w:noHBand="0" w:noVBand="1"/>
      </w:tblPr>
      <w:tblGrid>
        <w:gridCol w:w="1075"/>
        <w:gridCol w:w="3780"/>
        <w:gridCol w:w="4105"/>
      </w:tblGrid>
      <w:tr w:rsidR="00782B01" w:rsidRPr="001B036C" w14:paraId="30C75C72" w14:textId="77777777" w:rsidTr="001C6A90">
        <w:trPr>
          <w:trHeight w:val="250"/>
        </w:trPr>
        <w:tc>
          <w:tcPr>
            <w:tcW w:w="1075" w:type="dxa"/>
          </w:tcPr>
          <w:p w14:paraId="7D11D4B8" w14:textId="77777777" w:rsidR="00782B01" w:rsidRPr="001B036C" w:rsidRDefault="00782B01" w:rsidP="001C6A90">
            <w:pPr>
              <w:pStyle w:val="In-tableHeading"/>
            </w:pPr>
          </w:p>
        </w:tc>
        <w:tc>
          <w:tcPr>
            <w:tcW w:w="3780" w:type="dxa"/>
          </w:tcPr>
          <w:p w14:paraId="301A8B95" w14:textId="10D6E7F7" w:rsidR="00782B01" w:rsidRPr="001B036C" w:rsidRDefault="00043748" w:rsidP="001C6A90">
            <w:pPr>
              <w:pStyle w:val="In-tableHeading"/>
            </w:pPr>
            <w:r w:rsidRPr="001B036C">
              <w:t>Crohn disease</w:t>
            </w:r>
          </w:p>
        </w:tc>
        <w:tc>
          <w:tcPr>
            <w:tcW w:w="4105" w:type="dxa"/>
          </w:tcPr>
          <w:p w14:paraId="0569ACF9" w14:textId="6759854D" w:rsidR="00782B01" w:rsidRPr="001B036C" w:rsidRDefault="00043748" w:rsidP="001C6A90">
            <w:pPr>
              <w:pStyle w:val="In-tableHeading"/>
            </w:pPr>
            <w:r w:rsidRPr="001B036C">
              <w:t>Ulcerative colitis</w:t>
            </w:r>
          </w:p>
        </w:tc>
      </w:tr>
      <w:tr w:rsidR="00782B01" w:rsidRPr="001B036C" w14:paraId="0CF3DE16" w14:textId="77777777" w:rsidTr="001C6A90">
        <w:trPr>
          <w:trHeight w:val="1556"/>
        </w:trPr>
        <w:tc>
          <w:tcPr>
            <w:tcW w:w="1075" w:type="dxa"/>
          </w:tcPr>
          <w:p w14:paraId="6CAC534A" w14:textId="0DCC6C63" w:rsidR="00782B01" w:rsidRPr="001B036C" w:rsidRDefault="00782B01" w:rsidP="001C6A90">
            <w:pPr>
              <w:pStyle w:val="Tabletext0"/>
            </w:pPr>
            <w:r w:rsidRPr="001B036C">
              <w:t>Mild</w:t>
            </w:r>
          </w:p>
        </w:tc>
        <w:tc>
          <w:tcPr>
            <w:tcW w:w="3780" w:type="dxa"/>
          </w:tcPr>
          <w:p w14:paraId="2A044115" w14:textId="4B2D7369" w:rsidR="00782B01" w:rsidRPr="001B036C" w:rsidRDefault="00782B01" w:rsidP="001C6A90">
            <w:pPr>
              <w:pStyle w:val="Tabletext0"/>
            </w:pPr>
            <w:r w:rsidRPr="001B036C">
              <w:t>Outpatient management</w:t>
            </w:r>
            <w:r w:rsidR="00645210" w:rsidRPr="001B036C">
              <w:t>. Patient</w:t>
            </w:r>
            <w:r w:rsidRPr="001B036C">
              <w:t xml:space="preserve"> tolerate</w:t>
            </w:r>
            <w:r w:rsidR="00645210" w:rsidRPr="001B036C">
              <w:t>s</w:t>
            </w:r>
            <w:r w:rsidRPr="001B036C">
              <w:t xml:space="preserve"> oral diet</w:t>
            </w:r>
            <w:r w:rsidR="00645210" w:rsidRPr="001B036C">
              <w:t>, ha</w:t>
            </w:r>
            <w:r w:rsidRPr="001B036C">
              <w:t>ve &lt;10</w:t>
            </w:r>
            <w:r w:rsidR="00645210" w:rsidRPr="001B036C">
              <w:t>%</w:t>
            </w:r>
            <w:r w:rsidRPr="001B036C">
              <w:t xml:space="preserve"> weight loss and no symptoms of systemic disease </w:t>
            </w:r>
            <w:r w:rsidR="00CB6EA6" w:rsidRPr="001B036C">
              <w:t>(i.e.,</w:t>
            </w:r>
            <w:r w:rsidRPr="001B036C">
              <w:t xml:space="preserve"> fever, tachycardia, abdominal tenderness</w:t>
            </w:r>
            <w:r w:rsidR="00CB6EA6" w:rsidRPr="001B036C">
              <w:t>)</w:t>
            </w:r>
            <w:r w:rsidRPr="001B036C">
              <w:t xml:space="preserve"> and no signs or symptoms of intestinal obstruction. They may have mild symptoms such as some soft stools, abdominal pain, or modest declines in their general wellbeing</w:t>
            </w:r>
          </w:p>
        </w:tc>
        <w:tc>
          <w:tcPr>
            <w:tcW w:w="4105" w:type="dxa"/>
          </w:tcPr>
          <w:p w14:paraId="00419E92" w14:textId="24F28034" w:rsidR="00782B01" w:rsidRPr="001B036C" w:rsidRDefault="00043748" w:rsidP="001C6A90">
            <w:pPr>
              <w:pStyle w:val="Tabletext0"/>
            </w:pPr>
            <w:r w:rsidRPr="001B036C">
              <w:t>Have ≤4 stools per day with or without small amounts of blood, no signs of systemic toxicity (e.g., no tachycardia), and a normal CRP and/or ESR. Mild crampy abdominal pain, tenesmus, and periods of constipation are also common</w:t>
            </w:r>
            <w:r w:rsidR="00B720FE" w:rsidRPr="001B036C">
              <w:t>.</w:t>
            </w:r>
          </w:p>
        </w:tc>
      </w:tr>
      <w:tr w:rsidR="00782B01" w:rsidRPr="001B036C" w14:paraId="035732D4" w14:textId="77777777" w:rsidTr="001C6A90">
        <w:trPr>
          <w:trHeight w:val="240"/>
        </w:trPr>
        <w:tc>
          <w:tcPr>
            <w:tcW w:w="1075" w:type="dxa"/>
          </w:tcPr>
          <w:p w14:paraId="029BAA0B" w14:textId="701A21EF" w:rsidR="00782B01" w:rsidRPr="001B036C" w:rsidRDefault="00782B01" w:rsidP="001C6A90">
            <w:pPr>
              <w:pStyle w:val="Tabletext0"/>
            </w:pPr>
            <w:r w:rsidRPr="001B036C">
              <w:t>Moderate</w:t>
            </w:r>
          </w:p>
        </w:tc>
        <w:tc>
          <w:tcPr>
            <w:tcW w:w="3780" w:type="dxa"/>
          </w:tcPr>
          <w:p w14:paraId="28D71661" w14:textId="0A8E94FC" w:rsidR="00782B01" w:rsidRPr="001B036C" w:rsidRDefault="00CB6EA6" w:rsidP="001C6A90">
            <w:pPr>
              <w:pStyle w:val="Tabletext0"/>
            </w:pPr>
            <w:r w:rsidRPr="001B036C">
              <w:t xml:space="preserve">Prominent symptoms such as fever, weight loss, abdominal pain and tenderness, intermittent nausea or vomiting, or anaemia. Includes patients who have failed treatment for mild to moderate disease. </w:t>
            </w:r>
          </w:p>
        </w:tc>
        <w:tc>
          <w:tcPr>
            <w:tcW w:w="4105" w:type="dxa"/>
          </w:tcPr>
          <w:p w14:paraId="5E824B6D" w14:textId="32F61772" w:rsidR="00782B01" w:rsidRPr="001B036C" w:rsidRDefault="00B720FE" w:rsidP="001C6A90">
            <w:pPr>
              <w:pStyle w:val="Tabletext0"/>
            </w:pPr>
            <w:r w:rsidRPr="001B036C">
              <w:t>Frequent, loose, bloody stools (4-6 per day), mild anaemia not requiring blood transfusions, and abdominal pain that is not severe. Patients have no or minimal signs of systemic toxicity. Adequate nutrition is usually maintained</w:t>
            </w:r>
            <w:r w:rsidR="004A2A9C" w:rsidRPr="001B036C">
              <w:t>.</w:t>
            </w:r>
          </w:p>
        </w:tc>
      </w:tr>
      <w:tr w:rsidR="00782B01" w:rsidRPr="001B036C" w14:paraId="688D5A0E" w14:textId="77777777" w:rsidTr="001C6A90">
        <w:trPr>
          <w:trHeight w:val="250"/>
        </w:trPr>
        <w:tc>
          <w:tcPr>
            <w:tcW w:w="1075" w:type="dxa"/>
          </w:tcPr>
          <w:p w14:paraId="4345A8A3" w14:textId="4759DF9A" w:rsidR="00782B01" w:rsidRPr="001B036C" w:rsidRDefault="00782B01" w:rsidP="001C6A90">
            <w:pPr>
              <w:pStyle w:val="Tabletext0"/>
            </w:pPr>
            <w:r w:rsidRPr="001B036C">
              <w:t>Severe</w:t>
            </w:r>
          </w:p>
        </w:tc>
        <w:tc>
          <w:tcPr>
            <w:tcW w:w="3780" w:type="dxa"/>
          </w:tcPr>
          <w:p w14:paraId="626342D7" w14:textId="230608F2" w:rsidR="00782B01" w:rsidRPr="001B036C" w:rsidRDefault="00CB6EA6" w:rsidP="001C6A90">
            <w:pPr>
              <w:pStyle w:val="Tabletext0"/>
            </w:pPr>
            <w:r w:rsidRPr="001B036C">
              <w:t>Persistent symptoms despite glucocorticoids or biologic agents as outpatients, or individuals presenting with high fever, persistent vomiting, intestinal obstruction, peritoneal signs, cachexia, or evidence of an abscess.</w:t>
            </w:r>
          </w:p>
        </w:tc>
        <w:tc>
          <w:tcPr>
            <w:tcW w:w="4105" w:type="dxa"/>
          </w:tcPr>
          <w:p w14:paraId="150812D7" w14:textId="4BAEF9C4" w:rsidR="00782B01" w:rsidRPr="001B036C" w:rsidRDefault="004A2A9C" w:rsidP="001C6A90">
            <w:pPr>
              <w:pStyle w:val="Tabletext0"/>
            </w:pPr>
            <w:r w:rsidRPr="001B036C">
              <w:t>Frequent, loose, bloody stools (≥6 per day) with severe cramps and evidence of systemic toxicity</w:t>
            </w:r>
            <w:r w:rsidR="0054576E" w:rsidRPr="001B036C">
              <w:t xml:space="preserve"> (i.e., </w:t>
            </w:r>
            <w:r w:rsidRPr="001B036C">
              <w:t>fever, tachycardia, anaemia</w:t>
            </w:r>
            <w:r w:rsidR="0054576E" w:rsidRPr="001B036C">
              <w:t>,</w:t>
            </w:r>
            <w:r w:rsidRPr="001B036C">
              <w:t xml:space="preserve"> and/or an elevated CRP or ESR. Patients may have weight loss</w:t>
            </w:r>
          </w:p>
        </w:tc>
      </w:tr>
    </w:tbl>
    <w:p w14:paraId="0C45C347" w14:textId="46F73888" w:rsidR="007E00E8" w:rsidRPr="001B036C" w:rsidRDefault="0054576E" w:rsidP="001C6A90">
      <w:pPr>
        <w:pStyle w:val="Tablenotes0"/>
      </w:pPr>
      <w:r w:rsidRPr="001B036C">
        <w:t>CRP= C</w:t>
      </w:r>
      <w:r w:rsidR="00BB298E" w:rsidRPr="001B036C">
        <w:t>-reactive</w:t>
      </w:r>
      <w:r w:rsidRPr="001B036C">
        <w:t xml:space="preserve"> protein; </w:t>
      </w:r>
      <w:r w:rsidR="009305E7" w:rsidRPr="001B036C">
        <w:t>ESR</w:t>
      </w:r>
      <w:r w:rsidR="00B720FE" w:rsidRPr="001B036C">
        <w:t xml:space="preserve"> = </w:t>
      </w:r>
      <w:r w:rsidR="009305E7" w:rsidRPr="001B036C">
        <w:t>erythrocyte sedimentation rate</w:t>
      </w:r>
      <w:r w:rsidR="00916FCE" w:rsidRPr="001B036C">
        <w:t>; IBD= inflammatory bowel disease</w:t>
      </w:r>
    </w:p>
    <w:p w14:paraId="3DC92903" w14:textId="1EF0EE72" w:rsidR="00CB1B0D" w:rsidRPr="001B036C" w:rsidRDefault="007E00E8" w:rsidP="00643802">
      <w:r w:rsidRPr="001B036C">
        <w:t>Most patients with IBD are managed by a gastroenterologist, with a minimum of one annual appointment</w:t>
      </w:r>
      <w:r w:rsidR="00461ACE">
        <w:rPr>
          <w:rStyle w:val="FootnoteReference"/>
        </w:rPr>
        <w:footnoteReference w:id="6"/>
      </w:r>
      <w:r w:rsidRPr="001B036C">
        <w:t xml:space="preserve">. However, access to gastroenterologists is limited in remote areas where patients are more likely to be monitored by GPs. </w:t>
      </w:r>
    </w:p>
    <w:p w14:paraId="1DA9FC22" w14:textId="20922D37" w:rsidR="007E00E8" w:rsidRPr="001B036C" w:rsidRDefault="002856F7" w:rsidP="000126B9">
      <w:r w:rsidRPr="001B036C">
        <w:t xml:space="preserve">The diagnosis of a disease flare in symptomatic and asymptomatic patients may trigger </w:t>
      </w:r>
      <w:r w:rsidR="00240F85" w:rsidRPr="001B036C">
        <w:t xml:space="preserve">treatment initiation </w:t>
      </w:r>
      <w:r w:rsidR="005A6866" w:rsidRPr="001B036C">
        <w:t xml:space="preserve">with various types of medical therapies that control disease flare (e.g. anti-tumour necrosis factor (TNF) therapies, </w:t>
      </w:r>
      <w:proofErr w:type="spellStart"/>
      <w:r w:rsidR="005A6866" w:rsidRPr="001B036C">
        <w:t>antiinterleukin</w:t>
      </w:r>
      <w:proofErr w:type="spellEnd"/>
      <w:r w:rsidR="005A6866" w:rsidRPr="001B036C">
        <w:t xml:space="preserve"> (IL)-12/23 agents, sphingosine-1-phosphate (S1P) receptor inhibitors and small molecule therapies)</w:t>
      </w:r>
      <w:r w:rsidR="00A37215" w:rsidRPr="001B036C">
        <w:t xml:space="preserve">. The use of these therapies </w:t>
      </w:r>
      <w:r w:rsidR="00A37215" w:rsidRPr="001B036C">
        <w:lastRenderedPageBreak/>
        <w:t>may lead to prolonged periods of immun</w:t>
      </w:r>
      <w:r w:rsidR="00C334A1" w:rsidRPr="001B036C">
        <w:t>o</w:t>
      </w:r>
      <w:r w:rsidR="00A37215" w:rsidRPr="001B036C">
        <w:t>suppression</w:t>
      </w:r>
      <w:r w:rsidR="00035C3D">
        <w:rPr>
          <w:rStyle w:val="FootnoteReference"/>
        </w:rPr>
        <w:footnoteReference w:id="7"/>
      </w:r>
      <w:r w:rsidR="00933814">
        <w:t xml:space="preserve"> </w:t>
      </w:r>
      <w:r w:rsidR="00933814">
        <w:rPr>
          <w:rStyle w:val="FootnoteReference"/>
        </w:rPr>
        <w:footnoteReference w:id="8"/>
      </w:r>
      <w:r w:rsidR="00A37215" w:rsidRPr="001B036C">
        <w:t xml:space="preserve"> </w:t>
      </w:r>
      <w:r w:rsidR="00941AEB" w:rsidRPr="001B036C">
        <w:t xml:space="preserve"> which increase the risk of infections</w:t>
      </w:r>
      <w:r w:rsidR="00A37215" w:rsidRPr="001B036C">
        <w:t xml:space="preserve">. There is substantial data suggesting that tumour necrosis factor (TNF) alpha antagonists (i.e. infliximab) and other targeted small molecules (i.e., tofacitinib) are associated with a 1.5 to 2 times higher risk of serious infections </w:t>
      </w:r>
      <w:r w:rsidR="006C2886" w:rsidRPr="001B036C">
        <w:t xml:space="preserve">some of which may lead to hospitalisations, </w:t>
      </w:r>
      <w:r w:rsidR="00A37215" w:rsidRPr="001B036C">
        <w:t xml:space="preserve">compared to non-biologic immunosuppressive agents (i.e., thiopurines). </w:t>
      </w:r>
      <w:r w:rsidR="00AA5988" w:rsidRPr="001B036C">
        <w:t>Furthermore</w:t>
      </w:r>
      <w:r w:rsidR="00B1056E" w:rsidRPr="001B036C">
        <w:t xml:space="preserve">, repeated mucosal inflammation causing cellular/DNA damage, combined with the use of certain medications has also shown to increase the risk of cancer. </w:t>
      </w:r>
      <w:r w:rsidR="00A37215" w:rsidRPr="001B036C">
        <w:t>Among currently approved biologic therapies, TNF α antagonists may be linked to an increased risk of lymphoma, especially when used in combination with thiopurines</w:t>
      </w:r>
      <w:r w:rsidR="00E94CE4">
        <w:rPr>
          <w:rStyle w:val="FootnoteReference"/>
        </w:rPr>
        <w:footnoteReference w:id="9"/>
      </w:r>
      <w:r w:rsidR="00A37215" w:rsidRPr="001B036C">
        <w:t xml:space="preserve"> (Holmer </w:t>
      </w:r>
      <w:proofErr w:type="spellStart"/>
      <w:r w:rsidR="00A37215" w:rsidRPr="001B036C">
        <w:t>el</w:t>
      </w:r>
      <w:proofErr w:type="spellEnd"/>
      <w:r w:rsidR="00A37215" w:rsidRPr="001B036C">
        <w:t xml:space="preserve"> al, 2019). </w:t>
      </w:r>
      <w:r w:rsidR="00B1056E" w:rsidRPr="001B036C">
        <w:t>In Australia, a</w:t>
      </w:r>
      <w:r w:rsidR="007E00E8" w:rsidRPr="001B036C">
        <w:t>ccess to biological disease modifying drugs (</w:t>
      </w:r>
      <w:proofErr w:type="spellStart"/>
      <w:r w:rsidR="007E00E8" w:rsidRPr="001B036C">
        <w:t>bDMDs</w:t>
      </w:r>
      <w:proofErr w:type="spellEnd"/>
      <w:r w:rsidR="007E00E8" w:rsidRPr="001B036C">
        <w:t>), such as adalimumab, infliximab and vedolizumab via the PBS is restricted to patients with severe CD, and moderate-to-severe UC. Endoscopy results demonstrating the severity of disease may expedite access to these treatments during acute relapses.</w:t>
      </w:r>
    </w:p>
    <w:p w14:paraId="64EBB34B" w14:textId="18D1CBDD" w:rsidR="007E00E8" w:rsidRPr="001B036C" w:rsidRDefault="007E00E8" w:rsidP="00E1454F">
      <w:r w:rsidRPr="001B036C">
        <w:t>Two PICO sets were deemed necessary</w:t>
      </w:r>
      <w:r w:rsidR="00D9421C">
        <w:t xml:space="preserve"> by </w:t>
      </w:r>
      <w:r w:rsidR="00F04BAF">
        <w:t>the PICO Advisory Sub-committee (</w:t>
      </w:r>
      <w:r w:rsidR="00D9421C">
        <w:t>PASC</w:t>
      </w:r>
      <w:r w:rsidR="00F04BAF">
        <w:t>)</w:t>
      </w:r>
      <w:r w:rsidRPr="001B036C">
        <w:t xml:space="preserve"> because the proposed intervention is applied to two distinct populations—symptomatic and asymptomatic patients—each for different purposes: monitoring disease activity/mucosal healing and predicting relapse, respectively. </w:t>
      </w:r>
      <w:r w:rsidR="000C0244" w:rsidRPr="001B036C">
        <w:t>I</w:t>
      </w:r>
      <w:r w:rsidRPr="001B036C">
        <w:t>n both symptomatic and asymptomatic settings, FC monitoring may be requested by either a gastroenterologist or a GP</w:t>
      </w:r>
      <w:r w:rsidR="000C0244" w:rsidRPr="001B036C">
        <w:t>. I</w:t>
      </w:r>
      <w:r w:rsidRPr="001B036C">
        <w:t>t is likely that more symptomatic patients will be evaluated by a gastroenterologist. Before considering making any changes to the management</w:t>
      </w:r>
      <w:r w:rsidR="00B2657D" w:rsidRPr="001B036C">
        <w:t xml:space="preserve"> of symptomatic patients</w:t>
      </w:r>
      <w:r w:rsidRPr="001B036C">
        <w:t xml:space="preserve">, </w:t>
      </w:r>
      <w:r w:rsidR="00F04BAF">
        <w:t xml:space="preserve">it is proposed that </w:t>
      </w:r>
      <w:r w:rsidRPr="001B036C">
        <w:t xml:space="preserve">a FC test will be conducted to determine whether the symptoms are due to an IBD flare or not. </w:t>
      </w:r>
      <w:r w:rsidR="00B90475" w:rsidRPr="001B036C">
        <w:fldChar w:fldCharType="begin"/>
      </w:r>
      <w:r w:rsidR="00B90475" w:rsidRPr="001B036C">
        <w:instrText xml:space="preserve"> REF _Ref174971057 \h </w:instrText>
      </w:r>
      <w:r w:rsidR="001B036C">
        <w:instrText xml:space="preserve"> \* MERGEFORMAT </w:instrText>
      </w:r>
      <w:r w:rsidR="00B90475" w:rsidRPr="001B036C">
        <w:fldChar w:fldCharType="separate"/>
      </w:r>
      <w:r w:rsidR="006C4704" w:rsidRPr="001B036C">
        <w:rPr>
          <w:rFonts w:eastAsia="Arial Narrow"/>
        </w:rPr>
        <w:t xml:space="preserve">Table </w:t>
      </w:r>
      <w:r w:rsidR="006C4704">
        <w:rPr>
          <w:noProof/>
        </w:rPr>
        <w:t>6</w:t>
      </w:r>
      <w:r w:rsidR="00B90475" w:rsidRPr="001B036C">
        <w:fldChar w:fldCharType="end"/>
      </w:r>
      <w:r w:rsidR="00B90475" w:rsidRPr="001B036C">
        <w:t xml:space="preserve"> </w:t>
      </w:r>
      <w:r w:rsidRPr="001B036C">
        <w:t>and</w:t>
      </w:r>
      <w:r w:rsidR="00B90475" w:rsidRPr="001B036C">
        <w:t xml:space="preserve"> </w:t>
      </w:r>
      <w:r w:rsidR="00B90475" w:rsidRPr="001B036C">
        <w:fldChar w:fldCharType="begin"/>
      </w:r>
      <w:r w:rsidR="00B90475" w:rsidRPr="001B036C">
        <w:instrText xml:space="preserve"> REF _Ref174971065 \h </w:instrText>
      </w:r>
      <w:r w:rsidR="001B036C">
        <w:instrText xml:space="preserve"> \* MERGEFORMAT </w:instrText>
      </w:r>
      <w:r w:rsidR="00B90475" w:rsidRPr="001B036C">
        <w:fldChar w:fldCharType="separate"/>
      </w:r>
      <w:r w:rsidR="006C4704" w:rsidRPr="001B036C">
        <w:t xml:space="preserve">Table </w:t>
      </w:r>
      <w:r w:rsidR="006C4704">
        <w:rPr>
          <w:noProof/>
        </w:rPr>
        <w:t>7</w:t>
      </w:r>
      <w:r w:rsidR="00B90475" w:rsidRPr="001B036C">
        <w:fldChar w:fldCharType="end"/>
      </w:r>
      <w:r w:rsidRPr="001B036C">
        <w:t xml:space="preserve"> summarise the PICO criteria for each relevant population.  </w:t>
      </w:r>
    </w:p>
    <w:p w14:paraId="414A3AA2" w14:textId="205A626E" w:rsidR="007E00E8" w:rsidRPr="001B036C" w:rsidRDefault="007E00E8" w:rsidP="002065D2">
      <w:pPr>
        <w:pStyle w:val="Caption"/>
        <w:spacing w:before="0"/>
        <w:rPr>
          <w:rFonts w:eastAsia="Arial Narrow" w:cs="Arial Narrow"/>
          <w:b w:val="0"/>
          <w:bCs w:val="0"/>
        </w:rPr>
      </w:pPr>
      <w:bookmarkStart w:id="11" w:name="_Ref174971057"/>
      <w:r w:rsidRPr="001B036C">
        <w:rPr>
          <w:rFonts w:eastAsia="Arial Narrow"/>
        </w:rPr>
        <w:t xml:space="preserve">Table </w:t>
      </w:r>
      <w:r>
        <w:fldChar w:fldCharType="begin"/>
      </w:r>
      <w:r>
        <w:instrText xml:space="preserve"> SEQ Table \* ARABIC </w:instrText>
      </w:r>
      <w:r>
        <w:fldChar w:fldCharType="separate"/>
      </w:r>
      <w:r w:rsidR="00B4653B">
        <w:rPr>
          <w:noProof/>
        </w:rPr>
        <w:t>6</w:t>
      </w:r>
      <w:r>
        <w:rPr>
          <w:noProof/>
        </w:rPr>
        <w:fldChar w:fldCharType="end"/>
      </w:r>
      <w:bookmarkEnd w:id="11"/>
      <w:r w:rsidRPr="001B036C">
        <w:rPr>
          <w:rFonts w:eastAsia="Arial Narrow"/>
        </w:rPr>
        <w:t xml:space="preserve"> </w:t>
      </w:r>
      <w:r w:rsidRPr="001B036C">
        <w:rPr>
          <w:rFonts w:eastAsia="Arial Narrow" w:cs="Arial Narrow"/>
        </w:rPr>
        <w:t>PICO criteria for assessing FC test for IBD in symptomatic patients (linked evidence for test accuracy and change in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6"/>
        <w:gridCol w:w="6799"/>
      </w:tblGrid>
      <w:tr w:rsidR="007E00E8" w:rsidRPr="001B036C" w14:paraId="40D65F49" w14:textId="77777777" w:rsidTr="00857E93">
        <w:trPr>
          <w:trHeight w:val="300"/>
        </w:trPr>
        <w:tc>
          <w:tcPr>
            <w:tcW w:w="2216" w:type="dxa"/>
            <w:tcMar>
              <w:left w:w="108" w:type="dxa"/>
              <w:right w:w="108" w:type="dxa"/>
            </w:tcMar>
          </w:tcPr>
          <w:p w14:paraId="57B83264" w14:textId="77777777" w:rsidR="007E00E8" w:rsidRPr="001B036C" w:rsidRDefault="007E00E8" w:rsidP="00D47945">
            <w:pPr>
              <w:pStyle w:val="In-tableHeading"/>
            </w:pPr>
            <w:r w:rsidRPr="001B036C">
              <w:t>Component</w:t>
            </w:r>
          </w:p>
        </w:tc>
        <w:tc>
          <w:tcPr>
            <w:tcW w:w="6799" w:type="dxa"/>
            <w:tcMar>
              <w:left w:w="108" w:type="dxa"/>
              <w:right w:w="108" w:type="dxa"/>
            </w:tcMar>
          </w:tcPr>
          <w:p w14:paraId="5072027D" w14:textId="77777777" w:rsidR="007E00E8" w:rsidRPr="001B036C" w:rsidRDefault="007E00E8" w:rsidP="00D47945">
            <w:pPr>
              <w:pStyle w:val="In-tableHeading"/>
            </w:pPr>
            <w:r w:rsidRPr="001B036C">
              <w:t>Description</w:t>
            </w:r>
          </w:p>
        </w:tc>
      </w:tr>
      <w:tr w:rsidR="007E00E8" w:rsidRPr="001B036C" w14:paraId="1BD1D352" w14:textId="77777777" w:rsidTr="00857E93">
        <w:trPr>
          <w:trHeight w:val="300"/>
        </w:trPr>
        <w:tc>
          <w:tcPr>
            <w:tcW w:w="2216" w:type="dxa"/>
            <w:tcMar>
              <w:left w:w="108" w:type="dxa"/>
              <w:right w:w="108" w:type="dxa"/>
            </w:tcMar>
          </w:tcPr>
          <w:p w14:paraId="7B12403E" w14:textId="77777777" w:rsidR="007E00E8" w:rsidRPr="001B036C" w:rsidRDefault="007E00E8" w:rsidP="00D27CCA">
            <w:pPr>
              <w:pStyle w:val="TableText"/>
              <w:rPr>
                <w:rFonts w:eastAsia="Arial Narrow"/>
              </w:rPr>
            </w:pPr>
            <w:r w:rsidRPr="001B036C">
              <w:rPr>
                <w:rFonts w:eastAsia="Arial Narrow"/>
              </w:rPr>
              <w:t>Population</w:t>
            </w:r>
          </w:p>
        </w:tc>
        <w:tc>
          <w:tcPr>
            <w:tcW w:w="6799" w:type="dxa"/>
            <w:tcMar>
              <w:left w:w="108" w:type="dxa"/>
              <w:right w:w="108" w:type="dxa"/>
            </w:tcMar>
          </w:tcPr>
          <w:p w14:paraId="06378ABB" w14:textId="24BF3342" w:rsidR="007E00E8" w:rsidRPr="001B036C" w:rsidRDefault="007E00E8" w:rsidP="00D27CCA">
            <w:pPr>
              <w:pStyle w:val="TableText"/>
              <w:rPr>
                <w:rFonts w:eastAsia="Arial Narrow"/>
              </w:rPr>
            </w:pPr>
            <w:r w:rsidRPr="001B036C">
              <w:rPr>
                <w:rFonts w:eastAsia="Arial Narrow"/>
              </w:rPr>
              <w:t>Symptomatic patients with known IBD managed by a gastroenterologist.</w:t>
            </w:r>
          </w:p>
        </w:tc>
      </w:tr>
      <w:tr w:rsidR="007E00E8" w:rsidRPr="001B036C" w14:paraId="3409B6C1" w14:textId="77777777" w:rsidTr="00857E93">
        <w:trPr>
          <w:trHeight w:val="300"/>
        </w:trPr>
        <w:tc>
          <w:tcPr>
            <w:tcW w:w="2216" w:type="dxa"/>
            <w:tcMar>
              <w:left w:w="108" w:type="dxa"/>
              <w:right w:w="108" w:type="dxa"/>
            </w:tcMar>
          </w:tcPr>
          <w:p w14:paraId="5BA4AAC8" w14:textId="77777777" w:rsidR="007E00E8" w:rsidRPr="001B036C" w:rsidRDefault="007E00E8" w:rsidP="00D27CCA">
            <w:pPr>
              <w:pStyle w:val="TableText"/>
              <w:rPr>
                <w:rFonts w:eastAsia="Arial Narrow"/>
              </w:rPr>
            </w:pPr>
            <w:r w:rsidRPr="001B036C">
              <w:rPr>
                <w:rFonts w:eastAsia="Arial Narrow"/>
              </w:rPr>
              <w:t>Prior tests</w:t>
            </w:r>
          </w:p>
        </w:tc>
        <w:tc>
          <w:tcPr>
            <w:tcW w:w="6799" w:type="dxa"/>
            <w:tcMar>
              <w:left w:w="108" w:type="dxa"/>
              <w:right w:w="108" w:type="dxa"/>
            </w:tcMar>
          </w:tcPr>
          <w:p w14:paraId="5738AB1F" w14:textId="15213671" w:rsidR="007E00E8" w:rsidRPr="001B036C" w:rsidRDefault="007E00E8" w:rsidP="00D27CCA">
            <w:pPr>
              <w:pStyle w:val="TableText"/>
              <w:rPr>
                <w:rFonts w:eastAsia="Arial Narrow"/>
              </w:rPr>
            </w:pPr>
            <w:r w:rsidRPr="001B036C">
              <w:rPr>
                <w:rFonts w:eastAsia="Arial Narrow"/>
              </w:rPr>
              <w:t>None</w:t>
            </w:r>
          </w:p>
        </w:tc>
      </w:tr>
      <w:tr w:rsidR="007E00E8" w:rsidRPr="001B036C" w14:paraId="2262B4F8" w14:textId="77777777" w:rsidTr="00857E93">
        <w:trPr>
          <w:trHeight w:val="300"/>
        </w:trPr>
        <w:tc>
          <w:tcPr>
            <w:tcW w:w="2216" w:type="dxa"/>
            <w:tcMar>
              <w:left w:w="108" w:type="dxa"/>
              <w:right w:w="108" w:type="dxa"/>
            </w:tcMar>
          </w:tcPr>
          <w:p w14:paraId="73B4D291" w14:textId="77777777" w:rsidR="007E00E8" w:rsidRPr="001B036C" w:rsidRDefault="007E00E8" w:rsidP="00D27CCA">
            <w:pPr>
              <w:pStyle w:val="TableText"/>
              <w:rPr>
                <w:rFonts w:eastAsia="Arial Narrow"/>
              </w:rPr>
            </w:pPr>
            <w:r w:rsidRPr="001B036C">
              <w:rPr>
                <w:rFonts w:eastAsia="Arial Narrow"/>
              </w:rPr>
              <w:t>Intervention</w:t>
            </w:r>
          </w:p>
        </w:tc>
        <w:tc>
          <w:tcPr>
            <w:tcW w:w="6799" w:type="dxa"/>
            <w:tcMar>
              <w:left w:w="108" w:type="dxa"/>
              <w:right w:w="108" w:type="dxa"/>
            </w:tcMar>
          </w:tcPr>
          <w:p w14:paraId="7AFEF750" w14:textId="3A75107B" w:rsidR="007E00E8" w:rsidRPr="001B036C" w:rsidRDefault="007E00E8" w:rsidP="00D27CCA">
            <w:pPr>
              <w:pStyle w:val="TableText"/>
              <w:rPr>
                <w:rFonts w:eastAsia="Arial Narrow"/>
              </w:rPr>
            </w:pPr>
            <w:r w:rsidRPr="001B036C">
              <w:rPr>
                <w:rFonts w:eastAsia="Arial Narrow"/>
              </w:rPr>
              <w:t>Quantitative enzyme-linked immunosorbent assay (ELISA) of FC</w:t>
            </w:r>
          </w:p>
        </w:tc>
      </w:tr>
      <w:tr w:rsidR="007E00E8" w:rsidRPr="001B036C" w14:paraId="0F4495E7" w14:textId="77777777" w:rsidTr="00857E93">
        <w:trPr>
          <w:trHeight w:val="300"/>
        </w:trPr>
        <w:tc>
          <w:tcPr>
            <w:tcW w:w="2216" w:type="dxa"/>
            <w:tcMar>
              <w:left w:w="108" w:type="dxa"/>
              <w:right w:w="108" w:type="dxa"/>
            </w:tcMar>
          </w:tcPr>
          <w:p w14:paraId="3FC56024" w14:textId="77777777" w:rsidR="007E00E8" w:rsidRPr="001B036C" w:rsidRDefault="007E00E8" w:rsidP="00D27CCA">
            <w:pPr>
              <w:pStyle w:val="TableText"/>
              <w:rPr>
                <w:rFonts w:eastAsia="Arial Narrow"/>
              </w:rPr>
            </w:pPr>
            <w:r w:rsidRPr="001B036C">
              <w:rPr>
                <w:rFonts w:eastAsia="Arial Narrow"/>
              </w:rPr>
              <w:t>Comparator</w:t>
            </w:r>
          </w:p>
        </w:tc>
        <w:tc>
          <w:tcPr>
            <w:tcW w:w="6799" w:type="dxa"/>
            <w:tcMar>
              <w:left w:w="108" w:type="dxa"/>
              <w:right w:w="108" w:type="dxa"/>
            </w:tcMar>
          </w:tcPr>
          <w:p w14:paraId="12061AF3" w14:textId="77777777" w:rsidR="007E00E8" w:rsidRPr="001B036C" w:rsidRDefault="007E00E8" w:rsidP="00D27CCA">
            <w:pPr>
              <w:pStyle w:val="TableText"/>
              <w:rPr>
                <w:rFonts w:eastAsia="Arial Narrow"/>
              </w:rPr>
            </w:pPr>
            <w:r w:rsidRPr="001B036C">
              <w:rPr>
                <w:rFonts w:eastAsia="Arial Narrow"/>
              </w:rPr>
              <w:t>Colonoscopy and biopsy</w:t>
            </w:r>
          </w:p>
        </w:tc>
      </w:tr>
      <w:tr w:rsidR="007E00E8" w:rsidRPr="001B036C" w14:paraId="495782FF" w14:textId="77777777" w:rsidTr="00857E93">
        <w:trPr>
          <w:trHeight w:val="600"/>
        </w:trPr>
        <w:tc>
          <w:tcPr>
            <w:tcW w:w="2216" w:type="dxa"/>
            <w:tcMar>
              <w:left w:w="108" w:type="dxa"/>
              <w:right w:w="108" w:type="dxa"/>
            </w:tcMar>
          </w:tcPr>
          <w:p w14:paraId="5537662E" w14:textId="77777777" w:rsidR="007E00E8" w:rsidRPr="001B036C" w:rsidRDefault="007E00E8" w:rsidP="00D27CCA">
            <w:pPr>
              <w:pStyle w:val="TableText"/>
              <w:rPr>
                <w:rFonts w:eastAsia="Arial Narrow"/>
              </w:rPr>
            </w:pPr>
            <w:r w:rsidRPr="001B036C">
              <w:rPr>
                <w:rFonts w:eastAsia="Arial Narrow"/>
              </w:rPr>
              <w:t>Reference standard (for test accuracy)</w:t>
            </w:r>
          </w:p>
        </w:tc>
        <w:tc>
          <w:tcPr>
            <w:tcW w:w="6799" w:type="dxa"/>
            <w:tcMar>
              <w:left w:w="108" w:type="dxa"/>
              <w:right w:w="108" w:type="dxa"/>
            </w:tcMar>
          </w:tcPr>
          <w:p w14:paraId="4957D371" w14:textId="77777777" w:rsidR="007E00E8" w:rsidRPr="001B036C" w:rsidRDefault="007E00E8" w:rsidP="00D27CCA">
            <w:pPr>
              <w:pStyle w:val="TableText"/>
              <w:rPr>
                <w:rFonts w:eastAsia="Arial Narrow"/>
              </w:rPr>
            </w:pPr>
            <w:r w:rsidRPr="001B036C">
              <w:rPr>
                <w:rFonts w:eastAsia="Arial Narrow"/>
              </w:rPr>
              <w:t>Colonoscopy</w:t>
            </w:r>
          </w:p>
        </w:tc>
      </w:tr>
      <w:tr w:rsidR="007E00E8" w:rsidRPr="001B036C" w14:paraId="1771EAEF" w14:textId="77777777" w:rsidTr="00857E93">
        <w:trPr>
          <w:trHeight w:val="300"/>
        </w:trPr>
        <w:tc>
          <w:tcPr>
            <w:tcW w:w="2216" w:type="dxa"/>
            <w:tcMar>
              <w:left w:w="108" w:type="dxa"/>
              <w:right w:w="108" w:type="dxa"/>
            </w:tcMar>
          </w:tcPr>
          <w:p w14:paraId="3D494E86" w14:textId="77777777" w:rsidR="007E00E8" w:rsidRPr="001B036C" w:rsidRDefault="007E00E8" w:rsidP="00D27CCA">
            <w:pPr>
              <w:pStyle w:val="TableText"/>
              <w:rPr>
                <w:rFonts w:eastAsia="Arial Narrow"/>
              </w:rPr>
            </w:pPr>
            <w:r w:rsidRPr="001B036C">
              <w:rPr>
                <w:rFonts w:eastAsia="Arial Narrow"/>
              </w:rPr>
              <w:t>Outcomes</w:t>
            </w:r>
          </w:p>
        </w:tc>
        <w:tc>
          <w:tcPr>
            <w:tcW w:w="6799" w:type="dxa"/>
            <w:tcMar>
              <w:left w:w="108" w:type="dxa"/>
              <w:right w:w="108" w:type="dxa"/>
            </w:tcMar>
          </w:tcPr>
          <w:p w14:paraId="40563502" w14:textId="6FBC8656" w:rsidR="007E00E8" w:rsidRPr="001B036C" w:rsidRDefault="007E00E8" w:rsidP="00D27CCA">
            <w:pPr>
              <w:pStyle w:val="TableText"/>
              <w:rPr>
                <w:rFonts w:eastAsia="Arial Narrow"/>
              </w:rPr>
            </w:pPr>
            <w:r w:rsidRPr="001B036C">
              <w:rPr>
                <w:rFonts w:eastAsia="Arial Narrow"/>
              </w:rPr>
              <w:t>Test accuracy: sensitivity, specificity, positive predictive value, with 2x2 table (TP, TN, FP, FN)</w:t>
            </w:r>
          </w:p>
          <w:p w14:paraId="463C6EC2" w14:textId="77777777" w:rsidR="007E00E8" w:rsidRPr="001B036C" w:rsidRDefault="007E00E8" w:rsidP="00D27CCA">
            <w:pPr>
              <w:pStyle w:val="TableText"/>
              <w:rPr>
                <w:rFonts w:eastAsia="Arial Narrow"/>
              </w:rPr>
            </w:pPr>
            <w:r w:rsidRPr="001B036C">
              <w:rPr>
                <w:rFonts w:eastAsia="Arial Narrow"/>
              </w:rPr>
              <w:t>Change in management: non-invasive monitoring, early detection of flares, reduced need for colonoscopies, tailored treatment decisions, patient compliance and cost-effectiveness.</w:t>
            </w:r>
          </w:p>
        </w:tc>
      </w:tr>
      <w:tr w:rsidR="007E00E8" w:rsidRPr="001B036C" w14:paraId="1440F681" w14:textId="77777777" w:rsidTr="00857E93">
        <w:trPr>
          <w:trHeight w:val="300"/>
        </w:trPr>
        <w:tc>
          <w:tcPr>
            <w:tcW w:w="9015" w:type="dxa"/>
            <w:gridSpan w:val="2"/>
            <w:tcMar>
              <w:left w:w="108" w:type="dxa"/>
              <w:right w:w="108" w:type="dxa"/>
            </w:tcMar>
          </w:tcPr>
          <w:p w14:paraId="084EA03B" w14:textId="77777777" w:rsidR="007E00E8" w:rsidRPr="001B036C" w:rsidRDefault="007E00E8" w:rsidP="00D27CCA">
            <w:pPr>
              <w:pStyle w:val="TableText"/>
              <w:rPr>
                <w:rFonts w:eastAsia="Arial Narrow"/>
              </w:rPr>
            </w:pPr>
            <w:r w:rsidRPr="001B036C">
              <w:rPr>
                <w:rFonts w:eastAsia="Arial Narrow"/>
                <w:u w:val="single"/>
              </w:rPr>
              <w:t>Systematic review questions</w:t>
            </w:r>
            <w:r w:rsidRPr="001B036C">
              <w:rPr>
                <w:rFonts w:eastAsia="Arial Narrow"/>
              </w:rPr>
              <w:t>:</w:t>
            </w:r>
          </w:p>
          <w:p w14:paraId="4B659CE6" w14:textId="77777777" w:rsidR="007E00E8" w:rsidRPr="001B036C" w:rsidRDefault="007E00E8" w:rsidP="00D27CCA">
            <w:pPr>
              <w:pStyle w:val="TableText"/>
              <w:rPr>
                <w:rFonts w:eastAsia="Arial Narrow"/>
                <w:i/>
              </w:rPr>
            </w:pPr>
            <w:r w:rsidRPr="001B036C">
              <w:rPr>
                <w:rFonts w:eastAsia="Arial Narrow"/>
              </w:rPr>
              <w:t>What is the diagnostic accuracy of FC testing for assessment of disease activity as reported by endoscopic and/or histological findings, in terms of sensitivity/specificity and positive/negative predictive value?</w:t>
            </w:r>
          </w:p>
        </w:tc>
      </w:tr>
    </w:tbl>
    <w:p w14:paraId="1B3D6944" w14:textId="0022F81C" w:rsidR="007E00E8" w:rsidRPr="001B036C" w:rsidRDefault="007E00E8" w:rsidP="00E95D3C">
      <w:pPr>
        <w:pStyle w:val="TableFigureFooter"/>
        <w:rPr>
          <w:rFonts w:eastAsia="Arial Narrow"/>
        </w:rPr>
      </w:pPr>
      <w:r w:rsidRPr="001B036C">
        <w:rPr>
          <w:rFonts w:eastAsia="Arial Narrow"/>
        </w:rPr>
        <w:t xml:space="preserve">FC= </w:t>
      </w:r>
      <w:r w:rsidR="00644DEA" w:rsidRPr="001B036C">
        <w:rPr>
          <w:rFonts w:eastAsia="Arial Narrow"/>
        </w:rPr>
        <w:t>f</w:t>
      </w:r>
      <w:r w:rsidRPr="001B036C">
        <w:rPr>
          <w:rFonts w:eastAsia="Arial Narrow"/>
        </w:rPr>
        <w:t>aecal calprotectin; FN= false negative; FP= false positive; IBD=</w:t>
      </w:r>
      <w:r w:rsidRPr="001B036C">
        <w:rPr>
          <w:rFonts w:asciiTheme="minorHAnsi" w:eastAsiaTheme="minorEastAsia" w:hAnsiTheme="minorHAnsi"/>
        </w:rPr>
        <w:t xml:space="preserve"> inflammatory bowel disease;</w:t>
      </w:r>
      <w:r w:rsidRPr="001B036C">
        <w:rPr>
          <w:rFonts w:eastAsia="Arial Narrow"/>
        </w:rPr>
        <w:t xml:space="preserve"> N/A= not applicable; TN= true negative; TP= true positive.</w:t>
      </w:r>
    </w:p>
    <w:p w14:paraId="1DFC043C" w14:textId="2776DC3F" w:rsidR="007E00E8" w:rsidRPr="001B036C" w:rsidRDefault="007E00E8" w:rsidP="005823E1">
      <w:pPr>
        <w:pStyle w:val="Caption"/>
        <w:rPr>
          <w:rFonts w:eastAsia="Arial Narrow" w:cs="Arial Narrow"/>
          <w:b w:val="0"/>
          <w:bCs w:val="0"/>
        </w:rPr>
      </w:pPr>
      <w:bookmarkStart w:id="12" w:name="_Ref174971065"/>
      <w:r w:rsidRPr="001B036C">
        <w:lastRenderedPageBreak/>
        <w:t xml:space="preserve">Table </w:t>
      </w:r>
      <w:r>
        <w:fldChar w:fldCharType="begin"/>
      </w:r>
      <w:r>
        <w:instrText xml:space="preserve"> SEQ Table \* ARABIC </w:instrText>
      </w:r>
      <w:r>
        <w:fldChar w:fldCharType="separate"/>
      </w:r>
      <w:r w:rsidR="00B4653B">
        <w:rPr>
          <w:noProof/>
        </w:rPr>
        <w:t>7</w:t>
      </w:r>
      <w:r>
        <w:rPr>
          <w:noProof/>
        </w:rPr>
        <w:fldChar w:fldCharType="end"/>
      </w:r>
      <w:bookmarkEnd w:id="12"/>
      <w:r w:rsidRPr="001B036C">
        <w:t xml:space="preserve"> </w:t>
      </w:r>
      <w:r w:rsidRPr="001B036C">
        <w:rPr>
          <w:rFonts w:eastAsia="Arial Narrow" w:cs="Arial Narrow"/>
        </w:rPr>
        <w:t>PICO criteria for assessing FC test for IBD in asymptomatic patients (linked evidence for test accuracy and change in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6"/>
        <w:gridCol w:w="6799"/>
      </w:tblGrid>
      <w:tr w:rsidR="007E00E8" w:rsidRPr="001B036C" w14:paraId="3282AC1E" w14:textId="77777777" w:rsidTr="004075A2">
        <w:trPr>
          <w:trHeight w:val="300"/>
        </w:trPr>
        <w:tc>
          <w:tcPr>
            <w:tcW w:w="2216" w:type="dxa"/>
            <w:tcMar>
              <w:left w:w="108" w:type="dxa"/>
              <w:right w:w="108" w:type="dxa"/>
            </w:tcMar>
          </w:tcPr>
          <w:p w14:paraId="683B43EB" w14:textId="77777777" w:rsidR="007E00E8" w:rsidRPr="001B036C" w:rsidRDefault="007E00E8" w:rsidP="00D47945">
            <w:pPr>
              <w:pStyle w:val="In-tableHeading"/>
            </w:pPr>
            <w:r w:rsidRPr="001B036C">
              <w:t>Component</w:t>
            </w:r>
          </w:p>
        </w:tc>
        <w:tc>
          <w:tcPr>
            <w:tcW w:w="6799" w:type="dxa"/>
            <w:tcMar>
              <w:left w:w="108" w:type="dxa"/>
              <w:right w:w="108" w:type="dxa"/>
            </w:tcMar>
          </w:tcPr>
          <w:p w14:paraId="44A96B35" w14:textId="77777777" w:rsidR="007E00E8" w:rsidRPr="001B036C" w:rsidRDefault="007E00E8" w:rsidP="00D47945">
            <w:pPr>
              <w:pStyle w:val="In-tableHeading"/>
            </w:pPr>
            <w:r w:rsidRPr="001B036C">
              <w:t>Description</w:t>
            </w:r>
          </w:p>
        </w:tc>
      </w:tr>
      <w:tr w:rsidR="007E00E8" w:rsidRPr="001B036C" w14:paraId="1271C38C" w14:textId="77777777" w:rsidTr="004075A2">
        <w:trPr>
          <w:trHeight w:val="300"/>
        </w:trPr>
        <w:tc>
          <w:tcPr>
            <w:tcW w:w="2216" w:type="dxa"/>
            <w:tcMar>
              <w:left w:w="108" w:type="dxa"/>
              <w:right w:w="108" w:type="dxa"/>
            </w:tcMar>
          </w:tcPr>
          <w:p w14:paraId="5A11C8E6" w14:textId="77777777" w:rsidR="007E00E8" w:rsidRPr="001B036C" w:rsidRDefault="007E00E8" w:rsidP="004075A2">
            <w:pPr>
              <w:pStyle w:val="Tabletext0"/>
              <w:rPr>
                <w:rFonts w:eastAsia="Arial Narrow"/>
              </w:rPr>
            </w:pPr>
            <w:r w:rsidRPr="001B036C">
              <w:rPr>
                <w:rFonts w:eastAsia="Arial Narrow"/>
              </w:rPr>
              <w:t>Population</w:t>
            </w:r>
          </w:p>
        </w:tc>
        <w:tc>
          <w:tcPr>
            <w:tcW w:w="6799" w:type="dxa"/>
            <w:tcMar>
              <w:left w:w="108" w:type="dxa"/>
              <w:right w:w="108" w:type="dxa"/>
            </w:tcMar>
          </w:tcPr>
          <w:p w14:paraId="7754FCC3" w14:textId="5EBF0924" w:rsidR="007E00E8" w:rsidRPr="001B036C" w:rsidRDefault="007E00E8" w:rsidP="004075A2">
            <w:pPr>
              <w:pStyle w:val="Tabletext0"/>
              <w:rPr>
                <w:rFonts w:eastAsia="Arial Narrow"/>
              </w:rPr>
            </w:pPr>
            <w:r w:rsidRPr="001B036C">
              <w:rPr>
                <w:rFonts w:eastAsia="Arial Narrow"/>
              </w:rPr>
              <w:t>Asymptomatic patients with known IBD managed by a gastroenterologist.</w:t>
            </w:r>
          </w:p>
        </w:tc>
      </w:tr>
      <w:tr w:rsidR="007E00E8" w:rsidRPr="001B036C" w14:paraId="2CB7D2A7" w14:textId="77777777" w:rsidTr="004075A2">
        <w:trPr>
          <w:trHeight w:val="300"/>
        </w:trPr>
        <w:tc>
          <w:tcPr>
            <w:tcW w:w="2216" w:type="dxa"/>
            <w:tcMar>
              <w:left w:w="108" w:type="dxa"/>
              <w:right w:w="108" w:type="dxa"/>
            </w:tcMar>
          </w:tcPr>
          <w:p w14:paraId="31678B55" w14:textId="77777777" w:rsidR="007E00E8" w:rsidRPr="001B036C" w:rsidRDefault="007E00E8" w:rsidP="004075A2">
            <w:pPr>
              <w:pStyle w:val="Tabletext0"/>
              <w:rPr>
                <w:rFonts w:eastAsia="Arial Narrow"/>
              </w:rPr>
            </w:pPr>
            <w:r w:rsidRPr="001B036C">
              <w:rPr>
                <w:rFonts w:eastAsia="Arial Narrow"/>
              </w:rPr>
              <w:t>Prior tests</w:t>
            </w:r>
          </w:p>
        </w:tc>
        <w:tc>
          <w:tcPr>
            <w:tcW w:w="6799" w:type="dxa"/>
            <w:tcMar>
              <w:left w:w="108" w:type="dxa"/>
              <w:right w:w="108" w:type="dxa"/>
            </w:tcMar>
          </w:tcPr>
          <w:p w14:paraId="6C58FB91" w14:textId="77777777" w:rsidR="007E00E8" w:rsidRPr="001B036C" w:rsidRDefault="007E00E8" w:rsidP="004075A2">
            <w:pPr>
              <w:pStyle w:val="Tabletext0"/>
              <w:rPr>
                <w:rFonts w:eastAsia="Arial Narrow"/>
              </w:rPr>
            </w:pPr>
            <w:r w:rsidRPr="001B036C">
              <w:rPr>
                <w:rFonts w:eastAsia="Arial Narrow"/>
              </w:rPr>
              <w:t>None</w:t>
            </w:r>
          </w:p>
        </w:tc>
      </w:tr>
      <w:tr w:rsidR="007E00E8" w:rsidRPr="001B036C" w14:paraId="24CCE008" w14:textId="77777777" w:rsidTr="004075A2">
        <w:trPr>
          <w:trHeight w:val="300"/>
        </w:trPr>
        <w:tc>
          <w:tcPr>
            <w:tcW w:w="2216" w:type="dxa"/>
            <w:tcMar>
              <w:left w:w="108" w:type="dxa"/>
              <w:right w:w="108" w:type="dxa"/>
            </w:tcMar>
          </w:tcPr>
          <w:p w14:paraId="23191694" w14:textId="77777777" w:rsidR="007E00E8" w:rsidRPr="001B036C" w:rsidRDefault="007E00E8" w:rsidP="004075A2">
            <w:pPr>
              <w:pStyle w:val="Tabletext0"/>
              <w:rPr>
                <w:rFonts w:eastAsia="Arial Narrow"/>
              </w:rPr>
            </w:pPr>
            <w:r w:rsidRPr="001B036C">
              <w:rPr>
                <w:rFonts w:eastAsia="Arial Narrow"/>
              </w:rPr>
              <w:t>Intervention</w:t>
            </w:r>
          </w:p>
        </w:tc>
        <w:tc>
          <w:tcPr>
            <w:tcW w:w="6799" w:type="dxa"/>
            <w:tcMar>
              <w:left w:w="108" w:type="dxa"/>
              <w:right w:w="108" w:type="dxa"/>
            </w:tcMar>
          </w:tcPr>
          <w:p w14:paraId="1483F14D" w14:textId="4CC9C778" w:rsidR="007E00E8" w:rsidRPr="001B036C" w:rsidRDefault="007E00E8" w:rsidP="004075A2">
            <w:pPr>
              <w:pStyle w:val="Tabletext0"/>
              <w:rPr>
                <w:rFonts w:eastAsia="Arial Narrow"/>
              </w:rPr>
            </w:pPr>
            <w:r w:rsidRPr="001B036C">
              <w:rPr>
                <w:rFonts w:eastAsia="Arial Narrow"/>
              </w:rPr>
              <w:t>Quantitative enzyme-linked immunosorbent assay (ELISA) of FC</w:t>
            </w:r>
          </w:p>
        </w:tc>
      </w:tr>
      <w:tr w:rsidR="007E00E8" w:rsidRPr="001B036C" w14:paraId="55CC25DB" w14:textId="77777777" w:rsidTr="004075A2">
        <w:trPr>
          <w:trHeight w:val="300"/>
        </w:trPr>
        <w:tc>
          <w:tcPr>
            <w:tcW w:w="2216" w:type="dxa"/>
            <w:tcMar>
              <w:left w:w="108" w:type="dxa"/>
              <w:right w:w="108" w:type="dxa"/>
            </w:tcMar>
          </w:tcPr>
          <w:p w14:paraId="62BB4A34" w14:textId="77777777" w:rsidR="007E00E8" w:rsidRPr="001B036C" w:rsidRDefault="007E00E8" w:rsidP="004075A2">
            <w:pPr>
              <w:pStyle w:val="Tabletext0"/>
              <w:rPr>
                <w:rFonts w:eastAsia="Arial Narrow"/>
              </w:rPr>
            </w:pPr>
            <w:r w:rsidRPr="001B036C">
              <w:rPr>
                <w:rFonts w:eastAsia="Arial Narrow"/>
              </w:rPr>
              <w:t>Comparator</w:t>
            </w:r>
          </w:p>
        </w:tc>
        <w:tc>
          <w:tcPr>
            <w:tcW w:w="6799" w:type="dxa"/>
            <w:tcMar>
              <w:left w:w="108" w:type="dxa"/>
              <w:right w:w="108" w:type="dxa"/>
            </w:tcMar>
          </w:tcPr>
          <w:p w14:paraId="461A88AE" w14:textId="77777777" w:rsidR="007E00E8" w:rsidRPr="001B036C" w:rsidRDefault="007E00E8" w:rsidP="004075A2">
            <w:pPr>
              <w:pStyle w:val="Tabletext0"/>
              <w:rPr>
                <w:rFonts w:eastAsia="Arial Narrow"/>
              </w:rPr>
            </w:pPr>
            <w:r w:rsidRPr="001B036C">
              <w:rPr>
                <w:rFonts w:eastAsia="Arial Narrow"/>
              </w:rPr>
              <w:t>Colonoscopy and biopsy</w:t>
            </w:r>
          </w:p>
          <w:p w14:paraId="02FA423F" w14:textId="77777777" w:rsidR="007E00E8" w:rsidRPr="001B036C" w:rsidRDefault="007E00E8" w:rsidP="004075A2">
            <w:pPr>
              <w:pStyle w:val="Tabletext0"/>
              <w:rPr>
                <w:rFonts w:eastAsia="Arial Narrow"/>
              </w:rPr>
            </w:pPr>
            <w:r w:rsidRPr="001B036C">
              <w:rPr>
                <w:rFonts w:eastAsia="Arial Narrow"/>
              </w:rPr>
              <w:t>Standard medical management</w:t>
            </w:r>
          </w:p>
        </w:tc>
      </w:tr>
      <w:tr w:rsidR="007E00E8" w:rsidRPr="001B036C" w14:paraId="2ACB47FE" w14:textId="77777777" w:rsidTr="004075A2">
        <w:trPr>
          <w:trHeight w:val="600"/>
        </w:trPr>
        <w:tc>
          <w:tcPr>
            <w:tcW w:w="2216" w:type="dxa"/>
            <w:tcMar>
              <w:left w:w="108" w:type="dxa"/>
              <w:right w:w="108" w:type="dxa"/>
            </w:tcMar>
          </w:tcPr>
          <w:p w14:paraId="13D51A88" w14:textId="138ECB99" w:rsidR="007E00E8" w:rsidRPr="001B036C" w:rsidRDefault="007E00E8" w:rsidP="004075A2">
            <w:pPr>
              <w:pStyle w:val="Tabletext0"/>
              <w:rPr>
                <w:rFonts w:eastAsia="Arial Narrow"/>
              </w:rPr>
            </w:pPr>
            <w:r w:rsidRPr="001B036C">
              <w:rPr>
                <w:rFonts w:eastAsia="Arial Narrow"/>
              </w:rPr>
              <w:t>Reference standard (for test accuracy)</w:t>
            </w:r>
          </w:p>
        </w:tc>
        <w:tc>
          <w:tcPr>
            <w:tcW w:w="6799" w:type="dxa"/>
            <w:tcMar>
              <w:left w:w="108" w:type="dxa"/>
              <w:right w:w="108" w:type="dxa"/>
            </w:tcMar>
          </w:tcPr>
          <w:p w14:paraId="716780F6" w14:textId="77777777" w:rsidR="007E00E8" w:rsidRPr="001B036C" w:rsidRDefault="007E00E8" w:rsidP="004075A2">
            <w:pPr>
              <w:pStyle w:val="Tabletext0"/>
              <w:rPr>
                <w:rFonts w:eastAsia="Arial Narrow"/>
              </w:rPr>
            </w:pPr>
            <w:r w:rsidRPr="001B036C">
              <w:rPr>
                <w:rFonts w:eastAsia="Arial Narrow"/>
              </w:rPr>
              <w:t>Colonoscopy</w:t>
            </w:r>
          </w:p>
        </w:tc>
      </w:tr>
      <w:tr w:rsidR="007E00E8" w:rsidRPr="001B036C" w14:paraId="52F11EAF" w14:textId="77777777" w:rsidTr="004075A2">
        <w:trPr>
          <w:trHeight w:val="300"/>
        </w:trPr>
        <w:tc>
          <w:tcPr>
            <w:tcW w:w="2216" w:type="dxa"/>
            <w:tcMar>
              <w:left w:w="108" w:type="dxa"/>
              <w:right w:w="108" w:type="dxa"/>
            </w:tcMar>
          </w:tcPr>
          <w:p w14:paraId="1C9B76D4" w14:textId="77777777" w:rsidR="007E00E8" w:rsidRPr="001B036C" w:rsidRDefault="007E00E8" w:rsidP="004075A2">
            <w:pPr>
              <w:pStyle w:val="Tabletext0"/>
              <w:rPr>
                <w:rFonts w:eastAsia="Arial Narrow"/>
              </w:rPr>
            </w:pPr>
            <w:r w:rsidRPr="001B036C">
              <w:rPr>
                <w:rFonts w:eastAsia="Arial Narrow"/>
              </w:rPr>
              <w:t>Outcomes</w:t>
            </w:r>
          </w:p>
        </w:tc>
        <w:tc>
          <w:tcPr>
            <w:tcW w:w="6799" w:type="dxa"/>
            <w:tcMar>
              <w:left w:w="108" w:type="dxa"/>
              <w:right w:w="108" w:type="dxa"/>
            </w:tcMar>
          </w:tcPr>
          <w:p w14:paraId="132A5F7C" w14:textId="5995EBD7" w:rsidR="007E00E8" w:rsidRPr="001B036C" w:rsidRDefault="007E00E8" w:rsidP="004075A2">
            <w:pPr>
              <w:pStyle w:val="Tabletext0"/>
              <w:rPr>
                <w:rFonts w:eastAsia="Arial Narrow"/>
              </w:rPr>
            </w:pPr>
            <w:r w:rsidRPr="001B036C">
              <w:rPr>
                <w:rFonts w:eastAsia="Arial Narrow"/>
              </w:rPr>
              <w:t>Test accuracy: Sensitivity, specificity, positive predictive value, with 2x2 table (TP, TN, FP, FN)</w:t>
            </w:r>
          </w:p>
          <w:p w14:paraId="5B9DE1ED" w14:textId="77777777" w:rsidR="007E00E8" w:rsidRPr="001B036C" w:rsidRDefault="007E00E8" w:rsidP="004075A2">
            <w:pPr>
              <w:pStyle w:val="Tabletext0"/>
              <w:rPr>
                <w:rFonts w:eastAsia="Arial Narrow"/>
              </w:rPr>
            </w:pPr>
            <w:r w:rsidRPr="001B036C">
              <w:rPr>
                <w:rFonts w:eastAsia="Arial Narrow"/>
              </w:rPr>
              <w:t>Change in management: non-invasive monitoring, early detection of flares, reduced need for colonoscopies, tailored treatment decisions, patient compliance and cost-effectiveness.</w:t>
            </w:r>
          </w:p>
        </w:tc>
      </w:tr>
      <w:tr w:rsidR="007E00E8" w:rsidRPr="001B036C" w14:paraId="6AA5EC6C" w14:textId="77777777" w:rsidTr="004075A2">
        <w:trPr>
          <w:trHeight w:val="300"/>
        </w:trPr>
        <w:tc>
          <w:tcPr>
            <w:tcW w:w="9015" w:type="dxa"/>
            <w:gridSpan w:val="2"/>
            <w:tcMar>
              <w:left w:w="108" w:type="dxa"/>
              <w:right w:w="108" w:type="dxa"/>
            </w:tcMar>
          </w:tcPr>
          <w:p w14:paraId="0732F466" w14:textId="77777777" w:rsidR="007E00E8" w:rsidRPr="001B036C" w:rsidRDefault="007E00E8" w:rsidP="004075A2">
            <w:pPr>
              <w:pStyle w:val="Tabletext0"/>
              <w:rPr>
                <w:rFonts w:eastAsia="Arial Narrow"/>
              </w:rPr>
            </w:pPr>
            <w:r w:rsidRPr="001B036C">
              <w:rPr>
                <w:rFonts w:eastAsia="Arial Narrow"/>
              </w:rPr>
              <w:t>Systematic review questions:</w:t>
            </w:r>
          </w:p>
          <w:p w14:paraId="48D691D8" w14:textId="77777777" w:rsidR="007E00E8" w:rsidRPr="001B036C" w:rsidRDefault="007E00E8" w:rsidP="004075A2">
            <w:pPr>
              <w:pStyle w:val="Tabletext0"/>
              <w:rPr>
                <w:rFonts w:eastAsia="Arial Narrow"/>
              </w:rPr>
            </w:pPr>
            <w:r w:rsidRPr="001B036C">
              <w:rPr>
                <w:rFonts w:eastAsia="Arial Narrow"/>
              </w:rPr>
              <w:t>What is the diagnostic accuracy of FC testing for predicting IBD flares/relapses compared to colonoscopy and standard medical management, and will it allow for early treatment prior to the development of symptomatic disease relapse?</w:t>
            </w:r>
          </w:p>
        </w:tc>
      </w:tr>
    </w:tbl>
    <w:p w14:paraId="7A6BED15" w14:textId="73F6369C" w:rsidR="007E00E8" w:rsidRPr="001B036C" w:rsidRDefault="007E00E8" w:rsidP="004075A2">
      <w:pPr>
        <w:pStyle w:val="TableFigureFooter"/>
        <w:rPr>
          <w:rFonts w:eastAsia="Arial Narrow"/>
        </w:rPr>
      </w:pPr>
      <w:r w:rsidRPr="001B036C">
        <w:rPr>
          <w:rFonts w:eastAsia="Arial Narrow"/>
        </w:rPr>
        <w:t xml:space="preserve">FC: </w:t>
      </w:r>
      <w:r w:rsidR="00941E3A" w:rsidRPr="001B036C">
        <w:rPr>
          <w:rFonts w:eastAsia="Arial Narrow"/>
        </w:rPr>
        <w:t>f</w:t>
      </w:r>
      <w:r w:rsidRPr="001B036C">
        <w:rPr>
          <w:rFonts w:eastAsia="Arial Narrow"/>
        </w:rPr>
        <w:t>aecal calprotectin; FN: false negative; FP: false positive; IBD:</w:t>
      </w:r>
      <w:r w:rsidRPr="001B036C">
        <w:rPr>
          <w:rFonts w:asciiTheme="minorHAnsi" w:eastAsiaTheme="minorEastAsia" w:hAnsiTheme="minorHAnsi"/>
        </w:rPr>
        <w:t xml:space="preserve"> inflammatory bowel disease;</w:t>
      </w:r>
      <w:r w:rsidRPr="001B036C">
        <w:rPr>
          <w:rFonts w:eastAsia="Arial Narrow"/>
        </w:rPr>
        <w:t xml:space="preserve"> N/A: not applicable; TN: true negative; TP: true positive.</w:t>
      </w:r>
    </w:p>
    <w:p w14:paraId="19733684" w14:textId="0C471E25" w:rsidR="007E00E8" w:rsidRPr="001B036C" w:rsidRDefault="00FA283C" w:rsidP="002A18BE">
      <w:pPr>
        <w:pStyle w:val="Heading2"/>
        <w:numPr>
          <w:ilvl w:val="0"/>
          <w:numId w:val="0"/>
        </w:numPr>
      </w:pPr>
      <w:bookmarkStart w:id="13" w:name="_Toc176422707"/>
      <w:r>
        <w:t>8</w:t>
      </w:r>
      <w:r w:rsidR="007E00E8" w:rsidRPr="001B036C">
        <w:t>.</w:t>
      </w:r>
      <w:r w:rsidR="007E00E8" w:rsidRPr="001B036C">
        <w:tab/>
        <w:t>Comparator</w:t>
      </w:r>
      <w:bookmarkEnd w:id="13"/>
    </w:p>
    <w:p w14:paraId="73FF3167" w14:textId="2AC33D97" w:rsidR="007E00E8" w:rsidRPr="001B036C" w:rsidRDefault="007E00E8" w:rsidP="000A46DC">
      <w:r w:rsidRPr="001B036C">
        <w:t>Given the poor correlation between disease activity and clinical assessment (including currently available inflammatory biomarkers, such as CRP alone</w:t>
      </w:r>
      <w:r w:rsidR="00345809" w:rsidRPr="001B036C">
        <w:t>)</w:t>
      </w:r>
      <w:r w:rsidRPr="001B036C">
        <w:t xml:space="preserve">, the main relevant comparator for FC testing is colonoscopy. </w:t>
      </w:r>
      <w:r w:rsidR="00D53FB8" w:rsidRPr="001B036C">
        <w:t>In both symptomatic and asymptomatic patients, FC testing will replace some (not all) of the colonoscopies currently conducted for monitoring purposes of IBD.</w:t>
      </w:r>
      <w:r w:rsidRPr="001B036C">
        <w:t xml:space="preserve"> In asymptomatic patients, standard medical management was proposed as a secondary comparator as these patients are less likely to undergo a colonoscopy</w:t>
      </w:r>
      <w:r w:rsidR="00C51711">
        <w:t xml:space="preserve"> for monitoring purposes</w:t>
      </w:r>
      <w:r w:rsidRPr="001B036C">
        <w:t xml:space="preserve"> due to the less favourable safety profile, invasiveness, practicality, and costs. In this setting, FC</w:t>
      </w:r>
      <w:r w:rsidR="00833B53" w:rsidRPr="001B036C">
        <w:t xml:space="preserve"> testing would be provided in addition to the current set of tests used to monitor the disease and hence</w:t>
      </w:r>
      <w:r w:rsidRPr="001B036C">
        <w:t xml:space="preserve"> would be more costly as it is an add-on test and superior to standard management. </w:t>
      </w:r>
    </w:p>
    <w:p w14:paraId="4441541F" w14:textId="76981109" w:rsidR="00D53FB8" w:rsidRDefault="00D53FB8" w:rsidP="000A46DC">
      <w:bookmarkStart w:id="14" w:name="ColumnTitle_Table1"/>
      <w:bookmarkEnd w:id="1"/>
      <w:bookmarkEnd w:id="14"/>
      <w:r w:rsidRPr="001B036C">
        <w:t>Th</w:t>
      </w:r>
      <w:r w:rsidR="00B26D8A">
        <w:t>e</w:t>
      </w:r>
      <w:r w:rsidRPr="001B036C">
        <w:t xml:space="preserve"> DCAR addresses most of the PICO elements that were prespecified in the PICO confirmation that was ratified by PASC. However, while the DCAR acknowledges standard medical management as the secondary comparator in the asymptomatic population, there is no evidence available</w:t>
      </w:r>
      <w:r w:rsidR="002F2EB6">
        <w:t xml:space="preserve"> to</w:t>
      </w:r>
      <w:r w:rsidRPr="001B036C">
        <w:t xml:space="preserve"> inform this comparison.</w:t>
      </w:r>
    </w:p>
    <w:p w14:paraId="58AA7671" w14:textId="658E9B2D" w:rsidR="00FA283C" w:rsidRPr="00FA283C" w:rsidRDefault="00FA283C" w:rsidP="00FA283C">
      <w:pPr>
        <w:pStyle w:val="Heading2"/>
        <w:numPr>
          <w:ilvl w:val="0"/>
          <w:numId w:val="0"/>
        </w:numPr>
      </w:pPr>
      <w:bookmarkStart w:id="15" w:name="_Toc69491421"/>
      <w:r>
        <w:t>9.</w:t>
      </w:r>
      <w:r>
        <w:tab/>
      </w:r>
      <w:r w:rsidRPr="00FA283C">
        <w:t>Summary of public consultation input</w:t>
      </w:r>
      <w:bookmarkEnd w:id="15"/>
    </w:p>
    <w:p w14:paraId="7F021D94" w14:textId="5DB8B67A" w:rsidR="009F5E21" w:rsidRPr="009F5E21" w:rsidRDefault="00D148F4" w:rsidP="009F5E21">
      <w:pPr>
        <w:pStyle w:val="paragraph"/>
        <w:rPr>
          <w:rFonts w:ascii="Franklin Gothic Book" w:hAnsi="Franklin Gothic Book" w:cs="Segoe UI"/>
          <w:sz w:val="22"/>
          <w:szCs w:val="22"/>
        </w:rPr>
      </w:pPr>
      <w:bookmarkStart w:id="16" w:name="_Toc172753424"/>
      <w:bookmarkStart w:id="17" w:name="_Toc176422708"/>
      <w:bookmarkStart w:id="18" w:name="_Toc172753428"/>
      <w:r>
        <w:rPr>
          <w:rFonts w:ascii="Franklin Gothic Book" w:hAnsi="Franklin Gothic Book"/>
          <w:sz w:val="22"/>
        </w:rPr>
        <w:t xml:space="preserve">The MSAC welcomed consultation input received for this application and </w:t>
      </w:r>
      <w:r w:rsidR="009F5E21">
        <w:rPr>
          <w:rFonts w:ascii="Franklin Gothic Book" w:hAnsi="Franklin Gothic Book"/>
          <w:sz w:val="22"/>
        </w:rPr>
        <w:t xml:space="preserve">noted </w:t>
      </w:r>
      <w:r>
        <w:rPr>
          <w:rFonts w:ascii="Franklin Gothic Book" w:hAnsi="Franklin Gothic Book"/>
          <w:sz w:val="22"/>
        </w:rPr>
        <w:t xml:space="preserve">the period for public consultation closed on 11 October 2024. </w:t>
      </w:r>
      <w:r w:rsidR="00B86E98">
        <w:rPr>
          <w:rFonts w:ascii="Franklin Gothic Book" w:hAnsi="Franklin Gothic Book" w:cs="Segoe UI"/>
          <w:sz w:val="22"/>
          <w:szCs w:val="22"/>
        </w:rPr>
        <w:t>Consultation input</w:t>
      </w:r>
      <w:r w:rsidR="00B86E98" w:rsidRPr="009F5E21">
        <w:rPr>
          <w:rFonts w:ascii="Franklin Gothic Book" w:hAnsi="Franklin Gothic Book" w:cs="Segoe UI"/>
          <w:sz w:val="22"/>
          <w:szCs w:val="22"/>
        </w:rPr>
        <w:t xml:space="preserve"> </w:t>
      </w:r>
      <w:r w:rsidR="00B86E98">
        <w:rPr>
          <w:rFonts w:ascii="Franklin Gothic Book" w:hAnsi="Franklin Gothic Book" w:cs="Segoe UI"/>
          <w:sz w:val="22"/>
          <w:szCs w:val="22"/>
        </w:rPr>
        <w:t>was</w:t>
      </w:r>
      <w:r w:rsidR="009F5E21" w:rsidRPr="009F5E21">
        <w:rPr>
          <w:rFonts w:ascii="Franklin Gothic Book" w:hAnsi="Franklin Gothic Book" w:cs="Segoe UI"/>
          <w:sz w:val="22"/>
          <w:szCs w:val="22"/>
        </w:rPr>
        <w:t xml:space="preserve"> welcomed from </w:t>
      </w:r>
      <w:r w:rsidR="006424FB">
        <w:rPr>
          <w:rFonts w:ascii="Franklin Gothic Book" w:hAnsi="Franklin Gothic Book" w:cs="Segoe UI"/>
          <w:sz w:val="22"/>
          <w:szCs w:val="22"/>
        </w:rPr>
        <w:t>ten (</w:t>
      </w:r>
      <w:r w:rsidR="009F5E21" w:rsidRPr="009F5E21">
        <w:rPr>
          <w:rFonts w:ascii="Franklin Gothic Book" w:hAnsi="Franklin Gothic Book" w:cs="Segoe UI"/>
          <w:sz w:val="22"/>
          <w:szCs w:val="22"/>
        </w:rPr>
        <w:t>10</w:t>
      </w:r>
      <w:r w:rsidR="006424FB">
        <w:rPr>
          <w:rFonts w:ascii="Franklin Gothic Book" w:hAnsi="Franklin Gothic Book" w:cs="Segoe UI"/>
          <w:sz w:val="22"/>
          <w:szCs w:val="22"/>
        </w:rPr>
        <w:t>)</w:t>
      </w:r>
      <w:r w:rsidR="009F5E21" w:rsidRPr="009F5E21">
        <w:rPr>
          <w:rFonts w:ascii="Franklin Gothic Book" w:hAnsi="Franklin Gothic Book" w:cs="Segoe UI"/>
          <w:sz w:val="22"/>
          <w:szCs w:val="22"/>
        </w:rPr>
        <w:t xml:space="preserve"> professional or non-consumer organisations and </w:t>
      </w:r>
      <w:r w:rsidR="004973FA">
        <w:rPr>
          <w:rFonts w:ascii="Franklin Gothic Book" w:hAnsi="Franklin Gothic Book" w:cs="Segoe UI"/>
          <w:sz w:val="22"/>
          <w:szCs w:val="22"/>
        </w:rPr>
        <w:t>one (1)</w:t>
      </w:r>
      <w:r w:rsidR="009F5E21" w:rsidRPr="009F5E21">
        <w:rPr>
          <w:rFonts w:ascii="Franklin Gothic Book" w:hAnsi="Franklin Gothic Book" w:cs="Segoe UI"/>
          <w:sz w:val="22"/>
          <w:szCs w:val="22"/>
        </w:rPr>
        <w:t xml:space="preserve"> consumer organisation. Two </w:t>
      </w:r>
      <w:r w:rsidR="004973FA">
        <w:rPr>
          <w:rFonts w:ascii="Franklin Gothic Book" w:hAnsi="Franklin Gothic Book" w:cs="Segoe UI"/>
          <w:sz w:val="22"/>
          <w:szCs w:val="22"/>
        </w:rPr>
        <w:t xml:space="preserve">(2) </w:t>
      </w:r>
      <w:r w:rsidR="009F5E21" w:rsidRPr="009F5E21">
        <w:rPr>
          <w:rFonts w:ascii="Franklin Gothic Book" w:hAnsi="Franklin Gothic Book" w:cs="Segoe UI"/>
          <w:sz w:val="22"/>
          <w:szCs w:val="22"/>
        </w:rPr>
        <w:t>organisations provided input collected from individuals. Crohn’s and Colitis Australia submitted responses from 47 individual consumers. Gastroenterological Society of Australia provided feedback responses from 16</w:t>
      </w:r>
      <w:r w:rsidR="006424FB">
        <w:rPr>
          <w:rFonts w:ascii="Franklin Gothic Book" w:hAnsi="Franklin Gothic Book" w:cs="Segoe UI"/>
          <w:sz w:val="22"/>
          <w:szCs w:val="22"/>
        </w:rPr>
        <w:t> </w:t>
      </w:r>
      <w:r w:rsidR="009F5E21" w:rsidRPr="009F5E21">
        <w:rPr>
          <w:rFonts w:ascii="Franklin Gothic Book" w:hAnsi="Franklin Gothic Book" w:cs="Segoe UI"/>
          <w:sz w:val="22"/>
          <w:szCs w:val="22"/>
        </w:rPr>
        <w:t>specialists and one consumer individual. In total, 64 individuals’ consultation responses were received, 48 of whom were consumers and 16 health professionals.</w:t>
      </w:r>
    </w:p>
    <w:p w14:paraId="0F35B10D" w14:textId="77777777" w:rsidR="009F5E21" w:rsidRPr="009F5E21" w:rsidRDefault="009F5E21" w:rsidP="002065D2">
      <w:pPr>
        <w:pStyle w:val="paragraph"/>
        <w:keepNext/>
        <w:keepLines/>
        <w:spacing w:after="120" w:afterAutospacing="0"/>
        <w:rPr>
          <w:rFonts w:ascii="Franklin Gothic Book" w:hAnsi="Franklin Gothic Book" w:cs="Segoe UI"/>
          <w:sz w:val="22"/>
          <w:szCs w:val="22"/>
        </w:rPr>
      </w:pPr>
      <w:r w:rsidRPr="009F5E21">
        <w:rPr>
          <w:rFonts w:ascii="Franklin Gothic Book" w:hAnsi="Franklin Gothic Book" w:cs="Segoe UI"/>
          <w:sz w:val="22"/>
          <w:szCs w:val="22"/>
        </w:rPr>
        <w:lastRenderedPageBreak/>
        <w:t>The organisations that submitted input were: </w:t>
      </w:r>
    </w:p>
    <w:p w14:paraId="19D603FC" w14:textId="77777777" w:rsidR="009F5E21" w:rsidRPr="009F5E21" w:rsidRDefault="009F5E21" w:rsidP="002065D2">
      <w:pPr>
        <w:pStyle w:val="paragraph"/>
        <w:keepNext/>
        <w:keepLines/>
        <w:numPr>
          <w:ilvl w:val="0"/>
          <w:numId w:val="40"/>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Therapeutic Goods Administration  </w:t>
      </w:r>
    </w:p>
    <w:p w14:paraId="4263A03B" w14:textId="77777777" w:rsidR="009F5E21" w:rsidRPr="009F5E21" w:rsidRDefault="009F5E21" w:rsidP="002065D2">
      <w:pPr>
        <w:pStyle w:val="paragraph"/>
        <w:keepNext/>
        <w:keepLines/>
        <w:numPr>
          <w:ilvl w:val="0"/>
          <w:numId w:val="41"/>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The Royal College of Pathologists of Australasia (RCPA) </w:t>
      </w:r>
    </w:p>
    <w:p w14:paraId="0306CE6E" w14:textId="77777777" w:rsidR="009F5E21" w:rsidRPr="009F5E21" w:rsidRDefault="009F5E21" w:rsidP="002065D2">
      <w:pPr>
        <w:pStyle w:val="paragraph"/>
        <w:keepNext/>
        <w:keepLines/>
        <w:numPr>
          <w:ilvl w:val="0"/>
          <w:numId w:val="42"/>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Australian Pathology  </w:t>
      </w:r>
    </w:p>
    <w:p w14:paraId="372A0104" w14:textId="77777777" w:rsidR="009F5E21" w:rsidRPr="009F5E21" w:rsidRDefault="009F5E21" w:rsidP="00701176">
      <w:pPr>
        <w:pStyle w:val="paragraph"/>
        <w:numPr>
          <w:ilvl w:val="0"/>
          <w:numId w:val="43"/>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Gastroenterological Nurses College of Australia  </w:t>
      </w:r>
    </w:p>
    <w:p w14:paraId="6175D2FD" w14:textId="77777777" w:rsidR="009F5E21" w:rsidRPr="009F5E21" w:rsidRDefault="009F5E21" w:rsidP="00701176">
      <w:pPr>
        <w:pStyle w:val="paragraph"/>
        <w:numPr>
          <w:ilvl w:val="0"/>
          <w:numId w:val="44"/>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Crohn’s and Colitis Australia  </w:t>
      </w:r>
    </w:p>
    <w:p w14:paraId="002C3145" w14:textId="77777777" w:rsidR="009F5E21" w:rsidRPr="009F5E21" w:rsidRDefault="009F5E21" w:rsidP="00701176">
      <w:pPr>
        <w:pStyle w:val="paragraph"/>
        <w:numPr>
          <w:ilvl w:val="0"/>
          <w:numId w:val="45"/>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Public Pathology Australia (PPA) </w:t>
      </w:r>
    </w:p>
    <w:p w14:paraId="3A6AD31F" w14:textId="77777777" w:rsidR="009F5E21" w:rsidRPr="009F5E21" w:rsidRDefault="009F5E21" w:rsidP="00701176">
      <w:pPr>
        <w:pStyle w:val="paragraph"/>
        <w:numPr>
          <w:ilvl w:val="0"/>
          <w:numId w:val="46"/>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National Pathology Accreditation Advisory Council (NPAAC) </w:t>
      </w:r>
    </w:p>
    <w:p w14:paraId="2F3228CD" w14:textId="77777777" w:rsidR="009F5E21" w:rsidRPr="009F5E21" w:rsidRDefault="009F5E21" w:rsidP="00701176">
      <w:pPr>
        <w:pStyle w:val="paragraph"/>
        <w:numPr>
          <w:ilvl w:val="0"/>
          <w:numId w:val="47"/>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Gastroenterological Society of Australia  </w:t>
      </w:r>
    </w:p>
    <w:p w14:paraId="32540ED9" w14:textId="77777777" w:rsidR="009F5E21" w:rsidRPr="009F5E21" w:rsidRDefault="009F5E21" w:rsidP="00701176">
      <w:pPr>
        <w:pStyle w:val="paragraph"/>
        <w:numPr>
          <w:ilvl w:val="0"/>
          <w:numId w:val="48"/>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The Royal College of General Practitioners  </w:t>
      </w:r>
    </w:p>
    <w:p w14:paraId="5DCA7485" w14:textId="77777777" w:rsidR="009F5E21" w:rsidRPr="009F5E21" w:rsidRDefault="009F5E21" w:rsidP="00701176">
      <w:pPr>
        <w:pStyle w:val="paragraph"/>
        <w:numPr>
          <w:ilvl w:val="0"/>
          <w:numId w:val="49"/>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DiaSorin Australia </w:t>
      </w:r>
    </w:p>
    <w:p w14:paraId="3AE4FC6A" w14:textId="77777777" w:rsidR="009F5E21" w:rsidRPr="009F5E21" w:rsidRDefault="009F5E21" w:rsidP="00701176">
      <w:pPr>
        <w:pStyle w:val="paragraph"/>
        <w:numPr>
          <w:ilvl w:val="0"/>
          <w:numId w:val="50"/>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Crohn’s Colitis Cure </w:t>
      </w:r>
    </w:p>
    <w:p w14:paraId="21B0E306" w14:textId="77777777" w:rsidR="000E7603" w:rsidRPr="000E7603" w:rsidRDefault="009F5E21" w:rsidP="000E7603">
      <w:pPr>
        <w:pStyle w:val="paragraph"/>
        <w:spacing w:before="24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The consultation feedback received was strongly supportive of public funding for faecal calprotectin (FC) testing for the monitoring of patients with inflammatory bowel disease (IBD). There were however concerns raised from two organisations over standardisation of FC test reference ranges and test variation.  </w:t>
      </w:r>
    </w:p>
    <w:p w14:paraId="0973428F" w14:textId="60FB3F1B" w:rsidR="009F5E21" w:rsidRPr="009F5E21" w:rsidRDefault="009F5E21" w:rsidP="000E7603">
      <w:pPr>
        <w:pStyle w:val="paragraph"/>
        <w:keepNext/>
        <w:keepLines/>
        <w:spacing w:before="240" w:beforeAutospacing="0" w:after="0" w:afterAutospacing="0"/>
        <w:rPr>
          <w:rFonts w:ascii="Franklin Gothic Book" w:hAnsi="Franklin Gothic Book" w:cs="Segoe UI"/>
          <w:sz w:val="22"/>
          <w:szCs w:val="22"/>
        </w:rPr>
      </w:pPr>
      <w:r w:rsidRPr="009F5E21">
        <w:rPr>
          <w:rFonts w:ascii="Franklin Gothic Book" w:hAnsi="Franklin Gothic Book" w:cs="Segoe UI"/>
          <w:b/>
          <w:bCs/>
          <w:sz w:val="22"/>
          <w:szCs w:val="22"/>
        </w:rPr>
        <w:t>Benefits </w:t>
      </w:r>
      <w:r w:rsidRPr="009F5E21">
        <w:rPr>
          <w:rFonts w:ascii="Franklin Gothic Book" w:hAnsi="Franklin Gothic Book" w:cs="Segoe UI"/>
          <w:sz w:val="22"/>
          <w:szCs w:val="22"/>
        </w:rPr>
        <w:t> </w:t>
      </w:r>
    </w:p>
    <w:p w14:paraId="25CD1489" w14:textId="77777777" w:rsidR="009F5E21" w:rsidRPr="009F5E21" w:rsidRDefault="009F5E21" w:rsidP="000E7603">
      <w:pPr>
        <w:pStyle w:val="paragraph"/>
        <w:keepNext/>
        <w:keepLines/>
        <w:spacing w:before="0" w:beforeAutospacing="0" w:after="120" w:afterAutospacing="0"/>
        <w:rPr>
          <w:rFonts w:ascii="Franklin Gothic Book" w:hAnsi="Franklin Gothic Book" w:cs="Segoe UI"/>
          <w:sz w:val="22"/>
          <w:szCs w:val="22"/>
        </w:rPr>
      </w:pPr>
      <w:r w:rsidRPr="009F5E21">
        <w:rPr>
          <w:rFonts w:ascii="Franklin Gothic Book" w:hAnsi="Franklin Gothic Book" w:cs="Segoe UI"/>
          <w:sz w:val="22"/>
          <w:szCs w:val="22"/>
        </w:rPr>
        <w:t>Consultation input identified benefits including: </w:t>
      </w:r>
    </w:p>
    <w:p w14:paraId="4799822B" w14:textId="77777777" w:rsidR="009F5E21" w:rsidRPr="009F5E21" w:rsidRDefault="009F5E21" w:rsidP="00701176">
      <w:pPr>
        <w:pStyle w:val="paragraph"/>
        <w:keepNext/>
        <w:keepLines/>
        <w:numPr>
          <w:ilvl w:val="0"/>
          <w:numId w:val="54"/>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The FC test overall has good sensitivity and accurately reflects disease activity. RCPA indicated that FC testing is currently regarded as a gold standard of care in the management of IBD and Australian Pathology stated that FC testing is currently used and accepted as best clinical practice to monitor patients with IBD.  </w:t>
      </w:r>
    </w:p>
    <w:p w14:paraId="67238083" w14:textId="77777777" w:rsidR="009F5E21" w:rsidRPr="009F5E21" w:rsidRDefault="009F5E21" w:rsidP="00701176">
      <w:pPr>
        <w:pStyle w:val="paragraph"/>
        <w:numPr>
          <w:ilvl w:val="0"/>
          <w:numId w:val="54"/>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The FC test is a non-invasive test. Use of FC testing for monitoring IBD may reduce the need for invasive practices (e.g. colonoscopy, surgery), which can carry significant risks. FC testing may also provide access for those who cannot undergo current invasive monitoring practices. </w:t>
      </w:r>
    </w:p>
    <w:p w14:paraId="58061A13" w14:textId="77777777" w:rsidR="009F5E21" w:rsidRPr="009F5E21" w:rsidRDefault="009F5E21" w:rsidP="00701176">
      <w:pPr>
        <w:pStyle w:val="paragraph"/>
        <w:numPr>
          <w:ilvl w:val="0"/>
          <w:numId w:val="54"/>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Enabling General Practitioners to order FC tests reduces the barriers to access for patients, particularly those living in regional and rural areas who may have difficulty accessing gastroenterologists.  </w:t>
      </w:r>
    </w:p>
    <w:p w14:paraId="7D2327BC" w14:textId="77777777" w:rsidR="009F5E21" w:rsidRPr="009F5E21" w:rsidRDefault="009F5E21" w:rsidP="00701176">
      <w:pPr>
        <w:pStyle w:val="paragraph"/>
        <w:numPr>
          <w:ilvl w:val="0"/>
          <w:numId w:val="54"/>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Reduced costs to patients who are currently accessing FC testing privately. </w:t>
      </w:r>
    </w:p>
    <w:p w14:paraId="634F37D4" w14:textId="26BCC66F" w:rsidR="009F5E21" w:rsidRPr="009F5E21" w:rsidRDefault="009F5E21" w:rsidP="00701176">
      <w:pPr>
        <w:pStyle w:val="paragraph"/>
        <w:numPr>
          <w:ilvl w:val="0"/>
          <w:numId w:val="54"/>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Early intervention due to closer monitoring with FC testing may decrease overall disease burden on the patient and reduce demand on the health system (e.g. fewer hospitalisations and presentations to specialists).  </w:t>
      </w:r>
    </w:p>
    <w:p w14:paraId="711DAB29" w14:textId="77777777" w:rsidR="009F5E21" w:rsidRPr="009F5E21" w:rsidRDefault="009F5E21" w:rsidP="000E7603">
      <w:pPr>
        <w:pStyle w:val="paragraph"/>
        <w:spacing w:after="0" w:afterAutospacing="0"/>
        <w:rPr>
          <w:rFonts w:ascii="Franklin Gothic Book" w:hAnsi="Franklin Gothic Book" w:cs="Segoe UI"/>
          <w:sz w:val="22"/>
          <w:szCs w:val="22"/>
        </w:rPr>
      </w:pPr>
      <w:r w:rsidRPr="009F5E21">
        <w:rPr>
          <w:rFonts w:ascii="Franklin Gothic Book" w:hAnsi="Franklin Gothic Book" w:cs="Segoe UI"/>
          <w:b/>
          <w:bCs/>
          <w:sz w:val="22"/>
          <w:szCs w:val="22"/>
        </w:rPr>
        <w:t>Disadvantages/Implementation issues</w:t>
      </w:r>
      <w:r w:rsidRPr="009F5E21">
        <w:rPr>
          <w:rFonts w:ascii="Franklin Gothic Book" w:hAnsi="Franklin Gothic Book" w:cs="Segoe UI"/>
          <w:sz w:val="22"/>
          <w:szCs w:val="22"/>
        </w:rPr>
        <w:t> </w:t>
      </w:r>
    </w:p>
    <w:p w14:paraId="1A3C3A5C" w14:textId="77777777" w:rsidR="009F5E21" w:rsidRPr="009F5E21" w:rsidRDefault="009F5E21" w:rsidP="006424FB">
      <w:pPr>
        <w:pStyle w:val="paragraph"/>
        <w:spacing w:before="0" w:beforeAutospacing="0" w:after="120" w:afterAutospacing="0"/>
        <w:rPr>
          <w:rFonts w:ascii="Franklin Gothic Book" w:hAnsi="Franklin Gothic Book" w:cs="Segoe UI"/>
          <w:sz w:val="22"/>
          <w:szCs w:val="22"/>
        </w:rPr>
      </w:pPr>
      <w:r w:rsidRPr="009F5E21">
        <w:rPr>
          <w:rFonts w:ascii="Franklin Gothic Book" w:hAnsi="Franklin Gothic Book" w:cs="Segoe UI"/>
          <w:sz w:val="22"/>
          <w:szCs w:val="22"/>
        </w:rPr>
        <w:t>While consultation input was supportive of the proposal, the input identified some potential disadvantages or issues related to implementation: </w:t>
      </w:r>
    </w:p>
    <w:p w14:paraId="139795A5" w14:textId="77777777" w:rsidR="009F5E21" w:rsidRPr="009F5E21" w:rsidRDefault="009F5E21" w:rsidP="00701176">
      <w:pPr>
        <w:pStyle w:val="paragraph"/>
        <w:numPr>
          <w:ilvl w:val="0"/>
          <w:numId w:val="51"/>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Currently available FC assays are not well harmonised, with different cut off thresholds used by different commercial assays. Sensitivity and specificity of the assay varies with the set cut off threshold. RCPA input indicated that harmonisation between different kits is challenging and that steps need to be taken towards standardisation to improve agreement between currently available assays. </w:t>
      </w:r>
    </w:p>
    <w:p w14:paraId="39549397" w14:textId="77777777" w:rsidR="009F5E21" w:rsidRPr="009F5E21" w:rsidRDefault="009F5E21" w:rsidP="00083E3C">
      <w:pPr>
        <w:pStyle w:val="paragraph"/>
        <w:numPr>
          <w:ilvl w:val="0"/>
          <w:numId w:val="60"/>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Sample to sample variation may be large. It was noted that samples may have an intra-stool variation of 10-20%, as well as diurnal variation of 20%.  </w:t>
      </w:r>
    </w:p>
    <w:p w14:paraId="582CE857" w14:textId="6EA00D4A" w:rsidR="009F5E21" w:rsidRPr="009F5E21" w:rsidRDefault="009F5E21" w:rsidP="00701176">
      <w:pPr>
        <w:pStyle w:val="paragraph"/>
        <w:numPr>
          <w:ilvl w:val="0"/>
          <w:numId w:val="53"/>
        </w:numPr>
        <w:spacing w:before="0" w:beforeAutospacing="0" w:after="0" w:afterAutospacing="0"/>
        <w:rPr>
          <w:rFonts w:ascii="Franklin Gothic Book" w:hAnsi="Franklin Gothic Book" w:cs="Segoe UI"/>
          <w:sz w:val="22"/>
          <w:szCs w:val="22"/>
        </w:rPr>
      </w:pPr>
      <w:r w:rsidRPr="009F5E21">
        <w:rPr>
          <w:rFonts w:ascii="Franklin Gothic Book" w:hAnsi="Franklin Gothic Book" w:cs="Segoe UI"/>
          <w:sz w:val="22"/>
          <w:szCs w:val="22"/>
        </w:rPr>
        <w:t>There is potential for overuse of testing. Testing would need to be restricted to the target population. </w:t>
      </w:r>
    </w:p>
    <w:p w14:paraId="4DDA39D5" w14:textId="77777777" w:rsidR="009F5E21" w:rsidRPr="009F5E21" w:rsidRDefault="009F5E21" w:rsidP="00E77F8A">
      <w:pPr>
        <w:pStyle w:val="paragraph"/>
        <w:spacing w:after="0" w:afterAutospacing="0"/>
        <w:rPr>
          <w:rFonts w:ascii="Franklin Gothic Book" w:hAnsi="Franklin Gothic Book" w:cs="Segoe UI"/>
          <w:sz w:val="22"/>
          <w:szCs w:val="22"/>
        </w:rPr>
      </w:pPr>
      <w:r w:rsidRPr="009F5E21">
        <w:rPr>
          <w:rFonts w:ascii="Franklin Gothic Book" w:hAnsi="Franklin Gothic Book" w:cs="Segoe UI"/>
          <w:b/>
          <w:bCs/>
          <w:sz w:val="22"/>
          <w:szCs w:val="22"/>
        </w:rPr>
        <w:t>Additional Comments </w:t>
      </w:r>
      <w:r w:rsidRPr="009F5E21">
        <w:rPr>
          <w:rFonts w:ascii="Franklin Gothic Book" w:hAnsi="Franklin Gothic Book" w:cs="Segoe UI"/>
          <w:sz w:val="22"/>
          <w:szCs w:val="22"/>
        </w:rPr>
        <w:t> </w:t>
      </w:r>
    </w:p>
    <w:p w14:paraId="47E96D41" w14:textId="77777777" w:rsidR="009F5E21" w:rsidRPr="009F5E21" w:rsidRDefault="009F5E21" w:rsidP="009F5E21">
      <w:pPr>
        <w:pStyle w:val="paragraph"/>
        <w:rPr>
          <w:rFonts w:ascii="Franklin Gothic Book" w:hAnsi="Franklin Gothic Book" w:cs="Segoe UI"/>
          <w:sz w:val="22"/>
          <w:szCs w:val="22"/>
        </w:rPr>
      </w:pPr>
      <w:r w:rsidRPr="009F5E21">
        <w:rPr>
          <w:rFonts w:ascii="Franklin Gothic Book" w:hAnsi="Franklin Gothic Book" w:cs="Segoe UI"/>
          <w:sz w:val="22"/>
          <w:szCs w:val="22"/>
        </w:rPr>
        <w:t xml:space="preserve">RCPA stated that FC values within the normal reference range can vary by 20%. RCPA indicated there is no absolute level where actions are mandated, but a rise to 1000 would certainly trigger </w:t>
      </w:r>
      <w:r w:rsidRPr="009F5E21">
        <w:rPr>
          <w:rFonts w:ascii="Franklin Gothic Book" w:hAnsi="Franklin Gothic Book" w:cs="Segoe UI"/>
          <w:sz w:val="22"/>
          <w:szCs w:val="22"/>
        </w:rPr>
        <w:lastRenderedPageBreak/>
        <w:t>clinical assessment even if the patient is asymptomatic. PPA indicated that a rise of &gt;50% within normal range might prompt concern and lead to retesting of FC to determine the trend.  </w:t>
      </w:r>
    </w:p>
    <w:p w14:paraId="61113E63" w14:textId="37D5057F" w:rsidR="009F5E21" w:rsidRPr="009F5E21" w:rsidRDefault="009F5E21" w:rsidP="009F5E21">
      <w:pPr>
        <w:pStyle w:val="paragraph"/>
        <w:rPr>
          <w:rFonts w:ascii="Franklin Gothic Book" w:hAnsi="Franklin Gothic Book" w:cs="Segoe UI"/>
          <w:sz w:val="22"/>
          <w:szCs w:val="22"/>
        </w:rPr>
      </w:pPr>
      <w:r w:rsidRPr="009F5E21">
        <w:rPr>
          <w:rFonts w:ascii="Franklin Gothic Book" w:hAnsi="Franklin Gothic Book" w:cs="Segoe UI"/>
          <w:sz w:val="22"/>
          <w:szCs w:val="22"/>
        </w:rPr>
        <w:t>PPA stated that due to potential variations between assays, the testing should be performed with the same assay. PPA further stated that the exact cut-off value of the FC test is of lesser importance clinically than the serial results of a patient. PPA suggest that when reporting results, laboratories should state whether the result was above or below the cut-off value recommended by the reporting laboratory.</w:t>
      </w:r>
    </w:p>
    <w:p w14:paraId="6D934BC1" w14:textId="1152C43D" w:rsidR="009F5E21" w:rsidRPr="009F5E21" w:rsidRDefault="009F5E21" w:rsidP="009F5E21">
      <w:pPr>
        <w:pStyle w:val="paragraph"/>
        <w:rPr>
          <w:rFonts w:ascii="Franklin Gothic Book" w:hAnsi="Franklin Gothic Book" w:cs="Segoe UI"/>
          <w:sz w:val="22"/>
          <w:szCs w:val="22"/>
        </w:rPr>
      </w:pPr>
      <w:r w:rsidRPr="009F5E21">
        <w:rPr>
          <w:rFonts w:ascii="Franklin Gothic Book" w:hAnsi="Franklin Gothic Book" w:cs="Segoe UI"/>
          <w:sz w:val="22"/>
          <w:szCs w:val="22"/>
        </w:rPr>
        <w:t>RCPA and PPA also noted that the patient’s clinical history, trend in FC results and other diagnostic findings must be evaluated alongside a FC result, as abnormal FC levels may be due to causes other than IBD (e.g. infection).</w:t>
      </w:r>
    </w:p>
    <w:p w14:paraId="7B7211C2" w14:textId="4A8A5EFF" w:rsidR="008230CB" w:rsidRPr="000E7603" w:rsidRDefault="009F5E21" w:rsidP="000E7603">
      <w:pPr>
        <w:pStyle w:val="paragraph"/>
        <w:rPr>
          <w:rFonts w:ascii="Franklin Gothic Book" w:hAnsi="Franklin Gothic Book" w:cs="Segoe UI"/>
          <w:sz w:val="22"/>
          <w:szCs w:val="22"/>
        </w:rPr>
      </w:pPr>
      <w:r w:rsidRPr="009F5E21">
        <w:rPr>
          <w:rFonts w:ascii="Franklin Gothic Book" w:hAnsi="Franklin Gothic Book" w:cs="Segoe UI"/>
          <w:sz w:val="22"/>
          <w:szCs w:val="22"/>
        </w:rPr>
        <w:t>NPAAC stated that an external quality assurance program for the test is available from the RCPA.</w:t>
      </w:r>
    </w:p>
    <w:p w14:paraId="14925DA5" w14:textId="2F0CE8FB" w:rsidR="00E9253D" w:rsidRPr="00083E3C" w:rsidRDefault="00027C1C" w:rsidP="000E7603">
      <w:pPr>
        <w:pStyle w:val="paragraph"/>
        <w:rPr>
          <w:rFonts w:ascii="Franklin Gothic Book" w:hAnsi="Franklin Gothic Book" w:cs="Segoe UI"/>
          <w:b/>
          <w:sz w:val="22"/>
          <w:szCs w:val="22"/>
        </w:rPr>
      </w:pPr>
      <w:r w:rsidRPr="00083E3C">
        <w:rPr>
          <w:rFonts w:ascii="Franklin Gothic Book" w:hAnsi="Franklin Gothic Book" w:cs="Segoe UI"/>
          <w:b/>
          <w:sz w:val="22"/>
          <w:szCs w:val="22"/>
        </w:rPr>
        <w:t>Feedback</w:t>
      </w:r>
      <w:r w:rsidR="00352E49" w:rsidRPr="00083E3C">
        <w:rPr>
          <w:rFonts w:ascii="Franklin Gothic Book" w:hAnsi="Franklin Gothic Book" w:cs="Segoe UI"/>
          <w:b/>
          <w:sz w:val="22"/>
          <w:szCs w:val="22"/>
        </w:rPr>
        <w:t xml:space="preserve"> following ESC consideration</w:t>
      </w:r>
    </w:p>
    <w:p w14:paraId="4A6B47E3" w14:textId="0DD0B2A2" w:rsidR="00027C1C" w:rsidRPr="002D3E13" w:rsidRDefault="000B5B76" w:rsidP="000E7603">
      <w:pPr>
        <w:pStyle w:val="paragraph"/>
        <w:rPr>
          <w:rFonts w:ascii="Franklin Gothic Book" w:hAnsi="Franklin Gothic Book" w:cs="Segoe UI"/>
          <w:sz w:val="22"/>
          <w:szCs w:val="22"/>
        </w:rPr>
      </w:pPr>
      <w:r w:rsidRPr="002D3E13">
        <w:rPr>
          <w:rFonts w:ascii="Franklin Gothic Book" w:hAnsi="Franklin Gothic Book" w:cs="Segoe UI"/>
          <w:sz w:val="22"/>
          <w:szCs w:val="22"/>
        </w:rPr>
        <w:t xml:space="preserve">ESC requested the department seek further clarification from RCPA </w:t>
      </w:r>
      <w:r w:rsidR="00A67FE3" w:rsidRPr="002D3E13">
        <w:rPr>
          <w:rFonts w:ascii="Franklin Gothic Book" w:hAnsi="Franklin Gothic Book" w:cs="Segoe UI"/>
          <w:sz w:val="22"/>
          <w:szCs w:val="22"/>
        </w:rPr>
        <w:t xml:space="preserve">regarding: </w:t>
      </w:r>
    </w:p>
    <w:p w14:paraId="12863294" w14:textId="77777777" w:rsidR="002D3E13" w:rsidRPr="00083E3C" w:rsidRDefault="002D3E13" w:rsidP="002D3E13">
      <w:pPr>
        <w:pStyle w:val="paragraph"/>
        <w:numPr>
          <w:ilvl w:val="0"/>
          <w:numId w:val="59"/>
        </w:numPr>
        <w:rPr>
          <w:rFonts w:ascii="Franklin Gothic Book" w:hAnsi="Franklin Gothic Book" w:cs="Segoe UI"/>
          <w:i/>
          <w:sz w:val="22"/>
          <w:szCs w:val="22"/>
        </w:rPr>
      </w:pPr>
      <w:r w:rsidRPr="00083E3C">
        <w:rPr>
          <w:rFonts w:ascii="Franklin Gothic Book" w:hAnsi="Franklin Gothic Book" w:cs="Segoe UI"/>
          <w:b/>
          <w:i/>
          <w:sz w:val="22"/>
          <w:szCs w:val="22"/>
        </w:rPr>
        <w:t xml:space="preserve">Discordance between FC thresholds published in pathology reports and FC thresholds used in clinical practice. </w:t>
      </w:r>
      <w:r w:rsidRPr="00083E3C">
        <w:rPr>
          <w:rFonts w:ascii="Franklin Gothic Book" w:hAnsi="Franklin Gothic Book" w:cs="Segoe UI"/>
          <w:i/>
          <w:sz w:val="22"/>
          <w:szCs w:val="22"/>
        </w:rPr>
        <w:t xml:space="preserve">ESC acknowledged the manufacturer's cut-off values and agreed that in clinical practice, the FC cut-off threshold used is usually 100 </w:t>
      </w:r>
      <w:proofErr w:type="spellStart"/>
      <w:r w:rsidRPr="00083E3C">
        <w:rPr>
          <w:rFonts w:ascii="Franklin Gothic Book" w:hAnsi="Franklin Gothic Book" w:cs="Segoe UI"/>
          <w:i/>
          <w:sz w:val="22"/>
          <w:szCs w:val="22"/>
        </w:rPr>
        <w:t>μg</w:t>
      </w:r>
      <w:proofErr w:type="spellEnd"/>
      <w:r w:rsidRPr="00083E3C">
        <w:rPr>
          <w:rFonts w:ascii="Franklin Gothic Book" w:hAnsi="Franklin Gothic Book" w:cs="Segoe UI"/>
          <w:i/>
          <w:sz w:val="22"/>
          <w:szCs w:val="22"/>
        </w:rPr>
        <w:t xml:space="preserve">/g. ESC queried: </w:t>
      </w:r>
    </w:p>
    <w:p w14:paraId="39F88E22" w14:textId="77777777" w:rsidR="002D3E13" w:rsidRPr="00083E3C" w:rsidRDefault="002D3E13" w:rsidP="002D3E13">
      <w:pPr>
        <w:pStyle w:val="paragraph"/>
        <w:numPr>
          <w:ilvl w:val="1"/>
          <w:numId w:val="59"/>
        </w:numPr>
        <w:rPr>
          <w:rFonts w:ascii="Franklin Gothic Book" w:hAnsi="Franklin Gothic Book" w:cs="Segoe UI"/>
          <w:i/>
          <w:sz w:val="22"/>
          <w:szCs w:val="22"/>
        </w:rPr>
      </w:pPr>
      <w:r w:rsidRPr="00083E3C">
        <w:rPr>
          <w:rFonts w:ascii="Franklin Gothic Book" w:hAnsi="Franklin Gothic Book" w:cs="Segoe UI"/>
          <w:i/>
          <w:sz w:val="22"/>
          <w:szCs w:val="22"/>
        </w:rPr>
        <w:t>Whether it is possible for pathology reports to publish the FC threshold that is clinically relevant (</w:t>
      </w:r>
      <w:proofErr w:type="spellStart"/>
      <w:r w:rsidRPr="00083E3C">
        <w:rPr>
          <w:rFonts w:ascii="Franklin Gothic Book" w:hAnsi="Franklin Gothic Book" w:cs="Segoe UI"/>
          <w:i/>
          <w:sz w:val="22"/>
          <w:szCs w:val="22"/>
        </w:rPr>
        <w:t>ie</w:t>
      </w:r>
      <w:proofErr w:type="spellEnd"/>
      <w:r w:rsidRPr="00083E3C">
        <w:rPr>
          <w:rFonts w:ascii="Franklin Gothic Book" w:hAnsi="Franklin Gothic Book" w:cs="Segoe UI"/>
          <w:i/>
          <w:sz w:val="22"/>
          <w:szCs w:val="22"/>
        </w:rPr>
        <w:t xml:space="preserve">. &lt; 100 </w:t>
      </w:r>
      <w:proofErr w:type="spellStart"/>
      <w:r w:rsidRPr="00083E3C">
        <w:rPr>
          <w:rFonts w:ascii="Franklin Gothic Book" w:hAnsi="Franklin Gothic Book" w:cs="Segoe UI"/>
          <w:i/>
          <w:sz w:val="22"/>
          <w:szCs w:val="22"/>
        </w:rPr>
        <w:t>μg</w:t>
      </w:r>
      <w:proofErr w:type="spellEnd"/>
      <w:r w:rsidRPr="00083E3C">
        <w:rPr>
          <w:rFonts w:ascii="Franklin Gothic Book" w:hAnsi="Franklin Gothic Book" w:cs="Segoe UI"/>
          <w:i/>
          <w:sz w:val="22"/>
          <w:szCs w:val="22"/>
        </w:rPr>
        <w:t xml:space="preserve">/g)? </w:t>
      </w:r>
    </w:p>
    <w:p w14:paraId="0F357443" w14:textId="77777777" w:rsidR="002D3E13" w:rsidRPr="00083E3C" w:rsidRDefault="002D3E13" w:rsidP="002D3E13">
      <w:pPr>
        <w:pStyle w:val="paragraph"/>
        <w:numPr>
          <w:ilvl w:val="1"/>
          <w:numId w:val="59"/>
        </w:numPr>
        <w:rPr>
          <w:rFonts w:ascii="Franklin Gothic Book" w:hAnsi="Franklin Gothic Book" w:cs="Segoe UI"/>
          <w:sz w:val="22"/>
          <w:szCs w:val="22"/>
        </w:rPr>
      </w:pPr>
      <w:r w:rsidRPr="00083E3C">
        <w:rPr>
          <w:rFonts w:ascii="Franklin Gothic Book" w:hAnsi="Franklin Gothic Book" w:cs="Segoe UI"/>
          <w:i/>
          <w:sz w:val="22"/>
          <w:szCs w:val="22"/>
        </w:rPr>
        <w:t>If not, what are the barriers to implementing this change and how can these be managed?</w:t>
      </w:r>
    </w:p>
    <w:p w14:paraId="28C8A265" w14:textId="0BEAA865" w:rsidR="0080140C" w:rsidRDefault="00BD79F0" w:rsidP="003D4F13">
      <w:pPr>
        <w:pStyle w:val="paragraph"/>
        <w:rPr>
          <w:rFonts w:ascii="Franklin Gothic Book" w:hAnsi="Franklin Gothic Book" w:cs="Segoe UI"/>
          <w:sz w:val="22"/>
          <w:szCs w:val="22"/>
        </w:rPr>
      </w:pPr>
      <w:r>
        <w:rPr>
          <w:rFonts w:ascii="Franklin Gothic Book" w:hAnsi="Franklin Gothic Book" w:cs="Segoe UI"/>
          <w:sz w:val="22"/>
          <w:szCs w:val="22"/>
        </w:rPr>
        <w:t>The RCPA noted there is a lack of agreement on the best cut-off levels of FC for differentiating IBD from IB</w:t>
      </w:r>
      <w:r w:rsidR="001B5D42">
        <w:rPr>
          <w:rFonts w:ascii="Franklin Gothic Book" w:hAnsi="Franklin Gothic Book" w:cs="Segoe UI"/>
          <w:sz w:val="22"/>
          <w:szCs w:val="22"/>
        </w:rPr>
        <w:t xml:space="preserve">S </w:t>
      </w:r>
      <w:r w:rsidR="001B5D42" w:rsidRPr="001B5D42">
        <w:rPr>
          <w:rFonts w:ascii="Franklin Gothic Book" w:hAnsi="Franklin Gothic Book" w:cs="Segoe UI"/>
          <w:sz w:val="22"/>
          <w:szCs w:val="22"/>
        </w:rPr>
        <w:t>and for predicting endoscopic activity, remission, and relapse.</w:t>
      </w:r>
      <w:r w:rsidR="003D4F13" w:rsidRPr="00083E3C">
        <w:rPr>
          <w:rFonts w:ascii="Franklin Gothic Book" w:hAnsi="Franklin Gothic Book" w:cs="Segoe UI"/>
          <w:sz w:val="22"/>
          <w:szCs w:val="22"/>
        </w:rPr>
        <w:t xml:space="preserve"> RCPA </w:t>
      </w:r>
      <w:r w:rsidR="000269F5" w:rsidRPr="00083E3C">
        <w:rPr>
          <w:rFonts w:ascii="Franklin Gothic Book" w:hAnsi="Franklin Gothic Book" w:cs="Segoe UI"/>
          <w:sz w:val="22"/>
          <w:szCs w:val="22"/>
        </w:rPr>
        <w:t xml:space="preserve">advised that </w:t>
      </w:r>
      <w:r w:rsidR="003D4F13" w:rsidRPr="003D4F13">
        <w:rPr>
          <w:rFonts w:ascii="Franklin Gothic Book" w:hAnsi="Franklin Gothic Book" w:cs="Segoe UI"/>
          <w:sz w:val="22"/>
          <w:szCs w:val="22"/>
        </w:rPr>
        <w:t xml:space="preserve">Pathology laboratories have adopted 0-50 </w:t>
      </w:r>
      <w:proofErr w:type="spellStart"/>
      <w:r w:rsidR="003D4F13" w:rsidRPr="003D4F13">
        <w:rPr>
          <w:rFonts w:ascii="Franklin Gothic Book" w:hAnsi="Franklin Gothic Book" w:cs="Segoe UI"/>
          <w:sz w:val="22"/>
          <w:szCs w:val="22"/>
        </w:rPr>
        <w:t>μg</w:t>
      </w:r>
      <w:proofErr w:type="spellEnd"/>
      <w:r w:rsidR="003D4F13" w:rsidRPr="003D4F13">
        <w:rPr>
          <w:rFonts w:ascii="Franklin Gothic Book" w:hAnsi="Franklin Gothic Book" w:cs="Segoe UI"/>
          <w:sz w:val="22"/>
          <w:szCs w:val="22"/>
        </w:rPr>
        <w:t xml:space="preserve">/g as a faecal calprotectin (FC) cut-off value indicating </w:t>
      </w:r>
      <w:r w:rsidR="003D4F13" w:rsidRPr="00083E3C">
        <w:rPr>
          <w:rFonts w:ascii="Franklin Gothic Book" w:hAnsi="Franklin Gothic Book" w:cs="Segoe UI"/>
          <w:sz w:val="22"/>
          <w:szCs w:val="22"/>
        </w:rPr>
        <w:t xml:space="preserve">unlikely </w:t>
      </w:r>
      <w:r w:rsidR="003D4F13" w:rsidRPr="003D4F13">
        <w:rPr>
          <w:rFonts w:ascii="Franklin Gothic Book" w:hAnsi="Franklin Gothic Book" w:cs="Segoe UI"/>
          <w:sz w:val="22"/>
          <w:szCs w:val="22"/>
        </w:rPr>
        <w:t>IBD; however, the low false negative rate of this cut-off value doesn’t exclude the condition.</w:t>
      </w:r>
      <w:r w:rsidR="00EA3304">
        <w:rPr>
          <w:rFonts w:ascii="Franklin Gothic Book" w:hAnsi="Franklin Gothic Book" w:cs="Segoe UI"/>
          <w:sz w:val="22"/>
          <w:szCs w:val="22"/>
        </w:rPr>
        <w:t xml:space="preserve"> RCPA also noted </w:t>
      </w:r>
      <w:r w:rsidR="00FA4BE6">
        <w:rPr>
          <w:rFonts w:ascii="Franklin Gothic Book" w:hAnsi="Franklin Gothic Book" w:cs="Segoe UI"/>
          <w:sz w:val="22"/>
          <w:szCs w:val="22"/>
        </w:rPr>
        <w:t xml:space="preserve">FC concentrations will </w:t>
      </w:r>
      <w:r w:rsidR="00BE5F2D">
        <w:rPr>
          <w:rFonts w:ascii="Franklin Gothic Book" w:hAnsi="Franklin Gothic Book" w:cs="Segoe UI"/>
          <w:sz w:val="22"/>
          <w:szCs w:val="22"/>
        </w:rPr>
        <w:t xml:space="preserve">be affected by miscellaneous factors such as age. </w:t>
      </w:r>
      <w:r w:rsidR="000002EC" w:rsidRPr="00083E3C">
        <w:rPr>
          <w:rFonts w:ascii="Franklin Gothic Book" w:hAnsi="Franklin Gothic Book" w:cs="Segoe UI"/>
          <w:sz w:val="22"/>
          <w:szCs w:val="22"/>
        </w:rPr>
        <w:t>Based on the expected values from the literature and the manufacturer’s recommendations, RCPA advised that pathology laboratories have adopted the following reference intervals for FC concentration in adult patients with clinically suspected IBD:</w:t>
      </w:r>
    </w:p>
    <w:tbl>
      <w:tblPr>
        <w:tblW w:w="8789" w:type="dxa"/>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701"/>
        <w:gridCol w:w="7088"/>
      </w:tblGrid>
      <w:tr w:rsidR="000002EC" w:rsidRPr="000002EC" w14:paraId="603CD23A" w14:textId="77777777" w:rsidTr="00083E3C">
        <w:trPr>
          <w:trHeight w:val="345"/>
        </w:trPr>
        <w:tc>
          <w:tcPr>
            <w:tcW w:w="1701" w:type="dxa"/>
            <w:tcBorders>
              <w:top w:val="none" w:sz="6" w:space="0" w:color="auto"/>
              <w:bottom w:val="none" w:sz="6" w:space="0" w:color="auto"/>
              <w:right w:val="none" w:sz="6" w:space="0" w:color="auto"/>
            </w:tcBorders>
          </w:tcPr>
          <w:p w14:paraId="2673761B" w14:textId="2E85BD27" w:rsidR="000002EC" w:rsidRPr="00083E3C" w:rsidRDefault="000002EC" w:rsidP="000002EC">
            <w:pPr>
              <w:pStyle w:val="paragraph"/>
              <w:rPr>
                <w:rFonts w:ascii="Franklin Gothic Book" w:hAnsi="Franklin Gothic Book" w:cs="Segoe UI"/>
                <w:sz w:val="22"/>
                <w:szCs w:val="22"/>
              </w:rPr>
            </w:pPr>
            <w:r w:rsidRPr="00083E3C">
              <w:rPr>
                <w:rFonts w:ascii="Franklin Gothic Book" w:hAnsi="Franklin Gothic Book" w:cs="Segoe UI"/>
                <w:b/>
                <w:sz w:val="22"/>
                <w:szCs w:val="22"/>
              </w:rPr>
              <w:t xml:space="preserve">0-50 </w:t>
            </w:r>
            <w:proofErr w:type="spellStart"/>
            <w:r w:rsidRPr="00083E3C">
              <w:rPr>
                <w:rFonts w:ascii="Franklin Gothic Book" w:hAnsi="Franklin Gothic Book" w:cs="Segoe UI"/>
                <w:b/>
                <w:sz w:val="22"/>
                <w:szCs w:val="22"/>
              </w:rPr>
              <w:t>μg</w:t>
            </w:r>
            <w:proofErr w:type="spellEnd"/>
            <w:r w:rsidRPr="00083E3C">
              <w:rPr>
                <w:rFonts w:ascii="Franklin Gothic Book" w:hAnsi="Franklin Gothic Book" w:cs="Segoe UI"/>
                <w:b/>
                <w:sz w:val="22"/>
                <w:szCs w:val="22"/>
              </w:rPr>
              <w:t xml:space="preserve">/g </w:t>
            </w:r>
          </w:p>
        </w:tc>
        <w:tc>
          <w:tcPr>
            <w:tcW w:w="7088" w:type="dxa"/>
            <w:tcBorders>
              <w:top w:val="none" w:sz="6" w:space="0" w:color="auto"/>
              <w:left w:val="none" w:sz="6" w:space="0" w:color="auto"/>
              <w:bottom w:val="none" w:sz="6" w:space="0" w:color="auto"/>
            </w:tcBorders>
          </w:tcPr>
          <w:p w14:paraId="3686BC75" w14:textId="77777777" w:rsidR="000002EC" w:rsidRPr="00083E3C" w:rsidRDefault="000002EC" w:rsidP="000002EC">
            <w:pPr>
              <w:pStyle w:val="paragraph"/>
              <w:rPr>
                <w:rFonts w:ascii="Franklin Gothic Book" w:hAnsi="Franklin Gothic Book" w:cs="Segoe UI"/>
                <w:sz w:val="22"/>
                <w:szCs w:val="22"/>
              </w:rPr>
            </w:pPr>
            <w:r w:rsidRPr="00083E3C">
              <w:rPr>
                <w:rFonts w:ascii="Franklin Gothic Book" w:hAnsi="Franklin Gothic Book" w:cs="Segoe UI"/>
                <w:sz w:val="22"/>
                <w:szCs w:val="22"/>
              </w:rPr>
              <w:t xml:space="preserve">IBD unlikely but not excluded. </w:t>
            </w:r>
          </w:p>
        </w:tc>
      </w:tr>
      <w:tr w:rsidR="000002EC" w:rsidRPr="000002EC" w14:paraId="4C10380D" w14:textId="77777777" w:rsidTr="00083E3C">
        <w:trPr>
          <w:trHeight w:val="499"/>
        </w:trPr>
        <w:tc>
          <w:tcPr>
            <w:tcW w:w="1701" w:type="dxa"/>
            <w:tcBorders>
              <w:top w:val="none" w:sz="6" w:space="0" w:color="auto"/>
              <w:bottom w:val="none" w:sz="6" w:space="0" w:color="auto"/>
              <w:right w:val="none" w:sz="6" w:space="0" w:color="auto"/>
            </w:tcBorders>
          </w:tcPr>
          <w:p w14:paraId="008802B6" w14:textId="77777777" w:rsidR="000002EC" w:rsidRPr="00083E3C" w:rsidRDefault="000002EC" w:rsidP="000002EC">
            <w:pPr>
              <w:pStyle w:val="paragraph"/>
              <w:rPr>
                <w:rFonts w:ascii="Franklin Gothic Book" w:hAnsi="Franklin Gothic Book" w:cs="Segoe UI"/>
                <w:sz w:val="22"/>
                <w:szCs w:val="22"/>
              </w:rPr>
            </w:pPr>
            <w:r w:rsidRPr="00083E3C">
              <w:rPr>
                <w:rFonts w:ascii="Franklin Gothic Book" w:hAnsi="Franklin Gothic Book" w:cs="Segoe UI"/>
                <w:b/>
                <w:sz w:val="22"/>
                <w:szCs w:val="22"/>
              </w:rPr>
              <w:t xml:space="preserve">50-100 </w:t>
            </w:r>
            <w:proofErr w:type="spellStart"/>
            <w:r w:rsidRPr="00083E3C">
              <w:rPr>
                <w:rFonts w:ascii="Franklin Gothic Book" w:hAnsi="Franklin Gothic Book" w:cs="Segoe UI"/>
                <w:b/>
                <w:sz w:val="22"/>
                <w:szCs w:val="22"/>
              </w:rPr>
              <w:t>μg</w:t>
            </w:r>
            <w:proofErr w:type="spellEnd"/>
            <w:r w:rsidRPr="00083E3C">
              <w:rPr>
                <w:rFonts w:ascii="Franklin Gothic Book" w:hAnsi="Franklin Gothic Book" w:cs="Segoe UI"/>
                <w:b/>
                <w:sz w:val="22"/>
                <w:szCs w:val="22"/>
              </w:rPr>
              <w:t xml:space="preserve">/g </w:t>
            </w:r>
          </w:p>
        </w:tc>
        <w:tc>
          <w:tcPr>
            <w:tcW w:w="7088" w:type="dxa"/>
            <w:tcBorders>
              <w:top w:val="none" w:sz="6" w:space="0" w:color="auto"/>
              <w:left w:val="none" w:sz="6" w:space="0" w:color="auto"/>
              <w:bottom w:val="none" w:sz="6" w:space="0" w:color="auto"/>
            </w:tcBorders>
          </w:tcPr>
          <w:p w14:paraId="7CDCAA60" w14:textId="77777777" w:rsidR="000002EC" w:rsidRPr="00083E3C" w:rsidRDefault="000002EC" w:rsidP="000002EC">
            <w:pPr>
              <w:pStyle w:val="paragraph"/>
              <w:rPr>
                <w:rFonts w:ascii="Franklin Gothic Book" w:hAnsi="Franklin Gothic Book" w:cs="Segoe UI"/>
                <w:sz w:val="22"/>
                <w:szCs w:val="22"/>
              </w:rPr>
            </w:pPr>
            <w:r w:rsidRPr="00083E3C">
              <w:rPr>
                <w:rFonts w:ascii="Franklin Gothic Book" w:hAnsi="Franklin Gothic Book" w:cs="Segoe UI"/>
                <w:sz w:val="22"/>
                <w:szCs w:val="22"/>
              </w:rPr>
              <w:t xml:space="preserve">IBD likely; other inflammatory conditions, including but not limited to infection, coeliac disease and diverticular disease, cannot be excluded. </w:t>
            </w:r>
          </w:p>
        </w:tc>
      </w:tr>
      <w:tr w:rsidR="000002EC" w:rsidRPr="000002EC" w14:paraId="6267BCFC" w14:textId="77777777" w:rsidTr="00083E3C">
        <w:trPr>
          <w:trHeight w:val="346"/>
        </w:trPr>
        <w:tc>
          <w:tcPr>
            <w:tcW w:w="1701" w:type="dxa"/>
            <w:tcBorders>
              <w:top w:val="none" w:sz="6" w:space="0" w:color="auto"/>
              <w:bottom w:val="none" w:sz="6" w:space="0" w:color="auto"/>
              <w:right w:val="none" w:sz="6" w:space="0" w:color="auto"/>
            </w:tcBorders>
          </w:tcPr>
          <w:p w14:paraId="4A47F248" w14:textId="77777777" w:rsidR="000002EC" w:rsidRPr="00083E3C" w:rsidRDefault="000002EC" w:rsidP="000002EC">
            <w:pPr>
              <w:pStyle w:val="paragraph"/>
              <w:rPr>
                <w:rFonts w:ascii="Franklin Gothic Book" w:hAnsi="Franklin Gothic Book" w:cs="Segoe UI"/>
                <w:sz w:val="22"/>
                <w:szCs w:val="22"/>
              </w:rPr>
            </w:pPr>
            <w:r w:rsidRPr="00083E3C">
              <w:rPr>
                <w:rFonts w:ascii="Franklin Gothic Book" w:hAnsi="Franklin Gothic Book" w:cs="Segoe UI"/>
                <w:b/>
                <w:sz w:val="22"/>
                <w:szCs w:val="22"/>
              </w:rPr>
              <w:t xml:space="preserve">100 </w:t>
            </w:r>
            <w:proofErr w:type="spellStart"/>
            <w:r w:rsidRPr="00083E3C">
              <w:rPr>
                <w:rFonts w:ascii="Franklin Gothic Book" w:hAnsi="Franklin Gothic Book" w:cs="Segoe UI"/>
                <w:b/>
                <w:sz w:val="22"/>
                <w:szCs w:val="22"/>
              </w:rPr>
              <w:t>μg</w:t>
            </w:r>
            <w:proofErr w:type="spellEnd"/>
            <w:r w:rsidRPr="00083E3C">
              <w:rPr>
                <w:rFonts w:ascii="Franklin Gothic Book" w:hAnsi="Franklin Gothic Book" w:cs="Segoe UI"/>
                <w:b/>
                <w:sz w:val="22"/>
                <w:szCs w:val="22"/>
              </w:rPr>
              <w:t xml:space="preserve">/g </w:t>
            </w:r>
          </w:p>
        </w:tc>
        <w:tc>
          <w:tcPr>
            <w:tcW w:w="7088" w:type="dxa"/>
            <w:tcBorders>
              <w:top w:val="none" w:sz="6" w:space="0" w:color="auto"/>
              <w:left w:val="none" w:sz="6" w:space="0" w:color="auto"/>
              <w:bottom w:val="none" w:sz="6" w:space="0" w:color="auto"/>
            </w:tcBorders>
          </w:tcPr>
          <w:p w14:paraId="45268095" w14:textId="77777777" w:rsidR="000002EC" w:rsidRPr="00083E3C" w:rsidRDefault="000002EC" w:rsidP="000002EC">
            <w:pPr>
              <w:pStyle w:val="paragraph"/>
              <w:rPr>
                <w:rFonts w:ascii="Franklin Gothic Book" w:hAnsi="Franklin Gothic Book" w:cs="Segoe UI"/>
                <w:sz w:val="22"/>
                <w:szCs w:val="22"/>
              </w:rPr>
            </w:pPr>
            <w:r w:rsidRPr="00083E3C">
              <w:rPr>
                <w:rFonts w:ascii="Franklin Gothic Book" w:hAnsi="Franklin Gothic Book" w:cs="Segoe UI"/>
                <w:sz w:val="22"/>
                <w:szCs w:val="22"/>
              </w:rPr>
              <w:t xml:space="preserve">Almost exclusively IBD. Other severe inflammatory diseases not excluded. </w:t>
            </w:r>
          </w:p>
        </w:tc>
      </w:tr>
    </w:tbl>
    <w:p w14:paraId="5F44BB2B" w14:textId="77777777" w:rsidR="002D3E13" w:rsidRPr="00083E3C" w:rsidRDefault="000C34D9" w:rsidP="000C34D9">
      <w:pPr>
        <w:pStyle w:val="paragraph"/>
        <w:numPr>
          <w:ilvl w:val="0"/>
          <w:numId w:val="59"/>
        </w:numPr>
        <w:rPr>
          <w:rFonts w:ascii="Franklin Gothic Book" w:hAnsi="Franklin Gothic Book" w:cs="Segoe UI"/>
          <w:i/>
          <w:sz w:val="22"/>
          <w:szCs w:val="22"/>
        </w:rPr>
      </w:pPr>
      <w:r w:rsidRPr="00083E3C">
        <w:rPr>
          <w:rFonts w:ascii="Franklin Gothic Book" w:hAnsi="Franklin Gothic Book" w:cs="Segoe UI"/>
          <w:b/>
          <w:i/>
          <w:sz w:val="22"/>
          <w:szCs w:val="22"/>
        </w:rPr>
        <w:t xml:space="preserve">Harmonisation of FC thresholds. </w:t>
      </w:r>
      <w:r w:rsidRPr="00083E3C">
        <w:rPr>
          <w:rFonts w:ascii="Franklin Gothic Book" w:hAnsi="Franklin Gothic Book" w:cs="Segoe UI"/>
          <w:i/>
          <w:sz w:val="22"/>
          <w:szCs w:val="22"/>
        </w:rPr>
        <w:t xml:space="preserve">We understand from your response that harmonisation of different FC test kits will be challenging: </w:t>
      </w:r>
    </w:p>
    <w:p w14:paraId="1179ED2A" w14:textId="77777777" w:rsidR="002D3E13" w:rsidRPr="00083E3C" w:rsidRDefault="000C34D9" w:rsidP="000C34D9">
      <w:pPr>
        <w:pStyle w:val="paragraph"/>
        <w:numPr>
          <w:ilvl w:val="1"/>
          <w:numId w:val="59"/>
        </w:numPr>
        <w:rPr>
          <w:rFonts w:ascii="Franklin Gothic Book" w:hAnsi="Franklin Gothic Book" w:cs="Segoe UI"/>
          <w:i/>
          <w:sz w:val="22"/>
          <w:szCs w:val="22"/>
        </w:rPr>
      </w:pPr>
      <w:r w:rsidRPr="00083E3C">
        <w:rPr>
          <w:rFonts w:ascii="Franklin Gothic Book" w:hAnsi="Franklin Gothic Book" w:cs="Segoe UI"/>
          <w:i/>
          <w:sz w:val="22"/>
          <w:szCs w:val="22"/>
        </w:rPr>
        <w:t xml:space="preserve">Has there been any further progress towards harmonisation of FC test kits? </w:t>
      </w:r>
    </w:p>
    <w:p w14:paraId="0833A81B" w14:textId="77777777" w:rsidR="002D3E13" w:rsidRPr="00083E3C" w:rsidRDefault="000C34D9" w:rsidP="000C34D9">
      <w:pPr>
        <w:pStyle w:val="paragraph"/>
        <w:numPr>
          <w:ilvl w:val="1"/>
          <w:numId w:val="59"/>
        </w:numPr>
        <w:rPr>
          <w:rFonts w:ascii="Franklin Gothic Book" w:hAnsi="Franklin Gothic Book" w:cs="Segoe UI"/>
          <w:i/>
          <w:sz w:val="22"/>
          <w:szCs w:val="22"/>
        </w:rPr>
      </w:pPr>
      <w:r w:rsidRPr="00083E3C">
        <w:rPr>
          <w:rFonts w:ascii="Franklin Gothic Book" w:hAnsi="Franklin Gothic Book" w:cs="Segoe UI"/>
          <w:i/>
          <w:sz w:val="22"/>
          <w:szCs w:val="22"/>
        </w:rPr>
        <w:t xml:space="preserve">If FC testing for monitoring of IBD is publicly funded, does RCPA (or other organisation) intend to harmonise FC thresholds? </w:t>
      </w:r>
    </w:p>
    <w:p w14:paraId="55EB29E2" w14:textId="4F0B867F" w:rsidR="000C34D9" w:rsidRPr="002D3E13" w:rsidRDefault="000C34D9" w:rsidP="00083E3C">
      <w:pPr>
        <w:pStyle w:val="paragraph"/>
        <w:numPr>
          <w:ilvl w:val="1"/>
          <w:numId w:val="59"/>
        </w:numPr>
        <w:rPr>
          <w:rFonts w:ascii="Franklin Gothic Book" w:hAnsi="Franklin Gothic Book" w:cs="Segoe UI"/>
          <w:sz w:val="22"/>
          <w:szCs w:val="22"/>
        </w:rPr>
      </w:pPr>
      <w:r w:rsidRPr="00083E3C">
        <w:rPr>
          <w:rFonts w:ascii="Franklin Gothic Book" w:hAnsi="Franklin Gothic Book" w:cs="Segoe UI"/>
          <w:i/>
          <w:sz w:val="22"/>
          <w:szCs w:val="22"/>
        </w:rPr>
        <w:t>For MSAC’s information, what are the challenges involved with harmonisation of FC thresholds? How are these best managed?</w:t>
      </w:r>
    </w:p>
    <w:p w14:paraId="37527A64" w14:textId="29E89048" w:rsidR="000C34D9" w:rsidRPr="002D3E13" w:rsidRDefault="00026DF9" w:rsidP="00407C9E">
      <w:pPr>
        <w:pStyle w:val="paragraph"/>
        <w:rPr>
          <w:rFonts w:ascii="Franklin Gothic Book" w:hAnsi="Franklin Gothic Book" w:cs="Segoe UI"/>
          <w:sz w:val="22"/>
          <w:szCs w:val="22"/>
        </w:rPr>
      </w:pPr>
      <w:r>
        <w:rPr>
          <w:rFonts w:ascii="Franklin Gothic Book" w:hAnsi="Franklin Gothic Book" w:cs="Segoe UI"/>
          <w:sz w:val="22"/>
          <w:szCs w:val="22"/>
        </w:rPr>
        <w:t>RCPA responded saying a</w:t>
      </w:r>
      <w:r w:rsidR="00407C9E" w:rsidRPr="00083E3C">
        <w:rPr>
          <w:rFonts w:ascii="Franklin Gothic Book" w:hAnsi="Franklin Gothic Book" w:cs="Segoe UI"/>
          <w:sz w:val="22"/>
          <w:szCs w:val="22"/>
        </w:rPr>
        <w:t xml:space="preserve"> harmonisation group would be able to run this study and provide evidence behind the chosen low cut-off by the labs. </w:t>
      </w:r>
      <w:r w:rsidR="00407C9E" w:rsidRPr="002D3E13">
        <w:rPr>
          <w:rFonts w:ascii="Franklin Gothic Book" w:hAnsi="Franklin Gothic Book" w:cs="Segoe UI"/>
          <w:sz w:val="22"/>
          <w:szCs w:val="22"/>
        </w:rPr>
        <w:t xml:space="preserve">The RCPA </w:t>
      </w:r>
      <w:r>
        <w:rPr>
          <w:rFonts w:ascii="Franklin Gothic Book" w:hAnsi="Franklin Gothic Book" w:cs="Segoe UI"/>
          <w:sz w:val="22"/>
          <w:szCs w:val="22"/>
        </w:rPr>
        <w:t>was</w:t>
      </w:r>
      <w:r w:rsidR="00407C9E" w:rsidRPr="002D3E13">
        <w:rPr>
          <w:rFonts w:ascii="Franklin Gothic Book" w:hAnsi="Franklin Gothic Book" w:cs="Segoe UI"/>
          <w:sz w:val="22"/>
          <w:szCs w:val="22"/>
        </w:rPr>
        <w:t xml:space="preserve"> willing to convene a working group of Fellows to standardise faecal calprotectin reporting and cut-off values as needed. </w:t>
      </w:r>
    </w:p>
    <w:p w14:paraId="2090E068" w14:textId="59F783AA" w:rsidR="007619C3" w:rsidRPr="001B036C" w:rsidRDefault="00FA283C" w:rsidP="002A18BE">
      <w:pPr>
        <w:pStyle w:val="Heading2"/>
        <w:numPr>
          <w:ilvl w:val="0"/>
          <w:numId w:val="0"/>
        </w:numPr>
      </w:pPr>
      <w:r>
        <w:lastRenderedPageBreak/>
        <w:t>10</w:t>
      </w:r>
      <w:r w:rsidR="007619C3" w:rsidRPr="001B036C">
        <w:t>.</w:t>
      </w:r>
      <w:r w:rsidR="007619C3" w:rsidRPr="001B036C">
        <w:tab/>
        <w:t>Characteristics of the evidence base</w:t>
      </w:r>
      <w:bookmarkEnd w:id="16"/>
      <w:bookmarkEnd w:id="17"/>
    </w:p>
    <w:p w14:paraId="70FDC5F4" w14:textId="5EBF81F5" w:rsidR="007619C3" w:rsidRPr="001B036C" w:rsidRDefault="007619C3" w:rsidP="00B92CCD">
      <w:r w:rsidRPr="001B036C">
        <w:t>A total of 46 and 34 studies met the inclusion criteria for assessing the test accuracy of FC compared to colonoscopy in symptomatic and asymptomatic patients</w:t>
      </w:r>
      <w:r w:rsidR="007B2089" w:rsidRPr="001B036C">
        <w:t xml:space="preserve"> that are in remission</w:t>
      </w:r>
      <w:r w:rsidRPr="001B036C">
        <w:t xml:space="preserve">, respectively. A linked evidence approach was used to determine FC test accuracy in </w:t>
      </w:r>
      <w:r w:rsidR="00F44BA3" w:rsidRPr="001B036C">
        <w:t xml:space="preserve">predicting endoscopic </w:t>
      </w:r>
      <w:r w:rsidR="00C65F85" w:rsidRPr="001B036C">
        <w:t xml:space="preserve">findings of </w:t>
      </w:r>
      <w:r w:rsidRPr="001B036C">
        <w:t>mucosal healing</w:t>
      </w:r>
      <w:r w:rsidR="003876B8" w:rsidRPr="001B036C">
        <w:t xml:space="preserve"> </w:t>
      </w:r>
      <w:r w:rsidR="00C57200" w:rsidRPr="001B036C">
        <w:t>or</w:t>
      </w:r>
      <w:r w:rsidRPr="001B036C">
        <w:t xml:space="preserve"> active disease, and </w:t>
      </w:r>
      <w:r w:rsidR="00082486" w:rsidRPr="001B036C">
        <w:t xml:space="preserve">the FC test’s </w:t>
      </w:r>
      <w:r w:rsidRPr="001B036C">
        <w:t xml:space="preserve">ability to predict relapse in </w:t>
      </w:r>
      <w:r w:rsidR="006C7AA1" w:rsidRPr="001B036C">
        <w:t>IBD patients who are in remission</w:t>
      </w:r>
      <w:r w:rsidRPr="001B036C">
        <w:t>. No studies were identified on the safety of FC testing.</w:t>
      </w:r>
    </w:p>
    <w:p w14:paraId="52A0091E" w14:textId="77777777" w:rsidR="007619C3" w:rsidRPr="001B036C" w:rsidRDefault="007619C3" w:rsidP="05E21777">
      <w:r w:rsidRPr="001B036C">
        <w:t xml:space="preserve">The main inclusion criteria incorporated studies that had: </w:t>
      </w:r>
    </w:p>
    <w:p w14:paraId="608A97E4" w14:textId="73E978B4" w:rsidR="007619C3" w:rsidRPr="001B036C" w:rsidRDefault="007619C3" w:rsidP="001E6DBB">
      <w:pPr>
        <w:pStyle w:val="ListParagraph"/>
        <w:numPr>
          <w:ilvl w:val="0"/>
          <w:numId w:val="17"/>
        </w:numPr>
      </w:pPr>
      <w:r w:rsidRPr="001B036C">
        <w:t>currently diagnosed (symptomatic or asymptomatic) IBD patients (including UC and CD</w:t>
      </w:r>
      <w:proofErr w:type="gramStart"/>
      <w:r w:rsidRPr="001B036C">
        <w:t>)</w:t>
      </w:r>
      <w:r w:rsidR="00E87959" w:rsidRPr="001B036C">
        <w:t>;</w:t>
      </w:r>
      <w:proofErr w:type="gramEnd"/>
      <w:r w:rsidRPr="001B036C">
        <w:t xml:space="preserve"> </w:t>
      </w:r>
    </w:p>
    <w:p w14:paraId="3FF1F76B" w14:textId="5EC89663" w:rsidR="007619C3" w:rsidRPr="001B036C" w:rsidRDefault="007619C3" w:rsidP="001E6DBB">
      <w:pPr>
        <w:pStyle w:val="ListParagraph"/>
        <w:numPr>
          <w:ilvl w:val="0"/>
          <w:numId w:val="17"/>
        </w:numPr>
      </w:pPr>
      <w:r w:rsidRPr="001B036C">
        <w:t>an FC test compared to colonoscopy or colonoscopy/</w:t>
      </w:r>
      <w:proofErr w:type="gramStart"/>
      <w:r w:rsidRPr="001B036C">
        <w:t>biopsy</w:t>
      </w:r>
      <w:r w:rsidR="00E87959" w:rsidRPr="001B036C">
        <w:t>;</w:t>
      </w:r>
      <w:proofErr w:type="gramEnd"/>
      <w:r w:rsidRPr="001B036C">
        <w:t xml:space="preserve"> </w:t>
      </w:r>
    </w:p>
    <w:p w14:paraId="40ADABCC" w14:textId="6B9E524F" w:rsidR="007619C3" w:rsidRPr="001B036C" w:rsidRDefault="007619C3" w:rsidP="001E6DBB">
      <w:pPr>
        <w:pStyle w:val="ListParagraph"/>
        <w:numPr>
          <w:ilvl w:val="0"/>
          <w:numId w:val="17"/>
        </w:numPr>
      </w:pPr>
      <w:r w:rsidRPr="001B036C">
        <w:t>reported outcomes for test accuracy (sensitivity, specificity, with a 2x2 tables (</w:t>
      </w:r>
      <w:r w:rsidR="000E6B60" w:rsidRPr="001B036C">
        <w:t>t</w:t>
      </w:r>
      <w:r w:rsidRPr="001B036C">
        <w:t xml:space="preserve">rue positive, </w:t>
      </w:r>
      <w:r w:rsidR="000E6B60" w:rsidRPr="001B036C">
        <w:t>t</w:t>
      </w:r>
      <w:r w:rsidRPr="001B036C">
        <w:t xml:space="preserve">rue negative, </w:t>
      </w:r>
      <w:r w:rsidR="000E6B60" w:rsidRPr="001B036C">
        <w:t>f</w:t>
      </w:r>
      <w:r w:rsidRPr="001B036C">
        <w:t xml:space="preserve">alse positive and </w:t>
      </w:r>
      <w:r w:rsidR="000E6B60" w:rsidRPr="001B036C">
        <w:t>f</w:t>
      </w:r>
      <w:r w:rsidRPr="001B036C">
        <w:t xml:space="preserve">alse </w:t>
      </w:r>
      <w:r w:rsidR="000E6B60" w:rsidRPr="001B036C">
        <w:t>n</w:t>
      </w:r>
      <w:r w:rsidRPr="001B036C">
        <w:t>egative</w:t>
      </w:r>
      <w:proofErr w:type="gramStart"/>
      <w:r w:rsidRPr="001B036C">
        <w:t>)</w:t>
      </w:r>
      <w:r w:rsidR="00E87959" w:rsidRPr="001B036C">
        <w:t>;</w:t>
      </w:r>
      <w:proofErr w:type="gramEnd"/>
      <w:r w:rsidRPr="001B036C">
        <w:t xml:space="preserve"> </w:t>
      </w:r>
    </w:p>
    <w:p w14:paraId="61A48879" w14:textId="33C88C5F" w:rsidR="007619C3" w:rsidRPr="001B036C" w:rsidRDefault="007619C3" w:rsidP="001E6DBB">
      <w:pPr>
        <w:pStyle w:val="ListParagraph"/>
        <w:numPr>
          <w:ilvl w:val="0"/>
          <w:numId w:val="17"/>
        </w:numPr>
      </w:pPr>
      <w:r w:rsidRPr="001B036C">
        <w:t>an enzyme-linked immunosorbent assay (ELISA) FC test only (</w:t>
      </w:r>
      <w:r w:rsidR="00323579" w:rsidRPr="001B036C">
        <w:t>POCT</w:t>
      </w:r>
      <w:r w:rsidRPr="001B036C">
        <w:t xml:space="preserve"> or enzyme-labelled antibodies against human calprotectin (</w:t>
      </w:r>
      <w:proofErr w:type="spellStart"/>
      <w:r w:rsidRPr="001B036C">
        <w:t>EliA</w:t>
      </w:r>
      <w:proofErr w:type="spellEnd"/>
      <w:r w:rsidRPr="001B036C">
        <w:t xml:space="preserve"> Calprotectin Conjugate) tests were excluded</w:t>
      </w:r>
      <w:proofErr w:type="gramStart"/>
      <w:r w:rsidRPr="001B036C">
        <w:t>)</w:t>
      </w:r>
      <w:r w:rsidR="00E87959" w:rsidRPr="001B036C">
        <w:t>;</w:t>
      </w:r>
      <w:proofErr w:type="gramEnd"/>
      <w:r w:rsidRPr="001B036C">
        <w:t xml:space="preserve"> </w:t>
      </w:r>
    </w:p>
    <w:p w14:paraId="00148239" w14:textId="2FBDF31A" w:rsidR="007619C3" w:rsidRPr="001B036C" w:rsidRDefault="007619C3" w:rsidP="001E6DBB">
      <w:pPr>
        <w:pStyle w:val="ListParagraph"/>
        <w:numPr>
          <w:ilvl w:val="0"/>
          <w:numId w:val="17"/>
        </w:numPr>
      </w:pPr>
      <w:r w:rsidRPr="001B036C">
        <w:t xml:space="preserve">no documented use of non-steroidal anti-inflammatory drugs in the study </w:t>
      </w:r>
      <w:proofErr w:type="gramStart"/>
      <w:r w:rsidRPr="001B036C">
        <w:t>population</w:t>
      </w:r>
      <w:r w:rsidR="00E87959" w:rsidRPr="001B036C">
        <w:t>;</w:t>
      </w:r>
      <w:proofErr w:type="gramEnd"/>
    </w:p>
    <w:p w14:paraId="2DD46647" w14:textId="2523F713" w:rsidR="007619C3" w:rsidRPr="001B036C" w:rsidRDefault="007619C3" w:rsidP="001E6DBB">
      <w:pPr>
        <w:pStyle w:val="ListParagraph"/>
        <w:numPr>
          <w:ilvl w:val="0"/>
          <w:numId w:val="17"/>
        </w:numPr>
      </w:pPr>
      <w:r w:rsidRPr="001B036C">
        <w:t>a maximum of 14 days between the collection of the FC sample and the colonoscopy</w:t>
      </w:r>
      <w:r w:rsidR="00E87959" w:rsidRPr="001B036C">
        <w:t>;</w:t>
      </w:r>
      <w:r w:rsidRPr="001B036C">
        <w:t xml:space="preserve"> and</w:t>
      </w:r>
    </w:p>
    <w:p w14:paraId="486473A8" w14:textId="77777777" w:rsidR="007619C3" w:rsidRPr="001B036C" w:rsidRDefault="007619C3" w:rsidP="001E6DBB">
      <w:pPr>
        <w:pStyle w:val="ListParagraph"/>
        <w:numPr>
          <w:ilvl w:val="0"/>
          <w:numId w:val="17"/>
        </w:numPr>
      </w:pPr>
      <w:r w:rsidRPr="001B036C">
        <w:t>A low risk of bias as determined by the QUADAS-2 tool.</w:t>
      </w:r>
    </w:p>
    <w:p w14:paraId="50B5CE8B" w14:textId="1BF0995C" w:rsidR="007619C3" w:rsidRPr="001B036C" w:rsidRDefault="007619C3">
      <w:r w:rsidRPr="001B036C">
        <w:t xml:space="preserve">The inclusion of ELISA FC test only was to limit the potential </w:t>
      </w:r>
      <w:r w:rsidR="004647C7" w:rsidRPr="001B036C">
        <w:t>for</w:t>
      </w:r>
      <w:r w:rsidRPr="001B036C">
        <w:t xml:space="preserve"> confounding </w:t>
      </w:r>
      <w:r w:rsidR="00262911" w:rsidRPr="001B036C">
        <w:t xml:space="preserve">the </w:t>
      </w:r>
      <w:r w:rsidRPr="001B036C">
        <w:t xml:space="preserve">results. There are a range of alternative FC testing methods </w:t>
      </w:r>
      <w:r w:rsidR="000221E3" w:rsidRPr="001B036C">
        <w:t xml:space="preserve">such as </w:t>
      </w:r>
      <w:r w:rsidRPr="001B036C">
        <w:t>such as Fluoro</w:t>
      </w:r>
      <w:r w:rsidR="00802470" w:rsidRPr="001B036C">
        <w:t>-</w:t>
      </w:r>
      <w:r w:rsidRPr="001B036C">
        <w:t>enzyme</w:t>
      </w:r>
      <w:r w:rsidR="00802470" w:rsidRPr="001B036C">
        <w:t xml:space="preserve"> </w:t>
      </w:r>
      <w:r w:rsidRPr="001B036C">
        <w:t>immunoassay for calprotectin (</w:t>
      </w:r>
      <w:proofErr w:type="spellStart"/>
      <w:r w:rsidRPr="001B036C">
        <w:t>EliA</w:t>
      </w:r>
      <w:proofErr w:type="spellEnd"/>
      <w:r w:rsidRPr="001B036C">
        <w:t>) and a range of rapid home testing kits</w:t>
      </w:r>
      <w:r w:rsidR="000221E3" w:rsidRPr="001B036C">
        <w:t xml:space="preserve"> (POCTs)</w:t>
      </w:r>
      <w:r w:rsidRPr="001B036C">
        <w:t>. However, there is substantial variability between the quantitative results of these different approaches</w:t>
      </w:r>
      <w:r w:rsidR="00AF5FDE" w:rsidRPr="001B036C">
        <w:t>.</w:t>
      </w:r>
      <w:r w:rsidRPr="001B036C">
        <w:t xml:space="preserve"> </w:t>
      </w:r>
      <w:r w:rsidR="00AF5FDE" w:rsidRPr="001B036C">
        <w:t>T</w:t>
      </w:r>
      <w:r w:rsidRPr="001B036C">
        <w:t xml:space="preserve">he ELISA </w:t>
      </w:r>
      <w:r w:rsidR="00AF5FDE" w:rsidRPr="001B036C">
        <w:t xml:space="preserve">FC test </w:t>
      </w:r>
      <w:r w:rsidRPr="001B036C">
        <w:t>is considered the gold standard</w:t>
      </w:r>
      <w:r w:rsidR="00F26C97">
        <w:rPr>
          <w:rStyle w:val="FootnoteReference"/>
        </w:rPr>
        <w:footnoteReference w:id="10"/>
      </w:r>
      <w:r w:rsidRPr="001B036C">
        <w:t>. This decision also aligns with the PICO Confirmation that specified ELISA as the intervention FC test.</w:t>
      </w:r>
    </w:p>
    <w:p w14:paraId="7802F90C" w14:textId="52D76BA8" w:rsidR="002065D2" w:rsidRPr="002065D2" w:rsidRDefault="007619C3" w:rsidP="002065D2">
      <w:r w:rsidRPr="001B036C">
        <w:t xml:space="preserve">For linked evidence on FC test impact on change in management and on health outcomes a separate (non-systematic) </w:t>
      </w:r>
      <w:r w:rsidR="005D46A4" w:rsidRPr="001B036C">
        <w:t xml:space="preserve">targeted </w:t>
      </w:r>
      <w:r w:rsidRPr="001B036C">
        <w:t xml:space="preserve">search was </w:t>
      </w:r>
      <w:r w:rsidR="00832B37" w:rsidRPr="001B036C">
        <w:t>conducted</w:t>
      </w:r>
      <w:r w:rsidRPr="001B036C">
        <w:t xml:space="preserve">. </w:t>
      </w:r>
      <w:r w:rsidR="002065D2">
        <w:br w:type="page"/>
      </w:r>
    </w:p>
    <w:p w14:paraId="426B8CFB" w14:textId="085D228C" w:rsidR="007619C3" w:rsidRPr="001B036C" w:rsidRDefault="007619C3" w:rsidP="6866328D">
      <w:pPr>
        <w:pStyle w:val="Caption"/>
        <w:rPr>
          <w:sz w:val="16"/>
          <w:szCs w:val="16"/>
        </w:rPr>
      </w:pPr>
      <w:r w:rsidRPr="001B036C">
        <w:lastRenderedPageBreak/>
        <w:t>Table </w:t>
      </w:r>
      <w:r>
        <w:fldChar w:fldCharType="begin"/>
      </w:r>
      <w:r>
        <w:instrText xml:space="preserve"> SEQ Table \* ARABIC </w:instrText>
      </w:r>
      <w:r>
        <w:fldChar w:fldCharType="separate"/>
      </w:r>
      <w:r w:rsidR="00B4653B">
        <w:rPr>
          <w:noProof/>
        </w:rPr>
        <w:t>8</w:t>
      </w:r>
      <w:r>
        <w:rPr>
          <w:noProof/>
        </w:rPr>
        <w:fldChar w:fldCharType="end"/>
      </w:r>
      <w:r w:rsidRPr="001B036C">
        <w:tab/>
        <w:t>Features of the key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870"/>
        <w:gridCol w:w="1890"/>
        <w:gridCol w:w="1821"/>
      </w:tblGrid>
      <w:tr w:rsidR="007619C3" w:rsidRPr="001B036C" w14:paraId="5D71D5E0" w14:textId="77777777" w:rsidTr="6866328D">
        <w:trPr>
          <w:trHeight w:val="300"/>
        </w:trPr>
        <w:tc>
          <w:tcPr>
            <w:tcW w:w="1435" w:type="dxa"/>
            <w:tcBorders>
              <w:top w:val="single" w:sz="4" w:space="0" w:color="auto"/>
              <w:left w:val="single" w:sz="4" w:space="0" w:color="auto"/>
              <w:bottom w:val="single" w:sz="4" w:space="0" w:color="auto"/>
              <w:right w:val="single" w:sz="4" w:space="0" w:color="auto"/>
            </w:tcBorders>
            <w:vAlign w:val="center"/>
          </w:tcPr>
          <w:p w14:paraId="330C4AC8" w14:textId="77777777" w:rsidR="007619C3" w:rsidRPr="001B036C" w:rsidRDefault="007619C3" w:rsidP="00D47945">
            <w:pPr>
              <w:pStyle w:val="In-tableHeading"/>
            </w:pPr>
            <w:r w:rsidRPr="001B036C">
              <w:t>Criterion</w:t>
            </w:r>
          </w:p>
        </w:tc>
        <w:tc>
          <w:tcPr>
            <w:tcW w:w="3870" w:type="dxa"/>
            <w:tcBorders>
              <w:top w:val="single" w:sz="4" w:space="0" w:color="auto"/>
              <w:left w:val="single" w:sz="4" w:space="0" w:color="auto"/>
              <w:bottom w:val="single" w:sz="4" w:space="0" w:color="auto"/>
              <w:right w:val="single" w:sz="4" w:space="0" w:color="auto"/>
            </w:tcBorders>
            <w:vAlign w:val="center"/>
          </w:tcPr>
          <w:p w14:paraId="799DAD13" w14:textId="77777777" w:rsidR="007619C3" w:rsidRPr="001B036C" w:rsidRDefault="007619C3" w:rsidP="00D47945">
            <w:pPr>
              <w:pStyle w:val="In-tableHeading"/>
            </w:pPr>
            <w:r w:rsidRPr="001B036C">
              <w:t>Type of evidence supplied</w:t>
            </w:r>
          </w:p>
        </w:tc>
        <w:tc>
          <w:tcPr>
            <w:tcW w:w="1890" w:type="dxa"/>
            <w:tcBorders>
              <w:top w:val="single" w:sz="4" w:space="0" w:color="auto"/>
              <w:left w:val="single" w:sz="4" w:space="0" w:color="auto"/>
              <w:bottom w:val="single" w:sz="4" w:space="0" w:color="auto"/>
              <w:right w:val="single" w:sz="4" w:space="0" w:color="auto"/>
            </w:tcBorders>
            <w:vAlign w:val="center"/>
          </w:tcPr>
          <w:p w14:paraId="3105AA9D" w14:textId="77777777" w:rsidR="007619C3" w:rsidRPr="001B036C" w:rsidRDefault="007619C3" w:rsidP="00D47945">
            <w:pPr>
              <w:pStyle w:val="In-tableHeading"/>
            </w:pPr>
            <w:r w:rsidRPr="001B036C">
              <w:t>Extent of evidence supplied</w:t>
            </w:r>
          </w:p>
        </w:tc>
        <w:tc>
          <w:tcPr>
            <w:tcW w:w="1821" w:type="dxa"/>
            <w:tcBorders>
              <w:top w:val="single" w:sz="4" w:space="0" w:color="auto"/>
              <w:left w:val="single" w:sz="4" w:space="0" w:color="auto"/>
              <w:bottom w:val="single" w:sz="4" w:space="0" w:color="auto"/>
              <w:right w:val="single" w:sz="4" w:space="0" w:color="auto"/>
            </w:tcBorders>
            <w:vAlign w:val="center"/>
          </w:tcPr>
          <w:p w14:paraId="416F147D" w14:textId="77777777" w:rsidR="007619C3" w:rsidRPr="001B036C" w:rsidRDefault="007619C3" w:rsidP="00D47945">
            <w:pPr>
              <w:pStyle w:val="In-tableHeading"/>
            </w:pPr>
            <w:r w:rsidRPr="001B036C">
              <w:t>Overall risk of bias in evidence base (QUADAS-II)</w:t>
            </w:r>
          </w:p>
        </w:tc>
      </w:tr>
      <w:tr w:rsidR="007619C3" w:rsidRPr="001B036C" w14:paraId="35FBC30C" w14:textId="77777777" w:rsidTr="6866328D">
        <w:trPr>
          <w:trHeight w:val="300"/>
        </w:trPr>
        <w:tc>
          <w:tcPr>
            <w:tcW w:w="9016" w:type="dxa"/>
            <w:gridSpan w:val="4"/>
            <w:tcBorders>
              <w:top w:val="single" w:sz="4" w:space="0" w:color="auto"/>
              <w:left w:val="single" w:sz="4" w:space="0" w:color="auto"/>
              <w:bottom w:val="single" w:sz="4" w:space="0" w:color="auto"/>
              <w:right w:val="single" w:sz="4" w:space="0" w:color="auto"/>
            </w:tcBorders>
            <w:vAlign w:val="center"/>
          </w:tcPr>
          <w:p w14:paraId="7326E3BD" w14:textId="3171CA04" w:rsidR="007619C3" w:rsidRPr="001B036C" w:rsidRDefault="007619C3" w:rsidP="00D47945">
            <w:pPr>
              <w:pStyle w:val="In-tableHeading"/>
            </w:pPr>
            <w:r w:rsidRPr="001B036C">
              <w:t>Adult</w:t>
            </w:r>
            <w:r w:rsidR="00B050B4" w:rsidRPr="001B036C">
              <w:t xml:space="preserve"> patients</w:t>
            </w:r>
          </w:p>
        </w:tc>
      </w:tr>
      <w:tr w:rsidR="007619C3" w:rsidRPr="001B036C" w14:paraId="1FD07789" w14:textId="77777777" w:rsidTr="6866328D">
        <w:trPr>
          <w:trHeight w:val="300"/>
        </w:trPr>
        <w:tc>
          <w:tcPr>
            <w:tcW w:w="1435" w:type="dxa"/>
            <w:vMerge w:val="restart"/>
            <w:tcBorders>
              <w:top w:val="single" w:sz="4" w:space="0" w:color="auto"/>
              <w:left w:val="single" w:sz="4" w:space="0" w:color="auto"/>
              <w:right w:val="single" w:sz="4" w:space="0" w:color="auto"/>
            </w:tcBorders>
            <w:vAlign w:val="center"/>
          </w:tcPr>
          <w:p w14:paraId="167660BA" w14:textId="3A3082FF" w:rsidR="007619C3" w:rsidRPr="001B036C" w:rsidRDefault="007619C3" w:rsidP="6866328D">
            <w:pPr>
              <w:pStyle w:val="TableText"/>
              <w:keepNext/>
              <w:rPr>
                <w:b/>
                <w:bCs/>
              </w:rPr>
            </w:pPr>
            <w:r w:rsidRPr="001B036C">
              <w:rPr>
                <w:b/>
                <w:bCs/>
              </w:rPr>
              <w:t xml:space="preserve">Mucosal </w:t>
            </w:r>
            <w:r w:rsidR="00B050B4" w:rsidRPr="001B036C">
              <w:rPr>
                <w:b/>
                <w:bCs/>
              </w:rPr>
              <w:t>h</w:t>
            </w:r>
            <w:r w:rsidRPr="001B036C">
              <w:rPr>
                <w:b/>
                <w:bCs/>
              </w:rPr>
              <w:t>ealing</w:t>
            </w:r>
          </w:p>
        </w:tc>
        <w:tc>
          <w:tcPr>
            <w:tcW w:w="3870" w:type="dxa"/>
            <w:tcBorders>
              <w:top w:val="single" w:sz="4" w:space="0" w:color="auto"/>
              <w:left w:val="single" w:sz="4" w:space="0" w:color="auto"/>
              <w:bottom w:val="single" w:sz="4" w:space="0" w:color="auto"/>
              <w:right w:val="single" w:sz="4" w:space="0" w:color="auto"/>
            </w:tcBorders>
            <w:vAlign w:val="center"/>
          </w:tcPr>
          <w:p w14:paraId="56699058" w14:textId="77777777" w:rsidR="007619C3" w:rsidRPr="001B036C" w:rsidRDefault="007619C3" w:rsidP="6866328D">
            <w:pPr>
              <w:pStyle w:val="TableText"/>
            </w:pPr>
            <w:r w:rsidRPr="001B036C">
              <w:t>Prospective and retrospective studies.</w:t>
            </w:r>
          </w:p>
          <w:p w14:paraId="2AD35277" w14:textId="77777777" w:rsidR="007619C3" w:rsidRPr="001B036C" w:rsidRDefault="007619C3" w:rsidP="6866328D">
            <w:pPr>
              <w:pStyle w:val="TableText"/>
            </w:pPr>
            <w:r w:rsidRPr="001B036C">
              <w:t>Using a variety of endoscopic activity indices (MES, UCEIS, SES-CD) and histological indices (</w:t>
            </w:r>
            <w:proofErr w:type="spellStart"/>
            <w:r w:rsidRPr="001B036C">
              <w:t>Geboes</w:t>
            </w:r>
            <w:proofErr w:type="spellEnd"/>
            <w:r w:rsidRPr="001B036C">
              <w:t xml:space="preserve"> score)</w:t>
            </w:r>
          </w:p>
        </w:tc>
        <w:tc>
          <w:tcPr>
            <w:tcW w:w="1890" w:type="dxa"/>
            <w:tcBorders>
              <w:top w:val="single" w:sz="4" w:space="0" w:color="auto"/>
              <w:left w:val="single" w:sz="4" w:space="0" w:color="auto"/>
              <w:bottom w:val="single" w:sz="4" w:space="0" w:color="auto"/>
              <w:right w:val="single" w:sz="4" w:space="0" w:color="auto"/>
            </w:tcBorders>
            <w:vAlign w:val="center"/>
          </w:tcPr>
          <w:p w14:paraId="080F788C" w14:textId="77777777" w:rsidR="007619C3" w:rsidRPr="001B036C" w:rsidRDefault="007619C3" w:rsidP="6866328D">
            <w:pPr>
              <w:pStyle w:val="TableText"/>
            </w:pPr>
            <w:r w:rsidRPr="001B036C">
              <w:t>n = 2,161</w:t>
            </w:r>
          </w:p>
          <w:p w14:paraId="54905A1E" w14:textId="77777777" w:rsidR="007619C3" w:rsidRPr="001B036C" w:rsidRDefault="007619C3" w:rsidP="6866328D">
            <w:pPr>
              <w:pStyle w:val="TableText"/>
            </w:pPr>
            <w:r w:rsidRPr="001B036C">
              <w:t>k = 19</w:t>
            </w:r>
          </w:p>
        </w:tc>
        <w:tc>
          <w:tcPr>
            <w:tcW w:w="1821" w:type="dxa"/>
            <w:tcBorders>
              <w:top w:val="single" w:sz="4" w:space="0" w:color="auto"/>
              <w:left w:val="single" w:sz="4" w:space="0" w:color="auto"/>
              <w:bottom w:val="single" w:sz="4" w:space="0" w:color="auto"/>
              <w:right w:val="single" w:sz="4" w:space="0" w:color="auto"/>
            </w:tcBorders>
            <w:vAlign w:val="center"/>
          </w:tcPr>
          <w:p w14:paraId="40DE00C6" w14:textId="77777777" w:rsidR="007619C3" w:rsidRPr="001B036C" w:rsidRDefault="007619C3" w:rsidP="6866328D">
            <w:pPr>
              <w:pStyle w:val="TableText"/>
            </w:pPr>
            <w:r w:rsidRPr="001B036C">
              <w:t>Low</w:t>
            </w:r>
          </w:p>
        </w:tc>
      </w:tr>
      <w:tr w:rsidR="007619C3" w:rsidRPr="001B036C" w14:paraId="09309A2E" w14:textId="77777777" w:rsidTr="6866328D">
        <w:trPr>
          <w:trHeight w:val="350"/>
        </w:trPr>
        <w:tc>
          <w:tcPr>
            <w:tcW w:w="1435" w:type="dxa"/>
            <w:vMerge/>
          </w:tcPr>
          <w:p w14:paraId="1B8680D0" w14:textId="77777777" w:rsidR="007619C3" w:rsidRPr="001B036C" w:rsidRDefault="007619C3"/>
        </w:tc>
        <w:tc>
          <w:tcPr>
            <w:tcW w:w="3870" w:type="dxa"/>
            <w:tcBorders>
              <w:top w:val="single" w:sz="4" w:space="0" w:color="auto"/>
              <w:left w:val="single" w:sz="4" w:space="0" w:color="auto"/>
              <w:bottom w:val="single" w:sz="4" w:space="0" w:color="auto"/>
              <w:right w:val="single" w:sz="4" w:space="0" w:color="auto"/>
            </w:tcBorders>
            <w:vAlign w:val="center"/>
          </w:tcPr>
          <w:p w14:paraId="12086E54" w14:textId="42D26BDF" w:rsidR="007619C3" w:rsidRPr="001B036C" w:rsidRDefault="007619C3" w:rsidP="6866328D">
            <w:pPr>
              <w:pStyle w:val="TableText"/>
              <w:rPr>
                <w:rFonts w:eastAsia="Arial Narrow" w:cs="Arial Narrow"/>
              </w:rPr>
            </w:pPr>
            <w:r w:rsidRPr="001B036C">
              <w:rPr>
                <w:rFonts w:eastAsia="Arial Narrow" w:cs="Arial Narrow"/>
              </w:rPr>
              <w:t xml:space="preserve">Assessment of accuracy to detect MH in </w:t>
            </w:r>
            <w:r w:rsidR="007D3DDE">
              <w:rPr>
                <w:rFonts w:eastAsia="Arial Narrow" w:cs="Arial Narrow"/>
              </w:rPr>
              <w:t>CD</w:t>
            </w:r>
            <w:r w:rsidR="007D3DDE" w:rsidRPr="001B036C">
              <w:rPr>
                <w:rFonts w:eastAsia="Arial Narrow" w:cs="Arial Narrow"/>
              </w:rPr>
              <w:t xml:space="preserve"> </w:t>
            </w:r>
            <w:r w:rsidRPr="001B036C">
              <w:rPr>
                <w:rFonts w:eastAsia="Arial Narrow" w:cs="Arial Narrow"/>
              </w:rPr>
              <w:t xml:space="preserve">threshold at &lt;100 </w:t>
            </w:r>
            <w:proofErr w:type="spellStart"/>
            <w:r w:rsidRPr="001B036C">
              <w:rPr>
                <w:rFonts w:eastAsia="Arial Narrow" w:cs="Arial Narrow"/>
              </w:rPr>
              <w:t>μg</w:t>
            </w:r>
            <w:proofErr w:type="spellEnd"/>
            <w:r w:rsidRPr="001B036C">
              <w:rPr>
                <w:rFonts w:eastAsia="Arial Narrow" w:cs="Arial Narrow"/>
              </w:rPr>
              <w:t xml:space="preserve">/g </w:t>
            </w:r>
          </w:p>
          <w:p w14:paraId="687D39EC" w14:textId="77777777" w:rsidR="007619C3" w:rsidRPr="001B036C" w:rsidRDefault="007619C3" w:rsidP="6866328D">
            <w:pPr>
              <w:pStyle w:val="TableText"/>
            </w:pPr>
            <w:r w:rsidRPr="001B036C">
              <w:rPr>
                <w:rFonts w:eastAsia="Arial Narrow" w:cs="Arial Narrow"/>
              </w:rPr>
              <w:t xml:space="preserve">Prospective studies </w:t>
            </w:r>
            <w:r w:rsidRPr="001B036C">
              <w:rPr>
                <w:rFonts w:eastAsia="Arial Narrow" w:cs="Arial Narrow"/>
                <w:b/>
                <w:bCs/>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2723EF6C" w14:textId="77777777" w:rsidR="007619C3" w:rsidRPr="001B036C" w:rsidRDefault="007619C3" w:rsidP="6866328D">
            <w:pPr>
              <w:pStyle w:val="TableText"/>
            </w:pPr>
            <w:r w:rsidRPr="001B036C">
              <w:rPr>
                <w:rFonts w:eastAsia="Arial Narrow" w:cs="Arial Narrow"/>
              </w:rPr>
              <w:t xml:space="preserve">n= 139 </w:t>
            </w:r>
            <w:r w:rsidRPr="001B036C">
              <w:rPr>
                <w:rFonts w:eastAsia="Arial Narrow" w:cs="Arial Narrow"/>
                <w:b/>
                <w:bCs/>
              </w:rPr>
              <w:t xml:space="preserve"> </w:t>
            </w:r>
          </w:p>
          <w:p w14:paraId="28A4D029" w14:textId="77777777" w:rsidR="007619C3" w:rsidRPr="001B036C" w:rsidRDefault="007619C3" w:rsidP="6866328D">
            <w:pPr>
              <w:pStyle w:val="TableText"/>
            </w:pPr>
            <w:r w:rsidRPr="001B036C">
              <w:rPr>
                <w:rFonts w:eastAsia="Arial Narrow" w:cs="Arial Narrow"/>
              </w:rPr>
              <w:t>k=2</w:t>
            </w:r>
            <w:r w:rsidRPr="001B036C">
              <w:rPr>
                <w:rFonts w:eastAsia="Arial Narrow" w:cs="Arial Narrow"/>
                <w:b/>
                <w:bCs/>
              </w:rPr>
              <w:t xml:space="preserve"> </w:t>
            </w:r>
          </w:p>
        </w:tc>
        <w:tc>
          <w:tcPr>
            <w:tcW w:w="1821" w:type="dxa"/>
            <w:tcBorders>
              <w:top w:val="single" w:sz="4" w:space="0" w:color="auto"/>
              <w:left w:val="single" w:sz="4" w:space="0" w:color="auto"/>
              <w:bottom w:val="single" w:sz="4" w:space="0" w:color="auto"/>
              <w:right w:val="single" w:sz="4" w:space="0" w:color="auto"/>
            </w:tcBorders>
            <w:vAlign w:val="center"/>
          </w:tcPr>
          <w:p w14:paraId="55D28B23" w14:textId="77777777" w:rsidR="007619C3" w:rsidRPr="001B036C" w:rsidRDefault="007619C3" w:rsidP="6866328D">
            <w:pPr>
              <w:pStyle w:val="TableText"/>
            </w:pPr>
            <w:r w:rsidRPr="001B036C">
              <w:t>Low</w:t>
            </w:r>
          </w:p>
        </w:tc>
      </w:tr>
      <w:tr w:rsidR="007619C3" w:rsidRPr="001B036C" w14:paraId="63E6FA91" w14:textId="77777777" w:rsidTr="6866328D">
        <w:trPr>
          <w:trHeight w:val="628"/>
        </w:trPr>
        <w:tc>
          <w:tcPr>
            <w:tcW w:w="1435" w:type="dxa"/>
            <w:vMerge/>
          </w:tcPr>
          <w:p w14:paraId="28978FBC" w14:textId="77777777" w:rsidR="007619C3" w:rsidRPr="001B036C" w:rsidRDefault="007619C3"/>
        </w:tc>
        <w:tc>
          <w:tcPr>
            <w:tcW w:w="3870" w:type="dxa"/>
            <w:tcBorders>
              <w:top w:val="single" w:sz="8" w:space="0" w:color="auto"/>
              <w:left w:val="single" w:sz="8" w:space="0" w:color="auto"/>
              <w:bottom w:val="single" w:sz="8" w:space="0" w:color="auto"/>
              <w:right w:val="single" w:sz="8" w:space="0" w:color="auto"/>
            </w:tcBorders>
            <w:vAlign w:val="center"/>
          </w:tcPr>
          <w:p w14:paraId="5971DB8A" w14:textId="77777777" w:rsidR="007619C3" w:rsidRPr="001B036C" w:rsidRDefault="007619C3" w:rsidP="6866328D">
            <w:pPr>
              <w:pStyle w:val="TableText"/>
              <w:rPr>
                <w:rFonts w:eastAsia="Arial Narrow" w:cs="Arial Narrow"/>
                <w:b/>
                <w:bCs/>
              </w:rPr>
            </w:pPr>
            <w:r w:rsidRPr="001B036C">
              <w:rPr>
                <w:rFonts w:eastAsia="Arial Narrow" w:cs="Arial Narrow"/>
              </w:rPr>
              <w:t xml:space="preserve">Assessment of accuracy to detect MH in UC threshold at &lt;100 </w:t>
            </w:r>
            <w:proofErr w:type="spellStart"/>
            <w:r w:rsidRPr="001B036C">
              <w:rPr>
                <w:rFonts w:eastAsia="Arial Narrow" w:cs="Arial Narrow"/>
              </w:rPr>
              <w:t>μg</w:t>
            </w:r>
            <w:proofErr w:type="spellEnd"/>
            <w:r w:rsidRPr="001B036C">
              <w:rPr>
                <w:rFonts w:eastAsia="Arial Narrow" w:cs="Arial Narrow"/>
              </w:rPr>
              <w:t>/g</w:t>
            </w:r>
            <w:r w:rsidRPr="001B036C">
              <w:rPr>
                <w:rFonts w:eastAsia="Arial Narrow" w:cs="Arial Narrow"/>
                <w:b/>
                <w:bCs/>
              </w:rPr>
              <w:t xml:space="preserve"> </w:t>
            </w:r>
          </w:p>
          <w:p w14:paraId="0000187A" w14:textId="77777777" w:rsidR="007619C3" w:rsidRPr="001B036C" w:rsidRDefault="007619C3" w:rsidP="6866328D">
            <w:pPr>
              <w:pStyle w:val="TableText"/>
              <w:rPr>
                <w:rFonts w:eastAsia="Arial Narrow" w:cs="Arial Narrow"/>
                <w:b/>
                <w:bCs/>
              </w:rPr>
            </w:pPr>
            <w:r w:rsidRPr="001B036C">
              <w:rPr>
                <w:rFonts w:eastAsia="Arial Narrow" w:cs="Arial Narrow"/>
              </w:rPr>
              <w:t>5 prospective, 1 retrospective 1 post-hoc study</w:t>
            </w:r>
          </w:p>
        </w:tc>
        <w:tc>
          <w:tcPr>
            <w:tcW w:w="1890" w:type="dxa"/>
            <w:tcBorders>
              <w:top w:val="single" w:sz="8" w:space="0" w:color="auto"/>
              <w:left w:val="single" w:sz="8" w:space="0" w:color="auto"/>
              <w:bottom w:val="single" w:sz="8" w:space="0" w:color="auto"/>
              <w:right w:val="single" w:sz="8" w:space="0" w:color="auto"/>
            </w:tcBorders>
            <w:vAlign w:val="center"/>
          </w:tcPr>
          <w:p w14:paraId="1EB79D8B" w14:textId="77777777" w:rsidR="007619C3" w:rsidRPr="001B036C" w:rsidRDefault="007619C3" w:rsidP="6866328D">
            <w:pPr>
              <w:pStyle w:val="TableText"/>
            </w:pPr>
            <w:r w:rsidRPr="001B036C">
              <w:rPr>
                <w:rFonts w:eastAsia="Arial Narrow" w:cs="Arial Narrow"/>
              </w:rPr>
              <w:t xml:space="preserve">n= 1,271 </w:t>
            </w:r>
            <w:r w:rsidRPr="001B036C">
              <w:rPr>
                <w:rFonts w:eastAsia="Arial Narrow" w:cs="Arial Narrow"/>
                <w:b/>
                <w:bCs/>
              </w:rPr>
              <w:t xml:space="preserve"> </w:t>
            </w:r>
          </w:p>
          <w:p w14:paraId="0523B132" w14:textId="77777777" w:rsidR="007619C3" w:rsidRPr="001B036C" w:rsidRDefault="007619C3" w:rsidP="6866328D">
            <w:pPr>
              <w:pStyle w:val="TableText"/>
            </w:pPr>
            <w:r w:rsidRPr="001B036C">
              <w:rPr>
                <w:rFonts w:eastAsia="Arial Narrow" w:cs="Arial Narrow"/>
              </w:rPr>
              <w:t>k=9</w:t>
            </w:r>
            <w:r w:rsidRPr="001B036C">
              <w:rPr>
                <w:rFonts w:eastAsia="Arial Narrow" w:cs="Arial Narrow"/>
                <w:vertAlign w:val="superscript"/>
              </w:rPr>
              <w:t xml:space="preserve">a </w:t>
            </w:r>
            <w:r w:rsidRPr="001B036C">
              <w:rPr>
                <w:rFonts w:eastAsia="Arial Narrow" w:cs="Arial Narrow"/>
              </w:rPr>
              <w:t>(7 individual studies)</w:t>
            </w:r>
            <w:r w:rsidRPr="001B036C">
              <w:rPr>
                <w:rFonts w:eastAsia="Arial Narrow" w:cs="Arial Narrow"/>
                <w:b/>
                <w:bCs/>
              </w:rPr>
              <w:t xml:space="preserve"> </w:t>
            </w:r>
          </w:p>
        </w:tc>
        <w:tc>
          <w:tcPr>
            <w:tcW w:w="1821" w:type="dxa"/>
            <w:tcBorders>
              <w:top w:val="single" w:sz="4" w:space="0" w:color="auto"/>
              <w:left w:val="single" w:sz="4" w:space="0" w:color="auto"/>
              <w:bottom w:val="single" w:sz="4" w:space="0" w:color="auto"/>
              <w:right w:val="single" w:sz="4" w:space="0" w:color="auto"/>
            </w:tcBorders>
            <w:vAlign w:val="center"/>
          </w:tcPr>
          <w:p w14:paraId="4551884E" w14:textId="77777777" w:rsidR="007619C3" w:rsidRPr="001B036C" w:rsidRDefault="007619C3" w:rsidP="6866328D">
            <w:pPr>
              <w:pStyle w:val="TableText"/>
            </w:pPr>
            <w:r w:rsidRPr="001B036C">
              <w:t>Low</w:t>
            </w:r>
          </w:p>
        </w:tc>
      </w:tr>
      <w:tr w:rsidR="007619C3" w:rsidRPr="001B036C" w14:paraId="6BE89414" w14:textId="77777777" w:rsidTr="6866328D">
        <w:trPr>
          <w:trHeight w:val="300"/>
        </w:trPr>
        <w:tc>
          <w:tcPr>
            <w:tcW w:w="1435" w:type="dxa"/>
            <w:vMerge w:val="restart"/>
            <w:tcBorders>
              <w:top w:val="single" w:sz="4" w:space="0" w:color="auto"/>
              <w:left w:val="single" w:sz="4" w:space="0" w:color="auto"/>
              <w:right w:val="single" w:sz="4" w:space="0" w:color="auto"/>
            </w:tcBorders>
            <w:vAlign w:val="center"/>
          </w:tcPr>
          <w:p w14:paraId="2F276B89" w14:textId="35B052BB" w:rsidR="007619C3" w:rsidRPr="001B036C" w:rsidRDefault="007619C3" w:rsidP="6866328D">
            <w:pPr>
              <w:pStyle w:val="TableText"/>
              <w:rPr>
                <w:b/>
                <w:bCs/>
              </w:rPr>
            </w:pPr>
            <w:r w:rsidRPr="001B036C">
              <w:rPr>
                <w:b/>
                <w:bCs/>
              </w:rPr>
              <w:t>Active</w:t>
            </w:r>
            <w:r w:rsidR="00B050B4" w:rsidRPr="001B036C">
              <w:rPr>
                <w:b/>
                <w:bCs/>
              </w:rPr>
              <w:t xml:space="preserve"> disease</w:t>
            </w:r>
          </w:p>
        </w:tc>
        <w:tc>
          <w:tcPr>
            <w:tcW w:w="3870" w:type="dxa"/>
            <w:tcBorders>
              <w:top w:val="single" w:sz="8" w:space="0" w:color="auto"/>
              <w:left w:val="single" w:sz="8" w:space="0" w:color="auto"/>
              <w:bottom w:val="single" w:sz="8" w:space="0" w:color="auto"/>
              <w:right w:val="single" w:sz="8" w:space="0" w:color="auto"/>
            </w:tcBorders>
            <w:vAlign w:val="center"/>
          </w:tcPr>
          <w:p w14:paraId="16553EF7" w14:textId="77777777" w:rsidR="007619C3" w:rsidRPr="001B036C" w:rsidRDefault="007619C3" w:rsidP="6866328D">
            <w:pPr>
              <w:pStyle w:val="TableText"/>
            </w:pPr>
            <w:r w:rsidRPr="001B036C">
              <w:t>Prospective and retrospective studies.</w:t>
            </w:r>
          </w:p>
          <w:p w14:paraId="5F5D3530" w14:textId="77777777" w:rsidR="007619C3" w:rsidRPr="001B036C" w:rsidRDefault="007619C3" w:rsidP="6866328D">
            <w:pPr>
              <w:pStyle w:val="TableText"/>
            </w:pPr>
            <w:r w:rsidRPr="001B036C">
              <w:t>Aim: test validity</w:t>
            </w:r>
          </w:p>
          <w:p w14:paraId="15CE59C4" w14:textId="77777777" w:rsidR="007619C3" w:rsidRPr="001B036C" w:rsidRDefault="007619C3" w:rsidP="6866328D">
            <w:pPr>
              <w:pStyle w:val="TableText"/>
            </w:pPr>
            <w:r w:rsidRPr="001B036C">
              <w:t xml:space="preserve">Using a variety of endoscopic activity indices (MES, UCEIS, </w:t>
            </w:r>
            <w:proofErr w:type="spellStart"/>
            <w:r w:rsidRPr="001B036C">
              <w:t>Rachmilewitz</w:t>
            </w:r>
            <w:proofErr w:type="spellEnd"/>
            <w:r w:rsidRPr="001B036C">
              <w:t xml:space="preserve"> Index, SES-CD) and histological indices (</w:t>
            </w:r>
            <w:proofErr w:type="spellStart"/>
            <w:r w:rsidRPr="001B036C">
              <w:t>Geboes</w:t>
            </w:r>
            <w:proofErr w:type="spellEnd"/>
            <w:r w:rsidRPr="001B036C">
              <w:t xml:space="preserve"> score)</w:t>
            </w:r>
          </w:p>
        </w:tc>
        <w:tc>
          <w:tcPr>
            <w:tcW w:w="1890" w:type="dxa"/>
            <w:tcBorders>
              <w:top w:val="single" w:sz="8" w:space="0" w:color="auto"/>
              <w:left w:val="single" w:sz="8" w:space="0" w:color="auto"/>
              <w:bottom w:val="single" w:sz="8" w:space="0" w:color="auto"/>
              <w:right w:val="single" w:sz="8" w:space="0" w:color="auto"/>
            </w:tcBorders>
            <w:vAlign w:val="center"/>
          </w:tcPr>
          <w:p w14:paraId="28567A30" w14:textId="77777777" w:rsidR="007619C3" w:rsidRPr="001B036C" w:rsidRDefault="007619C3" w:rsidP="6866328D">
            <w:pPr>
              <w:pStyle w:val="TableText"/>
              <w:rPr>
                <w:rFonts w:eastAsia="Arial Narrow" w:cs="Arial Narrow"/>
              </w:rPr>
            </w:pPr>
            <w:r w:rsidRPr="001B036C">
              <w:rPr>
                <w:rFonts w:eastAsia="Arial Narrow" w:cs="Arial Narrow"/>
              </w:rPr>
              <w:t>n = 1,682</w:t>
            </w:r>
          </w:p>
          <w:p w14:paraId="189A4FF1" w14:textId="77777777" w:rsidR="007619C3" w:rsidRPr="001B036C" w:rsidRDefault="007619C3" w:rsidP="6866328D">
            <w:pPr>
              <w:pStyle w:val="TableText"/>
              <w:rPr>
                <w:rFonts w:eastAsia="Arial Narrow" w:cs="Arial Narrow"/>
              </w:rPr>
            </w:pPr>
            <w:r w:rsidRPr="001B036C">
              <w:rPr>
                <w:rFonts w:eastAsia="Arial Narrow" w:cs="Arial Narrow"/>
              </w:rPr>
              <w:t>k = 18</w:t>
            </w:r>
          </w:p>
        </w:tc>
        <w:tc>
          <w:tcPr>
            <w:tcW w:w="1821" w:type="dxa"/>
            <w:tcBorders>
              <w:top w:val="single" w:sz="4" w:space="0" w:color="auto"/>
              <w:left w:val="single" w:sz="4" w:space="0" w:color="auto"/>
              <w:bottom w:val="single" w:sz="4" w:space="0" w:color="auto"/>
              <w:right w:val="single" w:sz="4" w:space="0" w:color="auto"/>
            </w:tcBorders>
            <w:vAlign w:val="center"/>
          </w:tcPr>
          <w:p w14:paraId="72F9957B" w14:textId="77777777" w:rsidR="007619C3" w:rsidRPr="001B036C" w:rsidRDefault="007619C3" w:rsidP="6866328D">
            <w:pPr>
              <w:pStyle w:val="TableText"/>
              <w:rPr>
                <w:b/>
                <w:bCs/>
              </w:rPr>
            </w:pPr>
            <w:r w:rsidRPr="001B036C">
              <w:t>Medium</w:t>
            </w:r>
          </w:p>
        </w:tc>
      </w:tr>
      <w:tr w:rsidR="007619C3" w:rsidRPr="001B036C" w14:paraId="73D3DEC7" w14:textId="77777777" w:rsidTr="6866328D">
        <w:trPr>
          <w:trHeight w:val="475"/>
        </w:trPr>
        <w:tc>
          <w:tcPr>
            <w:tcW w:w="1435" w:type="dxa"/>
            <w:vMerge/>
          </w:tcPr>
          <w:p w14:paraId="5485C1F8" w14:textId="77777777" w:rsidR="007619C3" w:rsidRPr="001B036C" w:rsidRDefault="007619C3"/>
        </w:tc>
        <w:tc>
          <w:tcPr>
            <w:tcW w:w="3870" w:type="dxa"/>
            <w:tcBorders>
              <w:top w:val="single" w:sz="8" w:space="0" w:color="auto"/>
              <w:left w:val="single" w:sz="8" w:space="0" w:color="auto"/>
              <w:bottom w:val="single" w:sz="8" w:space="0" w:color="auto"/>
              <w:right w:val="single" w:sz="8" w:space="0" w:color="auto"/>
            </w:tcBorders>
            <w:vAlign w:val="center"/>
          </w:tcPr>
          <w:p w14:paraId="2A6F26EE" w14:textId="77777777" w:rsidR="007619C3" w:rsidRPr="001B036C" w:rsidRDefault="007619C3" w:rsidP="6866328D">
            <w:pPr>
              <w:pStyle w:val="TableText"/>
              <w:rPr>
                <w:rFonts w:eastAsia="Arial Narrow" w:cs="Arial Narrow"/>
              </w:rPr>
            </w:pPr>
            <w:r w:rsidRPr="001B036C">
              <w:rPr>
                <w:rFonts w:eastAsia="Arial Narrow" w:cs="Arial Narrow"/>
              </w:rPr>
              <w:t xml:space="preserve">Accuracy to detect active disease in CD at ≥100 </w:t>
            </w:r>
            <w:proofErr w:type="spellStart"/>
            <w:r w:rsidRPr="001B036C">
              <w:rPr>
                <w:rFonts w:eastAsia="Arial Narrow" w:cs="Arial Narrow"/>
              </w:rPr>
              <w:t>μg</w:t>
            </w:r>
            <w:proofErr w:type="spellEnd"/>
            <w:r w:rsidRPr="001B036C">
              <w:rPr>
                <w:rFonts w:eastAsia="Arial Narrow" w:cs="Arial Narrow"/>
              </w:rPr>
              <w:t>/g</w:t>
            </w:r>
            <w:r w:rsidRPr="001B036C">
              <w:rPr>
                <w:rFonts w:eastAsia="Arial Narrow" w:cs="Arial Narrow"/>
                <w:b/>
                <w:bCs/>
              </w:rPr>
              <w:t>.</w:t>
            </w:r>
            <w:r w:rsidRPr="001B036C">
              <w:rPr>
                <w:rFonts w:eastAsia="Arial Narrow" w:cs="Arial Narrow"/>
              </w:rPr>
              <w:t xml:space="preserve"> </w:t>
            </w:r>
          </w:p>
          <w:p w14:paraId="05353827" w14:textId="77777777" w:rsidR="007619C3" w:rsidRPr="001B036C" w:rsidRDefault="007619C3" w:rsidP="6866328D">
            <w:pPr>
              <w:pStyle w:val="TableText"/>
            </w:pPr>
            <w:r w:rsidRPr="001B036C">
              <w:rPr>
                <w:rFonts w:eastAsia="Arial Narrow" w:cs="Arial Narrow"/>
              </w:rPr>
              <w:t>4 Prospective and 1 retrospective study</w:t>
            </w:r>
          </w:p>
        </w:tc>
        <w:tc>
          <w:tcPr>
            <w:tcW w:w="1890" w:type="dxa"/>
            <w:tcBorders>
              <w:top w:val="single" w:sz="8" w:space="0" w:color="auto"/>
              <w:left w:val="single" w:sz="8" w:space="0" w:color="auto"/>
              <w:bottom w:val="single" w:sz="8" w:space="0" w:color="auto"/>
              <w:right w:val="single" w:sz="8" w:space="0" w:color="auto"/>
            </w:tcBorders>
            <w:vAlign w:val="center"/>
          </w:tcPr>
          <w:p w14:paraId="65B7F2C7" w14:textId="77777777" w:rsidR="007619C3" w:rsidRPr="001B036C" w:rsidRDefault="007619C3" w:rsidP="6866328D">
            <w:pPr>
              <w:pStyle w:val="TableText"/>
            </w:pPr>
            <w:r w:rsidRPr="001B036C">
              <w:rPr>
                <w:rFonts w:eastAsia="Arial Narrow" w:cs="Arial Narrow"/>
              </w:rPr>
              <w:t xml:space="preserve">n= 415 </w:t>
            </w:r>
            <w:r w:rsidRPr="001B036C">
              <w:rPr>
                <w:rFonts w:eastAsia="Arial Narrow" w:cs="Arial Narrow"/>
                <w:b/>
                <w:bCs/>
              </w:rPr>
              <w:t xml:space="preserve"> </w:t>
            </w:r>
          </w:p>
          <w:p w14:paraId="5CE9A87D" w14:textId="77777777" w:rsidR="007619C3" w:rsidRPr="001B036C" w:rsidRDefault="007619C3" w:rsidP="6866328D">
            <w:pPr>
              <w:pStyle w:val="TableText"/>
            </w:pPr>
            <w:r w:rsidRPr="001B036C">
              <w:rPr>
                <w:rFonts w:eastAsia="Arial Narrow" w:cs="Arial Narrow"/>
              </w:rPr>
              <w:t>k=6</w:t>
            </w:r>
            <w:r w:rsidRPr="001B036C">
              <w:rPr>
                <w:rFonts w:eastAsia="Arial Narrow" w:cs="Arial Narrow"/>
                <w:vertAlign w:val="superscript"/>
              </w:rPr>
              <w:t>a</w:t>
            </w:r>
            <w:r w:rsidRPr="001B036C">
              <w:rPr>
                <w:rFonts w:eastAsia="Arial Narrow" w:cs="Arial Narrow"/>
              </w:rPr>
              <w:t xml:space="preserve"> (5 individual studies)</w:t>
            </w:r>
            <w:r w:rsidRPr="001B036C">
              <w:rPr>
                <w:rFonts w:eastAsia="Arial Narrow" w:cs="Arial Narrow"/>
                <w:b/>
                <w:bCs/>
              </w:rPr>
              <w:t xml:space="preserve"> </w:t>
            </w:r>
          </w:p>
        </w:tc>
        <w:tc>
          <w:tcPr>
            <w:tcW w:w="1821" w:type="dxa"/>
            <w:tcBorders>
              <w:top w:val="single" w:sz="4" w:space="0" w:color="auto"/>
              <w:left w:val="single" w:sz="4" w:space="0" w:color="auto"/>
              <w:bottom w:val="single" w:sz="4" w:space="0" w:color="auto"/>
              <w:right w:val="single" w:sz="4" w:space="0" w:color="auto"/>
            </w:tcBorders>
            <w:vAlign w:val="center"/>
          </w:tcPr>
          <w:p w14:paraId="0AF1A858" w14:textId="77777777" w:rsidR="007619C3" w:rsidRPr="001B036C" w:rsidRDefault="007619C3" w:rsidP="6866328D">
            <w:pPr>
              <w:pStyle w:val="TableText"/>
            </w:pPr>
            <w:r w:rsidRPr="001B036C">
              <w:t>Low</w:t>
            </w:r>
          </w:p>
        </w:tc>
      </w:tr>
      <w:tr w:rsidR="007619C3" w:rsidRPr="001B036C" w14:paraId="7607C6A8" w14:textId="77777777" w:rsidTr="6866328D">
        <w:trPr>
          <w:trHeight w:val="300"/>
        </w:trPr>
        <w:tc>
          <w:tcPr>
            <w:tcW w:w="1435" w:type="dxa"/>
            <w:vMerge/>
          </w:tcPr>
          <w:p w14:paraId="22167BF2" w14:textId="77777777" w:rsidR="007619C3" w:rsidRPr="001B036C" w:rsidRDefault="007619C3"/>
        </w:tc>
        <w:tc>
          <w:tcPr>
            <w:tcW w:w="3870" w:type="dxa"/>
            <w:tcBorders>
              <w:top w:val="single" w:sz="8" w:space="0" w:color="auto"/>
              <w:left w:val="single" w:sz="8" w:space="0" w:color="auto"/>
              <w:bottom w:val="single" w:sz="8" w:space="0" w:color="auto"/>
              <w:right w:val="single" w:sz="8" w:space="0" w:color="auto"/>
            </w:tcBorders>
            <w:vAlign w:val="center"/>
          </w:tcPr>
          <w:p w14:paraId="539DABEF" w14:textId="77777777" w:rsidR="007619C3" w:rsidRPr="001B036C" w:rsidRDefault="007619C3" w:rsidP="6866328D">
            <w:pPr>
              <w:pStyle w:val="TableText"/>
              <w:rPr>
                <w:rFonts w:eastAsia="Arial Narrow" w:cs="Arial Narrow"/>
                <w:b/>
                <w:bCs/>
              </w:rPr>
            </w:pPr>
            <w:r w:rsidRPr="001B036C">
              <w:rPr>
                <w:rFonts w:eastAsia="Arial Narrow" w:cs="Arial Narrow"/>
              </w:rPr>
              <w:t xml:space="preserve">Accuracy of to detect active disease in UC: ≥100 </w:t>
            </w:r>
            <w:proofErr w:type="spellStart"/>
            <w:r w:rsidRPr="001B036C">
              <w:rPr>
                <w:rFonts w:eastAsia="Arial Narrow" w:cs="Arial Narrow"/>
              </w:rPr>
              <w:t>μg</w:t>
            </w:r>
            <w:proofErr w:type="spellEnd"/>
            <w:r w:rsidRPr="001B036C">
              <w:rPr>
                <w:rFonts w:eastAsia="Arial Narrow" w:cs="Arial Narrow"/>
              </w:rPr>
              <w:t>/g)</w:t>
            </w:r>
            <w:r w:rsidRPr="001B036C">
              <w:rPr>
                <w:rFonts w:eastAsia="Arial Narrow" w:cs="Arial Narrow"/>
                <w:b/>
                <w:bCs/>
              </w:rPr>
              <w:t xml:space="preserve"> </w:t>
            </w:r>
          </w:p>
          <w:p w14:paraId="62D9D26E" w14:textId="721E490D" w:rsidR="007619C3" w:rsidRPr="001B036C" w:rsidRDefault="007619C3" w:rsidP="6866328D">
            <w:pPr>
              <w:pStyle w:val="TableText"/>
            </w:pPr>
            <w:r w:rsidRPr="001B036C">
              <w:rPr>
                <w:rFonts w:eastAsia="Arial Narrow" w:cs="Arial Narrow"/>
              </w:rPr>
              <w:t>8 prospective and 3 retrospective studies</w:t>
            </w:r>
          </w:p>
        </w:tc>
        <w:tc>
          <w:tcPr>
            <w:tcW w:w="1890" w:type="dxa"/>
            <w:tcBorders>
              <w:top w:val="single" w:sz="8" w:space="0" w:color="auto"/>
              <w:left w:val="single" w:sz="8" w:space="0" w:color="auto"/>
              <w:bottom w:val="single" w:sz="8" w:space="0" w:color="auto"/>
              <w:right w:val="single" w:sz="8" w:space="0" w:color="auto"/>
            </w:tcBorders>
            <w:vAlign w:val="center"/>
          </w:tcPr>
          <w:p w14:paraId="596AA14C" w14:textId="77777777" w:rsidR="007619C3" w:rsidRPr="001B036C" w:rsidRDefault="007619C3" w:rsidP="6866328D">
            <w:pPr>
              <w:pStyle w:val="TableText"/>
            </w:pPr>
            <w:r w:rsidRPr="001B036C">
              <w:rPr>
                <w:rFonts w:eastAsia="Arial Narrow" w:cs="Arial Narrow"/>
              </w:rPr>
              <w:t xml:space="preserve">n= 883 </w:t>
            </w:r>
            <w:r w:rsidRPr="001B036C">
              <w:rPr>
                <w:rFonts w:eastAsia="Arial Narrow" w:cs="Arial Narrow"/>
                <w:b/>
                <w:bCs/>
              </w:rPr>
              <w:t xml:space="preserve"> </w:t>
            </w:r>
          </w:p>
          <w:p w14:paraId="6ABACA8E" w14:textId="77777777" w:rsidR="007619C3" w:rsidRPr="001B036C" w:rsidRDefault="007619C3" w:rsidP="6866328D">
            <w:pPr>
              <w:pStyle w:val="TableText"/>
            </w:pPr>
            <w:r w:rsidRPr="001B036C">
              <w:rPr>
                <w:rFonts w:eastAsia="Arial Narrow" w:cs="Arial Narrow"/>
              </w:rPr>
              <w:t>k=11</w:t>
            </w:r>
            <w:r w:rsidRPr="001B036C">
              <w:rPr>
                <w:rFonts w:eastAsia="Arial Narrow" w:cs="Arial Narrow"/>
                <w:b/>
                <w:bCs/>
              </w:rPr>
              <w:t xml:space="preserve"> </w:t>
            </w:r>
          </w:p>
        </w:tc>
        <w:tc>
          <w:tcPr>
            <w:tcW w:w="1821" w:type="dxa"/>
            <w:tcBorders>
              <w:top w:val="single" w:sz="4" w:space="0" w:color="auto"/>
              <w:left w:val="single" w:sz="4" w:space="0" w:color="auto"/>
              <w:bottom w:val="single" w:sz="4" w:space="0" w:color="auto"/>
              <w:right w:val="single" w:sz="4" w:space="0" w:color="auto"/>
            </w:tcBorders>
            <w:vAlign w:val="center"/>
          </w:tcPr>
          <w:p w14:paraId="1AF9A3A6" w14:textId="77777777" w:rsidR="007619C3" w:rsidRPr="001B036C" w:rsidRDefault="007619C3" w:rsidP="6866328D">
            <w:pPr>
              <w:pStyle w:val="TableText"/>
            </w:pPr>
            <w:r w:rsidRPr="001B036C">
              <w:t>Medium</w:t>
            </w:r>
          </w:p>
        </w:tc>
      </w:tr>
      <w:tr w:rsidR="007619C3" w:rsidRPr="001B036C" w14:paraId="566BE4A6" w14:textId="77777777" w:rsidTr="6866328D">
        <w:trPr>
          <w:trHeight w:val="300"/>
        </w:trPr>
        <w:tc>
          <w:tcPr>
            <w:tcW w:w="1435" w:type="dxa"/>
            <w:vMerge w:val="restart"/>
            <w:tcBorders>
              <w:top w:val="single" w:sz="4" w:space="0" w:color="auto"/>
              <w:left w:val="single" w:sz="4" w:space="0" w:color="auto"/>
              <w:right w:val="single" w:sz="4" w:space="0" w:color="auto"/>
            </w:tcBorders>
            <w:vAlign w:val="center"/>
          </w:tcPr>
          <w:p w14:paraId="235D1371" w14:textId="0EE55E74" w:rsidR="007619C3" w:rsidRPr="001B036C" w:rsidRDefault="007619C3" w:rsidP="6866328D">
            <w:pPr>
              <w:pStyle w:val="TableText"/>
              <w:rPr>
                <w:b/>
                <w:bCs/>
              </w:rPr>
            </w:pPr>
            <w:r w:rsidRPr="001B036C">
              <w:rPr>
                <w:b/>
                <w:bCs/>
              </w:rPr>
              <w:t xml:space="preserve">Predicting </w:t>
            </w:r>
            <w:r w:rsidR="00B050B4" w:rsidRPr="001B036C">
              <w:rPr>
                <w:b/>
                <w:bCs/>
              </w:rPr>
              <w:t>r</w:t>
            </w:r>
            <w:r w:rsidRPr="001B036C">
              <w:rPr>
                <w:b/>
                <w:bCs/>
              </w:rPr>
              <w:t xml:space="preserve">elapse </w:t>
            </w:r>
          </w:p>
        </w:tc>
        <w:tc>
          <w:tcPr>
            <w:tcW w:w="3870" w:type="dxa"/>
            <w:tcBorders>
              <w:top w:val="single" w:sz="4" w:space="0" w:color="auto"/>
              <w:left w:val="single" w:sz="4" w:space="0" w:color="auto"/>
              <w:bottom w:val="single" w:sz="4" w:space="0" w:color="auto"/>
              <w:right w:val="single" w:sz="4" w:space="0" w:color="auto"/>
            </w:tcBorders>
            <w:vAlign w:val="center"/>
          </w:tcPr>
          <w:p w14:paraId="44BFABFE" w14:textId="755FC721" w:rsidR="007619C3" w:rsidRPr="001B036C" w:rsidRDefault="007619C3" w:rsidP="6866328D">
            <w:pPr>
              <w:pStyle w:val="TableText"/>
              <w:rPr>
                <w:rFonts w:eastAsia="Arial Narrow" w:cs="Arial Narrow"/>
              </w:rPr>
            </w:pPr>
            <w:r w:rsidRPr="001B036C">
              <w:rPr>
                <w:rFonts w:eastAsia="Arial Narrow" w:cs="Arial Narrow"/>
              </w:rPr>
              <w:t>Prospective and retrospective studies detecting relapse in IBD patients – all follow</w:t>
            </w:r>
            <w:r w:rsidR="009D5FB0" w:rsidRPr="001B036C">
              <w:rPr>
                <w:rFonts w:eastAsia="Arial Narrow" w:cs="Arial Narrow"/>
              </w:rPr>
              <w:t>-</w:t>
            </w:r>
            <w:r w:rsidRPr="001B036C">
              <w:rPr>
                <w:rFonts w:eastAsia="Arial Narrow" w:cs="Arial Narrow"/>
              </w:rPr>
              <w:t>up periods</w:t>
            </w:r>
          </w:p>
        </w:tc>
        <w:tc>
          <w:tcPr>
            <w:tcW w:w="1890" w:type="dxa"/>
            <w:tcBorders>
              <w:top w:val="single" w:sz="4" w:space="0" w:color="auto"/>
              <w:left w:val="single" w:sz="4" w:space="0" w:color="auto"/>
              <w:bottom w:val="single" w:sz="4" w:space="0" w:color="auto"/>
              <w:right w:val="single" w:sz="4" w:space="0" w:color="auto"/>
            </w:tcBorders>
            <w:vAlign w:val="center"/>
          </w:tcPr>
          <w:p w14:paraId="0836163B" w14:textId="77777777" w:rsidR="007619C3" w:rsidRPr="001B036C" w:rsidRDefault="007619C3" w:rsidP="6866328D">
            <w:pPr>
              <w:pStyle w:val="TableText"/>
              <w:rPr>
                <w:rFonts w:eastAsia="Arial Narrow" w:cs="Arial Narrow"/>
              </w:rPr>
            </w:pPr>
            <w:r w:rsidRPr="001B036C">
              <w:rPr>
                <w:rFonts w:eastAsia="Arial Narrow" w:cs="Arial Narrow"/>
              </w:rPr>
              <w:t>n = 2,319</w:t>
            </w:r>
          </w:p>
          <w:p w14:paraId="1DFF7894" w14:textId="77777777" w:rsidR="007619C3" w:rsidRPr="001B036C" w:rsidRDefault="007619C3" w:rsidP="6866328D">
            <w:pPr>
              <w:pStyle w:val="TableText"/>
              <w:rPr>
                <w:rFonts w:eastAsia="Arial Narrow" w:cs="Arial Narrow"/>
              </w:rPr>
            </w:pPr>
            <w:r w:rsidRPr="001B036C">
              <w:rPr>
                <w:rFonts w:eastAsia="Arial Narrow" w:cs="Arial Narrow"/>
              </w:rPr>
              <w:t>k=27</w:t>
            </w:r>
          </w:p>
        </w:tc>
        <w:tc>
          <w:tcPr>
            <w:tcW w:w="1821" w:type="dxa"/>
            <w:tcBorders>
              <w:top w:val="single" w:sz="4" w:space="0" w:color="auto"/>
              <w:left w:val="single" w:sz="4" w:space="0" w:color="auto"/>
              <w:bottom w:val="single" w:sz="4" w:space="0" w:color="auto"/>
              <w:right w:val="single" w:sz="4" w:space="0" w:color="auto"/>
            </w:tcBorders>
            <w:vAlign w:val="center"/>
          </w:tcPr>
          <w:p w14:paraId="6CC18082" w14:textId="77777777" w:rsidR="007619C3" w:rsidRPr="001B036C" w:rsidRDefault="007619C3" w:rsidP="6866328D">
            <w:pPr>
              <w:pStyle w:val="TableText"/>
            </w:pPr>
            <w:r w:rsidRPr="001B036C">
              <w:t>Low</w:t>
            </w:r>
          </w:p>
        </w:tc>
      </w:tr>
      <w:tr w:rsidR="007619C3" w:rsidRPr="001B036C" w14:paraId="70DA26F5" w14:textId="77777777" w:rsidTr="6866328D">
        <w:trPr>
          <w:trHeight w:val="300"/>
        </w:trPr>
        <w:tc>
          <w:tcPr>
            <w:tcW w:w="1435" w:type="dxa"/>
            <w:vMerge/>
          </w:tcPr>
          <w:p w14:paraId="042FA407" w14:textId="77777777" w:rsidR="007619C3" w:rsidRPr="001B036C" w:rsidRDefault="007619C3"/>
        </w:tc>
        <w:tc>
          <w:tcPr>
            <w:tcW w:w="3870" w:type="dxa"/>
            <w:tcBorders>
              <w:top w:val="single" w:sz="8" w:space="0" w:color="auto"/>
              <w:left w:val="single" w:sz="4" w:space="0" w:color="auto"/>
              <w:bottom w:val="single" w:sz="8" w:space="0" w:color="auto"/>
              <w:right w:val="single" w:sz="8" w:space="0" w:color="auto"/>
            </w:tcBorders>
            <w:vAlign w:val="center"/>
          </w:tcPr>
          <w:p w14:paraId="32B44D5A" w14:textId="77777777" w:rsidR="007619C3" w:rsidRPr="001B036C" w:rsidRDefault="007619C3" w:rsidP="6866328D">
            <w:pPr>
              <w:pStyle w:val="TableText"/>
              <w:rPr>
                <w:rFonts w:eastAsia="Arial Narrow" w:cs="Arial Narrow"/>
              </w:rPr>
            </w:pPr>
            <w:r w:rsidRPr="001B036C">
              <w:rPr>
                <w:rFonts w:eastAsia="Arial Narrow" w:cs="Arial Narrow"/>
              </w:rPr>
              <w:t xml:space="preserve">Accuracy to predict relapse in IBD (&gt;100 </w:t>
            </w:r>
            <w:proofErr w:type="spellStart"/>
            <w:r w:rsidRPr="001B036C">
              <w:rPr>
                <w:rFonts w:eastAsia="Arial Narrow" w:cs="Arial Narrow"/>
              </w:rPr>
              <w:t>μg</w:t>
            </w:r>
            <w:proofErr w:type="spellEnd"/>
            <w:r w:rsidRPr="001B036C">
              <w:rPr>
                <w:rFonts w:eastAsia="Arial Narrow" w:cs="Arial Narrow"/>
              </w:rPr>
              <w:t>/g) at 12-month follow-up in CD</w:t>
            </w:r>
          </w:p>
          <w:p w14:paraId="4A0840FF" w14:textId="77777777" w:rsidR="007619C3" w:rsidRPr="001B036C" w:rsidRDefault="007619C3" w:rsidP="6866328D">
            <w:pPr>
              <w:pStyle w:val="TableText"/>
              <w:rPr>
                <w:rFonts w:eastAsia="Arial Narrow" w:cs="Arial Narrow"/>
              </w:rPr>
            </w:pPr>
            <w:r w:rsidRPr="001B036C">
              <w:rPr>
                <w:rFonts w:eastAsia="Arial Narrow" w:cs="Arial Narrow"/>
              </w:rPr>
              <w:t>5 prospective and 1 retrospective study</w:t>
            </w:r>
          </w:p>
        </w:tc>
        <w:tc>
          <w:tcPr>
            <w:tcW w:w="1890" w:type="dxa"/>
            <w:tcBorders>
              <w:top w:val="single" w:sz="8" w:space="0" w:color="auto"/>
              <w:left w:val="single" w:sz="8" w:space="0" w:color="auto"/>
              <w:bottom w:val="single" w:sz="8" w:space="0" w:color="auto"/>
              <w:right w:val="single" w:sz="8" w:space="0" w:color="auto"/>
            </w:tcBorders>
            <w:vAlign w:val="center"/>
          </w:tcPr>
          <w:p w14:paraId="39B26588" w14:textId="77777777" w:rsidR="007619C3" w:rsidRPr="001B036C" w:rsidRDefault="007619C3" w:rsidP="6866328D">
            <w:pPr>
              <w:pStyle w:val="TableText"/>
              <w:rPr>
                <w:rFonts w:eastAsia="Arial Narrow" w:cs="Arial Narrow"/>
              </w:rPr>
            </w:pPr>
            <w:r w:rsidRPr="001B036C">
              <w:rPr>
                <w:rFonts w:eastAsia="Arial Narrow" w:cs="Arial Narrow"/>
              </w:rPr>
              <w:t>n = 408</w:t>
            </w:r>
          </w:p>
          <w:p w14:paraId="0BEDE5A8" w14:textId="77777777" w:rsidR="007619C3" w:rsidRPr="001B036C" w:rsidRDefault="007619C3" w:rsidP="6866328D">
            <w:pPr>
              <w:pStyle w:val="TableText"/>
              <w:rPr>
                <w:rFonts w:eastAsia="Arial Narrow" w:cs="Arial Narrow"/>
              </w:rPr>
            </w:pPr>
            <w:r w:rsidRPr="001B036C">
              <w:rPr>
                <w:rFonts w:eastAsia="Arial Narrow" w:cs="Arial Narrow"/>
              </w:rPr>
              <w:t>k=6</w:t>
            </w:r>
          </w:p>
        </w:tc>
        <w:tc>
          <w:tcPr>
            <w:tcW w:w="1821" w:type="dxa"/>
            <w:tcBorders>
              <w:top w:val="single" w:sz="4" w:space="0" w:color="auto"/>
              <w:left w:val="single" w:sz="4" w:space="0" w:color="auto"/>
              <w:bottom w:val="single" w:sz="4" w:space="0" w:color="auto"/>
              <w:right w:val="single" w:sz="4" w:space="0" w:color="auto"/>
            </w:tcBorders>
            <w:vAlign w:val="center"/>
          </w:tcPr>
          <w:p w14:paraId="409009F1" w14:textId="77777777" w:rsidR="007619C3" w:rsidRPr="001B036C" w:rsidRDefault="007619C3" w:rsidP="6866328D">
            <w:pPr>
              <w:pStyle w:val="TableText"/>
            </w:pPr>
            <w:r w:rsidRPr="001B036C">
              <w:t>Medium</w:t>
            </w:r>
          </w:p>
        </w:tc>
      </w:tr>
      <w:tr w:rsidR="007619C3" w:rsidRPr="001B036C" w14:paraId="5597A4F8" w14:textId="77777777" w:rsidTr="6866328D">
        <w:trPr>
          <w:trHeight w:val="300"/>
        </w:trPr>
        <w:tc>
          <w:tcPr>
            <w:tcW w:w="1435" w:type="dxa"/>
            <w:vMerge/>
          </w:tcPr>
          <w:p w14:paraId="7C157EFC" w14:textId="77777777" w:rsidR="007619C3" w:rsidRPr="001B036C" w:rsidRDefault="007619C3"/>
        </w:tc>
        <w:tc>
          <w:tcPr>
            <w:tcW w:w="3870" w:type="dxa"/>
            <w:tcBorders>
              <w:top w:val="single" w:sz="8" w:space="0" w:color="auto"/>
              <w:left w:val="single" w:sz="4" w:space="0" w:color="auto"/>
              <w:bottom w:val="single" w:sz="8" w:space="0" w:color="auto"/>
              <w:right w:val="single" w:sz="8" w:space="0" w:color="auto"/>
            </w:tcBorders>
            <w:vAlign w:val="center"/>
          </w:tcPr>
          <w:p w14:paraId="5FB57EA8" w14:textId="77777777" w:rsidR="007619C3" w:rsidRPr="001B036C" w:rsidRDefault="007619C3" w:rsidP="6866328D">
            <w:pPr>
              <w:pStyle w:val="TableText"/>
              <w:rPr>
                <w:rFonts w:eastAsia="Arial Narrow" w:cs="Arial Narrow"/>
              </w:rPr>
            </w:pPr>
            <w:r w:rsidRPr="001B036C">
              <w:rPr>
                <w:rFonts w:eastAsia="Arial Narrow" w:cs="Arial Narrow"/>
              </w:rPr>
              <w:t xml:space="preserve">Accuracy to predict relapse in IBD (&gt;100 </w:t>
            </w:r>
            <w:proofErr w:type="spellStart"/>
            <w:r w:rsidRPr="001B036C">
              <w:rPr>
                <w:rFonts w:eastAsia="Arial Narrow" w:cs="Arial Narrow"/>
              </w:rPr>
              <w:t>μg</w:t>
            </w:r>
            <w:proofErr w:type="spellEnd"/>
            <w:r w:rsidRPr="001B036C">
              <w:rPr>
                <w:rFonts w:eastAsia="Arial Narrow" w:cs="Arial Narrow"/>
              </w:rPr>
              <w:t xml:space="preserve">/g) at 12-month follow-up in UC </w:t>
            </w:r>
          </w:p>
          <w:p w14:paraId="50C8EFA3" w14:textId="77777777" w:rsidR="007619C3" w:rsidRPr="001B036C" w:rsidRDefault="007619C3" w:rsidP="6866328D">
            <w:pPr>
              <w:pStyle w:val="TableText"/>
              <w:rPr>
                <w:rFonts w:eastAsia="Arial Narrow" w:cs="Arial Narrow"/>
              </w:rPr>
            </w:pPr>
            <w:r w:rsidRPr="001B036C">
              <w:rPr>
                <w:rFonts w:eastAsia="Arial Narrow" w:cs="Arial Narrow"/>
              </w:rPr>
              <w:t>Prospective studies</w:t>
            </w:r>
          </w:p>
        </w:tc>
        <w:tc>
          <w:tcPr>
            <w:tcW w:w="1890" w:type="dxa"/>
            <w:tcBorders>
              <w:top w:val="single" w:sz="8" w:space="0" w:color="auto"/>
              <w:left w:val="single" w:sz="8" w:space="0" w:color="auto"/>
              <w:bottom w:val="single" w:sz="8" w:space="0" w:color="auto"/>
              <w:right w:val="single" w:sz="8" w:space="0" w:color="auto"/>
            </w:tcBorders>
            <w:vAlign w:val="center"/>
          </w:tcPr>
          <w:p w14:paraId="479E1CAD" w14:textId="77777777" w:rsidR="007619C3" w:rsidRPr="001B036C" w:rsidRDefault="007619C3" w:rsidP="6866328D">
            <w:pPr>
              <w:pStyle w:val="TableText"/>
              <w:rPr>
                <w:rFonts w:eastAsia="Arial Narrow" w:cs="Arial Narrow"/>
              </w:rPr>
            </w:pPr>
            <w:r w:rsidRPr="001B036C">
              <w:rPr>
                <w:rFonts w:eastAsia="Arial Narrow" w:cs="Arial Narrow"/>
              </w:rPr>
              <w:t>n = 1,267</w:t>
            </w:r>
          </w:p>
          <w:p w14:paraId="17BEF83C" w14:textId="77777777" w:rsidR="007619C3" w:rsidRPr="001B036C" w:rsidRDefault="007619C3" w:rsidP="6866328D">
            <w:pPr>
              <w:pStyle w:val="TableText"/>
              <w:rPr>
                <w:rFonts w:eastAsia="Arial Narrow" w:cs="Arial Narrow"/>
              </w:rPr>
            </w:pPr>
            <w:r w:rsidRPr="001B036C">
              <w:rPr>
                <w:rFonts w:eastAsia="Arial Narrow" w:cs="Arial Narrow"/>
              </w:rPr>
              <w:t>k=14</w:t>
            </w:r>
          </w:p>
        </w:tc>
        <w:tc>
          <w:tcPr>
            <w:tcW w:w="1821" w:type="dxa"/>
            <w:tcBorders>
              <w:top w:val="single" w:sz="4" w:space="0" w:color="auto"/>
              <w:left w:val="single" w:sz="4" w:space="0" w:color="auto"/>
              <w:bottom w:val="single" w:sz="4" w:space="0" w:color="auto"/>
              <w:right w:val="single" w:sz="4" w:space="0" w:color="auto"/>
            </w:tcBorders>
            <w:vAlign w:val="center"/>
          </w:tcPr>
          <w:p w14:paraId="1445D20B" w14:textId="77777777" w:rsidR="007619C3" w:rsidRPr="001B036C" w:rsidRDefault="007619C3" w:rsidP="6866328D">
            <w:pPr>
              <w:pStyle w:val="TableText"/>
            </w:pPr>
            <w:r w:rsidRPr="001B036C">
              <w:t>Low</w:t>
            </w:r>
          </w:p>
        </w:tc>
      </w:tr>
      <w:tr w:rsidR="007619C3" w:rsidRPr="001B036C" w14:paraId="258C6FDF" w14:textId="77777777" w:rsidTr="6866328D">
        <w:trPr>
          <w:trHeight w:val="300"/>
        </w:trPr>
        <w:tc>
          <w:tcPr>
            <w:tcW w:w="1435" w:type="dxa"/>
            <w:vMerge/>
          </w:tcPr>
          <w:p w14:paraId="35A0A80B" w14:textId="77777777" w:rsidR="007619C3" w:rsidRPr="001B036C" w:rsidRDefault="007619C3"/>
        </w:tc>
        <w:tc>
          <w:tcPr>
            <w:tcW w:w="3870" w:type="dxa"/>
            <w:tcBorders>
              <w:top w:val="single" w:sz="8" w:space="0" w:color="auto"/>
              <w:left w:val="single" w:sz="8" w:space="0" w:color="auto"/>
              <w:bottom w:val="single" w:sz="8" w:space="0" w:color="auto"/>
              <w:right w:val="single" w:sz="8" w:space="0" w:color="auto"/>
            </w:tcBorders>
            <w:vAlign w:val="center"/>
          </w:tcPr>
          <w:p w14:paraId="6F5B81B0" w14:textId="77777777" w:rsidR="007619C3" w:rsidRPr="001B036C" w:rsidRDefault="007619C3" w:rsidP="6866328D">
            <w:pPr>
              <w:pStyle w:val="TableText"/>
              <w:rPr>
                <w:rFonts w:eastAsia="Arial Narrow" w:cs="Arial Narrow"/>
              </w:rPr>
            </w:pPr>
            <w:r w:rsidRPr="001B036C">
              <w:rPr>
                <w:rFonts w:eastAsia="Arial Narrow" w:cs="Arial Narrow"/>
              </w:rPr>
              <w:t xml:space="preserve">Accuracy to predict relapse in IBD (&gt;100 </w:t>
            </w:r>
            <w:proofErr w:type="spellStart"/>
            <w:r w:rsidRPr="001B036C">
              <w:rPr>
                <w:rFonts w:eastAsia="Arial Narrow" w:cs="Arial Narrow"/>
              </w:rPr>
              <w:t>μg</w:t>
            </w:r>
            <w:proofErr w:type="spellEnd"/>
            <w:r w:rsidRPr="001B036C">
              <w:rPr>
                <w:rFonts w:eastAsia="Arial Narrow" w:cs="Arial Narrow"/>
              </w:rPr>
              <w:t xml:space="preserve">/g) at 12-month follow-up in IBD </w:t>
            </w:r>
          </w:p>
          <w:p w14:paraId="248B3905" w14:textId="77777777" w:rsidR="007619C3" w:rsidRPr="001B036C" w:rsidRDefault="007619C3" w:rsidP="6866328D">
            <w:pPr>
              <w:pStyle w:val="TableText"/>
              <w:rPr>
                <w:rFonts w:eastAsia="Arial Narrow" w:cs="Arial Narrow"/>
              </w:rPr>
            </w:pPr>
            <w:r w:rsidRPr="001B036C">
              <w:rPr>
                <w:rFonts w:eastAsia="Arial Narrow" w:cs="Arial Narrow"/>
              </w:rPr>
              <w:t>Prospective studies</w:t>
            </w:r>
          </w:p>
        </w:tc>
        <w:tc>
          <w:tcPr>
            <w:tcW w:w="1890" w:type="dxa"/>
            <w:tcBorders>
              <w:top w:val="single" w:sz="8" w:space="0" w:color="auto"/>
              <w:left w:val="single" w:sz="8" w:space="0" w:color="auto"/>
              <w:bottom w:val="single" w:sz="8" w:space="0" w:color="auto"/>
              <w:right w:val="single" w:sz="8" w:space="0" w:color="auto"/>
            </w:tcBorders>
            <w:vAlign w:val="center"/>
          </w:tcPr>
          <w:p w14:paraId="0C1746DE" w14:textId="77777777" w:rsidR="007619C3" w:rsidRPr="001B036C" w:rsidRDefault="007619C3" w:rsidP="6866328D">
            <w:pPr>
              <w:pStyle w:val="TableText"/>
              <w:rPr>
                <w:rFonts w:eastAsia="Arial Narrow" w:cs="Arial Narrow"/>
              </w:rPr>
            </w:pPr>
            <w:r w:rsidRPr="001B036C">
              <w:rPr>
                <w:rFonts w:eastAsia="Arial Narrow" w:cs="Arial Narrow"/>
              </w:rPr>
              <w:t>n = 264</w:t>
            </w:r>
          </w:p>
          <w:p w14:paraId="74066226" w14:textId="77777777" w:rsidR="007619C3" w:rsidRPr="001B036C" w:rsidRDefault="007619C3" w:rsidP="6866328D">
            <w:pPr>
              <w:pStyle w:val="TableText"/>
              <w:rPr>
                <w:rFonts w:eastAsia="Arial Narrow" w:cs="Arial Narrow"/>
              </w:rPr>
            </w:pPr>
            <w:r w:rsidRPr="001B036C">
              <w:rPr>
                <w:rFonts w:eastAsia="Arial Narrow" w:cs="Arial Narrow"/>
              </w:rPr>
              <w:t>k=2</w:t>
            </w:r>
          </w:p>
        </w:tc>
        <w:tc>
          <w:tcPr>
            <w:tcW w:w="1821" w:type="dxa"/>
            <w:tcBorders>
              <w:top w:val="single" w:sz="4" w:space="0" w:color="auto"/>
              <w:left w:val="single" w:sz="4" w:space="0" w:color="auto"/>
              <w:bottom w:val="single" w:sz="4" w:space="0" w:color="auto"/>
              <w:right w:val="single" w:sz="4" w:space="0" w:color="auto"/>
            </w:tcBorders>
            <w:vAlign w:val="center"/>
          </w:tcPr>
          <w:p w14:paraId="33F05227" w14:textId="77777777" w:rsidR="007619C3" w:rsidRPr="001B036C" w:rsidRDefault="007619C3" w:rsidP="6866328D">
            <w:pPr>
              <w:pStyle w:val="TableText"/>
            </w:pPr>
            <w:r w:rsidRPr="001B036C">
              <w:t>Low</w:t>
            </w:r>
          </w:p>
        </w:tc>
      </w:tr>
      <w:tr w:rsidR="007619C3" w:rsidRPr="001B036C" w14:paraId="4F9E6228" w14:textId="77777777" w:rsidTr="6866328D">
        <w:trPr>
          <w:trHeight w:val="300"/>
        </w:trPr>
        <w:tc>
          <w:tcPr>
            <w:tcW w:w="9016" w:type="dxa"/>
            <w:gridSpan w:val="4"/>
            <w:tcBorders>
              <w:top w:val="single" w:sz="4" w:space="0" w:color="auto"/>
              <w:left w:val="single" w:sz="4" w:space="0" w:color="auto"/>
              <w:bottom w:val="single" w:sz="4" w:space="0" w:color="auto"/>
              <w:right w:val="single" w:sz="4" w:space="0" w:color="auto"/>
            </w:tcBorders>
            <w:vAlign w:val="center"/>
          </w:tcPr>
          <w:p w14:paraId="17AC7F5A" w14:textId="24720B61" w:rsidR="007619C3" w:rsidRPr="001B036C" w:rsidRDefault="007619C3" w:rsidP="00D47945">
            <w:pPr>
              <w:pStyle w:val="In-tableHeading"/>
            </w:pPr>
            <w:proofErr w:type="spellStart"/>
            <w:r w:rsidRPr="001B036C">
              <w:t>Paediatric</w:t>
            </w:r>
            <w:proofErr w:type="spellEnd"/>
            <w:r w:rsidR="00B050B4" w:rsidRPr="001B036C">
              <w:t xml:space="preserve"> patients</w:t>
            </w:r>
          </w:p>
        </w:tc>
      </w:tr>
      <w:tr w:rsidR="007619C3" w:rsidRPr="001B036C" w14:paraId="5DA9BAA9" w14:textId="77777777" w:rsidTr="6866328D">
        <w:trPr>
          <w:trHeight w:val="300"/>
        </w:trPr>
        <w:tc>
          <w:tcPr>
            <w:tcW w:w="1435" w:type="dxa"/>
            <w:tcBorders>
              <w:top w:val="single" w:sz="4" w:space="0" w:color="auto"/>
              <w:left w:val="single" w:sz="4" w:space="0" w:color="auto"/>
              <w:bottom w:val="single" w:sz="4" w:space="0" w:color="auto"/>
              <w:right w:val="single" w:sz="4" w:space="0" w:color="auto"/>
            </w:tcBorders>
            <w:vAlign w:val="center"/>
          </w:tcPr>
          <w:p w14:paraId="0A2876CB" w14:textId="77777777" w:rsidR="007619C3" w:rsidRPr="001B036C" w:rsidRDefault="007619C3" w:rsidP="6866328D">
            <w:pPr>
              <w:pStyle w:val="TableText"/>
              <w:rPr>
                <w:b/>
              </w:rPr>
            </w:pPr>
            <w:r w:rsidRPr="001B036C">
              <w:rPr>
                <w:b/>
              </w:rPr>
              <w:t>Mucosal healing</w:t>
            </w:r>
          </w:p>
        </w:tc>
        <w:tc>
          <w:tcPr>
            <w:tcW w:w="3870" w:type="dxa"/>
            <w:tcBorders>
              <w:top w:val="single" w:sz="8" w:space="0" w:color="auto"/>
              <w:left w:val="single" w:sz="8" w:space="0" w:color="auto"/>
              <w:bottom w:val="single" w:sz="8" w:space="0" w:color="auto"/>
              <w:right w:val="single" w:sz="8" w:space="0" w:color="auto"/>
            </w:tcBorders>
            <w:vAlign w:val="center"/>
          </w:tcPr>
          <w:p w14:paraId="4D62108E" w14:textId="77777777" w:rsidR="007619C3" w:rsidRPr="001B036C" w:rsidRDefault="007619C3" w:rsidP="6866328D">
            <w:pPr>
              <w:pStyle w:val="TableText"/>
              <w:rPr>
                <w:rFonts w:eastAsia="Arial Narrow" w:cs="Arial Narrow"/>
              </w:rPr>
            </w:pPr>
            <w:r w:rsidRPr="001B036C">
              <w:rPr>
                <w:rFonts w:eastAsia="Arial Narrow" w:cs="Arial Narrow"/>
              </w:rPr>
              <w:t xml:space="preserve">Accuracy to detect MH in CD in paediatric population: all cut-offs 2 </w:t>
            </w:r>
          </w:p>
          <w:p w14:paraId="4621E403" w14:textId="77777777" w:rsidR="007619C3" w:rsidRPr="001B036C" w:rsidRDefault="007619C3" w:rsidP="6866328D">
            <w:pPr>
              <w:pStyle w:val="TableText"/>
              <w:rPr>
                <w:rFonts w:eastAsia="Arial Narrow" w:cs="Arial Narrow"/>
              </w:rPr>
            </w:pPr>
            <w:r w:rsidRPr="001B036C">
              <w:rPr>
                <w:rFonts w:eastAsia="Arial Narrow" w:cs="Arial Narrow"/>
              </w:rPr>
              <w:t>Prospective and retrospective studies</w:t>
            </w:r>
          </w:p>
        </w:tc>
        <w:tc>
          <w:tcPr>
            <w:tcW w:w="1890" w:type="dxa"/>
            <w:tcBorders>
              <w:top w:val="single" w:sz="8" w:space="0" w:color="auto"/>
              <w:left w:val="single" w:sz="8" w:space="0" w:color="auto"/>
              <w:bottom w:val="single" w:sz="8" w:space="0" w:color="auto"/>
              <w:right w:val="single" w:sz="8" w:space="0" w:color="auto"/>
            </w:tcBorders>
            <w:vAlign w:val="center"/>
          </w:tcPr>
          <w:p w14:paraId="1D352B6C" w14:textId="77777777" w:rsidR="007619C3" w:rsidRPr="001B036C" w:rsidRDefault="007619C3" w:rsidP="6866328D">
            <w:pPr>
              <w:pStyle w:val="TableText"/>
            </w:pPr>
            <w:r w:rsidRPr="001B036C">
              <w:rPr>
                <w:rFonts w:eastAsia="Arial Narrow" w:cs="Arial Narrow"/>
              </w:rPr>
              <w:t>n = 192</w:t>
            </w:r>
          </w:p>
          <w:p w14:paraId="1BCF8A08" w14:textId="77777777" w:rsidR="007619C3" w:rsidRPr="001B036C" w:rsidRDefault="007619C3" w:rsidP="6866328D">
            <w:pPr>
              <w:pStyle w:val="TableText"/>
            </w:pPr>
            <w:r w:rsidRPr="001B036C">
              <w:rPr>
                <w:rFonts w:eastAsia="Arial Narrow" w:cs="Arial Narrow"/>
              </w:rPr>
              <w:t>k = 4</w:t>
            </w:r>
          </w:p>
          <w:p w14:paraId="03EF0670" w14:textId="77777777" w:rsidR="007619C3" w:rsidRPr="001B036C" w:rsidRDefault="007619C3" w:rsidP="6866328D">
            <w:pPr>
              <w:pStyle w:val="TableText"/>
              <w:rPr>
                <w:rFonts w:eastAsia="Arial Narrow" w:cs="Arial Narrow"/>
              </w:rPr>
            </w:pPr>
          </w:p>
        </w:tc>
        <w:tc>
          <w:tcPr>
            <w:tcW w:w="1821" w:type="dxa"/>
            <w:tcBorders>
              <w:top w:val="single" w:sz="4" w:space="0" w:color="auto"/>
              <w:left w:val="single" w:sz="4" w:space="0" w:color="auto"/>
              <w:bottom w:val="single" w:sz="4" w:space="0" w:color="auto"/>
              <w:right w:val="single" w:sz="4" w:space="0" w:color="auto"/>
            </w:tcBorders>
            <w:vAlign w:val="center"/>
          </w:tcPr>
          <w:p w14:paraId="03D6ACA4" w14:textId="77777777" w:rsidR="007619C3" w:rsidRPr="001B036C" w:rsidRDefault="007619C3" w:rsidP="6866328D">
            <w:pPr>
              <w:pStyle w:val="TableText"/>
            </w:pPr>
            <w:r w:rsidRPr="001B036C">
              <w:t>Low</w:t>
            </w:r>
          </w:p>
        </w:tc>
      </w:tr>
      <w:tr w:rsidR="007619C3" w:rsidRPr="001B036C" w14:paraId="65146350" w14:textId="77777777" w:rsidTr="6866328D">
        <w:trPr>
          <w:trHeight w:val="300"/>
        </w:trPr>
        <w:tc>
          <w:tcPr>
            <w:tcW w:w="1435" w:type="dxa"/>
            <w:tcBorders>
              <w:top w:val="single" w:sz="4" w:space="0" w:color="auto"/>
              <w:left w:val="single" w:sz="4" w:space="0" w:color="auto"/>
              <w:bottom w:val="single" w:sz="4" w:space="0" w:color="auto"/>
              <w:right w:val="single" w:sz="4" w:space="0" w:color="auto"/>
            </w:tcBorders>
            <w:vAlign w:val="center"/>
          </w:tcPr>
          <w:p w14:paraId="536AD03E" w14:textId="10653CD2" w:rsidR="007619C3" w:rsidRPr="001B036C" w:rsidRDefault="00B050B4" w:rsidP="6866328D">
            <w:pPr>
              <w:pStyle w:val="TableText"/>
              <w:rPr>
                <w:b/>
              </w:rPr>
            </w:pPr>
            <w:r w:rsidRPr="001B036C">
              <w:rPr>
                <w:b/>
              </w:rPr>
              <w:t>Predicting r</w:t>
            </w:r>
            <w:r w:rsidR="007619C3" w:rsidRPr="001B036C">
              <w:rPr>
                <w:b/>
              </w:rPr>
              <w:t>elapse</w:t>
            </w:r>
          </w:p>
        </w:tc>
        <w:tc>
          <w:tcPr>
            <w:tcW w:w="3870" w:type="dxa"/>
            <w:tcBorders>
              <w:top w:val="single" w:sz="4" w:space="0" w:color="auto"/>
              <w:left w:val="single" w:sz="4" w:space="0" w:color="auto"/>
              <w:bottom w:val="single" w:sz="4" w:space="0" w:color="auto"/>
              <w:right w:val="single" w:sz="4" w:space="0" w:color="auto"/>
            </w:tcBorders>
            <w:vAlign w:val="center"/>
          </w:tcPr>
          <w:p w14:paraId="43C3B51D" w14:textId="7667285C" w:rsidR="007619C3" w:rsidRPr="001B036C" w:rsidRDefault="007619C3" w:rsidP="6866328D">
            <w:pPr>
              <w:pStyle w:val="TableText"/>
            </w:pPr>
            <w:r w:rsidRPr="001B036C">
              <w:t>Prospective and retrospective studies on predicting relapse for IBD (k=5) and CD (k=1) – all follow</w:t>
            </w:r>
            <w:r w:rsidR="009D5FB0" w:rsidRPr="001B036C">
              <w:t>-</w:t>
            </w:r>
            <w:r w:rsidRPr="001B036C">
              <w:t>up periods (3 – 36 months)</w:t>
            </w:r>
          </w:p>
        </w:tc>
        <w:tc>
          <w:tcPr>
            <w:tcW w:w="1890" w:type="dxa"/>
            <w:tcBorders>
              <w:top w:val="single" w:sz="4" w:space="0" w:color="auto"/>
              <w:left w:val="single" w:sz="4" w:space="0" w:color="auto"/>
              <w:bottom w:val="single" w:sz="4" w:space="0" w:color="auto"/>
              <w:right w:val="single" w:sz="4" w:space="0" w:color="auto"/>
            </w:tcBorders>
            <w:vAlign w:val="center"/>
          </w:tcPr>
          <w:p w14:paraId="4607E42A" w14:textId="77777777" w:rsidR="007619C3" w:rsidRPr="001B036C" w:rsidRDefault="007619C3" w:rsidP="6866328D">
            <w:pPr>
              <w:pStyle w:val="TableText"/>
            </w:pPr>
            <w:r w:rsidRPr="001B036C">
              <w:t>n= 416</w:t>
            </w:r>
          </w:p>
          <w:p w14:paraId="37C8F5CD" w14:textId="77777777" w:rsidR="007619C3" w:rsidRPr="001B036C" w:rsidRDefault="007619C3" w:rsidP="6866328D">
            <w:pPr>
              <w:pStyle w:val="TableText"/>
              <w:rPr>
                <w:lang w:val="en-US"/>
              </w:rPr>
            </w:pPr>
            <w:r w:rsidRPr="001B036C">
              <w:t>k=6 (IBD= 5 – CD=1)</w:t>
            </w:r>
          </w:p>
        </w:tc>
        <w:tc>
          <w:tcPr>
            <w:tcW w:w="1821" w:type="dxa"/>
            <w:tcBorders>
              <w:top w:val="single" w:sz="4" w:space="0" w:color="auto"/>
              <w:left w:val="single" w:sz="4" w:space="0" w:color="auto"/>
              <w:bottom w:val="single" w:sz="4" w:space="0" w:color="auto"/>
              <w:right w:val="single" w:sz="4" w:space="0" w:color="auto"/>
            </w:tcBorders>
            <w:vAlign w:val="center"/>
          </w:tcPr>
          <w:p w14:paraId="338A8B72" w14:textId="77777777" w:rsidR="007619C3" w:rsidRPr="001B036C" w:rsidRDefault="007619C3" w:rsidP="6866328D">
            <w:pPr>
              <w:pStyle w:val="TableText"/>
            </w:pPr>
            <w:r w:rsidRPr="001B036C">
              <w:t>Medium</w:t>
            </w:r>
          </w:p>
        </w:tc>
      </w:tr>
    </w:tbl>
    <w:p w14:paraId="5A32D82A" w14:textId="01CF73D7" w:rsidR="007619C3" w:rsidRPr="001B036C" w:rsidRDefault="007619C3" w:rsidP="6866328D">
      <w:pPr>
        <w:pStyle w:val="Tablenotes0"/>
        <w:rPr>
          <w:color w:val="258221"/>
        </w:rPr>
      </w:pPr>
      <w:r w:rsidRPr="001B036C">
        <w:t>CD = Crohn Disease; IBD = Inflammatory Bowel Disease;</w:t>
      </w:r>
      <w:r w:rsidR="00FE6B7E" w:rsidRPr="001B036C">
        <w:t xml:space="preserve"> </w:t>
      </w:r>
      <w:r w:rsidRPr="001B036C">
        <w:t xml:space="preserve">SES-CD = Simple Endoscopic Score for Crohn's </w:t>
      </w:r>
      <w:proofErr w:type="gramStart"/>
      <w:r w:rsidRPr="001B036C">
        <w:t>Disease;</w:t>
      </w:r>
      <w:proofErr w:type="gramEnd"/>
    </w:p>
    <w:p w14:paraId="6B9BB6DF" w14:textId="77777777" w:rsidR="007619C3" w:rsidRPr="001B036C" w:rsidRDefault="007619C3" w:rsidP="6866328D">
      <w:pPr>
        <w:pStyle w:val="Tablenotes0"/>
      </w:pPr>
      <w:r w:rsidRPr="001B036C">
        <w:t xml:space="preserve">k = number of studies; n = Number of participants; MES = Mayo Endoscopic </w:t>
      </w:r>
      <w:proofErr w:type="spellStart"/>
      <w:r w:rsidRPr="001B036C">
        <w:t>Subscore</w:t>
      </w:r>
      <w:proofErr w:type="spellEnd"/>
      <w:r w:rsidRPr="001B036C">
        <w:t xml:space="preserve">; MH = mucosal healing; n = number of participants; QUADAS-II = Quality Assessment of Diagnostic Accuracy </w:t>
      </w:r>
      <w:proofErr w:type="gramStart"/>
      <w:r w:rsidRPr="001B036C">
        <w:t>Studies-2</w:t>
      </w:r>
      <w:proofErr w:type="gramEnd"/>
      <w:r w:rsidRPr="001B036C">
        <w:t xml:space="preserve">; UC = Ulcerative Colitis; UCEIS = Ulcerative Colitis Endoscopic Index of Severity. </w:t>
      </w:r>
    </w:p>
    <w:p w14:paraId="4FC36D44" w14:textId="7EB9D8ED" w:rsidR="007619C3" w:rsidRPr="001B036C" w:rsidRDefault="007619C3" w:rsidP="6866328D">
      <w:pPr>
        <w:pStyle w:val="Tablenotes0"/>
      </w:pPr>
      <w:r w:rsidRPr="001B036C">
        <w:rPr>
          <w:vertAlign w:val="superscript"/>
        </w:rPr>
        <w:t>a</w:t>
      </w:r>
      <w:r w:rsidRPr="001B036C">
        <w:t xml:space="preserve"> </w:t>
      </w:r>
      <w:proofErr w:type="gramStart"/>
      <w:r w:rsidRPr="001B036C">
        <w:t>studies</w:t>
      </w:r>
      <w:proofErr w:type="gramEnd"/>
      <w:r w:rsidRPr="001B036C">
        <w:t xml:space="preserve"> that reported on endoscopic and histological outcomes, had both outcomes included.</w:t>
      </w:r>
    </w:p>
    <w:p w14:paraId="1743A50B" w14:textId="77777777" w:rsidR="007619C3" w:rsidRPr="001B036C" w:rsidRDefault="007619C3" w:rsidP="002065D2">
      <w:pPr>
        <w:keepNext/>
        <w:keepLines/>
        <w:rPr>
          <w:b/>
        </w:rPr>
      </w:pPr>
      <w:r w:rsidRPr="001B036C">
        <w:rPr>
          <w:b/>
        </w:rPr>
        <w:lastRenderedPageBreak/>
        <w:t>Cut-off thresholds</w:t>
      </w:r>
    </w:p>
    <w:p w14:paraId="1C5C0A44" w14:textId="6E84367F" w:rsidR="000E6B60" w:rsidRPr="001B036C" w:rsidRDefault="000E6B60" w:rsidP="002065D2">
      <w:pPr>
        <w:keepNext/>
        <w:keepLines/>
      </w:pPr>
      <w:r w:rsidRPr="001B036C">
        <w:t>Feedback was sought from relevant stakeholders regarding two issues identified by PASC regarding FC reference ranges/test thresholds as summarised below:</w:t>
      </w:r>
    </w:p>
    <w:p w14:paraId="12028E59" w14:textId="62CCE706" w:rsidR="000E6B60" w:rsidRPr="001B036C" w:rsidRDefault="000E6B60" w:rsidP="000E6B60">
      <w:pPr>
        <w:pStyle w:val="ListParagraph"/>
        <w:numPr>
          <w:ilvl w:val="0"/>
          <w:numId w:val="11"/>
        </w:numPr>
        <w:spacing w:before="0" w:after="200" w:line="276" w:lineRule="auto"/>
        <w:rPr>
          <w:rFonts w:ascii="Calibri" w:hAnsi="Calibri"/>
        </w:rPr>
      </w:pPr>
      <w:r w:rsidRPr="001B036C">
        <w:t xml:space="preserve">PASC noted that reference ranges can vary between different brands of FC test kits, raising issues for standardisation/comparability between assays. </w:t>
      </w:r>
    </w:p>
    <w:p w14:paraId="071BB64A" w14:textId="69C7B415" w:rsidR="000E6B60" w:rsidRPr="001B036C" w:rsidRDefault="000E6B60" w:rsidP="000E6B60">
      <w:pPr>
        <w:pStyle w:val="ListParagraph"/>
        <w:numPr>
          <w:ilvl w:val="0"/>
          <w:numId w:val="11"/>
        </w:numPr>
        <w:spacing w:before="0" w:after="200" w:line="276" w:lineRule="auto"/>
      </w:pPr>
      <w:r w:rsidRPr="001B036C">
        <w:t xml:space="preserve">PASC noted that there is discordance between the clinically accepted test thresholds compared to that which is published by manufacturers. For example, while an FC result of &lt;50 </w:t>
      </w:r>
      <w:r w:rsidRPr="001B036C">
        <w:rPr>
          <w:rFonts w:cs="Calibri"/>
        </w:rPr>
        <w:t>µ</w:t>
      </w:r>
      <w:r w:rsidRPr="001B036C">
        <w:t xml:space="preserve">g/g is considered negative according to many published test thresholds, in clinical practice FC results &lt;100 </w:t>
      </w:r>
      <w:r w:rsidRPr="001B036C">
        <w:rPr>
          <w:rFonts w:cs="Calibri"/>
        </w:rPr>
        <w:t>µ</w:t>
      </w:r>
      <w:r w:rsidRPr="001B036C">
        <w:t xml:space="preserve">g/g would generally be considered negative. This could be a source of confusion for clinicians and make test interpretation difficult. </w:t>
      </w:r>
    </w:p>
    <w:p w14:paraId="4D2CF313" w14:textId="641DA58C" w:rsidR="000E6B60" w:rsidRPr="001B036C" w:rsidRDefault="000E6B60" w:rsidP="000E6B60">
      <w:r w:rsidRPr="001B036C">
        <w:t xml:space="preserve">Inputs were received from Public Pathology Australia, RACGP and the Royal College of Pathologists of Australia (RCPA) as summarised in </w:t>
      </w:r>
      <w:r w:rsidR="00BA7507" w:rsidRPr="001B036C">
        <w:fldChar w:fldCharType="begin"/>
      </w:r>
      <w:r w:rsidR="00BA7507" w:rsidRPr="001B036C">
        <w:instrText xml:space="preserve"> REF _Ref176163148 \h </w:instrText>
      </w:r>
      <w:r w:rsidR="001B036C">
        <w:instrText xml:space="preserve"> \* MERGEFORMAT </w:instrText>
      </w:r>
      <w:r w:rsidR="00BA7507" w:rsidRPr="001B036C">
        <w:fldChar w:fldCharType="separate"/>
      </w:r>
      <w:r w:rsidR="00481674" w:rsidRPr="001B036C">
        <w:t xml:space="preserve">Table </w:t>
      </w:r>
      <w:r w:rsidR="00481674">
        <w:rPr>
          <w:noProof/>
        </w:rPr>
        <w:t>9</w:t>
      </w:r>
      <w:r w:rsidR="00BA7507" w:rsidRPr="001B036C">
        <w:fldChar w:fldCharType="end"/>
      </w:r>
      <w:r w:rsidR="00BA7507" w:rsidRPr="001B036C">
        <w:t xml:space="preserve">. </w:t>
      </w:r>
      <w:r w:rsidRPr="001B036C">
        <w:t xml:space="preserve"> </w:t>
      </w:r>
    </w:p>
    <w:p w14:paraId="5075F099" w14:textId="1BFC203E" w:rsidR="000E6B60" w:rsidRPr="001B036C" w:rsidRDefault="000E6B60" w:rsidP="000E6B60">
      <w:pPr>
        <w:pStyle w:val="Caption"/>
      </w:pPr>
      <w:bookmarkStart w:id="19" w:name="_Ref176163148"/>
      <w:r w:rsidRPr="001B036C">
        <w:t xml:space="preserve">Table </w:t>
      </w:r>
      <w:r>
        <w:fldChar w:fldCharType="begin"/>
      </w:r>
      <w:r>
        <w:instrText xml:space="preserve"> SEQ Table \* ARABIC </w:instrText>
      </w:r>
      <w:r>
        <w:fldChar w:fldCharType="separate"/>
      </w:r>
      <w:r w:rsidR="00B4653B">
        <w:rPr>
          <w:noProof/>
        </w:rPr>
        <w:t>9</w:t>
      </w:r>
      <w:r>
        <w:rPr>
          <w:noProof/>
        </w:rPr>
        <w:fldChar w:fldCharType="end"/>
      </w:r>
      <w:bookmarkEnd w:id="19"/>
      <w:r w:rsidRPr="001B036C">
        <w:t>. Summary of stakeholder feedback on reference ranges/test thresholds</w:t>
      </w:r>
    </w:p>
    <w:tbl>
      <w:tblPr>
        <w:tblStyle w:val="TableGrid"/>
        <w:tblW w:w="0" w:type="auto"/>
        <w:tblLook w:val="04A0" w:firstRow="1" w:lastRow="0" w:firstColumn="1" w:lastColumn="0" w:noHBand="0" w:noVBand="1"/>
      </w:tblPr>
      <w:tblGrid>
        <w:gridCol w:w="1075"/>
        <w:gridCol w:w="3780"/>
        <w:gridCol w:w="4161"/>
      </w:tblGrid>
      <w:tr w:rsidR="000E6B60" w:rsidRPr="001B036C" w14:paraId="13A2C60F" w14:textId="77777777" w:rsidTr="00654557">
        <w:tc>
          <w:tcPr>
            <w:tcW w:w="1075" w:type="dxa"/>
          </w:tcPr>
          <w:p w14:paraId="579C0F79" w14:textId="77777777" w:rsidR="000E6B60" w:rsidRPr="001B036C" w:rsidRDefault="000E6B60" w:rsidP="00654557">
            <w:pPr>
              <w:pStyle w:val="In-tableHeading"/>
            </w:pPr>
          </w:p>
        </w:tc>
        <w:tc>
          <w:tcPr>
            <w:tcW w:w="3780" w:type="dxa"/>
          </w:tcPr>
          <w:p w14:paraId="190A7265" w14:textId="77777777" w:rsidR="000E6B60" w:rsidRPr="001B036C" w:rsidRDefault="000E6B60" w:rsidP="00654557">
            <w:pPr>
              <w:pStyle w:val="In-tableHeading"/>
            </w:pPr>
            <w:r w:rsidRPr="001B036C">
              <w:t xml:space="preserve">Variability of reference ranges across FC test kits </w:t>
            </w:r>
          </w:p>
        </w:tc>
        <w:tc>
          <w:tcPr>
            <w:tcW w:w="4161" w:type="dxa"/>
          </w:tcPr>
          <w:p w14:paraId="40D35393" w14:textId="77777777" w:rsidR="000E6B60" w:rsidRPr="001B036C" w:rsidRDefault="000E6B60" w:rsidP="00654557">
            <w:pPr>
              <w:pStyle w:val="In-tableHeading"/>
            </w:pPr>
            <w:r w:rsidRPr="001B036C">
              <w:t>Variability of thresholds to establish disease activity</w:t>
            </w:r>
          </w:p>
        </w:tc>
      </w:tr>
      <w:tr w:rsidR="000E6B60" w:rsidRPr="001B036C" w14:paraId="5F778B7E" w14:textId="77777777" w:rsidTr="00654557">
        <w:tc>
          <w:tcPr>
            <w:tcW w:w="1075" w:type="dxa"/>
          </w:tcPr>
          <w:p w14:paraId="7A63CF50" w14:textId="77777777" w:rsidR="000E6B60" w:rsidRPr="001B036C" w:rsidRDefault="000E6B60" w:rsidP="00654557">
            <w:pPr>
              <w:pStyle w:val="Tabletext0"/>
            </w:pPr>
            <w:r w:rsidRPr="001B036C">
              <w:t>RACGP</w:t>
            </w:r>
          </w:p>
        </w:tc>
        <w:tc>
          <w:tcPr>
            <w:tcW w:w="3780" w:type="dxa"/>
          </w:tcPr>
          <w:p w14:paraId="621538F4" w14:textId="77777777" w:rsidR="000E6B60" w:rsidRPr="001B036C" w:rsidRDefault="000E6B60" w:rsidP="00654557">
            <w:pPr>
              <w:pStyle w:val="Tabletext0"/>
            </w:pPr>
            <w:r w:rsidRPr="001B036C">
              <w:t>This information should be based on best available evidence from published literature or broadly accepted contemporary Australian clinical practice guidelines.</w:t>
            </w:r>
          </w:p>
        </w:tc>
        <w:tc>
          <w:tcPr>
            <w:tcW w:w="4161" w:type="dxa"/>
          </w:tcPr>
          <w:p w14:paraId="6336E372" w14:textId="77777777" w:rsidR="000E6B60" w:rsidRPr="001B036C" w:rsidRDefault="000E6B60" w:rsidP="00654557">
            <w:pPr>
              <w:pStyle w:val="Tabletext0"/>
            </w:pPr>
            <w:r w:rsidRPr="001B036C">
              <w:t>Not addressed</w:t>
            </w:r>
          </w:p>
        </w:tc>
      </w:tr>
      <w:tr w:rsidR="000E6B60" w:rsidRPr="001B036C" w14:paraId="7BE0EF8A" w14:textId="77777777" w:rsidTr="00654557">
        <w:tc>
          <w:tcPr>
            <w:tcW w:w="1075" w:type="dxa"/>
          </w:tcPr>
          <w:p w14:paraId="33330E57" w14:textId="77777777" w:rsidR="000E6B60" w:rsidRPr="001B036C" w:rsidRDefault="000E6B60" w:rsidP="00654557">
            <w:pPr>
              <w:pStyle w:val="Tabletext0"/>
            </w:pPr>
            <w:r w:rsidRPr="001B036C">
              <w:t>Public Pathology Australia</w:t>
            </w:r>
          </w:p>
        </w:tc>
        <w:tc>
          <w:tcPr>
            <w:tcW w:w="3780" w:type="dxa"/>
          </w:tcPr>
          <w:p w14:paraId="48B9F938" w14:textId="77777777" w:rsidR="000E6B60" w:rsidRPr="001B036C" w:rsidRDefault="000E6B60" w:rsidP="00654557">
            <w:pPr>
              <w:pStyle w:val="Tabletext0"/>
            </w:pPr>
            <w:r w:rsidRPr="001B036C">
              <w:t>The following statement should be used: `above [or below] the cut-off recommended by the reporting laboratory’.</w:t>
            </w:r>
          </w:p>
        </w:tc>
        <w:tc>
          <w:tcPr>
            <w:tcW w:w="4161" w:type="dxa"/>
          </w:tcPr>
          <w:p w14:paraId="219ABC7A" w14:textId="1DDF9192" w:rsidR="000E6B60" w:rsidRPr="001B036C" w:rsidRDefault="000E6B60" w:rsidP="00654557">
            <w:pPr>
              <w:pStyle w:val="Tabletext0"/>
            </w:pPr>
            <w:r w:rsidRPr="001B036C">
              <w:t xml:space="preserve">One can expect variation </w:t>
            </w:r>
            <w:r w:rsidR="00107E75" w:rsidRPr="001B036C">
              <w:t>among</w:t>
            </w:r>
            <w:r w:rsidRPr="001B036C">
              <w:t xml:space="preserve"> assays, but the sample-to-sample variation is also quite large. While a single cut-off value is used (positive vs negative), the probability of disease and the severity of disease are correlated with the concentration on a continuous scale. Thus, the exact cut-off value chosen is probably of lesser importance. What is important is when comparing serial results in a patient, the testing should be performed using the same assay with as consistent a sampling procedure as possible.</w:t>
            </w:r>
          </w:p>
        </w:tc>
      </w:tr>
      <w:tr w:rsidR="000E6B60" w:rsidRPr="001B036C" w14:paraId="7D52BE8E" w14:textId="77777777" w:rsidTr="00654557">
        <w:tc>
          <w:tcPr>
            <w:tcW w:w="1075" w:type="dxa"/>
          </w:tcPr>
          <w:p w14:paraId="73C13A37" w14:textId="77777777" w:rsidR="000E6B60" w:rsidRPr="001B036C" w:rsidRDefault="000E6B60" w:rsidP="00654557">
            <w:pPr>
              <w:pStyle w:val="Tabletext0"/>
            </w:pPr>
            <w:r w:rsidRPr="001B036C">
              <w:t>RCPA</w:t>
            </w:r>
          </w:p>
        </w:tc>
        <w:tc>
          <w:tcPr>
            <w:tcW w:w="3780" w:type="dxa"/>
          </w:tcPr>
          <w:p w14:paraId="56E34CA9" w14:textId="77777777" w:rsidR="000E6B60" w:rsidRPr="001B036C" w:rsidRDefault="000E6B60" w:rsidP="00654557">
            <w:pPr>
              <w:pStyle w:val="Tabletext0"/>
            </w:pPr>
            <w:r w:rsidRPr="001B036C">
              <w:t>Different cut points are needed for different commercial assays. There are currently no reference extraction, preparation, or measurement procedures for FC, which has contributed to the lack of agreement between assays. Harmonisation between different kits is challenging and steps need to be taken towards standardisation of currently available assays to improve agreement between assays. In the meantime, the addition of qualitative results in the form of positive, borderline, low or high, which indicate the significance of quantitative results to the treating clinician, may be of benefit.</w:t>
            </w:r>
          </w:p>
        </w:tc>
        <w:tc>
          <w:tcPr>
            <w:tcW w:w="4161" w:type="dxa"/>
          </w:tcPr>
          <w:p w14:paraId="6900D2D2" w14:textId="77777777" w:rsidR="000E6B60" w:rsidRPr="001B036C" w:rsidRDefault="000E6B60" w:rsidP="00654557">
            <w:pPr>
              <w:pStyle w:val="Tabletext0"/>
            </w:pPr>
            <w:r w:rsidRPr="001B036C">
              <w:t>FC concentrations correlate highly with intestinal inflammation, and any changes in levels are a surrogate marker of mucosal healing or recurrence of inflammation.</w:t>
            </w:r>
          </w:p>
          <w:p w14:paraId="5FA4C3EA" w14:textId="24E0633C" w:rsidR="000E6B60" w:rsidRPr="001B036C" w:rsidRDefault="000E6B60" w:rsidP="00654557">
            <w:pPr>
              <w:pStyle w:val="Tabletext0"/>
            </w:pPr>
            <w:r w:rsidRPr="001B036C">
              <w:t xml:space="preserve">As FC is not specific for IBD, it must be interpreted with appropriate consideration of a patient’s clinical history, examination, and other diagnostic findings. </w:t>
            </w:r>
            <w:r w:rsidRPr="001B036C" w:rsidDel="001538FB">
              <w:t xml:space="preserve">A limitation of the use of a single cut-off value is that this diagnostic information is lost when results are interpreted as positive/negative only. While a result of 0-50 </w:t>
            </w:r>
            <w:proofErr w:type="spellStart"/>
            <w:r w:rsidRPr="001B036C" w:rsidDel="001538FB">
              <w:t>μg</w:t>
            </w:r>
            <w:proofErr w:type="spellEnd"/>
            <w:r w:rsidRPr="001B036C" w:rsidDel="001538FB">
              <w:t xml:space="preserve">/g would indicate that IBD is unlikely, 50-100 </w:t>
            </w:r>
            <w:proofErr w:type="spellStart"/>
            <w:r w:rsidRPr="001B036C" w:rsidDel="001538FB">
              <w:t>μg</w:t>
            </w:r>
            <w:proofErr w:type="spellEnd"/>
            <w:r w:rsidRPr="001B036C" w:rsidDel="001538FB">
              <w:t xml:space="preserve">/g is an intermediate result that should be interpreted within the </w:t>
            </w:r>
            <w:r w:rsidRPr="001B036C" w:rsidDel="00224F65">
              <w:t xml:space="preserve">clinical context. </w:t>
            </w:r>
            <w:r w:rsidRPr="001B036C">
              <w:t>This interpretative ambiguity, together with the fact that there is a need to standardise methods for FC measurement, indicates that recommended cut</w:t>
            </w:r>
            <w:r w:rsidR="00486D92" w:rsidRPr="001B036C">
              <w:t>-off</w:t>
            </w:r>
            <w:r w:rsidRPr="001B036C">
              <w:t xml:space="preserve"> values would have to be determined depending on the clinical setting in which they are used.</w:t>
            </w:r>
          </w:p>
        </w:tc>
      </w:tr>
    </w:tbl>
    <w:p w14:paraId="768E76FE" w14:textId="3798DE08" w:rsidR="000E6B60" w:rsidRPr="001B036C" w:rsidRDefault="000E6B60" w:rsidP="00555703">
      <w:r w:rsidRPr="001B036C">
        <w:rPr>
          <w:rFonts w:ascii="Arial Narrow" w:hAnsi="Arial Narrow"/>
          <w:sz w:val="18"/>
          <w:szCs w:val="18"/>
        </w:rPr>
        <w:t>FC = faecal calprotectin, IBD = inflammatory bowel disease; PASC = PICO Advisory Sub</w:t>
      </w:r>
      <w:r w:rsidR="00122477" w:rsidRPr="001B036C">
        <w:rPr>
          <w:rFonts w:ascii="Arial Narrow" w:hAnsi="Arial Narrow"/>
          <w:sz w:val="18"/>
          <w:szCs w:val="18"/>
        </w:rPr>
        <w:t>-committee</w:t>
      </w:r>
      <w:r w:rsidRPr="001B036C">
        <w:rPr>
          <w:rFonts w:ascii="Arial Narrow" w:hAnsi="Arial Narrow"/>
          <w:sz w:val="18"/>
          <w:szCs w:val="18"/>
        </w:rPr>
        <w:t>; RACGP = Royal Australian College of General Practitioners; RCPA = Royal College of Pathologists of Australia.</w:t>
      </w:r>
    </w:p>
    <w:p w14:paraId="191F5A96" w14:textId="5EF9C06D" w:rsidR="007619C3" w:rsidRPr="001B036C" w:rsidRDefault="007619C3" w:rsidP="00555703">
      <w:r w:rsidRPr="001B036C">
        <w:lastRenderedPageBreak/>
        <w:t>Studies</w:t>
      </w:r>
      <w:r w:rsidR="000E6B60" w:rsidRPr="001B036C">
        <w:t xml:space="preserve"> in the DCAR evidence base</w:t>
      </w:r>
      <w:r w:rsidRPr="001B036C">
        <w:t xml:space="preserve"> reported results based on a range of pre-specified cut-off threshold or estimated the optimal cut-off where sensitivity and specificity was maximised. The optimal sensitivity and specificity of FC testing are only truly useful if there is certainty that a patient will relapse, which is inherently uncertain. </w:t>
      </w:r>
    </w:p>
    <w:p w14:paraId="33CB495F" w14:textId="264E5A75" w:rsidR="007619C3" w:rsidRPr="001B036C" w:rsidRDefault="007619C3" w:rsidP="00D47945">
      <w:r w:rsidRPr="001B036C">
        <w:t xml:space="preserve">The cut-off thresholds reported in the studies do not imply that all patients had the same results; instead, they indicate that most patients had results above the specified threshold. For example, a cut-off threshold of 100 µg/g does not mean all results were exactly 100 µg/g —they could be much higher. Restricting the cut-off thresholds to a range of 100 µg/g </w:t>
      </w:r>
      <w:r w:rsidR="00C14E14" w:rsidRPr="001B036C">
        <w:t xml:space="preserve">to </w:t>
      </w:r>
      <w:r w:rsidRPr="001B036C">
        <w:t xml:space="preserve">250 µg/g may be clinically relevant when monitoring asymptomatic patients </w:t>
      </w:r>
      <w:r w:rsidR="005B08A2" w:rsidRPr="001B036C">
        <w:t xml:space="preserve">that are in remission </w:t>
      </w:r>
      <w:r w:rsidRPr="001B036C">
        <w:t xml:space="preserve">for relapse, as higher thresholds </w:t>
      </w:r>
      <w:r w:rsidR="00C14E14" w:rsidRPr="001B036C">
        <w:t xml:space="preserve">may </w:t>
      </w:r>
      <w:r w:rsidRPr="001B036C">
        <w:t xml:space="preserve">indicate severe cases where intervention </w:t>
      </w:r>
      <w:r w:rsidR="00784B69" w:rsidRPr="001B036C">
        <w:t xml:space="preserve">will be </w:t>
      </w:r>
      <w:r w:rsidR="00FD6306" w:rsidRPr="001B036C">
        <w:t>required</w:t>
      </w:r>
      <w:r w:rsidRPr="001B036C">
        <w:t xml:space="preserve">. For FC results between 100 and 250 </w:t>
      </w:r>
      <w:r w:rsidR="00526361" w:rsidRPr="001B036C">
        <w:t xml:space="preserve">µg/g </w:t>
      </w:r>
      <w:r w:rsidRPr="001B036C">
        <w:t>(the intermediate range), a clinician might repeat the test and monitor the patient or perform a colonoscopy. Capturing intermediate results (100 µg/g -250</w:t>
      </w:r>
      <w:r w:rsidR="00B4060F">
        <w:t> </w:t>
      </w:r>
      <w:r w:rsidRPr="001B036C">
        <w:t xml:space="preserve">µg/g) is justifiable and useful for understanding the potential for relapse and determining appropriate interventions for intermediate outcomes. </w:t>
      </w:r>
      <w:bookmarkStart w:id="20" w:name="_Hlk68276301"/>
    </w:p>
    <w:p w14:paraId="18CA9390" w14:textId="6966592C" w:rsidR="007619C3" w:rsidRPr="001B036C" w:rsidRDefault="007619C3" w:rsidP="00627246">
      <w:r w:rsidRPr="001B036C">
        <w:t>Overall, the key strengths of this analysis were that the primary studies used were assessed as being high or moderate quality and only used the ELISA FC test.</w:t>
      </w:r>
      <w:r w:rsidRPr="001B036C" w:rsidDel="00F51480">
        <w:t xml:space="preserve"> </w:t>
      </w:r>
      <w:r w:rsidR="008B1C76" w:rsidRPr="001B036C">
        <w:t>K</w:t>
      </w:r>
      <w:r w:rsidRPr="001B036C">
        <w:t>ey limitation</w:t>
      </w:r>
      <w:r w:rsidRPr="001B036C" w:rsidDel="006A4DC0">
        <w:t>s</w:t>
      </w:r>
      <w:r w:rsidRPr="001B036C">
        <w:t xml:space="preserve"> of the analysis </w:t>
      </w:r>
      <w:r w:rsidR="008B1C76" w:rsidRPr="001B036C">
        <w:t>are</w:t>
      </w:r>
      <w:r w:rsidR="002B2258" w:rsidRPr="001B036C">
        <w:t xml:space="preserve"> that</w:t>
      </w:r>
      <w:r w:rsidRPr="001B036C">
        <w:t xml:space="preserve"> limited number of studies for CD assessing mucosal healing were </w:t>
      </w:r>
      <w:r w:rsidR="008B1C76" w:rsidRPr="001B036C">
        <w:t>identified</w:t>
      </w:r>
      <w:r w:rsidRPr="001B036C">
        <w:t xml:space="preserve">, </w:t>
      </w:r>
      <w:r w:rsidR="008B1C76" w:rsidRPr="001B036C">
        <w:t>there is</w:t>
      </w:r>
      <w:r w:rsidRPr="001B036C">
        <w:t xml:space="preserve"> limited evidence in paediatric patients, and that the comparator for CD included a variety of endoscopic procedures (i.e., capsule endoscopy or </w:t>
      </w:r>
      <w:proofErr w:type="spellStart"/>
      <w:r w:rsidRPr="001B036C">
        <w:t>ileocolonoscopy</w:t>
      </w:r>
      <w:proofErr w:type="spellEnd"/>
      <w:r w:rsidRPr="001B036C">
        <w:t xml:space="preserve">). Additionally, </w:t>
      </w:r>
      <w:r w:rsidR="001419BC" w:rsidRPr="001B036C">
        <w:t xml:space="preserve">since </w:t>
      </w:r>
      <w:r w:rsidRPr="001B036C">
        <w:t>the indicated comparator was colonoscopy/biopsy, histological indices were included in the analysis, where</w:t>
      </w:r>
      <w:r w:rsidR="008E1256" w:rsidRPr="001B036C">
        <w:t>ver</w:t>
      </w:r>
      <w:r w:rsidRPr="001B036C">
        <w:t xml:space="preserve"> available.</w:t>
      </w:r>
    </w:p>
    <w:p w14:paraId="2E8BAAD2" w14:textId="6F17CFD4" w:rsidR="007619C3" w:rsidRPr="001B036C" w:rsidRDefault="00FA283C" w:rsidP="002A18BE">
      <w:pPr>
        <w:pStyle w:val="Heading2"/>
        <w:numPr>
          <w:ilvl w:val="0"/>
          <w:numId w:val="0"/>
        </w:numPr>
      </w:pPr>
      <w:bookmarkStart w:id="21" w:name="_Toc172753425"/>
      <w:bookmarkStart w:id="22" w:name="_Toc176422709"/>
      <w:bookmarkEnd w:id="20"/>
      <w:r>
        <w:t>11</w:t>
      </w:r>
      <w:r w:rsidR="007619C3" w:rsidRPr="001B036C">
        <w:t>.</w:t>
      </w:r>
      <w:r w:rsidR="007619C3" w:rsidRPr="001B036C">
        <w:tab/>
        <w:t>Comparative safety</w:t>
      </w:r>
      <w:bookmarkEnd w:id="21"/>
      <w:bookmarkEnd w:id="22"/>
    </w:p>
    <w:p w14:paraId="0DCAA04A" w14:textId="6CC40E9F" w:rsidR="00140C6A" w:rsidRPr="001B036C" w:rsidRDefault="007619C3">
      <w:r w:rsidRPr="001B036C">
        <w:t xml:space="preserve">No comparative studies on the safety of FC testing compared to colonoscopy/biopsy were identified. </w:t>
      </w:r>
    </w:p>
    <w:p w14:paraId="4BC703C3" w14:textId="2BA2B994" w:rsidR="00140C6A" w:rsidRPr="001B036C" w:rsidRDefault="007619C3" w:rsidP="001C6A90">
      <w:r w:rsidRPr="001B036C">
        <w:t xml:space="preserve">As the FC test is performed on a faecal sample taken after defecation, the testing procedure poses no safety concerns for the patient, </w:t>
      </w:r>
      <w:proofErr w:type="gramStart"/>
      <w:r w:rsidRPr="001B036C">
        <w:t>as long as</w:t>
      </w:r>
      <w:proofErr w:type="gramEnd"/>
      <w:r w:rsidRPr="001B036C">
        <w:t xml:space="preserve"> the sample is collected, labelled and stored as per instructions, and patients comply with appropriate hand hygiene principles. </w:t>
      </w:r>
    </w:p>
    <w:p w14:paraId="1FB5636E" w14:textId="7B53F75A" w:rsidR="00140C6A" w:rsidRPr="001B036C" w:rsidRDefault="007619C3" w:rsidP="00140C6A">
      <w:r w:rsidRPr="001B036C">
        <w:t>The FC test result may pose additional safety concerns due to its influence on clinical management for example</w:t>
      </w:r>
      <w:r w:rsidR="007349AE" w:rsidRPr="001B036C">
        <w:t>:</w:t>
      </w:r>
    </w:p>
    <w:p w14:paraId="549A208C" w14:textId="13E1C553" w:rsidR="009074EB" w:rsidRPr="001B036C" w:rsidRDefault="009074EB" w:rsidP="001E6DBB">
      <w:pPr>
        <w:pStyle w:val="ListParagraph"/>
        <w:numPr>
          <w:ilvl w:val="0"/>
          <w:numId w:val="29"/>
        </w:numPr>
      </w:pPr>
      <w:r w:rsidRPr="001B036C">
        <w:t>some cases of false positive/negative results may result in over/under-treatment</w:t>
      </w:r>
      <w:r w:rsidR="009404A1" w:rsidRPr="001B036C">
        <w:t xml:space="preserve"> or investigation</w:t>
      </w:r>
      <w:r w:rsidRPr="001B036C">
        <w:t xml:space="preserve"> of IBD</w:t>
      </w:r>
      <w:r w:rsidR="000B1067" w:rsidRPr="001B036C">
        <w:t xml:space="preserve"> related disease activity</w:t>
      </w:r>
      <w:r w:rsidRPr="001B036C">
        <w:t>.</w:t>
      </w:r>
    </w:p>
    <w:p w14:paraId="7AE18FFD" w14:textId="6CEB83E9" w:rsidR="009074EB" w:rsidRPr="001B036C" w:rsidRDefault="009074EB" w:rsidP="001E6DBB">
      <w:pPr>
        <w:pStyle w:val="ListParagraph"/>
        <w:numPr>
          <w:ilvl w:val="0"/>
          <w:numId w:val="29"/>
        </w:numPr>
      </w:pPr>
      <w:r w:rsidRPr="001B036C">
        <w:t>In rare circumstances, the FC results may also prompt clinicians to perform a colonoscopy in patients who would</w:t>
      </w:r>
      <w:r w:rsidR="001A1CAD" w:rsidRPr="001B036C">
        <w:t xml:space="preserve"> not</w:t>
      </w:r>
      <w:r w:rsidRPr="001B036C">
        <w:t xml:space="preserve"> have otherwise had a colonoscopy</w:t>
      </w:r>
      <w:r w:rsidR="007E3879" w:rsidRPr="001B036C">
        <w:t xml:space="preserve">; for </w:t>
      </w:r>
      <w:r w:rsidR="00A23E3E" w:rsidRPr="001B036C">
        <w:t>example,</w:t>
      </w:r>
      <w:r w:rsidR="007E3879" w:rsidRPr="001B036C">
        <w:t xml:space="preserve"> </w:t>
      </w:r>
      <w:r w:rsidR="00B53CA1" w:rsidRPr="001B036C">
        <w:t>false positive results or patients with an FC result that falls within the intermediate range (</w:t>
      </w:r>
      <w:r w:rsidR="00A23E3E" w:rsidRPr="001B036C">
        <w:t>between 100 and 250 µg/g). T</w:t>
      </w:r>
      <w:r w:rsidRPr="001B036C">
        <w:t xml:space="preserve">hese patients </w:t>
      </w:r>
      <w:r w:rsidR="00B26370">
        <w:t xml:space="preserve">will be </w:t>
      </w:r>
      <w:r w:rsidRPr="001B036C">
        <w:t xml:space="preserve">exposed to the risks of colonoscopy </w:t>
      </w:r>
      <w:r w:rsidR="0059642F">
        <w:t xml:space="preserve">due to </w:t>
      </w:r>
      <w:r w:rsidRPr="001B036C">
        <w:t>the FC test</w:t>
      </w:r>
      <w:r w:rsidR="0059642F">
        <w:t xml:space="preserve"> result</w:t>
      </w:r>
      <w:r w:rsidRPr="001B036C">
        <w:t>. However, overall, the FC test is expected to reduce the number of colonoscopies in the target population and reduce over/undertreatment of IBD flares.</w:t>
      </w:r>
    </w:p>
    <w:p w14:paraId="3926DACD" w14:textId="77ADFE1D" w:rsidR="007619C3" w:rsidRPr="001B036C" w:rsidRDefault="2ECC198E" w:rsidP="001C6A90">
      <w:proofErr w:type="gramStart"/>
      <w:r w:rsidRPr="001B036C">
        <w:t>Taking into account</w:t>
      </w:r>
      <w:proofErr w:type="gramEnd"/>
      <w:r w:rsidRPr="001B036C">
        <w:t xml:space="preserve"> the instances of false positive and negative</w:t>
      </w:r>
      <w:r w:rsidR="00A650B2">
        <w:t xml:space="preserve"> results</w:t>
      </w:r>
      <w:r w:rsidRPr="001B036C">
        <w:t>, it remains</w:t>
      </w:r>
      <w:r w:rsidR="007619C3" w:rsidRPr="001B036C">
        <w:t xml:space="preserve"> reasonable to assume </w:t>
      </w:r>
      <w:r w:rsidR="00370CA7" w:rsidRPr="001B036C">
        <w:t xml:space="preserve">that </w:t>
      </w:r>
      <w:r w:rsidR="007619C3" w:rsidRPr="001B036C">
        <w:t xml:space="preserve">patients treated </w:t>
      </w:r>
      <w:r w:rsidR="00370CA7" w:rsidRPr="001B036C">
        <w:t xml:space="preserve">in the setting where </w:t>
      </w:r>
      <w:r w:rsidR="007619C3" w:rsidRPr="001B036C">
        <w:t xml:space="preserve">FC testing </w:t>
      </w:r>
      <w:r w:rsidR="00370CA7" w:rsidRPr="001B036C">
        <w:t xml:space="preserve">is </w:t>
      </w:r>
      <w:r w:rsidR="007619C3" w:rsidRPr="001B036C">
        <w:t xml:space="preserve">available would have at least a non-inferior safety profile compared to patients treated </w:t>
      </w:r>
      <w:r w:rsidR="00370CA7" w:rsidRPr="001B036C">
        <w:t>in a setting where</w:t>
      </w:r>
      <w:r w:rsidR="3C89DD56" w:rsidRPr="001B036C">
        <w:t xml:space="preserve"> </w:t>
      </w:r>
      <w:r w:rsidR="007619C3" w:rsidRPr="001B036C">
        <w:t>FC testing</w:t>
      </w:r>
      <w:r w:rsidR="00370CA7" w:rsidRPr="001B036C">
        <w:t xml:space="preserve"> is not</w:t>
      </w:r>
      <w:r w:rsidR="007619C3" w:rsidRPr="001B036C">
        <w:t xml:space="preserve"> available.</w:t>
      </w:r>
      <w:r w:rsidR="3DE386D1" w:rsidRPr="001B036C">
        <w:t xml:space="preserve"> Moreover</w:t>
      </w:r>
      <w:r w:rsidR="7194703F" w:rsidRPr="001B036C">
        <w:t xml:space="preserve">, </w:t>
      </w:r>
      <w:r w:rsidR="2CD2F559" w:rsidRPr="001B036C">
        <w:t>since</w:t>
      </w:r>
      <w:r w:rsidR="7194703F" w:rsidRPr="001B036C">
        <w:t xml:space="preserve"> FC testing has a potential to </w:t>
      </w:r>
      <w:r w:rsidR="11A5A2EB" w:rsidRPr="001B036C">
        <w:t>reduce</w:t>
      </w:r>
      <w:r w:rsidR="7194703F" w:rsidRPr="001B036C">
        <w:t xml:space="preserve"> the need for </w:t>
      </w:r>
      <w:r w:rsidR="304F5FC9" w:rsidRPr="001B036C">
        <w:t>colonoscopies</w:t>
      </w:r>
      <w:r w:rsidR="7194703F" w:rsidRPr="001B036C">
        <w:t xml:space="preserve">, the </w:t>
      </w:r>
      <w:r w:rsidR="18BBF6B1" w:rsidRPr="001B036C">
        <w:t>overall</w:t>
      </w:r>
      <w:r w:rsidR="7194703F" w:rsidRPr="001B036C">
        <w:t xml:space="preserve"> </w:t>
      </w:r>
      <w:r w:rsidR="0DE30976" w:rsidRPr="001B036C">
        <w:t>safety</w:t>
      </w:r>
      <w:r w:rsidR="7194703F" w:rsidRPr="001B036C">
        <w:t xml:space="preserve"> risk associated with false positive</w:t>
      </w:r>
      <w:r w:rsidR="00A650B2">
        <w:t xml:space="preserve"> or intermediate results</w:t>
      </w:r>
      <w:r w:rsidR="7194703F" w:rsidRPr="001B036C">
        <w:t xml:space="preserve"> are </w:t>
      </w:r>
      <w:r w:rsidR="0A75B0F4" w:rsidRPr="001B036C">
        <w:t>likely</w:t>
      </w:r>
      <w:r w:rsidR="7194703F" w:rsidRPr="001B036C">
        <w:t xml:space="preserve"> mitigated by the </w:t>
      </w:r>
      <w:r w:rsidR="347F7214" w:rsidRPr="001B036C">
        <w:t>decreased</w:t>
      </w:r>
      <w:r w:rsidR="7194703F" w:rsidRPr="001B036C">
        <w:t xml:space="preserve"> </w:t>
      </w:r>
      <w:r w:rsidR="5C1F00D0" w:rsidRPr="001B036C">
        <w:t>exposure to</w:t>
      </w:r>
      <w:r w:rsidR="7B8D4340" w:rsidRPr="001B036C">
        <w:t xml:space="preserve"> </w:t>
      </w:r>
      <w:r w:rsidR="58BDDFBD" w:rsidRPr="001B036C">
        <w:t>t</w:t>
      </w:r>
      <w:r w:rsidR="5C1F00D0" w:rsidRPr="001B036C">
        <w:t xml:space="preserve">he more </w:t>
      </w:r>
      <w:r w:rsidR="3A73DEC7" w:rsidRPr="001B036C">
        <w:t>invasive</w:t>
      </w:r>
      <w:r w:rsidR="5C1F00D0" w:rsidRPr="001B036C">
        <w:t xml:space="preserve"> procedures.</w:t>
      </w:r>
    </w:p>
    <w:p w14:paraId="22A4B10F" w14:textId="3B9C8236" w:rsidR="007619C3" w:rsidRPr="001B036C" w:rsidRDefault="007619C3" w:rsidP="007A270F">
      <w:r w:rsidRPr="001B036C">
        <w:lastRenderedPageBreak/>
        <w:t>The reference standard, colonoscopy/biopsy, is generally considered a safe procedure with a low risk of complications. However, factors such as age and IBD</w:t>
      </w:r>
      <w:r w:rsidR="006F6230" w:rsidRPr="001B036C">
        <w:t xml:space="preserve"> diagnosis</w:t>
      </w:r>
      <w:r w:rsidRPr="001B036C">
        <w:t xml:space="preserve"> can increase the risk of severe adverse events, including post-polypectomy syndrome, bleeding, and perforation. </w:t>
      </w:r>
    </w:p>
    <w:p w14:paraId="232943F9" w14:textId="50775F75" w:rsidR="007619C3" w:rsidRPr="001B036C" w:rsidRDefault="00FA283C" w:rsidP="002A18BE">
      <w:pPr>
        <w:pStyle w:val="Heading2"/>
        <w:numPr>
          <w:ilvl w:val="0"/>
          <w:numId w:val="0"/>
        </w:numPr>
      </w:pPr>
      <w:bookmarkStart w:id="23" w:name="_Toc172753426"/>
      <w:bookmarkStart w:id="24" w:name="_Toc176422710"/>
      <w:r>
        <w:t>12</w:t>
      </w:r>
      <w:r w:rsidR="007619C3" w:rsidRPr="001B036C">
        <w:t>.</w:t>
      </w:r>
      <w:r w:rsidR="007619C3" w:rsidRPr="001B036C">
        <w:tab/>
        <w:t>Comparative effectiveness</w:t>
      </w:r>
      <w:bookmarkEnd w:id="23"/>
      <w:bookmarkEnd w:id="24"/>
    </w:p>
    <w:p w14:paraId="012171CA" w14:textId="77777777" w:rsidR="007619C3" w:rsidRPr="001B036C" w:rsidRDefault="007619C3" w:rsidP="0079577A">
      <w:pPr>
        <w:pStyle w:val="Heading3"/>
      </w:pPr>
      <w:bookmarkStart w:id="25" w:name="_Toc172753427"/>
      <w:bookmarkStart w:id="26" w:name="_Toc176422711"/>
      <w:r w:rsidRPr="001B036C">
        <w:t>Effectiveness from linked evidence</w:t>
      </w:r>
      <w:bookmarkEnd w:id="25"/>
      <w:bookmarkEnd w:id="26"/>
    </w:p>
    <w:p w14:paraId="7B170D0C" w14:textId="62EF151C" w:rsidR="007619C3" w:rsidRPr="001B036C" w:rsidRDefault="007619C3" w:rsidP="00EE40F2">
      <w:r w:rsidRPr="001B036C">
        <w:t xml:space="preserve">Overall, the results show a trend for better performance of FC testing in patients with UC compared to CD. This is likely </w:t>
      </w:r>
      <w:proofErr w:type="gramStart"/>
      <w:r w:rsidRPr="001B036C">
        <w:t>due to the fact that</w:t>
      </w:r>
      <w:proofErr w:type="gramEnd"/>
      <w:r w:rsidRPr="001B036C">
        <w:t xml:space="preserve"> in patients with UC, the inflammation is continuous and is confined to the colon/rectum, where there is little degradation of the calprotectin protein prior to excretion. In contrast, the inflammation observed in CD may be patchy (e.g. skip lesions) rather than continuous and can involve other parts of the gastrointestinal tract above the colon in addition to the colonic inflammation. As a result, in patients with CD, the calprotectin protein may have degraded as it travels through the gut, leading to unreliable and variable levels in stool samples, which may not accurately reflect the extent of inflammation present throughout the </w:t>
      </w:r>
      <w:r w:rsidR="00AC3024" w:rsidRPr="001B036C">
        <w:t xml:space="preserve">GI </w:t>
      </w:r>
      <w:r w:rsidRPr="001B036C">
        <w:t>tract. Therefore, if the CD is located primarily or exclusively in the upper gut, FC may not be a reliable indicator of inflammation, noting that FC trends may still provide clinically relevant information.</w:t>
      </w:r>
    </w:p>
    <w:p w14:paraId="13D4DF29" w14:textId="3ABDCD2B" w:rsidR="00705C7A" w:rsidRPr="001B036C" w:rsidRDefault="00193FC7" w:rsidP="00705C7A">
      <w:pPr>
        <w:pStyle w:val="Heading4"/>
      </w:pPr>
      <w:r w:rsidRPr="001B036C">
        <w:t xml:space="preserve">FC test accuracy </w:t>
      </w:r>
    </w:p>
    <w:p w14:paraId="14BB3CC4" w14:textId="3EECCB93" w:rsidR="00705C7A" w:rsidRPr="001B036C" w:rsidRDefault="00CD1F21" w:rsidP="001C6A90">
      <w:r w:rsidRPr="001B036C">
        <w:t>This section reports the</w:t>
      </w:r>
      <w:r w:rsidR="00774CF4" w:rsidRPr="001B036C">
        <w:t xml:space="preserve"> results from a systematic review conducted</w:t>
      </w:r>
      <w:r w:rsidR="00AF0A70">
        <w:t xml:space="preserve"> for the DCAR</w:t>
      </w:r>
      <w:r w:rsidR="00774CF4" w:rsidRPr="001B036C">
        <w:t xml:space="preserve"> to assess the</w:t>
      </w:r>
      <w:r w:rsidRPr="001B036C">
        <w:t xml:space="preserve"> accuracy of the FC test to </w:t>
      </w:r>
      <w:r w:rsidR="00267C08" w:rsidRPr="001B036C">
        <w:t xml:space="preserve">detect active disease and </w:t>
      </w:r>
      <w:r w:rsidRPr="001B036C">
        <w:t xml:space="preserve">predict mucosal healing </w:t>
      </w:r>
      <w:r w:rsidR="00FB544B" w:rsidRPr="001B036C">
        <w:t xml:space="preserve">in </w:t>
      </w:r>
      <w:r w:rsidR="004F57A9" w:rsidRPr="001B036C">
        <w:t>IBD</w:t>
      </w:r>
      <w:r w:rsidR="00FB544B" w:rsidRPr="001B036C">
        <w:t xml:space="preserve"> patients</w:t>
      </w:r>
      <w:r w:rsidRPr="001B036C">
        <w:t xml:space="preserve"> compared to colonoscopy</w:t>
      </w:r>
      <w:r w:rsidR="000C5008" w:rsidRPr="001B036C">
        <w:t xml:space="preserve">. </w:t>
      </w:r>
      <w:r w:rsidR="00267C08" w:rsidRPr="001B036C">
        <w:t>Disease activity is an endoscopic finding which confirms an IBD flare, and may necessitate an escalation in treatment; further, the change in FC trend can be used to titrate treatment(s) to patients’ needs, which colonoscopy cannot facilitate</w:t>
      </w:r>
      <w:r w:rsidR="00B94DC2">
        <w:t xml:space="preserve"> easily</w:t>
      </w:r>
      <w:r w:rsidR="00267C08" w:rsidRPr="001B036C">
        <w:t xml:space="preserve">. </w:t>
      </w:r>
      <w:r w:rsidR="00E64BC5" w:rsidRPr="001B036C">
        <w:t xml:space="preserve">Mucosal healing is </w:t>
      </w:r>
      <w:r w:rsidR="002C2253" w:rsidRPr="001B036C">
        <w:t xml:space="preserve">a </w:t>
      </w:r>
      <w:r w:rsidR="009B6295" w:rsidRPr="001B036C">
        <w:t xml:space="preserve">STRIDE-II </w:t>
      </w:r>
      <w:r w:rsidR="00AD48D5" w:rsidRPr="001B036C">
        <w:t xml:space="preserve">treatment target for </w:t>
      </w:r>
      <w:r w:rsidR="00E64BC5" w:rsidRPr="001B036C">
        <w:t xml:space="preserve">patients </w:t>
      </w:r>
      <w:r w:rsidR="00FD69DA" w:rsidRPr="001B036C">
        <w:t>with an IBD flare who</w:t>
      </w:r>
      <w:r w:rsidR="00E64BC5" w:rsidRPr="001B036C">
        <w:t xml:space="preserve"> are being monitored for treatment response</w:t>
      </w:r>
      <w:r w:rsidR="006B4504" w:rsidRPr="001B036C">
        <w:t xml:space="preserve"> and remission</w:t>
      </w:r>
      <w:r w:rsidR="00CB1A31" w:rsidRPr="001B036C">
        <w:t xml:space="preserve">, </w:t>
      </w:r>
      <w:r w:rsidR="00361ADC" w:rsidRPr="001B036C">
        <w:t xml:space="preserve">all </w:t>
      </w:r>
      <w:r w:rsidR="00CB1A31" w:rsidRPr="001B036C">
        <w:t xml:space="preserve">of </w:t>
      </w:r>
      <w:r w:rsidR="00FD69DA" w:rsidRPr="001B036C">
        <w:t xml:space="preserve">whom </w:t>
      </w:r>
      <w:r w:rsidR="00361ADC" w:rsidRPr="001B036C">
        <w:t xml:space="preserve">should </w:t>
      </w:r>
      <w:r w:rsidR="00CB1A31" w:rsidRPr="001B036C">
        <w:t>be asymptomatic</w:t>
      </w:r>
      <w:r w:rsidR="00361ADC" w:rsidRPr="001B036C">
        <w:t xml:space="preserve"> by the time they demonstrate mucosal healing</w:t>
      </w:r>
      <w:r w:rsidR="00F36864" w:rsidRPr="001B036C">
        <w:t xml:space="preserve">. </w:t>
      </w:r>
      <w:r w:rsidR="009F4D22" w:rsidRPr="001B036C">
        <w:t xml:space="preserve">Finally, results are reported on the </w:t>
      </w:r>
      <w:r w:rsidRPr="001B036C">
        <w:t xml:space="preserve">accuracy of the FC test to predict relapse in </w:t>
      </w:r>
      <w:r w:rsidR="00E761CA" w:rsidRPr="001B036C">
        <w:t xml:space="preserve">asymptomatic </w:t>
      </w:r>
      <w:r w:rsidR="002A4770" w:rsidRPr="001B036C">
        <w:t xml:space="preserve">IBD </w:t>
      </w:r>
      <w:r w:rsidRPr="001B036C">
        <w:t>patients</w:t>
      </w:r>
      <w:r w:rsidR="00D84EAB" w:rsidRPr="001B036C">
        <w:t xml:space="preserve"> who are in remission</w:t>
      </w:r>
      <w:r w:rsidR="00150A73" w:rsidRPr="001B036C">
        <w:t>.</w:t>
      </w:r>
      <w:r w:rsidR="009F4D22" w:rsidRPr="001B036C">
        <w:t xml:space="preserve"> The aim of the test in this population is to </w:t>
      </w:r>
      <w:r w:rsidR="0053036C" w:rsidRPr="001B036C">
        <w:t xml:space="preserve">detect active disease before it becomes symptomatic. </w:t>
      </w:r>
    </w:p>
    <w:p w14:paraId="7FC753A6" w14:textId="1D4AA1E4" w:rsidR="007619C3" w:rsidRPr="001B036C" w:rsidRDefault="00267C08" w:rsidP="000A4EDB">
      <w:pPr>
        <w:rPr>
          <w:b/>
        </w:rPr>
      </w:pPr>
      <w:bookmarkStart w:id="27" w:name="_Hlk173490007"/>
      <w:r w:rsidRPr="001B036C">
        <w:rPr>
          <w:b/>
          <w:bCs/>
        </w:rPr>
        <w:t>Detecting active disease and p</w:t>
      </w:r>
      <w:r w:rsidR="007619C3" w:rsidRPr="001B036C">
        <w:rPr>
          <w:b/>
          <w:bCs/>
        </w:rPr>
        <w:t>redicting</w:t>
      </w:r>
      <w:r w:rsidR="007619C3" w:rsidRPr="001B036C">
        <w:rPr>
          <w:b/>
        </w:rPr>
        <w:t xml:space="preserve"> mucosal healing </w:t>
      </w:r>
      <w:r w:rsidR="001048A1" w:rsidRPr="001B036C">
        <w:rPr>
          <w:b/>
        </w:rPr>
        <w:t>in symptomatic patients</w:t>
      </w:r>
      <w:r w:rsidR="007619C3" w:rsidRPr="001B036C">
        <w:rPr>
          <w:b/>
        </w:rPr>
        <w:t xml:space="preserve"> </w:t>
      </w:r>
      <w:r w:rsidR="00CD1F21" w:rsidRPr="001B036C">
        <w:rPr>
          <w:b/>
        </w:rPr>
        <w:t xml:space="preserve"> </w:t>
      </w:r>
    </w:p>
    <w:p w14:paraId="1CE0F873" w14:textId="77777777" w:rsidR="007619C3" w:rsidRPr="001B036C" w:rsidRDefault="007619C3">
      <w:pPr>
        <w:rPr>
          <w:bCs/>
          <w:u w:val="single"/>
        </w:rPr>
      </w:pPr>
      <w:r w:rsidRPr="001B036C">
        <w:rPr>
          <w:bCs/>
          <w:u w:val="single"/>
        </w:rPr>
        <w:t xml:space="preserve">Adults </w:t>
      </w:r>
    </w:p>
    <w:p w14:paraId="7DA8120A" w14:textId="072FC043" w:rsidR="007619C3" w:rsidRPr="001B036C" w:rsidRDefault="007619C3" w:rsidP="00CB24B6">
      <w:r w:rsidRPr="001B036C">
        <w:t xml:space="preserve">Studies included in the analyses employed a wide range of FC cut-off values to calculate sensitivity/specificity. </w:t>
      </w:r>
      <w:r w:rsidR="00EB1AB8" w:rsidRPr="001B036C">
        <w:t xml:space="preserve">For studies measuring active disease, </w:t>
      </w:r>
      <w:r w:rsidRPr="001B036C">
        <w:t xml:space="preserve">it was observed that </w:t>
      </w:r>
      <w:r w:rsidR="00EB1AB8" w:rsidRPr="001B036C">
        <w:t>low FC cut-offs (e.g. &gt;76 µg/g) provided high sensitivity/specificity, though this traversed ‘normal’ FC levels. A similar but opposite trend was observed for mucosal healing, where</w:t>
      </w:r>
      <w:r w:rsidRPr="001B036C">
        <w:t xml:space="preserve"> high FC cut-off values (e.g. &lt;250 </w:t>
      </w:r>
      <w:r w:rsidR="00FC328D" w:rsidRPr="001B036C">
        <w:t>µ</w:t>
      </w:r>
      <w:r w:rsidRPr="001B036C">
        <w:t xml:space="preserve">g/g) generally provided the best sensitivity/specificity, but these cut-off values had limited clinical utility, as the </w:t>
      </w:r>
      <w:r w:rsidR="00AC3024" w:rsidRPr="001B036C">
        <w:t>‘</w:t>
      </w:r>
      <w:r w:rsidRPr="001B036C">
        <w:t>normal</w:t>
      </w:r>
      <w:r w:rsidR="00AC3024" w:rsidRPr="001B036C">
        <w:t>’</w:t>
      </w:r>
      <w:r w:rsidRPr="001B036C">
        <w:t xml:space="preserve"> range for FC is 50-100 </w:t>
      </w:r>
      <w:r w:rsidR="00FC328D" w:rsidRPr="001B036C">
        <w:t>µ</w:t>
      </w:r>
      <w:r w:rsidRPr="001B036C">
        <w:t>g/g. To address these concerns, results were limited to cut-offs which correspond with the proposed treatment algorithm</w:t>
      </w:r>
      <w:r w:rsidR="00C74545" w:rsidRPr="001B036C">
        <w:t xml:space="preserve"> which aligns with some clinical guidelines</w:t>
      </w:r>
      <w:r w:rsidRPr="001B036C">
        <w:t xml:space="preserve">, where an FC &lt; 100 </w:t>
      </w:r>
      <w:r w:rsidR="00C44A48" w:rsidRPr="001B036C">
        <w:t>µ</w:t>
      </w:r>
      <w:r w:rsidRPr="001B036C">
        <w:t xml:space="preserve">g/g may be considered ‘normal’ or ‘negative’ for inflammation, and FC &gt;100 </w:t>
      </w:r>
      <w:r w:rsidR="00C44A48" w:rsidRPr="001B036C">
        <w:t>µ</w:t>
      </w:r>
      <w:r w:rsidRPr="001B036C">
        <w:t xml:space="preserve">g/g may be considered ‘positive’ for inflammation. </w:t>
      </w:r>
    </w:p>
    <w:p w14:paraId="4DA97D57" w14:textId="37D292E8" w:rsidR="007619C3" w:rsidRPr="001B036C" w:rsidRDefault="7E3DF6B4" w:rsidP="0041705F">
      <w:r w:rsidRPr="001B036C">
        <w:t xml:space="preserve">There were eight studies that reported on the ability to detect active disease in CD with cut-off values ranging from 76 – 273 </w:t>
      </w:r>
      <w:proofErr w:type="spellStart"/>
      <w:r w:rsidRPr="001B036C">
        <w:t>μg</w:t>
      </w:r>
      <w:proofErr w:type="spellEnd"/>
      <w:r w:rsidRPr="001B036C">
        <w:t>/g. Additionally, the histological disease activity result (Global histologic disease activity score) was also included in the estimates. At the threshold of FC</w:t>
      </w:r>
      <w:r w:rsidR="00052208">
        <w:t> </w:t>
      </w:r>
      <w:r w:rsidRPr="001B036C">
        <w:t>≥100</w:t>
      </w:r>
      <w:r w:rsidR="00052208">
        <w:t> </w:t>
      </w:r>
      <w:proofErr w:type="spellStart"/>
      <w:r w:rsidRPr="001B036C">
        <w:t>μg</w:t>
      </w:r>
      <w:proofErr w:type="spellEnd"/>
      <w:r w:rsidRPr="001B036C">
        <w:t>/g, the median sensitivity and specificity (k=6) for detecting active disease were 81% (95% CI; 71-88) and 64% (95% CI; 44-79), respectively.</w:t>
      </w:r>
    </w:p>
    <w:p w14:paraId="4B420056" w14:textId="5B6FF5E8" w:rsidR="007619C3" w:rsidRPr="001B036C" w:rsidRDefault="7E3DF6B4" w:rsidP="0041705F">
      <w:r w:rsidRPr="001B036C">
        <w:lastRenderedPageBreak/>
        <w:t>A total of fourteen studies were included in UC population with FC cut-off values ranging from</w:t>
      </w:r>
      <w:r w:rsidR="00052208">
        <w:br/>
      </w:r>
      <w:r w:rsidRPr="001B036C">
        <w:t xml:space="preserve">60 – 800 </w:t>
      </w:r>
      <w:proofErr w:type="spellStart"/>
      <w:r w:rsidRPr="001B036C">
        <w:t>μg</w:t>
      </w:r>
      <w:proofErr w:type="spellEnd"/>
      <w:r w:rsidRPr="001B036C">
        <w:t xml:space="preserve">/g. At the threshold of FC ≥100 </w:t>
      </w:r>
      <w:proofErr w:type="spellStart"/>
      <w:r w:rsidRPr="001B036C">
        <w:t>μg</w:t>
      </w:r>
      <w:proofErr w:type="spellEnd"/>
      <w:r w:rsidRPr="001B036C">
        <w:t xml:space="preserve">/g, the median sensitivity and specificity (k=11) for detecting active disease were 85% (95% CI; 76-90) and 76% (95% CI; 62-86), respectively. </w:t>
      </w:r>
    </w:p>
    <w:p w14:paraId="33C907AA" w14:textId="672B8843" w:rsidR="007619C3" w:rsidRPr="001B036C" w:rsidRDefault="007619C3" w:rsidP="0041705F">
      <w:r w:rsidRPr="001B036C">
        <w:t>Three studies reported on the accuracy of FC testing against the reference standard (colonoscopy</w:t>
      </w:r>
      <w:r w:rsidR="00122F1F" w:rsidRPr="001B036C">
        <w:t>/</w:t>
      </w:r>
      <w:r w:rsidRPr="001B036C">
        <w:t xml:space="preserve"> biopsy), in detecting mucosal healing in patients with CD. These studies had cut-off threshold </w:t>
      </w:r>
      <w:r w:rsidRPr="001B036C">
        <w:rPr>
          <w:rFonts w:eastAsia="Franklin Gothic Book" w:cs="Franklin Gothic Book"/>
        </w:rPr>
        <w:t xml:space="preserve">values ranging from 71 to 180 </w:t>
      </w:r>
      <w:proofErr w:type="spellStart"/>
      <w:r w:rsidRPr="001B036C">
        <w:rPr>
          <w:rFonts w:eastAsia="Franklin Gothic Book" w:cs="Franklin Gothic Book"/>
        </w:rPr>
        <w:t>μg</w:t>
      </w:r>
      <w:proofErr w:type="spellEnd"/>
      <w:r w:rsidRPr="001B036C">
        <w:rPr>
          <w:rFonts w:eastAsia="Franklin Gothic Book" w:cs="Franklin Gothic Book"/>
        </w:rPr>
        <w:t xml:space="preserve">/g. </w:t>
      </w:r>
      <w:r w:rsidRPr="001B036C">
        <w:t>At the threshold of FC &lt; 100</w:t>
      </w:r>
      <w:r w:rsidR="00122F1F" w:rsidRPr="001B036C">
        <w:t xml:space="preserve"> </w:t>
      </w:r>
      <w:proofErr w:type="spellStart"/>
      <w:r w:rsidRPr="001B036C">
        <w:t>μg</w:t>
      </w:r>
      <w:proofErr w:type="spellEnd"/>
      <w:r w:rsidRPr="001B036C">
        <w:t xml:space="preserve">/g, the median sensitivity and specificity (k=2) for detecting mucosal healing were 87% (range 79-93) and 67% (range 57-77), respectively. </w:t>
      </w:r>
    </w:p>
    <w:p w14:paraId="4237CC51" w14:textId="4DEF75A6" w:rsidR="007619C3" w:rsidRPr="001B036C" w:rsidRDefault="007619C3" w:rsidP="3ECDB750">
      <w:r w:rsidRPr="001B036C">
        <w:t xml:space="preserve">In the UC population, a total of sixteen studies were included with cut-off values ranging from </w:t>
      </w:r>
      <w:r w:rsidR="0050535B">
        <w:br/>
      </w:r>
      <w:r w:rsidRPr="001B036C">
        <w:t xml:space="preserve">70 to 250 ug/g. At the threshold of FC &lt;100 </w:t>
      </w:r>
      <w:proofErr w:type="spellStart"/>
      <w:r w:rsidRPr="001B036C">
        <w:t>μg</w:t>
      </w:r>
      <w:proofErr w:type="spellEnd"/>
      <w:r w:rsidRPr="001B036C">
        <w:t>/g, the median sensitivity and specificity (k=7) for detecting mucosal healing were 82% (range 75-88) and 76% (range 67-83), respectively.</w:t>
      </w:r>
    </w:p>
    <w:p w14:paraId="2B7F5D28" w14:textId="2F321BE3" w:rsidR="176FFA87" w:rsidRPr="001B036C" w:rsidRDefault="176FFA87">
      <w:r w:rsidRPr="001B036C">
        <w:t>The area under the curve (AUC) estimate for CD and UC patients, provides a comprehensive measure of the test's accuracy across different FC thresholds.</w:t>
      </w:r>
      <w:r w:rsidR="00D9447E" w:rsidRPr="001B036C">
        <w:t xml:space="preserve"> Overall, the results show:</w:t>
      </w:r>
    </w:p>
    <w:p w14:paraId="42B2DBE7" w14:textId="1B320D80" w:rsidR="176FFA87" w:rsidRPr="001B036C" w:rsidRDefault="176FFA87" w:rsidP="001E6DBB">
      <w:pPr>
        <w:pStyle w:val="ListParagraph"/>
        <w:numPr>
          <w:ilvl w:val="0"/>
          <w:numId w:val="30"/>
        </w:numPr>
      </w:pPr>
      <w:r w:rsidRPr="001B036C">
        <w:t xml:space="preserve">The AUC for CD in relation to detecting active disease for a FC cut-off of ≥100 </w:t>
      </w:r>
      <w:r w:rsidR="24304B2D" w:rsidRPr="001B036C">
        <w:t>µ</w:t>
      </w:r>
      <w:r w:rsidRPr="001B036C">
        <w:t xml:space="preserve">g/g is estimated at 0.784. This means that FC testing </w:t>
      </w:r>
      <w:proofErr w:type="gramStart"/>
      <w:r w:rsidRPr="001B036C">
        <w:t>has the ability to</w:t>
      </w:r>
      <w:proofErr w:type="gramEnd"/>
      <w:r w:rsidRPr="001B036C">
        <w:t xml:space="preserve"> detect disease activity in symptomatic CD patients 78.4% of the time. </w:t>
      </w:r>
    </w:p>
    <w:p w14:paraId="32F3D60F" w14:textId="666C948C" w:rsidR="176FFA87" w:rsidRPr="001B036C" w:rsidRDefault="176FFA87" w:rsidP="001E6DBB">
      <w:pPr>
        <w:pStyle w:val="ListParagraph"/>
        <w:numPr>
          <w:ilvl w:val="0"/>
          <w:numId w:val="30"/>
        </w:numPr>
      </w:pPr>
      <w:r w:rsidRPr="001B036C">
        <w:t xml:space="preserve">Similarly for UC patients the AUC estimate was 0.859. Indicating that FC testing </w:t>
      </w:r>
      <w:proofErr w:type="gramStart"/>
      <w:r w:rsidRPr="001B036C">
        <w:t>has the ability to</w:t>
      </w:r>
      <w:proofErr w:type="gramEnd"/>
      <w:r w:rsidRPr="001B036C">
        <w:t xml:space="preserve"> detect disease activity in symptomatic UC patients 85.9% of the time.</w:t>
      </w:r>
    </w:p>
    <w:p w14:paraId="080846FD" w14:textId="4565CC6B" w:rsidR="176FFA87" w:rsidRPr="001B036C" w:rsidRDefault="176FFA87" w:rsidP="001E6DBB">
      <w:pPr>
        <w:pStyle w:val="ListParagraph"/>
        <w:numPr>
          <w:ilvl w:val="0"/>
          <w:numId w:val="30"/>
        </w:numPr>
      </w:pPr>
      <w:r w:rsidRPr="001B036C">
        <w:t xml:space="preserve">The AUC estimate for predicting mucosal healing in CD at an FC cut-off of &lt;100 µg/g showed a high AUC 0.840, indicating that FC testing can correctly detect mucosal healing in 84% of cases in symptomatic CD patients. However, due to a small sample size (k=3) this estimate may lack statistical power and could be subject to variability. </w:t>
      </w:r>
    </w:p>
    <w:p w14:paraId="7BC6A792" w14:textId="78C9DA94" w:rsidR="176FFA87" w:rsidRPr="001B036C" w:rsidRDefault="176FFA87" w:rsidP="001E6DBB">
      <w:pPr>
        <w:pStyle w:val="ListParagraph"/>
        <w:numPr>
          <w:ilvl w:val="0"/>
          <w:numId w:val="30"/>
        </w:numPr>
      </w:pPr>
      <w:r w:rsidRPr="001B036C">
        <w:t>In UC, considering an FC cut-off of &lt;100 ug/g, AUC was estimated at 0.821, indicating the test's ability to detect mucosal healing in symptomatic UC patients in 82.1% of the time.</w:t>
      </w:r>
    </w:p>
    <w:p w14:paraId="43A1E41D" w14:textId="7BB87171" w:rsidR="00A97680" w:rsidRPr="00A97680" w:rsidRDefault="00FB1238" w:rsidP="00A97680">
      <w:r w:rsidRPr="001B036C">
        <w:t>A summary of the results is presented in</w:t>
      </w:r>
      <w:r w:rsidR="00BA7507" w:rsidRPr="001B036C">
        <w:t xml:space="preserve"> </w:t>
      </w:r>
      <w:r w:rsidR="00C55A66">
        <w:t>Table 10</w:t>
      </w:r>
      <w:r w:rsidR="00BA7507" w:rsidRPr="001B036C">
        <w:t>.</w:t>
      </w:r>
      <w:bookmarkStart w:id="28" w:name="_Ref175596657"/>
      <w:r w:rsidR="00A97680">
        <w:br w:type="page"/>
      </w:r>
    </w:p>
    <w:p w14:paraId="19F56928" w14:textId="5A1DC881" w:rsidR="007416AE" w:rsidRPr="001B036C" w:rsidRDefault="007416AE" w:rsidP="007416AE">
      <w:pPr>
        <w:pStyle w:val="Caption"/>
      </w:pPr>
      <w:r w:rsidRPr="001B036C">
        <w:lastRenderedPageBreak/>
        <w:t xml:space="preserve">Table </w:t>
      </w:r>
      <w:r>
        <w:fldChar w:fldCharType="begin"/>
      </w:r>
      <w:r>
        <w:instrText xml:space="preserve"> SEQ Table \* ARABIC </w:instrText>
      </w:r>
      <w:r>
        <w:fldChar w:fldCharType="separate"/>
      </w:r>
      <w:r w:rsidR="00B4653B">
        <w:rPr>
          <w:noProof/>
        </w:rPr>
        <w:t>10</w:t>
      </w:r>
      <w:r>
        <w:rPr>
          <w:noProof/>
        </w:rPr>
        <w:fldChar w:fldCharType="end"/>
      </w:r>
      <w:bookmarkEnd w:id="28"/>
      <w:r w:rsidRPr="001B036C">
        <w:t xml:space="preserve"> Summary of accuracy results for mucosal healing and active disease </w:t>
      </w:r>
      <w:r w:rsidR="000E67BC" w:rsidRPr="001B036C">
        <w:t xml:space="preserve">and mucosal healing </w:t>
      </w:r>
      <w:r w:rsidRPr="001B036C">
        <w:t>at different cut-off thresholds</w:t>
      </w:r>
    </w:p>
    <w:tbl>
      <w:tblPr>
        <w:tblW w:w="5000" w:type="pct"/>
        <w:tblLayout w:type="fixed"/>
        <w:tblLook w:val="04A0" w:firstRow="1" w:lastRow="0" w:firstColumn="1" w:lastColumn="0" w:noHBand="0" w:noVBand="1"/>
      </w:tblPr>
      <w:tblGrid>
        <w:gridCol w:w="2285"/>
        <w:gridCol w:w="835"/>
        <w:gridCol w:w="845"/>
        <w:gridCol w:w="1245"/>
        <w:gridCol w:w="1349"/>
        <w:gridCol w:w="811"/>
        <w:gridCol w:w="629"/>
        <w:gridCol w:w="1007"/>
      </w:tblGrid>
      <w:tr w:rsidR="007416AE" w:rsidRPr="001B036C" w14:paraId="0BB6D6E4" w14:textId="77777777">
        <w:trPr>
          <w:trHeight w:val="645"/>
        </w:trPr>
        <w:tc>
          <w:tcPr>
            <w:tcW w:w="1269" w:type="pct"/>
            <w:tcBorders>
              <w:top w:val="single" w:sz="8" w:space="0" w:color="auto"/>
              <w:left w:val="single" w:sz="8" w:space="0" w:color="auto"/>
              <w:bottom w:val="single" w:sz="8" w:space="0" w:color="auto"/>
              <w:right w:val="single" w:sz="8" w:space="0" w:color="auto"/>
            </w:tcBorders>
            <w:vAlign w:val="center"/>
            <w:hideMark/>
          </w:tcPr>
          <w:p w14:paraId="76CFEA30" w14:textId="77777777" w:rsidR="007416AE" w:rsidRPr="001B036C" w:rsidRDefault="007416AE" w:rsidP="00A97680">
            <w:pPr>
              <w:pStyle w:val="In-tableHeading"/>
            </w:pPr>
            <w:r w:rsidRPr="001B036C">
              <w:t>FC threshold</w:t>
            </w:r>
          </w:p>
        </w:tc>
        <w:tc>
          <w:tcPr>
            <w:tcW w:w="464" w:type="pct"/>
            <w:tcBorders>
              <w:top w:val="single" w:sz="8" w:space="0" w:color="auto"/>
              <w:left w:val="nil"/>
              <w:bottom w:val="single" w:sz="8" w:space="0" w:color="auto"/>
              <w:right w:val="single" w:sz="8" w:space="0" w:color="auto"/>
            </w:tcBorders>
            <w:vAlign w:val="center"/>
            <w:hideMark/>
          </w:tcPr>
          <w:p w14:paraId="2158184B" w14:textId="77777777" w:rsidR="007416AE" w:rsidRPr="001B036C" w:rsidRDefault="007416AE" w:rsidP="00A97680">
            <w:pPr>
              <w:pStyle w:val="In-tableHeading"/>
            </w:pPr>
            <w:r w:rsidRPr="001B036C">
              <w:t>Number of studies</w:t>
            </w:r>
          </w:p>
        </w:tc>
        <w:tc>
          <w:tcPr>
            <w:tcW w:w="469" w:type="pct"/>
            <w:tcBorders>
              <w:top w:val="single" w:sz="8" w:space="0" w:color="auto"/>
              <w:left w:val="nil"/>
              <w:bottom w:val="single" w:sz="8" w:space="0" w:color="auto"/>
              <w:right w:val="single" w:sz="8" w:space="0" w:color="auto"/>
            </w:tcBorders>
            <w:vAlign w:val="center"/>
            <w:hideMark/>
          </w:tcPr>
          <w:p w14:paraId="4BA8BB9A" w14:textId="77777777" w:rsidR="007416AE" w:rsidRPr="001B036C" w:rsidRDefault="007416AE" w:rsidP="00A97680">
            <w:pPr>
              <w:pStyle w:val="In-tableHeading"/>
            </w:pPr>
            <w:r w:rsidRPr="001B036C">
              <w:t>Number of patients</w:t>
            </w:r>
          </w:p>
        </w:tc>
        <w:tc>
          <w:tcPr>
            <w:tcW w:w="691" w:type="pct"/>
            <w:tcBorders>
              <w:top w:val="single" w:sz="8" w:space="0" w:color="auto"/>
              <w:left w:val="nil"/>
              <w:bottom w:val="single" w:sz="8" w:space="0" w:color="auto"/>
              <w:right w:val="single" w:sz="8" w:space="0" w:color="auto"/>
            </w:tcBorders>
            <w:vAlign w:val="center"/>
            <w:hideMark/>
          </w:tcPr>
          <w:p w14:paraId="2331F24A" w14:textId="77777777" w:rsidR="007416AE" w:rsidRPr="001B036C" w:rsidRDefault="007416AE" w:rsidP="00A97680">
            <w:pPr>
              <w:pStyle w:val="In-tableHeading"/>
            </w:pPr>
            <w:r w:rsidRPr="001B036C">
              <w:t>Sensitivity:</w:t>
            </w:r>
          </w:p>
          <w:p w14:paraId="4E28D793" w14:textId="77777777" w:rsidR="007416AE" w:rsidRPr="001B036C" w:rsidRDefault="007416AE" w:rsidP="00A97680">
            <w:pPr>
              <w:pStyle w:val="In-tableHeading"/>
            </w:pPr>
            <w:r w:rsidRPr="001B036C">
              <w:t>Pooled estimate [95%CI]</w:t>
            </w:r>
          </w:p>
        </w:tc>
        <w:tc>
          <w:tcPr>
            <w:tcW w:w="749" w:type="pct"/>
            <w:tcBorders>
              <w:top w:val="single" w:sz="8" w:space="0" w:color="auto"/>
              <w:left w:val="nil"/>
              <w:bottom w:val="single" w:sz="8" w:space="0" w:color="auto"/>
              <w:right w:val="single" w:sz="8" w:space="0" w:color="auto"/>
            </w:tcBorders>
            <w:vAlign w:val="center"/>
            <w:hideMark/>
          </w:tcPr>
          <w:p w14:paraId="0FE30250" w14:textId="77777777" w:rsidR="007416AE" w:rsidRPr="001B036C" w:rsidRDefault="007416AE" w:rsidP="00A97680">
            <w:pPr>
              <w:pStyle w:val="In-tableHeading"/>
            </w:pPr>
            <w:r w:rsidRPr="001B036C">
              <w:t>Specificity:</w:t>
            </w:r>
          </w:p>
          <w:p w14:paraId="12DC7DB9" w14:textId="77777777" w:rsidR="007416AE" w:rsidRPr="001B036C" w:rsidRDefault="007416AE" w:rsidP="00A97680">
            <w:pPr>
              <w:pStyle w:val="In-tableHeading"/>
            </w:pPr>
            <w:r w:rsidRPr="001B036C">
              <w:t>Pooled estimate [95%CI]</w:t>
            </w:r>
          </w:p>
        </w:tc>
        <w:tc>
          <w:tcPr>
            <w:tcW w:w="450" w:type="pct"/>
            <w:tcBorders>
              <w:top w:val="single" w:sz="8" w:space="0" w:color="auto"/>
              <w:left w:val="nil"/>
              <w:bottom w:val="single" w:sz="8" w:space="0" w:color="auto"/>
              <w:right w:val="single" w:sz="8" w:space="0" w:color="auto"/>
            </w:tcBorders>
            <w:vAlign w:val="center"/>
            <w:hideMark/>
          </w:tcPr>
          <w:p w14:paraId="2FCFE0B3" w14:textId="77777777" w:rsidR="007416AE" w:rsidRPr="001B036C" w:rsidRDefault="007416AE" w:rsidP="00A97680">
            <w:pPr>
              <w:pStyle w:val="In-tableHeading"/>
            </w:pPr>
            <w:r w:rsidRPr="001B036C">
              <w:t>NPV, %</w:t>
            </w:r>
          </w:p>
          <w:p w14:paraId="54EBF93C" w14:textId="77777777" w:rsidR="007416AE" w:rsidRPr="001B036C" w:rsidRDefault="007416AE" w:rsidP="00A97680">
            <w:pPr>
              <w:pStyle w:val="In-tableHeading"/>
            </w:pPr>
            <w:r w:rsidRPr="001B036C">
              <w:t>PPV, %</w:t>
            </w:r>
          </w:p>
        </w:tc>
        <w:tc>
          <w:tcPr>
            <w:tcW w:w="349" w:type="pct"/>
            <w:tcBorders>
              <w:top w:val="single" w:sz="8" w:space="0" w:color="auto"/>
              <w:left w:val="nil"/>
              <w:bottom w:val="single" w:sz="8" w:space="0" w:color="auto"/>
              <w:right w:val="single" w:sz="8" w:space="0" w:color="auto"/>
            </w:tcBorders>
            <w:vAlign w:val="center"/>
            <w:hideMark/>
          </w:tcPr>
          <w:p w14:paraId="7BC55433" w14:textId="77777777" w:rsidR="007416AE" w:rsidRPr="001B036C" w:rsidRDefault="007416AE" w:rsidP="00A97680">
            <w:pPr>
              <w:pStyle w:val="In-tableHeading"/>
            </w:pPr>
            <w:r w:rsidRPr="001B036C">
              <w:t>AUC</w:t>
            </w:r>
          </w:p>
        </w:tc>
        <w:tc>
          <w:tcPr>
            <w:tcW w:w="559" w:type="pct"/>
            <w:tcBorders>
              <w:top w:val="single" w:sz="8" w:space="0" w:color="auto"/>
              <w:left w:val="nil"/>
              <w:bottom w:val="single" w:sz="8" w:space="0" w:color="auto"/>
              <w:right w:val="single" w:sz="8" w:space="0" w:color="auto"/>
            </w:tcBorders>
          </w:tcPr>
          <w:p w14:paraId="5C3C2DD3" w14:textId="77777777" w:rsidR="007416AE" w:rsidRPr="001B036C" w:rsidRDefault="007416AE" w:rsidP="00A97680">
            <w:pPr>
              <w:pStyle w:val="In-tableHeading"/>
            </w:pPr>
            <w:proofErr w:type="spellStart"/>
            <w:r w:rsidRPr="001B036C">
              <w:t>CoE</w:t>
            </w:r>
            <w:proofErr w:type="spellEnd"/>
            <w:r w:rsidRPr="001B036C">
              <w:t xml:space="preserve"> (GRADE)</w:t>
            </w:r>
          </w:p>
        </w:tc>
      </w:tr>
      <w:tr w:rsidR="007416AE" w:rsidRPr="001B036C" w14:paraId="64BA51A9" w14:textId="77777777">
        <w:trPr>
          <w:trHeight w:val="277"/>
        </w:trPr>
        <w:tc>
          <w:tcPr>
            <w:tcW w:w="4441" w:type="pct"/>
            <w:gridSpan w:val="7"/>
            <w:tcBorders>
              <w:top w:val="nil"/>
              <w:left w:val="single" w:sz="8" w:space="0" w:color="auto"/>
              <w:bottom w:val="single" w:sz="8" w:space="0" w:color="auto"/>
              <w:right w:val="single" w:sz="8" w:space="0" w:color="auto"/>
            </w:tcBorders>
            <w:vAlign w:val="center"/>
            <w:hideMark/>
          </w:tcPr>
          <w:p w14:paraId="005E9723" w14:textId="77777777" w:rsidR="007416AE" w:rsidRPr="001B036C" w:rsidRDefault="007416AE" w:rsidP="00A97680">
            <w:pPr>
              <w:pStyle w:val="TableText"/>
              <w:spacing w:before="0" w:after="0"/>
              <w:rPr>
                <w:b/>
                <w:bCs/>
              </w:rPr>
            </w:pPr>
            <w:r w:rsidRPr="001B036C">
              <w:rPr>
                <w:b/>
                <w:bCs/>
              </w:rPr>
              <w:t>Adult CD population</w:t>
            </w:r>
          </w:p>
        </w:tc>
        <w:tc>
          <w:tcPr>
            <w:tcW w:w="559" w:type="pct"/>
            <w:tcBorders>
              <w:top w:val="nil"/>
              <w:left w:val="single" w:sz="8" w:space="0" w:color="auto"/>
              <w:bottom w:val="single" w:sz="8" w:space="0" w:color="auto"/>
              <w:right w:val="single" w:sz="8" w:space="0" w:color="auto"/>
            </w:tcBorders>
          </w:tcPr>
          <w:p w14:paraId="47D8D6EE" w14:textId="77777777" w:rsidR="007416AE" w:rsidRPr="001B036C" w:rsidRDefault="007416AE" w:rsidP="00A97680">
            <w:pPr>
              <w:pStyle w:val="TableText"/>
              <w:spacing w:before="0" w:after="0"/>
              <w:rPr>
                <w:b/>
                <w:bCs/>
              </w:rPr>
            </w:pPr>
          </w:p>
        </w:tc>
      </w:tr>
      <w:tr w:rsidR="00156BDF" w:rsidRPr="001B036C" w14:paraId="29C8FAFE" w14:textId="77777777">
        <w:trPr>
          <w:trHeight w:val="285"/>
        </w:trPr>
        <w:tc>
          <w:tcPr>
            <w:tcW w:w="1269" w:type="pct"/>
            <w:tcBorders>
              <w:top w:val="nil"/>
              <w:left w:val="single" w:sz="8" w:space="0" w:color="auto"/>
              <w:bottom w:val="single" w:sz="8" w:space="0" w:color="auto"/>
              <w:right w:val="single" w:sz="8" w:space="0" w:color="auto"/>
            </w:tcBorders>
            <w:vAlign w:val="center"/>
          </w:tcPr>
          <w:p w14:paraId="3CB257B9" w14:textId="77777777" w:rsidR="00FF67D3" w:rsidRPr="001B036C" w:rsidRDefault="00FF67D3" w:rsidP="00A97680">
            <w:pPr>
              <w:pStyle w:val="TableText"/>
              <w:spacing w:before="0" w:after="0"/>
            </w:pPr>
            <w:r w:rsidRPr="001B036C">
              <w:t>Active disease:</w:t>
            </w:r>
          </w:p>
          <w:p w14:paraId="3CBACFF1" w14:textId="20DC28BA" w:rsidR="00156BDF" w:rsidRPr="001B036C" w:rsidRDefault="00FF67D3" w:rsidP="00A97680">
            <w:pPr>
              <w:pStyle w:val="TableText"/>
              <w:spacing w:before="0" w:after="0"/>
            </w:pPr>
            <w:r w:rsidRPr="001B036C">
              <w:t>All FC cut-offs</w:t>
            </w:r>
          </w:p>
        </w:tc>
        <w:tc>
          <w:tcPr>
            <w:tcW w:w="464" w:type="pct"/>
            <w:tcBorders>
              <w:top w:val="nil"/>
              <w:left w:val="nil"/>
              <w:bottom w:val="single" w:sz="8" w:space="0" w:color="auto"/>
              <w:right w:val="single" w:sz="8" w:space="0" w:color="auto"/>
            </w:tcBorders>
            <w:vAlign w:val="center"/>
          </w:tcPr>
          <w:p w14:paraId="65C81D5A" w14:textId="39133D37" w:rsidR="00156BDF" w:rsidRPr="001B036C" w:rsidRDefault="00FF67D3" w:rsidP="00A97680">
            <w:pPr>
              <w:pStyle w:val="TableText"/>
              <w:spacing w:before="0" w:after="0"/>
              <w:jc w:val="center"/>
            </w:pPr>
            <w:r w:rsidRPr="001B036C">
              <w:t>k=9</w:t>
            </w:r>
          </w:p>
        </w:tc>
        <w:tc>
          <w:tcPr>
            <w:tcW w:w="469" w:type="pct"/>
            <w:tcBorders>
              <w:top w:val="nil"/>
              <w:left w:val="nil"/>
              <w:bottom w:val="single" w:sz="8" w:space="0" w:color="auto"/>
              <w:right w:val="single" w:sz="8" w:space="0" w:color="auto"/>
            </w:tcBorders>
            <w:vAlign w:val="center"/>
          </w:tcPr>
          <w:p w14:paraId="491AE681" w14:textId="3220320F" w:rsidR="00156BDF" w:rsidRPr="001B036C" w:rsidRDefault="00FF67D3" w:rsidP="00A97680">
            <w:pPr>
              <w:pStyle w:val="TableText"/>
              <w:spacing w:before="0" w:after="0"/>
              <w:jc w:val="center"/>
            </w:pPr>
            <w:r w:rsidRPr="001B036C">
              <w:t>N=551</w:t>
            </w:r>
          </w:p>
        </w:tc>
        <w:tc>
          <w:tcPr>
            <w:tcW w:w="691" w:type="pct"/>
            <w:tcBorders>
              <w:top w:val="nil"/>
              <w:left w:val="nil"/>
              <w:bottom w:val="single" w:sz="8" w:space="0" w:color="auto"/>
              <w:right w:val="single" w:sz="8" w:space="0" w:color="auto"/>
            </w:tcBorders>
            <w:vAlign w:val="center"/>
          </w:tcPr>
          <w:p w14:paraId="2809B06A" w14:textId="182D4371" w:rsidR="00156BDF" w:rsidRPr="001B036C" w:rsidRDefault="00FF67D3" w:rsidP="00A97680">
            <w:pPr>
              <w:pStyle w:val="TableText"/>
              <w:spacing w:before="0" w:after="0"/>
              <w:jc w:val="center"/>
            </w:pPr>
            <w:r w:rsidRPr="001B036C">
              <w:t>84% [76; 90]</w:t>
            </w:r>
          </w:p>
        </w:tc>
        <w:tc>
          <w:tcPr>
            <w:tcW w:w="749" w:type="pct"/>
            <w:tcBorders>
              <w:top w:val="nil"/>
              <w:left w:val="nil"/>
              <w:bottom w:val="single" w:sz="8" w:space="0" w:color="auto"/>
              <w:right w:val="single" w:sz="8" w:space="0" w:color="auto"/>
            </w:tcBorders>
            <w:vAlign w:val="center"/>
          </w:tcPr>
          <w:p w14:paraId="16C1AC46" w14:textId="1B80FF4C" w:rsidR="00156BDF" w:rsidRPr="001B036C" w:rsidRDefault="00FF67D3" w:rsidP="00A97680">
            <w:pPr>
              <w:pStyle w:val="TableText"/>
              <w:spacing w:before="0" w:after="0"/>
              <w:jc w:val="center"/>
            </w:pPr>
            <w:r w:rsidRPr="001B036C">
              <w:t>73% [54; 87]</w:t>
            </w:r>
          </w:p>
        </w:tc>
        <w:tc>
          <w:tcPr>
            <w:tcW w:w="450" w:type="pct"/>
            <w:tcBorders>
              <w:top w:val="nil"/>
              <w:left w:val="nil"/>
              <w:bottom w:val="single" w:sz="8" w:space="0" w:color="auto"/>
              <w:right w:val="single" w:sz="8" w:space="0" w:color="auto"/>
            </w:tcBorders>
            <w:vAlign w:val="center"/>
          </w:tcPr>
          <w:p w14:paraId="3ECED7C2" w14:textId="77777777" w:rsidR="00FF67D3" w:rsidRPr="001B036C" w:rsidRDefault="00FF67D3" w:rsidP="00A97680">
            <w:pPr>
              <w:pStyle w:val="TableText"/>
              <w:spacing w:before="0" w:after="0"/>
              <w:jc w:val="center"/>
            </w:pPr>
            <w:r w:rsidRPr="001B036C">
              <w:t>67</w:t>
            </w:r>
          </w:p>
          <w:p w14:paraId="1EFAC423" w14:textId="2037FC74" w:rsidR="00156BDF" w:rsidRPr="001B036C" w:rsidRDefault="00FF67D3" w:rsidP="00A97680">
            <w:pPr>
              <w:pStyle w:val="TableText"/>
              <w:spacing w:before="0" w:after="0"/>
              <w:jc w:val="center"/>
            </w:pPr>
            <w:r w:rsidRPr="001B036C">
              <w:t>81</w:t>
            </w:r>
          </w:p>
        </w:tc>
        <w:tc>
          <w:tcPr>
            <w:tcW w:w="349" w:type="pct"/>
            <w:tcBorders>
              <w:top w:val="nil"/>
              <w:left w:val="nil"/>
              <w:bottom w:val="single" w:sz="8" w:space="0" w:color="auto"/>
              <w:right w:val="single" w:sz="8" w:space="0" w:color="auto"/>
            </w:tcBorders>
            <w:vAlign w:val="center"/>
          </w:tcPr>
          <w:p w14:paraId="154329DD" w14:textId="1EDCB2DA" w:rsidR="00156BDF" w:rsidRPr="001B036C" w:rsidRDefault="00FF67D3" w:rsidP="00A97680">
            <w:pPr>
              <w:pStyle w:val="TableText"/>
              <w:spacing w:before="0" w:after="0"/>
              <w:jc w:val="center"/>
            </w:pPr>
            <w:r w:rsidRPr="001B036C">
              <w:t>0.838</w:t>
            </w:r>
          </w:p>
        </w:tc>
        <w:tc>
          <w:tcPr>
            <w:tcW w:w="559" w:type="pct"/>
            <w:tcBorders>
              <w:top w:val="nil"/>
              <w:left w:val="nil"/>
              <w:bottom w:val="single" w:sz="8" w:space="0" w:color="auto"/>
              <w:right w:val="single" w:sz="8" w:space="0" w:color="auto"/>
            </w:tcBorders>
          </w:tcPr>
          <w:p w14:paraId="4CA9D123" w14:textId="0965FF5A" w:rsidR="00156BDF" w:rsidRPr="001B036C" w:rsidRDefault="00B32194" w:rsidP="00A97680">
            <w:pPr>
              <w:pStyle w:val="TableText"/>
              <w:spacing w:before="0" w:after="0"/>
              <w:jc w:val="cente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r w:rsidR="00156BDF" w:rsidRPr="001B036C" w14:paraId="5E317293" w14:textId="77777777">
        <w:trPr>
          <w:trHeight w:val="285"/>
        </w:trPr>
        <w:tc>
          <w:tcPr>
            <w:tcW w:w="1269" w:type="pct"/>
            <w:tcBorders>
              <w:top w:val="nil"/>
              <w:left w:val="single" w:sz="8" w:space="0" w:color="auto"/>
              <w:bottom w:val="single" w:sz="8" w:space="0" w:color="auto"/>
              <w:right w:val="single" w:sz="8" w:space="0" w:color="auto"/>
            </w:tcBorders>
            <w:vAlign w:val="center"/>
          </w:tcPr>
          <w:p w14:paraId="38D083E2" w14:textId="77777777" w:rsidR="00FF67D3" w:rsidRPr="001B036C" w:rsidRDefault="00FF67D3" w:rsidP="00A97680">
            <w:pPr>
              <w:pStyle w:val="TableText"/>
              <w:spacing w:before="0" w:after="0"/>
            </w:pPr>
            <w:r w:rsidRPr="001B036C">
              <w:t>MH:</w:t>
            </w:r>
          </w:p>
          <w:p w14:paraId="247F8417" w14:textId="32604B0C" w:rsidR="00156BDF" w:rsidRPr="001B036C" w:rsidRDefault="00FF67D3" w:rsidP="00A97680">
            <w:pPr>
              <w:pStyle w:val="TableText"/>
              <w:spacing w:before="0" w:after="0"/>
            </w:pPr>
            <w:r w:rsidRPr="001B036C">
              <w:t>All FC cut-offs</w:t>
            </w:r>
          </w:p>
        </w:tc>
        <w:tc>
          <w:tcPr>
            <w:tcW w:w="464" w:type="pct"/>
            <w:tcBorders>
              <w:top w:val="nil"/>
              <w:left w:val="nil"/>
              <w:bottom w:val="single" w:sz="8" w:space="0" w:color="auto"/>
              <w:right w:val="single" w:sz="8" w:space="0" w:color="auto"/>
            </w:tcBorders>
            <w:vAlign w:val="center"/>
          </w:tcPr>
          <w:p w14:paraId="4AFB28BE" w14:textId="332BCBF3" w:rsidR="00156BDF" w:rsidRPr="001B036C" w:rsidRDefault="00FF67D3" w:rsidP="00A97680">
            <w:pPr>
              <w:pStyle w:val="TableText"/>
              <w:spacing w:before="0" w:after="0"/>
              <w:jc w:val="center"/>
            </w:pPr>
            <w:r w:rsidRPr="001B036C">
              <w:t>k=3</w:t>
            </w:r>
          </w:p>
        </w:tc>
        <w:tc>
          <w:tcPr>
            <w:tcW w:w="469" w:type="pct"/>
            <w:tcBorders>
              <w:top w:val="nil"/>
              <w:left w:val="nil"/>
              <w:bottom w:val="single" w:sz="8" w:space="0" w:color="auto"/>
              <w:right w:val="single" w:sz="8" w:space="0" w:color="auto"/>
            </w:tcBorders>
            <w:vAlign w:val="center"/>
          </w:tcPr>
          <w:p w14:paraId="2056D851" w14:textId="323BF2C8" w:rsidR="00156BDF" w:rsidRPr="001B036C" w:rsidRDefault="00FF67D3" w:rsidP="00A97680">
            <w:pPr>
              <w:pStyle w:val="TableText"/>
              <w:spacing w:before="0" w:after="0"/>
              <w:jc w:val="center"/>
            </w:pPr>
            <w:r w:rsidRPr="001B036C">
              <w:t>N=210</w:t>
            </w:r>
          </w:p>
        </w:tc>
        <w:tc>
          <w:tcPr>
            <w:tcW w:w="691" w:type="pct"/>
            <w:tcBorders>
              <w:top w:val="nil"/>
              <w:left w:val="nil"/>
              <w:bottom w:val="single" w:sz="8" w:space="0" w:color="auto"/>
              <w:right w:val="single" w:sz="8" w:space="0" w:color="auto"/>
            </w:tcBorders>
            <w:vAlign w:val="center"/>
          </w:tcPr>
          <w:p w14:paraId="3EB5665B" w14:textId="40DDC3C3" w:rsidR="00156BDF" w:rsidRPr="001B036C" w:rsidRDefault="00FF67D3" w:rsidP="00A97680">
            <w:pPr>
              <w:pStyle w:val="TableText"/>
              <w:spacing w:before="0" w:after="0"/>
              <w:jc w:val="center"/>
            </w:pPr>
            <w:r w:rsidRPr="001B036C">
              <w:t>87% [79; 93]</w:t>
            </w:r>
          </w:p>
        </w:tc>
        <w:tc>
          <w:tcPr>
            <w:tcW w:w="749" w:type="pct"/>
            <w:tcBorders>
              <w:top w:val="nil"/>
              <w:left w:val="nil"/>
              <w:bottom w:val="single" w:sz="8" w:space="0" w:color="auto"/>
              <w:right w:val="single" w:sz="8" w:space="0" w:color="auto"/>
            </w:tcBorders>
            <w:vAlign w:val="center"/>
          </w:tcPr>
          <w:p w14:paraId="50247D1C" w14:textId="16ABF944" w:rsidR="00156BDF" w:rsidRPr="001B036C" w:rsidRDefault="00FF67D3" w:rsidP="00A97680">
            <w:pPr>
              <w:pStyle w:val="TableText"/>
              <w:spacing w:before="0" w:after="0"/>
              <w:jc w:val="center"/>
            </w:pPr>
            <w:r w:rsidRPr="001B036C">
              <w:t>67% [57; 77]</w:t>
            </w:r>
          </w:p>
        </w:tc>
        <w:tc>
          <w:tcPr>
            <w:tcW w:w="450" w:type="pct"/>
            <w:tcBorders>
              <w:top w:val="nil"/>
              <w:left w:val="nil"/>
              <w:bottom w:val="single" w:sz="8" w:space="0" w:color="auto"/>
              <w:right w:val="single" w:sz="8" w:space="0" w:color="auto"/>
            </w:tcBorders>
            <w:vAlign w:val="center"/>
          </w:tcPr>
          <w:p w14:paraId="5E866EFB" w14:textId="77777777" w:rsidR="00FF67D3" w:rsidRPr="001B036C" w:rsidRDefault="00FF67D3" w:rsidP="00A97680">
            <w:pPr>
              <w:pStyle w:val="TableText"/>
              <w:spacing w:before="0" w:after="0"/>
              <w:jc w:val="center"/>
            </w:pPr>
            <w:r w:rsidRPr="001B036C">
              <w:t>95</w:t>
            </w:r>
          </w:p>
          <w:p w14:paraId="22E08306" w14:textId="665C85BF" w:rsidR="00156BDF" w:rsidRPr="001B036C" w:rsidRDefault="00FF67D3" w:rsidP="00A97680">
            <w:pPr>
              <w:pStyle w:val="TableText"/>
              <w:spacing w:before="0" w:after="0"/>
              <w:jc w:val="center"/>
            </w:pPr>
            <w:r w:rsidRPr="001B036C">
              <w:t>49</w:t>
            </w:r>
          </w:p>
        </w:tc>
        <w:tc>
          <w:tcPr>
            <w:tcW w:w="349" w:type="pct"/>
            <w:tcBorders>
              <w:top w:val="nil"/>
              <w:left w:val="nil"/>
              <w:bottom w:val="single" w:sz="8" w:space="0" w:color="auto"/>
              <w:right w:val="single" w:sz="8" w:space="0" w:color="auto"/>
            </w:tcBorders>
            <w:vAlign w:val="center"/>
          </w:tcPr>
          <w:p w14:paraId="1A0F4D95" w14:textId="0683E62E" w:rsidR="00156BDF" w:rsidRPr="001B036C" w:rsidRDefault="00FF67D3" w:rsidP="00A97680">
            <w:pPr>
              <w:pStyle w:val="TableText"/>
              <w:spacing w:before="0" w:after="0"/>
              <w:jc w:val="center"/>
            </w:pPr>
            <w:r w:rsidRPr="001B036C">
              <w:t>0.848</w:t>
            </w:r>
          </w:p>
        </w:tc>
        <w:tc>
          <w:tcPr>
            <w:tcW w:w="559" w:type="pct"/>
            <w:tcBorders>
              <w:top w:val="nil"/>
              <w:left w:val="nil"/>
              <w:bottom w:val="single" w:sz="8" w:space="0" w:color="auto"/>
              <w:right w:val="single" w:sz="8" w:space="0" w:color="auto"/>
            </w:tcBorders>
          </w:tcPr>
          <w:p w14:paraId="581FFCC8" w14:textId="41CA4612" w:rsidR="00156BDF" w:rsidRPr="001B036C" w:rsidRDefault="00B32194" w:rsidP="00A97680">
            <w:pPr>
              <w:pStyle w:val="TableText"/>
              <w:spacing w:before="0" w:after="0"/>
              <w:jc w:val="cente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r w:rsidR="00FF67D3" w:rsidRPr="001B036C" w14:paraId="798866A7" w14:textId="77777777">
        <w:trPr>
          <w:trHeight w:val="285"/>
        </w:trPr>
        <w:tc>
          <w:tcPr>
            <w:tcW w:w="1269" w:type="pct"/>
            <w:tcBorders>
              <w:top w:val="nil"/>
              <w:left w:val="single" w:sz="8" w:space="0" w:color="auto"/>
              <w:bottom w:val="single" w:sz="8" w:space="0" w:color="auto"/>
              <w:right w:val="single" w:sz="8" w:space="0" w:color="auto"/>
            </w:tcBorders>
            <w:vAlign w:val="center"/>
            <w:hideMark/>
          </w:tcPr>
          <w:p w14:paraId="421F9361" w14:textId="77777777" w:rsidR="00FF67D3" w:rsidRPr="001B036C" w:rsidRDefault="00FF67D3" w:rsidP="00A97680">
            <w:pPr>
              <w:pStyle w:val="TableText"/>
              <w:spacing w:before="0" w:after="0"/>
            </w:pPr>
            <w:r w:rsidRPr="001B036C">
              <w:t xml:space="preserve">Active disease: FC ≥100 </w:t>
            </w:r>
            <w:proofErr w:type="spellStart"/>
            <w:r w:rsidRPr="001B036C">
              <w:t>μg</w:t>
            </w:r>
            <w:proofErr w:type="spellEnd"/>
            <w:r w:rsidRPr="001B036C">
              <w:t>/g</w:t>
            </w:r>
          </w:p>
        </w:tc>
        <w:tc>
          <w:tcPr>
            <w:tcW w:w="464" w:type="pct"/>
            <w:tcBorders>
              <w:top w:val="nil"/>
              <w:left w:val="nil"/>
              <w:bottom w:val="single" w:sz="8" w:space="0" w:color="auto"/>
              <w:right w:val="single" w:sz="8" w:space="0" w:color="auto"/>
            </w:tcBorders>
            <w:vAlign w:val="center"/>
            <w:hideMark/>
          </w:tcPr>
          <w:p w14:paraId="5065BB51" w14:textId="77777777" w:rsidR="00FF67D3" w:rsidRPr="001B036C" w:rsidRDefault="00FF67D3" w:rsidP="00A97680">
            <w:pPr>
              <w:pStyle w:val="TableText"/>
              <w:spacing w:before="0" w:after="0"/>
              <w:jc w:val="center"/>
            </w:pPr>
            <w:r w:rsidRPr="001B036C">
              <w:t>k=6</w:t>
            </w:r>
          </w:p>
        </w:tc>
        <w:tc>
          <w:tcPr>
            <w:tcW w:w="469" w:type="pct"/>
            <w:tcBorders>
              <w:top w:val="nil"/>
              <w:left w:val="nil"/>
              <w:bottom w:val="single" w:sz="8" w:space="0" w:color="auto"/>
              <w:right w:val="single" w:sz="8" w:space="0" w:color="auto"/>
            </w:tcBorders>
            <w:vAlign w:val="center"/>
            <w:hideMark/>
          </w:tcPr>
          <w:p w14:paraId="69CFEC6A" w14:textId="77777777" w:rsidR="00FF67D3" w:rsidRPr="001B036C" w:rsidRDefault="00FF67D3" w:rsidP="00A97680">
            <w:pPr>
              <w:pStyle w:val="TableText"/>
              <w:spacing w:before="0" w:after="0"/>
              <w:jc w:val="center"/>
            </w:pPr>
            <w:r w:rsidRPr="001B036C">
              <w:t>N=415</w:t>
            </w:r>
          </w:p>
        </w:tc>
        <w:tc>
          <w:tcPr>
            <w:tcW w:w="691" w:type="pct"/>
            <w:tcBorders>
              <w:top w:val="nil"/>
              <w:left w:val="nil"/>
              <w:bottom w:val="single" w:sz="8" w:space="0" w:color="auto"/>
              <w:right w:val="single" w:sz="8" w:space="0" w:color="auto"/>
            </w:tcBorders>
            <w:vAlign w:val="center"/>
            <w:hideMark/>
          </w:tcPr>
          <w:p w14:paraId="68AD7E1D" w14:textId="77777777" w:rsidR="00FF67D3" w:rsidRPr="001B036C" w:rsidRDefault="00FF67D3" w:rsidP="00A97680">
            <w:pPr>
              <w:pStyle w:val="TableText"/>
              <w:spacing w:before="0" w:after="0"/>
              <w:jc w:val="center"/>
            </w:pPr>
            <w:r w:rsidRPr="001B036C">
              <w:t>81% [71: 88]</w:t>
            </w:r>
          </w:p>
          <w:p w14:paraId="62CC160B" w14:textId="77777777" w:rsidR="00FF67D3" w:rsidRPr="001B036C" w:rsidRDefault="00FF67D3" w:rsidP="00A97680">
            <w:pPr>
              <w:pStyle w:val="TableText"/>
              <w:spacing w:before="0" w:after="0"/>
              <w:jc w:val="center"/>
            </w:pPr>
          </w:p>
        </w:tc>
        <w:tc>
          <w:tcPr>
            <w:tcW w:w="749" w:type="pct"/>
            <w:tcBorders>
              <w:top w:val="nil"/>
              <w:left w:val="nil"/>
              <w:bottom w:val="single" w:sz="8" w:space="0" w:color="auto"/>
              <w:right w:val="single" w:sz="8" w:space="0" w:color="auto"/>
            </w:tcBorders>
            <w:vAlign w:val="center"/>
            <w:hideMark/>
          </w:tcPr>
          <w:p w14:paraId="4A769955" w14:textId="77777777" w:rsidR="00FF67D3" w:rsidRPr="001B036C" w:rsidRDefault="00FF67D3" w:rsidP="00A97680">
            <w:pPr>
              <w:pStyle w:val="TableText"/>
              <w:spacing w:before="0" w:after="0"/>
              <w:jc w:val="center"/>
            </w:pPr>
            <w:r w:rsidRPr="001B036C">
              <w:t>64% [44; 79]</w:t>
            </w:r>
          </w:p>
        </w:tc>
        <w:tc>
          <w:tcPr>
            <w:tcW w:w="450" w:type="pct"/>
            <w:tcBorders>
              <w:top w:val="nil"/>
              <w:left w:val="nil"/>
              <w:bottom w:val="single" w:sz="8" w:space="0" w:color="auto"/>
              <w:right w:val="single" w:sz="8" w:space="0" w:color="auto"/>
            </w:tcBorders>
            <w:vAlign w:val="center"/>
            <w:hideMark/>
          </w:tcPr>
          <w:p w14:paraId="42E53CF4" w14:textId="77777777" w:rsidR="00FF67D3" w:rsidRPr="001B036C" w:rsidRDefault="00FF67D3" w:rsidP="00A97680">
            <w:pPr>
              <w:pStyle w:val="TableText"/>
              <w:spacing w:before="0" w:after="0"/>
              <w:jc w:val="center"/>
            </w:pPr>
            <w:r w:rsidRPr="001B036C">
              <w:t>65</w:t>
            </w:r>
          </w:p>
          <w:p w14:paraId="6F6025C5" w14:textId="77777777" w:rsidR="00FF67D3" w:rsidRPr="001B036C" w:rsidRDefault="00FF67D3" w:rsidP="00A97680">
            <w:pPr>
              <w:pStyle w:val="TableText"/>
              <w:spacing w:before="0" w:after="0"/>
              <w:jc w:val="center"/>
            </w:pPr>
            <w:r w:rsidRPr="001B036C">
              <w:t>76</w:t>
            </w:r>
          </w:p>
        </w:tc>
        <w:tc>
          <w:tcPr>
            <w:tcW w:w="349" w:type="pct"/>
            <w:tcBorders>
              <w:top w:val="nil"/>
              <w:left w:val="nil"/>
              <w:bottom w:val="single" w:sz="8" w:space="0" w:color="auto"/>
              <w:right w:val="single" w:sz="8" w:space="0" w:color="auto"/>
            </w:tcBorders>
            <w:vAlign w:val="center"/>
            <w:hideMark/>
          </w:tcPr>
          <w:p w14:paraId="5695DB32" w14:textId="77777777" w:rsidR="00FF67D3" w:rsidRPr="001B036C" w:rsidRDefault="00FF67D3" w:rsidP="00A97680">
            <w:pPr>
              <w:pStyle w:val="TableText"/>
              <w:spacing w:before="0" w:after="0"/>
              <w:jc w:val="center"/>
            </w:pPr>
            <w:r w:rsidRPr="001B036C">
              <w:t>0.784</w:t>
            </w:r>
          </w:p>
        </w:tc>
        <w:tc>
          <w:tcPr>
            <w:tcW w:w="559" w:type="pct"/>
            <w:tcBorders>
              <w:top w:val="nil"/>
              <w:left w:val="nil"/>
              <w:bottom w:val="single" w:sz="8" w:space="0" w:color="auto"/>
              <w:right w:val="single" w:sz="8" w:space="0" w:color="auto"/>
            </w:tcBorders>
          </w:tcPr>
          <w:p w14:paraId="4E06E4E8" w14:textId="77777777" w:rsidR="00FF67D3" w:rsidRPr="001B036C" w:rsidRDefault="00FF67D3" w:rsidP="00A97680">
            <w:pPr>
              <w:pStyle w:val="TableText"/>
              <w:spacing w:before="0" w:after="0"/>
              <w:jc w:val="cente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r w:rsidR="00FF67D3" w:rsidRPr="001B036C" w14:paraId="181976FF" w14:textId="77777777">
        <w:trPr>
          <w:trHeight w:val="285"/>
        </w:trPr>
        <w:tc>
          <w:tcPr>
            <w:tcW w:w="1269" w:type="pct"/>
            <w:tcBorders>
              <w:top w:val="nil"/>
              <w:left w:val="single" w:sz="8" w:space="0" w:color="auto"/>
              <w:bottom w:val="single" w:sz="8" w:space="0" w:color="auto"/>
              <w:right w:val="single" w:sz="8" w:space="0" w:color="auto"/>
            </w:tcBorders>
            <w:vAlign w:val="center"/>
          </w:tcPr>
          <w:p w14:paraId="16A6D370" w14:textId="77777777" w:rsidR="00FF67D3" w:rsidRPr="001B036C" w:rsidRDefault="00FF67D3" w:rsidP="00A97680">
            <w:pPr>
              <w:pStyle w:val="TableText"/>
              <w:spacing w:before="0" w:after="0"/>
            </w:pPr>
            <w:r w:rsidRPr="001B036C">
              <w:t>MH:</w:t>
            </w:r>
          </w:p>
          <w:p w14:paraId="0F7D0758" w14:textId="190A3EE4" w:rsidR="00FF67D3" w:rsidRPr="001B036C" w:rsidRDefault="00FF67D3" w:rsidP="00A97680">
            <w:pPr>
              <w:pStyle w:val="TableText"/>
              <w:spacing w:before="0" w:after="0"/>
            </w:pPr>
            <w:r w:rsidRPr="001B036C">
              <w:t xml:space="preserve">FC&lt; 100 </w:t>
            </w:r>
            <w:proofErr w:type="spellStart"/>
            <w:r w:rsidRPr="001B036C">
              <w:t>μg</w:t>
            </w:r>
            <w:proofErr w:type="spellEnd"/>
            <w:r w:rsidRPr="001B036C">
              <w:t>/g</w:t>
            </w:r>
          </w:p>
        </w:tc>
        <w:tc>
          <w:tcPr>
            <w:tcW w:w="464" w:type="pct"/>
            <w:tcBorders>
              <w:top w:val="nil"/>
              <w:left w:val="nil"/>
              <w:bottom w:val="single" w:sz="8" w:space="0" w:color="auto"/>
              <w:right w:val="single" w:sz="8" w:space="0" w:color="auto"/>
            </w:tcBorders>
            <w:vAlign w:val="center"/>
          </w:tcPr>
          <w:p w14:paraId="4A8F6B99" w14:textId="391B6414" w:rsidR="00FF67D3" w:rsidRPr="001B036C" w:rsidRDefault="00FF67D3" w:rsidP="00A97680">
            <w:pPr>
              <w:pStyle w:val="TableText"/>
              <w:spacing w:before="0" w:after="0"/>
              <w:jc w:val="center"/>
            </w:pPr>
            <w:r w:rsidRPr="001B036C">
              <w:t>k=2</w:t>
            </w:r>
          </w:p>
        </w:tc>
        <w:tc>
          <w:tcPr>
            <w:tcW w:w="469" w:type="pct"/>
            <w:tcBorders>
              <w:top w:val="nil"/>
              <w:left w:val="nil"/>
              <w:bottom w:val="single" w:sz="8" w:space="0" w:color="auto"/>
              <w:right w:val="single" w:sz="8" w:space="0" w:color="auto"/>
            </w:tcBorders>
            <w:vAlign w:val="center"/>
          </w:tcPr>
          <w:p w14:paraId="7B1FA1FF" w14:textId="6ADB3665" w:rsidR="00FF67D3" w:rsidRPr="001B036C" w:rsidRDefault="00FF67D3" w:rsidP="00A97680">
            <w:pPr>
              <w:pStyle w:val="TableText"/>
              <w:spacing w:before="0" w:after="0"/>
              <w:jc w:val="center"/>
            </w:pPr>
            <w:r w:rsidRPr="001B036C">
              <w:t>N=139</w:t>
            </w:r>
          </w:p>
        </w:tc>
        <w:tc>
          <w:tcPr>
            <w:tcW w:w="691" w:type="pct"/>
            <w:tcBorders>
              <w:top w:val="nil"/>
              <w:left w:val="nil"/>
              <w:bottom w:val="single" w:sz="8" w:space="0" w:color="auto"/>
              <w:right w:val="single" w:sz="8" w:space="0" w:color="auto"/>
            </w:tcBorders>
            <w:vAlign w:val="center"/>
          </w:tcPr>
          <w:p w14:paraId="76C2A671" w14:textId="77777777" w:rsidR="00FF67D3" w:rsidRPr="001B036C" w:rsidRDefault="00FF67D3" w:rsidP="00A97680">
            <w:pPr>
              <w:pStyle w:val="TableText"/>
              <w:spacing w:before="0" w:after="0"/>
              <w:jc w:val="center"/>
            </w:pPr>
            <w:r w:rsidRPr="001B036C">
              <w:t>87% [77: 94]</w:t>
            </w:r>
          </w:p>
          <w:p w14:paraId="0796B68A" w14:textId="54F5B074" w:rsidR="00FF67D3" w:rsidRPr="001B036C" w:rsidRDefault="00FF67D3" w:rsidP="00A97680">
            <w:pPr>
              <w:pStyle w:val="TableText"/>
              <w:spacing w:before="0" w:after="0"/>
              <w:jc w:val="center"/>
            </w:pPr>
          </w:p>
        </w:tc>
        <w:tc>
          <w:tcPr>
            <w:tcW w:w="749" w:type="pct"/>
            <w:tcBorders>
              <w:top w:val="nil"/>
              <w:left w:val="nil"/>
              <w:bottom w:val="single" w:sz="8" w:space="0" w:color="auto"/>
              <w:right w:val="single" w:sz="8" w:space="0" w:color="auto"/>
            </w:tcBorders>
            <w:vAlign w:val="center"/>
          </w:tcPr>
          <w:p w14:paraId="3BE58C32" w14:textId="247830AB" w:rsidR="00FF67D3" w:rsidRPr="001B036C" w:rsidRDefault="00FF67D3" w:rsidP="00A97680">
            <w:pPr>
              <w:pStyle w:val="TableText"/>
              <w:spacing w:before="0" w:after="0"/>
              <w:jc w:val="center"/>
            </w:pPr>
            <w:r w:rsidRPr="001B036C">
              <w:t>66% [50; 78]</w:t>
            </w:r>
          </w:p>
        </w:tc>
        <w:tc>
          <w:tcPr>
            <w:tcW w:w="450" w:type="pct"/>
            <w:tcBorders>
              <w:top w:val="nil"/>
              <w:left w:val="nil"/>
              <w:bottom w:val="single" w:sz="8" w:space="0" w:color="auto"/>
              <w:right w:val="single" w:sz="8" w:space="0" w:color="auto"/>
            </w:tcBorders>
            <w:vAlign w:val="center"/>
          </w:tcPr>
          <w:p w14:paraId="31EFCE17" w14:textId="77777777" w:rsidR="00FF67D3" w:rsidRPr="001B036C" w:rsidRDefault="00FF67D3" w:rsidP="00A97680">
            <w:pPr>
              <w:pStyle w:val="TableText"/>
              <w:spacing w:before="0" w:after="0"/>
              <w:jc w:val="center"/>
            </w:pPr>
            <w:r w:rsidRPr="001B036C">
              <w:t>95</w:t>
            </w:r>
          </w:p>
          <w:p w14:paraId="70403F9D" w14:textId="57C20426" w:rsidR="00FF67D3" w:rsidRPr="001B036C" w:rsidRDefault="00FF67D3" w:rsidP="00A97680">
            <w:pPr>
              <w:pStyle w:val="TableText"/>
              <w:spacing w:before="0" w:after="0"/>
              <w:jc w:val="center"/>
            </w:pPr>
            <w:r w:rsidRPr="001B036C">
              <w:t>46</w:t>
            </w:r>
          </w:p>
        </w:tc>
        <w:tc>
          <w:tcPr>
            <w:tcW w:w="349" w:type="pct"/>
            <w:tcBorders>
              <w:top w:val="nil"/>
              <w:left w:val="nil"/>
              <w:bottom w:val="single" w:sz="8" w:space="0" w:color="auto"/>
              <w:right w:val="single" w:sz="8" w:space="0" w:color="auto"/>
            </w:tcBorders>
            <w:vAlign w:val="center"/>
          </w:tcPr>
          <w:p w14:paraId="6BD567FD" w14:textId="4925FDB2" w:rsidR="00FF67D3" w:rsidRPr="001B036C" w:rsidRDefault="00FF67D3" w:rsidP="00A97680">
            <w:pPr>
              <w:pStyle w:val="TableText"/>
              <w:spacing w:before="0" w:after="0"/>
              <w:jc w:val="center"/>
            </w:pPr>
            <w:r w:rsidRPr="001B036C">
              <w:t>0.840</w:t>
            </w:r>
          </w:p>
        </w:tc>
        <w:tc>
          <w:tcPr>
            <w:tcW w:w="559" w:type="pct"/>
            <w:tcBorders>
              <w:top w:val="nil"/>
              <w:left w:val="nil"/>
              <w:bottom w:val="single" w:sz="8" w:space="0" w:color="auto"/>
              <w:right w:val="single" w:sz="8" w:space="0" w:color="auto"/>
            </w:tcBorders>
          </w:tcPr>
          <w:p w14:paraId="75033BC9" w14:textId="518271FA" w:rsidR="00FF67D3" w:rsidRPr="001B036C" w:rsidRDefault="00FF67D3" w:rsidP="00A97680">
            <w:pPr>
              <w:pStyle w:val="TableText"/>
              <w:spacing w:before="0" w:after="0"/>
              <w:jc w:val="cente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r w:rsidR="007416AE" w:rsidRPr="001B036C" w14:paraId="74E96778" w14:textId="77777777">
        <w:trPr>
          <w:trHeight w:val="285"/>
        </w:trPr>
        <w:tc>
          <w:tcPr>
            <w:tcW w:w="4441" w:type="pct"/>
            <w:gridSpan w:val="7"/>
            <w:tcBorders>
              <w:top w:val="nil"/>
              <w:left w:val="single" w:sz="8" w:space="0" w:color="auto"/>
              <w:bottom w:val="single" w:sz="8" w:space="0" w:color="auto"/>
              <w:right w:val="single" w:sz="8" w:space="0" w:color="auto"/>
            </w:tcBorders>
            <w:vAlign w:val="center"/>
            <w:hideMark/>
          </w:tcPr>
          <w:p w14:paraId="62318015" w14:textId="77777777" w:rsidR="007416AE" w:rsidRPr="001B036C" w:rsidRDefault="007416AE" w:rsidP="00A97680">
            <w:pPr>
              <w:pStyle w:val="TableText"/>
              <w:spacing w:before="0" w:after="0"/>
              <w:rPr>
                <w:b/>
                <w:bCs/>
              </w:rPr>
            </w:pPr>
            <w:r w:rsidRPr="001B036C">
              <w:rPr>
                <w:b/>
                <w:bCs/>
              </w:rPr>
              <w:t>Adult UC population</w:t>
            </w:r>
          </w:p>
        </w:tc>
        <w:tc>
          <w:tcPr>
            <w:tcW w:w="559" w:type="pct"/>
            <w:tcBorders>
              <w:top w:val="nil"/>
              <w:left w:val="single" w:sz="8" w:space="0" w:color="auto"/>
              <w:bottom w:val="single" w:sz="8" w:space="0" w:color="auto"/>
              <w:right w:val="single" w:sz="8" w:space="0" w:color="auto"/>
            </w:tcBorders>
          </w:tcPr>
          <w:p w14:paraId="200B8491" w14:textId="77777777" w:rsidR="007416AE" w:rsidRPr="001B036C" w:rsidRDefault="007416AE" w:rsidP="00A97680">
            <w:pPr>
              <w:pStyle w:val="TableText"/>
              <w:spacing w:before="0" w:after="0"/>
              <w:rPr>
                <w:b/>
                <w:bCs/>
              </w:rPr>
            </w:pPr>
          </w:p>
        </w:tc>
      </w:tr>
      <w:tr w:rsidR="007416AE" w:rsidRPr="001B036C" w14:paraId="3932CD3C" w14:textId="77777777">
        <w:trPr>
          <w:trHeight w:val="285"/>
        </w:trPr>
        <w:tc>
          <w:tcPr>
            <w:tcW w:w="1269" w:type="pct"/>
            <w:tcBorders>
              <w:top w:val="nil"/>
              <w:left w:val="single" w:sz="8" w:space="0" w:color="auto"/>
              <w:bottom w:val="single" w:sz="8" w:space="0" w:color="auto"/>
              <w:right w:val="single" w:sz="8" w:space="0" w:color="auto"/>
            </w:tcBorders>
            <w:vAlign w:val="center"/>
            <w:hideMark/>
          </w:tcPr>
          <w:p w14:paraId="39335AA9" w14:textId="20F21DCE" w:rsidR="007416AE" w:rsidRPr="001B036C" w:rsidRDefault="000E3D10" w:rsidP="00A97680">
            <w:pPr>
              <w:pStyle w:val="TableText"/>
              <w:spacing w:before="0" w:after="0"/>
            </w:pPr>
            <w:r w:rsidRPr="001B036C">
              <w:t>Active disease</w:t>
            </w:r>
            <w:r w:rsidR="007416AE" w:rsidRPr="001B036C">
              <w:t>: All FC cut-offs</w:t>
            </w:r>
          </w:p>
        </w:tc>
        <w:tc>
          <w:tcPr>
            <w:tcW w:w="464" w:type="pct"/>
            <w:tcBorders>
              <w:top w:val="nil"/>
              <w:left w:val="nil"/>
              <w:bottom w:val="single" w:sz="8" w:space="0" w:color="auto"/>
              <w:right w:val="single" w:sz="8" w:space="0" w:color="auto"/>
            </w:tcBorders>
            <w:vAlign w:val="center"/>
            <w:hideMark/>
          </w:tcPr>
          <w:p w14:paraId="0229C6D0" w14:textId="06BCE0F3" w:rsidR="007416AE" w:rsidRPr="001B036C" w:rsidRDefault="007416AE" w:rsidP="00A97680">
            <w:pPr>
              <w:pStyle w:val="TableText"/>
              <w:spacing w:before="0" w:after="0"/>
              <w:jc w:val="center"/>
            </w:pPr>
            <w:r w:rsidRPr="001B036C">
              <w:t>k=</w:t>
            </w:r>
            <w:r w:rsidR="000E3D10" w:rsidRPr="001B036C">
              <w:t>15</w:t>
            </w:r>
          </w:p>
        </w:tc>
        <w:tc>
          <w:tcPr>
            <w:tcW w:w="469" w:type="pct"/>
            <w:tcBorders>
              <w:top w:val="nil"/>
              <w:left w:val="nil"/>
              <w:bottom w:val="single" w:sz="8" w:space="0" w:color="auto"/>
              <w:right w:val="single" w:sz="8" w:space="0" w:color="auto"/>
            </w:tcBorders>
            <w:vAlign w:val="center"/>
            <w:hideMark/>
          </w:tcPr>
          <w:p w14:paraId="17BCBCA2" w14:textId="6D582172" w:rsidR="007416AE" w:rsidRPr="001B036C" w:rsidRDefault="007416AE" w:rsidP="00A97680">
            <w:pPr>
              <w:pStyle w:val="TableText"/>
              <w:spacing w:before="0" w:after="0"/>
              <w:jc w:val="center"/>
            </w:pPr>
            <w:r w:rsidRPr="001B036C">
              <w:t>N=</w:t>
            </w:r>
            <w:r w:rsidR="000E3D10" w:rsidRPr="001B036C">
              <w:t>1,244</w:t>
            </w:r>
          </w:p>
        </w:tc>
        <w:tc>
          <w:tcPr>
            <w:tcW w:w="691" w:type="pct"/>
            <w:tcBorders>
              <w:top w:val="nil"/>
              <w:left w:val="nil"/>
              <w:bottom w:val="single" w:sz="8" w:space="0" w:color="auto"/>
              <w:right w:val="single" w:sz="8" w:space="0" w:color="auto"/>
            </w:tcBorders>
            <w:vAlign w:val="center"/>
            <w:hideMark/>
          </w:tcPr>
          <w:p w14:paraId="3E9D46A1" w14:textId="61025875" w:rsidR="007416AE" w:rsidRPr="001B036C" w:rsidRDefault="000E3D10" w:rsidP="00A97680">
            <w:pPr>
              <w:pStyle w:val="TableText"/>
              <w:spacing w:before="0" w:after="0"/>
              <w:jc w:val="center"/>
            </w:pPr>
            <w:r w:rsidRPr="001B036C">
              <w:t>86% [79; 91]</w:t>
            </w:r>
          </w:p>
        </w:tc>
        <w:tc>
          <w:tcPr>
            <w:tcW w:w="749" w:type="pct"/>
            <w:tcBorders>
              <w:top w:val="nil"/>
              <w:left w:val="nil"/>
              <w:bottom w:val="single" w:sz="8" w:space="0" w:color="auto"/>
              <w:right w:val="single" w:sz="8" w:space="0" w:color="auto"/>
            </w:tcBorders>
            <w:vAlign w:val="center"/>
            <w:hideMark/>
          </w:tcPr>
          <w:p w14:paraId="32AB6CAD" w14:textId="32086A27" w:rsidR="007416AE" w:rsidRPr="001B036C" w:rsidRDefault="007416AE" w:rsidP="00A97680">
            <w:pPr>
              <w:pStyle w:val="TableText"/>
              <w:spacing w:before="0" w:after="0"/>
              <w:jc w:val="center"/>
            </w:pPr>
            <w:r w:rsidRPr="001B036C">
              <w:t>77% [</w:t>
            </w:r>
            <w:r w:rsidR="000E3D10" w:rsidRPr="001B036C">
              <w:t>66; 86</w:t>
            </w:r>
            <w:r w:rsidRPr="001B036C">
              <w:t>]</w:t>
            </w:r>
          </w:p>
        </w:tc>
        <w:tc>
          <w:tcPr>
            <w:tcW w:w="450" w:type="pct"/>
            <w:tcBorders>
              <w:top w:val="nil"/>
              <w:left w:val="nil"/>
              <w:bottom w:val="single" w:sz="8" w:space="0" w:color="auto"/>
              <w:right w:val="single" w:sz="8" w:space="0" w:color="auto"/>
            </w:tcBorders>
            <w:vAlign w:val="center"/>
            <w:hideMark/>
          </w:tcPr>
          <w:p w14:paraId="3254C1B0" w14:textId="77777777" w:rsidR="000E3D10" w:rsidRPr="001B036C" w:rsidRDefault="000E3D10" w:rsidP="00A97680">
            <w:pPr>
              <w:pStyle w:val="TableText"/>
              <w:spacing w:before="0" w:after="0"/>
              <w:jc w:val="center"/>
            </w:pPr>
            <w:r w:rsidRPr="001B036C">
              <w:t>76</w:t>
            </w:r>
          </w:p>
          <w:p w14:paraId="210F787D" w14:textId="7B9AD015" w:rsidR="007416AE" w:rsidRPr="001B036C" w:rsidRDefault="000E3D10" w:rsidP="00A97680">
            <w:pPr>
              <w:pStyle w:val="TableText"/>
              <w:spacing w:before="0" w:after="0"/>
              <w:jc w:val="center"/>
            </w:pPr>
            <w:r w:rsidRPr="001B036C">
              <w:t>80</w:t>
            </w:r>
          </w:p>
        </w:tc>
        <w:tc>
          <w:tcPr>
            <w:tcW w:w="349" w:type="pct"/>
            <w:tcBorders>
              <w:top w:val="nil"/>
              <w:left w:val="nil"/>
              <w:bottom w:val="single" w:sz="8" w:space="0" w:color="auto"/>
              <w:right w:val="single" w:sz="8" w:space="0" w:color="auto"/>
            </w:tcBorders>
            <w:vAlign w:val="center"/>
            <w:hideMark/>
          </w:tcPr>
          <w:p w14:paraId="698E1113" w14:textId="11230E31" w:rsidR="007416AE" w:rsidRPr="001B036C" w:rsidRDefault="007416AE" w:rsidP="00A97680">
            <w:pPr>
              <w:pStyle w:val="TableText"/>
              <w:spacing w:before="0" w:after="0"/>
              <w:jc w:val="center"/>
            </w:pPr>
            <w:r w:rsidRPr="001B036C">
              <w:t>0.</w:t>
            </w:r>
            <w:r w:rsidR="000E3D10" w:rsidRPr="001B036C">
              <w:t>867</w:t>
            </w:r>
          </w:p>
        </w:tc>
        <w:tc>
          <w:tcPr>
            <w:tcW w:w="559" w:type="pct"/>
            <w:tcBorders>
              <w:top w:val="nil"/>
              <w:left w:val="nil"/>
              <w:bottom w:val="single" w:sz="8" w:space="0" w:color="auto"/>
              <w:right w:val="single" w:sz="8" w:space="0" w:color="auto"/>
            </w:tcBorders>
          </w:tcPr>
          <w:p w14:paraId="0A31F28D" w14:textId="428C1CD1" w:rsidR="007416AE" w:rsidRPr="001B036C" w:rsidRDefault="007E762E" w:rsidP="00A97680">
            <w:pPr>
              <w:pStyle w:val="TableText"/>
              <w:spacing w:before="0" w:after="0"/>
              <w:jc w:val="cente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r w:rsidR="000E3D10" w:rsidRPr="001B036C" w14:paraId="73734898" w14:textId="77777777">
        <w:trPr>
          <w:trHeight w:val="285"/>
        </w:trPr>
        <w:tc>
          <w:tcPr>
            <w:tcW w:w="1269" w:type="pct"/>
            <w:tcBorders>
              <w:top w:val="nil"/>
              <w:left w:val="single" w:sz="8" w:space="0" w:color="auto"/>
              <w:bottom w:val="single" w:sz="8" w:space="0" w:color="auto"/>
              <w:right w:val="single" w:sz="8" w:space="0" w:color="auto"/>
            </w:tcBorders>
            <w:vAlign w:val="center"/>
          </w:tcPr>
          <w:p w14:paraId="67520A40" w14:textId="346E93C9" w:rsidR="000E3D10" w:rsidRPr="001B036C" w:rsidRDefault="000E3D10" w:rsidP="00A97680">
            <w:pPr>
              <w:pStyle w:val="TableText"/>
              <w:spacing w:before="0" w:after="0"/>
            </w:pPr>
            <w:r w:rsidRPr="001B036C">
              <w:t>MH: All FC cut-offs</w:t>
            </w:r>
          </w:p>
        </w:tc>
        <w:tc>
          <w:tcPr>
            <w:tcW w:w="464" w:type="pct"/>
            <w:tcBorders>
              <w:top w:val="nil"/>
              <w:left w:val="nil"/>
              <w:bottom w:val="single" w:sz="8" w:space="0" w:color="auto"/>
              <w:right w:val="single" w:sz="8" w:space="0" w:color="auto"/>
            </w:tcBorders>
            <w:vAlign w:val="center"/>
          </w:tcPr>
          <w:p w14:paraId="516016D6" w14:textId="11284467" w:rsidR="000E3D10" w:rsidRPr="001B036C" w:rsidRDefault="000E3D10" w:rsidP="00A97680">
            <w:pPr>
              <w:pStyle w:val="TableText"/>
              <w:spacing w:before="0" w:after="0"/>
              <w:jc w:val="center"/>
            </w:pPr>
            <w:r w:rsidRPr="001B036C">
              <w:t>k=19</w:t>
            </w:r>
          </w:p>
        </w:tc>
        <w:tc>
          <w:tcPr>
            <w:tcW w:w="469" w:type="pct"/>
            <w:tcBorders>
              <w:top w:val="nil"/>
              <w:left w:val="nil"/>
              <w:bottom w:val="single" w:sz="8" w:space="0" w:color="auto"/>
              <w:right w:val="single" w:sz="8" w:space="0" w:color="auto"/>
            </w:tcBorders>
            <w:vAlign w:val="center"/>
          </w:tcPr>
          <w:p w14:paraId="6E58E48F" w14:textId="50D4CBFE" w:rsidR="000E3D10" w:rsidRPr="001B036C" w:rsidRDefault="000E3D10" w:rsidP="00A97680">
            <w:pPr>
              <w:pStyle w:val="TableText"/>
              <w:spacing w:before="0" w:after="0"/>
              <w:jc w:val="center"/>
            </w:pPr>
            <w:r w:rsidRPr="001B036C">
              <w:t>N=2,526</w:t>
            </w:r>
          </w:p>
        </w:tc>
        <w:tc>
          <w:tcPr>
            <w:tcW w:w="691" w:type="pct"/>
            <w:tcBorders>
              <w:top w:val="nil"/>
              <w:left w:val="nil"/>
              <w:bottom w:val="single" w:sz="8" w:space="0" w:color="auto"/>
              <w:right w:val="single" w:sz="8" w:space="0" w:color="auto"/>
            </w:tcBorders>
            <w:vAlign w:val="center"/>
          </w:tcPr>
          <w:p w14:paraId="63453377" w14:textId="0EA2A3AF" w:rsidR="000E3D10" w:rsidRPr="001B036C" w:rsidRDefault="000E3D10" w:rsidP="00A97680">
            <w:pPr>
              <w:pStyle w:val="TableText"/>
              <w:spacing w:before="0" w:after="0"/>
              <w:jc w:val="center"/>
            </w:pPr>
            <w:r w:rsidRPr="001B036C">
              <w:t>76% [71; 81]</w:t>
            </w:r>
          </w:p>
        </w:tc>
        <w:tc>
          <w:tcPr>
            <w:tcW w:w="749" w:type="pct"/>
            <w:tcBorders>
              <w:top w:val="nil"/>
              <w:left w:val="nil"/>
              <w:bottom w:val="single" w:sz="8" w:space="0" w:color="auto"/>
              <w:right w:val="single" w:sz="8" w:space="0" w:color="auto"/>
            </w:tcBorders>
            <w:vAlign w:val="center"/>
          </w:tcPr>
          <w:p w14:paraId="70D43D43" w14:textId="106E28A0" w:rsidR="000E3D10" w:rsidRPr="001B036C" w:rsidRDefault="000E3D10" w:rsidP="00A97680">
            <w:pPr>
              <w:pStyle w:val="TableText"/>
              <w:spacing w:before="0" w:after="0"/>
              <w:jc w:val="center"/>
            </w:pPr>
            <w:r w:rsidRPr="001B036C">
              <w:t>77% [73; 80]</w:t>
            </w:r>
          </w:p>
        </w:tc>
        <w:tc>
          <w:tcPr>
            <w:tcW w:w="450" w:type="pct"/>
            <w:tcBorders>
              <w:top w:val="nil"/>
              <w:left w:val="nil"/>
              <w:bottom w:val="single" w:sz="8" w:space="0" w:color="auto"/>
              <w:right w:val="single" w:sz="8" w:space="0" w:color="auto"/>
            </w:tcBorders>
            <w:vAlign w:val="center"/>
          </w:tcPr>
          <w:p w14:paraId="6D193081" w14:textId="77777777" w:rsidR="000E3D10" w:rsidRPr="001B036C" w:rsidRDefault="000E3D10" w:rsidP="00A97680">
            <w:pPr>
              <w:pStyle w:val="TableText"/>
              <w:spacing w:before="0" w:after="0"/>
              <w:jc w:val="center"/>
            </w:pPr>
            <w:r w:rsidRPr="001B036C">
              <w:t>77</w:t>
            </w:r>
          </w:p>
          <w:p w14:paraId="193F15CC" w14:textId="7A66AF68" w:rsidR="000E3D10" w:rsidRPr="001B036C" w:rsidRDefault="000E3D10" w:rsidP="00A97680">
            <w:pPr>
              <w:pStyle w:val="TableText"/>
              <w:spacing w:before="0" w:after="0"/>
              <w:jc w:val="center"/>
            </w:pPr>
            <w:r w:rsidRPr="001B036C">
              <w:t>74</w:t>
            </w:r>
          </w:p>
        </w:tc>
        <w:tc>
          <w:tcPr>
            <w:tcW w:w="349" w:type="pct"/>
            <w:tcBorders>
              <w:top w:val="nil"/>
              <w:left w:val="nil"/>
              <w:bottom w:val="single" w:sz="8" w:space="0" w:color="auto"/>
              <w:right w:val="single" w:sz="8" w:space="0" w:color="auto"/>
            </w:tcBorders>
            <w:vAlign w:val="center"/>
          </w:tcPr>
          <w:p w14:paraId="243400AA" w14:textId="5064345F" w:rsidR="000E3D10" w:rsidRPr="001B036C" w:rsidRDefault="000E3D10" w:rsidP="00A97680">
            <w:pPr>
              <w:pStyle w:val="TableText"/>
              <w:spacing w:before="0" w:after="0"/>
              <w:jc w:val="center"/>
            </w:pPr>
            <w:r w:rsidRPr="001B036C">
              <w:t>0.829</w:t>
            </w:r>
          </w:p>
        </w:tc>
        <w:tc>
          <w:tcPr>
            <w:tcW w:w="559" w:type="pct"/>
            <w:tcBorders>
              <w:top w:val="nil"/>
              <w:left w:val="nil"/>
              <w:bottom w:val="single" w:sz="8" w:space="0" w:color="auto"/>
              <w:right w:val="single" w:sz="8" w:space="0" w:color="auto"/>
            </w:tcBorders>
          </w:tcPr>
          <w:p w14:paraId="7A0A2D28" w14:textId="09AFEA69" w:rsidR="000E3D10" w:rsidRPr="001B036C" w:rsidRDefault="007E762E" w:rsidP="00A97680">
            <w:pPr>
              <w:pStyle w:val="TableText"/>
              <w:spacing w:before="0" w:after="0"/>
              <w:jc w:val="cente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r w:rsidR="000E3D10" w:rsidRPr="001B036C" w14:paraId="00A4DAB2" w14:textId="77777777">
        <w:trPr>
          <w:trHeight w:val="285"/>
        </w:trPr>
        <w:tc>
          <w:tcPr>
            <w:tcW w:w="1269" w:type="pct"/>
            <w:tcBorders>
              <w:top w:val="nil"/>
              <w:left w:val="single" w:sz="8" w:space="0" w:color="auto"/>
              <w:bottom w:val="single" w:sz="8" w:space="0" w:color="auto"/>
              <w:right w:val="single" w:sz="8" w:space="0" w:color="auto"/>
            </w:tcBorders>
            <w:vAlign w:val="center"/>
          </w:tcPr>
          <w:p w14:paraId="27C40D5E" w14:textId="3200DB55" w:rsidR="000E3D10" w:rsidRPr="001B036C" w:rsidRDefault="000E3D10" w:rsidP="00A97680">
            <w:pPr>
              <w:pStyle w:val="TableText"/>
              <w:spacing w:before="0" w:after="0"/>
            </w:pPr>
            <w:r w:rsidRPr="001B036C">
              <w:t xml:space="preserve">Active disease: FC≥ 100 </w:t>
            </w:r>
            <w:proofErr w:type="spellStart"/>
            <w:r w:rsidRPr="001B036C">
              <w:t>μg</w:t>
            </w:r>
            <w:proofErr w:type="spellEnd"/>
            <w:r w:rsidRPr="001B036C">
              <w:t>/g</w:t>
            </w:r>
          </w:p>
        </w:tc>
        <w:tc>
          <w:tcPr>
            <w:tcW w:w="464" w:type="pct"/>
            <w:tcBorders>
              <w:top w:val="nil"/>
              <w:left w:val="nil"/>
              <w:bottom w:val="single" w:sz="8" w:space="0" w:color="auto"/>
              <w:right w:val="single" w:sz="8" w:space="0" w:color="auto"/>
            </w:tcBorders>
            <w:vAlign w:val="center"/>
          </w:tcPr>
          <w:p w14:paraId="2741901D" w14:textId="65EB0C8A" w:rsidR="000E3D10" w:rsidRPr="001B036C" w:rsidRDefault="000E3D10" w:rsidP="00A97680">
            <w:pPr>
              <w:pStyle w:val="TableText"/>
              <w:spacing w:before="0" w:after="0"/>
              <w:jc w:val="center"/>
            </w:pPr>
            <w:r w:rsidRPr="001B036C">
              <w:t>k=11</w:t>
            </w:r>
          </w:p>
        </w:tc>
        <w:tc>
          <w:tcPr>
            <w:tcW w:w="469" w:type="pct"/>
            <w:tcBorders>
              <w:top w:val="nil"/>
              <w:left w:val="nil"/>
              <w:bottom w:val="single" w:sz="8" w:space="0" w:color="auto"/>
              <w:right w:val="single" w:sz="8" w:space="0" w:color="auto"/>
            </w:tcBorders>
            <w:vAlign w:val="center"/>
          </w:tcPr>
          <w:p w14:paraId="19426E85" w14:textId="054D00F9" w:rsidR="000E3D10" w:rsidRPr="001B036C" w:rsidRDefault="000E3D10" w:rsidP="00A97680">
            <w:pPr>
              <w:pStyle w:val="TableText"/>
              <w:spacing w:before="0" w:after="0"/>
              <w:jc w:val="center"/>
            </w:pPr>
            <w:r w:rsidRPr="001B036C">
              <w:t>N=883</w:t>
            </w:r>
          </w:p>
        </w:tc>
        <w:tc>
          <w:tcPr>
            <w:tcW w:w="691" w:type="pct"/>
            <w:tcBorders>
              <w:top w:val="nil"/>
              <w:left w:val="nil"/>
              <w:bottom w:val="single" w:sz="8" w:space="0" w:color="auto"/>
              <w:right w:val="single" w:sz="8" w:space="0" w:color="auto"/>
            </w:tcBorders>
            <w:vAlign w:val="center"/>
          </w:tcPr>
          <w:p w14:paraId="2496B0D2" w14:textId="762B0714" w:rsidR="000E3D10" w:rsidRPr="001B036C" w:rsidRDefault="000E3D10" w:rsidP="00A97680">
            <w:pPr>
              <w:pStyle w:val="TableText"/>
              <w:spacing w:before="0" w:after="0"/>
              <w:jc w:val="center"/>
            </w:pPr>
            <w:r w:rsidRPr="001B036C">
              <w:t>85% [76: 90]</w:t>
            </w:r>
          </w:p>
        </w:tc>
        <w:tc>
          <w:tcPr>
            <w:tcW w:w="749" w:type="pct"/>
            <w:tcBorders>
              <w:top w:val="nil"/>
              <w:left w:val="nil"/>
              <w:bottom w:val="single" w:sz="8" w:space="0" w:color="auto"/>
              <w:right w:val="single" w:sz="8" w:space="0" w:color="auto"/>
            </w:tcBorders>
            <w:vAlign w:val="center"/>
          </w:tcPr>
          <w:p w14:paraId="440A2D39" w14:textId="6BBB7410" w:rsidR="000E3D10" w:rsidRPr="001B036C" w:rsidRDefault="000E3D10" w:rsidP="00A97680">
            <w:pPr>
              <w:pStyle w:val="TableText"/>
              <w:spacing w:before="0" w:after="0"/>
              <w:jc w:val="center"/>
            </w:pPr>
            <w:r w:rsidRPr="001B036C">
              <w:t>76% [62; 86]</w:t>
            </w:r>
          </w:p>
        </w:tc>
        <w:tc>
          <w:tcPr>
            <w:tcW w:w="450" w:type="pct"/>
            <w:tcBorders>
              <w:top w:val="nil"/>
              <w:left w:val="nil"/>
              <w:bottom w:val="single" w:sz="8" w:space="0" w:color="auto"/>
              <w:right w:val="single" w:sz="8" w:space="0" w:color="auto"/>
            </w:tcBorders>
            <w:vAlign w:val="center"/>
          </w:tcPr>
          <w:p w14:paraId="116075F0" w14:textId="77777777" w:rsidR="000E3D10" w:rsidRPr="001B036C" w:rsidRDefault="000E3D10" w:rsidP="00A97680">
            <w:pPr>
              <w:pStyle w:val="TableText"/>
              <w:spacing w:before="0" w:after="0"/>
              <w:jc w:val="center"/>
            </w:pPr>
            <w:r w:rsidRPr="001B036C">
              <w:t>79</w:t>
            </w:r>
          </w:p>
          <w:p w14:paraId="5575C1BE" w14:textId="3C992FDC" w:rsidR="000E3D10" w:rsidRPr="001B036C" w:rsidRDefault="000E3D10" w:rsidP="00A97680">
            <w:pPr>
              <w:pStyle w:val="TableText"/>
              <w:spacing w:before="0" w:after="0"/>
              <w:jc w:val="center"/>
            </w:pPr>
            <w:r w:rsidRPr="001B036C">
              <w:t>77</w:t>
            </w:r>
          </w:p>
        </w:tc>
        <w:tc>
          <w:tcPr>
            <w:tcW w:w="349" w:type="pct"/>
            <w:tcBorders>
              <w:top w:val="nil"/>
              <w:left w:val="nil"/>
              <w:bottom w:val="single" w:sz="8" w:space="0" w:color="auto"/>
              <w:right w:val="single" w:sz="8" w:space="0" w:color="auto"/>
            </w:tcBorders>
            <w:vAlign w:val="center"/>
          </w:tcPr>
          <w:p w14:paraId="21966E4B" w14:textId="5BCDE330" w:rsidR="000E3D10" w:rsidRPr="001B036C" w:rsidRDefault="000E3D10" w:rsidP="00A97680">
            <w:pPr>
              <w:pStyle w:val="TableText"/>
              <w:spacing w:before="0" w:after="0"/>
              <w:jc w:val="center"/>
            </w:pPr>
            <w:r w:rsidRPr="001B036C">
              <w:t>0.859</w:t>
            </w:r>
          </w:p>
        </w:tc>
        <w:tc>
          <w:tcPr>
            <w:tcW w:w="559" w:type="pct"/>
            <w:tcBorders>
              <w:top w:val="nil"/>
              <w:left w:val="nil"/>
              <w:bottom w:val="single" w:sz="8" w:space="0" w:color="auto"/>
              <w:right w:val="single" w:sz="8" w:space="0" w:color="auto"/>
            </w:tcBorders>
          </w:tcPr>
          <w:p w14:paraId="2311E5AD" w14:textId="0491813B" w:rsidR="000E3D10" w:rsidRPr="001B036C" w:rsidRDefault="000E3D10" w:rsidP="00A97680">
            <w:pPr>
              <w:pStyle w:val="TableText"/>
              <w:spacing w:before="0" w:after="0"/>
              <w:jc w:val="cente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r w:rsidR="007416AE" w:rsidRPr="001B036C" w14:paraId="69F31C87" w14:textId="77777777">
        <w:trPr>
          <w:trHeight w:val="285"/>
        </w:trPr>
        <w:tc>
          <w:tcPr>
            <w:tcW w:w="1269" w:type="pct"/>
            <w:tcBorders>
              <w:top w:val="nil"/>
              <w:left w:val="single" w:sz="8" w:space="0" w:color="auto"/>
              <w:bottom w:val="single" w:sz="8" w:space="0" w:color="auto"/>
              <w:right w:val="single" w:sz="8" w:space="0" w:color="auto"/>
            </w:tcBorders>
            <w:vAlign w:val="center"/>
            <w:hideMark/>
          </w:tcPr>
          <w:p w14:paraId="6CF8519C" w14:textId="77777777" w:rsidR="007416AE" w:rsidRPr="001B036C" w:rsidRDefault="007416AE" w:rsidP="00A97680">
            <w:pPr>
              <w:pStyle w:val="TableText"/>
              <w:spacing w:before="0" w:after="0"/>
            </w:pPr>
            <w:r w:rsidRPr="001B036C">
              <w:t> MH:</w:t>
            </w:r>
          </w:p>
          <w:p w14:paraId="0D5FAD35" w14:textId="77777777" w:rsidR="007416AE" w:rsidRPr="001B036C" w:rsidRDefault="007416AE" w:rsidP="00A97680">
            <w:pPr>
              <w:pStyle w:val="TableText"/>
              <w:spacing w:before="0" w:after="0"/>
            </w:pPr>
            <w:r w:rsidRPr="001B036C">
              <w:t xml:space="preserve"> FC &lt; 100 </w:t>
            </w:r>
            <w:proofErr w:type="spellStart"/>
            <w:r w:rsidRPr="001B036C">
              <w:t>μg</w:t>
            </w:r>
            <w:proofErr w:type="spellEnd"/>
            <w:r w:rsidRPr="001B036C">
              <w:t>/g</w:t>
            </w:r>
          </w:p>
        </w:tc>
        <w:tc>
          <w:tcPr>
            <w:tcW w:w="464" w:type="pct"/>
            <w:tcBorders>
              <w:top w:val="nil"/>
              <w:left w:val="nil"/>
              <w:bottom w:val="single" w:sz="8" w:space="0" w:color="auto"/>
              <w:right w:val="single" w:sz="8" w:space="0" w:color="auto"/>
            </w:tcBorders>
            <w:vAlign w:val="center"/>
            <w:hideMark/>
          </w:tcPr>
          <w:p w14:paraId="2A849482" w14:textId="77777777" w:rsidR="007416AE" w:rsidRPr="001B036C" w:rsidRDefault="007416AE" w:rsidP="00A97680">
            <w:pPr>
              <w:pStyle w:val="TableText"/>
              <w:spacing w:before="0" w:after="0"/>
              <w:jc w:val="center"/>
            </w:pPr>
            <w:r w:rsidRPr="001B036C">
              <w:t>k=9</w:t>
            </w:r>
          </w:p>
        </w:tc>
        <w:tc>
          <w:tcPr>
            <w:tcW w:w="469" w:type="pct"/>
            <w:tcBorders>
              <w:top w:val="nil"/>
              <w:left w:val="nil"/>
              <w:bottom w:val="single" w:sz="8" w:space="0" w:color="auto"/>
              <w:right w:val="single" w:sz="8" w:space="0" w:color="auto"/>
            </w:tcBorders>
            <w:vAlign w:val="center"/>
            <w:hideMark/>
          </w:tcPr>
          <w:p w14:paraId="3B42194A" w14:textId="77777777" w:rsidR="007416AE" w:rsidRPr="001B036C" w:rsidRDefault="007416AE" w:rsidP="00A97680">
            <w:pPr>
              <w:pStyle w:val="TableText"/>
              <w:spacing w:before="0" w:after="0"/>
              <w:jc w:val="center"/>
            </w:pPr>
            <w:r w:rsidRPr="001B036C">
              <w:t>N=1,271</w:t>
            </w:r>
          </w:p>
        </w:tc>
        <w:tc>
          <w:tcPr>
            <w:tcW w:w="691" w:type="pct"/>
            <w:tcBorders>
              <w:top w:val="nil"/>
              <w:left w:val="nil"/>
              <w:bottom w:val="single" w:sz="8" w:space="0" w:color="auto"/>
              <w:right w:val="single" w:sz="8" w:space="0" w:color="auto"/>
            </w:tcBorders>
            <w:vAlign w:val="center"/>
            <w:hideMark/>
          </w:tcPr>
          <w:p w14:paraId="71D11275" w14:textId="77777777" w:rsidR="007416AE" w:rsidRPr="001B036C" w:rsidRDefault="007416AE" w:rsidP="00A97680">
            <w:pPr>
              <w:pStyle w:val="TableText"/>
              <w:spacing w:before="0" w:after="0"/>
              <w:jc w:val="center"/>
            </w:pPr>
            <w:r w:rsidRPr="001B036C">
              <w:t>82% [75: 88]</w:t>
            </w:r>
          </w:p>
          <w:p w14:paraId="7CBE05E4" w14:textId="77777777" w:rsidR="007416AE" w:rsidRPr="001B036C" w:rsidRDefault="007416AE" w:rsidP="00A97680">
            <w:pPr>
              <w:pStyle w:val="TableText"/>
              <w:spacing w:before="0" w:after="0"/>
              <w:jc w:val="center"/>
            </w:pPr>
          </w:p>
        </w:tc>
        <w:tc>
          <w:tcPr>
            <w:tcW w:w="749" w:type="pct"/>
            <w:tcBorders>
              <w:top w:val="nil"/>
              <w:left w:val="nil"/>
              <w:bottom w:val="single" w:sz="8" w:space="0" w:color="auto"/>
              <w:right w:val="single" w:sz="8" w:space="0" w:color="auto"/>
            </w:tcBorders>
            <w:vAlign w:val="center"/>
            <w:hideMark/>
          </w:tcPr>
          <w:p w14:paraId="20F4F18B" w14:textId="77777777" w:rsidR="007416AE" w:rsidRPr="001B036C" w:rsidRDefault="007416AE" w:rsidP="00A97680">
            <w:pPr>
              <w:pStyle w:val="TableText"/>
              <w:spacing w:before="0" w:after="0"/>
              <w:jc w:val="center"/>
            </w:pPr>
            <w:r w:rsidRPr="001B036C">
              <w:t>76% [67; 83]</w:t>
            </w:r>
          </w:p>
        </w:tc>
        <w:tc>
          <w:tcPr>
            <w:tcW w:w="450" w:type="pct"/>
            <w:tcBorders>
              <w:top w:val="nil"/>
              <w:left w:val="nil"/>
              <w:bottom w:val="single" w:sz="8" w:space="0" w:color="auto"/>
              <w:right w:val="single" w:sz="8" w:space="0" w:color="auto"/>
            </w:tcBorders>
            <w:vAlign w:val="center"/>
            <w:hideMark/>
          </w:tcPr>
          <w:p w14:paraId="6FE322C2" w14:textId="77777777" w:rsidR="007416AE" w:rsidRPr="001B036C" w:rsidRDefault="007416AE" w:rsidP="00A97680">
            <w:pPr>
              <w:pStyle w:val="TableText"/>
              <w:spacing w:before="0" w:after="0"/>
              <w:jc w:val="center"/>
            </w:pPr>
            <w:r w:rsidRPr="001B036C">
              <w:t>64</w:t>
            </w:r>
          </w:p>
          <w:p w14:paraId="77B94E54" w14:textId="77777777" w:rsidR="007416AE" w:rsidRPr="001B036C" w:rsidRDefault="007416AE" w:rsidP="00A97680">
            <w:pPr>
              <w:pStyle w:val="TableText"/>
              <w:spacing w:before="0" w:after="0"/>
              <w:jc w:val="center"/>
            </w:pPr>
            <w:r w:rsidRPr="001B036C">
              <w:t>83</w:t>
            </w:r>
          </w:p>
        </w:tc>
        <w:tc>
          <w:tcPr>
            <w:tcW w:w="349" w:type="pct"/>
            <w:tcBorders>
              <w:top w:val="nil"/>
              <w:left w:val="nil"/>
              <w:bottom w:val="single" w:sz="8" w:space="0" w:color="auto"/>
              <w:right w:val="single" w:sz="8" w:space="0" w:color="auto"/>
            </w:tcBorders>
            <w:vAlign w:val="center"/>
            <w:hideMark/>
          </w:tcPr>
          <w:p w14:paraId="1AFEF56A" w14:textId="77777777" w:rsidR="007416AE" w:rsidRPr="001B036C" w:rsidRDefault="007416AE" w:rsidP="00A97680">
            <w:pPr>
              <w:pStyle w:val="TableText"/>
              <w:spacing w:before="0" w:after="0"/>
              <w:jc w:val="center"/>
            </w:pPr>
            <w:r w:rsidRPr="001B036C">
              <w:t>0.821</w:t>
            </w:r>
          </w:p>
        </w:tc>
        <w:tc>
          <w:tcPr>
            <w:tcW w:w="559" w:type="pct"/>
            <w:tcBorders>
              <w:top w:val="nil"/>
              <w:left w:val="nil"/>
              <w:bottom w:val="single" w:sz="8" w:space="0" w:color="auto"/>
              <w:right w:val="single" w:sz="8" w:space="0" w:color="auto"/>
            </w:tcBorders>
          </w:tcPr>
          <w:p w14:paraId="42199197" w14:textId="77777777" w:rsidR="007416AE" w:rsidRPr="001B036C" w:rsidRDefault="007416AE" w:rsidP="00A97680">
            <w:pPr>
              <w:pStyle w:val="TableText"/>
              <w:spacing w:before="0" w:after="0"/>
              <w:jc w:val="cente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bl>
    <w:p w14:paraId="6C3049F1" w14:textId="7BDD7A32" w:rsidR="007416AE" w:rsidRPr="001B036C" w:rsidRDefault="007416AE" w:rsidP="007416AE">
      <w:pPr>
        <w:pStyle w:val="Tablenotes0"/>
      </w:pPr>
      <w:r w:rsidRPr="001B036C">
        <w:t xml:space="preserve">AUC = area under the curve; CD = Crohn disease; </w:t>
      </w:r>
      <w:proofErr w:type="spellStart"/>
      <w:r w:rsidR="52D47B2D" w:rsidRPr="001B036C">
        <w:t>CoE</w:t>
      </w:r>
      <w:proofErr w:type="spellEnd"/>
      <w:r w:rsidR="52D47B2D" w:rsidRPr="001B036C">
        <w:t xml:space="preserve"> = certainty of evidence; </w:t>
      </w:r>
      <w:r w:rsidRPr="001B036C">
        <w:t>DOR = diagnostic adds, ratio; FC = faecal calprotectin; k= number of studies; MH = mucosal healing; N = number of patients; N/A = not applicable; NPV= negative predictive value; PPV= positive predictive value; UC = ulcerative colitis.</w:t>
      </w:r>
    </w:p>
    <w:p w14:paraId="462A4298" w14:textId="4793DDD7" w:rsidR="007416AE" w:rsidRPr="001B036C" w:rsidRDefault="007416AE" w:rsidP="001C6A90">
      <w:pPr>
        <w:pStyle w:val="TableFigureFooter"/>
      </w:pPr>
      <w:r w:rsidRPr="001B036C">
        <w:rPr>
          <w:rFonts w:ascii="Cambria Math" w:hAnsi="Cambria Math"/>
          <w:color w:val="00B050"/>
        </w:rPr>
        <w:t xml:space="preserve">⨁⨁⨁⨁ </w:t>
      </w:r>
      <w:r w:rsidRPr="001B036C">
        <w:rPr>
          <w:b/>
          <w:bCs/>
        </w:rPr>
        <w:t>High quality:</w:t>
      </w:r>
      <w:r w:rsidRPr="001B036C">
        <w:t xml:space="preserve"> We are very confident that the true effect lies close to that of the estimate of effect. </w:t>
      </w:r>
      <w:r w:rsidRPr="001B036C">
        <w:br/>
      </w:r>
      <w:r w:rsidRPr="001B036C">
        <w:rPr>
          <w:rFonts w:ascii="Cambria Math" w:hAnsi="Cambria Math"/>
          <w:color w:val="00B050"/>
        </w:rPr>
        <w:t>⨁⨁⨁</w:t>
      </w:r>
      <w:r w:rsidRPr="001B036C">
        <w:rPr>
          <w:rFonts w:ascii="Cambria Math" w:hAnsi="Cambria Math" w:cs="Cambria Math"/>
          <w:color w:val="C00000"/>
        </w:rPr>
        <w:t xml:space="preserve">⨀ </w:t>
      </w:r>
      <w:r w:rsidRPr="001B036C">
        <w:rPr>
          <w:b/>
          <w:bCs/>
        </w:rPr>
        <w:t>Moderate quality:</w:t>
      </w:r>
      <w:r w:rsidRPr="001B036C">
        <w:t xml:space="preserve"> We are moderately confident in the effect estimate: The true effect is likely to be close to the estimate of the effect, but there is a possibility that it is substantially different. </w:t>
      </w:r>
      <w:r w:rsidRPr="001B036C">
        <w:br/>
      </w:r>
      <w:r w:rsidRPr="001B036C">
        <w:rPr>
          <w:rFonts w:ascii="Cambria Math" w:hAnsi="Cambria Math"/>
          <w:color w:val="00B050"/>
        </w:rPr>
        <w:t>⨁⨁</w:t>
      </w:r>
      <w:r w:rsidRPr="001B036C">
        <w:rPr>
          <w:rFonts w:ascii="Cambria Math" w:hAnsi="Cambria Math" w:cs="Cambria Math"/>
          <w:color w:val="C00000"/>
        </w:rPr>
        <w:t xml:space="preserve">⨀⨀ </w:t>
      </w:r>
      <w:r w:rsidRPr="001B036C">
        <w:rPr>
          <w:b/>
          <w:bCs/>
        </w:rPr>
        <w:t>Low quality:</w:t>
      </w:r>
      <w:r w:rsidRPr="001B036C">
        <w:t xml:space="preserve"> Our confidence in the effect estimate is limited: The true effect may be substantially different from the estimate of the effect.</w:t>
      </w:r>
      <w:r w:rsidRPr="001B036C">
        <w:br/>
      </w:r>
      <w:r w:rsidRPr="001B036C">
        <w:rPr>
          <w:rFonts w:ascii="Cambria Math" w:hAnsi="Cambria Math"/>
          <w:color w:val="00B050"/>
        </w:rPr>
        <w:t>⨁</w:t>
      </w:r>
      <w:r w:rsidRPr="001B036C">
        <w:rPr>
          <w:rFonts w:ascii="Cambria Math" w:hAnsi="Cambria Math" w:cs="Cambria Math"/>
          <w:color w:val="C00000"/>
        </w:rPr>
        <w:t xml:space="preserve">⨀⨀⨀ </w:t>
      </w:r>
      <w:r w:rsidRPr="001B036C">
        <w:rPr>
          <w:b/>
          <w:bCs/>
        </w:rPr>
        <w:t>Very low quality:</w:t>
      </w:r>
      <w:r w:rsidRPr="001B036C">
        <w:t xml:space="preserve"> We have very little confidence in the effect estimate: The true effect is likely to be substantially different from the estimate of effect.</w:t>
      </w:r>
    </w:p>
    <w:p w14:paraId="5B59BF8E" w14:textId="4C1A5405" w:rsidR="007619C3" w:rsidRPr="001B036C" w:rsidRDefault="00BA7507">
      <w:pPr>
        <w:rPr>
          <w:i/>
          <w:iCs/>
        </w:rPr>
      </w:pPr>
      <w:r w:rsidRPr="001B036C">
        <w:rPr>
          <w:i/>
          <w:iCs/>
          <w:u w:val="single"/>
        </w:rPr>
        <w:t xml:space="preserve">Pooled </w:t>
      </w:r>
      <w:r w:rsidR="007619C3" w:rsidRPr="001B036C">
        <w:rPr>
          <w:i/>
          <w:iCs/>
          <w:u w:val="single"/>
        </w:rPr>
        <w:t>results of mucosal healing/disease activity in CD and UC adult populations</w:t>
      </w:r>
    </w:p>
    <w:p w14:paraId="66D93B26" w14:textId="2EEBBA22" w:rsidR="00747F7B" w:rsidRPr="001B036C" w:rsidRDefault="007619C3" w:rsidP="00747F7B">
      <w:r w:rsidRPr="001B036C">
        <w:t xml:space="preserve">The </w:t>
      </w:r>
      <w:r w:rsidR="00E676DB" w:rsidRPr="001B036C">
        <w:t>combined</w:t>
      </w:r>
      <w:r w:rsidRPr="001B036C">
        <w:t xml:space="preserve"> results </w:t>
      </w:r>
      <w:r w:rsidR="00E676DB" w:rsidRPr="001B036C">
        <w:t xml:space="preserve">for UC and CD </w:t>
      </w:r>
      <w:r w:rsidR="00E73BF0" w:rsidRPr="001B036C">
        <w:t>(</w:t>
      </w:r>
      <w:r w:rsidR="00E73BF0" w:rsidRPr="001B036C">
        <w:fldChar w:fldCharType="begin"/>
      </w:r>
      <w:r w:rsidR="00E73BF0" w:rsidRPr="001B036C">
        <w:instrText xml:space="preserve"> REF _Ref175149465 \h </w:instrText>
      </w:r>
      <w:r w:rsidR="001B036C">
        <w:instrText xml:space="preserve"> \* MERGEFORMAT </w:instrText>
      </w:r>
      <w:r w:rsidR="00E73BF0" w:rsidRPr="001B036C">
        <w:fldChar w:fldCharType="separate"/>
      </w:r>
      <w:r w:rsidR="00C0488A" w:rsidRPr="001B036C">
        <w:t xml:space="preserve">Table </w:t>
      </w:r>
      <w:r w:rsidR="00C0488A">
        <w:rPr>
          <w:noProof/>
        </w:rPr>
        <w:t>11</w:t>
      </w:r>
      <w:r w:rsidR="00E73BF0" w:rsidRPr="001B036C">
        <w:fldChar w:fldCharType="end"/>
      </w:r>
      <w:r w:rsidR="00E73BF0" w:rsidRPr="001B036C">
        <w:t xml:space="preserve">) </w:t>
      </w:r>
      <w:r w:rsidRPr="001B036C">
        <w:t xml:space="preserve">provide higher statistical power and the inclusion of a larger and broader population. </w:t>
      </w:r>
      <w:r w:rsidR="00E676DB" w:rsidRPr="001B036C">
        <w:t xml:space="preserve">These </w:t>
      </w:r>
      <w:r w:rsidRPr="001B036C">
        <w:t>result</w:t>
      </w:r>
      <w:r w:rsidR="00E676DB" w:rsidRPr="001B036C">
        <w:t>s</w:t>
      </w:r>
      <w:r w:rsidRPr="001B036C">
        <w:t xml:space="preserve"> show that the FC test performs consistently in both CD and UC populations, with an evident pattern of high reliability of the results. </w:t>
      </w:r>
    </w:p>
    <w:p w14:paraId="04619595" w14:textId="194C9570" w:rsidR="007619C3" w:rsidRPr="001B036C" w:rsidRDefault="00747F7B" w:rsidP="00B61CFF">
      <w:pPr>
        <w:rPr>
          <w:bCs/>
        </w:rPr>
      </w:pPr>
      <w:r w:rsidRPr="001B036C">
        <w:t xml:space="preserve">The AUCs suggest excellent discrimination of the FC test to predict </w:t>
      </w:r>
      <w:proofErr w:type="gramStart"/>
      <w:r w:rsidRPr="001B036C">
        <w:t>endoscopically-assessed</w:t>
      </w:r>
      <w:proofErr w:type="gramEnd"/>
      <w:r w:rsidRPr="001B036C">
        <w:t xml:space="preserve"> </w:t>
      </w:r>
      <w:r w:rsidR="201A6B3F" w:rsidRPr="001B036C">
        <w:t xml:space="preserve">active disease and </w:t>
      </w:r>
      <w:r w:rsidRPr="001B036C">
        <w:t>mucosal healing, with an AUC of 0.</w:t>
      </w:r>
      <w:r w:rsidR="31805B16" w:rsidRPr="001B036C">
        <w:t>834</w:t>
      </w:r>
      <w:r w:rsidRPr="001B036C">
        <w:t xml:space="preserve"> and 0.</w:t>
      </w:r>
      <w:r w:rsidR="4E06E5D8" w:rsidRPr="001B036C">
        <w:t>825</w:t>
      </w:r>
      <w:r w:rsidRPr="001B036C">
        <w:t xml:space="preserve"> respectively. This means that in approximately </w:t>
      </w:r>
      <w:r w:rsidR="04CC08AA" w:rsidRPr="001B036C">
        <w:t>83.4</w:t>
      </w:r>
      <w:r w:rsidRPr="001B036C">
        <w:t xml:space="preserve">% of cases, the FC test correctly </w:t>
      </w:r>
      <w:r w:rsidR="74FCB2A2" w:rsidRPr="001B036C">
        <w:t xml:space="preserve">detects patients with active </w:t>
      </w:r>
      <w:r w:rsidR="00114A46" w:rsidRPr="001B036C">
        <w:t>inflammation</w:t>
      </w:r>
      <w:r w:rsidR="0021309A">
        <w:t>.</w:t>
      </w:r>
      <w:r w:rsidRPr="001B036C">
        <w:t xml:space="preserve"> Similarly, an AUC of 0.</w:t>
      </w:r>
      <w:r w:rsidR="2470FA41" w:rsidRPr="001B036C">
        <w:t>825</w:t>
      </w:r>
      <w:r w:rsidRPr="001B036C">
        <w:t xml:space="preserve"> suggests that in about </w:t>
      </w:r>
      <w:r w:rsidR="2F111782" w:rsidRPr="001B036C">
        <w:t>82.5</w:t>
      </w:r>
      <w:r w:rsidRPr="001B036C">
        <w:t xml:space="preserve">% of cases, the FC test accurately identifies patients with </w:t>
      </w:r>
      <w:r w:rsidR="69CB4331" w:rsidRPr="001B036C">
        <w:t>mucosal healing</w:t>
      </w:r>
      <w:r w:rsidRPr="001B036C">
        <w:t xml:space="preserve">. The diagnostic odds ratio (DOR) </w:t>
      </w:r>
      <w:r w:rsidR="00D11CAD" w:rsidRPr="001B036C">
        <w:t>show that a statistically significant difference was found in the performance of the FC test in identifying active disease between the CD and UC</w:t>
      </w:r>
      <w:r w:rsidR="00D11CAD" w:rsidRPr="001B036C">
        <w:rPr>
          <w:b/>
        </w:rPr>
        <w:t xml:space="preserve"> </w:t>
      </w:r>
      <w:r w:rsidR="00D11CAD" w:rsidRPr="001B036C">
        <w:rPr>
          <w:bCs/>
        </w:rPr>
        <w:t>subgroups with a combined random effects DOR of 7.</w:t>
      </w:r>
      <w:r w:rsidR="0045474E" w:rsidRPr="001B036C">
        <w:rPr>
          <w:bCs/>
        </w:rPr>
        <w:t>4</w:t>
      </w:r>
      <w:r w:rsidR="00D11CAD" w:rsidRPr="001B036C">
        <w:rPr>
          <w:bCs/>
        </w:rPr>
        <w:t xml:space="preserve"> and 15.</w:t>
      </w:r>
      <w:r w:rsidR="00B52D48" w:rsidRPr="001B036C">
        <w:rPr>
          <w:bCs/>
        </w:rPr>
        <w:t>7</w:t>
      </w:r>
      <w:r w:rsidR="00D11CAD" w:rsidRPr="001B036C">
        <w:rPr>
          <w:bCs/>
        </w:rPr>
        <w:t xml:space="preserve"> respectively (p &lt; 0.01).</w:t>
      </w:r>
      <w:r w:rsidRPr="001B036C">
        <w:rPr>
          <w:bCs/>
        </w:rPr>
        <w:t xml:space="preserve"> </w:t>
      </w:r>
    </w:p>
    <w:p w14:paraId="65B6B963" w14:textId="7AA5DD07" w:rsidR="00E676DB" w:rsidRPr="001B036C" w:rsidRDefault="00E676DB" w:rsidP="00E676DB">
      <w:pPr>
        <w:pStyle w:val="Caption"/>
      </w:pPr>
      <w:bookmarkStart w:id="29" w:name="_Ref175149465"/>
      <w:r w:rsidRPr="001B036C">
        <w:lastRenderedPageBreak/>
        <w:t xml:space="preserve">Table </w:t>
      </w:r>
      <w:r>
        <w:fldChar w:fldCharType="begin"/>
      </w:r>
      <w:r>
        <w:instrText xml:space="preserve"> SEQ Table \* ARABIC </w:instrText>
      </w:r>
      <w:r>
        <w:fldChar w:fldCharType="separate"/>
      </w:r>
      <w:r w:rsidR="00B4653B">
        <w:rPr>
          <w:noProof/>
        </w:rPr>
        <w:t>11</w:t>
      </w:r>
      <w:r>
        <w:rPr>
          <w:noProof/>
        </w:rPr>
        <w:fldChar w:fldCharType="end"/>
      </w:r>
      <w:bookmarkEnd w:id="29"/>
      <w:r w:rsidRPr="001B036C">
        <w:t>. Summary of the diagnostic accuracy of FC compared with the colonoscopy (UC &amp; CD, symptomatic)</w:t>
      </w:r>
    </w:p>
    <w:tbl>
      <w:tblPr>
        <w:tblW w:w="91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170"/>
        <w:gridCol w:w="1080"/>
        <w:gridCol w:w="1800"/>
        <w:gridCol w:w="630"/>
        <w:gridCol w:w="2520"/>
        <w:gridCol w:w="630"/>
      </w:tblGrid>
      <w:tr w:rsidR="00E676DB" w:rsidRPr="001B036C" w14:paraId="24514512" w14:textId="77777777" w:rsidTr="00950978">
        <w:trPr>
          <w:trHeight w:val="543"/>
        </w:trPr>
        <w:tc>
          <w:tcPr>
            <w:tcW w:w="1315" w:type="dxa"/>
            <w:tcMar>
              <w:left w:w="108" w:type="dxa"/>
              <w:right w:w="108" w:type="dxa"/>
            </w:tcMar>
          </w:tcPr>
          <w:p w14:paraId="2DF2EA6D" w14:textId="77777777" w:rsidR="00E676DB" w:rsidRPr="001B036C" w:rsidRDefault="00E676DB" w:rsidP="00A97680">
            <w:pPr>
              <w:pStyle w:val="In-tableHeading"/>
            </w:pPr>
            <w:r w:rsidRPr="001B036C">
              <w:t xml:space="preserve">FC threshold </w:t>
            </w:r>
          </w:p>
        </w:tc>
        <w:tc>
          <w:tcPr>
            <w:tcW w:w="1170" w:type="dxa"/>
            <w:tcMar>
              <w:left w:w="108" w:type="dxa"/>
              <w:right w:w="108" w:type="dxa"/>
            </w:tcMar>
          </w:tcPr>
          <w:p w14:paraId="5B181ACF" w14:textId="77777777" w:rsidR="00E676DB" w:rsidRPr="001B036C" w:rsidRDefault="00E676DB" w:rsidP="00A97680">
            <w:pPr>
              <w:pStyle w:val="In-tableHeading"/>
            </w:pPr>
            <w:r w:rsidRPr="001B036C">
              <w:t xml:space="preserve">Number of studies </w:t>
            </w:r>
          </w:p>
        </w:tc>
        <w:tc>
          <w:tcPr>
            <w:tcW w:w="1080" w:type="dxa"/>
            <w:tcMar>
              <w:left w:w="108" w:type="dxa"/>
              <w:right w:w="108" w:type="dxa"/>
            </w:tcMar>
          </w:tcPr>
          <w:p w14:paraId="46C94E6A" w14:textId="77777777" w:rsidR="00E676DB" w:rsidRPr="001B036C" w:rsidRDefault="00E676DB" w:rsidP="00A97680">
            <w:pPr>
              <w:pStyle w:val="In-tableHeading"/>
            </w:pPr>
            <w:r w:rsidRPr="001B036C">
              <w:t xml:space="preserve">Number of patients </w:t>
            </w:r>
          </w:p>
        </w:tc>
        <w:tc>
          <w:tcPr>
            <w:tcW w:w="1800" w:type="dxa"/>
          </w:tcPr>
          <w:p w14:paraId="33D222D5" w14:textId="77777777" w:rsidR="00E676DB" w:rsidRPr="001B036C" w:rsidRDefault="00E676DB" w:rsidP="00A97680">
            <w:pPr>
              <w:pStyle w:val="In-tableHeading"/>
              <w:rPr>
                <w:rFonts w:eastAsia="Arial Narrow" w:cs="Arial Narrow"/>
                <w:szCs w:val="20"/>
              </w:rPr>
            </w:pPr>
            <w:r w:rsidRPr="001B036C">
              <w:t>Sens</w:t>
            </w:r>
            <w:r w:rsidRPr="001B036C">
              <w:rPr>
                <w:rFonts w:eastAsia="Arial Narrow" w:cs="Arial Narrow"/>
                <w:szCs w:val="20"/>
              </w:rPr>
              <w:t>itivity [95% CI]</w:t>
            </w:r>
          </w:p>
          <w:p w14:paraId="1F8F158E" w14:textId="77777777" w:rsidR="00E676DB" w:rsidRPr="001B036C" w:rsidRDefault="00E676DB" w:rsidP="00A97680">
            <w:pPr>
              <w:pStyle w:val="In-tableHeading"/>
            </w:pPr>
            <w:r w:rsidRPr="001B036C">
              <w:t>Specificity [95% CI]</w:t>
            </w:r>
          </w:p>
        </w:tc>
        <w:tc>
          <w:tcPr>
            <w:tcW w:w="630" w:type="dxa"/>
            <w:tcMar>
              <w:left w:w="108" w:type="dxa"/>
              <w:right w:w="108" w:type="dxa"/>
            </w:tcMar>
          </w:tcPr>
          <w:p w14:paraId="4F3AA9B3" w14:textId="77777777" w:rsidR="00E676DB" w:rsidRPr="001B036C" w:rsidRDefault="00E676DB" w:rsidP="00A97680">
            <w:pPr>
              <w:pStyle w:val="In-tableHeading"/>
            </w:pPr>
            <w:r w:rsidRPr="001B036C">
              <w:t>AUC</w:t>
            </w:r>
          </w:p>
        </w:tc>
        <w:tc>
          <w:tcPr>
            <w:tcW w:w="2520" w:type="dxa"/>
            <w:tcMar>
              <w:left w:w="108" w:type="dxa"/>
              <w:right w:w="108" w:type="dxa"/>
            </w:tcMar>
          </w:tcPr>
          <w:p w14:paraId="76102D89" w14:textId="692F1B98" w:rsidR="00E676DB" w:rsidRPr="001B036C" w:rsidRDefault="00E676DB" w:rsidP="00A97680">
            <w:pPr>
              <w:pStyle w:val="In-tableHeading"/>
            </w:pPr>
            <w:r w:rsidRPr="001B036C">
              <w:t>DOR</w:t>
            </w:r>
            <w:r w:rsidR="00B27918" w:rsidRPr="001B036C">
              <w:t xml:space="preserve"> </w:t>
            </w:r>
            <w:r w:rsidRPr="001B036C">
              <w:t>[95% CI]</w:t>
            </w:r>
          </w:p>
        </w:tc>
        <w:tc>
          <w:tcPr>
            <w:tcW w:w="630" w:type="dxa"/>
            <w:tcMar>
              <w:left w:w="108" w:type="dxa"/>
              <w:right w:w="108" w:type="dxa"/>
            </w:tcMar>
          </w:tcPr>
          <w:p w14:paraId="65AFCCD0" w14:textId="77777777" w:rsidR="00E676DB" w:rsidRPr="001B036C" w:rsidRDefault="00E676DB" w:rsidP="00A97680">
            <w:pPr>
              <w:pStyle w:val="In-tableHeading"/>
            </w:pPr>
            <w:r w:rsidRPr="001B036C">
              <w:t>I</w:t>
            </w:r>
            <w:r w:rsidRPr="001B036C">
              <w:rPr>
                <w:vertAlign w:val="superscript"/>
              </w:rPr>
              <w:t>2</w:t>
            </w:r>
          </w:p>
        </w:tc>
      </w:tr>
      <w:tr w:rsidR="00E676DB" w:rsidRPr="001B036C" w14:paraId="720CDC87" w14:textId="77777777" w:rsidTr="00950978">
        <w:trPr>
          <w:trHeight w:val="239"/>
        </w:trPr>
        <w:tc>
          <w:tcPr>
            <w:tcW w:w="1315" w:type="dxa"/>
            <w:tcMar>
              <w:left w:w="108" w:type="dxa"/>
              <w:right w:w="108" w:type="dxa"/>
            </w:tcMar>
            <w:vAlign w:val="center"/>
          </w:tcPr>
          <w:p w14:paraId="73DAC7AE" w14:textId="77777777" w:rsidR="00E676DB" w:rsidRPr="001B036C" w:rsidRDefault="00E676DB" w:rsidP="00A97680">
            <w:pPr>
              <w:pStyle w:val="Tabletext0"/>
              <w:spacing w:before="0" w:after="0"/>
            </w:pPr>
            <w:r w:rsidRPr="001B036C">
              <w:rPr>
                <w:rFonts w:eastAsia="Arial Narrow"/>
              </w:rPr>
              <w:t xml:space="preserve">FC ≥ 100 </w:t>
            </w:r>
            <w:proofErr w:type="spellStart"/>
            <w:r w:rsidRPr="001B036C">
              <w:rPr>
                <w:rFonts w:eastAsia="Arial Narrow"/>
              </w:rPr>
              <w:t>μg</w:t>
            </w:r>
            <w:proofErr w:type="spellEnd"/>
            <w:r w:rsidRPr="001B036C">
              <w:rPr>
                <w:rFonts w:eastAsia="Arial Narrow"/>
              </w:rPr>
              <w:t>/g cut-off, active disease</w:t>
            </w:r>
          </w:p>
        </w:tc>
        <w:tc>
          <w:tcPr>
            <w:tcW w:w="1170" w:type="dxa"/>
            <w:tcMar>
              <w:left w:w="108" w:type="dxa"/>
              <w:right w:w="108" w:type="dxa"/>
            </w:tcMar>
          </w:tcPr>
          <w:p w14:paraId="2B2B5439" w14:textId="77777777" w:rsidR="00E676DB" w:rsidRPr="001B036C" w:rsidRDefault="00E676DB" w:rsidP="00A97680">
            <w:pPr>
              <w:pStyle w:val="Tabletext0"/>
              <w:spacing w:before="0" w:after="0"/>
            </w:pPr>
            <w:r w:rsidRPr="001B036C">
              <w:rPr>
                <w:rFonts w:eastAsia="Arial Narrow"/>
              </w:rPr>
              <w:t>k=17</w:t>
            </w:r>
          </w:p>
        </w:tc>
        <w:tc>
          <w:tcPr>
            <w:tcW w:w="1080" w:type="dxa"/>
            <w:tcMar>
              <w:left w:w="108" w:type="dxa"/>
              <w:right w:w="108" w:type="dxa"/>
            </w:tcMar>
          </w:tcPr>
          <w:p w14:paraId="384AEBD8" w14:textId="77777777" w:rsidR="00E676DB" w:rsidRPr="001B036C" w:rsidRDefault="00E676DB" w:rsidP="00A97680">
            <w:pPr>
              <w:pStyle w:val="Tabletext0"/>
              <w:spacing w:before="0" w:after="0"/>
            </w:pPr>
            <w:r w:rsidRPr="001B036C">
              <w:rPr>
                <w:rFonts w:eastAsia="Arial Narrow"/>
              </w:rPr>
              <w:t>N =1,298</w:t>
            </w:r>
          </w:p>
        </w:tc>
        <w:tc>
          <w:tcPr>
            <w:tcW w:w="1800" w:type="dxa"/>
          </w:tcPr>
          <w:p w14:paraId="2D468ED8" w14:textId="77777777" w:rsidR="00E676DB" w:rsidRPr="001B036C" w:rsidRDefault="00E676DB" w:rsidP="00A97680">
            <w:pPr>
              <w:pStyle w:val="Tabletext0"/>
              <w:spacing w:before="0" w:after="0"/>
              <w:rPr>
                <w:rFonts w:eastAsia="Arial Narrow"/>
              </w:rPr>
            </w:pPr>
            <w:r w:rsidRPr="001B036C">
              <w:rPr>
                <w:rFonts w:eastAsia="Arial Narrow"/>
              </w:rPr>
              <w:t xml:space="preserve">Sensitivity: 0.814 </w:t>
            </w:r>
          </w:p>
          <w:p w14:paraId="06E2B1FD" w14:textId="77777777" w:rsidR="00E676DB" w:rsidRPr="001B036C" w:rsidRDefault="00E676DB" w:rsidP="00A97680">
            <w:pPr>
              <w:pStyle w:val="Tabletext0"/>
              <w:spacing w:before="0" w:after="0"/>
              <w:rPr>
                <w:rFonts w:eastAsia="Arial Narrow"/>
              </w:rPr>
            </w:pPr>
            <w:r w:rsidRPr="001B036C">
              <w:rPr>
                <w:rFonts w:eastAsia="Arial Narrow"/>
              </w:rPr>
              <w:t>[0.754, 0.862]</w:t>
            </w:r>
          </w:p>
          <w:p w14:paraId="41D2EF42" w14:textId="77777777" w:rsidR="00E676DB" w:rsidRPr="001B036C" w:rsidRDefault="00E676DB" w:rsidP="00A97680">
            <w:pPr>
              <w:pStyle w:val="Tabletext0"/>
              <w:spacing w:before="0" w:after="0"/>
              <w:rPr>
                <w:rFonts w:eastAsia="Arial Narrow"/>
              </w:rPr>
            </w:pPr>
            <w:r w:rsidRPr="001B036C">
              <w:rPr>
                <w:rFonts w:eastAsia="Arial Narrow"/>
              </w:rPr>
              <w:t xml:space="preserve">Specificity: 0.699 </w:t>
            </w:r>
          </w:p>
          <w:p w14:paraId="5431813B" w14:textId="77777777" w:rsidR="00E676DB" w:rsidRPr="001B036C" w:rsidRDefault="00E676DB" w:rsidP="00A97680">
            <w:pPr>
              <w:pStyle w:val="Tabletext0"/>
              <w:spacing w:before="0" w:after="0"/>
              <w:rPr>
                <w:rFonts w:eastAsia="Arial Narrow"/>
              </w:rPr>
            </w:pPr>
            <w:r w:rsidRPr="001B036C">
              <w:rPr>
                <w:rFonts w:eastAsia="Arial Narrow"/>
              </w:rPr>
              <w:t>[0.588, 0.790]</w:t>
            </w:r>
          </w:p>
        </w:tc>
        <w:tc>
          <w:tcPr>
            <w:tcW w:w="630" w:type="dxa"/>
            <w:tcMar>
              <w:left w:w="108" w:type="dxa"/>
              <w:right w:w="108" w:type="dxa"/>
            </w:tcMar>
          </w:tcPr>
          <w:p w14:paraId="0A378E80" w14:textId="77777777" w:rsidR="00E676DB" w:rsidRPr="001B036C" w:rsidRDefault="00E676DB" w:rsidP="00A97680">
            <w:pPr>
              <w:pStyle w:val="Tabletext0"/>
              <w:spacing w:before="0" w:after="0"/>
            </w:pPr>
            <w:r w:rsidRPr="001B036C">
              <w:rPr>
                <w:rFonts w:eastAsia="Arial Narrow"/>
              </w:rPr>
              <w:t>0.834</w:t>
            </w:r>
          </w:p>
          <w:p w14:paraId="106284B7" w14:textId="77777777" w:rsidR="00E676DB" w:rsidRPr="001B036C" w:rsidRDefault="00E676DB" w:rsidP="00A97680">
            <w:pPr>
              <w:pStyle w:val="Tabletext0"/>
              <w:spacing w:before="0" w:after="0"/>
            </w:pPr>
            <w:r w:rsidRPr="001B036C">
              <w:rPr>
                <w:rFonts w:eastAsia="Arial Narrow"/>
              </w:rPr>
              <w:t xml:space="preserve"> </w:t>
            </w:r>
          </w:p>
        </w:tc>
        <w:tc>
          <w:tcPr>
            <w:tcW w:w="2520" w:type="dxa"/>
            <w:tcMar>
              <w:left w:w="108" w:type="dxa"/>
              <w:right w:w="108" w:type="dxa"/>
            </w:tcMar>
          </w:tcPr>
          <w:p w14:paraId="6F6139B5" w14:textId="0A6B4BCE" w:rsidR="00E676DB" w:rsidRPr="001B036C" w:rsidRDefault="00E676DB" w:rsidP="00A97680">
            <w:pPr>
              <w:pStyle w:val="Tabletext0"/>
              <w:spacing w:before="0" w:after="0"/>
              <w:rPr>
                <w:rFonts w:eastAsia="Arial Narrow"/>
              </w:rPr>
            </w:pPr>
            <w:r w:rsidRPr="001B036C">
              <w:rPr>
                <w:rFonts w:eastAsia="Arial Narrow"/>
              </w:rPr>
              <w:t>11.</w:t>
            </w:r>
            <w:r w:rsidR="00A3158A" w:rsidRPr="001B036C">
              <w:rPr>
                <w:rFonts w:eastAsia="Arial Narrow"/>
              </w:rPr>
              <w:t>9</w:t>
            </w:r>
            <w:r w:rsidRPr="001B036C">
              <w:rPr>
                <w:rFonts w:eastAsia="Arial Narrow"/>
              </w:rPr>
              <w:t xml:space="preserve"> [6.0; 23.</w:t>
            </w:r>
            <w:r w:rsidR="00A3158A" w:rsidRPr="001B036C">
              <w:rPr>
                <w:rFonts w:eastAsia="Arial Narrow"/>
              </w:rPr>
              <w:t>4</w:t>
            </w:r>
            <w:r w:rsidR="004472E2" w:rsidRPr="001B036C">
              <w:rPr>
                <w:rFonts w:eastAsia="Arial Narrow"/>
              </w:rPr>
              <w:t>, p&lt;0.01</w:t>
            </w:r>
            <w:r w:rsidRPr="001B036C">
              <w:rPr>
                <w:rFonts w:eastAsia="Arial Narrow"/>
              </w:rPr>
              <w:t>]</w:t>
            </w:r>
          </w:p>
          <w:p w14:paraId="63E40DAA" w14:textId="3A4D21B2" w:rsidR="004472E2" w:rsidRPr="001B036C" w:rsidRDefault="004472E2" w:rsidP="00A97680">
            <w:pPr>
              <w:pStyle w:val="Tabletext0"/>
              <w:spacing w:before="0" w:after="0"/>
              <w:rPr>
                <w:rFonts w:eastAsia="Arial Narrow"/>
              </w:rPr>
            </w:pPr>
            <w:r w:rsidRPr="001B036C">
              <w:rPr>
                <w:rFonts w:eastAsia="Arial Narrow"/>
              </w:rPr>
              <w:t xml:space="preserve">CD: </w:t>
            </w:r>
            <w:r w:rsidR="00687AFB" w:rsidRPr="001B036C">
              <w:rPr>
                <w:rFonts w:eastAsia="Arial Narrow"/>
              </w:rPr>
              <w:t>7</w:t>
            </w:r>
            <w:r w:rsidRPr="001B036C">
              <w:rPr>
                <w:rFonts w:eastAsia="Arial Narrow"/>
              </w:rPr>
              <w:t>.</w:t>
            </w:r>
            <w:r w:rsidR="00A3158A" w:rsidRPr="001B036C">
              <w:rPr>
                <w:rFonts w:eastAsia="Arial Narrow"/>
              </w:rPr>
              <w:t>4</w:t>
            </w:r>
            <w:r w:rsidRPr="001B036C">
              <w:rPr>
                <w:rFonts w:eastAsia="Arial Narrow"/>
              </w:rPr>
              <w:t xml:space="preserve"> [</w:t>
            </w:r>
            <w:r w:rsidR="00687AFB" w:rsidRPr="001B036C">
              <w:rPr>
                <w:rFonts w:eastAsia="Arial Narrow"/>
              </w:rPr>
              <w:t>2.9</w:t>
            </w:r>
            <w:r w:rsidRPr="001B036C">
              <w:rPr>
                <w:rFonts w:eastAsia="Arial Narrow"/>
              </w:rPr>
              <w:t xml:space="preserve">; </w:t>
            </w:r>
            <w:r w:rsidR="00687AFB" w:rsidRPr="001B036C">
              <w:rPr>
                <w:rFonts w:eastAsia="Arial Narrow"/>
              </w:rPr>
              <w:t>18.5</w:t>
            </w:r>
            <w:r w:rsidR="00950978" w:rsidRPr="001B036C">
              <w:rPr>
                <w:rFonts w:eastAsia="Arial Narrow"/>
              </w:rPr>
              <w:t>, p&lt;0.01</w:t>
            </w:r>
            <w:r w:rsidRPr="001B036C">
              <w:rPr>
                <w:rFonts w:eastAsia="Arial Narrow"/>
              </w:rPr>
              <w:t>]</w:t>
            </w:r>
          </w:p>
          <w:p w14:paraId="3EED10CB" w14:textId="18EBB720" w:rsidR="004472E2" w:rsidRPr="001B036C" w:rsidRDefault="004472E2" w:rsidP="00A97680">
            <w:pPr>
              <w:pStyle w:val="Tabletext0"/>
              <w:spacing w:before="0" w:after="0"/>
              <w:rPr>
                <w:rFonts w:eastAsia="Arial Narrow"/>
              </w:rPr>
            </w:pPr>
            <w:r w:rsidRPr="001B036C">
              <w:rPr>
                <w:rFonts w:eastAsia="Arial Narrow"/>
              </w:rPr>
              <w:t xml:space="preserve">UC: </w:t>
            </w:r>
            <w:r w:rsidR="00687AFB" w:rsidRPr="001B036C">
              <w:rPr>
                <w:rFonts w:eastAsia="Arial Narrow"/>
              </w:rPr>
              <w:t>15.</w:t>
            </w:r>
            <w:r w:rsidR="00A3158A" w:rsidRPr="001B036C">
              <w:rPr>
                <w:rFonts w:eastAsia="Arial Narrow"/>
              </w:rPr>
              <w:t>7</w:t>
            </w:r>
            <w:r w:rsidRPr="001B036C">
              <w:rPr>
                <w:rFonts w:eastAsia="Arial Narrow"/>
              </w:rPr>
              <w:t xml:space="preserve"> [</w:t>
            </w:r>
            <w:r w:rsidR="00687AFB" w:rsidRPr="001B036C">
              <w:rPr>
                <w:rFonts w:eastAsia="Arial Narrow"/>
              </w:rPr>
              <w:t>6.</w:t>
            </w:r>
            <w:r w:rsidR="00A3158A" w:rsidRPr="001B036C">
              <w:rPr>
                <w:rFonts w:eastAsia="Arial Narrow"/>
              </w:rPr>
              <w:t>3</w:t>
            </w:r>
            <w:r w:rsidRPr="001B036C">
              <w:rPr>
                <w:rFonts w:eastAsia="Arial Narrow"/>
              </w:rPr>
              <w:t xml:space="preserve">; </w:t>
            </w:r>
            <w:r w:rsidR="00F05E39" w:rsidRPr="001B036C">
              <w:rPr>
                <w:rFonts w:eastAsia="Arial Narrow"/>
              </w:rPr>
              <w:t>39.</w:t>
            </w:r>
            <w:r w:rsidR="00A3158A" w:rsidRPr="001B036C">
              <w:rPr>
                <w:rFonts w:eastAsia="Arial Narrow"/>
              </w:rPr>
              <w:t>2</w:t>
            </w:r>
            <w:r w:rsidR="00950978" w:rsidRPr="001B036C">
              <w:rPr>
                <w:rFonts w:eastAsia="Arial Narrow"/>
              </w:rPr>
              <w:t>, p&lt;0.01</w:t>
            </w:r>
            <w:r w:rsidRPr="001B036C">
              <w:rPr>
                <w:rFonts w:eastAsia="Arial Narrow"/>
              </w:rPr>
              <w:t>]</w:t>
            </w:r>
          </w:p>
          <w:p w14:paraId="0600A394" w14:textId="3C494094" w:rsidR="004472E2" w:rsidRPr="001B036C" w:rsidRDefault="004472E2" w:rsidP="00A97680">
            <w:pPr>
              <w:pStyle w:val="Tabletext0"/>
              <w:spacing w:before="0" w:after="0"/>
            </w:pPr>
          </w:p>
        </w:tc>
        <w:tc>
          <w:tcPr>
            <w:tcW w:w="630" w:type="dxa"/>
            <w:tcMar>
              <w:left w:w="108" w:type="dxa"/>
              <w:right w:w="108" w:type="dxa"/>
            </w:tcMar>
          </w:tcPr>
          <w:p w14:paraId="619025F4" w14:textId="77777777" w:rsidR="00E676DB" w:rsidRPr="001B036C" w:rsidRDefault="00E676DB" w:rsidP="00A97680">
            <w:pPr>
              <w:pStyle w:val="Tabletext0"/>
              <w:spacing w:before="0" w:after="0"/>
            </w:pPr>
            <w:r w:rsidRPr="001B036C">
              <w:rPr>
                <w:rFonts w:eastAsia="Arial Narrow"/>
              </w:rPr>
              <w:t>75%</w:t>
            </w:r>
          </w:p>
        </w:tc>
      </w:tr>
      <w:tr w:rsidR="00A1591C" w:rsidRPr="001B036C" w14:paraId="696D65C5" w14:textId="77777777" w:rsidTr="00950978">
        <w:trPr>
          <w:trHeight w:val="239"/>
        </w:trPr>
        <w:tc>
          <w:tcPr>
            <w:tcW w:w="1315" w:type="dxa"/>
            <w:tcMar>
              <w:left w:w="108" w:type="dxa"/>
              <w:right w:w="108" w:type="dxa"/>
            </w:tcMar>
            <w:vAlign w:val="center"/>
          </w:tcPr>
          <w:p w14:paraId="14AE2960" w14:textId="29FD15DC" w:rsidR="00A1591C" w:rsidRPr="001B036C" w:rsidRDefault="00A1591C" w:rsidP="00A97680">
            <w:pPr>
              <w:pStyle w:val="Tabletext0"/>
              <w:spacing w:before="0" w:after="0"/>
              <w:rPr>
                <w:rFonts w:eastAsia="Arial Narrow"/>
              </w:rPr>
            </w:pPr>
            <w:r w:rsidRPr="001B036C">
              <w:rPr>
                <w:rFonts w:eastAsia="Arial Narrow"/>
              </w:rPr>
              <w:t xml:space="preserve">FC &lt; 100 </w:t>
            </w:r>
            <w:proofErr w:type="spellStart"/>
            <w:r w:rsidRPr="001B036C">
              <w:rPr>
                <w:rFonts w:eastAsia="Arial Narrow"/>
              </w:rPr>
              <w:t>μg</w:t>
            </w:r>
            <w:proofErr w:type="spellEnd"/>
            <w:r w:rsidRPr="001B036C">
              <w:rPr>
                <w:rFonts w:eastAsia="Arial Narrow"/>
              </w:rPr>
              <w:t>/g cut-off, MH</w:t>
            </w:r>
          </w:p>
        </w:tc>
        <w:tc>
          <w:tcPr>
            <w:tcW w:w="1170" w:type="dxa"/>
            <w:tcMar>
              <w:left w:w="108" w:type="dxa"/>
              <w:right w:w="108" w:type="dxa"/>
            </w:tcMar>
          </w:tcPr>
          <w:p w14:paraId="78761379" w14:textId="6D3C70F6" w:rsidR="00A1591C" w:rsidRPr="001B036C" w:rsidRDefault="00A1591C" w:rsidP="00A97680">
            <w:pPr>
              <w:pStyle w:val="Tabletext0"/>
              <w:spacing w:before="0" w:after="0"/>
              <w:rPr>
                <w:rFonts w:eastAsia="Arial Narrow"/>
              </w:rPr>
            </w:pPr>
            <w:r w:rsidRPr="001B036C">
              <w:rPr>
                <w:rFonts w:eastAsia="Arial Narrow"/>
              </w:rPr>
              <w:t>k=11</w:t>
            </w:r>
          </w:p>
        </w:tc>
        <w:tc>
          <w:tcPr>
            <w:tcW w:w="1080" w:type="dxa"/>
            <w:tcMar>
              <w:left w:w="108" w:type="dxa"/>
              <w:right w:w="108" w:type="dxa"/>
            </w:tcMar>
          </w:tcPr>
          <w:p w14:paraId="64D613B9" w14:textId="42C6779E" w:rsidR="00A1591C" w:rsidRPr="001B036C" w:rsidRDefault="00A1591C" w:rsidP="00A97680">
            <w:pPr>
              <w:pStyle w:val="Tabletext0"/>
              <w:spacing w:before="0" w:after="0"/>
              <w:rPr>
                <w:rFonts w:eastAsia="Arial Narrow"/>
              </w:rPr>
            </w:pPr>
            <w:r w:rsidRPr="001B036C">
              <w:rPr>
                <w:rFonts w:eastAsia="Arial Narrow"/>
              </w:rPr>
              <w:t xml:space="preserve">N=1,552 </w:t>
            </w:r>
          </w:p>
        </w:tc>
        <w:tc>
          <w:tcPr>
            <w:tcW w:w="1800" w:type="dxa"/>
          </w:tcPr>
          <w:p w14:paraId="52E7B1C1" w14:textId="77777777" w:rsidR="00A1591C" w:rsidRPr="001B036C" w:rsidRDefault="00A1591C" w:rsidP="00A97680">
            <w:pPr>
              <w:pStyle w:val="Tabletext0"/>
              <w:spacing w:before="0" w:after="0"/>
              <w:rPr>
                <w:rFonts w:eastAsia="Arial Narrow"/>
              </w:rPr>
            </w:pPr>
            <w:r w:rsidRPr="001B036C">
              <w:rPr>
                <w:rFonts w:eastAsia="Arial Narrow"/>
              </w:rPr>
              <w:t xml:space="preserve">Sensitivity: 0.829 </w:t>
            </w:r>
          </w:p>
          <w:p w14:paraId="1D9B0C49" w14:textId="77777777" w:rsidR="00A1591C" w:rsidRPr="001B036C" w:rsidRDefault="00A1591C" w:rsidP="00A97680">
            <w:pPr>
              <w:pStyle w:val="Tabletext0"/>
              <w:spacing w:before="0" w:after="0"/>
              <w:rPr>
                <w:rFonts w:eastAsia="Arial Narrow"/>
              </w:rPr>
            </w:pPr>
            <w:r w:rsidRPr="001B036C">
              <w:rPr>
                <w:rFonts w:eastAsia="Arial Narrow"/>
              </w:rPr>
              <w:t>[0.757, 0.884]</w:t>
            </w:r>
          </w:p>
          <w:p w14:paraId="603317D2" w14:textId="77777777" w:rsidR="00A1591C" w:rsidRPr="001B036C" w:rsidRDefault="00A1591C" w:rsidP="00A97680">
            <w:pPr>
              <w:pStyle w:val="Tabletext0"/>
              <w:spacing w:before="0" w:after="0"/>
              <w:rPr>
                <w:rFonts w:eastAsia="Arial Narrow"/>
              </w:rPr>
            </w:pPr>
            <w:r w:rsidRPr="001B036C">
              <w:rPr>
                <w:rFonts w:eastAsia="Arial Narrow"/>
              </w:rPr>
              <w:t xml:space="preserve">Specificity: 0.714 </w:t>
            </w:r>
          </w:p>
          <w:p w14:paraId="03BF8956" w14:textId="2325C22F" w:rsidR="00A1591C" w:rsidRPr="001B036C" w:rsidRDefault="00A1591C" w:rsidP="00A97680">
            <w:pPr>
              <w:pStyle w:val="Tabletext0"/>
              <w:spacing w:before="0" w:after="0"/>
              <w:rPr>
                <w:rFonts w:eastAsia="Arial Narrow"/>
              </w:rPr>
            </w:pPr>
            <w:r w:rsidRPr="001B036C">
              <w:rPr>
                <w:rFonts w:eastAsia="Arial Narrow"/>
              </w:rPr>
              <w:t>[0.649, 0.771]</w:t>
            </w:r>
          </w:p>
        </w:tc>
        <w:tc>
          <w:tcPr>
            <w:tcW w:w="630" w:type="dxa"/>
            <w:tcMar>
              <w:left w:w="108" w:type="dxa"/>
              <w:right w:w="108" w:type="dxa"/>
            </w:tcMar>
          </w:tcPr>
          <w:p w14:paraId="660455A6" w14:textId="7A975851" w:rsidR="00A1591C" w:rsidRPr="001B036C" w:rsidRDefault="00A1591C" w:rsidP="00A97680">
            <w:pPr>
              <w:pStyle w:val="Tabletext0"/>
              <w:spacing w:before="0" w:after="0"/>
              <w:rPr>
                <w:rFonts w:eastAsia="Arial Narrow"/>
              </w:rPr>
            </w:pPr>
            <w:r w:rsidRPr="001B036C">
              <w:rPr>
                <w:rFonts w:eastAsia="Arial Narrow"/>
              </w:rPr>
              <w:t>0.825</w:t>
            </w:r>
          </w:p>
        </w:tc>
        <w:tc>
          <w:tcPr>
            <w:tcW w:w="2520" w:type="dxa"/>
            <w:tcMar>
              <w:left w:w="108" w:type="dxa"/>
              <w:right w:w="108" w:type="dxa"/>
            </w:tcMar>
          </w:tcPr>
          <w:p w14:paraId="1B241410" w14:textId="77777777" w:rsidR="00A1591C" w:rsidRPr="001B036C" w:rsidRDefault="00A1591C" w:rsidP="00A97680">
            <w:pPr>
              <w:pStyle w:val="Tabletext0"/>
              <w:spacing w:before="0" w:after="0"/>
              <w:rPr>
                <w:rFonts w:eastAsia="Arial Narrow"/>
              </w:rPr>
            </w:pPr>
            <w:r w:rsidRPr="001B036C">
              <w:rPr>
                <w:rFonts w:eastAsia="Arial Narrow"/>
              </w:rPr>
              <w:t xml:space="preserve">12.5 [8.9; 17.7, p=0.21] </w:t>
            </w:r>
          </w:p>
          <w:p w14:paraId="52226E5F" w14:textId="77777777" w:rsidR="00A1591C" w:rsidRPr="001B036C" w:rsidRDefault="00A1591C" w:rsidP="00A97680">
            <w:pPr>
              <w:pStyle w:val="Tabletext0"/>
              <w:spacing w:before="0" w:after="0"/>
              <w:rPr>
                <w:rFonts w:eastAsia="Arial Narrow"/>
              </w:rPr>
            </w:pPr>
            <w:r w:rsidRPr="001B036C">
              <w:rPr>
                <w:rFonts w:eastAsia="Arial Narrow"/>
              </w:rPr>
              <w:t>CD: 15.3 [6.8; 34.3, p=0.65]</w:t>
            </w:r>
          </w:p>
          <w:p w14:paraId="0DF11412" w14:textId="77777777" w:rsidR="00A1591C" w:rsidRPr="001B036C" w:rsidRDefault="00A1591C" w:rsidP="00A97680">
            <w:pPr>
              <w:pStyle w:val="Tabletext0"/>
              <w:spacing w:before="0" w:after="0"/>
              <w:rPr>
                <w:rFonts w:eastAsia="Arial Narrow"/>
              </w:rPr>
            </w:pPr>
            <w:r w:rsidRPr="001B036C">
              <w:rPr>
                <w:rFonts w:eastAsia="Arial Narrow"/>
              </w:rPr>
              <w:t>UC: 12.7 [8.3; 19.3, p=0.13]</w:t>
            </w:r>
          </w:p>
          <w:p w14:paraId="4F569DFE" w14:textId="77777777" w:rsidR="00A1591C" w:rsidRPr="001B036C" w:rsidRDefault="00A1591C" w:rsidP="00A97680">
            <w:pPr>
              <w:pStyle w:val="Tabletext0"/>
              <w:spacing w:before="0" w:after="0"/>
              <w:rPr>
                <w:rFonts w:eastAsia="Arial Narrow"/>
              </w:rPr>
            </w:pPr>
          </w:p>
        </w:tc>
        <w:tc>
          <w:tcPr>
            <w:tcW w:w="630" w:type="dxa"/>
            <w:tcMar>
              <w:left w:w="108" w:type="dxa"/>
              <w:right w:w="108" w:type="dxa"/>
            </w:tcMar>
          </w:tcPr>
          <w:p w14:paraId="48F7E733" w14:textId="749BBD0B" w:rsidR="00A1591C" w:rsidRPr="001B036C" w:rsidRDefault="00A1591C" w:rsidP="00A97680">
            <w:pPr>
              <w:pStyle w:val="Tabletext0"/>
              <w:spacing w:before="0" w:after="0"/>
              <w:rPr>
                <w:rFonts w:eastAsia="Arial Narrow"/>
              </w:rPr>
            </w:pPr>
            <w:r w:rsidRPr="001B036C">
              <w:rPr>
                <w:rFonts w:eastAsia="Arial Narrow"/>
              </w:rPr>
              <w:t>24%</w:t>
            </w:r>
          </w:p>
        </w:tc>
      </w:tr>
    </w:tbl>
    <w:p w14:paraId="72750D8B" w14:textId="77777777" w:rsidR="00E676DB" w:rsidRPr="001B036C" w:rsidRDefault="00E676DB" w:rsidP="00E676DB">
      <w:pPr>
        <w:pStyle w:val="Tablenotes0"/>
      </w:pPr>
      <w:r w:rsidRPr="001B036C">
        <w:t>AUC=Area under curve; CI= confidence interval; DOR= diagnostics odds ratio; FC= faecal calprotectin; I</w:t>
      </w:r>
      <w:r w:rsidRPr="001B036C">
        <w:rPr>
          <w:vertAlign w:val="superscript"/>
        </w:rPr>
        <w:t>2</w:t>
      </w:r>
      <w:r w:rsidRPr="001B036C">
        <w:t xml:space="preserve"> = heterogeneity test; k = number studies; MH =mucosal healing; N = number of patients; UC= ulcerative colitis.</w:t>
      </w:r>
    </w:p>
    <w:p w14:paraId="20BFF7E9" w14:textId="4BF0A151" w:rsidR="00866D06" w:rsidRPr="001B036C" w:rsidRDefault="00866D06" w:rsidP="00866D06">
      <w:pPr>
        <w:rPr>
          <w:b/>
          <w:bCs/>
          <w:u w:val="single"/>
          <w:lang w:val="en-US"/>
        </w:rPr>
      </w:pPr>
      <w:r w:rsidRPr="001B036C">
        <w:rPr>
          <w:b/>
          <w:bCs/>
          <w:u w:val="single"/>
          <w:lang w:val="en-US"/>
        </w:rPr>
        <w:t xml:space="preserve">Key </w:t>
      </w:r>
      <w:r w:rsidR="00FD1C46" w:rsidRPr="001B036C">
        <w:rPr>
          <w:b/>
          <w:bCs/>
          <w:u w:val="single"/>
          <w:lang w:val="en-US"/>
        </w:rPr>
        <w:t xml:space="preserve">results and </w:t>
      </w:r>
      <w:r w:rsidR="00520005" w:rsidRPr="001B036C">
        <w:rPr>
          <w:b/>
          <w:bCs/>
          <w:u w:val="single"/>
          <w:lang w:val="en-US"/>
        </w:rPr>
        <w:t>considerations</w:t>
      </w:r>
      <w:r w:rsidRPr="001B036C">
        <w:rPr>
          <w:b/>
          <w:bCs/>
          <w:u w:val="single"/>
          <w:lang w:val="en-US"/>
        </w:rPr>
        <w:t xml:space="preserve"> of the evidence informing </w:t>
      </w:r>
      <w:r w:rsidR="0041136F" w:rsidRPr="001B036C">
        <w:rPr>
          <w:b/>
          <w:bCs/>
          <w:u w:val="single"/>
          <w:lang w:val="en-US"/>
        </w:rPr>
        <w:t xml:space="preserve">active disease and </w:t>
      </w:r>
      <w:r w:rsidRPr="001B036C">
        <w:rPr>
          <w:b/>
          <w:bCs/>
          <w:u w:val="single"/>
          <w:lang w:val="en-US"/>
        </w:rPr>
        <w:t>mucosal healing</w:t>
      </w:r>
      <w:r w:rsidR="00BE69B2" w:rsidRPr="001B036C">
        <w:rPr>
          <w:b/>
          <w:bCs/>
          <w:u w:val="single"/>
          <w:lang w:val="en-US"/>
        </w:rPr>
        <w:t xml:space="preserve"> </w:t>
      </w:r>
    </w:p>
    <w:p w14:paraId="0666F6DA" w14:textId="79E069F1" w:rsidR="00FD1C46" w:rsidRPr="001B036C" w:rsidRDefault="00FD1C46" w:rsidP="00FD1C46">
      <w:r w:rsidRPr="001B036C">
        <w:t xml:space="preserve">The FC test shows ‘excellent’ predictive power </w:t>
      </w:r>
      <w:r w:rsidR="00BE69B2" w:rsidRPr="001B036C">
        <w:t xml:space="preserve">compared to </w:t>
      </w:r>
      <w:r w:rsidRPr="001B036C">
        <w:t xml:space="preserve">colonoscopy (i.e. AUC &gt; 0.8), except for CD </w:t>
      </w:r>
      <w:r w:rsidR="00375B8D" w:rsidRPr="001B036C">
        <w:t xml:space="preserve">adult </w:t>
      </w:r>
      <w:r w:rsidRPr="001B036C">
        <w:t xml:space="preserve">patients </w:t>
      </w:r>
      <w:r w:rsidR="00E51D66" w:rsidRPr="001B036C">
        <w:t>w</w:t>
      </w:r>
      <w:r w:rsidR="00BE69B2" w:rsidRPr="001B036C">
        <w:t>h</w:t>
      </w:r>
      <w:r w:rsidR="00E51D66" w:rsidRPr="001B036C">
        <w:t xml:space="preserve">ere the </w:t>
      </w:r>
      <w:r w:rsidRPr="001B036C">
        <w:t xml:space="preserve">predictive </w:t>
      </w:r>
      <w:r w:rsidR="00E51D66" w:rsidRPr="001B036C">
        <w:t>power f</w:t>
      </w:r>
      <w:r w:rsidR="000D155B" w:rsidRPr="001B036C">
        <w:t xml:space="preserve">or </w:t>
      </w:r>
      <w:r w:rsidRPr="001B036C">
        <w:t xml:space="preserve">active disease with the ≥100 </w:t>
      </w:r>
      <w:r w:rsidR="000D155B" w:rsidRPr="001B036C">
        <w:t xml:space="preserve">µg/g </w:t>
      </w:r>
      <w:r w:rsidRPr="001B036C">
        <w:t>threshold, may be considered ‘acceptable’ (i.e. 0.7 to 0.8</w:t>
      </w:r>
      <w:r w:rsidR="000D155B" w:rsidRPr="001B036C">
        <w:t>)</w:t>
      </w:r>
      <w:r w:rsidR="00683F88" w:rsidRPr="001B036C">
        <w:t xml:space="preserve"> (</w:t>
      </w:r>
      <w:r w:rsidR="00580BC9">
        <w:t>Table 10</w:t>
      </w:r>
      <w:r w:rsidR="00683F88" w:rsidRPr="001B036C">
        <w:t>)</w:t>
      </w:r>
    </w:p>
    <w:p w14:paraId="6080B49F" w14:textId="3372120E" w:rsidR="00375B8D" w:rsidRPr="001B036C" w:rsidRDefault="00204077" w:rsidP="00375B8D">
      <w:r w:rsidRPr="001B036C">
        <w:t>Key aspects to consider when interpreting the evidence are:</w:t>
      </w:r>
    </w:p>
    <w:p w14:paraId="248A61E2" w14:textId="6F566C99" w:rsidR="00866D06" w:rsidRPr="001B036C" w:rsidRDefault="00940BB7" w:rsidP="001E6DBB">
      <w:pPr>
        <w:pStyle w:val="ListParagraph"/>
        <w:numPr>
          <w:ilvl w:val="0"/>
          <w:numId w:val="28"/>
        </w:numPr>
      </w:pPr>
      <w:r w:rsidRPr="001B036C">
        <w:t>FC testing showed acceptable performance in detecting mucosal healing or active disease in patients with UC or CD. The pooled estimates for sensitivity and specificity of FC testing were similar in both diseases (UC and CD) in adults, with a trend for better performance in patients with UC.</w:t>
      </w:r>
    </w:p>
    <w:p w14:paraId="3056C464" w14:textId="2B51CF98" w:rsidR="00520005" w:rsidRPr="001B036C" w:rsidRDefault="00520005" w:rsidP="001E6DBB">
      <w:pPr>
        <w:pStyle w:val="ListParagraph"/>
        <w:numPr>
          <w:ilvl w:val="0"/>
          <w:numId w:val="28"/>
        </w:numPr>
        <w:rPr>
          <w:b/>
          <w:bCs/>
          <w:u w:val="single"/>
          <w:lang w:val="en-US"/>
        </w:rPr>
      </w:pPr>
      <w:r w:rsidRPr="001B036C">
        <w:t>For patients with an IBD flare, the trend in FC values over time represents the most valuable clinical information to evaluate response to treatment. The proposed treatment algorithm</w:t>
      </w:r>
      <w:r w:rsidR="00A870F4" w:rsidRPr="001B036C">
        <w:t xml:space="preserve"> </w:t>
      </w:r>
      <w:r w:rsidRPr="001B036C">
        <w:t>describes a range of FC implementation options allowing for treatment monitoring and repeat FC tests every 2-12 weeks until FC stabilisation/normalisation, at which time clinicians may proceed to the long-term treat-to-target goals, as described by the STRIDE-II guidelines.</w:t>
      </w:r>
    </w:p>
    <w:p w14:paraId="576E0D3C" w14:textId="17D8D8F2" w:rsidR="007619C3" w:rsidRPr="001B036C" w:rsidRDefault="00AB7ECD" w:rsidP="000A4EDB">
      <w:pPr>
        <w:rPr>
          <w:b/>
          <w:u w:val="single"/>
        </w:rPr>
      </w:pPr>
      <w:r w:rsidRPr="001B036C">
        <w:rPr>
          <w:b/>
          <w:u w:val="single"/>
        </w:rPr>
        <w:t>P</w:t>
      </w:r>
      <w:r w:rsidR="007619C3" w:rsidRPr="001B036C">
        <w:rPr>
          <w:b/>
          <w:u w:val="single"/>
        </w:rPr>
        <w:t>redicting relapse</w:t>
      </w:r>
      <w:r w:rsidR="000D1BC6" w:rsidRPr="001B036C">
        <w:rPr>
          <w:b/>
          <w:u w:val="single"/>
        </w:rPr>
        <w:t xml:space="preserve"> </w:t>
      </w:r>
      <w:r w:rsidR="002B12C3" w:rsidRPr="001B036C">
        <w:rPr>
          <w:b/>
          <w:u w:val="single"/>
        </w:rPr>
        <w:t xml:space="preserve">in </w:t>
      </w:r>
      <w:r w:rsidR="00D84EAB" w:rsidRPr="001B036C">
        <w:rPr>
          <w:b/>
          <w:u w:val="single"/>
        </w:rPr>
        <w:t xml:space="preserve">asymptomatic </w:t>
      </w:r>
      <w:r w:rsidR="00E761CA" w:rsidRPr="001B036C">
        <w:rPr>
          <w:b/>
          <w:u w:val="single"/>
        </w:rPr>
        <w:t>patients who are in remission</w:t>
      </w:r>
    </w:p>
    <w:p w14:paraId="7E93F9E7" w14:textId="66507191" w:rsidR="00FA3DF7" w:rsidRPr="001B036C" w:rsidRDefault="007619C3" w:rsidP="005408E5">
      <w:r w:rsidRPr="001B036C">
        <w:t xml:space="preserve">Predicting relapse in IBD asymptomatic patients involves the ability to monitor patients for future </w:t>
      </w:r>
      <w:proofErr w:type="gramStart"/>
      <w:r w:rsidRPr="001B036C">
        <w:t>flare</w:t>
      </w:r>
      <w:r w:rsidR="000228DF" w:rsidRPr="001B036C">
        <w:t>s</w:t>
      </w:r>
      <w:r w:rsidR="006407CF">
        <w:t>,</w:t>
      </w:r>
      <w:r w:rsidRPr="001B036C">
        <w:t xml:space="preserve"> or</w:t>
      </w:r>
      <w:proofErr w:type="gramEnd"/>
      <w:r w:rsidRPr="001B036C">
        <w:t xml:space="preserve"> worsening of IBD in patients who are currently in remission or have low disease activity. Elevated FC levels in patients who are in remission can indicate subclinical inflammation, which may precede a clinical relapse. Predicting relapse with FC test may lead to </w:t>
      </w:r>
      <w:r w:rsidR="00131303" w:rsidRPr="001B036C">
        <w:t>early</w:t>
      </w:r>
      <w:r w:rsidRPr="001B036C">
        <w:t xml:space="preserve"> changes in management to prevent a </w:t>
      </w:r>
      <w:r w:rsidR="00131303" w:rsidRPr="001B036C">
        <w:t xml:space="preserve">more severe </w:t>
      </w:r>
      <w:r w:rsidRPr="001B036C">
        <w:t>flare</w:t>
      </w:r>
      <w:r w:rsidR="00B46148" w:rsidRPr="001B036C">
        <w:t xml:space="preserve"> of disease activity</w:t>
      </w:r>
      <w:r w:rsidRPr="001B036C">
        <w:t>.</w:t>
      </w:r>
      <w:r w:rsidR="003A364D" w:rsidRPr="001B036C">
        <w:t xml:space="preserve"> </w:t>
      </w:r>
      <w:r w:rsidR="00A56A86">
        <w:t>For</w:t>
      </w:r>
      <w:r w:rsidR="00FA3DF7" w:rsidRPr="001B036C">
        <w:t xml:space="preserve"> asymptomatic IBD patients in remission, a moderate FC elevation (e.g. above 150 µg/g) predicts a likely relapse within 12 months. In patients with active disease, the FC level and trend correlate with severity of inflammation.</w:t>
      </w:r>
    </w:p>
    <w:p w14:paraId="4924C1B2" w14:textId="77777777" w:rsidR="007619C3" w:rsidRPr="001B036C" w:rsidRDefault="007619C3" w:rsidP="005408E5">
      <w:pPr>
        <w:rPr>
          <w:u w:val="single"/>
        </w:rPr>
      </w:pPr>
      <w:r w:rsidRPr="001B036C">
        <w:rPr>
          <w:u w:val="single"/>
        </w:rPr>
        <w:t xml:space="preserve">Adults </w:t>
      </w:r>
    </w:p>
    <w:p w14:paraId="2227A4B4" w14:textId="6CCC4E2A" w:rsidR="007619C3" w:rsidRPr="001B036C" w:rsidRDefault="00EC6487" w:rsidP="00F17838">
      <w:r w:rsidRPr="001B036C">
        <w:t xml:space="preserve">Overall, the FC test demonstrated </w:t>
      </w:r>
      <w:r w:rsidR="00402DAA" w:rsidRPr="001B036C">
        <w:t>good sensitivity/specificity for predicting IBD relapse in asymptomatic IBD patients in remission</w:t>
      </w:r>
      <w:r w:rsidR="00BF5098" w:rsidRPr="001B036C">
        <w:t xml:space="preserve"> (</w:t>
      </w:r>
      <w:r w:rsidR="00BF5098" w:rsidRPr="001B036C">
        <w:fldChar w:fldCharType="begin"/>
      </w:r>
      <w:r w:rsidR="00BF5098" w:rsidRPr="001B036C">
        <w:instrText xml:space="preserve"> REF _Ref172744103 \h </w:instrText>
      </w:r>
      <w:r w:rsidR="001B036C">
        <w:instrText xml:space="preserve"> \* MERGEFORMAT </w:instrText>
      </w:r>
      <w:r w:rsidR="00BF5098" w:rsidRPr="001B036C">
        <w:fldChar w:fldCharType="separate"/>
      </w:r>
      <w:r w:rsidR="00F20E82" w:rsidRPr="001B036C">
        <w:t xml:space="preserve">Table </w:t>
      </w:r>
      <w:r w:rsidR="00F20E82">
        <w:rPr>
          <w:noProof/>
        </w:rPr>
        <w:t>12</w:t>
      </w:r>
      <w:r w:rsidR="00BF5098" w:rsidRPr="001B036C">
        <w:fldChar w:fldCharType="end"/>
      </w:r>
      <w:r w:rsidR="00BF5098" w:rsidRPr="001B036C">
        <w:t>)</w:t>
      </w:r>
      <w:r w:rsidR="00FF176C" w:rsidRPr="001B036C">
        <w:t>. H</w:t>
      </w:r>
      <w:r w:rsidR="00402DAA" w:rsidRPr="001B036C">
        <w:t>owever</w:t>
      </w:r>
      <w:r w:rsidR="008A66D4">
        <w:t>,</w:t>
      </w:r>
      <w:r w:rsidR="00402DAA" w:rsidRPr="001B036C">
        <w:t xml:space="preserve"> </w:t>
      </w:r>
      <w:r w:rsidR="00FF176C" w:rsidRPr="001B036C">
        <w:t>sensitivity was lower than</w:t>
      </w:r>
      <w:r w:rsidR="00402DAA" w:rsidRPr="001B036C">
        <w:t xml:space="preserve"> specificity </w:t>
      </w:r>
      <w:r w:rsidR="0034159F" w:rsidRPr="001B036C">
        <w:t>noting overlapping 95% CIs</w:t>
      </w:r>
      <w:r w:rsidR="00FF176C" w:rsidRPr="001B036C">
        <w:t xml:space="preserve">. </w:t>
      </w:r>
      <w:r w:rsidR="007619C3" w:rsidRPr="001B036C">
        <w:t>Th</w:t>
      </w:r>
      <w:r w:rsidR="00E32DEA" w:rsidRPr="001B036C">
        <w:t>is</w:t>
      </w:r>
      <w:r w:rsidR="007619C3" w:rsidRPr="001B036C">
        <w:t xml:space="preserve"> means that the FC test </w:t>
      </w:r>
      <w:r w:rsidR="00896C47" w:rsidRPr="001B036C">
        <w:t xml:space="preserve">was better at ruling in true positive patients who will experience relapse in the next 6-12 months than ruling out true negative patients. </w:t>
      </w:r>
      <w:r w:rsidR="007619C3" w:rsidRPr="001B036C">
        <w:rPr>
          <w:lang w:val="en-US"/>
        </w:rPr>
        <w:t xml:space="preserve">In clinical practice, this </w:t>
      </w:r>
      <w:r w:rsidR="000D616B" w:rsidRPr="001B036C">
        <w:rPr>
          <w:lang w:val="en-US"/>
        </w:rPr>
        <w:t>means that some IBD patients in remission who have a ‘negative’ FC result may still experience</w:t>
      </w:r>
      <w:r w:rsidR="007619C3" w:rsidRPr="001B036C">
        <w:rPr>
          <w:lang w:val="en-US"/>
        </w:rPr>
        <w:t xml:space="preserve"> </w:t>
      </w:r>
      <w:r w:rsidR="000D616B" w:rsidRPr="001B036C">
        <w:rPr>
          <w:lang w:val="en-US"/>
        </w:rPr>
        <w:t>a symptomatic IBD flare in the next 6-12 months</w:t>
      </w:r>
      <w:r w:rsidR="001E14AD" w:rsidRPr="001B036C">
        <w:rPr>
          <w:lang w:val="en-US"/>
        </w:rPr>
        <w:t>, however the patients who have a ‘positive’ FC result are highly likely to experience a flare within the next 6-12 months.</w:t>
      </w:r>
      <w:r w:rsidR="007619C3" w:rsidRPr="001B036C">
        <w:t xml:space="preserve"> </w:t>
      </w:r>
      <w:r w:rsidR="007D6CCA" w:rsidRPr="001B036C">
        <w:t>The AUC was either acceptable (0.7 to 0.8) or excellent (0.8 to 0.9).</w:t>
      </w:r>
      <w:r w:rsidR="007619C3" w:rsidRPr="001B036C">
        <w:t xml:space="preserve"> </w:t>
      </w:r>
    </w:p>
    <w:p w14:paraId="65E65B77" w14:textId="657A8D1C" w:rsidR="007619C3" w:rsidRPr="001B036C" w:rsidRDefault="007619C3" w:rsidP="00F17838">
      <w:r w:rsidRPr="001B036C">
        <w:lastRenderedPageBreak/>
        <w:t xml:space="preserve">The results were split over two cut-offs to reflect clinical utility; first, all FC cut-offs ≥100 ug/g were included. Then, studies with FC cut-offs &gt;250 were excluded from the results, to reflect likely clinical practice where an FC result &gt;250 </w:t>
      </w:r>
      <w:r w:rsidR="00375D25" w:rsidRPr="001B036C">
        <w:t xml:space="preserve">µg/g </w:t>
      </w:r>
      <w:r w:rsidRPr="001B036C">
        <w:t xml:space="preserve">may be considered high and indicative of active disease, which may warrant additional FC testing ± further investigation (e.g. colonoscopy), and/or treatment. </w:t>
      </w:r>
      <w:r w:rsidR="00874C2E" w:rsidRPr="001B036C">
        <w:t>The AUC of the pooled studies with a 12-month follow</w:t>
      </w:r>
      <w:r w:rsidR="009D5FB0" w:rsidRPr="001B036C">
        <w:t>-up</w:t>
      </w:r>
      <w:r w:rsidR="00874C2E" w:rsidRPr="001B036C">
        <w:t xml:space="preserve"> and FC cut-off threshold of ≥100 µg/g</w:t>
      </w:r>
      <w:r w:rsidR="001C2335" w:rsidRPr="001B036C">
        <w:t xml:space="preserve"> was 0.81</w:t>
      </w:r>
      <w:r w:rsidR="00037823" w:rsidRPr="001B036C">
        <w:t>3</w:t>
      </w:r>
      <w:r w:rsidR="001C2335" w:rsidRPr="001B036C">
        <w:t xml:space="preserve">. This indicates that the FC test has </w:t>
      </w:r>
      <w:r w:rsidR="004A3211" w:rsidRPr="001B036C">
        <w:t>excellent</w:t>
      </w:r>
      <w:r w:rsidR="001C2335" w:rsidRPr="001B036C">
        <w:t xml:space="preserve"> discrimination to predict patients who will relapse within 12 months</w:t>
      </w:r>
      <w:r w:rsidR="0047242B" w:rsidRPr="001B036C">
        <w:t xml:space="preserve"> (</w:t>
      </w:r>
      <w:r w:rsidR="00874C2E" w:rsidRPr="001B036C">
        <w:t>sensitivity of 7</w:t>
      </w:r>
      <w:r w:rsidR="001C2335" w:rsidRPr="001B036C">
        <w:t>1</w:t>
      </w:r>
      <w:r w:rsidR="00874C2E" w:rsidRPr="001B036C">
        <w:t>% and a specificity of 81%</w:t>
      </w:r>
      <w:r w:rsidR="0047242B" w:rsidRPr="001B036C">
        <w:t>)</w:t>
      </w:r>
      <w:r w:rsidR="00874C2E" w:rsidRPr="001B036C">
        <w:t xml:space="preserve">. </w:t>
      </w:r>
      <w:r w:rsidR="0028166F" w:rsidRPr="001B036C">
        <w:t xml:space="preserve">Restricting the cut-off thresholds to a range of 100-250 µg/g may be clinically relevant when monitoring asymptomatic patients for relapse, as higher </w:t>
      </w:r>
      <w:r w:rsidR="00016A8E" w:rsidRPr="001B036C">
        <w:t xml:space="preserve">FC results are likely </w:t>
      </w:r>
      <w:r w:rsidR="001A39B2" w:rsidRPr="001B036C">
        <w:t>to indicate currently active disease, which indicates</w:t>
      </w:r>
      <w:r w:rsidR="004954EE" w:rsidRPr="001B036C">
        <w:t xml:space="preserve"> a need for</w:t>
      </w:r>
      <w:r w:rsidR="001A39B2" w:rsidRPr="001B036C">
        <w:t xml:space="preserve"> treatment and/or further investigations (e.g. colonoscopy</w:t>
      </w:r>
      <w:r w:rsidR="004954EE" w:rsidRPr="001B036C">
        <w:t xml:space="preserve"> or </w:t>
      </w:r>
      <w:r w:rsidR="001A39B2" w:rsidRPr="001B036C">
        <w:t>imaging)</w:t>
      </w:r>
      <w:r w:rsidR="0028166F" w:rsidRPr="001B036C">
        <w:t>. For FC results between 100 to 250 µg/g (the intermediate range), a clinician might repeat the test and monitor the asymptomatic patient</w:t>
      </w:r>
      <w:r w:rsidR="00A21BE6" w:rsidRPr="001B036C">
        <w:t>; if the repeat FC is rising, this may indicate the need to initiate</w:t>
      </w:r>
      <w:r w:rsidR="00177A74" w:rsidRPr="001B036C">
        <w:t>/escalate</w:t>
      </w:r>
      <w:r w:rsidR="00A21BE6" w:rsidRPr="001B036C">
        <w:t xml:space="preserve"> treatment</w:t>
      </w:r>
      <w:r w:rsidR="0028166F" w:rsidRPr="001B036C">
        <w:t>. Capturing intermediate results is important and useful for understanding the potential for relapse and determining appropriate interventions for intermediate outcomes. The sensitivity and specificity for detecting relapse were 70.4% and 77% (k= 16), respectively</w:t>
      </w:r>
      <w:r w:rsidR="007B4828" w:rsidRPr="001B036C">
        <w:t xml:space="preserve"> with an AUC of 0.792</w:t>
      </w:r>
      <w:r w:rsidR="00D22890" w:rsidRPr="001B036C">
        <w:t>.</w:t>
      </w:r>
    </w:p>
    <w:p w14:paraId="514FC869" w14:textId="5F42B46B" w:rsidR="007619C3" w:rsidRPr="001B036C" w:rsidRDefault="007619C3" w:rsidP="00F17838">
      <w:pPr>
        <w:rPr>
          <w:b/>
          <w:lang w:val="en-US"/>
        </w:rPr>
      </w:pPr>
      <w:r w:rsidRPr="001B036C">
        <w:fldChar w:fldCharType="begin"/>
      </w:r>
      <w:r w:rsidRPr="001B036C">
        <w:instrText xml:space="preserve"> REF _Ref172744103 \h </w:instrText>
      </w:r>
      <w:r w:rsidR="001B036C">
        <w:instrText xml:space="preserve"> \* MERGEFORMAT </w:instrText>
      </w:r>
      <w:r w:rsidRPr="001B036C">
        <w:fldChar w:fldCharType="separate"/>
      </w:r>
      <w:r w:rsidR="008319AD" w:rsidRPr="001B036C">
        <w:t xml:space="preserve">Table </w:t>
      </w:r>
      <w:r w:rsidR="008319AD">
        <w:rPr>
          <w:noProof/>
        </w:rPr>
        <w:t>12</w:t>
      </w:r>
      <w:r w:rsidRPr="001B036C">
        <w:fldChar w:fldCharType="end"/>
      </w:r>
      <w:r w:rsidRPr="001B036C">
        <w:t xml:space="preserve"> summarizes the performance measures of the test in predicting relapse. Heterogeneity based on the I</w:t>
      </w:r>
      <w:r w:rsidRPr="001B036C">
        <w:rPr>
          <w:vertAlign w:val="superscript"/>
        </w:rPr>
        <w:t xml:space="preserve">2 </w:t>
      </w:r>
      <w:r w:rsidRPr="001B036C">
        <w:t>was considered low for the sensitivity and high for specificity in both, CD and UC patients.</w:t>
      </w:r>
    </w:p>
    <w:p w14:paraId="7CC8385C" w14:textId="481D41F7" w:rsidR="007619C3" w:rsidRPr="001B036C" w:rsidRDefault="007619C3" w:rsidP="00DF30A3">
      <w:pPr>
        <w:pStyle w:val="Caption"/>
        <w:rPr>
          <w:u w:val="single"/>
        </w:rPr>
      </w:pPr>
      <w:bookmarkStart w:id="30" w:name="_Ref172744103"/>
      <w:r w:rsidRPr="001B036C">
        <w:t xml:space="preserve">Table </w:t>
      </w:r>
      <w:r>
        <w:fldChar w:fldCharType="begin"/>
      </w:r>
      <w:r>
        <w:instrText xml:space="preserve"> SEQ Table \* ARABIC </w:instrText>
      </w:r>
      <w:r>
        <w:fldChar w:fldCharType="separate"/>
      </w:r>
      <w:r w:rsidR="00B4653B">
        <w:rPr>
          <w:noProof/>
        </w:rPr>
        <w:t>12</w:t>
      </w:r>
      <w:r>
        <w:rPr>
          <w:noProof/>
        </w:rPr>
        <w:fldChar w:fldCharType="end"/>
      </w:r>
      <w:bookmarkEnd w:id="30"/>
      <w:r w:rsidRPr="001B036C">
        <w:t xml:space="preserve"> Summary of accuracy evidence included in the meta-analysis for predicting relapse</w:t>
      </w:r>
    </w:p>
    <w:tbl>
      <w:tblPr>
        <w:tblStyle w:val="TableGrid"/>
        <w:tblW w:w="5000" w:type="pct"/>
        <w:tblLook w:val="06A0" w:firstRow="1" w:lastRow="0" w:firstColumn="1" w:lastColumn="0" w:noHBand="1" w:noVBand="1"/>
      </w:tblPr>
      <w:tblGrid>
        <w:gridCol w:w="1286"/>
        <w:gridCol w:w="1284"/>
        <w:gridCol w:w="1286"/>
        <w:gridCol w:w="1269"/>
        <w:gridCol w:w="1711"/>
        <w:gridCol w:w="896"/>
        <w:gridCol w:w="1284"/>
      </w:tblGrid>
      <w:tr w:rsidR="003E7174" w:rsidRPr="001B036C" w14:paraId="42744F9E" w14:textId="77777777" w:rsidTr="63EFA857">
        <w:trPr>
          <w:trHeight w:val="300"/>
        </w:trPr>
        <w:tc>
          <w:tcPr>
            <w:tcW w:w="713" w:type="pct"/>
          </w:tcPr>
          <w:p w14:paraId="282727EC" w14:textId="77777777" w:rsidR="003E7174" w:rsidRPr="001B036C" w:rsidRDefault="003E7174" w:rsidP="00A97680">
            <w:pPr>
              <w:pStyle w:val="In-tableHeading"/>
            </w:pPr>
            <w:r w:rsidRPr="001B036C">
              <w:t xml:space="preserve">Outcome, FC threshold </w:t>
            </w:r>
          </w:p>
        </w:tc>
        <w:tc>
          <w:tcPr>
            <w:tcW w:w="712" w:type="pct"/>
          </w:tcPr>
          <w:p w14:paraId="01333E03" w14:textId="77777777" w:rsidR="003E7174" w:rsidRPr="001B036C" w:rsidRDefault="003E7174" w:rsidP="00A97680">
            <w:pPr>
              <w:pStyle w:val="In-tableHeading"/>
              <w:rPr>
                <w:rFonts w:ascii="Aptos Narrow" w:eastAsia="Aptos Narrow" w:hAnsi="Aptos Narrow" w:cs="Aptos Narrow"/>
              </w:rPr>
            </w:pPr>
            <w:r w:rsidRPr="001B036C">
              <w:t>Condition</w:t>
            </w:r>
          </w:p>
          <w:p w14:paraId="25DEB230" w14:textId="77777777" w:rsidR="003E7174" w:rsidRPr="001B036C" w:rsidRDefault="003E7174" w:rsidP="00A97680">
            <w:pPr>
              <w:pStyle w:val="In-tableHeading"/>
            </w:pPr>
            <w:r w:rsidRPr="001B036C">
              <w:t>Number of studies (k) patients (n)</w:t>
            </w:r>
          </w:p>
        </w:tc>
        <w:tc>
          <w:tcPr>
            <w:tcW w:w="713" w:type="pct"/>
          </w:tcPr>
          <w:p w14:paraId="6B669EA6" w14:textId="77777777" w:rsidR="003E7174" w:rsidRPr="001B036C" w:rsidRDefault="003E7174" w:rsidP="00A97680">
            <w:pPr>
              <w:pStyle w:val="In-tableHeading"/>
              <w:rPr>
                <w:rFonts w:ascii="Aptos Narrow" w:eastAsia="Aptos Narrow" w:hAnsi="Aptos Narrow" w:cs="Aptos Narrow"/>
                <w:snapToGrid w:val="0"/>
              </w:rPr>
            </w:pPr>
            <w:r w:rsidRPr="001B036C">
              <w:t>Sensitivity</w:t>
            </w:r>
          </w:p>
          <w:p w14:paraId="5AE12905" w14:textId="77777777" w:rsidR="003E7174" w:rsidRPr="001B036C" w:rsidRDefault="003E7174" w:rsidP="00A97680">
            <w:pPr>
              <w:pStyle w:val="In-tableHeading"/>
            </w:pPr>
            <w:r w:rsidRPr="001B036C">
              <w:t xml:space="preserve">Pooled [95%CI] </w:t>
            </w:r>
          </w:p>
        </w:tc>
        <w:tc>
          <w:tcPr>
            <w:tcW w:w="704" w:type="pct"/>
          </w:tcPr>
          <w:p w14:paraId="0AEF9DD4" w14:textId="77777777" w:rsidR="003E7174" w:rsidRPr="001B036C" w:rsidRDefault="003E7174" w:rsidP="00A97680">
            <w:pPr>
              <w:pStyle w:val="In-tableHeading"/>
            </w:pPr>
            <w:r w:rsidRPr="001B036C">
              <w:t>Specificity</w:t>
            </w:r>
            <w:r w:rsidRPr="001B036C">
              <w:br/>
              <w:t xml:space="preserve">Pooled [95%CI] </w:t>
            </w:r>
          </w:p>
          <w:p w14:paraId="25868EE8" w14:textId="77777777" w:rsidR="003E7174" w:rsidRPr="001B036C" w:rsidRDefault="003E7174" w:rsidP="00A97680">
            <w:pPr>
              <w:pStyle w:val="In-tableHeading"/>
            </w:pPr>
          </w:p>
        </w:tc>
        <w:tc>
          <w:tcPr>
            <w:tcW w:w="949" w:type="pct"/>
          </w:tcPr>
          <w:p w14:paraId="3625194C" w14:textId="77777777" w:rsidR="003E7174" w:rsidRPr="001B036C" w:rsidRDefault="003E7174" w:rsidP="00A97680">
            <w:pPr>
              <w:pStyle w:val="In-tableHeading"/>
            </w:pPr>
            <w:r w:rsidRPr="001B036C">
              <w:t xml:space="preserve">Heterogeneity </w:t>
            </w:r>
          </w:p>
          <w:p w14:paraId="4848493B" w14:textId="77777777" w:rsidR="003E7174" w:rsidRPr="001B036C" w:rsidRDefault="003E7174" w:rsidP="00A97680">
            <w:pPr>
              <w:pStyle w:val="In-tableHeading"/>
            </w:pPr>
            <w:r w:rsidRPr="001B036C">
              <w:t>I</w:t>
            </w:r>
            <w:r w:rsidRPr="001B036C">
              <w:rPr>
                <w:vertAlign w:val="superscript"/>
              </w:rPr>
              <w:t>2</w:t>
            </w:r>
          </w:p>
        </w:tc>
        <w:tc>
          <w:tcPr>
            <w:tcW w:w="497" w:type="pct"/>
          </w:tcPr>
          <w:p w14:paraId="45ED3E4C" w14:textId="7D930A8F" w:rsidR="003E7174" w:rsidRPr="001B036C" w:rsidRDefault="003E7174" w:rsidP="00A97680">
            <w:pPr>
              <w:pStyle w:val="In-tableHeading"/>
            </w:pPr>
            <w:r w:rsidRPr="001B036C">
              <w:t>AUC</w:t>
            </w:r>
          </w:p>
        </w:tc>
        <w:tc>
          <w:tcPr>
            <w:tcW w:w="712" w:type="pct"/>
          </w:tcPr>
          <w:p w14:paraId="182E475C" w14:textId="12865165" w:rsidR="003E7174" w:rsidRPr="001B036C" w:rsidRDefault="003E7174" w:rsidP="00A97680">
            <w:pPr>
              <w:pStyle w:val="In-tableHeading"/>
            </w:pPr>
            <w:proofErr w:type="spellStart"/>
            <w:r w:rsidRPr="001B036C">
              <w:t>CoE</w:t>
            </w:r>
            <w:proofErr w:type="spellEnd"/>
            <w:r w:rsidRPr="001B036C">
              <w:t xml:space="preserve"> (GRADE)</w:t>
            </w:r>
          </w:p>
        </w:tc>
      </w:tr>
      <w:tr w:rsidR="003E7174" w:rsidRPr="001B036C" w14:paraId="2509813A" w14:textId="77777777" w:rsidTr="63EFA857">
        <w:trPr>
          <w:trHeight w:val="300"/>
        </w:trPr>
        <w:tc>
          <w:tcPr>
            <w:tcW w:w="713" w:type="pct"/>
            <w:tcBorders>
              <w:bottom w:val="nil"/>
            </w:tcBorders>
          </w:tcPr>
          <w:p w14:paraId="031F26E9" w14:textId="1C9C4A29" w:rsidR="003E7174" w:rsidRPr="001B036C" w:rsidRDefault="003E7174" w:rsidP="00A97680">
            <w:pPr>
              <w:pStyle w:val="TableText"/>
              <w:spacing w:before="0" w:after="0"/>
            </w:pPr>
            <w:r w:rsidRPr="001B036C">
              <w:t>Relapse, cut-off &gt;100 µg/g at 12-months follow-up.</w:t>
            </w:r>
          </w:p>
        </w:tc>
        <w:tc>
          <w:tcPr>
            <w:tcW w:w="712" w:type="pct"/>
            <w:vAlign w:val="center"/>
          </w:tcPr>
          <w:p w14:paraId="5D246932" w14:textId="14A98E48" w:rsidR="003E7174" w:rsidRPr="001B036C" w:rsidRDefault="1DFA4042" w:rsidP="00A97680">
            <w:pPr>
              <w:pStyle w:val="TableText"/>
              <w:spacing w:before="0" w:after="0"/>
            </w:pPr>
            <w:r>
              <w:t>CD</w:t>
            </w:r>
            <w:r w:rsidR="6960D2C7">
              <w:t>,</w:t>
            </w:r>
            <w:r>
              <w:t xml:space="preserve"> k =6,</w:t>
            </w:r>
          </w:p>
          <w:p w14:paraId="58E497FA" w14:textId="77777777" w:rsidR="003E7174" w:rsidRPr="001B036C" w:rsidRDefault="003E7174" w:rsidP="00A97680">
            <w:pPr>
              <w:pStyle w:val="TableText"/>
              <w:spacing w:before="0" w:after="0"/>
            </w:pPr>
            <w:r w:rsidRPr="001B036C">
              <w:t xml:space="preserve"> n = 408</w:t>
            </w:r>
          </w:p>
        </w:tc>
        <w:tc>
          <w:tcPr>
            <w:tcW w:w="713" w:type="pct"/>
            <w:vAlign w:val="center"/>
          </w:tcPr>
          <w:p w14:paraId="54A7497B" w14:textId="77777777" w:rsidR="003E7174" w:rsidRPr="001B036C" w:rsidRDefault="003E7174" w:rsidP="00A97680">
            <w:pPr>
              <w:pStyle w:val="TableText"/>
              <w:spacing w:before="0" w:after="0"/>
            </w:pPr>
            <w:r w:rsidRPr="001B036C">
              <w:t xml:space="preserve">75% [64: 83] </w:t>
            </w:r>
          </w:p>
        </w:tc>
        <w:tc>
          <w:tcPr>
            <w:tcW w:w="704" w:type="pct"/>
            <w:vAlign w:val="center"/>
          </w:tcPr>
          <w:p w14:paraId="30BAD099" w14:textId="77777777" w:rsidR="003E7174" w:rsidRPr="001B036C" w:rsidRDefault="003E7174" w:rsidP="00A97680">
            <w:pPr>
              <w:pStyle w:val="TableText"/>
              <w:spacing w:before="0" w:after="0"/>
            </w:pPr>
            <w:r w:rsidRPr="001B036C">
              <w:t xml:space="preserve">70% [57; 81] </w:t>
            </w:r>
          </w:p>
        </w:tc>
        <w:tc>
          <w:tcPr>
            <w:tcW w:w="949" w:type="pct"/>
            <w:vAlign w:val="center"/>
          </w:tcPr>
          <w:p w14:paraId="09E13A0E" w14:textId="77777777" w:rsidR="003E7174" w:rsidRPr="001B036C" w:rsidRDefault="003E7174" w:rsidP="00A97680">
            <w:pPr>
              <w:pStyle w:val="TableText"/>
              <w:spacing w:before="0" w:after="0"/>
            </w:pPr>
            <w:r w:rsidRPr="001B036C">
              <w:t>Sensitivity = 0%</w:t>
            </w:r>
          </w:p>
          <w:p w14:paraId="207CCE9B" w14:textId="77777777" w:rsidR="003E7174" w:rsidRPr="001B036C" w:rsidRDefault="003E7174" w:rsidP="00A97680">
            <w:pPr>
              <w:pStyle w:val="TableText"/>
              <w:spacing w:before="0" w:after="0"/>
            </w:pPr>
            <w:r w:rsidRPr="001B036C">
              <w:t>Specificity = 73%</w:t>
            </w:r>
          </w:p>
        </w:tc>
        <w:tc>
          <w:tcPr>
            <w:tcW w:w="497" w:type="pct"/>
            <w:vAlign w:val="center"/>
          </w:tcPr>
          <w:p w14:paraId="0117C2D3" w14:textId="6CC5A13B" w:rsidR="003E7174" w:rsidRPr="001B036C" w:rsidRDefault="00357CC5" w:rsidP="00A97680">
            <w:pPr>
              <w:pStyle w:val="TableText"/>
              <w:spacing w:before="0" w:after="0"/>
            </w:pPr>
            <w:r w:rsidRPr="001B036C">
              <w:t>0.751</w:t>
            </w:r>
          </w:p>
        </w:tc>
        <w:tc>
          <w:tcPr>
            <w:tcW w:w="712" w:type="pct"/>
            <w:vAlign w:val="center"/>
          </w:tcPr>
          <w:p w14:paraId="6F0EC787" w14:textId="1A59C643" w:rsidR="003E7174" w:rsidRPr="001B036C" w:rsidRDefault="003E7174" w:rsidP="00A97680">
            <w:pPr>
              <w:pStyle w:val="TableText"/>
              <w:spacing w:before="0" w:after="0"/>
              <w:rPr>
                <w:rFonts w:ascii="Cambria Math" w:eastAsia="Cambria Math" w:hAnsi="Cambria Math" w:cs="Cambria Math"/>
                <w:b/>
                <w:bCs/>
                <w:color w:val="00B050"/>
                <w:szCs w:val="20"/>
              </w:rP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r w:rsidR="003E7174" w:rsidRPr="001B036C" w14:paraId="427888E0" w14:textId="77777777" w:rsidTr="63EFA857">
        <w:trPr>
          <w:trHeight w:val="300"/>
        </w:trPr>
        <w:tc>
          <w:tcPr>
            <w:tcW w:w="713" w:type="pct"/>
            <w:tcBorders>
              <w:top w:val="nil"/>
              <w:bottom w:val="nil"/>
            </w:tcBorders>
          </w:tcPr>
          <w:p w14:paraId="78AF5938" w14:textId="77777777" w:rsidR="003E7174" w:rsidRPr="001B036C" w:rsidRDefault="003E7174" w:rsidP="00A97680">
            <w:pPr>
              <w:pStyle w:val="TableText"/>
              <w:spacing w:before="0" w:after="0"/>
            </w:pPr>
          </w:p>
        </w:tc>
        <w:tc>
          <w:tcPr>
            <w:tcW w:w="712" w:type="pct"/>
            <w:vAlign w:val="center"/>
          </w:tcPr>
          <w:p w14:paraId="79FEC0A9" w14:textId="298459FE" w:rsidR="003E7174" w:rsidRPr="001B036C" w:rsidRDefault="003E7174" w:rsidP="00A97680">
            <w:pPr>
              <w:pStyle w:val="TableText"/>
              <w:spacing w:before="0" w:after="0"/>
            </w:pPr>
            <w:r w:rsidRPr="001B036C">
              <w:t>UC k = 1</w:t>
            </w:r>
            <w:r w:rsidR="00A858B4" w:rsidRPr="001B036C">
              <w:t>3</w:t>
            </w:r>
            <w:r w:rsidRPr="001B036C">
              <w:t xml:space="preserve">, </w:t>
            </w:r>
          </w:p>
          <w:p w14:paraId="3D321565" w14:textId="77777777" w:rsidR="003E7174" w:rsidRPr="001B036C" w:rsidRDefault="003E7174" w:rsidP="00A97680">
            <w:pPr>
              <w:pStyle w:val="TableText"/>
              <w:spacing w:before="0" w:after="0"/>
            </w:pPr>
            <w:r w:rsidRPr="001B036C">
              <w:t>n = 1,110</w:t>
            </w:r>
          </w:p>
        </w:tc>
        <w:tc>
          <w:tcPr>
            <w:tcW w:w="713" w:type="pct"/>
            <w:vAlign w:val="center"/>
          </w:tcPr>
          <w:p w14:paraId="456BA33A" w14:textId="77777777" w:rsidR="003E7174" w:rsidRPr="001B036C" w:rsidRDefault="003E7174" w:rsidP="00A97680">
            <w:pPr>
              <w:pStyle w:val="TableText"/>
              <w:spacing w:before="0" w:after="0"/>
            </w:pPr>
            <w:r w:rsidRPr="001B036C">
              <w:t xml:space="preserve">73% [67; 79] </w:t>
            </w:r>
          </w:p>
        </w:tc>
        <w:tc>
          <w:tcPr>
            <w:tcW w:w="704" w:type="pct"/>
            <w:vAlign w:val="center"/>
          </w:tcPr>
          <w:p w14:paraId="4D61B240" w14:textId="77777777" w:rsidR="003E7174" w:rsidRPr="001B036C" w:rsidRDefault="003E7174" w:rsidP="00A97680">
            <w:pPr>
              <w:pStyle w:val="TableText"/>
              <w:spacing w:before="0" w:after="0"/>
            </w:pPr>
            <w:r w:rsidRPr="001B036C">
              <w:t xml:space="preserve">83% [77; 88] </w:t>
            </w:r>
          </w:p>
        </w:tc>
        <w:tc>
          <w:tcPr>
            <w:tcW w:w="949" w:type="pct"/>
            <w:vAlign w:val="center"/>
          </w:tcPr>
          <w:p w14:paraId="38001459" w14:textId="557D318D" w:rsidR="003E7174" w:rsidRPr="001B036C" w:rsidRDefault="003E7174" w:rsidP="00A97680">
            <w:pPr>
              <w:pStyle w:val="TableText"/>
              <w:spacing w:before="0" w:after="0"/>
            </w:pPr>
            <w:r w:rsidRPr="001B036C">
              <w:t xml:space="preserve">Sensitivity = </w:t>
            </w:r>
            <w:r w:rsidR="00C94DE8" w:rsidRPr="001B036C">
              <w:t>38</w:t>
            </w:r>
            <w:r w:rsidRPr="001B036C">
              <w:t>%</w:t>
            </w:r>
          </w:p>
          <w:p w14:paraId="76195EAA" w14:textId="3EE2C49E" w:rsidR="003E7174" w:rsidRPr="001B036C" w:rsidRDefault="003E7174" w:rsidP="00A97680">
            <w:pPr>
              <w:pStyle w:val="TableText"/>
              <w:spacing w:before="0" w:after="0"/>
            </w:pPr>
            <w:r w:rsidRPr="001B036C">
              <w:t xml:space="preserve">Specificity = </w:t>
            </w:r>
            <w:r w:rsidR="00C94DE8" w:rsidRPr="001B036C">
              <w:t>69</w:t>
            </w:r>
            <w:r w:rsidRPr="001B036C">
              <w:t>%</w:t>
            </w:r>
          </w:p>
        </w:tc>
        <w:tc>
          <w:tcPr>
            <w:tcW w:w="497" w:type="pct"/>
            <w:vAlign w:val="center"/>
          </w:tcPr>
          <w:p w14:paraId="7A042DC1" w14:textId="371D0E62" w:rsidR="003E7174" w:rsidRPr="001B036C" w:rsidRDefault="00B62F1A" w:rsidP="00A97680">
            <w:pPr>
              <w:pStyle w:val="TableText"/>
              <w:spacing w:before="0" w:after="0"/>
            </w:pPr>
            <w:r w:rsidRPr="001B036C">
              <w:t>0.</w:t>
            </w:r>
            <w:r w:rsidR="000A508F" w:rsidRPr="001B036C">
              <w:t>813</w:t>
            </w:r>
          </w:p>
        </w:tc>
        <w:tc>
          <w:tcPr>
            <w:tcW w:w="712" w:type="pct"/>
            <w:vAlign w:val="center"/>
          </w:tcPr>
          <w:p w14:paraId="465192C6" w14:textId="37A6186F" w:rsidR="003E7174" w:rsidRPr="001B036C" w:rsidRDefault="003E7174" w:rsidP="00A97680">
            <w:pPr>
              <w:pStyle w:val="TableText"/>
              <w:spacing w:before="0" w:after="0"/>
              <w:rPr>
                <w:rFonts w:ascii="Aptos Narrow" w:eastAsia="Aptos Narrow" w:hAnsi="Aptos Narrow" w:cs="Aptos Narrow"/>
                <w:szCs w:val="20"/>
              </w:rP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r w:rsidR="003E7174" w:rsidRPr="001B036C" w14:paraId="0A45D1EC" w14:textId="77777777" w:rsidTr="63EFA857">
        <w:trPr>
          <w:trHeight w:val="300"/>
        </w:trPr>
        <w:tc>
          <w:tcPr>
            <w:tcW w:w="713" w:type="pct"/>
            <w:tcBorders>
              <w:top w:val="nil"/>
            </w:tcBorders>
          </w:tcPr>
          <w:p w14:paraId="2527D623" w14:textId="77777777" w:rsidR="003E7174" w:rsidRPr="001B036C" w:rsidRDefault="003E7174" w:rsidP="00A97680">
            <w:pPr>
              <w:pStyle w:val="TableText"/>
              <w:spacing w:before="0" w:after="0"/>
            </w:pPr>
          </w:p>
        </w:tc>
        <w:tc>
          <w:tcPr>
            <w:tcW w:w="712" w:type="pct"/>
            <w:vAlign w:val="center"/>
          </w:tcPr>
          <w:p w14:paraId="044ED19D" w14:textId="77777777" w:rsidR="003E7174" w:rsidRPr="001B036C" w:rsidRDefault="003E7174" w:rsidP="00A97680">
            <w:pPr>
              <w:pStyle w:val="TableText"/>
              <w:spacing w:before="0" w:after="0"/>
            </w:pPr>
            <w:r w:rsidRPr="001B036C">
              <w:t>IBD k=2, n=264</w:t>
            </w:r>
          </w:p>
        </w:tc>
        <w:tc>
          <w:tcPr>
            <w:tcW w:w="713" w:type="pct"/>
            <w:vAlign w:val="center"/>
          </w:tcPr>
          <w:p w14:paraId="5ECC1FCB" w14:textId="77777777" w:rsidR="003E7174" w:rsidRPr="001B036C" w:rsidRDefault="003E7174" w:rsidP="00A97680">
            <w:pPr>
              <w:pStyle w:val="TableText"/>
              <w:spacing w:before="0" w:after="0"/>
            </w:pPr>
            <w:r w:rsidRPr="001B036C">
              <w:t>NE</w:t>
            </w:r>
          </w:p>
        </w:tc>
        <w:tc>
          <w:tcPr>
            <w:tcW w:w="704" w:type="pct"/>
            <w:vAlign w:val="center"/>
          </w:tcPr>
          <w:p w14:paraId="57EC8B95" w14:textId="77777777" w:rsidR="003E7174" w:rsidRPr="001B036C" w:rsidRDefault="003E7174" w:rsidP="00A97680">
            <w:pPr>
              <w:pStyle w:val="TableText"/>
              <w:spacing w:before="0" w:after="0"/>
            </w:pPr>
            <w:r w:rsidRPr="001B036C">
              <w:t>NE</w:t>
            </w:r>
          </w:p>
        </w:tc>
        <w:tc>
          <w:tcPr>
            <w:tcW w:w="949" w:type="pct"/>
            <w:vAlign w:val="center"/>
          </w:tcPr>
          <w:p w14:paraId="28B3AEFE" w14:textId="77777777" w:rsidR="003E7174" w:rsidRPr="001B036C" w:rsidRDefault="003E7174" w:rsidP="00A97680">
            <w:pPr>
              <w:pStyle w:val="TableText"/>
              <w:spacing w:before="0" w:after="0"/>
            </w:pPr>
            <w:r w:rsidRPr="001B036C">
              <w:t>NE</w:t>
            </w:r>
          </w:p>
        </w:tc>
        <w:tc>
          <w:tcPr>
            <w:tcW w:w="497" w:type="pct"/>
            <w:vAlign w:val="center"/>
          </w:tcPr>
          <w:p w14:paraId="5D2E889E" w14:textId="78D124E6" w:rsidR="003E7174" w:rsidRPr="001B036C" w:rsidRDefault="008570C6" w:rsidP="00A97680">
            <w:pPr>
              <w:pStyle w:val="TableText"/>
              <w:spacing w:before="0" w:after="0"/>
            </w:pPr>
            <w:r w:rsidRPr="001B036C">
              <w:t>NE</w:t>
            </w:r>
          </w:p>
        </w:tc>
        <w:tc>
          <w:tcPr>
            <w:tcW w:w="712" w:type="pct"/>
            <w:vAlign w:val="center"/>
          </w:tcPr>
          <w:p w14:paraId="104D1447" w14:textId="6686D1E1" w:rsidR="003E7174" w:rsidRPr="001B036C" w:rsidRDefault="003E7174" w:rsidP="00A97680">
            <w:pPr>
              <w:pStyle w:val="TableText"/>
              <w:spacing w:before="0" w:after="0"/>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p w14:paraId="780F9EA3" w14:textId="77777777" w:rsidR="003E7174" w:rsidRPr="001B036C" w:rsidRDefault="003E7174" w:rsidP="00A97680">
            <w:pPr>
              <w:pStyle w:val="TableText"/>
              <w:spacing w:before="0" w:after="0"/>
              <w:rPr>
                <w:rFonts w:ascii="Cambria Math" w:eastAsia="Cambria Math" w:hAnsi="Cambria Math" w:cs="Cambria Math"/>
                <w:b/>
                <w:bCs/>
                <w:color w:val="00B050"/>
                <w:szCs w:val="20"/>
              </w:rPr>
            </w:pPr>
          </w:p>
        </w:tc>
      </w:tr>
      <w:tr w:rsidR="003E7174" w:rsidRPr="001B036C" w14:paraId="6BC80436" w14:textId="77777777" w:rsidTr="63EFA857">
        <w:trPr>
          <w:trHeight w:val="300"/>
        </w:trPr>
        <w:tc>
          <w:tcPr>
            <w:tcW w:w="713" w:type="pct"/>
            <w:tcBorders>
              <w:bottom w:val="nil"/>
            </w:tcBorders>
          </w:tcPr>
          <w:p w14:paraId="33930435" w14:textId="32D5C9CE" w:rsidR="003E7174" w:rsidRPr="001B036C" w:rsidRDefault="003E7174" w:rsidP="00A97680">
            <w:pPr>
              <w:pStyle w:val="TableText"/>
              <w:spacing w:before="0" w:after="0"/>
            </w:pPr>
            <w:r w:rsidRPr="001B036C">
              <w:t>Relapse cut-off between 100-250 µg/g at 12-month follow-up</w:t>
            </w:r>
          </w:p>
        </w:tc>
        <w:tc>
          <w:tcPr>
            <w:tcW w:w="712" w:type="pct"/>
            <w:vAlign w:val="center"/>
          </w:tcPr>
          <w:p w14:paraId="2A1524F2" w14:textId="77777777" w:rsidR="003E7174" w:rsidRPr="001B036C" w:rsidRDefault="003E7174" w:rsidP="00A97680">
            <w:pPr>
              <w:pStyle w:val="TableText"/>
              <w:spacing w:before="0" w:after="0"/>
            </w:pPr>
            <w:r w:rsidRPr="001B036C">
              <w:t xml:space="preserve">CD, k = 5, </w:t>
            </w:r>
          </w:p>
          <w:p w14:paraId="08371A87" w14:textId="77777777" w:rsidR="003E7174" w:rsidRPr="001B036C" w:rsidRDefault="003E7174" w:rsidP="00A97680">
            <w:pPr>
              <w:pStyle w:val="TableText"/>
              <w:spacing w:before="0" w:after="0"/>
            </w:pPr>
            <w:r w:rsidRPr="001B036C">
              <w:t>n =355</w:t>
            </w:r>
          </w:p>
        </w:tc>
        <w:tc>
          <w:tcPr>
            <w:tcW w:w="713" w:type="pct"/>
            <w:vAlign w:val="center"/>
          </w:tcPr>
          <w:p w14:paraId="450172E0" w14:textId="77777777" w:rsidR="003E7174" w:rsidRPr="001B036C" w:rsidRDefault="003E7174" w:rsidP="00A97680">
            <w:pPr>
              <w:pStyle w:val="TableText"/>
              <w:spacing w:before="0" w:after="0"/>
            </w:pPr>
            <w:r w:rsidRPr="001B036C">
              <w:t xml:space="preserve">74% [63; 83] </w:t>
            </w:r>
          </w:p>
        </w:tc>
        <w:tc>
          <w:tcPr>
            <w:tcW w:w="704" w:type="pct"/>
            <w:vAlign w:val="center"/>
          </w:tcPr>
          <w:p w14:paraId="63A0E04D" w14:textId="77777777" w:rsidR="003E7174" w:rsidRPr="001B036C" w:rsidRDefault="003E7174" w:rsidP="00A97680">
            <w:pPr>
              <w:pStyle w:val="TableText"/>
              <w:spacing w:before="0" w:after="0"/>
            </w:pPr>
            <w:r w:rsidRPr="001B036C">
              <w:t xml:space="preserve"> 66% [56; 75] </w:t>
            </w:r>
          </w:p>
        </w:tc>
        <w:tc>
          <w:tcPr>
            <w:tcW w:w="949" w:type="pct"/>
            <w:vAlign w:val="center"/>
          </w:tcPr>
          <w:p w14:paraId="2DC9DD83" w14:textId="77777777" w:rsidR="003E7174" w:rsidRPr="001B036C" w:rsidRDefault="003E7174" w:rsidP="00A97680">
            <w:pPr>
              <w:pStyle w:val="TableText"/>
              <w:spacing w:before="0" w:after="0"/>
            </w:pPr>
            <w:r w:rsidRPr="001B036C">
              <w:t>Sensitivity = 0%</w:t>
            </w:r>
          </w:p>
          <w:p w14:paraId="3443C7E0" w14:textId="77777777" w:rsidR="003E7174" w:rsidRPr="001B036C" w:rsidRDefault="003E7174" w:rsidP="00A97680">
            <w:pPr>
              <w:pStyle w:val="TableText"/>
              <w:spacing w:before="0" w:after="0"/>
            </w:pPr>
            <w:r w:rsidRPr="001B036C">
              <w:t>Specificity = 63%</w:t>
            </w:r>
          </w:p>
        </w:tc>
        <w:tc>
          <w:tcPr>
            <w:tcW w:w="497" w:type="pct"/>
            <w:vAlign w:val="center"/>
          </w:tcPr>
          <w:p w14:paraId="5CE7ECF8" w14:textId="26B811B9" w:rsidR="003E7174" w:rsidRPr="001B036C" w:rsidRDefault="00151AE9" w:rsidP="00A97680">
            <w:pPr>
              <w:pStyle w:val="TableText"/>
              <w:spacing w:before="0" w:after="0"/>
            </w:pPr>
            <w:r w:rsidRPr="001B036C">
              <w:t>0.764</w:t>
            </w:r>
          </w:p>
        </w:tc>
        <w:tc>
          <w:tcPr>
            <w:tcW w:w="712" w:type="pct"/>
            <w:vAlign w:val="center"/>
          </w:tcPr>
          <w:p w14:paraId="2757BBB0" w14:textId="78E74FA9" w:rsidR="003E7174" w:rsidRPr="001B036C" w:rsidRDefault="003E7174" w:rsidP="00A97680">
            <w:pPr>
              <w:pStyle w:val="TableText"/>
              <w:spacing w:before="0" w:after="0"/>
              <w:rPr>
                <w:rFonts w:ascii="Cambria Math" w:eastAsia="Cambria Math" w:hAnsi="Cambria Math" w:cs="Cambria Math"/>
                <w:b/>
                <w:bCs/>
                <w:color w:val="00B050"/>
                <w:szCs w:val="20"/>
              </w:rP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r w:rsidR="003E7174" w:rsidRPr="001B036C" w14:paraId="5A4D3CCA" w14:textId="77777777" w:rsidTr="63EFA857">
        <w:trPr>
          <w:trHeight w:val="300"/>
        </w:trPr>
        <w:tc>
          <w:tcPr>
            <w:tcW w:w="713" w:type="pct"/>
            <w:tcBorders>
              <w:top w:val="nil"/>
              <w:bottom w:val="nil"/>
            </w:tcBorders>
          </w:tcPr>
          <w:p w14:paraId="73566B13" w14:textId="77777777" w:rsidR="003E7174" w:rsidRPr="001B036C" w:rsidRDefault="003E7174" w:rsidP="00A97680">
            <w:pPr>
              <w:pStyle w:val="TableText"/>
              <w:spacing w:before="0" w:after="0"/>
            </w:pPr>
          </w:p>
        </w:tc>
        <w:tc>
          <w:tcPr>
            <w:tcW w:w="712" w:type="pct"/>
            <w:vAlign w:val="center"/>
          </w:tcPr>
          <w:p w14:paraId="5556A1A0" w14:textId="77777777" w:rsidR="003E7174" w:rsidRPr="001B036C" w:rsidRDefault="003E7174" w:rsidP="00A97680">
            <w:pPr>
              <w:pStyle w:val="TableText"/>
              <w:spacing w:before="0" w:after="0"/>
            </w:pPr>
            <w:r w:rsidRPr="001B036C">
              <w:t xml:space="preserve">UC, k = 10, </w:t>
            </w:r>
          </w:p>
          <w:p w14:paraId="77835C5A" w14:textId="77777777" w:rsidR="003E7174" w:rsidRPr="001B036C" w:rsidRDefault="003E7174" w:rsidP="00A97680">
            <w:pPr>
              <w:pStyle w:val="TableText"/>
              <w:spacing w:before="0" w:after="0"/>
            </w:pPr>
            <w:r w:rsidRPr="001B036C">
              <w:t>n = 799</w:t>
            </w:r>
          </w:p>
        </w:tc>
        <w:tc>
          <w:tcPr>
            <w:tcW w:w="713" w:type="pct"/>
            <w:vAlign w:val="center"/>
          </w:tcPr>
          <w:p w14:paraId="057AD1C0" w14:textId="77777777" w:rsidR="003E7174" w:rsidRPr="001B036C" w:rsidRDefault="003E7174" w:rsidP="00A97680">
            <w:pPr>
              <w:pStyle w:val="TableText"/>
              <w:spacing w:before="0" w:after="0"/>
            </w:pPr>
            <w:r w:rsidRPr="001B036C">
              <w:t xml:space="preserve">73% [65; 80] </w:t>
            </w:r>
          </w:p>
        </w:tc>
        <w:tc>
          <w:tcPr>
            <w:tcW w:w="704" w:type="pct"/>
            <w:vAlign w:val="center"/>
          </w:tcPr>
          <w:p w14:paraId="53CD5956" w14:textId="77777777" w:rsidR="003E7174" w:rsidRPr="001B036C" w:rsidRDefault="003E7174" w:rsidP="00A97680">
            <w:pPr>
              <w:pStyle w:val="TableText"/>
              <w:spacing w:before="0" w:after="0"/>
            </w:pPr>
            <w:r w:rsidRPr="001B036C">
              <w:t xml:space="preserve"> 80% [73; 86] </w:t>
            </w:r>
          </w:p>
        </w:tc>
        <w:tc>
          <w:tcPr>
            <w:tcW w:w="949" w:type="pct"/>
            <w:vAlign w:val="center"/>
          </w:tcPr>
          <w:p w14:paraId="07E926FD" w14:textId="77777777" w:rsidR="003E7174" w:rsidRPr="001B036C" w:rsidRDefault="003E7174" w:rsidP="00A97680">
            <w:pPr>
              <w:pStyle w:val="TableText"/>
              <w:spacing w:before="0" w:after="0"/>
            </w:pPr>
            <w:r w:rsidRPr="001B036C">
              <w:t>Sensitivity = 21%</w:t>
            </w:r>
          </w:p>
          <w:p w14:paraId="16897D39" w14:textId="77777777" w:rsidR="003E7174" w:rsidRPr="001B036C" w:rsidRDefault="003E7174" w:rsidP="00A97680">
            <w:pPr>
              <w:pStyle w:val="TableText"/>
              <w:spacing w:before="0" w:after="0"/>
            </w:pPr>
            <w:r w:rsidRPr="001B036C">
              <w:t>Specificity = 61%</w:t>
            </w:r>
          </w:p>
        </w:tc>
        <w:tc>
          <w:tcPr>
            <w:tcW w:w="497" w:type="pct"/>
            <w:vAlign w:val="center"/>
          </w:tcPr>
          <w:p w14:paraId="7475D89D" w14:textId="22AA0347" w:rsidR="003E7174" w:rsidRPr="001B036C" w:rsidRDefault="008642D6" w:rsidP="00A97680">
            <w:pPr>
              <w:pStyle w:val="TableText"/>
              <w:spacing w:before="0" w:after="0"/>
            </w:pPr>
            <w:r w:rsidRPr="001B036C">
              <w:t>0.813</w:t>
            </w:r>
          </w:p>
        </w:tc>
        <w:tc>
          <w:tcPr>
            <w:tcW w:w="712" w:type="pct"/>
            <w:vAlign w:val="center"/>
          </w:tcPr>
          <w:p w14:paraId="3395A7DC" w14:textId="0E4B2923" w:rsidR="003E7174" w:rsidRPr="001B036C" w:rsidRDefault="003E7174" w:rsidP="00A97680">
            <w:pPr>
              <w:pStyle w:val="TableText"/>
              <w:spacing w:before="0" w:after="0"/>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p w14:paraId="0F556696" w14:textId="77777777" w:rsidR="003E7174" w:rsidRPr="001B036C" w:rsidRDefault="003E7174" w:rsidP="00A97680">
            <w:pPr>
              <w:pStyle w:val="TableText"/>
              <w:spacing w:before="0" w:after="0"/>
              <w:rPr>
                <w:rFonts w:ascii="Cambria Math" w:eastAsia="Cambria Math" w:hAnsi="Cambria Math" w:cs="Cambria Math"/>
                <w:b/>
                <w:bCs/>
                <w:color w:val="00B050"/>
                <w:szCs w:val="20"/>
              </w:rPr>
            </w:pPr>
          </w:p>
        </w:tc>
      </w:tr>
      <w:tr w:rsidR="003E7174" w:rsidRPr="001B036C" w14:paraId="3EB3050F" w14:textId="77777777" w:rsidTr="63EFA857">
        <w:trPr>
          <w:trHeight w:val="300"/>
        </w:trPr>
        <w:tc>
          <w:tcPr>
            <w:tcW w:w="713" w:type="pct"/>
            <w:tcBorders>
              <w:top w:val="nil"/>
            </w:tcBorders>
          </w:tcPr>
          <w:p w14:paraId="60220957" w14:textId="77777777" w:rsidR="003E7174" w:rsidRPr="001B036C" w:rsidRDefault="003E7174" w:rsidP="00A97680">
            <w:pPr>
              <w:pStyle w:val="TableText"/>
              <w:spacing w:before="0" w:after="0"/>
            </w:pPr>
          </w:p>
        </w:tc>
        <w:tc>
          <w:tcPr>
            <w:tcW w:w="712" w:type="pct"/>
            <w:vAlign w:val="center"/>
          </w:tcPr>
          <w:p w14:paraId="14CD4765" w14:textId="219B5807" w:rsidR="003E7174" w:rsidRPr="001B036C" w:rsidRDefault="1DFA4042" w:rsidP="00A97680">
            <w:pPr>
              <w:pStyle w:val="TableText"/>
              <w:spacing w:before="0" w:after="0"/>
            </w:pPr>
            <w:r>
              <w:t>IBD</w:t>
            </w:r>
            <w:r w:rsidR="7AE7207E">
              <w:t>,</w:t>
            </w:r>
            <w:r>
              <w:t xml:space="preserve"> k=2, n=264</w:t>
            </w:r>
          </w:p>
        </w:tc>
        <w:tc>
          <w:tcPr>
            <w:tcW w:w="713" w:type="pct"/>
            <w:vAlign w:val="center"/>
          </w:tcPr>
          <w:p w14:paraId="223899AD" w14:textId="77777777" w:rsidR="003E7174" w:rsidRPr="001B036C" w:rsidRDefault="003E7174" w:rsidP="00A97680">
            <w:pPr>
              <w:pStyle w:val="TableText"/>
              <w:spacing w:before="0" w:after="0"/>
            </w:pPr>
            <w:r w:rsidRPr="001B036C">
              <w:t>NE</w:t>
            </w:r>
          </w:p>
        </w:tc>
        <w:tc>
          <w:tcPr>
            <w:tcW w:w="704" w:type="pct"/>
            <w:vAlign w:val="center"/>
          </w:tcPr>
          <w:p w14:paraId="706C4D39" w14:textId="77777777" w:rsidR="003E7174" w:rsidRPr="001B036C" w:rsidRDefault="003E7174" w:rsidP="00A97680">
            <w:pPr>
              <w:pStyle w:val="TableText"/>
              <w:spacing w:before="0" w:after="0"/>
            </w:pPr>
            <w:r w:rsidRPr="001B036C">
              <w:t>NE</w:t>
            </w:r>
          </w:p>
        </w:tc>
        <w:tc>
          <w:tcPr>
            <w:tcW w:w="949" w:type="pct"/>
            <w:vAlign w:val="center"/>
          </w:tcPr>
          <w:p w14:paraId="05DB7993" w14:textId="77777777" w:rsidR="003E7174" w:rsidRPr="001B036C" w:rsidRDefault="003E7174" w:rsidP="00A97680">
            <w:pPr>
              <w:pStyle w:val="TableText"/>
              <w:spacing w:before="0" w:after="0"/>
            </w:pPr>
            <w:r w:rsidRPr="001B036C">
              <w:t>NE</w:t>
            </w:r>
          </w:p>
        </w:tc>
        <w:tc>
          <w:tcPr>
            <w:tcW w:w="497" w:type="pct"/>
            <w:vAlign w:val="center"/>
          </w:tcPr>
          <w:p w14:paraId="20F41A9B" w14:textId="1E109F24" w:rsidR="003E7174" w:rsidRPr="001B036C" w:rsidRDefault="008642D6" w:rsidP="00A97680">
            <w:pPr>
              <w:pStyle w:val="TableText"/>
              <w:spacing w:before="0" w:after="0"/>
            </w:pPr>
            <w:r w:rsidRPr="001B036C">
              <w:t>NE</w:t>
            </w:r>
          </w:p>
        </w:tc>
        <w:tc>
          <w:tcPr>
            <w:tcW w:w="712" w:type="pct"/>
            <w:vAlign w:val="center"/>
          </w:tcPr>
          <w:p w14:paraId="4FD3A53D" w14:textId="14A88B49" w:rsidR="003E7174" w:rsidRPr="001B036C" w:rsidRDefault="003E7174" w:rsidP="00A97680">
            <w:pPr>
              <w:pStyle w:val="TableText"/>
              <w:spacing w:before="0" w:after="0"/>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p w14:paraId="0576EEC7" w14:textId="77777777" w:rsidR="003E7174" w:rsidRPr="001B036C" w:rsidRDefault="003E7174" w:rsidP="00A97680">
            <w:pPr>
              <w:pStyle w:val="TableText"/>
              <w:spacing w:before="0" w:after="0"/>
              <w:rPr>
                <w:rFonts w:ascii="Cambria Math" w:eastAsia="Cambria Math" w:hAnsi="Cambria Math" w:cs="Cambria Math"/>
                <w:b/>
                <w:bCs/>
                <w:color w:val="00B050"/>
                <w:szCs w:val="20"/>
              </w:rPr>
            </w:pPr>
          </w:p>
        </w:tc>
      </w:tr>
      <w:tr w:rsidR="00905C26" w:rsidRPr="001B036C" w14:paraId="4F52F5FE" w14:textId="77777777" w:rsidTr="63EFA857">
        <w:trPr>
          <w:trHeight w:val="300"/>
        </w:trPr>
        <w:tc>
          <w:tcPr>
            <w:tcW w:w="5000" w:type="pct"/>
            <w:gridSpan w:val="7"/>
          </w:tcPr>
          <w:p w14:paraId="74D5F633" w14:textId="11130BE0" w:rsidR="00905C26" w:rsidRPr="001B036C" w:rsidRDefault="00905C26" w:rsidP="00A97680">
            <w:pPr>
              <w:pStyle w:val="TableText"/>
              <w:spacing w:before="0" w:after="0"/>
              <w:rPr>
                <w:b/>
                <w:bCs/>
              </w:rPr>
            </w:pPr>
            <w:proofErr w:type="spellStart"/>
            <w:r w:rsidRPr="001B036C">
              <w:rPr>
                <w:b/>
                <w:bCs/>
                <w:vertAlign w:val="superscript"/>
              </w:rPr>
              <w:t>a</w:t>
            </w:r>
            <w:r w:rsidRPr="001B036C">
              <w:rPr>
                <w:b/>
                <w:bCs/>
              </w:rPr>
              <w:t>Combined</w:t>
            </w:r>
            <w:proofErr w:type="spellEnd"/>
            <w:r w:rsidRPr="001B036C">
              <w:rPr>
                <w:b/>
                <w:bCs/>
              </w:rPr>
              <w:t xml:space="preserve"> analysis: CD, UC, IBD</w:t>
            </w:r>
          </w:p>
        </w:tc>
      </w:tr>
      <w:tr w:rsidR="003E7174" w:rsidRPr="001B036C" w14:paraId="29DE21C8" w14:textId="77777777" w:rsidTr="63EFA857">
        <w:trPr>
          <w:trHeight w:val="300"/>
        </w:trPr>
        <w:tc>
          <w:tcPr>
            <w:tcW w:w="713" w:type="pct"/>
            <w:vAlign w:val="center"/>
          </w:tcPr>
          <w:p w14:paraId="3CB3E7AB" w14:textId="4EABC58B" w:rsidR="003E7174" w:rsidRPr="001B036C" w:rsidRDefault="003E7174" w:rsidP="00A97680">
            <w:pPr>
              <w:pStyle w:val="TableText"/>
              <w:spacing w:before="0" w:after="0"/>
            </w:pPr>
            <w:r w:rsidRPr="001B036C">
              <w:t>&gt; 100 µg/g at 12-month follow-up</w:t>
            </w:r>
          </w:p>
        </w:tc>
        <w:tc>
          <w:tcPr>
            <w:tcW w:w="712" w:type="pct"/>
            <w:vAlign w:val="center"/>
          </w:tcPr>
          <w:p w14:paraId="5CCB4F28" w14:textId="77777777" w:rsidR="003E7174" w:rsidRPr="001B036C" w:rsidRDefault="003E7174" w:rsidP="00A97680">
            <w:pPr>
              <w:pStyle w:val="TableText"/>
              <w:spacing w:before="0" w:after="0"/>
            </w:pPr>
            <w:r w:rsidRPr="001B036C">
              <w:t>Combined UC, CD, IBD</w:t>
            </w:r>
          </w:p>
          <w:p w14:paraId="7EA888AB" w14:textId="77777777" w:rsidR="003E7174" w:rsidRPr="001B036C" w:rsidRDefault="003E7174" w:rsidP="00A97680">
            <w:pPr>
              <w:pStyle w:val="TableText"/>
              <w:spacing w:before="0" w:after="0"/>
            </w:pPr>
            <w:r w:rsidRPr="001B036C">
              <w:t>k = 21,</w:t>
            </w:r>
          </w:p>
          <w:p w14:paraId="229011D7" w14:textId="77777777" w:rsidR="003E7174" w:rsidRPr="001B036C" w:rsidRDefault="003E7174" w:rsidP="00A97680">
            <w:pPr>
              <w:pStyle w:val="TableText"/>
              <w:spacing w:before="0" w:after="0"/>
            </w:pPr>
            <w:r w:rsidRPr="001B036C">
              <w:t>n = 1,782</w:t>
            </w:r>
          </w:p>
        </w:tc>
        <w:tc>
          <w:tcPr>
            <w:tcW w:w="713" w:type="pct"/>
            <w:vAlign w:val="center"/>
          </w:tcPr>
          <w:p w14:paraId="0C09398E" w14:textId="2EC639F1" w:rsidR="003E7174" w:rsidRPr="001B036C" w:rsidRDefault="003E7174" w:rsidP="00A97680">
            <w:pPr>
              <w:pStyle w:val="TableText"/>
              <w:spacing w:before="0" w:after="0"/>
            </w:pPr>
            <w:r w:rsidRPr="001B036C">
              <w:t>71% [65; 77]</w:t>
            </w:r>
          </w:p>
        </w:tc>
        <w:tc>
          <w:tcPr>
            <w:tcW w:w="704" w:type="pct"/>
            <w:vAlign w:val="center"/>
          </w:tcPr>
          <w:p w14:paraId="58F1A4E5" w14:textId="579AFD45" w:rsidR="003E7174" w:rsidRPr="001B036C" w:rsidRDefault="003E7174" w:rsidP="00A97680">
            <w:pPr>
              <w:pStyle w:val="TableText"/>
              <w:spacing w:before="0" w:after="0"/>
            </w:pPr>
            <w:r w:rsidRPr="001B036C">
              <w:t>80% [75; 85]</w:t>
            </w:r>
          </w:p>
        </w:tc>
        <w:tc>
          <w:tcPr>
            <w:tcW w:w="949" w:type="pct"/>
            <w:vAlign w:val="center"/>
          </w:tcPr>
          <w:p w14:paraId="494FDAC1" w14:textId="4A613A96" w:rsidR="003E7174" w:rsidRPr="001B036C" w:rsidRDefault="003E7174" w:rsidP="00A97680">
            <w:pPr>
              <w:pStyle w:val="TableText"/>
              <w:spacing w:before="0" w:after="0"/>
            </w:pPr>
            <w:r w:rsidRPr="001B036C">
              <w:t>4</w:t>
            </w:r>
            <w:r w:rsidR="00047C7D" w:rsidRPr="001B036C">
              <w:t>6.6</w:t>
            </w:r>
            <w:r w:rsidRPr="001B036C">
              <w:t xml:space="preserve"> – </w:t>
            </w:r>
            <w:r w:rsidR="00905C26" w:rsidRPr="001B036C">
              <w:t>58</w:t>
            </w:r>
            <w:r w:rsidRPr="001B036C">
              <w:t>%</w:t>
            </w:r>
          </w:p>
        </w:tc>
        <w:tc>
          <w:tcPr>
            <w:tcW w:w="497" w:type="pct"/>
            <w:vAlign w:val="center"/>
          </w:tcPr>
          <w:p w14:paraId="081E6571" w14:textId="0480F5E3" w:rsidR="00B82799" w:rsidRPr="001B036C" w:rsidRDefault="00B82799" w:rsidP="00A97680">
            <w:pPr>
              <w:pStyle w:val="TableText"/>
              <w:spacing w:before="0" w:after="0"/>
            </w:pPr>
            <w:r w:rsidRPr="001B036C">
              <w:t>0.81</w:t>
            </w:r>
            <w:r w:rsidR="00E74ECC" w:rsidRPr="001B036C">
              <w:t>3</w:t>
            </w:r>
          </w:p>
        </w:tc>
        <w:tc>
          <w:tcPr>
            <w:tcW w:w="712" w:type="pct"/>
            <w:vAlign w:val="center"/>
          </w:tcPr>
          <w:p w14:paraId="1787F7BB" w14:textId="646815EF" w:rsidR="003E7174" w:rsidRPr="001B036C" w:rsidRDefault="003E7174" w:rsidP="00A97680">
            <w:pPr>
              <w:pStyle w:val="TableText"/>
              <w:spacing w:before="0" w:after="0"/>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p w14:paraId="56377DB3" w14:textId="77777777" w:rsidR="003E7174" w:rsidRPr="001B036C" w:rsidRDefault="003E7174" w:rsidP="00A97680">
            <w:pPr>
              <w:pStyle w:val="TableText"/>
              <w:spacing w:before="0" w:after="0"/>
              <w:rPr>
                <w:rFonts w:ascii="Cambria Math" w:eastAsia="Cambria Math" w:hAnsi="Cambria Math" w:cs="Cambria Math"/>
                <w:b/>
                <w:bCs/>
                <w:color w:val="00B050"/>
                <w:szCs w:val="20"/>
              </w:rPr>
            </w:pPr>
          </w:p>
        </w:tc>
      </w:tr>
      <w:tr w:rsidR="003E7174" w:rsidRPr="001B036C" w14:paraId="5E36049C" w14:textId="77777777" w:rsidTr="63EFA857">
        <w:trPr>
          <w:trHeight w:val="300"/>
        </w:trPr>
        <w:tc>
          <w:tcPr>
            <w:tcW w:w="713" w:type="pct"/>
            <w:vAlign w:val="center"/>
          </w:tcPr>
          <w:p w14:paraId="49C2C2C2" w14:textId="6FF319AE" w:rsidR="003E7174" w:rsidRPr="001B036C" w:rsidRDefault="003E7174" w:rsidP="00A97680">
            <w:pPr>
              <w:pStyle w:val="TableText"/>
              <w:spacing w:before="0" w:after="0"/>
            </w:pPr>
            <w:r w:rsidRPr="001B036C">
              <w:t>100-250 µg/g at 12-month follow-up</w:t>
            </w:r>
          </w:p>
        </w:tc>
        <w:tc>
          <w:tcPr>
            <w:tcW w:w="712" w:type="pct"/>
            <w:vAlign w:val="center"/>
          </w:tcPr>
          <w:p w14:paraId="4FB662CB" w14:textId="77777777" w:rsidR="003E7174" w:rsidRPr="001B036C" w:rsidRDefault="003E7174" w:rsidP="00A97680">
            <w:pPr>
              <w:pStyle w:val="TableText"/>
              <w:spacing w:before="0" w:after="0"/>
            </w:pPr>
            <w:r w:rsidRPr="001B036C">
              <w:t>Combined UC, CD, IBD</w:t>
            </w:r>
          </w:p>
          <w:p w14:paraId="22F8E92E" w14:textId="77777777" w:rsidR="003E7174" w:rsidRPr="001B036C" w:rsidRDefault="003E7174" w:rsidP="00A97680">
            <w:pPr>
              <w:pStyle w:val="TableText"/>
              <w:spacing w:before="0" w:after="0"/>
            </w:pPr>
            <w:r w:rsidRPr="001B036C">
              <w:t>k = 16,</w:t>
            </w:r>
          </w:p>
          <w:p w14:paraId="42163E9C" w14:textId="77777777" w:rsidR="003E7174" w:rsidRPr="001B036C" w:rsidRDefault="003E7174" w:rsidP="00A97680">
            <w:pPr>
              <w:pStyle w:val="TableText"/>
              <w:spacing w:before="0" w:after="0"/>
            </w:pPr>
            <w:r w:rsidRPr="001B036C">
              <w:t>n = 1,418</w:t>
            </w:r>
          </w:p>
        </w:tc>
        <w:tc>
          <w:tcPr>
            <w:tcW w:w="713" w:type="pct"/>
            <w:vAlign w:val="center"/>
          </w:tcPr>
          <w:p w14:paraId="6A6CC9A6" w14:textId="5C2D0B57" w:rsidR="003E7174" w:rsidRPr="001B036C" w:rsidRDefault="003E7174" w:rsidP="00A97680">
            <w:pPr>
              <w:pStyle w:val="TableText"/>
              <w:spacing w:before="0" w:after="0"/>
            </w:pPr>
            <w:r w:rsidRPr="001B036C">
              <w:t>70% [64; 76]</w:t>
            </w:r>
          </w:p>
        </w:tc>
        <w:tc>
          <w:tcPr>
            <w:tcW w:w="704" w:type="pct"/>
            <w:vAlign w:val="center"/>
          </w:tcPr>
          <w:p w14:paraId="6A80E37B" w14:textId="0F1160CA" w:rsidR="003E7174" w:rsidRPr="001B036C" w:rsidRDefault="003E7174" w:rsidP="00A97680">
            <w:pPr>
              <w:pStyle w:val="TableText"/>
              <w:spacing w:before="0" w:after="0"/>
            </w:pPr>
            <w:r w:rsidRPr="001B036C">
              <w:t>7</w:t>
            </w:r>
            <w:r w:rsidR="00BA3B83" w:rsidRPr="001B036C">
              <w:t>7</w:t>
            </w:r>
            <w:r w:rsidRPr="001B036C">
              <w:t>% [71; 82]</w:t>
            </w:r>
          </w:p>
        </w:tc>
        <w:tc>
          <w:tcPr>
            <w:tcW w:w="949" w:type="pct"/>
            <w:vAlign w:val="center"/>
          </w:tcPr>
          <w:p w14:paraId="6DA3E163" w14:textId="77777777" w:rsidR="003E7174" w:rsidRPr="001B036C" w:rsidRDefault="003E7174" w:rsidP="00A97680">
            <w:pPr>
              <w:pStyle w:val="TableText"/>
              <w:spacing w:before="0" w:after="0"/>
            </w:pPr>
            <w:r w:rsidRPr="001B036C">
              <w:t>14.8 - 21.2%</w:t>
            </w:r>
          </w:p>
        </w:tc>
        <w:tc>
          <w:tcPr>
            <w:tcW w:w="497" w:type="pct"/>
            <w:vAlign w:val="center"/>
          </w:tcPr>
          <w:p w14:paraId="13E2E16D" w14:textId="22CCF2AB" w:rsidR="003E7174" w:rsidRPr="001B036C" w:rsidRDefault="00F175C1" w:rsidP="00A97680">
            <w:pPr>
              <w:pStyle w:val="TableText"/>
              <w:spacing w:before="0" w:after="0"/>
            </w:pPr>
            <w:r w:rsidRPr="001B036C">
              <w:t>0.792</w:t>
            </w:r>
          </w:p>
        </w:tc>
        <w:tc>
          <w:tcPr>
            <w:tcW w:w="712" w:type="pct"/>
            <w:vAlign w:val="center"/>
          </w:tcPr>
          <w:p w14:paraId="430A8EE5" w14:textId="6D8B4BAB" w:rsidR="003E7174" w:rsidRPr="001B036C" w:rsidRDefault="003E7174" w:rsidP="00A97680">
            <w:pPr>
              <w:pStyle w:val="TableText"/>
              <w:spacing w:before="0" w:after="0"/>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p w14:paraId="0718D1D1" w14:textId="77777777" w:rsidR="003E7174" w:rsidRPr="001B036C" w:rsidRDefault="003E7174" w:rsidP="00A97680">
            <w:pPr>
              <w:pStyle w:val="TableText"/>
              <w:spacing w:before="0" w:after="0"/>
              <w:rPr>
                <w:rFonts w:ascii="Cambria Math" w:eastAsia="Cambria Math" w:hAnsi="Cambria Math" w:cs="Cambria Math"/>
                <w:b/>
                <w:bCs/>
                <w:color w:val="00B050"/>
                <w:szCs w:val="20"/>
              </w:rPr>
            </w:pPr>
          </w:p>
        </w:tc>
      </w:tr>
    </w:tbl>
    <w:p w14:paraId="595BABAA" w14:textId="77777777" w:rsidR="007619C3" w:rsidRPr="001B036C" w:rsidRDefault="007619C3" w:rsidP="00996151">
      <w:pPr>
        <w:pStyle w:val="Tablenotes0"/>
        <w:rPr>
          <w:lang w:val="en-US"/>
        </w:rPr>
      </w:pPr>
      <w:r w:rsidRPr="001B036C">
        <w:t>CD= Crohn disease; CI= confidence interval; IBD= inflammatory bowel disease; NE= not estimable; UC= ulcerative colitis.</w:t>
      </w:r>
    </w:p>
    <w:p w14:paraId="2CD56E2D" w14:textId="77777777" w:rsidR="007619C3" w:rsidRPr="001B036C" w:rsidRDefault="007619C3" w:rsidP="00996151">
      <w:pPr>
        <w:pStyle w:val="Tablenotes0"/>
        <w:rPr>
          <w:u w:val="single"/>
          <w:lang w:val="en-US"/>
        </w:rPr>
      </w:pPr>
      <w:proofErr w:type="spellStart"/>
      <w:r w:rsidRPr="001B036C">
        <w:rPr>
          <w:vertAlign w:val="superscript"/>
        </w:rPr>
        <w:t>a</w:t>
      </w:r>
      <w:r w:rsidRPr="001B036C">
        <w:t>Results</w:t>
      </w:r>
      <w:proofErr w:type="spellEnd"/>
      <w:r w:rsidRPr="001B036C">
        <w:t xml:space="preserve"> reflect the combined analysis reported in the ROC with the corresponding unadjusted Holling statistic. </w:t>
      </w:r>
      <w:r w:rsidRPr="001B036C">
        <w:rPr>
          <w:u w:val="single"/>
        </w:rPr>
        <w:t xml:space="preserve"> </w:t>
      </w:r>
    </w:p>
    <w:p w14:paraId="22615243" w14:textId="19118F94" w:rsidR="007619C3" w:rsidRPr="001B036C" w:rsidRDefault="007619C3" w:rsidP="00313E8D">
      <w:r w:rsidRPr="001B036C">
        <w:lastRenderedPageBreak/>
        <w:t>There is currently no guideline consensus on the optimum testing regime to predict IBD flares in a timely manner in asymptomatic IBD patients</w:t>
      </w:r>
      <w:r w:rsidR="00604576" w:rsidRPr="001B036C">
        <w:t xml:space="preserve"> that are in remission</w:t>
      </w:r>
      <w:r w:rsidRPr="001B036C">
        <w:t xml:space="preserve">. A recently published meta-analysis on this topic found an FC cut-off of 152 </w:t>
      </w:r>
      <w:r w:rsidR="001A4A67" w:rsidRPr="001B036C">
        <w:t>µ</w:t>
      </w:r>
      <w:r w:rsidRPr="001B036C">
        <w:t>g/g was optimal for predicting risk of relapse</w:t>
      </w:r>
      <w:r w:rsidR="007B2BFF">
        <w:rPr>
          <w:rStyle w:val="FootnoteReference"/>
        </w:rPr>
        <w:footnoteReference w:id="11"/>
      </w:r>
      <w:r w:rsidRPr="001B036C">
        <w:t>. Other studies have shown that FC levels may begin to rise approximately 3 months before the manifestation of a symptomatic flare</w:t>
      </w:r>
      <w:r w:rsidR="007B2BFF">
        <w:rPr>
          <w:rStyle w:val="FootnoteReference"/>
        </w:rPr>
        <w:footnoteReference w:id="12"/>
      </w:r>
      <w:r w:rsidRPr="001B036C">
        <w:t xml:space="preserve">. Considering the </w:t>
      </w:r>
      <w:r w:rsidR="007805AF" w:rsidRPr="001B036C">
        <w:t>available evidence in the literature and the meta-analysis</w:t>
      </w:r>
      <w:r w:rsidR="005641AD" w:rsidRPr="001B036C">
        <w:t xml:space="preserve"> results presented</w:t>
      </w:r>
      <w:r w:rsidR="007805AF" w:rsidRPr="001B036C">
        <w:t xml:space="preserve"> above</w:t>
      </w:r>
      <w:r w:rsidRPr="001B036C">
        <w:t xml:space="preserve">, one potential clinical application of </w:t>
      </w:r>
      <w:r w:rsidR="00F4017D" w:rsidRPr="001B036C">
        <w:t xml:space="preserve">available </w:t>
      </w:r>
      <w:r w:rsidRPr="001B036C">
        <w:t>evidence is as follows:</w:t>
      </w:r>
    </w:p>
    <w:p w14:paraId="00F77A51" w14:textId="67B81986" w:rsidR="191A1EB1" w:rsidRPr="001B036C" w:rsidRDefault="007619C3" w:rsidP="001E6DBB">
      <w:pPr>
        <w:pStyle w:val="ListParagraph"/>
        <w:numPr>
          <w:ilvl w:val="0"/>
          <w:numId w:val="15"/>
        </w:numPr>
      </w:pPr>
      <w:r w:rsidRPr="001B036C">
        <w:t xml:space="preserve">All asymptomatic, eligible Australian IBD patients receive one surveillance FC test per year. If the result of this test is ≥150 </w:t>
      </w:r>
      <w:r w:rsidR="001A4A67" w:rsidRPr="001B036C">
        <w:t>µ</w:t>
      </w:r>
      <w:r w:rsidRPr="001B036C">
        <w:t xml:space="preserve">g/g, then these patients are considered to be at a significantly increased risk of relapse within the next 12 months, and serial FC tests every </w:t>
      </w:r>
      <w:r w:rsidR="00C54E31" w:rsidRPr="001B036C">
        <w:t>3-4 months</w:t>
      </w:r>
      <w:r w:rsidRPr="001B036C">
        <w:t xml:space="preserve"> are recommended; if FC levels have normalised by the end of the 12 months with no relapse/flare, then patients may be able to return to the baseline 1x FC test per year.</w:t>
      </w:r>
    </w:p>
    <w:p w14:paraId="27112C3E" w14:textId="5075E361" w:rsidR="2C7518D1" w:rsidRPr="001B036C" w:rsidRDefault="2C7518D1" w:rsidP="191A1EB1">
      <w:pPr>
        <w:rPr>
          <w:b/>
          <w:bCs/>
          <w:u w:val="single"/>
          <w:lang w:val="en-US"/>
        </w:rPr>
      </w:pPr>
      <w:r w:rsidRPr="001B036C">
        <w:rPr>
          <w:b/>
          <w:bCs/>
          <w:u w:val="single"/>
          <w:lang w:val="en-US"/>
        </w:rPr>
        <w:t>Key considerations of the evidence informing the accuracy of relapse</w:t>
      </w:r>
    </w:p>
    <w:p w14:paraId="142C3F3C" w14:textId="00099FB2" w:rsidR="005E22B1" w:rsidRPr="001B036C" w:rsidRDefault="2C7518D1" w:rsidP="001E6DBB">
      <w:pPr>
        <w:pStyle w:val="ListParagraph"/>
        <w:numPr>
          <w:ilvl w:val="0"/>
          <w:numId w:val="31"/>
        </w:numPr>
      </w:pPr>
      <w:r w:rsidRPr="001B036C">
        <w:t>Most studies look at the predictive power of a single FC measurement taken at baseline, and FC levels were correlated with relapse rates within a pre-specified timeframe (e.g. 12 months) to calculate how the baseline FC level relates to a risk of relapse within the next 12 months. However, while a single FC result may predict the likelihood of a relapse within the next 12 to 24 months</w:t>
      </w:r>
      <w:r w:rsidR="00B34E63">
        <w:t>,</w:t>
      </w:r>
      <w:r w:rsidRPr="001B036C">
        <w:t xml:space="preserve"> </w:t>
      </w:r>
      <w:r w:rsidR="007D3DDE">
        <w:t>this</w:t>
      </w:r>
      <w:r w:rsidR="007D3DDE" w:rsidRPr="001B036C">
        <w:t xml:space="preserve"> </w:t>
      </w:r>
      <w:r w:rsidR="00FD11EE">
        <w:t xml:space="preserve">does not give </w:t>
      </w:r>
      <w:r w:rsidRPr="001B036C">
        <w:t>clinicians</w:t>
      </w:r>
      <w:r w:rsidR="00FD11EE">
        <w:t xml:space="preserve"> enough information to determine when</w:t>
      </w:r>
      <w:r w:rsidRPr="001B036C">
        <w:t xml:space="preserve"> the optimum time </w:t>
      </w:r>
      <w:r w:rsidR="00FD11EE">
        <w:t xml:space="preserve">might be </w:t>
      </w:r>
      <w:r w:rsidRPr="001B036C">
        <w:t xml:space="preserve">to commence therapy prior to symptomatic presentation. </w:t>
      </w:r>
    </w:p>
    <w:p w14:paraId="523509F2" w14:textId="0AB6FD01" w:rsidR="0003051D" w:rsidRPr="001B036C" w:rsidRDefault="2C7518D1" w:rsidP="001E6DBB">
      <w:pPr>
        <w:pStyle w:val="ListParagraph"/>
        <w:numPr>
          <w:ilvl w:val="0"/>
          <w:numId w:val="31"/>
        </w:numPr>
      </w:pPr>
      <w:r w:rsidRPr="001B036C">
        <w:t xml:space="preserve">Studies reported results on the test accuracy to predict relapse on a range of pre-specified FC cut-off thresholds or estimated the optimal cut-off where sensitivity and specificity was maximised. However, </w:t>
      </w:r>
      <w:r w:rsidR="0098229D" w:rsidRPr="001B036C">
        <w:t xml:space="preserve">if clinicians </w:t>
      </w:r>
      <w:r w:rsidR="00780217" w:rsidRPr="001B036C">
        <w:t xml:space="preserve">would like to commence treatment for a flare before it becomes clinically apparent, </w:t>
      </w:r>
      <w:r w:rsidR="0098229D" w:rsidRPr="001B036C">
        <w:t xml:space="preserve">there is an additional </w:t>
      </w:r>
      <w:r w:rsidR="00CE13DB" w:rsidRPr="001B036C">
        <w:t>requirement for</w:t>
      </w:r>
      <w:r w:rsidR="0098229D" w:rsidRPr="001B036C">
        <w:t xml:space="preserve"> </w:t>
      </w:r>
      <w:r w:rsidR="00780217" w:rsidRPr="001B036C">
        <w:t xml:space="preserve">regular </w:t>
      </w:r>
      <w:r w:rsidR="0098229D" w:rsidRPr="001B036C">
        <w:t>FC monitoring</w:t>
      </w:r>
      <w:r w:rsidR="00BA5CCA">
        <w:t xml:space="preserve"> (</w:t>
      </w:r>
      <w:proofErr w:type="spellStart"/>
      <w:r w:rsidR="00BA5CCA">
        <w:t>ie</w:t>
      </w:r>
      <w:proofErr w:type="spellEnd"/>
      <w:r w:rsidR="00BA5CCA">
        <w:t>. repeated FC tests</w:t>
      </w:r>
      <w:r w:rsidR="00970C29">
        <w:t xml:space="preserve"> within a specified </w:t>
      </w:r>
      <w:proofErr w:type="gramStart"/>
      <w:r w:rsidR="00970C29">
        <w:t>time period</w:t>
      </w:r>
      <w:proofErr w:type="gramEnd"/>
      <w:r w:rsidR="00C916C0">
        <w:t>)</w:t>
      </w:r>
      <w:r w:rsidR="0098229D" w:rsidRPr="001B036C">
        <w:t xml:space="preserve"> </w:t>
      </w:r>
      <w:r w:rsidR="00CE13DB" w:rsidRPr="001B036C">
        <w:t>in</w:t>
      </w:r>
      <w:r w:rsidR="0098229D" w:rsidRPr="001B036C">
        <w:t xml:space="preserve"> patients </w:t>
      </w:r>
      <w:r w:rsidR="00780217" w:rsidRPr="001B036C">
        <w:t>determined to be at</w:t>
      </w:r>
      <w:r w:rsidR="009C1111" w:rsidRPr="001B036C">
        <w:t xml:space="preserve"> a</w:t>
      </w:r>
      <w:r w:rsidR="00780217" w:rsidRPr="001B036C">
        <w:t xml:space="preserve"> high risk of relapse</w:t>
      </w:r>
      <w:r w:rsidR="0003051D" w:rsidRPr="001B036C">
        <w:t xml:space="preserve">. </w:t>
      </w:r>
    </w:p>
    <w:p w14:paraId="75E9EAC4" w14:textId="507402C3" w:rsidR="007619C3" w:rsidRPr="001B036C" w:rsidRDefault="6B093D03" w:rsidP="191A1EB1">
      <w:pPr>
        <w:rPr>
          <w:u w:val="single"/>
        </w:rPr>
      </w:pPr>
      <w:r w:rsidRPr="001B036C">
        <w:rPr>
          <w:u w:val="single"/>
        </w:rPr>
        <w:t>Paediatric population</w:t>
      </w:r>
    </w:p>
    <w:p w14:paraId="6EB95C11" w14:textId="67C93E0A" w:rsidR="629E77BC" w:rsidRPr="001B036C" w:rsidRDefault="629E77BC" w:rsidP="001B036C">
      <w:r w:rsidRPr="001B036C">
        <w:t xml:space="preserve">The evidence for paediatric </w:t>
      </w:r>
      <w:r w:rsidR="4592FBAD" w:rsidRPr="001B036C">
        <w:t xml:space="preserve">patient </w:t>
      </w:r>
      <w:r w:rsidR="314B1BAA" w:rsidRPr="001B036C">
        <w:t>population</w:t>
      </w:r>
      <w:r w:rsidRPr="001B036C">
        <w:t xml:space="preserve"> is </w:t>
      </w:r>
      <w:r w:rsidR="10FAC009" w:rsidRPr="001B036C">
        <w:t xml:space="preserve">presented </w:t>
      </w:r>
      <w:r w:rsidRPr="001B036C">
        <w:t xml:space="preserve">in </w:t>
      </w:r>
      <w:r w:rsidR="27F5DCA5" w:rsidRPr="001B036C">
        <w:t>this</w:t>
      </w:r>
      <w:r w:rsidRPr="001B036C">
        <w:t xml:space="preserve"> subsection. The </w:t>
      </w:r>
      <w:r w:rsidR="3C203F9E" w:rsidRPr="001B036C">
        <w:t>result</w:t>
      </w:r>
      <w:r w:rsidRPr="001B036C">
        <w:t>s</w:t>
      </w:r>
      <w:r w:rsidR="3F59AA21" w:rsidRPr="001B036C">
        <w:t xml:space="preserve"> </w:t>
      </w:r>
      <w:r w:rsidRPr="001B036C">
        <w:t>of the FC testing ability to detect act</w:t>
      </w:r>
      <w:r w:rsidR="42270A5E" w:rsidRPr="001B036C">
        <w:t xml:space="preserve">ive disease </w:t>
      </w:r>
      <w:r w:rsidR="396D7B23" w:rsidRPr="001B036C">
        <w:t>and</w:t>
      </w:r>
      <w:r w:rsidR="42270A5E" w:rsidRPr="001B036C">
        <w:t xml:space="preserve"> predict mucosal healing in symptomatic </w:t>
      </w:r>
      <w:r w:rsidR="4F74CF79" w:rsidRPr="001B036C">
        <w:t>patients</w:t>
      </w:r>
      <w:r w:rsidR="42270A5E" w:rsidRPr="001B036C">
        <w:t xml:space="preserve">, as well </w:t>
      </w:r>
      <w:r w:rsidR="0523E08D" w:rsidRPr="001B036C">
        <w:t>as the</w:t>
      </w:r>
      <w:r w:rsidR="42270A5E" w:rsidRPr="001B036C">
        <w:t xml:space="preserve"> </w:t>
      </w:r>
      <w:r w:rsidR="3BE23314" w:rsidRPr="001B036C">
        <w:t>ability</w:t>
      </w:r>
      <w:r w:rsidR="42270A5E" w:rsidRPr="001B036C">
        <w:t xml:space="preserve"> to </w:t>
      </w:r>
      <w:r w:rsidR="4AB7B715" w:rsidRPr="001B036C">
        <w:t xml:space="preserve">predict </w:t>
      </w:r>
      <w:r w:rsidR="42270A5E" w:rsidRPr="001B036C">
        <w:t xml:space="preserve">relapse in asymptomatic paediatric </w:t>
      </w:r>
      <w:r w:rsidR="039634E9" w:rsidRPr="001B036C">
        <w:t>patients</w:t>
      </w:r>
      <w:r w:rsidR="42270A5E" w:rsidRPr="001B036C">
        <w:t xml:space="preserve"> is presented below. </w:t>
      </w:r>
    </w:p>
    <w:p w14:paraId="3A84B700" w14:textId="222A6356" w:rsidR="6B093D03" w:rsidRPr="001B036C" w:rsidRDefault="6B093D03">
      <w:r w:rsidRPr="001B036C">
        <w:t>The evidence for FC test accuracy in paediatric patients was limited, with three studies reporting on CD (mucosal healing and active disease) and one study reporting on UC (active disease) with a combined N = 290 patients</w:t>
      </w:r>
      <w:r w:rsidR="009C3CB1" w:rsidRPr="001B036C">
        <w:t xml:space="preserve"> (</w:t>
      </w:r>
      <w:r w:rsidR="009C3CB1" w:rsidRPr="001B036C">
        <w:fldChar w:fldCharType="begin"/>
      </w:r>
      <w:r w:rsidR="009C3CB1" w:rsidRPr="001B036C">
        <w:instrText xml:space="preserve"> REF _Ref175947267 \h </w:instrText>
      </w:r>
      <w:r w:rsidR="001B036C">
        <w:instrText xml:space="preserve"> \* MERGEFORMAT </w:instrText>
      </w:r>
      <w:r w:rsidR="009C3CB1" w:rsidRPr="001B036C">
        <w:fldChar w:fldCharType="separate"/>
      </w:r>
      <w:r w:rsidR="008319AD" w:rsidRPr="001B036C">
        <w:t xml:space="preserve">Table </w:t>
      </w:r>
      <w:r w:rsidR="008319AD">
        <w:rPr>
          <w:noProof/>
        </w:rPr>
        <w:t>13</w:t>
      </w:r>
      <w:r w:rsidR="009C3CB1" w:rsidRPr="001B036C">
        <w:fldChar w:fldCharType="end"/>
      </w:r>
      <w:r w:rsidR="009C3CB1" w:rsidRPr="001B036C">
        <w:t>).</w:t>
      </w:r>
      <w:r w:rsidRPr="001B036C">
        <w:t xml:space="preserve"> The AUC of combined CD and UC paediatric population for both mucosal healing and active disease estimates an AUC of 0.839 (indicating </w:t>
      </w:r>
      <w:r w:rsidR="00CE61B6" w:rsidRPr="001B036C">
        <w:t>excellent</w:t>
      </w:r>
      <w:r w:rsidRPr="001B036C">
        <w:t xml:space="preserve"> FC test accuracy) with similar sensitivity and specificity values, noting that the wide confidence intervals and paucity of data make this result uncertain. In paediatric patients, maintaining disease control is crucial as it directly impacts their development and growth. Additionally, colonoscopies in this population are </w:t>
      </w:r>
      <w:r w:rsidR="001A1342" w:rsidRPr="001B036C">
        <w:t xml:space="preserve">technically challenging, </w:t>
      </w:r>
      <w:r w:rsidR="00281F27" w:rsidRPr="001B036C">
        <w:t>as bowel prep</w:t>
      </w:r>
      <w:r w:rsidR="006E4300">
        <w:t>aration</w:t>
      </w:r>
      <w:r w:rsidR="00281F27" w:rsidRPr="001B036C">
        <w:t xml:space="preserve"> </w:t>
      </w:r>
      <w:r w:rsidR="00B32F31" w:rsidRPr="001B036C">
        <w:t>and fasting are</w:t>
      </w:r>
      <w:r w:rsidR="00281F27" w:rsidRPr="001B036C">
        <w:t xml:space="preserve"> difficult </w:t>
      </w:r>
      <w:r w:rsidR="00B32F31" w:rsidRPr="001B036C">
        <w:t>for children to endure</w:t>
      </w:r>
      <w:r w:rsidR="00281F27" w:rsidRPr="001B036C">
        <w:t>, and the procedure requires</w:t>
      </w:r>
      <w:r w:rsidR="001A1342" w:rsidRPr="001B036C">
        <w:t xml:space="preserve"> </w:t>
      </w:r>
      <w:r w:rsidR="000E171C" w:rsidRPr="001B036C">
        <w:t xml:space="preserve">general anaesthetic </w:t>
      </w:r>
      <w:r w:rsidR="00402743" w:rsidRPr="001B036C">
        <w:t>(</w:t>
      </w:r>
      <w:r w:rsidR="00DB4D6A">
        <w:t>which has</w:t>
      </w:r>
      <w:r w:rsidR="000E171C" w:rsidRPr="001B036C">
        <w:t xml:space="preserve"> associated risks</w:t>
      </w:r>
      <w:r w:rsidR="00402743" w:rsidRPr="001B036C">
        <w:t>);</w:t>
      </w:r>
      <w:r w:rsidR="00A74E07" w:rsidRPr="001B036C">
        <w:t xml:space="preserve"> therefore</w:t>
      </w:r>
      <w:r w:rsidR="00402743" w:rsidRPr="001B036C">
        <w:t>,</w:t>
      </w:r>
      <w:r w:rsidR="00A74E07" w:rsidRPr="001B036C">
        <w:t xml:space="preserve"> </w:t>
      </w:r>
      <w:r w:rsidR="00402743" w:rsidRPr="001B036C">
        <w:t xml:space="preserve">colonoscopies are </w:t>
      </w:r>
      <w:r w:rsidR="00B6536D" w:rsidRPr="001B036C">
        <w:t>performed judiciously</w:t>
      </w:r>
      <w:r w:rsidR="00402743" w:rsidRPr="001B036C">
        <w:t xml:space="preserve"> in this </w:t>
      </w:r>
      <w:r w:rsidR="00402743" w:rsidRPr="001B036C">
        <w:lastRenderedPageBreak/>
        <w:t>population</w:t>
      </w:r>
      <w:r w:rsidRPr="001B036C">
        <w:t xml:space="preserve">. </w:t>
      </w:r>
      <w:r w:rsidR="00CC2582">
        <w:t>As such</w:t>
      </w:r>
      <w:r w:rsidRPr="001B036C">
        <w:t xml:space="preserve">, there is a high need </w:t>
      </w:r>
      <w:r w:rsidR="00CD5DD7">
        <w:t>in the paediatric population</w:t>
      </w:r>
      <w:r w:rsidRPr="001B036C">
        <w:t xml:space="preserve"> for a non-invasive and effective method to monitor disease. </w:t>
      </w:r>
    </w:p>
    <w:p w14:paraId="5F4607DB" w14:textId="51BDD4B1" w:rsidR="6B093D03" w:rsidRPr="001B036C" w:rsidRDefault="6B093D03" w:rsidP="191A1EB1">
      <w:pPr>
        <w:pStyle w:val="Caption"/>
      </w:pPr>
      <w:bookmarkStart w:id="31" w:name="_Ref175947267"/>
      <w:r w:rsidRPr="001B036C">
        <w:t xml:space="preserve">Table </w:t>
      </w:r>
      <w:r>
        <w:fldChar w:fldCharType="begin"/>
      </w:r>
      <w:r>
        <w:instrText xml:space="preserve"> SEQ Table \* ARABIC </w:instrText>
      </w:r>
      <w:r>
        <w:fldChar w:fldCharType="separate"/>
      </w:r>
      <w:r w:rsidR="00B4653B">
        <w:rPr>
          <w:noProof/>
        </w:rPr>
        <w:t>13</w:t>
      </w:r>
      <w:r>
        <w:rPr>
          <w:noProof/>
        </w:rPr>
        <w:fldChar w:fldCharType="end"/>
      </w:r>
      <w:bookmarkEnd w:id="31"/>
      <w:r w:rsidRPr="001B036C">
        <w:t xml:space="preserve"> Summary of accuracy results for mucosal healing and active disease at different cut-off thresholds in paediatric patients with IBD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37"/>
        <w:gridCol w:w="846"/>
        <w:gridCol w:w="1091"/>
        <w:gridCol w:w="1437"/>
        <w:gridCol w:w="900"/>
        <w:gridCol w:w="662"/>
        <w:gridCol w:w="1608"/>
      </w:tblGrid>
      <w:tr w:rsidR="00FB5BD1" w:rsidRPr="001B036C" w14:paraId="0C5CCC04" w14:textId="77777777" w:rsidTr="001C6A90">
        <w:trPr>
          <w:trHeight w:val="285"/>
        </w:trPr>
        <w:tc>
          <w:tcPr>
            <w:tcW w:w="907" w:type="pct"/>
            <w:vAlign w:val="center"/>
          </w:tcPr>
          <w:p w14:paraId="3D197A52" w14:textId="117D841D" w:rsidR="191A1EB1" w:rsidRPr="001B036C" w:rsidRDefault="191A1EB1" w:rsidP="191A1EB1">
            <w:pPr>
              <w:pStyle w:val="In-tableHeading"/>
            </w:pPr>
            <w:r w:rsidRPr="001B036C">
              <w:t>FC threshold</w:t>
            </w:r>
          </w:p>
        </w:tc>
        <w:tc>
          <w:tcPr>
            <w:tcW w:w="464" w:type="pct"/>
            <w:vAlign w:val="center"/>
          </w:tcPr>
          <w:p w14:paraId="388F14B4" w14:textId="17420D5A" w:rsidR="191A1EB1" w:rsidRPr="001B036C" w:rsidRDefault="191A1EB1" w:rsidP="191A1EB1">
            <w:pPr>
              <w:pStyle w:val="In-tableHeading"/>
            </w:pPr>
            <w:r w:rsidRPr="001B036C">
              <w:t>Number of studies</w:t>
            </w:r>
          </w:p>
        </w:tc>
        <w:tc>
          <w:tcPr>
            <w:tcW w:w="469" w:type="pct"/>
            <w:vAlign w:val="center"/>
          </w:tcPr>
          <w:p w14:paraId="552C02AC" w14:textId="5C06EDBE" w:rsidR="191A1EB1" w:rsidRPr="001B036C" w:rsidRDefault="191A1EB1" w:rsidP="191A1EB1">
            <w:pPr>
              <w:pStyle w:val="In-tableHeading"/>
            </w:pPr>
            <w:r w:rsidRPr="001B036C">
              <w:t>Number of patients</w:t>
            </w:r>
          </w:p>
        </w:tc>
        <w:tc>
          <w:tcPr>
            <w:tcW w:w="605" w:type="pct"/>
            <w:vAlign w:val="center"/>
          </w:tcPr>
          <w:p w14:paraId="7AE85CC7" w14:textId="77777777" w:rsidR="191A1EB1" w:rsidRPr="001B036C" w:rsidRDefault="191A1EB1" w:rsidP="191A1EB1">
            <w:pPr>
              <w:pStyle w:val="In-tableHeading"/>
            </w:pPr>
            <w:r w:rsidRPr="001B036C">
              <w:t>Sensitivity:</w:t>
            </w:r>
          </w:p>
          <w:p w14:paraId="7C1C8B1F" w14:textId="4C0257C0" w:rsidR="191A1EB1" w:rsidRPr="001B036C" w:rsidRDefault="191A1EB1" w:rsidP="191A1EB1">
            <w:pPr>
              <w:pStyle w:val="In-tableHeading"/>
            </w:pPr>
            <w:r w:rsidRPr="001B036C">
              <w:t>Pooled estimate [95%CI]</w:t>
            </w:r>
          </w:p>
        </w:tc>
        <w:tc>
          <w:tcPr>
            <w:tcW w:w="797" w:type="pct"/>
            <w:vAlign w:val="center"/>
          </w:tcPr>
          <w:p w14:paraId="2116739E" w14:textId="77777777" w:rsidR="191A1EB1" w:rsidRPr="001B036C" w:rsidRDefault="191A1EB1" w:rsidP="191A1EB1">
            <w:pPr>
              <w:pStyle w:val="In-tableHeading"/>
            </w:pPr>
            <w:r w:rsidRPr="001B036C">
              <w:t>Specificity:</w:t>
            </w:r>
          </w:p>
          <w:p w14:paraId="4B758FD0" w14:textId="799CB120" w:rsidR="191A1EB1" w:rsidRPr="001B036C" w:rsidRDefault="191A1EB1" w:rsidP="191A1EB1">
            <w:pPr>
              <w:pStyle w:val="In-tableHeading"/>
            </w:pPr>
            <w:r w:rsidRPr="001B036C">
              <w:t>Pooled estimate [95%CI]</w:t>
            </w:r>
          </w:p>
        </w:tc>
        <w:tc>
          <w:tcPr>
            <w:tcW w:w="499" w:type="pct"/>
            <w:vAlign w:val="center"/>
          </w:tcPr>
          <w:p w14:paraId="7FC4450F" w14:textId="77777777" w:rsidR="191A1EB1" w:rsidRPr="001B036C" w:rsidRDefault="191A1EB1" w:rsidP="191A1EB1">
            <w:pPr>
              <w:pStyle w:val="In-tableHeading"/>
            </w:pPr>
            <w:r w:rsidRPr="001B036C">
              <w:t>NPV, %</w:t>
            </w:r>
          </w:p>
          <w:p w14:paraId="45A101B6" w14:textId="4DC1570A" w:rsidR="191A1EB1" w:rsidRPr="001B036C" w:rsidRDefault="191A1EB1" w:rsidP="191A1EB1">
            <w:pPr>
              <w:pStyle w:val="In-tableHeading"/>
            </w:pPr>
            <w:r w:rsidRPr="001B036C">
              <w:t>PPV, %</w:t>
            </w:r>
          </w:p>
        </w:tc>
        <w:tc>
          <w:tcPr>
            <w:tcW w:w="367" w:type="pct"/>
            <w:vAlign w:val="center"/>
          </w:tcPr>
          <w:p w14:paraId="25ACB321" w14:textId="0D34F633" w:rsidR="191A1EB1" w:rsidRPr="001B036C" w:rsidRDefault="191A1EB1" w:rsidP="191A1EB1">
            <w:pPr>
              <w:pStyle w:val="In-tableHeading"/>
            </w:pPr>
            <w:r w:rsidRPr="001B036C">
              <w:t>AUC</w:t>
            </w:r>
          </w:p>
        </w:tc>
        <w:tc>
          <w:tcPr>
            <w:tcW w:w="892" w:type="pct"/>
          </w:tcPr>
          <w:p w14:paraId="78689927" w14:textId="43D5B4A8" w:rsidR="005F178B" w:rsidRPr="001B036C" w:rsidRDefault="191A1EB1" w:rsidP="191A1EB1">
            <w:pPr>
              <w:pStyle w:val="In-tableHeading"/>
            </w:pPr>
            <w:proofErr w:type="spellStart"/>
            <w:r w:rsidRPr="001B036C">
              <w:t>CoE</w:t>
            </w:r>
            <w:proofErr w:type="spellEnd"/>
            <w:r w:rsidRPr="001B036C">
              <w:t xml:space="preserve"> (GRADE)</w:t>
            </w:r>
          </w:p>
        </w:tc>
      </w:tr>
      <w:tr w:rsidR="00FB5BD1" w:rsidRPr="001B036C" w14:paraId="2971B204" w14:textId="77777777" w:rsidTr="001C6A90">
        <w:trPr>
          <w:trHeight w:val="285"/>
        </w:trPr>
        <w:tc>
          <w:tcPr>
            <w:tcW w:w="907" w:type="pct"/>
            <w:vAlign w:val="center"/>
          </w:tcPr>
          <w:p w14:paraId="448B3B17" w14:textId="77777777" w:rsidR="191A1EB1" w:rsidRPr="001B036C" w:rsidRDefault="191A1EB1" w:rsidP="191A1EB1">
            <w:pPr>
              <w:pStyle w:val="TableText"/>
            </w:pPr>
            <w:r w:rsidRPr="001B036C">
              <w:t>Pooled UC and CD, MH and active disease, all FC cut-offs</w:t>
            </w:r>
          </w:p>
        </w:tc>
        <w:tc>
          <w:tcPr>
            <w:tcW w:w="464" w:type="pct"/>
            <w:vAlign w:val="center"/>
          </w:tcPr>
          <w:p w14:paraId="5B5F32CB" w14:textId="77777777" w:rsidR="191A1EB1" w:rsidRPr="001B036C" w:rsidRDefault="191A1EB1" w:rsidP="191A1EB1">
            <w:pPr>
              <w:pStyle w:val="TableText"/>
              <w:jc w:val="center"/>
            </w:pPr>
            <w:r w:rsidRPr="001B036C">
              <w:t>k=4</w:t>
            </w:r>
          </w:p>
        </w:tc>
        <w:tc>
          <w:tcPr>
            <w:tcW w:w="469" w:type="pct"/>
            <w:vAlign w:val="center"/>
          </w:tcPr>
          <w:p w14:paraId="4DFE3560" w14:textId="77777777" w:rsidR="191A1EB1" w:rsidRPr="001B036C" w:rsidRDefault="191A1EB1" w:rsidP="191A1EB1">
            <w:pPr>
              <w:pStyle w:val="TableText"/>
              <w:jc w:val="center"/>
            </w:pPr>
            <w:r w:rsidRPr="001B036C">
              <w:t>N = 290</w:t>
            </w:r>
          </w:p>
        </w:tc>
        <w:tc>
          <w:tcPr>
            <w:tcW w:w="605" w:type="pct"/>
            <w:vAlign w:val="center"/>
          </w:tcPr>
          <w:p w14:paraId="73868D5C" w14:textId="77777777" w:rsidR="191A1EB1" w:rsidRPr="001B036C" w:rsidRDefault="191A1EB1" w:rsidP="191A1EB1">
            <w:pPr>
              <w:pStyle w:val="TableText"/>
              <w:jc w:val="center"/>
            </w:pPr>
            <w:r w:rsidRPr="001B036C">
              <w:t>75%</w:t>
            </w:r>
          </w:p>
          <w:p w14:paraId="26B22B14" w14:textId="4DE29B7B" w:rsidR="191A1EB1" w:rsidRPr="001B036C" w:rsidRDefault="191A1EB1" w:rsidP="191A1EB1">
            <w:pPr>
              <w:pStyle w:val="TableText"/>
              <w:jc w:val="center"/>
            </w:pPr>
            <w:r w:rsidRPr="001B036C">
              <w:t>[66; 83]</w:t>
            </w:r>
          </w:p>
        </w:tc>
        <w:tc>
          <w:tcPr>
            <w:tcW w:w="797" w:type="pct"/>
            <w:vAlign w:val="center"/>
          </w:tcPr>
          <w:p w14:paraId="00624DDC" w14:textId="77777777" w:rsidR="191A1EB1" w:rsidRPr="001B036C" w:rsidRDefault="191A1EB1" w:rsidP="191A1EB1">
            <w:pPr>
              <w:pStyle w:val="TableText"/>
              <w:jc w:val="center"/>
            </w:pPr>
            <w:r w:rsidRPr="001B036C">
              <w:t>70%</w:t>
            </w:r>
          </w:p>
          <w:p w14:paraId="1EABCDFD" w14:textId="06BC7F73" w:rsidR="191A1EB1" w:rsidRPr="001B036C" w:rsidRDefault="191A1EB1" w:rsidP="191A1EB1">
            <w:pPr>
              <w:pStyle w:val="TableText"/>
              <w:jc w:val="center"/>
            </w:pPr>
            <w:r w:rsidRPr="001B036C">
              <w:t>[34; 92]</w:t>
            </w:r>
          </w:p>
        </w:tc>
        <w:tc>
          <w:tcPr>
            <w:tcW w:w="499" w:type="pct"/>
            <w:vAlign w:val="center"/>
          </w:tcPr>
          <w:p w14:paraId="7847DA04" w14:textId="77777777" w:rsidR="191A1EB1" w:rsidRPr="001B036C" w:rsidRDefault="191A1EB1" w:rsidP="191A1EB1">
            <w:pPr>
              <w:pStyle w:val="TableText"/>
              <w:jc w:val="center"/>
            </w:pPr>
            <w:r w:rsidRPr="001B036C">
              <w:t>89</w:t>
            </w:r>
          </w:p>
          <w:p w14:paraId="71465D1F" w14:textId="77777777" w:rsidR="191A1EB1" w:rsidRPr="001B036C" w:rsidRDefault="191A1EB1" w:rsidP="191A1EB1">
            <w:pPr>
              <w:pStyle w:val="TableText"/>
              <w:jc w:val="center"/>
            </w:pPr>
            <w:r w:rsidRPr="001B036C">
              <w:t>61</w:t>
            </w:r>
          </w:p>
        </w:tc>
        <w:tc>
          <w:tcPr>
            <w:tcW w:w="367" w:type="pct"/>
            <w:vAlign w:val="center"/>
          </w:tcPr>
          <w:p w14:paraId="37AE615A" w14:textId="77777777" w:rsidR="191A1EB1" w:rsidRPr="001B036C" w:rsidRDefault="191A1EB1" w:rsidP="191A1EB1">
            <w:pPr>
              <w:pStyle w:val="TableText"/>
              <w:jc w:val="center"/>
            </w:pPr>
            <w:r w:rsidRPr="001B036C">
              <w:t>0.839</w:t>
            </w:r>
          </w:p>
        </w:tc>
        <w:tc>
          <w:tcPr>
            <w:tcW w:w="892" w:type="pct"/>
            <w:vAlign w:val="center"/>
          </w:tcPr>
          <w:p w14:paraId="62CC616D" w14:textId="361BD291" w:rsidR="191A1EB1" w:rsidRPr="001B036C" w:rsidRDefault="00444397" w:rsidP="00FE5F47">
            <w:pPr>
              <w:pStyle w:val="TableText"/>
              <w:jc w:val="cente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r w:rsidR="00FB5BD1" w:rsidRPr="001B036C" w14:paraId="060B7D3A" w14:textId="77777777" w:rsidTr="001C6A90">
        <w:trPr>
          <w:trHeight w:val="285"/>
        </w:trPr>
        <w:tc>
          <w:tcPr>
            <w:tcW w:w="907" w:type="pct"/>
            <w:vAlign w:val="center"/>
          </w:tcPr>
          <w:p w14:paraId="3D58D4C7" w14:textId="3F39E601" w:rsidR="002922E9" w:rsidRPr="001B036C" w:rsidRDefault="00237D02" w:rsidP="191A1EB1">
            <w:pPr>
              <w:pStyle w:val="TableText"/>
            </w:pPr>
            <w:r w:rsidRPr="001B036C">
              <w:t xml:space="preserve">Pooled IBD </w:t>
            </w:r>
            <w:proofErr w:type="gramStart"/>
            <w:r w:rsidRPr="001B036C">
              <w:t>and  CD</w:t>
            </w:r>
            <w:proofErr w:type="gramEnd"/>
            <w:r w:rsidRPr="001B036C">
              <w:t>, predicting relapse, all FC cut-offs</w:t>
            </w:r>
          </w:p>
        </w:tc>
        <w:tc>
          <w:tcPr>
            <w:tcW w:w="464" w:type="pct"/>
            <w:vAlign w:val="center"/>
          </w:tcPr>
          <w:p w14:paraId="13E7A1D3" w14:textId="599F08A1" w:rsidR="002922E9" w:rsidRPr="001B036C" w:rsidRDefault="006E2435" w:rsidP="191A1EB1">
            <w:pPr>
              <w:pStyle w:val="TableText"/>
              <w:jc w:val="center"/>
            </w:pPr>
            <w:r w:rsidRPr="001B036C">
              <w:rPr>
                <w:sz w:val="22"/>
                <w:szCs w:val="24"/>
              </w:rPr>
              <w:t>k</w:t>
            </w:r>
            <w:r w:rsidR="004D5623" w:rsidRPr="001B036C">
              <w:t>=6</w:t>
            </w:r>
          </w:p>
        </w:tc>
        <w:tc>
          <w:tcPr>
            <w:tcW w:w="469" w:type="pct"/>
            <w:vAlign w:val="center"/>
          </w:tcPr>
          <w:p w14:paraId="3837D2BA" w14:textId="0AFA55EC" w:rsidR="002922E9" w:rsidRPr="001B036C" w:rsidRDefault="004D5623" w:rsidP="191A1EB1">
            <w:pPr>
              <w:pStyle w:val="TableText"/>
              <w:jc w:val="center"/>
            </w:pPr>
            <w:r w:rsidRPr="001B036C">
              <w:t xml:space="preserve">N = </w:t>
            </w:r>
            <w:r w:rsidR="006E2435" w:rsidRPr="001B036C">
              <w:t>416</w:t>
            </w:r>
          </w:p>
        </w:tc>
        <w:tc>
          <w:tcPr>
            <w:tcW w:w="605" w:type="pct"/>
            <w:vAlign w:val="center"/>
          </w:tcPr>
          <w:p w14:paraId="509BF074" w14:textId="1A05B0AD" w:rsidR="002922E9" w:rsidRPr="001B036C" w:rsidRDefault="00CE3616" w:rsidP="191A1EB1">
            <w:pPr>
              <w:pStyle w:val="TableText"/>
              <w:jc w:val="center"/>
            </w:pPr>
            <w:r w:rsidRPr="001B036C">
              <w:t>80</w:t>
            </w:r>
            <w:r w:rsidR="001E78F3" w:rsidRPr="001B036C">
              <w:t xml:space="preserve">% </w:t>
            </w:r>
            <w:r w:rsidR="001321AC" w:rsidRPr="001B036C">
              <w:t>[63</w:t>
            </w:r>
            <w:r w:rsidR="008B38EB" w:rsidRPr="001B036C">
              <w:t>; 91</w:t>
            </w:r>
            <w:r w:rsidR="001321AC" w:rsidRPr="001B036C">
              <w:t>]</w:t>
            </w:r>
          </w:p>
        </w:tc>
        <w:tc>
          <w:tcPr>
            <w:tcW w:w="797" w:type="pct"/>
            <w:vAlign w:val="center"/>
          </w:tcPr>
          <w:p w14:paraId="0964658A" w14:textId="72332310" w:rsidR="002922E9" w:rsidRPr="001B036C" w:rsidRDefault="008B38EB" w:rsidP="191A1EB1">
            <w:pPr>
              <w:pStyle w:val="TableText"/>
              <w:jc w:val="center"/>
            </w:pPr>
            <w:r w:rsidRPr="001B036C">
              <w:t>71% [51; 85]</w:t>
            </w:r>
          </w:p>
        </w:tc>
        <w:tc>
          <w:tcPr>
            <w:tcW w:w="499" w:type="pct"/>
            <w:vAlign w:val="center"/>
          </w:tcPr>
          <w:p w14:paraId="4EAC39F1" w14:textId="6469C8DC" w:rsidR="002922E9" w:rsidRPr="001B036C" w:rsidRDefault="002053B2" w:rsidP="191A1EB1">
            <w:pPr>
              <w:pStyle w:val="TableText"/>
              <w:jc w:val="center"/>
            </w:pPr>
            <w:r w:rsidRPr="001B036C">
              <w:t>89</w:t>
            </w:r>
          </w:p>
          <w:p w14:paraId="6B9818FA" w14:textId="0E6DFE68" w:rsidR="002053B2" w:rsidRPr="001B036C" w:rsidRDefault="002053B2" w:rsidP="191A1EB1">
            <w:pPr>
              <w:pStyle w:val="TableText"/>
              <w:jc w:val="center"/>
            </w:pPr>
            <w:r w:rsidRPr="001B036C">
              <w:t>57</w:t>
            </w:r>
          </w:p>
        </w:tc>
        <w:tc>
          <w:tcPr>
            <w:tcW w:w="367" w:type="pct"/>
            <w:vAlign w:val="center"/>
          </w:tcPr>
          <w:p w14:paraId="4503115A" w14:textId="570F80AD" w:rsidR="002922E9" w:rsidRPr="001B036C" w:rsidRDefault="008B38EB" w:rsidP="191A1EB1">
            <w:pPr>
              <w:pStyle w:val="TableText"/>
              <w:jc w:val="center"/>
            </w:pPr>
            <w:r w:rsidRPr="001B036C">
              <w:t>0.</w:t>
            </w:r>
            <w:r w:rsidR="001B1AD7" w:rsidRPr="001B036C">
              <w:t>826</w:t>
            </w:r>
          </w:p>
        </w:tc>
        <w:tc>
          <w:tcPr>
            <w:tcW w:w="892" w:type="pct"/>
            <w:vAlign w:val="center"/>
          </w:tcPr>
          <w:p w14:paraId="21BD7E24" w14:textId="67A81147" w:rsidR="002922E9" w:rsidRPr="001B036C" w:rsidRDefault="00294735" w:rsidP="00FE5F47">
            <w:pPr>
              <w:pStyle w:val="TableText"/>
              <w:jc w:val="center"/>
            </w:pPr>
            <w:r w:rsidRPr="001B036C">
              <w:rPr>
                <w:rFonts w:ascii="Cambria Math" w:eastAsia="Cambria Math" w:hAnsi="Cambria Math" w:cs="Cambria Math"/>
                <w:b/>
                <w:bCs/>
                <w:color w:val="00B050"/>
                <w:szCs w:val="20"/>
              </w:rPr>
              <w:t>⨁⨁</w:t>
            </w:r>
            <w:r w:rsidRPr="001B036C">
              <w:rPr>
                <w:rFonts w:ascii="Cambria Math" w:eastAsia="Cambria Math" w:hAnsi="Cambria Math" w:cs="Cambria Math"/>
                <w:b/>
                <w:bCs/>
                <w:color w:val="C00000"/>
                <w:szCs w:val="20"/>
              </w:rPr>
              <w:t>⨀⨀</w:t>
            </w:r>
          </w:p>
        </w:tc>
      </w:tr>
    </w:tbl>
    <w:p w14:paraId="0CDB0B37" w14:textId="494B9C01" w:rsidR="47C65F03" w:rsidRPr="001B036C" w:rsidRDefault="47C65F03" w:rsidP="191A1EB1">
      <w:pPr>
        <w:pStyle w:val="Tablenotes0"/>
      </w:pPr>
      <w:r w:rsidRPr="001B036C">
        <w:t>AUC = area under the curve; CD = Crohn disease;</w:t>
      </w:r>
      <w:r w:rsidR="007E762E" w:rsidRPr="001B036C">
        <w:t xml:space="preserve"> </w:t>
      </w:r>
      <w:proofErr w:type="spellStart"/>
      <w:r w:rsidR="007E762E" w:rsidRPr="001B036C">
        <w:t>CoE</w:t>
      </w:r>
      <w:proofErr w:type="spellEnd"/>
      <w:r w:rsidR="007E762E" w:rsidRPr="001B036C">
        <w:t xml:space="preserve"> = certainty of evidence;</w:t>
      </w:r>
      <w:r w:rsidRPr="001B036C">
        <w:t xml:space="preserve"> FC = faecal calprotectin;</w:t>
      </w:r>
      <w:r w:rsidR="00237D02" w:rsidRPr="001B036C">
        <w:t xml:space="preserve"> IBD = irritable bowel disease;</w:t>
      </w:r>
      <w:r w:rsidRPr="001B036C">
        <w:t xml:space="preserve"> k= number of studies; I² : quantifies the proportion of total variation across studies that is due to heterogeneity; MH = mucosal healing; N = number of patients; N/A = not applicable; NPV= negative predictive value; PPV= positive predictive value; UC = ulcerative colitis.</w:t>
      </w:r>
      <w:r w:rsidRPr="001B036C">
        <w:rPr>
          <w:rFonts w:ascii="Cambria Math" w:hAnsi="Cambria Math"/>
          <w:color w:val="00B050"/>
        </w:rPr>
        <w:t xml:space="preserve"> </w:t>
      </w:r>
    </w:p>
    <w:p w14:paraId="47C026CE" w14:textId="27B85B17" w:rsidR="191A1EB1" w:rsidRPr="001B036C" w:rsidRDefault="191A1EB1" w:rsidP="191A1EB1">
      <w:pPr>
        <w:pStyle w:val="TableFigureFooter"/>
      </w:pPr>
      <w:r w:rsidRPr="001B036C">
        <w:rPr>
          <w:rFonts w:ascii="Cambria Math" w:hAnsi="Cambria Math"/>
          <w:color w:val="00B050"/>
        </w:rPr>
        <w:t xml:space="preserve">⨁⨁⨁⨁ </w:t>
      </w:r>
      <w:r w:rsidRPr="001B036C">
        <w:rPr>
          <w:b/>
          <w:bCs/>
        </w:rPr>
        <w:t>High quality:</w:t>
      </w:r>
      <w:r w:rsidRPr="001B036C">
        <w:t xml:space="preserve"> We are very confident that the true effect lies close to that of the estimate of effect. </w:t>
      </w:r>
      <w:r w:rsidRPr="001B036C">
        <w:br/>
      </w:r>
      <w:r w:rsidRPr="001B036C">
        <w:rPr>
          <w:rFonts w:ascii="Cambria Math" w:hAnsi="Cambria Math"/>
          <w:color w:val="00B050"/>
        </w:rPr>
        <w:t>⨁⨁⨁</w:t>
      </w:r>
      <w:r w:rsidRPr="001B036C">
        <w:rPr>
          <w:rFonts w:ascii="Cambria Math" w:hAnsi="Cambria Math" w:cs="Cambria Math"/>
          <w:color w:val="C00000"/>
        </w:rPr>
        <w:t xml:space="preserve">⨀ </w:t>
      </w:r>
      <w:r w:rsidRPr="001B036C">
        <w:rPr>
          <w:b/>
          <w:bCs/>
        </w:rPr>
        <w:t>Moderate quality:</w:t>
      </w:r>
      <w:r w:rsidRPr="001B036C">
        <w:t xml:space="preserve"> We are moderately confident in the effect estimate: The true effect is likely to be close to the estimate of the effect, but there is a possibility that it is substantially different. </w:t>
      </w:r>
      <w:r w:rsidRPr="001B036C">
        <w:br/>
      </w:r>
      <w:r w:rsidRPr="001B036C">
        <w:rPr>
          <w:rFonts w:ascii="Cambria Math" w:hAnsi="Cambria Math"/>
          <w:color w:val="00B050"/>
        </w:rPr>
        <w:t>⨁⨁</w:t>
      </w:r>
      <w:r w:rsidRPr="001B036C">
        <w:rPr>
          <w:rFonts w:ascii="Cambria Math" w:hAnsi="Cambria Math" w:cs="Cambria Math"/>
          <w:color w:val="C00000"/>
        </w:rPr>
        <w:t xml:space="preserve">⨀⨀ </w:t>
      </w:r>
      <w:r w:rsidRPr="001B036C">
        <w:rPr>
          <w:b/>
          <w:bCs/>
        </w:rPr>
        <w:t>Low quality:</w:t>
      </w:r>
      <w:r w:rsidRPr="001B036C">
        <w:t xml:space="preserve"> Our confidence in the effect estimate is limited: The true effect may be substantially different from the estimate of the effect.</w:t>
      </w:r>
      <w:r w:rsidRPr="001B036C">
        <w:br/>
      </w:r>
      <w:r w:rsidRPr="001B036C">
        <w:rPr>
          <w:rFonts w:ascii="Cambria Math" w:hAnsi="Cambria Math"/>
          <w:color w:val="00B050"/>
        </w:rPr>
        <w:t>⨁</w:t>
      </w:r>
      <w:r w:rsidRPr="001B036C">
        <w:rPr>
          <w:rFonts w:ascii="Cambria Math" w:hAnsi="Cambria Math" w:cs="Cambria Math"/>
          <w:color w:val="C00000"/>
        </w:rPr>
        <w:t xml:space="preserve">⨀⨀⨀ </w:t>
      </w:r>
      <w:r w:rsidRPr="001B036C">
        <w:rPr>
          <w:b/>
          <w:bCs/>
        </w:rPr>
        <w:t>Very low quality:</w:t>
      </w:r>
      <w:r w:rsidRPr="001B036C">
        <w:t xml:space="preserve"> We have very little confidence in the effect estimate: The true effect is likely to be substantially different from the estimate of effect.</w:t>
      </w:r>
    </w:p>
    <w:p w14:paraId="6E02B83F" w14:textId="77777777" w:rsidR="007619C3" w:rsidRPr="001B036C" w:rsidRDefault="007619C3" w:rsidP="005B72BC">
      <w:r w:rsidRPr="001B036C">
        <w:t xml:space="preserve">FC testing in paediatric patients demonstrated good predictive value for relapse, despite limited data and high heterogeneity. In total, six studies involving a total of 416 paediatric patients met the inclusion criteria. Of these, one study focused specifically on CD, while the other five reported on IBD (UC and CD combined). Follow-up periods varied across studies, ranging from 3 to 36 months. </w:t>
      </w:r>
    </w:p>
    <w:p w14:paraId="796333A8" w14:textId="6CA7CF81" w:rsidR="007619C3" w:rsidRPr="001B036C" w:rsidRDefault="007619C3" w:rsidP="005B72BC">
      <w:r w:rsidRPr="001B036C">
        <w:t xml:space="preserve">Compared to studies on adult patients, the cut-off thresholds in these paediatric studies were higher, consistent with the anticipated elevated baseline FC levels observed in children </w:t>
      </w:r>
      <w:r w:rsidR="00C54E31" w:rsidRPr="001B036C">
        <w:t xml:space="preserve">with </w:t>
      </w:r>
      <w:r w:rsidRPr="001B036C">
        <w:t xml:space="preserve">values ranging from 100-500 </w:t>
      </w:r>
      <w:r w:rsidR="001A4A67" w:rsidRPr="001B036C">
        <w:t>µ</w:t>
      </w:r>
      <w:r w:rsidRPr="001B036C">
        <w:t xml:space="preserve">g/g. The </w:t>
      </w:r>
      <w:r w:rsidR="004546F5" w:rsidRPr="001B036C">
        <w:t xml:space="preserve">pooled </w:t>
      </w:r>
      <w:r w:rsidRPr="001B036C">
        <w:t>sensitivity and specificity for detecting relapse were 80% (95% CI: 63 - 91) and 71% (95% CI: 51 - 85)</w:t>
      </w:r>
      <w:r w:rsidR="0070747F" w:rsidRPr="001B036C">
        <w:t xml:space="preserve">, </w:t>
      </w:r>
      <w:r w:rsidR="00BA7507" w:rsidRPr="001B036C">
        <w:t xml:space="preserve">respectively. </w:t>
      </w:r>
      <w:r w:rsidR="00A144C2" w:rsidRPr="001B036C">
        <w:t xml:space="preserve">The estimated AUC of 0.826 </w:t>
      </w:r>
      <w:r w:rsidR="00D16CAA" w:rsidRPr="001B036C">
        <w:t>(</w:t>
      </w:r>
      <w:r w:rsidR="00D16CAA" w:rsidRPr="001B036C">
        <w:fldChar w:fldCharType="begin"/>
      </w:r>
      <w:r w:rsidR="00D16CAA" w:rsidRPr="001B036C">
        <w:instrText xml:space="preserve"> REF _Ref175947267 \h </w:instrText>
      </w:r>
      <w:r w:rsidR="001B036C">
        <w:instrText xml:space="preserve"> \* MERGEFORMAT </w:instrText>
      </w:r>
      <w:r w:rsidR="00D16CAA" w:rsidRPr="001B036C">
        <w:fldChar w:fldCharType="separate"/>
      </w:r>
      <w:r w:rsidR="00CC451C" w:rsidRPr="001B036C">
        <w:t xml:space="preserve">Table </w:t>
      </w:r>
      <w:r w:rsidR="00CC451C">
        <w:rPr>
          <w:noProof/>
        </w:rPr>
        <w:t>13</w:t>
      </w:r>
      <w:r w:rsidR="00D16CAA" w:rsidRPr="001B036C">
        <w:fldChar w:fldCharType="end"/>
      </w:r>
      <w:r w:rsidR="00D16CAA" w:rsidRPr="001B036C">
        <w:t>)</w:t>
      </w:r>
      <w:r w:rsidR="00A144C2" w:rsidRPr="001B036C">
        <w:t xml:space="preserve"> indicates that the test is </w:t>
      </w:r>
      <w:r w:rsidR="00723F4B" w:rsidRPr="001B036C">
        <w:t>excellent</w:t>
      </w:r>
      <w:r w:rsidR="00A144C2" w:rsidRPr="001B036C">
        <w:t xml:space="preserve"> at distinguishing between who are going to experience relapse and those who will not, noting the wide confidence intervals and spread of included studies, making this result uncertain.</w:t>
      </w:r>
    </w:p>
    <w:bookmarkEnd w:id="27"/>
    <w:p w14:paraId="775009B5" w14:textId="77777777" w:rsidR="007619C3" w:rsidRPr="001B036C" w:rsidRDefault="007619C3" w:rsidP="000A4EDB">
      <w:pPr>
        <w:pStyle w:val="Heading4"/>
      </w:pPr>
      <w:r w:rsidRPr="001B036C">
        <w:t>Linked evidence of change in management</w:t>
      </w:r>
    </w:p>
    <w:p w14:paraId="54915B37" w14:textId="13A52CE1" w:rsidR="007619C3" w:rsidRPr="001B036C" w:rsidRDefault="007619C3" w:rsidP="2F205F4D">
      <w:r w:rsidRPr="001B036C">
        <w:rPr>
          <w:rFonts w:eastAsia="Franklin Gothic Book" w:cs="Franklin Gothic Book"/>
        </w:rPr>
        <w:t xml:space="preserve">Symptomatic and asymptomatic IBD patients may benefit from tailored management strategies that incorporate FC testing into clinical guidelines. Based on FC test results, treatment decisions, such as initiation, escalation, or de-escalation of therapy, can be made. </w:t>
      </w:r>
      <w:r w:rsidR="006019F6" w:rsidRPr="001B036C">
        <w:rPr>
          <w:rFonts w:eastAsia="Franklin Gothic Book" w:cs="Franklin Gothic Book"/>
        </w:rPr>
        <w:t xml:space="preserve">FC testing </w:t>
      </w:r>
      <w:r w:rsidRPr="001B036C">
        <w:rPr>
          <w:rFonts w:eastAsia="Franklin Gothic Book" w:cs="Franklin Gothic Book"/>
        </w:rPr>
        <w:t>enabl</w:t>
      </w:r>
      <w:r w:rsidR="006019F6" w:rsidRPr="001B036C">
        <w:rPr>
          <w:rFonts w:eastAsia="Franklin Gothic Book" w:cs="Franklin Gothic Book"/>
        </w:rPr>
        <w:t>es</w:t>
      </w:r>
      <w:r w:rsidRPr="001B036C">
        <w:rPr>
          <w:rFonts w:eastAsia="Franklin Gothic Book" w:cs="Franklin Gothic Book"/>
        </w:rPr>
        <w:t xml:space="preserve"> regular, non-invasive monitoring </w:t>
      </w:r>
      <w:r w:rsidR="00B7137A" w:rsidRPr="001B036C">
        <w:rPr>
          <w:rFonts w:eastAsia="Franklin Gothic Book" w:cs="Franklin Gothic Book"/>
        </w:rPr>
        <w:t xml:space="preserve">which may subsequently lead to </w:t>
      </w:r>
      <w:r w:rsidRPr="001B036C">
        <w:rPr>
          <w:rFonts w:eastAsia="Franklin Gothic Book" w:cs="Franklin Gothic Book"/>
        </w:rPr>
        <w:t>early intervention</w:t>
      </w:r>
      <w:r w:rsidR="007B2C9B" w:rsidRPr="001B036C">
        <w:rPr>
          <w:rFonts w:eastAsia="Franklin Gothic Book" w:cs="Franklin Gothic Book"/>
        </w:rPr>
        <w:t xml:space="preserve"> and tighter</w:t>
      </w:r>
      <w:r w:rsidRPr="001B036C">
        <w:rPr>
          <w:rFonts w:eastAsia="Franklin Gothic Book" w:cs="Franklin Gothic Book"/>
        </w:rPr>
        <w:t xml:space="preserve"> disease management.</w:t>
      </w:r>
      <w:r w:rsidRPr="001B036C">
        <w:t xml:space="preserve"> </w:t>
      </w:r>
    </w:p>
    <w:p w14:paraId="67652D90" w14:textId="53F9C74F" w:rsidR="007619C3" w:rsidRPr="001B036C" w:rsidRDefault="003876B8">
      <w:r w:rsidRPr="001B036C">
        <w:t xml:space="preserve">To identify the changes in clinical management from the introduction of FC testing, a review of the current guidelines for the use of FC tests in treatment of symptomatic IBD patients and a targeted literature search of published studies was conducted. </w:t>
      </w:r>
      <w:r w:rsidR="003136C8" w:rsidRPr="001B036C">
        <w:t xml:space="preserve">Acknowledging that variations in </w:t>
      </w:r>
      <w:r w:rsidR="003136C8" w:rsidRPr="001B036C">
        <w:lastRenderedPageBreak/>
        <w:t xml:space="preserve">individual clinicians’ behaviour cannot be fully accounted for, the guidelines provide the most robust </w:t>
      </w:r>
      <w:r w:rsidR="00B569B5" w:rsidRPr="001B036C">
        <w:t>interpretation of available evidence, produced</w:t>
      </w:r>
      <w:r w:rsidR="002566F3" w:rsidRPr="001B036C">
        <w:t xml:space="preserve"> and agreed upon</w:t>
      </w:r>
      <w:r w:rsidR="00B569B5" w:rsidRPr="001B036C">
        <w:t xml:space="preserve"> by groups </w:t>
      </w:r>
      <w:r w:rsidR="00425CF6" w:rsidRPr="001B036C">
        <w:t>of prominent gastroenterologists</w:t>
      </w:r>
      <w:r w:rsidR="009D2924" w:rsidRPr="001B036C">
        <w:t>. Therefore, t</w:t>
      </w:r>
      <w:r w:rsidR="007619C3" w:rsidRPr="001B036C">
        <w:t xml:space="preserve">he guidelines are considered the </w:t>
      </w:r>
      <w:r w:rsidR="7EA76490" w:rsidRPr="001B036C">
        <w:t xml:space="preserve">best proxy to predict </w:t>
      </w:r>
      <w:r w:rsidR="009D2924" w:rsidRPr="001B036C">
        <w:t xml:space="preserve">mainstream </w:t>
      </w:r>
      <w:r w:rsidR="7EA76490" w:rsidRPr="001B036C">
        <w:t xml:space="preserve">clinician </w:t>
      </w:r>
      <w:r w:rsidR="00B81A24" w:rsidRPr="001B036C">
        <w:t>behaviour and</w:t>
      </w:r>
      <w:r w:rsidR="006617F4" w:rsidRPr="001B036C">
        <w:t xml:space="preserve"> are </w:t>
      </w:r>
      <w:r w:rsidR="00453E11" w:rsidRPr="001B036C">
        <w:t xml:space="preserve">a more robust predictor of clinical practice than individual </w:t>
      </w:r>
      <w:r w:rsidR="000972D1" w:rsidRPr="001B036C">
        <w:t>studies</w:t>
      </w:r>
      <w:r w:rsidR="007619C3" w:rsidRPr="001B036C">
        <w:t>.</w:t>
      </w:r>
      <w:r w:rsidR="00D75B61" w:rsidRPr="001B036C">
        <w:t xml:space="preserve"> In their application for the PICO Confirmation, </w:t>
      </w:r>
      <w:r w:rsidR="003E3FC1" w:rsidRPr="001B036C">
        <w:t xml:space="preserve">the Gastroenterological Society </w:t>
      </w:r>
      <w:r w:rsidR="007B31D4" w:rsidRPr="001B036C">
        <w:t>o</w:t>
      </w:r>
      <w:r w:rsidR="003E3FC1" w:rsidRPr="001B036C">
        <w:t>f Australia (</w:t>
      </w:r>
      <w:r w:rsidR="00D75B61" w:rsidRPr="001B036C">
        <w:t>GESA</w:t>
      </w:r>
      <w:r w:rsidR="003E3FC1" w:rsidRPr="001B036C">
        <w:t>)</w:t>
      </w:r>
      <w:r w:rsidR="00D75B61" w:rsidRPr="001B036C">
        <w:t xml:space="preserve"> </w:t>
      </w:r>
      <w:r w:rsidR="002E128F" w:rsidRPr="001B036C">
        <w:t xml:space="preserve">cited </w:t>
      </w:r>
      <w:r w:rsidR="00B06E51" w:rsidRPr="001B036C">
        <w:t>multiple</w:t>
      </w:r>
      <w:r w:rsidR="00D75B61" w:rsidRPr="001B036C">
        <w:t xml:space="preserve"> guidelines and the treat-to-target approach to IBD management.</w:t>
      </w:r>
      <w:r w:rsidR="007619C3" w:rsidRPr="001B036C">
        <w:t xml:space="preserve"> The search results identified several studies to support the guidelines, some of which reviewed these guidelines and provided additional evidence and interpretation. </w:t>
      </w:r>
    </w:p>
    <w:p w14:paraId="2F91CC53" w14:textId="5B3B7366" w:rsidR="007619C3" w:rsidRPr="001B036C" w:rsidRDefault="007619C3" w:rsidP="2F205F4D">
      <w:r w:rsidRPr="001B036C">
        <w:t>The STRIDE</w:t>
      </w:r>
      <w:r w:rsidR="00EB49FE" w:rsidRPr="001B036C">
        <w:t>-</w:t>
      </w:r>
      <w:r w:rsidRPr="001B036C">
        <w:t>II guidelines</w:t>
      </w:r>
      <w:r w:rsidR="00064FAF">
        <w:rPr>
          <w:rStyle w:val="FootnoteReference"/>
        </w:rPr>
        <w:footnoteReference w:id="13"/>
      </w:r>
      <w:r w:rsidRPr="001B036C">
        <w:t xml:space="preserve"> </w:t>
      </w:r>
      <w:r w:rsidR="0023292E" w:rsidRPr="001B036C">
        <w:t xml:space="preserve">endorse </w:t>
      </w:r>
      <w:r w:rsidRPr="001B036C">
        <w:t xml:space="preserve">the use of FC testing </w:t>
      </w:r>
      <w:r w:rsidR="0023292E" w:rsidRPr="001B036C">
        <w:t xml:space="preserve">to monitor for treatment response, and </w:t>
      </w:r>
      <w:r w:rsidR="00386E8A" w:rsidRPr="001B036C">
        <w:t xml:space="preserve">the normalisation of FC levels are </w:t>
      </w:r>
      <w:r w:rsidR="00D64078" w:rsidRPr="001B036C">
        <w:t xml:space="preserve">an intermediate </w:t>
      </w:r>
      <w:r w:rsidR="00F24556" w:rsidRPr="001B036C">
        <w:t>treat-to-target goal</w:t>
      </w:r>
      <w:r w:rsidR="00D64078" w:rsidRPr="001B036C">
        <w:t xml:space="preserve"> </w:t>
      </w:r>
      <w:r w:rsidRPr="001B036C">
        <w:t xml:space="preserve">in </w:t>
      </w:r>
      <w:r w:rsidR="00F24556" w:rsidRPr="001B036C">
        <w:t>patients with an active IBD flare</w:t>
      </w:r>
      <w:r w:rsidR="00504DB0" w:rsidRPr="001B036C">
        <w:t>.</w:t>
      </w:r>
      <w:r w:rsidR="00F24556" w:rsidRPr="001B036C">
        <w:t xml:space="preserve"> </w:t>
      </w:r>
      <w:r w:rsidR="00386E8A" w:rsidRPr="001B036C">
        <w:t xml:space="preserve">The treat-to-target approach </w:t>
      </w:r>
      <w:r w:rsidR="008A0816" w:rsidRPr="001B036C">
        <w:t>is considered to produce optimum patient outcomes,</w:t>
      </w:r>
      <w:r w:rsidR="007C389A" w:rsidRPr="001B036C">
        <w:t xml:space="preserve"> primarily</w:t>
      </w:r>
      <w:r w:rsidR="008A0816" w:rsidRPr="001B036C">
        <w:t xml:space="preserve"> informed by </w:t>
      </w:r>
      <w:r w:rsidR="007C389A" w:rsidRPr="001B036C">
        <w:t xml:space="preserve">two studies (REACT and </w:t>
      </w:r>
      <w:r w:rsidR="00CA5258" w:rsidRPr="001B036C">
        <w:t>CALM</w:t>
      </w:r>
      <w:r w:rsidR="74B1E6F5" w:rsidRPr="001B036C">
        <w:t>)</w:t>
      </w:r>
      <w:r w:rsidR="00064FAF">
        <w:rPr>
          <w:rStyle w:val="FootnoteReference"/>
        </w:rPr>
        <w:footnoteReference w:id="14"/>
      </w:r>
      <w:r w:rsidR="6561E633" w:rsidRPr="001B036C">
        <w:t>.</w:t>
      </w:r>
      <w:r w:rsidR="004C4480" w:rsidRPr="001B036C">
        <w:t xml:space="preserve"> H</w:t>
      </w:r>
      <w:r w:rsidR="00F8176F" w:rsidRPr="001B036C">
        <w:t>owever</w:t>
      </w:r>
      <w:r w:rsidR="004C4480" w:rsidRPr="001B036C">
        <w:t xml:space="preserve">, the treat-to-target approach </w:t>
      </w:r>
      <w:r w:rsidR="00AF4790" w:rsidRPr="001B036C">
        <w:t xml:space="preserve">requires adoption by clinicians, and patient adherence; </w:t>
      </w:r>
      <w:r w:rsidR="00F42612" w:rsidRPr="001B036C">
        <w:t>some Australian clinicians have listed a range of concerns with this approach, suggesting more evidence/clarity is required before they may adopt it</w:t>
      </w:r>
      <w:r w:rsidR="00955E14">
        <w:t xml:space="preserve">. The concerns included the increased burden of additional endoscopies which may impact accessibility and increase the exposure of patients to the risks associated with endoscopy. Other concerns included the lack of standardised and validated definitions of mucosal healing and </w:t>
      </w:r>
      <w:r w:rsidR="00D979AF">
        <w:t>concern whether patients would be able to</w:t>
      </w:r>
      <w:r w:rsidR="00955E14">
        <w:t xml:space="preserve"> </w:t>
      </w:r>
      <w:r w:rsidR="00D979AF">
        <w:t>comply with</w:t>
      </w:r>
      <w:r w:rsidR="00955E14">
        <w:t xml:space="preserve"> monitoring strategies (</w:t>
      </w:r>
      <w:proofErr w:type="spellStart"/>
      <w:r w:rsidR="00955E14">
        <w:t>eg.</w:t>
      </w:r>
      <w:proofErr w:type="spellEnd"/>
      <w:r w:rsidR="00955E14">
        <w:t xml:space="preserve"> regular clinical follow-up</w:t>
      </w:r>
      <w:r w:rsidR="00AF031F">
        <w:t>, endoscop</w:t>
      </w:r>
      <w:r w:rsidR="00474450">
        <w:t>y</w:t>
      </w:r>
      <w:r w:rsidR="00955E14">
        <w:t xml:space="preserve"> and regular CRP and faecal calprotectin testing)</w:t>
      </w:r>
      <w:r w:rsidR="00EC1C5A" w:rsidRPr="001B036C">
        <w:t xml:space="preserve"> </w:t>
      </w:r>
      <w:r w:rsidR="006E4FEF">
        <w:rPr>
          <w:rStyle w:val="FootnoteReference"/>
        </w:rPr>
        <w:footnoteReference w:id="15"/>
      </w:r>
      <w:r w:rsidRPr="001B036C">
        <w:t>.</w:t>
      </w:r>
      <w:r w:rsidR="009931A5" w:rsidRPr="001B036C">
        <w:t xml:space="preserve"> </w:t>
      </w:r>
    </w:p>
    <w:p w14:paraId="07584BEC" w14:textId="75CDF36D" w:rsidR="007619C3" w:rsidRPr="001B036C" w:rsidRDefault="007619C3" w:rsidP="2F205F4D">
      <w:r w:rsidRPr="001B036C">
        <w:t>Clinical evidence is increasingly supporting the use of FC testing as a key component of IBD management strategies, demonstrating its impact on improving patient outcomes through early detection and timely therapeutic interventions. Colombel et al.</w:t>
      </w:r>
      <w:r w:rsidR="0057520F">
        <w:rPr>
          <w:rStyle w:val="FootnoteReference"/>
        </w:rPr>
        <w:footnoteReference w:id="16"/>
      </w:r>
      <w:r w:rsidRPr="001B036C">
        <w:t xml:space="preserve"> and Cortesi et al. (2023)</w:t>
      </w:r>
      <w:r w:rsidR="00086E7C">
        <w:rPr>
          <w:rStyle w:val="FootnoteReference"/>
        </w:rPr>
        <w:footnoteReference w:id="17"/>
      </w:r>
      <w:r w:rsidRPr="001B036C">
        <w:t xml:space="preserve"> have demonstrated that integrating FC testing into treatment protocols can reduce relapse rates</w:t>
      </w:r>
      <w:r w:rsidR="008144DE" w:rsidRPr="001B036C">
        <w:t xml:space="preserve"> </w:t>
      </w:r>
      <w:r w:rsidR="00A54134" w:rsidRPr="001B036C">
        <w:t>(20.9% reduction in relapses per patient</w:t>
      </w:r>
      <w:r w:rsidR="007342DD" w:rsidRPr="001B036C">
        <w:t>)</w:t>
      </w:r>
      <w:r w:rsidRPr="001B036C">
        <w:t>, particularly when used to guide active dose escalation based on predefined thresholds. Taking this approach aligns with the principles of "tight control" and "treat-to-target" strategies, where close monitoring of biomarkers, such as FC, is utilised to make proactive treatment adjustments before clinical symptoms reappear</w:t>
      </w:r>
      <w:r w:rsidR="6F5FB53A" w:rsidRPr="001B036C">
        <w:t xml:space="preserve"> (West et al. 2023</w:t>
      </w:r>
      <w:r w:rsidR="00A06764">
        <w:t>)</w:t>
      </w:r>
      <w:r w:rsidR="5187E5C6" w:rsidRPr="001B036C">
        <w:t>.</w:t>
      </w:r>
      <w:r w:rsidRPr="001B036C">
        <w:t xml:space="preserve"> The STRIDE-II guidelines further emphasise the clinical value of FC, advocating for its routine use to support ongoing disease management </w:t>
      </w:r>
      <w:r w:rsidR="0045604D">
        <w:rPr>
          <w:rStyle w:val="FootnoteReference"/>
        </w:rPr>
        <w:footnoteReference w:id="18"/>
      </w:r>
      <w:r w:rsidRPr="001B036C">
        <w:t>.</w:t>
      </w:r>
    </w:p>
    <w:p w14:paraId="61653FF3" w14:textId="55FFE71B" w:rsidR="007619C3" w:rsidRPr="001B036C" w:rsidRDefault="007619C3" w:rsidP="2F205F4D">
      <w:r w:rsidRPr="001B036C">
        <w:t xml:space="preserve">Despite its growing utility, the use of FC testing in IBD management presents certain challenges. </w:t>
      </w:r>
      <w:proofErr w:type="gramStart"/>
      <w:r w:rsidRPr="001B036C">
        <w:t>In particular, abnormal</w:t>
      </w:r>
      <w:proofErr w:type="gramEnd"/>
      <w:r w:rsidRPr="001B036C">
        <w:t xml:space="preserve"> FC results can result in unnecessarily escalating to more potent therapies, which carries increased risks of side effects and adverse events. Additionally, the therapeutic thresholds for FC are not yet precisely defined, which could lead to variability in clinical decision-making and the potential for </w:t>
      </w:r>
      <w:r w:rsidR="00C824CC" w:rsidRPr="001B036C">
        <w:t>unnecessary</w:t>
      </w:r>
      <w:r w:rsidRPr="001B036C">
        <w:t xml:space="preserve"> treatment adjustments. A careful </w:t>
      </w:r>
      <w:r w:rsidRPr="001B036C">
        <w:lastRenderedPageBreak/>
        <w:t>interpretation of FC results within the broader clinical context is essential to avoid excess treatment risks while still maximising the benefits of early intervention and disease control.</w:t>
      </w:r>
    </w:p>
    <w:p w14:paraId="0453355B" w14:textId="06EB61AA" w:rsidR="007619C3" w:rsidRPr="001B036C" w:rsidRDefault="007619C3" w:rsidP="2F205F4D">
      <w:r w:rsidRPr="001B036C">
        <w:t xml:space="preserve">A summary of the anticipated impact of FC testing in terms of change in patient management is presented in </w:t>
      </w:r>
      <w:r w:rsidRPr="001B036C">
        <w:fldChar w:fldCharType="begin"/>
      </w:r>
      <w:r w:rsidRPr="001B036C">
        <w:instrText xml:space="preserve"> REF _Ref172037929 \h </w:instrText>
      </w:r>
      <w:r w:rsidR="001B036C">
        <w:instrText xml:space="preserve"> \* MERGEFORMAT </w:instrText>
      </w:r>
      <w:r w:rsidRPr="001B036C">
        <w:fldChar w:fldCharType="separate"/>
      </w:r>
      <w:r w:rsidR="00CC451C" w:rsidRPr="001B036C">
        <w:t xml:space="preserve">Table </w:t>
      </w:r>
      <w:r w:rsidR="00CC451C">
        <w:rPr>
          <w:noProof/>
        </w:rPr>
        <w:t>14</w:t>
      </w:r>
      <w:r w:rsidRPr="001B036C">
        <w:fldChar w:fldCharType="end"/>
      </w:r>
      <w:r w:rsidRPr="001B036C">
        <w:t xml:space="preserve">. </w:t>
      </w:r>
    </w:p>
    <w:p w14:paraId="0732A301" w14:textId="79009D65" w:rsidR="007619C3" w:rsidRPr="001B036C" w:rsidRDefault="007619C3" w:rsidP="004320D4">
      <w:pPr>
        <w:pStyle w:val="Caption"/>
      </w:pPr>
      <w:bookmarkStart w:id="32" w:name="_Ref172037929"/>
      <w:r w:rsidRPr="001B036C">
        <w:t xml:space="preserve">Table </w:t>
      </w:r>
      <w:r>
        <w:fldChar w:fldCharType="begin"/>
      </w:r>
      <w:r>
        <w:instrText xml:space="preserve"> SEQ Table \* ARABIC </w:instrText>
      </w:r>
      <w:r>
        <w:fldChar w:fldCharType="separate"/>
      </w:r>
      <w:r w:rsidR="00B4653B">
        <w:rPr>
          <w:noProof/>
        </w:rPr>
        <w:t>14</w:t>
      </w:r>
      <w:r>
        <w:rPr>
          <w:noProof/>
        </w:rPr>
        <w:fldChar w:fldCharType="end"/>
      </w:r>
      <w:bookmarkEnd w:id="32"/>
      <w:r w:rsidRPr="001B036C">
        <w:t xml:space="preserve"> Summary of the impact of FC testing in the change on patient management of IBD patients</w:t>
      </w:r>
    </w:p>
    <w:tbl>
      <w:tblPr>
        <w:tblStyle w:val="TableGrid"/>
        <w:tblW w:w="0" w:type="auto"/>
        <w:tblLook w:val="04A0" w:firstRow="1" w:lastRow="0" w:firstColumn="1" w:lastColumn="0" w:noHBand="0" w:noVBand="1"/>
      </w:tblPr>
      <w:tblGrid>
        <w:gridCol w:w="3090"/>
        <w:gridCol w:w="5926"/>
      </w:tblGrid>
      <w:tr w:rsidR="007619C3" w:rsidRPr="001B036C" w14:paraId="4B14284D" w14:textId="77777777" w:rsidTr="00873593">
        <w:tc>
          <w:tcPr>
            <w:tcW w:w="3090" w:type="dxa"/>
          </w:tcPr>
          <w:p w14:paraId="3CA400A8" w14:textId="77777777" w:rsidR="007619C3" w:rsidRPr="001B036C" w:rsidRDefault="007619C3" w:rsidP="00D47945">
            <w:pPr>
              <w:pStyle w:val="In-tableHeading"/>
            </w:pPr>
            <w:r w:rsidRPr="001B036C">
              <w:t>Aspect</w:t>
            </w:r>
          </w:p>
        </w:tc>
        <w:tc>
          <w:tcPr>
            <w:tcW w:w="5926" w:type="dxa"/>
          </w:tcPr>
          <w:p w14:paraId="7AB9F5B5" w14:textId="77777777" w:rsidR="007619C3" w:rsidRPr="001B036C" w:rsidRDefault="007619C3" w:rsidP="00D47945">
            <w:pPr>
              <w:pStyle w:val="In-tableHeading"/>
            </w:pPr>
            <w:r w:rsidRPr="001B036C">
              <w:t>Impact of FC test</w:t>
            </w:r>
          </w:p>
        </w:tc>
      </w:tr>
      <w:tr w:rsidR="007619C3" w:rsidRPr="001B036C" w14:paraId="5EBD6625" w14:textId="77777777" w:rsidTr="00873593">
        <w:tc>
          <w:tcPr>
            <w:tcW w:w="3090" w:type="dxa"/>
            <w:vMerge w:val="restart"/>
          </w:tcPr>
          <w:p w14:paraId="5F5ADC13" w14:textId="77777777" w:rsidR="007619C3" w:rsidRPr="001B036C" w:rsidRDefault="007619C3">
            <w:pPr>
              <w:pStyle w:val="Tabletext0"/>
            </w:pPr>
            <w:r w:rsidRPr="001B036C">
              <w:t>Early detection of relapse or flare-ups</w:t>
            </w:r>
          </w:p>
        </w:tc>
        <w:tc>
          <w:tcPr>
            <w:tcW w:w="5926" w:type="dxa"/>
          </w:tcPr>
          <w:p w14:paraId="3BB9B765" w14:textId="65D9777A" w:rsidR="007619C3" w:rsidRPr="001B036C" w:rsidRDefault="007619C3">
            <w:pPr>
              <w:pStyle w:val="Tabletext0"/>
            </w:pPr>
            <w:r w:rsidRPr="001B036C">
              <w:t>Predictive Value: Allows early intervention by predicting relapse or flare-ups in asymptomatic patients.</w:t>
            </w:r>
            <w:r w:rsidR="009F3E17" w:rsidRPr="001B036C">
              <w:t xml:space="preserve"> </w:t>
            </w:r>
            <w:proofErr w:type="spellStart"/>
            <w:r w:rsidR="009F3E17" w:rsidRPr="001B036C">
              <w:t>Plevris</w:t>
            </w:r>
            <w:proofErr w:type="spellEnd"/>
            <w:r w:rsidR="009F3E17" w:rsidRPr="001B036C">
              <w:t xml:space="preserve"> &amp; Lees (2022)</w:t>
            </w:r>
            <w:r w:rsidR="00D97C8A">
              <w:rPr>
                <w:rStyle w:val="FootnoteReference"/>
              </w:rPr>
              <w:footnoteReference w:id="19"/>
            </w:r>
            <w:r w:rsidR="009F3E17" w:rsidRPr="001B036C">
              <w:t>, emphasised proactive longitudinal monitoring using FC testing to detect early disease flare-up in asymptomatic patients, with data showing FC predicting relapse within 2-3 months with 78% sensitivity and 73% specificity.</w:t>
            </w:r>
          </w:p>
        </w:tc>
      </w:tr>
      <w:tr w:rsidR="007619C3" w:rsidRPr="001B036C" w14:paraId="1D322238" w14:textId="77777777" w:rsidTr="00873593">
        <w:tc>
          <w:tcPr>
            <w:tcW w:w="3090" w:type="dxa"/>
            <w:vMerge/>
          </w:tcPr>
          <w:p w14:paraId="23048C15" w14:textId="77777777" w:rsidR="007619C3" w:rsidRPr="001B036C" w:rsidRDefault="007619C3">
            <w:pPr>
              <w:pStyle w:val="Tabletext0"/>
            </w:pPr>
          </w:p>
        </w:tc>
        <w:tc>
          <w:tcPr>
            <w:tcW w:w="5926" w:type="dxa"/>
          </w:tcPr>
          <w:p w14:paraId="007ED807" w14:textId="27A33530" w:rsidR="007619C3" w:rsidRPr="001B036C" w:rsidRDefault="007619C3">
            <w:pPr>
              <w:pStyle w:val="Tabletext0"/>
            </w:pPr>
            <w:r w:rsidRPr="001B036C">
              <w:rPr>
                <w:rStyle w:val="Strong"/>
                <w:b w:val="0"/>
                <w:bCs w:val="0"/>
              </w:rPr>
              <w:t>Treatment Adjustment</w:t>
            </w:r>
            <w:r w:rsidR="00403D77" w:rsidRPr="001B036C">
              <w:rPr>
                <w:rStyle w:val="Strong"/>
                <w:b w:val="0"/>
                <w:bCs w:val="0"/>
              </w:rPr>
              <w:t>:</w:t>
            </w:r>
            <w:r w:rsidRPr="001B036C">
              <w:rPr>
                <w:b/>
                <w:bCs/>
              </w:rPr>
              <w:t xml:space="preserve"> </w:t>
            </w:r>
            <w:r w:rsidRPr="001B036C">
              <w:t>Elevated FC levels prompt treatment adjustments before clinical symptoms appear, preventing or limiting severe flare-ups.</w:t>
            </w:r>
            <w:r w:rsidR="00913725" w:rsidRPr="001B036C">
              <w:t xml:space="preserve"> Lass</w:t>
            </w:r>
            <w:r w:rsidR="00BB5C45">
              <w:t>o</w:t>
            </w:r>
            <w:r w:rsidR="00913725" w:rsidRPr="001B036C">
              <w:t>n et al (2015)</w:t>
            </w:r>
            <w:r w:rsidR="00F86C9B">
              <w:rPr>
                <w:rStyle w:val="FootnoteReference"/>
              </w:rPr>
              <w:footnoteReference w:id="20"/>
            </w:r>
            <w:r w:rsidR="00913725" w:rsidRPr="001B036C">
              <w:t xml:space="preserve"> showed that active dose escalation triggered by FC results significantly reduced the relapse rate compared to control group (28.6% vs 57.1%, respectively; </w:t>
            </w:r>
            <w:r w:rsidR="00913725" w:rsidRPr="001B036C">
              <w:rPr>
                <w:i/>
                <w:iCs/>
              </w:rPr>
              <w:t>p</w:t>
            </w:r>
            <w:r w:rsidR="00913725" w:rsidRPr="001B036C">
              <w:t> &lt; 0.05).</w:t>
            </w:r>
          </w:p>
        </w:tc>
      </w:tr>
      <w:tr w:rsidR="007619C3" w:rsidRPr="001B036C" w14:paraId="4E054CD7" w14:textId="77777777" w:rsidTr="00873593">
        <w:tc>
          <w:tcPr>
            <w:tcW w:w="3090" w:type="dxa"/>
            <w:vMerge w:val="restart"/>
          </w:tcPr>
          <w:p w14:paraId="27576F20" w14:textId="77777777" w:rsidR="007619C3" w:rsidRPr="001B036C" w:rsidRDefault="007619C3">
            <w:pPr>
              <w:pStyle w:val="Tabletext0"/>
            </w:pPr>
            <w:r w:rsidRPr="001B036C">
              <w:t>Monitoring disease activity</w:t>
            </w:r>
          </w:p>
        </w:tc>
        <w:tc>
          <w:tcPr>
            <w:tcW w:w="5926" w:type="dxa"/>
          </w:tcPr>
          <w:p w14:paraId="604EE71E" w14:textId="3B3C31E7" w:rsidR="007619C3" w:rsidRPr="001B036C" w:rsidRDefault="007619C3">
            <w:pPr>
              <w:pStyle w:val="Tabletext0"/>
            </w:pPr>
            <w:r w:rsidRPr="001B036C">
              <w:t>Regular Monitoring: Provides a non-invasive means for regularly monitoring disease activity in symptomatic patients, tracking response to treatment</w:t>
            </w:r>
            <w:r w:rsidR="00D06334" w:rsidRPr="00083E3C">
              <w:rPr>
                <w:vertAlign w:val="superscript"/>
              </w:rPr>
              <w:t>13</w:t>
            </w:r>
            <w:r w:rsidRPr="001B036C">
              <w:t>.</w:t>
            </w:r>
          </w:p>
        </w:tc>
      </w:tr>
      <w:tr w:rsidR="007619C3" w:rsidRPr="001B036C" w14:paraId="31D57BE0" w14:textId="77777777" w:rsidTr="00873593">
        <w:tc>
          <w:tcPr>
            <w:tcW w:w="3090" w:type="dxa"/>
            <w:vMerge/>
          </w:tcPr>
          <w:p w14:paraId="3C61BBA8" w14:textId="77777777" w:rsidR="007619C3" w:rsidRPr="001B036C" w:rsidRDefault="007619C3">
            <w:pPr>
              <w:pStyle w:val="Tabletext0"/>
            </w:pPr>
          </w:p>
        </w:tc>
        <w:tc>
          <w:tcPr>
            <w:tcW w:w="5926" w:type="dxa"/>
          </w:tcPr>
          <w:p w14:paraId="0C68F6EC" w14:textId="4388E99D" w:rsidR="007619C3" w:rsidRPr="001B036C" w:rsidRDefault="007619C3">
            <w:pPr>
              <w:pStyle w:val="Tabletext0"/>
            </w:pPr>
            <w:r w:rsidRPr="001B036C">
              <w:t>Guiding Treatment Decisions: Changes in FC levels guide decisions on escalating, maintaining, or de-escalating therapy, ensuring appropriate care</w:t>
            </w:r>
            <w:r w:rsidR="000001CA" w:rsidRPr="001B036C">
              <w:t xml:space="preserve"> (</w:t>
            </w:r>
            <w:r w:rsidR="00D06334" w:rsidRPr="00083E3C">
              <w:rPr>
                <w:vertAlign w:val="superscript"/>
              </w:rPr>
              <w:t>19</w:t>
            </w:r>
            <w:r w:rsidRPr="001B036C">
              <w:t>.</w:t>
            </w:r>
          </w:p>
        </w:tc>
      </w:tr>
      <w:tr w:rsidR="007619C3" w:rsidRPr="001B036C" w14:paraId="6D1D89EC" w14:textId="77777777" w:rsidTr="00873593">
        <w:tc>
          <w:tcPr>
            <w:tcW w:w="3090" w:type="dxa"/>
          </w:tcPr>
          <w:p w14:paraId="65FE066E" w14:textId="1BF897F4" w:rsidR="007619C3" w:rsidRPr="001B036C" w:rsidRDefault="007619C3">
            <w:pPr>
              <w:pStyle w:val="Tabletext0"/>
            </w:pPr>
            <w:r w:rsidRPr="001B036C">
              <w:t xml:space="preserve">Reducing need for invasive </w:t>
            </w:r>
            <w:r w:rsidR="00105819" w:rsidRPr="001B036C">
              <w:t xml:space="preserve">and expensive </w:t>
            </w:r>
            <w:r w:rsidRPr="001B036C">
              <w:t>procedures</w:t>
            </w:r>
          </w:p>
        </w:tc>
        <w:tc>
          <w:tcPr>
            <w:tcW w:w="5926" w:type="dxa"/>
          </w:tcPr>
          <w:p w14:paraId="5D49A3CB" w14:textId="6B0AF4F5" w:rsidR="007619C3" w:rsidRPr="001B036C" w:rsidRDefault="007619C3">
            <w:pPr>
              <w:pStyle w:val="Tabletext0"/>
            </w:pPr>
            <w:r w:rsidRPr="001B036C">
              <w:t>Replacement for Colonoscopy: In certain cases, FC testing can replace colonoscopy for monitoring disease activity, reducing the need for invasive procedures.</w:t>
            </w:r>
            <w:r w:rsidR="00D34C76" w:rsidRPr="001B036C">
              <w:t xml:space="preserve"> </w:t>
            </w:r>
            <w:r w:rsidR="009D1E7A" w:rsidRPr="001B036C">
              <w:t>The</w:t>
            </w:r>
            <w:r w:rsidR="00D34C76" w:rsidRPr="001B036C">
              <w:t xml:space="preserve"> ‘</w:t>
            </w:r>
            <w:proofErr w:type="spellStart"/>
            <w:r w:rsidR="00D34C76" w:rsidRPr="001B036C">
              <w:t>Motaganhalli</w:t>
            </w:r>
            <w:proofErr w:type="spellEnd"/>
            <w:r w:rsidR="00D34C76" w:rsidRPr="001B036C">
              <w:t xml:space="preserve"> et al 2019</w:t>
            </w:r>
            <w:r w:rsidR="009876D9">
              <w:rPr>
                <w:rStyle w:val="FootnoteReference"/>
              </w:rPr>
              <w:footnoteReference w:id="21"/>
            </w:r>
            <w:r w:rsidR="00D34C76" w:rsidRPr="001B036C">
              <w:t xml:space="preserve"> study conducted in Australia, </w:t>
            </w:r>
            <w:r w:rsidR="00CE3740" w:rsidRPr="001B036C">
              <w:t xml:space="preserve">estimated </w:t>
            </w:r>
            <w:r w:rsidR="00D34C76" w:rsidRPr="001B036C">
              <w:t>that the use of FC testing resulted in</w:t>
            </w:r>
            <w:r w:rsidR="001B1C6C" w:rsidRPr="001B036C">
              <w:t xml:space="preserve"> </w:t>
            </w:r>
            <w:r w:rsidR="00273364" w:rsidRPr="001B036C">
              <w:t>approximately 18% reduction in colonoscopies with</w:t>
            </w:r>
            <w:r w:rsidR="00D34C76" w:rsidRPr="001B036C">
              <w:t xml:space="preserve"> 5</w:t>
            </w:r>
            <w:r w:rsidR="009D1E7A" w:rsidRPr="001B036C">
              <w:t>1</w:t>
            </w:r>
            <w:r w:rsidR="00D34C76" w:rsidRPr="001B036C">
              <w:t xml:space="preserve">% </w:t>
            </w:r>
            <w:r w:rsidR="009D1E7A" w:rsidRPr="001B036C">
              <w:t xml:space="preserve">apparent </w:t>
            </w:r>
            <w:r w:rsidR="009E10AE" w:rsidRPr="001B036C">
              <w:t xml:space="preserve">cost </w:t>
            </w:r>
            <w:r w:rsidR="00D34C76" w:rsidRPr="001B036C">
              <w:t xml:space="preserve">reduction and another study from Scotland </w:t>
            </w:r>
            <w:r w:rsidR="00231F23" w:rsidRPr="00083E3C">
              <w:rPr>
                <w:vertAlign w:val="superscript"/>
              </w:rPr>
              <w:t>18</w:t>
            </w:r>
            <w:r w:rsidR="00D34C76" w:rsidRPr="001B036C">
              <w:t xml:space="preserve"> showed a</w:t>
            </w:r>
            <w:r w:rsidR="00923697" w:rsidRPr="001B036C">
              <w:t>n approx</w:t>
            </w:r>
            <w:r w:rsidR="005E783A" w:rsidRPr="001B036C">
              <w:t>imately</w:t>
            </w:r>
            <w:r w:rsidR="00923697" w:rsidRPr="001B036C">
              <w:t xml:space="preserve"> </w:t>
            </w:r>
            <w:r w:rsidR="005E783A" w:rsidRPr="001B036C">
              <w:t>40</w:t>
            </w:r>
            <w:r w:rsidR="00923697" w:rsidRPr="001B036C">
              <w:t>%</w:t>
            </w:r>
            <w:r w:rsidR="00D34C76" w:rsidRPr="001B036C">
              <w:t xml:space="preserve"> reduction’</w:t>
            </w:r>
            <w:r w:rsidR="00273364" w:rsidRPr="001B036C">
              <w:t xml:space="preserve"> in colonoscopies</w:t>
            </w:r>
          </w:p>
        </w:tc>
      </w:tr>
      <w:tr w:rsidR="007619C3" w:rsidRPr="001B036C" w14:paraId="1F49AE64" w14:textId="77777777" w:rsidTr="00873593">
        <w:tc>
          <w:tcPr>
            <w:tcW w:w="3090" w:type="dxa"/>
          </w:tcPr>
          <w:p w14:paraId="1C1D1ED8" w14:textId="77777777" w:rsidR="007619C3" w:rsidRPr="001B036C" w:rsidRDefault="007619C3">
            <w:pPr>
              <w:pStyle w:val="Tabletext0"/>
            </w:pPr>
            <w:r w:rsidRPr="001B036C">
              <w:t>Tailored treatment plans</w:t>
            </w:r>
          </w:p>
        </w:tc>
        <w:tc>
          <w:tcPr>
            <w:tcW w:w="5926" w:type="dxa"/>
          </w:tcPr>
          <w:p w14:paraId="2434F938" w14:textId="77777777" w:rsidR="007619C3" w:rsidRPr="001B036C" w:rsidRDefault="007619C3">
            <w:pPr>
              <w:pStyle w:val="Tabletext0"/>
            </w:pPr>
            <w:r w:rsidRPr="001B036C">
              <w:t>Individualised Care: Enables a more personalised approach to treatment by frequently monitoring FC levels, adjusting plans based on real-time disease activity rather than waiting for symptomatic changes or scheduled colonoscopies.</w:t>
            </w:r>
          </w:p>
        </w:tc>
      </w:tr>
    </w:tbl>
    <w:p w14:paraId="68B3EC05" w14:textId="40C96A71" w:rsidR="007619C3" w:rsidRPr="001B036C" w:rsidRDefault="007619C3" w:rsidP="00D47945">
      <w:pPr>
        <w:pStyle w:val="Tablenotes0"/>
      </w:pPr>
      <w:r w:rsidRPr="001B036C">
        <w:t>FC= faecal calprotectin; IBD= inflammatory bowel disease.</w:t>
      </w:r>
    </w:p>
    <w:p w14:paraId="597276C6" w14:textId="6B8BF425" w:rsidR="007619C3" w:rsidRPr="001B036C" w:rsidRDefault="007619C3">
      <w:pPr>
        <w:pStyle w:val="pb-2"/>
        <w:rPr>
          <w:rFonts w:ascii="Franklin Gothic Book" w:eastAsiaTheme="minorHAnsi" w:hAnsi="Franklin Gothic Book" w:cstheme="minorBidi"/>
          <w:sz w:val="22"/>
          <w:szCs w:val="22"/>
          <w:lang w:eastAsia="en-US"/>
        </w:rPr>
      </w:pPr>
      <w:r w:rsidRPr="001B036C">
        <w:rPr>
          <w:rFonts w:ascii="Franklin Gothic Book" w:eastAsiaTheme="minorHAnsi" w:hAnsi="Franklin Gothic Book" w:cstheme="minorBidi"/>
          <w:sz w:val="22"/>
          <w:szCs w:val="22"/>
          <w:lang w:eastAsia="en-US"/>
        </w:rPr>
        <w:t xml:space="preserve">Frequency of FC testing is a critical component in the management of IBD, however, the interpretation of FC results is nuanced and must be integrated with other clinical parameters including patient symptoms, duration of clinical remission, concurrent medications, and additional biomarkers. </w:t>
      </w:r>
      <w:r w:rsidR="00684603" w:rsidRPr="001B036C">
        <w:rPr>
          <w:rFonts w:ascii="Franklin Gothic Book" w:eastAsiaTheme="minorHAnsi" w:hAnsi="Franklin Gothic Book" w:cstheme="minorBidi"/>
          <w:sz w:val="22"/>
          <w:szCs w:val="22"/>
          <w:lang w:eastAsia="en-US"/>
        </w:rPr>
        <w:t xml:space="preserve">In addition, </w:t>
      </w:r>
      <w:r w:rsidR="00741B5F" w:rsidRPr="001B036C">
        <w:rPr>
          <w:rFonts w:ascii="Franklin Gothic Book" w:eastAsiaTheme="minorHAnsi" w:hAnsi="Franklin Gothic Book" w:cstheme="minorBidi"/>
          <w:sz w:val="22"/>
          <w:szCs w:val="22"/>
          <w:lang w:eastAsia="en-US"/>
        </w:rPr>
        <w:t>FC trend</w:t>
      </w:r>
      <w:r w:rsidR="00127377" w:rsidRPr="001B036C">
        <w:rPr>
          <w:rFonts w:ascii="Franklin Gothic Book" w:eastAsiaTheme="minorHAnsi" w:hAnsi="Franklin Gothic Book" w:cstheme="minorBidi"/>
          <w:sz w:val="22"/>
          <w:szCs w:val="22"/>
          <w:lang w:eastAsia="en-US"/>
        </w:rPr>
        <w:t>s</w:t>
      </w:r>
      <w:r w:rsidR="00741B5F" w:rsidRPr="001B036C">
        <w:rPr>
          <w:rFonts w:ascii="Franklin Gothic Book" w:eastAsiaTheme="minorHAnsi" w:hAnsi="Franklin Gothic Book" w:cstheme="minorBidi"/>
          <w:sz w:val="22"/>
          <w:szCs w:val="22"/>
          <w:lang w:eastAsia="en-US"/>
        </w:rPr>
        <w:t xml:space="preserve"> overtime </w:t>
      </w:r>
      <w:proofErr w:type="gramStart"/>
      <w:r w:rsidR="00837AA8" w:rsidRPr="001B036C">
        <w:rPr>
          <w:rFonts w:ascii="Franklin Gothic Book" w:eastAsiaTheme="minorHAnsi" w:hAnsi="Franklin Gothic Book" w:cstheme="minorBidi"/>
          <w:sz w:val="22"/>
          <w:szCs w:val="22"/>
          <w:lang w:eastAsia="en-US"/>
        </w:rPr>
        <w:t>are</w:t>
      </w:r>
      <w:proofErr w:type="gramEnd"/>
      <w:r w:rsidR="00741B5F" w:rsidRPr="001B036C">
        <w:rPr>
          <w:rFonts w:ascii="Franklin Gothic Book" w:eastAsiaTheme="minorHAnsi" w:hAnsi="Franklin Gothic Book" w:cstheme="minorBidi"/>
          <w:sz w:val="22"/>
          <w:szCs w:val="22"/>
          <w:lang w:eastAsia="en-US"/>
        </w:rPr>
        <w:t xml:space="preserve"> considered more valuable </w:t>
      </w:r>
      <w:r w:rsidR="00127377" w:rsidRPr="001B036C">
        <w:rPr>
          <w:rFonts w:ascii="Franklin Gothic Book" w:eastAsiaTheme="minorHAnsi" w:hAnsi="Franklin Gothic Book" w:cstheme="minorBidi"/>
          <w:sz w:val="22"/>
          <w:szCs w:val="22"/>
          <w:lang w:eastAsia="en-US"/>
        </w:rPr>
        <w:t>than a single FC result</w:t>
      </w:r>
      <w:r w:rsidR="00D04100" w:rsidRPr="00083E3C">
        <w:rPr>
          <w:rFonts w:ascii="Franklin Gothic Book" w:eastAsiaTheme="minorHAnsi" w:hAnsi="Franklin Gothic Book" w:cstheme="minorBidi"/>
          <w:sz w:val="22"/>
          <w:szCs w:val="22"/>
          <w:vertAlign w:val="superscript"/>
          <w:lang w:eastAsia="en-US"/>
        </w:rPr>
        <w:t>5</w:t>
      </w:r>
      <w:r w:rsidR="00127377" w:rsidRPr="001B036C">
        <w:rPr>
          <w:rFonts w:ascii="Franklin Gothic Book" w:eastAsiaTheme="minorHAnsi" w:hAnsi="Franklin Gothic Book" w:cstheme="minorBidi"/>
          <w:sz w:val="22"/>
          <w:szCs w:val="22"/>
          <w:lang w:eastAsia="en-US"/>
        </w:rPr>
        <w:t xml:space="preserve">. </w:t>
      </w:r>
      <w:r w:rsidRPr="001B036C">
        <w:rPr>
          <w:rFonts w:ascii="Franklin Gothic Book" w:eastAsiaTheme="minorHAnsi" w:hAnsi="Franklin Gothic Book" w:cstheme="minorBidi"/>
          <w:sz w:val="22"/>
          <w:szCs w:val="22"/>
          <w:lang w:eastAsia="en-US"/>
        </w:rPr>
        <w:t xml:space="preserve">The proposed treatment algorithm stratifies patients into three FC thresholds (&lt;100 µg/g, 100-250 µg/g, and &gt;250 µg/g). For patients with FC levels consistently below 100 µg/g, conservative management with </w:t>
      </w:r>
      <w:r w:rsidR="00AD67B6" w:rsidRPr="001B036C">
        <w:rPr>
          <w:rFonts w:ascii="Franklin Gothic Book" w:eastAsiaTheme="minorHAnsi" w:hAnsi="Franklin Gothic Book" w:cstheme="minorBidi"/>
          <w:sz w:val="22"/>
          <w:szCs w:val="22"/>
          <w:lang w:eastAsia="en-US"/>
        </w:rPr>
        <w:t>baseline FC monitoring</w:t>
      </w:r>
      <w:r w:rsidRPr="001B036C">
        <w:rPr>
          <w:rFonts w:ascii="Franklin Gothic Book" w:eastAsiaTheme="minorHAnsi" w:hAnsi="Franklin Gothic Book" w:cstheme="minorBidi"/>
          <w:sz w:val="22"/>
          <w:szCs w:val="22"/>
          <w:lang w:eastAsia="en-US"/>
        </w:rPr>
        <w:t xml:space="preserve"> is advised</w:t>
      </w:r>
      <w:r w:rsidR="001A650A" w:rsidRPr="00154FB4">
        <w:rPr>
          <w:rFonts w:eastAsiaTheme="minorHAnsi"/>
          <w:sz w:val="22"/>
          <w:szCs w:val="22"/>
        </w:rPr>
        <w:t xml:space="preserve"> </w:t>
      </w:r>
      <w:r w:rsidR="001A650A" w:rsidRPr="00154FB4">
        <w:rPr>
          <w:rFonts w:ascii="Franklin Gothic Book" w:eastAsiaTheme="minorHAnsi" w:hAnsi="Franklin Gothic Book"/>
          <w:sz w:val="22"/>
          <w:szCs w:val="22"/>
        </w:rPr>
        <w:t xml:space="preserve">(see </w:t>
      </w:r>
      <w:r w:rsidR="001A650A" w:rsidRPr="00154FB4">
        <w:rPr>
          <w:rFonts w:ascii="Franklin Gothic Book" w:eastAsiaTheme="minorHAnsi" w:hAnsi="Franklin Gothic Book"/>
          <w:sz w:val="22"/>
          <w:szCs w:val="22"/>
        </w:rPr>
        <w:fldChar w:fldCharType="begin"/>
      </w:r>
      <w:r w:rsidR="001A650A" w:rsidRPr="00154FB4">
        <w:rPr>
          <w:rFonts w:ascii="Franklin Gothic Book" w:eastAsiaTheme="minorHAnsi" w:hAnsi="Franklin Gothic Book"/>
          <w:sz w:val="22"/>
          <w:szCs w:val="22"/>
        </w:rPr>
        <w:instrText xml:space="preserve"> REF _Ref172581102 \h </w:instrText>
      </w:r>
      <w:r w:rsidR="001B036C" w:rsidRPr="00154FB4">
        <w:rPr>
          <w:rFonts w:ascii="Franklin Gothic Book" w:eastAsiaTheme="minorHAnsi" w:hAnsi="Franklin Gothic Book"/>
          <w:sz w:val="22"/>
          <w:szCs w:val="22"/>
        </w:rPr>
        <w:instrText xml:space="preserve"> \* MERGEFORMAT </w:instrText>
      </w:r>
      <w:r w:rsidR="001A650A" w:rsidRPr="00154FB4">
        <w:rPr>
          <w:rFonts w:ascii="Franklin Gothic Book" w:eastAsiaTheme="minorHAnsi" w:hAnsi="Franklin Gothic Book"/>
          <w:sz w:val="22"/>
          <w:szCs w:val="22"/>
        </w:rPr>
      </w:r>
      <w:r w:rsidR="001A650A" w:rsidRPr="00154FB4">
        <w:rPr>
          <w:rFonts w:ascii="Franklin Gothic Book" w:eastAsiaTheme="minorHAnsi" w:hAnsi="Franklin Gothic Book"/>
          <w:sz w:val="22"/>
          <w:szCs w:val="22"/>
        </w:rPr>
        <w:fldChar w:fldCharType="separate"/>
      </w:r>
      <w:r w:rsidR="00F74260" w:rsidRPr="00F74260">
        <w:rPr>
          <w:rFonts w:ascii="Franklin Gothic Book" w:hAnsi="Franklin Gothic Book"/>
          <w:sz w:val="22"/>
          <w:szCs w:val="22"/>
        </w:rPr>
        <w:t>Figure 4</w:t>
      </w:r>
      <w:r w:rsidR="001A650A" w:rsidRPr="00154FB4">
        <w:rPr>
          <w:rFonts w:ascii="Franklin Gothic Book" w:eastAsiaTheme="minorHAnsi" w:hAnsi="Franklin Gothic Book"/>
          <w:sz w:val="22"/>
          <w:szCs w:val="22"/>
        </w:rPr>
        <w:fldChar w:fldCharType="end"/>
      </w:r>
      <w:r w:rsidR="001A650A" w:rsidRPr="00154FB4">
        <w:rPr>
          <w:rFonts w:ascii="Franklin Gothic Book" w:eastAsiaTheme="minorHAnsi" w:hAnsi="Franklin Gothic Book"/>
          <w:sz w:val="22"/>
          <w:szCs w:val="22"/>
        </w:rPr>
        <w:t>)</w:t>
      </w:r>
      <w:r w:rsidRPr="001B036C">
        <w:rPr>
          <w:rFonts w:ascii="Franklin Gothic Book" w:eastAsiaTheme="minorHAnsi" w:hAnsi="Franklin Gothic Book" w:cstheme="minorBidi"/>
          <w:sz w:val="22"/>
          <w:szCs w:val="22"/>
          <w:lang w:eastAsia="en-US"/>
        </w:rPr>
        <w:t>. Conversely, an FC level exceeding 250 µg/g typically warrants more immediate intervention, such as treatment escalation, to mitigate the risk of disease progression. Patients with intermediate FC levels (100-250 µg/g) may require closer monitoring, potentially involving repeat FC testing or colonoscopy before any changes in management are considered.</w:t>
      </w:r>
      <w:r w:rsidR="003F3C2E" w:rsidRPr="001B036C">
        <w:rPr>
          <w:rFonts w:ascii="Franklin Gothic Book" w:eastAsiaTheme="minorHAnsi" w:hAnsi="Franklin Gothic Book" w:cstheme="minorBidi"/>
          <w:sz w:val="22"/>
          <w:szCs w:val="22"/>
          <w:lang w:eastAsia="en-US"/>
        </w:rPr>
        <w:t xml:space="preserve"> FC results should be </w:t>
      </w:r>
      <w:r w:rsidR="003F3C2E" w:rsidRPr="001B036C">
        <w:rPr>
          <w:rFonts w:ascii="Franklin Gothic Book" w:eastAsiaTheme="minorHAnsi" w:hAnsi="Franklin Gothic Book" w:cstheme="minorBidi"/>
          <w:sz w:val="22"/>
          <w:szCs w:val="22"/>
          <w:lang w:eastAsia="en-US"/>
        </w:rPr>
        <w:lastRenderedPageBreak/>
        <w:t>interpreted within the clinical context,</w:t>
      </w:r>
      <w:r w:rsidR="00081E58" w:rsidRPr="001B036C">
        <w:rPr>
          <w:rFonts w:ascii="Franklin Gothic Book" w:eastAsiaTheme="minorHAnsi" w:hAnsi="Franklin Gothic Book" w:cstheme="minorBidi"/>
          <w:sz w:val="22"/>
          <w:szCs w:val="22"/>
          <w:lang w:eastAsia="en-US"/>
        </w:rPr>
        <w:t xml:space="preserve"> </w:t>
      </w:r>
      <w:r w:rsidR="004A6A71" w:rsidRPr="001B036C">
        <w:rPr>
          <w:rFonts w:ascii="Franklin Gothic Book" w:eastAsiaTheme="minorHAnsi" w:hAnsi="Franklin Gothic Book" w:cstheme="minorBidi"/>
          <w:sz w:val="22"/>
          <w:szCs w:val="22"/>
          <w:lang w:eastAsia="en-US"/>
        </w:rPr>
        <w:t xml:space="preserve">and </w:t>
      </w:r>
      <w:r w:rsidR="00DC1539" w:rsidRPr="001B036C">
        <w:rPr>
          <w:rFonts w:ascii="Franklin Gothic Book" w:eastAsiaTheme="minorHAnsi" w:hAnsi="Franklin Gothic Book" w:cstheme="minorBidi"/>
          <w:sz w:val="22"/>
          <w:szCs w:val="22"/>
          <w:lang w:eastAsia="en-US"/>
        </w:rPr>
        <w:t xml:space="preserve">situations where the FC results do not correspond to the clinical presentation will </w:t>
      </w:r>
      <w:r w:rsidR="003073D4" w:rsidRPr="001B036C">
        <w:rPr>
          <w:rFonts w:ascii="Franklin Gothic Book" w:eastAsiaTheme="minorHAnsi" w:hAnsi="Franklin Gothic Book" w:cstheme="minorBidi"/>
          <w:sz w:val="22"/>
          <w:szCs w:val="22"/>
          <w:lang w:eastAsia="en-US"/>
        </w:rPr>
        <w:t xml:space="preserve">likely </w:t>
      </w:r>
      <w:r w:rsidR="00DC1539" w:rsidRPr="001B036C">
        <w:rPr>
          <w:rFonts w:ascii="Franklin Gothic Book" w:eastAsiaTheme="minorHAnsi" w:hAnsi="Franklin Gothic Book" w:cstheme="minorBidi"/>
          <w:sz w:val="22"/>
          <w:szCs w:val="22"/>
          <w:lang w:eastAsia="en-US"/>
        </w:rPr>
        <w:t xml:space="preserve">require additional </w:t>
      </w:r>
      <w:r w:rsidR="00E60C04" w:rsidRPr="001B036C">
        <w:rPr>
          <w:rFonts w:ascii="Franklin Gothic Book" w:eastAsiaTheme="minorHAnsi" w:hAnsi="Franklin Gothic Book" w:cstheme="minorBidi"/>
          <w:sz w:val="22"/>
          <w:szCs w:val="22"/>
          <w:lang w:eastAsia="en-US"/>
        </w:rPr>
        <w:t xml:space="preserve">investigations </w:t>
      </w:r>
      <w:r w:rsidR="00DC1539" w:rsidRPr="001B036C">
        <w:rPr>
          <w:rFonts w:ascii="Franklin Gothic Book" w:eastAsiaTheme="minorHAnsi" w:hAnsi="Franklin Gothic Book" w:cstheme="minorBidi"/>
          <w:sz w:val="22"/>
          <w:szCs w:val="22"/>
          <w:lang w:eastAsia="en-US"/>
        </w:rPr>
        <w:t>(e.g. imaging/colonoscopy).</w:t>
      </w:r>
    </w:p>
    <w:p w14:paraId="0FC1A975" w14:textId="612B8D60" w:rsidR="007619C3" w:rsidRPr="001B036C" w:rsidRDefault="007619C3" w:rsidP="00D47945">
      <w:pPr>
        <w:pStyle w:val="pb-2"/>
      </w:pPr>
      <w:r w:rsidRPr="001B036C">
        <w:rPr>
          <w:rFonts w:ascii="Franklin Gothic Book" w:eastAsiaTheme="minorHAnsi" w:hAnsi="Franklin Gothic Book" w:cstheme="minorBidi"/>
          <w:sz w:val="22"/>
          <w:szCs w:val="22"/>
          <w:lang w:eastAsia="en-US"/>
        </w:rPr>
        <w:t xml:space="preserve">The current clinical guidelines vary in the recommended frequency for FC testing, generally recommending intervals ranging from 3 to 12 months based on factors such as recent disease activity, time since diagnosis, recent therapeutic modifications, and patient preference. </w:t>
      </w:r>
    </w:p>
    <w:p w14:paraId="138EA182" w14:textId="12534071" w:rsidR="007619C3" w:rsidRPr="001B036C" w:rsidRDefault="007619C3" w:rsidP="009C0E0B">
      <w:pPr>
        <w:pStyle w:val="Heading4"/>
        <w:rPr>
          <w:lang w:val="en-US"/>
        </w:rPr>
      </w:pPr>
      <w:r w:rsidRPr="001B036C">
        <w:t>Linked evidence of health outcomes</w:t>
      </w:r>
    </w:p>
    <w:p w14:paraId="61D6ADF3" w14:textId="685DB1CF" w:rsidR="007619C3" w:rsidRPr="001B036C" w:rsidRDefault="00A92476" w:rsidP="002F6007">
      <w:r w:rsidRPr="001B036C">
        <w:t>Based on the evidence presented in Section 2B.2, FC</w:t>
      </w:r>
      <w:r w:rsidR="007619C3" w:rsidRPr="001B036C">
        <w:t xml:space="preserve"> test offers significant clinical benefits as a non-invasive tool for identifying disease activity, confirming remission and predicting potential flares in IBD. With or without changes in treatment, its use can contribute </w:t>
      </w:r>
      <w:proofErr w:type="gramStart"/>
      <w:r w:rsidR="00E01456" w:rsidRPr="001B036C">
        <w:t>in</w:t>
      </w:r>
      <w:proofErr w:type="gramEnd"/>
      <w:r w:rsidR="007619C3" w:rsidRPr="001B036C">
        <w:t xml:space="preserve"> preventing morbidities, avoiding complications, and improving health-related quality of life. The FC test is associated with no known adverse effects, and its ability to potentially replace the colonoscopies in symptomatic patients could reduce the number of colonoscopy-related adverse events</w:t>
      </w:r>
      <w:r w:rsidR="009B5E4A" w:rsidRPr="00083E3C">
        <w:rPr>
          <w:vertAlign w:val="superscript"/>
        </w:rPr>
        <w:t>18</w:t>
      </w:r>
      <w:r w:rsidR="002C54B8">
        <w:rPr>
          <w:vertAlign w:val="superscript"/>
        </w:rPr>
        <w:t xml:space="preserve"> 20</w:t>
      </w:r>
      <w:r w:rsidR="007619C3" w:rsidRPr="001B036C">
        <w:t>. Moreover, trends in FC results can provide valuable insights for long-term management, particularly in predicting disease recurrence during the post-treatment maintenance phase</w:t>
      </w:r>
      <w:r w:rsidR="00D04100" w:rsidRPr="00083E3C">
        <w:rPr>
          <w:vertAlign w:val="superscript"/>
        </w:rPr>
        <w:t>5</w:t>
      </w:r>
      <w:r w:rsidR="007619C3" w:rsidRPr="001B036C">
        <w:t xml:space="preserve">. </w:t>
      </w:r>
    </w:p>
    <w:p w14:paraId="4D5E3104" w14:textId="01CE904A" w:rsidR="008C63A2" w:rsidRPr="001B036C" w:rsidRDefault="007619C3">
      <w:pPr>
        <w:pStyle w:val="Instructionaltext"/>
        <w:rPr>
          <w:color w:val="auto"/>
        </w:rPr>
      </w:pPr>
      <w:r w:rsidRPr="001B036C">
        <w:rPr>
          <w:color w:val="auto"/>
        </w:rPr>
        <w:t xml:space="preserve">Overall, the health benefits of FC testing for the assessment and monitoring of disease activity in IBD patients </w:t>
      </w:r>
      <w:r w:rsidR="009006BB">
        <w:rPr>
          <w:color w:val="auto"/>
        </w:rPr>
        <w:t>may</w:t>
      </w:r>
      <w:r w:rsidRPr="001B036C">
        <w:rPr>
          <w:color w:val="auto"/>
        </w:rPr>
        <w:t xml:space="preserve"> lead to improved health outcomes due to :(1) improved safety due to reduction in colonoscopies </w:t>
      </w:r>
      <w:r w:rsidR="0022784D">
        <w:rPr>
          <w:rStyle w:val="FootnoteReference"/>
          <w:color w:val="auto"/>
        </w:rPr>
        <w:footnoteReference w:id="22"/>
      </w:r>
      <w:r w:rsidRPr="001B036C">
        <w:rPr>
          <w:color w:val="auto"/>
        </w:rPr>
        <w:t xml:space="preserve"> and (2) a tighter disease control</w:t>
      </w:r>
      <w:r w:rsidR="00E14739" w:rsidRPr="00083E3C">
        <w:rPr>
          <w:color w:val="auto"/>
          <w:vertAlign w:val="superscript"/>
        </w:rPr>
        <w:t>1</w:t>
      </w:r>
      <w:r w:rsidR="00934D3E">
        <w:rPr>
          <w:color w:val="auto"/>
          <w:vertAlign w:val="superscript"/>
        </w:rPr>
        <w:t>5</w:t>
      </w:r>
      <w:r w:rsidRPr="001B036C">
        <w:rPr>
          <w:color w:val="auto"/>
        </w:rPr>
        <w:t>.</w:t>
      </w:r>
      <w:r w:rsidRPr="001B036C">
        <w:t xml:space="preserve"> </w:t>
      </w:r>
      <w:r w:rsidRPr="001B036C">
        <w:rPr>
          <w:color w:val="auto"/>
        </w:rPr>
        <w:t>Colonoscopies are associated with risks such as post-colonoscopy bleeding, bowel perforation, and infection, with perforation rates as high as 1% in IBD patients</w:t>
      </w:r>
      <w:r w:rsidR="00E14739">
        <w:rPr>
          <w:rStyle w:val="FootnoteReference"/>
          <w:color w:val="auto"/>
        </w:rPr>
        <w:footnoteReference w:id="23"/>
      </w:r>
      <w:r w:rsidRPr="001B036C">
        <w:rPr>
          <w:color w:val="auto"/>
        </w:rPr>
        <w:t xml:space="preserve">. By reducing colonoscopy frequency, FC testing can mitigate these risks, offering a safer monitoring alternative. </w:t>
      </w:r>
    </w:p>
    <w:p w14:paraId="287565B2" w14:textId="38F7304E" w:rsidR="00AD1D4A" w:rsidRPr="001B036C" w:rsidRDefault="006F5D00">
      <w:pPr>
        <w:pStyle w:val="Instructionaltext"/>
        <w:rPr>
          <w:color w:val="auto"/>
        </w:rPr>
      </w:pPr>
      <w:r w:rsidRPr="001B036C">
        <w:rPr>
          <w:color w:val="auto"/>
        </w:rPr>
        <w:t>R</w:t>
      </w:r>
      <w:r w:rsidR="007619C3" w:rsidRPr="001B036C">
        <w:rPr>
          <w:color w:val="auto"/>
        </w:rPr>
        <w:t xml:space="preserve">egular FC testing </w:t>
      </w:r>
      <w:r w:rsidR="009006BB">
        <w:rPr>
          <w:color w:val="auto"/>
        </w:rPr>
        <w:t>may</w:t>
      </w:r>
      <w:r w:rsidR="009006BB" w:rsidRPr="001B036C">
        <w:rPr>
          <w:color w:val="auto"/>
        </w:rPr>
        <w:t xml:space="preserve"> </w:t>
      </w:r>
      <w:r w:rsidR="007619C3" w:rsidRPr="001B036C">
        <w:rPr>
          <w:color w:val="auto"/>
        </w:rPr>
        <w:t>improve disease management by predicting relapses early and optimi</w:t>
      </w:r>
      <w:r w:rsidR="00326910" w:rsidRPr="001B036C">
        <w:rPr>
          <w:color w:val="auto"/>
        </w:rPr>
        <w:t>s</w:t>
      </w:r>
      <w:r w:rsidR="007619C3" w:rsidRPr="001B036C">
        <w:rPr>
          <w:color w:val="auto"/>
        </w:rPr>
        <w:t>ing treatment response, thereby reducing disease progression and complications</w:t>
      </w:r>
      <w:r w:rsidR="00496727" w:rsidRPr="00083E3C">
        <w:rPr>
          <w:color w:val="auto"/>
          <w:vertAlign w:val="superscript"/>
        </w:rPr>
        <w:t>1</w:t>
      </w:r>
      <w:r w:rsidR="00934D3E">
        <w:rPr>
          <w:color w:val="auto"/>
          <w:vertAlign w:val="superscript"/>
        </w:rPr>
        <w:t>6</w:t>
      </w:r>
      <w:r w:rsidR="007619C3" w:rsidRPr="001B036C">
        <w:rPr>
          <w:color w:val="auto"/>
        </w:rPr>
        <w:t xml:space="preserve">. </w:t>
      </w:r>
      <w:r w:rsidRPr="001B036C">
        <w:rPr>
          <w:color w:val="auto"/>
        </w:rPr>
        <w:t>In this regard, t</w:t>
      </w:r>
      <w:r w:rsidR="00C0437A" w:rsidRPr="001B036C">
        <w:rPr>
          <w:color w:val="auto"/>
        </w:rPr>
        <w:t xml:space="preserve">he CALM study </w:t>
      </w:r>
      <w:r w:rsidR="00677145" w:rsidRPr="001B036C">
        <w:rPr>
          <w:color w:val="auto"/>
        </w:rPr>
        <w:t xml:space="preserve">was the first randomised controlled trial that showed that patients </w:t>
      </w:r>
      <w:r w:rsidR="00155C0E" w:rsidRPr="001B036C">
        <w:rPr>
          <w:color w:val="auto"/>
        </w:rPr>
        <w:t xml:space="preserve">with early CD </w:t>
      </w:r>
      <w:r w:rsidR="00B709AF" w:rsidRPr="001B036C">
        <w:rPr>
          <w:color w:val="auto"/>
        </w:rPr>
        <w:t>who had their treatment monitored using biochemical targets (tight control arm) achieved higher rates of endoscopic remission at 1 year compared to those whose treatment was guided by clinical targets alone</w:t>
      </w:r>
      <w:r w:rsidR="00BA1612" w:rsidRPr="00083E3C">
        <w:rPr>
          <w:color w:val="auto"/>
          <w:vertAlign w:val="superscript"/>
        </w:rPr>
        <w:t>1</w:t>
      </w:r>
      <w:r w:rsidR="00EA37D6">
        <w:rPr>
          <w:color w:val="auto"/>
          <w:vertAlign w:val="superscript"/>
        </w:rPr>
        <w:t>5</w:t>
      </w:r>
      <w:r w:rsidR="00683982" w:rsidRPr="001B036C">
        <w:rPr>
          <w:color w:val="auto"/>
        </w:rPr>
        <w:t xml:space="preserve">. </w:t>
      </w:r>
      <w:r w:rsidR="00BE6494" w:rsidRPr="001B036C">
        <w:rPr>
          <w:color w:val="auto"/>
        </w:rPr>
        <w:t xml:space="preserve">A significantly higher proportion of patients achieved mucosal healing at </w:t>
      </w:r>
      <w:r w:rsidR="005E78E5" w:rsidRPr="001B036C">
        <w:rPr>
          <w:color w:val="auto"/>
        </w:rPr>
        <w:t>48 weeks</w:t>
      </w:r>
      <w:r w:rsidR="00BE6494" w:rsidRPr="001B036C">
        <w:rPr>
          <w:color w:val="auto"/>
        </w:rPr>
        <w:t xml:space="preserve"> (46% vs. 30%; adjusted risk difference 16.1%, 95% CI: 3.9–28.3; </w:t>
      </w:r>
      <w:r w:rsidR="005E78E5" w:rsidRPr="001B036C">
        <w:rPr>
          <w:color w:val="auto"/>
        </w:rPr>
        <w:t>p</w:t>
      </w:r>
      <w:r w:rsidR="00BE6494" w:rsidRPr="001B036C">
        <w:rPr>
          <w:color w:val="auto"/>
        </w:rPr>
        <w:t xml:space="preserve"> = 0.010) with a tight control strategy compared to symptom-driven clinical management. Additionally, the tight control arm experienced fewer Crohn disease-related hospitali</w:t>
      </w:r>
      <w:r w:rsidR="00326910" w:rsidRPr="001B036C">
        <w:rPr>
          <w:color w:val="auto"/>
        </w:rPr>
        <w:t>sations</w:t>
      </w:r>
      <w:r w:rsidR="00BE6494" w:rsidRPr="001B036C">
        <w:rPr>
          <w:color w:val="auto"/>
        </w:rPr>
        <w:t xml:space="preserve"> (13.2 vs. 28.0 events per 100 patient-years; </w:t>
      </w:r>
      <w:r w:rsidR="00025E2E" w:rsidRPr="001B036C">
        <w:rPr>
          <w:color w:val="auto"/>
        </w:rPr>
        <w:t>p</w:t>
      </w:r>
      <w:r w:rsidR="00BE6494" w:rsidRPr="001B036C">
        <w:rPr>
          <w:color w:val="auto"/>
        </w:rPr>
        <w:t xml:space="preserve"> = 0.021).</w:t>
      </w:r>
      <w:r w:rsidR="00A1176E" w:rsidRPr="001B036C">
        <w:rPr>
          <w:color w:val="auto"/>
        </w:rPr>
        <w:t xml:space="preserve"> Follow-up data for an additional three years from the CALM study on 122 patients showed that achieving endoscopic remission (adjusted hazard ratio = 0.44, 95% CI: 0.20–0.96) and combined endoscopic and clinical (deep) remission (HR = 0.25, 95% CI: 0.09–0.72) at 1 year was associated with a significantly lower risk of adverse outcomes. These outcomes included new internal fistulas or abscesses, strictures, perianal fistulas or abscesses, hospitali</w:t>
      </w:r>
      <w:r w:rsidR="00326910" w:rsidRPr="001B036C">
        <w:rPr>
          <w:color w:val="auto"/>
        </w:rPr>
        <w:t>sations</w:t>
      </w:r>
      <w:r w:rsidR="00A1176E" w:rsidRPr="001B036C">
        <w:rPr>
          <w:color w:val="auto"/>
        </w:rPr>
        <w:t>, or surgeries during long-term follow-up</w:t>
      </w:r>
      <w:r w:rsidR="003D5579">
        <w:rPr>
          <w:rStyle w:val="FootnoteReference"/>
          <w:color w:val="auto"/>
        </w:rPr>
        <w:footnoteReference w:id="24"/>
      </w:r>
      <w:r w:rsidR="00A1176E" w:rsidRPr="001B036C">
        <w:rPr>
          <w:color w:val="auto"/>
        </w:rPr>
        <w:t>.</w:t>
      </w:r>
    </w:p>
    <w:p w14:paraId="76F30CD5" w14:textId="31DB51EA" w:rsidR="00052B4E" w:rsidRPr="001B036C" w:rsidRDefault="00AB4B4C" w:rsidP="001C6A90">
      <w:r w:rsidRPr="001B036C">
        <w:t>If t</w:t>
      </w:r>
      <w:r w:rsidR="00052B4E" w:rsidRPr="001B036C">
        <w:t xml:space="preserve">ight </w:t>
      </w:r>
      <w:r w:rsidRPr="001B036C">
        <w:t xml:space="preserve">control </w:t>
      </w:r>
      <w:r w:rsidR="00BF1E9C" w:rsidRPr="001B036C">
        <w:t xml:space="preserve">of IBD </w:t>
      </w:r>
      <w:r w:rsidRPr="001B036C">
        <w:t xml:space="preserve">improves mucosal healing </w:t>
      </w:r>
      <w:r w:rsidR="00BF1E9C" w:rsidRPr="001B036C">
        <w:t>it will</w:t>
      </w:r>
      <w:r w:rsidRPr="001B036C">
        <w:t xml:space="preserve"> reduce </w:t>
      </w:r>
      <w:r w:rsidR="00090556" w:rsidRPr="001B036C">
        <w:t xml:space="preserve">inflammation </w:t>
      </w:r>
      <w:r w:rsidR="00BF1E9C" w:rsidRPr="001B036C">
        <w:t>which conseq</w:t>
      </w:r>
      <w:r w:rsidR="00D501B5" w:rsidRPr="001B036C">
        <w:t xml:space="preserve">uently may </w:t>
      </w:r>
      <w:r w:rsidR="003721F5" w:rsidRPr="001B036C">
        <w:t xml:space="preserve">reduce the damage </w:t>
      </w:r>
      <w:r w:rsidR="00090556" w:rsidRPr="001B036C">
        <w:t>caus</w:t>
      </w:r>
      <w:r w:rsidR="003721F5" w:rsidRPr="001B036C">
        <w:t>ed</w:t>
      </w:r>
      <w:r w:rsidR="00090556" w:rsidRPr="001B036C">
        <w:t xml:space="preserve"> </w:t>
      </w:r>
      <w:r w:rsidR="00A97763" w:rsidRPr="001B036C">
        <w:t xml:space="preserve">by inflammation at a </w:t>
      </w:r>
      <w:r w:rsidR="00090556" w:rsidRPr="001B036C">
        <w:t xml:space="preserve">cellular/DNA </w:t>
      </w:r>
      <w:r w:rsidR="00A97763" w:rsidRPr="001B036C">
        <w:t xml:space="preserve">level. </w:t>
      </w:r>
      <w:r w:rsidR="00A632C5" w:rsidRPr="001B036C">
        <w:t xml:space="preserve">Chronic intestinal inflammation is the primary risk factor for the development of gastrointestinal malignancy (including colorectal cancer, small bowel adenocarcinoma, intestinal lymphoma, anal cancer, and </w:t>
      </w:r>
      <w:r w:rsidR="00A632C5" w:rsidRPr="001B036C">
        <w:lastRenderedPageBreak/>
        <w:t>cholangiocarcinoma)</w:t>
      </w:r>
      <w:r w:rsidR="00C4566B">
        <w:rPr>
          <w:rStyle w:val="FootnoteReference"/>
        </w:rPr>
        <w:footnoteReference w:id="25"/>
      </w:r>
      <w:r w:rsidR="0085242C" w:rsidRPr="001B036C">
        <w:t>.</w:t>
      </w:r>
      <w:r w:rsidR="00A632C5" w:rsidRPr="001B036C">
        <w:t xml:space="preserve"> </w:t>
      </w:r>
      <w:r w:rsidR="00A8291C" w:rsidRPr="001B036C">
        <w:t>This underlying</w:t>
      </w:r>
      <w:r w:rsidR="002022FD" w:rsidRPr="001B036C">
        <w:t xml:space="preserve"> inflammatory state together with the </w:t>
      </w:r>
      <w:r w:rsidR="00090556" w:rsidRPr="001B036C">
        <w:t xml:space="preserve">medical therapies that control disease flare (e.g. anti-tumour necrosis factor (TNF) therapies, </w:t>
      </w:r>
      <w:proofErr w:type="spellStart"/>
      <w:r w:rsidR="00090556" w:rsidRPr="001B036C">
        <w:t>antiinterleukin</w:t>
      </w:r>
      <w:proofErr w:type="spellEnd"/>
      <w:r w:rsidR="00090556" w:rsidRPr="001B036C">
        <w:t xml:space="preserve"> (IL)-12/23 agents, sphingosine-1-phosphate (S1P) receptor inhibitors and small molecule therapies) </w:t>
      </w:r>
      <w:r w:rsidR="00B375BD" w:rsidRPr="001B036C">
        <w:t xml:space="preserve">increase the risk </w:t>
      </w:r>
      <w:r w:rsidR="00F53BC9" w:rsidRPr="001B036C">
        <w:t>of developing extra-intestinal malignancies</w:t>
      </w:r>
      <w:r w:rsidR="00095C8A" w:rsidRPr="00083E3C">
        <w:rPr>
          <w:vertAlign w:val="superscript"/>
        </w:rPr>
        <w:t>6 7</w:t>
      </w:r>
      <w:r w:rsidR="00095C8A">
        <w:t xml:space="preserve"> </w:t>
      </w:r>
      <w:r w:rsidR="00714D16">
        <w:rPr>
          <w:rStyle w:val="FootnoteReference"/>
        </w:rPr>
        <w:footnoteReference w:id="26"/>
      </w:r>
      <w:r w:rsidR="00AE1A11">
        <w:t xml:space="preserve"> </w:t>
      </w:r>
      <w:r w:rsidR="00090556" w:rsidRPr="001B036C">
        <w:t>.</w:t>
      </w:r>
      <w:r w:rsidR="00D24C7C" w:rsidRPr="001B036C">
        <w:t xml:space="preserve"> There is substantial data suggesting that </w:t>
      </w:r>
      <w:r w:rsidR="00133F33" w:rsidRPr="001B036C">
        <w:t xml:space="preserve">the immunosuppression </w:t>
      </w:r>
      <w:r w:rsidR="00B619FB" w:rsidRPr="001B036C">
        <w:t xml:space="preserve">caused by </w:t>
      </w:r>
      <w:r w:rsidR="00D24C7C" w:rsidRPr="001B036C">
        <w:t xml:space="preserve">TNF alpha antagonists (i.e. infliximab) and other targeted small molecules (i.e., tofacitinib) </w:t>
      </w:r>
      <w:r w:rsidR="00B619FB" w:rsidRPr="001B036C">
        <w:t>lead to a</w:t>
      </w:r>
      <w:r w:rsidR="00D24C7C" w:rsidRPr="001B036C">
        <w:t xml:space="preserve"> 1.5 to 2 times higher risk of serious infections </w:t>
      </w:r>
      <w:r w:rsidR="00AF06B6" w:rsidRPr="001B036C">
        <w:t xml:space="preserve">leading to hospitalisations </w:t>
      </w:r>
      <w:r w:rsidR="00D24C7C" w:rsidRPr="001B036C">
        <w:t>compared to non-biologic immunosuppressive agents (i.e., thiopurines). Among currently approved biologic therapies, TNF alpha antagonists may be linked to an increased risk of lymphoma, especially when used in combination with thiopurines</w:t>
      </w:r>
      <w:r w:rsidR="008C5639">
        <w:rPr>
          <w:vertAlign w:val="superscript"/>
        </w:rPr>
        <w:t>8</w:t>
      </w:r>
      <w:r w:rsidR="00D24C7C" w:rsidRPr="001B036C">
        <w:t xml:space="preserve">. </w:t>
      </w:r>
      <w:r w:rsidR="00284CBA" w:rsidRPr="001B036C">
        <w:t xml:space="preserve">Reducing </w:t>
      </w:r>
      <w:r w:rsidR="00FD4247">
        <w:t xml:space="preserve">IBD patients’ </w:t>
      </w:r>
      <w:r w:rsidR="00284CBA" w:rsidRPr="001B036C">
        <w:t xml:space="preserve">immunosuppressive status </w:t>
      </w:r>
      <w:r w:rsidR="00E178A9" w:rsidRPr="001B036C">
        <w:t xml:space="preserve">by reducing the exposure </w:t>
      </w:r>
      <w:r w:rsidR="00D40004" w:rsidRPr="001B036C">
        <w:t xml:space="preserve">to these medications </w:t>
      </w:r>
      <w:r w:rsidR="00284CBA" w:rsidRPr="001B036C">
        <w:t xml:space="preserve">may also improve </w:t>
      </w:r>
      <w:r w:rsidR="00E55006" w:rsidRPr="001B036C">
        <w:t xml:space="preserve">health outcomes. </w:t>
      </w:r>
      <w:r w:rsidR="00D40004" w:rsidRPr="001B036C">
        <w:t xml:space="preserve">Potentially, FC testing may help in this regard. </w:t>
      </w:r>
    </w:p>
    <w:p w14:paraId="2FB1A9EC" w14:textId="2AA79A50" w:rsidR="007619C3" w:rsidRPr="001B036C" w:rsidRDefault="007619C3">
      <w:pPr>
        <w:pStyle w:val="Instructionaltext"/>
        <w:rPr>
          <w:color w:val="auto"/>
        </w:rPr>
      </w:pPr>
      <w:r w:rsidRPr="001B036C">
        <w:rPr>
          <w:color w:val="auto"/>
        </w:rPr>
        <w:t>However, the success of this approach depends on patient adherence</w:t>
      </w:r>
      <w:r w:rsidR="009006BB">
        <w:rPr>
          <w:color w:val="auto"/>
        </w:rPr>
        <w:t xml:space="preserve"> to FC testing among other tests</w:t>
      </w:r>
      <w:r w:rsidRPr="001B036C">
        <w:rPr>
          <w:color w:val="auto"/>
        </w:rPr>
        <w:t xml:space="preserve">, which may be challenged </w:t>
      </w:r>
      <w:r w:rsidR="005F5DBC" w:rsidRPr="001B036C">
        <w:rPr>
          <w:color w:val="auto"/>
        </w:rPr>
        <w:t>due to</w:t>
      </w:r>
      <w:r w:rsidRPr="001B036C">
        <w:rPr>
          <w:color w:val="auto"/>
        </w:rPr>
        <w:t xml:space="preserve"> the need for repeated stool sample collection. </w:t>
      </w:r>
    </w:p>
    <w:p w14:paraId="4DD09C33" w14:textId="7AD7C35B" w:rsidR="007619C3" w:rsidRPr="001B036C" w:rsidRDefault="007619C3" w:rsidP="0009263D">
      <w:pPr>
        <w:pStyle w:val="Instructionaltext"/>
        <w:rPr>
          <w:color w:val="auto"/>
        </w:rPr>
      </w:pPr>
      <w:r w:rsidRPr="001B036C">
        <w:rPr>
          <w:color w:val="auto"/>
        </w:rPr>
        <w:t>The</w:t>
      </w:r>
      <w:r w:rsidR="009006BB">
        <w:rPr>
          <w:color w:val="auto"/>
        </w:rPr>
        <w:t xml:space="preserve"> potential</w:t>
      </w:r>
      <w:r w:rsidR="009006BB" w:rsidRPr="001B036C">
        <w:rPr>
          <w:color w:val="auto"/>
        </w:rPr>
        <w:t xml:space="preserve"> </w:t>
      </w:r>
      <w:r w:rsidRPr="001B036C">
        <w:rPr>
          <w:color w:val="auto"/>
        </w:rPr>
        <w:t>benefits</w:t>
      </w:r>
      <w:r w:rsidR="009006BB">
        <w:rPr>
          <w:color w:val="auto"/>
        </w:rPr>
        <w:t xml:space="preserve"> of FC testing</w:t>
      </w:r>
      <w:r w:rsidRPr="001B036C">
        <w:rPr>
          <w:color w:val="auto"/>
        </w:rPr>
        <w:t xml:space="preserve"> can be summarised as follows:</w:t>
      </w:r>
    </w:p>
    <w:p w14:paraId="570525B8" w14:textId="6E6E05DC" w:rsidR="007619C3" w:rsidRPr="001B036C" w:rsidRDefault="76E93C43" w:rsidP="001E6DBB">
      <w:pPr>
        <w:pStyle w:val="ListParagraph"/>
        <w:numPr>
          <w:ilvl w:val="0"/>
          <w:numId w:val="32"/>
        </w:numPr>
      </w:pPr>
      <w:r w:rsidRPr="001B036C">
        <w:t>Potentially r</w:t>
      </w:r>
      <w:r w:rsidR="7C84DBEA" w:rsidRPr="001B036C">
        <w:t>educed burden of colonoscopy due to the replacement for FC: colonoscopy is invasive, resource-intensive, and is associated with patient discomfort mainly from bowel preparation. Integrating FC testing into clinical practice can reduce the number of these procedures, thus optimi</w:t>
      </w:r>
      <w:r w:rsidR="23C36F44" w:rsidRPr="001B036C">
        <w:t>s</w:t>
      </w:r>
      <w:r w:rsidR="7C84DBEA" w:rsidRPr="001B036C">
        <w:t>ing patient care</w:t>
      </w:r>
      <w:r w:rsidR="00BF4099">
        <w:rPr>
          <w:rStyle w:val="FootnoteReference"/>
        </w:rPr>
        <w:footnoteReference w:id="27"/>
      </w:r>
      <w:r w:rsidR="7C84DBEA" w:rsidRPr="001B036C">
        <w:t>.</w:t>
      </w:r>
    </w:p>
    <w:p w14:paraId="7B84F1D6" w14:textId="05B34241" w:rsidR="007619C3" w:rsidRPr="001B036C" w:rsidRDefault="009006BB" w:rsidP="001E6DBB">
      <w:pPr>
        <w:pStyle w:val="ListParagraph"/>
        <w:numPr>
          <w:ilvl w:val="0"/>
          <w:numId w:val="32"/>
        </w:numPr>
      </w:pPr>
      <w:r>
        <w:t>Improved</w:t>
      </w:r>
      <w:r w:rsidRPr="001B036C">
        <w:t xml:space="preserve"> </w:t>
      </w:r>
      <w:r w:rsidR="007619C3" w:rsidRPr="001B036C">
        <w:t xml:space="preserve">safety </w:t>
      </w:r>
      <w:r>
        <w:t>due to avoidance of</w:t>
      </w:r>
      <w:r w:rsidR="007619C3" w:rsidRPr="001B036C">
        <w:t xml:space="preserve"> colonoscopy: While colonoscopy has significant diagnostic value, it carries inherent risks such as bowel perforation, bleeding, and sedation-related complications</w:t>
      </w:r>
      <w:r w:rsidR="006F4B2E" w:rsidRPr="00083E3C">
        <w:rPr>
          <w:vertAlign w:val="superscript"/>
        </w:rPr>
        <w:t>21</w:t>
      </w:r>
      <w:r w:rsidR="007619C3" w:rsidRPr="001B036C">
        <w:t>. FC testing offers a non-invasive alternative to monitor disease activity, potentially preventing some of these risks.</w:t>
      </w:r>
    </w:p>
    <w:p w14:paraId="363E9175" w14:textId="58321E34" w:rsidR="007619C3" w:rsidRPr="001B036C" w:rsidRDefault="007619C3" w:rsidP="001E6DBB">
      <w:pPr>
        <w:pStyle w:val="ListParagraph"/>
        <w:numPr>
          <w:ilvl w:val="0"/>
          <w:numId w:val="32"/>
        </w:numPr>
      </w:pPr>
      <w:r w:rsidRPr="001B036C">
        <w:t>Earlier treatment decisions: FC testing can guide earlier treatment interventions including initiation, dose escalation/de-escalation or maintenance therapy</w:t>
      </w:r>
      <w:r w:rsidR="006E7FB4">
        <w:rPr>
          <w:vertAlign w:val="superscript"/>
        </w:rPr>
        <w:t>20</w:t>
      </w:r>
      <w:r w:rsidRPr="001B036C">
        <w:t>. Personali</w:t>
      </w:r>
      <w:r w:rsidR="00326910" w:rsidRPr="001B036C">
        <w:t>s</w:t>
      </w:r>
      <w:r w:rsidRPr="001B036C">
        <w:t>ed treatment ensures appropriate care while minimising unnecessary interventions. This may lead to benefits in terms of reduced hospitalisations, particularly if relapses can be identified before they become symptomatic</w:t>
      </w:r>
      <w:r w:rsidR="00167B49">
        <w:t xml:space="preserve"> </w:t>
      </w:r>
      <w:r w:rsidR="00167B49" w:rsidRPr="00083E3C">
        <w:rPr>
          <w:vertAlign w:val="superscript"/>
        </w:rPr>
        <w:t>1</w:t>
      </w:r>
      <w:r w:rsidR="005527A0">
        <w:rPr>
          <w:vertAlign w:val="superscript"/>
        </w:rPr>
        <w:t>5</w:t>
      </w:r>
      <w:r w:rsidR="00167B49">
        <w:t xml:space="preserve"> </w:t>
      </w:r>
      <w:r w:rsidR="00167B49" w:rsidRPr="00083E3C">
        <w:rPr>
          <w:vertAlign w:val="superscript"/>
        </w:rPr>
        <w:t>2</w:t>
      </w:r>
      <w:r w:rsidR="005527A0">
        <w:rPr>
          <w:vertAlign w:val="superscript"/>
        </w:rPr>
        <w:t>3</w:t>
      </w:r>
      <w:r w:rsidRPr="001B036C">
        <w:t>. Potentially this may also reduce the time off work and provide psychological benefits due to avoided colonoscopies</w:t>
      </w:r>
      <w:r w:rsidR="77F3C535" w:rsidRPr="001B036C">
        <w:t xml:space="preserve"> </w:t>
      </w:r>
      <w:r w:rsidR="00DC61C0">
        <w:rPr>
          <w:rStyle w:val="FootnoteReference"/>
        </w:rPr>
        <w:footnoteReference w:id="28"/>
      </w:r>
      <w:r w:rsidRPr="001B036C">
        <w:t xml:space="preserve">. </w:t>
      </w:r>
    </w:p>
    <w:p w14:paraId="195F12F1" w14:textId="5307A9A7" w:rsidR="007619C3" w:rsidRPr="001B036C" w:rsidRDefault="007619C3" w:rsidP="001E6DBB">
      <w:pPr>
        <w:pStyle w:val="ListParagraph"/>
        <w:numPr>
          <w:ilvl w:val="0"/>
          <w:numId w:val="32"/>
        </w:numPr>
      </w:pPr>
      <w:r w:rsidRPr="001B036C">
        <w:t>Mitigation of complications related to treatment therapies: FC-guided therapy decisions may lead to safer treatment profiles by optimising the length, duration and intensity of escalated therapies (e.g. immunomodulators, biologics)</w:t>
      </w:r>
      <w:r w:rsidR="00457E64">
        <w:t xml:space="preserve"> </w:t>
      </w:r>
      <w:r w:rsidR="00166437">
        <w:rPr>
          <w:vertAlign w:val="superscript"/>
        </w:rPr>
        <w:t xml:space="preserve">7 </w:t>
      </w:r>
      <w:r w:rsidR="00166437" w:rsidRPr="00083E3C">
        <w:rPr>
          <w:vertAlign w:val="superscript"/>
        </w:rPr>
        <w:t>8 16</w:t>
      </w:r>
      <w:r w:rsidRPr="001B036C">
        <w:t xml:space="preserve">. </w:t>
      </w:r>
    </w:p>
    <w:p w14:paraId="6F666E6E" w14:textId="1391E1C7" w:rsidR="007619C3" w:rsidRPr="001B036C" w:rsidRDefault="007619C3" w:rsidP="00D47945">
      <w:pPr>
        <w:pStyle w:val="Instructionaltext"/>
        <w:rPr>
          <w:color w:val="auto"/>
        </w:rPr>
      </w:pPr>
      <w:r w:rsidRPr="001B036C">
        <w:rPr>
          <w:color w:val="auto"/>
        </w:rPr>
        <w:t>The economic evaluation section based the rates of colonoscopy</w:t>
      </w:r>
      <w:r w:rsidR="00486D92" w:rsidRPr="001B036C">
        <w:rPr>
          <w:color w:val="auto"/>
        </w:rPr>
        <w:t>-</w:t>
      </w:r>
      <w:r w:rsidRPr="001B036C">
        <w:rPr>
          <w:color w:val="auto"/>
        </w:rPr>
        <w:t>related perforation rates</w:t>
      </w:r>
      <w:r w:rsidR="00D219EF" w:rsidRPr="001B036C">
        <w:rPr>
          <w:color w:val="auto"/>
        </w:rPr>
        <w:t xml:space="preserve"> on two large US cohort studies</w:t>
      </w:r>
      <w:r w:rsidRPr="001B036C">
        <w:rPr>
          <w:color w:val="auto"/>
        </w:rPr>
        <w:t xml:space="preserve">, that were previously </w:t>
      </w:r>
      <w:r w:rsidR="006748EF" w:rsidRPr="001B036C">
        <w:rPr>
          <w:color w:val="auto"/>
        </w:rPr>
        <w:t xml:space="preserve">presented </w:t>
      </w:r>
      <w:r w:rsidR="00F26AE3" w:rsidRPr="001B036C">
        <w:rPr>
          <w:color w:val="auto"/>
        </w:rPr>
        <w:t>in the MSAC application 13</w:t>
      </w:r>
      <w:r w:rsidR="006748EF" w:rsidRPr="001B036C">
        <w:rPr>
          <w:color w:val="auto"/>
        </w:rPr>
        <w:t>5</w:t>
      </w:r>
      <w:r w:rsidR="00F26AE3" w:rsidRPr="001B036C">
        <w:rPr>
          <w:color w:val="auto"/>
        </w:rPr>
        <w:t>3.1</w:t>
      </w:r>
      <w:r w:rsidR="00457E64">
        <w:rPr>
          <w:rStyle w:val="FootnoteReference"/>
          <w:color w:val="auto"/>
        </w:rPr>
        <w:footnoteReference w:id="29"/>
      </w:r>
      <w:r w:rsidR="00B221EE">
        <w:rPr>
          <w:color w:val="auto"/>
        </w:rPr>
        <w:t xml:space="preserve"> </w:t>
      </w:r>
      <w:r w:rsidR="00B221EE">
        <w:rPr>
          <w:rStyle w:val="FootnoteReference"/>
          <w:color w:val="auto"/>
        </w:rPr>
        <w:footnoteReference w:id="30"/>
      </w:r>
      <w:r w:rsidRPr="001B036C">
        <w:rPr>
          <w:color w:val="auto"/>
        </w:rPr>
        <w:t>.</w:t>
      </w:r>
    </w:p>
    <w:p w14:paraId="47A76BB8" w14:textId="55D83958" w:rsidR="007619C3" w:rsidRPr="001B036C" w:rsidRDefault="007619C3" w:rsidP="00223664">
      <w:pPr>
        <w:tabs>
          <w:tab w:val="left" w:pos="720"/>
          <w:tab w:val="left" w:pos="1140"/>
        </w:tabs>
        <w:spacing w:before="240" w:after="120"/>
        <w:rPr>
          <w:b/>
          <w:bCs/>
        </w:rPr>
      </w:pPr>
      <w:r w:rsidRPr="001B036C">
        <w:rPr>
          <w:b/>
          <w:bCs/>
        </w:rPr>
        <w:lastRenderedPageBreak/>
        <w:t>Clinical claim</w:t>
      </w:r>
    </w:p>
    <w:p w14:paraId="710DCAD4" w14:textId="7BEA547E" w:rsidR="00C0499E" w:rsidRPr="001B036C" w:rsidRDefault="007619C3">
      <w:proofErr w:type="gramStart"/>
      <w:r w:rsidRPr="001B036C">
        <w:t>On the basis of</w:t>
      </w:r>
      <w:proofErr w:type="gramEnd"/>
      <w:r w:rsidRPr="001B036C">
        <w:t xml:space="preserve"> collective evidence profile relative to colonoscopy and biopsy, FC testing has </w:t>
      </w:r>
      <w:r w:rsidR="00052331" w:rsidRPr="001B036C">
        <w:t>non-inferior effectiveness and</w:t>
      </w:r>
      <w:r w:rsidR="00315C09" w:rsidRPr="001B036C">
        <w:t xml:space="preserve"> at least </w:t>
      </w:r>
      <w:r w:rsidR="00F16D27" w:rsidRPr="001B036C">
        <w:t xml:space="preserve">non-inferior </w:t>
      </w:r>
      <w:r w:rsidRPr="001B036C">
        <w:t xml:space="preserve">safety. </w:t>
      </w:r>
    </w:p>
    <w:p w14:paraId="7CDC5220" w14:textId="67B86F44" w:rsidR="007619C3" w:rsidRPr="001B036C" w:rsidRDefault="007619C3">
      <w:pPr>
        <w:rPr>
          <w:i/>
          <w:iCs/>
        </w:rPr>
      </w:pPr>
      <w:r w:rsidRPr="001B036C">
        <w:t xml:space="preserve">The FC test can play an important role in the monitoring of IBD flares, whilst acknowledging it is not a perfect surrogate for endoscopy. </w:t>
      </w:r>
      <w:r w:rsidR="00452E1B" w:rsidRPr="001B036C">
        <w:t>The evidence showed that:</w:t>
      </w:r>
    </w:p>
    <w:p w14:paraId="2BDD7D40" w14:textId="164C708F" w:rsidR="00446DD4" w:rsidRPr="001B036C" w:rsidRDefault="00446DD4" w:rsidP="001E6DBB">
      <w:pPr>
        <w:pStyle w:val="ListParagraph"/>
        <w:numPr>
          <w:ilvl w:val="0"/>
          <w:numId w:val="16"/>
        </w:numPr>
      </w:pPr>
      <w:r w:rsidRPr="001B036C">
        <w:t>The use of FC test results in at least non-inferior safety compared with colonoscopy/biopsy, based on its non-invasive nature.</w:t>
      </w:r>
    </w:p>
    <w:p w14:paraId="04C6DE6A" w14:textId="22A4EB24" w:rsidR="00C375B2" w:rsidRPr="001B036C" w:rsidRDefault="00C375B2" w:rsidP="001E6DBB">
      <w:pPr>
        <w:pStyle w:val="ListParagraph"/>
        <w:numPr>
          <w:ilvl w:val="0"/>
          <w:numId w:val="16"/>
        </w:numPr>
      </w:pPr>
      <w:r w:rsidRPr="001B036C">
        <w:t xml:space="preserve">The FC test accurately detects mucosal healing or active disease in patients with diagnosed UC or CD, </w:t>
      </w:r>
    </w:p>
    <w:p w14:paraId="29357A6A" w14:textId="6A6F8170" w:rsidR="00446DD4" w:rsidRPr="001B036C" w:rsidRDefault="00446DD4" w:rsidP="001E6DBB">
      <w:pPr>
        <w:pStyle w:val="ListParagraph"/>
        <w:numPr>
          <w:ilvl w:val="0"/>
          <w:numId w:val="16"/>
        </w:numPr>
      </w:pPr>
      <w:r w:rsidRPr="001B036C">
        <w:t>FC testing of asymptomatic patients with IBD, particularly in 3-4 month</w:t>
      </w:r>
      <w:r w:rsidR="001B036C">
        <w:t>s</w:t>
      </w:r>
      <w:r w:rsidRPr="001B036C">
        <w:t xml:space="preserve"> intervals, demonstrated a good ability to predict disease relapse. </w:t>
      </w:r>
    </w:p>
    <w:p w14:paraId="5C4F3E9B" w14:textId="77777777" w:rsidR="00C375B2" w:rsidRPr="001B036C" w:rsidRDefault="00C375B2" w:rsidP="001E6DBB">
      <w:pPr>
        <w:pStyle w:val="ListParagraph"/>
        <w:numPr>
          <w:ilvl w:val="0"/>
          <w:numId w:val="16"/>
        </w:numPr>
      </w:pPr>
      <w:r w:rsidRPr="001B036C">
        <w:t>The FC test may be used to guide therapeutic intervention in IBD patients with an active flare, facilitating judicious use of escalated therapies.</w:t>
      </w:r>
    </w:p>
    <w:p w14:paraId="6F34C3B6" w14:textId="551D3FC8" w:rsidR="007619C3" w:rsidRPr="001B036C" w:rsidRDefault="007619C3" w:rsidP="0081540A">
      <w:r w:rsidRPr="001B036C">
        <w:t xml:space="preserve">The results in the pooled analyses were largely driven by the UC studies, but individual accuracy estimates showed consistent </w:t>
      </w:r>
      <w:r w:rsidR="009006BB">
        <w:t xml:space="preserve">accuracy </w:t>
      </w:r>
      <w:r w:rsidRPr="001B036C">
        <w:rPr>
          <w:rFonts w:eastAsiaTheme="minorEastAsia"/>
          <w:sz w:val="20"/>
          <w:szCs w:val="20"/>
        </w:rPr>
        <w:t>i</w:t>
      </w:r>
      <w:r w:rsidRPr="001B036C">
        <w:rPr>
          <w:rFonts w:eastAsiaTheme="minorEastAsia"/>
        </w:rPr>
        <w:t>n sensitivity and specificity across pooled UC and CD patient groups.</w:t>
      </w:r>
    </w:p>
    <w:p w14:paraId="5644FD66" w14:textId="5E24CB5F" w:rsidR="007619C3" w:rsidRPr="001B036C" w:rsidRDefault="007619C3" w:rsidP="0008754A">
      <w:pPr>
        <w:rPr>
          <w:rFonts w:eastAsia="Franklin Gothic Book" w:cs="Franklin Gothic Book"/>
        </w:rPr>
      </w:pPr>
      <w:r w:rsidRPr="001B036C">
        <w:t>When the FC test is used, with the option for follow-up colonoscopy if needed, IBD patients are likely to receive a superior model of care compared to when colonoscopy alone is available. Further, the FC</w:t>
      </w:r>
      <w:r w:rsidRPr="001B036C">
        <w:rPr>
          <w:rFonts w:eastAsiaTheme="minorEastAsia"/>
        </w:rPr>
        <w:t xml:space="preserve"> test may predict the </w:t>
      </w:r>
      <w:r w:rsidR="00740AB8" w:rsidRPr="001B036C">
        <w:rPr>
          <w:rFonts w:eastAsiaTheme="minorEastAsia"/>
        </w:rPr>
        <w:t>earlier</w:t>
      </w:r>
      <w:r w:rsidRPr="001B036C">
        <w:rPr>
          <w:rFonts w:eastAsiaTheme="minorEastAsia"/>
        </w:rPr>
        <w:t xml:space="preserve"> onset of a future flare in asymptomatic patients.</w:t>
      </w:r>
    </w:p>
    <w:p w14:paraId="2FBA1BA1" w14:textId="77777777" w:rsidR="007619C3" w:rsidRPr="001B036C" w:rsidRDefault="007619C3" w:rsidP="004027B0">
      <w:r w:rsidRPr="001B036C">
        <w:t xml:space="preserve">The benefit of the FC test compared to colonoscopy/biopsy lies in the ease-of-use and timing of information provided for the monitoring of IBD patients.  </w:t>
      </w:r>
    </w:p>
    <w:p w14:paraId="11C2C6B5" w14:textId="2D058BC8" w:rsidR="007619C3" w:rsidRPr="001B036C" w:rsidRDefault="007619C3" w:rsidP="004027B0">
      <w:pPr>
        <w:rPr>
          <w:rFonts w:eastAsia="Franklin Gothic Book" w:cs="Franklin Gothic Book"/>
        </w:rPr>
      </w:pPr>
      <w:r w:rsidRPr="001B036C">
        <w:t xml:space="preserve">For the majority of symptomatic and </w:t>
      </w:r>
      <w:r w:rsidR="00DC1F36" w:rsidRPr="001B036C">
        <w:t>some</w:t>
      </w:r>
      <w:r w:rsidRPr="001B036C">
        <w:t xml:space="preserve"> asymptomatic patients, FC testing may preclude the need for an endoscopy.</w:t>
      </w:r>
    </w:p>
    <w:p w14:paraId="09D95630" w14:textId="29695D2D" w:rsidR="0019792D" w:rsidRPr="001B036C" w:rsidRDefault="006F062F" w:rsidP="0019792D">
      <w:pPr>
        <w:pStyle w:val="Heading2"/>
        <w:numPr>
          <w:ilvl w:val="0"/>
          <w:numId w:val="0"/>
        </w:numPr>
      </w:pPr>
      <w:bookmarkStart w:id="33" w:name="_Toc176422712"/>
      <w:r w:rsidRPr="001B036C">
        <w:t>1</w:t>
      </w:r>
      <w:r w:rsidR="00FA283C">
        <w:t>3</w:t>
      </w:r>
      <w:r w:rsidR="0019792D" w:rsidRPr="001B036C">
        <w:t>.</w:t>
      </w:r>
      <w:r w:rsidR="0019792D" w:rsidRPr="001B036C">
        <w:tab/>
        <w:t>Economic evaluation</w:t>
      </w:r>
      <w:bookmarkEnd w:id="18"/>
      <w:bookmarkEnd w:id="33"/>
    </w:p>
    <w:p w14:paraId="71CC332C" w14:textId="6017B017" w:rsidR="0019792D" w:rsidRPr="001B036C" w:rsidRDefault="0019792D" w:rsidP="0019792D">
      <w:r w:rsidRPr="001B036C">
        <w:t>The clinical assessment of the evidence suggested that relative to colonoscopy/</w:t>
      </w:r>
      <w:r w:rsidRPr="001B036C" w:rsidDel="00E02B98">
        <w:t>biopsy</w:t>
      </w:r>
      <w:r w:rsidRPr="001B036C">
        <w:t xml:space="preserve">, FC testing has </w:t>
      </w:r>
      <w:r w:rsidRPr="001B036C" w:rsidDel="0011288A">
        <w:t xml:space="preserve">non-inferior </w:t>
      </w:r>
      <w:r w:rsidRPr="001B036C">
        <w:t xml:space="preserve">effectiveness in predicting mucosal healing, </w:t>
      </w:r>
      <w:r w:rsidR="00FB544B" w:rsidRPr="001B036C">
        <w:t xml:space="preserve">active </w:t>
      </w:r>
      <w:r w:rsidRPr="001B036C">
        <w:t xml:space="preserve">disease or relapse in symptomatic and asymptomatic patients. However, because of </w:t>
      </w:r>
      <w:r w:rsidR="00AC7B7A" w:rsidRPr="001B036C">
        <w:t>at least non-inferior</w:t>
      </w:r>
      <w:r w:rsidRPr="001B036C">
        <w:t xml:space="preserve"> safety and potential indirect health outcomes, it may be plausible that </w:t>
      </w:r>
      <w:r w:rsidR="003250EF" w:rsidRPr="001B036C">
        <w:t xml:space="preserve">inclusion of </w:t>
      </w:r>
      <w:r w:rsidRPr="001B036C">
        <w:t xml:space="preserve">FC testing is overall </w:t>
      </w:r>
      <w:r w:rsidR="003250EF" w:rsidRPr="001B036C">
        <w:t xml:space="preserve">a </w:t>
      </w:r>
      <w:r w:rsidRPr="001B036C">
        <w:t xml:space="preserve">superior </w:t>
      </w:r>
      <w:r w:rsidR="003250EF" w:rsidRPr="001B036C">
        <w:t>model of care</w:t>
      </w:r>
      <w:r w:rsidRPr="001B036C">
        <w:t xml:space="preserve"> compared to </w:t>
      </w:r>
      <w:r w:rsidR="003250EF" w:rsidRPr="001B036C">
        <w:t xml:space="preserve">when </w:t>
      </w:r>
      <w:r w:rsidRPr="001B036C">
        <w:t>colonoscopy/biopsy</w:t>
      </w:r>
      <w:r w:rsidR="003250EF" w:rsidRPr="001B036C">
        <w:t xml:space="preserve"> alone is available</w:t>
      </w:r>
      <w:r w:rsidRPr="001B036C">
        <w:t>. Given that the number of adverse events associated with colonoscopies is likely small and that improved health outcomes from a tighter disease management with the availability of FC testing is theoretical, a conservative approach was adopted of assuming non-inferiority of FC testing. Therefore</w:t>
      </w:r>
      <w:r w:rsidRPr="001B036C" w:rsidDel="00997171">
        <w:t xml:space="preserve">, a </w:t>
      </w:r>
      <w:r w:rsidRPr="001B036C">
        <w:t>cost-minimi</w:t>
      </w:r>
      <w:r w:rsidR="00326910" w:rsidRPr="001B036C">
        <w:t>s</w:t>
      </w:r>
      <w:r w:rsidRPr="001B036C">
        <w:t>ation analysis (CMA) was considered appropriate for both symptomatic and asymptomatic patients. A summary of the key characteristics of the CMA is presented in</w:t>
      </w:r>
      <w:r w:rsidR="00592A33" w:rsidRPr="001B036C">
        <w:t xml:space="preserve"> </w:t>
      </w:r>
      <w:r w:rsidR="00592A33" w:rsidRPr="001B036C">
        <w:fldChar w:fldCharType="begin"/>
      </w:r>
      <w:r w:rsidR="00592A33" w:rsidRPr="001B036C">
        <w:instrText xml:space="preserve"> REF _Ref175013734 \h </w:instrText>
      </w:r>
      <w:r w:rsidR="001B036C">
        <w:instrText xml:space="preserve"> \* MERGEFORMAT </w:instrText>
      </w:r>
      <w:r w:rsidR="00592A33" w:rsidRPr="001B036C">
        <w:fldChar w:fldCharType="separate"/>
      </w:r>
      <w:r w:rsidR="00146804" w:rsidRPr="001B036C">
        <w:t>Table </w:t>
      </w:r>
      <w:r w:rsidR="00146804">
        <w:t>15</w:t>
      </w:r>
      <w:r w:rsidR="00592A33" w:rsidRPr="001B036C">
        <w:fldChar w:fldCharType="end"/>
      </w:r>
      <w:r w:rsidRPr="001B036C">
        <w:t>.</w:t>
      </w:r>
    </w:p>
    <w:p w14:paraId="5FE10560" w14:textId="24767D28" w:rsidR="00A22412" w:rsidRPr="001B036C" w:rsidRDefault="00A22412" w:rsidP="0019792D">
      <w:r w:rsidRPr="001B036C">
        <w:t xml:space="preserve">While the safety argument applies to both, symptomatic and asymptomatic patients, currently asymptomatic patients are likely to be monitored less frequently through colonoscopy due to factors like the need for anaesthesia, bowel preparation, and safety concerns. </w:t>
      </w:r>
      <w:r w:rsidR="00524E45" w:rsidRPr="001B036C">
        <w:t>In these patients</w:t>
      </w:r>
      <w:r w:rsidR="00E32CB2" w:rsidRPr="001B036C">
        <w:t>,</w:t>
      </w:r>
      <w:r w:rsidRPr="001B036C">
        <w:t xml:space="preserve"> standard medical management was proposed as a secondary comparator, noting that FC testing would not replace but rather take place in addition to standard medical management</w:t>
      </w:r>
      <w:r w:rsidR="00B77641" w:rsidRPr="001B036C">
        <w:t>. However,</w:t>
      </w:r>
      <w:r w:rsidRPr="001B036C">
        <w:t xml:space="preserve"> there is no evidence available to inform this comparison.</w:t>
      </w:r>
    </w:p>
    <w:p w14:paraId="41D4009E" w14:textId="00B578FE" w:rsidR="0019792D" w:rsidRPr="001B036C" w:rsidRDefault="0019792D" w:rsidP="0019792D">
      <w:pPr>
        <w:pStyle w:val="Caption"/>
      </w:pPr>
      <w:bookmarkStart w:id="34" w:name="_Ref175013734"/>
      <w:r w:rsidRPr="001B036C">
        <w:lastRenderedPageBreak/>
        <w:t>Table </w:t>
      </w:r>
      <w:r w:rsidRPr="001B036C">
        <w:rPr>
          <w:noProof/>
        </w:rPr>
        <w:fldChar w:fldCharType="begin"/>
      </w:r>
      <w:r w:rsidRPr="001B036C">
        <w:rPr>
          <w:noProof/>
        </w:rPr>
        <w:instrText xml:space="preserve"> SEQ Table \* ARABIC </w:instrText>
      </w:r>
      <w:r w:rsidRPr="001B036C">
        <w:rPr>
          <w:noProof/>
        </w:rPr>
        <w:fldChar w:fldCharType="separate"/>
      </w:r>
      <w:r w:rsidR="00B4653B">
        <w:rPr>
          <w:noProof/>
        </w:rPr>
        <w:t>15</w:t>
      </w:r>
      <w:r w:rsidRPr="001B036C">
        <w:rPr>
          <w:noProof/>
        </w:rPr>
        <w:fldChar w:fldCharType="end"/>
      </w:r>
      <w:bookmarkEnd w:id="34"/>
      <w:r w:rsidRPr="001B036C">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182"/>
      </w:tblGrid>
      <w:tr w:rsidR="0019792D" w:rsidRPr="001B036C" w14:paraId="78E5EED9" w14:textId="77777777">
        <w:trPr>
          <w:tblHeader/>
        </w:trPr>
        <w:tc>
          <w:tcPr>
            <w:tcW w:w="2834" w:type="dxa"/>
          </w:tcPr>
          <w:p w14:paraId="7D287AF2" w14:textId="77777777" w:rsidR="0019792D" w:rsidRPr="001B036C" w:rsidRDefault="0019792D" w:rsidP="00D47945">
            <w:pPr>
              <w:pStyle w:val="In-tableHeading"/>
            </w:pPr>
            <w:r w:rsidRPr="001B036C">
              <w:t>Component</w:t>
            </w:r>
          </w:p>
        </w:tc>
        <w:tc>
          <w:tcPr>
            <w:tcW w:w="6182" w:type="dxa"/>
          </w:tcPr>
          <w:p w14:paraId="1501960B" w14:textId="77777777" w:rsidR="0019792D" w:rsidRPr="001B036C" w:rsidRDefault="0019792D" w:rsidP="00D47945">
            <w:pPr>
              <w:pStyle w:val="In-tableHeading"/>
            </w:pPr>
            <w:r w:rsidRPr="001B036C">
              <w:t>Description</w:t>
            </w:r>
          </w:p>
        </w:tc>
      </w:tr>
      <w:tr w:rsidR="0019792D" w:rsidRPr="001B036C" w14:paraId="0CC377F9" w14:textId="77777777">
        <w:trPr>
          <w:tblHeader/>
        </w:trPr>
        <w:tc>
          <w:tcPr>
            <w:tcW w:w="2834" w:type="dxa"/>
          </w:tcPr>
          <w:p w14:paraId="2808E648" w14:textId="77777777" w:rsidR="0019792D" w:rsidRPr="001B036C" w:rsidRDefault="0019792D">
            <w:pPr>
              <w:pStyle w:val="Tabletext0"/>
            </w:pPr>
            <w:r w:rsidRPr="001B036C">
              <w:t>Therapeutic claim: effectiveness</w:t>
            </w:r>
          </w:p>
        </w:tc>
        <w:tc>
          <w:tcPr>
            <w:tcW w:w="6182" w:type="dxa"/>
          </w:tcPr>
          <w:p w14:paraId="78771DE9" w14:textId="77777777" w:rsidR="0019792D" w:rsidRPr="001B036C" w:rsidRDefault="0019792D">
            <w:pPr>
              <w:pStyle w:val="Tabletext0"/>
            </w:pPr>
            <w:r w:rsidRPr="001B036C">
              <w:t>Based on evidence presented in Section 2, effectiveness is assumed to be non-inferior.</w:t>
            </w:r>
          </w:p>
        </w:tc>
      </w:tr>
      <w:tr w:rsidR="0019792D" w:rsidRPr="001B036C" w14:paraId="024D15C7" w14:textId="77777777">
        <w:trPr>
          <w:tblHeader/>
        </w:trPr>
        <w:tc>
          <w:tcPr>
            <w:tcW w:w="2834" w:type="dxa"/>
          </w:tcPr>
          <w:p w14:paraId="41DE368B" w14:textId="77777777" w:rsidR="0019792D" w:rsidRPr="001B036C" w:rsidRDefault="0019792D">
            <w:pPr>
              <w:pStyle w:val="Tabletext0"/>
            </w:pPr>
            <w:r w:rsidRPr="001B036C">
              <w:t>Therapeutic claim: safety</w:t>
            </w:r>
          </w:p>
        </w:tc>
        <w:tc>
          <w:tcPr>
            <w:tcW w:w="6182" w:type="dxa"/>
          </w:tcPr>
          <w:p w14:paraId="04DF36FC" w14:textId="2D53B6B6" w:rsidR="0019792D" w:rsidRPr="001B036C" w:rsidRDefault="0019792D">
            <w:pPr>
              <w:pStyle w:val="Tabletext0"/>
            </w:pPr>
            <w:r w:rsidRPr="001B036C">
              <w:t xml:space="preserve">Based on evidence presented in Section 2, safety is assumed </w:t>
            </w:r>
            <w:r w:rsidR="002478F4" w:rsidRPr="001B036C">
              <w:t>at least non-inferior</w:t>
            </w:r>
            <w:r w:rsidRPr="001B036C">
              <w:t>.</w:t>
            </w:r>
          </w:p>
        </w:tc>
      </w:tr>
      <w:tr w:rsidR="0019792D" w:rsidRPr="001B036C" w14:paraId="57088DBF" w14:textId="77777777">
        <w:tc>
          <w:tcPr>
            <w:tcW w:w="2834" w:type="dxa"/>
          </w:tcPr>
          <w:p w14:paraId="6249178E" w14:textId="77777777" w:rsidR="0019792D" w:rsidRPr="001B036C" w:rsidRDefault="0019792D">
            <w:pPr>
              <w:pStyle w:val="Tabletext0"/>
            </w:pPr>
            <w:r w:rsidRPr="001B036C">
              <w:t>Evidence base</w:t>
            </w:r>
          </w:p>
        </w:tc>
        <w:tc>
          <w:tcPr>
            <w:tcW w:w="6182" w:type="dxa"/>
          </w:tcPr>
          <w:p w14:paraId="29199F7F" w14:textId="77777777" w:rsidR="0019792D" w:rsidRPr="001B036C" w:rsidRDefault="0019792D">
            <w:pPr>
              <w:pStyle w:val="Tabletext0"/>
            </w:pPr>
            <w:r w:rsidRPr="001B036C">
              <w:t>Linked evidence to test accuracy to health outcomes</w:t>
            </w:r>
          </w:p>
        </w:tc>
      </w:tr>
      <w:tr w:rsidR="0019792D" w:rsidRPr="001B036C" w14:paraId="7DE0A5B2" w14:textId="77777777">
        <w:tc>
          <w:tcPr>
            <w:tcW w:w="2834" w:type="dxa"/>
          </w:tcPr>
          <w:p w14:paraId="7E32C494" w14:textId="77777777" w:rsidR="0019792D" w:rsidRPr="001B036C" w:rsidRDefault="0019792D">
            <w:pPr>
              <w:pStyle w:val="Tabletext0"/>
            </w:pPr>
            <w:r w:rsidRPr="001B036C">
              <w:t>Time horizon</w:t>
            </w:r>
          </w:p>
        </w:tc>
        <w:tc>
          <w:tcPr>
            <w:tcW w:w="6182" w:type="dxa"/>
          </w:tcPr>
          <w:p w14:paraId="7CAC6D0E" w14:textId="77777777" w:rsidR="0019792D" w:rsidRPr="001B036C" w:rsidDel="006E7EC5" w:rsidRDefault="0019792D">
            <w:pPr>
              <w:pStyle w:val="Tabletext0"/>
            </w:pPr>
            <w:r w:rsidRPr="001B036C">
              <w:t>One year</w:t>
            </w:r>
          </w:p>
        </w:tc>
      </w:tr>
      <w:tr w:rsidR="0019792D" w:rsidRPr="001B036C" w14:paraId="060D2EBF" w14:textId="77777777">
        <w:tc>
          <w:tcPr>
            <w:tcW w:w="2834" w:type="dxa"/>
          </w:tcPr>
          <w:p w14:paraId="2E41A85C" w14:textId="77777777" w:rsidR="0019792D" w:rsidRPr="001B036C" w:rsidRDefault="0019792D">
            <w:pPr>
              <w:pStyle w:val="Tabletext0"/>
            </w:pPr>
            <w:r w:rsidRPr="001B036C">
              <w:t>Computational method</w:t>
            </w:r>
          </w:p>
        </w:tc>
        <w:tc>
          <w:tcPr>
            <w:tcW w:w="6182" w:type="dxa"/>
          </w:tcPr>
          <w:p w14:paraId="27E48D4B" w14:textId="77777777" w:rsidR="0019792D" w:rsidRPr="001B036C" w:rsidRDefault="0019792D">
            <w:pPr>
              <w:pStyle w:val="Tabletext0"/>
            </w:pPr>
            <w:r w:rsidRPr="001B036C">
              <w:t>Decision tree</w:t>
            </w:r>
          </w:p>
        </w:tc>
      </w:tr>
      <w:tr w:rsidR="0019792D" w:rsidRPr="001B036C" w14:paraId="297B91CD" w14:textId="77777777">
        <w:tc>
          <w:tcPr>
            <w:tcW w:w="2834" w:type="dxa"/>
          </w:tcPr>
          <w:p w14:paraId="42C70737" w14:textId="77777777" w:rsidR="0019792D" w:rsidRPr="001B036C" w:rsidRDefault="0019792D">
            <w:pPr>
              <w:pStyle w:val="Tabletext0"/>
            </w:pPr>
            <w:r w:rsidRPr="001B036C">
              <w:t>Direct health technology costs</w:t>
            </w:r>
          </w:p>
        </w:tc>
        <w:tc>
          <w:tcPr>
            <w:tcW w:w="6182" w:type="dxa"/>
          </w:tcPr>
          <w:p w14:paraId="686C9ACD" w14:textId="1AB05A9A" w:rsidR="0019792D" w:rsidRPr="001B036C" w:rsidRDefault="0019792D">
            <w:pPr>
              <w:pStyle w:val="Tabletext0"/>
            </w:pPr>
            <w:r w:rsidRPr="001B036C">
              <w:t>Lower; FC test cost</w:t>
            </w:r>
            <w:r w:rsidRPr="001B036C">
              <w:rPr>
                <w:vertAlign w:val="superscript"/>
              </w:rPr>
              <w:t>1</w:t>
            </w:r>
            <w:r w:rsidRPr="001B036C">
              <w:t xml:space="preserve"> = $75 vs </w:t>
            </w:r>
            <w:proofErr w:type="spellStart"/>
            <w:r w:rsidRPr="001B036C">
              <w:t>colonoscopy+biopsy</w:t>
            </w:r>
            <w:proofErr w:type="spellEnd"/>
            <w:r w:rsidRPr="001B036C">
              <w:t xml:space="preserve"> cost</w:t>
            </w:r>
            <w:r w:rsidRPr="001B036C">
              <w:rPr>
                <w:vertAlign w:val="superscript"/>
              </w:rPr>
              <w:t>2</w:t>
            </w:r>
            <w:r w:rsidRPr="001B036C">
              <w:t xml:space="preserve"> = $3,0</w:t>
            </w:r>
            <w:r w:rsidR="00465726" w:rsidRPr="001B036C">
              <w:t>70.93</w:t>
            </w:r>
          </w:p>
        </w:tc>
      </w:tr>
      <w:tr w:rsidR="0019792D" w:rsidRPr="001B036C" w14:paraId="20273E3B" w14:textId="77777777">
        <w:tc>
          <w:tcPr>
            <w:tcW w:w="2834" w:type="dxa"/>
          </w:tcPr>
          <w:p w14:paraId="04952B76" w14:textId="77777777" w:rsidR="0019792D" w:rsidRPr="001B036C" w:rsidRDefault="0019792D">
            <w:pPr>
              <w:pStyle w:val="Tabletext0"/>
            </w:pPr>
            <w:r w:rsidRPr="001B036C">
              <w:t>Other costs or cost offsets</w:t>
            </w:r>
          </w:p>
        </w:tc>
        <w:tc>
          <w:tcPr>
            <w:tcW w:w="6182" w:type="dxa"/>
          </w:tcPr>
          <w:p w14:paraId="69B0F401" w14:textId="7A9088DA" w:rsidR="0019792D" w:rsidRPr="001B036C" w:rsidRDefault="0019792D">
            <w:pPr>
              <w:pStyle w:val="Tabletext0"/>
            </w:pPr>
            <w:r w:rsidRPr="001B036C">
              <w:t>Yes.</w:t>
            </w:r>
          </w:p>
          <w:p w14:paraId="448DB5A9" w14:textId="15DF1B45" w:rsidR="0019792D" w:rsidRPr="001B036C" w:rsidRDefault="0019792D">
            <w:pPr>
              <w:pStyle w:val="Tabletext0"/>
            </w:pPr>
            <w:r w:rsidRPr="001B036C">
              <w:t>Cost of additional colonoscopies/biopsies and associated complications due to incorrect FC result. Cost of colonoscopies/biopsies which would not otherwise be performed in asymptomatic patients in the absence of FC testing and associated complications. Costs resulting due to additional GP and specialist consults.</w:t>
            </w:r>
          </w:p>
          <w:p w14:paraId="0B7EF26F" w14:textId="2B25D426" w:rsidR="0019792D" w:rsidRPr="001B036C" w:rsidRDefault="0019792D">
            <w:pPr>
              <w:pStyle w:val="Tabletext0"/>
            </w:pPr>
            <w:r w:rsidRPr="001B036C">
              <w:t xml:space="preserve">FC testing reduces the number of colonoscopies thus offsetting the cost due </w:t>
            </w:r>
            <w:r w:rsidRPr="001B036C" w:rsidDel="00446B15">
              <w:t xml:space="preserve">to </w:t>
            </w:r>
            <w:r w:rsidRPr="001B036C">
              <w:t xml:space="preserve">FC testing. </w:t>
            </w:r>
          </w:p>
        </w:tc>
      </w:tr>
    </w:tbl>
    <w:p w14:paraId="1C8B0FDD" w14:textId="77777777" w:rsidR="0019792D" w:rsidRPr="001B036C" w:rsidRDefault="0019792D" w:rsidP="0019792D">
      <w:pPr>
        <w:pStyle w:val="Tablenotes0"/>
      </w:pPr>
      <w:r w:rsidRPr="001B036C">
        <w:t>FC= faecal calprotectin</w:t>
      </w:r>
    </w:p>
    <w:p w14:paraId="1DEC4E21" w14:textId="77777777" w:rsidR="0019792D" w:rsidRPr="001B036C" w:rsidRDefault="0019792D" w:rsidP="0019792D">
      <w:pPr>
        <w:pStyle w:val="Tablenotes0"/>
      </w:pPr>
      <w:r w:rsidRPr="001B036C">
        <w:rPr>
          <w:vertAlign w:val="superscript"/>
        </w:rPr>
        <w:t>1</w:t>
      </w:r>
      <w:r w:rsidRPr="001B036C">
        <w:t xml:space="preserve"> This cost is based on MBS item 66522 and 66523 corresponding to FC testing for the diagnosis of IBD.</w:t>
      </w:r>
    </w:p>
    <w:p w14:paraId="0D7E0E59" w14:textId="0D1DFBFF" w:rsidR="0019792D" w:rsidRPr="001B036C" w:rsidRDefault="0019792D" w:rsidP="0019792D">
      <w:pPr>
        <w:pStyle w:val="Tablenotes0"/>
      </w:pPr>
      <w:r w:rsidRPr="001B036C">
        <w:rPr>
          <w:vertAlign w:val="superscript"/>
        </w:rPr>
        <w:t xml:space="preserve">2 </w:t>
      </w:r>
      <w:r w:rsidRPr="001B036C">
        <w:t>This cost corresponds to the weighted average across different types of colonoscopies and potential for complications</w:t>
      </w:r>
      <w:r w:rsidR="00332F4C" w:rsidRPr="001B036C">
        <w:t>,</w:t>
      </w:r>
      <w:r w:rsidRPr="001B036C">
        <w:t xml:space="preserve"> including the cost of biopsy</w:t>
      </w:r>
      <w:r w:rsidR="001B5389" w:rsidRPr="001B036C">
        <w:t xml:space="preserve"> (</w:t>
      </w:r>
      <w:r w:rsidR="00A127F7" w:rsidRPr="001B036C">
        <w:t>MBS Item 72824 = $141.35)</w:t>
      </w:r>
      <w:r w:rsidRPr="001B036C">
        <w:t xml:space="preserve">. </w:t>
      </w:r>
    </w:p>
    <w:p w14:paraId="37F93550" w14:textId="4B232A18" w:rsidR="0019792D" w:rsidRPr="001B036C" w:rsidRDefault="0019792D" w:rsidP="0019792D">
      <w:r w:rsidRPr="001B036C">
        <w:t>The CMA estimated the cost differences arising from the introduction of FC testing for the monitoring of IBD using a decision-analytic model (</w:t>
      </w:r>
      <w:r w:rsidR="00F1440D" w:rsidRPr="001B036C">
        <w:rPr>
          <w:b/>
          <w:bCs/>
          <w:lang w:val="en-US"/>
        </w:rPr>
        <w:fldChar w:fldCharType="begin"/>
      </w:r>
      <w:r w:rsidR="00F1440D" w:rsidRPr="001B036C">
        <w:instrText xml:space="preserve"> REF _Ref175039679 \h </w:instrText>
      </w:r>
      <w:r w:rsidR="001B036C">
        <w:rPr>
          <w:b/>
          <w:bCs/>
          <w:lang w:val="en-US"/>
        </w:rPr>
        <w:instrText xml:space="preserve"> \* MERGEFORMAT </w:instrText>
      </w:r>
      <w:r w:rsidR="00F1440D" w:rsidRPr="001B036C">
        <w:rPr>
          <w:b/>
          <w:bCs/>
          <w:lang w:val="en-US"/>
        </w:rPr>
      </w:r>
      <w:r w:rsidR="00F1440D" w:rsidRPr="001B036C">
        <w:rPr>
          <w:b/>
          <w:bCs/>
          <w:lang w:val="en-US"/>
        </w:rPr>
        <w:fldChar w:fldCharType="separate"/>
      </w:r>
      <w:r w:rsidR="00F74260" w:rsidRPr="001B036C">
        <w:t xml:space="preserve">Figure </w:t>
      </w:r>
      <w:r w:rsidR="00F74260">
        <w:rPr>
          <w:noProof/>
        </w:rPr>
        <w:t>1</w:t>
      </w:r>
      <w:r w:rsidR="00F1440D" w:rsidRPr="001B036C">
        <w:rPr>
          <w:b/>
          <w:bCs/>
          <w:lang w:val="en-US"/>
        </w:rPr>
        <w:fldChar w:fldCharType="end"/>
      </w:r>
      <w:r w:rsidRPr="001B036C">
        <w:t xml:space="preserve">). Patients with IBD can be monitored through colonoscopy/biopsy or FC testing. Patients entering the model are categorised based on symptoms (symptomatic or asymptomatic) and further based on endoscopic activity, which can be either moderate/severe (mucosal healing negative, MH–) or mild/remission (mucosal healing positive, MH+). </w:t>
      </w:r>
      <w:r w:rsidR="003B1944" w:rsidRPr="001B036C">
        <w:t xml:space="preserve">Therefore, symptomatic patients are considered diagnosis positive if they are positive for mucosal healing (MH+ or no IBD) and diagnosis negative if they are mucosal healing negative (MH - or active IBD). </w:t>
      </w:r>
      <w:r w:rsidR="00F72CC2" w:rsidRPr="001B036C">
        <w:t>FC testing of patients can result in positive or negative for IBD based on pre-defined cut-off threshold.</w:t>
      </w:r>
    </w:p>
    <w:p w14:paraId="6E7F14C1" w14:textId="3E4E8966" w:rsidR="0019792D" w:rsidRPr="001B036C" w:rsidRDefault="00F72CC2" w:rsidP="0019792D">
      <w:r w:rsidRPr="001B036C">
        <w:t>In the FC arm, upon FC testing, patients are categorised based on the FC result in true positive (TP), true negative (TN), false positive (FP) and false negative (FN)</w:t>
      </w:r>
      <w:r w:rsidR="00534081" w:rsidRPr="001B036C">
        <w:t xml:space="preserve"> (</w:t>
      </w:r>
      <w:r w:rsidR="00534081" w:rsidRPr="001B036C">
        <w:fldChar w:fldCharType="begin"/>
      </w:r>
      <w:r w:rsidR="00534081" w:rsidRPr="001B036C">
        <w:instrText xml:space="preserve"> REF _Ref175039679 \h </w:instrText>
      </w:r>
      <w:r w:rsidR="001B036C">
        <w:instrText xml:space="preserve"> \* MERGEFORMAT </w:instrText>
      </w:r>
      <w:r w:rsidR="00534081" w:rsidRPr="001B036C">
        <w:fldChar w:fldCharType="separate"/>
      </w:r>
      <w:r w:rsidR="00F74260" w:rsidRPr="001B036C">
        <w:t xml:space="preserve">Figure </w:t>
      </w:r>
      <w:r w:rsidR="00F74260">
        <w:rPr>
          <w:noProof/>
        </w:rPr>
        <w:t>1</w:t>
      </w:r>
      <w:r w:rsidR="00534081" w:rsidRPr="001B036C">
        <w:fldChar w:fldCharType="end"/>
      </w:r>
      <w:r w:rsidR="00534081" w:rsidRPr="001B036C">
        <w:t>)</w:t>
      </w:r>
      <w:r w:rsidRPr="001B036C">
        <w:t xml:space="preserve">. </w:t>
      </w:r>
      <w:r w:rsidR="005A5950" w:rsidRPr="001B036C">
        <w:t>In the symptomatic arm, FC test</w:t>
      </w:r>
      <w:r w:rsidR="00415A7E" w:rsidRPr="001B036C">
        <w:t>ing</w:t>
      </w:r>
      <w:r w:rsidR="005A5950" w:rsidRPr="001B036C">
        <w:t xml:space="preserve"> is aimed to detect mucosal healing (</w:t>
      </w:r>
      <w:r w:rsidR="00DD53F8" w:rsidRPr="001B036C">
        <w:t xml:space="preserve">&lt;100 </w:t>
      </w:r>
      <w:proofErr w:type="spellStart"/>
      <w:r w:rsidR="00DD53F8" w:rsidRPr="001B036C">
        <w:t>μg</w:t>
      </w:r>
      <w:proofErr w:type="spellEnd"/>
      <w:r w:rsidR="00DD53F8" w:rsidRPr="001B036C">
        <w:t>/g)</w:t>
      </w:r>
      <w:r w:rsidR="005A5950" w:rsidRPr="001B036C">
        <w:t xml:space="preserve"> and in the asymptomatic arm FC test</w:t>
      </w:r>
      <w:r w:rsidR="00415A7E" w:rsidRPr="001B036C">
        <w:t>ing</w:t>
      </w:r>
      <w:r w:rsidR="005A5950" w:rsidRPr="001B036C">
        <w:t xml:space="preserve"> is aimed to detect relapse</w:t>
      </w:r>
      <w:r w:rsidR="00DD53F8" w:rsidRPr="001B036C">
        <w:t xml:space="preserve"> (&gt;100 </w:t>
      </w:r>
      <w:proofErr w:type="spellStart"/>
      <w:r w:rsidR="00DD53F8" w:rsidRPr="001B036C">
        <w:t>μg</w:t>
      </w:r>
      <w:proofErr w:type="spellEnd"/>
      <w:r w:rsidR="00DD53F8" w:rsidRPr="001B036C">
        <w:t>/g)</w:t>
      </w:r>
      <w:r w:rsidR="005A5950" w:rsidRPr="001B036C">
        <w:t xml:space="preserve">. </w:t>
      </w:r>
      <w:r w:rsidR="00574904" w:rsidRPr="001B036C">
        <w:t xml:space="preserve">Test positive </w:t>
      </w:r>
      <w:r w:rsidR="002A2EF2" w:rsidRPr="001B036C">
        <w:t>(T</w:t>
      </w:r>
      <w:r w:rsidR="00A936BC" w:rsidRPr="001B036C">
        <w:t xml:space="preserve">+) </w:t>
      </w:r>
      <w:r w:rsidR="00363D1C" w:rsidRPr="001B036C">
        <w:t>in the symptomatic arm</w:t>
      </w:r>
      <w:r w:rsidR="00630D5D" w:rsidRPr="001B036C">
        <w:t xml:space="preserve"> are those that achieved mucosal healing whilst </w:t>
      </w:r>
      <w:r w:rsidR="00A936BC" w:rsidRPr="001B036C">
        <w:t>T+</w:t>
      </w:r>
      <w:r w:rsidR="00630D5D" w:rsidRPr="001B036C">
        <w:t xml:space="preserve"> in the asymptomatic arm are those that </w:t>
      </w:r>
      <w:r w:rsidR="0060796B" w:rsidRPr="001B036C">
        <w:t xml:space="preserve">have </w:t>
      </w:r>
      <w:r w:rsidR="002A2EF2" w:rsidRPr="001B036C">
        <w:t xml:space="preserve">relapsed. </w:t>
      </w:r>
      <w:r w:rsidRPr="001B036C">
        <w:t xml:space="preserve">These outcomes are based on the sensitivity and specificity of the test for detecting mucosal healing at a cut-off &lt;100 </w:t>
      </w:r>
      <w:proofErr w:type="spellStart"/>
      <w:r w:rsidRPr="001B036C">
        <w:t>μg</w:t>
      </w:r>
      <w:proofErr w:type="spellEnd"/>
      <w:r w:rsidRPr="001B036C">
        <w:t xml:space="preserve">/g (in the symptomatic arm) or predicting relapse at a cut-off &gt;100 </w:t>
      </w:r>
      <w:proofErr w:type="spellStart"/>
      <w:r w:rsidRPr="001B036C">
        <w:t>μg</w:t>
      </w:r>
      <w:proofErr w:type="spellEnd"/>
      <w:r w:rsidRPr="001B036C">
        <w:t>/g (in the asymptomatic arm)</w:t>
      </w:r>
      <w:r w:rsidR="0019792D" w:rsidRPr="001B036C">
        <w:t>.</w:t>
      </w:r>
      <w:r w:rsidR="00737ED9" w:rsidRPr="001B036C">
        <w:t xml:space="preserve"> There is no sensitivity or specificity for moderate or intermediate results, as FC results can be considered ambiguous when results fall in this range (FC results between 100 and 250 ug/g)</w:t>
      </w:r>
      <w:r w:rsidR="00D56463" w:rsidRPr="001B036C">
        <w:t>.</w:t>
      </w:r>
    </w:p>
    <w:p w14:paraId="1C4C1006" w14:textId="77777777" w:rsidR="0019792D" w:rsidRPr="001B036C" w:rsidRDefault="0019792D" w:rsidP="0019792D">
      <w:r w:rsidRPr="001B036C">
        <w:t>Interpretation of the test outcomes in symptomatic and asymptomatic arms is as follows:</w:t>
      </w:r>
    </w:p>
    <w:p w14:paraId="2D0F7CD7" w14:textId="797168EC" w:rsidR="0019792D" w:rsidRPr="001B036C" w:rsidRDefault="0019792D" w:rsidP="0019792D">
      <w:pPr>
        <w:rPr>
          <w:b/>
        </w:rPr>
      </w:pPr>
      <w:r w:rsidRPr="001B036C">
        <w:rPr>
          <w:b/>
        </w:rPr>
        <w:t>Symptomatic arm</w:t>
      </w:r>
      <w:r w:rsidR="003E1E68" w:rsidRPr="001B036C">
        <w:rPr>
          <w:b/>
        </w:rPr>
        <w:t xml:space="preserve">: </w:t>
      </w:r>
      <w:r w:rsidR="003E1E68" w:rsidRPr="001B036C">
        <w:t>The symptomatic arm reflects patients that are symptomatic at the time of disease assessment, with or without treatment.</w:t>
      </w:r>
    </w:p>
    <w:p w14:paraId="46350298" w14:textId="1E5D1658" w:rsidR="0019792D" w:rsidRPr="001B036C" w:rsidRDefault="0019792D" w:rsidP="001E6DBB">
      <w:pPr>
        <w:pStyle w:val="ListParagraph"/>
        <w:numPr>
          <w:ilvl w:val="0"/>
          <w:numId w:val="13"/>
        </w:numPr>
      </w:pPr>
      <w:r w:rsidRPr="001B036C">
        <w:t xml:space="preserve">TP: Truly identified as mild/remission (mild on colonoscopy and tested mild on FC, </w:t>
      </w:r>
      <w:r w:rsidR="006925C0">
        <w:br/>
      </w:r>
      <w:r w:rsidRPr="001B036C">
        <w:t xml:space="preserve">&lt;100 </w:t>
      </w:r>
      <w:proofErr w:type="spellStart"/>
      <w:r w:rsidRPr="001B036C">
        <w:t>μg</w:t>
      </w:r>
      <w:proofErr w:type="spellEnd"/>
      <w:r w:rsidRPr="001B036C">
        <w:t>/g)</w:t>
      </w:r>
    </w:p>
    <w:p w14:paraId="7AB16DC9" w14:textId="77777777" w:rsidR="0019792D" w:rsidRPr="001B036C" w:rsidRDefault="0019792D" w:rsidP="001E6DBB">
      <w:pPr>
        <w:pStyle w:val="ListParagraph"/>
        <w:numPr>
          <w:ilvl w:val="0"/>
          <w:numId w:val="13"/>
        </w:numPr>
      </w:pPr>
      <w:r w:rsidRPr="001B036C">
        <w:t xml:space="preserve">FN: Falsely identified as moderate/severe disease (mild on colonoscopy but suspected to be moderate or severe based on FC result, &gt;100 </w:t>
      </w:r>
      <w:proofErr w:type="spellStart"/>
      <w:r w:rsidRPr="001B036C">
        <w:t>μg</w:t>
      </w:r>
      <w:proofErr w:type="spellEnd"/>
      <w:r w:rsidRPr="001B036C">
        <w:t>/g)</w:t>
      </w:r>
    </w:p>
    <w:p w14:paraId="03CDBFCB" w14:textId="77777777" w:rsidR="0019792D" w:rsidRPr="001B036C" w:rsidRDefault="0019792D" w:rsidP="001E6DBB">
      <w:pPr>
        <w:pStyle w:val="ListParagraph"/>
        <w:numPr>
          <w:ilvl w:val="0"/>
          <w:numId w:val="13"/>
        </w:numPr>
      </w:pPr>
      <w:r w:rsidRPr="001B036C">
        <w:lastRenderedPageBreak/>
        <w:t xml:space="preserve">TN: Truly identified as moderate/severe disease (moderate/severe on colonoscopy and FC, &gt;100 </w:t>
      </w:r>
      <w:proofErr w:type="spellStart"/>
      <w:r w:rsidRPr="001B036C">
        <w:t>μg</w:t>
      </w:r>
      <w:proofErr w:type="spellEnd"/>
      <w:r w:rsidRPr="001B036C">
        <w:t>/g)</w:t>
      </w:r>
    </w:p>
    <w:p w14:paraId="07438752" w14:textId="77777777" w:rsidR="0019792D" w:rsidRPr="001B036C" w:rsidRDefault="0019792D" w:rsidP="001E6DBB">
      <w:pPr>
        <w:pStyle w:val="ListParagraph"/>
        <w:numPr>
          <w:ilvl w:val="0"/>
          <w:numId w:val="13"/>
        </w:numPr>
      </w:pPr>
      <w:r w:rsidRPr="001B036C">
        <w:t xml:space="preserve">FP: Falsely identified as mild/remission (moderate/severe on colonoscopy but suspected to be mild based on FC result, &lt;100 </w:t>
      </w:r>
      <w:proofErr w:type="spellStart"/>
      <w:r w:rsidRPr="001B036C">
        <w:t>μg</w:t>
      </w:r>
      <w:proofErr w:type="spellEnd"/>
      <w:r w:rsidRPr="001B036C">
        <w:t>/g)</w:t>
      </w:r>
    </w:p>
    <w:p w14:paraId="44AB0D96" w14:textId="1DBF4B62" w:rsidR="0019792D" w:rsidRPr="001B036C" w:rsidRDefault="0019792D" w:rsidP="0019792D">
      <w:pPr>
        <w:rPr>
          <w:b/>
        </w:rPr>
      </w:pPr>
      <w:r w:rsidRPr="001B036C">
        <w:rPr>
          <w:b/>
        </w:rPr>
        <w:t>Asymptomatic arm</w:t>
      </w:r>
      <w:r w:rsidR="003E1E68" w:rsidRPr="001B036C">
        <w:rPr>
          <w:b/>
        </w:rPr>
        <w:t>:</w:t>
      </w:r>
      <w:r w:rsidR="003E1E68" w:rsidRPr="001B036C">
        <w:t xml:space="preserve"> The asymptomatic arm reflects patients that at the time of disease assessment are in remission, therefore without treatment.</w:t>
      </w:r>
    </w:p>
    <w:p w14:paraId="71350131" w14:textId="77777777" w:rsidR="0019792D" w:rsidRPr="001B036C" w:rsidRDefault="0019792D" w:rsidP="001E6DBB">
      <w:pPr>
        <w:pStyle w:val="ListParagraph"/>
        <w:numPr>
          <w:ilvl w:val="0"/>
          <w:numId w:val="14"/>
        </w:numPr>
      </w:pPr>
      <w:r w:rsidRPr="001B036C">
        <w:t xml:space="preserve">TP: Truly identified as relapsed or moderate/severe disease (relapsed or moderate/severe on colonoscopy and FC, &gt;100 </w:t>
      </w:r>
      <w:proofErr w:type="spellStart"/>
      <w:r w:rsidRPr="001B036C">
        <w:t>μg</w:t>
      </w:r>
      <w:proofErr w:type="spellEnd"/>
      <w:r w:rsidRPr="001B036C">
        <w:t>/g)</w:t>
      </w:r>
    </w:p>
    <w:p w14:paraId="197B9C81" w14:textId="77777777" w:rsidR="0019792D" w:rsidRPr="001B036C" w:rsidRDefault="0019792D" w:rsidP="001E6DBB">
      <w:pPr>
        <w:pStyle w:val="ListParagraph"/>
        <w:numPr>
          <w:ilvl w:val="0"/>
          <w:numId w:val="14"/>
        </w:numPr>
      </w:pPr>
      <w:r w:rsidRPr="001B036C">
        <w:t xml:space="preserve">FN: Falsely identified as in mild/remission (relapsed or moderate/severe on colonoscopy but suspected to be in remission mild based on FC result, &lt;100 </w:t>
      </w:r>
      <w:proofErr w:type="spellStart"/>
      <w:r w:rsidRPr="001B036C">
        <w:t>μg</w:t>
      </w:r>
      <w:proofErr w:type="spellEnd"/>
      <w:r w:rsidRPr="001B036C">
        <w:t>/g)</w:t>
      </w:r>
    </w:p>
    <w:p w14:paraId="362FC353" w14:textId="77777777" w:rsidR="0019792D" w:rsidRPr="001B036C" w:rsidRDefault="0019792D" w:rsidP="001E6DBB">
      <w:pPr>
        <w:pStyle w:val="ListParagraph"/>
        <w:numPr>
          <w:ilvl w:val="0"/>
          <w:numId w:val="14"/>
        </w:numPr>
      </w:pPr>
      <w:r w:rsidRPr="001B036C">
        <w:t xml:space="preserve">TN: Truly identified as in mild/remission (in remission or mild on colonoscopy and tested mild on FC, &lt;100 </w:t>
      </w:r>
      <w:proofErr w:type="spellStart"/>
      <w:r w:rsidRPr="001B036C">
        <w:t>μg</w:t>
      </w:r>
      <w:proofErr w:type="spellEnd"/>
      <w:r w:rsidRPr="001B036C">
        <w:t>/g)</w:t>
      </w:r>
    </w:p>
    <w:p w14:paraId="61652569" w14:textId="77777777" w:rsidR="0019792D" w:rsidRPr="001B036C" w:rsidRDefault="0019792D" w:rsidP="001E6DBB">
      <w:pPr>
        <w:pStyle w:val="ListParagraph"/>
        <w:numPr>
          <w:ilvl w:val="0"/>
          <w:numId w:val="14"/>
        </w:numPr>
      </w:pPr>
      <w:r w:rsidRPr="001B036C">
        <w:t xml:space="preserve">FP: Falsely identified as relapsed or moderate/severe disease (mild on colonoscopy but suspected to be relapsed or moderate/severe based on FC result, &gt;100 </w:t>
      </w:r>
      <w:proofErr w:type="spellStart"/>
      <w:r w:rsidRPr="001B036C">
        <w:t>μg</w:t>
      </w:r>
      <w:proofErr w:type="spellEnd"/>
      <w:r w:rsidRPr="001B036C">
        <w:t>/g)</w:t>
      </w:r>
    </w:p>
    <w:p w14:paraId="00591A52" w14:textId="77777777" w:rsidR="0019792D" w:rsidRPr="001B036C" w:rsidRDefault="0019792D" w:rsidP="0019792D">
      <w:r w:rsidRPr="001B036C">
        <w:t xml:space="preserve">In the No FC arm, symptomatic patients are categorised based on endoscopic severity of an IBD flare, which can be either mild, moderate or severe. As colonoscopy is considered the gold standard, testing through colonoscopy in the No FC arm would not result in any FP or FN cases. </w:t>
      </w:r>
    </w:p>
    <w:p w14:paraId="1ADDCC87" w14:textId="77777777" w:rsidR="0019792D" w:rsidRPr="001B036C" w:rsidRDefault="0019792D" w:rsidP="0019792D">
      <w:r w:rsidRPr="001B036C">
        <w:t>The total cost of each monitoring pathway was estimated over the 1-year time horizon by multiplying the cost of each test by the frequency of testing required over the time horizon.</w:t>
      </w:r>
    </w:p>
    <w:p w14:paraId="49FC214C" w14:textId="147B7351" w:rsidR="0019792D" w:rsidRPr="001B036C" w:rsidRDefault="0019792D" w:rsidP="0019792D">
      <w:pPr>
        <w:pStyle w:val="Caption"/>
      </w:pPr>
      <w:bookmarkStart w:id="35" w:name="_Ref175039679"/>
      <w:r w:rsidRPr="001B036C">
        <w:lastRenderedPageBreak/>
        <w:t xml:space="preserve">Figure </w:t>
      </w:r>
      <w:r>
        <w:fldChar w:fldCharType="begin"/>
      </w:r>
      <w:r>
        <w:instrText xml:space="preserve"> SEQ Figure \* ARABIC </w:instrText>
      </w:r>
      <w:r>
        <w:fldChar w:fldCharType="separate"/>
      </w:r>
      <w:r w:rsidR="00F74260">
        <w:rPr>
          <w:noProof/>
        </w:rPr>
        <w:t>1</w:t>
      </w:r>
      <w:r>
        <w:rPr>
          <w:noProof/>
        </w:rPr>
        <w:fldChar w:fldCharType="end"/>
      </w:r>
      <w:bookmarkEnd w:id="35"/>
      <w:r w:rsidRPr="001B036C">
        <w:t xml:space="preserve"> Disease</w:t>
      </w:r>
      <w:r w:rsidR="00AF2CF8" w:rsidRPr="001B036C">
        <w:t>-</w:t>
      </w:r>
      <w:r w:rsidRPr="001B036C">
        <w:t>based approach used to account for the accuracy of FC testing in the monitoring of IBD</w:t>
      </w:r>
    </w:p>
    <w:p w14:paraId="6655BF0F" w14:textId="01CC4491" w:rsidR="0019792D" w:rsidRPr="001B036C" w:rsidRDefault="0019792D" w:rsidP="0019792D">
      <w:r w:rsidRPr="001B036C">
        <w:rPr>
          <w:noProof/>
        </w:rPr>
        <w:drawing>
          <wp:inline distT="0" distB="0" distL="0" distR="0" wp14:anchorId="3B3EA4AF" wp14:editId="32552A1E">
            <wp:extent cx="5676540" cy="5968746"/>
            <wp:effectExtent l="0" t="0" r="635" b="0"/>
            <wp:docPr id="1161981371" name="Picture 1" descr="Disease-based approach used to account for the accuracy of FC testing in the monitoring of I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81371" name="Picture 1" descr="Disease-based approach used to account for the accuracy of FC testing in the monitoring of IB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9816" cy="5993221"/>
                    </a:xfrm>
                    <a:prstGeom prst="rect">
                      <a:avLst/>
                    </a:prstGeom>
                    <a:noFill/>
                  </pic:spPr>
                </pic:pic>
              </a:graphicData>
            </a:graphic>
          </wp:inline>
        </w:drawing>
      </w:r>
    </w:p>
    <w:p w14:paraId="028F95D8" w14:textId="77777777" w:rsidR="0019792D" w:rsidRPr="001B036C" w:rsidRDefault="0019792D" w:rsidP="0019792D">
      <w:pPr>
        <w:pStyle w:val="Tablenotes0"/>
      </w:pPr>
      <w:r w:rsidRPr="001B036C">
        <w:t>FC = faecal calprotectin; FN = false negative; FP = false positive; IBD = inflammatory bowel disease; MH+ = mucosal healing positive; MH- = mucosal healing negative; Mod = moderate; TN = true negative; TP = true positive.</w:t>
      </w:r>
    </w:p>
    <w:p w14:paraId="59742874" w14:textId="77777777" w:rsidR="0019792D" w:rsidRPr="001B036C" w:rsidRDefault="0019792D" w:rsidP="0019792D">
      <w:pPr>
        <w:pStyle w:val="Tablenotes0"/>
      </w:pPr>
      <w:r w:rsidRPr="001B036C">
        <w:t xml:space="preserve">Notes: purple square reflects a decision </w:t>
      </w:r>
      <w:proofErr w:type="gramStart"/>
      <w:r w:rsidRPr="001B036C">
        <w:t>node</w:t>
      </w:r>
      <w:proofErr w:type="gramEnd"/>
      <w:r w:rsidRPr="001B036C">
        <w:t xml:space="preserve"> and the red circles reflect a chance node.  </w:t>
      </w:r>
    </w:p>
    <w:p w14:paraId="5840D1B1" w14:textId="1A2A1CF4" w:rsidR="0019792D" w:rsidRPr="001B036C" w:rsidRDefault="0019792D" w:rsidP="0019792D">
      <w:r w:rsidRPr="001B036C">
        <w:t>The likelihood of being symptomatic and asymptomatic and further distribution by severity and remission status was based on a published Canadian study</w:t>
      </w:r>
      <w:r w:rsidR="004D4679">
        <w:rPr>
          <w:rStyle w:val="FootnoteReference"/>
        </w:rPr>
        <w:footnoteReference w:id="31"/>
      </w:r>
      <w:r w:rsidRPr="001B036C">
        <w:t xml:space="preserve"> and Monash data shared by the applicant. Distribution of patients based on their symptoms and their severity in the base case is presented in</w:t>
      </w:r>
      <w:r w:rsidR="00F1440D" w:rsidRPr="001B036C">
        <w:t xml:space="preserve"> </w:t>
      </w:r>
      <w:r w:rsidR="00F1440D" w:rsidRPr="001B036C">
        <w:fldChar w:fldCharType="begin"/>
      </w:r>
      <w:r w:rsidR="00F1440D" w:rsidRPr="001B036C">
        <w:instrText xml:space="preserve"> REF _Ref175039712 \h </w:instrText>
      </w:r>
      <w:r w:rsidR="001B036C">
        <w:instrText xml:space="preserve"> \* MERGEFORMAT </w:instrText>
      </w:r>
      <w:r w:rsidR="00F1440D" w:rsidRPr="001B036C">
        <w:fldChar w:fldCharType="separate"/>
      </w:r>
      <w:r w:rsidR="0079172E" w:rsidRPr="001B036C">
        <w:t>Table </w:t>
      </w:r>
      <w:r w:rsidR="0079172E">
        <w:t>16</w:t>
      </w:r>
      <w:r w:rsidR="00F1440D" w:rsidRPr="001B036C">
        <w:fldChar w:fldCharType="end"/>
      </w:r>
      <w:r w:rsidRPr="001B036C">
        <w:t>.</w:t>
      </w:r>
    </w:p>
    <w:p w14:paraId="49B96531" w14:textId="06D8A869" w:rsidR="0019792D" w:rsidRPr="001B036C" w:rsidRDefault="0019792D" w:rsidP="0019792D">
      <w:pPr>
        <w:pStyle w:val="Caption"/>
      </w:pPr>
      <w:bookmarkStart w:id="36" w:name="_Ref175039712"/>
      <w:r w:rsidRPr="001B036C">
        <w:lastRenderedPageBreak/>
        <w:t>Table </w:t>
      </w:r>
      <w:r w:rsidRPr="001B036C">
        <w:rPr>
          <w:noProof/>
        </w:rPr>
        <w:fldChar w:fldCharType="begin"/>
      </w:r>
      <w:r w:rsidRPr="001B036C">
        <w:rPr>
          <w:noProof/>
        </w:rPr>
        <w:instrText xml:space="preserve"> SEQ Table \* ARABIC </w:instrText>
      </w:r>
      <w:r w:rsidRPr="001B036C">
        <w:rPr>
          <w:noProof/>
        </w:rPr>
        <w:fldChar w:fldCharType="separate"/>
      </w:r>
      <w:r w:rsidR="00B4653B">
        <w:rPr>
          <w:noProof/>
        </w:rPr>
        <w:t>16</w:t>
      </w:r>
      <w:r w:rsidRPr="001B036C">
        <w:rPr>
          <w:noProof/>
        </w:rPr>
        <w:fldChar w:fldCharType="end"/>
      </w:r>
      <w:bookmarkEnd w:id="36"/>
      <w:r w:rsidRPr="001B036C">
        <w:t xml:space="preserve"> Distribution of IBD patients by severity</w:t>
      </w:r>
    </w:p>
    <w:tbl>
      <w:tblPr>
        <w:tblStyle w:val="TableGrid"/>
        <w:tblW w:w="5000" w:type="pct"/>
        <w:tblLook w:val="04A0" w:firstRow="1" w:lastRow="0" w:firstColumn="1" w:lastColumn="0" w:noHBand="0" w:noVBand="1"/>
      </w:tblPr>
      <w:tblGrid>
        <w:gridCol w:w="3865"/>
        <w:gridCol w:w="2791"/>
        <w:gridCol w:w="2360"/>
      </w:tblGrid>
      <w:tr w:rsidR="0019792D" w:rsidRPr="001B036C" w14:paraId="44D3D289" w14:textId="77777777" w:rsidTr="00D47945">
        <w:tc>
          <w:tcPr>
            <w:tcW w:w="2143" w:type="pct"/>
          </w:tcPr>
          <w:p w14:paraId="686BE63C" w14:textId="77777777" w:rsidR="0019792D" w:rsidRPr="001B036C" w:rsidRDefault="0019792D" w:rsidP="007E7117">
            <w:pPr>
              <w:pStyle w:val="In-tableHeading"/>
            </w:pPr>
            <w:r w:rsidRPr="001B036C">
              <w:t>Severity</w:t>
            </w:r>
          </w:p>
        </w:tc>
        <w:tc>
          <w:tcPr>
            <w:tcW w:w="1548" w:type="pct"/>
          </w:tcPr>
          <w:p w14:paraId="0E6C790C" w14:textId="77777777" w:rsidR="0019792D" w:rsidRPr="001B036C" w:rsidRDefault="0019792D" w:rsidP="007E7117">
            <w:pPr>
              <w:pStyle w:val="In-tableHeading"/>
            </w:pPr>
            <w:r w:rsidRPr="001B036C">
              <w:t>Proportion</w:t>
            </w:r>
          </w:p>
        </w:tc>
        <w:tc>
          <w:tcPr>
            <w:tcW w:w="1309" w:type="pct"/>
          </w:tcPr>
          <w:p w14:paraId="726C6E63" w14:textId="77777777" w:rsidR="0019792D" w:rsidRPr="001B036C" w:rsidRDefault="0019792D" w:rsidP="007E7117">
            <w:pPr>
              <w:pStyle w:val="In-tableHeading"/>
            </w:pPr>
            <w:r w:rsidRPr="001B036C">
              <w:t>Source</w:t>
            </w:r>
          </w:p>
        </w:tc>
      </w:tr>
      <w:tr w:rsidR="0019792D" w:rsidRPr="001B036C" w14:paraId="5EAACD2B" w14:textId="77777777" w:rsidTr="00D47945">
        <w:tc>
          <w:tcPr>
            <w:tcW w:w="2143" w:type="pct"/>
          </w:tcPr>
          <w:p w14:paraId="0D40B44E" w14:textId="77777777" w:rsidR="0019792D" w:rsidRPr="001B036C" w:rsidRDefault="0019792D">
            <w:pPr>
              <w:pStyle w:val="Tabletext0"/>
              <w:rPr>
                <w:b/>
              </w:rPr>
            </w:pPr>
            <w:r w:rsidRPr="001B036C">
              <w:rPr>
                <w:b/>
              </w:rPr>
              <w:t>Symptomatic (both arms)</w:t>
            </w:r>
          </w:p>
        </w:tc>
        <w:tc>
          <w:tcPr>
            <w:tcW w:w="1548" w:type="pct"/>
          </w:tcPr>
          <w:p w14:paraId="0651C259" w14:textId="77777777" w:rsidR="0019792D" w:rsidRPr="001B036C" w:rsidRDefault="0019792D">
            <w:pPr>
              <w:pStyle w:val="Tabletext0"/>
              <w:jc w:val="center"/>
            </w:pPr>
            <w:r w:rsidRPr="001B036C">
              <w:t>40%</w:t>
            </w:r>
          </w:p>
        </w:tc>
        <w:tc>
          <w:tcPr>
            <w:tcW w:w="1309" w:type="pct"/>
          </w:tcPr>
          <w:p w14:paraId="099971AE" w14:textId="2EEB339C" w:rsidR="0019792D" w:rsidRPr="001B036C" w:rsidRDefault="0019792D">
            <w:pPr>
              <w:pStyle w:val="Tabletext0"/>
            </w:pPr>
            <w:r w:rsidRPr="001B036C">
              <w:t>Canadian study</w:t>
            </w:r>
            <w:r w:rsidR="00DE13E3" w:rsidRPr="001B036C">
              <w:t>*</w:t>
            </w:r>
          </w:p>
        </w:tc>
      </w:tr>
      <w:tr w:rsidR="0019792D" w:rsidRPr="001B036C" w14:paraId="324DC049" w14:textId="77777777" w:rsidTr="00D47945">
        <w:tc>
          <w:tcPr>
            <w:tcW w:w="2143" w:type="pct"/>
          </w:tcPr>
          <w:p w14:paraId="598DC3DC" w14:textId="77777777" w:rsidR="0019792D" w:rsidRPr="001B036C" w:rsidRDefault="0019792D">
            <w:pPr>
              <w:pStyle w:val="Tabletext0"/>
              <w:ind w:left="881" w:hanging="360"/>
            </w:pPr>
            <w:r w:rsidRPr="001B036C">
              <w:t>Mild</w:t>
            </w:r>
          </w:p>
        </w:tc>
        <w:tc>
          <w:tcPr>
            <w:tcW w:w="1548" w:type="pct"/>
          </w:tcPr>
          <w:p w14:paraId="2E9FB593" w14:textId="77777777" w:rsidR="0019792D" w:rsidRPr="001B036C" w:rsidRDefault="0019792D">
            <w:pPr>
              <w:pStyle w:val="Tabletext0"/>
              <w:jc w:val="center"/>
            </w:pPr>
            <w:r w:rsidRPr="001B036C">
              <w:t>43.39%</w:t>
            </w:r>
          </w:p>
        </w:tc>
        <w:tc>
          <w:tcPr>
            <w:tcW w:w="1309" w:type="pct"/>
          </w:tcPr>
          <w:p w14:paraId="40059C66" w14:textId="39BA7267" w:rsidR="0019792D" w:rsidRPr="001B036C" w:rsidRDefault="0019792D">
            <w:pPr>
              <w:pStyle w:val="Tabletext0"/>
            </w:pPr>
            <w:r w:rsidRPr="001B036C">
              <w:t>Canadian study</w:t>
            </w:r>
            <w:r w:rsidR="00DE13E3" w:rsidRPr="001B036C">
              <w:t>*</w:t>
            </w:r>
          </w:p>
        </w:tc>
      </w:tr>
      <w:tr w:rsidR="0019792D" w:rsidRPr="001B036C" w14:paraId="3ABA0D71" w14:textId="77777777" w:rsidTr="00D47945">
        <w:tc>
          <w:tcPr>
            <w:tcW w:w="2143" w:type="pct"/>
          </w:tcPr>
          <w:p w14:paraId="6BD67214" w14:textId="77777777" w:rsidR="0019792D" w:rsidRPr="001B036C" w:rsidRDefault="0019792D">
            <w:pPr>
              <w:pStyle w:val="Tabletext0"/>
              <w:ind w:left="611" w:hanging="90"/>
            </w:pPr>
            <w:r w:rsidRPr="001B036C">
              <w:t>Moderate and severe</w:t>
            </w:r>
          </w:p>
        </w:tc>
        <w:tc>
          <w:tcPr>
            <w:tcW w:w="1548" w:type="pct"/>
          </w:tcPr>
          <w:p w14:paraId="1CE366FF" w14:textId="77777777" w:rsidR="0019792D" w:rsidRPr="001B036C" w:rsidRDefault="0019792D">
            <w:pPr>
              <w:pStyle w:val="Tabletext0"/>
              <w:jc w:val="center"/>
            </w:pPr>
            <w:r w:rsidRPr="001B036C">
              <w:t>56.61%</w:t>
            </w:r>
          </w:p>
        </w:tc>
        <w:tc>
          <w:tcPr>
            <w:tcW w:w="1309" w:type="pct"/>
          </w:tcPr>
          <w:p w14:paraId="5AF316AF" w14:textId="538ABBE3" w:rsidR="0019792D" w:rsidRPr="001B036C" w:rsidRDefault="0019792D">
            <w:pPr>
              <w:pStyle w:val="Tabletext0"/>
            </w:pPr>
            <w:r w:rsidRPr="001B036C">
              <w:t>Canadian study</w:t>
            </w:r>
            <w:r w:rsidR="00DE13E3" w:rsidRPr="001B036C">
              <w:t>*</w:t>
            </w:r>
          </w:p>
        </w:tc>
      </w:tr>
      <w:tr w:rsidR="0019792D" w:rsidRPr="001B036C" w14:paraId="623195AE" w14:textId="77777777" w:rsidTr="00D47945">
        <w:tc>
          <w:tcPr>
            <w:tcW w:w="2143" w:type="pct"/>
          </w:tcPr>
          <w:p w14:paraId="0EA2880A" w14:textId="77777777" w:rsidR="0019792D" w:rsidRPr="001B036C" w:rsidRDefault="0019792D">
            <w:pPr>
              <w:pStyle w:val="Tabletext0"/>
              <w:ind w:left="29" w:hanging="29"/>
              <w:rPr>
                <w:b/>
              </w:rPr>
            </w:pPr>
            <w:r w:rsidRPr="001B036C">
              <w:rPr>
                <w:b/>
              </w:rPr>
              <w:t>Asymptomatic</w:t>
            </w:r>
          </w:p>
        </w:tc>
        <w:tc>
          <w:tcPr>
            <w:tcW w:w="1548" w:type="pct"/>
          </w:tcPr>
          <w:p w14:paraId="0C498EE6" w14:textId="77777777" w:rsidR="0019792D" w:rsidRPr="001B036C" w:rsidRDefault="0019792D">
            <w:pPr>
              <w:pStyle w:val="Tabletext0"/>
              <w:jc w:val="center"/>
            </w:pPr>
            <w:r w:rsidRPr="001B036C">
              <w:t>60%</w:t>
            </w:r>
          </w:p>
        </w:tc>
        <w:tc>
          <w:tcPr>
            <w:tcW w:w="1309" w:type="pct"/>
          </w:tcPr>
          <w:p w14:paraId="7CFBC7EC" w14:textId="7150053B" w:rsidR="0019792D" w:rsidRPr="001B036C" w:rsidRDefault="0019792D">
            <w:pPr>
              <w:pStyle w:val="Tabletext0"/>
            </w:pPr>
            <w:r w:rsidRPr="001B036C">
              <w:t>Canadian study</w:t>
            </w:r>
            <w:r w:rsidR="00DE13E3" w:rsidRPr="001B036C">
              <w:t>*</w:t>
            </w:r>
          </w:p>
        </w:tc>
      </w:tr>
      <w:tr w:rsidR="0019792D" w:rsidRPr="001B036C" w14:paraId="1EF0D328" w14:textId="77777777">
        <w:trPr>
          <w:trHeight w:val="273"/>
        </w:trPr>
        <w:tc>
          <w:tcPr>
            <w:tcW w:w="5000" w:type="pct"/>
            <w:gridSpan w:val="3"/>
          </w:tcPr>
          <w:p w14:paraId="2348123F" w14:textId="77777777" w:rsidR="0019792D" w:rsidRPr="001B036C" w:rsidRDefault="0019792D" w:rsidP="00734458">
            <w:pPr>
              <w:pStyle w:val="Tabletext0"/>
            </w:pPr>
            <w:r w:rsidRPr="001B036C">
              <w:rPr>
                <w:b/>
              </w:rPr>
              <w:t>FC arm</w:t>
            </w:r>
          </w:p>
        </w:tc>
      </w:tr>
      <w:tr w:rsidR="0019792D" w:rsidRPr="001B036C" w14:paraId="219725CD" w14:textId="77777777" w:rsidTr="00D47945">
        <w:tc>
          <w:tcPr>
            <w:tcW w:w="2143" w:type="pct"/>
          </w:tcPr>
          <w:p w14:paraId="17E157F6" w14:textId="77777777" w:rsidR="0019792D" w:rsidRPr="001B036C" w:rsidRDefault="0019792D">
            <w:pPr>
              <w:pStyle w:val="Tabletext0"/>
              <w:ind w:firstLine="431"/>
            </w:pPr>
            <w:r w:rsidRPr="001B036C">
              <w:t>Mild/Remission</w:t>
            </w:r>
          </w:p>
        </w:tc>
        <w:tc>
          <w:tcPr>
            <w:tcW w:w="1548" w:type="pct"/>
          </w:tcPr>
          <w:p w14:paraId="3AF83536" w14:textId="77777777" w:rsidR="0019792D" w:rsidRPr="001B036C" w:rsidRDefault="0019792D">
            <w:pPr>
              <w:pStyle w:val="Tabletext0"/>
              <w:jc w:val="center"/>
            </w:pPr>
            <w:r w:rsidRPr="001B036C">
              <w:t>61.80%</w:t>
            </w:r>
          </w:p>
        </w:tc>
        <w:tc>
          <w:tcPr>
            <w:tcW w:w="1309" w:type="pct"/>
          </w:tcPr>
          <w:p w14:paraId="5F1E1EF9" w14:textId="7D79551B" w:rsidR="0019792D" w:rsidRPr="001B036C" w:rsidRDefault="0019792D">
            <w:pPr>
              <w:pStyle w:val="Tabletext0"/>
            </w:pPr>
            <w:r w:rsidRPr="001B036C">
              <w:t>Monash data</w:t>
            </w:r>
            <w:r w:rsidR="00DE13E3" w:rsidRPr="001B036C">
              <w:t>**</w:t>
            </w:r>
          </w:p>
        </w:tc>
      </w:tr>
      <w:tr w:rsidR="0019792D" w:rsidRPr="001B036C" w14:paraId="1208A3A7" w14:textId="77777777" w:rsidTr="00D47945">
        <w:tc>
          <w:tcPr>
            <w:tcW w:w="2143" w:type="pct"/>
          </w:tcPr>
          <w:p w14:paraId="3E92002A" w14:textId="77777777" w:rsidR="0019792D" w:rsidRPr="001B036C" w:rsidRDefault="0019792D">
            <w:pPr>
              <w:pStyle w:val="Tabletext0"/>
              <w:ind w:firstLine="431"/>
            </w:pPr>
            <w:r w:rsidRPr="001B036C">
              <w:t>Moderate and severe/Relapsed</w:t>
            </w:r>
          </w:p>
        </w:tc>
        <w:tc>
          <w:tcPr>
            <w:tcW w:w="1548" w:type="pct"/>
          </w:tcPr>
          <w:p w14:paraId="021D2B2C" w14:textId="77777777" w:rsidR="0019792D" w:rsidRPr="001B036C" w:rsidRDefault="0019792D">
            <w:pPr>
              <w:pStyle w:val="Tabletext0"/>
              <w:jc w:val="center"/>
            </w:pPr>
            <w:r w:rsidRPr="001B036C">
              <w:t>38.20%</w:t>
            </w:r>
          </w:p>
        </w:tc>
        <w:tc>
          <w:tcPr>
            <w:tcW w:w="1309" w:type="pct"/>
          </w:tcPr>
          <w:p w14:paraId="340DD748" w14:textId="4B468D9B" w:rsidR="0019792D" w:rsidRPr="001B036C" w:rsidRDefault="0019792D">
            <w:pPr>
              <w:pStyle w:val="Tabletext0"/>
            </w:pPr>
            <w:r w:rsidRPr="001B036C">
              <w:t>Monash data</w:t>
            </w:r>
            <w:r w:rsidR="00DE13E3" w:rsidRPr="001B036C">
              <w:t>**</w:t>
            </w:r>
          </w:p>
        </w:tc>
      </w:tr>
      <w:tr w:rsidR="0019792D" w:rsidRPr="001B036C" w14:paraId="26E4D252" w14:textId="77777777" w:rsidTr="00D47945">
        <w:tc>
          <w:tcPr>
            <w:tcW w:w="2143" w:type="pct"/>
          </w:tcPr>
          <w:p w14:paraId="707AF483" w14:textId="77777777" w:rsidR="0019792D" w:rsidRPr="001B036C" w:rsidRDefault="0019792D" w:rsidP="00734458">
            <w:pPr>
              <w:pStyle w:val="Tabletext0"/>
            </w:pPr>
            <w:r w:rsidRPr="001B036C">
              <w:rPr>
                <w:b/>
              </w:rPr>
              <w:t>No FC arm</w:t>
            </w:r>
          </w:p>
        </w:tc>
        <w:tc>
          <w:tcPr>
            <w:tcW w:w="1548" w:type="pct"/>
          </w:tcPr>
          <w:p w14:paraId="3803444B" w14:textId="77777777" w:rsidR="0019792D" w:rsidRPr="001B036C" w:rsidRDefault="0019792D">
            <w:pPr>
              <w:pStyle w:val="Tabletext0"/>
              <w:jc w:val="center"/>
            </w:pPr>
          </w:p>
        </w:tc>
        <w:tc>
          <w:tcPr>
            <w:tcW w:w="1309" w:type="pct"/>
          </w:tcPr>
          <w:p w14:paraId="705FD114" w14:textId="77777777" w:rsidR="0019792D" w:rsidRPr="001B036C" w:rsidRDefault="0019792D">
            <w:pPr>
              <w:pStyle w:val="Tabletext0"/>
            </w:pPr>
          </w:p>
        </w:tc>
      </w:tr>
      <w:tr w:rsidR="0019792D" w:rsidRPr="001B036C" w14:paraId="04B0A94C" w14:textId="77777777" w:rsidTr="00D47945">
        <w:tc>
          <w:tcPr>
            <w:tcW w:w="2143" w:type="pct"/>
          </w:tcPr>
          <w:p w14:paraId="3365568D" w14:textId="77777777" w:rsidR="0019792D" w:rsidRPr="001B036C" w:rsidRDefault="0019792D">
            <w:pPr>
              <w:pStyle w:val="Tabletext0"/>
              <w:ind w:firstLine="431"/>
            </w:pPr>
            <w:r w:rsidRPr="001B036C">
              <w:t>Assessed with colonoscopy</w:t>
            </w:r>
          </w:p>
        </w:tc>
        <w:tc>
          <w:tcPr>
            <w:tcW w:w="1548" w:type="pct"/>
          </w:tcPr>
          <w:p w14:paraId="51B632FE" w14:textId="77777777" w:rsidR="0019792D" w:rsidRPr="001B036C" w:rsidRDefault="0019792D">
            <w:pPr>
              <w:pStyle w:val="Tabletext0"/>
              <w:jc w:val="center"/>
            </w:pPr>
            <w:r w:rsidRPr="001B036C">
              <w:t>10%</w:t>
            </w:r>
          </w:p>
        </w:tc>
        <w:tc>
          <w:tcPr>
            <w:tcW w:w="1309" w:type="pct"/>
          </w:tcPr>
          <w:p w14:paraId="55CF16F5" w14:textId="77777777" w:rsidR="0019792D" w:rsidRPr="001B036C" w:rsidRDefault="0019792D">
            <w:pPr>
              <w:pStyle w:val="Tabletext0"/>
            </w:pPr>
            <w:r w:rsidRPr="001B036C">
              <w:t>Assumption</w:t>
            </w:r>
          </w:p>
        </w:tc>
      </w:tr>
      <w:tr w:rsidR="0019792D" w:rsidRPr="001B036C" w14:paraId="28BACE4C" w14:textId="77777777" w:rsidTr="00D47945">
        <w:tc>
          <w:tcPr>
            <w:tcW w:w="2143" w:type="pct"/>
          </w:tcPr>
          <w:p w14:paraId="085B787E" w14:textId="77777777" w:rsidR="0019792D" w:rsidRPr="001B036C" w:rsidRDefault="0019792D">
            <w:pPr>
              <w:pStyle w:val="Tabletext0"/>
              <w:ind w:firstLine="431"/>
            </w:pPr>
            <w:r w:rsidRPr="001B036C">
              <w:t>Not assessed with colonoscopy</w:t>
            </w:r>
          </w:p>
        </w:tc>
        <w:tc>
          <w:tcPr>
            <w:tcW w:w="1548" w:type="pct"/>
          </w:tcPr>
          <w:p w14:paraId="382A2FDF" w14:textId="77777777" w:rsidR="0019792D" w:rsidRPr="001B036C" w:rsidRDefault="0019792D">
            <w:pPr>
              <w:pStyle w:val="Tabletext0"/>
              <w:jc w:val="center"/>
            </w:pPr>
            <w:r w:rsidRPr="001B036C">
              <w:t>90%</w:t>
            </w:r>
          </w:p>
        </w:tc>
        <w:tc>
          <w:tcPr>
            <w:tcW w:w="1309" w:type="pct"/>
          </w:tcPr>
          <w:p w14:paraId="457B5D65" w14:textId="77777777" w:rsidR="0019792D" w:rsidRPr="001B036C" w:rsidRDefault="0019792D">
            <w:pPr>
              <w:pStyle w:val="Tabletext0"/>
            </w:pPr>
            <w:r w:rsidRPr="001B036C">
              <w:t>Assumption</w:t>
            </w:r>
          </w:p>
        </w:tc>
      </w:tr>
    </w:tbl>
    <w:p w14:paraId="340FCC23" w14:textId="77777777" w:rsidR="00B647E7" w:rsidRPr="001B036C" w:rsidRDefault="0019792D" w:rsidP="001C6A90">
      <w:pPr>
        <w:pStyle w:val="TableFigNote"/>
      </w:pPr>
      <w:r w:rsidRPr="001B036C">
        <w:t>FC= faecal calprotectin; IBD= inflammatory bowel disease.</w:t>
      </w:r>
      <w:r w:rsidR="008E7312" w:rsidRPr="001B036C">
        <w:t xml:space="preserve"> </w:t>
      </w:r>
    </w:p>
    <w:p w14:paraId="2A9F2EE1" w14:textId="35FAFC6C" w:rsidR="00DE13E3" w:rsidRPr="001B036C" w:rsidRDefault="00DE13E3" w:rsidP="00B647E7">
      <w:pPr>
        <w:pStyle w:val="TableFigNote"/>
      </w:pPr>
      <w:r w:rsidRPr="001B036C">
        <w:t>*</w:t>
      </w:r>
      <w:r w:rsidR="00BE465C" w:rsidRPr="001B036C">
        <w:rPr>
          <w:rFonts w:ascii="Calibri" w:hAnsi="Calibri" w:cs="Calibri"/>
        </w:rPr>
        <w:t xml:space="preserve"> Melesse, D. Y., Lix, L. M., Nugent, Z., </w:t>
      </w:r>
      <w:proofErr w:type="spellStart"/>
      <w:r w:rsidR="00BE465C" w:rsidRPr="001B036C">
        <w:rPr>
          <w:rFonts w:ascii="Calibri" w:hAnsi="Calibri" w:cs="Calibri"/>
        </w:rPr>
        <w:t>Targownik</w:t>
      </w:r>
      <w:proofErr w:type="spellEnd"/>
      <w:r w:rsidR="00BE465C" w:rsidRPr="001B036C">
        <w:rPr>
          <w:rFonts w:ascii="Calibri" w:hAnsi="Calibri" w:cs="Calibri"/>
        </w:rPr>
        <w:t xml:space="preserve">, L. E., Singh, H., Blanchard, J. F., &amp; Bernstein, C. N. (2016). Estimates of Disease Course in Inflammatory Bowel Disease Using Administrative Data: A Population-level Study. </w:t>
      </w:r>
      <w:r w:rsidR="00BE465C" w:rsidRPr="001B036C">
        <w:rPr>
          <w:rFonts w:ascii="Calibri" w:hAnsi="Calibri" w:cs="Calibri"/>
          <w:i/>
          <w:iCs/>
        </w:rPr>
        <w:t>Journal of Crohn's and Colitis</w:t>
      </w:r>
      <w:r w:rsidR="00BE465C" w:rsidRPr="001B036C">
        <w:rPr>
          <w:rFonts w:ascii="Calibri" w:hAnsi="Calibri" w:cs="Calibri"/>
        </w:rPr>
        <w:t>,</w:t>
      </w:r>
      <w:r w:rsidR="00BE465C" w:rsidRPr="001B036C">
        <w:rPr>
          <w:rFonts w:ascii="Calibri" w:hAnsi="Calibri" w:cs="Calibri"/>
          <w:i/>
          <w:iCs/>
        </w:rPr>
        <w:t xml:space="preserve"> 11</w:t>
      </w:r>
      <w:r w:rsidR="00BE465C" w:rsidRPr="001B036C">
        <w:rPr>
          <w:rFonts w:ascii="Calibri" w:hAnsi="Calibri" w:cs="Calibri"/>
        </w:rPr>
        <w:t>(5), 562-570.</w:t>
      </w:r>
    </w:p>
    <w:p w14:paraId="0D7F935F" w14:textId="73EB4E6F" w:rsidR="0019792D" w:rsidRPr="001B036C" w:rsidRDefault="00DE13E3" w:rsidP="001C6A90">
      <w:pPr>
        <w:pStyle w:val="TableFigNote"/>
      </w:pPr>
      <w:r w:rsidRPr="001B036C">
        <w:t>**Data from Monash Health Pathology provided by the applicant during the DCAR development stage.</w:t>
      </w:r>
      <w:r w:rsidR="00B94467" w:rsidRPr="001B036C">
        <w:t xml:space="preserve"> </w:t>
      </w:r>
    </w:p>
    <w:p w14:paraId="72456BF7" w14:textId="5580A7F1" w:rsidR="0019792D" w:rsidRPr="001B036C" w:rsidRDefault="0019792D" w:rsidP="0019792D">
      <w:r w:rsidRPr="001B036C">
        <w:t>The FC test accuracy (sensitivity and specificity) for mucosal healing and relapse, were based on the results of the meta-analysis conducted during the assessment (</w:t>
      </w:r>
      <w:r w:rsidR="00DE515D" w:rsidRPr="001B036C">
        <w:fldChar w:fldCharType="begin"/>
      </w:r>
      <w:r w:rsidR="00DE515D" w:rsidRPr="001B036C">
        <w:instrText xml:space="preserve"> REF _Ref175039739 \h </w:instrText>
      </w:r>
      <w:r w:rsidR="001B036C">
        <w:instrText xml:space="preserve"> \* MERGEFORMAT </w:instrText>
      </w:r>
      <w:r w:rsidR="00DE515D" w:rsidRPr="001B036C">
        <w:fldChar w:fldCharType="separate"/>
      </w:r>
      <w:r w:rsidR="00370D1F" w:rsidRPr="001B036C">
        <w:t xml:space="preserve">Table </w:t>
      </w:r>
      <w:r w:rsidR="00370D1F">
        <w:rPr>
          <w:noProof/>
        </w:rPr>
        <w:t>17</w:t>
      </w:r>
      <w:r w:rsidR="00DE515D" w:rsidRPr="001B036C">
        <w:fldChar w:fldCharType="end"/>
      </w:r>
      <w:r w:rsidRPr="001B036C">
        <w:t xml:space="preserve">). Given that the aim of the FC test is to discriminate between patients with and without active disease, all results &gt;100 </w:t>
      </w:r>
      <w:r w:rsidR="006E5FD8" w:rsidRPr="001B036C">
        <w:t>µ</w:t>
      </w:r>
      <w:r w:rsidRPr="001B036C">
        <w:t xml:space="preserve">g/g </w:t>
      </w:r>
      <w:proofErr w:type="gramStart"/>
      <w:r w:rsidRPr="001B036C">
        <w:t>were considered to be</w:t>
      </w:r>
      <w:proofErr w:type="gramEnd"/>
      <w:r w:rsidRPr="001B036C">
        <w:t xml:space="preserve"> indicative of relapse</w:t>
      </w:r>
      <w:r w:rsidR="00C273EE" w:rsidRPr="001B036C">
        <w:t>,</w:t>
      </w:r>
      <w:r w:rsidRPr="001B036C">
        <w:t xml:space="preserve"> and results &lt;100 </w:t>
      </w:r>
      <w:r w:rsidR="006E5FD8" w:rsidRPr="001B036C">
        <w:t>µ</w:t>
      </w:r>
      <w:r w:rsidRPr="001B036C">
        <w:t xml:space="preserve">g/g were indicative of mucosal healing. There is no sensitivity or specificity for moderate or intermediate results, as clinical decision-making becomes ambiguous when FC results fall in this range (100 - 250 </w:t>
      </w:r>
      <w:r w:rsidR="006E5FD8" w:rsidRPr="001B036C">
        <w:t>µ</w:t>
      </w:r>
      <w:r w:rsidRPr="001B036C">
        <w:t xml:space="preserve">g/g).  </w:t>
      </w:r>
    </w:p>
    <w:p w14:paraId="6C4BD55E" w14:textId="34FA3974" w:rsidR="0019792D" w:rsidRPr="001B036C" w:rsidRDefault="0019792D" w:rsidP="0019792D">
      <w:pPr>
        <w:pStyle w:val="Caption"/>
      </w:pPr>
      <w:bookmarkStart w:id="37" w:name="_Ref175039739"/>
      <w:r w:rsidRPr="001B036C">
        <w:t xml:space="preserve">Table </w:t>
      </w:r>
      <w:r w:rsidRPr="001B036C">
        <w:rPr>
          <w:noProof/>
        </w:rPr>
        <w:fldChar w:fldCharType="begin"/>
      </w:r>
      <w:r w:rsidRPr="001B036C">
        <w:rPr>
          <w:noProof/>
        </w:rPr>
        <w:instrText xml:space="preserve"> SEQ Table \* ARABIC </w:instrText>
      </w:r>
      <w:r w:rsidRPr="001B036C">
        <w:rPr>
          <w:noProof/>
        </w:rPr>
        <w:fldChar w:fldCharType="separate"/>
      </w:r>
      <w:r w:rsidR="00B4653B">
        <w:rPr>
          <w:noProof/>
        </w:rPr>
        <w:t>17</w:t>
      </w:r>
      <w:r w:rsidRPr="001B036C">
        <w:rPr>
          <w:noProof/>
        </w:rPr>
        <w:fldChar w:fldCharType="end"/>
      </w:r>
      <w:bookmarkEnd w:id="37"/>
      <w:r w:rsidRPr="001B036C">
        <w:t xml:space="preserve"> Sensitivity and specificity to capture TP, FP, TN and FN cases.</w:t>
      </w:r>
    </w:p>
    <w:tbl>
      <w:tblPr>
        <w:tblStyle w:val="TableGrid"/>
        <w:tblW w:w="5000" w:type="pct"/>
        <w:tblLook w:val="04A0" w:firstRow="1" w:lastRow="0" w:firstColumn="1" w:lastColumn="0" w:noHBand="0" w:noVBand="1"/>
      </w:tblPr>
      <w:tblGrid>
        <w:gridCol w:w="1801"/>
        <w:gridCol w:w="1524"/>
        <w:gridCol w:w="1531"/>
        <w:gridCol w:w="2068"/>
        <w:gridCol w:w="2092"/>
      </w:tblGrid>
      <w:tr w:rsidR="0019792D" w:rsidRPr="001B036C" w14:paraId="538AE2CF" w14:textId="77777777" w:rsidTr="00D47945">
        <w:tc>
          <w:tcPr>
            <w:tcW w:w="999" w:type="pct"/>
            <w:vAlign w:val="bottom"/>
          </w:tcPr>
          <w:p w14:paraId="3445740E" w14:textId="6A55D9DB" w:rsidR="0019792D" w:rsidRPr="001B036C" w:rsidRDefault="0019792D" w:rsidP="00D47945">
            <w:pPr>
              <w:pStyle w:val="In-tableHeading"/>
            </w:pPr>
            <w:r w:rsidRPr="001B036C">
              <w:t> </w:t>
            </w:r>
            <w:r w:rsidR="006E5FD8" w:rsidRPr="001B036C">
              <w:t>Population</w:t>
            </w:r>
          </w:p>
        </w:tc>
        <w:tc>
          <w:tcPr>
            <w:tcW w:w="845" w:type="pct"/>
          </w:tcPr>
          <w:p w14:paraId="67820F21" w14:textId="77777777" w:rsidR="0019792D" w:rsidRPr="001B036C" w:rsidRDefault="0019792D" w:rsidP="00D47945">
            <w:pPr>
              <w:pStyle w:val="In-tableHeading"/>
            </w:pPr>
            <w:r w:rsidRPr="001B036C">
              <w:t>Outcome</w:t>
            </w:r>
          </w:p>
        </w:tc>
        <w:tc>
          <w:tcPr>
            <w:tcW w:w="849" w:type="pct"/>
          </w:tcPr>
          <w:p w14:paraId="038B6139" w14:textId="794DD3FB" w:rsidR="0019792D" w:rsidRPr="001B036C" w:rsidRDefault="0019792D" w:rsidP="00D47945">
            <w:pPr>
              <w:pStyle w:val="In-tableHeading"/>
            </w:pPr>
            <w:r w:rsidRPr="001B036C">
              <w:t>FC cut-off (</w:t>
            </w:r>
            <w:r w:rsidR="006E5FD8" w:rsidRPr="001B036C">
              <w:t>µ</w:t>
            </w:r>
            <w:r w:rsidRPr="001B036C">
              <w:t>g/g)</w:t>
            </w:r>
          </w:p>
        </w:tc>
        <w:tc>
          <w:tcPr>
            <w:tcW w:w="1147" w:type="pct"/>
            <w:vAlign w:val="bottom"/>
          </w:tcPr>
          <w:p w14:paraId="151D8154" w14:textId="77777777" w:rsidR="0019792D" w:rsidRPr="001B036C" w:rsidRDefault="0019792D" w:rsidP="00D47945">
            <w:pPr>
              <w:pStyle w:val="In-tableHeading"/>
            </w:pPr>
            <w:r w:rsidRPr="001B036C">
              <w:t>Sensitivity</w:t>
            </w:r>
          </w:p>
        </w:tc>
        <w:tc>
          <w:tcPr>
            <w:tcW w:w="1160" w:type="pct"/>
            <w:vAlign w:val="bottom"/>
          </w:tcPr>
          <w:p w14:paraId="27F74125" w14:textId="77777777" w:rsidR="0019792D" w:rsidRPr="001B036C" w:rsidRDefault="0019792D" w:rsidP="00D47945">
            <w:pPr>
              <w:pStyle w:val="In-tableHeading"/>
            </w:pPr>
            <w:r w:rsidRPr="001B036C">
              <w:t>Specificity</w:t>
            </w:r>
          </w:p>
        </w:tc>
      </w:tr>
      <w:tr w:rsidR="0019792D" w:rsidRPr="001B036C" w14:paraId="679D8067" w14:textId="77777777" w:rsidTr="00D47945">
        <w:tc>
          <w:tcPr>
            <w:tcW w:w="999" w:type="pct"/>
            <w:vAlign w:val="center"/>
          </w:tcPr>
          <w:p w14:paraId="122C0C26" w14:textId="77777777" w:rsidR="0019792D" w:rsidRPr="001B036C" w:rsidRDefault="0019792D">
            <w:pPr>
              <w:pStyle w:val="TableText"/>
            </w:pPr>
            <w:r w:rsidRPr="001B036C">
              <w:t>Symptomatic patients</w:t>
            </w:r>
          </w:p>
        </w:tc>
        <w:tc>
          <w:tcPr>
            <w:tcW w:w="845" w:type="pct"/>
            <w:vAlign w:val="center"/>
          </w:tcPr>
          <w:p w14:paraId="3EDAC554" w14:textId="77777777" w:rsidR="0019792D" w:rsidRPr="001B036C" w:rsidRDefault="0019792D">
            <w:pPr>
              <w:pStyle w:val="TableText"/>
            </w:pPr>
            <w:r w:rsidRPr="001B036C">
              <w:t>Mucosal healing</w:t>
            </w:r>
          </w:p>
        </w:tc>
        <w:tc>
          <w:tcPr>
            <w:tcW w:w="849" w:type="pct"/>
            <w:vAlign w:val="center"/>
          </w:tcPr>
          <w:p w14:paraId="69D0F1D8" w14:textId="77777777" w:rsidR="0019792D" w:rsidRPr="001B036C" w:rsidRDefault="0019792D">
            <w:pPr>
              <w:pStyle w:val="TableText"/>
            </w:pPr>
            <w:r w:rsidRPr="001B036C">
              <w:t xml:space="preserve">&lt;100 </w:t>
            </w:r>
          </w:p>
        </w:tc>
        <w:tc>
          <w:tcPr>
            <w:tcW w:w="1147" w:type="pct"/>
            <w:vAlign w:val="center"/>
          </w:tcPr>
          <w:p w14:paraId="0FDACC81" w14:textId="7F21FD7C" w:rsidR="0019792D" w:rsidRPr="001B036C" w:rsidRDefault="0019792D">
            <w:pPr>
              <w:pStyle w:val="TableText"/>
            </w:pPr>
            <w:r w:rsidRPr="001B036C">
              <w:t>82.9% [75.7% – 88.4%]</w:t>
            </w:r>
          </w:p>
        </w:tc>
        <w:tc>
          <w:tcPr>
            <w:tcW w:w="1160" w:type="pct"/>
            <w:vAlign w:val="center"/>
          </w:tcPr>
          <w:p w14:paraId="57E42CF4" w14:textId="1097DD99" w:rsidR="0019792D" w:rsidRPr="001B036C" w:rsidRDefault="0019792D">
            <w:pPr>
              <w:pStyle w:val="TableText"/>
            </w:pPr>
            <w:r w:rsidRPr="001B036C">
              <w:t xml:space="preserve">71.4% [64.9% – </w:t>
            </w:r>
            <w:r w:rsidR="002340DB" w:rsidRPr="001B036C">
              <w:t>77</w:t>
            </w:r>
            <w:r w:rsidRPr="001B036C">
              <w:t>.</w:t>
            </w:r>
            <w:r w:rsidR="007B1A3B" w:rsidRPr="001B036C">
              <w:t>1</w:t>
            </w:r>
            <w:r w:rsidRPr="001B036C">
              <w:t>%]</w:t>
            </w:r>
          </w:p>
        </w:tc>
      </w:tr>
      <w:tr w:rsidR="0019792D" w:rsidRPr="001B036C" w14:paraId="4968AFB3" w14:textId="77777777" w:rsidTr="00D47945">
        <w:tc>
          <w:tcPr>
            <w:tcW w:w="999" w:type="pct"/>
            <w:vAlign w:val="center"/>
          </w:tcPr>
          <w:p w14:paraId="2053E19C" w14:textId="77777777" w:rsidR="0019792D" w:rsidRPr="001B036C" w:rsidRDefault="0019792D">
            <w:pPr>
              <w:pStyle w:val="TableText"/>
            </w:pPr>
            <w:r w:rsidRPr="001B036C">
              <w:t>Asymptomatic patients</w:t>
            </w:r>
          </w:p>
        </w:tc>
        <w:tc>
          <w:tcPr>
            <w:tcW w:w="845" w:type="pct"/>
            <w:vAlign w:val="center"/>
          </w:tcPr>
          <w:p w14:paraId="4D02F09E" w14:textId="77777777" w:rsidR="0019792D" w:rsidRPr="001B036C" w:rsidRDefault="0019792D">
            <w:pPr>
              <w:pStyle w:val="TableText"/>
            </w:pPr>
            <w:r w:rsidRPr="001B036C">
              <w:t>Relapse</w:t>
            </w:r>
          </w:p>
        </w:tc>
        <w:tc>
          <w:tcPr>
            <w:tcW w:w="849" w:type="pct"/>
            <w:vAlign w:val="center"/>
          </w:tcPr>
          <w:p w14:paraId="04D5BA2A" w14:textId="77777777" w:rsidR="0019792D" w:rsidRPr="001B036C" w:rsidRDefault="0019792D">
            <w:pPr>
              <w:pStyle w:val="TableText"/>
            </w:pPr>
            <w:r w:rsidRPr="001B036C">
              <w:t>&gt;100</w:t>
            </w:r>
          </w:p>
        </w:tc>
        <w:tc>
          <w:tcPr>
            <w:tcW w:w="1147" w:type="pct"/>
            <w:vAlign w:val="center"/>
          </w:tcPr>
          <w:p w14:paraId="16538BCB" w14:textId="347FD5DE" w:rsidR="0019792D" w:rsidRPr="001B036C" w:rsidRDefault="0019792D">
            <w:pPr>
              <w:pStyle w:val="TableText"/>
            </w:pPr>
            <w:r w:rsidRPr="001B036C">
              <w:t>71.</w:t>
            </w:r>
            <w:r w:rsidR="00123138" w:rsidRPr="001B036C">
              <w:t>4</w:t>
            </w:r>
            <w:r w:rsidRPr="001B036C">
              <w:t>% [65.2% - 76.9%]</w:t>
            </w:r>
          </w:p>
        </w:tc>
        <w:tc>
          <w:tcPr>
            <w:tcW w:w="1160" w:type="pct"/>
            <w:vAlign w:val="center"/>
          </w:tcPr>
          <w:p w14:paraId="1E269682" w14:textId="56DF90FC" w:rsidR="0019792D" w:rsidRPr="001B036C" w:rsidRDefault="0019792D">
            <w:pPr>
              <w:pStyle w:val="TableText"/>
            </w:pPr>
            <w:r w:rsidRPr="001B036C">
              <w:t>80.3% [74.7% - 84.9%]</w:t>
            </w:r>
          </w:p>
        </w:tc>
      </w:tr>
    </w:tbl>
    <w:p w14:paraId="502941E4" w14:textId="77777777" w:rsidR="0019792D" w:rsidRPr="001B036C" w:rsidRDefault="0019792D" w:rsidP="0019792D">
      <w:pPr>
        <w:pStyle w:val="TableFooter"/>
      </w:pPr>
      <w:r w:rsidRPr="001B036C">
        <w:t xml:space="preserve">FN= false negative; FP= false positive; TN= true negative; TP = true positive. </w:t>
      </w:r>
    </w:p>
    <w:p w14:paraId="59D195D4" w14:textId="41BAB6F8" w:rsidR="0019792D" w:rsidRPr="001B036C" w:rsidRDefault="0019792D" w:rsidP="0019792D">
      <w:r w:rsidRPr="001B036C">
        <w:t xml:space="preserve">The model assumed that all patients in the FC arm would receive two FC tests per year, consistent with the applicant's proposed 6-monthly testing schedule. </w:t>
      </w:r>
      <w:r w:rsidR="00EE6804" w:rsidRPr="001B036C">
        <w:t>The base case scenario assumes that not all patients will adhere to the FC monitoring strategy, and it was assumed that symptomatic patients will adhere better to regular FC testing compared to asymptomatic patients, 70% and 50%, respectively.</w:t>
      </w:r>
      <w:r w:rsidR="00E33D33" w:rsidRPr="001B036C">
        <w:t xml:space="preserve"> </w:t>
      </w:r>
      <w:r w:rsidRPr="001B036C">
        <w:t xml:space="preserve">The number of colonoscopies in the FC arm depends on the FC results. </w:t>
      </w:r>
      <w:r w:rsidR="0203CA21" w:rsidRPr="001B036C">
        <w:rPr>
          <w:rFonts w:eastAsia="Franklin Gothic Book" w:cs="Franklin Gothic Book"/>
        </w:rPr>
        <w:t>Patients who have FC results in the equivocal range of 100 µg/g to 250 µg/g (both true and false positive</w:t>
      </w:r>
      <w:r w:rsidR="00775E63">
        <w:rPr>
          <w:rFonts w:eastAsia="Franklin Gothic Book" w:cs="Franklin Gothic Book"/>
        </w:rPr>
        <w:t xml:space="preserve"> results</w:t>
      </w:r>
      <w:r w:rsidR="0203CA21" w:rsidRPr="001B036C">
        <w:rPr>
          <w:rFonts w:eastAsia="Franklin Gothic Book" w:cs="Franklin Gothic Book"/>
        </w:rPr>
        <w:t xml:space="preserve"> in this range) may be clinically ambiguous, and require additional monitoring and investigations (e.g. imaging, repeat FC, and/or colonoscopy) to determine if they have an IBD flare or not.</w:t>
      </w:r>
      <w:r w:rsidRPr="001B036C">
        <w:rPr>
          <w:rFonts w:eastAsia="Franklin Gothic Book" w:cs="Franklin Gothic Book"/>
        </w:rPr>
        <w:t xml:space="preserve"> </w:t>
      </w:r>
      <w:r w:rsidRPr="001B036C">
        <w:t>In the rest of the cases</w:t>
      </w:r>
      <w:r w:rsidR="00463A2F" w:rsidRPr="001B036C">
        <w:t xml:space="preserve"> (mild and severe)</w:t>
      </w:r>
      <w:r w:rsidRPr="001B036C">
        <w:t>, F</w:t>
      </w:r>
      <w:r w:rsidR="004F4C75" w:rsidRPr="001B036C">
        <w:t>C</w:t>
      </w:r>
      <w:r w:rsidRPr="001B036C">
        <w:t xml:space="preserve"> is expected to replace colonoscopy. For instance, symptomatic patients correctly identified as not having active disease may avoid a colonoscopy/biopsy. Conversely, if patients are incorrectly identified as having active disease (false positive), it was assumed that additional tests might be required to establish a trend, and further investigation via colonoscopy might be necessary. The other resource use included in the model are repeat FC testing, </w:t>
      </w:r>
      <w:r w:rsidR="009D3E36" w:rsidRPr="001B036C">
        <w:t>general practitioner</w:t>
      </w:r>
      <w:r w:rsidRPr="001B036C">
        <w:t xml:space="preserve">, specialist and subsequent specialist consultations arising due to FC testing. Repeat FC testing is necessary to establish a trend especially if the FC results are in intermediate range. </w:t>
      </w:r>
      <w:r w:rsidR="00392B63" w:rsidRPr="001B036C">
        <w:t xml:space="preserve">Adherence to repeat tests was </w:t>
      </w:r>
      <w:r w:rsidR="00392B63" w:rsidRPr="001B036C">
        <w:lastRenderedPageBreak/>
        <w:t xml:space="preserve">assumed to be 100%. </w:t>
      </w:r>
      <w:r w:rsidRPr="001B036C">
        <w:t>Each FC test also requires a GP consultation, and each colonoscopy would require a specialist and subsequent specialist consultation. Patients with moderate/sever</w:t>
      </w:r>
      <w:r w:rsidR="00213E8D" w:rsidRPr="001B036C">
        <w:t>e</w:t>
      </w:r>
      <w:r w:rsidRPr="001B036C">
        <w:t xml:space="preserve"> disease are also expected to visit a specialist more often compared to those with mild symptoms/remission. </w:t>
      </w:r>
    </w:p>
    <w:p w14:paraId="05E7606A" w14:textId="2BC3B1E2" w:rsidR="0019792D" w:rsidRPr="001B036C" w:rsidRDefault="0019792D" w:rsidP="0019792D">
      <w:r w:rsidRPr="001B036C">
        <w:t>In the No FC arm, patients could be assessed or not assessed with colonoscopy. The assessment report assumed all symptomatic patients (40%</w:t>
      </w:r>
      <w:r w:rsidR="00C83BF1" w:rsidRPr="001B036C">
        <w:t xml:space="preserve"> of total</w:t>
      </w:r>
      <w:r w:rsidR="003C3092" w:rsidRPr="001B036C">
        <w:t xml:space="preserve"> no FC arm</w:t>
      </w:r>
      <w:r w:rsidRPr="001B036C">
        <w:t>) and 10% of asymptomatic patients (60%</w:t>
      </w:r>
      <w:r w:rsidR="003C3092" w:rsidRPr="001B036C">
        <w:t xml:space="preserve"> of total no FC arm</w:t>
      </w:r>
      <w:r w:rsidRPr="001B036C">
        <w:t>) in the model would undergo one colonoscopy evaluation as part of their regular monitoring (periodic endoscopic examinations to assess mucosal healing) and treatment adjustment. Most asymptomatic patients (90%) would receive only standard medical management (not assessed for endoscopic activity), with no additional costs allocated, as colonoscopy/FC testing was assumed to be an add-on to the standard medical management. Resource use assumed in the analysis in the FC arm and No FC arm are presented in</w:t>
      </w:r>
      <w:r w:rsidR="00DE515D" w:rsidRPr="001B036C">
        <w:t xml:space="preserve"> </w:t>
      </w:r>
      <w:r w:rsidR="00DE515D" w:rsidRPr="001B036C">
        <w:fldChar w:fldCharType="begin"/>
      </w:r>
      <w:r w:rsidR="00DE515D" w:rsidRPr="001B036C">
        <w:instrText xml:space="preserve"> REF _Ref175039768 \h </w:instrText>
      </w:r>
      <w:r w:rsidR="001B036C">
        <w:instrText xml:space="preserve"> \* MERGEFORMAT </w:instrText>
      </w:r>
      <w:r w:rsidR="00DE515D" w:rsidRPr="001B036C">
        <w:fldChar w:fldCharType="separate"/>
      </w:r>
      <w:r w:rsidR="00370D1F" w:rsidRPr="001B036C">
        <w:t xml:space="preserve">Table </w:t>
      </w:r>
      <w:r w:rsidR="00370D1F">
        <w:rPr>
          <w:noProof/>
        </w:rPr>
        <w:t>18</w:t>
      </w:r>
      <w:r w:rsidR="00DE515D" w:rsidRPr="001B036C">
        <w:fldChar w:fldCharType="end"/>
      </w:r>
      <w:r w:rsidRPr="001B036C">
        <w:t xml:space="preserve"> and </w:t>
      </w:r>
      <w:r w:rsidR="00DE515D" w:rsidRPr="001B036C">
        <w:fldChar w:fldCharType="begin"/>
      </w:r>
      <w:r w:rsidR="00DE515D" w:rsidRPr="001B036C">
        <w:instrText xml:space="preserve"> REF _Ref175039778 \h </w:instrText>
      </w:r>
      <w:r w:rsidR="001B036C">
        <w:instrText xml:space="preserve"> \* MERGEFORMAT </w:instrText>
      </w:r>
      <w:r w:rsidR="00DE515D" w:rsidRPr="001B036C">
        <w:fldChar w:fldCharType="separate"/>
      </w:r>
      <w:r w:rsidR="00370D1F" w:rsidRPr="001B036C">
        <w:t xml:space="preserve">Table </w:t>
      </w:r>
      <w:r w:rsidR="00370D1F">
        <w:rPr>
          <w:noProof/>
        </w:rPr>
        <w:t>19</w:t>
      </w:r>
      <w:r w:rsidR="00DE515D" w:rsidRPr="001B036C">
        <w:fldChar w:fldCharType="end"/>
      </w:r>
      <w:r w:rsidRPr="001B036C">
        <w:t xml:space="preserve">, respectively. </w:t>
      </w:r>
      <w:r w:rsidR="00487445">
        <w:t xml:space="preserve">The impact of a proportion of mild/moderate symptomatic patients </w:t>
      </w:r>
      <w:r w:rsidR="00795301">
        <w:t xml:space="preserve">accessing GP consults instead of specialist consultation was tested in a sensitivity analysis. </w:t>
      </w:r>
    </w:p>
    <w:p w14:paraId="186A7BE8" w14:textId="243348C9" w:rsidR="0019792D" w:rsidRPr="001B036C" w:rsidRDefault="0019792D" w:rsidP="0019792D">
      <w:pPr>
        <w:pStyle w:val="Caption"/>
      </w:pPr>
      <w:bookmarkStart w:id="38" w:name="_Ref175039768"/>
      <w:r w:rsidRPr="001B036C">
        <w:t xml:space="preserve">Table </w:t>
      </w:r>
      <w:r>
        <w:fldChar w:fldCharType="begin"/>
      </w:r>
      <w:r>
        <w:instrText xml:space="preserve"> SEQ Table \* ARABIC </w:instrText>
      </w:r>
      <w:r>
        <w:fldChar w:fldCharType="separate"/>
      </w:r>
      <w:r w:rsidR="00B4653B">
        <w:rPr>
          <w:noProof/>
        </w:rPr>
        <w:t>18</w:t>
      </w:r>
      <w:r>
        <w:rPr>
          <w:noProof/>
        </w:rPr>
        <w:fldChar w:fldCharType="end"/>
      </w:r>
      <w:bookmarkEnd w:id="38"/>
      <w:r w:rsidRPr="001B036C">
        <w:t xml:space="preserve"> Frequency of annual resources in the FC arm</w:t>
      </w:r>
    </w:p>
    <w:tbl>
      <w:tblPr>
        <w:tblStyle w:val="TableGrid"/>
        <w:tblW w:w="0" w:type="auto"/>
        <w:tblLook w:val="04A0" w:firstRow="1" w:lastRow="0" w:firstColumn="1" w:lastColumn="0" w:noHBand="0" w:noVBand="1"/>
      </w:tblPr>
      <w:tblGrid>
        <w:gridCol w:w="1980"/>
        <w:gridCol w:w="827"/>
        <w:gridCol w:w="972"/>
        <w:gridCol w:w="1470"/>
        <w:gridCol w:w="972"/>
        <w:gridCol w:w="1150"/>
        <w:gridCol w:w="1369"/>
      </w:tblGrid>
      <w:tr w:rsidR="0019792D" w:rsidRPr="001B036C" w14:paraId="29D281F0" w14:textId="77777777">
        <w:trPr>
          <w:trHeight w:val="291"/>
        </w:trPr>
        <w:tc>
          <w:tcPr>
            <w:tcW w:w="1980" w:type="dxa"/>
            <w:noWrap/>
            <w:hideMark/>
          </w:tcPr>
          <w:p w14:paraId="48202C00" w14:textId="77777777" w:rsidR="0019792D" w:rsidRPr="001B036C" w:rsidRDefault="0019792D" w:rsidP="00D47945">
            <w:pPr>
              <w:pStyle w:val="In-tableHeading"/>
            </w:pPr>
            <w:r w:rsidRPr="001B036C">
              <w:t>Distribution of patients</w:t>
            </w:r>
          </w:p>
        </w:tc>
        <w:tc>
          <w:tcPr>
            <w:tcW w:w="827" w:type="dxa"/>
            <w:noWrap/>
            <w:hideMark/>
          </w:tcPr>
          <w:p w14:paraId="1544E919" w14:textId="77777777" w:rsidR="0019792D" w:rsidRPr="001B036C" w:rsidRDefault="0019792D" w:rsidP="00D47945">
            <w:pPr>
              <w:pStyle w:val="In-tableHeading"/>
            </w:pPr>
            <w:r w:rsidRPr="001B036C">
              <w:t>Routine FC</w:t>
            </w:r>
          </w:p>
        </w:tc>
        <w:tc>
          <w:tcPr>
            <w:tcW w:w="972" w:type="dxa"/>
            <w:noWrap/>
            <w:hideMark/>
          </w:tcPr>
          <w:p w14:paraId="0FAF298B" w14:textId="77777777" w:rsidR="0019792D" w:rsidRPr="001B036C" w:rsidRDefault="0019792D" w:rsidP="00D47945">
            <w:pPr>
              <w:pStyle w:val="In-tableHeading"/>
            </w:pPr>
            <w:r w:rsidRPr="001B036C">
              <w:t>Repeat FC</w:t>
            </w:r>
          </w:p>
        </w:tc>
        <w:tc>
          <w:tcPr>
            <w:tcW w:w="1470" w:type="dxa"/>
            <w:noWrap/>
            <w:hideMark/>
          </w:tcPr>
          <w:p w14:paraId="4DD97B95" w14:textId="77777777" w:rsidR="0019792D" w:rsidRPr="001B036C" w:rsidRDefault="0019792D" w:rsidP="00D47945">
            <w:pPr>
              <w:pStyle w:val="In-tableHeading"/>
            </w:pPr>
            <w:r w:rsidRPr="001B036C">
              <w:t>Colonoscopy/ biopsy</w:t>
            </w:r>
          </w:p>
        </w:tc>
        <w:tc>
          <w:tcPr>
            <w:tcW w:w="972" w:type="dxa"/>
            <w:noWrap/>
            <w:hideMark/>
          </w:tcPr>
          <w:p w14:paraId="2B66E4E9" w14:textId="77777777" w:rsidR="0019792D" w:rsidRPr="001B036C" w:rsidRDefault="0019792D" w:rsidP="00D47945">
            <w:pPr>
              <w:pStyle w:val="In-tableHeading"/>
            </w:pPr>
            <w:r w:rsidRPr="001B036C">
              <w:t xml:space="preserve">GP </w:t>
            </w:r>
          </w:p>
        </w:tc>
        <w:tc>
          <w:tcPr>
            <w:tcW w:w="1150" w:type="dxa"/>
            <w:noWrap/>
            <w:hideMark/>
          </w:tcPr>
          <w:p w14:paraId="25689A0F" w14:textId="77777777" w:rsidR="0019792D" w:rsidRPr="001B036C" w:rsidRDefault="0019792D" w:rsidP="00D47945">
            <w:pPr>
              <w:pStyle w:val="In-tableHeading"/>
            </w:pPr>
            <w:r w:rsidRPr="001B036C">
              <w:t xml:space="preserve">Specialist </w:t>
            </w:r>
          </w:p>
        </w:tc>
        <w:tc>
          <w:tcPr>
            <w:tcW w:w="1369" w:type="dxa"/>
            <w:noWrap/>
            <w:hideMark/>
          </w:tcPr>
          <w:p w14:paraId="38EAFC01" w14:textId="77777777" w:rsidR="0019792D" w:rsidRPr="001B036C" w:rsidRDefault="0019792D" w:rsidP="00D47945">
            <w:pPr>
              <w:pStyle w:val="In-tableHeading"/>
            </w:pPr>
            <w:r w:rsidRPr="001B036C">
              <w:t>Subsequent specialist consult</w:t>
            </w:r>
          </w:p>
        </w:tc>
      </w:tr>
      <w:tr w:rsidR="0019792D" w:rsidRPr="001B036C" w14:paraId="38C45AAF" w14:textId="77777777">
        <w:trPr>
          <w:trHeight w:val="291"/>
        </w:trPr>
        <w:tc>
          <w:tcPr>
            <w:tcW w:w="8740" w:type="dxa"/>
            <w:gridSpan w:val="7"/>
            <w:noWrap/>
          </w:tcPr>
          <w:p w14:paraId="0BCFAA49" w14:textId="77777777" w:rsidR="0019792D" w:rsidRPr="001B036C" w:rsidRDefault="0019792D">
            <w:pPr>
              <w:pStyle w:val="Tabletext0"/>
              <w:rPr>
                <w:b/>
                <w:bCs/>
              </w:rPr>
            </w:pPr>
            <w:r w:rsidRPr="001B036C">
              <w:rPr>
                <w:b/>
                <w:bCs/>
              </w:rPr>
              <w:t>Symptomatic – Mild/Remission</w:t>
            </w:r>
          </w:p>
        </w:tc>
      </w:tr>
      <w:tr w:rsidR="0019792D" w:rsidRPr="001B036C" w14:paraId="5966ADE5" w14:textId="77777777">
        <w:trPr>
          <w:trHeight w:val="291"/>
        </w:trPr>
        <w:tc>
          <w:tcPr>
            <w:tcW w:w="1980" w:type="dxa"/>
            <w:noWrap/>
            <w:hideMark/>
          </w:tcPr>
          <w:p w14:paraId="5FD7ACD6" w14:textId="77777777" w:rsidR="0019792D" w:rsidRPr="001B036C" w:rsidRDefault="0019792D">
            <w:pPr>
              <w:pStyle w:val="Tabletext0"/>
            </w:pPr>
            <w:r w:rsidRPr="001B036C">
              <w:t>TP</w:t>
            </w:r>
            <w:r w:rsidRPr="001B036C">
              <w:rPr>
                <w:vertAlign w:val="superscript"/>
              </w:rPr>
              <w:t>1</w:t>
            </w:r>
          </w:p>
        </w:tc>
        <w:tc>
          <w:tcPr>
            <w:tcW w:w="827" w:type="dxa"/>
            <w:noWrap/>
            <w:vAlign w:val="bottom"/>
            <w:hideMark/>
          </w:tcPr>
          <w:p w14:paraId="700E6F99" w14:textId="77777777" w:rsidR="0019792D" w:rsidRPr="001B036C" w:rsidRDefault="0019792D">
            <w:pPr>
              <w:pStyle w:val="Tabletext0"/>
            </w:pPr>
            <w:r w:rsidRPr="001B036C">
              <w:t>2</w:t>
            </w:r>
          </w:p>
        </w:tc>
        <w:tc>
          <w:tcPr>
            <w:tcW w:w="972" w:type="dxa"/>
            <w:noWrap/>
            <w:vAlign w:val="bottom"/>
            <w:hideMark/>
          </w:tcPr>
          <w:p w14:paraId="74DC22F6" w14:textId="77777777" w:rsidR="0019792D" w:rsidRPr="001B036C" w:rsidRDefault="0019792D">
            <w:pPr>
              <w:pStyle w:val="Tabletext0"/>
            </w:pPr>
            <w:r w:rsidRPr="001B036C">
              <w:t>0</w:t>
            </w:r>
          </w:p>
        </w:tc>
        <w:tc>
          <w:tcPr>
            <w:tcW w:w="1470" w:type="dxa"/>
            <w:noWrap/>
            <w:vAlign w:val="bottom"/>
            <w:hideMark/>
          </w:tcPr>
          <w:p w14:paraId="3C36243D" w14:textId="77777777" w:rsidR="0019792D" w:rsidRPr="001B036C" w:rsidRDefault="0019792D">
            <w:pPr>
              <w:pStyle w:val="Tabletext0"/>
            </w:pPr>
            <w:r w:rsidRPr="001B036C">
              <w:t>0</w:t>
            </w:r>
          </w:p>
        </w:tc>
        <w:tc>
          <w:tcPr>
            <w:tcW w:w="972" w:type="dxa"/>
            <w:noWrap/>
            <w:vAlign w:val="bottom"/>
            <w:hideMark/>
          </w:tcPr>
          <w:p w14:paraId="04190F28" w14:textId="77777777" w:rsidR="0019792D" w:rsidRPr="001B036C" w:rsidRDefault="0019792D">
            <w:pPr>
              <w:pStyle w:val="Tabletext0"/>
            </w:pPr>
            <w:r w:rsidRPr="001B036C">
              <w:t>2</w:t>
            </w:r>
          </w:p>
        </w:tc>
        <w:tc>
          <w:tcPr>
            <w:tcW w:w="1150" w:type="dxa"/>
            <w:noWrap/>
            <w:vAlign w:val="bottom"/>
            <w:hideMark/>
          </w:tcPr>
          <w:p w14:paraId="50672096" w14:textId="77777777" w:rsidR="0019792D" w:rsidRPr="001B036C" w:rsidRDefault="0019792D">
            <w:pPr>
              <w:pStyle w:val="Tabletext0"/>
            </w:pPr>
            <w:r w:rsidRPr="001B036C">
              <w:t>1</w:t>
            </w:r>
          </w:p>
        </w:tc>
        <w:tc>
          <w:tcPr>
            <w:tcW w:w="1369" w:type="dxa"/>
            <w:noWrap/>
            <w:vAlign w:val="bottom"/>
            <w:hideMark/>
          </w:tcPr>
          <w:p w14:paraId="1F59F708" w14:textId="77777777" w:rsidR="0019792D" w:rsidRPr="001B036C" w:rsidRDefault="0019792D">
            <w:pPr>
              <w:pStyle w:val="Tabletext0"/>
            </w:pPr>
            <w:r w:rsidRPr="001B036C">
              <w:t>0</w:t>
            </w:r>
          </w:p>
        </w:tc>
      </w:tr>
      <w:tr w:rsidR="0019792D" w:rsidRPr="001B036C" w14:paraId="1D6CDB4C" w14:textId="77777777">
        <w:trPr>
          <w:trHeight w:val="291"/>
        </w:trPr>
        <w:tc>
          <w:tcPr>
            <w:tcW w:w="1980" w:type="dxa"/>
            <w:noWrap/>
            <w:hideMark/>
          </w:tcPr>
          <w:p w14:paraId="532A08AD" w14:textId="77777777" w:rsidR="0019792D" w:rsidRPr="001B036C" w:rsidRDefault="0019792D">
            <w:pPr>
              <w:pStyle w:val="Tabletext0"/>
            </w:pPr>
            <w:r w:rsidRPr="001B036C">
              <w:t>FN</w:t>
            </w:r>
          </w:p>
        </w:tc>
        <w:tc>
          <w:tcPr>
            <w:tcW w:w="827" w:type="dxa"/>
            <w:noWrap/>
            <w:vAlign w:val="bottom"/>
            <w:hideMark/>
          </w:tcPr>
          <w:p w14:paraId="0E9BB090" w14:textId="77777777" w:rsidR="0019792D" w:rsidRPr="001B036C" w:rsidRDefault="0019792D">
            <w:pPr>
              <w:pStyle w:val="Tabletext0"/>
            </w:pPr>
            <w:r w:rsidRPr="001B036C">
              <w:t>2</w:t>
            </w:r>
          </w:p>
        </w:tc>
        <w:tc>
          <w:tcPr>
            <w:tcW w:w="972" w:type="dxa"/>
            <w:noWrap/>
            <w:vAlign w:val="bottom"/>
            <w:hideMark/>
          </w:tcPr>
          <w:p w14:paraId="05D14461" w14:textId="77777777" w:rsidR="0019792D" w:rsidRPr="001B036C" w:rsidRDefault="0019792D">
            <w:pPr>
              <w:pStyle w:val="Tabletext0"/>
            </w:pPr>
            <w:r w:rsidRPr="001B036C">
              <w:t>2</w:t>
            </w:r>
          </w:p>
        </w:tc>
        <w:tc>
          <w:tcPr>
            <w:tcW w:w="1470" w:type="dxa"/>
            <w:noWrap/>
            <w:vAlign w:val="bottom"/>
            <w:hideMark/>
          </w:tcPr>
          <w:p w14:paraId="4838FC54" w14:textId="77777777" w:rsidR="0019792D" w:rsidRPr="001B036C" w:rsidRDefault="0019792D">
            <w:pPr>
              <w:pStyle w:val="Tabletext0"/>
            </w:pPr>
            <w:r w:rsidRPr="001B036C">
              <w:t>1</w:t>
            </w:r>
          </w:p>
        </w:tc>
        <w:tc>
          <w:tcPr>
            <w:tcW w:w="972" w:type="dxa"/>
            <w:noWrap/>
            <w:vAlign w:val="bottom"/>
            <w:hideMark/>
          </w:tcPr>
          <w:p w14:paraId="4D34FA1B" w14:textId="77777777" w:rsidR="0019792D" w:rsidRPr="001B036C" w:rsidRDefault="0019792D">
            <w:pPr>
              <w:pStyle w:val="Tabletext0"/>
            </w:pPr>
            <w:r w:rsidRPr="001B036C">
              <w:t>2</w:t>
            </w:r>
          </w:p>
        </w:tc>
        <w:tc>
          <w:tcPr>
            <w:tcW w:w="1150" w:type="dxa"/>
            <w:noWrap/>
            <w:vAlign w:val="bottom"/>
            <w:hideMark/>
          </w:tcPr>
          <w:p w14:paraId="046BC49D" w14:textId="77777777" w:rsidR="0019792D" w:rsidRPr="001B036C" w:rsidRDefault="0019792D">
            <w:pPr>
              <w:pStyle w:val="Tabletext0"/>
            </w:pPr>
            <w:r w:rsidRPr="001B036C">
              <w:t>1</w:t>
            </w:r>
          </w:p>
        </w:tc>
        <w:tc>
          <w:tcPr>
            <w:tcW w:w="1369" w:type="dxa"/>
            <w:noWrap/>
            <w:vAlign w:val="bottom"/>
            <w:hideMark/>
          </w:tcPr>
          <w:p w14:paraId="3562769B" w14:textId="77777777" w:rsidR="0019792D" w:rsidRPr="001B036C" w:rsidRDefault="0019792D">
            <w:pPr>
              <w:pStyle w:val="Tabletext0"/>
            </w:pPr>
            <w:r w:rsidRPr="001B036C">
              <w:t>1</w:t>
            </w:r>
          </w:p>
        </w:tc>
      </w:tr>
      <w:tr w:rsidR="0019792D" w:rsidRPr="001B036C" w14:paraId="13466049" w14:textId="77777777">
        <w:trPr>
          <w:trHeight w:val="291"/>
        </w:trPr>
        <w:tc>
          <w:tcPr>
            <w:tcW w:w="1980" w:type="dxa"/>
            <w:noWrap/>
            <w:hideMark/>
          </w:tcPr>
          <w:p w14:paraId="7425B4EB" w14:textId="77777777" w:rsidR="0019792D" w:rsidRPr="001B036C" w:rsidRDefault="0019792D">
            <w:pPr>
              <w:pStyle w:val="Tabletext0"/>
              <w:rPr>
                <w:vertAlign w:val="superscript"/>
              </w:rPr>
            </w:pPr>
            <w:r w:rsidRPr="001B036C">
              <w:t>TN (moderate disease)</w:t>
            </w:r>
            <w:r w:rsidRPr="001B036C">
              <w:rPr>
                <w:vertAlign w:val="superscript"/>
              </w:rPr>
              <w:t>2</w:t>
            </w:r>
          </w:p>
        </w:tc>
        <w:tc>
          <w:tcPr>
            <w:tcW w:w="827" w:type="dxa"/>
            <w:noWrap/>
            <w:vAlign w:val="bottom"/>
            <w:hideMark/>
          </w:tcPr>
          <w:p w14:paraId="659A920E" w14:textId="77777777" w:rsidR="0019792D" w:rsidRPr="001B036C" w:rsidRDefault="0019792D">
            <w:pPr>
              <w:pStyle w:val="Tabletext0"/>
            </w:pPr>
            <w:r w:rsidRPr="001B036C">
              <w:t>2</w:t>
            </w:r>
          </w:p>
        </w:tc>
        <w:tc>
          <w:tcPr>
            <w:tcW w:w="972" w:type="dxa"/>
            <w:noWrap/>
            <w:vAlign w:val="bottom"/>
            <w:hideMark/>
          </w:tcPr>
          <w:p w14:paraId="75E2187F" w14:textId="77777777" w:rsidR="0019792D" w:rsidRPr="001B036C" w:rsidRDefault="0019792D">
            <w:pPr>
              <w:pStyle w:val="Tabletext0"/>
            </w:pPr>
            <w:r w:rsidRPr="001B036C">
              <w:t>3</w:t>
            </w:r>
          </w:p>
        </w:tc>
        <w:tc>
          <w:tcPr>
            <w:tcW w:w="1470" w:type="dxa"/>
            <w:noWrap/>
            <w:vAlign w:val="bottom"/>
            <w:hideMark/>
          </w:tcPr>
          <w:p w14:paraId="7DD2B22D" w14:textId="77777777" w:rsidR="0019792D" w:rsidRPr="001B036C" w:rsidRDefault="0019792D">
            <w:pPr>
              <w:pStyle w:val="Tabletext0"/>
            </w:pPr>
            <w:r w:rsidRPr="001B036C">
              <w:t>1</w:t>
            </w:r>
          </w:p>
        </w:tc>
        <w:tc>
          <w:tcPr>
            <w:tcW w:w="972" w:type="dxa"/>
            <w:noWrap/>
            <w:vAlign w:val="bottom"/>
            <w:hideMark/>
          </w:tcPr>
          <w:p w14:paraId="170A53DF" w14:textId="77777777" w:rsidR="0019792D" w:rsidRPr="001B036C" w:rsidRDefault="0019792D">
            <w:pPr>
              <w:pStyle w:val="Tabletext0"/>
            </w:pPr>
            <w:r w:rsidRPr="001B036C">
              <w:t>2</w:t>
            </w:r>
          </w:p>
        </w:tc>
        <w:tc>
          <w:tcPr>
            <w:tcW w:w="1150" w:type="dxa"/>
            <w:noWrap/>
            <w:vAlign w:val="bottom"/>
            <w:hideMark/>
          </w:tcPr>
          <w:p w14:paraId="02405EAB" w14:textId="77777777" w:rsidR="0019792D" w:rsidRPr="001B036C" w:rsidRDefault="0019792D">
            <w:pPr>
              <w:pStyle w:val="Tabletext0"/>
            </w:pPr>
            <w:r w:rsidRPr="001B036C">
              <w:t>1</w:t>
            </w:r>
          </w:p>
        </w:tc>
        <w:tc>
          <w:tcPr>
            <w:tcW w:w="1369" w:type="dxa"/>
            <w:noWrap/>
            <w:vAlign w:val="bottom"/>
            <w:hideMark/>
          </w:tcPr>
          <w:p w14:paraId="7A7C72A0" w14:textId="77777777" w:rsidR="0019792D" w:rsidRPr="001B036C" w:rsidRDefault="0019792D">
            <w:pPr>
              <w:pStyle w:val="Tabletext0"/>
            </w:pPr>
            <w:r w:rsidRPr="001B036C">
              <w:t>2</w:t>
            </w:r>
          </w:p>
        </w:tc>
      </w:tr>
      <w:tr w:rsidR="0019792D" w:rsidRPr="001B036C" w14:paraId="5F5EA390" w14:textId="77777777">
        <w:trPr>
          <w:trHeight w:val="291"/>
        </w:trPr>
        <w:tc>
          <w:tcPr>
            <w:tcW w:w="1980" w:type="dxa"/>
            <w:noWrap/>
            <w:hideMark/>
          </w:tcPr>
          <w:p w14:paraId="0DE89A2D" w14:textId="77777777" w:rsidR="0019792D" w:rsidRPr="001B036C" w:rsidRDefault="0019792D">
            <w:pPr>
              <w:pStyle w:val="Tabletext0"/>
              <w:rPr>
                <w:vertAlign w:val="superscript"/>
              </w:rPr>
            </w:pPr>
            <w:r w:rsidRPr="001B036C">
              <w:t>TN (severe disease)</w:t>
            </w:r>
            <w:r w:rsidRPr="001B036C">
              <w:rPr>
                <w:vertAlign w:val="superscript"/>
              </w:rPr>
              <w:t>2</w:t>
            </w:r>
          </w:p>
        </w:tc>
        <w:tc>
          <w:tcPr>
            <w:tcW w:w="827" w:type="dxa"/>
            <w:noWrap/>
            <w:vAlign w:val="bottom"/>
            <w:hideMark/>
          </w:tcPr>
          <w:p w14:paraId="2F6F7908" w14:textId="77777777" w:rsidR="0019792D" w:rsidRPr="001B036C" w:rsidRDefault="0019792D">
            <w:pPr>
              <w:pStyle w:val="Tabletext0"/>
            </w:pPr>
            <w:r w:rsidRPr="001B036C">
              <w:t>2</w:t>
            </w:r>
          </w:p>
        </w:tc>
        <w:tc>
          <w:tcPr>
            <w:tcW w:w="972" w:type="dxa"/>
            <w:noWrap/>
            <w:vAlign w:val="bottom"/>
            <w:hideMark/>
          </w:tcPr>
          <w:p w14:paraId="6282E2B9" w14:textId="77777777" w:rsidR="0019792D" w:rsidRPr="001B036C" w:rsidRDefault="0019792D">
            <w:pPr>
              <w:pStyle w:val="Tabletext0"/>
            </w:pPr>
            <w:r w:rsidRPr="001B036C">
              <w:t>3</w:t>
            </w:r>
          </w:p>
        </w:tc>
        <w:tc>
          <w:tcPr>
            <w:tcW w:w="1470" w:type="dxa"/>
            <w:noWrap/>
            <w:vAlign w:val="bottom"/>
            <w:hideMark/>
          </w:tcPr>
          <w:p w14:paraId="5240C399" w14:textId="77777777" w:rsidR="0019792D" w:rsidRPr="001B036C" w:rsidRDefault="0019792D">
            <w:pPr>
              <w:pStyle w:val="Tabletext0"/>
            </w:pPr>
            <w:r w:rsidRPr="001B036C">
              <w:t>0</w:t>
            </w:r>
          </w:p>
        </w:tc>
        <w:tc>
          <w:tcPr>
            <w:tcW w:w="972" w:type="dxa"/>
            <w:noWrap/>
            <w:vAlign w:val="bottom"/>
            <w:hideMark/>
          </w:tcPr>
          <w:p w14:paraId="199CB01B" w14:textId="77777777" w:rsidR="0019792D" w:rsidRPr="001B036C" w:rsidRDefault="0019792D">
            <w:pPr>
              <w:pStyle w:val="Tabletext0"/>
            </w:pPr>
            <w:r w:rsidRPr="001B036C">
              <w:t>2</w:t>
            </w:r>
          </w:p>
        </w:tc>
        <w:tc>
          <w:tcPr>
            <w:tcW w:w="1150" w:type="dxa"/>
            <w:noWrap/>
            <w:vAlign w:val="bottom"/>
            <w:hideMark/>
          </w:tcPr>
          <w:p w14:paraId="2B1CC863" w14:textId="77777777" w:rsidR="0019792D" w:rsidRPr="001B036C" w:rsidRDefault="0019792D">
            <w:pPr>
              <w:pStyle w:val="Tabletext0"/>
            </w:pPr>
            <w:r w:rsidRPr="001B036C">
              <w:t>1</w:t>
            </w:r>
          </w:p>
        </w:tc>
        <w:tc>
          <w:tcPr>
            <w:tcW w:w="1369" w:type="dxa"/>
            <w:noWrap/>
            <w:vAlign w:val="bottom"/>
            <w:hideMark/>
          </w:tcPr>
          <w:p w14:paraId="0A4049DF" w14:textId="77777777" w:rsidR="0019792D" w:rsidRPr="001B036C" w:rsidRDefault="0019792D">
            <w:pPr>
              <w:pStyle w:val="Tabletext0"/>
            </w:pPr>
            <w:r w:rsidRPr="001B036C">
              <w:t>2</w:t>
            </w:r>
          </w:p>
        </w:tc>
      </w:tr>
      <w:tr w:rsidR="0019792D" w:rsidRPr="001B036C" w14:paraId="5AF3CB34" w14:textId="77777777">
        <w:trPr>
          <w:trHeight w:val="291"/>
        </w:trPr>
        <w:tc>
          <w:tcPr>
            <w:tcW w:w="1980" w:type="dxa"/>
            <w:noWrap/>
            <w:hideMark/>
          </w:tcPr>
          <w:p w14:paraId="4CB5A3F4" w14:textId="77777777" w:rsidR="0019792D" w:rsidRPr="001B036C" w:rsidRDefault="0019792D">
            <w:pPr>
              <w:pStyle w:val="Tabletext0"/>
            </w:pPr>
            <w:r w:rsidRPr="001B036C">
              <w:t>FP</w:t>
            </w:r>
          </w:p>
        </w:tc>
        <w:tc>
          <w:tcPr>
            <w:tcW w:w="827" w:type="dxa"/>
            <w:noWrap/>
            <w:vAlign w:val="bottom"/>
            <w:hideMark/>
          </w:tcPr>
          <w:p w14:paraId="6F5F9CE8" w14:textId="77777777" w:rsidR="0019792D" w:rsidRPr="001B036C" w:rsidRDefault="0019792D">
            <w:pPr>
              <w:pStyle w:val="Tabletext0"/>
            </w:pPr>
            <w:r w:rsidRPr="001B036C">
              <w:t>2</w:t>
            </w:r>
          </w:p>
        </w:tc>
        <w:tc>
          <w:tcPr>
            <w:tcW w:w="972" w:type="dxa"/>
            <w:noWrap/>
            <w:vAlign w:val="bottom"/>
            <w:hideMark/>
          </w:tcPr>
          <w:p w14:paraId="4213653F" w14:textId="77777777" w:rsidR="0019792D" w:rsidRPr="001B036C" w:rsidRDefault="0019792D">
            <w:pPr>
              <w:pStyle w:val="Tabletext0"/>
            </w:pPr>
            <w:r w:rsidRPr="001B036C">
              <w:t>3</w:t>
            </w:r>
          </w:p>
        </w:tc>
        <w:tc>
          <w:tcPr>
            <w:tcW w:w="1470" w:type="dxa"/>
            <w:noWrap/>
            <w:vAlign w:val="bottom"/>
            <w:hideMark/>
          </w:tcPr>
          <w:p w14:paraId="7D1FEA30" w14:textId="77777777" w:rsidR="0019792D" w:rsidRPr="001B036C" w:rsidRDefault="0019792D">
            <w:pPr>
              <w:pStyle w:val="Tabletext0"/>
            </w:pPr>
            <w:r w:rsidRPr="001B036C">
              <w:t>1</w:t>
            </w:r>
          </w:p>
        </w:tc>
        <w:tc>
          <w:tcPr>
            <w:tcW w:w="972" w:type="dxa"/>
            <w:noWrap/>
            <w:vAlign w:val="bottom"/>
            <w:hideMark/>
          </w:tcPr>
          <w:p w14:paraId="4C683E81" w14:textId="77777777" w:rsidR="0019792D" w:rsidRPr="001B036C" w:rsidRDefault="0019792D">
            <w:pPr>
              <w:pStyle w:val="Tabletext0"/>
            </w:pPr>
            <w:r w:rsidRPr="001B036C">
              <w:t>2</w:t>
            </w:r>
          </w:p>
        </w:tc>
        <w:tc>
          <w:tcPr>
            <w:tcW w:w="1150" w:type="dxa"/>
            <w:noWrap/>
            <w:vAlign w:val="bottom"/>
            <w:hideMark/>
          </w:tcPr>
          <w:p w14:paraId="5632B97F" w14:textId="77777777" w:rsidR="0019792D" w:rsidRPr="001B036C" w:rsidRDefault="0019792D">
            <w:pPr>
              <w:pStyle w:val="Tabletext0"/>
            </w:pPr>
            <w:r w:rsidRPr="001B036C">
              <w:t>1</w:t>
            </w:r>
          </w:p>
        </w:tc>
        <w:tc>
          <w:tcPr>
            <w:tcW w:w="1369" w:type="dxa"/>
            <w:noWrap/>
            <w:vAlign w:val="bottom"/>
            <w:hideMark/>
          </w:tcPr>
          <w:p w14:paraId="730326C8" w14:textId="77777777" w:rsidR="0019792D" w:rsidRPr="001B036C" w:rsidRDefault="0019792D">
            <w:pPr>
              <w:pStyle w:val="Tabletext0"/>
            </w:pPr>
            <w:r w:rsidRPr="001B036C">
              <w:t>2</w:t>
            </w:r>
          </w:p>
        </w:tc>
      </w:tr>
      <w:tr w:rsidR="0019792D" w:rsidRPr="001B036C" w14:paraId="5F26F923" w14:textId="77777777">
        <w:trPr>
          <w:trHeight w:val="291"/>
        </w:trPr>
        <w:tc>
          <w:tcPr>
            <w:tcW w:w="8740" w:type="dxa"/>
            <w:gridSpan w:val="7"/>
            <w:noWrap/>
          </w:tcPr>
          <w:p w14:paraId="55C7702B" w14:textId="77777777" w:rsidR="0019792D" w:rsidRPr="001B036C" w:rsidRDefault="0019792D">
            <w:pPr>
              <w:pStyle w:val="Tabletext0"/>
            </w:pPr>
            <w:r w:rsidRPr="001B036C">
              <w:rPr>
                <w:b/>
                <w:bCs/>
              </w:rPr>
              <w:t>Asymptomatic</w:t>
            </w:r>
          </w:p>
        </w:tc>
      </w:tr>
      <w:tr w:rsidR="0019792D" w:rsidRPr="001B036C" w14:paraId="7D4D2BC9" w14:textId="77777777">
        <w:trPr>
          <w:trHeight w:val="291"/>
        </w:trPr>
        <w:tc>
          <w:tcPr>
            <w:tcW w:w="1980" w:type="dxa"/>
            <w:noWrap/>
            <w:hideMark/>
          </w:tcPr>
          <w:p w14:paraId="7530938C" w14:textId="77777777" w:rsidR="0019792D" w:rsidRPr="001B036C" w:rsidRDefault="0019792D">
            <w:pPr>
              <w:pStyle w:val="Tabletext0"/>
            </w:pPr>
            <w:r w:rsidRPr="001B036C">
              <w:t>TP, moderate</w:t>
            </w:r>
          </w:p>
        </w:tc>
        <w:tc>
          <w:tcPr>
            <w:tcW w:w="827" w:type="dxa"/>
            <w:noWrap/>
            <w:vAlign w:val="bottom"/>
            <w:hideMark/>
          </w:tcPr>
          <w:p w14:paraId="639947E9" w14:textId="77777777" w:rsidR="0019792D" w:rsidRPr="001B036C" w:rsidRDefault="0019792D">
            <w:pPr>
              <w:pStyle w:val="Tabletext0"/>
            </w:pPr>
            <w:r w:rsidRPr="001B036C">
              <w:t>2</w:t>
            </w:r>
          </w:p>
        </w:tc>
        <w:tc>
          <w:tcPr>
            <w:tcW w:w="972" w:type="dxa"/>
            <w:noWrap/>
            <w:vAlign w:val="bottom"/>
            <w:hideMark/>
          </w:tcPr>
          <w:p w14:paraId="0A689EC6" w14:textId="77777777" w:rsidR="0019792D" w:rsidRPr="001B036C" w:rsidRDefault="0019792D">
            <w:pPr>
              <w:pStyle w:val="Tabletext0"/>
            </w:pPr>
            <w:r w:rsidRPr="001B036C">
              <w:t>3</w:t>
            </w:r>
          </w:p>
        </w:tc>
        <w:tc>
          <w:tcPr>
            <w:tcW w:w="1470" w:type="dxa"/>
            <w:noWrap/>
            <w:vAlign w:val="bottom"/>
            <w:hideMark/>
          </w:tcPr>
          <w:p w14:paraId="6A9FBF55" w14:textId="77777777" w:rsidR="0019792D" w:rsidRPr="001B036C" w:rsidRDefault="0019792D">
            <w:pPr>
              <w:pStyle w:val="Tabletext0"/>
            </w:pPr>
            <w:r w:rsidRPr="001B036C">
              <w:t>1</w:t>
            </w:r>
          </w:p>
        </w:tc>
        <w:tc>
          <w:tcPr>
            <w:tcW w:w="972" w:type="dxa"/>
            <w:noWrap/>
            <w:vAlign w:val="bottom"/>
            <w:hideMark/>
          </w:tcPr>
          <w:p w14:paraId="0D7C22EF" w14:textId="77777777" w:rsidR="0019792D" w:rsidRPr="001B036C" w:rsidRDefault="0019792D">
            <w:pPr>
              <w:pStyle w:val="Tabletext0"/>
            </w:pPr>
            <w:r w:rsidRPr="001B036C">
              <w:t>2</w:t>
            </w:r>
          </w:p>
        </w:tc>
        <w:tc>
          <w:tcPr>
            <w:tcW w:w="1150" w:type="dxa"/>
            <w:noWrap/>
            <w:vAlign w:val="bottom"/>
            <w:hideMark/>
          </w:tcPr>
          <w:p w14:paraId="6E54D262" w14:textId="77777777" w:rsidR="0019792D" w:rsidRPr="001B036C" w:rsidRDefault="0019792D">
            <w:pPr>
              <w:pStyle w:val="Tabletext0"/>
            </w:pPr>
            <w:r w:rsidRPr="001B036C">
              <w:t>1</w:t>
            </w:r>
          </w:p>
        </w:tc>
        <w:tc>
          <w:tcPr>
            <w:tcW w:w="1369" w:type="dxa"/>
            <w:noWrap/>
            <w:vAlign w:val="bottom"/>
            <w:hideMark/>
          </w:tcPr>
          <w:p w14:paraId="4717F635" w14:textId="77777777" w:rsidR="0019792D" w:rsidRPr="001B036C" w:rsidRDefault="0019792D">
            <w:pPr>
              <w:pStyle w:val="Tabletext0"/>
            </w:pPr>
            <w:r w:rsidRPr="001B036C">
              <w:t>2</w:t>
            </w:r>
          </w:p>
        </w:tc>
      </w:tr>
      <w:tr w:rsidR="0019792D" w:rsidRPr="001B036C" w14:paraId="6ACFADB2" w14:textId="77777777">
        <w:trPr>
          <w:trHeight w:val="291"/>
        </w:trPr>
        <w:tc>
          <w:tcPr>
            <w:tcW w:w="1980" w:type="dxa"/>
            <w:noWrap/>
            <w:hideMark/>
          </w:tcPr>
          <w:p w14:paraId="1495CABD" w14:textId="77777777" w:rsidR="0019792D" w:rsidRPr="001B036C" w:rsidRDefault="0019792D">
            <w:pPr>
              <w:pStyle w:val="Tabletext0"/>
            </w:pPr>
            <w:r w:rsidRPr="001B036C">
              <w:t>TP, severe</w:t>
            </w:r>
          </w:p>
        </w:tc>
        <w:tc>
          <w:tcPr>
            <w:tcW w:w="827" w:type="dxa"/>
            <w:noWrap/>
            <w:vAlign w:val="bottom"/>
            <w:hideMark/>
          </w:tcPr>
          <w:p w14:paraId="518F6CEE" w14:textId="77777777" w:rsidR="0019792D" w:rsidRPr="001B036C" w:rsidRDefault="0019792D">
            <w:pPr>
              <w:pStyle w:val="Tabletext0"/>
            </w:pPr>
            <w:r w:rsidRPr="001B036C">
              <w:t>2</w:t>
            </w:r>
          </w:p>
        </w:tc>
        <w:tc>
          <w:tcPr>
            <w:tcW w:w="972" w:type="dxa"/>
            <w:noWrap/>
            <w:vAlign w:val="bottom"/>
            <w:hideMark/>
          </w:tcPr>
          <w:p w14:paraId="0652D01D" w14:textId="77777777" w:rsidR="0019792D" w:rsidRPr="001B036C" w:rsidRDefault="0019792D">
            <w:pPr>
              <w:pStyle w:val="Tabletext0"/>
            </w:pPr>
            <w:r w:rsidRPr="001B036C">
              <w:t>3</w:t>
            </w:r>
          </w:p>
        </w:tc>
        <w:tc>
          <w:tcPr>
            <w:tcW w:w="1470" w:type="dxa"/>
            <w:noWrap/>
            <w:vAlign w:val="bottom"/>
            <w:hideMark/>
          </w:tcPr>
          <w:p w14:paraId="3206A05C" w14:textId="77777777" w:rsidR="0019792D" w:rsidRPr="001B036C" w:rsidRDefault="0019792D">
            <w:pPr>
              <w:pStyle w:val="Tabletext0"/>
            </w:pPr>
            <w:r w:rsidRPr="001B036C">
              <w:t>0</w:t>
            </w:r>
          </w:p>
        </w:tc>
        <w:tc>
          <w:tcPr>
            <w:tcW w:w="972" w:type="dxa"/>
            <w:noWrap/>
            <w:vAlign w:val="bottom"/>
            <w:hideMark/>
          </w:tcPr>
          <w:p w14:paraId="4342A943" w14:textId="77777777" w:rsidR="0019792D" w:rsidRPr="001B036C" w:rsidRDefault="0019792D">
            <w:pPr>
              <w:pStyle w:val="Tabletext0"/>
            </w:pPr>
            <w:r w:rsidRPr="001B036C">
              <w:t>2</w:t>
            </w:r>
          </w:p>
        </w:tc>
        <w:tc>
          <w:tcPr>
            <w:tcW w:w="1150" w:type="dxa"/>
            <w:noWrap/>
            <w:vAlign w:val="bottom"/>
            <w:hideMark/>
          </w:tcPr>
          <w:p w14:paraId="6F643FE3" w14:textId="77777777" w:rsidR="0019792D" w:rsidRPr="001B036C" w:rsidRDefault="0019792D">
            <w:pPr>
              <w:pStyle w:val="Tabletext0"/>
            </w:pPr>
            <w:r w:rsidRPr="001B036C">
              <w:t>1</w:t>
            </w:r>
          </w:p>
        </w:tc>
        <w:tc>
          <w:tcPr>
            <w:tcW w:w="1369" w:type="dxa"/>
            <w:noWrap/>
            <w:vAlign w:val="bottom"/>
            <w:hideMark/>
          </w:tcPr>
          <w:p w14:paraId="73F3CB6B" w14:textId="77777777" w:rsidR="0019792D" w:rsidRPr="001B036C" w:rsidRDefault="0019792D">
            <w:pPr>
              <w:pStyle w:val="Tabletext0"/>
            </w:pPr>
            <w:r w:rsidRPr="001B036C">
              <w:t>2</w:t>
            </w:r>
          </w:p>
        </w:tc>
      </w:tr>
      <w:tr w:rsidR="0019792D" w:rsidRPr="001B036C" w14:paraId="10D764D2" w14:textId="77777777">
        <w:trPr>
          <w:trHeight w:val="291"/>
        </w:trPr>
        <w:tc>
          <w:tcPr>
            <w:tcW w:w="1980" w:type="dxa"/>
            <w:noWrap/>
            <w:hideMark/>
          </w:tcPr>
          <w:p w14:paraId="3C47802C" w14:textId="77777777" w:rsidR="0019792D" w:rsidRPr="001B036C" w:rsidRDefault="0019792D">
            <w:pPr>
              <w:pStyle w:val="Tabletext0"/>
            </w:pPr>
            <w:r w:rsidRPr="001B036C">
              <w:t>FN</w:t>
            </w:r>
          </w:p>
        </w:tc>
        <w:tc>
          <w:tcPr>
            <w:tcW w:w="827" w:type="dxa"/>
            <w:noWrap/>
            <w:vAlign w:val="bottom"/>
            <w:hideMark/>
          </w:tcPr>
          <w:p w14:paraId="1E0CF13A" w14:textId="77777777" w:rsidR="0019792D" w:rsidRPr="001B036C" w:rsidRDefault="0019792D">
            <w:pPr>
              <w:pStyle w:val="Tabletext0"/>
            </w:pPr>
            <w:r w:rsidRPr="001B036C">
              <w:t>2</w:t>
            </w:r>
          </w:p>
        </w:tc>
        <w:tc>
          <w:tcPr>
            <w:tcW w:w="972" w:type="dxa"/>
            <w:noWrap/>
            <w:vAlign w:val="bottom"/>
            <w:hideMark/>
          </w:tcPr>
          <w:p w14:paraId="718EFE5B" w14:textId="77777777" w:rsidR="0019792D" w:rsidRPr="001B036C" w:rsidRDefault="0019792D">
            <w:pPr>
              <w:pStyle w:val="Tabletext0"/>
            </w:pPr>
            <w:r w:rsidRPr="001B036C">
              <w:t>2</w:t>
            </w:r>
          </w:p>
        </w:tc>
        <w:tc>
          <w:tcPr>
            <w:tcW w:w="1470" w:type="dxa"/>
            <w:noWrap/>
            <w:vAlign w:val="bottom"/>
            <w:hideMark/>
          </w:tcPr>
          <w:p w14:paraId="15C0E36B" w14:textId="77777777" w:rsidR="0019792D" w:rsidRPr="001B036C" w:rsidRDefault="0019792D">
            <w:pPr>
              <w:pStyle w:val="Tabletext0"/>
            </w:pPr>
            <w:r w:rsidRPr="001B036C">
              <w:t>0</w:t>
            </w:r>
          </w:p>
        </w:tc>
        <w:tc>
          <w:tcPr>
            <w:tcW w:w="972" w:type="dxa"/>
            <w:noWrap/>
            <w:vAlign w:val="bottom"/>
            <w:hideMark/>
          </w:tcPr>
          <w:p w14:paraId="23E14B2D" w14:textId="77777777" w:rsidR="0019792D" w:rsidRPr="001B036C" w:rsidRDefault="0019792D">
            <w:pPr>
              <w:pStyle w:val="Tabletext0"/>
            </w:pPr>
            <w:r w:rsidRPr="001B036C">
              <w:t>2</w:t>
            </w:r>
          </w:p>
        </w:tc>
        <w:tc>
          <w:tcPr>
            <w:tcW w:w="1150" w:type="dxa"/>
            <w:noWrap/>
            <w:vAlign w:val="bottom"/>
            <w:hideMark/>
          </w:tcPr>
          <w:p w14:paraId="150DC5E2" w14:textId="77777777" w:rsidR="0019792D" w:rsidRPr="001B036C" w:rsidRDefault="0019792D">
            <w:pPr>
              <w:pStyle w:val="Tabletext0"/>
            </w:pPr>
            <w:r w:rsidRPr="001B036C">
              <w:t>1</w:t>
            </w:r>
          </w:p>
        </w:tc>
        <w:tc>
          <w:tcPr>
            <w:tcW w:w="1369" w:type="dxa"/>
            <w:noWrap/>
            <w:vAlign w:val="bottom"/>
            <w:hideMark/>
          </w:tcPr>
          <w:p w14:paraId="4C6D1BFC" w14:textId="77777777" w:rsidR="0019792D" w:rsidRPr="001B036C" w:rsidRDefault="0019792D">
            <w:pPr>
              <w:pStyle w:val="Tabletext0"/>
            </w:pPr>
            <w:r w:rsidRPr="001B036C">
              <w:t>1</w:t>
            </w:r>
          </w:p>
        </w:tc>
      </w:tr>
      <w:tr w:rsidR="0019792D" w:rsidRPr="001B036C" w14:paraId="460436FF" w14:textId="77777777">
        <w:trPr>
          <w:trHeight w:val="291"/>
        </w:trPr>
        <w:tc>
          <w:tcPr>
            <w:tcW w:w="1980" w:type="dxa"/>
            <w:noWrap/>
            <w:hideMark/>
          </w:tcPr>
          <w:p w14:paraId="324390B3" w14:textId="77777777" w:rsidR="0019792D" w:rsidRPr="001B036C" w:rsidRDefault="0019792D">
            <w:pPr>
              <w:pStyle w:val="Tabletext0"/>
            </w:pPr>
            <w:r w:rsidRPr="001B036C">
              <w:t>TN</w:t>
            </w:r>
          </w:p>
        </w:tc>
        <w:tc>
          <w:tcPr>
            <w:tcW w:w="827" w:type="dxa"/>
            <w:noWrap/>
            <w:vAlign w:val="bottom"/>
            <w:hideMark/>
          </w:tcPr>
          <w:p w14:paraId="6512F6A5" w14:textId="77777777" w:rsidR="0019792D" w:rsidRPr="001B036C" w:rsidRDefault="0019792D">
            <w:pPr>
              <w:pStyle w:val="Tabletext0"/>
            </w:pPr>
            <w:r w:rsidRPr="001B036C">
              <w:t>2</w:t>
            </w:r>
          </w:p>
        </w:tc>
        <w:tc>
          <w:tcPr>
            <w:tcW w:w="972" w:type="dxa"/>
            <w:noWrap/>
            <w:vAlign w:val="bottom"/>
            <w:hideMark/>
          </w:tcPr>
          <w:p w14:paraId="238D0D0E" w14:textId="77777777" w:rsidR="0019792D" w:rsidRPr="001B036C" w:rsidRDefault="0019792D">
            <w:pPr>
              <w:pStyle w:val="Tabletext0"/>
            </w:pPr>
            <w:r w:rsidRPr="001B036C">
              <w:t>0</w:t>
            </w:r>
          </w:p>
        </w:tc>
        <w:tc>
          <w:tcPr>
            <w:tcW w:w="1470" w:type="dxa"/>
            <w:noWrap/>
            <w:vAlign w:val="bottom"/>
            <w:hideMark/>
          </w:tcPr>
          <w:p w14:paraId="753AA840" w14:textId="77777777" w:rsidR="0019792D" w:rsidRPr="001B036C" w:rsidRDefault="0019792D">
            <w:pPr>
              <w:pStyle w:val="Tabletext0"/>
            </w:pPr>
            <w:r w:rsidRPr="001B036C">
              <w:t>0</w:t>
            </w:r>
          </w:p>
        </w:tc>
        <w:tc>
          <w:tcPr>
            <w:tcW w:w="972" w:type="dxa"/>
            <w:noWrap/>
            <w:vAlign w:val="bottom"/>
            <w:hideMark/>
          </w:tcPr>
          <w:p w14:paraId="66559B1B" w14:textId="77777777" w:rsidR="0019792D" w:rsidRPr="001B036C" w:rsidRDefault="0019792D">
            <w:pPr>
              <w:pStyle w:val="Tabletext0"/>
            </w:pPr>
            <w:r w:rsidRPr="001B036C">
              <w:t>2</w:t>
            </w:r>
          </w:p>
        </w:tc>
        <w:tc>
          <w:tcPr>
            <w:tcW w:w="1150" w:type="dxa"/>
            <w:noWrap/>
            <w:vAlign w:val="bottom"/>
            <w:hideMark/>
          </w:tcPr>
          <w:p w14:paraId="7D2C3E63" w14:textId="77777777" w:rsidR="0019792D" w:rsidRPr="001B036C" w:rsidRDefault="0019792D">
            <w:pPr>
              <w:pStyle w:val="Tabletext0"/>
            </w:pPr>
            <w:r w:rsidRPr="001B036C">
              <w:t>0</w:t>
            </w:r>
          </w:p>
        </w:tc>
        <w:tc>
          <w:tcPr>
            <w:tcW w:w="1369" w:type="dxa"/>
            <w:noWrap/>
            <w:vAlign w:val="bottom"/>
            <w:hideMark/>
          </w:tcPr>
          <w:p w14:paraId="2562452B" w14:textId="77777777" w:rsidR="0019792D" w:rsidRPr="001B036C" w:rsidRDefault="0019792D">
            <w:pPr>
              <w:pStyle w:val="Tabletext0"/>
            </w:pPr>
            <w:r w:rsidRPr="001B036C">
              <w:t>0</w:t>
            </w:r>
          </w:p>
        </w:tc>
      </w:tr>
      <w:tr w:rsidR="0019792D" w:rsidRPr="001B036C" w14:paraId="5AEE7B80" w14:textId="77777777">
        <w:trPr>
          <w:trHeight w:val="291"/>
        </w:trPr>
        <w:tc>
          <w:tcPr>
            <w:tcW w:w="1980" w:type="dxa"/>
            <w:noWrap/>
            <w:hideMark/>
          </w:tcPr>
          <w:p w14:paraId="2ABEAD34" w14:textId="77777777" w:rsidR="0019792D" w:rsidRPr="001B036C" w:rsidRDefault="0019792D">
            <w:pPr>
              <w:pStyle w:val="Tabletext0"/>
            </w:pPr>
            <w:r w:rsidRPr="001B036C">
              <w:t>FP</w:t>
            </w:r>
          </w:p>
        </w:tc>
        <w:tc>
          <w:tcPr>
            <w:tcW w:w="827" w:type="dxa"/>
            <w:noWrap/>
            <w:vAlign w:val="bottom"/>
            <w:hideMark/>
          </w:tcPr>
          <w:p w14:paraId="70077230" w14:textId="77777777" w:rsidR="0019792D" w:rsidRPr="001B036C" w:rsidRDefault="0019792D">
            <w:pPr>
              <w:pStyle w:val="Tabletext0"/>
            </w:pPr>
            <w:r w:rsidRPr="001B036C">
              <w:t>2</w:t>
            </w:r>
          </w:p>
        </w:tc>
        <w:tc>
          <w:tcPr>
            <w:tcW w:w="972" w:type="dxa"/>
            <w:noWrap/>
            <w:vAlign w:val="bottom"/>
            <w:hideMark/>
          </w:tcPr>
          <w:p w14:paraId="68B49485" w14:textId="77777777" w:rsidR="0019792D" w:rsidRPr="001B036C" w:rsidRDefault="0019792D">
            <w:pPr>
              <w:pStyle w:val="Tabletext0"/>
            </w:pPr>
            <w:r w:rsidRPr="001B036C">
              <w:t>2</w:t>
            </w:r>
          </w:p>
        </w:tc>
        <w:tc>
          <w:tcPr>
            <w:tcW w:w="1470" w:type="dxa"/>
            <w:noWrap/>
            <w:vAlign w:val="bottom"/>
            <w:hideMark/>
          </w:tcPr>
          <w:p w14:paraId="72B2A088" w14:textId="77777777" w:rsidR="0019792D" w:rsidRPr="001B036C" w:rsidRDefault="0019792D">
            <w:pPr>
              <w:pStyle w:val="Tabletext0"/>
            </w:pPr>
            <w:r w:rsidRPr="001B036C">
              <w:t>1</w:t>
            </w:r>
          </w:p>
        </w:tc>
        <w:tc>
          <w:tcPr>
            <w:tcW w:w="972" w:type="dxa"/>
            <w:noWrap/>
            <w:vAlign w:val="bottom"/>
            <w:hideMark/>
          </w:tcPr>
          <w:p w14:paraId="49C58907" w14:textId="77777777" w:rsidR="0019792D" w:rsidRPr="001B036C" w:rsidRDefault="0019792D">
            <w:pPr>
              <w:pStyle w:val="Tabletext0"/>
            </w:pPr>
            <w:r w:rsidRPr="001B036C">
              <w:t>2</w:t>
            </w:r>
          </w:p>
        </w:tc>
        <w:tc>
          <w:tcPr>
            <w:tcW w:w="1150" w:type="dxa"/>
            <w:noWrap/>
            <w:vAlign w:val="bottom"/>
            <w:hideMark/>
          </w:tcPr>
          <w:p w14:paraId="3A26A2B1" w14:textId="77777777" w:rsidR="0019792D" w:rsidRPr="001B036C" w:rsidRDefault="0019792D">
            <w:pPr>
              <w:pStyle w:val="Tabletext0"/>
            </w:pPr>
            <w:r w:rsidRPr="001B036C">
              <w:t>1</w:t>
            </w:r>
          </w:p>
        </w:tc>
        <w:tc>
          <w:tcPr>
            <w:tcW w:w="1369" w:type="dxa"/>
            <w:noWrap/>
            <w:vAlign w:val="bottom"/>
            <w:hideMark/>
          </w:tcPr>
          <w:p w14:paraId="773C2F46" w14:textId="77777777" w:rsidR="0019792D" w:rsidRPr="001B036C" w:rsidRDefault="0019792D">
            <w:pPr>
              <w:pStyle w:val="Tabletext0"/>
            </w:pPr>
            <w:r w:rsidRPr="001B036C">
              <w:t>2</w:t>
            </w:r>
          </w:p>
        </w:tc>
      </w:tr>
    </w:tbl>
    <w:p w14:paraId="0A04CD12" w14:textId="77777777" w:rsidR="0019792D" w:rsidRPr="001B036C" w:rsidRDefault="0019792D" w:rsidP="0019792D">
      <w:pPr>
        <w:pStyle w:val="TableFooter"/>
      </w:pPr>
      <w:r w:rsidRPr="001B036C">
        <w:t xml:space="preserve">FC= faecal calprotectin; FN= false negative; FP= false positive; GP= general practitioner; TN= true negative; TP = true positive. </w:t>
      </w:r>
    </w:p>
    <w:p w14:paraId="228E4FBD" w14:textId="77777777" w:rsidR="00CF5AF3" w:rsidRPr="001B036C" w:rsidRDefault="0019792D" w:rsidP="0019792D">
      <w:pPr>
        <w:pStyle w:val="TableFooter"/>
      </w:pPr>
      <w:r w:rsidRPr="001B036C">
        <w:rPr>
          <w:vertAlign w:val="superscript"/>
        </w:rPr>
        <w:t>1</w:t>
      </w:r>
      <w:r w:rsidRPr="001B036C">
        <w:t xml:space="preserve"> These patients are true positives for being in a state of remission. </w:t>
      </w:r>
    </w:p>
    <w:p w14:paraId="753BF0C5" w14:textId="3104DC90" w:rsidR="0019792D" w:rsidRPr="001B036C" w:rsidRDefault="0019792D" w:rsidP="0019792D">
      <w:pPr>
        <w:pStyle w:val="TableFooter"/>
      </w:pPr>
      <w:r w:rsidRPr="001B036C">
        <w:rPr>
          <w:vertAlign w:val="superscript"/>
        </w:rPr>
        <w:t>2</w:t>
      </w:r>
      <w:r w:rsidRPr="001B036C">
        <w:t xml:space="preserve"> These patients are true negatives for being in a state of </w:t>
      </w:r>
      <w:proofErr w:type="gramStart"/>
      <w:r w:rsidRPr="001B036C">
        <w:t>remission;</w:t>
      </w:r>
      <w:proofErr w:type="gramEnd"/>
      <w:r w:rsidRPr="001B036C">
        <w:t xml:space="preserve"> i.e. they have either moderate or severe disease activity.</w:t>
      </w:r>
    </w:p>
    <w:p w14:paraId="1790AF7A" w14:textId="3666DBE3" w:rsidR="0019792D" w:rsidRPr="001B036C" w:rsidRDefault="0019792D" w:rsidP="0019792D">
      <w:pPr>
        <w:pStyle w:val="Caption"/>
      </w:pPr>
      <w:bookmarkStart w:id="39" w:name="_Ref175039778"/>
      <w:r w:rsidRPr="001B036C">
        <w:t xml:space="preserve">Table </w:t>
      </w:r>
      <w:r>
        <w:fldChar w:fldCharType="begin"/>
      </w:r>
      <w:r>
        <w:instrText xml:space="preserve"> SEQ Table \* ARABIC </w:instrText>
      </w:r>
      <w:r>
        <w:fldChar w:fldCharType="separate"/>
      </w:r>
      <w:r w:rsidR="00B4653B">
        <w:rPr>
          <w:noProof/>
        </w:rPr>
        <w:t>19</w:t>
      </w:r>
      <w:r>
        <w:rPr>
          <w:noProof/>
        </w:rPr>
        <w:fldChar w:fldCharType="end"/>
      </w:r>
      <w:bookmarkEnd w:id="39"/>
      <w:r w:rsidRPr="001B036C">
        <w:t xml:space="preserve"> Frequency of resources in the No-FC arm</w:t>
      </w:r>
    </w:p>
    <w:tbl>
      <w:tblPr>
        <w:tblStyle w:val="TableGrid"/>
        <w:tblW w:w="5000" w:type="pct"/>
        <w:tblLayout w:type="fixed"/>
        <w:tblLook w:val="04A0" w:firstRow="1" w:lastRow="0" w:firstColumn="1" w:lastColumn="0" w:noHBand="0" w:noVBand="1"/>
      </w:tblPr>
      <w:tblGrid>
        <w:gridCol w:w="1582"/>
        <w:gridCol w:w="1023"/>
        <w:gridCol w:w="990"/>
        <w:gridCol w:w="1260"/>
        <w:gridCol w:w="1260"/>
        <w:gridCol w:w="1154"/>
        <w:gridCol w:w="1747"/>
      </w:tblGrid>
      <w:tr w:rsidR="0019792D" w:rsidRPr="001B036C" w14:paraId="3B4551C3" w14:textId="77777777" w:rsidTr="00D47945">
        <w:trPr>
          <w:trHeight w:val="301"/>
        </w:trPr>
        <w:tc>
          <w:tcPr>
            <w:tcW w:w="877" w:type="pct"/>
            <w:noWrap/>
          </w:tcPr>
          <w:p w14:paraId="24A8A32E" w14:textId="77777777" w:rsidR="0019792D" w:rsidRPr="001B036C" w:rsidRDefault="0019792D" w:rsidP="00D47945">
            <w:pPr>
              <w:pStyle w:val="In-tableHeading"/>
            </w:pPr>
          </w:p>
        </w:tc>
        <w:tc>
          <w:tcPr>
            <w:tcW w:w="567" w:type="pct"/>
            <w:noWrap/>
          </w:tcPr>
          <w:p w14:paraId="7488D69A" w14:textId="77777777" w:rsidR="0019792D" w:rsidRPr="001B036C" w:rsidRDefault="0019792D" w:rsidP="00D47945">
            <w:pPr>
              <w:pStyle w:val="In-tableHeading"/>
            </w:pPr>
            <w:r w:rsidRPr="001B036C">
              <w:t>Routine FC</w:t>
            </w:r>
          </w:p>
        </w:tc>
        <w:tc>
          <w:tcPr>
            <w:tcW w:w="549" w:type="pct"/>
            <w:noWrap/>
          </w:tcPr>
          <w:p w14:paraId="409DC94E" w14:textId="77777777" w:rsidR="0019792D" w:rsidRPr="001B036C" w:rsidRDefault="0019792D" w:rsidP="00D47945">
            <w:pPr>
              <w:pStyle w:val="In-tableHeading"/>
            </w:pPr>
            <w:r w:rsidRPr="001B036C">
              <w:t>Repeat FC</w:t>
            </w:r>
          </w:p>
        </w:tc>
        <w:tc>
          <w:tcPr>
            <w:tcW w:w="699" w:type="pct"/>
            <w:noWrap/>
          </w:tcPr>
          <w:p w14:paraId="00409CD1" w14:textId="77777777" w:rsidR="0019792D" w:rsidRPr="001B036C" w:rsidRDefault="0019792D" w:rsidP="00D47945">
            <w:pPr>
              <w:pStyle w:val="In-tableHeading"/>
            </w:pPr>
            <w:r w:rsidRPr="001B036C">
              <w:t>Colonoscopy/ biopsy</w:t>
            </w:r>
          </w:p>
        </w:tc>
        <w:tc>
          <w:tcPr>
            <w:tcW w:w="699" w:type="pct"/>
            <w:noWrap/>
          </w:tcPr>
          <w:p w14:paraId="49CCAB7B" w14:textId="48DA7F97" w:rsidR="0019792D" w:rsidRPr="001B036C" w:rsidRDefault="0019792D" w:rsidP="00D47945">
            <w:pPr>
              <w:pStyle w:val="In-tableHeading"/>
            </w:pPr>
            <w:r w:rsidRPr="001B036C">
              <w:t xml:space="preserve">GP </w:t>
            </w:r>
          </w:p>
        </w:tc>
        <w:tc>
          <w:tcPr>
            <w:tcW w:w="640" w:type="pct"/>
            <w:noWrap/>
          </w:tcPr>
          <w:p w14:paraId="4BDB784F" w14:textId="77777777" w:rsidR="0019792D" w:rsidRPr="001B036C" w:rsidRDefault="0019792D" w:rsidP="00D47945">
            <w:pPr>
              <w:pStyle w:val="In-tableHeading"/>
            </w:pPr>
            <w:r w:rsidRPr="001B036C">
              <w:t xml:space="preserve">Specialist </w:t>
            </w:r>
          </w:p>
        </w:tc>
        <w:tc>
          <w:tcPr>
            <w:tcW w:w="969" w:type="pct"/>
            <w:noWrap/>
          </w:tcPr>
          <w:p w14:paraId="3DA342C5" w14:textId="77777777" w:rsidR="0019792D" w:rsidRPr="001B036C" w:rsidRDefault="0019792D" w:rsidP="00D47945">
            <w:pPr>
              <w:pStyle w:val="In-tableHeading"/>
            </w:pPr>
            <w:r w:rsidRPr="001B036C">
              <w:t>Subsequent specialist consult</w:t>
            </w:r>
          </w:p>
        </w:tc>
      </w:tr>
      <w:tr w:rsidR="0019792D" w:rsidRPr="001B036C" w14:paraId="5ED356AE" w14:textId="77777777" w:rsidTr="00D47945">
        <w:trPr>
          <w:trHeight w:val="301"/>
        </w:trPr>
        <w:tc>
          <w:tcPr>
            <w:tcW w:w="5000" w:type="pct"/>
            <w:gridSpan w:val="7"/>
            <w:noWrap/>
          </w:tcPr>
          <w:p w14:paraId="6D5E89A4" w14:textId="77777777" w:rsidR="0019792D" w:rsidRPr="001B036C" w:rsidRDefault="0019792D">
            <w:pPr>
              <w:pStyle w:val="TableText"/>
              <w:rPr>
                <w:b/>
                <w:bCs/>
              </w:rPr>
            </w:pPr>
            <w:r w:rsidRPr="001B036C">
              <w:rPr>
                <w:b/>
                <w:bCs/>
              </w:rPr>
              <w:t>Symptomatic</w:t>
            </w:r>
          </w:p>
        </w:tc>
      </w:tr>
      <w:tr w:rsidR="0019792D" w:rsidRPr="001B036C" w14:paraId="31B7CAD3" w14:textId="77777777" w:rsidTr="00D47945">
        <w:trPr>
          <w:trHeight w:val="301"/>
        </w:trPr>
        <w:tc>
          <w:tcPr>
            <w:tcW w:w="877" w:type="pct"/>
            <w:noWrap/>
          </w:tcPr>
          <w:p w14:paraId="6CB14606" w14:textId="77777777" w:rsidR="0019792D" w:rsidRPr="001B036C" w:rsidRDefault="0019792D">
            <w:pPr>
              <w:pStyle w:val="TableText"/>
            </w:pPr>
            <w:r w:rsidRPr="001B036C">
              <w:t>Mild</w:t>
            </w:r>
          </w:p>
        </w:tc>
        <w:tc>
          <w:tcPr>
            <w:tcW w:w="567" w:type="pct"/>
            <w:noWrap/>
          </w:tcPr>
          <w:p w14:paraId="67D834D6" w14:textId="77777777" w:rsidR="0019792D" w:rsidRPr="001B036C" w:rsidRDefault="0019792D">
            <w:pPr>
              <w:pStyle w:val="TableText"/>
            </w:pPr>
            <w:r w:rsidRPr="001B036C">
              <w:t>0</w:t>
            </w:r>
          </w:p>
        </w:tc>
        <w:tc>
          <w:tcPr>
            <w:tcW w:w="549" w:type="pct"/>
            <w:noWrap/>
          </w:tcPr>
          <w:p w14:paraId="6C6FDBDE" w14:textId="77777777" w:rsidR="0019792D" w:rsidRPr="001B036C" w:rsidRDefault="0019792D">
            <w:pPr>
              <w:pStyle w:val="TableText"/>
            </w:pPr>
            <w:r w:rsidRPr="001B036C">
              <w:t>0</w:t>
            </w:r>
          </w:p>
        </w:tc>
        <w:tc>
          <w:tcPr>
            <w:tcW w:w="699" w:type="pct"/>
            <w:noWrap/>
          </w:tcPr>
          <w:p w14:paraId="1A52C398" w14:textId="77777777" w:rsidR="0019792D" w:rsidRPr="001B036C" w:rsidRDefault="0019792D">
            <w:pPr>
              <w:pStyle w:val="TableText"/>
            </w:pPr>
            <w:r w:rsidRPr="001B036C">
              <w:t>1</w:t>
            </w:r>
          </w:p>
        </w:tc>
        <w:tc>
          <w:tcPr>
            <w:tcW w:w="699" w:type="pct"/>
            <w:noWrap/>
          </w:tcPr>
          <w:p w14:paraId="74266014" w14:textId="77777777" w:rsidR="0019792D" w:rsidRPr="001B036C" w:rsidRDefault="0019792D">
            <w:pPr>
              <w:pStyle w:val="TableText"/>
            </w:pPr>
            <w:r w:rsidRPr="001B036C">
              <w:t>0</w:t>
            </w:r>
          </w:p>
        </w:tc>
        <w:tc>
          <w:tcPr>
            <w:tcW w:w="640" w:type="pct"/>
            <w:noWrap/>
          </w:tcPr>
          <w:p w14:paraId="7F40D280" w14:textId="77777777" w:rsidR="0019792D" w:rsidRPr="001B036C" w:rsidRDefault="0019792D">
            <w:pPr>
              <w:pStyle w:val="TableText"/>
            </w:pPr>
            <w:r w:rsidRPr="001B036C">
              <w:t>1</w:t>
            </w:r>
          </w:p>
        </w:tc>
        <w:tc>
          <w:tcPr>
            <w:tcW w:w="969" w:type="pct"/>
            <w:noWrap/>
          </w:tcPr>
          <w:p w14:paraId="74D886C9" w14:textId="77777777" w:rsidR="0019792D" w:rsidRPr="001B036C" w:rsidRDefault="0019792D">
            <w:pPr>
              <w:pStyle w:val="TableText"/>
            </w:pPr>
            <w:r w:rsidRPr="001B036C">
              <w:t>0</w:t>
            </w:r>
          </w:p>
        </w:tc>
      </w:tr>
      <w:tr w:rsidR="0019792D" w:rsidRPr="001B036C" w14:paraId="4621D05E" w14:textId="77777777" w:rsidTr="00D47945">
        <w:trPr>
          <w:trHeight w:val="301"/>
        </w:trPr>
        <w:tc>
          <w:tcPr>
            <w:tcW w:w="877" w:type="pct"/>
            <w:noWrap/>
            <w:hideMark/>
          </w:tcPr>
          <w:p w14:paraId="72ECD997" w14:textId="77777777" w:rsidR="0019792D" w:rsidRPr="001B036C" w:rsidRDefault="0019792D">
            <w:pPr>
              <w:pStyle w:val="TableText"/>
            </w:pPr>
            <w:r w:rsidRPr="001B036C">
              <w:t>Moderate</w:t>
            </w:r>
          </w:p>
        </w:tc>
        <w:tc>
          <w:tcPr>
            <w:tcW w:w="567" w:type="pct"/>
            <w:noWrap/>
            <w:hideMark/>
          </w:tcPr>
          <w:p w14:paraId="03646700" w14:textId="77777777" w:rsidR="0019792D" w:rsidRPr="001B036C" w:rsidRDefault="0019792D">
            <w:pPr>
              <w:pStyle w:val="TableText"/>
            </w:pPr>
            <w:r w:rsidRPr="001B036C">
              <w:t>0</w:t>
            </w:r>
          </w:p>
        </w:tc>
        <w:tc>
          <w:tcPr>
            <w:tcW w:w="549" w:type="pct"/>
            <w:noWrap/>
            <w:hideMark/>
          </w:tcPr>
          <w:p w14:paraId="3DD02944" w14:textId="77777777" w:rsidR="0019792D" w:rsidRPr="001B036C" w:rsidRDefault="0019792D">
            <w:pPr>
              <w:pStyle w:val="TableText"/>
            </w:pPr>
            <w:r w:rsidRPr="001B036C">
              <w:t>0</w:t>
            </w:r>
          </w:p>
        </w:tc>
        <w:tc>
          <w:tcPr>
            <w:tcW w:w="699" w:type="pct"/>
            <w:noWrap/>
            <w:hideMark/>
          </w:tcPr>
          <w:p w14:paraId="75CBED5E" w14:textId="77777777" w:rsidR="0019792D" w:rsidRPr="001B036C" w:rsidRDefault="0019792D">
            <w:pPr>
              <w:pStyle w:val="TableText"/>
            </w:pPr>
            <w:r w:rsidRPr="001B036C">
              <w:t>1</w:t>
            </w:r>
          </w:p>
        </w:tc>
        <w:tc>
          <w:tcPr>
            <w:tcW w:w="699" w:type="pct"/>
            <w:noWrap/>
            <w:hideMark/>
          </w:tcPr>
          <w:p w14:paraId="2B5E1CEC" w14:textId="77777777" w:rsidR="0019792D" w:rsidRPr="001B036C" w:rsidRDefault="0019792D">
            <w:pPr>
              <w:pStyle w:val="TableText"/>
            </w:pPr>
            <w:r w:rsidRPr="001B036C">
              <w:t>0</w:t>
            </w:r>
          </w:p>
        </w:tc>
        <w:tc>
          <w:tcPr>
            <w:tcW w:w="640" w:type="pct"/>
            <w:noWrap/>
            <w:hideMark/>
          </w:tcPr>
          <w:p w14:paraId="54884141" w14:textId="77777777" w:rsidR="0019792D" w:rsidRPr="001B036C" w:rsidRDefault="0019792D">
            <w:pPr>
              <w:pStyle w:val="TableText"/>
            </w:pPr>
            <w:r w:rsidRPr="001B036C">
              <w:t>1</w:t>
            </w:r>
          </w:p>
        </w:tc>
        <w:tc>
          <w:tcPr>
            <w:tcW w:w="969" w:type="pct"/>
            <w:noWrap/>
            <w:hideMark/>
          </w:tcPr>
          <w:p w14:paraId="0A3C4B4F" w14:textId="77777777" w:rsidR="0019792D" w:rsidRPr="001B036C" w:rsidRDefault="0019792D">
            <w:pPr>
              <w:pStyle w:val="TableText"/>
            </w:pPr>
            <w:r w:rsidRPr="001B036C">
              <w:t>1</w:t>
            </w:r>
          </w:p>
        </w:tc>
      </w:tr>
      <w:tr w:rsidR="0019792D" w:rsidRPr="001B036C" w14:paraId="11836E52" w14:textId="77777777" w:rsidTr="00D47945">
        <w:trPr>
          <w:trHeight w:val="301"/>
        </w:trPr>
        <w:tc>
          <w:tcPr>
            <w:tcW w:w="877" w:type="pct"/>
            <w:noWrap/>
            <w:hideMark/>
          </w:tcPr>
          <w:p w14:paraId="1A43889B" w14:textId="77777777" w:rsidR="0019792D" w:rsidRPr="001B036C" w:rsidRDefault="0019792D">
            <w:pPr>
              <w:pStyle w:val="TableText"/>
            </w:pPr>
            <w:r w:rsidRPr="001B036C">
              <w:t>Severe</w:t>
            </w:r>
          </w:p>
        </w:tc>
        <w:tc>
          <w:tcPr>
            <w:tcW w:w="567" w:type="pct"/>
            <w:noWrap/>
            <w:hideMark/>
          </w:tcPr>
          <w:p w14:paraId="2BDC6FB6" w14:textId="77777777" w:rsidR="0019792D" w:rsidRPr="001B036C" w:rsidRDefault="0019792D">
            <w:pPr>
              <w:pStyle w:val="TableText"/>
            </w:pPr>
            <w:r w:rsidRPr="001B036C">
              <w:t>0</w:t>
            </w:r>
          </w:p>
        </w:tc>
        <w:tc>
          <w:tcPr>
            <w:tcW w:w="549" w:type="pct"/>
            <w:noWrap/>
            <w:hideMark/>
          </w:tcPr>
          <w:p w14:paraId="42B664F2" w14:textId="77777777" w:rsidR="0019792D" w:rsidRPr="001B036C" w:rsidRDefault="0019792D">
            <w:pPr>
              <w:pStyle w:val="TableText"/>
            </w:pPr>
            <w:r w:rsidRPr="001B036C">
              <w:t>0</w:t>
            </w:r>
          </w:p>
        </w:tc>
        <w:tc>
          <w:tcPr>
            <w:tcW w:w="699" w:type="pct"/>
            <w:noWrap/>
            <w:hideMark/>
          </w:tcPr>
          <w:p w14:paraId="6A4B6ADC" w14:textId="77777777" w:rsidR="0019792D" w:rsidRPr="001B036C" w:rsidRDefault="0019792D">
            <w:pPr>
              <w:pStyle w:val="TableText"/>
            </w:pPr>
            <w:r w:rsidRPr="001B036C">
              <w:t>1</w:t>
            </w:r>
          </w:p>
        </w:tc>
        <w:tc>
          <w:tcPr>
            <w:tcW w:w="699" w:type="pct"/>
            <w:noWrap/>
            <w:hideMark/>
          </w:tcPr>
          <w:p w14:paraId="6A4F56AE" w14:textId="77777777" w:rsidR="0019792D" w:rsidRPr="001B036C" w:rsidRDefault="0019792D">
            <w:pPr>
              <w:pStyle w:val="TableText"/>
            </w:pPr>
            <w:r w:rsidRPr="001B036C">
              <w:t>0</w:t>
            </w:r>
          </w:p>
        </w:tc>
        <w:tc>
          <w:tcPr>
            <w:tcW w:w="640" w:type="pct"/>
            <w:noWrap/>
            <w:hideMark/>
          </w:tcPr>
          <w:p w14:paraId="00BD4C79" w14:textId="77777777" w:rsidR="0019792D" w:rsidRPr="001B036C" w:rsidRDefault="0019792D">
            <w:pPr>
              <w:pStyle w:val="TableText"/>
            </w:pPr>
            <w:r w:rsidRPr="001B036C">
              <w:t>1</w:t>
            </w:r>
          </w:p>
        </w:tc>
        <w:tc>
          <w:tcPr>
            <w:tcW w:w="969" w:type="pct"/>
            <w:noWrap/>
            <w:hideMark/>
          </w:tcPr>
          <w:p w14:paraId="792B69B6" w14:textId="77777777" w:rsidR="0019792D" w:rsidRPr="001B036C" w:rsidRDefault="0019792D">
            <w:pPr>
              <w:pStyle w:val="TableText"/>
            </w:pPr>
            <w:r w:rsidRPr="001B036C">
              <w:t>1</w:t>
            </w:r>
          </w:p>
        </w:tc>
      </w:tr>
      <w:tr w:rsidR="0019792D" w:rsidRPr="001B036C" w14:paraId="052B71D7" w14:textId="77777777" w:rsidTr="00D47945">
        <w:trPr>
          <w:trHeight w:val="301"/>
        </w:trPr>
        <w:tc>
          <w:tcPr>
            <w:tcW w:w="5000" w:type="pct"/>
            <w:gridSpan w:val="7"/>
            <w:noWrap/>
          </w:tcPr>
          <w:p w14:paraId="7A2C00E6" w14:textId="77777777" w:rsidR="0019792D" w:rsidRPr="001B036C" w:rsidRDefault="0019792D">
            <w:pPr>
              <w:pStyle w:val="TableText"/>
            </w:pPr>
            <w:r w:rsidRPr="001B036C">
              <w:rPr>
                <w:b/>
                <w:bCs/>
              </w:rPr>
              <w:t>Asymptomatic</w:t>
            </w:r>
          </w:p>
        </w:tc>
      </w:tr>
      <w:tr w:rsidR="0019792D" w:rsidRPr="001B036C" w14:paraId="08006138" w14:textId="77777777" w:rsidTr="00D47945">
        <w:trPr>
          <w:trHeight w:val="301"/>
        </w:trPr>
        <w:tc>
          <w:tcPr>
            <w:tcW w:w="877" w:type="pct"/>
            <w:noWrap/>
            <w:hideMark/>
          </w:tcPr>
          <w:p w14:paraId="6EBB095D" w14:textId="77777777" w:rsidR="0019792D" w:rsidRPr="001B036C" w:rsidRDefault="0019792D">
            <w:pPr>
              <w:pStyle w:val="TableText"/>
            </w:pPr>
            <w:r w:rsidRPr="001B036C">
              <w:t>Assessed for disease activity</w:t>
            </w:r>
          </w:p>
        </w:tc>
        <w:tc>
          <w:tcPr>
            <w:tcW w:w="567" w:type="pct"/>
            <w:noWrap/>
            <w:hideMark/>
          </w:tcPr>
          <w:p w14:paraId="186320D6" w14:textId="77777777" w:rsidR="0019792D" w:rsidRPr="001B036C" w:rsidRDefault="0019792D">
            <w:pPr>
              <w:pStyle w:val="TableText"/>
            </w:pPr>
            <w:r w:rsidRPr="001B036C">
              <w:t>0</w:t>
            </w:r>
          </w:p>
        </w:tc>
        <w:tc>
          <w:tcPr>
            <w:tcW w:w="549" w:type="pct"/>
            <w:noWrap/>
            <w:hideMark/>
          </w:tcPr>
          <w:p w14:paraId="2DEF6286" w14:textId="77777777" w:rsidR="0019792D" w:rsidRPr="001B036C" w:rsidRDefault="0019792D">
            <w:pPr>
              <w:pStyle w:val="TableText"/>
            </w:pPr>
            <w:r w:rsidRPr="001B036C">
              <w:t>0</w:t>
            </w:r>
          </w:p>
        </w:tc>
        <w:tc>
          <w:tcPr>
            <w:tcW w:w="699" w:type="pct"/>
            <w:noWrap/>
            <w:hideMark/>
          </w:tcPr>
          <w:p w14:paraId="53A36BAC" w14:textId="77777777" w:rsidR="0019792D" w:rsidRPr="001B036C" w:rsidRDefault="0019792D">
            <w:pPr>
              <w:pStyle w:val="TableText"/>
            </w:pPr>
            <w:r w:rsidRPr="001B036C">
              <w:t>1</w:t>
            </w:r>
          </w:p>
        </w:tc>
        <w:tc>
          <w:tcPr>
            <w:tcW w:w="699" w:type="pct"/>
            <w:noWrap/>
            <w:hideMark/>
          </w:tcPr>
          <w:p w14:paraId="3F6679C7" w14:textId="77777777" w:rsidR="0019792D" w:rsidRPr="001B036C" w:rsidRDefault="0019792D">
            <w:pPr>
              <w:pStyle w:val="TableText"/>
            </w:pPr>
            <w:r w:rsidRPr="001B036C">
              <w:t>0</w:t>
            </w:r>
          </w:p>
        </w:tc>
        <w:tc>
          <w:tcPr>
            <w:tcW w:w="640" w:type="pct"/>
            <w:noWrap/>
            <w:hideMark/>
          </w:tcPr>
          <w:p w14:paraId="595AAE65" w14:textId="77777777" w:rsidR="0019792D" w:rsidRPr="001B036C" w:rsidRDefault="0019792D">
            <w:pPr>
              <w:pStyle w:val="TableText"/>
            </w:pPr>
            <w:r w:rsidRPr="001B036C">
              <w:t>1</w:t>
            </w:r>
          </w:p>
        </w:tc>
        <w:tc>
          <w:tcPr>
            <w:tcW w:w="969" w:type="pct"/>
            <w:noWrap/>
            <w:hideMark/>
          </w:tcPr>
          <w:p w14:paraId="06E13023" w14:textId="77777777" w:rsidR="0019792D" w:rsidRPr="001B036C" w:rsidRDefault="0019792D">
            <w:pPr>
              <w:pStyle w:val="TableText"/>
            </w:pPr>
            <w:r w:rsidRPr="001B036C">
              <w:t>1</w:t>
            </w:r>
          </w:p>
        </w:tc>
      </w:tr>
      <w:tr w:rsidR="0019792D" w:rsidRPr="001B036C" w14:paraId="0CB99BC3" w14:textId="77777777" w:rsidTr="00D47945">
        <w:trPr>
          <w:trHeight w:val="301"/>
        </w:trPr>
        <w:tc>
          <w:tcPr>
            <w:tcW w:w="877" w:type="pct"/>
            <w:noWrap/>
            <w:hideMark/>
          </w:tcPr>
          <w:p w14:paraId="119E6528" w14:textId="77777777" w:rsidR="0019792D" w:rsidRPr="001B036C" w:rsidRDefault="0019792D">
            <w:pPr>
              <w:pStyle w:val="TableText"/>
            </w:pPr>
            <w:r w:rsidRPr="001B036C">
              <w:t>Not assessed</w:t>
            </w:r>
          </w:p>
        </w:tc>
        <w:tc>
          <w:tcPr>
            <w:tcW w:w="567" w:type="pct"/>
            <w:noWrap/>
            <w:hideMark/>
          </w:tcPr>
          <w:p w14:paraId="049B71C6" w14:textId="77777777" w:rsidR="0019792D" w:rsidRPr="001B036C" w:rsidRDefault="0019792D">
            <w:pPr>
              <w:pStyle w:val="TableText"/>
            </w:pPr>
            <w:r w:rsidRPr="001B036C">
              <w:t>0</w:t>
            </w:r>
          </w:p>
        </w:tc>
        <w:tc>
          <w:tcPr>
            <w:tcW w:w="549" w:type="pct"/>
            <w:noWrap/>
            <w:hideMark/>
          </w:tcPr>
          <w:p w14:paraId="5A685BEB" w14:textId="77777777" w:rsidR="0019792D" w:rsidRPr="001B036C" w:rsidRDefault="0019792D">
            <w:pPr>
              <w:pStyle w:val="TableText"/>
            </w:pPr>
            <w:r w:rsidRPr="001B036C">
              <w:t>0</w:t>
            </w:r>
          </w:p>
        </w:tc>
        <w:tc>
          <w:tcPr>
            <w:tcW w:w="699" w:type="pct"/>
            <w:noWrap/>
            <w:hideMark/>
          </w:tcPr>
          <w:p w14:paraId="709B3FE7" w14:textId="77777777" w:rsidR="0019792D" w:rsidRPr="001B036C" w:rsidRDefault="0019792D">
            <w:pPr>
              <w:pStyle w:val="TableText"/>
            </w:pPr>
            <w:r w:rsidRPr="001B036C">
              <w:t>0</w:t>
            </w:r>
          </w:p>
        </w:tc>
        <w:tc>
          <w:tcPr>
            <w:tcW w:w="699" w:type="pct"/>
            <w:noWrap/>
            <w:hideMark/>
          </w:tcPr>
          <w:p w14:paraId="0EEF7296" w14:textId="77777777" w:rsidR="0019792D" w:rsidRPr="001B036C" w:rsidRDefault="0019792D">
            <w:pPr>
              <w:pStyle w:val="TableText"/>
            </w:pPr>
            <w:r w:rsidRPr="001B036C">
              <w:t>0</w:t>
            </w:r>
          </w:p>
        </w:tc>
        <w:tc>
          <w:tcPr>
            <w:tcW w:w="640" w:type="pct"/>
            <w:noWrap/>
            <w:hideMark/>
          </w:tcPr>
          <w:p w14:paraId="130BAD1A" w14:textId="77777777" w:rsidR="0019792D" w:rsidRPr="001B036C" w:rsidRDefault="0019792D">
            <w:pPr>
              <w:pStyle w:val="TableText"/>
            </w:pPr>
            <w:r w:rsidRPr="001B036C">
              <w:t>0</w:t>
            </w:r>
          </w:p>
        </w:tc>
        <w:tc>
          <w:tcPr>
            <w:tcW w:w="969" w:type="pct"/>
            <w:noWrap/>
            <w:hideMark/>
          </w:tcPr>
          <w:p w14:paraId="41FC724C" w14:textId="77777777" w:rsidR="0019792D" w:rsidRPr="001B036C" w:rsidRDefault="0019792D">
            <w:pPr>
              <w:pStyle w:val="TableText"/>
            </w:pPr>
            <w:r w:rsidRPr="001B036C">
              <w:t>0</w:t>
            </w:r>
          </w:p>
        </w:tc>
      </w:tr>
    </w:tbl>
    <w:p w14:paraId="47994CA0" w14:textId="77777777" w:rsidR="0019792D" w:rsidRPr="001B036C" w:rsidRDefault="0019792D" w:rsidP="0019792D">
      <w:pPr>
        <w:pStyle w:val="TableFooter"/>
      </w:pPr>
      <w:r w:rsidRPr="001B036C">
        <w:lastRenderedPageBreak/>
        <w:t>FC= faecal calprotectin; GP = general practitioner</w:t>
      </w:r>
    </w:p>
    <w:p w14:paraId="5F1D6639" w14:textId="35073EA4" w:rsidR="0019792D" w:rsidRPr="001B036C" w:rsidRDefault="0019792D" w:rsidP="0019792D">
      <w:r w:rsidRPr="001B036C">
        <w:t>Only the costs associated with the monitoring of IBD were accounted for in this CMA</w:t>
      </w:r>
      <w:r w:rsidR="00A2744F" w:rsidRPr="001B036C">
        <w:t xml:space="preserve"> (</w:t>
      </w:r>
      <w:r w:rsidR="00A2744F" w:rsidRPr="001B036C">
        <w:fldChar w:fldCharType="begin"/>
      </w:r>
      <w:r w:rsidR="00A2744F" w:rsidRPr="001B036C">
        <w:instrText xml:space="preserve"> REF _Ref175149677 \h </w:instrText>
      </w:r>
      <w:r w:rsidR="001B036C">
        <w:instrText xml:space="preserve"> \* MERGEFORMAT </w:instrText>
      </w:r>
      <w:r w:rsidR="00A2744F" w:rsidRPr="001B036C">
        <w:fldChar w:fldCharType="separate"/>
      </w:r>
      <w:r w:rsidR="00DA1240" w:rsidRPr="001B036C">
        <w:t xml:space="preserve">Table </w:t>
      </w:r>
      <w:r w:rsidR="00DA1240">
        <w:rPr>
          <w:noProof/>
        </w:rPr>
        <w:t>20</w:t>
      </w:r>
      <w:r w:rsidR="00A2744F" w:rsidRPr="001B036C">
        <w:fldChar w:fldCharType="end"/>
      </w:r>
      <w:r w:rsidR="00A2744F" w:rsidRPr="001B036C">
        <w:t>)</w:t>
      </w:r>
      <w:r w:rsidRPr="001B036C">
        <w:t>. These include the cost of the FC test, colonoscopy and biopsy, and GP and specialist visits. Cost data were obtained from MBS fee found on the MBS website</w:t>
      </w:r>
      <w:r w:rsidRPr="001B036C">
        <w:rPr>
          <w:rStyle w:val="FootnoteReference"/>
        </w:rPr>
        <w:footnoteReference w:id="32"/>
      </w:r>
      <w:r w:rsidRPr="001B036C">
        <w:t xml:space="preserve">, the Australian Refined Diagnosis Related Groups (AR-DRGs) and the National Hospital Cost Data Collection (NHCDC) data. All costs were reported in 2024 Australian Dollars. </w:t>
      </w:r>
    </w:p>
    <w:p w14:paraId="05E77938" w14:textId="184D81E1" w:rsidR="0019792D" w:rsidRPr="001B036C" w:rsidRDefault="0019792D" w:rsidP="0019792D">
      <w:pPr>
        <w:pStyle w:val="Caption"/>
      </w:pPr>
      <w:bookmarkStart w:id="40" w:name="_Ref175149677"/>
      <w:r w:rsidRPr="001B036C">
        <w:t xml:space="preserve">Table </w:t>
      </w:r>
      <w:r w:rsidRPr="001B036C">
        <w:rPr>
          <w:noProof/>
        </w:rPr>
        <w:fldChar w:fldCharType="begin"/>
      </w:r>
      <w:r w:rsidRPr="001B036C">
        <w:rPr>
          <w:noProof/>
        </w:rPr>
        <w:instrText xml:space="preserve"> SEQ Table \* ARABIC </w:instrText>
      </w:r>
      <w:r w:rsidRPr="001B036C">
        <w:rPr>
          <w:noProof/>
        </w:rPr>
        <w:fldChar w:fldCharType="separate"/>
      </w:r>
      <w:r w:rsidR="00B4653B">
        <w:rPr>
          <w:noProof/>
        </w:rPr>
        <w:t>20</w:t>
      </w:r>
      <w:r w:rsidRPr="001B036C">
        <w:rPr>
          <w:noProof/>
        </w:rPr>
        <w:fldChar w:fldCharType="end"/>
      </w:r>
      <w:bookmarkEnd w:id="40"/>
      <w:r w:rsidRPr="001B036C">
        <w:rPr>
          <w:noProof/>
        </w:rPr>
        <w:t xml:space="preserve"> </w:t>
      </w:r>
      <w:r w:rsidRPr="001B036C">
        <w:t>Summary of the costs included in the cost-minimisation approach</w:t>
      </w:r>
    </w:p>
    <w:tbl>
      <w:tblPr>
        <w:tblStyle w:val="TableGrid1"/>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3685"/>
        <w:gridCol w:w="2970"/>
        <w:gridCol w:w="2361"/>
      </w:tblGrid>
      <w:tr w:rsidR="0019792D" w:rsidRPr="001B036C" w14:paraId="16CA06D7" w14:textId="77777777" w:rsidTr="001C6A90">
        <w:trPr>
          <w:cnfStyle w:val="100000000000" w:firstRow="1" w:lastRow="0" w:firstColumn="0" w:lastColumn="0" w:oddVBand="0" w:evenVBand="0" w:oddHBand="0" w:evenHBand="0" w:firstRowFirstColumn="0" w:firstRowLastColumn="0" w:lastRowFirstColumn="0" w:lastRowLastColumn="0"/>
          <w:tblHeader/>
        </w:trPr>
        <w:tc>
          <w:tcPr>
            <w:tcW w:w="3685" w:type="dxa"/>
            <w:tcBorders>
              <w:bottom w:val="single" w:sz="4" w:space="0" w:color="auto"/>
            </w:tcBorders>
          </w:tcPr>
          <w:p w14:paraId="1C220B06" w14:textId="77777777" w:rsidR="0019792D" w:rsidRPr="001B036C" w:rsidRDefault="0019792D" w:rsidP="00D47945">
            <w:pPr>
              <w:pStyle w:val="In-tableHeading"/>
            </w:pPr>
            <w:r w:rsidRPr="001B036C">
              <w:t>Parameter</w:t>
            </w:r>
          </w:p>
        </w:tc>
        <w:tc>
          <w:tcPr>
            <w:tcW w:w="2970" w:type="dxa"/>
            <w:tcBorders>
              <w:bottom w:val="single" w:sz="4" w:space="0" w:color="auto"/>
            </w:tcBorders>
          </w:tcPr>
          <w:p w14:paraId="610DA910" w14:textId="77777777" w:rsidR="0019792D" w:rsidRPr="001B036C" w:rsidRDefault="0019792D" w:rsidP="007E7117">
            <w:pPr>
              <w:pStyle w:val="In-tableHeading"/>
            </w:pPr>
            <w:r w:rsidRPr="001B036C">
              <w:t>Value</w:t>
            </w:r>
          </w:p>
        </w:tc>
        <w:tc>
          <w:tcPr>
            <w:tcW w:w="2361" w:type="dxa"/>
            <w:tcBorders>
              <w:bottom w:val="single" w:sz="4" w:space="0" w:color="auto"/>
            </w:tcBorders>
          </w:tcPr>
          <w:p w14:paraId="641BBA61" w14:textId="77777777" w:rsidR="0019792D" w:rsidRPr="001B036C" w:rsidRDefault="0019792D" w:rsidP="007E7117">
            <w:pPr>
              <w:pStyle w:val="In-tableHeading"/>
            </w:pPr>
            <w:r w:rsidRPr="001B036C">
              <w:t>Source</w:t>
            </w:r>
          </w:p>
        </w:tc>
      </w:tr>
      <w:tr w:rsidR="0019792D" w:rsidRPr="001B036C" w14:paraId="2971C5AA" w14:textId="77777777">
        <w:tc>
          <w:tcPr>
            <w:tcW w:w="9016" w:type="dxa"/>
            <w:gridSpan w:val="3"/>
          </w:tcPr>
          <w:p w14:paraId="5F751349" w14:textId="77777777" w:rsidR="0019792D" w:rsidRPr="001B036C" w:rsidRDefault="0019792D" w:rsidP="00D47945">
            <w:pPr>
              <w:pStyle w:val="In-tableHeading"/>
            </w:pPr>
            <w:r w:rsidRPr="001B036C">
              <w:t>Direct health technology costs</w:t>
            </w:r>
          </w:p>
        </w:tc>
      </w:tr>
      <w:tr w:rsidR="0019792D" w:rsidRPr="001B036C" w14:paraId="32461BCE" w14:textId="77777777" w:rsidTr="001C6A90">
        <w:tc>
          <w:tcPr>
            <w:tcW w:w="3685" w:type="dxa"/>
            <w:tcBorders>
              <w:bottom w:val="single" w:sz="4" w:space="0" w:color="auto"/>
            </w:tcBorders>
          </w:tcPr>
          <w:p w14:paraId="0CB8E50D" w14:textId="77777777" w:rsidR="0019792D" w:rsidRPr="001B036C" w:rsidRDefault="0019792D">
            <w:pPr>
              <w:pStyle w:val="TableText"/>
              <w:keepNext/>
            </w:pPr>
            <w:r w:rsidRPr="001B036C">
              <w:t>Colonoscopy</w:t>
            </w:r>
          </w:p>
        </w:tc>
        <w:tc>
          <w:tcPr>
            <w:tcW w:w="2970" w:type="dxa"/>
            <w:tcBorders>
              <w:bottom w:val="single" w:sz="4" w:space="0" w:color="auto"/>
            </w:tcBorders>
          </w:tcPr>
          <w:p w14:paraId="2C37D27B" w14:textId="3ADA3F27" w:rsidR="0019792D" w:rsidRPr="001B036C" w:rsidRDefault="0019792D">
            <w:pPr>
              <w:pStyle w:val="TableText"/>
              <w:keepNext/>
            </w:pPr>
            <w:r w:rsidRPr="001B036C">
              <w:rPr>
                <w:color w:val="000000"/>
              </w:rPr>
              <w:t>$2,929.58</w:t>
            </w:r>
          </w:p>
        </w:tc>
        <w:tc>
          <w:tcPr>
            <w:tcW w:w="2361" w:type="dxa"/>
            <w:tcBorders>
              <w:bottom w:val="single" w:sz="4" w:space="0" w:color="auto"/>
            </w:tcBorders>
          </w:tcPr>
          <w:p w14:paraId="74927958" w14:textId="77777777" w:rsidR="0019792D" w:rsidRPr="001B036C" w:rsidRDefault="0019792D">
            <w:pPr>
              <w:pStyle w:val="TableText"/>
              <w:keepNext/>
            </w:pPr>
            <w:r w:rsidRPr="001B036C">
              <w:t>AR-DRG (NHCDC 2021-22)</w:t>
            </w:r>
          </w:p>
        </w:tc>
      </w:tr>
      <w:tr w:rsidR="0019792D" w:rsidRPr="001B036C" w14:paraId="0A1CD2E8" w14:textId="77777777" w:rsidTr="001C6A90">
        <w:tc>
          <w:tcPr>
            <w:tcW w:w="3685" w:type="dxa"/>
            <w:tcBorders>
              <w:bottom w:val="single" w:sz="4" w:space="0" w:color="auto"/>
            </w:tcBorders>
          </w:tcPr>
          <w:p w14:paraId="46A58AF9" w14:textId="77777777" w:rsidR="0019792D" w:rsidRPr="001B036C" w:rsidRDefault="0019792D">
            <w:pPr>
              <w:pStyle w:val="TableText"/>
              <w:keepNext/>
            </w:pPr>
            <w:r w:rsidRPr="001B036C">
              <w:t>Biopsy</w:t>
            </w:r>
          </w:p>
        </w:tc>
        <w:tc>
          <w:tcPr>
            <w:tcW w:w="2970" w:type="dxa"/>
            <w:tcBorders>
              <w:bottom w:val="single" w:sz="4" w:space="0" w:color="auto"/>
            </w:tcBorders>
          </w:tcPr>
          <w:p w14:paraId="57D143D4" w14:textId="77777777" w:rsidR="0019792D" w:rsidRPr="001B036C" w:rsidRDefault="0019792D">
            <w:pPr>
              <w:pStyle w:val="TableText"/>
              <w:keepNext/>
            </w:pPr>
            <w:r w:rsidRPr="001B036C">
              <w:t>$141.35</w:t>
            </w:r>
          </w:p>
        </w:tc>
        <w:tc>
          <w:tcPr>
            <w:tcW w:w="2361" w:type="dxa"/>
            <w:tcBorders>
              <w:bottom w:val="single" w:sz="4" w:space="0" w:color="auto"/>
            </w:tcBorders>
          </w:tcPr>
          <w:p w14:paraId="1223FFE6" w14:textId="77777777" w:rsidR="0019792D" w:rsidRPr="001B036C" w:rsidRDefault="0019792D">
            <w:pPr>
              <w:pStyle w:val="TableText"/>
              <w:keepNext/>
            </w:pPr>
            <w:r w:rsidRPr="001B036C">
              <w:t>MBS Item 72824</w:t>
            </w:r>
          </w:p>
        </w:tc>
      </w:tr>
      <w:tr w:rsidR="0019792D" w:rsidRPr="001B036C" w14:paraId="2C946A37" w14:textId="77777777" w:rsidTr="001C6A90">
        <w:tc>
          <w:tcPr>
            <w:tcW w:w="3685" w:type="dxa"/>
            <w:tcBorders>
              <w:bottom w:val="single" w:sz="4" w:space="0" w:color="auto"/>
            </w:tcBorders>
          </w:tcPr>
          <w:p w14:paraId="0ED3B22D" w14:textId="77777777" w:rsidR="0019792D" w:rsidRPr="001B036C" w:rsidRDefault="0019792D">
            <w:pPr>
              <w:pStyle w:val="TableText"/>
              <w:keepNext/>
            </w:pPr>
            <w:r w:rsidRPr="001B036C">
              <w:t>FC testing</w:t>
            </w:r>
          </w:p>
        </w:tc>
        <w:tc>
          <w:tcPr>
            <w:tcW w:w="2970" w:type="dxa"/>
            <w:tcBorders>
              <w:bottom w:val="single" w:sz="4" w:space="0" w:color="auto"/>
            </w:tcBorders>
          </w:tcPr>
          <w:p w14:paraId="6A671C0C" w14:textId="77777777" w:rsidR="0019792D" w:rsidRPr="001B036C" w:rsidRDefault="0019792D">
            <w:pPr>
              <w:pStyle w:val="TableText"/>
              <w:keepNext/>
            </w:pPr>
            <w:r w:rsidRPr="001B036C">
              <w:t>$75</w:t>
            </w:r>
          </w:p>
        </w:tc>
        <w:tc>
          <w:tcPr>
            <w:tcW w:w="2361" w:type="dxa"/>
            <w:tcBorders>
              <w:bottom w:val="single" w:sz="4" w:space="0" w:color="auto"/>
            </w:tcBorders>
          </w:tcPr>
          <w:p w14:paraId="10ABDEF0" w14:textId="77777777" w:rsidR="0019792D" w:rsidRPr="001B036C" w:rsidRDefault="0019792D">
            <w:pPr>
              <w:pStyle w:val="TableText"/>
              <w:keepNext/>
            </w:pPr>
            <w:r w:rsidRPr="001B036C">
              <w:t>MBS Item 66522 and 66523</w:t>
            </w:r>
          </w:p>
        </w:tc>
      </w:tr>
      <w:tr w:rsidR="0019792D" w:rsidRPr="001B036C" w14:paraId="3A767111" w14:textId="77777777">
        <w:tc>
          <w:tcPr>
            <w:tcW w:w="9016" w:type="dxa"/>
            <w:gridSpan w:val="3"/>
          </w:tcPr>
          <w:p w14:paraId="54BB8F54" w14:textId="77777777" w:rsidR="0019792D" w:rsidRPr="001B036C" w:rsidRDefault="0019792D" w:rsidP="00D47945">
            <w:pPr>
              <w:pStyle w:val="In-tableHeading"/>
            </w:pPr>
            <w:r w:rsidRPr="001B036C">
              <w:t>Additional costs and/or cost offsets</w:t>
            </w:r>
          </w:p>
        </w:tc>
      </w:tr>
      <w:tr w:rsidR="0019792D" w:rsidRPr="001B036C" w14:paraId="5ACEFD84" w14:textId="77777777" w:rsidTr="001C6A90">
        <w:tc>
          <w:tcPr>
            <w:tcW w:w="3685" w:type="dxa"/>
          </w:tcPr>
          <w:p w14:paraId="6CDC7410" w14:textId="77777777" w:rsidR="0019792D" w:rsidRPr="001B036C" w:rsidRDefault="0019792D">
            <w:pPr>
              <w:pStyle w:val="TableText"/>
              <w:keepNext/>
            </w:pPr>
            <w:r w:rsidRPr="001B036C">
              <w:t xml:space="preserve">GP consultation </w:t>
            </w:r>
          </w:p>
        </w:tc>
        <w:tc>
          <w:tcPr>
            <w:tcW w:w="2970" w:type="dxa"/>
          </w:tcPr>
          <w:p w14:paraId="605D7050" w14:textId="77777777" w:rsidR="0019792D" w:rsidRPr="001B036C" w:rsidRDefault="0019792D">
            <w:pPr>
              <w:pStyle w:val="TableText"/>
              <w:keepNext/>
            </w:pPr>
            <w:r w:rsidRPr="001B036C">
              <w:t>$42.85</w:t>
            </w:r>
          </w:p>
        </w:tc>
        <w:tc>
          <w:tcPr>
            <w:tcW w:w="2361" w:type="dxa"/>
          </w:tcPr>
          <w:p w14:paraId="7BAA997B" w14:textId="77777777" w:rsidR="0019792D" w:rsidRPr="001B036C" w:rsidRDefault="0019792D">
            <w:pPr>
              <w:pStyle w:val="TableText"/>
              <w:keepNext/>
            </w:pPr>
            <w:r w:rsidRPr="001B036C">
              <w:t>MBS Item 23</w:t>
            </w:r>
          </w:p>
        </w:tc>
      </w:tr>
      <w:tr w:rsidR="0019792D" w:rsidRPr="001B036C" w14:paraId="16F7EE11" w14:textId="77777777" w:rsidTr="001C6A90">
        <w:tc>
          <w:tcPr>
            <w:tcW w:w="3685" w:type="dxa"/>
          </w:tcPr>
          <w:p w14:paraId="51E09847" w14:textId="77777777" w:rsidR="0019792D" w:rsidRPr="001B036C" w:rsidRDefault="0019792D">
            <w:pPr>
              <w:pStyle w:val="TableText"/>
              <w:keepNext/>
            </w:pPr>
            <w:r w:rsidRPr="001B036C">
              <w:t>Specialist consultation</w:t>
            </w:r>
          </w:p>
        </w:tc>
        <w:tc>
          <w:tcPr>
            <w:tcW w:w="2970" w:type="dxa"/>
          </w:tcPr>
          <w:p w14:paraId="303EC824" w14:textId="77777777" w:rsidR="0019792D" w:rsidRPr="001B036C" w:rsidRDefault="0019792D">
            <w:pPr>
              <w:pStyle w:val="TableText"/>
              <w:keepNext/>
            </w:pPr>
            <w:r w:rsidRPr="001B036C">
              <w:t>$174.50</w:t>
            </w:r>
          </w:p>
        </w:tc>
        <w:tc>
          <w:tcPr>
            <w:tcW w:w="2361" w:type="dxa"/>
          </w:tcPr>
          <w:p w14:paraId="7390D994" w14:textId="77777777" w:rsidR="0019792D" w:rsidRPr="001B036C" w:rsidRDefault="0019792D">
            <w:pPr>
              <w:pStyle w:val="TableText"/>
              <w:keepNext/>
            </w:pPr>
            <w:r w:rsidRPr="001B036C">
              <w:t>MBS Item 110</w:t>
            </w:r>
          </w:p>
        </w:tc>
      </w:tr>
      <w:tr w:rsidR="0019792D" w:rsidRPr="001B036C" w14:paraId="0BB5CB38" w14:textId="77777777" w:rsidTr="001C6A90">
        <w:tc>
          <w:tcPr>
            <w:tcW w:w="3685" w:type="dxa"/>
          </w:tcPr>
          <w:p w14:paraId="4074B9D9" w14:textId="77777777" w:rsidR="0019792D" w:rsidRPr="001B036C" w:rsidRDefault="0019792D">
            <w:pPr>
              <w:pStyle w:val="TableText"/>
              <w:keepNext/>
            </w:pPr>
            <w:r w:rsidRPr="001B036C">
              <w:t>Specialist subsequent consultation</w:t>
            </w:r>
          </w:p>
        </w:tc>
        <w:tc>
          <w:tcPr>
            <w:tcW w:w="2970" w:type="dxa"/>
          </w:tcPr>
          <w:p w14:paraId="590A9219" w14:textId="77777777" w:rsidR="0019792D" w:rsidRPr="001B036C" w:rsidRDefault="0019792D">
            <w:pPr>
              <w:pStyle w:val="TableText"/>
              <w:keepNext/>
            </w:pPr>
            <w:r w:rsidRPr="001B036C">
              <w:t>$87.30</w:t>
            </w:r>
          </w:p>
        </w:tc>
        <w:tc>
          <w:tcPr>
            <w:tcW w:w="2361" w:type="dxa"/>
          </w:tcPr>
          <w:p w14:paraId="0593A1E0" w14:textId="77777777" w:rsidR="0019792D" w:rsidRPr="001B036C" w:rsidRDefault="0019792D">
            <w:pPr>
              <w:pStyle w:val="TableText"/>
              <w:keepNext/>
            </w:pPr>
            <w:r w:rsidRPr="001B036C">
              <w:t>MBS Item 116</w:t>
            </w:r>
          </w:p>
        </w:tc>
      </w:tr>
    </w:tbl>
    <w:p w14:paraId="5841E9B3" w14:textId="2ADEB8F1" w:rsidR="0019792D" w:rsidRPr="001B036C" w:rsidRDefault="0019792D" w:rsidP="0019792D">
      <w:pPr>
        <w:pStyle w:val="TableFigureFooter"/>
      </w:pPr>
      <w:r w:rsidRPr="001B036C">
        <w:t xml:space="preserve">AR-DRG= Australian Refined Diagnosis Related Groups; FC = </w:t>
      </w:r>
      <w:r w:rsidR="0006015B" w:rsidRPr="001B036C">
        <w:t>f</w:t>
      </w:r>
      <w:r w:rsidRPr="001B036C">
        <w:t>aecal calprotectin; GP= general practitioner; NHCDC= National Hospital Cost Data Collection.</w:t>
      </w:r>
    </w:p>
    <w:p w14:paraId="403AF5E9" w14:textId="6519F2DE" w:rsidR="001E3C84" w:rsidRPr="001B036C" w:rsidRDefault="0019792D" w:rsidP="0019792D">
      <w:r w:rsidRPr="001B036C">
        <w:t xml:space="preserve">Assuming 100 patients are being monitored through colonoscopy/biopsy (No FC arm) or through FC, the base </w:t>
      </w:r>
      <w:r w:rsidR="004A5F29" w:rsidRPr="001B036C">
        <w:t>case</w:t>
      </w:r>
      <w:r w:rsidRPr="001B036C">
        <w:t xml:space="preserve"> results show that fewer colonoscopies/biopsies (15 for every 100 patients) are undertaken in symptomatic cases. </w:t>
      </w:r>
      <w:r w:rsidRPr="001B036C">
        <w:rPr>
          <w:lang w:val="en-US"/>
        </w:rPr>
        <w:t xml:space="preserve">Conversely, given the high anticipated rate of asymptomatic patients not currently being assessed through colonoscopy, the introduction of FC testing may lead to additional colonoscopies being performed due to tighter monitoring. For every 100 asymptomatic patients monitored through colonoscopy/biopsy or FC, 0.87 additional procedures are expected. </w:t>
      </w:r>
      <w:r w:rsidRPr="001B036C">
        <w:t xml:space="preserve">Overall, monitoring through FC testing resulted in a 30% reduction in colonoscopies/biopsies (a reduction of 14 colonoscopy/biopsies for every 100 IBD patients). An Australian study by </w:t>
      </w:r>
      <w:proofErr w:type="spellStart"/>
      <w:r w:rsidRPr="001B036C">
        <w:t>Motaganahlli</w:t>
      </w:r>
      <w:proofErr w:type="spellEnd"/>
      <w:r w:rsidRPr="001B036C">
        <w:t xml:space="preserve"> et al. 2019</w:t>
      </w:r>
      <w:r w:rsidR="00423DC1" w:rsidRPr="00083E3C">
        <w:rPr>
          <w:vertAlign w:val="superscript"/>
        </w:rPr>
        <w:t>20</w:t>
      </w:r>
      <w:r w:rsidRPr="001B036C">
        <w:t>, estimated a 50% reduction in colonoscopies in a hospital-based setting. Monitoring through FC testing also translates into an increase in GP consultations and specialist consultations (</w:t>
      </w:r>
      <w:r w:rsidR="00167772" w:rsidRPr="001B036C">
        <w:fldChar w:fldCharType="begin"/>
      </w:r>
      <w:r w:rsidR="00167772" w:rsidRPr="001B036C">
        <w:instrText xml:space="preserve"> REF _Ref175039815 \h </w:instrText>
      </w:r>
      <w:r w:rsidR="001B036C">
        <w:instrText xml:space="preserve"> \* MERGEFORMAT </w:instrText>
      </w:r>
      <w:r w:rsidR="00167772" w:rsidRPr="001B036C">
        <w:fldChar w:fldCharType="separate"/>
      </w:r>
      <w:r w:rsidR="00DA1240" w:rsidRPr="001B036C">
        <w:t xml:space="preserve">Table </w:t>
      </w:r>
      <w:r w:rsidR="00DA1240">
        <w:rPr>
          <w:noProof/>
        </w:rPr>
        <w:t>21</w:t>
      </w:r>
      <w:r w:rsidR="00167772" w:rsidRPr="001B036C">
        <w:fldChar w:fldCharType="end"/>
      </w:r>
      <w:r w:rsidR="00167772" w:rsidRPr="001B036C">
        <w:rPr>
          <w:b/>
          <w:bCs/>
          <w:lang w:val="en-US"/>
        </w:rPr>
        <w:t>)</w:t>
      </w:r>
      <w:r w:rsidRPr="001B036C">
        <w:t xml:space="preserve">. </w:t>
      </w:r>
    </w:p>
    <w:p w14:paraId="73AF675E" w14:textId="49CF8371" w:rsidR="0019792D" w:rsidRPr="001B036C" w:rsidRDefault="00246DDE" w:rsidP="0019792D">
      <w:r w:rsidRPr="001B036C">
        <w:t xml:space="preserve">It is estimated that </w:t>
      </w:r>
      <w:r w:rsidR="001E3C84" w:rsidRPr="001B036C">
        <w:t xml:space="preserve">every 100 IBD patients monitored through FC will require 206 FC tests including both routine and repeat testing (2.06 FC tests per patient per year). </w:t>
      </w:r>
      <w:r w:rsidR="005A3018" w:rsidRPr="001B036C">
        <w:t>An increased</w:t>
      </w:r>
      <w:r w:rsidR="00F442BF" w:rsidRPr="001B036C">
        <w:t xml:space="preserve"> number of subsequent specialist consultations are estimated in the FC arm compared to the </w:t>
      </w:r>
      <w:r w:rsidR="00E04659" w:rsidRPr="001B036C">
        <w:t xml:space="preserve">initial </w:t>
      </w:r>
      <w:r w:rsidR="00F442BF" w:rsidRPr="001B036C">
        <w:t>specialist consultations as the CMA assumed that repeat FC tests and treatment monitoring occurs as a follow-up consultation (i.e., subsequent specialist consultation). As there is no repeat testing in the N</w:t>
      </w:r>
      <w:r w:rsidR="00C23E71" w:rsidRPr="001B036C">
        <w:t>o</w:t>
      </w:r>
      <w:r w:rsidR="00F442BF" w:rsidRPr="001B036C">
        <w:t xml:space="preserve"> FC arm, CMA estimated lower number of subsequent specialist consultations compared to </w:t>
      </w:r>
      <w:r w:rsidR="002D37AE" w:rsidRPr="001B036C">
        <w:t xml:space="preserve">initial </w:t>
      </w:r>
      <w:r w:rsidR="00F442BF" w:rsidRPr="001B036C">
        <w:t xml:space="preserve">specialist consultations. </w:t>
      </w:r>
    </w:p>
    <w:p w14:paraId="2B1D7E35" w14:textId="689B2A96" w:rsidR="0019792D" w:rsidRPr="001B036C" w:rsidRDefault="0019792D" w:rsidP="006925C0">
      <w:pPr>
        <w:pStyle w:val="Caption"/>
        <w:keepLines/>
      </w:pPr>
      <w:bookmarkStart w:id="41" w:name="_Ref175039815"/>
      <w:r w:rsidRPr="001B036C">
        <w:lastRenderedPageBreak/>
        <w:t xml:space="preserve">Table </w:t>
      </w:r>
      <w:r>
        <w:fldChar w:fldCharType="begin"/>
      </w:r>
      <w:r>
        <w:instrText xml:space="preserve"> SEQ Table \* ARABIC </w:instrText>
      </w:r>
      <w:r>
        <w:fldChar w:fldCharType="separate"/>
      </w:r>
      <w:r w:rsidR="00B4653B">
        <w:rPr>
          <w:noProof/>
        </w:rPr>
        <w:t>21</w:t>
      </w:r>
      <w:r>
        <w:rPr>
          <w:noProof/>
        </w:rPr>
        <w:fldChar w:fldCharType="end"/>
      </w:r>
      <w:bookmarkEnd w:id="41"/>
      <w:r w:rsidRPr="001B036C">
        <w:t xml:space="preserve"> Estimated resource use – Frequency of use per 100 IBD patients per year</w:t>
      </w:r>
    </w:p>
    <w:tbl>
      <w:tblPr>
        <w:tblStyle w:val="TableGrid"/>
        <w:tblW w:w="0" w:type="auto"/>
        <w:tblLook w:val="04A0" w:firstRow="1" w:lastRow="0" w:firstColumn="1" w:lastColumn="0" w:noHBand="0" w:noVBand="1"/>
      </w:tblPr>
      <w:tblGrid>
        <w:gridCol w:w="2423"/>
        <w:gridCol w:w="2234"/>
        <w:gridCol w:w="2234"/>
        <w:gridCol w:w="2125"/>
      </w:tblGrid>
      <w:tr w:rsidR="0019792D" w:rsidRPr="001B036C" w14:paraId="5DB0AAC6" w14:textId="77777777">
        <w:tc>
          <w:tcPr>
            <w:tcW w:w="2423" w:type="dxa"/>
          </w:tcPr>
          <w:p w14:paraId="257F70E0" w14:textId="77777777" w:rsidR="0019792D" w:rsidRPr="001B036C" w:rsidRDefault="0019792D" w:rsidP="006925C0">
            <w:pPr>
              <w:pStyle w:val="In-tableHeading"/>
              <w:keepLines/>
            </w:pPr>
            <w:r w:rsidRPr="001B036C">
              <w:t>Resource</w:t>
            </w:r>
          </w:p>
        </w:tc>
        <w:tc>
          <w:tcPr>
            <w:tcW w:w="2234" w:type="dxa"/>
          </w:tcPr>
          <w:p w14:paraId="251A0F01" w14:textId="77777777" w:rsidR="0019792D" w:rsidRPr="001B036C" w:rsidRDefault="0019792D" w:rsidP="006925C0">
            <w:pPr>
              <w:pStyle w:val="In-tableHeading"/>
              <w:keepLines/>
            </w:pPr>
            <w:r w:rsidRPr="001B036C">
              <w:t>FC Arm</w:t>
            </w:r>
          </w:p>
        </w:tc>
        <w:tc>
          <w:tcPr>
            <w:tcW w:w="2234" w:type="dxa"/>
          </w:tcPr>
          <w:p w14:paraId="73BE53BB" w14:textId="77777777" w:rsidR="0019792D" w:rsidRPr="001B036C" w:rsidRDefault="0019792D" w:rsidP="006925C0">
            <w:pPr>
              <w:pStyle w:val="In-tableHeading"/>
              <w:keepLines/>
            </w:pPr>
            <w:r w:rsidRPr="001B036C">
              <w:t>No FC Arm</w:t>
            </w:r>
          </w:p>
        </w:tc>
        <w:tc>
          <w:tcPr>
            <w:tcW w:w="2125" w:type="dxa"/>
            <w:vAlign w:val="center"/>
          </w:tcPr>
          <w:p w14:paraId="679F19E1" w14:textId="77777777" w:rsidR="0019792D" w:rsidRPr="001B036C" w:rsidRDefault="0019792D" w:rsidP="006925C0">
            <w:pPr>
              <w:pStyle w:val="In-tableHeading"/>
              <w:keepLines/>
            </w:pPr>
            <w:r w:rsidRPr="001B036C">
              <w:t>Difference</w:t>
            </w:r>
          </w:p>
        </w:tc>
      </w:tr>
      <w:tr w:rsidR="0019792D" w:rsidRPr="001B036C" w14:paraId="77317EC7" w14:textId="77777777">
        <w:tc>
          <w:tcPr>
            <w:tcW w:w="2423" w:type="dxa"/>
          </w:tcPr>
          <w:p w14:paraId="5D944632" w14:textId="77777777" w:rsidR="0019792D" w:rsidRPr="001B036C" w:rsidRDefault="0019792D" w:rsidP="006925C0">
            <w:pPr>
              <w:pStyle w:val="TableText"/>
              <w:keepNext/>
              <w:keepLines/>
            </w:pPr>
            <w:r w:rsidRPr="001B036C">
              <w:t>Surveillance FC</w:t>
            </w:r>
          </w:p>
        </w:tc>
        <w:tc>
          <w:tcPr>
            <w:tcW w:w="2234" w:type="dxa"/>
            <w:vAlign w:val="center"/>
          </w:tcPr>
          <w:p w14:paraId="1C55C4F5" w14:textId="77777777" w:rsidR="0019792D" w:rsidRPr="001B036C" w:rsidRDefault="0019792D" w:rsidP="006925C0">
            <w:pPr>
              <w:pStyle w:val="Tabletext0"/>
              <w:keepNext/>
              <w:keepLines/>
            </w:pPr>
            <w:r w:rsidRPr="001B036C">
              <w:t>116.00</w:t>
            </w:r>
          </w:p>
        </w:tc>
        <w:tc>
          <w:tcPr>
            <w:tcW w:w="2234" w:type="dxa"/>
            <w:vAlign w:val="center"/>
          </w:tcPr>
          <w:p w14:paraId="2171A7D9" w14:textId="77777777" w:rsidR="0019792D" w:rsidRPr="001B036C" w:rsidRDefault="0019792D" w:rsidP="006925C0">
            <w:pPr>
              <w:pStyle w:val="Tabletext0"/>
              <w:keepNext/>
              <w:keepLines/>
            </w:pPr>
            <w:r w:rsidRPr="001B036C">
              <w:t>0.00</w:t>
            </w:r>
          </w:p>
        </w:tc>
        <w:tc>
          <w:tcPr>
            <w:tcW w:w="2125" w:type="dxa"/>
            <w:vAlign w:val="center"/>
          </w:tcPr>
          <w:p w14:paraId="2040F631" w14:textId="77777777" w:rsidR="0019792D" w:rsidRPr="001B036C" w:rsidRDefault="0019792D" w:rsidP="006925C0">
            <w:pPr>
              <w:pStyle w:val="Tabletext0"/>
              <w:keepNext/>
              <w:keepLines/>
            </w:pPr>
            <w:r w:rsidRPr="001B036C">
              <w:t>116.00</w:t>
            </w:r>
          </w:p>
        </w:tc>
      </w:tr>
      <w:tr w:rsidR="0019792D" w:rsidRPr="001B036C" w14:paraId="429DE216" w14:textId="77777777">
        <w:tc>
          <w:tcPr>
            <w:tcW w:w="2423" w:type="dxa"/>
          </w:tcPr>
          <w:p w14:paraId="40D99559" w14:textId="77777777" w:rsidR="0019792D" w:rsidRPr="001B036C" w:rsidRDefault="0019792D" w:rsidP="006925C0">
            <w:pPr>
              <w:pStyle w:val="TableText"/>
              <w:keepNext/>
              <w:keepLines/>
            </w:pPr>
            <w:r w:rsidRPr="001B036C">
              <w:t>Repeat FC</w:t>
            </w:r>
          </w:p>
        </w:tc>
        <w:tc>
          <w:tcPr>
            <w:tcW w:w="2234" w:type="dxa"/>
            <w:vAlign w:val="center"/>
          </w:tcPr>
          <w:p w14:paraId="76435750" w14:textId="77777777" w:rsidR="0019792D" w:rsidRPr="001B036C" w:rsidRDefault="0019792D" w:rsidP="006925C0">
            <w:pPr>
              <w:pStyle w:val="Tabletext0"/>
              <w:keepNext/>
              <w:keepLines/>
            </w:pPr>
            <w:r w:rsidRPr="001B036C">
              <w:t>90.08</w:t>
            </w:r>
          </w:p>
        </w:tc>
        <w:tc>
          <w:tcPr>
            <w:tcW w:w="2234" w:type="dxa"/>
            <w:vAlign w:val="center"/>
          </w:tcPr>
          <w:p w14:paraId="10798C0E" w14:textId="77777777" w:rsidR="0019792D" w:rsidRPr="001B036C" w:rsidRDefault="0019792D" w:rsidP="006925C0">
            <w:pPr>
              <w:pStyle w:val="Tabletext0"/>
              <w:keepNext/>
              <w:keepLines/>
            </w:pPr>
            <w:r w:rsidRPr="001B036C">
              <w:t>0.00</w:t>
            </w:r>
          </w:p>
        </w:tc>
        <w:tc>
          <w:tcPr>
            <w:tcW w:w="2125" w:type="dxa"/>
            <w:vAlign w:val="center"/>
          </w:tcPr>
          <w:p w14:paraId="21FEAF75" w14:textId="77777777" w:rsidR="0019792D" w:rsidRPr="001B036C" w:rsidRDefault="0019792D" w:rsidP="006925C0">
            <w:pPr>
              <w:pStyle w:val="Tabletext0"/>
              <w:keepNext/>
              <w:keepLines/>
            </w:pPr>
            <w:r w:rsidRPr="001B036C">
              <w:t>90.08</w:t>
            </w:r>
          </w:p>
        </w:tc>
      </w:tr>
      <w:tr w:rsidR="0019792D" w:rsidRPr="001B036C" w14:paraId="74EB8C84" w14:textId="77777777">
        <w:tc>
          <w:tcPr>
            <w:tcW w:w="2423" w:type="dxa"/>
          </w:tcPr>
          <w:p w14:paraId="3DF743E1" w14:textId="77777777" w:rsidR="0019792D" w:rsidRPr="001B036C" w:rsidRDefault="0019792D" w:rsidP="006925C0">
            <w:pPr>
              <w:pStyle w:val="TableText"/>
              <w:keepNext/>
              <w:keepLines/>
            </w:pPr>
            <w:r w:rsidRPr="001B036C">
              <w:t>Colonoscopy</w:t>
            </w:r>
          </w:p>
        </w:tc>
        <w:tc>
          <w:tcPr>
            <w:tcW w:w="2234" w:type="dxa"/>
            <w:vAlign w:val="center"/>
          </w:tcPr>
          <w:p w14:paraId="51F3D911" w14:textId="77777777" w:rsidR="0019792D" w:rsidRPr="001B036C" w:rsidRDefault="0019792D" w:rsidP="006925C0">
            <w:pPr>
              <w:pStyle w:val="Tabletext0"/>
              <w:keepNext/>
              <w:keepLines/>
            </w:pPr>
            <w:r w:rsidRPr="001B036C">
              <w:t>32.06</w:t>
            </w:r>
          </w:p>
        </w:tc>
        <w:tc>
          <w:tcPr>
            <w:tcW w:w="2234" w:type="dxa"/>
            <w:vAlign w:val="center"/>
          </w:tcPr>
          <w:p w14:paraId="12DB4236" w14:textId="77777777" w:rsidR="0019792D" w:rsidRPr="001B036C" w:rsidRDefault="0019792D" w:rsidP="006925C0">
            <w:pPr>
              <w:pStyle w:val="Tabletext0"/>
              <w:keepNext/>
              <w:keepLines/>
            </w:pPr>
            <w:r w:rsidRPr="001B036C">
              <w:t>46.00</w:t>
            </w:r>
          </w:p>
        </w:tc>
        <w:tc>
          <w:tcPr>
            <w:tcW w:w="2125" w:type="dxa"/>
            <w:vAlign w:val="center"/>
          </w:tcPr>
          <w:p w14:paraId="0087CDB7" w14:textId="77777777" w:rsidR="0019792D" w:rsidRPr="001B036C" w:rsidRDefault="0019792D" w:rsidP="006925C0">
            <w:pPr>
              <w:pStyle w:val="Tabletext0"/>
              <w:keepNext/>
              <w:keepLines/>
            </w:pPr>
            <w:r w:rsidRPr="001B036C">
              <w:t>-13.94</w:t>
            </w:r>
          </w:p>
        </w:tc>
      </w:tr>
      <w:tr w:rsidR="0019792D" w:rsidRPr="001B036C" w14:paraId="54EB5894" w14:textId="77777777">
        <w:tc>
          <w:tcPr>
            <w:tcW w:w="2423" w:type="dxa"/>
          </w:tcPr>
          <w:p w14:paraId="0B7A9626" w14:textId="77777777" w:rsidR="0019792D" w:rsidRPr="001B036C" w:rsidRDefault="0019792D" w:rsidP="006925C0">
            <w:pPr>
              <w:pStyle w:val="TableText"/>
              <w:keepNext/>
              <w:keepLines/>
            </w:pPr>
            <w:r w:rsidRPr="001B036C">
              <w:t>Biopsy</w:t>
            </w:r>
          </w:p>
        </w:tc>
        <w:tc>
          <w:tcPr>
            <w:tcW w:w="2234" w:type="dxa"/>
            <w:vAlign w:val="center"/>
          </w:tcPr>
          <w:p w14:paraId="78DEE7EC" w14:textId="77777777" w:rsidR="0019792D" w:rsidRPr="001B036C" w:rsidRDefault="0019792D" w:rsidP="006925C0">
            <w:pPr>
              <w:pStyle w:val="Tabletext0"/>
              <w:keepNext/>
              <w:keepLines/>
            </w:pPr>
            <w:r w:rsidRPr="001B036C">
              <w:t>32.06</w:t>
            </w:r>
          </w:p>
        </w:tc>
        <w:tc>
          <w:tcPr>
            <w:tcW w:w="2234" w:type="dxa"/>
            <w:vAlign w:val="center"/>
          </w:tcPr>
          <w:p w14:paraId="1A744AD0" w14:textId="77777777" w:rsidR="0019792D" w:rsidRPr="001B036C" w:rsidRDefault="0019792D" w:rsidP="006925C0">
            <w:pPr>
              <w:pStyle w:val="Tabletext0"/>
              <w:keepNext/>
              <w:keepLines/>
            </w:pPr>
            <w:r w:rsidRPr="001B036C">
              <w:t>46.00</w:t>
            </w:r>
          </w:p>
        </w:tc>
        <w:tc>
          <w:tcPr>
            <w:tcW w:w="2125" w:type="dxa"/>
            <w:vAlign w:val="center"/>
          </w:tcPr>
          <w:p w14:paraId="7A66CD9F" w14:textId="77777777" w:rsidR="0019792D" w:rsidRPr="001B036C" w:rsidRDefault="0019792D" w:rsidP="006925C0">
            <w:pPr>
              <w:pStyle w:val="Tabletext0"/>
              <w:keepNext/>
              <w:keepLines/>
            </w:pPr>
            <w:r w:rsidRPr="001B036C">
              <w:t>-13.94</w:t>
            </w:r>
          </w:p>
        </w:tc>
      </w:tr>
      <w:tr w:rsidR="0019792D" w:rsidRPr="001B036C" w14:paraId="31C5CAE9" w14:textId="77777777">
        <w:tc>
          <w:tcPr>
            <w:tcW w:w="2423" w:type="dxa"/>
          </w:tcPr>
          <w:p w14:paraId="63B1FD81" w14:textId="77777777" w:rsidR="0019792D" w:rsidRPr="001B036C" w:rsidRDefault="0019792D" w:rsidP="006925C0">
            <w:pPr>
              <w:pStyle w:val="TableText"/>
              <w:keepNext/>
              <w:keepLines/>
            </w:pPr>
            <w:r w:rsidRPr="001B036C">
              <w:t>GP consultation</w:t>
            </w:r>
          </w:p>
        </w:tc>
        <w:tc>
          <w:tcPr>
            <w:tcW w:w="2234" w:type="dxa"/>
            <w:vAlign w:val="center"/>
          </w:tcPr>
          <w:p w14:paraId="3E57329A" w14:textId="77777777" w:rsidR="0019792D" w:rsidRPr="001B036C" w:rsidRDefault="0019792D" w:rsidP="006925C0">
            <w:pPr>
              <w:pStyle w:val="Tabletext0"/>
              <w:keepNext/>
              <w:keepLines/>
            </w:pPr>
            <w:r w:rsidRPr="001B036C">
              <w:t>116.00</w:t>
            </w:r>
          </w:p>
        </w:tc>
        <w:tc>
          <w:tcPr>
            <w:tcW w:w="2234" w:type="dxa"/>
            <w:vAlign w:val="center"/>
          </w:tcPr>
          <w:p w14:paraId="323D17A3" w14:textId="77777777" w:rsidR="0019792D" w:rsidRPr="001B036C" w:rsidRDefault="0019792D" w:rsidP="006925C0">
            <w:pPr>
              <w:pStyle w:val="Tabletext0"/>
              <w:keepNext/>
              <w:keepLines/>
            </w:pPr>
            <w:r w:rsidRPr="001B036C">
              <w:t>0.00</w:t>
            </w:r>
          </w:p>
        </w:tc>
        <w:tc>
          <w:tcPr>
            <w:tcW w:w="2125" w:type="dxa"/>
            <w:vAlign w:val="center"/>
          </w:tcPr>
          <w:p w14:paraId="6CC08BF3" w14:textId="77777777" w:rsidR="0019792D" w:rsidRPr="001B036C" w:rsidRDefault="0019792D" w:rsidP="006925C0">
            <w:pPr>
              <w:pStyle w:val="Tabletext0"/>
              <w:keepNext/>
              <w:keepLines/>
            </w:pPr>
            <w:r w:rsidRPr="001B036C">
              <w:t>116.00</w:t>
            </w:r>
          </w:p>
        </w:tc>
      </w:tr>
      <w:tr w:rsidR="0019792D" w:rsidRPr="001B036C" w14:paraId="594BA56A" w14:textId="77777777">
        <w:tc>
          <w:tcPr>
            <w:tcW w:w="2423" w:type="dxa"/>
          </w:tcPr>
          <w:p w14:paraId="0C061A33" w14:textId="38F25FF7" w:rsidR="0019792D" w:rsidRPr="001B036C" w:rsidRDefault="002D37AE" w:rsidP="006925C0">
            <w:pPr>
              <w:pStyle w:val="TableText"/>
              <w:keepNext/>
              <w:keepLines/>
            </w:pPr>
            <w:r w:rsidRPr="001B036C">
              <w:t>Initial s</w:t>
            </w:r>
            <w:r w:rsidR="0019792D" w:rsidRPr="001B036C">
              <w:t>pecialist consultation</w:t>
            </w:r>
          </w:p>
        </w:tc>
        <w:tc>
          <w:tcPr>
            <w:tcW w:w="2234" w:type="dxa"/>
            <w:vAlign w:val="center"/>
          </w:tcPr>
          <w:p w14:paraId="6127C9ED" w14:textId="77777777" w:rsidR="0019792D" w:rsidRPr="001B036C" w:rsidRDefault="0019792D" w:rsidP="006925C0">
            <w:pPr>
              <w:pStyle w:val="Tabletext0"/>
              <w:keepNext/>
              <w:keepLines/>
            </w:pPr>
            <w:r w:rsidRPr="001B036C">
              <w:t>55.11</w:t>
            </w:r>
          </w:p>
        </w:tc>
        <w:tc>
          <w:tcPr>
            <w:tcW w:w="2234" w:type="dxa"/>
            <w:vAlign w:val="center"/>
          </w:tcPr>
          <w:p w14:paraId="4E7A7A2A" w14:textId="77777777" w:rsidR="0019792D" w:rsidRPr="001B036C" w:rsidRDefault="0019792D" w:rsidP="006925C0">
            <w:pPr>
              <w:pStyle w:val="Tabletext0"/>
              <w:keepNext/>
              <w:keepLines/>
            </w:pPr>
            <w:r w:rsidRPr="001B036C">
              <w:t>46.00</w:t>
            </w:r>
          </w:p>
        </w:tc>
        <w:tc>
          <w:tcPr>
            <w:tcW w:w="2125" w:type="dxa"/>
            <w:vAlign w:val="center"/>
          </w:tcPr>
          <w:p w14:paraId="4BAD7AC5" w14:textId="77777777" w:rsidR="0019792D" w:rsidRPr="001B036C" w:rsidRDefault="0019792D" w:rsidP="006925C0">
            <w:pPr>
              <w:pStyle w:val="Tabletext0"/>
              <w:keepNext/>
              <w:keepLines/>
            </w:pPr>
            <w:r w:rsidRPr="001B036C">
              <w:t>9.11</w:t>
            </w:r>
          </w:p>
        </w:tc>
      </w:tr>
      <w:tr w:rsidR="0019792D" w:rsidRPr="001B036C" w14:paraId="5B7DC141" w14:textId="77777777">
        <w:tc>
          <w:tcPr>
            <w:tcW w:w="2423" w:type="dxa"/>
          </w:tcPr>
          <w:p w14:paraId="4615C925" w14:textId="77777777" w:rsidR="0019792D" w:rsidRPr="001B036C" w:rsidRDefault="0019792D" w:rsidP="006925C0">
            <w:pPr>
              <w:pStyle w:val="TableText"/>
              <w:keepNext/>
              <w:keepLines/>
            </w:pPr>
            <w:r w:rsidRPr="001B036C">
              <w:t>Specialist subsequent consultation</w:t>
            </w:r>
          </w:p>
        </w:tc>
        <w:tc>
          <w:tcPr>
            <w:tcW w:w="2234" w:type="dxa"/>
            <w:vAlign w:val="center"/>
          </w:tcPr>
          <w:p w14:paraId="4CD27106" w14:textId="77777777" w:rsidR="0019792D" w:rsidRPr="001B036C" w:rsidRDefault="0019792D" w:rsidP="006925C0">
            <w:pPr>
              <w:pStyle w:val="Tabletext0"/>
              <w:keepNext/>
              <w:keepLines/>
            </w:pPr>
            <w:r w:rsidRPr="001B036C">
              <w:t>67.49</w:t>
            </w:r>
          </w:p>
        </w:tc>
        <w:tc>
          <w:tcPr>
            <w:tcW w:w="2234" w:type="dxa"/>
            <w:vAlign w:val="center"/>
          </w:tcPr>
          <w:p w14:paraId="4046D230" w14:textId="77777777" w:rsidR="0019792D" w:rsidRPr="001B036C" w:rsidRDefault="0019792D" w:rsidP="006925C0">
            <w:pPr>
              <w:pStyle w:val="Tabletext0"/>
              <w:keepNext/>
              <w:keepLines/>
            </w:pPr>
            <w:r w:rsidRPr="001B036C">
              <w:t>28.64</w:t>
            </w:r>
          </w:p>
        </w:tc>
        <w:tc>
          <w:tcPr>
            <w:tcW w:w="2125" w:type="dxa"/>
            <w:vAlign w:val="center"/>
          </w:tcPr>
          <w:p w14:paraId="77FA6190" w14:textId="77777777" w:rsidR="0019792D" w:rsidRPr="001B036C" w:rsidRDefault="0019792D" w:rsidP="006925C0">
            <w:pPr>
              <w:pStyle w:val="Tabletext0"/>
              <w:keepNext/>
              <w:keepLines/>
            </w:pPr>
            <w:r w:rsidRPr="001B036C">
              <w:t>38.84</w:t>
            </w:r>
          </w:p>
        </w:tc>
      </w:tr>
    </w:tbl>
    <w:p w14:paraId="026BC2D8" w14:textId="77777777" w:rsidR="0019792D" w:rsidRPr="001B036C" w:rsidRDefault="0019792D" w:rsidP="006925C0">
      <w:pPr>
        <w:pStyle w:val="Instructionaltext"/>
        <w:keepNext/>
        <w:keepLines/>
        <w:rPr>
          <w:rFonts w:ascii="Arial Narrow" w:hAnsi="Arial Narrow"/>
          <w:color w:val="auto"/>
          <w:sz w:val="18"/>
          <w:szCs w:val="18"/>
        </w:rPr>
      </w:pPr>
      <w:r w:rsidRPr="001B036C">
        <w:rPr>
          <w:rFonts w:ascii="Arial Narrow" w:hAnsi="Arial Narrow"/>
          <w:color w:val="auto"/>
          <w:sz w:val="18"/>
          <w:szCs w:val="18"/>
        </w:rPr>
        <w:t>FC = Faecal calprotectin; GP= general practitioner; IBD= inflammatory bowel disease; ND = not defined</w:t>
      </w:r>
    </w:p>
    <w:p w14:paraId="7B1E7EFB" w14:textId="23417F14" w:rsidR="0019792D" w:rsidRPr="00083E3C" w:rsidRDefault="0019792D" w:rsidP="0019792D">
      <w:pPr>
        <w:rPr>
          <w:i/>
        </w:rPr>
      </w:pPr>
      <w:r w:rsidRPr="001B036C">
        <w:t>For every 100 patients monitored through FC testing an overall reduction in costs of $33,455 is anticipated in symptomatic patients and an overall increase in costs of $16,046 is anticipated in asymptomatic patients leading to an overall cost saving of $17,408 (</w:t>
      </w:r>
      <w:r w:rsidR="00167772" w:rsidRPr="001B036C">
        <w:fldChar w:fldCharType="begin"/>
      </w:r>
      <w:r w:rsidR="00167772" w:rsidRPr="001B036C">
        <w:instrText xml:space="preserve"> REF _Ref175039839 \h </w:instrText>
      </w:r>
      <w:r w:rsidR="001B036C">
        <w:instrText xml:space="preserve"> \* MERGEFORMAT </w:instrText>
      </w:r>
      <w:r w:rsidR="00167772" w:rsidRPr="001B036C">
        <w:fldChar w:fldCharType="separate"/>
      </w:r>
      <w:r w:rsidR="00DA1240" w:rsidRPr="001B036C">
        <w:t xml:space="preserve">Table </w:t>
      </w:r>
      <w:r w:rsidR="00DA1240">
        <w:rPr>
          <w:noProof/>
        </w:rPr>
        <w:t>22</w:t>
      </w:r>
      <w:r w:rsidR="00167772" w:rsidRPr="001B036C">
        <w:fldChar w:fldCharType="end"/>
      </w:r>
      <w:r w:rsidR="00167772" w:rsidRPr="001B036C">
        <w:t>)</w:t>
      </w:r>
      <w:r w:rsidRPr="001B036C">
        <w:t>.</w:t>
      </w:r>
      <w:r w:rsidR="008B022E">
        <w:t xml:space="preserve"> </w:t>
      </w:r>
    </w:p>
    <w:p w14:paraId="5BFA4AF6" w14:textId="60EDBA54" w:rsidR="0019792D" w:rsidRPr="001B036C" w:rsidRDefault="0019792D" w:rsidP="0019792D">
      <w:pPr>
        <w:pStyle w:val="Caption"/>
      </w:pPr>
      <w:bookmarkStart w:id="42" w:name="_Ref175039839"/>
      <w:r w:rsidRPr="001B036C">
        <w:t xml:space="preserve">Table </w:t>
      </w:r>
      <w:r>
        <w:fldChar w:fldCharType="begin"/>
      </w:r>
      <w:r>
        <w:instrText xml:space="preserve"> SEQ Table \* ARABIC </w:instrText>
      </w:r>
      <w:r>
        <w:fldChar w:fldCharType="separate"/>
      </w:r>
      <w:r w:rsidR="00B4653B">
        <w:rPr>
          <w:noProof/>
        </w:rPr>
        <w:t>22</w:t>
      </w:r>
      <w:r>
        <w:rPr>
          <w:noProof/>
        </w:rPr>
        <w:fldChar w:fldCharType="end"/>
      </w:r>
      <w:bookmarkEnd w:id="42"/>
      <w:r w:rsidRPr="001B036C">
        <w:t xml:space="preserve"> Estimated cost of monitoring per 100 IBD patients (symptomatic and asymptomatic) per year</w:t>
      </w:r>
    </w:p>
    <w:tbl>
      <w:tblPr>
        <w:tblStyle w:val="TableGrid"/>
        <w:tblW w:w="0" w:type="auto"/>
        <w:tblLook w:val="04A0" w:firstRow="1" w:lastRow="0" w:firstColumn="1" w:lastColumn="0" w:noHBand="0" w:noVBand="1"/>
      </w:tblPr>
      <w:tblGrid>
        <w:gridCol w:w="2426"/>
        <w:gridCol w:w="2230"/>
        <w:gridCol w:w="2231"/>
        <w:gridCol w:w="2129"/>
      </w:tblGrid>
      <w:tr w:rsidR="0019792D" w:rsidRPr="001B036C" w14:paraId="5619BE70" w14:textId="77777777">
        <w:tc>
          <w:tcPr>
            <w:tcW w:w="2426" w:type="dxa"/>
          </w:tcPr>
          <w:p w14:paraId="2C1A9FCD" w14:textId="77777777" w:rsidR="0019792D" w:rsidRPr="001B036C" w:rsidRDefault="0019792D" w:rsidP="00D47945">
            <w:pPr>
              <w:pStyle w:val="In-tableHeading"/>
            </w:pPr>
            <w:r w:rsidRPr="001B036C">
              <w:t>Resource</w:t>
            </w:r>
          </w:p>
        </w:tc>
        <w:tc>
          <w:tcPr>
            <w:tcW w:w="2230" w:type="dxa"/>
          </w:tcPr>
          <w:p w14:paraId="14714C8C" w14:textId="77777777" w:rsidR="0019792D" w:rsidRPr="001B036C" w:rsidRDefault="0019792D" w:rsidP="00D47945">
            <w:pPr>
              <w:pStyle w:val="In-tableHeading"/>
            </w:pPr>
            <w:r w:rsidRPr="001B036C">
              <w:t>FC Arm</w:t>
            </w:r>
          </w:p>
        </w:tc>
        <w:tc>
          <w:tcPr>
            <w:tcW w:w="2231" w:type="dxa"/>
          </w:tcPr>
          <w:p w14:paraId="59925EDD" w14:textId="77777777" w:rsidR="0019792D" w:rsidRPr="001B036C" w:rsidRDefault="0019792D" w:rsidP="00D47945">
            <w:pPr>
              <w:pStyle w:val="In-tableHeading"/>
            </w:pPr>
            <w:r w:rsidRPr="001B036C">
              <w:t>No FC Arm</w:t>
            </w:r>
          </w:p>
        </w:tc>
        <w:tc>
          <w:tcPr>
            <w:tcW w:w="2129" w:type="dxa"/>
          </w:tcPr>
          <w:p w14:paraId="5F4E337A" w14:textId="77777777" w:rsidR="0019792D" w:rsidRPr="001B036C" w:rsidRDefault="0019792D" w:rsidP="00D47945">
            <w:pPr>
              <w:pStyle w:val="In-tableHeading"/>
            </w:pPr>
            <w:r w:rsidRPr="001B036C">
              <w:t xml:space="preserve">Additional costs/cost offsets </w:t>
            </w:r>
          </w:p>
        </w:tc>
      </w:tr>
      <w:tr w:rsidR="0019792D" w:rsidRPr="001B036C" w14:paraId="1FA7E565" w14:textId="77777777" w:rsidTr="00D47945">
        <w:tc>
          <w:tcPr>
            <w:tcW w:w="2426" w:type="dxa"/>
          </w:tcPr>
          <w:p w14:paraId="34ABB6D7" w14:textId="77777777" w:rsidR="0019792D" w:rsidRPr="001B036C" w:rsidRDefault="0019792D">
            <w:pPr>
              <w:pStyle w:val="TableText"/>
            </w:pPr>
            <w:r w:rsidRPr="001B036C">
              <w:t>Surveillance FC</w:t>
            </w:r>
          </w:p>
        </w:tc>
        <w:tc>
          <w:tcPr>
            <w:tcW w:w="2230" w:type="dxa"/>
            <w:vAlign w:val="center"/>
          </w:tcPr>
          <w:p w14:paraId="3A921C04" w14:textId="77777777" w:rsidR="0019792D" w:rsidRPr="001B036C" w:rsidRDefault="0019792D">
            <w:pPr>
              <w:pStyle w:val="Tabletext0"/>
            </w:pPr>
            <w:r w:rsidRPr="001B036C">
              <w:t>$8,700</w:t>
            </w:r>
          </w:p>
        </w:tc>
        <w:tc>
          <w:tcPr>
            <w:tcW w:w="2231" w:type="dxa"/>
            <w:vAlign w:val="center"/>
          </w:tcPr>
          <w:p w14:paraId="12498AFD" w14:textId="77777777" w:rsidR="0019792D" w:rsidRPr="001B036C" w:rsidRDefault="0019792D">
            <w:pPr>
              <w:pStyle w:val="Tabletext0"/>
            </w:pPr>
            <w:r w:rsidRPr="001B036C">
              <w:t>$0</w:t>
            </w:r>
          </w:p>
        </w:tc>
        <w:tc>
          <w:tcPr>
            <w:tcW w:w="2129" w:type="dxa"/>
            <w:vAlign w:val="bottom"/>
          </w:tcPr>
          <w:p w14:paraId="2A65D4F8" w14:textId="77777777" w:rsidR="0019792D" w:rsidRPr="001B036C" w:rsidRDefault="0019792D">
            <w:pPr>
              <w:pStyle w:val="Tabletext0"/>
            </w:pPr>
            <w:r w:rsidRPr="001B036C">
              <w:t>$8,700</w:t>
            </w:r>
          </w:p>
        </w:tc>
      </w:tr>
      <w:tr w:rsidR="0019792D" w:rsidRPr="001B036C" w14:paraId="450A5566" w14:textId="77777777" w:rsidTr="00D47945">
        <w:tc>
          <w:tcPr>
            <w:tcW w:w="2426" w:type="dxa"/>
          </w:tcPr>
          <w:p w14:paraId="0718091E" w14:textId="77777777" w:rsidR="0019792D" w:rsidRPr="001B036C" w:rsidRDefault="0019792D">
            <w:pPr>
              <w:pStyle w:val="TableText"/>
            </w:pPr>
            <w:r w:rsidRPr="001B036C">
              <w:t>Repeat FC</w:t>
            </w:r>
          </w:p>
        </w:tc>
        <w:tc>
          <w:tcPr>
            <w:tcW w:w="2230" w:type="dxa"/>
            <w:vAlign w:val="center"/>
          </w:tcPr>
          <w:p w14:paraId="40228AEE" w14:textId="77777777" w:rsidR="0019792D" w:rsidRPr="001B036C" w:rsidRDefault="0019792D">
            <w:pPr>
              <w:pStyle w:val="Tabletext0"/>
            </w:pPr>
            <w:r w:rsidRPr="001B036C">
              <w:t>$6,756</w:t>
            </w:r>
          </w:p>
        </w:tc>
        <w:tc>
          <w:tcPr>
            <w:tcW w:w="2231" w:type="dxa"/>
            <w:vAlign w:val="center"/>
          </w:tcPr>
          <w:p w14:paraId="0838ADCC" w14:textId="77777777" w:rsidR="0019792D" w:rsidRPr="001B036C" w:rsidRDefault="0019792D">
            <w:pPr>
              <w:pStyle w:val="Tabletext0"/>
            </w:pPr>
            <w:r w:rsidRPr="001B036C">
              <w:t>$0</w:t>
            </w:r>
          </w:p>
        </w:tc>
        <w:tc>
          <w:tcPr>
            <w:tcW w:w="2129" w:type="dxa"/>
            <w:vAlign w:val="bottom"/>
          </w:tcPr>
          <w:p w14:paraId="01701CB7" w14:textId="77777777" w:rsidR="0019792D" w:rsidRPr="001B036C" w:rsidRDefault="0019792D">
            <w:pPr>
              <w:pStyle w:val="Tabletext0"/>
            </w:pPr>
            <w:r w:rsidRPr="001B036C">
              <w:t>$6,756</w:t>
            </w:r>
          </w:p>
        </w:tc>
      </w:tr>
      <w:tr w:rsidR="0019792D" w:rsidRPr="001B036C" w14:paraId="48231035" w14:textId="77777777" w:rsidTr="00D47945">
        <w:tc>
          <w:tcPr>
            <w:tcW w:w="2426" w:type="dxa"/>
          </w:tcPr>
          <w:p w14:paraId="387AF762" w14:textId="77777777" w:rsidR="0019792D" w:rsidRPr="001B036C" w:rsidRDefault="0019792D">
            <w:pPr>
              <w:pStyle w:val="TableText"/>
            </w:pPr>
            <w:r w:rsidRPr="001B036C">
              <w:t>Colonoscopy</w:t>
            </w:r>
          </w:p>
        </w:tc>
        <w:tc>
          <w:tcPr>
            <w:tcW w:w="2230" w:type="dxa"/>
            <w:vAlign w:val="center"/>
          </w:tcPr>
          <w:p w14:paraId="60713AEC" w14:textId="77777777" w:rsidR="0019792D" w:rsidRPr="001B036C" w:rsidRDefault="0019792D">
            <w:pPr>
              <w:pStyle w:val="Tabletext0"/>
            </w:pPr>
            <w:r w:rsidRPr="001B036C">
              <w:t>$93,916</w:t>
            </w:r>
          </w:p>
        </w:tc>
        <w:tc>
          <w:tcPr>
            <w:tcW w:w="2231" w:type="dxa"/>
            <w:vAlign w:val="center"/>
          </w:tcPr>
          <w:p w14:paraId="72EE6525" w14:textId="77777777" w:rsidR="0019792D" w:rsidRPr="001B036C" w:rsidRDefault="0019792D">
            <w:pPr>
              <w:pStyle w:val="Tabletext0"/>
            </w:pPr>
            <w:r w:rsidRPr="001B036C">
              <w:t>$134,761</w:t>
            </w:r>
          </w:p>
        </w:tc>
        <w:tc>
          <w:tcPr>
            <w:tcW w:w="2129" w:type="dxa"/>
            <w:vAlign w:val="bottom"/>
          </w:tcPr>
          <w:p w14:paraId="3EAB2E7C" w14:textId="77777777" w:rsidR="0019792D" w:rsidRPr="001B036C" w:rsidRDefault="0019792D">
            <w:pPr>
              <w:pStyle w:val="Tabletext0"/>
            </w:pPr>
            <w:r w:rsidRPr="001B036C">
              <w:t>-$40,845</w:t>
            </w:r>
          </w:p>
        </w:tc>
      </w:tr>
      <w:tr w:rsidR="0019792D" w:rsidRPr="001B036C" w14:paraId="1C05ACFB" w14:textId="77777777" w:rsidTr="00D47945">
        <w:tc>
          <w:tcPr>
            <w:tcW w:w="2426" w:type="dxa"/>
          </w:tcPr>
          <w:p w14:paraId="04318DD6" w14:textId="77777777" w:rsidR="0019792D" w:rsidRPr="001B036C" w:rsidRDefault="0019792D">
            <w:pPr>
              <w:pStyle w:val="TableText"/>
            </w:pPr>
            <w:r w:rsidRPr="001B036C">
              <w:t>Biopsy</w:t>
            </w:r>
          </w:p>
        </w:tc>
        <w:tc>
          <w:tcPr>
            <w:tcW w:w="2230" w:type="dxa"/>
            <w:vAlign w:val="center"/>
          </w:tcPr>
          <w:p w14:paraId="7C1AF047" w14:textId="77777777" w:rsidR="0019792D" w:rsidRPr="001B036C" w:rsidRDefault="0019792D">
            <w:pPr>
              <w:pStyle w:val="Tabletext0"/>
            </w:pPr>
            <w:r w:rsidRPr="001B036C">
              <w:t>$4,531</w:t>
            </w:r>
          </w:p>
        </w:tc>
        <w:tc>
          <w:tcPr>
            <w:tcW w:w="2231" w:type="dxa"/>
            <w:vAlign w:val="center"/>
          </w:tcPr>
          <w:p w14:paraId="3080D412" w14:textId="77777777" w:rsidR="0019792D" w:rsidRPr="001B036C" w:rsidRDefault="0019792D">
            <w:pPr>
              <w:pStyle w:val="Tabletext0"/>
            </w:pPr>
            <w:r w:rsidRPr="001B036C">
              <w:t>$6,502</w:t>
            </w:r>
          </w:p>
        </w:tc>
        <w:tc>
          <w:tcPr>
            <w:tcW w:w="2129" w:type="dxa"/>
            <w:vAlign w:val="bottom"/>
          </w:tcPr>
          <w:p w14:paraId="59548F2E" w14:textId="77777777" w:rsidR="0019792D" w:rsidRPr="001B036C" w:rsidRDefault="0019792D">
            <w:pPr>
              <w:pStyle w:val="Tabletext0"/>
            </w:pPr>
            <w:r w:rsidRPr="001B036C">
              <w:t>-$1,971</w:t>
            </w:r>
          </w:p>
        </w:tc>
      </w:tr>
      <w:tr w:rsidR="0019792D" w:rsidRPr="001B036C" w14:paraId="377FCF31" w14:textId="77777777" w:rsidTr="00D47945">
        <w:tc>
          <w:tcPr>
            <w:tcW w:w="2426" w:type="dxa"/>
          </w:tcPr>
          <w:p w14:paraId="20C9E7C9" w14:textId="77777777" w:rsidR="0019792D" w:rsidRPr="001B036C" w:rsidRDefault="0019792D">
            <w:pPr>
              <w:pStyle w:val="TableText"/>
            </w:pPr>
            <w:r w:rsidRPr="001B036C">
              <w:t>GP consultation</w:t>
            </w:r>
          </w:p>
        </w:tc>
        <w:tc>
          <w:tcPr>
            <w:tcW w:w="2230" w:type="dxa"/>
            <w:vAlign w:val="center"/>
          </w:tcPr>
          <w:p w14:paraId="7CCDD23F" w14:textId="77777777" w:rsidR="0019792D" w:rsidRPr="001B036C" w:rsidRDefault="0019792D">
            <w:pPr>
              <w:pStyle w:val="Tabletext0"/>
            </w:pPr>
            <w:r w:rsidRPr="001B036C">
              <w:t>$4,971</w:t>
            </w:r>
          </w:p>
        </w:tc>
        <w:tc>
          <w:tcPr>
            <w:tcW w:w="2231" w:type="dxa"/>
            <w:vAlign w:val="center"/>
          </w:tcPr>
          <w:p w14:paraId="7F07BEFB" w14:textId="77777777" w:rsidR="0019792D" w:rsidRPr="001B036C" w:rsidRDefault="0019792D">
            <w:pPr>
              <w:pStyle w:val="Tabletext0"/>
            </w:pPr>
            <w:r w:rsidRPr="001B036C">
              <w:t>$0</w:t>
            </w:r>
          </w:p>
        </w:tc>
        <w:tc>
          <w:tcPr>
            <w:tcW w:w="2129" w:type="dxa"/>
            <w:vAlign w:val="bottom"/>
          </w:tcPr>
          <w:p w14:paraId="6736AC60" w14:textId="77777777" w:rsidR="0019792D" w:rsidRPr="001B036C" w:rsidRDefault="0019792D">
            <w:pPr>
              <w:pStyle w:val="Tabletext0"/>
            </w:pPr>
            <w:r w:rsidRPr="001B036C">
              <w:t>$4,971</w:t>
            </w:r>
          </w:p>
        </w:tc>
      </w:tr>
      <w:tr w:rsidR="0019792D" w:rsidRPr="001B036C" w14:paraId="6578C25A" w14:textId="77777777" w:rsidTr="00D47945">
        <w:tc>
          <w:tcPr>
            <w:tcW w:w="2426" w:type="dxa"/>
          </w:tcPr>
          <w:p w14:paraId="3D3C6F5B" w14:textId="45585F5F" w:rsidR="0019792D" w:rsidRPr="001B036C" w:rsidRDefault="002D37AE">
            <w:pPr>
              <w:pStyle w:val="TableText"/>
            </w:pPr>
            <w:r w:rsidRPr="001B036C">
              <w:t>Initial s</w:t>
            </w:r>
            <w:r w:rsidR="0019792D" w:rsidRPr="001B036C">
              <w:t>pecialist consultation</w:t>
            </w:r>
          </w:p>
        </w:tc>
        <w:tc>
          <w:tcPr>
            <w:tcW w:w="2230" w:type="dxa"/>
            <w:vAlign w:val="center"/>
          </w:tcPr>
          <w:p w14:paraId="5288C6C1" w14:textId="77777777" w:rsidR="0019792D" w:rsidRPr="001B036C" w:rsidRDefault="0019792D">
            <w:pPr>
              <w:pStyle w:val="Tabletext0"/>
            </w:pPr>
            <w:r w:rsidRPr="001B036C">
              <w:t>$9,617</w:t>
            </w:r>
          </w:p>
        </w:tc>
        <w:tc>
          <w:tcPr>
            <w:tcW w:w="2231" w:type="dxa"/>
            <w:vAlign w:val="center"/>
          </w:tcPr>
          <w:p w14:paraId="643DCC01" w14:textId="77777777" w:rsidR="0019792D" w:rsidRPr="001B036C" w:rsidRDefault="0019792D">
            <w:pPr>
              <w:pStyle w:val="Tabletext0"/>
            </w:pPr>
            <w:r w:rsidRPr="001B036C">
              <w:t>$8,027</w:t>
            </w:r>
          </w:p>
        </w:tc>
        <w:tc>
          <w:tcPr>
            <w:tcW w:w="2129" w:type="dxa"/>
            <w:vAlign w:val="bottom"/>
          </w:tcPr>
          <w:p w14:paraId="31C81FCD" w14:textId="77777777" w:rsidR="0019792D" w:rsidRPr="001B036C" w:rsidRDefault="0019792D">
            <w:pPr>
              <w:pStyle w:val="Tabletext0"/>
            </w:pPr>
            <w:r w:rsidRPr="001B036C">
              <w:t>$1,590</w:t>
            </w:r>
          </w:p>
        </w:tc>
      </w:tr>
      <w:tr w:rsidR="0019792D" w:rsidRPr="001B036C" w14:paraId="4A32F09C" w14:textId="77777777" w:rsidTr="00D47945">
        <w:tc>
          <w:tcPr>
            <w:tcW w:w="2426" w:type="dxa"/>
          </w:tcPr>
          <w:p w14:paraId="64C4F074" w14:textId="77777777" w:rsidR="0019792D" w:rsidRPr="001B036C" w:rsidRDefault="0019792D">
            <w:pPr>
              <w:pStyle w:val="TableText"/>
            </w:pPr>
            <w:r w:rsidRPr="001B036C">
              <w:t>Specialist subsequent consultation</w:t>
            </w:r>
          </w:p>
        </w:tc>
        <w:tc>
          <w:tcPr>
            <w:tcW w:w="2230" w:type="dxa"/>
            <w:vAlign w:val="center"/>
          </w:tcPr>
          <w:p w14:paraId="72497259" w14:textId="77777777" w:rsidR="0019792D" w:rsidRPr="001B036C" w:rsidRDefault="0019792D">
            <w:pPr>
              <w:pStyle w:val="Tabletext0"/>
              <w:jc w:val="left"/>
            </w:pPr>
            <w:r w:rsidRPr="001B036C">
              <w:t>$5,891</w:t>
            </w:r>
          </w:p>
        </w:tc>
        <w:tc>
          <w:tcPr>
            <w:tcW w:w="2231" w:type="dxa"/>
            <w:vAlign w:val="center"/>
          </w:tcPr>
          <w:p w14:paraId="06B4A2DE" w14:textId="77777777" w:rsidR="0019792D" w:rsidRPr="001B036C" w:rsidRDefault="0019792D">
            <w:pPr>
              <w:pStyle w:val="Tabletext0"/>
              <w:jc w:val="left"/>
            </w:pPr>
            <w:r w:rsidRPr="001B036C">
              <w:t>$2,501</w:t>
            </w:r>
          </w:p>
        </w:tc>
        <w:tc>
          <w:tcPr>
            <w:tcW w:w="2129" w:type="dxa"/>
            <w:vAlign w:val="center"/>
          </w:tcPr>
          <w:p w14:paraId="5AD8CCBA" w14:textId="77777777" w:rsidR="0019792D" w:rsidRPr="001B036C" w:rsidRDefault="0019792D">
            <w:pPr>
              <w:pStyle w:val="Tabletext0"/>
              <w:jc w:val="left"/>
            </w:pPr>
            <w:r w:rsidRPr="001B036C">
              <w:t>$3,391</w:t>
            </w:r>
          </w:p>
        </w:tc>
      </w:tr>
      <w:tr w:rsidR="0019792D" w:rsidRPr="001B036C" w14:paraId="42838266" w14:textId="77777777" w:rsidTr="00D47945">
        <w:tc>
          <w:tcPr>
            <w:tcW w:w="2426" w:type="dxa"/>
          </w:tcPr>
          <w:p w14:paraId="1F455FE0" w14:textId="77777777" w:rsidR="0019792D" w:rsidRPr="001B036C" w:rsidRDefault="0019792D">
            <w:pPr>
              <w:pStyle w:val="TableText"/>
              <w:rPr>
                <w:b/>
                <w:bCs/>
              </w:rPr>
            </w:pPr>
            <w:r w:rsidRPr="001B036C">
              <w:rPr>
                <w:b/>
                <w:bCs/>
              </w:rPr>
              <w:t>Total Cost</w:t>
            </w:r>
          </w:p>
        </w:tc>
        <w:tc>
          <w:tcPr>
            <w:tcW w:w="2230" w:type="dxa"/>
            <w:vAlign w:val="bottom"/>
          </w:tcPr>
          <w:p w14:paraId="437BC7A0" w14:textId="77777777" w:rsidR="0019792D" w:rsidRPr="001B036C" w:rsidRDefault="0019792D">
            <w:pPr>
              <w:pStyle w:val="Tabletext0"/>
              <w:rPr>
                <w:b/>
                <w:bCs/>
              </w:rPr>
            </w:pPr>
            <w:r w:rsidRPr="001B036C">
              <w:rPr>
                <w:b/>
                <w:bCs/>
              </w:rPr>
              <w:t>$134,382</w:t>
            </w:r>
          </w:p>
        </w:tc>
        <w:tc>
          <w:tcPr>
            <w:tcW w:w="2231" w:type="dxa"/>
            <w:vAlign w:val="bottom"/>
          </w:tcPr>
          <w:p w14:paraId="7EA62840" w14:textId="77777777" w:rsidR="0019792D" w:rsidRPr="001B036C" w:rsidRDefault="0019792D">
            <w:pPr>
              <w:pStyle w:val="Tabletext0"/>
              <w:rPr>
                <w:b/>
                <w:bCs/>
              </w:rPr>
            </w:pPr>
            <w:r w:rsidRPr="001B036C">
              <w:rPr>
                <w:b/>
                <w:bCs/>
              </w:rPr>
              <w:t>$151,790</w:t>
            </w:r>
          </w:p>
        </w:tc>
        <w:tc>
          <w:tcPr>
            <w:tcW w:w="2129" w:type="dxa"/>
            <w:vAlign w:val="bottom"/>
          </w:tcPr>
          <w:p w14:paraId="47632B5E" w14:textId="77777777" w:rsidR="0019792D" w:rsidRPr="001B036C" w:rsidRDefault="0019792D">
            <w:pPr>
              <w:pStyle w:val="Tabletext0"/>
              <w:rPr>
                <w:b/>
                <w:bCs/>
              </w:rPr>
            </w:pPr>
            <w:r w:rsidRPr="001B036C">
              <w:rPr>
                <w:b/>
                <w:bCs/>
              </w:rPr>
              <w:t>-$17,408</w:t>
            </w:r>
          </w:p>
        </w:tc>
      </w:tr>
    </w:tbl>
    <w:p w14:paraId="4A2E674F" w14:textId="77777777" w:rsidR="0019792D" w:rsidRPr="001B036C" w:rsidRDefault="0019792D" w:rsidP="0019792D">
      <w:r w:rsidRPr="001B036C">
        <w:rPr>
          <w:rFonts w:ascii="Arial Narrow" w:hAnsi="Arial Narrow"/>
          <w:sz w:val="18"/>
          <w:szCs w:val="18"/>
        </w:rPr>
        <w:t xml:space="preserve">FC = Faecal calprotectin; GP= general practitioner. </w:t>
      </w:r>
    </w:p>
    <w:p w14:paraId="4489449A" w14:textId="017FB5BE" w:rsidR="007B06DD" w:rsidRPr="007B06DD" w:rsidRDefault="007B06DD" w:rsidP="007B06DD">
      <w:pPr>
        <w:rPr>
          <w:i/>
          <w:iCs/>
        </w:rPr>
      </w:pPr>
      <w:r w:rsidRPr="00083E3C">
        <w:rPr>
          <w:i/>
        </w:rPr>
        <w:t xml:space="preserve">In its pre-ESC </w:t>
      </w:r>
      <w:proofErr w:type="gramStart"/>
      <w:r w:rsidRPr="00083E3C">
        <w:rPr>
          <w:i/>
        </w:rPr>
        <w:t>response</w:t>
      </w:r>
      <w:proofErr w:type="gramEnd"/>
      <w:r w:rsidRPr="00083E3C">
        <w:rPr>
          <w:i/>
        </w:rPr>
        <w:t xml:space="preserve"> the applicant advised that the appropriate MBS item for biopsy should be 72825 (with a fee of $180.250 instead of 72824 (fee of $141.35). This further increased the base case cost savings to $17,951 for every 100 patients. Additional sensitivity analyses based on this revised base case are presented in the Addendum. </w:t>
      </w:r>
    </w:p>
    <w:p w14:paraId="2294ABD1" w14:textId="4ED2A07A" w:rsidR="0042684B" w:rsidRPr="001B036C" w:rsidRDefault="0019792D" w:rsidP="0042684B">
      <w:r w:rsidRPr="001B036C">
        <w:t xml:space="preserve">The sensitivity analysis shows the results are robust as most of the changes led to a reduction in the overall cost from the introduction of FC testing for the monitoring of IBD </w:t>
      </w:r>
      <w:r w:rsidR="00167772" w:rsidRPr="001B036C">
        <w:fldChar w:fldCharType="begin"/>
      </w:r>
      <w:r w:rsidR="00167772" w:rsidRPr="001B036C">
        <w:instrText xml:space="preserve"> REF _Ref175039862 \h </w:instrText>
      </w:r>
      <w:r w:rsidR="001B036C">
        <w:instrText xml:space="preserve"> \* MERGEFORMAT </w:instrText>
      </w:r>
      <w:r w:rsidR="00167772" w:rsidRPr="001B036C">
        <w:fldChar w:fldCharType="separate"/>
      </w:r>
      <w:r w:rsidR="00510569">
        <w:t>(</w:t>
      </w:r>
      <w:r w:rsidR="00DA1240" w:rsidRPr="001B036C">
        <w:rPr>
          <w:noProof/>
        </w:rPr>
        <w:t>Table</w:t>
      </w:r>
      <w:r w:rsidR="00DA1240" w:rsidRPr="001B036C">
        <w:t xml:space="preserve"> </w:t>
      </w:r>
      <w:r w:rsidR="00DA1240">
        <w:rPr>
          <w:noProof/>
        </w:rPr>
        <w:t>23</w:t>
      </w:r>
      <w:r w:rsidR="00167772" w:rsidRPr="001B036C">
        <w:fldChar w:fldCharType="end"/>
      </w:r>
      <w:r w:rsidRPr="001B036C">
        <w:t xml:space="preserve">). The inputs that most significantly impacted the results </w:t>
      </w:r>
      <w:r w:rsidR="00724D65" w:rsidRPr="001B036C">
        <w:t xml:space="preserve">were the proportion of colonoscopies conducted in public hospitals, estimated reduction in colonoscopies, </w:t>
      </w:r>
      <w:r w:rsidRPr="001B036C">
        <w:t xml:space="preserve">proportion of asymptomatic patients assessed for disease activity in no FC arm, adherence to FC testing and frequency of routine FC testing. </w:t>
      </w:r>
    </w:p>
    <w:p w14:paraId="4CB662D0" w14:textId="3A9B7E97" w:rsidR="0042684B" w:rsidRPr="001B036C" w:rsidRDefault="0042684B" w:rsidP="00154FB4">
      <w:pPr>
        <w:keepLines/>
      </w:pPr>
      <w:r w:rsidRPr="001B036C">
        <w:t xml:space="preserve">The cost of colonoscopy estimated in the CMA was based on the weighted average of relevant AR-DRG costs </w:t>
      </w:r>
      <w:r w:rsidR="00DA1DA4" w:rsidRPr="001B036C">
        <w:t>pl</w:t>
      </w:r>
      <w:r w:rsidR="00B90342" w:rsidRPr="001B036C">
        <w:t>us MBS costs for biopsy</w:t>
      </w:r>
      <w:r w:rsidRPr="001B036C">
        <w:t xml:space="preserve"> ($3070.93)</w:t>
      </w:r>
      <w:r w:rsidR="00A71168" w:rsidRPr="001B036C">
        <w:t>,</w:t>
      </w:r>
      <w:r w:rsidRPr="001B036C">
        <w:t xml:space="preserve"> </w:t>
      </w:r>
      <w:r w:rsidR="00B90342" w:rsidRPr="001B036C">
        <w:t xml:space="preserve">inclusive of all healthcare system costs including </w:t>
      </w:r>
      <w:r w:rsidR="0001423C" w:rsidRPr="001B036C">
        <w:t>public hospitals and outpatient procedures</w:t>
      </w:r>
      <w:r w:rsidRPr="001B036C">
        <w:t>. Assuming 2</w:t>
      </w:r>
      <w:r w:rsidR="009A7260" w:rsidRPr="001B036C">
        <w:t>7.</w:t>
      </w:r>
      <w:r w:rsidR="00AF722C" w:rsidRPr="001B036C">
        <w:t>9</w:t>
      </w:r>
      <w:r w:rsidRPr="001B036C">
        <w:t>% of colonoscopies are conducted in public hospitals (as per Section 4.5) and 7</w:t>
      </w:r>
      <w:r w:rsidR="00E95003" w:rsidRPr="001B036C">
        <w:t>2.1</w:t>
      </w:r>
      <w:r w:rsidR="005037CF" w:rsidRPr="001B036C">
        <w:rPr>
          <w:rStyle w:val="FootnoteReference"/>
        </w:rPr>
        <w:footnoteReference w:id="33"/>
      </w:r>
      <w:r w:rsidRPr="001B036C">
        <w:t xml:space="preserve">% are conducted in the </w:t>
      </w:r>
      <w:r w:rsidR="00D517D3" w:rsidRPr="001B036C">
        <w:t xml:space="preserve">private day patient </w:t>
      </w:r>
      <w:r w:rsidRPr="001B036C">
        <w:t xml:space="preserve">setting </w:t>
      </w:r>
      <w:r w:rsidR="00A71168" w:rsidRPr="001B036C">
        <w:t xml:space="preserve">(as per </w:t>
      </w:r>
      <w:r w:rsidRPr="001B036C">
        <w:t>Section 4.3), the cost per colonoscopy drops to $</w:t>
      </w:r>
      <w:r w:rsidR="00FC1C29" w:rsidRPr="001B036C">
        <w:t>1,</w:t>
      </w:r>
      <w:r w:rsidR="001370D2">
        <w:t>862.47</w:t>
      </w:r>
      <w:r w:rsidRPr="001B036C">
        <w:t xml:space="preserve"> (</w:t>
      </w:r>
      <w:r w:rsidR="00654D1C">
        <w:t>[</w:t>
      </w:r>
      <w:r w:rsidRPr="001B036C">
        <w:t>2</w:t>
      </w:r>
      <w:r w:rsidR="00006376" w:rsidRPr="001B036C">
        <w:t>7.9</w:t>
      </w:r>
      <w:r w:rsidRPr="001B036C">
        <w:t xml:space="preserve">% </w:t>
      </w:r>
      <w:r w:rsidR="002764CA" w:rsidRPr="001B036C">
        <w:t xml:space="preserve">* </w:t>
      </w:r>
      <w:r w:rsidRPr="001B036C">
        <w:t>$3070.93</w:t>
      </w:r>
      <w:r w:rsidR="00654D1C">
        <w:t>]</w:t>
      </w:r>
      <w:r w:rsidRPr="001B036C">
        <w:t xml:space="preserve"> + </w:t>
      </w:r>
      <w:r w:rsidR="00654D1C">
        <w:t>[</w:t>
      </w:r>
      <w:r w:rsidRPr="001B036C">
        <w:t>7</w:t>
      </w:r>
      <w:r w:rsidR="00006376" w:rsidRPr="001B036C">
        <w:t>2.1</w:t>
      </w:r>
      <w:r w:rsidRPr="001B036C">
        <w:t xml:space="preserve">% </w:t>
      </w:r>
      <w:r w:rsidR="002764CA" w:rsidRPr="001B036C">
        <w:t>*</w:t>
      </w:r>
      <w:r w:rsidRPr="001B036C">
        <w:t xml:space="preserve"> </w:t>
      </w:r>
      <w:r w:rsidR="003802AF">
        <w:t>($488.34</w:t>
      </w:r>
      <w:r w:rsidR="003802AF">
        <w:rPr>
          <w:rStyle w:val="FootnoteReference"/>
        </w:rPr>
        <w:footnoteReference w:id="34"/>
      </w:r>
      <w:r w:rsidR="003802AF">
        <w:t xml:space="preserve"> + </w:t>
      </w:r>
      <w:r w:rsidRPr="001B036C">
        <w:t>$</w:t>
      </w:r>
      <w:r w:rsidR="00952247" w:rsidRPr="001B036C">
        <w:t>906.51</w:t>
      </w:r>
      <w:r w:rsidR="005037CF" w:rsidRPr="001B036C">
        <w:rPr>
          <w:rStyle w:val="FootnoteReference"/>
        </w:rPr>
        <w:footnoteReference w:id="35"/>
      </w:r>
      <w:r w:rsidR="00654D1C">
        <w:t>]</w:t>
      </w:r>
      <w:r w:rsidRPr="001B036C">
        <w:t xml:space="preserve">). A sensitivity analysis assuming this colonoscopy cost </w:t>
      </w:r>
      <w:r w:rsidR="00612CD7">
        <w:t xml:space="preserve">reduces the cost </w:t>
      </w:r>
      <w:r w:rsidR="00C351FF">
        <w:t>savings</w:t>
      </w:r>
      <w:r w:rsidR="00612CD7">
        <w:t xml:space="preserve"> by 87% </w:t>
      </w:r>
      <w:r w:rsidR="00E91813">
        <w:t xml:space="preserve">leading to an overall reduction of </w:t>
      </w:r>
      <w:r w:rsidR="00AC6BA9">
        <w:t>–</w:t>
      </w:r>
      <w:r w:rsidR="00612CD7">
        <w:t>$</w:t>
      </w:r>
      <w:r w:rsidR="005A42D6">
        <w:t>560</w:t>
      </w:r>
      <w:r w:rsidR="008428BE">
        <w:t xml:space="preserve"> </w:t>
      </w:r>
      <w:r w:rsidRPr="001B036C">
        <w:t xml:space="preserve">per 100 IBD.  </w:t>
      </w:r>
    </w:p>
    <w:p w14:paraId="2549714E" w14:textId="2C89F35D" w:rsidR="00F70556" w:rsidRPr="00F70556" w:rsidRDefault="0042684B" w:rsidP="00F70556">
      <w:r w:rsidRPr="001B036C">
        <w:t>The CMA estimated a 30% reduction in colonoscopies due to FC testing. Increasing the reduction in colonoscopies to 50% increases the cost savings by 160%</w:t>
      </w:r>
      <w:r w:rsidR="00CB2B66" w:rsidRPr="001B036C">
        <w:t xml:space="preserve"> (</w:t>
      </w:r>
      <w:r w:rsidR="00C85FDA">
        <w:t>Table 23</w:t>
      </w:r>
      <w:r w:rsidR="00CB2B66" w:rsidRPr="001B036C">
        <w:t>)</w:t>
      </w:r>
      <w:r w:rsidRPr="001B036C">
        <w:t xml:space="preserve">. </w:t>
      </w:r>
      <w:r w:rsidR="0019792D" w:rsidRPr="001B036C">
        <w:t>An increase in the proportion of asymptomatic patients assessed for disease activity in no FC arm from 10% to 20% increased the cost savings by 115%. An increase of adherence to FC testing in symptomatic cases from 70% in the base case to 100% increased the cost savings by 82%. An increase in the adherence to FC testing in asymptomatic patients from 50% to 70% reduced the cost savings by 83%. The intervention is estimated to result in additional costs if the frequency of routine FC testing increases beyond 6 FC tests per year per patient. A reduction in the proportion of mild cases in no FC arm that are monitored through colonoscopy from 100% to 70% reduced the cost savings by 64%.</w:t>
      </w:r>
      <w:bookmarkStart w:id="43" w:name="_Ref175039862"/>
      <w:r w:rsidR="00F70556">
        <w:br w:type="page"/>
      </w:r>
    </w:p>
    <w:p w14:paraId="76E70C79" w14:textId="74095687" w:rsidR="0019792D" w:rsidRPr="001B036C" w:rsidRDefault="0019792D" w:rsidP="0019792D">
      <w:pPr>
        <w:pStyle w:val="Caption"/>
      </w:pPr>
      <w:r w:rsidRPr="001B036C">
        <w:lastRenderedPageBreak/>
        <w:t xml:space="preserve">Table </w:t>
      </w:r>
      <w:r>
        <w:fldChar w:fldCharType="begin"/>
      </w:r>
      <w:r>
        <w:instrText xml:space="preserve"> SEQ Table \* ARABIC </w:instrText>
      </w:r>
      <w:r>
        <w:fldChar w:fldCharType="separate"/>
      </w:r>
      <w:r w:rsidR="00B4653B">
        <w:rPr>
          <w:noProof/>
        </w:rPr>
        <w:t>23</w:t>
      </w:r>
      <w:r>
        <w:rPr>
          <w:noProof/>
        </w:rPr>
        <w:fldChar w:fldCharType="end"/>
      </w:r>
      <w:bookmarkEnd w:id="43"/>
      <w:r w:rsidRPr="001B036C">
        <w:t xml:space="preserve"> One way sensitivity analysis: cost of FC testing per 100 patients</w:t>
      </w:r>
    </w:p>
    <w:tbl>
      <w:tblPr>
        <w:tblStyle w:val="TableGrid"/>
        <w:tblW w:w="0" w:type="auto"/>
        <w:tblLook w:val="04A0" w:firstRow="1" w:lastRow="0" w:firstColumn="1" w:lastColumn="0" w:noHBand="0" w:noVBand="1"/>
      </w:tblPr>
      <w:tblGrid>
        <w:gridCol w:w="634"/>
        <w:gridCol w:w="1814"/>
        <w:gridCol w:w="688"/>
        <w:gridCol w:w="723"/>
        <w:gridCol w:w="1449"/>
        <w:gridCol w:w="1520"/>
        <w:gridCol w:w="1220"/>
        <w:gridCol w:w="968"/>
      </w:tblGrid>
      <w:tr w:rsidR="008F78F7" w:rsidRPr="001B036C" w14:paraId="164426D8" w14:textId="77777777" w:rsidTr="00154FB4">
        <w:tc>
          <w:tcPr>
            <w:tcW w:w="634" w:type="dxa"/>
          </w:tcPr>
          <w:p w14:paraId="7F7D5070" w14:textId="77777777" w:rsidR="008F78F7" w:rsidRPr="001B036C" w:rsidRDefault="008F78F7" w:rsidP="00F70556">
            <w:pPr>
              <w:pStyle w:val="In-tableHeading"/>
            </w:pPr>
          </w:p>
        </w:tc>
        <w:tc>
          <w:tcPr>
            <w:tcW w:w="1814" w:type="dxa"/>
            <w:vAlign w:val="center"/>
          </w:tcPr>
          <w:p w14:paraId="149CD5CF" w14:textId="5076FAB8" w:rsidR="008F78F7" w:rsidRPr="001B036C" w:rsidRDefault="008F78F7" w:rsidP="00F70556">
            <w:pPr>
              <w:pStyle w:val="In-tableHeading"/>
            </w:pPr>
            <w:r w:rsidRPr="001B036C">
              <w:t>Scenario</w:t>
            </w:r>
          </w:p>
        </w:tc>
        <w:tc>
          <w:tcPr>
            <w:tcW w:w="688" w:type="dxa"/>
            <w:vAlign w:val="center"/>
          </w:tcPr>
          <w:p w14:paraId="5FC31A46" w14:textId="77777777" w:rsidR="008F78F7" w:rsidRPr="001B036C" w:rsidRDefault="008F78F7" w:rsidP="00F70556">
            <w:pPr>
              <w:pStyle w:val="In-tableHeading"/>
            </w:pPr>
            <w:r w:rsidRPr="001B036C">
              <w:t>Base case</w:t>
            </w:r>
          </w:p>
        </w:tc>
        <w:tc>
          <w:tcPr>
            <w:tcW w:w="723" w:type="dxa"/>
            <w:vAlign w:val="center"/>
          </w:tcPr>
          <w:p w14:paraId="5AD3D27C" w14:textId="77777777" w:rsidR="008F78F7" w:rsidRPr="001B036C" w:rsidRDefault="008F78F7" w:rsidP="00F70556">
            <w:pPr>
              <w:pStyle w:val="In-tableHeading"/>
            </w:pPr>
            <w:r w:rsidRPr="001B036C">
              <w:t>SA</w:t>
            </w:r>
          </w:p>
        </w:tc>
        <w:tc>
          <w:tcPr>
            <w:tcW w:w="1449" w:type="dxa"/>
            <w:vAlign w:val="center"/>
          </w:tcPr>
          <w:p w14:paraId="0B3EBDD6" w14:textId="77777777" w:rsidR="008F78F7" w:rsidRPr="001B036C" w:rsidRDefault="008F78F7" w:rsidP="00F70556">
            <w:pPr>
              <w:pStyle w:val="In-tableHeading"/>
            </w:pPr>
            <w:r w:rsidRPr="001B036C">
              <w:t>FC Arm</w:t>
            </w:r>
          </w:p>
        </w:tc>
        <w:tc>
          <w:tcPr>
            <w:tcW w:w="1520" w:type="dxa"/>
            <w:vAlign w:val="center"/>
          </w:tcPr>
          <w:p w14:paraId="0105659B" w14:textId="77777777" w:rsidR="008F78F7" w:rsidRPr="001B036C" w:rsidRDefault="008F78F7" w:rsidP="00F70556">
            <w:pPr>
              <w:pStyle w:val="In-tableHeading"/>
            </w:pPr>
            <w:r w:rsidRPr="001B036C">
              <w:t>No FC Arm</w:t>
            </w:r>
          </w:p>
        </w:tc>
        <w:tc>
          <w:tcPr>
            <w:tcW w:w="1220" w:type="dxa"/>
            <w:vAlign w:val="center"/>
          </w:tcPr>
          <w:p w14:paraId="47179AE3" w14:textId="77777777" w:rsidR="008F78F7" w:rsidRPr="001B036C" w:rsidRDefault="008F78F7" w:rsidP="00F70556">
            <w:pPr>
              <w:pStyle w:val="In-tableHeading"/>
            </w:pPr>
            <w:r w:rsidRPr="001B036C">
              <w:t>Additional costs/cost offsets</w:t>
            </w:r>
          </w:p>
        </w:tc>
        <w:tc>
          <w:tcPr>
            <w:tcW w:w="968" w:type="dxa"/>
            <w:vAlign w:val="center"/>
          </w:tcPr>
          <w:p w14:paraId="6F9DDD6A" w14:textId="77777777" w:rsidR="008F78F7" w:rsidRPr="001B036C" w:rsidRDefault="008F78F7" w:rsidP="00F70556">
            <w:pPr>
              <w:pStyle w:val="In-tableHeading"/>
            </w:pPr>
            <w:r w:rsidRPr="001B036C">
              <w:t>% Inc</w:t>
            </w:r>
          </w:p>
        </w:tc>
      </w:tr>
      <w:tr w:rsidR="008F78F7" w:rsidRPr="001B036C" w14:paraId="1F366584" w14:textId="77777777" w:rsidTr="00154FB4">
        <w:tc>
          <w:tcPr>
            <w:tcW w:w="634" w:type="dxa"/>
          </w:tcPr>
          <w:p w14:paraId="405AB0E9" w14:textId="77777777" w:rsidR="008F78F7" w:rsidRPr="001B036C" w:rsidRDefault="008F78F7" w:rsidP="00F70556">
            <w:pPr>
              <w:pStyle w:val="TableHeading"/>
              <w:spacing w:before="0" w:after="0"/>
            </w:pPr>
          </w:p>
        </w:tc>
        <w:tc>
          <w:tcPr>
            <w:tcW w:w="1814" w:type="dxa"/>
            <w:vAlign w:val="center"/>
          </w:tcPr>
          <w:p w14:paraId="4F92DF58" w14:textId="187E4CF2" w:rsidR="008F78F7" w:rsidRPr="001B036C" w:rsidRDefault="008F78F7" w:rsidP="00F70556">
            <w:pPr>
              <w:pStyle w:val="TableHeading"/>
              <w:spacing w:before="0" w:after="0"/>
            </w:pPr>
            <w:r w:rsidRPr="001B036C">
              <w:t>Base case</w:t>
            </w:r>
          </w:p>
        </w:tc>
        <w:tc>
          <w:tcPr>
            <w:tcW w:w="1411" w:type="dxa"/>
            <w:gridSpan w:val="2"/>
            <w:vAlign w:val="center"/>
          </w:tcPr>
          <w:p w14:paraId="508F199F" w14:textId="77777777" w:rsidR="008F78F7" w:rsidRPr="001B036C" w:rsidRDefault="008F78F7" w:rsidP="00F70556">
            <w:pPr>
              <w:pStyle w:val="TableHeading"/>
              <w:spacing w:before="0" w:after="0"/>
            </w:pPr>
          </w:p>
        </w:tc>
        <w:tc>
          <w:tcPr>
            <w:tcW w:w="1449" w:type="dxa"/>
            <w:vAlign w:val="bottom"/>
          </w:tcPr>
          <w:p w14:paraId="1CD6BCC2" w14:textId="77777777" w:rsidR="008F78F7" w:rsidRPr="001B036C" w:rsidRDefault="008F78F7" w:rsidP="00F70556">
            <w:pPr>
              <w:pStyle w:val="TableHeading"/>
              <w:spacing w:before="0" w:after="0"/>
            </w:pPr>
            <w:r w:rsidRPr="001B036C">
              <w:rPr>
                <w:bCs/>
              </w:rPr>
              <w:t>$134,382</w:t>
            </w:r>
          </w:p>
        </w:tc>
        <w:tc>
          <w:tcPr>
            <w:tcW w:w="1520" w:type="dxa"/>
            <w:vAlign w:val="bottom"/>
          </w:tcPr>
          <w:p w14:paraId="751429B4" w14:textId="77777777" w:rsidR="008F78F7" w:rsidRPr="001B036C" w:rsidRDefault="008F78F7" w:rsidP="00F70556">
            <w:pPr>
              <w:pStyle w:val="TableHeading"/>
              <w:spacing w:before="0" w:after="0"/>
            </w:pPr>
            <w:r w:rsidRPr="001B036C">
              <w:rPr>
                <w:bCs/>
              </w:rPr>
              <w:t>$151,790</w:t>
            </w:r>
          </w:p>
        </w:tc>
        <w:tc>
          <w:tcPr>
            <w:tcW w:w="1220" w:type="dxa"/>
            <w:vAlign w:val="bottom"/>
          </w:tcPr>
          <w:p w14:paraId="2190C651" w14:textId="77777777" w:rsidR="008F78F7" w:rsidRPr="001B036C" w:rsidRDefault="008F78F7" w:rsidP="00F70556">
            <w:pPr>
              <w:pStyle w:val="TableHeading"/>
              <w:spacing w:before="0" w:after="0"/>
            </w:pPr>
            <w:r w:rsidRPr="001B036C">
              <w:rPr>
                <w:bCs/>
              </w:rPr>
              <w:t>-$17,408</w:t>
            </w:r>
          </w:p>
        </w:tc>
        <w:tc>
          <w:tcPr>
            <w:tcW w:w="968" w:type="dxa"/>
            <w:vAlign w:val="bottom"/>
          </w:tcPr>
          <w:p w14:paraId="4A14E8DE" w14:textId="77777777" w:rsidR="008F78F7" w:rsidRPr="001B036C" w:rsidRDefault="008F78F7" w:rsidP="00F70556">
            <w:pPr>
              <w:pStyle w:val="TableHeading"/>
              <w:spacing w:before="0" w:after="0"/>
            </w:pPr>
            <w:r w:rsidRPr="001B036C">
              <w:rPr>
                <w:bCs/>
              </w:rPr>
              <w:t>$134,382</w:t>
            </w:r>
          </w:p>
        </w:tc>
      </w:tr>
      <w:tr w:rsidR="008F78F7" w:rsidRPr="001B036C" w14:paraId="600645A1" w14:textId="77777777" w:rsidTr="00154FB4">
        <w:tc>
          <w:tcPr>
            <w:tcW w:w="634" w:type="dxa"/>
          </w:tcPr>
          <w:p w14:paraId="383612C3" w14:textId="77777777" w:rsidR="008F78F7" w:rsidRDefault="008F78F7" w:rsidP="00F70556">
            <w:pPr>
              <w:pStyle w:val="Tabletext0"/>
              <w:spacing w:before="0" w:after="0"/>
              <w:jc w:val="left"/>
            </w:pPr>
            <w:r>
              <w:t>SA 1</w:t>
            </w:r>
          </w:p>
          <w:p w14:paraId="4DA23698" w14:textId="2BE282E5" w:rsidR="008F78F7" w:rsidRPr="001B036C" w:rsidRDefault="008F78F7" w:rsidP="00F70556">
            <w:pPr>
              <w:pStyle w:val="Tabletext0"/>
              <w:spacing w:before="0" w:after="0"/>
              <w:jc w:val="left"/>
            </w:pPr>
          </w:p>
        </w:tc>
        <w:tc>
          <w:tcPr>
            <w:tcW w:w="1814" w:type="dxa"/>
            <w:vAlign w:val="center"/>
          </w:tcPr>
          <w:p w14:paraId="3EC8D958" w14:textId="19F7AC85" w:rsidR="008F78F7" w:rsidRPr="001B036C" w:rsidRDefault="008F78F7" w:rsidP="00F70556">
            <w:pPr>
              <w:pStyle w:val="Tabletext0"/>
              <w:spacing w:before="0" w:after="0"/>
              <w:jc w:val="left"/>
              <w:rPr>
                <w:vertAlign w:val="superscript"/>
              </w:rPr>
            </w:pPr>
            <w:r w:rsidRPr="001B036C">
              <w:t xml:space="preserve">Proportion of colonoscopies in public </w:t>
            </w:r>
            <w:proofErr w:type="spellStart"/>
            <w:r w:rsidRPr="001B036C">
              <w:t>hospital</w:t>
            </w:r>
            <w:r w:rsidRPr="001B036C">
              <w:rPr>
                <w:vertAlign w:val="superscript"/>
              </w:rPr>
              <w:t>a</w:t>
            </w:r>
            <w:proofErr w:type="spellEnd"/>
          </w:p>
        </w:tc>
        <w:tc>
          <w:tcPr>
            <w:tcW w:w="688" w:type="dxa"/>
            <w:vAlign w:val="center"/>
          </w:tcPr>
          <w:p w14:paraId="3A46E960" w14:textId="655BCEDE" w:rsidR="008F78F7" w:rsidRPr="001B036C" w:rsidRDefault="008F78F7" w:rsidP="00F70556">
            <w:pPr>
              <w:pStyle w:val="Tabletext0"/>
              <w:spacing w:before="0" w:after="0"/>
              <w:jc w:val="left"/>
            </w:pPr>
            <w:r w:rsidRPr="001B036C">
              <w:t>100%</w:t>
            </w:r>
          </w:p>
        </w:tc>
        <w:tc>
          <w:tcPr>
            <w:tcW w:w="723" w:type="dxa"/>
            <w:vAlign w:val="center"/>
          </w:tcPr>
          <w:p w14:paraId="4D73CAA3" w14:textId="6029386C" w:rsidR="008F78F7" w:rsidRPr="001B036C" w:rsidRDefault="008F78F7" w:rsidP="00F70556">
            <w:pPr>
              <w:pStyle w:val="Tabletext0"/>
              <w:spacing w:before="0" w:after="0"/>
              <w:jc w:val="left"/>
            </w:pPr>
            <w:r w:rsidRPr="001B036C">
              <w:t>27.9%</w:t>
            </w:r>
          </w:p>
        </w:tc>
        <w:tc>
          <w:tcPr>
            <w:tcW w:w="1449" w:type="dxa"/>
            <w:vAlign w:val="center"/>
          </w:tcPr>
          <w:p w14:paraId="6E31A2FB" w14:textId="7A54323B" w:rsidR="008F78F7" w:rsidRPr="00C913B3" w:rsidRDefault="008F78F7" w:rsidP="00F70556">
            <w:pPr>
              <w:pStyle w:val="Tabletext0"/>
              <w:spacing w:before="0" w:after="0"/>
              <w:jc w:val="left"/>
            </w:pPr>
            <w:r w:rsidRPr="00154FB4">
              <w:t>$</w:t>
            </w:r>
            <w:r w:rsidR="005941C4" w:rsidRPr="00154FB4">
              <w:t>95,642</w:t>
            </w:r>
          </w:p>
        </w:tc>
        <w:tc>
          <w:tcPr>
            <w:tcW w:w="1520" w:type="dxa"/>
            <w:vAlign w:val="center"/>
          </w:tcPr>
          <w:p w14:paraId="01467A3D" w14:textId="0B17F74D" w:rsidR="008F78F7" w:rsidRPr="00C913B3" w:rsidRDefault="008F78F7" w:rsidP="00F70556">
            <w:pPr>
              <w:pStyle w:val="Tabletext0"/>
              <w:spacing w:before="0" w:after="0"/>
              <w:jc w:val="left"/>
            </w:pPr>
            <w:r w:rsidRPr="00154FB4">
              <w:t>$</w:t>
            </w:r>
            <w:r w:rsidR="005941C4" w:rsidRPr="00154FB4">
              <w:t>96,201</w:t>
            </w:r>
          </w:p>
        </w:tc>
        <w:tc>
          <w:tcPr>
            <w:tcW w:w="1220" w:type="dxa"/>
            <w:vAlign w:val="center"/>
          </w:tcPr>
          <w:p w14:paraId="07CC1DCD" w14:textId="3176EDCF" w:rsidR="008F78F7" w:rsidRPr="00C913B3" w:rsidRDefault="008F78F7" w:rsidP="00F70556">
            <w:pPr>
              <w:pStyle w:val="Tabletext0"/>
              <w:spacing w:before="0" w:after="0"/>
              <w:jc w:val="left"/>
            </w:pPr>
            <w:r w:rsidRPr="00154FB4">
              <w:t>-$</w:t>
            </w:r>
            <w:r w:rsidR="005941C4" w:rsidRPr="00154FB4">
              <w:t>560</w:t>
            </w:r>
          </w:p>
        </w:tc>
        <w:tc>
          <w:tcPr>
            <w:tcW w:w="968" w:type="dxa"/>
            <w:vAlign w:val="center"/>
          </w:tcPr>
          <w:p w14:paraId="3C9FF852" w14:textId="3A8DF7D0" w:rsidR="008F78F7" w:rsidRPr="001B036C" w:rsidRDefault="008F78F7" w:rsidP="00F70556">
            <w:pPr>
              <w:pStyle w:val="Tabletext0"/>
              <w:spacing w:before="0" w:after="0"/>
              <w:jc w:val="left"/>
            </w:pPr>
            <w:r w:rsidRPr="001B036C">
              <w:t xml:space="preserve">↓ </w:t>
            </w:r>
            <w:r w:rsidR="00BB3C83">
              <w:t>96.8</w:t>
            </w:r>
            <w:r w:rsidRPr="001B036C">
              <w:t>%</w:t>
            </w:r>
          </w:p>
        </w:tc>
      </w:tr>
      <w:tr w:rsidR="008F78F7" w:rsidRPr="001B036C" w14:paraId="6F75CEAF" w14:textId="77777777" w:rsidTr="00154FB4">
        <w:tc>
          <w:tcPr>
            <w:tcW w:w="634" w:type="dxa"/>
          </w:tcPr>
          <w:p w14:paraId="7481C590" w14:textId="7425353B" w:rsidR="008F78F7" w:rsidRPr="001B036C" w:rsidRDefault="008F78F7" w:rsidP="00F70556">
            <w:pPr>
              <w:pStyle w:val="Tabletext0"/>
              <w:spacing w:before="0" w:after="0"/>
              <w:jc w:val="left"/>
            </w:pPr>
            <w:r>
              <w:t>SA 2</w:t>
            </w:r>
          </w:p>
        </w:tc>
        <w:tc>
          <w:tcPr>
            <w:tcW w:w="1814" w:type="dxa"/>
            <w:vAlign w:val="center"/>
          </w:tcPr>
          <w:p w14:paraId="37058670" w14:textId="579B1BAE" w:rsidR="008F78F7" w:rsidRPr="001B036C" w:rsidRDefault="008F78F7" w:rsidP="00F70556">
            <w:pPr>
              <w:pStyle w:val="Tabletext0"/>
              <w:spacing w:before="0" w:after="0"/>
              <w:jc w:val="left"/>
            </w:pPr>
            <w:r w:rsidRPr="001B036C">
              <w:t>Estimated reduction in colonoscopies</w:t>
            </w:r>
          </w:p>
        </w:tc>
        <w:tc>
          <w:tcPr>
            <w:tcW w:w="688" w:type="dxa"/>
            <w:vAlign w:val="center"/>
          </w:tcPr>
          <w:p w14:paraId="6A033DCB" w14:textId="662ED0C9" w:rsidR="008F78F7" w:rsidRPr="001B036C" w:rsidRDefault="008F78F7" w:rsidP="00F70556">
            <w:pPr>
              <w:pStyle w:val="Tabletext0"/>
              <w:spacing w:before="0" w:after="0"/>
              <w:jc w:val="left"/>
            </w:pPr>
            <w:r w:rsidRPr="001B036C">
              <w:t>30%</w:t>
            </w:r>
          </w:p>
        </w:tc>
        <w:tc>
          <w:tcPr>
            <w:tcW w:w="723" w:type="dxa"/>
            <w:vAlign w:val="center"/>
          </w:tcPr>
          <w:p w14:paraId="2D0CA7E1" w14:textId="77777777" w:rsidR="008F78F7" w:rsidRPr="001B036C" w:rsidRDefault="008F78F7" w:rsidP="00F70556">
            <w:pPr>
              <w:pStyle w:val="Tabletext0"/>
              <w:spacing w:before="0" w:after="0"/>
              <w:jc w:val="left"/>
            </w:pPr>
            <w:r w:rsidRPr="001B036C">
              <w:t>20%</w:t>
            </w:r>
          </w:p>
          <w:p w14:paraId="59913C0D" w14:textId="77777777" w:rsidR="008F78F7" w:rsidRPr="001B036C" w:rsidRDefault="008F78F7" w:rsidP="00F70556">
            <w:pPr>
              <w:pStyle w:val="Tabletext0"/>
              <w:spacing w:before="0" w:after="0"/>
              <w:jc w:val="left"/>
            </w:pPr>
            <w:r w:rsidRPr="001B036C">
              <w:t>40%</w:t>
            </w:r>
          </w:p>
          <w:p w14:paraId="19667D0D" w14:textId="33B9AC58" w:rsidR="008F78F7" w:rsidRPr="001B036C" w:rsidRDefault="008F78F7" w:rsidP="00F70556">
            <w:pPr>
              <w:pStyle w:val="Tabletext0"/>
              <w:spacing w:before="0" w:after="0"/>
              <w:jc w:val="left"/>
            </w:pPr>
            <w:r w:rsidRPr="001B036C">
              <w:t>50%</w:t>
            </w:r>
          </w:p>
        </w:tc>
        <w:tc>
          <w:tcPr>
            <w:tcW w:w="1449" w:type="dxa"/>
            <w:vAlign w:val="bottom"/>
          </w:tcPr>
          <w:p w14:paraId="75157BD7" w14:textId="77777777" w:rsidR="008F78F7" w:rsidRPr="001B036C" w:rsidRDefault="008F78F7" w:rsidP="00F70556">
            <w:pPr>
              <w:pStyle w:val="Tabletext0"/>
              <w:spacing w:before="0" w:after="0"/>
              <w:jc w:val="left"/>
            </w:pPr>
            <w:r w:rsidRPr="001B036C">
              <w:t>$148,945</w:t>
            </w:r>
          </w:p>
          <w:p w14:paraId="543CD912" w14:textId="77777777" w:rsidR="008F78F7" w:rsidRPr="001B036C" w:rsidRDefault="008F78F7" w:rsidP="00F70556">
            <w:pPr>
              <w:pStyle w:val="Tabletext0"/>
              <w:spacing w:before="0" w:after="0"/>
              <w:jc w:val="left"/>
            </w:pPr>
            <w:r w:rsidRPr="001B036C">
              <w:t>$120,693</w:t>
            </w:r>
          </w:p>
          <w:p w14:paraId="0BD80935" w14:textId="3D606C05" w:rsidR="008F78F7" w:rsidRPr="001B036C" w:rsidRDefault="008F78F7" w:rsidP="00F70556">
            <w:pPr>
              <w:pStyle w:val="Tabletext0"/>
              <w:spacing w:before="0" w:after="0"/>
              <w:jc w:val="left"/>
            </w:pPr>
            <w:r w:rsidRPr="001B036C">
              <w:t>$106,567</w:t>
            </w:r>
          </w:p>
        </w:tc>
        <w:tc>
          <w:tcPr>
            <w:tcW w:w="1520" w:type="dxa"/>
            <w:vAlign w:val="bottom"/>
          </w:tcPr>
          <w:p w14:paraId="371CC58C" w14:textId="77777777" w:rsidR="008F78F7" w:rsidRPr="001B036C" w:rsidRDefault="008F78F7" w:rsidP="00F70556">
            <w:pPr>
              <w:pStyle w:val="Tabletext0"/>
              <w:spacing w:before="0" w:after="0"/>
              <w:jc w:val="left"/>
            </w:pPr>
            <w:r w:rsidRPr="001B036C">
              <w:t>$151,790</w:t>
            </w:r>
          </w:p>
          <w:p w14:paraId="65D35B82" w14:textId="77777777" w:rsidR="008F78F7" w:rsidRPr="001B036C" w:rsidRDefault="008F78F7" w:rsidP="00F70556">
            <w:pPr>
              <w:pStyle w:val="Tabletext0"/>
              <w:spacing w:before="0" w:after="0"/>
              <w:jc w:val="left"/>
            </w:pPr>
            <w:r w:rsidRPr="001B036C">
              <w:t>$151,709</w:t>
            </w:r>
          </w:p>
          <w:p w14:paraId="79E5F38B" w14:textId="786A6749" w:rsidR="008F78F7" w:rsidRPr="001B036C" w:rsidRDefault="008F78F7" w:rsidP="00F70556">
            <w:pPr>
              <w:pStyle w:val="Tabletext0"/>
              <w:spacing w:before="0" w:after="0"/>
              <w:jc w:val="left"/>
            </w:pPr>
            <w:r w:rsidRPr="001B036C">
              <w:t>$151,790</w:t>
            </w:r>
          </w:p>
        </w:tc>
        <w:tc>
          <w:tcPr>
            <w:tcW w:w="1220" w:type="dxa"/>
            <w:vAlign w:val="bottom"/>
          </w:tcPr>
          <w:p w14:paraId="25094C4A" w14:textId="77777777" w:rsidR="008F78F7" w:rsidRPr="001B036C" w:rsidRDefault="008F78F7" w:rsidP="00F70556">
            <w:pPr>
              <w:pStyle w:val="Tabletext0"/>
              <w:spacing w:before="0" w:after="0"/>
              <w:jc w:val="left"/>
            </w:pPr>
            <w:r w:rsidRPr="001B036C">
              <w:t>-$2,845</w:t>
            </w:r>
          </w:p>
          <w:p w14:paraId="70C07498" w14:textId="77777777" w:rsidR="008F78F7" w:rsidRPr="001B036C" w:rsidRDefault="008F78F7" w:rsidP="00F70556">
            <w:pPr>
              <w:pStyle w:val="Tabletext0"/>
              <w:spacing w:before="0" w:after="0"/>
              <w:jc w:val="left"/>
            </w:pPr>
            <w:r w:rsidRPr="001B036C">
              <w:t>-$31,098</w:t>
            </w:r>
          </w:p>
          <w:p w14:paraId="05BD0BAB" w14:textId="2245D086" w:rsidR="008F78F7" w:rsidRPr="001B036C" w:rsidRDefault="008F78F7" w:rsidP="00F70556">
            <w:pPr>
              <w:pStyle w:val="Tabletext0"/>
              <w:spacing w:before="0" w:after="0"/>
              <w:jc w:val="left"/>
            </w:pPr>
            <w:r w:rsidRPr="001B036C">
              <w:t>-$45,224</w:t>
            </w:r>
          </w:p>
        </w:tc>
        <w:tc>
          <w:tcPr>
            <w:tcW w:w="968" w:type="dxa"/>
            <w:vAlign w:val="center"/>
          </w:tcPr>
          <w:p w14:paraId="6B5D6E55" w14:textId="77777777" w:rsidR="008F78F7" w:rsidRPr="001B036C" w:rsidRDefault="008F78F7" w:rsidP="00F70556">
            <w:pPr>
              <w:pStyle w:val="Tabletext0"/>
              <w:spacing w:before="0" w:after="0"/>
              <w:jc w:val="left"/>
            </w:pPr>
            <w:r w:rsidRPr="001B036C">
              <w:t>↓ 84%</w:t>
            </w:r>
          </w:p>
          <w:p w14:paraId="7A5EA1EB" w14:textId="77777777" w:rsidR="008F78F7" w:rsidRPr="001B036C" w:rsidRDefault="008F78F7" w:rsidP="00F70556">
            <w:pPr>
              <w:pStyle w:val="Tabletext0"/>
              <w:spacing w:before="0" w:after="0"/>
              <w:jc w:val="left"/>
            </w:pPr>
            <w:r w:rsidRPr="001B036C">
              <w:t>↑ 78.6%</w:t>
            </w:r>
          </w:p>
          <w:p w14:paraId="40754F73" w14:textId="1B76BC12" w:rsidR="008F78F7" w:rsidRPr="001B036C" w:rsidRDefault="008F78F7" w:rsidP="00F70556">
            <w:pPr>
              <w:pStyle w:val="Tabletext0"/>
              <w:spacing w:before="0" w:after="0"/>
              <w:jc w:val="left"/>
            </w:pPr>
            <w:r w:rsidRPr="001B036C">
              <w:t>↑ 160%</w:t>
            </w:r>
          </w:p>
        </w:tc>
      </w:tr>
      <w:tr w:rsidR="008F78F7" w:rsidRPr="001B036C" w14:paraId="6BC14F6D" w14:textId="77777777" w:rsidTr="00154FB4">
        <w:tc>
          <w:tcPr>
            <w:tcW w:w="634" w:type="dxa"/>
          </w:tcPr>
          <w:p w14:paraId="69195210" w14:textId="5D0ED433" w:rsidR="008F78F7" w:rsidRPr="001B036C" w:rsidRDefault="008F78F7" w:rsidP="00F70556">
            <w:pPr>
              <w:pStyle w:val="Tabletext0"/>
              <w:spacing w:before="0" w:after="0"/>
              <w:jc w:val="left"/>
            </w:pPr>
            <w:r>
              <w:t>SA 3</w:t>
            </w:r>
          </w:p>
        </w:tc>
        <w:tc>
          <w:tcPr>
            <w:tcW w:w="1814" w:type="dxa"/>
            <w:vAlign w:val="center"/>
          </w:tcPr>
          <w:p w14:paraId="04E13CC4" w14:textId="3535B97A" w:rsidR="008F78F7" w:rsidRPr="001B036C" w:rsidRDefault="008F78F7" w:rsidP="00F70556">
            <w:pPr>
              <w:pStyle w:val="Tabletext0"/>
              <w:spacing w:before="0" w:after="0"/>
              <w:jc w:val="left"/>
            </w:pPr>
            <w:r w:rsidRPr="001B036C">
              <w:t>Assessed for disease activity: asymptomatic patients</w:t>
            </w:r>
          </w:p>
        </w:tc>
        <w:tc>
          <w:tcPr>
            <w:tcW w:w="688" w:type="dxa"/>
            <w:vAlign w:val="center"/>
          </w:tcPr>
          <w:p w14:paraId="4FE4ED70" w14:textId="77777777" w:rsidR="008F78F7" w:rsidRPr="001B036C" w:rsidRDefault="008F78F7" w:rsidP="00F70556">
            <w:pPr>
              <w:pStyle w:val="Tabletext0"/>
              <w:spacing w:before="0" w:after="0"/>
              <w:jc w:val="left"/>
            </w:pPr>
            <w:r w:rsidRPr="001B036C">
              <w:t>10%</w:t>
            </w:r>
          </w:p>
        </w:tc>
        <w:tc>
          <w:tcPr>
            <w:tcW w:w="723" w:type="dxa"/>
            <w:vAlign w:val="center"/>
          </w:tcPr>
          <w:p w14:paraId="1C75D168" w14:textId="77777777" w:rsidR="008F78F7" w:rsidRPr="001B036C" w:rsidRDefault="008F78F7" w:rsidP="00F70556">
            <w:pPr>
              <w:pStyle w:val="Tabletext0"/>
              <w:spacing w:before="0" w:after="0"/>
              <w:jc w:val="left"/>
            </w:pPr>
            <w:r w:rsidRPr="001B036C">
              <w:t>20%</w:t>
            </w:r>
          </w:p>
        </w:tc>
        <w:tc>
          <w:tcPr>
            <w:tcW w:w="1449" w:type="dxa"/>
            <w:vAlign w:val="center"/>
          </w:tcPr>
          <w:p w14:paraId="6EEF55F3" w14:textId="77777777" w:rsidR="008F78F7" w:rsidRPr="001B036C" w:rsidRDefault="008F78F7" w:rsidP="00F70556">
            <w:pPr>
              <w:pStyle w:val="Tabletext0"/>
              <w:spacing w:before="0" w:after="0"/>
              <w:jc w:val="left"/>
            </w:pPr>
            <w:r w:rsidRPr="001B036C">
              <w:t>$134,382</w:t>
            </w:r>
          </w:p>
        </w:tc>
        <w:tc>
          <w:tcPr>
            <w:tcW w:w="1520" w:type="dxa"/>
            <w:vAlign w:val="center"/>
          </w:tcPr>
          <w:p w14:paraId="6EC13CF1" w14:textId="77777777" w:rsidR="008F78F7" w:rsidRPr="001B036C" w:rsidRDefault="008F78F7" w:rsidP="00F70556">
            <w:pPr>
              <w:pStyle w:val="Tabletext0"/>
              <w:spacing w:before="0" w:after="0"/>
              <w:jc w:val="left"/>
            </w:pPr>
            <w:r w:rsidRPr="001B036C">
              <w:t>$171,787</w:t>
            </w:r>
          </w:p>
        </w:tc>
        <w:tc>
          <w:tcPr>
            <w:tcW w:w="1220" w:type="dxa"/>
            <w:vAlign w:val="center"/>
          </w:tcPr>
          <w:p w14:paraId="064BD886" w14:textId="77777777" w:rsidR="008F78F7" w:rsidRPr="001B036C" w:rsidRDefault="008F78F7" w:rsidP="00F70556">
            <w:pPr>
              <w:pStyle w:val="Tabletext0"/>
              <w:spacing w:before="0" w:after="0"/>
              <w:jc w:val="left"/>
            </w:pPr>
            <w:r w:rsidRPr="001B036C">
              <w:t>-$37,405</w:t>
            </w:r>
          </w:p>
        </w:tc>
        <w:tc>
          <w:tcPr>
            <w:tcW w:w="968" w:type="dxa"/>
            <w:vAlign w:val="center"/>
          </w:tcPr>
          <w:p w14:paraId="26BE409B" w14:textId="77777777" w:rsidR="008F78F7" w:rsidRPr="001B036C" w:rsidRDefault="008F78F7" w:rsidP="00F70556">
            <w:pPr>
              <w:pStyle w:val="Tabletext0"/>
              <w:spacing w:before="0" w:after="0"/>
              <w:jc w:val="left"/>
            </w:pPr>
            <w:r w:rsidRPr="001B036C">
              <w:t>↑ 115%</w:t>
            </w:r>
          </w:p>
        </w:tc>
      </w:tr>
      <w:tr w:rsidR="008F78F7" w:rsidRPr="001B036C" w14:paraId="7175361E" w14:textId="77777777" w:rsidTr="00154FB4">
        <w:tc>
          <w:tcPr>
            <w:tcW w:w="634" w:type="dxa"/>
          </w:tcPr>
          <w:p w14:paraId="2EFCC115" w14:textId="244C10FE" w:rsidR="008F78F7" w:rsidRPr="001B036C" w:rsidRDefault="008F78F7" w:rsidP="00F70556">
            <w:pPr>
              <w:pStyle w:val="Tabletext0"/>
              <w:spacing w:before="0" w:after="0"/>
              <w:jc w:val="left"/>
            </w:pPr>
            <w:r>
              <w:t>SA 4</w:t>
            </w:r>
          </w:p>
        </w:tc>
        <w:tc>
          <w:tcPr>
            <w:tcW w:w="1814" w:type="dxa"/>
            <w:vAlign w:val="center"/>
          </w:tcPr>
          <w:p w14:paraId="7210EF9F" w14:textId="1249A99E" w:rsidR="008F78F7" w:rsidRPr="001B036C" w:rsidRDefault="008F78F7" w:rsidP="00F70556">
            <w:pPr>
              <w:pStyle w:val="Tabletext0"/>
              <w:spacing w:before="0" w:after="0"/>
              <w:jc w:val="left"/>
            </w:pPr>
            <w:r w:rsidRPr="001B036C">
              <w:t>Adherence to FC testing symptomatic</w:t>
            </w:r>
          </w:p>
        </w:tc>
        <w:tc>
          <w:tcPr>
            <w:tcW w:w="688" w:type="dxa"/>
            <w:vAlign w:val="center"/>
          </w:tcPr>
          <w:p w14:paraId="0EC59DAD" w14:textId="77777777" w:rsidR="008F78F7" w:rsidRPr="001B036C" w:rsidRDefault="008F78F7" w:rsidP="00F70556">
            <w:pPr>
              <w:pStyle w:val="Tabletext0"/>
              <w:spacing w:before="0" w:after="0"/>
              <w:jc w:val="left"/>
            </w:pPr>
            <w:r w:rsidRPr="001B036C">
              <w:t>70%</w:t>
            </w:r>
          </w:p>
        </w:tc>
        <w:tc>
          <w:tcPr>
            <w:tcW w:w="723" w:type="dxa"/>
            <w:vAlign w:val="center"/>
          </w:tcPr>
          <w:p w14:paraId="4E3EB383" w14:textId="77777777" w:rsidR="008F78F7" w:rsidRPr="001B036C" w:rsidRDefault="008F78F7" w:rsidP="00F70556">
            <w:pPr>
              <w:pStyle w:val="Tabletext0"/>
              <w:spacing w:before="0" w:after="0"/>
              <w:jc w:val="left"/>
            </w:pPr>
            <w:r w:rsidRPr="001B036C">
              <w:t>100%</w:t>
            </w:r>
          </w:p>
        </w:tc>
        <w:tc>
          <w:tcPr>
            <w:tcW w:w="1449" w:type="dxa"/>
            <w:vAlign w:val="center"/>
          </w:tcPr>
          <w:p w14:paraId="5679953C" w14:textId="77777777" w:rsidR="008F78F7" w:rsidRPr="001B036C" w:rsidRDefault="008F78F7" w:rsidP="00F70556">
            <w:pPr>
              <w:pStyle w:val="Tabletext0"/>
              <w:spacing w:before="0" w:after="0"/>
              <w:jc w:val="left"/>
            </w:pPr>
            <w:r w:rsidRPr="001B036C">
              <w:t>$120,044</w:t>
            </w:r>
          </w:p>
        </w:tc>
        <w:tc>
          <w:tcPr>
            <w:tcW w:w="1520" w:type="dxa"/>
            <w:vAlign w:val="center"/>
          </w:tcPr>
          <w:p w14:paraId="115F072D" w14:textId="77777777" w:rsidR="008F78F7" w:rsidRPr="001B036C" w:rsidRDefault="008F78F7" w:rsidP="00F70556">
            <w:pPr>
              <w:pStyle w:val="Tabletext0"/>
              <w:spacing w:before="0" w:after="0"/>
              <w:jc w:val="left"/>
            </w:pPr>
            <w:r w:rsidRPr="001B036C">
              <w:t>$151,790</w:t>
            </w:r>
          </w:p>
        </w:tc>
        <w:tc>
          <w:tcPr>
            <w:tcW w:w="1220" w:type="dxa"/>
            <w:vAlign w:val="center"/>
          </w:tcPr>
          <w:p w14:paraId="05A2FDCD" w14:textId="77777777" w:rsidR="008F78F7" w:rsidRPr="001B036C" w:rsidRDefault="008F78F7" w:rsidP="00F70556">
            <w:pPr>
              <w:pStyle w:val="Tabletext0"/>
              <w:spacing w:before="0" w:after="0"/>
              <w:jc w:val="left"/>
            </w:pPr>
            <w:r w:rsidRPr="001B036C">
              <w:t>-$31,746</w:t>
            </w:r>
          </w:p>
        </w:tc>
        <w:tc>
          <w:tcPr>
            <w:tcW w:w="968" w:type="dxa"/>
            <w:vAlign w:val="center"/>
          </w:tcPr>
          <w:p w14:paraId="58EF5AA4" w14:textId="77777777" w:rsidR="008F78F7" w:rsidRPr="001B036C" w:rsidRDefault="008F78F7" w:rsidP="00F70556">
            <w:pPr>
              <w:pStyle w:val="Tabletext0"/>
              <w:spacing w:before="0" w:after="0"/>
              <w:jc w:val="left"/>
            </w:pPr>
            <w:r w:rsidRPr="001B036C">
              <w:t>↑ 82%</w:t>
            </w:r>
          </w:p>
        </w:tc>
      </w:tr>
      <w:tr w:rsidR="008F78F7" w:rsidRPr="001B036C" w14:paraId="4D718B9D" w14:textId="77777777" w:rsidTr="00154FB4">
        <w:tc>
          <w:tcPr>
            <w:tcW w:w="634" w:type="dxa"/>
          </w:tcPr>
          <w:p w14:paraId="341922F5" w14:textId="1A2BA86D" w:rsidR="008F78F7" w:rsidRPr="001B036C" w:rsidRDefault="008F78F7" w:rsidP="00F70556">
            <w:pPr>
              <w:pStyle w:val="Tabletext0"/>
              <w:spacing w:before="0" w:after="0"/>
              <w:jc w:val="left"/>
            </w:pPr>
            <w:r>
              <w:t>SA 5</w:t>
            </w:r>
          </w:p>
        </w:tc>
        <w:tc>
          <w:tcPr>
            <w:tcW w:w="1814" w:type="dxa"/>
            <w:vAlign w:val="center"/>
          </w:tcPr>
          <w:p w14:paraId="38AA165C" w14:textId="00400C01" w:rsidR="008F78F7" w:rsidRPr="001B036C" w:rsidRDefault="008F78F7" w:rsidP="00F70556">
            <w:pPr>
              <w:pStyle w:val="Tabletext0"/>
              <w:spacing w:before="0" w:after="0"/>
              <w:jc w:val="left"/>
            </w:pPr>
            <w:r w:rsidRPr="001B036C">
              <w:t>Adhere to FC testing asymptomatic</w:t>
            </w:r>
          </w:p>
        </w:tc>
        <w:tc>
          <w:tcPr>
            <w:tcW w:w="688" w:type="dxa"/>
            <w:vAlign w:val="center"/>
          </w:tcPr>
          <w:p w14:paraId="70288BD4" w14:textId="77777777" w:rsidR="008F78F7" w:rsidRPr="001B036C" w:rsidRDefault="008F78F7" w:rsidP="00F70556">
            <w:pPr>
              <w:pStyle w:val="Tabletext0"/>
              <w:spacing w:before="0" w:after="0"/>
              <w:jc w:val="left"/>
            </w:pPr>
            <w:r w:rsidRPr="001B036C">
              <w:t>50%</w:t>
            </w:r>
          </w:p>
        </w:tc>
        <w:tc>
          <w:tcPr>
            <w:tcW w:w="723" w:type="dxa"/>
            <w:vAlign w:val="center"/>
          </w:tcPr>
          <w:p w14:paraId="5E893DFF" w14:textId="77777777" w:rsidR="008F78F7" w:rsidRPr="001B036C" w:rsidRDefault="008F78F7" w:rsidP="00F70556">
            <w:pPr>
              <w:pStyle w:val="Tabletext0"/>
              <w:spacing w:before="0" w:after="0"/>
              <w:jc w:val="left"/>
            </w:pPr>
            <w:r w:rsidRPr="001B036C">
              <w:t>70%</w:t>
            </w:r>
          </w:p>
        </w:tc>
        <w:tc>
          <w:tcPr>
            <w:tcW w:w="1449" w:type="dxa"/>
            <w:vAlign w:val="center"/>
          </w:tcPr>
          <w:p w14:paraId="521C54C0" w14:textId="77777777" w:rsidR="008F78F7" w:rsidRPr="001B036C" w:rsidRDefault="008F78F7" w:rsidP="00F70556">
            <w:pPr>
              <w:pStyle w:val="Tabletext0"/>
              <w:spacing w:before="0" w:after="0"/>
              <w:jc w:val="left"/>
            </w:pPr>
            <w:r w:rsidRPr="001B036C">
              <w:t>$148,799</w:t>
            </w:r>
          </w:p>
        </w:tc>
        <w:tc>
          <w:tcPr>
            <w:tcW w:w="1520" w:type="dxa"/>
            <w:vAlign w:val="center"/>
          </w:tcPr>
          <w:p w14:paraId="23EC1FEB" w14:textId="77777777" w:rsidR="008F78F7" w:rsidRPr="001B036C" w:rsidRDefault="008F78F7" w:rsidP="00F70556">
            <w:pPr>
              <w:pStyle w:val="Tabletext0"/>
              <w:spacing w:before="0" w:after="0"/>
              <w:jc w:val="left"/>
            </w:pPr>
            <w:r w:rsidRPr="001B036C">
              <w:t>$151,790</w:t>
            </w:r>
          </w:p>
        </w:tc>
        <w:tc>
          <w:tcPr>
            <w:tcW w:w="1220" w:type="dxa"/>
            <w:vAlign w:val="center"/>
          </w:tcPr>
          <w:p w14:paraId="34914FDE" w14:textId="77777777" w:rsidR="008F78F7" w:rsidRPr="001B036C" w:rsidRDefault="008F78F7" w:rsidP="00F70556">
            <w:pPr>
              <w:pStyle w:val="Tabletext0"/>
              <w:spacing w:before="0" w:after="0"/>
              <w:jc w:val="left"/>
            </w:pPr>
            <w:r w:rsidRPr="001B036C">
              <w:t>-$2,991</w:t>
            </w:r>
          </w:p>
        </w:tc>
        <w:tc>
          <w:tcPr>
            <w:tcW w:w="968" w:type="dxa"/>
            <w:vAlign w:val="center"/>
          </w:tcPr>
          <w:p w14:paraId="45B1B4CA" w14:textId="77777777" w:rsidR="008F78F7" w:rsidRPr="001B036C" w:rsidRDefault="008F78F7" w:rsidP="00F70556">
            <w:pPr>
              <w:pStyle w:val="Tabletext0"/>
              <w:spacing w:before="0" w:after="0"/>
              <w:jc w:val="left"/>
            </w:pPr>
            <w:r w:rsidRPr="001B036C">
              <w:t>↓83%</w:t>
            </w:r>
          </w:p>
        </w:tc>
      </w:tr>
      <w:tr w:rsidR="008F78F7" w:rsidRPr="001B036C" w14:paraId="2F1028E8" w14:textId="77777777" w:rsidTr="00154FB4">
        <w:tc>
          <w:tcPr>
            <w:tcW w:w="634" w:type="dxa"/>
          </w:tcPr>
          <w:p w14:paraId="4A6E2E3F" w14:textId="11801874" w:rsidR="008F78F7" w:rsidRPr="001B036C" w:rsidRDefault="008F78F7" w:rsidP="00F70556">
            <w:pPr>
              <w:pStyle w:val="TableText"/>
              <w:spacing w:before="0" w:after="0"/>
            </w:pPr>
            <w:r>
              <w:t>SA 6</w:t>
            </w:r>
          </w:p>
        </w:tc>
        <w:tc>
          <w:tcPr>
            <w:tcW w:w="1814" w:type="dxa"/>
            <w:shd w:val="clear" w:color="auto" w:fill="auto"/>
            <w:vAlign w:val="center"/>
          </w:tcPr>
          <w:p w14:paraId="1805E4E6" w14:textId="43F934DF" w:rsidR="008F78F7" w:rsidRPr="001B036C" w:rsidRDefault="008F78F7" w:rsidP="00F70556">
            <w:pPr>
              <w:pStyle w:val="TableText"/>
              <w:spacing w:before="0" w:after="0"/>
            </w:pPr>
            <w:r w:rsidRPr="001B036C">
              <w:t>Lower bound 95% CI FC accuracy in symptomatic (sensitivity/specificity)</w:t>
            </w:r>
          </w:p>
        </w:tc>
        <w:tc>
          <w:tcPr>
            <w:tcW w:w="688" w:type="dxa"/>
            <w:shd w:val="clear" w:color="auto" w:fill="auto"/>
            <w:vAlign w:val="center"/>
          </w:tcPr>
          <w:p w14:paraId="352AFD62" w14:textId="77777777" w:rsidR="008F78F7" w:rsidRPr="001B036C" w:rsidRDefault="008F78F7" w:rsidP="00F70556">
            <w:pPr>
              <w:pStyle w:val="Tabletext0"/>
              <w:spacing w:before="0" w:after="0"/>
              <w:jc w:val="left"/>
            </w:pPr>
            <w:r w:rsidRPr="001B036C">
              <w:t>83%</w:t>
            </w:r>
          </w:p>
          <w:p w14:paraId="4D476A6C" w14:textId="77777777" w:rsidR="008F78F7" w:rsidRPr="001B036C" w:rsidRDefault="008F78F7" w:rsidP="00F70556">
            <w:pPr>
              <w:pStyle w:val="Tabletext0"/>
              <w:spacing w:before="0" w:after="0"/>
              <w:jc w:val="left"/>
            </w:pPr>
            <w:r w:rsidRPr="001B036C">
              <w:t>71%</w:t>
            </w:r>
          </w:p>
        </w:tc>
        <w:tc>
          <w:tcPr>
            <w:tcW w:w="723" w:type="dxa"/>
            <w:shd w:val="clear" w:color="auto" w:fill="auto"/>
            <w:vAlign w:val="center"/>
          </w:tcPr>
          <w:p w14:paraId="47CA988F" w14:textId="77777777" w:rsidR="008F78F7" w:rsidRPr="001B036C" w:rsidRDefault="008F78F7" w:rsidP="00F70556">
            <w:pPr>
              <w:pStyle w:val="Tabletext0"/>
              <w:spacing w:before="0" w:after="0"/>
              <w:jc w:val="left"/>
            </w:pPr>
            <w:r w:rsidRPr="001B036C">
              <w:t>75.7%</w:t>
            </w:r>
          </w:p>
          <w:p w14:paraId="424B924C" w14:textId="77777777" w:rsidR="008F78F7" w:rsidRPr="001B036C" w:rsidRDefault="008F78F7" w:rsidP="00F70556">
            <w:pPr>
              <w:pStyle w:val="Tabletext0"/>
              <w:spacing w:before="0" w:after="0"/>
              <w:jc w:val="left"/>
            </w:pPr>
            <w:r w:rsidRPr="001B036C">
              <w:t>64.9%</w:t>
            </w:r>
          </w:p>
        </w:tc>
        <w:tc>
          <w:tcPr>
            <w:tcW w:w="1449" w:type="dxa"/>
            <w:shd w:val="clear" w:color="auto" w:fill="auto"/>
            <w:vAlign w:val="center"/>
          </w:tcPr>
          <w:p w14:paraId="68383A1C" w14:textId="77777777" w:rsidR="008F78F7" w:rsidRPr="001B036C" w:rsidRDefault="008F78F7" w:rsidP="00F70556">
            <w:pPr>
              <w:pStyle w:val="Tabletext0"/>
              <w:spacing w:before="0" w:after="0"/>
              <w:jc w:val="left"/>
            </w:pPr>
            <w:r w:rsidRPr="001B036C">
              <w:t>$138,602</w:t>
            </w:r>
          </w:p>
        </w:tc>
        <w:tc>
          <w:tcPr>
            <w:tcW w:w="1520" w:type="dxa"/>
            <w:shd w:val="clear" w:color="auto" w:fill="auto"/>
            <w:vAlign w:val="center"/>
          </w:tcPr>
          <w:p w14:paraId="501A2F78" w14:textId="77777777" w:rsidR="008F78F7" w:rsidRPr="001B036C" w:rsidRDefault="008F78F7" w:rsidP="00F70556">
            <w:pPr>
              <w:pStyle w:val="Tabletext0"/>
              <w:spacing w:before="0" w:after="0"/>
              <w:jc w:val="left"/>
            </w:pPr>
            <w:r w:rsidRPr="001B036C">
              <w:t>$151,790</w:t>
            </w:r>
          </w:p>
        </w:tc>
        <w:tc>
          <w:tcPr>
            <w:tcW w:w="1220" w:type="dxa"/>
            <w:shd w:val="clear" w:color="auto" w:fill="auto"/>
            <w:vAlign w:val="center"/>
          </w:tcPr>
          <w:p w14:paraId="179BECA2" w14:textId="77777777" w:rsidR="008F78F7" w:rsidRPr="001B036C" w:rsidRDefault="008F78F7" w:rsidP="00F70556">
            <w:pPr>
              <w:pStyle w:val="Tabletext0"/>
              <w:spacing w:before="0" w:after="0"/>
              <w:jc w:val="left"/>
            </w:pPr>
            <w:r w:rsidRPr="001B036C">
              <w:t>-$13,188</w:t>
            </w:r>
          </w:p>
        </w:tc>
        <w:tc>
          <w:tcPr>
            <w:tcW w:w="968" w:type="dxa"/>
            <w:shd w:val="clear" w:color="auto" w:fill="auto"/>
            <w:vAlign w:val="center"/>
          </w:tcPr>
          <w:p w14:paraId="53D1B4C1" w14:textId="77777777" w:rsidR="008F78F7" w:rsidRPr="001B036C" w:rsidRDefault="008F78F7" w:rsidP="00F70556">
            <w:pPr>
              <w:pStyle w:val="Tabletext0"/>
              <w:spacing w:before="0" w:after="0"/>
              <w:jc w:val="left"/>
            </w:pPr>
            <w:r w:rsidRPr="001B036C">
              <w:t>↓ 27%</w:t>
            </w:r>
          </w:p>
        </w:tc>
      </w:tr>
      <w:tr w:rsidR="008F78F7" w:rsidRPr="001B036C" w14:paraId="32283DD4" w14:textId="77777777" w:rsidTr="00154FB4">
        <w:tc>
          <w:tcPr>
            <w:tcW w:w="634" w:type="dxa"/>
          </w:tcPr>
          <w:p w14:paraId="0C32D11E" w14:textId="2C65D56D" w:rsidR="008F78F7" w:rsidRPr="001B036C" w:rsidRDefault="008F78F7" w:rsidP="00F70556">
            <w:pPr>
              <w:pStyle w:val="TableText"/>
              <w:spacing w:before="0" w:after="0"/>
            </w:pPr>
            <w:r>
              <w:t>SA 7</w:t>
            </w:r>
          </w:p>
        </w:tc>
        <w:tc>
          <w:tcPr>
            <w:tcW w:w="1814" w:type="dxa"/>
            <w:vAlign w:val="center"/>
          </w:tcPr>
          <w:p w14:paraId="19FE0920" w14:textId="2B62E689" w:rsidR="008F78F7" w:rsidRPr="001B036C" w:rsidRDefault="008F78F7" w:rsidP="00F70556">
            <w:pPr>
              <w:pStyle w:val="TableText"/>
              <w:spacing w:before="0" w:after="0"/>
            </w:pPr>
            <w:r w:rsidRPr="001B036C">
              <w:t>Lower bound 95% CI FC accuracy in asymptomatic: sensitivity/specificity</w:t>
            </w:r>
          </w:p>
        </w:tc>
        <w:tc>
          <w:tcPr>
            <w:tcW w:w="688" w:type="dxa"/>
            <w:vAlign w:val="center"/>
          </w:tcPr>
          <w:p w14:paraId="41B0D6FC" w14:textId="77777777" w:rsidR="008F78F7" w:rsidRPr="001B036C" w:rsidRDefault="008F78F7" w:rsidP="00F70556">
            <w:pPr>
              <w:pStyle w:val="Tabletext0"/>
              <w:spacing w:before="0" w:after="0"/>
              <w:jc w:val="left"/>
            </w:pPr>
            <w:r w:rsidRPr="001B036C">
              <w:t>71.4%</w:t>
            </w:r>
          </w:p>
          <w:p w14:paraId="38344A87" w14:textId="77777777" w:rsidR="008F78F7" w:rsidRPr="001B036C" w:rsidRDefault="008F78F7" w:rsidP="00F70556">
            <w:pPr>
              <w:pStyle w:val="Tabletext0"/>
              <w:spacing w:before="0" w:after="0"/>
              <w:jc w:val="left"/>
            </w:pPr>
            <w:r w:rsidRPr="001B036C">
              <w:t>81.3%</w:t>
            </w:r>
          </w:p>
        </w:tc>
        <w:tc>
          <w:tcPr>
            <w:tcW w:w="723" w:type="dxa"/>
            <w:vAlign w:val="center"/>
          </w:tcPr>
          <w:p w14:paraId="491BF3BC" w14:textId="77777777" w:rsidR="008F78F7" w:rsidRPr="001B036C" w:rsidRDefault="008F78F7" w:rsidP="00F70556">
            <w:pPr>
              <w:pStyle w:val="Tabletext0"/>
              <w:spacing w:before="0" w:after="0"/>
              <w:jc w:val="left"/>
            </w:pPr>
            <w:r w:rsidRPr="001B036C">
              <w:t>65.2%</w:t>
            </w:r>
          </w:p>
          <w:p w14:paraId="50625334" w14:textId="77777777" w:rsidR="008F78F7" w:rsidRPr="001B036C" w:rsidRDefault="008F78F7" w:rsidP="00F70556">
            <w:pPr>
              <w:pStyle w:val="Tabletext0"/>
              <w:spacing w:before="0" w:after="0"/>
              <w:jc w:val="left"/>
            </w:pPr>
            <w:r w:rsidRPr="001B036C">
              <w:t>74.7%</w:t>
            </w:r>
          </w:p>
        </w:tc>
        <w:tc>
          <w:tcPr>
            <w:tcW w:w="1449" w:type="dxa"/>
            <w:vAlign w:val="center"/>
          </w:tcPr>
          <w:p w14:paraId="671EDEE9" w14:textId="77777777" w:rsidR="008F78F7" w:rsidRPr="001B036C" w:rsidRDefault="008F78F7" w:rsidP="00F70556">
            <w:pPr>
              <w:pStyle w:val="Tabletext0"/>
              <w:spacing w:before="0" w:after="0"/>
              <w:jc w:val="left"/>
            </w:pPr>
            <w:r w:rsidRPr="001B036C">
              <w:t>$137,158</w:t>
            </w:r>
          </w:p>
        </w:tc>
        <w:tc>
          <w:tcPr>
            <w:tcW w:w="1520" w:type="dxa"/>
            <w:vAlign w:val="center"/>
          </w:tcPr>
          <w:p w14:paraId="265A7580" w14:textId="77777777" w:rsidR="008F78F7" w:rsidRPr="001B036C" w:rsidRDefault="008F78F7" w:rsidP="00F70556">
            <w:pPr>
              <w:pStyle w:val="Tabletext0"/>
              <w:spacing w:before="0" w:after="0"/>
              <w:jc w:val="left"/>
            </w:pPr>
            <w:r w:rsidRPr="001B036C">
              <w:t>$151,790</w:t>
            </w:r>
          </w:p>
        </w:tc>
        <w:tc>
          <w:tcPr>
            <w:tcW w:w="1220" w:type="dxa"/>
            <w:vAlign w:val="center"/>
          </w:tcPr>
          <w:p w14:paraId="775A75B4" w14:textId="77777777" w:rsidR="008F78F7" w:rsidRPr="001B036C" w:rsidRDefault="008F78F7" w:rsidP="00F70556">
            <w:pPr>
              <w:pStyle w:val="Tabletext0"/>
              <w:spacing w:before="0" w:after="0"/>
              <w:jc w:val="left"/>
            </w:pPr>
            <w:r w:rsidRPr="001B036C">
              <w:t>-$14,632</w:t>
            </w:r>
          </w:p>
        </w:tc>
        <w:tc>
          <w:tcPr>
            <w:tcW w:w="968" w:type="dxa"/>
            <w:vAlign w:val="center"/>
          </w:tcPr>
          <w:p w14:paraId="64628229" w14:textId="77777777" w:rsidR="008F78F7" w:rsidRPr="001B036C" w:rsidRDefault="008F78F7" w:rsidP="00F70556">
            <w:pPr>
              <w:pStyle w:val="Tabletext0"/>
              <w:spacing w:before="0" w:after="0"/>
              <w:jc w:val="left"/>
            </w:pPr>
            <w:r w:rsidRPr="001B036C">
              <w:t>↓16%</w:t>
            </w:r>
          </w:p>
        </w:tc>
      </w:tr>
      <w:tr w:rsidR="008F78F7" w:rsidRPr="001B036C" w14:paraId="5F3E1CE9" w14:textId="77777777" w:rsidTr="00154FB4">
        <w:tc>
          <w:tcPr>
            <w:tcW w:w="634" w:type="dxa"/>
          </w:tcPr>
          <w:p w14:paraId="6C1B49E0" w14:textId="5B666107" w:rsidR="008F78F7" w:rsidRPr="001B036C" w:rsidRDefault="008F78F7" w:rsidP="00F70556">
            <w:pPr>
              <w:pStyle w:val="TableText"/>
              <w:spacing w:before="0" w:after="0"/>
            </w:pPr>
            <w:r>
              <w:t>SA 8</w:t>
            </w:r>
          </w:p>
        </w:tc>
        <w:tc>
          <w:tcPr>
            <w:tcW w:w="1814" w:type="dxa"/>
            <w:vAlign w:val="center"/>
          </w:tcPr>
          <w:p w14:paraId="4CD8CD2D" w14:textId="6D9E471E" w:rsidR="008F78F7" w:rsidRPr="001B036C" w:rsidRDefault="008F78F7" w:rsidP="00F70556">
            <w:pPr>
              <w:pStyle w:val="TableText"/>
              <w:spacing w:before="0" w:after="0"/>
            </w:pPr>
            <w:r w:rsidRPr="001B036C">
              <w:t>Frequency of FC testing per year</w:t>
            </w:r>
          </w:p>
        </w:tc>
        <w:tc>
          <w:tcPr>
            <w:tcW w:w="688" w:type="dxa"/>
            <w:vAlign w:val="center"/>
          </w:tcPr>
          <w:p w14:paraId="3444050D" w14:textId="77777777" w:rsidR="008F78F7" w:rsidRPr="001B036C" w:rsidRDefault="008F78F7" w:rsidP="00F70556">
            <w:pPr>
              <w:pStyle w:val="Tabletext0"/>
              <w:spacing w:before="0" w:after="0"/>
              <w:jc w:val="left"/>
            </w:pPr>
            <w:r w:rsidRPr="001B036C">
              <w:t>2</w:t>
            </w:r>
          </w:p>
        </w:tc>
        <w:tc>
          <w:tcPr>
            <w:tcW w:w="723" w:type="dxa"/>
            <w:vAlign w:val="center"/>
          </w:tcPr>
          <w:p w14:paraId="30828510" w14:textId="77777777" w:rsidR="008F78F7" w:rsidRPr="001B036C" w:rsidRDefault="008F78F7" w:rsidP="00F70556">
            <w:pPr>
              <w:pStyle w:val="Tabletext0"/>
              <w:spacing w:before="0" w:after="0"/>
              <w:jc w:val="left"/>
            </w:pPr>
            <w:r w:rsidRPr="001B036C">
              <w:t>4</w:t>
            </w:r>
          </w:p>
        </w:tc>
        <w:tc>
          <w:tcPr>
            <w:tcW w:w="1449" w:type="dxa"/>
            <w:vAlign w:val="center"/>
          </w:tcPr>
          <w:p w14:paraId="1A377947" w14:textId="77777777" w:rsidR="008F78F7" w:rsidRPr="001B036C" w:rsidRDefault="008F78F7" w:rsidP="00F70556">
            <w:pPr>
              <w:pStyle w:val="Tabletext0"/>
              <w:spacing w:before="0" w:after="0"/>
              <w:jc w:val="left"/>
            </w:pPr>
            <w:r w:rsidRPr="001B036C">
              <w:t>$143,082</w:t>
            </w:r>
          </w:p>
        </w:tc>
        <w:tc>
          <w:tcPr>
            <w:tcW w:w="1520" w:type="dxa"/>
            <w:vAlign w:val="center"/>
          </w:tcPr>
          <w:p w14:paraId="5D3450B0" w14:textId="77777777" w:rsidR="008F78F7" w:rsidRPr="001B036C" w:rsidRDefault="008F78F7" w:rsidP="00F70556">
            <w:pPr>
              <w:pStyle w:val="Tabletext0"/>
              <w:spacing w:before="0" w:after="0"/>
              <w:jc w:val="left"/>
            </w:pPr>
            <w:r w:rsidRPr="001B036C">
              <w:t>$151,790</w:t>
            </w:r>
          </w:p>
        </w:tc>
        <w:tc>
          <w:tcPr>
            <w:tcW w:w="1220" w:type="dxa"/>
            <w:vAlign w:val="center"/>
          </w:tcPr>
          <w:p w14:paraId="3B085D1C" w14:textId="77777777" w:rsidR="008F78F7" w:rsidRPr="001B036C" w:rsidRDefault="008F78F7" w:rsidP="00F70556">
            <w:pPr>
              <w:pStyle w:val="Tabletext0"/>
              <w:spacing w:before="0" w:after="0"/>
              <w:jc w:val="left"/>
            </w:pPr>
            <w:r w:rsidRPr="001B036C">
              <w:t>-$8,708</w:t>
            </w:r>
          </w:p>
        </w:tc>
        <w:tc>
          <w:tcPr>
            <w:tcW w:w="968" w:type="dxa"/>
            <w:vAlign w:val="center"/>
          </w:tcPr>
          <w:p w14:paraId="4AE8C799" w14:textId="77777777" w:rsidR="008F78F7" w:rsidRPr="001B036C" w:rsidRDefault="008F78F7" w:rsidP="00F70556">
            <w:pPr>
              <w:pStyle w:val="Tabletext0"/>
              <w:spacing w:before="0" w:after="0"/>
              <w:jc w:val="left"/>
            </w:pPr>
            <w:r w:rsidRPr="001B036C">
              <w:t>↓50%</w:t>
            </w:r>
          </w:p>
        </w:tc>
      </w:tr>
      <w:tr w:rsidR="008F78F7" w:rsidRPr="001B036C" w14:paraId="4A5F68F3" w14:textId="77777777" w:rsidTr="00154FB4">
        <w:tc>
          <w:tcPr>
            <w:tcW w:w="634" w:type="dxa"/>
          </w:tcPr>
          <w:p w14:paraId="78130793" w14:textId="02479E72" w:rsidR="008F78F7" w:rsidRPr="001B036C" w:rsidRDefault="008F78F7" w:rsidP="00F70556">
            <w:pPr>
              <w:pStyle w:val="TableText"/>
              <w:spacing w:before="0" w:after="0"/>
            </w:pPr>
            <w:r>
              <w:t>SA 9</w:t>
            </w:r>
          </w:p>
        </w:tc>
        <w:tc>
          <w:tcPr>
            <w:tcW w:w="1814" w:type="dxa"/>
            <w:vAlign w:val="center"/>
          </w:tcPr>
          <w:p w14:paraId="6CE7F8CC" w14:textId="0625ED73" w:rsidR="008F78F7" w:rsidRPr="001B036C" w:rsidRDefault="008F78F7" w:rsidP="00F70556">
            <w:pPr>
              <w:pStyle w:val="TableText"/>
              <w:spacing w:before="0" w:after="0"/>
            </w:pPr>
            <w:r w:rsidRPr="001B036C">
              <w:t>Frequency of FC testing per year</w:t>
            </w:r>
          </w:p>
        </w:tc>
        <w:tc>
          <w:tcPr>
            <w:tcW w:w="688" w:type="dxa"/>
            <w:vAlign w:val="center"/>
          </w:tcPr>
          <w:p w14:paraId="1A40A85E" w14:textId="77777777" w:rsidR="008F78F7" w:rsidRPr="001B036C" w:rsidRDefault="008F78F7" w:rsidP="00F70556">
            <w:pPr>
              <w:pStyle w:val="Tabletext0"/>
              <w:spacing w:before="0" w:after="0"/>
              <w:jc w:val="left"/>
            </w:pPr>
            <w:r w:rsidRPr="001B036C">
              <w:t>2</w:t>
            </w:r>
          </w:p>
        </w:tc>
        <w:tc>
          <w:tcPr>
            <w:tcW w:w="723" w:type="dxa"/>
            <w:vAlign w:val="center"/>
          </w:tcPr>
          <w:p w14:paraId="3D87D42C" w14:textId="77777777" w:rsidR="008F78F7" w:rsidRPr="001B036C" w:rsidRDefault="008F78F7" w:rsidP="00F70556">
            <w:pPr>
              <w:pStyle w:val="Tabletext0"/>
              <w:spacing w:before="0" w:after="0"/>
              <w:jc w:val="left"/>
            </w:pPr>
            <w:r w:rsidRPr="001B036C">
              <w:t>6</w:t>
            </w:r>
          </w:p>
        </w:tc>
        <w:tc>
          <w:tcPr>
            <w:tcW w:w="1449" w:type="dxa"/>
            <w:vAlign w:val="center"/>
          </w:tcPr>
          <w:p w14:paraId="1EE37467" w14:textId="77777777" w:rsidR="008F78F7" w:rsidRPr="001B036C" w:rsidRDefault="008F78F7" w:rsidP="00F70556">
            <w:pPr>
              <w:pStyle w:val="Tabletext0"/>
              <w:spacing w:before="0" w:after="0"/>
              <w:jc w:val="left"/>
            </w:pPr>
            <w:r w:rsidRPr="001B036C">
              <w:t>$151,782</w:t>
            </w:r>
          </w:p>
        </w:tc>
        <w:tc>
          <w:tcPr>
            <w:tcW w:w="1520" w:type="dxa"/>
            <w:vAlign w:val="center"/>
          </w:tcPr>
          <w:p w14:paraId="16F553C9" w14:textId="77777777" w:rsidR="008F78F7" w:rsidRPr="001B036C" w:rsidRDefault="008F78F7" w:rsidP="00F70556">
            <w:pPr>
              <w:pStyle w:val="Tabletext0"/>
              <w:spacing w:before="0" w:after="0"/>
              <w:jc w:val="left"/>
            </w:pPr>
            <w:r w:rsidRPr="001B036C">
              <w:t>$151,790</w:t>
            </w:r>
          </w:p>
        </w:tc>
        <w:tc>
          <w:tcPr>
            <w:tcW w:w="1220" w:type="dxa"/>
            <w:vAlign w:val="center"/>
          </w:tcPr>
          <w:p w14:paraId="5C9BFA9E" w14:textId="77777777" w:rsidR="008F78F7" w:rsidRPr="001B036C" w:rsidRDefault="008F78F7" w:rsidP="00F70556">
            <w:pPr>
              <w:pStyle w:val="Tabletext0"/>
              <w:spacing w:before="0" w:after="0"/>
              <w:jc w:val="left"/>
            </w:pPr>
            <w:r w:rsidRPr="001B036C">
              <w:t>-$8</w:t>
            </w:r>
          </w:p>
        </w:tc>
        <w:tc>
          <w:tcPr>
            <w:tcW w:w="968" w:type="dxa"/>
            <w:vAlign w:val="center"/>
          </w:tcPr>
          <w:p w14:paraId="66EA6CDE" w14:textId="77777777" w:rsidR="008F78F7" w:rsidRPr="001B036C" w:rsidRDefault="008F78F7" w:rsidP="00F70556">
            <w:pPr>
              <w:pStyle w:val="Tabletext0"/>
              <w:spacing w:before="0" w:after="0"/>
              <w:jc w:val="left"/>
            </w:pPr>
            <w:r w:rsidRPr="001B036C">
              <w:t>↓100%</w:t>
            </w:r>
          </w:p>
        </w:tc>
      </w:tr>
      <w:tr w:rsidR="008F78F7" w:rsidRPr="001B036C" w14:paraId="0D20CDEA" w14:textId="77777777" w:rsidTr="00154FB4">
        <w:tc>
          <w:tcPr>
            <w:tcW w:w="634" w:type="dxa"/>
          </w:tcPr>
          <w:p w14:paraId="436F0A56" w14:textId="49953277" w:rsidR="008F78F7" w:rsidRPr="001B036C" w:rsidRDefault="008F78F7" w:rsidP="00F70556">
            <w:pPr>
              <w:pStyle w:val="TableText"/>
              <w:spacing w:before="0" w:after="0"/>
            </w:pPr>
            <w:r>
              <w:t>SA10</w:t>
            </w:r>
          </w:p>
        </w:tc>
        <w:tc>
          <w:tcPr>
            <w:tcW w:w="1814" w:type="dxa"/>
            <w:vAlign w:val="center"/>
          </w:tcPr>
          <w:p w14:paraId="494A061F" w14:textId="48E63AEA" w:rsidR="008F78F7" w:rsidRPr="001B036C" w:rsidRDefault="008F78F7" w:rsidP="00F70556">
            <w:pPr>
              <w:pStyle w:val="TableText"/>
              <w:spacing w:before="0" w:after="0"/>
            </w:pPr>
            <w:r w:rsidRPr="001B036C">
              <w:t>% of moderate cases in FC arm which may result in a colonoscopy and biopsy</w:t>
            </w:r>
          </w:p>
        </w:tc>
        <w:tc>
          <w:tcPr>
            <w:tcW w:w="688" w:type="dxa"/>
            <w:vAlign w:val="center"/>
          </w:tcPr>
          <w:p w14:paraId="37D9B6EB" w14:textId="77777777" w:rsidR="008F78F7" w:rsidRPr="001B036C" w:rsidRDefault="008F78F7" w:rsidP="00F70556">
            <w:pPr>
              <w:pStyle w:val="Tabletext0"/>
              <w:spacing w:before="0" w:after="0"/>
              <w:jc w:val="left"/>
            </w:pPr>
            <w:r w:rsidRPr="001B036C">
              <w:t>100%</w:t>
            </w:r>
          </w:p>
        </w:tc>
        <w:tc>
          <w:tcPr>
            <w:tcW w:w="723" w:type="dxa"/>
            <w:vAlign w:val="center"/>
          </w:tcPr>
          <w:p w14:paraId="364B1F2D" w14:textId="77777777" w:rsidR="008F78F7" w:rsidRPr="001B036C" w:rsidRDefault="008F78F7" w:rsidP="00F70556">
            <w:pPr>
              <w:pStyle w:val="Tabletext0"/>
              <w:spacing w:before="0" w:after="0"/>
              <w:jc w:val="left"/>
            </w:pPr>
            <w:r w:rsidRPr="001B036C">
              <w:t>70%</w:t>
            </w:r>
          </w:p>
        </w:tc>
        <w:tc>
          <w:tcPr>
            <w:tcW w:w="1449" w:type="dxa"/>
            <w:vAlign w:val="center"/>
          </w:tcPr>
          <w:p w14:paraId="7AF7D7F6" w14:textId="77777777" w:rsidR="008F78F7" w:rsidRPr="001B036C" w:rsidRDefault="008F78F7" w:rsidP="00F70556">
            <w:pPr>
              <w:pStyle w:val="Tabletext0"/>
              <w:spacing w:before="0" w:after="0"/>
              <w:jc w:val="left"/>
            </w:pPr>
            <w:r w:rsidRPr="001B036C">
              <w:t>$128,326</w:t>
            </w:r>
          </w:p>
        </w:tc>
        <w:tc>
          <w:tcPr>
            <w:tcW w:w="1520" w:type="dxa"/>
            <w:vAlign w:val="center"/>
          </w:tcPr>
          <w:p w14:paraId="1124F7AC" w14:textId="77777777" w:rsidR="008F78F7" w:rsidRPr="001B036C" w:rsidRDefault="008F78F7" w:rsidP="00F70556">
            <w:pPr>
              <w:pStyle w:val="Tabletext0"/>
              <w:spacing w:before="0" w:after="0"/>
              <w:jc w:val="left"/>
            </w:pPr>
            <w:r w:rsidRPr="001B036C">
              <w:t>$151,790</w:t>
            </w:r>
          </w:p>
        </w:tc>
        <w:tc>
          <w:tcPr>
            <w:tcW w:w="1220" w:type="dxa"/>
            <w:vAlign w:val="center"/>
          </w:tcPr>
          <w:p w14:paraId="523E4C56" w14:textId="77777777" w:rsidR="008F78F7" w:rsidRPr="001B036C" w:rsidRDefault="008F78F7" w:rsidP="00F70556">
            <w:pPr>
              <w:pStyle w:val="Tabletext0"/>
              <w:spacing w:before="0" w:after="0"/>
              <w:jc w:val="left"/>
            </w:pPr>
            <w:r w:rsidRPr="001B036C">
              <w:t>-$23,464</w:t>
            </w:r>
          </w:p>
        </w:tc>
        <w:tc>
          <w:tcPr>
            <w:tcW w:w="968" w:type="dxa"/>
            <w:vAlign w:val="center"/>
          </w:tcPr>
          <w:p w14:paraId="3B036AB1" w14:textId="77777777" w:rsidR="008F78F7" w:rsidRPr="001B036C" w:rsidRDefault="008F78F7" w:rsidP="00F70556">
            <w:pPr>
              <w:pStyle w:val="Tabletext0"/>
              <w:spacing w:before="0" w:after="0"/>
              <w:jc w:val="left"/>
            </w:pPr>
            <w:r w:rsidRPr="001B036C">
              <w:t>↑ 35%</w:t>
            </w:r>
          </w:p>
        </w:tc>
      </w:tr>
      <w:tr w:rsidR="008F78F7" w:rsidRPr="001B036C" w14:paraId="3710FFA7" w14:textId="77777777" w:rsidTr="00154FB4">
        <w:tc>
          <w:tcPr>
            <w:tcW w:w="634" w:type="dxa"/>
          </w:tcPr>
          <w:p w14:paraId="5E637947" w14:textId="7BCD28C3" w:rsidR="008F78F7" w:rsidRPr="001B036C" w:rsidRDefault="00421524" w:rsidP="00F70556">
            <w:pPr>
              <w:pStyle w:val="TableText"/>
              <w:spacing w:before="0" w:after="0"/>
            </w:pPr>
            <w:r>
              <w:t>SA11</w:t>
            </w:r>
          </w:p>
        </w:tc>
        <w:tc>
          <w:tcPr>
            <w:tcW w:w="1814" w:type="dxa"/>
            <w:vAlign w:val="center"/>
          </w:tcPr>
          <w:p w14:paraId="3E8833AB" w14:textId="41651856" w:rsidR="008F78F7" w:rsidRPr="001B036C" w:rsidRDefault="008F78F7" w:rsidP="00F70556">
            <w:pPr>
              <w:pStyle w:val="TableText"/>
              <w:spacing w:before="0" w:after="0"/>
            </w:pPr>
            <w:r w:rsidRPr="001B036C">
              <w:t>% of mild cases in No FC arm monitored through colonoscopy</w:t>
            </w:r>
          </w:p>
        </w:tc>
        <w:tc>
          <w:tcPr>
            <w:tcW w:w="688" w:type="dxa"/>
            <w:vAlign w:val="center"/>
          </w:tcPr>
          <w:p w14:paraId="0A3300AA" w14:textId="77777777" w:rsidR="008F78F7" w:rsidRPr="001B036C" w:rsidRDefault="008F78F7" w:rsidP="00F70556">
            <w:pPr>
              <w:pStyle w:val="Tabletext0"/>
              <w:spacing w:before="0" w:after="0"/>
              <w:jc w:val="left"/>
            </w:pPr>
            <w:r w:rsidRPr="001B036C">
              <w:t>100%</w:t>
            </w:r>
          </w:p>
        </w:tc>
        <w:tc>
          <w:tcPr>
            <w:tcW w:w="723" w:type="dxa"/>
            <w:vAlign w:val="center"/>
          </w:tcPr>
          <w:p w14:paraId="61AD2F8E" w14:textId="77777777" w:rsidR="008F78F7" w:rsidRPr="001B036C" w:rsidRDefault="008F78F7" w:rsidP="00F70556">
            <w:pPr>
              <w:pStyle w:val="Tabletext0"/>
              <w:spacing w:before="0" w:after="0"/>
              <w:jc w:val="left"/>
            </w:pPr>
            <w:r w:rsidRPr="001B036C">
              <w:t>70%</w:t>
            </w:r>
          </w:p>
        </w:tc>
        <w:tc>
          <w:tcPr>
            <w:tcW w:w="1449" w:type="dxa"/>
            <w:vAlign w:val="center"/>
          </w:tcPr>
          <w:p w14:paraId="4C064476" w14:textId="77777777" w:rsidR="008F78F7" w:rsidRPr="001B036C" w:rsidRDefault="008F78F7" w:rsidP="00F70556">
            <w:pPr>
              <w:pStyle w:val="Tabletext0"/>
              <w:spacing w:before="0" w:after="0"/>
              <w:jc w:val="left"/>
            </w:pPr>
            <w:r w:rsidRPr="001B036C">
              <w:t>$129,585</w:t>
            </w:r>
          </w:p>
        </w:tc>
        <w:tc>
          <w:tcPr>
            <w:tcW w:w="1520" w:type="dxa"/>
            <w:vAlign w:val="center"/>
          </w:tcPr>
          <w:p w14:paraId="277D2F98" w14:textId="77777777" w:rsidR="008F78F7" w:rsidRPr="001B036C" w:rsidRDefault="008F78F7" w:rsidP="00F70556">
            <w:pPr>
              <w:pStyle w:val="Tabletext0"/>
              <w:spacing w:before="0" w:after="0"/>
              <w:jc w:val="left"/>
            </w:pPr>
            <w:r w:rsidRPr="001B036C">
              <w:t>$135,801</w:t>
            </w:r>
          </w:p>
        </w:tc>
        <w:tc>
          <w:tcPr>
            <w:tcW w:w="1220" w:type="dxa"/>
            <w:vAlign w:val="center"/>
          </w:tcPr>
          <w:p w14:paraId="0897B410" w14:textId="77777777" w:rsidR="008F78F7" w:rsidRPr="001B036C" w:rsidRDefault="008F78F7" w:rsidP="00F70556">
            <w:pPr>
              <w:pStyle w:val="Tabletext0"/>
              <w:spacing w:before="0" w:after="0"/>
              <w:jc w:val="left"/>
            </w:pPr>
            <w:r w:rsidRPr="001B036C">
              <w:t>-$6,216</w:t>
            </w:r>
          </w:p>
        </w:tc>
        <w:tc>
          <w:tcPr>
            <w:tcW w:w="968" w:type="dxa"/>
            <w:vAlign w:val="center"/>
          </w:tcPr>
          <w:p w14:paraId="3EE3751F" w14:textId="77777777" w:rsidR="008F78F7" w:rsidRPr="001B036C" w:rsidRDefault="008F78F7" w:rsidP="00F70556">
            <w:pPr>
              <w:pStyle w:val="Tabletext0"/>
              <w:spacing w:before="0" w:after="0"/>
              <w:jc w:val="left"/>
            </w:pPr>
            <w:r w:rsidRPr="001B036C">
              <w:t>↓ 64%</w:t>
            </w:r>
          </w:p>
        </w:tc>
      </w:tr>
      <w:tr w:rsidR="000B28F6" w:rsidRPr="001B036C" w14:paraId="707AF9D5" w14:textId="77777777" w:rsidTr="00154FB4">
        <w:tc>
          <w:tcPr>
            <w:tcW w:w="634" w:type="dxa"/>
          </w:tcPr>
          <w:p w14:paraId="4BF17481" w14:textId="2456D886" w:rsidR="000B28F6" w:rsidRDefault="000B28F6" w:rsidP="00F70556">
            <w:pPr>
              <w:pStyle w:val="TableText"/>
              <w:spacing w:before="0" w:after="0"/>
            </w:pPr>
            <w:r>
              <w:t>SA12</w:t>
            </w:r>
          </w:p>
        </w:tc>
        <w:tc>
          <w:tcPr>
            <w:tcW w:w="1814" w:type="dxa"/>
          </w:tcPr>
          <w:p w14:paraId="51799B55" w14:textId="5AEFF2E1" w:rsidR="000B28F6" w:rsidRPr="001B036C" w:rsidRDefault="000B28F6" w:rsidP="00F70556">
            <w:pPr>
              <w:pStyle w:val="TableText"/>
              <w:spacing w:before="0" w:after="0"/>
            </w:pPr>
            <w:r>
              <w:t>Proportion of specialist vs GP consults for mild/moderate cases in No FC arm</w:t>
            </w:r>
          </w:p>
        </w:tc>
        <w:tc>
          <w:tcPr>
            <w:tcW w:w="688" w:type="dxa"/>
            <w:vAlign w:val="center"/>
          </w:tcPr>
          <w:p w14:paraId="4148E6EB" w14:textId="6A1D02D1" w:rsidR="000B28F6" w:rsidRPr="001B036C" w:rsidRDefault="000B28F6" w:rsidP="00F70556">
            <w:pPr>
              <w:pStyle w:val="Tabletext0"/>
              <w:spacing w:before="0" w:after="0"/>
              <w:jc w:val="left"/>
            </w:pPr>
            <w:r>
              <w:t>100% vs 0%</w:t>
            </w:r>
          </w:p>
        </w:tc>
        <w:tc>
          <w:tcPr>
            <w:tcW w:w="723" w:type="dxa"/>
            <w:vAlign w:val="center"/>
          </w:tcPr>
          <w:p w14:paraId="24CF9373" w14:textId="731D1F89" w:rsidR="000B28F6" w:rsidRPr="001B036C" w:rsidRDefault="000B28F6" w:rsidP="00F70556">
            <w:pPr>
              <w:pStyle w:val="Tabletext0"/>
              <w:spacing w:before="0" w:after="0"/>
              <w:jc w:val="left"/>
            </w:pPr>
            <w:r>
              <w:t>80% vs 20%</w:t>
            </w:r>
          </w:p>
        </w:tc>
        <w:tc>
          <w:tcPr>
            <w:tcW w:w="1449" w:type="dxa"/>
            <w:vAlign w:val="center"/>
          </w:tcPr>
          <w:p w14:paraId="4A586098" w14:textId="4770DC4A" w:rsidR="000B28F6" w:rsidRPr="001B036C" w:rsidRDefault="000B28F6" w:rsidP="00F70556">
            <w:pPr>
              <w:pStyle w:val="Tabletext0"/>
              <w:spacing w:before="0" w:after="0"/>
              <w:jc w:val="left"/>
            </w:pPr>
            <w:r w:rsidRPr="00154FB4">
              <w:t>$134,063</w:t>
            </w:r>
          </w:p>
        </w:tc>
        <w:tc>
          <w:tcPr>
            <w:tcW w:w="1520" w:type="dxa"/>
            <w:vAlign w:val="center"/>
          </w:tcPr>
          <w:p w14:paraId="3B7E7B70" w14:textId="4FBFCB30" w:rsidR="000B28F6" w:rsidRPr="001B036C" w:rsidRDefault="000B28F6" w:rsidP="00F70556">
            <w:pPr>
              <w:pStyle w:val="Tabletext0"/>
              <w:spacing w:before="0" w:after="0"/>
              <w:jc w:val="left"/>
            </w:pPr>
            <w:r w:rsidRPr="00154FB4">
              <w:t>$150,987</w:t>
            </w:r>
          </w:p>
        </w:tc>
        <w:tc>
          <w:tcPr>
            <w:tcW w:w="1220" w:type="dxa"/>
            <w:vAlign w:val="center"/>
          </w:tcPr>
          <w:p w14:paraId="7E5257D1" w14:textId="0BE2D525" w:rsidR="000B28F6" w:rsidRPr="001B036C" w:rsidRDefault="000B28F6" w:rsidP="00F70556">
            <w:pPr>
              <w:pStyle w:val="Tabletext0"/>
              <w:spacing w:before="0" w:after="0"/>
              <w:jc w:val="left"/>
            </w:pPr>
            <w:r w:rsidRPr="00154FB4">
              <w:t>-$16,924</w:t>
            </w:r>
          </w:p>
        </w:tc>
        <w:tc>
          <w:tcPr>
            <w:tcW w:w="968" w:type="dxa"/>
            <w:vAlign w:val="center"/>
          </w:tcPr>
          <w:p w14:paraId="37FFEEDA" w14:textId="2CEADE87" w:rsidR="000B28F6" w:rsidRPr="001B036C" w:rsidRDefault="00101306" w:rsidP="00F70556">
            <w:pPr>
              <w:pStyle w:val="Tabletext0"/>
              <w:spacing w:before="0" w:after="0"/>
              <w:jc w:val="left"/>
            </w:pPr>
            <w:r w:rsidRPr="001B036C">
              <w:t xml:space="preserve">↓ </w:t>
            </w:r>
            <w:r>
              <w:t>3</w:t>
            </w:r>
            <w:r w:rsidRPr="001B036C">
              <w:t>%</w:t>
            </w:r>
          </w:p>
        </w:tc>
      </w:tr>
      <w:tr w:rsidR="008F78F7" w:rsidRPr="001B036C" w14:paraId="22BA677C" w14:textId="77777777" w:rsidTr="00154FB4">
        <w:tc>
          <w:tcPr>
            <w:tcW w:w="634" w:type="dxa"/>
          </w:tcPr>
          <w:p w14:paraId="4900634F" w14:textId="1DB1774A" w:rsidR="008F78F7" w:rsidRPr="001B036C" w:rsidRDefault="00421524" w:rsidP="00F70556">
            <w:pPr>
              <w:pStyle w:val="TableText"/>
              <w:spacing w:before="0" w:after="0"/>
            </w:pPr>
            <w:r>
              <w:t>SA13</w:t>
            </w:r>
          </w:p>
        </w:tc>
        <w:tc>
          <w:tcPr>
            <w:tcW w:w="1814" w:type="dxa"/>
          </w:tcPr>
          <w:p w14:paraId="6CE948DC" w14:textId="1C2816D3" w:rsidR="008F78F7" w:rsidRPr="001B036C" w:rsidRDefault="008F78F7" w:rsidP="00F70556">
            <w:pPr>
              <w:pStyle w:val="TableText"/>
              <w:spacing w:before="0" w:after="0"/>
              <w:rPr>
                <w:vertAlign w:val="superscript"/>
              </w:rPr>
            </w:pPr>
            <w:r w:rsidRPr="001B036C">
              <w:t xml:space="preserve">% of GP consultations in No FC </w:t>
            </w:r>
            <w:proofErr w:type="spellStart"/>
            <w:r w:rsidRPr="001B036C">
              <w:t>arm</w:t>
            </w:r>
            <w:r w:rsidRPr="001B036C">
              <w:rPr>
                <w:vertAlign w:val="superscript"/>
              </w:rPr>
              <w:t>b</w:t>
            </w:r>
            <w:proofErr w:type="spellEnd"/>
          </w:p>
        </w:tc>
        <w:tc>
          <w:tcPr>
            <w:tcW w:w="688" w:type="dxa"/>
            <w:vAlign w:val="center"/>
          </w:tcPr>
          <w:p w14:paraId="4C9D1CD4" w14:textId="51B5DC3D" w:rsidR="008F78F7" w:rsidRPr="001B036C" w:rsidRDefault="008F78F7" w:rsidP="00F70556">
            <w:pPr>
              <w:pStyle w:val="Tabletext0"/>
              <w:spacing w:before="0" w:after="0"/>
              <w:jc w:val="left"/>
            </w:pPr>
            <w:r w:rsidRPr="001B036C">
              <w:t>0%</w:t>
            </w:r>
          </w:p>
        </w:tc>
        <w:tc>
          <w:tcPr>
            <w:tcW w:w="723" w:type="dxa"/>
            <w:vAlign w:val="center"/>
          </w:tcPr>
          <w:p w14:paraId="4267C310" w14:textId="26EAB1C9" w:rsidR="008F78F7" w:rsidRPr="001B036C" w:rsidRDefault="008F78F7" w:rsidP="00F70556">
            <w:pPr>
              <w:pStyle w:val="Tabletext0"/>
              <w:spacing w:before="0" w:after="0"/>
              <w:jc w:val="left"/>
            </w:pPr>
            <w:r w:rsidRPr="001B036C">
              <w:t>28%</w:t>
            </w:r>
          </w:p>
        </w:tc>
        <w:tc>
          <w:tcPr>
            <w:tcW w:w="1449" w:type="dxa"/>
            <w:vAlign w:val="center"/>
          </w:tcPr>
          <w:p w14:paraId="21B312AF" w14:textId="31586149" w:rsidR="008F78F7" w:rsidRPr="001B036C" w:rsidRDefault="008F78F7" w:rsidP="00F70556">
            <w:pPr>
              <w:pStyle w:val="Tabletext0"/>
              <w:spacing w:before="0" w:after="0"/>
              <w:jc w:val="left"/>
            </w:pPr>
            <w:r w:rsidRPr="00154FB4">
              <w:t>$134,382</w:t>
            </w:r>
          </w:p>
        </w:tc>
        <w:tc>
          <w:tcPr>
            <w:tcW w:w="1520" w:type="dxa"/>
            <w:vAlign w:val="center"/>
          </w:tcPr>
          <w:p w14:paraId="6DE07D31" w14:textId="26990E54" w:rsidR="008F78F7" w:rsidRPr="001B036C" w:rsidRDefault="008F78F7" w:rsidP="00F70556">
            <w:pPr>
              <w:pStyle w:val="Tabletext0"/>
              <w:spacing w:before="0" w:after="0"/>
              <w:jc w:val="left"/>
            </w:pPr>
            <w:r w:rsidRPr="00154FB4">
              <w:t>$152,342</w:t>
            </w:r>
          </w:p>
        </w:tc>
        <w:tc>
          <w:tcPr>
            <w:tcW w:w="1220" w:type="dxa"/>
            <w:vAlign w:val="center"/>
          </w:tcPr>
          <w:p w14:paraId="582FB4CA" w14:textId="58C77A11" w:rsidR="008F78F7" w:rsidRPr="001B036C" w:rsidRDefault="008F78F7" w:rsidP="00F70556">
            <w:pPr>
              <w:pStyle w:val="Tabletext0"/>
              <w:spacing w:before="0" w:after="0"/>
              <w:jc w:val="left"/>
            </w:pPr>
            <w:r w:rsidRPr="00154FB4">
              <w:t>-$17,960</w:t>
            </w:r>
          </w:p>
        </w:tc>
        <w:tc>
          <w:tcPr>
            <w:tcW w:w="968" w:type="dxa"/>
            <w:vAlign w:val="center"/>
          </w:tcPr>
          <w:p w14:paraId="39378A1E" w14:textId="52875723" w:rsidR="008F78F7" w:rsidRPr="001B036C" w:rsidRDefault="008F78F7" w:rsidP="00F70556">
            <w:pPr>
              <w:pStyle w:val="Tabletext0"/>
              <w:spacing w:before="0" w:after="0"/>
              <w:jc w:val="left"/>
            </w:pPr>
            <w:r w:rsidRPr="001B036C">
              <w:t>↑ 3%</w:t>
            </w:r>
          </w:p>
        </w:tc>
      </w:tr>
      <w:tr w:rsidR="00B76E8C" w:rsidRPr="001B036C" w14:paraId="7C996F40" w14:textId="77777777" w:rsidTr="00154FB4">
        <w:tc>
          <w:tcPr>
            <w:tcW w:w="634" w:type="dxa"/>
          </w:tcPr>
          <w:p w14:paraId="35E098F9" w14:textId="39807832" w:rsidR="00B76E8C" w:rsidRDefault="00B76E8C" w:rsidP="00F70556">
            <w:pPr>
              <w:pStyle w:val="TableText"/>
              <w:spacing w:before="0" w:after="0"/>
            </w:pPr>
            <w:r>
              <w:t>SA14</w:t>
            </w:r>
          </w:p>
        </w:tc>
        <w:tc>
          <w:tcPr>
            <w:tcW w:w="1814" w:type="dxa"/>
          </w:tcPr>
          <w:p w14:paraId="045965BF" w14:textId="325E3C11" w:rsidR="00B76E8C" w:rsidRPr="001B036C" w:rsidRDefault="00B76E8C" w:rsidP="00F70556">
            <w:pPr>
              <w:pStyle w:val="TableText"/>
              <w:spacing w:before="0" w:after="0"/>
            </w:pPr>
            <w:r>
              <w:t>SA12 + SA13</w:t>
            </w:r>
          </w:p>
        </w:tc>
        <w:tc>
          <w:tcPr>
            <w:tcW w:w="688" w:type="dxa"/>
            <w:vAlign w:val="center"/>
          </w:tcPr>
          <w:p w14:paraId="74A10954" w14:textId="77777777" w:rsidR="00B76E8C" w:rsidRPr="001B036C" w:rsidRDefault="00B76E8C" w:rsidP="00F70556">
            <w:pPr>
              <w:pStyle w:val="Tabletext0"/>
              <w:spacing w:before="0" w:after="0"/>
              <w:jc w:val="left"/>
            </w:pPr>
          </w:p>
        </w:tc>
        <w:tc>
          <w:tcPr>
            <w:tcW w:w="723" w:type="dxa"/>
            <w:vAlign w:val="center"/>
          </w:tcPr>
          <w:p w14:paraId="60EFDD84" w14:textId="77777777" w:rsidR="00B76E8C" w:rsidRPr="001B036C" w:rsidRDefault="00B76E8C" w:rsidP="00F70556">
            <w:pPr>
              <w:pStyle w:val="Tabletext0"/>
              <w:spacing w:before="0" w:after="0"/>
              <w:jc w:val="left"/>
            </w:pPr>
          </w:p>
        </w:tc>
        <w:tc>
          <w:tcPr>
            <w:tcW w:w="1449" w:type="dxa"/>
            <w:vAlign w:val="center"/>
          </w:tcPr>
          <w:p w14:paraId="6D11F07C" w14:textId="008E466B" w:rsidR="00B76E8C" w:rsidRPr="00154FB4" w:rsidRDefault="00B76E8C" w:rsidP="00F70556">
            <w:pPr>
              <w:pStyle w:val="Tabletext0"/>
              <w:spacing w:before="0" w:after="0"/>
              <w:jc w:val="left"/>
            </w:pPr>
            <w:r w:rsidRPr="00154FB4">
              <w:t>$134,063</w:t>
            </w:r>
          </w:p>
        </w:tc>
        <w:tc>
          <w:tcPr>
            <w:tcW w:w="1520" w:type="dxa"/>
            <w:vAlign w:val="center"/>
          </w:tcPr>
          <w:p w14:paraId="6443B596" w14:textId="6D3034D6" w:rsidR="00B76E8C" w:rsidRPr="00154FB4" w:rsidRDefault="00B76E8C" w:rsidP="00F70556">
            <w:pPr>
              <w:pStyle w:val="Tabletext0"/>
              <w:spacing w:before="0" w:after="0"/>
              <w:jc w:val="left"/>
            </w:pPr>
            <w:r w:rsidRPr="00154FB4">
              <w:t>$151,539</w:t>
            </w:r>
          </w:p>
        </w:tc>
        <w:tc>
          <w:tcPr>
            <w:tcW w:w="1220" w:type="dxa"/>
            <w:vAlign w:val="center"/>
          </w:tcPr>
          <w:p w14:paraId="149A351B" w14:textId="6D67D7E6" w:rsidR="00B76E8C" w:rsidRPr="00154FB4" w:rsidRDefault="00B76E8C" w:rsidP="00F70556">
            <w:pPr>
              <w:pStyle w:val="Tabletext0"/>
              <w:spacing w:before="0" w:after="0"/>
              <w:jc w:val="left"/>
            </w:pPr>
            <w:r w:rsidRPr="00154FB4">
              <w:t>-$17,476</w:t>
            </w:r>
          </w:p>
        </w:tc>
        <w:tc>
          <w:tcPr>
            <w:tcW w:w="968" w:type="dxa"/>
            <w:vAlign w:val="center"/>
          </w:tcPr>
          <w:p w14:paraId="7AF3F8B7" w14:textId="35518278" w:rsidR="00B76E8C" w:rsidRPr="001B036C" w:rsidRDefault="00755FE3" w:rsidP="00F70556">
            <w:pPr>
              <w:pStyle w:val="Tabletext0"/>
              <w:spacing w:before="0" w:after="0"/>
              <w:jc w:val="left"/>
            </w:pPr>
            <w:r>
              <w:t>0%</w:t>
            </w:r>
          </w:p>
        </w:tc>
      </w:tr>
    </w:tbl>
    <w:p w14:paraId="56E8C79D" w14:textId="77777777" w:rsidR="0019792D" w:rsidRPr="001B036C" w:rsidRDefault="0019792D" w:rsidP="001F2E01">
      <w:pPr>
        <w:pStyle w:val="Tablenotes0"/>
        <w:rPr>
          <w:szCs w:val="18"/>
        </w:rPr>
      </w:pPr>
      <w:r w:rsidRPr="001B036C">
        <w:rPr>
          <w:szCs w:val="18"/>
        </w:rPr>
        <w:t xml:space="preserve">CI= confidence interval; FC = Faecal calprotectin; Inc= incremental; SA= sensitivity analysis. </w:t>
      </w:r>
    </w:p>
    <w:p w14:paraId="2DD8FE51" w14:textId="6C2209EC" w:rsidR="00651CA4" w:rsidRPr="001B036C" w:rsidRDefault="00651CA4" w:rsidP="001F2E01">
      <w:pPr>
        <w:pStyle w:val="Tablenotes0"/>
        <w:rPr>
          <w:szCs w:val="18"/>
        </w:rPr>
      </w:pPr>
      <w:proofErr w:type="spellStart"/>
      <w:r w:rsidRPr="001B036C">
        <w:rPr>
          <w:szCs w:val="18"/>
          <w:vertAlign w:val="superscript"/>
        </w:rPr>
        <w:t>a</w:t>
      </w:r>
      <w:proofErr w:type="spellEnd"/>
      <w:r w:rsidRPr="001B036C">
        <w:rPr>
          <w:szCs w:val="18"/>
        </w:rPr>
        <w:t xml:space="preserve"> </w:t>
      </w:r>
      <w:r w:rsidR="002E3383">
        <w:rPr>
          <w:szCs w:val="18"/>
        </w:rPr>
        <w:t xml:space="preserve">This sensitivity analysis assumes the remaining colonoscopies are conducted privately. </w:t>
      </w:r>
      <w:r w:rsidR="00B71B2F" w:rsidRPr="001B036C">
        <w:rPr>
          <w:szCs w:val="18"/>
        </w:rPr>
        <w:t xml:space="preserve">Cost per </w:t>
      </w:r>
      <w:r w:rsidR="00D27D0D" w:rsidRPr="001B036C">
        <w:rPr>
          <w:szCs w:val="18"/>
        </w:rPr>
        <w:t xml:space="preserve">colonoscopy plus biopsy </w:t>
      </w:r>
      <w:r w:rsidR="00597810">
        <w:rPr>
          <w:szCs w:val="18"/>
        </w:rPr>
        <w:t>including the MBS service cost</w:t>
      </w:r>
      <w:r w:rsidR="00D27D0D" w:rsidRPr="001B036C">
        <w:rPr>
          <w:szCs w:val="18"/>
        </w:rPr>
        <w:t xml:space="preserve"> in private day care </w:t>
      </w:r>
      <w:r w:rsidR="00693EB2" w:rsidRPr="001B036C">
        <w:rPr>
          <w:szCs w:val="18"/>
        </w:rPr>
        <w:t xml:space="preserve">is </w:t>
      </w:r>
      <w:r w:rsidR="00D27D0D" w:rsidRPr="001B036C">
        <w:rPr>
          <w:szCs w:val="18"/>
        </w:rPr>
        <w:t>$</w:t>
      </w:r>
      <w:r w:rsidR="00845167">
        <w:rPr>
          <w:szCs w:val="18"/>
        </w:rPr>
        <w:t>1,</w:t>
      </w:r>
      <w:r w:rsidR="00526342">
        <w:rPr>
          <w:szCs w:val="18"/>
        </w:rPr>
        <w:t>394.85</w:t>
      </w:r>
      <w:r w:rsidR="00C972AC" w:rsidRPr="001B036C">
        <w:rPr>
          <w:szCs w:val="18"/>
        </w:rPr>
        <w:t xml:space="preserve"> and </w:t>
      </w:r>
      <w:r w:rsidR="00922CF4">
        <w:rPr>
          <w:szCs w:val="18"/>
        </w:rPr>
        <w:t>c</w:t>
      </w:r>
      <w:r w:rsidR="00693EB2" w:rsidRPr="001B036C">
        <w:rPr>
          <w:szCs w:val="18"/>
        </w:rPr>
        <w:t xml:space="preserve">ost </w:t>
      </w:r>
      <w:r w:rsidR="00FB2AB5" w:rsidRPr="001B036C">
        <w:rPr>
          <w:szCs w:val="18"/>
        </w:rPr>
        <w:t>per colonoscopy plus biopsy in public hospital is</w:t>
      </w:r>
      <w:r w:rsidR="00C972AC" w:rsidRPr="001B036C">
        <w:rPr>
          <w:szCs w:val="18"/>
        </w:rPr>
        <w:t xml:space="preserve"> </w:t>
      </w:r>
      <w:r w:rsidR="001F2E01" w:rsidRPr="001B036C">
        <w:rPr>
          <w:szCs w:val="18"/>
        </w:rPr>
        <w:t>$3</w:t>
      </w:r>
      <w:r w:rsidR="00594B5B" w:rsidRPr="001B036C">
        <w:rPr>
          <w:szCs w:val="18"/>
        </w:rPr>
        <w:t xml:space="preserve">,070.93. </w:t>
      </w:r>
      <w:r w:rsidR="00B13448" w:rsidRPr="001B036C">
        <w:rPr>
          <w:szCs w:val="18"/>
        </w:rPr>
        <w:t>The assumption is that 2</w:t>
      </w:r>
      <w:r w:rsidR="00FB2AB5" w:rsidRPr="001B036C">
        <w:rPr>
          <w:szCs w:val="18"/>
        </w:rPr>
        <w:t>7.9</w:t>
      </w:r>
      <w:r w:rsidR="00B13448" w:rsidRPr="001B036C">
        <w:rPr>
          <w:szCs w:val="18"/>
        </w:rPr>
        <w:t>% of the colonoscopies are done in public hospitals, the remaining 7</w:t>
      </w:r>
      <w:r w:rsidR="00582A81" w:rsidRPr="001B036C">
        <w:rPr>
          <w:szCs w:val="18"/>
        </w:rPr>
        <w:t>2.1</w:t>
      </w:r>
      <w:r w:rsidR="00B13448" w:rsidRPr="001B036C">
        <w:rPr>
          <w:szCs w:val="18"/>
        </w:rPr>
        <w:t xml:space="preserve">% are conducted in the </w:t>
      </w:r>
      <w:r w:rsidR="00582A81" w:rsidRPr="001B036C">
        <w:rPr>
          <w:szCs w:val="18"/>
        </w:rPr>
        <w:t>private day care</w:t>
      </w:r>
      <w:r w:rsidR="00292EDB" w:rsidRPr="001B036C">
        <w:rPr>
          <w:szCs w:val="18"/>
        </w:rPr>
        <w:t xml:space="preserve">. </w:t>
      </w:r>
    </w:p>
    <w:p w14:paraId="29056F1C" w14:textId="36C855D0" w:rsidR="002A20A1" w:rsidRPr="001B036C" w:rsidRDefault="002A20A1" w:rsidP="001F2E01">
      <w:pPr>
        <w:pStyle w:val="Tablenotes0"/>
        <w:rPr>
          <w:szCs w:val="18"/>
        </w:rPr>
      </w:pPr>
      <w:r w:rsidRPr="001B036C">
        <w:rPr>
          <w:szCs w:val="18"/>
          <w:vertAlign w:val="superscript"/>
        </w:rPr>
        <w:t>b</w:t>
      </w:r>
      <w:r w:rsidRPr="001B036C">
        <w:rPr>
          <w:szCs w:val="18"/>
        </w:rPr>
        <w:t xml:space="preserve"> </w:t>
      </w:r>
      <w:r w:rsidR="002A4842" w:rsidRPr="001B036C">
        <w:rPr>
          <w:szCs w:val="18"/>
        </w:rPr>
        <w:t xml:space="preserve">It was assumed that </w:t>
      </w:r>
      <w:r w:rsidR="00365418" w:rsidRPr="001B036C">
        <w:rPr>
          <w:szCs w:val="18"/>
        </w:rPr>
        <w:t>people living in rural/remote Australia</w:t>
      </w:r>
      <w:r w:rsidR="00BA13E4" w:rsidRPr="001B036C">
        <w:rPr>
          <w:szCs w:val="18"/>
        </w:rPr>
        <w:t xml:space="preserve"> (28%)</w:t>
      </w:r>
      <w:r w:rsidR="00365418" w:rsidRPr="001B036C">
        <w:rPr>
          <w:szCs w:val="18"/>
        </w:rPr>
        <w:t xml:space="preserve"> may not have direct access to specialist</w:t>
      </w:r>
      <w:r w:rsidR="00BA13E4" w:rsidRPr="001B036C">
        <w:rPr>
          <w:szCs w:val="18"/>
        </w:rPr>
        <w:t>. An additional GP consult was a</w:t>
      </w:r>
      <w:r w:rsidR="00AD4E2E" w:rsidRPr="001B036C">
        <w:rPr>
          <w:szCs w:val="18"/>
        </w:rPr>
        <w:t xml:space="preserve">ssumed in </w:t>
      </w:r>
      <w:r w:rsidR="00245260" w:rsidRPr="001B036C">
        <w:rPr>
          <w:szCs w:val="18"/>
        </w:rPr>
        <w:t xml:space="preserve">No FC arm for Symptomatic and </w:t>
      </w:r>
      <w:r w:rsidR="00A14EC4" w:rsidRPr="001B036C">
        <w:rPr>
          <w:szCs w:val="18"/>
        </w:rPr>
        <w:t>As</w:t>
      </w:r>
      <w:r w:rsidR="00245260" w:rsidRPr="001B036C">
        <w:rPr>
          <w:szCs w:val="18"/>
        </w:rPr>
        <w:t xml:space="preserve">ymptomatic patients who are assessed for disease. </w:t>
      </w:r>
      <w:r w:rsidR="00664245" w:rsidRPr="001B036C">
        <w:rPr>
          <w:szCs w:val="18"/>
        </w:rPr>
        <w:t xml:space="preserve">Asymptomatic patients who are not assessed for disease were assumed to be in remission and </w:t>
      </w:r>
      <w:r w:rsidR="00DE19DA" w:rsidRPr="001B036C">
        <w:rPr>
          <w:szCs w:val="18"/>
        </w:rPr>
        <w:t xml:space="preserve">not under medication and </w:t>
      </w:r>
      <w:r w:rsidR="006A0B1E" w:rsidRPr="001B036C">
        <w:rPr>
          <w:szCs w:val="18"/>
        </w:rPr>
        <w:t>have no reason to</w:t>
      </w:r>
      <w:r w:rsidR="00DE19DA" w:rsidRPr="001B036C">
        <w:rPr>
          <w:szCs w:val="18"/>
        </w:rPr>
        <w:t xml:space="preserve"> </w:t>
      </w:r>
      <w:r w:rsidR="00C5308B" w:rsidRPr="001B036C">
        <w:rPr>
          <w:szCs w:val="18"/>
        </w:rPr>
        <w:t>see a GP/</w:t>
      </w:r>
      <w:r w:rsidR="006A0B1E" w:rsidRPr="001B036C">
        <w:rPr>
          <w:szCs w:val="18"/>
        </w:rPr>
        <w:t>specialist.</w:t>
      </w:r>
    </w:p>
    <w:p w14:paraId="23B57F2D" w14:textId="054B77FB" w:rsidR="0019792D" w:rsidRPr="001B036C" w:rsidRDefault="006F062F" w:rsidP="0019792D">
      <w:pPr>
        <w:pStyle w:val="Heading2"/>
        <w:numPr>
          <w:ilvl w:val="0"/>
          <w:numId w:val="0"/>
        </w:numPr>
      </w:pPr>
      <w:bookmarkStart w:id="44" w:name="_Toc172753429"/>
      <w:bookmarkStart w:id="45" w:name="_Toc176422713"/>
      <w:r w:rsidRPr="001B036C">
        <w:lastRenderedPageBreak/>
        <w:t>1</w:t>
      </w:r>
      <w:r w:rsidR="00FA283C">
        <w:t>4</w:t>
      </w:r>
      <w:r w:rsidR="0019792D" w:rsidRPr="001B036C">
        <w:t>.</w:t>
      </w:r>
      <w:r w:rsidR="0019792D" w:rsidRPr="001B036C">
        <w:tab/>
        <w:t>Financial/budgetary impacts</w:t>
      </w:r>
      <w:bookmarkEnd w:id="44"/>
      <w:bookmarkEnd w:id="45"/>
    </w:p>
    <w:p w14:paraId="04DCB652" w14:textId="24DE6D5C" w:rsidR="0019792D" w:rsidRPr="001B036C" w:rsidRDefault="0019792D" w:rsidP="003B3AAA">
      <w:r w:rsidRPr="001B036C">
        <w:t>An epidemiological approach is used to estimate the eligible population that uses FC testing for monitoring of IBD in Australia. The assessment considered the incidence and prevalence of IBD in Australia to estimate the burden of IBD in Australia i.e., the eligible population for monitoring of IBD. The prevalence was based on a cross-sectional study using data from a national database of general practice electronic health records from 1 July 2017 to 30 June 2019 conducted by Busingye et al. This study showed a prevalence of 653 per 100,000. Previous Australian studies had reported a lower prevalence</w:t>
      </w:r>
      <w:r w:rsidR="000448D1" w:rsidRPr="001B036C">
        <w:t>,</w:t>
      </w:r>
      <w:r w:rsidRPr="001B036C">
        <w:t xml:space="preserve"> but those studies were conducted more than 10 years </w:t>
      </w:r>
      <w:proofErr w:type="gramStart"/>
      <w:r w:rsidRPr="001B036C">
        <w:t>ago</w:t>
      </w:r>
      <w:proofErr w:type="gramEnd"/>
      <w:r w:rsidR="000448D1" w:rsidRPr="001B036C">
        <w:t xml:space="preserve"> and</w:t>
      </w:r>
      <w:r w:rsidRPr="001B036C">
        <w:t xml:space="preserve"> evidence was limited by location (Victoria)</w:t>
      </w:r>
      <w:r w:rsidR="000448D1" w:rsidRPr="001B036C">
        <w:t>,</w:t>
      </w:r>
      <w:r w:rsidRPr="001B036C">
        <w:t xml:space="preserve"> sample size, and characteristics of the population studied. The assessment assumed an incidence of 19.8 per 100,000 based on a meta-analysis conducted by Forbes et al. 202</w:t>
      </w:r>
      <w:r w:rsidR="00332060">
        <w:t>4</w:t>
      </w:r>
      <w:r w:rsidR="00BD5740">
        <w:rPr>
          <w:rStyle w:val="FootnoteReference"/>
        </w:rPr>
        <w:footnoteReference w:id="36"/>
      </w:r>
      <w:r w:rsidRPr="001B036C">
        <w:t>. A summary of the epidemiological data used is presented in</w:t>
      </w:r>
      <w:r w:rsidR="003B3AAA" w:rsidRPr="001B036C">
        <w:t xml:space="preserve"> </w:t>
      </w:r>
      <w:r w:rsidR="003B3AAA" w:rsidRPr="001B036C">
        <w:fldChar w:fldCharType="begin"/>
      </w:r>
      <w:r w:rsidR="003B3AAA" w:rsidRPr="001B036C">
        <w:instrText xml:space="preserve"> REF _Ref175149715 \h  \* MERGEFORMAT </w:instrText>
      </w:r>
      <w:r w:rsidR="003B3AAA" w:rsidRPr="001B036C">
        <w:fldChar w:fldCharType="separate"/>
      </w:r>
      <w:r w:rsidR="00146804" w:rsidRPr="001B036C">
        <w:t xml:space="preserve">Table </w:t>
      </w:r>
      <w:r w:rsidR="00146804">
        <w:rPr>
          <w:noProof/>
        </w:rPr>
        <w:t>24</w:t>
      </w:r>
      <w:r w:rsidR="003B3AAA" w:rsidRPr="001B036C">
        <w:fldChar w:fldCharType="end"/>
      </w:r>
      <w:r w:rsidRPr="001B036C">
        <w:t xml:space="preserve">. </w:t>
      </w:r>
    </w:p>
    <w:p w14:paraId="224B1A85" w14:textId="061F1EF3" w:rsidR="0019792D" w:rsidRPr="001B036C" w:rsidRDefault="0019792D" w:rsidP="00F70556">
      <w:pPr>
        <w:pStyle w:val="Caption"/>
        <w:spacing w:before="0"/>
      </w:pPr>
      <w:bookmarkStart w:id="46" w:name="_Ref175149715"/>
      <w:r w:rsidRPr="001B036C">
        <w:t xml:space="preserve">Table </w:t>
      </w:r>
      <w:r>
        <w:fldChar w:fldCharType="begin"/>
      </w:r>
      <w:r>
        <w:instrText xml:space="preserve"> SEQ Table \* ARABIC </w:instrText>
      </w:r>
      <w:r>
        <w:fldChar w:fldCharType="separate"/>
      </w:r>
      <w:r w:rsidR="00B4653B">
        <w:rPr>
          <w:noProof/>
        </w:rPr>
        <w:t>24</w:t>
      </w:r>
      <w:r>
        <w:rPr>
          <w:noProof/>
        </w:rPr>
        <w:fldChar w:fldCharType="end"/>
      </w:r>
      <w:bookmarkEnd w:id="46"/>
      <w:r w:rsidRPr="001B036C">
        <w:t xml:space="preserve"> Epidemiological data sources and input values</w:t>
      </w:r>
    </w:p>
    <w:tbl>
      <w:tblPr>
        <w:tblStyle w:val="TableGrid"/>
        <w:tblW w:w="0" w:type="auto"/>
        <w:tblLook w:val="04A0" w:firstRow="1" w:lastRow="0" w:firstColumn="1" w:lastColumn="0" w:noHBand="0" w:noVBand="1"/>
      </w:tblPr>
      <w:tblGrid>
        <w:gridCol w:w="1435"/>
        <w:gridCol w:w="2541"/>
        <w:gridCol w:w="1427"/>
        <w:gridCol w:w="1792"/>
        <w:gridCol w:w="1821"/>
      </w:tblGrid>
      <w:tr w:rsidR="0019792D" w:rsidRPr="001B036C" w14:paraId="6EE6A4C0" w14:textId="77777777">
        <w:tc>
          <w:tcPr>
            <w:tcW w:w="1435" w:type="dxa"/>
          </w:tcPr>
          <w:p w14:paraId="364512AB" w14:textId="77777777" w:rsidR="0019792D" w:rsidRPr="001B036C" w:rsidRDefault="0019792D" w:rsidP="00D47945">
            <w:pPr>
              <w:pStyle w:val="In-tableHeading"/>
            </w:pPr>
            <w:r w:rsidRPr="001B036C">
              <w:t>Author</w:t>
            </w:r>
          </w:p>
        </w:tc>
        <w:tc>
          <w:tcPr>
            <w:tcW w:w="2541" w:type="dxa"/>
          </w:tcPr>
          <w:p w14:paraId="12EA065C" w14:textId="77777777" w:rsidR="0019792D" w:rsidRPr="001B036C" w:rsidRDefault="0019792D" w:rsidP="00D47945">
            <w:pPr>
              <w:pStyle w:val="In-tableHeading"/>
            </w:pPr>
            <w:r w:rsidRPr="001B036C">
              <w:t>Title</w:t>
            </w:r>
          </w:p>
        </w:tc>
        <w:tc>
          <w:tcPr>
            <w:tcW w:w="1427" w:type="dxa"/>
          </w:tcPr>
          <w:p w14:paraId="3702C1E7" w14:textId="77777777" w:rsidR="0019792D" w:rsidRPr="001B036C" w:rsidRDefault="0019792D" w:rsidP="00D47945">
            <w:pPr>
              <w:pStyle w:val="In-tableHeading"/>
            </w:pPr>
            <w:r w:rsidRPr="001B036C">
              <w:t>Year</w:t>
            </w:r>
          </w:p>
          <w:p w14:paraId="7FD58385" w14:textId="77777777" w:rsidR="0019792D" w:rsidRPr="001B036C" w:rsidRDefault="0019792D" w:rsidP="00D47945">
            <w:pPr>
              <w:pStyle w:val="In-tableHeading"/>
            </w:pPr>
            <w:r w:rsidRPr="001B036C">
              <w:t>Location</w:t>
            </w:r>
          </w:p>
        </w:tc>
        <w:tc>
          <w:tcPr>
            <w:tcW w:w="1792" w:type="dxa"/>
          </w:tcPr>
          <w:p w14:paraId="3D2385E5" w14:textId="77777777" w:rsidR="0019792D" w:rsidRPr="001B036C" w:rsidRDefault="0019792D" w:rsidP="00D47945">
            <w:pPr>
              <w:pStyle w:val="In-tableHeading"/>
            </w:pPr>
            <w:r w:rsidRPr="001B036C">
              <w:t>Prevalence</w:t>
            </w:r>
          </w:p>
        </w:tc>
        <w:tc>
          <w:tcPr>
            <w:tcW w:w="1821" w:type="dxa"/>
          </w:tcPr>
          <w:p w14:paraId="16D47058" w14:textId="77777777" w:rsidR="0019792D" w:rsidRPr="001B036C" w:rsidRDefault="0019792D" w:rsidP="00D47945">
            <w:pPr>
              <w:pStyle w:val="In-tableHeading"/>
            </w:pPr>
            <w:r w:rsidRPr="001B036C">
              <w:t>Incidence</w:t>
            </w:r>
          </w:p>
        </w:tc>
      </w:tr>
      <w:tr w:rsidR="0019792D" w:rsidRPr="001B036C" w14:paraId="072C29CC" w14:textId="77777777">
        <w:tc>
          <w:tcPr>
            <w:tcW w:w="1435" w:type="dxa"/>
          </w:tcPr>
          <w:p w14:paraId="214B5037" w14:textId="1DEE9800" w:rsidR="0019792D" w:rsidRPr="001B036C" w:rsidRDefault="00E34FA9" w:rsidP="001C6A90">
            <w:pPr>
              <w:pStyle w:val="Tabletext0"/>
              <w:jc w:val="left"/>
            </w:pPr>
            <w:r>
              <w:t>Wilson</w:t>
            </w:r>
            <w:r w:rsidR="0019792D" w:rsidRPr="001B036C">
              <w:t xml:space="preserve"> </w:t>
            </w:r>
            <w:r>
              <w:t>J</w:t>
            </w:r>
            <w:r w:rsidR="0019792D" w:rsidRPr="001B036C">
              <w:t xml:space="preserve"> et al 2010</w:t>
            </w:r>
            <w:r w:rsidR="009C063C">
              <w:rPr>
                <w:rStyle w:val="FootnoteReference"/>
              </w:rPr>
              <w:footnoteReference w:id="37"/>
            </w:r>
          </w:p>
        </w:tc>
        <w:tc>
          <w:tcPr>
            <w:tcW w:w="2541" w:type="dxa"/>
          </w:tcPr>
          <w:p w14:paraId="61510833" w14:textId="77777777" w:rsidR="0019792D" w:rsidRPr="001B036C" w:rsidRDefault="0019792D" w:rsidP="001C6A90">
            <w:pPr>
              <w:pStyle w:val="Tabletext0"/>
              <w:jc w:val="left"/>
            </w:pPr>
            <w:r w:rsidRPr="001B036C">
              <w:t>High incidence of inflammatory bowel disease in Australia: a prospective population-based Australian incidence study</w:t>
            </w:r>
          </w:p>
        </w:tc>
        <w:tc>
          <w:tcPr>
            <w:tcW w:w="1427" w:type="dxa"/>
          </w:tcPr>
          <w:p w14:paraId="7CB46B88" w14:textId="77777777" w:rsidR="0019792D" w:rsidRPr="001B036C" w:rsidRDefault="0019792D" w:rsidP="001C6A90">
            <w:pPr>
              <w:pStyle w:val="Tabletext0"/>
              <w:jc w:val="left"/>
            </w:pPr>
            <w:r w:rsidRPr="001B036C">
              <w:t>2007 – 2008</w:t>
            </w:r>
          </w:p>
          <w:p w14:paraId="308E4CE6" w14:textId="77777777" w:rsidR="0019792D" w:rsidRPr="001B036C" w:rsidRDefault="0019792D" w:rsidP="001C6A90">
            <w:pPr>
              <w:pStyle w:val="Tabletext0"/>
              <w:jc w:val="left"/>
            </w:pPr>
            <w:r w:rsidRPr="001B036C">
              <w:t>Greater Geelong, Victoria</w:t>
            </w:r>
          </w:p>
        </w:tc>
        <w:tc>
          <w:tcPr>
            <w:tcW w:w="1792" w:type="dxa"/>
          </w:tcPr>
          <w:p w14:paraId="5E28DD35" w14:textId="77777777" w:rsidR="0019792D" w:rsidRPr="001B036C" w:rsidRDefault="0019792D" w:rsidP="001C6A90">
            <w:pPr>
              <w:pStyle w:val="Tabletext0"/>
              <w:jc w:val="left"/>
            </w:pPr>
            <w:r w:rsidRPr="001B036C">
              <w:t>NR</w:t>
            </w:r>
          </w:p>
        </w:tc>
        <w:tc>
          <w:tcPr>
            <w:tcW w:w="1821" w:type="dxa"/>
          </w:tcPr>
          <w:p w14:paraId="60BB294C" w14:textId="77777777" w:rsidR="0019792D" w:rsidRPr="001B036C" w:rsidRDefault="0019792D" w:rsidP="001C6A90">
            <w:pPr>
              <w:pStyle w:val="Tabletext0"/>
              <w:jc w:val="left"/>
            </w:pPr>
            <w:r w:rsidRPr="001B036C">
              <w:t>29.6 per 100,000</w:t>
            </w:r>
          </w:p>
        </w:tc>
      </w:tr>
      <w:tr w:rsidR="0019792D" w:rsidRPr="001B036C" w14:paraId="7169EC7D" w14:textId="77777777">
        <w:tc>
          <w:tcPr>
            <w:tcW w:w="1435" w:type="dxa"/>
          </w:tcPr>
          <w:p w14:paraId="444C1AC6" w14:textId="59477451" w:rsidR="0019792D" w:rsidRPr="001B036C" w:rsidRDefault="0019792D" w:rsidP="001C6A90">
            <w:pPr>
              <w:pStyle w:val="Tabletext0"/>
              <w:jc w:val="left"/>
            </w:pPr>
            <w:r w:rsidRPr="001B036C">
              <w:t>Studd C et al 2015</w:t>
            </w:r>
            <w:r w:rsidR="007272D6">
              <w:rPr>
                <w:rStyle w:val="FootnoteReference"/>
              </w:rPr>
              <w:footnoteReference w:id="38"/>
            </w:r>
          </w:p>
        </w:tc>
        <w:tc>
          <w:tcPr>
            <w:tcW w:w="2541" w:type="dxa"/>
          </w:tcPr>
          <w:p w14:paraId="36AC0974" w14:textId="77777777" w:rsidR="0019792D" w:rsidRPr="001B036C" w:rsidRDefault="0019792D" w:rsidP="001C6A90">
            <w:pPr>
              <w:pStyle w:val="Tabletext0"/>
              <w:jc w:val="left"/>
            </w:pPr>
            <w:r w:rsidRPr="001B036C">
              <w:t>Never underestimate inflammatory bowel disease: High prevalence rates and confirmation of high incidence rates in Australia</w:t>
            </w:r>
          </w:p>
        </w:tc>
        <w:tc>
          <w:tcPr>
            <w:tcW w:w="1427" w:type="dxa"/>
          </w:tcPr>
          <w:p w14:paraId="00F373B9" w14:textId="77777777" w:rsidR="0019792D" w:rsidRPr="001B036C" w:rsidRDefault="0019792D" w:rsidP="001C6A90">
            <w:pPr>
              <w:pStyle w:val="Tabletext0"/>
              <w:jc w:val="left"/>
            </w:pPr>
            <w:r w:rsidRPr="001B036C">
              <w:t>2011</w:t>
            </w:r>
          </w:p>
          <w:p w14:paraId="16AB25C0" w14:textId="77777777" w:rsidR="0019792D" w:rsidRPr="001B036C" w:rsidRDefault="0019792D" w:rsidP="001C6A90">
            <w:pPr>
              <w:pStyle w:val="Tabletext0"/>
              <w:jc w:val="left"/>
            </w:pPr>
            <w:r w:rsidRPr="001B036C">
              <w:t>Barwon, Victoria</w:t>
            </w:r>
          </w:p>
        </w:tc>
        <w:tc>
          <w:tcPr>
            <w:tcW w:w="1792" w:type="dxa"/>
          </w:tcPr>
          <w:p w14:paraId="3ED3EA4D" w14:textId="77777777" w:rsidR="0019792D" w:rsidRPr="001B036C" w:rsidRDefault="0019792D" w:rsidP="001C6A90">
            <w:pPr>
              <w:pStyle w:val="Tabletext0"/>
              <w:jc w:val="left"/>
            </w:pPr>
            <w:r w:rsidRPr="001B036C">
              <w:t>Crude estimate: 344.6/100,000</w:t>
            </w:r>
          </w:p>
        </w:tc>
        <w:tc>
          <w:tcPr>
            <w:tcW w:w="1821" w:type="dxa"/>
          </w:tcPr>
          <w:p w14:paraId="62D0701D" w14:textId="77777777" w:rsidR="0019792D" w:rsidRPr="001B036C" w:rsidRDefault="0019792D" w:rsidP="001C6A90">
            <w:pPr>
              <w:pStyle w:val="Tabletext0"/>
              <w:jc w:val="left"/>
            </w:pPr>
            <w:r w:rsidRPr="001B036C">
              <w:t>Crude estimate: 24.2/100,000</w:t>
            </w:r>
          </w:p>
        </w:tc>
      </w:tr>
      <w:tr w:rsidR="0019792D" w:rsidRPr="001B036C" w14:paraId="518A4FD7" w14:textId="77777777">
        <w:tc>
          <w:tcPr>
            <w:tcW w:w="1435" w:type="dxa"/>
          </w:tcPr>
          <w:p w14:paraId="07A25D17" w14:textId="385D6919" w:rsidR="0019792D" w:rsidRPr="001B036C" w:rsidRDefault="0019792D" w:rsidP="001C6A90">
            <w:pPr>
              <w:pStyle w:val="Tabletext0"/>
              <w:jc w:val="left"/>
            </w:pPr>
            <w:r w:rsidRPr="001B036C">
              <w:t>Crohn’s &amp; Colitis Australia 2013</w:t>
            </w:r>
            <w:r w:rsidR="007272D6">
              <w:rPr>
                <w:rStyle w:val="FootnoteReference"/>
              </w:rPr>
              <w:footnoteReference w:id="39"/>
            </w:r>
          </w:p>
        </w:tc>
        <w:tc>
          <w:tcPr>
            <w:tcW w:w="2541" w:type="dxa"/>
          </w:tcPr>
          <w:p w14:paraId="7ADA018F" w14:textId="77777777" w:rsidR="0019792D" w:rsidRPr="001B036C" w:rsidRDefault="0019792D" w:rsidP="001C6A90">
            <w:pPr>
              <w:pStyle w:val="Tabletext0"/>
              <w:jc w:val="left"/>
            </w:pPr>
            <w:r w:rsidRPr="001B036C">
              <w:t>Improving Inflammatory Bowel Disease care across Australia</w:t>
            </w:r>
          </w:p>
        </w:tc>
        <w:tc>
          <w:tcPr>
            <w:tcW w:w="1427" w:type="dxa"/>
          </w:tcPr>
          <w:p w14:paraId="187AD2B9" w14:textId="77777777" w:rsidR="0019792D" w:rsidRPr="001B036C" w:rsidRDefault="0019792D" w:rsidP="001C6A90">
            <w:pPr>
              <w:pStyle w:val="Tabletext0"/>
              <w:jc w:val="left"/>
            </w:pPr>
            <w:r w:rsidRPr="001B036C">
              <w:t>2012</w:t>
            </w:r>
          </w:p>
        </w:tc>
        <w:tc>
          <w:tcPr>
            <w:tcW w:w="1792" w:type="dxa"/>
          </w:tcPr>
          <w:p w14:paraId="3AF2BBC7" w14:textId="77777777" w:rsidR="0019792D" w:rsidRPr="001B036C" w:rsidRDefault="0019792D" w:rsidP="001C6A90">
            <w:pPr>
              <w:pStyle w:val="Tabletext0"/>
              <w:jc w:val="left"/>
            </w:pPr>
            <w:r w:rsidRPr="001B036C">
              <w:t>Estimated mean</w:t>
            </w:r>
            <w:r w:rsidRPr="001B036C">
              <w:rPr>
                <w:vertAlign w:val="superscript"/>
              </w:rPr>
              <w:t>1</w:t>
            </w:r>
            <w:r w:rsidRPr="001B036C">
              <w:t>: 74,955</w:t>
            </w:r>
          </w:p>
        </w:tc>
        <w:tc>
          <w:tcPr>
            <w:tcW w:w="1821" w:type="dxa"/>
          </w:tcPr>
          <w:p w14:paraId="0D1AA075" w14:textId="77777777" w:rsidR="0019792D" w:rsidRPr="001B036C" w:rsidRDefault="0019792D" w:rsidP="001C6A90">
            <w:pPr>
              <w:pStyle w:val="Tabletext0"/>
              <w:jc w:val="left"/>
            </w:pPr>
            <w:r w:rsidRPr="001B036C">
              <w:t>NR</w:t>
            </w:r>
          </w:p>
        </w:tc>
      </w:tr>
      <w:tr w:rsidR="0019792D" w:rsidRPr="001B036C" w14:paraId="775771BC" w14:textId="77777777">
        <w:tc>
          <w:tcPr>
            <w:tcW w:w="1435" w:type="dxa"/>
          </w:tcPr>
          <w:p w14:paraId="4225D2CE" w14:textId="06CE5413" w:rsidR="0019792D" w:rsidRPr="001B036C" w:rsidRDefault="0019792D" w:rsidP="001C6A90">
            <w:pPr>
              <w:pStyle w:val="Tabletext0"/>
              <w:jc w:val="left"/>
            </w:pPr>
            <w:r w:rsidRPr="001B036C">
              <w:t>Busingye D et al, 2021</w:t>
            </w:r>
            <w:r w:rsidR="00031648">
              <w:rPr>
                <w:rStyle w:val="FootnoteReference"/>
              </w:rPr>
              <w:footnoteReference w:id="40"/>
            </w:r>
          </w:p>
        </w:tc>
        <w:tc>
          <w:tcPr>
            <w:tcW w:w="2541" w:type="dxa"/>
          </w:tcPr>
          <w:p w14:paraId="401511A9" w14:textId="77777777" w:rsidR="0019792D" w:rsidRPr="001B036C" w:rsidRDefault="0019792D" w:rsidP="001C6A90">
            <w:pPr>
              <w:pStyle w:val="Tabletext0"/>
              <w:jc w:val="left"/>
            </w:pPr>
            <w:r w:rsidRPr="001B036C">
              <w:t>Prevalence of inflammatory bowel disease in the Australian general practice population: A cross-sectional study</w:t>
            </w:r>
          </w:p>
        </w:tc>
        <w:tc>
          <w:tcPr>
            <w:tcW w:w="1427" w:type="dxa"/>
          </w:tcPr>
          <w:p w14:paraId="03535EA9" w14:textId="77777777" w:rsidR="0019792D" w:rsidRPr="001B036C" w:rsidRDefault="0019792D" w:rsidP="001C6A90">
            <w:pPr>
              <w:pStyle w:val="Tabletext0"/>
              <w:jc w:val="left"/>
            </w:pPr>
            <w:r w:rsidRPr="001B036C">
              <w:t>2017-2019</w:t>
            </w:r>
          </w:p>
        </w:tc>
        <w:tc>
          <w:tcPr>
            <w:tcW w:w="1792" w:type="dxa"/>
          </w:tcPr>
          <w:p w14:paraId="306319D7" w14:textId="77777777" w:rsidR="0019792D" w:rsidRPr="001B036C" w:rsidRDefault="0019792D" w:rsidP="001C6A90">
            <w:pPr>
              <w:pStyle w:val="Tabletext0"/>
              <w:jc w:val="left"/>
              <w:rPr>
                <w:vertAlign w:val="superscript"/>
              </w:rPr>
            </w:pPr>
            <w:r w:rsidRPr="001B036C">
              <w:t>653 per 100,000 patients</w:t>
            </w:r>
            <w:r w:rsidRPr="001B036C">
              <w:rPr>
                <w:vertAlign w:val="superscript"/>
              </w:rPr>
              <w:t>2</w:t>
            </w:r>
          </w:p>
        </w:tc>
        <w:tc>
          <w:tcPr>
            <w:tcW w:w="1821" w:type="dxa"/>
          </w:tcPr>
          <w:p w14:paraId="64E31988" w14:textId="77777777" w:rsidR="0019792D" w:rsidRPr="001B036C" w:rsidRDefault="0019792D" w:rsidP="001C6A90">
            <w:pPr>
              <w:pStyle w:val="Tabletext0"/>
              <w:jc w:val="left"/>
            </w:pPr>
            <w:r w:rsidRPr="001B036C">
              <w:t>NR</w:t>
            </w:r>
          </w:p>
        </w:tc>
      </w:tr>
      <w:tr w:rsidR="0019792D" w:rsidRPr="001B036C" w14:paraId="1C70BB04" w14:textId="77777777">
        <w:tc>
          <w:tcPr>
            <w:tcW w:w="1435" w:type="dxa"/>
          </w:tcPr>
          <w:p w14:paraId="70B338BF" w14:textId="691B67C2" w:rsidR="0019792D" w:rsidRPr="001B036C" w:rsidRDefault="0019792D" w:rsidP="001C6A90">
            <w:pPr>
              <w:pStyle w:val="Tabletext0"/>
              <w:jc w:val="left"/>
            </w:pPr>
            <w:r w:rsidRPr="001B036C">
              <w:t>Forbes et al., 2023</w:t>
            </w:r>
            <w:r w:rsidR="00876610" w:rsidRPr="00083E3C">
              <w:rPr>
                <w:vertAlign w:val="superscript"/>
              </w:rPr>
              <w:t>3</w:t>
            </w:r>
            <w:r w:rsidR="00503C1E">
              <w:rPr>
                <w:vertAlign w:val="superscript"/>
              </w:rPr>
              <w:t>5</w:t>
            </w:r>
          </w:p>
        </w:tc>
        <w:tc>
          <w:tcPr>
            <w:tcW w:w="2541" w:type="dxa"/>
          </w:tcPr>
          <w:p w14:paraId="2694F68B" w14:textId="77777777" w:rsidR="0019792D" w:rsidRPr="001B036C" w:rsidRDefault="0019792D" w:rsidP="001C6A90">
            <w:pPr>
              <w:pStyle w:val="Tabletext0"/>
              <w:jc w:val="left"/>
            </w:pPr>
            <w:r w:rsidRPr="001B036C">
              <w:t>The Epidemiology of Inflammatory Bowel Disease in Oceania: A Systematic Review and Meta-Analysis of Incidence and Prevalence</w:t>
            </w:r>
          </w:p>
        </w:tc>
        <w:tc>
          <w:tcPr>
            <w:tcW w:w="1427" w:type="dxa"/>
          </w:tcPr>
          <w:p w14:paraId="3BC2EF6A" w14:textId="77777777" w:rsidR="0019792D" w:rsidRPr="001B036C" w:rsidRDefault="0019792D" w:rsidP="001C6A90">
            <w:pPr>
              <w:pStyle w:val="Tabletext0"/>
              <w:jc w:val="left"/>
            </w:pPr>
            <w:r w:rsidRPr="001B036C">
              <w:t>Australia, New Zealand and Pacific islands</w:t>
            </w:r>
          </w:p>
        </w:tc>
        <w:tc>
          <w:tcPr>
            <w:tcW w:w="1792" w:type="dxa"/>
          </w:tcPr>
          <w:p w14:paraId="406782D6" w14:textId="77777777" w:rsidR="0019792D" w:rsidRPr="001B036C" w:rsidRDefault="0019792D" w:rsidP="001C6A90">
            <w:pPr>
              <w:pStyle w:val="Tabletext0"/>
              <w:jc w:val="left"/>
            </w:pPr>
            <w:r w:rsidRPr="001B036C">
              <w:t>Pooled estimate of 303 per 100,000</w:t>
            </w:r>
          </w:p>
        </w:tc>
        <w:tc>
          <w:tcPr>
            <w:tcW w:w="1821" w:type="dxa"/>
          </w:tcPr>
          <w:p w14:paraId="5E13109A" w14:textId="77777777" w:rsidR="0019792D" w:rsidRPr="001B036C" w:rsidRDefault="0019792D" w:rsidP="001C6A90">
            <w:pPr>
              <w:pStyle w:val="Tabletext0"/>
              <w:jc w:val="left"/>
              <w:rPr>
                <w:vertAlign w:val="superscript"/>
              </w:rPr>
            </w:pPr>
            <w:r w:rsidRPr="001B036C">
              <w:t>19.8 per 100,000</w:t>
            </w:r>
            <w:r w:rsidRPr="001B036C">
              <w:rPr>
                <w:vertAlign w:val="superscript"/>
              </w:rPr>
              <w:t>2</w:t>
            </w:r>
          </w:p>
        </w:tc>
      </w:tr>
    </w:tbl>
    <w:p w14:paraId="2BC33E7A" w14:textId="77777777" w:rsidR="0019792D" w:rsidRPr="001B036C" w:rsidRDefault="0019792D" w:rsidP="00F70556">
      <w:pPr>
        <w:pStyle w:val="Tablenotes0"/>
        <w:spacing w:before="0"/>
      </w:pPr>
      <w:r w:rsidRPr="001B036C">
        <w:t>NR= not reported</w:t>
      </w:r>
    </w:p>
    <w:p w14:paraId="7C40A6BB" w14:textId="77777777" w:rsidR="0019792D" w:rsidRPr="001B036C" w:rsidRDefault="0019792D" w:rsidP="0019792D">
      <w:pPr>
        <w:pStyle w:val="Tablenotes0"/>
      </w:pPr>
      <w:r w:rsidRPr="001B036C">
        <w:rPr>
          <w:vertAlign w:val="superscript"/>
        </w:rPr>
        <w:t xml:space="preserve">1 </w:t>
      </w:r>
      <w:r w:rsidRPr="001B036C">
        <w:t xml:space="preserve">This number was estimated based on a triangulation method based on published Australian data. Two of the three sources used in this approach were identified during this DCAR.  </w:t>
      </w:r>
    </w:p>
    <w:p w14:paraId="12973D07" w14:textId="538CFBBE" w:rsidR="003974C7" w:rsidRPr="001B036C" w:rsidRDefault="0019792D" w:rsidP="0019792D">
      <w:pPr>
        <w:pStyle w:val="Tablenotes0"/>
      </w:pPr>
      <w:r w:rsidRPr="001B036C">
        <w:rPr>
          <w:vertAlign w:val="superscript"/>
        </w:rPr>
        <w:t>2</w:t>
      </w:r>
      <w:r w:rsidRPr="001B036C">
        <w:t xml:space="preserve"> IBD prevalence and incidence inputs used in the current assessment.</w:t>
      </w:r>
    </w:p>
    <w:p w14:paraId="48637824" w14:textId="3F3F5E47" w:rsidR="003974C7" w:rsidRPr="001B036C" w:rsidRDefault="009152A8" w:rsidP="003974C7">
      <w:r w:rsidRPr="001B036C">
        <w:lastRenderedPageBreak/>
        <w:fldChar w:fldCharType="begin"/>
      </w:r>
      <w:r w:rsidRPr="001B036C">
        <w:instrText xml:space="preserve"> REF _Ref175149867 \h </w:instrText>
      </w:r>
      <w:r w:rsidR="001B036C">
        <w:instrText xml:space="preserve"> \* MERGEFORMAT </w:instrText>
      </w:r>
      <w:r w:rsidRPr="001B036C">
        <w:fldChar w:fldCharType="separate"/>
      </w:r>
      <w:r w:rsidR="00146804" w:rsidRPr="001B036C">
        <w:t xml:space="preserve">Table </w:t>
      </w:r>
      <w:r w:rsidR="00146804">
        <w:rPr>
          <w:noProof/>
        </w:rPr>
        <w:t>25</w:t>
      </w:r>
      <w:r w:rsidRPr="001B036C">
        <w:fldChar w:fldCharType="end"/>
      </w:r>
      <w:r w:rsidRPr="001B036C">
        <w:t xml:space="preserve"> </w:t>
      </w:r>
      <w:r w:rsidR="003974C7" w:rsidRPr="001B036C">
        <w:t>presents the 6-year projected prevalence (2025-2030) which was estimated based on a prevalence of 653 per 100,000 population, an incidence of 19.8 per 100,000 population, a projected Australian population in 2024 of 27,824,827 and an annual population growth of 2.5%</w:t>
      </w:r>
      <w:r w:rsidR="00E17D10" w:rsidRPr="00083E3C">
        <w:rPr>
          <w:vertAlign w:val="superscript"/>
        </w:rPr>
        <w:t>1</w:t>
      </w:r>
      <w:r w:rsidR="003974C7" w:rsidRPr="001B036C">
        <w:t xml:space="preserve"> </w:t>
      </w:r>
    </w:p>
    <w:p w14:paraId="351BFE38" w14:textId="63F1C9EA" w:rsidR="0019792D" w:rsidRPr="001B036C" w:rsidRDefault="0019792D" w:rsidP="0019792D">
      <w:pPr>
        <w:pStyle w:val="Caption"/>
      </w:pPr>
      <w:bookmarkStart w:id="47" w:name="_Ref175149867"/>
      <w:r w:rsidRPr="001B036C">
        <w:t xml:space="preserve">Table </w:t>
      </w:r>
      <w:r>
        <w:fldChar w:fldCharType="begin"/>
      </w:r>
      <w:r>
        <w:instrText xml:space="preserve"> SEQ Table \* ARABIC </w:instrText>
      </w:r>
      <w:r>
        <w:fldChar w:fldCharType="separate"/>
      </w:r>
      <w:r w:rsidR="00B4653B">
        <w:rPr>
          <w:noProof/>
        </w:rPr>
        <w:t>25</w:t>
      </w:r>
      <w:r>
        <w:rPr>
          <w:noProof/>
        </w:rPr>
        <w:fldChar w:fldCharType="end"/>
      </w:r>
      <w:bookmarkEnd w:id="47"/>
      <w:r w:rsidRPr="001B036C">
        <w:t xml:space="preserve"> Estimated burden of IBD in Australia</w:t>
      </w:r>
    </w:p>
    <w:tbl>
      <w:tblPr>
        <w:tblStyle w:val="TableGrid"/>
        <w:tblW w:w="5000" w:type="pct"/>
        <w:tblLook w:val="04A0" w:firstRow="1" w:lastRow="0" w:firstColumn="1" w:lastColumn="0" w:noHBand="0" w:noVBand="1"/>
      </w:tblPr>
      <w:tblGrid>
        <w:gridCol w:w="1037"/>
        <w:gridCol w:w="1100"/>
        <w:gridCol w:w="1146"/>
        <w:gridCol w:w="1146"/>
        <w:gridCol w:w="1146"/>
        <w:gridCol w:w="1147"/>
        <w:gridCol w:w="1147"/>
        <w:gridCol w:w="1147"/>
      </w:tblGrid>
      <w:tr w:rsidR="0019792D" w:rsidRPr="001B036C" w14:paraId="38B79FB9" w14:textId="77777777">
        <w:tc>
          <w:tcPr>
            <w:tcW w:w="565" w:type="pct"/>
          </w:tcPr>
          <w:p w14:paraId="0DF4786C" w14:textId="77777777" w:rsidR="0019792D" w:rsidRPr="001B036C" w:rsidRDefault="0019792D" w:rsidP="00D47945">
            <w:pPr>
              <w:pStyle w:val="In-tableHeading"/>
            </w:pPr>
            <w:r w:rsidRPr="001B036C">
              <w:t>Parameter</w:t>
            </w:r>
          </w:p>
        </w:tc>
        <w:tc>
          <w:tcPr>
            <w:tcW w:w="355" w:type="pct"/>
          </w:tcPr>
          <w:p w14:paraId="76BC850C" w14:textId="77777777" w:rsidR="0019792D" w:rsidRPr="001B036C" w:rsidRDefault="0019792D" w:rsidP="00D47945">
            <w:pPr>
              <w:pStyle w:val="In-tableHeading"/>
            </w:pPr>
            <w:r w:rsidRPr="001B036C">
              <w:t>Calculation</w:t>
            </w:r>
          </w:p>
        </w:tc>
        <w:tc>
          <w:tcPr>
            <w:tcW w:w="680" w:type="pct"/>
            <w:vAlign w:val="bottom"/>
          </w:tcPr>
          <w:p w14:paraId="394917F1" w14:textId="77777777" w:rsidR="0019792D" w:rsidRPr="001B036C" w:rsidRDefault="0019792D" w:rsidP="00D47945">
            <w:pPr>
              <w:pStyle w:val="In-tableHeading"/>
            </w:pPr>
            <w:r w:rsidRPr="001B036C">
              <w:t>2025</w:t>
            </w:r>
          </w:p>
        </w:tc>
        <w:tc>
          <w:tcPr>
            <w:tcW w:w="680" w:type="pct"/>
            <w:vAlign w:val="bottom"/>
          </w:tcPr>
          <w:p w14:paraId="442858AF" w14:textId="77777777" w:rsidR="0019792D" w:rsidRPr="001B036C" w:rsidRDefault="0019792D" w:rsidP="00D47945">
            <w:pPr>
              <w:pStyle w:val="In-tableHeading"/>
            </w:pPr>
            <w:r w:rsidRPr="001B036C">
              <w:t>2026</w:t>
            </w:r>
          </w:p>
        </w:tc>
        <w:tc>
          <w:tcPr>
            <w:tcW w:w="680" w:type="pct"/>
            <w:vAlign w:val="bottom"/>
          </w:tcPr>
          <w:p w14:paraId="5ADF0D23" w14:textId="77777777" w:rsidR="0019792D" w:rsidRPr="001B036C" w:rsidRDefault="0019792D" w:rsidP="00D47945">
            <w:pPr>
              <w:pStyle w:val="In-tableHeading"/>
            </w:pPr>
            <w:r w:rsidRPr="001B036C">
              <w:t>2027</w:t>
            </w:r>
          </w:p>
        </w:tc>
        <w:tc>
          <w:tcPr>
            <w:tcW w:w="680" w:type="pct"/>
            <w:vAlign w:val="bottom"/>
          </w:tcPr>
          <w:p w14:paraId="3A07D035" w14:textId="77777777" w:rsidR="0019792D" w:rsidRPr="001B036C" w:rsidRDefault="0019792D" w:rsidP="00D47945">
            <w:pPr>
              <w:pStyle w:val="In-tableHeading"/>
            </w:pPr>
            <w:r w:rsidRPr="001B036C">
              <w:t>2028</w:t>
            </w:r>
          </w:p>
        </w:tc>
        <w:tc>
          <w:tcPr>
            <w:tcW w:w="680" w:type="pct"/>
            <w:vAlign w:val="bottom"/>
          </w:tcPr>
          <w:p w14:paraId="58CB4896" w14:textId="77777777" w:rsidR="0019792D" w:rsidRPr="001B036C" w:rsidRDefault="0019792D" w:rsidP="00D47945">
            <w:pPr>
              <w:pStyle w:val="In-tableHeading"/>
            </w:pPr>
            <w:r w:rsidRPr="001B036C">
              <w:t>2029</w:t>
            </w:r>
          </w:p>
        </w:tc>
        <w:tc>
          <w:tcPr>
            <w:tcW w:w="680" w:type="pct"/>
            <w:vAlign w:val="bottom"/>
          </w:tcPr>
          <w:p w14:paraId="09AC7956" w14:textId="77777777" w:rsidR="0019792D" w:rsidRPr="001B036C" w:rsidRDefault="0019792D" w:rsidP="00D47945">
            <w:pPr>
              <w:pStyle w:val="In-tableHeading"/>
            </w:pPr>
            <w:r w:rsidRPr="001B036C">
              <w:t>2030</w:t>
            </w:r>
          </w:p>
        </w:tc>
      </w:tr>
      <w:tr w:rsidR="0019792D" w:rsidRPr="001B036C" w14:paraId="03DBF054" w14:textId="77777777">
        <w:tc>
          <w:tcPr>
            <w:tcW w:w="565" w:type="pct"/>
          </w:tcPr>
          <w:p w14:paraId="777760FC" w14:textId="77777777" w:rsidR="0019792D" w:rsidRPr="001B036C" w:rsidRDefault="0019792D">
            <w:pPr>
              <w:pStyle w:val="Tabletext0"/>
              <w:jc w:val="left"/>
            </w:pPr>
            <w:r w:rsidRPr="001B036C">
              <w:t>Population</w:t>
            </w:r>
          </w:p>
        </w:tc>
        <w:tc>
          <w:tcPr>
            <w:tcW w:w="355" w:type="pct"/>
          </w:tcPr>
          <w:p w14:paraId="39D08926" w14:textId="7F26BB92" w:rsidR="0019792D" w:rsidRPr="001B036C" w:rsidRDefault="0019792D">
            <w:pPr>
              <w:pStyle w:val="Tabletext0"/>
              <w:jc w:val="left"/>
            </w:pPr>
            <w:r w:rsidRPr="001B036C">
              <w:t>Annual population growing at a rate of 2</w:t>
            </w:r>
            <w:r w:rsidR="00FE7883" w:rsidRPr="001B036C">
              <w:t>.</w:t>
            </w:r>
            <w:r w:rsidRPr="001B036C">
              <w:t>5% per year</w:t>
            </w:r>
          </w:p>
        </w:tc>
        <w:tc>
          <w:tcPr>
            <w:tcW w:w="680" w:type="pct"/>
            <w:vAlign w:val="bottom"/>
          </w:tcPr>
          <w:p w14:paraId="102A5C56" w14:textId="77777777" w:rsidR="0019792D" w:rsidRPr="001B036C" w:rsidRDefault="0019792D">
            <w:pPr>
              <w:pStyle w:val="Tabletext0"/>
              <w:jc w:val="left"/>
            </w:pPr>
            <w:r w:rsidRPr="001B036C">
              <w:t>28,520,448</w:t>
            </w:r>
          </w:p>
        </w:tc>
        <w:tc>
          <w:tcPr>
            <w:tcW w:w="680" w:type="pct"/>
            <w:vAlign w:val="bottom"/>
          </w:tcPr>
          <w:p w14:paraId="44250770" w14:textId="77777777" w:rsidR="0019792D" w:rsidRPr="001B036C" w:rsidRDefault="0019792D">
            <w:pPr>
              <w:pStyle w:val="Tabletext0"/>
              <w:jc w:val="left"/>
            </w:pPr>
            <w:r w:rsidRPr="001B036C">
              <w:t>29,233,459</w:t>
            </w:r>
          </w:p>
        </w:tc>
        <w:tc>
          <w:tcPr>
            <w:tcW w:w="680" w:type="pct"/>
            <w:vAlign w:val="bottom"/>
          </w:tcPr>
          <w:p w14:paraId="5B9B365E" w14:textId="77777777" w:rsidR="0019792D" w:rsidRPr="001B036C" w:rsidRDefault="0019792D">
            <w:pPr>
              <w:pStyle w:val="Tabletext0"/>
              <w:jc w:val="left"/>
            </w:pPr>
            <w:r w:rsidRPr="001B036C">
              <w:t>29,964,295</w:t>
            </w:r>
          </w:p>
        </w:tc>
        <w:tc>
          <w:tcPr>
            <w:tcW w:w="680" w:type="pct"/>
            <w:vAlign w:val="bottom"/>
          </w:tcPr>
          <w:p w14:paraId="6C819674" w14:textId="77777777" w:rsidR="0019792D" w:rsidRPr="001B036C" w:rsidRDefault="0019792D">
            <w:pPr>
              <w:pStyle w:val="Tabletext0"/>
              <w:jc w:val="left"/>
            </w:pPr>
            <w:r w:rsidRPr="001B036C">
              <w:t>30,713,403</w:t>
            </w:r>
          </w:p>
        </w:tc>
        <w:tc>
          <w:tcPr>
            <w:tcW w:w="680" w:type="pct"/>
            <w:vAlign w:val="bottom"/>
          </w:tcPr>
          <w:p w14:paraId="4275C5F8" w14:textId="77777777" w:rsidR="0019792D" w:rsidRPr="001B036C" w:rsidRDefault="0019792D">
            <w:pPr>
              <w:pStyle w:val="Tabletext0"/>
              <w:jc w:val="left"/>
            </w:pPr>
            <w:r w:rsidRPr="001B036C">
              <w:t>31,481,238</w:t>
            </w:r>
          </w:p>
        </w:tc>
        <w:tc>
          <w:tcPr>
            <w:tcW w:w="680" w:type="pct"/>
            <w:vAlign w:val="bottom"/>
          </w:tcPr>
          <w:p w14:paraId="3B388F3D" w14:textId="77777777" w:rsidR="0019792D" w:rsidRPr="001B036C" w:rsidRDefault="0019792D">
            <w:pPr>
              <w:pStyle w:val="Tabletext0"/>
              <w:jc w:val="left"/>
            </w:pPr>
            <w:r w:rsidRPr="001B036C">
              <w:t>32,268,269</w:t>
            </w:r>
          </w:p>
        </w:tc>
      </w:tr>
      <w:tr w:rsidR="0019792D" w:rsidRPr="001B036C" w14:paraId="7FE0D165" w14:textId="77777777">
        <w:tc>
          <w:tcPr>
            <w:tcW w:w="565" w:type="pct"/>
          </w:tcPr>
          <w:p w14:paraId="279F7FD6" w14:textId="77777777" w:rsidR="0019792D" w:rsidRPr="001B036C" w:rsidRDefault="0019792D">
            <w:pPr>
              <w:pStyle w:val="Tabletext0"/>
              <w:jc w:val="left"/>
            </w:pPr>
            <w:r w:rsidRPr="001B036C">
              <w:t>Incidence</w:t>
            </w:r>
          </w:p>
        </w:tc>
        <w:tc>
          <w:tcPr>
            <w:tcW w:w="355" w:type="pct"/>
          </w:tcPr>
          <w:p w14:paraId="2CF80CDC" w14:textId="77777777" w:rsidR="0019792D" w:rsidRPr="001B036C" w:rsidRDefault="0019792D">
            <w:pPr>
              <w:pStyle w:val="Tabletext0"/>
              <w:jc w:val="left"/>
            </w:pPr>
            <w:r w:rsidRPr="001B036C">
              <w:t xml:space="preserve">19.8 per 100,000 </w:t>
            </w:r>
          </w:p>
        </w:tc>
        <w:tc>
          <w:tcPr>
            <w:tcW w:w="680" w:type="pct"/>
            <w:vAlign w:val="bottom"/>
          </w:tcPr>
          <w:p w14:paraId="43121EC6" w14:textId="77777777" w:rsidR="0019792D" w:rsidRPr="001B036C" w:rsidRDefault="0019792D">
            <w:pPr>
              <w:pStyle w:val="Tabletext0"/>
              <w:jc w:val="left"/>
            </w:pPr>
            <w:r w:rsidRPr="001B036C">
              <w:t>5,647</w:t>
            </w:r>
          </w:p>
        </w:tc>
        <w:tc>
          <w:tcPr>
            <w:tcW w:w="680" w:type="pct"/>
            <w:vAlign w:val="bottom"/>
          </w:tcPr>
          <w:p w14:paraId="29337D61" w14:textId="77777777" w:rsidR="0019792D" w:rsidRPr="001B036C" w:rsidRDefault="0019792D">
            <w:pPr>
              <w:pStyle w:val="Tabletext0"/>
              <w:jc w:val="left"/>
            </w:pPr>
            <w:r w:rsidRPr="001B036C">
              <w:t>5,788</w:t>
            </w:r>
          </w:p>
        </w:tc>
        <w:tc>
          <w:tcPr>
            <w:tcW w:w="680" w:type="pct"/>
            <w:vAlign w:val="bottom"/>
          </w:tcPr>
          <w:p w14:paraId="375DB7D9" w14:textId="77777777" w:rsidR="0019792D" w:rsidRPr="001B036C" w:rsidRDefault="0019792D">
            <w:pPr>
              <w:pStyle w:val="Tabletext0"/>
              <w:jc w:val="left"/>
            </w:pPr>
            <w:r w:rsidRPr="001B036C">
              <w:t>5,933</w:t>
            </w:r>
          </w:p>
        </w:tc>
        <w:tc>
          <w:tcPr>
            <w:tcW w:w="680" w:type="pct"/>
            <w:vAlign w:val="bottom"/>
          </w:tcPr>
          <w:p w14:paraId="2162CFDC" w14:textId="77777777" w:rsidR="0019792D" w:rsidRPr="001B036C" w:rsidRDefault="0019792D">
            <w:pPr>
              <w:pStyle w:val="Tabletext0"/>
              <w:jc w:val="left"/>
            </w:pPr>
            <w:r w:rsidRPr="001B036C">
              <w:t>6,081</w:t>
            </w:r>
          </w:p>
        </w:tc>
        <w:tc>
          <w:tcPr>
            <w:tcW w:w="680" w:type="pct"/>
            <w:vAlign w:val="bottom"/>
          </w:tcPr>
          <w:p w14:paraId="66CCDE19" w14:textId="77777777" w:rsidR="0019792D" w:rsidRPr="001B036C" w:rsidRDefault="0019792D">
            <w:pPr>
              <w:pStyle w:val="Tabletext0"/>
              <w:jc w:val="left"/>
            </w:pPr>
            <w:r w:rsidRPr="001B036C">
              <w:t>6,233</w:t>
            </w:r>
          </w:p>
        </w:tc>
        <w:tc>
          <w:tcPr>
            <w:tcW w:w="680" w:type="pct"/>
            <w:vAlign w:val="bottom"/>
          </w:tcPr>
          <w:p w14:paraId="5C71413E" w14:textId="77777777" w:rsidR="0019792D" w:rsidRPr="001B036C" w:rsidRDefault="0019792D">
            <w:pPr>
              <w:pStyle w:val="Tabletext0"/>
              <w:jc w:val="left"/>
            </w:pPr>
            <w:r w:rsidRPr="001B036C">
              <w:t>6,389</w:t>
            </w:r>
          </w:p>
        </w:tc>
      </w:tr>
      <w:tr w:rsidR="0019792D" w:rsidRPr="001B036C" w14:paraId="58A2E7E2" w14:textId="77777777">
        <w:tc>
          <w:tcPr>
            <w:tcW w:w="565" w:type="pct"/>
          </w:tcPr>
          <w:p w14:paraId="6ECE02C7" w14:textId="77777777" w:rsidR="0019792D" w:rsidRPr="001B036C" w:rsidRDefault="0019792D">
            <w:pPr>
              <w:pStyle w:val="Tabletext0"/>
              <w:jc w:val="left"/>
            </w:pPr>
            <w:r w:rsidRPr="001B036C">
              <w:t>Prevalence</w:t>
            </w:r>
          </w:p>
        </w:tc>
        <w:tc>
          <w:tcPr>
            <w:tcW w:w="355" w:type="pct"/>
          </w:tcPr>
          <w:p w14:paraId="704D8C7E" w14:textId="77777777" w:rsidR="0019792D" w:rsidRPr="001B036C" w:rsidRDefault="0019792D">
            <w:pPr>
              <w:pStyle w:val="Tabletext0"/>
              <w:jc w:val="left"/>
            </w:pPr>
            <w:r w:rsidRPr="001B036C">
              <w:t>653 per 100,000</w:t>
            </w:r>
          </w:p>
        </w:tc>
        <w:tc>
          <w:tcPr>
            <w:tcW w:w="680" w:type="pct"/>
            <w:vAlign w:val="bottom"/>
          </w:tcPr>
          <w:p w14:paraId="6A13B5E2" w14:textId="77777777" w:rsidR="0019792D" w:rsidRPr="001B036C" w:rsidRDefault="0019792D">
            <w:pPr>
              <w:pStyle w:val="Tabletext0"/>
              <w:jc w:val="left"/>
            </w:pPr>
            <w:r w:rsidRPr="001B036C">
              <w:t>186,239</w:t>
            </w:r>
          </w:p>
        </w:tc>
        <w:tc>
          <w:tcPr>
            <w:tcW w:w="680" w:type="pct"/>
            <w:vAlign w:val="bottom"/>
          </w:tcPr>
          <w:p w14:paraId="11357F8A" w14:textId="77777777" w:rsidR="0019792D" w:rsidRPr="001B036C" w:rsidRDefault="0019792D">
            <w:pPr>
              <w:pStyle w:val="Tabletext0"/>
              <w:jc w:val="left"/>
            </w:pPr>
            <w:r w:rsidRPr="001B036C">
              <w:t>190,894</w:t>
            </w:r>
          </w:p>
        </w:tc>
        <w:tc>
          <w:tcPr>
            <w:tcW w:w="680" w:type="pct"/>
            <w:vAlign w:val="bottom"/>
          </w:tcPr>
          <w:p w14:paraId="4C6A7BD7" w14:textId="77777777" w:rsidR="0019792D" w:rsidRPr="001B036C" w:rsidRDefault="0019792D">
            <w:pPr>
              <w:pStyle w:val="Tabletext0"/>
              <w:jc w:val="left"/>
            </w:pPr>
            <w:r w:rsidRPr="001B036C">
              <w:t>195,667</w:t>
            </w:r>
          </w:p>
        </w:tc>
        <w:tc>
          <w:tcPr>
            <w:tcW w:w="680" w:type="pct"/>
            <w:vAlign w:val="bottom"/>
          </w:tcPr>
          <w:p w14:paraId="2C1DD57A" w14:textId="77777777" w:rsidR="0019792D" w:rsidRPr="001B036C" w:rsidRDefault="0019792D">
            <w:pPr>
              <w:pStyle w:val="Tabletext0"/>
              <w:jc w:val="left"/>
            </w:pPr>
            <w:r w:rsidRPr="001B036C">
              <w:t>200,559</w:t>
            </w:r>
          </w:p>
        </w:tc>
        <w:tc>
          <w:tcPr>
            <w:tcW w:w="680" w:type="pct"/>
            <w:vAlign w:val="bottom"/>
          </w:tcPr>
          <w:p w14:paraId="0F937227" w14:textId="77777777" w:rsidR="0019792D" w:rsidRPr="001B036C" w:rsidRDefault="0019792D">
            <w:pPr>
              <w:pStyle w:val="Tabletext0"/>
              <w:jc w:val="left"/>
            </w:pPr>
            <w:r w:rsidRPr="001B036C">
              <w:t>205,572</w:t>
            </w:r>
          </w:p>
        </w:tc>
        <w:tc>
          <w:tcPr>
            <w:tcW w:w="680" w:type="pct"/>
            <w:vAlign w:val="bottom"/>
          </w:tcPr>
          <w:p w14:paraId="268F0AED" w14:textId="77777777" w:rsidR="0019792D" w:rsidRPr="001B036C" w:rsidRDefault="0019792D">
            <w:pPr>
              <w:pStyle w:val="Tabletext0"/>
              <w:jc w:val="left"/>
            </w:pPr>
            <w:r w:rsidRPr="001B036C">
              <w:t>210,712</w:t>
            </w:r>
          </w:p>
        </w:tc>
      </w:tr>
      <w:tr w:rsidR="0019792D" w:rsidRPr="001B036C" w14:paraId="37A216FF" w14:textId="77777777">
        <w:tc>
          <w:tcPr>
            <w:tcW w:w="565" w:type="pct"/>
          </w:tcPr>
          <w:p w14:paraId="7CA6B55F" w14:textId="77777777" w:rsidR="0019792D" w:rsidRPr="001B036C" w:rsidRDefault="0019792D">
            <w:pPr>
              <w:pStyle w:val="Tabletext0"/>
              <w:jc w:val="left"/>
            </w:pPr>
            <w:r w:rsidRPr="001B036C">
              <w:t>Total IBD population</w:t>
            </w:r>
          </w:p>
        </w:tc>
        <w:tc>
          <w:tcPr>
            <w:tcW w:w="355" w:type="pct"/>
          </w:tcPr>
          <w:p w14:paraId="2288E969" w14:textId="77777777" w:rsidR="0019792D" w:rsidRPr="001B036C" w:rsidRDefault="0019792D">
            <w:pPr>
              <w:pStyle w:val="Tabletext0"/>
              <w:jc w:val="left"/>
            </w:pPr>
            <w:r w:rsidRPr="001B036C">
              <w:t>Incidence + Prevalence</w:t>
            </w:r>
          </w:p>
        </w:tc>
        <w:tc>
          <w:tcPr>
            <w:tcW w:w="680" w:type="pct"/>
            <w:vAlign w:val="bottom"/>
          </w:tcPr>
          <w:p w14:paraId="796F2A32" w14:textId="77777777" w:rsidR="0019792D" w:rsidRPr="001B036C" w:rsidRDefault="0019792D">
            <w:pPr>
              <w:pStyle w:val="Tabletext0"/>
              <w:jc w:val="left"/>
            </w:pPr>
            <w:r w:rsidRPr="001B036C">
              <w:t>191,886</w:t>
            </w:r>
          </w:p>
        </w:tc>
        <w:tc>
          <w:tcPr>
            <w:tcW w:w="680" w:type="pct"/>
            <w:vAlign w:val="bottom"/>
          </w:tcPr>
          <w:p w14:paraId="38B2C430" w14:textId="77777777" w:rsidR="0019792D" w:rsidRPr="001B036C" w:rsidRDefault="0019792D">
            <w:pPr>
              <w:pStyle w:val="Tabletext0"/>
              <w:jc w:val="left"/>
            </w:pPr>
            <w:r w:rsidRPr="001B036C">
              <w:t>196,683</w:t>
            </w:r>
          </w:p>
        </w:tc>
        <w:tc>
          <w:tcPr>
            <w:tcW w:w="680" w:type="pct"/>
            <w:vAlign w:val="bottom"/>
          </w:tcPr>
          <w:p w14:paraId="3D1D4160" w14:textId="77777777" w:rsidR="0019792D" w:rsidRPr="001B036C" w:rsidRDefault="0019792D">
            <w:pPr>
              <w:pStyle w:val="Tabletext0"/>
              <w:jc w:val="left"/>
            </w:pPr>
            <w:r w:rsidRPr="001B036C">
              <w:t>201,600</w:t>
            </w:r>
          </w:p>
        </w:tc>
        <w:tc>
          <w:tcPr>
            <w:tcW w:w="680" w:type="pct"/>
            <w:vAlign w:val="bottom"/>
          </w:tcPr>
          <w:p w14:paraId="2661D4D8" w14:textId="77777777" w:rsidR="0019792D" w:rsidRPr="001B036C" w:rsidRDefault="0019792D">
            <w:pPr>
              <w:pStyle w:val="Tabletext0"/>
              <w:jc w:val="left"/>
            </w:pPr>
            <w:r w:rsidRPr="001B036C">
              <w:t>206,640</w:t>
            </w:r>
          </w:p>
        </w:tc>
        <w:tc>
          <w:tcPr>
            <w:tcW w:w="680" w:type="pct"/>
            <w:vAlign w:val="bottom"/>
          </w:tcPr>
          <w:p w14:paraId="122F3B90" w14:textId="77777777" w:rsidR="0019792D" w:rsidRPr="001B036C" w:rsidRDefault="0019792D">
            <w:pPr>
              <w:pStyle w:val="Tabletext0"/>
              <w:jc w:val="left"/>
            </w:pPr>
            <w:r w:rsidRPr="001B036C">
              <w:t>211,806</w:t>
            </w:r>
          </w:p>
        </w:tc>
        <w:tc>
          <w:tcPr>
            <w:tcW w:w="680" w:type="pct"/>
            <w:vAlign w:val="bottom"/>
          </w:tcPr>
          <w:p w14:paraId="390CB5AA" w14:textId="77777777" w:rsidR="0019792D" w:rsidRPr="001B036C" w:rsidRDefault="0019792D">
            <w:pPr>
              <w:pStyle w:val="Tabletext0"/>
              <w:jc w:val="left"/>
            </w:pPr>
            <w:r w:rsidRPr="001B036C">
              <w:t>217,101</w:t>
            </w:r>
          </w:p>
        </w:tc>
      </w:tr>
    </w:tbl>
    <w:p w14:paraId="6058FF1D" w14:textId="77777777" w:rsidR="0019792D" w:rsidRPr="001B036C" w:rsidRDefault="0019792D" w:rsidP="0019792D">
      <w:pPr>
        <w:pStyle w:val="Tablenotes0"/>
      </w:pPr>
      <w:r w:rsidRPr="001B036C">
        <w:t>IBD= inflammatory bowel disease.</w:t>
      </w:r>
    </w:p>
    <w:p w14:paraId="513FEA81" w14:textId="2114FC66" w:rsidR="0019792D" w:rsidRPr="001B036C" w:rsidRDefault="0019792D" w:rsidP="0019792D">
      <w:pPr>
        <w:pStyle w:val="Instructionaltext"/>
        <w:rPr>
          <w:color w:val="auto"/>
        </w:rPr>
      </w:pPr>
      <w:r w:rsidRPr="4C07F318">
        <w:rPr>
          <w:color w:val="auto"/>
        </w:rPr>
        <w:t xml:space="preserve">The expected use of resources and the respective unit costs are the same as applied in the CMA except for the cost of colonoscopy/biopsy. Cost of colonoscopy in CMA was based on AR-DRGs and cost of biopsy was based on MBS Item 72824. </w:t>
      </w:r>
      <w:proofErr w:type="gramStart"/>
      <w:r w:rsidRPr="4C07F318">
        <w:rPr>
          <w:color w:val="auto"/>
        </w:rPr>
        <w:t>For the purpose of</w:t>
      </w:r>
      <w:proofErr w:type="gramEnd"/>
      <w:r w:rsidRPr="4C07F318">
        <w:rPr>
          <w:color w:val="auto"/>
        </w:rPr>
        <w:t xml:space="preserve"> financial analysis to measure the cost to MBS, cost of colonoscopy/biopsy was based on the communication received from the </w:t>
      </w:r>
      <w:r w:rsidR="006B5623" w:rsidRPr="4C07F318">
        <w:rPr>
          <w:color w:val="auto"/>
        </w:rPr>
        <w:t>D</w:t>
      </w:r>
      <w:r w:rsidRPr="4C07F318">
        <w:rPr>
          <w:color w:val="auto"/>
        </w:rPr>
        <w:t xml:space="preserve">epartment during the development of DCAR. Based on this, the most relevant MBS item identified for colonoscopy and biopsy in the context of IBD monitoring were items 32222 and 72824 (which accounts for 2 to 4 separately identified specimens), respectively. Each colonoscopy service will require other MBS services which are co-claimed with item 32222 but not exclusively in the context of IBD monitoring (e.g. colorectal cancer screening). The estimated MBS cost of each colonoscopy was $488.34. It should be noted that the colonoscopy cost estimated in </w:t>
      </w:r>
      <w:r w:rsidR="00300E30" w:rsidRPr="4C07F318">
        <w:rPr>
          <w:color w:val="auto"/>
        </w:rPr>
        <w:t xml:space="preserve">the </w:t>
      </w:r>
      <w:r w:rsidR="00BD0207" w:rsidRPr="4C07F318">
        <w:rPr>
          <w:color w:val="auto"/>
        </w:rPr>
        <w:t>CMA</w:t>
      </w:r>
      <w:r w:rsidRPr="4C07F318">
        <w:rPr>
          <w:color w:val="auto"/>
        </w:rPr>
        <w:t xml:space="preserve"> ($3,070.93), was estimated based on the weighted average of relevant AR-DRGs</w:t>
      </w:r>
      <w:r w:rsidR="001158E8" w:rsidRPr="4C07F318">
        <w:rPr>
          <w:color w:val="auto"/>
        </w:rPr>
        <w:t xml:space="preserve"> for </w:t>
      </w:r>
      <w:r w:rsidR="00FC1A0C" w:rsidRPr="4C07F318">
        <w:rPr>
          <w:color w:val="auto"/>
        </w:rPr>
        <w:t>colonoscopy in</w:t>
      </w:r>
      <w:r w:rsidRPr="4C07F318">
        <w:rPr>
          <w:color w:val="auto"/>
        </w:rPr>
        <w:t xml:space="preserve"> public hospital and MBS cost</w:t>
      </w:r>
      <w:r w:rsidR="009D572C" w:rsidRPr="4C07F318">
        <w:rPr>
          <w:color w:val="auto"/>
        </w:rPr>
        <w:t xml:space="preserve"> </w:t>
      </w:r>
      <w:r w:rsidR="00FC1A0C" w:rsidRPr="4C07F318">
        <w:rPr>
          <w:color w:val="auto"/>
        </w:rPr>
        <w:t>for biopsy</w:t>
      </w:r>
      <w:r w:rsidRPr="4C07F318">
        <w:rPr>
          <w:color w:val="auto"/>
        </w:rPr>
        <w:t>.</w:t>
      </w:r>
    </w:p>
    <w:p w14:paraId="2DADFB56" w14:textId="45F34601" w:rsidR="00C14D9A" w:rsidRPr="00734458" w:rsidRDefault="00C14D9A" w:rsidP="0019792D">
      <w:pPr>
        <w:pStyle w:val="Instructionaltext"/>
        <w:rPr>
          <w:iCs/>
          <w:color w:val="auto"/>
        </w:rPr>
      </w:pPr>
      <w:r w:rsidRPr="00734458">
        <w:rPr>
          <w:iCs/>
          <w:color w:val="auto"/>
        </w:rPr>
        <w:t xml:space="preserve">The Department </w:t>
      </w:r>
      <w:r w:rsidR="00CD0FDB" w:rsidRPr="00734458">
        <w:rPr>
          <w:iCs/>
          <w:color w:val="auto"/>
        </w:rPr>
        <w:t>sought</w:t>
      </w:r>
      <w:r w:rsidRPr="00734458">
        <w:rPr>
          <w:iCs/>
          <w:color w:val="auto"/>
        </w:rPr>
        <w:t xml:space="preserve"> the </w:t>
      </w:r>
      <w:r w:rsidR="0091296B" w:rsidRPr="00734458">
        <w:rPr>
          <w:iCs/>
          <w:color w:val="auto"/>
        </w:rPr>
        <w:t>applicant’s</w:t>
      </w:r>
      <w:r w:rsidRPr="00734458">
        <w:rPr>
          <w:iCs/>
          <w:color w:val="auto"/>
        </w:rPr>
        <w:t xml:space="preserve"> advice on the most relevant </w:t>
      </w:r>
      <w:r w:rsidR="19E45EA7" w:rsidRPr="00734458">
        <w:rPr>
          <w:iCs/>
          <w:color w:val="auto"/>
        </w:rPr>
        <w:t>MBS item/s for</w:t>
      </w:r>
      <w:r w:rsidRPr="00734458">
        <w:rPr>
          <w:iCs/>
          <w:color w:val="auto"/>
        </w:rPr>
        <w:t xml:space="preserve"> biopsy which </w:t>
      </w:r>
      <w:r w:rsidR="0E82AB16" w:rsidRPr="00734458">
        <w:rPr>
          <w:iCs/>
          <w:color w:val="auto"/>
        </w:rPr>
        <w:t>are</w:t>
      </w:r>
      <w:r w:rsidRPr="00734458">
        <w:rPr>
          <w:iCs/>
          <w:color w:val="auto"/>
        </w:rPr>
        <w:t xml:space="preserve"> </w:t>
      </w:r>
      <w:r w:rsidR="68D88C89" w:rsidRPr="00734458">
        <w:rPr>
          <w:iCs/>
          <w:color w:val="auto"/>
        </w:rPr>
        <w:t xml:space="preserve">typically </w:t>
      </w:r>
      <w:r w:rsidRPr="00734458">
        <w:rPr>
          <w:iCs/>
          <w:color w:val="auto"/>
        </w:rPr>
        <w:t>co-claimed with colonoscopy</w:t>
      </w:r>
      <w:r w:rsidR="7F99778C" w:rsidRPr="00734458">
        <w:rPr>
          <w:iCs/>
          <w:color w:val="auto"/>
        </w:rPr>
        <w:t xml:space="preserve">, </w:t>
      </w:r>
      <w:r w:rsidR="7C950D91" w:rsidRPr="00734458">
        <w:rPr>
          <w:iCs/>
          <w:color w:val="auto"/>
        </w:rPr>
        <w:t xml:space="preserve">by gastroenterologists </w:t>
      </w:r>
      <w:r w:rsidRPr="00734458">
        <w:rPr>
          <w:iCs/>
          <w:color w:val="auto"/>
        </w:rPr>
        <w:t>in this setting.</w:t>
      </w:r>
      <w:r w:rsidR="00F44403">
        <w:rPr>
          <w:iCs/>
          <w:color w:val="auto"/>
        </w:rPr>
        <w:t xml:space="preserve"> </w:t>
      </w:r>
      <w:r w:rsidR="00F44403" w:rsidRPr="000B3F01">
        <w:rPr>
          <w:i/>
          <w:color w:val="auto"/>
        </w:rPr>
        <w:t xml:space="preserve">In its pre-ESC </w:t>
      </w:r>
      <w:proofErr w:type="gramStart"/>
      <w:r w:rsidR="00F44403" w:rsidRPr="000B3F01">
        <w:rPr>
          <w:i/>
          <w:color w:val="auto"/>
        </w:rPr>
        <w:t>response</w:t>
      </w:r>
      <w:proofErr w:type="gramEnd"/>
      <w:r w:rsidR="00F44403" w:rsidRPr="000B3F01">
        <w:rPr>
          <w:i/>
          <w:color w:val="auto"/>
        </w:rPr>
        <w:t xml:space="preserve"> the applicant advised that the appropriate MBS item for biopsy should be 72825 (with a fee of $180.250 instead of 72824 (fee of $141.35). Additional financial sensitivity analyses based on this revised base case are presented in the Addendum.</w:t>
      </w:r>
    </w:p>
    <w:p w14:paraId="1C143114" w14:textId="10B9E24A" w:rsidR="0019792D" w:rsidRPr="001B036C" w:rsidRDefault="0019792D" w:rsidP="0019792D">
      <w:r w:rsidRPr="001B036C">
        <w:t xml:space="preserve">The introduction of FC testing for the monitoring of IBD led to an overall average additional cost of </w:t>
      </w:r>
      <w:r w:rsidR="006214D2">
        <w:t xml:space="preserve">over </w:t>
      </w:r>
      <w:r w:rsidRPr="001B036C">
        <w:t>$3</w:t>
      </w:r>
      <w:r w:rsidR="006214D2">
        <w:t>5</w:t>
      </w:r>
      <w:r w:rsidRPr="001B036C">
        <w:t xml:space="preserve"> million per year to the MBS mainly due to increase in GP</w:t>
      </w:r>
      <w:r w:rsidR="006810BB" w:rsidRPr="001B036C">
        <w:t xml:space="preserve">, </w:t>
      </w:r>
      <w:r w:rsidRPr="001B036C">
        <w:t>specialist</w:t>
      </w:r>
      <w:r w:rsidR="006810BB" w:rsidRPr="001B036C">
        <w:t xml:space="preserve"> and subsequent specialist</w:t>
      </w:r>
      <w:r w:rsidRPr="001B036C">
        <w:t xml:space="preserve"> visits. In total, a reduction of 170,893 colonoscopies and biopsies was estimated at a population level over a 6-year period (</w:t>
      </w:r>
      <w:r w:rsidR="0078294C" w:rsidRPr="001B036C">
        <w:fldChar w:fldCharType="begin"/>
      </w:r>
      <w:r w:rsidR="0078294C" w:rsidRPr="001B036C">
        <w:instrText xml:space="preserve"> REF _Ref175039907 \h </w:instrText>
      </w:r>
      <w:r w:rsidR="001B036C">
        <w:instrText xml:space="preserve"> \* MERGEFORMAT </w:instrText>
      </w:r>
      <w:r w:rsidR="0078294C" w:rsidRPr="001B036C">
        <w:fldChar w:fldCharType="separate"/>
      </w:r>
      <w:r w:rsidR="00FB1F07" w:rsidRPr="001B036C">
        <w:t>Table </w:t>
      </w:r>
      <w:r w:rsidR="00FB1F07">
        <w:t>26</w:t>
      </w:r>
      <w:r w:rsidR="0078294C" w:rsidRPr="001B036C">
        <w:fldChar w:fldCharType="end"/>
      </w:r>
      <w:r w:rsidRPr="001B036C">
        <w:t>).</w:t>
      </w:r>
    </w:p>
    <w:p w14:paraId="4DAB9A6A" w14:textId="20D17D57" w:rsidR="0019792D" w:rsidRPr="001B036C" w:rsidRDefault="0019792D" w:rsidP="00F70556">
      <w:pPr>
        <w:pStyle w:val="Caption"/>
        <w:keepLines/>
      </w:pPr>
      <w:bookmarkStart w:id="48" w:name="_Ref175039907"/>
      <w:r w:rsidRPr="001B036C">
        <w:lastRenderedPageBreak/>
        <w:t>Table </w:t>
      </w:r>
      <w:r>
        <w:fldChar w:fldCharType="begin"/>
      </w:r>
      <w:r>
        <w:instrText xml:space="preserve"> SEQ Table \* ARABIC </w:instrText>
      </w:r>
      <w:r>
        <w:fldChar w:fldCharType="separate"/>
      </w:r>
      <w:r w:rsidR="00B4653B">
        <w:rPr>
          <w:noProof/>
        </w:rPr>
        <w:t>26</w:t>
      </w:r>
      <w:r>
        <w:rPr>
          <w:noProof/>
        </w:rPr>
        <w:fldChar w:fldCharType="end"/>
      </w:r>
      <w:bookmarkEnd w:id="48"/>
      <w:r w:rsidRPr="001B036C">
        <w:tab/>
        <w:t>Net financial implications of FC testing for monitoring IBD to the MBS</w:t>
      </w:r>
    </w:p>
    <w:tbl>
      <w:tblPr>
        <w:tblW w:w="9346" w:type="dxa"/>
        <w:tblLayout w:type="fixed"/>
        <w:tblCellMar>
          <w:left w:w="0" w:type="dxa"/>
          <w:right w:w="0" w:type="dxa"/>
        </w:tblCellMar>
        <w:tblLook w:val="04A0" w:firstRow="1" w:lastRow="0" w:firstColumn="1" w:lastColumn="0" w:noHBand="0" w:noVBand="1"/>
      </w:tblPr>
      <w:tblGrid>
        <w:gridCol w:w="1408"/>
        <w:gridCol w:w="1276"/>
        <w:gridCol w:w="1275"/>
        <w:gridCol w:w="1276"/>
        <w:gridCol w:w="1276"/>
        <w:gridCol w:w="1276"/>
        <w:gridCol w:w="1559"/>
      </w:tblGrid>
      <w:tr w:rsidR="0019792D" w:rsidRPr="001B036C" w14:paraId="46EEDAD0" w14:textId="77777777" w:rsidTr="00D47945">
        <w:trPr>
          <w:trHeight w:val="314"/>
          <w:tblHead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4FBFA8" w14:textId="77777777" w:rsidR="0019792D" w:rsidRPr="001B036C" w:rsidRDefault="0019792D" w:rsidP="00F70556">
            <w:pPr>
              <w:pStyle w:val="In-tableHeading"/>
              <w:keepLines/>
            </w:pPr>
            <w:r w:rsidRPr="001B036C">
              <w:t xml:space="preserve">Parameter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D786021" w14:textId="77777777" w:rsidR="0019792D" w:rsidRPr="001B036C" w:rsidRDefault="0019792D" w:rsidP="00F70556">
            <w:pPr>
              <w:pStyle w:val="In-tableHeading"/>
              <w:keepLines/>
            </w:pPr>
            <w:r w:rsidRPr="001B036C">
              <w:t>2025</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E0CB280" w14:textId="77777777" w:rsidR="0019792D" w:rsidRPr="001B036C" w:rsidRDefault="0019792D" w:rsidP="00F70556">
            <w:pPr>
              <w:pStyle w:val="In-tableHeading"/>
              <w:keepLines/>
            </w:pPr>
            <w:r w:rsidRPr="001B036C">
              <w:t>2026</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8288A2D" w14:textId="77777777" w:rsidR="0019792D" w:rsidRPr="001B036C" w:rsidRDefault="0019792D" w:rsidP="00F70556">
            <w:pPr>
              <w:pStyle w:val="In-tableHeading"/>
              <w:keepLines/>
            </w:pPr>
            <w:r w:rsidRPr="001B036C">
              <w:t>2027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649CA98" w14:textId="77777777" w:rsidR="0019792D" w:rsidRPr="001B036C" w:rsidRDefault="0019792D" w:rsidP="00F70556">
            <w:pPr>
              <w:pStyle w:val="In-tableHeading"/>
              <w:keepLines/>
            </w:pPr>
            <w:r w:rsidRPr="001B036C">
              <w:t>2028</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7EE18CA" w14:textId="77777777" w:rsidR="0019792D" w:rsidRPr="001B036C" w:rsidRDefault="0019792D" w:rsidP="00F70556">
            <w:pPr>
              <w:pStyle w:val="In-tableHeading"/>
              <w:keepLines/>
            </w:pPr>
            <w:r w:rsidRPr="001B036C">
              <w:t>2029</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439C2B1" w14:textId="77777777" w:rsidR="0019792D" w:rsidRPr="001B036C" w:rsidRDefault="0019792D" w:rsidP="00F70556">
            <w:pPr>
              <w:pStyle w:val="In-tableHeading"/>
              <w:keepLines/>
            </w:pPr>
            <w:r w:rsidRPr="001B036C">
              <w:t>2030</w:t>
            </w:r>
          </w:p>
        </w:tc>
      </w:tr>
      <w:tr w:rsidR="0019792D" w:rsidRPr="001B036C" w14:paraId="33C02028" w14:textId="77777777" w:rsidTr="00D47945">
        <w:trPr>
          <w:trHeight w:val="303"/>
        </w:trPr>
        <w:tc>
          <w:tcPr>
            <w:tcW w:w="934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D4796" w14:textId="77777777" w:rsidR="0019792D" w:rsidRPr="001B036C" w:rsidRDefault="0019792D" w:rsidP="00F70556">
            <w:pPr>
              <w:pStyle w:val="In-tableHeading"/>
              <w:keepLines/>
            </w:pPr>
            <w:r w:rsidRPr="001B036C">
              <w:t>Estimated use and cost of the proposed health technology</w:t>
            </w:r>
          </w:p>
        </w:tc>
      </w:tr>
      <w:tr w:rsidR="0019792D" w:rsidRPr="001B036C" w14:paraId="534B88F4" w14:textId="77777777" w:rsidTr="00D47945">
        <w:trPr>
          <w:trHeight w:val="552"/>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E7020" w14:textId="77777777" w:rsidR="0019792D" w:rsidRPr="001B036C" w:rsidRDefault="0019792D" w:rsidP="00F70556">
            <w:pPr>
              <w:pStyle w:val="TableText"/>
              <w:keepNext/>
              <w:keepLines/>
            </w:pPr>
            <w:r w:rsidRPr="001B036C">
              <w:t>Number of people eligible for FC testing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0746A" w14:textId="77777777" w:rsidR="0019792D" w:rsidRPr="001B036C" w:rsidRDefault="0019792D" w:rsidP="00F70556">
            <w:pPr>
              <w:pStyle w:val="TableText"/>
              <w:keepNext/>
              <w:keepLines/>
            </w:pPr>
            <w:r w:rsidRPr="001B036C">
              <w:t>191,886</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EB27D" w14:textId="77777777" w:rsidR="0019792D" w:rsidRPr="001B036C" w:rsidRDefault="0019792D" w:rsidP="00F70556">
            <w:pPr>
              <w:pStyle w:val="TableText"/>
              <w:keepNext/>
              <w:keepLines/>
            </w:pPr>
            <w:r w:rsidRPr="001B036C">
              <w:t>196,683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D25728" w14:textId="77777777" w:rsidR="0019792D" w:rsidRPr="001B036C" w:rsidRDefault="0019792D" w:rsidP="00F70556">
            <w:pPr>
              <w:pStyle w:val="TableText"/>
              <w:keepNext/>
              <w:keepLines/>
            </w:pPr>
            <w:r w:rsidRPr="001B036C">
              <w:t>201,600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A6642AA" w14:textId="77777777" w:rsidR="0019792D" w:rsidRPr="001B036C" w:rsidRDefault="0019792D" w:rsidP="00F70556">
            <w:pPr>
              <w:pStyle w:val="TableText"/>
              <w:keepNext/>
              <w:keepLines/>
            </w:pPr>
            <w:r w:rsidRPr="001B036C">
              <w:t>206,640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86940" w14:textId="77777777" w:rsidR="0019792D" w:rsidRPr="001B036C" w:rsidRDefault="0019792D" w:rsidP="00F70556">
            <w:pPr>
              <w:pStyle w:val="TableText"/>
              <w:keepNext/>
              <w:keepLines/>
            </w:pPr>
            <w:r w:rsidRPr="001B036C">
              <w:t>211,806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A7F89" w14:textId="77777777" w:rsidR="0019792D" w:rsidRPr="001B036C" w:rsidRDefault="0019792D" w:rsidP="00F70556">
            <w:pPr>
              <w:pStyle w:val="TableText"/>
              <w:keepNext/>
              <w:keepLines/>
            </w:pPr>
            <w:r w:rsidRPr="001B036C">
              <w:t>217,101</w:t>
            </w:r>
          </w:p>
        </w:tc>
      </w:tr>
      <w:tr w:rsidR="0019792D" w:rsidRPr="001B036C" w14:paraId="18F6898C" w14:textId="77777777" w:rsidTr="00D47945">
        <w:trPr>
          <w:trHeight w:val="31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1DED9" w14:textId="2FA3521D" w:rsidR="0019792D" w:rsidRPr="001B036C" w:rsidRDefault="0019792D" w:rsidP="00F70556">
            <w:pPr>
              <w:pStyle w:val="TableText"/>
              <w:keepNext/>
              <w:keepLines/>
              <w:rPr>
                <w:vertAlign w:val="superscript"/>
              </w:rPr>
            </w:pPr>
            <w:r w:rsidRPr="001B036C">
              <w:t xml:space="preserve">Number of FC </w:t>
            </w:r>
            <w:proofErr w:type="spellStart"/>
            <w:r w:rsidRPr="001B036C">
              <w:t>tests</w:t>
            </w:r>
            <w:r w:rsidR="00FB1286" w:rsidRPr="001B036C">
              <w:rPr>
                <w:vertAlign w:val="superscript"/>
              </w:rPr>
              <w:t>a</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5ED504" w14:textId="77777777" w:rsidR="0019792D" w:rsidRPr="001B036C" w:rsidRDefault="0019792D" w:rsidP="00F70556">
            <w:pPr>
              <w:pStyle w:val="TableText"/>
              <w:keepNext/>
              <w:keepLines/>
            </w:pPr>
            <w:r w:rsidRPr="001B036C">
              <w:t>395,439</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EDE68" w14:textId="77777777" w:rsidR="0019792D" w:rsidRPr="001B036C" w:rsidRDefault="0019792D" w:rsidP="00F70556">
            <w:pPr>
              <w:pStyle w:val="TableText"/>
              <w:keepNext/>
              <w:keepLines/>
            </w:pPr>
            <w:r w:rsidRPr="001B036C">
              <w:t>405,324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7219D" w14:textId="77777777" w:rsidR="0019792D" w:rsidRPr="001B036C" w:rsidRDefault="0019792D" w:rsidP="00F70556">
            <w:pPr>
              <w:pStyle w:val="TableText"/>
              <w:keepNext/>
              <w:keepLines/>
            </w:pPr>
            <w:r w:rsidRPr="001B036C">
              <w:t>415,458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E131BF" w14:textId="77777777" w:rsidR="0019792D" w:rsidRPr="001B036C" w:rsidRDefault="0019792D" w:rsidP="00F70556">
            <w:pPr>
              <w:pStyle w:val="TableText"/>
              <w:keepNext/>
              <w:keepLines/>
            </w:pPr>
            <w:r w:rsidRPr="001B036C">
              <w:t>425,844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E1839" w14:textId="77777777" w:rsidR="0019792D" w:rsidRPr="001B036C" w:rsidRDefault="0019792D" w:rsidP="00F70556">
            <w:pPr>
              <w:pStyle w:val="TableText"/>
              <w:keepNext/>
              <w:keepLines/>
            </w:pPr>
            <w:r w:rsidRPr="001B036C">
              <w:t>436,490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340026" w14:textId="77777777" w:rsidR="0019792D" w:rsidRPr="001B036C" w:rsidRDefault="0019792D" w:rsidP="00F70556">
            <w:pPr>
              <w:pStyle w:val="TableText"/>
              <w:keepNext/>
              <w:keepLines/>
            </w:pPr>
            <w:r w:rsidRPr="001B036C">
              <w:t>447,402</w:t>
            </w:r>
          </w:p>
        </w:tc>
      </w:tr>
      <w:tr w:rsidR="0019792D" w:rsidRPr="001B036C" w14:paraId="04228CCE" w14:textId="77777777" w:rsidTr="00D47945">
        <w:trPr>
          <w:trHeight w:val="30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78E3C" w14:textId="7C74BCD8" w:rsidR="0019792D" w:rsidRPr="001B036C" w:rsidRDefault="0019792D" w:rsidP="00F70556">
            <w:pPr>
              <w:pStyle w:val="TableText"/>
              <w:keepNext/>
              <w:keepLines/>
              <w:rPr>
                <w:vertAlign w:val="superscript"/>
              </w:rPr>
            </w:pPr>
            <w:r w:rsidRPr="001B036C">
              <w:t xml:space="preserve">Cost to the </w:t>
            </w:r>
            <w:proofErr w:type="spellStart"/>
            <w:r w:rsidRPr="001B036C">
              <w:t>MBS</w:t>
            </w:r>
            <w:r w:rsidR="00FB1286" w:rsidRPr="001B036C">
              <w:rPr>
                <w:vertAlign w:val="superscript"/>
              </w:rPr>
              <w:t>b</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86D7C" w14:textId="77777777" w:rsidR="0019792D" w:rsidRPr="001B036C" w:rsidRDefault="0019792D" w:rsidP="00F70556">
            <w:pPr>
              <w:pStyle w:val="TableText"/>
              <w:keepNext/>
              <w:keepLines/>
            </w:pPr>
            <w:r w:rsidRPr="001B036C">
              <w:t>$25,209,204</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D1825" w14:textId="77777777" w:rsidR="0019792D" w:rsidRPr="001B036C" w:rsidRDefault="0019792D" w:rsidP="00F70556">
            <w:pPr>
              <w:pStyle w:val="TableText"/>
              <w:keepNext/>
              <w:keepLines/>
            </w:pPr>
            <w:r w:rsidRPr="001B036C">
              <w:t>$25,839,435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42513" w14:textId="77777777" w:rsidR="0019792D" w:rsidRPr="001B036C" w:rsidRDefault="0019792D" w:rsidP="00F70556">
            <w:pPr>
              <w:pStyle w:val="TableText"/>
              <w:keepNext/>
              <w:keepLines/>
            </w:pPr>
            <w:r w:rsidRPr="001B036C">
              <w:t>$26,485,420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1F1760" w14:textId="77777777" w:rsidR="0019792D" w:rsidRPr="001B036C" w:rsidRDefault="0019792D" w:rsidP="00F70556">
            <w:pPr>
              <w:pStyle w:val="TableText"/>
              <w:keepNext/>
              <w:keepLines/>
            </w:pPr>
            <w:r w:rsidRPr="001B036C">
              <w:t>$27,147,556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D0B708" w14:textId="77777777" w:rsidR="0019792D" w:rsidRPr="001B036C" w:rsidRDefault="0019792D" w:rsidP="00F70556">
            <w:pPr>
              <w:pStyle w:val="TableText"/>
              <w:keepNext/>
              <w:keepLines/>
            </w:pPr>
            <w:r w:rsidRPr="001B036C">
              <w:t>$27,826,245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0AA32C" w14:textId="77777777" w:rsidR="0019792D" w:rsidRPr="001B036C" w:rsidRDefault="0019792D" w:rsidP="00F70556">
            <w:pPr>
              <w:pStyle w:val="TableText"/>
              <w:keepNext/>
              <w:keepLines/>
            </w:pPr>
            <w:r w:rsidRPr="001B036C">
              <w:t>$28,521,901</w:t>
            </w:r>
          </w:p>
        </w:tc>
      </w:tr>
      <w:tr w:rsidR="0019792D" w:rsidRPr="001B036C" w14:paraId="253D2E70" w14:textId="77777777" w:rsidTr="00D47945">
        <w:trPr>
          <w:trHeight w:val="314"/>
        </w:trPr>
        <w:tc>
          <w:tcPr>
            <w:tcW w:w="934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068B1" w14:textId="77777777" w:rsidR="0019792D" w:rsidRPr="001B036C" w:rsidRDefault="0019792D" w:rsidP="00F70556">
            <w:pPr>
              <w:pStyle w:val="In-tableHeading"/>
              <w:keepLines/>
            </w:pPr>
            <w:r w:rsidRPr="001B036C">
              <w:t>Change in use and cost of other health technologies</w:t>
            </w:r>
          </w:p>
        </w:tc>
      </w:tr>
      <w:tr w:rsidR="0019792D" w:rsidRPr="001B036C" w14:paraId="4261AA07" w14:textId="77777777" w:rsidTr="00D47945">
        <w:trPr>
          <w:trHeight w:val="777"/>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B33E3" w14:textId="0D5A8591" w:rsidR="0019792D" w:rsidRPr="001B036C" w:rsidRDefault="0019792D" w:rsidP="00F70556">
            <w:pPr>
              <w:pStyle w:val="TableText"/>
              <w:keepNext/>
              <w:keepLines/>
              <w:rPr>
                <w:vertAlign w:val="superscript"/>
              </w:rPr>
            </w:pPr>
            <w:r w:rsidRPr="001B036C">
              <w:t xml:space="preserve">Change in use of </w:t>
            </w:r>
            <w:proofErr w:type="spellStart"/>
            <w:r w:rsidRPr="001B036C">
              <w:t>colonoscopies</w:t>
            </w:r>
            <w:r w:rsidR="00FB1286" w:rsidRPr="001B036C">
              <w:rPr>
                <w:vertAlign w:val="superscript"/>
              </w:rPr>
              <w:t>c</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263F5" w14:textId="195F9674" w:rsidR="0019792D" w:rsidRPr="001B036C" w:rsidRDefault="0019792D" w:rsidP="00F70556">
            <w:pPr>
              <w:pStyle w:val="TableText"/>
              <w:keepNext/>
              <w:keepLines/>
            </w:pPr>
            <w:r w:rsidRPr="001B036C">
              <w:t>-26,753</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17556" w14:textId="031B9019" w:rsidR="0019792D" w:rsidRPr="001B036C" w:rsidRDefault="0019792D" w:rsidP="00F70556">
            <w:pPr>
              <w:pStyle w:val="TableText"/>
              <w:keepNext/>
              <w:keepLines/>
            </w:pPr>
            <w:r w:rsidRPr="001B036C">
              <w:t>-27,422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AF3B16" w14:textId="5373CC26" w:rsidR="0019792D" w:rsidRPr="001B036C" w:rsidRDefault="0019792D" w:rsidP="00F70556">
            <w:pPr>
              <w:pStyle w:val="TableText"/>
              <w:keepNext/>
              <w:keepLines/>
            </w:pPr>
            <w:r w:rsidRPr="001B036C">
              <w:t>-28,108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A8279" w14:textId="1C6BA912" w:rsidR="0019792D" w:rsidRPr="001B036C" w:rsidRDefault="0019792D" w:rsidP="00F70556">
            <w:pPr>
              <w:pStyle w:val="TableText"/>
              <w:keepNext/>
              <w:keepLines/>
            </w:pPr>
            <w:r w:rsidRPr="001B036C">
              <w:t>-28,810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C40BC" w14:textId="6941EB28" w:rsidR="0019792D" w:rsidRPr="001B036C" w:rsidRDefault="0019792D" w:rsidP="00F70556">
            <w:pPr>
              <w:pStyle w:val="TableText"/>
              <w:keepNext/>
              <w:keepLines/>
            </w:pPr>
            <w:r w:rsidRPr="001B036C">
              <w:t>-29,531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C51FA" w14:textId="20E752A5" w:rsidR="0019792D" w:rsidRPr="001B036C" w:rsidRDefault="0019792D" w:rsidP="00F70556">
            <w:pPr>
              <w:pStyle w:val="TableText"/>
              <w:keepNext/>
              <w:keepLines/>
            </w:pPr>
            <w:r w:rsidRPr="001B036C">
              <w:t>-30,269</w:t>
            </w:r>
          </w:p>
        </w:tc>
      </w:tr>
      <w:tr w:rsidR="0019792D" w:rsidRPr="001B036C" w14:paraId="1D3774AE" w14:textId="77777777" w:rsidTr="00D47945">
        <w:trPr>
          <w:trHeight w:val="31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4AFF3" w14:textId="514DD828" w:rsidR="0019792D" w:rsidRPr="001B036C" w:rsidRDefault="0019792D" w:rsidP="00F70556">
            <w:pPr>
              <w:pStyle w:val="TableText"/>
              <w:keepNext/>
              <w:keepLines/>
              <w:rPr>
                <w:vertAlign w:val="superscript"/>
              </w:rPr>
            </w:pPr>
            <w:r w:rsidRPr="001B036C">
              <w:t xml:space="preserve">Change in GP </w:t>
            </w:r>
            <w:proofErr w:type="spellStart"/>
            <w:r w:rsidRPr="001B036C">
              <w:t>visits</w:t>
            </w:r>
            <w:r w:rsidR="0038274C" w:rsidRPr="001B036C">
              <w:rPr>
                <w:vertAlign w:val="superscript"/>
              </w:rPr>
              <w:t>d</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14:paraId="0F9EDC37" w14:textId="77777777" w:rsidR="0019792D" w:rsidRPr="001B036C" w:rsidRDefault="0019792D" w:rsidP="00F70556">
            <w:pPr>
              <w:pStyle w:val="TableText"/>
              <w:keepNext/>
              <w:keepLines/>
            </w:pPr>
            <w:r w:rsidRPr="001B036C">
              <w:t>222,587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bottom"/>
          </w:tcPr>
          <w:p w14:paraId="5C72E2C6" w14:textId="77777777" w:rsidR="0019792D" w:rsidRPr="001B036C" w:rsidRDefault="0019792D" w:rsidP="00F70556">
            <w:pPr>
              <w:pStyle w:val="TableText"/>
              <w:keepNext/>
              <w:keepLines/>
            </w:pPr>
            <w:r w:rsidRPr="001B036C">
              <w:t>228,152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14:paraId="3E72B9FE" w14:textId="77777777" w:rsidR="0019792D" w:rsidRPr="001B036C" w:rsidRDefault="0019792D" w:rsidP="00F70556">
            <w:pPr>
              <w:pStyle w:val="TableText"/>
              <w:keepNext/>
              <w:keepLines/>
            </w:pPr>
            <w:r w:rsidRPr="001B036C">
              <w:t>233,856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14:paraId="52562CF9" w14:textId="77777777" w:rsidR="0019792D" w:rsidRPr="001B036C" w:rsidRDefault="0019792D" w:rsidP="00F70556">
            <w:pPr>
              <w:pStyle w:val="TableText"/>
              <w:keepNext/>
              <w:keepLines/>
            </w:pPr>
            <w:r w:rsidRPr="001B036C">
              <w:t>239,702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14:paraId="4F083548" w14:textId="77777777" w:rsidR="0019792D" w:rsidRPr="001B036C" w:rsidRDefault="0019792D" w:rsidP="00F70556">
            <w:pPr>
              <w:pStyle w:val="TableText"/>
              <w:keepNext/>
              <w:keepLines/>
            </w:pPr>
            <w:r w:rsidRPr="001B036C">
              <w:t>245,695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tcPr>
          <w:p w14:paraId="08F0E96B" w14:textId="77777777" w:rsidR="0019792D" w:rsidRPr="001B036C" w:rsidRDefault="0019792D" w:rsidP="00F70556">
            <w:pPr>
              <w:pStyle w:val="TableText"/>
              <w:keepNext/>
              <w:keepLines/>
            </w:pPr>
            <w:r w:rsidRPr="001B036C">
              <w:t>251,837</w:t>
            </w:r>
          </w:p>
        </w:tc>
      </w:tr>
      <w:tr w:rsidR="0019792D" w:rsidRPr="001B036C" w14:paraId="7CF8F024" w14:textId="77777777" w:rsidTr="00D47945">
        <w:trPr>
          <w:trHeight w:val="54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403A3" w14:textId="4B9609A8" w:rsidR="0019792D" w:rsidRPr="001B036C" w:rsidRDefault="0019792D" w:rsidP="00F70556">
            <w:pPr>
              <w:pStyle w:val="TableText"/>
              <w:keepNext/>
              <w:keepLines/>
              <w:rPr>
                <w:vertAlign w:val="superscript"/>
              </w:rPr>
            </w:pPr>
            <w:r w:rsidRPr="001B036C">
              <w:t xml:space="preserve">Change in specialist </w:t>
            </w:r>
            <w:proofErr w:type="spellStart"/>
            <w:r w:rsidRPr="001B036C">
              <w:t>visits</w:t>
            </w:r>
            <w:r w:rsidR="0038274C" w:rsidRPr="001B036C">
              <w:rPr>
                <w:vertAlign w:val="superscript"/>
              </w:rPr>
              <w:t>e</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8C688C" w14:textId="655A5A1B" w:rsidR="0019792D" w:rsidRPr="001B036C" w:rsidRDefault="0019792D" w:rsidP="00F70556">
            <w:pPr>
              <w:pStyle w:val="TableText"/>
              <w:keepNext/>
              <w:keepLines/>
            </w:pPr>
            <w:r w:rsidRPr="001B036C">
              <w:t>17,485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37EBA" w14:textId="563FB9AA" w:rsidR="0019792D" w:rsidRPr="001B036C" w:rsidRDefault="0019792D" w:rsidP="00F70556">
            <w:pPr>
              <w:pStyle w:val="TableText"/>
              <w:keepNext/>
              <w:keepLines/>
            </w:pPr>
            <w:r w:rsidRPr="001B036C">
              <w:t>17,922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1846F" w14:textId="65C29243" w:rsidR="0019792D" w:rsidRPr="001B036C" w:rsidRDefault="0019792D" w:rsidP="00F70556">
            <w:pPr>
              <w:pStyle w:val="TableText"/>
              <w:keepNext/>
              <w:keepLines/>
            </w:pPr>
            <w:r w:rsidRPr="001B036C">
              <w:t>18,371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24827" w14:textId="7471F691" w:rsidR="0019792D" w:rsidRPr="001B036C" w:rsidRDefault="0019792D" w:rsidP="00F70556">
            <w:pPr>
              <w:pStyle w:val="TableText"/>
              <w:keepNext/>
              <w:keepLines/>
            </w:pPr>
            <w:r w:rsidRPr="001B036C">
              <w:t>18,830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6D1FE" w14:textId="530D1DE6" w:rsidR="0019792D" w:rsidRPr="001B036C" w:rsidRDefault="0019792D" w:rsidP="00F70556">
            <w:pPr>
              <w:pStyle w:val="TableText"/>
              <w:keepNext/>
              <w:keepLines/>
            </w:pPr>
            <w:r w:rsidRPr="001B036C">
              <w:t>19,301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2BE3C" w14:textId="3940D8E5" w:rsidR="0019792D" w:rsidRPr="001B036C" w:rsidRDefault="0019792D" w:rsidP="00F70556">
            <w:pPr>
              <w:pStyle w:val="TableText"/>
              <w:keepNext/>
              <w:keepLines/>
            </w:pPr>
            <w:r w:rsidRPr="001B036C">
              <w:t>19,783</w:t>
            </w:r>
          </w:p>
        </w:tc>
      </w:tr>
      <w:tr w:rsidR="0019792D" w:rsidRPr="001B036C" w14:paraId="15BD2ECD" w14:textId="77777777" w:rsidTr="00D47945">
        <w:trPr>
          <w:trHeight w:val="777"/>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218817" w14:textId="5D1C8ECF" w:rsidR="0019792D" w:rsidRPr="001B036C" w:rsidRDefault="0019792D" w:rsidP="00F70556">
            <w:pPr>
              <w:pStyle w:val="TableText"/>
              <w:keepNext/>
              <w:keepLines/>
              <w:rPr>
                <w:vertAlign w:val="superscript"/>
              </w:rPr>
            </w:pPr>
            <w:r w:rsidRPr="001B036C">
              <w:t xml:space="preserve">Change in subsequent specialist </w:t>
            </w:r>
            <w:proofErr w:type="spellStart"/>
            <w:r w:rsidRPr="001B036C">
              <w:t>visits</w:t>
            </w:r>
            <w:r w:rsidR="0038274C" w:rsidRPr="001B036C">
              <w:rPr>
                <w:vertAlign w:val="superscript"/>
              </w:rPr>
              <w:t>f</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6ED3AB" w14:textId="07CDA8F4" w:rsidR="0019792D" w:rsidRPr="001B036C" w:rsidRDefault="0019792D" w:rsidP="00F70556">
            <w:pPr>
              <w:pStyle w:val="TableText"/>
              <w:keepNext/>
              <w:keepLines/>
            </w:pPr>
            <w:r w:rsidRPr="001B036C">
              <w:t>74,531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AFD99" w14:textId="77D7515C" w:rsidR="0019792D" w:rsidRPr="001B036C" w:rsidRDefault="0019792D" w:rsidP="00F70556">
            <w:pPr>
              <w:pStyle w:val="TableText"/>
              <w:keepNext/>
              <w:keepLines/>
            </w:pPr>
            <w:r w:rsidRPr="001B036C">
              <w:t>76,394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9F8C14" w14:textId="1A592385" w:rsidR="0019792D" w:rsidRPr="001B036C" w:rsidRDefault="0019792D" w:rsidP="00F70556">
            <w:pPr>
              <w:pStyle w:val="TableText"/>
              <w:keepNext/>
              <w:keepLines/>
            </w:pPr>
            <w:r w:rsidRPr="001B036C">
              <w:t>78,304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DCFA1" w14:textId="68B46AC6" w:rsidR="0019792D" w:rsidRPr="001B036C" w:rsidRDefault="0019792D" w:rsidP="00F70556">
            <w:pPr>
              <w:pStyle w:val="TableText"/>
              <w:keepNext/>
              <w:keepLines/>
            </w:pPr>
            <w:r w:rsidRPr="001B036C">
              <w:t>80,261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330C5" w14:textId="6C711661" w:rsidR="0019792D" w:rsidRPr="001B036C" w:rsidRDefault="0019792D" w:rsidP="00F70556">
            <w:pPr>
              <w:pStyle w:val="TableText"/>
              <w:keepNext/>
              <w:keepLines/>
            </w:pPr>
            <w:r w:rsidRPr="001B036C">
              <w:t>82,268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92FB3E" w14:textId="49746905" w:rsidR="0019792D" w:rsidRPr="001B036C" w:rsidRDefault="0019792D" w:rsidP="00F70556">
            <w:pPr>
              <w:pStyle w:val="TableText"/>
              <w:keepNext/>
              <w:keepLines/>
            </w:pPr>
            <w:r w:rsidRPr="001B036C">
              <w:t>84,325</w:t>
            </w:r>
          </w:p>
        </w:tc>
      </w:tr>
      <w:tr w:rsidR="002C10A9" w:rsidRPr="001B036C" w14:paraId="28FDECDA" w14:textId="77777777" w:rsidTr="001C6A90">
        <w:trPr>
          <w:trHeight w:val="777"/>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B92792" w14:textId="3496E75F" w:rsidR="002C10A9" w:rsidRPr="001B036C" w:rsidRDefault="002C10A9" w:rsidP="00F70556">
            <w:pPr>
              <w:pStyle w:val="TableText"/>
              <w:keepNext/>
              <w:keepLines/>
              <w:rPr>
                <w:vertAlign w:val="superscript"/>
              </w:rPr>
            </w:pPr>
            <w:r w:rsidRPr="001B036C">
              <w:t xml:space="preserve">Change in cost of </w:t>
            </w:r>
            <w:proofErr w:type="spellStart"/>
            <w:r w:rsidRPr="001B036C">
              <w:t>colonoscopies</w:t>
            </w:r>
            <w:r w:rsidRPr="001B036C">
              <w:rPr>
                <w:vertAlign w:val="superscript"/>
              </w:rPr>
              <w:t>g</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B2FCF3F" w14:textId="00338E0A" w:rsidR="002C10A9" w:rsidRPr="001B036C" w:rsidRDefault="002C10A9" w:rsidP="00F70556">
            <w:pPr>
              <w:pStyle w:val="TableText"/>
              <w:keepNext/>
              <w:keepLines/>
            </w:pPr>
            <w:r w:rsidRPr="001B036C">
              <w:t>-$9,419,661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42EA177" w14:textId="54DCB819" w:rsidR="002C10A9" w:rsidRPr="001B036C" w:rsidRDefault="002C10A9" w:rsidP="00F70556">
            <w:pPr>
              <w:pStyle w:val="TableText"/>
              <w:keepNext/>
              <w:keepLines/>
            </w:pPr>
            <w:r w:rsidRPr="001B036C">
              <w:t>-$9,655,152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BF53C8E" w14:textId="328F8634" w:rsidR="002C10A9" w:rsidRPr="001B036C" w:rsidRDefault="002C10A9" w:rsidP="00F70556">
            <w:pPr>
              <w:pStyle w:val="TableText"/>
              <w:keepNext/>
              <w:keepLines/>
            </w:pPr>
            <w:r w:rsidRPr="001B036C">
              <w:t>-$9,896,531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A20E3D5" w14:textId="471C4910" w:rsidR="002C10A9" w:rsidRPr="001B036C" w:rsidRDefault="002C10A9" w:rsidP="00F70556">
            <w:pPr>
              <w:pStyle w:val="TableText"/>
              <w:keepNext/>
              <w:keepLines/>
            </w:pPr>
            <w:r w:rsidRPr="001B036C">
              <w:t>-$10,143,944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AD150D2" w14:textId="232BD24A" w:rsidR="002C10A9" w:rsidRPr="001B036C" w:rsidRDefault="002C10A9" w:rsidP="00F70556">
            <w:pPr>
              <w:pStyle w:val="TableText"/>
              <w:keepNext/>
              <w:keepLines/>
            </w:pPr>
            <w:r w:rsidRPr="001B036C">
              <w:t>-$10,397,543</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B167E73" w14:textId="632F34CD" w:rsidR="002C10A9" w:rsidRPr="001B036C" w:rsidRDefault="002C10A9" w:rsidP="00F70556">
            <w:pPr>
              <w:pStyle w:val="TableText"/>
              <w:keepNext/>
              <w:keepLines/>
            </w:pPr>
            <w:r w:rsidRPr="001B036C">
              <w:t>-$10,657,481</w:t>
            </w:r>
          </w:p>
        </w:tc>
      </w:tr>
      <w:tr w:rsidR="0019792D" w:rsidRPr="001B036C" w14:paraId="18142C96" w14:textId="77777777">
        <w:trPr>
          <w:trHeight w:val="777"/>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743067" w14:textId="5D5E7B04" w:rsidR="0019792D" w:rsidRPr="001B036C" w:rsidRDefault="0019792D" w:rsidP="00F70556">
            <w:pPr>
              <w:pStyle w:val="TableText"/>
              <w:keepNext/>
              <w:keepLines/>
              <w:rPr>
                <w:vertAlign w:val="superscript"/>
              </w:rPr>
            </w:pPr>
            <w:r w:rsidRPr="001B036C">
              <w:t xml:space="preserve">Change in cost of GP </w:t>
            </w:r>
            <w:proofErr w:type="spellStart"/>
            <w:r w:rsidRPr="001B036C">
              <w:t>visits</w:t>
            </w:r>
            <w:r w:rsidR="00DD1EC3" w:rsidRPr="001B036C">
              <w:rPr>
                <w:vertAlign w:val="superscript"/>
              </w:rPr>
              <w:t>h</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71A4A6" w14:textId="77777777" w:rsidR="0019792D" w:rsidRPr="001B036C" w:rsidRDefault="0019792D" w:rsidP="00F70556">
            <w:pPr>
              <w:pStyle w:val="TableText"/>
              <w:keepNext/>
              <w:keepLines/>
            </w:pPr>
            <w:r w:rsidRPr="001B036C">
              <w:t>$9,537,864</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66E37" w14:textId="77777777" w:rsidR="0019792D" w:rsidRPr="001B036C" w:rsidRDefault="0019792D" w:rsidP="00F70556">
            <w:pPr>
              <w:pStyle w:val="TableText"/>
              <w:keepNext/>
              <w:keepLines/>
            </w:pPr>
            <w:r w:rsidRPr="001B036C">
              <w:t>$9,776,311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7EFBD6" w14:textId="77777777" w:rsidR="0019792D" w:rsidRPr="001B036C" w:rsidRDefault="0019792D" w:rsidP="00F70556">
            <w:pPr>
              <w:pStyle w:val="TableText"/>
              <w:keepNext/>
              <w:keepLines/>
            </w:pPr>
            <w:r w:rsidRPr="001B036C">
              <w:t>$10,020,719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902200" w14:textId="77777777" w:rsidR="0019792D" w:rsidRPr="001B036C" w:rsidRDefault="0019792D" w:rsidP="00F70556">
            <w:pPr>
              <w:pStyle w:val="TableText"/>
              <w:keepNext/>
              <w:keepLines/>
            </w:pPr>
            <w:r w:rsidRPr="001B036C">
              <w:t>$10,271,237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52B00" w14:textId="77777777" w:rsidR="0019792D" w:rsidRPr="001B036C" w:rsidRDefault="0019792D" w:rsidP="00F70556">
            <w:pPr>
              <w:pStyle w:val="TableText"/>
              <w:keepNext/>
              <w:keepLines/>
            </w:pPr>
            <w:r w:rsidRPr="001B036C">
              <w:t>$10,528,017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F600A" w14:textId="77777777" w:rsidR="0019792D" w:rsidRPr="001B036C" w:rsidRDefault="0019792D" w:rsidP="00F70556">
            <w:pPr>
              <w:pStyle w:val="TableText"/>
              <w:keepNext/>
              <w:keepLines/>
            </w:pPr>
            <w:r w:rsidRPr="001B036C">
              <w:t>$10,791,218</w:t>
            </w:r>
          </w:p>
        </w:tc>
      </w:tr>
      <w:tr w:rsidR="0019792D" w:rsidRPr="001B036C" w14:paraId="6A33EC7F" w14:textId="77777777">
        <w:trPr>
          <w:trHeight w:val="777"/>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FF3EDF" w14:textId="1A37E8F5" w:rsidR="0019792D" w:rsidRPr="001B036C" w:rsidRDefault="0019792D" w:rsidP="00F70556">
            <w:pPr>
              <w:pStyle w:val="TableText"/>
              <w:keepNext/>
              <w:keepLines/>
              <w:rPr>
                <w:vertAlign w:val="superscript"/>
              </w:rPr>
            </w:pPr>
            <w:r w:rsidRPr="001B036C">
              <w:t xml:space="preserve">Change in cost of specialist </w:t>
            </w:r>
            <w:proofErr w:type="spellStart"/>
            <w:r w:rsidRPr="001B036C">
              <w:t>visits</w:t>
            </w:r>
            <w:r w:rsidR="00DD1EC3" w:rsidRPr="001B036C">
              <w:rPr>
                <w:vertAlign w:val="superscript"/>
              </w:rPr>
              <w:t>i</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BDCAF" w14:textId="77777777" w:rsidR="0019792D" w:rsidRPr="001B036C" w:rsidRDefault="0019792D" w:rsidP="00F70556">
            <w:pPr>
              <w:pStyle w:val="TableText"/>
              <w:keepNext/>
              <w:keepLines/>
            </w:pPr>
            <w:r w:rsidRPr="001B036C">
              <w:t>$2,593,513</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0016" w14:textId="77777777" w:rsidR="0019792D" w:rsidRPr="001B036C" w:rsidRDefault="0019792D" w:rsidP="00F70556">
            <w:pPr>
              <w:pStyle w:val="TableText"/>
              <w:keepNext/>
              <w:keepLines/>
            </w:pPr>
            <w:r w:rsidRPr="001B036C">
              <w:t>$2,658,351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63604" w14:textId="77777777" w:rsidR="0019792D" w:rsidRPr="001B036C" w:rsidRDefault="0019792D" w:rsidP="00F70556">
            <w:pPr>
              <w:pStyle w:val="TableText"/>
              <w:keepNext/>
              <w:keepLines/>
            </w:pPr>
            <w:r w:rsidRPr="001B036C">
              <w:t>$2,724,810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31231" w14:textId="77777777" w:rsidR="0019792D" w:rsidRPr="001B036C" w:rsidRDefault="0019792D" w:rsidP="00F70556">
            <w:pPr>
              <w:pStyle w:val="TableText"/>
              <w:keepNext/>
              <w:keepLines/>
            </w:pPr>
            <w:r w:rsidRPr="001B036C">
              <w:t>$2,792,930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A6DBA5F" w14:textId="77777777" w:rsidR="0019792D" w:rsidRPr="001B036C" w:rsidRDefault="0019792D" w:rsidP="00F70556">
            <w:pPr>
              <w:pStyle w:val="TableText"/>
              <w:keepNext/>
              <w:keepLines/>
            </w:pPr>
            <w:r w:rsidRPr="001B036C">
              <w:t>$2,862,754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37673" w14:textId="77777777" w:rsidR="0019792D" w:rsidRPr="001B036C" w:rsidRDefault="0019792D" w:rsidP="00F70556">
            <w:pPr>
              <w:pStyle w:val="TableText"/>
              <w:keepNext/>
              <w:keepLines/>
            </w:pPr>
            <w:r w:rsidRPr="001B036C">
              <w:t>$2,934,322</w:t>
            </w:r>
          </w:p>
        </w:tc>
      </w:tr>
      <w:tr w:rsidR="0019792D" w:rsidRPr="001B036C" w14:paraId="50F52AEE" w14:textId="77777777">
        <w:trPr>
          <w:trHeight w:val="777"/>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04B25B" w14:textId="6A18B139" w:rsidR="0019792D" w:rsidRPr="001B036C" w:rsidRDefault="0019792D" w:rsidP="00F70556">
            <w:pPr>
              <w:pStyle w:val="TableText"/>
              <w:keepNext/>
              <w:keepLines/>
              <w:rPr>
                <w:vertAlign w:val="superscript"/>
              </w:rPr>
            </w:pPr>
            <w:r w:rsidRPr="001B036C">
              <w:t xml:space="preserve">Change in cost of subsequent specialist </w:t>
            </w:r>
            <w:proofErr w:type="spellStart"/>
            <w:r w:rsidRPr="001B036C">
              <w:t>visits</w:t>
            </w:r>
            <w:r w:rsidR="00DD1EC3" w:rsidRPr="001B036C">
              <w:rPr>
                <w:vertAlign w:val="superscript"/>
              </w:rPr>
              <w:t>j</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3B2E52" w14:textId="77777777" w:rsidR="0019792D" w:rsidRPr="001B036C" w:rsidRDefault="0019792D" w:rsidP="00F70556">
            <w:pPr>
              <w:pStyle w:val="TableText"/>
              <w:keepNext/>
              <w:keepLines/>
            </w:pPr>
            <w:r w:rsidRPr="001B036C">
              <w:t>$5,530,544</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CAA6C" w14:textId="77777777" w:rsidR="0019792D" w:rsidRPr="001B036C" w:rsidRDefault="0019792D" w:rsidP="00F70556">
            <w:pPr>
              <w:pStyle w:val="TableText"/>
              <w:keepNext/>
              <w:keepLines/>
            </w:pPr>
            <w:r w:rsidRPr="001B036C">
              <w:t>$5,668,807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D2D8A3" w14:textId="77777777" w:rsidR="0019792D" w:rsidRPr="001B036C" w:rsidRDefault="0019792D" w:rsidP="00F70556">
            <w:pPr>
              <w:pStyle w:val="TableText"/>
              <w:keepNext/>
              <w:keepLines/>
            </w:pPr>
            <w:r w:rsidRPr="001B036C">
              <w:t>$5,810,527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CDC08E" w14:textId="77777777" w:rsidR="0019792D" w:rsidRPr="001B036C" w:rsidRDefault="0019792D" w:rsidP="00F70556">
            <w:pPr>
              <w:pStyle w:val="TableText"/>
              <w:keepNext/>
              <w:keepLines/>
            </w:pPr>
            <w:r w:rsidRPr="001B036C">
              <w:t>$5,955,791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0CB2D" w14:textId="77777777" w:rsidR="0019792D" w:rsidRPr="001B036C" w:rsidRDefault="0019792D" w:rsidP="00F70556">
            <w:pPr>
              <w:pStyle w:val="TableText"/>
              <w:keepNext/>
              <w:keepLines/>
            </w:pPr>
            <w:r w:rsidRPr="001B036C">
              <w:t>$6,104,685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F2AAF" w14:textId="77777777" w:rsidR="0019792D" w:rsidRPr="001B036C" w:rsidRDefault="0019792D" w:rsidP="00F70556">
            <w:pPr>
              <w:pStyle w:val="TableText"/>
              <w:keepNext/>
              <w:keepLines/>
            </w:pPr>
            <w:r w:rsidRPr="001B036C">
              <w:t>$6,257,302</w:t>
            </w:r>
          </w:p>
        </w:tc>
      </w:tr>
      <w:tr w:rsidR="008F07C0" w:rsidRPr="001B036C" w14:paraId="6A7FF4B8" w14:textId="77777777" w:rsidTr="001C6A90">
        <w:trPr>
          <w:trHeight w:val="766"/>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CBE81" w14:textId="77777777" w:rsidR="008F07C0" w:rsidRPr="001B036C" w:rsidRDefault="008F07C0" w:rsidP="00F70556">
            <w:pPr>
              <w:pStyle w:val="TableText"/>
              <w:keepNext/>
              <w:keepLines/>
              <w:rPr>
                <w:b/>
                <w:bCs/>
              </w:rPr>
            </w:pPr>
            <w:r w:rsidRPr="001B036C">
              <w:rPr>
                <w:b/>
                <w:bCs/>
              </w:rPr>
              <w:t>Net financial impact to the MBS (less copayments)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55719" w14:textId="79908FC3" w:rsidR="008F07C0" w:rsidRPr="001B036C" w:rsidRDefault="008F07C0" w:rsidP="00F70556">
            <w:pPr>
              <w:pStyle w:val="TableText"/>
              <w:keepNext/>
              <w:keepLines/>
              <w:rPr>
                <w:b/>
                <w:bCs/>
                <w:szCs w:val="20"/>
              </w:rPr>
            </w:pPr>
            <w:r w:rsidRPr="001B036C">
              <w:rPr>
                <w:b/>
                <w:bCs/>
                <w:szCs w:val="20"/>
              </w:rPr>
              <w:t>$33,451,465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13B4" w14:textId="1A8138A9" w:rsidR="008F07C0" w:rsidRPr="001B036C" w:rsidRDefault="008F07C0" w:rsidP="00F70556">
            <w:pPr>
              <w:pStyle w:val="TableText"/>
              <w:keepNext/>
              <w:keepLines/>
              <w:rPr>
                <w:b/>
                <w:bCs/>
                <w:szCs w:val="20"/>
              </w:rPr>
            </w:pPr>
            <w:r w:rsidRPr="001B036C">
              <w:rPr>
                <w:b/>
                <w:bCs/>
                <w:szCs w:val="20"/>
              </w:rPr>
              <w:t>$34,287,752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FFAE05" w14:textId="1C223201" w:rsidR="008F07C0" w:rsidRPr="001B036C" w:rsidRDefault="008F07C0" w:rsidP="00F70556">
            <w:pPr>
              <w:pStyle w:val="TableText"/>
              <w:keepNext/>
              <w:keepLines/>
              <w:rPr>
                <w:b/>
                <w:bCs/>
                <w:szCs w:val="20"/>
              </w:rPr>
            </w:pPr>
            <w:r w:rsidRPr="001B036C">
              <w:rPr>
                <w:b/>
                <w:bCs/>
                <w:szCs w:val="20"/>
              </w:rPr>
              <w:t>$35,144,946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C3B030" w14:textId="7B91B81C" w:rsidR="008F07C0" w:rsidRPr="001B036C" w:rsidRDefault="008F07C0" w:rsidP="00F70556">
            <w:pPr>
              <w:pStyle w:val="TableText"/>
              <w:keepNext/>
              <w:keepLines/>
              <w:rPr>
                <w:b/>
                <w:bCs/>
                <w:szCs w:val="20"/>
              </w:rPr>
            </w:pPr>
            <w:r w:rsidRPr="001B036C">
              <w:rPr>
                <w:b/>
                <w:bCs/>
                <w:szCs w:val="20"/>
              </w:rPr>
              <w:t>$36,023,569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4AE806" w14:textId="5ED44462" w:rsidR="008F07C0" w:rsidRPr="001B036C" w:rsidRDefault="008F07C0" w:rsidP="00F70556">
            <w:pPr>
              <w:pStyle w:val="TableText"/>
              <w:keepNext/>
              <w:keepLines/>
              <w:rPr>
                <w:b/>
                <w:bCs/>
                <w:szCs w:val="20"/>
              </w:rPr>
            </w:pPr>
            <w:r w:rsidRPr="001B036C">
              <w:rPr>
                <w:b/>
                <w:bCs/>
                <w:szCs w:val="20"/>
              </w:rPr>
              <w:t>$36,924,158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B3E5B4" w14:textId="7417E9C7" w:rsidR="008F07C0" w:rsidRPr="001B036C" w:rsidRDefault="008F07C0" w:rsidP="00F70556">
            <w:pPr>
              <w:pStyle w:val="TableText"/>
              <w:keepNext/>
              <w:keepLines/>
              <w:rPr>
                <w:b/>
                <w:bCs/>
                <w:szCs w:val="20"/>
              </w:rPr>
            </w:pPr>
            <w:r w:rsidRPr="001B036C">
              <w:rPr>
                <w:b/>
                <w:bCs/>
                <w:szCs w:val="20"/>
              </w:rPr>
              <w:t>$37,847,262</w:t>
            </w:r>
          </w:p>
        </w:tc>
      </w:tr>
    </w:tbl>
    <w:p w14:paraId="49DC17E0" w14:textId="77777777" w:rsidR="0019792D" w:rsidRPr="001B036C" w:rsidRDefault="0019792D" w:rsidP="00F70556">
      <w:pPr>
        <w:pStyle w:val="Tablenotes0"/>
        <w:keepNext/>
        <w:keepLines/>
        <w:rPr>
          <w:szCs w:val="18"/>
        </w:rPr>
      </w:pPr>
      <w:r w:rsidRPr="001B036C">
        <w:t>FC = Faecal calprotectin</w:t>
      </w:r>
      <w:r w:rsidRPr="001B036C">
        <w:rPr>
          <w:szCs w:val="18"/>
        </w:rPr>
        <w:t xml:space="preserve">; GP= general practitioner. </w:t>
      </w:r>
    </w:p>
    <w:p w14:paraId="2A4BE3C5" w14:textId="562D84BD" w:rsidR="00FB1286" w:rsidRPr="001B036C" w:rsidRDefault="00FB1286" w:rsidP="00D47945">
      <w:pPr>
        <w:pStyle w:val="Tablenotes0"/>
      </w:pPr>
      <w:proofErr w:type="gramStart"/>
      <w:r w:rsidRPr="001B036C">
        <w:rPr>
          <w:vertAlign w:val="superscript"/>
        </w:rPr>
        <w:t>a</w:t>
      </w:r>
      <w:r w:rsidRPr="001B036C">
        <w:t xml:space="preserve"> Number of</w:t>
      </w:r>
      <w:proofErr w:type="gramEnd"/>
      <w:r w:rsidRPr="001B036C">
        <w:t xml:space="preserve"> FC tests per </w:t>
      </w:r>
      <w:r w:rsidR="00510569">
        <w:t>y</w:t>
      </w:r>
      <w:r w:rsidRPr="001B036C">
        <w:t>ear per patient = 2.06</w:t>
      </w:r>
    </w:p>
    <w:p w14:paraId="50A3ABCD" w14:textId="5751D3DE" w:rsidR="00FB1286" w:rsidRPr="001B036C" w:rsidRDefault="00FB1286" w:rsidP="00FB1286">
      <w:pPr>
        <w:pStyle w:val="Tablenotes0"/>
      </w:pPr>
      <w:r w:rsidRPr="001B036C">
        <w:rPr>
          <w:vertAlign w:val="superscript"/>
        </w:rPr>
        <w:t>b</w:t>
      </w:r>
      <w:r w:rsidRPr="001B036C">
        <w:t xml:space="preserve"> One FC test cost= $63.75 (85% of full schedule fee based on MBS item 66522 and 66523)</w:t>
      </w:r>
    </w:p>
    <w:p w14:paraId="0F6F0720" w14:textId="37EF8B02" w:rsidR="00FB1286" w:rsidRPr="001B036C" w:rsidRDefault="00FB1286" w:rsidP="00FB1286">
      <w:pPr>
        <w:pStyle w:val="Tablenotes0"/>
      </w:pPr>
      <w:r w:rsidRPr="001B036C">
        <w:rPr>
          <w:vertAlign w:val="superscript"/>
        </w:rPr>
        <w:t>c</w:t>
      </w:r>
      <w:r w:rsidRPr="001B036C">
        <w:t xml:space="preserve"> Change in </w:t>
      </w:r>
      <w:r w:rsidR="00FD26B7" w:rsidRPr="001B036C">
        <w:t xml:space="preserve">number of colonoscopies per patient per year = </w:t>
      </w:r>
      <w:r w:rsidR="00441E6D" w:rsidRPr="001B036C">
        <w:t>-0.14</w:t>
      </w:r>
    </w:p>
    <w:p w14:paraId="6736050F" w14:textId="79F6AAE1" w:rsidR="0038274C" w:rsidRPr="001B036C" w:rsidRDefault="0038274C" w:rsidP="00FB1286">
      <w:pPr>
        <w:pStyle w:val="Tablenotes0"/>
      </w:pPr>
      <w:r w:rsidRPr="001B036C">
        <w:rPr>
          <w:vertAlign w:val="superscript"/>
        </w:rPr>
        <w:t>d</w:t>
      </w:r>
      <w:r w:rsidRPr="001B036C">
        <w:t xml:space="preserve"> Change in GP visits per patient per year = 1.16</w:t>
      </w:r>
    </w:p>
    <w:p w14:paraId="39B05CC3" w14:textId="1AD5C374" w:rsidR="0038274C" w:rsidRPr="001B036C" w:rsidRDefault="0038274C" w:rsidP="00FB1286">
      <w:pPr>
        <w:pStyle w:val="Tablenotes0"/>
      </w:pPr>
      <w:r w:rsidRPr="001B036C">
        <w:rPr>
          <w:vertAlign w:val="superscript"/>
        </w:rPr>
        <w:t>e</w:t>
      </w:r>
      <w:r w:rsidRPr="001B036C">
        <w:t xml:space="preserve"> Change in specialist visits per patient per</w:t>
      </w:r>
      <w:r w:rsidR="00750E0E">
        <w:t xml:space="preserve"> year</w:t>
      </w:r>
      <w:r w:rsidRPr="001B036C">
        <w:t xml:space="preserve"> = 0.09</w:t>
      </w:r>
    </w:p>
    <w:p w14:paraId="7A1C7649" w14:textId="35DED00A" w:rsidR="0038274C" w:rsidRPr="001B036C" w:rsidRDefault="0038274C" w:rsidP="00FB1286">
      <w:pPr>
        <w:pStyle w:val="Tablenotes0"/>
      </w:pPr>
      <w:r w:rsidRPr="001B036C">
        <w:rPr>
          <w:vertAlign w:val="superscript"/>
        </w:rPr>
        <w:t>f</w:t>
      </w:r>
      <w:r w:rsidRPr="001B036C">
        <w:t xml:space="preserve"> Change in subsequent specialist visits per patient per </w:t>
      </w:r>
      <w:r w:rsidR="00750E0E">
        <w:t xml:space="preserve">year </w:t>
      </w:r>
      <w:r w:rsidRPr="001B036C">
        <w:t>= 0.39</w:t>
      </w:r>
    </w:p>
    <w:p w14:paraId="1D3D5282" w14:textId="54706297" w:rsidR="0038274C" w:rsidRPr="001B036C" w:rsidRDefault="00DD1EC3" w:rsidP="00FB1286">
      <w:pPr>
        <w:pStyle w:val="Tablenotes0"/>
      </w:pPr>
      <w:r w:rsidRPr="001B036C">
        <w:rPr>
          <w:vertAlign w:val="superscript"/>
        </w:rPr>
        <w:t>g</w:t>
      </w:r>
      <w:r w:rsidR="0038274C" w:rsidRPr="001B036C">
        <w:t xml:space="preserve"> Cost per </w:t>
      </w:r>
      <w:proofErr w:type="spellStart"/>
      <w:r w:rsidR="0038274C" w:rsidRPr="001B036C">
        <w:t>colonoscopy+</w:t>
      </w:r>
      <w:r w:rsidR="00F46839" w:rsidRPr="001B036C">
        <w:t>biopsy</w:t>
      </w:r>
      <w:proofErr w:type="spellEnd"/>
      <w:r w:rsidR="00F46839" w:rsidRPr="001B036C">
        <w:t xml:space="preserve"> including the co-</w:t>
      </w:r>
      <w:r w:rsidR="00E2793A" w:rsidRPr="001B036C">
        <w:t>claimed</w:t>
      </w:r>
      <w:r w:rsidR="00F46839" w:rsidRPr="001B036C">
        <w:t xml:space="preserve"> services to MBS= $488.</w:t>
      </w:r>
      <w:r w:rsidRPr="001B036C">
        <w:t>3</w:t>
      </w:r>
      <w:r w:rsidR="00F46839" w:rsidRPr="001B036C">
        <w:t>4</w:t>
      </w:r>
      <w:r w:rsidR="002B5C16" w:rsidRPr="001B036C">
        <w:t>. Assuming 72.1% of colonoscopies are conducted in private day care.</w:t>
      </w:r>
    </w:p>
    <w:p w14:paraId="4D56791D" w14:textId="1F2E5EBE" w:rsidR="00094E48" w:rsidRPr="001B036C" w:rsidRDefault="00094E48" w:rsidP="00094E48">
      <w:pPr>
        <w:pStyle w:val="Tablenotes0"/>
      </w:pPr>
      <w:r w:rsidRPr="001B036C">
        <w:rPr>
          <w:vertAlign w:val="superscript"/>
        </w:rPr>
        <w:t>h</w:t>
      </w:r>
      <w:r w:rsidRPr="001B036C">
        <w:t xml:space="preserve"> GP cost = $42.85 (100% of the full schedule fee based on MBS Item 23)</w:t>
      </w:r>
    </w:p>
    <w:p w14:paraId="097123B5" w14:textId="768318E3" w:rsidR="00094E48" w:rsidRPr="001B036C" w:rsidRDefault="00094E48" w:rsidP="00094E48">
      <w:pPr>
        <w:pStyle w:val="Tablenotes0"/>
      </w:pPr>
      <w:proofErr w:type="spellStart"/>
      <w:r w:rsidRPr="001B036C">
        <w:rPr>
          <w:vertAlign w:val="superscript"/>
        </w:rPr>
        <w:t>i</w:t>
      </w:r>
      <w:proofErr w:type="spellEnd"/>
      <w:r w:rsidRPr="001B036C">
        <w:t xml:space="preserve"> Specialist visit cost = $148.33 (85% of the full schedule fee based on MBS item 110)</w:t>
      </w:r>
    </w:p>
    <w:p w14:paraId="369B90EE" w14:textId="1E5EBB19" w:rsidR="00DD1EC3" w:rsidRPr="001B036C" w:rsidRDefault="00094E48" w:rsidP="00FB1286">
      <w:pPr>
        <w:pStyle w:val="Tablenotes0"/>
      </w:pPr>
      <w:r w:rsidRPr="001B036C">
        <w:rPr>
          <w:vertAlign w:val="superscript"/>
        </w:rPr>
        <w:t>j</w:t>
      </w:r>
      <w:r w:rsidRPr="001B036C">
        <w:t xml:space="preserve"> Subsequent specialist consultation cost = $74.21 (85% of the full schedule fee based on MBS item 116)</w:t>
      </w:r>
    </w:p>
    <w:p w14:paraId="3C6E823C" w14:textId="35240665" w:rsidR="008914FE" w:rsidRPr="001B036C" w:rsidRDefault="008914FE" w:rsidP="00B043CE">
      <w:r w:rsidRPr="001B036C">
        <w:t xml:space="preserve">The cost to public hospitals was estimated using the cost of colonoscopies based on AR-DRG as in </w:t>
      </w:r>
      <w:r w:rsidR="008A2B47" w:rsidRPr="001B036C">
        <w:t>CMA</w:t>
      </w:r>
      <w:r w:rsidRPr="001B036C">
        <w:t xml:space="preserve"> ($3,070.93</w:t>
      </w:r>
      <w:r w:rsidR="00AD2A00" w:rsidRPr="001B036C">
        <w:t>, cost of colonoscopy plus biopsy</w:t>
      </w:r>
      <w:r w:rsidRPr="001B036C">
        <w:t>) as estimated in</w:t>
      </w:r>
      <w:r w:rsidR="009152A8" w:rsidRPr="001B036C">
        <w:t xml:space="preserve"> </w:t>
      </w:r>
      <w:r w:rsidR="009152A8" w:rsidRPr="001B036C">
        <w:fldChar w:fldCharType="begin"/>
      </w:r>
      <w:r w:rsidR="009152A8" w:rsidRPr="001B036C">
        <w:instrText xml:space="preserve"> REF _Ref175149907 \h </w:instrText>
      </w:r>
      <w:r w:rsidR="00B043CE" w:rsidRPr="001B036C">
        <w:instrText xml:space="preserve"> \* MERGEFORMAT </w:instrText>
      </w:r>
      <w:r w:rsidR="009152A8" w:rsidRPr="001B036C">
        <w:fldChar w:fldCharType="separate"/>
      </w:r>
      <w:r w:rsidR="00564488" w:rsidRPr="001B036C">
        <w:t xml:space="preserve">Table </w:t>
      </w:r>
      <w:r w:rsidR="00564488">
        <w:t>27</w:t>
      </w:r>
      <w:r w:rsidR="009152A8" w:rsidRPr="001B036C">
        <w:fldChar w:fldCharType="end"/>
      </w:r>
      <w:r w:rsidRPr="001B036C">
        <w:t xml:space="preserve">. It was </w:t>
      </w:r>
      <w:r w:rsidRPr="001B036C">
        <w:lastRenderedPageBreak/>
        <w:t>assumed that 2</w:t>
      </w:r>
      <w:r w:rsidR="001025E9" w:rsidRPr="001B036C">
        <w:t>7.9</w:t>
      </w:r>
      <w:r w:rsidR="00442037" w:rsidRPr="001B036C">
        <w:t>%</w:t>
      </w:r>
      <w:r w:rsidR="00442037" w:rsidRPr="00083E3C">
        <w:rPr>
          <w:vertAlign w:val="superscript"/>
        </w:rPr>
        <w:t>32</w:t>
      </w:r>
      <w:r w:rsidR="00442037">
        <w:t xml:space="preserve"> </w:t>
      </w:r>
      <w:r w:rsidRPr="001B036C">
        <w:t>of colonoscopies conducted for monitoring of IBD purposes are done in public hospitals. Overall, it is anticipated that there would be a reduction in the cost to public hospitals of $</w:t>
      </w:r>
      <w:r w:rsidR="00366F0C" w:rsidRPr="001B036C">
        <w:t>22,921,918</w:t>
      </w:r>
      <w:r w:rsidRPr="001B036C">
        <w:t xml:space="preserve"> in 2025 which increases to $</w:t>
      </w:r>
      <w:r w:rsidR="00366F0C" w:rsidRPr="001B036C">
        <w:t>25,9</w:t>
      </w:r>
      <w:r w:rsidR="00742569" w:rsidRPr="001B036C">
        <w:t>34,046</w:t>
      </w:r>
      <w:r w:rsidRPr="001B036C">
        <w:t xml:space="preserve"> in 2030. </w:t>
      </w:r>
    </w:p>
    <w:p w14:paraId="76870C3D" w14:textId="54F97552" w:rsidR="008914FE" w:rsidRPr="001B036C" w:rsidRDefault="008914FE" w:rsidP="00F70556">
      <w:pPr>
        <w:pStyle w:val="Caption"/>
        <w:spacing w:before="0"/>
      </w:pPr>
      <w:bookmarkStart w:id="49" w:name="_Ref175149907"/>
      <w:r w:rsidRPr="001B036C">
        <w:t xml:space="preserve">Table </w:t>
      </w:r>
      <w:r>
        <w:fldChar w:fldCharType="begin"/>
      </w:r>
      <w:r>
        <w:instrText xml:space="preserve"> SEQ Table \* ARABIC </w:instrText>
      </w:r>
      <w:r>
        <w:fldChar w:fldCharType="separate"/>
      </w:r>
      <w:r w:rsidR="00B4653B">
        <w:rPr>
          <w:noProof/>
        </w:rPr>
        <w:t>27</w:t>
      </w:r>
      <w:r>
        <w:rPr>
          <w:noProof/>
        </w:rPr>
        <w:fldChar w:fldCharType="end"/>
      </w:r>
      <w:bookmarkEnd w:id="49"/>
      <w:r w:rsidRPr="001B036C">
        <w:t xml:space="preserve"> Net financial implications of FC testing in public hospitals</w:t>
      </w:r>
    </w:p>
    <w:tbl>
      <w:tblPr>
        <w:tblW w:w="5031" w:type="pct"/>
        <w:tblLayout w:type="fixed"/>
        <w:tblCellMar>
          <w:left w:w="0" w:type="dxa"/>
          <w:right w:w="0" w:type="dxa"/>
        </w:tblCellMar>
        <w:tblLook w:val="04A0" w:firstRow="1" w:lastRow="0" w:firstColumn="1" w:lastColumn="0" w:noHBand="0" w:noVBand="1"/>
      </w:tblPr>
      <w:tblGrid>
        <w:gridCol w:w="1339"/>
        <w:gridCol w:w="1249"/>
        <w:gridCol w:w="1189"/>
        <w:gridCol w:w="1200"/>
        <w:gridCol w:w="1327"/>
        <w:gridCol w:w="1332"/>
        <w:gridCol w:w="1426"/>
      </w:tblGrid>
      <w:tr w:rsidR="00DD6C18" w:rsidRPr="001B036C" w14:paraId="1F86EE11" w14:textId="77777777" w:rsidTr="001C6A90">
        <w:trPr>
          <w:trHeight w:val="643"/>
          <w:tblHeader/>
        </w:trPr>
        <w:tc>
          <w:tcPr>
            <w:tcW w:w="739"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35ED7533" w14:textId="77777777" w:rsidR="008914FE" w:rsidRPr="001B036C" w:rsidRDefault="008914FE" w:rsidP="00F70556">
            <w:pPr>
              <w:pStyle w:val="In-tableHeading"/>
            </w:pPr>
            <w:r w:rsidRPr="001B036C">
              <w:t xml:space="preserve">Parameter </w:t>
            </w:r>
          </w:p>
        </w:tc>
        <w:tc>
          <w:tcPr>
            <w:tcW w:w="689"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C801CEC" w14:textId="77777777" w:rsidR="008914FE" w:rsidRPr="001B036C" w:rsidRDefault="008914FE" w:rsidP="00F70556">
            <w:pPr>
              <w:pStyle w:val="In-tableHeading"/>
            </w:pPr>
            <w:r w:rsidRPr="001B036C">
              <w:t>2025</w:t>
            </w:r>
          </w:p>
        </w:tc>
        <w:tc>
          <w:tcPr>
            <w:tcW w:w="6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E28B24" w14:textId="77777777" w:rsidR="008914FE" w:rsidRPr="001B036C" w:rsidRDefault="008914FE" w:rsidP="00F70556">
            <w:pPr>
              <w:pStyle w:val="In-tableHeading"/>
            </w:pPr>
            <w:r w:rsidRPr="001B036C">
              <w:t>2026</w:t>
            </w:r>
          </w:p>
        </w:tc>
        <w:tc>
          <w:tcPr>
            <w:tcW w:w="6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008BDD" w14:textId="77777777" w:rsidR="008914FE" w:rsidRPr="001B036C" w:rsidRDefault="008914FE" w:rsidP="00F70556">
            <w:pPr>
              <w:pStyle w:val="In-tableHeading"/>
            </w:pPr>
            <w:r w:rsidRPr="001B036C">
              <w:t>2027</w:t>
            </w:r>
          </w:p>
        </w:tc>
        <w:tc>
          <w:tcPr>
            <w:tcW w:w="7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02886E" w14:textId="77777777" w:rsidR="008914FE" w:rsidRPr="001B036C" w:rsidRDefault="008914FE" w:rsidP="00F70556">
            <w:pPr>
              <w:pStyle w:val="In-tableHeading"/>
            </w:pPr>
            <w:r w:rsidRPr="001B036C">
              <w:t>2028</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38DA6D" w14:textId="77777777" w:rsidR="008914FE" w:rsidRPr="001B036C" w:rsidRDefault="008914FE" w:rsidP="00F70556">
            <w:pPr>
              <w:pStyle w:val="In-tableHeading"/>
            </w:pPr>
            <w:r w:rsidRPr="001B036C">
              <w:t>2029</w:t>
            </w:r>
          </w:p>
        </w:tc>
        <w:tc>
          <w:tcPr>
            <w:tcW w:w="7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2041BD" w14:textId="77777777" w:rsidR="008914FE" w:rsidRPr="001B036C" w:rsidRDefault="008914FE" w:rsidP="00F70556">
            <w:pPr>
              <w:pStyle w:val="In-tableHeading"/>
            </w:pPr>
            <w:r w:rsidRPr="001B036C">
              <w:t>2030</w:t>
            </w:r>
          </w:p>
        </w:tc>
      </w:tr>
      <w:tr w:rsidR="00DF3802" w:rsidRPr="001B036C" w14:paraId="0469D847" w14:textId="77777777" w:rsidTr="00D47945">
        <w:trPr>
          <w:trHeight w:val="493"/>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3C327E" w14:textId="5FBBE19A" w:rsidR="00DF3802" w:rsidRPr="001B036C" w:rsidRDefault="00DF3802" w:rsidP="00F70556">
            <w:pPr>
              <w:pStyle w:val="TableText"/>
              <w:spacing w:before="0" w:after="0"/>
              <w:rPr>
                <w:b/>
                <w:bCs/>
              </w:rPr>
            </w:pPr>
            <w:r w:rsidRPr="001B036C">
              <w:rPr>
                <w:b/>
                <w:bCs/>
              </w:rPr>
              <w:t>Cost to public hospitals</w:t>
            </w:r>
          </w:p>
        </w:tc>
      </w:tr>
      <w:tr w:rsidR="008914FE" w:rsidRPr="001B036C" w14:paraId="6AE2CEAE" w14:textId="77777777" w:rsidTr="001C6A90">
        <w:trPr>
          <w:trHeight w:val="643"/>
        </w:trPr>
        <w:tc>
          <w:tcPr>
            <w:tcW w:w="739"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0D7A77F2" w14:textId="77777777" w:rsidR="008914FE" w:rsidRPr="001B036C" w:rsidRDefault="008914FE" w:rsidP="00F70556">
            <w:pPr>
              <w:pStyle w:val="TableText"/>
              <w:spacing w:before="0" w:after="0"/>
            </w:pPr>
            <w:r w:rsidRPr="001B036C">
              <w:t>Number of colonoscopies avoided</w:t>
            </w:r>
          </w:p>
        </w:tc>
        <w:tc>
          <w:tcPr>
            <w:tcW w:w="68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7AEE238" w14:textId="77777777" w:rsidR="008914FE" w:rsidRPr="001B036C" w:rsidRDefault="008914FE" w:rsidP="00F70556">
            <w:pPr>
              <w:pStyle w:val="TableText"/>
              <w:spacing w:before="0" w:after="0"/>
            </w:pPr>
            <w:r w:rsidRPr="001B036C">
              <w:t>-26,753</w:t>
            </w:r>
          </w:p>
        </w:tc>
        <w:tc>
          <w:tcPr>
            <w:tcW w:w="656" w:type="pct"/>
            <w:tcBorders>
              <w:top w:val="nil"/>
              <w:left w:val="nil"/>
              <w:bottom w:val="single" w:sz="8" w:space="0" w:color="auto"/>
              <w:right w:val="single" w:sz="8" w:space="0" w:color="auto"/>
            </w:tcBorders>
            <w:tcMar>
              <w:top w:w="0" w:type="dxa"/>
              <w:left w:w="108" w:type="dxa"/>
              <w:bottom w:w="0" w:type="dxa"/>
              <w:right w:w="108" w:type="dxa"/>
            </w:tcMar>
            <w:vAlign w:val="center"/>
          </w:tcPr>
          <w:p w14:paraId="5B294407" w14:textId="77777777" w:rsidR="008914FE" w:rsidRPr="001B036C" w:rsidRDefault="008914FE" w:rsidP="00F70556">
            <w:pPr>
              <w:pStyle w:val="TableText"/>
              <w:spacing w:before="0" w:after="0"/>
            </w:pPr>
            <w:r w:rsidRPr="001B036C">
              <w:t>-27,422</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14:paraId="59239789" w14:textId="77777777" w:rsidR="008914FE" w:rsidRPr="001B036C" w:rsidRDefault="008914FE" w:rsidP="00F70556">
            <w:pPr>
              <w:pStyle w:val="TableText"/>
              <w:spacing w:before="0" w:after="0"/>
            </w:pPr>
            <w:r w:rsidRPr="001B036C">
              <w:t>-28,108</w:t>
            </w:r>
          </w:p>
        </w:tc>
        <w:tc>
          <w:tcPr>
            <w:tcW w:w="732" w:type="pct"/>
            <w:tcBorders>
              <w:top w:val="nil"/>
              <w:left w:val="nil"/>
              <w:bottom w:val="single" w:sz="8" w:space="0" w:color="auto"/>
              <w:right w:val="single" w:sz="8" w:space="0" w:color="auto"/>
            </w:tcBorders>
            <w:tcMar>
              <w:top w:w="0" w:type="dxa"/>
              <w:left w:w="108" w:type="dxa"/>
              <w:bottom w:w="0" w:type="dxa"/>
              <w:right w:w="108" w:type="dxa"/>
            </w:tcMar>
            <w:vAlign w:val="center"/>
          </w:tcPr>
          <w:p w14:paraId="45793830" w14:textId="77777777" w:rsidR="008914FE" w:rsidRPr="001B036C" w:rsidRDefault="008914FE" w:rsidP="00F70556">
            <w:pPr>
              <w:pStyle w:val="TableText"/>
              <w:spacing w:before="0" w:after="0"/>
            </w:pPr>
            <w:r w:rsidRPr="001B036C">
              <w:t>-28,810</w:t>
            </w:r>
          </w:p>
        </w:tc>
        <w:tc>
          <w:tcPr>
            <w:tcW w:w="735" w:type="pct"/>
            <w:tcBorders>
              <w:top w:val="nil"/>
              <w:left w:val="nil"/>
              <w:bottom w:val="single" w:sz="8" w:space="0" w:color="auto"/>
              <w:right w:val="single" w:sz="8" w:space="0" w:color="auto"/>
            </w:tcBorders>
            <w:tcMar>
              <w:top w:w="0" w:type="dxa"/>
              <w:left w:w="108" w:type="dxa"/>
              <w:bottom w:w="0" w:type="dxa"/>
              <w:right w:w="108" w:type="dxa"/>
            </w:tcMar>
            <w:vAlign w:val="center"/>
          </w:tcPr>
          <w:p w14:paraId="566D65F9" w14:textId="77777777" w:rsidR="008914FE" w:rsidRPr="001B036C" w:rsidRDefault="008914FE" w:rsidP="00F70556">
            <w:pPr>
              <w:pStyle w:val="TableText"/>
              <w:spacing w:before="0" w:after="0"/>
            </w:pPr>
            <w:r w:rsidRPr="001B036C">
              <w:t>-29,531</w:t>
            </w:r>
          </w:p>
        </w:tc>
        <w:tc>
          <w:tcPr>
            <w:tcW w:w="787" w:type="pct"/>
            <w:tcBorders>
              <w:top w:val="nil"/>
              <w:left w:val="nil"/>
              <w:bottom w:val="single" w:sz="8" w:space="0" w:color="auto"/>
              <w:right w:val="single" w:sz="8" w:space="0" w:color="auto"/>
            </w:tcBorders>
            <w:tcMar>
              <w:top w:w="0" w:type="dxa"/>
              <w:left w:w="108" w:type="dxa"/>
              <w:bottom w:w="0" w:type="dxa"/>
              <w:right w:w="108" w:type="dxa"/>
            </w:tcMar>
            <w:vAlign w:val="center"/>
          </w:tcPr>
          <w:p w14:paraId="3DEDE7CF" w14:textId="77777777" w:rsidR="008914FE" w:rsidRPr="001B036C" w:rsidRDefault="008914FE" w:rsidP="00F70556">
            <w:pPr>
              <w:pStyle w:val="TableText"/>
              <w:spacing w:before="0" w:after="0"/>
            </w:pPr>
            <w:r w:rsidRPr="001B036C">
              <w:t>-30,269</w:t>
            </w:r>
          </w:p>
        </w:tc>
      </w:tr>
      <w:tr w:rsidR="005F2F2E" w:rsidRPr="001B036C" w14:paraId="25FA7109" w14:textId="77777777" w:rsidTr="001C6A90">
        <w:trPr>
          <w:trHeight w:val="643"/>
        </w:trPr>
        <w:tc>
          <w:tcPr>
            <w:tcW w:w="739"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1A1FEB4A" w14:textId="472CB8F0" w:rsidR="005F2F2E" w:rsidRPr="001B036C" w:rsidRDefault="005F2F2E" w:rsidP="00F70556">
            <w:pPr>
              <w:pStyle w:val="TableText"/>
              <w:spacing w:before="0" w:after="0"/>
              <w:rPr>
                <w:vertAlign w:val="superscript"/>
              </w:rPr>
            </w:pPr>
            <w:r w:rsidRPr="001B036C">
              <w:t xml:space="preserve">Colonoscopies avoided in public </w:t>
            </w:r>
            <w:proofErr w:type="spellStart"/>
            <w:r w:rsidRPr="001B036C">
              <w:t>hospital</w:t>
            </w:r>
            <w:r w:rsidR="00505503" w:rsidRPr="001B036C">
              <w:rPr>
                <w:vertAlign w:val="superscript"/>
              </w:rPr>
              <w:t>a</w:t>
            </w:r>
            <w:proofErr w:type="spellEnd"/>
          </w:p>
        </w:tc>
        <w:tc>
          <w:tcPr>
            <w:tcW w:w="68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52C6A5D" w14:textId="33FD51FD" w:rsidR="005F2F2E" w:rsidRPr="001B036C" w:rsidRDefault="005F2F2E" w:rsidP="00F70556">
            <w:pPr>
              <w:pStyle w:val="TableText"/>
              <w:spacing w:before="0" w:after="0"/>
              <w:rPr>
                <w:szCs w:val="20"/>
              </w:rPr>
            </w:pPr>
            <w:r w:rsidRPr="001B036C">
              <w:rPr>
                <w:color w:val="000000"/>
                <w:szCs w:val="20"/>
              </w:rPr>
              <w:t>-7</w:t>
            </w:r>
            <w:r w:rsidR="0012331F" w:rsidRPr="001B036C">
              <w:rPr>
                <w:color w:val="000000"/>
                <w:szCs w:val="20"/>
              </w:rPr>
              <w:t>,</w:t>
            </w:r>
            <w:r w:rsidRPr="001B036C">
              <w:rPr>
                <w:color w:val="000000"/>
                <w:szCs w:val="20"/>
              </w:rPr>
              <w:t>464</w:t>
            </w:r>
          </w:p>
        </w:tc>
        <w:tc>
          <w:tcPr>
            <w:tcW w:w="65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6FBD" w14:textId="183F212B" w:rsidR="005F2F2E" w:rsidRPr="001B036C" w:rsidRDefault="005F2F2E" w:rsidP="00F70556">
            <w:pPr>
              <w:pStyle w:val="TableText"/>
              <w:spacing w:before="0" w:after="0"/>
              <w:rPr>
                <w:szCs w:val="20"/>
              </w:rPr>
            </w:pPr>
            <w:r w:rsidRPr="001B036C">
              <w:rPr>
                <w:color w:val="000000"/>
                <w:szCs w:val="20"/>
              </w:rPr>
              <w:t>-7</w:t>
            </w:r>
            <w:r w:rsidR="0012331F" w:rsidRPr="001B036C">
              <w:rPr>
                <w:color w:val="000000"/>
                <w:szCs w:val="20"/>
              </w:rPr>
              <w:t>,</w:t>
            </w:r>
            <w:r w:rsidRPr="001B036C">
              <w:rPr>
                <w:color w:val="000000"/>
                <w:szCs w:val="20"/>
              </w:rPr>
              <w:t>651</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14:paraId="43408C76" w14:textId="48E82252" w:rsidR="005F2F2E" w:rsidRPr="001B036C" w:rsidRDefault="005F2F2E" w:rsidP="00F70556">
            <w:pPr>
              <w:pStyle w:val="TableText"/>
              <w:spacing w:before="0" w:after="0"/>
              <w:rPr>
                <w:szCs w:val="20"/>
              </w:rPr>
            </w:pPr>
            <w:r w:rsidRPr="001B036C">
              <w:rPr>
                <w:color w:val="000000"/>
                <w:szCs w:val="20"/>
              </w:rPr>
              <w:t>-7</w:t>
            </w:r>
            <w:r w:rsidR="0012331F" w:rsidRPr="001B036C">
              <w:rPr>
                <w:color w:val="000000"/>
                <w:szCs w:val="20"/>
              </w:rPr>
              <w:t>,</w:t>
            </w:r>
            <w:r w:rsidRPr="001B036C">
              <w:rPr>
                <w:color w:val="000000"/>
                <w:szCs w:val="20"/>
              </w:rPr>
              <w:t>842</w:t>
            </w:r>
          </w:p>
        </w:tc>
        <w:tc>
          <w:tcPr>
            <w:tcW w:w="732" w:type="pct"/>
            <w:tcBorders>
              <w:top w:val="nil"/>
              <w:left w:val="nil"/>
              <w:bottom w:val="single" w:sz="8" w:space="0" w:color="auto"/>
              <w:right w:val="single" w:sz="8" w:space="0" w:color="auto"/>
            </w:tcBorders>
            <w:tcMar>
              <w:top w:w="0" w:type="dxa"/>
              <w:left w:w="108" w:type="dxa"/>
              <w:bottom w:w="0" w:type="dxa"/>
              <w:right w:w="108" w:type="dxa"/>
            </w:tcMar>
            <w:vAlign w:val="center"/>
          </w:tcPr>
          <w:p w14:paraId="1E596CCD" w14:textId="0C798A5F" w:rsidR="005F2F2E" w:rsidRPr="001B036C" w:rsidRDefault="005F2F2E" w:rsidP="00F70556">
            <w:pPr>
              <w:pStyle w:val="TableText"/>
              <w:spacing w:before="0" w:after="0"/>
              <w:rPr>
                <w:szCs w:val="20"/>
              </w:rPr>
            </w:pPr>
            <w:r w:rsidRPr="001B036C">
              <w:rPr>
                <w:color w:val="000000"/>
                <w:szCs w:val="20"/>
              </w:rPr>
              <w:t>-8</w:t>
            </w:r>
            <w:r w:rsidR="0012331F" w:rsidRPr="001B036C">
              <w:rPr>
                <w:color w:val="000000"/>
                <w:szCs w:val="20"/>
              </w:rPr>
              <w:t>,</w:t>
            </w:r>
            <w:r w:rsidRPr="001B036C">
              <w:rPr>
                <w:color w:val="000000"/>
                <w:szCs w:val="20"/>
              </w:rPr>
              <w:t>038</w:t>
            </w:r>
          </w:p>
        </w:tc>
        <w:tc>
          <w:tcPr>
            <w:tcW w:w="73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AFB775" w14:textId="2DBE052D" w:rsidR="005F2F2E" w:rsidRPr="001B036C" w:rsidRDefault="005F2F2E" w:rsidP="00F70556">
            <w:pPr>
              <w:pStyle w:val="TableText"/>
              <w:spacing w:before="0" w:after="0"/>
              <w:rPr>
                <w:szCs w:val="20"/>
              </w:rPr>
            </w:pPr>
            <w:r w:rsidRPr="001B036C">
              <w:rPr>
                <w:color w:val="000000"/>
                <w:szCs w:val="20"/>
              </w:rPr>
              <w:t>-8</w:t>
            </w:r>
            <w:r w:rsidR="0012331F" w:rsidRPr="001B036C">
              <w:rPr>
                <w:color w:val="000000"/>
                <w:szCs w:val="20"/>
              </w:rPr>
              <w:t>,</w:t>
            </w:r>
            <w:r w:rsidRPr="001B036C">
              <w:rPr>
                <w:color w:val="000000"/>
                <w:szCs w:val="20"/>
              </w:rPr>
              <w:t>239</w:t>
            </w:r>
          </w:p>
        </w:tc>
        <w:tc>
          <w:tcPr>
            <w:tcW w:w="787" w:type="pct"/>
            <w:tcBorders>
              <w:top w:val="nil"/>
              <w:left w:val="nil"/>
              <w:bottom w:val="single" w:sz="8" w:space="0" w:color="auto"/>
              <w:right w:val="single" w:sz="8" w:space="0" w:color="auto"/>
            </w:tcBorders>
            <w:tcMar>
              <w:top w:w="0" w:type="dxa"/>
              <w:left w:w="108" w:type="dxa"/>
              <w:bottom w:w="0" w:type="dxa"/>
              <w:right w:w="108" w:type="dxa"/>
            </w:tcMar>
            <w:vAlign w:val="center"/>
          </w:tcPr>
          <w:p w14:paraId="5B1DEC2D" w14:textId="6DD95EB2" w:rsidR="005F2F2E" w:rsidRPr="001B036C" w:rsidRDefault="005F2F2E" w:rsidP="00F70556">
            <w:pPr>
              <w:pStyle w:val="TableText"/>
              <w:spacing w:before="0" w:after="0"/>
              <w:rPr>
                <w:szCs w:val="20"/>
              </w:rPr>
            </w:pPr>
            <w:r w:rsidRPr="001B036C">
              <w:rPr>
                <w:color w:val="000000"/>
                <w:szCs w:val="20"/>
              </w:rPr>
              <w:t>-8</w:t>
            </w:r>
            <w:r w:rsidR="0012331F" w:rsidRPr="001B036C">
              <w:rPr>
                <w:color w:val="000000"/>
                <w:szCs w:val="20"/>
              </w:rPr>
              <w:t>,</w:t>
            </w:r>
            <w:r w:rsidRPr="001B036C">
              <w:rPr>
                <w:color w:val="000000"/>
                <w:szCs w:val="20"/>
              </w:rPr>
              <w:t>445</w:t>
            </w:r>
          </w:p>
        </w:tc>
      </w:tr>
      <w:tr w:rsidR="008914FE" w:rsidRPr="001B036C" w14:paraId="3E40C359" w14:textId="77777777" w:rsidTr="001C6A90">
        <w:trPr>
          <w:trHeight w:val="449"/>
        </w:trPr>
        <w:tc>
          <w:tcPr>
            <w:tcW w:w="739"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13CF3552" w14:textId="77777777" w:rsidR="008914FE" w:rsidRPr="001B036C" w:rsidRDefault="008914FE" w:rsidP="00F70556">
            <w:pPr>
              <w:pStyle w:val="TableText"/>
              <w:spacing w:before="0" w:after="0"/>
              <w:rPr>
                <w:vertAlign w:val="superscript"/>
              </w:rPr>
            </w:pPr>
            <w:r w:rsidRPr="001B036C">
              <w:t xml:space="preserve">Cost of </w:t>
            </w:r>
            <w:proofErr w:type="spellStart"/>
            <w:r w:rsidRPr="001B036C">
              <w:t>Colonoscopy</w:t>
            </w:r>
            <w:r w:rsidRPr="001B036C">
              <w:rPr>
                <w:vertAlign w:val="superscript"/>
              </w:rPr>
              <w:t>b</w:t>
            </w:r>
            <w:proofErr w:type="spellEnd"/>
          </w:p>
        </w:tc>
        <w:tc>
          <w:tcPr>
            <w:tcW w:w="68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F2AFE9A" w14:textId="4712BA37" w:rsidR="008914FE" w:rsidRPr="001B036C" w:rsidRDefault="008914FE" w:rsidP="00F70556">
            <w:pPr>
              <w:pStyle w:val="TableText"/>
              <w:spacing w:before="0" w:after="0"/>
            </w:pPr>
            <w:r w:rsidRPr="001B036C">
              <w:t>$</w:t>
            </w:r>
            <w:r w:rsidR="005F2F2E" w:rsidRPr="001B036C">
              <w:t>3,070</w:t>
            </w:r>
            <w:r w:rsidR="00C84124" w:rsidRPr="001B036C">
              <w:t>.93</w:t>
            </w:r>
          </w:p>
        </w:tc>
        <w:tc>
          <w:tcPr>
            <w:tcW w:w="656" w:type="pct"/>
            <w:tcBorders>
              <w:top w:val="nil"/>
              <w:left w:val="nil"/>
              <w:bottom w:val="single" w:sz="8" w:space="0" w:color="auto"/>
              <w:right w:val="single" w:sz="8" w:space="0" w:color="auto"/>
            </w:tcBorders>
            <w:tcMar>
              <w:top w:w="0" w:type="dxa"/>
              <w:left w:w="108" w:type="dxa"/>
              <w:bottom w:w="0" w:type="dxa"/>
              <w:right w:w="108" w:type="dxa"/>
            </w:tcMar>
            <w:vAlign w:val="center"/>
          </w:tcPr>
          <w:p w14:paraId="6F763EF2" w14:textId="347EAB05" w:rsidR="008914FE" w:rsidRPr="001B036C" w:rsidRDefault="008914FE" w:rsidP="00F70556">
            <w:pPr>
              <w:pStyle w:val="TableText"/>
              <w:spacing w:before="0" w:after="0"/>
            </w:pPr>
            <w:r w:rsidRPr="001B036C">
              <w:t>$</w:t>
            </w:r>
            <w:r w:rsidR="00C84124" w:rsidRPr="001B036C">
              <w:t>3,070.93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9C46C" w14:textId="7A73ACE3" w:rsidR="008914FE" w:rsidRPr="001B036C" w:rsidRDefault="008914FE" w:rsidP="00F70556">
            <w:pPr>
              <w:pStyle w:val="TableText"/>
              <w:spacing w:before="0" w:after="0"/>
            </w:pPr>
            <w:r w:rsidRPr="001B036C">
              <w:t>$2</w:t>
            </w:r>
            <w:r w:rsidR="00C84124" w:rsidRPr="001B036C">
              <w:t>3,070.93</w:t>
            </w:r>
          </w:p>
        </w:tc>
        <w:tc>
          <w:tcPr>
            <w:tcW w:w="732" w:type="pct"/>
            <w:tcBorders>
              <w:top w:val="nil"/>
              <w:left w:val="nil"/>
              <w:bottom w:val="single" w:sz="8" w:space="0" w:color="auto"/>
              <w:right w:val="single" w:sz="8" w:space="0" w:color="auto"/>
            </w:tcBorders>
            <w:tcMar>
              <w:top w:w="0" w:type="dxa"/>
              <w:left w:w="108" w:type="dxa"/>
              <w:bottom w:w="0" w:type="dxa"/>
              <w:right w:w="108" w:type="dxa"/>
            </w:tcMar>
            <w:vAlign w:val="center"/>
          </w:tcPr>
          <w:p w14:paraId="5CD13C79" w14:textId="42BC8B02" w:rsidR="008914FE" w:rsidRPr="001B036C" w:rsidRDefault="008914FE" w:rsidP="00F70556">
            <w:pPr>
              <w:pStyle w:val="TableText"/>
              <w:spacing w:before="0" w:after="0"/>
            </w:pPr>
            <w:r w:rsidRPr="001B036C">
              <w:t>$</w:t>
            </w:r>
            <w:r w:rsidR="00C84124" w:rsidRPr="001B036C">
              <w:t>3,070.93</w:t>
            </w:r>
          </w:p>
        </w:tc>
        <w:tc>
          <w:tcPr>
            <w:tcW w:w="735" w:type="pct"/>
            <w:tcBorders>
              <w:top w:val="nil"/>
              <w:left w:val="nil"/>
              <w:bottom w:val="single" w:sz="8" w:space="0" w:color="auto"/>
              <w:right w:val="single" w:sz="8" w:space="0" w:color="auto"/>
            </w:tcBorders>
            <w:tcMar>
              <w:top w:w="0" w:type="dxa"/>
              <w:left w:w="108" w:type="dxa"/>
              <w:bottom w:w="0" w:type="dxa"/>
              <w:right w:w="108" w:type="dxa"/>
            </w:tcMar>
            <w:vAlign w:val="center"/>
          </w:tcPr>
          <w:p w14:paraId="6209D49B" w14:textId="562DA005" w:rsidR="008914FE" w:rsidRPr="001B036C" w:rsidRDefault="008914FE" w:rsidP="00F70556">
            <w:pPr>
              <w:pStyle w:val="TableText"/>
              <w:spacing w:before="0" w:after="0"/>
            </w:pPr>
            <w:r w:rsidRPr="001B036C">
              <w:t>$</w:t>
            </w:r>
            <w:r w:rsidR="00C84124" w:rsidRPr="001B036C">
              <w:t>3,070.93</w:t>
            </w:r>
          </w:p>
        </w:tc>
        <w:tc>
          <w:tcPr>
            <w:tcW w:w="787" w:type="pct"/>
            <w:tcBorders>
              <w:top w:val="nil"/>
              <w:left w:val="nil"/>
              <w:bottom w:val="single" w:sz="8" w:space="0" w:color="auto"/>
              <w:right w:val="single" w:sz="8" w:space="0" w:color="auto"/>
            </w:tcBorders>
            <w:tcMar>
              <w:top w:w="0" w:type="dxa"/>
              <w:left w:w="108" w:type="dxa"/>
              <w:bottom w:w="0" w:type="dxa"/>
              <w:right w:w="108" w:type="dxa"/>
            </w:tcMar>
            <w:vAlign w:val="center"/>
          </w:tcPr>
          <w:p w14:paraId="2E2E38AB" w14:textId="2F60C6EB" w:rsidR="008914FE" w:rsidRPr="001B036C" w:rsidRDefault="008914FE" w:rsidP="00F70556">
            <w:pPr>
              <w:pStyle w:val="TableText"/>
              <w:spacing w:before="0" w:after="0"/>
            </w:pPr>
            <w:r w:rsidRPr="001B036C">
              <w:t>$</w:t>
            </w:r>
            <w:r w:rsidR="00C84124" w:rsidRPr="001B036C">
              <w:t>3,070.93</w:t>
            </w:r>
          </w:p>
        </w:tc>
      </w:tr>
      <w:tr w:rsidR="00C84124" w:rsidRPr="001B036C" w14:paraId="04142918" w14:textId="77777777" w:rsidTr="001C6A90">
        <w:trPr>
          <w:trHeight w:val="106"/>
        </w:trPr>
        <w:tc>
          <w:tcPr>
            <w:tcW w:w="739"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55931542" w14:textId="77777777" w:rsidR="00C84124" w:rsidRPr="001B036C" w:rsidRDefault="00C84124" w:rsidP="00F70556">
            <w:pPr>
              <w:pStyle w:val="TableText"/>
              <w:spacing w:before="0" w:after="0"/>
              <w:rPr>
                <w:b/>
                <w:bCs/>
              </w:rPr>
            </w:pPr>
            <w:r w:rsidRPr="001B036C">
              <w:rPr>
                <w:b/>
                <w:bCs/>
              </w:rPr>
              <w:t>Cost to public hospitals</w:t>
            </w:r>
          </w:p>
        </w:tc>
        <w:tc>
          <w:tcPr>
            <w:tcW w:w="68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41A6DDE" w14:textId="7CDE906D" w:rsidR="00C84124" w:rsidRPr="001B036C" w:rsidRDefault="00C84124" w:rsidP="00F70556">
            <w:pPr>
              <w:pStyle w:val="TableText"/>
              <w:spacing w:before="0" w:after="0"/>
              <w:rPr>
                <w:b/>
                <w:bCs/>
                <w:szCs w:val="20"/>
              </w:rPr>
            </w:pPr>
            <w:r w:rsidRPr="001B036C">
              <w:rPr>
                <w:b/>
                <w:bCs/>
                <w:color w:val="000000"/>
                <w:szCs w:val="20"/>
              </w:rPr>
              <w:t xml:space="preserve">-$22,921,918 </w:t>
            </w:r>
          </w:p>
        </w:tc>
        <w:tc>
          <w:tcPr>
            <w:tcW w:w="656" w:type="pct"/>
            <w:tcBorders>
              <w:top w:val="nil"/>
              <w:left w:val="nil"/>
              <w:bottom w:val="single" w:sz="8" w:space="0" w:color="auto"/>
              <w:right w:val="single" w:sz="8" w:space="0" w:color="auto"/>
            </w:tcBorders>
            <w:tcMar>
              <w:top w:w="0" w:type="dxa"/>
              <w:left w:w="108" w:type="dxa"/>
              <w:bottom w:w="0" w:type="dxa"/>
              <w:right w:w="108" w:type="dxa"/>
            </w:tcMar>
            <w:vAlign w:val="center"/>
          </w:tcPr>
          <w:p w14:paraId="44F5A594" w14:textId="1733613E" w:rsidR="00C84124" w:rsidRPr="001B036C" w:rsidRDefault="00C84124" w:rsidP="00F70556">
            <w:pPr>
              <w:pStyle w:val="TableText"/>
              <w:spacing w:before="0" w:after="0"/>
              <w:rPr>
                <w:b/>
                <w:bCs/>
                <w:szCs w:val="20"/>
              </w:rPr>
            </w:pPr>
            <w:r w:rsidRPr="001B036C">
              <w:rPr>
                <w:b/>
                <w:bCs/>
                <w:color w:val="000000"/>
                <w:szCs w:val="20"/>
              </w:rPr>
              <w:t xml:space="preserve">-$23,494,966 </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14:paraId="1EDE06FE" w14:textId="3F04FA62" w:rsidR="00C84124" w:rsidRPr="001B036C" w:rsidRDefault="00C84124" w:rsidP="00F70556">
            <w:pPr>
              <w:pStyle w:val="TableText"/>
              <w:spacing w:before="0" w:after="0"/>
              <w:rPr>
                <w:b/>
                <w:bCs/>
                <w:szCs w:val="20"/>
              </w:rPr>
            </w:pPr>
            <w:r w:rsidRPr="001B036C">
              <w:rPr>
                <w:b/>
                <w:bCs/>
                <w:color w:val="000000"/>
                <w:szCs w:val="20"/>
              </w:rPr>
              <w:t xml:space="preserve">-$24,082,340 </w:t>
            </w:r>
          </w:p>
        </w:tc>
        <w:tc>
          <w:tcPr>
            <w:tcW w:w="732" w:type="pct"/>
            <w:tcBorders>
              <w:top w:val="nil"/>
              <w:left w:val="nil"/>
              <w:bottom w:val="single" w:sz="8" w:space="0" w:color="auto"/>
              <w:right w:val="single" w:sz="8" w:space="0" w:color="auto"/>
            </w:tcBorders>
            <w:tcMar>
              <w:top w:w="0" w:type="dxa"/>
              <w:left w:w="108" w:type="dxa"/>
              <w:bottom w:w="0" w:type="dxa"/>
              <w:right w:w="108" w:type="dxa"/>
            </w:tcMar>
            <w:vAlign w:val="center"/>
          </w:tcPr>
          <w:p w14:paraId="46BF0B26" w14:textId="38017ED8" w:rsidR="00C84124" w:rsidRPr="001B036C" w:rsidRDefault="00C84124" w:rsidP="00F70556">
            <w:pPr>
              <w:pStyle w:val="TableText"/>
              <w:spacing w:before="0" w:after="0"/>
              <w:rPr>
                <w:b/>
                <w:bCs/>
                <w:szCs w:val="20"/>
              </w:rPr>
            </w:pPr>
            <w:r w:rsidRPr="001B036C">
              <w:rPr>
                <w:b/>
                <w:bCs/>
                <w:color w:val="000000"/>
                <w:szCs w:val="20"/>
              </w:rPr>
              <w:t xml:space="preserve">-$24,684,398 </w:t>
            </w:r>
          </w:p>
        </w:tc>
        <w:tc>
          <w:tcPr>
            <w:tcW w:w="735"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B9895" w14:textId="472D212E" w:rsidR="00C84124" w:rsidRPr="001B036C" w:rsidRDefault="00C84124" w:rsidP="00F70556">
            <w:pPr>
              <w:pStyle w:val="TableText"/>
              <w:spacing w:before="0" w:after="0"/>
              <w:rPr>
                <w:b/>
                <w:bCs/>
                <w:szCs w:val="20"/>
              </w:rPr>
            </w:pPr>
            <w:r w:rsidRPr="001B036C">
              <w:rPr>
                <w:b/>
                <w:bCs/>
                <w:color w:val="000000"/>
                <w:szCs w:val="20"/>
              </w:rPr>
              <w:t xml:space="preserve">-$25,301,508 </w:t>
            </w:r>
          </w:p>
        </w:tc>
        <w:tc>
          <w:tcPr>
            <w:tcW w:w="787" w:type="pct"/>
            <w:tcBorders>
              <w:top w:val="nil"/>
              <w:left w:val="nil"/>
              <w:bottom w:val="single" w:sz="8" w:space="0" w:color="auto"/>
              <w:right w:val="single" w:sz="8" w:space="0" w:color="auto"/>
            </w:tcBorders>
            <w:tcMar>
              <w:top w:w="0" w:type="dxa"/>
              <w:left w:w="108" w:type="dxa"/>
              <w:bottom w:w="0" w:type="dxa"/>
              <w:right w:w="108" w:type="dxa"/>
            </w:tcMar>
            <w:vAlign w:val="center"/>
          </w:tcPr>
          <w:p w14:paraId="7FB9558E" w14:textId="327BDFD4" w:rsidR="00C84124" w:rsidRPr="001B036C" w:rsidRDefault="00C84124" w:rsidP="00F70556">
            <w:pPr>
              <w:pStyle w:val="TableText"/>
              <w:spacing w:before="0" w:after="0"/>
              <w:rPr>
                <w:b/>
                <w:bCs/>
                <w:szCs w:val="20"/>
              </w:rPr>
            </w:pPr>
            <w:r w:rsidRPr="001B036C">
              <w:rPr>
                <w:b/>
                <w:bCs/>
                <w:color w:val="000000"/>
                <w:szCs w:val="20"/>
              </w:rPr>
              <w:t xml:space="preserve">-$25,934,046 </w:t>
            </w:r>
          </w:p>
        </w:tc>
      </w:tr>
    </w:tbl>
    <w:p w14:paraId="14791E9E" w14:textId="77777777" w:rsidR="0019792D" w:rsidRPr="001B036C" w:rsidRDefault="0019792D" w:rsidP="0019792D">
      <w:pPr>
        <w:pStyle w:val="Tablenotes0"/>
      </w:pPr>
      <w:r w:rsidRPr="001B036C">
        <w:t>AUD= Australian Dollar; FC = faecal calprotectin, GP= general practitioner; MBS = Medicare Benefits Schedule</w:t>
      </w:r>
    </w:p>
    <w:p w14:paraId="2BE74746" w14:textId="2D64229E" w:rsidR="00505503" w:rsidRPr="001B036C" w:rsidRDefault="00505503" w:rsidP="0019792D">
      <w:pPr>
        <w:pStyle w:val="Tablenotes0"/>
      </w:pPr>
      <w:proofErr w:type="spellStart"/>
      <w:r w:rsidRPr="001B036C">
        <w:rPr>
          <w:vertAlign w:val="superscript"/>
        </w:rPr>
        <w:t>a</w:t>
      </w:r>
      <w:proofErr w:type="spellEnd"/>
      <w:r w:rsidRPr="001B036C">
        <w:t xml:space="preserve"> </w:t>
      </w:r>
      <w:r w:rsidR="0012331F" w:rsidRPr="001B036C">
        <w:t xml:space="preserve">It was assumed that 27.9% of colonoscopies were conducted in public hospitals. </w:t>
      </w:r>
    </w:p>
    <w:p w14:paraId="1D428F4B" w14:textId="63C2511A" w:rsidR="0019792D" w:rsidRPr="001B036C" w:rsidRDefault="00505503" w:rsidP="008914FE">
      <w:pPr>
        <w:pStyle w:val="Tablenotes0"/>
      </w:pPr>
      <w:r w:rsidRPr="001B036C">
        <w:rPr>
          <w:vertAlign w:val="superscript"/>
        </w:rPr>
        <w:t>b</w:t>
      </w:r>
      <w:r w:rsidR="0019792D" w:rsidRPr="001B036C">
        <w:t xml:space="preserve"> Estimated cost of colonoscopy based on relevant AR-DRGs </w:t>
      </w:r>
      <w:r w:rsidR="007A0F26" w:rsidRPr="001B036C">
        <w:t>plus cost of biopsy</w:t>
      </w:r>
      <w:r w:rsidR="00750E0E">
        <w:t xml:space="preserve"> </w:t>
      </w:r>
      <w:r w:rsidR="0019792D" w:rsidRPr="001B036C">
        <w:t>$3,070.93</w:t>
      </w:r>
      <w:r w:rsidR="007A0F26" w:rsidRPr="001B036C">
        <w:t>.</w:t>
      </w:r>
    </w:p>
    <w:p w14:paraId="1B7563E0" w14:textId="471C2594" w:rsidR="0019792D" w:rsidRPr="001B036C" w:rsidRDefault="0019792D" w:rsidP="0019792D">
      <w:r w:rsidRPr="001B036C">
        <w:t xml:space="preserve">The introduction of FC testing leads to additional cost to the MBS mostly driven by additional GP, specialist and subsequent specialist consultations. A sensitivity analysis was conducted assuming 100% adherence to the monitoring strategy in symptomatic patients, 70% adherence in asymptomatic patients, increased frequency of testing from 6-monthly to quarterly testing and </w:t>
      </w:r>
      <w:proofErr w:type="gramStart"/>
      <w:r w:rsidRPr="001B036C">
        <w:t>assuming that</w:t>
      </w:r>
      <w:proofErr w:type="gramEnd"/>
      <w:r w:rsidRPr="001B036C">
        <w:t xml:space="preserve"> FC testing occurs in an inpatient setting therefore the MBS rebate was reduced to 75%. The sensitivity analysis presented in </w:t>
      </w:r>
      <w:r w:rsidR="005A1260" w:rsidRPr="001B036C">
        <w:fldChar w:fldCharType="begin"/>
      </w:r>
      <w:r w:rsidR="005A1260" w:rsidRPr="001B036C">
        <w:instrText xml:space="preserve"> REF _Ref175149975 \h </w:instrText>
      </w:r>
      <w:r w:rsidR="001B036C">
        <w:instrText xml:space="preserve"> \* MERGEFORMAT </w:instrText>
      </w:r>
      <w:r w:rsidR="005A1260" w:rsidRPr="001B036C">
        <w:fldChar w:fldCharType="separate"/>
      </w:r>
      <w:r w:rsidR="00A62149" w:rsidRPr="001B036C">
        <w:t xml:space="preserve">Table </w:t>
      </w:r>
      <w:r w:rsidR="00A62149">
        <w:rPr>
          <w:noProof/>
        </w:rPr>
        <w:t>28</w:t>
      </w:r>
      <w:r w:rsidR="005A1260" w:rsidRPr="001B036C">
        <w:fldChar w:fldCharType="end"/>
      </w:r>
      <w:r w:rsidR="005A1260" w:rsidRPr="001B036C">
        <w:t xml:space="preserve"> </w:t>
      </w:r>
      <w:r w:rsidRPr="001B036C">
        <w:t xml:space="preserve">show that additional cost to MBS ranges from </w:t>
      </w:r>
      <w:r w:rsidR="006810BB" w:rsidRPr="001B036C">
        <w:t xml:space="preserve">approximately </w:t>
      </w:r>
      <w:r w:rsidR="004260BA">
        <w:t>$</w:t>
      </w:r>
      <w:r w:rsidRPr="001B036C">
        <w:t xml:space="preserve">34 million to </w:t>
      </w:r>
      <w:r w:rsidR="005E32BE">
        <w:t xml:space="preserve">nearly </w:t>
      </w:r>
      <w:r w:rsidR="004260BA">
        <w:t>$</w:t>
      </w:r>
      <w:r w:rsidRPr="001B036C">
        <w:t>5</w:t>
      </w:r>
      <w:r w:rsidR="00070FF0">
        <w:t>4</w:t>
      </w:r>
      <w:r w:rsidRPr="001B036C">
        <w:t xml:space="preserve"> million in 2030.</w:t>
      </w:r>
    </w:p>
    <w:p w14:paraId="01853E1A" w14:textId="3F434236" w:rsidR="0019792D" w:rsidRPr="001B036C" w:rsidRDefault="0019792D" w:rsidP="0019792D">
      <w:pPr>
        <w:pStyle w:val="Caption"/>
      </w:pPr>
      <w:bookmarkStart w:id="50" w:name="_Ref175149975"/>
      <w:r w:rsidRPr="001B036C">
        <w:t xml:space="preserve">Table </w:t>
      </w:r>
      <w:r>
        <w:fldChar w:fldCharType="begin"/>
      </w:r>
      <w:r>
        <w:instrText xml:space="preserve"> SEQ Table \* ARABIC </w:instrText>
      </w:r>
      <w:r>
        <w:fldChar w:fldCharType="separate"/>
      </w:r>
      <w:r w:rsidR="00B4653B">
        <w:rPr>
          <w:noProof/>
        </w:rPr>
        <w:t>28</w:t>
      </w:r>
      <w:r>
        <w:rPr>
          <w:noProof/>
        </w:rPr>
        <w:fldChar w:fldCharType="end"/>
      </w:r>
      <w:bookmarkEnd w:id="50"/>
      <w:r w:rsidRPr="001B036C">
        <w:t xml:space="preserve"> Net financial implications of FC testing in the MBS: sensitivity analysis</w:t>
      </w:r>
    </w:p>
    <w:tbl>
      <w:tblPr>
        <w:tblStyle w:val="TableGrid"/>
        <w:tblW w:w="5579" w:type="pct"/>
        <w:tblLayout w:type="fixed"/>
        <w:tblLook w:val="04A0" w:firstRow="1" w:lastRow="0" w:firstColumn="1" w:lastColumn="0" w:noHBand="0" w:noVBand="1"/>
      </w:tblPr>
      <w:tblGrid>
        <w:gridCol w:w="1417"/>
        <w:gridCol w:w="710"/>
        <w:gridCol w:w="704"/>
        <w:gridCol w:w="1219"/>
        <w:gridCol w:w="1189"/>
        <w:gridCol w:w="1135"/>
        <w:gridCol w:w="1135"/>
        <w:gridCol w:w="1135"/>
        <w:gridCol w:w="1416"/>
      </w:tblGrid>
      <w:tr w:rsidR="0019792D" w:rsidRPr="001B036C" w14:paraId="5E0AE684" w14:textId="77777777" w:rsidTr="002C0221">
        <w:trPr>
          <w:trHeight w:val="675"/>
          <w:tblHeader/>
        </w:trPr>
        <w:tc>
          <w:tcPr>
            <w:tcW w:w="704" w:type="pct"/>
            <w:vAlign w:val="center"/>
          </w:tcPr>
          <w:p w14:paraId="6FAC27FC" w14:textId="77777777" w:rsidR="0019792D" w:rsidRPr="001B036C" w:rsidRDefault="0019792D" w:rsidP="00F70556">
            <w:pPr>
              <w:pStyle w:val="In-tableHeading"/>
            </w:pPr>
            <w:r w:rsidRPr="001B036C">
              <w:t>Scenario</w:t>
            </w:r>
          </w:p>
        </w:tc>
        <w:tc>
          <w:tcPr>
            <w:tcW w:w="353" w:type="pct"/>
            <w:vAlign w:val="center"/>
          </w:tcPr>
          <w:p w14:paraId="3A86E5C2" w14:textId="77777777" w:rsidR="0019792D" w:rsidRPr="001B036C" w:rsidRDefault="0019792D" w:rsidP="00F70556">
            <w:pPr>
              <w:pStyle w:val="In-tableHeading"/>
            </w:pPr>
            <w:r w:rsidRPr="001B036C">
              <w:t>Base case</w:t>
            </w:r>
          </w:p>
        </w:tc>
        <w:tc>
          <w:tcPr>
            <w:tcW w:w="350" w:type="pct"/>
            <w:vAlign w:val="center"/>
          </w:tcPr>
          <w:p w14:paraId="6429288E" w14:textId="77777777" w:rsidR="0019792D" w:rsidRPr="001B036C" w:rsidRDefault="0019792D" w:rsidP="00F70556">
            <w:pPr>
              <w:pStyle w:val="In-tableHeading"/>
            </w:pPr>
            <w:r w:rsidRPr="001B036C">
              <w:t>SA</w:t>
            </w:r>
          </w:p>
        </w:tc>
        <w:tc>
          <w:tcPr>
            <w:tcW w:w="606" w:type="pct"/>
            <w:vAlign w:val="center"/>
          </w:tcPr>
          <w:p w14:paraId="1A05AAB4" w14:textId="77777777" w:rsidR="0019792D" w:rsidRPr="001B036C" w:rsidRDefault="0019792D" w:rsidP="00F70556">
            <w:pPr>
              <w:pStyle w:val="In-tableHeading"/>
            </w:pPr>
            <w:r w:rsidRPr="001B036C">
              <w:t>2025</w:t>
            </w:r>
          </w:p>
        </w:tc>
        <w:tc>
          <w:tcPr>
            <w:tcW w:w="591" w:type="pct"/>
            <w:vAlign w:val="center"/>
          </w:tcPr>
          <w:p w14:paraId="66726A12" w14:textId="77777777" w:rsidR="0019792D" w:rsidRPr="001B036C" w:rsidRDefault="0019792D" w:rsidP="00F70556">
            <w:pPr>
              <w:pStyle w:val="In-tableHeading"/>
            </w:pPr>
            <w:r w:rsidRPr="001B036C">
              <w:t>2026</w:t>
            </w:r>
          </w:p>
        </w:tc>
        <w:tc>
          <w:tcPr>
            <w:tcW w:w="564" w:type="pct"/>
            <w:vAlign w:val="center"/>
          </w:tcPr>
          <w:p w14:paraId="4E5C1499" w14:textId="77777777" w:rsidR="0019792D" w:rsidRPr="001B036C" w:rsidRDefault="0019792D" w:rsidP="00F70556">
            <w:pPr>
              <w:pStyle w:val="In-tableHeading"/>
            </w:pPr>
            <w:r w:rsidRPr="001B036C">
              <w:t>2027</w:t>
            </w:r>
          </w:p>
        </w:tc>
        <w:tc>
          <w:tcPr>
            <w:tcW w:w="564" w:type="pct"/>
            <w:vAlign w:val="center"/>
          </w:tcPr>
          <w:p w14:paraId="3D8F062D" w14:textId="77777777" w:rsidR="0019792D" w:rsidRPr="001B036C" w:rsidRDefault="0019792D" w:rsidP="00F70556">
            <w:pPr>
              <w:pStyle w:val="In-tableHeading"/>
            </w:pPr>
            <w:r w:rsidRPr="001B036C">
              <w:t>2028</w:t>
            </w:r>
          </w:p>
        </w:tc>
        <w:tc>
          <w:tcPr>
            <w:tcW w:w="564" w:type="pct"/>
            <w:vAlign w:val="center"/>
          </w:tcPr>
          <w:p w14:paraId="32ECC8F6" w14:textId="77777777" w:rsidR="0019792D" w:rsidRPr="001B036C" w:rsidRDefault="0019792D" w:rsidP="00F70556">
            <w:pPr>
              <w:pStyle w:val="In-tableHeading"/>
            </w:pPr>
            <w:r w:rsidRPr="001B036C">
              <w:t>2029</w:t>
            </w:r>
          </w:p>
        </w:tc>
        <w:tc>
          <w:tcPr>
            <w:tcW w:w="704" w:type="pct"/>
            <w:vAlign w:val="center"/>
          </w:tcPr>
          <w:p w14:paraId="40E64C53" w14:textId="77777777" w:rsidR="0019792D" w:rsidRPr="001B036C" w:rsidRDefault="0019792D" w:rsidP="00F70556">
            <w:pPr>
              <w:pStyle w:val="In-tableHeading"/>
            </w:pPr>
            <w:r w:rsidRPr="001B036C">
              <w:t>2030</w:t>
            </w:r>
          </w:p>
        </w:tc>
      </w:tr>
      <w:tr w:rsidR="00E5799C" w:rsidRPr="001B036C" w14:paraId="7B6EE8E5" w14:textId="77777777" w:rsidTr="005C6725">
        <w:trPr>
          <w:trHeight w:val="675"/>
        </w:trPr>
        <w:tc>
          <w:tcPr>
            <w:tcW w:w="704" w:type="pct"/>
            <w:vAlign w:val="center"/>
          </w:tcPr>
          <w:p w14:paraId="633A320A" w14:textId="77777777" w:rsidR="00E5799C" w:rsidRPr="001B036C" w:rsidRDefault="00E5799C" w:rsidP="00F70556">
            <w:pPr>
              <w:pStyle w:val="TableText"/>
              <w:spacing w:before="0" w:after="0"/>
              <w:rPr>
                <w:b/>
                <w:bCs/>
              </w:rPr>
            </w:pPr>
            <w:r w:rsidRPr="001B036C">
              <w:rPr>
                <w:b/>
                <w:bCs/>
              </w:rPr>
              <w:t>Base case</w:t>
            </w:r>
          </w:p>
        </w:tc>
        <w:tc>
          <w:tcPr>
            <w:tcW w:w="703" w:type="pct"/>
            <w:gridSpan w:val="2"/>
            <w:vAlign w:val="center"/>
          </w:tcPr>
          <w:p w14:paraId="4A9E8C8A" w14:textId="77777777" w:rsidR="00E5799C" w:rsidRPr="001B036C" w:rsidRDefault="00E5799C" w:rsidP="00F70556">
            <w:pPr>
              <w:pStyle w:val="TableText"/>
              <w:spacing w:before="0" w:after="0"/>
              <w:rPr>
                <w:b/>
                <w:bCs/>
              </w:rPr>
            </w:pPr>
          </w:p>
        </w:tc>
        <w:tc>
          <w:tcPr>
            <w:tcW w:w="606" w:type="pct"/>
            <w:vAlign w:val="center"/>
          </w:tcPr>
          <w:p w14:paraId="3F825AFB" w14:textId="0905510C" w:rsidR="00E5799C" w:rsidRPr="001B036C" w:rsidRDefault="00E5799C" w:rsidP="00F70556">
            <w:pPr>
              <w:pStyle w:val="Tabletext0"/>
              <w:spacing w:before="0" w:after="0"/>
              <w:jc w:val="left"/>
            </w:pPr>
            <w:r w:rsidRPr="001B036C">
              <w:rPr>
                <w:b/>
                <w:bCs/>
              </w:rPr>
              <w:t>$33,451,465</w:t>
            </w:r>
          </w:p>
        </w:tc>
        <w:tc>
          <w:tcPr>
            <w:tcW w:w="591" w:type="pct"/>
            <w:vAlign w:val="center"/>
          </w:tcPr>
          <w:p w14:paraId="06E928A7" w14:textId="2C02EB7D" w:rsidR="00E5799C" w:rsidRPr="001B036C" w:rsidRDefault="00E5799C" w:rsidP="00F70556">
            <w:pPr>
              <w:pStyle w:val="Tabletext0"/>
              <w:spacing w:before="0" w:after="0"/>
              <w:jc w:val="left"/>
            </w:pPr>
            <w:r w:rsidRPr="001B036C">
              <w:rPr>
                <w:b/>
                <w:bCs/>
              </w:rPr>
              <w:t>$34,287,752</w:t>
            </w:r>
          </w:p>
        </w:tc>
        <w:tc>
          <w:tcPr>
            <w:tcW w:w="564" w:type="pct"/>
            <w:vAlign w:val="center"/>
          </w:tcPr>
          <w:p w14:paraId="39C93D80" w14:textId="0710E1BF" w:rsidR="00E5799C" w:rsidRPr="001B036C" w:rsidRDefault="00E5799C" w:rsidP="00F70556">
            <w:pPr>
              <w:pStyle w:val="Tabletext0"/>
              <w:spacing w:before="0" w:after="0"/>
              <w:jc w:val="left"/>
            </w:pPr>
            <w:r w:rsidRPr="001B036C">
              <w:rPr>
                <w:b/>
                <w:bCs/>
              </w:rPr>
              <w:t>$35,144,946</w:t>
            </w:r>
          </w:p>
        </w:tc>
        <w:tc>
          <w:tcPr>
            <w:tcW w:w="564" w:type="pct"/>
            <w:vAlign w:val="center"/>
          </w:tcPr>
          <w:p w14:paraId="78491F21" w14:textId="2DB10CDE" w:rsidR="00E5799C" w:rsidRPr="001B036C" w:rsidRDefault="00E5799C" w:rsidP="00F70556">
            <w:pPr>
              <w:pStyle w:val="Tabletext0"/>
              <w:spacing w:before="0" w:after="0"/>
              <w:jc w:val="left"/>
            </w:pPr>
            <w:r w:rsidRPr="001B036C">
              <w:rPr>
                <w:b/>
                <w:bCs/>
              </w:rPr>
              <w:t>$36,023,569</w:t>
            </w:r>
          </w:p>
        </w:tc>
        <w:tc>
          <w:tcPr>
            <w:tcW w:w="564" w:type="pct"/>
            <w:vAlign w:val="center"/>
          </w:tcPr>
          <w:p w14:paraId="283C27B5" w14:textId="7C476820" w:rsidR="00E5799C" w:rsidRPr="001B036C" w:rsidRDefault="00E5799C" w:rsidP="00F70556">
            <w:pPr>
              <w:pStyle w:val="Tabletext0"/>
              <w:spacing w:before="0" w:after="0"/>
              <w:jc w:val="left"/>
            </w:pPr>
            <w:r w:rsidRPr="001B036C">
              <w:rPr>
                <w:b/>
                <w:bCs/>
              </w:rPr>
              <w:t>$36,924,158</w:t>
            </w:r>
          </w:p>
        </w:tc>
        <w:tc>
          <w:tcPr>
            <w:tcW w:w="704" w:type="pct"/>
            <w:vAlign w:val="center"/>
          </w:tcPr>
          <w:p w14:paraId="26CC01D4" w14:textId="5A729EC4" w:rsidR="00E5799C" w:rsidRPr="001B036C" w:rsidRDefault="00E5799C" w:rsidP="00F70556">
            <w:pPr>
              <w:pStyle w:val="Tabletext0"/>
              <w:spacing w:before="0" w:after="0"/>
              <w:jc w:val="left"/>
            </w:pPr>
            <w:r w:rsidRPr="001B036C">
              <w:rPr>
                <w:b/>
                <w:bCs/>
              </w:rPr>
              <w:t>$37,847,262</w:t>
            </w:r>
          </w:p>
        </w:tc>
      </w:tr>
      <w:tr w:rsidR="00536C2B" w:rsidRPr="001B036C" w14:paraId="47DF67E8" w14:textId="77777777" w:rsidTr="002C0221">
        <w:trPr>
          <w:trHeight w:val="805"/>
        </w:trPr>
        <w:tc>
          <w:tcPr>
            <w:tcW w:w="704" w:type="pct"/>
            <w:vAlign w:val="center"/>
          </w:tcPr>
          <w:p w14:paraId="68E992F3" w14:textId="77777777" w:rsidR="00536C2B" w:rsidRPr="001B036C" w:rsidRDefault="00536C2B" w:rsidP="00F70556">
            <w:pPr>
              <w:pStyle w:val="TableText"/>
              <w:spacing w:before="0" w:after="0"/>
            </w:pPr>
            <w:r w:rsidRPr="001B036C">
              <w:t>Adherence to FC testing in symptomatic patients</w:t>
            </w:r>
          </w:p>
        </w:tc>
        <w:tc>
          <w:tcPr>
            <w:tcW w:w="353" w:type="pct"/>
            <w:vAlign w:val="center"/>
          </w:tcPr>
          <w:p w14:paraId="63B7548F" w14:textId="77777777" w:rsidR="00536C2B" w:rsidRPr="001B036C" w:rsidRDefault="00536C2B" w:rsidP="00F70556">
            <w:pPr>
              <w:pStyle w:val="TableText"/>
              <w:spacing w:before="0" w:after="0"/>
            </w:pPr>
            <w:r w:rsidRPr="001B036C">
              <w:t>70%</w:t>
            </w:r>
          </w:p>
        </w:tc>
        <w:tc>
          <w:tcPr>
            <w:tcW w:w="350" w:type="pct"/>
            <w:vAlign w:val="center"/>
          </w:tcPr>
          <w:p w14:paraId="0B33DB74" w14:textId="77777777" w:rsidR="00536C2B" w:rsidRPr="001B036C" w:rsidRDefault="00536C2B" w:rsidP="00F70556">
            <w:pPr>
              <w:pStyle w:val="TableText"/>
              <w:spacing w:before="0" w:after="0"/>
            </w:pPr>
            <w:r w:rsidRPr="001B036C">
              <w:t>100%</w:t>
            </w:r>
          </w:p>
        </w:tc>
        <w:tc>
          <w:tcPr>
            <w:tcW w:w="606" w:type="pct"/>
            <w:vAlign w:val="center"/>
          </w:tcPr>
          <w:p w14:paraId="5F769B06" w14:textId="7A41AAE1" w:rsidR="00536C2B" w:rsidRPr="001B036C" w:rsidRDefault="00536C2B" w:rsidP="00F70556">
            <w:pPr>
              <w:pStyle w:val="TableText"/>
              <w:spacing w:before="0" w:after="0"/>
            </w:pPr>
            <w:r w:rsidRPr="001B036C">
              <w:rPr>
                <w:szCs w:val="20"/>
              </w:rPr>
              <w:t>$37,875,699</w:t>
            </w:r>
          </w:p>
        </w:tc>
        <w:tc>
          <w:tcPr>
            <w:tcW w:w="591" w:type="pct"/>
            <w:vAlign w:val="center"/>
          </w:tcPr>
          <w:p w14:paraId="6426239F" w14:textId="4445663C" w:rsidR="00536C2B" w:rsidRPr="001B036C" w:rsidRDefault="00536C2B" w:rsidP="00F70556">
            <w:pPr>
              <w:pStyle w:val="TableText"/>
              <w:spacing w:before="0" w:after="0"/>
            </w:pPr>
            <w:r w:rsidRPr="001B036C">
              <w:rPr>
                <w:szCs w:val="20"/>
              </w:rPr>
              <w:t>$38,822,591</w:t>
            </w:r>
          </w:p>
        </w:tc>
        <w:tc>
          <w:tcPr>
            <w:tcW w:w="564" w:type="pct"/>
            <w:vAlign w:val="center"/>
          </w:tcPr>
          <w:p w14:paraId="263180ED" w14:textId="356FE63C" w:rsidR="00536C2B" w:rsidRPr="001B036C" w:rsidRDefault="00536C2B" w:rsidP="00F70556">
            <w:pPr>
              <w:pStyle w:val="TableText"/>
              <w:spacing w:before="0" w:after="0"/>
            </w:pPr>
            <w:r w:rsidRPr="001B036C">
              <w:rPr>
                <w:szCs w:val="20"/>
              </w:rPr>
              <w:t>$39,793,156</w:t>
            </w:r>
          </w:p>
        </w:tc>
        <w:tc>
          <w:tcPr>
            <w:tcW w:w="564" w:type="pct"/>
            <w:vAlign w:val="center"/>
          </w:tcPr>
          <w:p w14:paraId="542BC8BB" w14:textId="20E06EDB" w:rsidR="00536C2B" w:rsidRPr="001B036C" w:rsidRDefault="00536C2B" w:rsidP="00F70556">
            <w:pPr>
              <w:pStyle w:val="TableText"/>
              <w:spacing w:before="0" w:after="0"/>
            </w:pPr>
            <w:r w:rsidRPr="001B036C">
              <w:rPr>
                <w:szCs w:val="20"/>
              </w:rPr>
              <w:t>$40,787,985</w:t>
            </w:r>
          </w:p>
        </w:tc>
        <w:tc>
          <w:tcPr>
            <w:tcW w:w="564" w:type="pct"/>
            <w:vAlign w:val="center"/>
          </w:tcPr>
          <w:p w14:paraId="2EC09676" w14:textId="5D097FFA" w:rsidR="00536C2B" w:rsidRPr="001B036C" w:rsidRDefault="00536C2B" w:rsidP="00F70556">
            <w:pPr>
              <w:pStyle w:val="TableText"/>
              <w:spacing w:before="0" w:after="0"/>
            </w:pPr>
            <w:r w:rsidRPr="001B036C">
              <w:rPr>
                <w:szCs w:val="20"/>
              </w:rPr>
              <w:t>$41,807,685</w:t>
            </w:r>
          </w:p>
        </w:tc>
        <w:tc>
          <w:tcPr>
            <w:tcW w:w="704" w:type="pct"/>
            <w:vAlign w:val="center"/>
          </w:tcPr>
          <w:p w14:paraId="2D58EF41" w14:textId="507F9168" w:rsidR="00536C2B" w:rsidRPr="001B036C" w:rsidRDefault="00536C2B" w:rsidP="00F70556">
            <w:pPr>
              <w:pStyle w:val="TableText"/>
              <w:spacing w:before="0" w:after="0"/>
            </w:pPr>
            <w:r w:rsidRPr="001B036C">
              <w:rPr>
                <w:szCs w:val="20"/>
              </w:rPr>
              <w:t>$42,852,877</w:t>
            </w:r>
          </w:p>
        </w:tc>
      </w:tr>
      <w:tr w:rsidR="00536C2B" w:rsidRPr="001B036C" w14:paraId="55603E34" w14:textId="77777777" w:rsidTr="002C0221">
        <w:trPr>
          <w:trHeight w:val="330"/>
        </w:trPr>
        <w:tc>
          <w:tcPr>
            <w:tcW w:w="704" w:type="pct"/>
            <w:vAlign w:val="center"/>
          </w:tcPr>
          <w:p w14:paraId="60A1FA35" w14:textId="77777777" w:rsidR="00536C2B" w:rsidRPr="001B036C" w:rsidRDefault="00536C2B" w:rsidP="00F70556">
            <w:pPr>
              <w:pStyle w:val="TableText"/>
              <w:spacing w:before="0" w:after="0"/>
            </w:pPr>
            <w:r w:rsidRPr="001B036C">
              <w:t>Adherence to FC testing in asymptomatic patients</w:t>
            </w:r>
          </w:p>
        </w:tc>
        <w:tc>
          <w:tcPr>
            <w:tcW w:w="353" w:type="pct"/>
            <w:vAlign w:val="center"/>
          </w:tcPr>
          <w:p w14:paraId="4108B5AB" w14:textId="77777777" w:rsidR="00536C2B" w:rsidRPr="001B036C" w:rsidRDefault="00536C2B" w:rsidP="00F70556">
            <w:pPr>
              <w:pStyle w:val="TableText"/>
              <w:spacing w:before="0" w:after="0"/>
            </w:pPr>
            <w:r w:rsidRPr="001B036C">
              <w:t>50%</w:t>
            </w:r>
          </w:p>
        </w:tc>
        <w:tc>
          <w:tcPr>
            <w:tcW w:w="350" w:type="pct"/>
            <w:vAlign w:val="center"/>
          </w:tcPr>
          <w:p w14:paraId="062E48FA" w14:textId="77777777" w:rsidR="00536C2B" w:rsidRPr="001B036C" w:rsidRDefault="00536C2B" w:rsidP="00F70556">
            <w:pPr>
              <w:pStyle w:val="TableText"/>
              <w:spacing w:before="0" w:after="0"/>
            </w:pPr>
            <w:r w:rsidRPr="001B036C">
              <w:t>70%</w:t>
            </w:r>
          </w:p>
        </w:tc>
        <w:tc>
          <w:tcPr>
            <w:tcW w:w="606" w:type="pct"/>
            <w:vAlign w:val="center"/>
          </w:tcPr>
          <w:p w14:paraId="38B248DB" w14:textId="48FA18B9" w:rsidR="00536C2B" w:rsidRPr="001B036C" w:rsidRDefault="00536C2B" w:rsidP="00F70556">
            <w:pPr>
              <w:pStyle w:val="TableText"/>
              <w:spacing w:before="0" w:after="0"/>
            </w:pPr>
            <w:r w:rsidRPr="001B036C">
              <w:rPr>
                <w:szCs w:val="20"/>
              </w:rPr>
              <w:t>$45,349,055</w:t>
            </w:r>
          </w:p>
        </w:tc>
        <w:tc>
          <w:tcPr>
            <w:tcW w:w="591" w:type="pct"/>
            <w:vAlign w:val="center"/>
          </w:tcPr>
          <w:p w14:paraId="2AA1CF94" w14:textId="3D935829" w:rsidR="00536C2B" w:rsidRPr="001B036C" w:rsidRDefault="00536C2B" w:rsidP="00F70556">
            <w:pPr>
              <w:pStyle w:val="TableText"/>
              <w:spacing w:before="0" w:after="0"/>
            </w:pPr>
            <w:r w:rsidRPr="001B036C">
              <w:rPr>
                <w:szCs w:val="20"/>
              </w:rPr>
              <w:t>$46,482,782</w:t>
            </w:r>
          </w:p>
        </w:tc>
        <w:tc>
          <w:tcPr>
            <w:tcW w:w="564" w:type="pct"/>
            <w:vAlign w:val="center"/>
          </w:tcPr>
          <w:p w14:paraId="1CA52853" w14:textId="58A9E666" w:rsidR="00536C2B" w:rsidRPr="001B036C" w:rsidRDefault="00536C2B" w:rsidP="00F70556">
            <w:pPr>
              <w:pStyle w:val="TableText"/>
              <w:spacing w:before="0" w:after="0"/>
            </w:pPr>
            <w:r w:rsidRPr="001B036C">
              <w:rPr>
                <w:szCs w:val="20"/>
              </w:rPr>
              <w:t>$47,644,851</w:t>
            </w:r>
          </w:p>
        </w:tc>
        <w:tc>
          <w:tcPr>
            <w:tcW w:w="564" w:type="pct"/>
            <w:vAlign w:val="center"/>
          </w:tcPr>
          <w:p w14:paraId="0708BD8A" w14:textId="08F8B82A" w:rsidR="00536C2B" w:rsidRPr="001B036C" w:rsidRDefault="00536C2B" w:rsidP="00F70556">
            <w:pPr>
              <w:pStyle w:val="TableText"/>
              <w:spacing w:before="0" w:after="0"/>
            </w:pPr>
            <w:r w:rsidRPr="001B036C">
              <w:rPr>
                <w:szCs w:val="20"/>
              </w:rPr>
              <w:t>$48,835,972</w:t>
            </w:r>
          </w:p>
        </w:tc>
        <w:tc>
          <w:tcPr>
            <w:tcW w:w="564" w:type="pct"/>
            <w:vAlign w:val="center"/>
          </w:tcPr>
          <w:p w14:paraId="755C1240" w14:textId="48BDE652" w:rsidR="00536C2B" w:rsidRPr="001B036C" w:rsidRDefault="00536C2B" w:rsidP="00F70556">
            <w:pPr>
              <w:pStyle w:val="TableText"/>
              <w:spacing w:before="0" w:after="0"/>
            </w:pPr>
            <w:r w:rsidRPr="001B036C">
              <w:rPr>
                <w:szCs w:val="20"/>
              </w:rPr>
              <w:t>$50,056,872</w:t>
            </w:r>
          </w:p>
        </w:tc>
        <w:tc>
          <w:tcPr>
            <w:tcW w:w="704" w:type="pct"/>
            <w:vAlign w:val="center"/>
          </w:tcPr>
          <w:p w14:paraId="68350726" w14:textId="3839A112" w:rsidR="00536C2B" w:rsidRPr="001B036C" w:rsidRDefault="00536C2B" w:rsidP="00F70556">
            <w:pPr>
              <w:pStyle w:val="TableText"/>
              <w:spacing w:before="0" w:after="0"/>
            </w:pPr>
            <w:r w:rsidRPr="001B036C">
              <w:rPr>
                <w:szCs w:val="20"/>
              </w:rPr>
              <w:t>$51,308,293</w:t>
            </w:r>
          </w:p>
        </w:tc>
      </w:tr>
      <w:tr w:rsidR="00536C2B" w:rsidRPr="001B036C" w14:paraId="556AC6C1" w14:textId="77777777" w:rsidTr="002C0221">
        <w:trPr>
          <w:trHeight w:val="805"/>
        </w:trPr>
        <w:tc>
          <w:tcPr>
            <w:tcW w:w="704" w:type="pct"/>
            <w:vAlign w:val="center"/>
          </w:tcPr>
          <w:p w14:paraId="683F4554" w14:textId="77777777" w:rsidR="00536C2B" w:rsidRPr="001B036C" w:rsidRDefault="00536C2B" w:rsidP="00F70556">
            <w:pPr>
              <w:pStyle w:val="TableText"/>
              <w:spacing w:before="0" w:after="0"/>
            </w:pPr>
            <w:r w:rsidRPr="001B036C">
              <w:t>Increased frequency of routine FC testing</w:t>
            </w:r>
          </w:p>
        </w:tc>
        <w:tc>
          <w:tcPr>
            <w:tcW w:w="353" w:type="pct"/>
            <w:vAlign w:val="center"/>
          </w:tcPr>
          <w:p w14:paraId="5E538BB1" w14:textId="77777777" w:rsidR="00536C2B" w:rsidRPr="001B036C" w:rsidRDefault="00536C2B" w:rsidP="00F70556">
            <w:pPr>
              <w:pStyle w:val="TableText"/>
              <w:spacing w:before="0" w:after="0"/>
            </w:pPr>
            <w:r w:rsidRPr="001B036C">
              <w:t>2</w:t>
            </w:r>
          </w:p>
        </w:tc>
        <w:tc>
          <w:tcPr>
            <w:tcW w:w="350" w:type="pct"/>
            <w:vAlign w:val="center"/>
          </w:tcPr>
          <w:p w14:paraId="4622FFE2" w14:textId="77777777" w:rsidR="00536C2B" w:rsidRPr="001B036C" w:rsidRDefault="00536C2B" w:rsidP="00F70556">
            <w:pPr>
              <w:pStyle w:val="TableText"/>
              <w:spacing w:before="0" w:after="0"/>
            </w:pPr>
            <w:r w:rsidRPr="001B036C">
              <w:t>4</w:t>
            </w:r>
          </w:p>
        </w:tc>
        <w:tc>
          <w:tcPr>
            <w:tcW w:w="606" w:type="pct"/>
            <w:vAlign w:val="center"/>
          </w:tcPr>
          <w:p w14:paraId="47BF613C" w14:textId="15E4FBBE" w:rsidR="00536C2B" w:rsidRPr="001B036C" w:rsidRDefault="00536C2B" w:rsidP="00F70556">
            <w:pPr>
              <w:pStyle w:val="TableText"/>
              <w:spacing w:before="0" w:after="0"/>
            </w:pPr>
            <w:r w:rsidRPr="001B036C">
              <w:rPr>
                <w:szCs w:val="20"/>
              </w:rPr>
              <w:t>$47,641,403</w:t>
            </w:r>
          </w:p>
        </w:tc>
        <w:tc>
          <w:tcPr>
            <w:tcW w:w="591" w:type="pct"/>
            <w:vAlign w:val="center"/>
          </w:tcPr>
          <w:p w14:paraId="1402165D" w14:textId="0C9A7773" w:rsidR="00536C2B" w:rsidRPr="001B036C" w:rsidRDefault="00536C2B" w:rsidP="00F70556">
            <w:pPr>
              <w:pStyle w:val="TableText"/>
              <w:spacing w:before="0" w:after="0"/>
            </w:pPr>
            <w:r w:rsidRPr="001B036C">
              <w:rPr>
                <w:szCs w:val="20"/>
              </w:rPr>
              <w:t>$48,832,438</w:t>
            </w:r>
          </w:p>
        </w:tc>
        <w:tc>
          <w:tcPr>
            <w:tcW w:w="564" w:type="pct"/>
            <w:vAlign w:val="center"/>
          </w:tcPr>
          <w:p w14:paraId="2F209FEA" w14:textId="1CE53EF0" w:rsidR="00536C2B" w:rsidRPr="001B036C" w:rsidRDefault="00536C2B" w:rsidP="00F70556">
            <w:pPr>
              <w:pStyle w:val="TableText"/>
              <w:spacing w:before="0" w:after="0"/>
            </w:pPr>
            <w:r w:rsidRPr="001B036C">
              <w:rPr>
                <w:szCs w:val="20"/>
              </w:rPr>
              <w:t>$50,053,249</w:t>
            </w:r>
          </w:p>
        </w:tc>
        <w:tc>
          <w:tcPr>
            <w:tcW w:w="564" w:type="pct"/>
            <w:vAlign w:val="center"/>
          </w:tcPr>
          <w:p w14:paraId="11A39B58" w14:textId="21AC2D98" w:rsidR="00536C2B" w:rsidRPr="001B036C" w:rsidRDefault="00536C2B" w:rsidP="00F70556">
            <w:pPr>
              <w:pStyle w:val="TableText"/>
              <w:spacing w:before="0" w:after="0"/>
            </w:pPr>
            <w:r w:rsidRPr="001B036C">
              <w:rPr>
                <w:szCs w:val="20"/>
              </w:rPr>
              <w:t>$51,304,580</w:t>
            </w:r>
          </w:p>
        </w:tc>
        <w:tc>
          <w:tcPr>
            <w:tcW w:w="564" w:type="pct"/>
            <w:vAlign w:val="center"/>
          </w:tcPr>
          <w:p w14:paraId="4C8B2F72" w14:textId="655DE0BB" w:rsidR="00536C2B" w:rsidRPr="001B036C" w:rsidRDefault="00536C2B" w:rsidP="00F70556">
            <w:pPr>
              <w:pStyle w:val="TableText"/>
              <w:spacing w:before="0" w:after="0"/>
            </w:pPr>
            <w:r w:rsidRPr="001B036C">
              <w:rPr>
                <w:szCs w:val="20"/>
              </w:rPr>
              <w:t>$52,587,195</w:t>
            </w:r>
          </w:p>
        </w:tc>
        <w:tc>
          <w:tcPr>
            <w:tcW w:w="704" w:type="pct"/>
            <w:vAlign w:val="center"/>
          </w:tcPr>
          <w:p w14:paraId="12A81643" w14:textId="5D834ED5" w:rsidR="00536C2B" w:rsidRPr="001B036C" w:rsidRDefault="00536C2B" w:rsidP="00F70556">
            <w:pPr>
              <w:pStyle w:val="TableText"/>
              <w:spacing w:before="0" w:after="0"/>
            </w:pPr>
            <w:r w:rsidRPr="001B036C">
              <w:rPr>
                <w:szCs w:val="20"/>
              </w:rPr>
              <w:t>$53,901,875</w:t>
            </w:r>
          </w:p>
        </w:tc>
      </w:tr>
      <w:tr w:rsidR="00536C2B" w:rsidRPr="001B036C" w14:paraId="47223D62" w14:textId="77777777" w:rsidTr="001C6A90">
        <w:trPr>
          <w:trHeight w:val="805"/>
        </w:trPr>
        <w:tc>
          <w:tcPr>
            <w:tcW w:w="704" w:type="pct"/>
            <w:vAlign w:val="center"/>
          </w:tcPr>
          <w:p w14:paraId="7C57BFB6" w14:textId="77777777" w:rsidR="00536C2B" w:rsidRPr="001B036C" w:rsidRDefault="00536C2B" w:rsidP="00F70556">
            <w:pPr>
              <w:pStyle w:val="TableText"/>
              <w:spacing w:before="0" w:after="0"/>
            </w:pPr>
            <w:r w:rsidRPr="001B036C">
              <w:t>FC test provided inpatient (MBS rebate)</w:t>
            </w:r>
          </w:p>
        </w:tc>
        <w:tc>
          <w:tcPr>
            <w:tcW w:w="353" w:type="pct"/>
            <w:vAlign w:val="center"/>
          </w:tcPr>
          <w:p w14:paraId="4D62B502" w14:textId="4CE8EF92" w:rsidR="00536C2B" w:rsidRPr="001B036C" w:rsidRDefault="00536C2B" w:rsidP="00F70556">
            <w:pPr>
              <w:pStyle w:val="TableText"/>
              <w:spacing w:before="0" w:after="0"/>
            </w:pPr>
            <w:r w:rsidRPr="001B036C">
              <w:t>85%</w:t>
            </w:r>
          </w:p>
        </w:tc>
        <w:tc>
          <w:tcPr>
            <w:tcW w:w="350" w:type="pct"/>
            <w:vAlign w:val="center"/>
          </w:tcPr>
          <w:p w14:paraId="5EC6EC5C" w14:textId="1174269C" w:rsidR="00536C2B" w:rsidRPr="001B036C" w:rsidRDefault="00536C2B" w:rsidP="00F70556">
            <w:pPr>
              <w:pStyle w:val="TableText"/>
              <w:spacing w:before="0" w:after="0"/>
            </w:pPr>
            <w:r w:rsidRPr="001B036C">
              <w:t>75%</w:t>
            </w:r>
          </w:p>
        </w:tc>
        <w:tc>
          <w:tcPr>
            <w:tcW w:w="606" w:type="pct"/>
            <w:vAlign w:val="center"/>
          </w:tcPr>
          <w:p w14:paraId="10666F13" w14:textId="2FF9F15C" w:rsidR="00536C2B" w:rsidRPr="001B036C" w:rsidRDefault="00536C2B" w:rsidP="00F70556">
            <w:pPr>
              <w:pStyle w:val="TableText"/>
              <w:spacing w:before="0" w:after="0"/>
              <w:rPr>
                <w:szCs w:val="20"/>
              </w:rPr>
            </w:pPr>
            <w:r w:rsidRPr="001B036C">
              <w:rPr>
                <w:szCs w:val="20"/>
              </w:rPr>
              <w:t>$30,485,676</w:t>
            </w:r>
          </w:p>
        </w:tc>
        <w:tc>
          <w:tcPr>
            <w:tcW w:w="591" w:type="pct"/>
            <w:vAlign w:val="center"/>
          </w:tcPr>
          <w:p w14:paraId="44BFE3B9" w14:textId="22AD233A" w:rsidR="00536C2B" w:rsidRPr="001B036C" w:rsidRDefault="00536C2B" w:rsidP="00F70556">
            <w:pPr>
              <w:pStyle w:val="TableText"/>
              <w:spacing w:before="0" w:after="0"/>
              <w:rPr>
                <w:szCs w:val="20"/>
              </w:rPr>
            </w:pPr>
            <w:r w:rsidRPr="001B036C">
              <w:rPr>
                <w:szCs w:val="20"/>
              </w:rPr>
              <w:t>$31,247,818</w:t>
            </w:r>
          </w:p>
        </w:tc>
        <w:tc>
          <w:tcPr>
            <w:tcW w:w="564" w:type="pct"/>
            <w:vAlign w:val="center"/>
          </w:tcPr>
          <w:p w14:paraId="1090166A" w14:textId="672D2283" w:rsidR="00536C2B" w:rsidRPr="001B036C" w:rsidRDefault="00536C2B" w:rsidP="00F70556">
            <w:pPr>
              <w:pStyle w:val="TableText"/>
              <w:spacing w:before="0" w:after="0"/>
              <w:rPr>
                <w:szCs w:val="20"/>
              </w:rPr>
            </w:pPr>
            <w:r w:rsidRPr="001B036C">
              <w:rPr>
                <w:szCs w:val="20"/>
              </w:rPr>
              <w:t>$32,029,014</w:t>
            </w:r>
          </w:p>
        </w:tc>
        <w:tc>
          <w:tcPr>
            <w:tcW w:w="564" w:type="pct"/>
            <w:vAlign w:val="center"/>
          </w:tcPr>
          <w:p w14:paraId="02B88AB2" w14:textId="4991EF81" w:rsidR="00536C2B" w:rsidRPr="001B036C" w:rsidRDefault="00536C2B" w:rsidP="00F70556">
            <w:pPr>
              <w:pStyle w:val="TableText"/>
              <w:spacing w:before="0" w:after="0"/>
              <w:rPr>
                <w:szCs w:val="20"/>
              </w:rPr>
            </w:pPr>
            <w:r w:rsidRPr="001B036C">
              <w:rPr>
                <w:szCs w:val="20"/>
              </w:rPr>
              <w:t>$32,829,739</w:t>
            </w:r>
          </w:p>
        </w:tc>
        <w:tc>
          <w:tcPr>
            <w:tcW w:w="564" w:type="pct"/>
            <w:vAlign w:val="center"/>
          </w:tcPr>
          <w:p w14:paraId="7CAD8C40" w14:textId="7E9E01A0" w:rsidR="00536C2B" w:rsidRPr="001B036C" w:rsidRDefault="00536C2B" w:rsidP="00F70556">
            <w:pPr>
              <w:pStyle w:val="TableText"/>
              <w:spacing w:before="0" w:after="0"/>
              <w:rPr>
                <w:szCs w:val="20"/>
              </w:rPr>
            </w:pPr>
            <w:r w:rsidRPr="001B036C">
              <w:rPr>
                <w:szCs w:val="20"/>
              </w:rPr>
              <w:t>$33,650,483</w:t>
            </w:r>
          </w:p>
        </w:tc>
        <w:tc>
          <w:tcPr>
            <w:tcW w:w="704" w:type="pct"/>
            <w:vAlign w:val="center"/>
          </w:tcPr>
          <w:p w14:paraId="28EA7F4C" w14:textId="0EB14832" w:rsidR="00536C2B" w:rsidRPr="001B036C" w:rsidRDefault="00536C2B" w:rsidP="00F70556">
            <w:pPr>
              <w:pStyle w:val="TableText"/>
              <w:spacing w:before="0" w:after="0"/>
              <w:rPr>
                <w:szCs w:val="20"/>
              </w:rPr>
            </w:pPr>
            <w:r w:rsidRPr="001B036C">
              <w:rPr>
                <w:szCs w:val="20"/>
              </w:rPr>
              <w:t>$34,491,745</w:t>
            </w:r>
          </w:p>
        </w:tc>
      </w:tr>
    </w:tbl>
    <w:p w14:paraId="0799A9FA" w14:textId="77777777" w:rsidR="0019792D" w:rsidRDefault="0019792D" w:rsidP="0019792D">
      <w:pPr>
        <w:rPr>
          <w:rFonts w:ascii="Arial Narrow" w:hAnsi="Arial Narrow"/>
          <w:sz w:val="18"/>
          <w:szCs w:val="18"/>
        </w:rPr>
      </w:pPr>
      <w:r w:rsidRPr="001B036C">
        <w:rPr>
          <w:rFonts w:ascii="Arial Narrow" w:hAnsi="Arial Narrow"/>
          <w:sz w:val="18"/>
          <w:szCs w:val="18"/>
        </w:rPr>
        <w:t>FC = Faecal calprotectin; MBS = Medicare Benefits Schedule</w:t>
      </w:r>
    </w:p>
    <w:p w14:paraId="3E2C46DC" w14:textId="29199C20" w:rsidR="00FA283C" w:rsidRPr="00FA283C" w:rsidRDefault="00FA283C" w:rsidP="00FA283C">
      <w:pPr>
        <w:pStyle w:val="Heading2"/>
        <w:numPr>
          <w:ilvl w:val="0"/>
          <w:numId w:val="0"/>
        </w:numPr>
        <w:tabs>
          <w:tab w:val="num" w:pos="360"/>
        </w:tabs>
      </w:pPr>
      <w:bookmarkStart w:id="51" w:name="_Toc177560716"/>
      <w:r>
        <w:lastRenderedPageBreak/>
        <w:t>15.</w:t>
      </w:r>
      <w:r>
        <w:tab/>
      </w:r>
      <w:r w:rsidRPr="00FA283C">
        <w:t xml:space="preserve">Other </w:t>
      </w:r>
      <w:bookmarkEnd w:id="51"/>
      <w:r w:rsidRPr="00FA283C">
        <w:t>relevant information</w:t>
      </w:r>
    </w:p>
    <w:p w14:paraId="43A7435C" w14:textId="4D02299D" w:rsidR="00FA283C" w:rsidRPr="00102634" w:rsidRDefault="00FA283C" w:rsidP="00FA283C">
      <w:r>
        <w:t>Nil</w:t>
      </w:r>
      <w:r w:rsidRPr="00102634">
        <w:t>.</w:t>
      </w:r>
    </w:p>
    <w:p w14:paraId="02CFE74F" w14:textId="57E596E0" w:rsidR="00FA283C" w:rsidRPr="00FA283C" w:rsidRDefault="00FA283C" w:rsidP="00FA283C">
      <w:pPr>
        <w:pStyle w:val="Heading2"/>
        <w:numPr>
          <w:ilvl w:val="0"/>
          <w:numId w:val="0"/>
        </w:numPr>
        <w:tabs>
          <w:tab w:val="num" w:pos="360"/>
        </w:tabs>
      </w:pPr>
      <w:bookmarkStart w:id="52" w:name="_Toc145678765"/>
      <w:bookmarkStart w:id="53" w:name="_Toc150172410"/>
      <w:bookmarkStart w:id="54" w:name="_Toc153462785"/>
      <w:r>
        <w:t>16.</w:t>
      </w:r>
      <w:r>
        <w:tab/>
      </w:r>
      <w:r w:rsidRPr="00FA283C">
        <w:t>Key issues from ESC to MSAC</w:t>
      </w:r>
    </w:p>
    <w:bookmarkEnd w:id="52"/>
    <w:bookmarkEnd w:id="53"/>
    <w:bookmarkEnd w:id="54"/>
    <w:p w14:paraId="2F705E93" w14:textId="77777777" w:rsidR="00FA283C" w:rsidRDefault="00FA283C" w:rsidP="00FA283C">
      <w:pPr>
        <w:pStyle w:val="BoxName0"/>
      </w:pPr>
      <w:r w:rsidRPr="00C749CB">
        <w:t>Main issues for MSAC consideration</w:t>
      </w:r>
    </w:p>
    <w:p w14:paraId="04E8F9E8" w14:textId="77777777" w:rsidR="00FA283C" w:rsidRDefault="00FA283C" w:rsidP="00FA283C">
      <w:pPr>
        <w:pStyle w:val="BoxName0"/>
      </w:pPr>
      <w:r>
        <w:t>Clinical issues:</w:t>
      </w:r>
    </w:p>
    <w:p w14:paraId="78C7FE36" w14:textId="77777777" w:rsidR="00FA283C" w:rsidRDefault="00FA283C" w:rsidP="00FA283C">
      <w:pPr>
        <w:pStyle w:val="BoxBullet"/>
      </w:pPr>
      <w:r>
        <w:t>Faecal calprotectin (FC) thresholds included in pathology reports are different to what is included in the Department Commissioned Assessment Report (DCAR), which has implications for practice. The different FC thresholds may result in confusion for clinicians and are likely to result in repeat FC testing due to misinterpretation. Advice is needed from the Royal College of Pathologists of Australasia (RCPA) regarding clinical consequences, and whether a change in the way FC results are reported is needed.</w:t>
      </w:r>
    </w:p>
    <w:p w14:paraId="2B706204" w14:textId="77777777" w:rsidR="00FA283C" w:rsidRPr="00852707" w:rsidRDefault="00FA283C" w:rsidP="00FA283C">
      <w:pPr>
        <w:pStyle w:val="BoxBullet"/>
      </w:pPr>
      <w:r>
        <w:t>Comparative safety is uncertain. The safety of FC testing compared with colonoscopy (or medical management in asymptomatic patients) is unknown, because although colonoscopies avoided from using FC testing results in greater safety, false positive results of FC testing may lead to an increase in unwarranted colonoscopies and more aggressive IBD therapies which may be associated with reduced safety.</w:t>
      </w:r>
    </w:p>
    <w:p w14:paraId="116D0BCC" w14:textId="77777777" w:rsidR="00FA283C" w:rsidRPr="00194327" w:rsidRDefault="00FA283C" w:rsidP="00FA283C">
      <w:pPr>
        <w:pStyle w:val="BoxBullet"/>
        <w:rPr>
          <w:b/>
          <w:bCs/>
        </w:rPr>
      </w:pPr>
      <w:r>
        <w:t xml:space="preserve">FC testing appears to have good diagnostic accuracy, but the downstream changes are uncertain. The data presented to support change in management and change in clinical outcomes were low quality (mainly based on guidelines and narrative data) and </w:t>
      </w:r>
      <w:r w:rsidRPr="00210602">
        <w:t>only a targeted search was conducted to identify change in clinical decisions and health outcomes.</w:t>
      </w:r>
      <w:r>
        <w:t xml:space="preserve"> </w:t>
      </w:r>
      <w:proofErr w:type="gramStart"/>
      <w:r>
        <w:t>Therefore</w:t>
      </w:r>
      <w:proofErr w:type="gramEnd"/>
      <w:r>
        <w:t xml:space="preserve"> clinical effectiveness is uncertain.</w:t>
      </w:r>
    </w:p>
    <w:p w14:paraId="1F6A4A82" w14:textId="77777777" w:rsidR="00FA283C" w:rsidRDefault="00FA283C" w:rsidP="00FA283C">
      <w:pPr>
        <w:pStyle w:val="BoxBullet"/>
      </w:pPr>
      <w:r>
        <w:t>In terms of predicting relapse, the clinical utility of FC testing is uncertain as there is currently no guideline consensus on the optimum testing regime to predict IBD flares in a timely manner in asymptomatic IBD patients who are in remission.</w:t>
      </w:r>
    </w:p>
    <w:p w14:paraId="4BB915F2" w14:textId="77777777" w:rsidR="00FA283C" w:rsidRDefault="00FA283C" w:rsidP="00FA283C">
      <w:pPr>
        <w:pStyle w:val="BoxHeading"/>
      </w:pPr>
      <w:r>
        <w:t>Economic issues:</w:t>
      </w:r>
    </w:p>
    <w:p w14:paraId="168BD203" w14:textId="77777777" w:rsidR="00FA283C" w:rsidRDefault="00FA283C" w:rsidP="00FA283C">
      <w:pPr>
        <w:pStyle w:val="BoxBullet"/>
      </w:pPr>
      <w:r>
        <w:t>There is limited evidence on how much colonoscopy utilisation rates may be reduced by the introduction of FC testing. There are several uncertain assumptions that have been made that favour the cost offsets seen in the economic model, namely:</w:t>
      </w:r>
    </w:p>
    <w:p w14:paraId="0D04828D" w14:textId="373B409D" w:rsidR="00FA283C" w:rsidRDefault="00FA283C" w:rsidP="00FA283C">
      <w:pPr>
        <w:pStyle w:val="BoxDash"/>
      </w:pPr>
      <w:r>
        <w:t xml:space="preserve">The model assumed that 100% of symptomatic patients in the no FC arm receive colonoscopy. </w:t>
      </w:r>
    </w:p>
    <w:p w14:paraId="01111D50" w14:textId="77777777" w:rsidR="00FA283C" w:rsidRDefault="00FA283C" w:rsidP="00FA283C">
      <w:pPr>
        <w:pStyle w:val="BoxDash"/>
      </w:pPr>
      <w:r>
        <w:t>An assumed 100% adherence to repeat FC testing.</w:t>
      </w:r>
    </w:p>
    <w:p w14:paraId="089E417C" w14:textId="77777777" w:rsidR="00FA283C" w:rsidRDefault="00FA283C" w:rsidP="00FA283C">
      <w:pPr>
        <w:pStyle w:val="BoxHeading"/>
      </w:pPr>
      <w:r>
        <w:t>Financial issues:</w:t>
      </w:r>
    </w:p>
    <w:p w14:paraId="3A42E719" w14:textId="77777777" w:rsidR="00FA283C" w:rsidRDefault="00FA283C" w:rsidP="00FA283C">
      <w:pPr>
        <w:pStyle w:val="BoxBullet"/>
      </w:pPr>
      <w:r>
        <w:t>Cost offsets are likely overestimated. FC testing is currently widely used in clinical practice for monitoring patients with IBD</w:t>
      </w:r>
      <w:r w:rsidDel="0044515D">
        <w:t xml:space="preserve"> </w:t>
      </w:r>
      <w:r>
        <w:t>via various funding mechanisms. Therefore, an observable significant reduction in colonoscopies is unlikely, particularly in the private sector.</w:t>
      </w:r>
      <w:r w:rsidDel="00CD796C">
        <w:t xml:space="preserve"> </w:t>
      </w:r>
    </w:p>
    <w:p w14:paraId="62489CF9" w14:textId="77777777" w:rsidR="00FA283C" w:rsidRDefault="00FA283C" w:rsidP="00FA283C">
      <w:pPr>
        <w:spacing w:before="240"/>
        <w:rPr>
          <w:rStyle w:val="Strong"/>
        </w:rPr>
      </w:pPr>
      <w:r w:rsidRPr="00194327">
        <w:rPr>
          <w:rStyle w:val="Strong"/>
        </w:rPr>
        <w:t>ESC discussion</w:t>
      </w:r>
    </w:p>
    <w:p w14:paraId="16BAE9A1" w14:textId="77777777" w:rsidR="00FA283C" w:rsidRDefault="00FA283C" w:rsidP="00FA283C">
      <w:r>
        <w:t>ESC noted that this application was for Medicare Benefits Schedule (MBS) listing of faecal calprotectin (FC) testing for the monitoring of people with diagnosed inflammatory bowel disease (IBD). ESC noted that FC testing for monitoring of IBD is already widely performed in Australian clinical practice through various funding mechanisms.</w:t>
      </w:r>
    </w:p>
    <w:p w14:paraId="1BA191EB" w14:textId="77777777" w:rsidR="00FA283C" w:rsidRDefault="00FA283C" w:rsidP="00FA283C">
      <w:pPr>
        <w:pStyle w:val="NormalBeforeBullet0"/>
      </w:pPr>
      <w:r>
        <w:lastRenderedPageBreak/>
        <w:t>ESC noted that in March 2018, MSAC considered but did not support MBS listing of FC testing for the diagnosis and monitoring of IBD (</w:t>
      </w:r>
      <w:hyperlink r:id="rId10" w:history="1">
        <w:r w:rsidRPr="007F616F">
          <w:rPr>
            <w:rStyle w:val="Hyperlink"/>
          </w:rPr>
          <w:t>MSAC Application 1353</w:t>
        </w:r>
      </w:hyperlink>
      <w:r>
        <w:t xml:space="preserve">). </w:t>
      </w:r>
      <w:r>
        <w:rPr>
          <w:shd w:val="clear" w:color="auto" w:fill="FBFBFB"/>
        </w:rPr>
        <w:t>In its decision</w:t>
      </w:r>
      <w:r>
        <w:t>, MSAC advised that a resubmission for monitoring patients with IBD should provide:</w:t>
      </w:r>
    </w:p>
    <w:p w14:paraId="2067A257" w14:textId="77777777" w:rsidR="00FA283C" w:rsidRPr="00AB61C0" w:rsidRDefault="00FA283C" w:rsidP="00FA283C">
      <w:pPr>
        <w:pStyle w:val="Bullet"/>
        <w:numPr>
          <w:ilvl w:val="0"/>
          <w:numId w:val="34"/>
        </w:numPr>
        <w:spacing w:before="0"/>
        <w:rPr>
          <w:rFonts w:ascii="Franklin Gothic Book" w:hAnsi="Franklin Gothic Book"/>
        </w:rPr>
      </w:pPr>
      <w:r w:rsidRPr="00AB61C0">
        <w:rPr>
          <w:rFonts w:ascii="Franklin Gothic Book" w:hAnsi="Franklin Gothic Book"/>
        </w:rPr>
        <w:t xml:space="preserve">a definition of current Australian practice to monitor IBD (for example, frequency of colonoscopies), together with supportive data on the clinical utility of this practice both to establish any clinical need for FC monitoring in the first place, and to better identify the downstream management practices and health outcomes that might be improved by introducing FC monitoring; ESC considered that this had been partially addressed </w:t>
      </w:r>
      <w:r>
        <w:rPr>
          <w:rFonts w:ascii="Franklin Gothic Book" w:hAnsi="Franklin Gothic Book"/>
        </w:rPr>
        <w:t>by</w:t>
      </w:r>
      <w:r w:rsidRPr="00AB61C0">
        <w:rPr>
          <w:rFonts w:ascii="Franklin Gothic Book" w:hAnsi="Franklin Gothic Book"/>
        </w:rPr>
        <w:t xml:space="preserve"> this current application</w:t>
      </w:r>
      <w:r>
        <w:rPr>
          <w:rFonts w:ascii="Franklin Gothic Book" w:hAnsi="Franklin Gothic Book"/>
        </w:rPr>
        <w:t>.</w:t>
      </w:r>
    </w:p>
    <w:p w14:paraId="42CB9F66" w14:textId="77777777" w:rsidR="00FA283C" w:rsidRDefault="00FA283C" w:rsidP="00FA283C">
      <w:pPr>
        <w:pStyle w:val="BulletLast"/>
        <w:numPr>
          <w:ilvl w:val="0"/>
          <w:numId w:val="34"/>
        </w:numPr>
      </w:pPr>
      <w:r w:rsidRPr="00AB61C0">
        <w:t>further information on the biological variability of inflammation in the stable IBD patient cohort to provide</w:t>
      </w:r>
      <w:r w:rsidRPr="007B1532">
        <w:t xml:space="preserve"> a better basis for when to initiate a change in clinical management and a better basis for the requested frequency of FC testing</w:t>
      </w:r>
      <w:r>
        <w:t>; ESC considered that this</w:t>
      </w:r>
      <w:r w:rsidRPr="007B1532">
        <w:t xml:space="preserve"> </w:t>
      </w:r>
      <w:r>
        <w:t>was still</w:t>
      </w:r>
      <w:r w:rsidRPr="007B1532">
        <w:t xml:space="preserve"> unknown</w:t>
      </w:r>
      <w:r>
        <w:t>.</w:t>
      </w:r>
    </w:p>
    <w:p w14:paraId="18AEE3F3" w14:textId="77777777" w:rsidR="00FA283C" w:rsidRDefault="00FA283C" w:rsidP="00FA283C">
      <w:r>
        <w:t>In November 2019 MSAC considered a resubmission (</w:t>
      </w:r>
      <w:hyperlink r:id="rId11" w:history="1">
        <w:r w:rsidRPr="008774F3">
          <w:rPr>
            <w:rStyle w:val="Hyperlink"/>
          </w:rPr>
          <w:t>MSAC Application 1353.1</w:t>
        </w:r>
      </w:hyperlink>
      <w:r>
        <w:t>) which focused only on FC testing for diagnosis of IBD and which MSAC subsequently supported publicly funding. Two MBS items were introduced in November 2021 that focused on FC testing for diagnosis of IBD in patients aged &lt;50 years: MBS items 66522 (for general practitioners [GPs]) and 66523 (for specialists). The current application is seeking FC test listing for disease monitoring in patients with IBD.</w:t>
      </w:r>
    </w:p>
    <w:p w14:paraId="086B973B" w14:textId="77777777" w:rsidR="00FA283C" w:rsidRPr="00AB61C0" w:rsidRDefault="00FA283C" w:rsidP="00FA283C">
      <w:pPr>
        <w:pStyle w:val="NormalBeforeBullet0"/>
      </w:pPr>
      <w:r>
        <w:t xml:space="preserve">ESC noted that </w:t>
      </w:r>
      <w:r w:rsidRPr="000D7B9D">
        <w:t xml:space="preserve">FC is a biomarker of gut inflammation. Raised levels in the stool reflect the </w:t>
      </w:r>
      <w:r w:rsidRPr="00AB61C0">
        <w:t xml:space="preserve">migration of neutrophils into the gut lumen. </w:t>
      </w:r>
      <w:r>
        <w:t>ESC noted t</w:t>
      </w:r>
      <w:r w:rsidRPr="00AB61C0">
        <w:t xml:space="preserve">he </w:t>
      </w:r>
      <w:r>
        <w:t xml:space="preserve">following </w:t>
      </w:r>
      <w:r w:rsidRPr="00AB61C0">
        <w:t>thresholds for FC levels</w:t>
      </w:r>
      <w:r>
        <w:t xml:space="preserve"> proposed in the clinical algorithm which aligns</w:t>
      </w:r>
      <w:r w:rsidRPr="00AB61C0">
        <w:t xml:space="preserve"> </w:t>
      </w:r>
      <w:r>
        <w:t>with some clinical guidelines including recommendations by the Gastroenterological Society of Australia</w:t>
      </w:r>
      <w:r w:rsidRPr="00AB61C0">
        <w:t>:</w:t>
      </w:r>
    </w:p>
    <w:p w14:paraId="22955D85" w14:textId="77777777" w:rsidR="00FA283C" w:rsidRPr="00AB61C0" w:rsidRDefault="00FA283C" w:rsidP="00FA283C">
      <w:pPr>
        <w:pStyle w:val="Bullet"/>
        <w:numPr>
          <w:ilvl w:val="0"/>
          <w:numId w:val="34"/>
        </w:numPr>
        <w:spacing w:before="0"/>
        <w:rPr>
          <w:rFonts w:ascii="Franklin Gothic Book" w:hAnsi="Franklin Gothic Book"/>
        </w:rPr>
      </w:pPr>
      <w:r w:rsidRPr="00AB61C0">
        <w:rPr>
          <w:rFonts w:ascii="Franklin Gothic Book" w:hAnsi="Franklin Gothic Book"/>
        </w:rPr>
        <w:t>&lt;100 µg/g: no inflammation</w:t>
      </w:r>
    </w:p>
    <w:p w14:paraId="57317BCD" w14:textId="77777777" w:rsidR="00FA283C" w:rsidRPr="00AB61C0" w:rsidRDefault="00FA283C" w:rsidP="00FA283C">
      <w:pPr>
        <w:pStyle w:val="Bullet"/>
        <w:numPr>
          <w:ilvl w:val="0"/>
          <w:numId w:val="34"/>
        </w:numPr>
        <w:spacing w:before="0"/>
        <w:rPr>
          <w:rFonts w:ascii="Franklin Gothic Book" w:hAnsi="Franklin Gothic Book"/>
        </w:rPr>
      </w:pPr>
      <w:r w:rsidRPr="00AB61C0">
        <w:rPr>
          <w:rFonts w:ascii="Franklin Gothic Book" w:hAnsi="Franklin Gothic Book"/>
        </w:rPr>
        <w:t>100–250 µg/g: intermediate</w:t>
      </w:r>
    </w:p>
    <w:p w14:paraId="20674210" w14:textId="77777777" w:rsidR="00FA283C" w:rsidRPr="000D7B9D" w:rsidRDefault="00FA283C" w:rsidP="00FA283C">
      <w:pPr>
        <w:pStyle w:val="BulletLast"/>
        <w:numPr>
          <w:ilvl w:val="0"/>
          <w:numId w:val="34"/>
        </w:numPr>
      </w:pPr>
      <w:r w:rsidRPr="00AB61C0">
        <w:t>&gt;250 µg/g</w:t>
      </w:r>
      <w:r>
        <w:t xml:space="preserve">: </w:t>
      </w:r>
      <w:r w:rsidRPr="00AB61C0">
        <w:t>active inflammation</w:t>
      </w:r>
      <w:r>
        <w:t>.</w:t>
      </w:r>
    </w:p>
    <w:p w14:paraId="345E2A71" w14:textId="77777777" w:rsidR="00FA283C" w:rsidRPr="000F376E" w:rsidRDefault="00FA283C" w:rsidP="00FA283C">
      <w:r>
        <w:t>ESC noted that f</w:t>
      </w:r>
      <w:r w:rsidRPr="000D7B9D">
        <w:t>alse positive</w:t>
      </w:r>
      <w:r>
        <w:t xml:space="preserve"> results</w:t>
      </w:r>
      <w:r w:rsidRPr="000D7B9D">
        <w:t xml:space="preserve"> may be caused by infection or nonsteroidal anti-inflammatory drugs (NSAIDs).</w:t>
      </w:r>
      <w:r>
        <w:t xml:space="preserve"> ESC noted that an intermediate FC result, which has a very wide range, can be difficult for clinicians to interpret. Also, ESC noted feedback from the Royal College of Pathologists of Australasia (RCPA) that there is a 20% diurnal variation in FC levels. Therefore, it is recommended that the test is performed in the morning when FC levels are at their highest. ESC noted that this was not factored into the threshold levels or in any other part of the application.</w:t>
      </w:r>
    </w:p>
    <w:p w14:paraId="1B8F0798" w14:textId="77777777" w:rsidR="00FA283C" w:rsidRPr="000F376E" w:rsidRDefault="00FA283C" w:rsidP="00FA283C">
      <w:r>
        <w:t>ESC noted that this application received a strong response from health professionals, organisations and individual consumers from the PASC and MSAC consultation stages. The feedback highlighted the benefits of reduced colonoscopies/more-invasive testing and increased access for rural patients, especially if GPs are eligible to order the test. Further benefits also noted were IBD disease monitoring through FC testing could potentially lead to better treatment outcomes, and potential cost savings from avoiding unnecessary treatments. ESC noted from the feedback that, because the test is currently accessible through private patient payments, approving funding will reduce the costs for consumers. The only risks highlighted by the feedback were false positive results.</w:t>
      </w:r>
    </w:p>
    <w:p w14:paraId="59232430" w14:textId="77777777" w:rsidR="00FA283C" w:rsidRDefault="00FA283C" w:rsidP="00FA283C">
      <w:r>
        <w:t>ESC noted that the proposed clinical management algorithm was missing the option for colonoscopy irrespective of FC result in symptomatic patients – instead, it assumed that 100% of patients would undergo FC testing prior to decision making regarding colonoscopy, but ESC considered that this would not be the case in clinical practice.</w:t>
      </w:r>
    </w:p>
    <w:p w14:paraId="34303AB4" w14:textId="77777777" w:rsidR="00FA283C" w:rsidRDefault="00FA283C" w:rsidP="00FA283C">
      <w:pPr>
        <w:pStyle w:val="NormalBeforeBullet0"/>
      </w:pPr>
      <w:r>
        <w:lastRenderedPageBreak/>
        <w:t>ESC noted that the application included two PICO sets:</w:t>
      </w:r>
    </w:p>
    <w:p w14:paraId="3948C922" w14:textId="77777777" w:rsidR="00FA283C" w:rsidRPr="00AB61C0" w:rsidRDefault="00FA283C" w:rsidP="00FA283C">
      <w:pPr>
        <w:pStyle w:val="Bullet"/>
        <w:numPr>
          <w:ilvl w:val="0"/>
          <w:numId w:val="34"/>
        </w:numPr>
        <w:spacing w:before="0"/>
        <w:rPr>
          <w:rFonts w:ascii="Franklin Gothic Book" w:hAnsi="Franklin Gothic Book"/>
        </w:rPr>
      </w:pPr>
      <w:r w:rsidRPr="00AB61C0">
        <w:rPr>
          <w:rFonts w:ascii="Franklin Gothic Book" w:hAnsi="Franklin Gothic Book"/>
        </w:rPr>
        <w:t xml:space="preserve">PICO set 1: symptomatic patients with known IBD; </w:t>
      </w:r>
      <w:r>
        <w:rPr>
          <w:rFonts w:ascii="Franklin Gothic Book" w:hAnsi="Franklin Gothic Book"/>
        </w:rPr>
        <w:t>the</w:t>
      </w:r>
      <w:r w:rsidRPr="00AB61C0">
        <w:rPr>
          <w:rFonts w:ascii="Franklin Gothic Book" w:hAnsi="Franklin Gothic Book"/>
        </w:rPr>
        <w:t xml:space="preserve"> comparator is colonoscopy and biopsy</w:t>
      </w:r>
      <w:r>
        <w:rPr>
          <w:rFonts w:ascii="Franklin Gothic Book" w:hAnsi="Franklin Gothic Book"/>
        </w:rPr>
        <w:t>. FC testing will be used to predict disease activity or mucosal healing.</w:t>
      </w:r>
    </w:p>
    <w:p w14:paraId="3858EA9A" w14:textId="77777777" w:rsidR="00FA283C" w:rsidRDefault="00FA283C" w:rsidP="00FA283C">
      <w:pPr>
        <w:pStyle w:val="BulletLast"/>
        <w:numPr>
          <w:ilvl w:val="0"/>
          <w:numId w:val="34"/>
        </w:numPr>
      </w:pPr>
      <w:r w:rsidRPr="00AB61C0">
        <w:t xml:space="preserve">PICO set 2: asymptomatic patients with known IBD; </w:t>
      </w:r>
      <w:r>
        <w:t xml:space="preserve">the </w:t>
      </w:r>
      <w:r w:rsidRPr="00AB61C0">
        <w:t>comparators are colonoscopy</w:t>
      </w:r>
      <w:r>
        <w:t xml:space="preserve"> and biopsy, and standard medical management. FC testing will be used to predict relapse.</w:t>
      </w:r>
    </w:p>
    <w:p w14:paraId="462CFA33" w14:textId="77777777" w:rsidR="00FA283C" w:rsidRDefault="00FA283C" w:rsidP="00FA283C">
      <w:r>
        <w:t xml:space="preserve">ESC noted that for PICO set 2, PASC had proposed a secondary comparator of standard medical management. ESC noted that under this comparator FC testing would be an add-on test rather than a replacement and an overall claim of superiority rather than non-inferiority would have to be made to assess FC testing which would in turn have required a cost utility model rather than the cost minimisation model employed in the economic evaluation (see later discussion). However, ESC noted that the DCAR stated that </w:t>
      </w:r>
      <w:r w:rsidRPr="001B036C">
        <w:t xml:space="preserve">there </w:t>
      </w:r>
      <w:r>
        <w:t>was</w:t>
      </w:r>
      <w:r w:rsidRPr="001B036C">
        <w:t xml:space="preserve"> no evidence available</w:t>
      </w:r>
      <w:r>
        <w:t xml:space="preserve"> to</w:t>
      </w:r>
      <w:r w:rsidRPr="001B036C">
        <w:t xml:space="preserve"> inform th</w:t>
      </w:r>
      <w:r>
        <w:t>e assessment against this secondary comparator.</w:t>
      </w:r>
    </w:p>
    <w:p w14:paraId="468751B7" w14:textId="77777777" w:rsidR="00FA283C" w:rsidRPr="000F376E" w:rsidRDefault="00FA283C" w:rsidP="00FA283C">
      <w:r>
        <w:t>ESC noted the heterogeneity of the patients in the target population. ESC noted that this application was generally targeted at IBD patients who are at the more severe end of the spectrum and are typically managed by specialists. ESC considered that FC testing would also be useful for triaging IBD patients at the less severe end of the spectrum who are mainly managed in primary care and may intermittently develop symptoms requiring specialist intervention.</w:t>
      </w:r>
    </w:p>
    <w:p w14:paraId="5056B57E" w14:textId="77777777" w:rsidR="00FA283C" w:rsidRDefault="00FA283C" w:rsidP="00FA283C">
      <w:r>
        <w:t xml:space="preserve">ESC noted that the proposed item descriptor specifies that a maximum of 10 tests may be performed per year. ESC considered that this restriction was unnecessary as patients who are symptomatic may require more than 10 tests per year, although this was considered a rare scenario. ESC considered whether it would be helpful to look at the overall utilisation for MBS items 66522 and </w:t>
      </w:r>
      <w:proofErr w:type="gramStart"/>
      <w:r>
        <w:t>66523, but</w:t>
      </w:r>
      <w:proofErr w:type="gramEnd"/>
      <w:r>
        <w:t xml:space="preserve"> noted that both these items are restricted to diagnosis. In addition, MBS item 66523 is not used regularly as this item is specifically for patients with inconclusive FC results or ongoing symptoms. These patients tend to proceed to colonoscopy rather than undergo repeat FC testing.</w:t>
      </w:r>
    </w:p>
    <w:p w14:paraId="297D7EB6" w14:textId="77777777" w:rsidR="00FA283C" w:rsidRDefault="00FA283C" w:rsidP="00FA283C">
      <w:r>
        <w:t>Regarding the proposed item restriction to specialist requestors only, ESC noted that the applicant in the pre-ESC response agreed to allow access to GPs but only in consultation with specialists. ESC considered this to be an acceptable approach. ESC considered that specialists may have more training and experience to interpret and act on FC results appropriately. However, allowing GPs to order FC tests may address access issues arising from both geographical location and financial barriers. ESC also noted that pathology reports currently use an incorrect FC threshold of 50 µg/g, which can lead to unnecessary repeat testing and unnecessary referrals for colonoscopies. ESC considered that provided there were clear standardised thresholds, clinicians would be able to interpret FC test results more easily. ESC considered that advice is needed from the RCPA regarding clinical consequences, and whether a change in the way FC results are reported is needed. ESC noted from the pre-ESC response that the applicant would be pleased to work with pathology companies to help with standardisation of thresholds. ESC considered whether IBD nurse practitioners should also be allowed to order FC tests.</w:t>
      </w:r>
    </w:p>
    <w:p w14:paraId="4E72E116" w14:textId="77777777" w:rsidR="00FA283C" w:rsidRDefault="00FA283C" w:rsidP="00FA283C">
      <w:r>
        <w:t>Regarding whether this should be a new item, or the proposed service should be subsumed into the current MBS items 66522/66523, ESC preferred this to be a new item. MBS items 66522 and 66523 for IBD diagnosis are currently restricted to individuals under 50 years of age, and ESC considered that this age restrictor should not be removed as FC testing for the initial diagnosis of gut symptoms in older patients (&gt;50 years) is not clinically indicated as other pathologies take precedence in this age group.</w:t>
      </w:r>
    </w:p>
    <w:p w14:paraId="2831E215" w14:textId="596C386A" w:rsidR="00FA283C" w:rsidRPr="000F376E" w:rsidRDefault="00FA283C" w:rsidP="00FA283C">
      <w:r>
        <w:t xml:space="preserve">ESC considered that the MBS item descriptor should include an explanatory note to exclude infection first as infections can be a cause of false positive results. Additionally, ESC considered </w:t>
      </w:r>
      <w:r>
        <w:lastRenderedPageBreak/>
        <w:t xml:space="preserve">that the item descriptor should specify that this </w:t>
      </w:r>
      <w:r w:rsidRPr="008F0C8B">
        <w:t>test be performed in a NATA accredited laboratory</w:t>
      </w:r>
      <w:r>
        <w:t xml:space="preserve"> </w:t>
      </w:r>
      <w:proofErr w:type="gramStart"/>
      <w:r>
        <w:t>in order to</w:t>
      </w:r>
      <w:proofErr w:type="gramEnd"/>
      <w:r>
        <w:t xml:space="preserve"> exclude point of care testing.</w:t>
      </w:r>
      <w:r w:rsidRPr="008F0C8B" w:rsidDel="008F0C8B">
        <w:t xml:space="preserve"> </w:t>
      </w:r>
    </w:p>
    <w:p w14:paraId="1CBB1859" w14:textId="77777777" w:rsidR="00FA283C" w:rsidRDefault="00FA283C" w:rsidP="00FA283C">
      <w:r>
        <w:t>ESC noted that the clinical claim was that FC testing has non-inferior effectiveness and at least non-inferior safety relative to colonoscopy and/or biopsy. A linked evidence approach was used for both comparative safety and effectiveness.</w:t>
      </w:r>
    </w:p>
    <w:p w14:paraId="50A1C434" w14:textId="77777777" w:rsidR="00FA283C" w:rsidRDefault="00FA283C" w:rsidP="00FA283C">
      <w:r>
        <w:t>ESC considered that, overall, the claim of comparative safety is uncertain. Although there were negligible safety issues with the test itself, safety issues may arise from false positive results which may cause unnecessary escalation in therapy and an increase in the number of unwarranted colonoscopies, with higher costs and increased risk of adverse effects from testing and treatment. Given the specificity of FC is approximately 70%, ESC considered that there may be appreciable impact from false positive results. This also depends on how the intermediate test results are handled in practice (for example, how many FC tests are repeated, how many cases go on to colonoscopy). However, compared with colonoscopies and their associated risks, ESC considered that FC testing may have non-inferior safety due to an overall reduction in the number of colonoscopies (</w:t>
      </w:r>
      <w:proofErr w:type="gramStart"/>
      <w:r>
        <w:t>taking into account</w:t>
      </w:r>
      <w:proofErr w:type="gramEnd"/>
      <w:r>
        <w:t xml:space="preserve"> both the symptomatic and asymptomatic groups). However, ESC also noted that guidelines (STRIDE-II) suggest disease monitoring in asymptomatic patients, and in this patient group an intermediate or high FC result could lead to a colonoscopy. Therefore, FC testing could increase the number of colonoscopies performed in the asymptomatic group, given that few asymptomatic patients are currently undergoing colonoscopies, particularly in the public setting.</w:t>
      </w:r>
    </w:p>
    <w:p w14:paraId="68F0EFBB" w14:textId="77777777" w:rsidR="00FA283C" w:rsidRDefault="00FA283C" w:rsidP="00FA283C">
      <w:r>
        <w:t>ESC noted that effectiveness of FC testing compared with colonoscopy was determined in terms of predicting disease activity, predicting mucosal healing and predicting relapse (with subsequent effects on health outcomes). ESC noted that while diagnostic accuracy of the test was adequately supported by multiple prospective studies, empirical data to inform change in clinical decisions (treatment management) and health outcomes were very limited and the literature to support this</w:t>
      </w:r>
      <w:r w:rsidDel="00032DB9">
        <w:t xml:space="preserve"> </w:t>
      </w:r>
      <w:r>
        <w:t xml:space="preserve">was mainly opinion based. ESC noted that a targeted search was conducted to identify change in clinical decisions and health outcomes and there </w:t>
      </w:r>
      <w:proofErr w:type="gramStart"/>
      <w:r>
        <w:t>were</w:t>
      </w:r>
      <w:proofErr w:type="gramEnd"/>
      <w:r>
        <w:t xml:space="preserve"> no safety studies identified at either step.</w:t>
      </w:r>
    </w:p>
    <w:p w14:paraId="7E29C7E6" w14:textId="275FC01A" w:rsidR="00FA283C" w:rsidRDefault="00FA283C" w:rsidP="00FA283C">
      <w:r>
        <w:t xml:space="preserve">ESC noted that the evidence for diagnostic accuracy comprised a systematic review and meta-analysis of test accuracy studies comparing FC to colonoscopy. </w:t>
      </w:r>
      <w:r w:rsidRPr="00D146AC">
        <w:t>ESC considered it appropriate to use a threshold of 100 µg/g to assess test accuracy</w:t>
      </w:r>
      <w:r>
        <w:t xml:space="preserve"> in line with clinical guidelines</w:t>
      </w:r>
      <w:r w:rsidRPr="00D146AC">
        <w:t xml:space="preserve">. </w:t>
      </w:r>
      <w:r>
        <w:t xml:space="preserve">The approach </w:t>
      </w:r>
      <w:r w:rsidRPr="002517DB">
        <w:t>include</w:t>
      </w:r>
      <w:r>
        <w:t>d</w:t>
      </w:r>
      <w:r w:rsidRPr="002517DB">
        <w:t xml:space="preserve"> studies of </w:t>
      </w:r>
      <w:r>
        <w:t>ulcerative colitis (</w:t>
      </w:r>
      <w:r w:rsidRPr="002517DB">
        <w:t>UC</w:t>
      </w:r>
      <w:r>
        <w:t>)</w:t>
      </w:r>
      <w:r w:rsidRPr="002517DB">
        <w:t xml:space="preserve"> and</w:t>
      </w:r>
      <w:r>
        <w:t xml:space="preserve"> Crohn disease</w:t>
      </w:r>
      <w:r w:rsidRPr="002517DB">
        <w:t xml:space="preserve"> </w:t>
      </w:r>
      <w:r>
        <w:t>(</w:t>
      </w:r>
      <w:r w:rsidRPr="002517DB">
        <w:t>CD</w:t>
      </w:r>
      <w:r>
        <w:t>)</w:t>
      </w:r>
      <w:r w:rsidRPr="002517DB">
        <w:t xml:space="preserve"> </w:t>
      </w:r>
      <w:r>
        <w:t xml:space="preserve">both </w:t>
      </w:r>
      <w:r w:rsidRPr="002517DB">
        <w:t>separately and combined and assess</w:t>
      </w:r>
      <w:r>
        <w:t>ed</w:t>
      </w:r>
      <w:r w:rsidRPr="002517DB">
        <w:t xml:space="preserve"> diagnostic accuracy compa</w:t>
      </w:r>
      <w:r>
        <w:t>red</w:t>
      </w:r>
      <w:r w:rsidRPr="002517DB">
        <w:t xml:space="preserve"> </w:t>
      </w:r>
      <w:r>
        <w:t xml:space="preserve">to </w:t>
      </w:r>
      <w:r w:rsidRPr="002517DB">
        <w:t xml:space="preserve">colonoscopy. </w:t>
      </w:r>
      <w:r>
        <w:t xml:space="preserve">ESC noted that there were more studies to inform the use of the test in UC compared to CD. ESC considered the results of the UC and CD sub-populations to be comparable and therefore considered it appropriate to combine the results to increase the statistical power of the analyses. </w:t>
      </w:r>
    </w:p>
    <w:p w14:paraId="23E6C322" w14:textId="77777777" w:rsidR="00FA283C" w:rsidRDefault="00FA283C" w:rsidP="00FA283C">
      <w:r>
        <w:t xml:space="preserve">In the combined analysis, ESC considered that FC testing has acceptable diagnostic accuracy at a threshold of </w:t>
      </w:r>
      <w:r w:rsidRPr="00D146AC">
        <w:t>100 µg/g</w:t>
      </w:r>
      <w:r>
        <w:t xml:space="preserve"> in predicting active disease or in determining mucosal healing. ESC noted that in this context, FC testing has a </w:t>
      </w:r>
      <w:r w:rsidRPr="00941352">
        <w:t xml:space="preserve">lower specificity of </w:t>
      </w:r>
      <w:r>
        <w:t>~</w:t>
      </w:r>
      <w:r w:rsidRPr="00941352">
        <w:t>70%</w:t>
      </w:r>
      <w:r>
        <w:t xml:space="preserve"> (compared to sensitivity ~80%),</w:t>
      </w:r>
      <w:r w:rsidRPr="00941352">
        <w:t xml:space="preserve"> </w:t>
      </w:r>
      <w:r>
        <w:t>suggesting that</w:t>
      </w:r>
      <w:r w:rsidRPr="00941352">
        <w:t xml:space="preserve"> </w:t>
      </w:r>
      <w:r>
        <w:t>approximately one</w:t>
      </w:r>
      <w:r w:rsidRPr="00941352">
        <w:t xml:space="preserve"> in </w:t>
      </w:r>
      <w:r>
        <w:t xml:space="preserve">three cases </w:t>
      </w:r>
      <w:r w:rsidRPr="00941352">
        <w:t xml:space="preserve">may be incorrectly assumed to have disease when </w:t>
      </w:r>
      <w:r>
        <w:t xml:space="preserve">they </w:t>
      </w:r>
      <w:r w:rsidRPr="00941352">
        <w:t>do not</w:t>
      </w:r>
      <w:r>
        <w:t xml:space="preserve">, potentially resulting in </w:t>
      </w:r>
      <w:r w:rsidRPr="00941352">
        <w:t>unnecessary colonoscopies</w:t>
      </w:r>
      <w:r>
        <w:t xml:space="preserve">. ESC noted that, although the results for area under the curve (AUC) were suggestive of discriminatory capability (AUC= 0.834) for a FC threshold of ≥100 µg/g to detect active disease, the </w:t>
      </w:r>
      <w:r w:rsidDel="00D146AC">
        <w:rPr>
          <w:i/>
          <w:iCs/>
        </w:rPr>
        <w:t>I</w:t>
      </w:r>
      <w:r w:rsidRPr="00C4484A" w:rsidDel="00D146AC">
        <w:rPr>
          <w:vertAlign w:val="superscript"/>
        </w:rPr>
        <w:t>2</w:t>
      </w:r>
      <w:r>
        <w:rPr>
          <w:vertAlign w:val="superscript"/>
        </w:rPr>
        <w:t xml:space="preserve"> </w:t>
      </w:r>
      <w:r w:rsidRPr="002C3363">
        <w:t>for the meta-analysis</w:t>
      </w:r>
      <w:r>
        <w:t xml:space="preserve"> (percentage of total variation across studies that is due to heterogeneity rather than chance) was 75%, suggesting that the studies were too different to be confidently combined. ESC noted that this has implications regarding certainty of the diagnostic accuracy data when using a FC threshold of ≥100 µg/g to detect active disease. </w:t>
      </w:r>
    </w:p>
    <w:p w14:paraId="66D8BD80" w14:textId="77777777" w:rsidR="00FA283C" w:rsidRDefault="00FA283C" w:rsidP="00FA283C">
      <w:r>
        <w:lastRenderedPageBreak/>
        <w:t>ESC noted that the evidence base regarding diagnostic accuracy of FC testing in predicting active disease for the paediatric population was limited to four studies (</w:t>
      </w:r>
      <w:r w:rsidRPr="00AE7FA8">
        <w:rPr>
          <w:i/>
          <w:iCs/>
        </w:rPr>
        <w:t>N</w:t>
      </w:r>
      <w:r>
        <w:t xml:space="preserve"> = 209). The estimates regarding diagnostic accuracy in the studies were </w:t>
      </w:r>
      <w:proofErr w:type="gramStart"/>
      <w:r>
        <w:t>similar to</w:t>
      </w:r>
      <w:proofErr w:type="gramEnd"/>
      <w:r>
        <w:t xml:space="preserve"> each other but they had wide confidence intervals. Therefore, the appropriateness of generalisability of the adult studies to paediatric populations is uncertain. ESC acknowledged that although the data regarding diagnostic accuracy for the paediatric population was limited and less robust than that for the adult population, ESC considered that it would be appropriate to generalise the results of the adult population to the paediatric population. ESC considered that this </w:t>
      </w:r>
      <w:r w:rsidDel="00485952">
        <w:t xml:space="preserve">could be accepted </w:t>
      </w:r>
      <w:r>
        <w:t>as there is a high clinical need to avoid colonoscopies in a paediatric population.</w:t>
      </w:r>
    </w:p>
    <w:p w14:paraId="23EAC2A6" w14:textId="77777777" w:rsidR="00FA283C" w:rsidRDefault="00FA283C" w:rsidP="00004809">
      <w:r>
        <w:t>In terms of predicting relapse, ESC noted from the DCAR that the clinical utility of FC testing in the asymptomatic population is uncertain as there is currently no guideline consensus on the optimum testing regime to predict IBD flares in a timely manner in asymptomatic IBD patients who are in remission. ESC also noted that there is a lack of consensus on what threshold should constitute a change in treatment for this population and considered that further research is needed. The DCAR examined studies with a FC test cut-off of 100 µg/g and the ability of FC testing to predict relapse within 12 months of the initial test. Based on this evidence, ESC considered that FC testing exhibits an acceptable level of sensitivity and specificity in predicting relapse</w:t>
      </w:r>
      <w:r w:rsidDel="00B05C26">
        <w:t xml:space="preserve"> and found </w:t>
      </w:r>
      <w:r w:rsidDel="00195D02">
        <w:t>that the AUC was</w:t>
      </w:r>
      <w:r>
        <w:t xml:space="preserve"> </w:t>
      </w:r>
      <w:r w:rsidDel="00B05C26">
        <w:t>0.81</w:t>
      </w:r>
      <w:r>
        <w:t>. ESC noted that the evidence reviewed comprised both prospective and retrospective studies but considered that retrospective studies did not provide compelling evidence as they are likely to be biased in terms of including selected, high-need populations. ESC considered that, if FC testing is approved for the prediction of disease activity or mucosal healing in symptomatic IBD patients, there would be no implementable way of excluding use of FC for predicting relapse in the asymptomatic population, despite the clinical claim for the latter being less supported.</w:t>
      </w:r>
    </w:p>
    <w:p w14:paraId="003A2A68" w14:textId="77777777" w:rsidR="00FA283C" w:rsidRDefault="00FA283C" w:rsidP="00004809">
      <w:pPr>
        <w:pStyle w:val="NormalBeforeBullet0"/>
        <w:spacing w:before="120" w:after="160" w:line="259" w:lineRule="auto"/>
      </w:pPr>
      <w:r>
        <w:t>ESC noted that the evidence included in the DCAR for change in clinical management mainly comprised guidelines (e.g. STRIDE-II</w:t>
      </w:r>
      <w:r>
        <w:rPr>
          <w:rStyle w:val="FootnoteReference"/>
        </w:rPr>
        <w:footnoteReference w:id="41"/>
      </w:r>
      <w:r>
        <w:t>) and narrative studies. ESC noted that one of the studies (</w:t>
      </w:r>
      <w:proofErr w:type="spellStart"/>
      <w:r>
        <w:t>Motaganhalli</w:t>
      </w:r>
      <w:proofErr w:type="spellEnd"/>
      <w:r>
        <w:t xml:space="preserve"> et al. 2019)</w:t>
      </w:r>
      <w:r>
        <w:rPr>
          <w:rStyle w:val="FootnoteReference"/>
        </w:rPr>
        <w:footnoteReference w:id="42"/>
      </w:r>
      <w:r>
        <w:t>, which examined whether FC testing changes colonoscopy use, was a retrospective study conducted in Australia comparing two cohorts before and after FC test availability. It involved an observational review of hospital charts and examined whether people with FC testing went on to colonoscopy, but there was no evidence of FC directly impacting clinician choice of colonoscopy use. The study hypothesised that, in the absence of the FC test, a colonoscopy would have been performed for disease activity assessment/re-assessment in most patients. However, ESC considered that this study had multiple potential biases and was very low certainty evidence. Another study (</w:t>
      </w:r>
      <w:proofErr w:type="spellStart"/>
      <w:r>
        <w:t>Plevris</w:t>
      </w:r>
      <w:proofErr w:type="spellEnd"/>
      <w:r>
        <w:t xml:space="preserve"> and Lees 2022</w:t>
      </w:r>
      <w:r>
        <w:rPr>
          <w:rStyle w:val="FootnoteReference"/>
        </w:rPr>
        <w:footnoteReference w:id="43"/>
      </w:r>
      <w:r>
        <w:t>) was a narrative review that proposed that FC testing would result in a 40% reduction in colonoscopies but presented no empirical data. ESC noted that the STRIDE-II guidelines endorse the use of FC, informed by two studies (REACT</w:t>
      </w:r>
      <w:r>
        <w:rPr>
          <w:rStyle w:val="FootnoteReference"/>
        </w:rPr>
        <w:footnoteReference w:id="44"/>
      </w:r>
      <w:r>
        <w:t xml:space="preserve"> </w:t>
      </w:r>
      <w:r>
        <w:lastRenderedPageBreak/>
        <w:t>and CALM</w:t>
      </w:r>
      <w:r>
        <w:rPr>
          <w:rStyle w:val="FootnoteReference"/>
        </w:rPr>
        <w:footnoteReference w:id="45"/>
      </w:r>
      <w:r>
        <w:t>). However, ESC noted several issues with the applicability of the guidelines to Australian clinical practice:</w:t>
      </w:r>
    </w:p>
    <w:p w14:paraId="527991ED" w14:textId="77777777" w:rsidR="00FA283C" w:rsidRPr="00AB61C0" w:rsidRDefault="00FA283C" w:rsidP="00FA283C">
      <w:pPr>
        <w:pStyle w:val="Bullet"/>
        <w:numPr>
          <w:ilvl w:val="0"/>
          <w:numId w:val="34"/>
        </w:numPr>
        <w:spacing w:before="0"/>
        <w:rPr>
          <w:rFonts w:ascii="Franklin Gothic Book" w:hAnsi="Franklin Gothic Book"/>
        </w:rPr>
      </w:pPr>
      <w:r w:rsidRPr="00AB61C0">
        <w:rPr>
          <w:rFonts w:ascii="Franklin Gothic Book" w:hAnsi="Franklin Gothic Book"/>
        </w:rPr>
        <w:t xml:space="preserve">The evidence has limited generalisability, as the CALM study is a </w:t>
      </w:r>
      <w:r>
        <w:rPr>
          <w:rFonts w:ascii="Franklin Gothic Book" w:hAnsi="Franklin Gothic Book"/>
        </w:rPr>
        <w:t>randomised clinical trial</w:t>
      </w:r>
      <w:r w:rsidRPr="00AB61C0">
        <w:rPr>
          <w:rFonts w:ascii="Franklin Gothic Book" w:hAnsi="Franklin Gothic Book"/>
        </w:rPr>
        <w:t xml:space="preserve"> using a treat-to-target approach using FC </w:t>
      </w:r>
      <w:r>
        <w:rPr>
          <w:rFonts w:ascii="Franklin Gothic Book" w:hAnsi="Franklin Gothic Book"/>
        </w:rPr>
        <w:t xml:space="preserve">testing </w:t>
      </w:r>
      <w:r w:rsidRPr="00AB61C0">
        <w:rPr>
          <w:rFonts w:ascii="Franklin Gothic Book" w:hAnsi="Franklin Gothic Book"/>
        </w:rPr>
        <w:t>in combination with other markers.</w:t>
      </w:r>
      <w:r>
        <w:rPr>
          <w:rFonts w:ascii="Franklin Gothic Book" w:hAnsi="Franklin Gothic Book"/>
        </w:rPr>
        <w:t xml:space="preserve"> Therefore, the contribution of FC testing alone to improvements in health outcomes is unclear. </w:t>
      </w:r>
    </w:p>
    <w:p w14:paraId="1CE00924" w14:textId="77777777" w:rsidR="00FA283C" w:rsidRPr="00AB61C0" w:rsidRDefault="00FA283C" w:rsidP="00FA283C">
      <w:pPr>
        <w:pStyle w:val="Bullet"/>
        <w:numPr>
          <w:ilvl w:val="0"/>
          <w:numId w:val="34"/>
        </w:numPr>
        <w:spacing w:before="0"/>
        <w:rPr>
          <w:rFonts w:ascii="Franklin Gothic Book" w:hAnsi="Franklin Gothic Book"/>
        </w:rPr>
      </w:pPr>
      <w:r w:rsidRPr="00AB61C0">
        <w:rPr>
          <w:rFonts w:ascii="Franklin Gothic Book" w:hAnsi="Franklin Gothic Book"/>
        </w:rPr>
        <w:t xml:space="preserve">The </w:t>
      </w:r>
      <w:r>
        <w:rPr>
          <w:rFonts w:ascii="Franklin Gothic Book" w:hAnsi="Franklin Gothic Book"/>
        </w:rPr>
        <w:t>FC</w:t>
      </w:r>
      <w:r w:rsidRPr="00AB61C0">
        <w:rPr>
          <w:rFonts w:ascii="Franklin Gothic Book" w:hAnsi="Franklin Gothic Book"/>
        </w:rPr>
        <w:t xml:space="preserve"> threshold for disease remission was high at &lt;250 µg/g.</w:t>
      </w:r>
    </w:p>
    <w:p w14:paraId="59CB7C59" w14:textId="77777777" w:rsidR="00FA283C" w:rsidRDefault="00FA283C" w:rsidP="00FA283C">
      <w:pPr>
        <w:pStyle w:val="BulletLast"/>
        <w:numPr>
          <w:ilvl w:val="0"/>
          <w:numId w:val="34"/>
        </w:numPr>
      </w:pPr>
      <w:r w:rsidRPr="00AB61C0">
        <w:t>Clinician adoption of STRIDE-II is not widespread</w:t>
      </w:r>
      <w:r>
        <w:t>.</w:t>
      </w:r>
    </w:p>
    <w:p w14:paraId="6E6E4D1A" w14:textId="77777777" w:rsidR="00FA283C" w:rsidRDefault="00FA283C" w:rsidP="00FA283C">
      <w:r>
        <w:t xml:space="preserve">ESC considered where FC testing may sit in clinical practice and noted that guidelines appear to have introduced this test as part of routine clinical care. ESC considered that it is possible that a proportion of symptomatic patients may receive colonoscopies regardless of the FC result. In this scenario, FC testing would be an add on test rather than a replacement test for colonoscopy. </w:t>
      </w:r>
    </w:p>
    <w:p w14:paraId="1890D86E" w14:textId="77777777" w:rsidR="00FA283C" w:rsidRDefault="00FA283C" w:rsidP="00FA283C">
      <w:r>
        <w:t>ESC also noted that the DCAR did not discuss the signal-to-noise ratio of the FC test (see Technical Guidance 15.4 Monitoring section of the 2021 MSAC Guidelines). A study identified in the European Federation of Clinical Chemistry and Laboratory Medicine Biological Variation Database</w:t>
      </w:r>
      <w:r>
        <w:rPr>
          <w:rStyle w:val="FootnoteReference"/>
        </w:rPr>
        <w:footnoteReference w:id="46"/>
      </w:r>
      <w:r>
        <w:t xml:space="preserve">  shows that, in healthy asymptomatic people, testing for circulating calprotectin (using blood tests) has high intra-person and inter-person variation. Among patients with IBD, FC levels are noted to have high intra-person variation (pre-analytical variation)</w:t>
      </w:r>
      <w:r>
        <w:rPr>
          <w:rStyle w:val="FootnoteReference"/>
        </w:rPr>
        <w:footnoteReference w:id="47"/>
      </w:r>
      <w:r>
        <w:t xml:space="preserve">. As noted previously, the RCPA gave feedback that one of the contributors to this variation is the </w:t>
      </w:r>
      <w:r w:rsidRPr="00733474">
        <w:t>20% diurnal variation in FC levels</w:t>
      </w:r>
      <w:r>
        <w:t xml:space="preserve"> which had not been factored into threshold levels. These high levels of variation represent the “noise” against which a “signal” needs to be detected. ESC also noted that different assays are not comparable with each other, and the sensitivity across the FC tests to detect an FC level of 50 ug/g differs depending on the assay used. ESC considered it important to understand the background noise of the test if it is being used for monitoring, especially because a threshold of 50 µg/g is used in pathology reports. Additionally, ESC considered it would be important to harmonise the different assays to facilitate interpretation of results. The RCPA may be able to advise on the process for achieving this.</w:t>
      </w:r>
      <w:r w:rsidRPr="00733474">
        <w:t xml:space="preserve"> </w:t>
      </w:r>
      <w:r>
        <w:t xml:space="preserve"> </w:t>
      </w:r>
    </w:p>
    <w:p w14:paraId="07CBC2B7" w14:textId="77777777" w:rsidR="00FA283C" w:rsidRDefault="00FA283C" w:rsidP="00FA283C">
      <w:r>
        <w:t>Regarding the evidence for health outcomes, ESC noted that the DCAR presented a narrative discussion of studies, some of which were used to support earlier steps in the linked evidence approach. Most of the studies were low quality (retrospective) and did not provide direct data for FC testing to outcomes. Additionally, FC testing was often done in association with other biomarkers, so the contribution of FC testing alone was unclear. Overall, there was no empirical evidence that FC testing changes health outcomes.</w:t>
      </w:r>
    </w:p>
    <w:p w14:paraId="2EF99649" w14:textId="77777777" w:rsidR="00FA283C" w:rsidRDefault="00FA283C" w:rsidP="00FA283C">
      <w:r>
        <w:t>Overall, in assessing the safety and effectiveness data presented in the DCAR, ESC considered that:</w:t>
      </w:r>
    </w:p>
    <w:p w14:paraId="38074403" w14:textId="77777777" w:rsidR="00FA283C" w:rsidRDefault="00FA283C" w:rsidP="00FA283C">
      <w:pPr>
        <w:pStyle w:val="ListParagraph"/>
        <w:numPr>
          <w:ilvl w:val="0"/>
          <w:numId w:val="37"/>
        </w:numPr>
      </w:pPr>
      <w:r>
        <w:t>There was no data presented on comparative safety on which there was a high degree of uncertainty.</w:t>
      </w:r>
    </w:p>
    <w:p w14:paraId="09C90A99" w14:textId="77777777" w:rsidR="00FA283C" w:rsidRDefault="00FA283C" w:rsidP="00FA283C">
      <w:pPr>
        <w:pStyle w:val="ListParagraph"/>
        <w:numPr>
          <w:ilvl w:val="0"/>
          <w:numId w:val="37"/>
        </w:numPr>
      </w:pPr>
      <w:r>
        <w:lastRenderedPageBreak/>
        <w:t>The evidence base presented for comparative effectiveness for diagnostic accuracy was of moderate quality, the magnitude of impact (of increased diagnostic accuracy from use of FC testing) was acceptable and this claim had a low degree of uncertainty.</w:t>
      </w:r>
    </w:p>
    <w:p w14:paraId="00A84B74" w14:textId="77777777" w:rsidR="00FA283C" w:rsidRDefault="00FA283C" w:rsidP="00FA283C">
      <w:pPr>
        <w:pStyle w:val="ListParagraph"/>
        <w:numPr>
          <w:ilvl w:val="0"/>
          <w:numId w:val="37"/>
        </w:numPr>
      </w:pPr>
      <w:r>
        <w:t>The level of evidence presented for c</w:t>
      </w:r>
      <w:r w:rsidRPr="00796B9A">
        <w:t>omparative effectiveness for change in treatment and outcomes</w:t>
      </w:r>
      <w:r>
        <w:t xml:space="preserve"> was very low, the magnitude of impact (in terms of change in management and outcomes) was </w:t>
      </w:r>
      <w:proofErr w:type="gramStart"/>
      <w:r>
        <w:t>unknown</w:t>
      </w:r>
      <w:proofErr w:type="gramEnd"/>
      <w:r>
        <w:t xml:space="preserve"> and this claim had a high degree of uncertainty. </w:t>
      </w:r>
    </w:p>
    <w:p w14:paraId="536359A3" w14:textId="77777777" w:rsidR="00FA283C" w:rsidRDefault="00FA283C" w:rsidP="00FA283C">
      <w:r>
        <w:t xml:space="preserve">ESC noted that the economic evaluation was a cost-minimisation analysis using a simple decision tree for the two PICO populations (symptomatic and asymptomatic). It did not incorporate additional costs for escalated IBD treatment resulting from false positive results. Sensitivity and specificity were informed by meta-analyses and included biannual FC testing to detect either mucosal healing (for the symptomatic population; &lt;100 µg/g) or relapse (for the asymptomatic population; &gt;100 µg/g). The comparator was colonoscopy + biopsy. </w:t>
      </w:r>
    </w:p>
    <w:p w14:paraId="25729A69" w14:textId="77777777" w:rsidR="00FA283C" w:rsidRDefault="00FA283C" w:rsidP="00FA283C">
      <w:r>
        <w:t xml:space="preserve">The economic evaluation assumed that in the no FC arm 10% of the asymptomatic patients and 100% of the symptomatic patients would receive the comparator. ESC considered the latter assumption to be unrealistically high. </w:t>
      </w:r>
      <w:r w:rsidRPr="00977C04">
        <w:t xml:space="preserve">ESC noted </w:t>
      </w:r>
      <w:r>
        <w:t xml:space="preserve">that </w:t>
      </w:r>
      <w:r w:rsidRPr="00977C04">
        <w:t xml:space="preserve">the pre-ESC response </w:t>
      </w:r>
      <w:r>
        <w:t xml:space="preserve">argued </w:t>
      </w:r>
      <w:r w:rsidRPr="00977C04">
        <w:t xml:space="preserve">that the </w:t>
      </w:r>
      <w:r>
        <w:t xml:space="preserve">percentage of </w:t>
      </w:r>
      <w:r w:rsidRPr="00977C04">
        <w:t>asymptomatic patients receiving colon</w:t>
      </w:r>
      <w:r>
        <w:t>o</w:t>
      </w:r>
      <w:r w:rsidRPr="00977C04">
        <w:t>scopies annually could be as high as 20%</w:t>
      </w:r>
      <w:r>
        <w:t xml:space="preserve"> (compared to the </w:t>
      </w:r>
      <w:r w:rsidRPr="00977C04">
        <w:t xml:space="preserve">estimate </w:t>
      </w:r>
      <w:r>
        <w:t xml:space="preserve">of </w:t>
      </w:r>
      <w:r w:rsidRPr="00977C04">
        <w:t>10%</w:t>
      </w:r>
      <w:r>
        <w:t xml:space="preserve"> used in the economic model) and that therefore the economic cost savings from use of FC testing could be potentially higher than estimated. </w:t>
      </w:r>
      <w:r w:rsidRPr="00977C04">
        <w:t xml:space="preserve">However, ESC </w:t>
      </w:r>
      <w:r>
        <w:t xml:space="preserve">considered that </w:t>
      </w:r>
      <w:r w:rsidRPr="00977C04">
        <w:t xml:space="preserve">there is no empirical evidence to support this </w:t>
      </w:r>
      <w:r>
        <w:t>claim and in particular there is little capacity for</w:t>
      </w:r>
      <w:r w:rsidRPr="00977C04">
        <w:t xml:space="preserve"> public hospitals</w:t>
      </w:r>
      <w:r>
        <w:t xml:space="preserve"> to perform colonoscopies in asymptomatic patients at the rates suggested in the pre-ESC response.</w:t>
      </w:r>
      <w:r w:rsidDel="00EF051D">
        <w:t xml:space="preserve"> </w:t>
      </w:r>
      <w:r>
        <w:t>ESC considered the DCAR estimate of 10% to be appropriate.</w:t>
      </w:r>
    </w:p>
    <w:p w14:paraId="389A6511" w14:textId="77777777" w:rsidR="00FA283C" w:rsidRDefault="00FA283C" w:rsidP="00FA283C">
      <w:r>
        <w:t>The model assumed symptomatic patients have 70% adherence to FC testing and 100% for repeat FC testing, while adherence was assumed to be 50% for asymptomatic patients.</w:t>
      </w:r>
    </w:p>
    <w:p w14:paraId="16241C7D" w14:textId="77777777" w:rsidR="00FA283C" w:rsidRDefault="00FA283C" w:rsidP="00FA283C">
      <w:pPr>
        <w:pStyle w:val="NormalBeforeBullet0"/>
      </w:pPr>
      <w:r>
        <w:t>ESC noted that the results of the economic evaluation showed that FC testing resulted in fewer colonoscopies (an estimated reduction of approximately 30%) and increased number of GP and specialist consultations, resulting in a total cost reduction of $17,408 per 100 IBD patients compared with no FC testing. The results were most sensitive to:</w:t>
      </w:r>
    </w:p>
    <w:p w14:paraId="02659CB0" w14:textId="77777777" w:rsidR="00FA283C" w:rsidRPr="00142B86" w:rsidRDefault="00FA283C" w:rsidP="00FA283C">
      <w:pPr>
        <w:pStyle w:val="Bullet"/>
        <w:numPr>
          <w:ilvl w:val="0"/>
          <w:numId w:val="34"/>
        </w:numPr>
        <w:spacing w:before="0"/>
        <w:rPr>
          <w:rFonts w:ascii="Franklin Gothic Book" w:hAnsi="Franklin Gothic Book"/>
        </w:rPr>
      </w:pPr>
      <w:r w:rsidRPr="00142B86">
        <w:rPr>
          <w:rFonts w:ascii="Franklin Gothic Book" w:hAnsi="Franklin Gothic Book"/>
        </w:rPr>
        <w:t>the proportion of colonoscopies performed in public hospitals</w:t>
      </w:r>
    </w:p>
    <w:p w14:paraId="0F38C509" w14:textId="77777777" w:rsidR="00FA283C" w:rsidRPr="00142B86" w:rsidRDefault="00FA283C" w:rsidP="00FA283C">
      <w:pPr>
        <w:pStyle w:val="Bullet"/>
        <w:numPr>
          <w:ilvl w:val="0"/>
          <w:numId w:val="34"/>
        </w:numPr>
        <w:spacing w:before="0"/>
        <w:rPr>
          <w:rFonts w:ascii="Franklin Gothic Book" w:hAnsi="Franklin Gothic Book"/>
        </w:rPr>
      </w:pPr>
      <w:r w:rsidRPr="00142B86">
        <w:rPr>
          <w:rFonts w:ascii="Franklin Gothic Book" w:hAnsi="Franklin Gothic Book"/>
        </w:rPr>
        <w:t xml:space="preserve">the estimated reduction in colonoscopies performed (a reduction of less than 20% </w:t>
      </w:r>
      <w:r>
        <w:rPr>
          <w:rFonts w:ascii="Franklin Gothic Book" w:hAnsi="Franklin Gothic Book"/>
        </w:rPr>
        <w:t>may</w:t>
      </w:r>
      <w:r w:rsidRPr="00142B86">
        <w:rPr>
          <w:rFonts w:ascii="Franklin Gothic Book" w:hAnsi="Franklin Gothic Book"/>
        </w:rPr>
        <w:t xml:space="preserve"> no longer be cost saving)</w:t>
      </w:r>
    </w:p>
    <w:p w14:paraId="0FEBAD7C" w14:textId="77777777" w:rsidR="00FA283C" w:rsidRDefault="00FA283C" w:rsidP="00FA283C">
      <w:pPr>
        <w:pStyle w:val="BulletLast"/>
        <w:numPr>
          <w:ilvl w:val="0"/>
          <w:numId w:val="34"/>
        </w:numPr>
      </w:pPr>
      <w:r w:rsidRPr="00142B86">
        <w:t>adherence to</w:t>
      </w:r>
      <w:r>
        <w:t xml:space="preserve"> and frequency of FC testing. For instance, a doubling in frequency of FC testing led to a 50% reduction in cost savings relative to the base case. </w:t>
      </w:r>
    </w:p>
    <w:p w14:paraId="5F6B35E7" w14:textId="77777777" w:rsidR="00FA283C" w:rsidRDefault="00FA283C" w:rsidP="00FA283C">
      <w:pPr>
        <w:pStyle w:val="BulletBeforeDash"/>
        <w:numPr>
          <w:ilvl w:val="0"/>
          <w:numId w:val="0"/>
        </w:numPr>
      </w:pPr>
      <w:r>
        <w:t>ESC noted that if this analysis is reported by patient group, c</w:t>
      </w:r>
      <w:r w:rsidRPr="002A7D23">
        <w:t xml:space="preserve">ost offsets only </w:t>
      </w:r>
      <w:r>
        <w:t>apply to the</w:t>
      </w:r>
      <w:r w:rsidRPr="002A7D23">
        <w:t xml:space="preserve"> symptomatic group (</w:t>
      </w:r>
      <w:r>
        <w:t xml:space="preserve">a cost saving of </w:t>
      </w:r>
      <w:r w:rsidRPr="002A7D23">
        <w:t>$33,455</w:t>
      </w:r>
      <w:r>
        <w:t xml:space="preserve"> per </w:t>
      </w:r>
      <w:r w:rsidRPr="002A7D23">
        <w:t>100</w:t>
      </w:r>
      <w:r>
        <w:t> </w:t>
      </w:r>
      <w:r w:rsidRPr="002A7D23">
        <w:t>IBD patients)</w:t>
      </w:r>
      <w:r>
        <w:t>; the a</w:t>
      </w:r>
      <w:r w:rsidRPr="002A7D23">
        <w:t>symptomatic group incurs additional cost ($16,046</w:t>
      </w:r>
      <w:r>
        <w:t xml:space="preserve"> per 100 IBD patients</w:t>
      </w:r>
      <w:r w:rsidRPr="002A7D23">
        <w:t>)</w:t>
      </w:r>
      <w:r>
        <w:t>.</w:t>
      </w:r>
    </w:p>
    <w:p w14:paraId="247C4F59" w14:textId="77777777" w:rsidR="00FA283C" w:rsidRDefault="00FA283C" w:rsidP="00FA283C">
      <w:pPr>
        <w:pStyle w:val="BulletBeforeDash"/>
        <w:numPr>
          <w:ilvl w:val="0"/>
          <w:numId w:val="0"/>
        </w:numPr>
        <w:spacing w:before="240"/>
      </w:pPr>
      <w:r>
        <w:t>ESC noted that the pre-ESC response recommended that the item number claimed for biopsy should be MBS item 72825 (fee of $180.25) instead of MBS item 72824 (fee of $141.35) which was used in the economic model. ESC noted that the rejoinder estimated that using the biopsy item number recommended in the pre-ESC response increased the cost savings from $17,408 to $17,951 per 100 IBD patients. ESC also noted a sensitivity analysis performed by the rejoinder – where 75% of the “no FC” arm would also have a 6-monthly GP visit (when assumed to be part of standard medical management) – increased the cost savings to $24,378 for every 100 IBD patients (using the updated biopsy item).</w:t>
      </w:r>
    </w:p>
    <w:p w14:paraId="4FFCCA5F" w14:textId="77777777" w:rsidR="00FA283C" w:rsidRDefault="00FA283C" w:rsidP="00FA283C">
      <w:pPr>
        <w:pStyle w:val="NormalBeforeBullet0"/>
        <w:spacing w:before="240"/>
      </w:pPr>
      <w:r>
        <w:lastRenderedPageBreak/>
        <w:t>ESC noted several issues with the economic evaluation:</w:t>
      </w:r>
    </w:p>
    <w:p w14:paraId="2FEC6B77" w14:textId="77777777" w:rsidR="00FA283C" w:rsidRPr="00142B86" w:rsidRDefault="00FA283C" w:rsidP="00FA283C">
      <w:pPr>
        <w:pStyle w:val="Bullet"/>
        <w:numPr>
          <w:ilvl w:val="0"/>
          <w:numId w:val="34"/>
        </w:numPr>
        <w:spacing w:before="0"/>
        <w:rPr>
          <w:rFonts w:ascii="Franklin Gothic Book" w:hAnsi="Franklin Gothic Book"/>
        </w:rPr>
      </w:pPr>
      <w:r w:rsidRPr="00142B86">
        <w:rPr>
          <w:rFonts w:ascii="Franklin Gothic Book" w:hAnsi="Franklin Gothic Book"/>
        </w:rPr>
        <w:t>The distribution of IBD severity was based on a single outpatient clinic in Melbourne (</w:t>
      </w:r>
      <w:r w:rsidRPr="00142B86">
        <w:rPr>
          <w:rStyle w:val="Emphasis"/>
          <w:rFonts w:ascii="Franklin Gothic Book" w:hAnsi="Franklin Gothic Book"/>
        </w:rPr>
        <w:t>n </w:t>
      </w:r>
      <w:r w:rsidRPr="00142B86">
        <w:rPr>
          <w:rFonts w:ascii="Franklin Gothic Book" w:hAnsi="Franklin Gothic Book"/>
        </w:rPr>
        <w:t xml:space="preserve">= 240) and may not be nationally representative. It is also unclear </w:t>
      </w:r>
      <w:r>
        <w:rPr>
          <w:rFonts w:ascii="Franklin Gothic Book" w:hAnsi="Franklin Gothic Book"/>
        </w:rPr>
        <w:t>if</w:t>
      </w:r>
      <w:r w:rsidRPr="00142B86">
        <w:rPr>
          <w:rFonts w:ascii="Franklin Gothic Book" w:hAnsi="Franklin Gothic Book"/>
        </w:rPr>
        <w:t xml:space="preserve"> the results </w:t>
      </w:r>
      <w:r>
        <w:rPr>
          <w:rFonts w:ascii="Franklin Gothic Book" w:hAnsi="Franklin Gothic Book"/>
        </w:rPr>
        <w:t>are generalisable</w:t>
      </w:r>
      <w:r w:rsidRPr="00142B86">
        <w:rPr>
          <w:rFonts w:ascii="Franklin Gothic Book" w:hAnsi="Franklin Gothic Book"/>
        </w:rPr>
        <w:t xml:space="preserve"> to the paediatric population.</w:t>
      </w:r>
    </w:p>
    <w:p w14:paraId="1BE37C9D" w14:textId="131A2FDA" w:rsidR="00FA283C" w:rsidRPr="00142B86" w:rsidRDefault="00FA283C" w:rsidP="00FA283C">
      <w:pPr>
        <w:pStyle w:val="Bullet"/>
        <w:numPr>
          <w:ilvl w:val="0"/>
          <w:numId w:val="34"/>
        </w:numPr>
        <w:spacing w:before="0"/>
        <w:rPr>
          <w:rFonts w:ascii="Franklin Gothic Book" w:hAnsi="Franklin Gothic Book"/>
        </w:rPr>
      </w:pPr>
      <w:r>
        <w:rPr>
          <w:rFonts w:ascii="Franklin Gothic Book" w:hAnsi="Franklin Gothic Book"/>
        </w:rPr>
        <w:t xml:space="preserve">As noted previously the model assumed that </w:t>
      </w:r>
      <w:r w:rsidRPr="00142B86">
        <w:rPr>
          <w:rFonts w:ascii="Franklin Gothic Book" w:hAnsi="Franklin Gothic Book"/>
        </w:rPr>
        <w:t>100% of symptomatic patients</w:t>
      </w:r>
      <w:r>
        <w:rPr>
          <w:rFonts w:ascii="Franklin Gothic Book" w:hAnsi="Franklin Gothic Book"/>
        </w:rPr>
        <w:t xml:space="preserve"> in the no FC arm</w:t>
      </w:r>
      <w:r w:rsidRPr="00142B86">
        <w:rPr>
          <w:rFonts w:ascii="Franklin Gothic Book" w:hAnsi="Franklin Gothic Book"/>
        </w:rPr>
        <w:t xml:space="preserve"> receive colonoscopy</w:t>
      </w:r>
      <w:r>
        <w:rPr>
          <w:rFonts w:ascii="Franklin Gothic Book" w:hAnsi="Franklin Gothic Book"/>
        </w:rPr>
        <w:t>. This is likely to overestimate the number of colonoscopies replaced by FC testing</w:t>
      </w:r>
      <w:r w:rsidR="00470248">
        <w:rPr>
          <w:rFonts w:ascii="Franklin Gothic Book" w:hAnsi="Franklin Gothic Book"/>
        </w:rPr>
        <w:t xml:space="preserve">. </w:t>
      </w:r>
    </w:p>
    <w:p w14:paraId="01305859" w14:textId="77777777" w:rsidR="00FA283C" w:rsidRPr="002A7D23" w:rsidRDefault="00FA283C" w:rsidP="00FA283C">
      <w:pPr>
        <w:pStyle w:val="BulletLast"/>
        <w:numPr>
          <w:ilvl w:val="0"/>
          <w:numId w:val="34"/>
        </w:numPr>
      </w:pPr>
      <w:r>
        <w:t xml:space="preserve">The model estimated </w:t>
      </w:r>
      <w:r w:rsidRPr="00142B86">
        <w:t xml:space="preserve">30% reduction in colonoscopies </w:t>
      </w:r>
      <w:r>
        <w:t xml:space="preserve">based on </w:t>
      </w:r>
      <w:proofErr w:type="gramStart"/>
      <w:r>
        <w:t>a number of</w:t>
      </w:r>
      <w:proofErr w:type="gramEnd"/>
      <w:r>
        <w:t xml:space="preserve"> </w:t>
      </w:r>
      <w:r w:rsidRPr="00142B86">
        <w:t>assumption</w:t>
      </w:r>
      <w:r>
        <w:t xml:space="preserve">s regarding resource use including a </w:t>
      </w:r>
      <w:r w:rsidRPr="00142B86">
        <w:t>100% adherence to repeat FC testing</w:t>
      </w:r>
      <w:r>
        <w:t>. However, the DCAR did not i</w:t>
      </w:r>
      <w:r w:rsidRPr="00142B86">
        <w:t xml:space="preserve">nclude </w:t>
      </w:r>
      <w:r>
        <w:t xml:space="preserve">any </w:t>
      </w:r>
      <w:r w:rsidRPr="00142B86">
        <w:t>sensitivity analysis testing</w:t>
      </w:r>
      <w:r>
        <w:t xml:space="preserve"> for the impacts of </w:t>
      </w:r>
      <w:r w:rsidRPr="00142B86">
        <w:t>lower adherence</w:t>
      </w:r>
      <w:r>
        <w:t xml:space="preserve"> rates on the estimated reduction in colonoscopies and costs.</w:t>
      </w:r>
    </w:p>
    <w:p w14:paraId="36BA027C" w14:textId="77777777" w:rsidR="00FA283C" w:rsidRDefault="00FA283C" w:rsidP="00FA283C">
      <w:r w:rsidRPr="007E15F0">
        <w:t>ESC</w:t>
      </w:r>
      <w:r>
        <w:t xml:space="preserve"> noted that the cost to the MBS for FC testing alone was estimated as $25.</w:t>
      </w:r>
      <w:r w:rsidRPr="00742A20">
        <w:t>2million</w:t>
      </w:r>
      <w:r>
        <w:t xml:space="preserve"> in Year 1, increasing to $28.5 million in Year 6, or approximately $161 million over 6 years. Accounting for change in the use and cost of other medical services such as GP and specialist consultations raised the net financial impact to the MBS to $33.5 million in Year 1, to $37.</w:t>
      </w:r>
      <w:r w:rsidRPr="00953327">
        <w:t>8</w:t>
      </w:r>
      <w:r>
        <w:t xml:space="preserve">million </w:t>
      </w:r>
      <w:r w:rsidRPr="00953327">
        <w:t>in</w:t>
      </w:r>
      <w:r>
        <w:t xml:space="preserve"> Year 6, or approximately $213.7 million over 6 years. However, ESC considered these to be highly variable based on the uncertainty of the assumptions. </w:t>
      </w:r>
    </w:p>
    <w:p w14:paraId="18FE12B6" w14:textId="77777777" w:rsidR="00FA283C" w:rsidRDefault="00FA283C" w:rsidP="00FA283C">
      <w:r>
        <w:t>ESC considered that the full r</w:t>
      </w:r>
      <w:r w:rsidRPr="00E832C3">
        <w:t>eduction in colonoscopies</w:t>
      </w:r>
      <w:r>
        <w:t xml:space="preserve"> estimated in the economic modelling</w:t>
      </w:r>
      <w:r w:rsidRPr="00E832C3">
        <w:t xml:space="preserve"> </w:t>
      </w:r>
      <w:r>
        <w:t xml:space="preserve">of </w:t>
      </w:r>
      <w:r w:rsidRPr="00E832C3">
        <w:t xml:space="preserve">30% </w:t>
      </w:r>
      <w:r>
        <w:t>which was then used as an input into the financial modelling</w:t>
      </w:r>
      <w:r w:rsidRPr="00E832C3">
        <w:t xml:space="preserve"> </w:t>
      </w:r>
      <w:r>
        <w:t xml:space="preserve">is unlikely to be achieved as </w:t>
      </w:r>
      <w:r w:rsidRPr="00E832C3">
        <w:t>FC</w:t>
      </w:r>
      <w:r>
        <w:t xml:space="preserve"> testing has been</w:t>
      </w:r>
      <w:r w:rsidRPr="00E832C3">
        <w:t xml:space="preserve"> widely used </w:t>
      </w:r>
      <w:r>
        <w:t>in the proposed population</w:t>
      </w:r>
      <w:r w:rsidRPr="00E832C3">
        <w:t xml:space="preserve"> for some years</w:t>
      </w:r>
      <w:r>
        <w:t xml:space="preserve"> and is </w:t>
      </w:r>
      <w:r w:rsidRPr="00E832C3">
        <w:t>funded by multiple means incl</w:t>
      </w:r>
      <w:r>
        <w:t>uding</w:t>
      </w:r>
      <w:r w:rsidRPr="00E832C3">
        <w:t xml:space="preserve"> public hospitals, private</w:t>
      </w:r>
      <w:r>
        <w:t xml:space="preserve">ly paid for by patients </w:t>
      </w:r>
      <w:r w:rsidRPr="00E832C3">
        <w:t xml:space="preserve">and some bulk billing </w:t>
      </w:r>
      <w:r>
        <w:t xml:space="preserve">(potentially incorrectly through MBS item </w:t>
      </w:r>
      <w:r w:rsidRPr="00E832C3">
        <w:t>66523</w:t>
      </w:r>
      <w:r>
        <w:t>)</w:t>
      </w:r>
      <w:r w:rsidRPr="00E832C3">
        <w:t xml:space="preserve"> </w:t>
      </w:r>
      <w:r>
        <w:t>especially in private settings. However, ESC noted that the extent to which FC testing is already being used in the proposed population is unknown. ESC considered it unlikely that FC testing will further offset colonoscopies performed in the private setting (as there are lesser barriers to access colonoscopies in this setting), however considered that offsets may be observed in the public setting. ESC therefore requested</w:t>
      </w:r>
      <w:r w:rsidRPr="00E832C3">
        <w:t xml:space="preserve"> </w:t>
      </w:r>
      <w:r>
        <w:t>that a sensitivity analysis should be undertaken of the financial estimates assuming a 30% reduction in colonoscopies performed</w:t>
      </w:r>
      <w:r w:rsidRPr="00E832C3">
        <w:t xml:space="preserve"> in public</w:t>
      </w:r>
      <w:r>
        <w:t xml:space="preserve"> hospitals</w:t>
      </w:r>
      <w:r w:rsidRPr="00E832C3">
        <w:t xml:space="preserve"> only and</w:t>
      </w:r>
      <w:r>
        <w:t xml:space="preserve"> with</w:t>
      </w:r>
      <w:r w:rsidRPr="00E832C3">
        <w:t xml:space="preserve"> no change in </w:t>
      </w:r>
      <w:r>
        <w:t xml:space="preserve">the number of </w:t>
      </w:r>
      <w:r w:rsidRPr="00E832C3">
        <w:t>private colonoscopie</w:t>
      </w:r>
      <w:r>
        <w:t>s. Reductions in the number of colonoscopies performed in public hospitals has implications to non-MBS funding mechanisms such as state government funding.</w:t>
      </w:r>
    </w:p>
    <w:p w14:paraId="66208FE1" w14:textId="77777777" w:rsidR="00FA283C" w:rsidRDefault="00FA283C" w:rsidP="00FA283C">
      <w:r w:rsidRPr="00E832C3">
        <w:t>ESC</w:t>
      </w:r>
      <w:r>
        <w:t xml:space="preserve"> advised that before MSAC consideration of this application, the following sensitivity analyses should be undertaken in the economic modelling with the results of these sensitivity analyses (in terms of estimated reductions in colonoscopies achieved) to be then fed into sensitivity analyses of the financial estimates:</w:t>
      </w:r>
    </w:p>
    <w:p w14:paraId="0A3C9AAF" w14:textId="77777777" w:rsidR="00FA283C" w:rsidRDefault="00FA283C" w:rsidP="00FA283C">
      <w:pPr>
        <w:pStyle w:val="ListParagraph"/>
        <w:numPr>
          <w:ilvl w:val="0"/>
          <w:numId w:val="37"/>
        </w:numPr>
      </w:pPr>
      <w:r>
        <w:t>A sensitivity analysis based on the assumption that only 50-70% of symptomatic patients receive colonoscopy in the no FC arm as the a</w:t>
      </w:r>
      <w:r w:rsidRPr="00E832C3">
        <w:t>ssumption of 100% symptomatic patients receiving a colon</w:t>
      </w:r>
      <w:r>
        <w:t>oscopy</w:t>
      </w:r>
      <w:r w:rsidRPr="00E832C3">
        <w:t xml:space="preserve"> is not</w:t>
      </w:r>
      <w:r>
        <w:t xml:space="preserve"> realistic.</w:t>
      </w:r>
    </w:p>
    <w:p w14:paraId="5206ED49" w14:textId="77777777" w:rsidR="00FA283C" w:rsidRDefault="00FA283C" w:rsidP="00FA283C">
      <w:pPr>
        <w:pStyle w:val="ListParagraph"/>
        <w:numPr>
          <w:ilvl w:val="0"/>
          <w:numId w:val="37"/>
        </w:numPr>
      </w:pPr>
      <w:r>
        <w:t xml:space="preserve">A sensitivity analysis assuming 70% of symptomatic patients and 50% of asymptomatic patients adhere to repeat FC testing </w:t>
      </w:r>
    </w:p>
    <w:p w14:paraId="6EC9EED2" w14:textId="77777777" w:rsidR="00FA283C" w:rsidRDefault="00FA283C" w:rsidP="00FA283C">
      <w:pPr>
        <w:pStyle w:val="ListParagraph"/>
        <w:numPr>
          <w:ilvl w:val="0"/>
          <w:numId w:val="37"/>
        </w:numPr>
      </w:pPr>
      <w:r>
        <w:t xml:space="preserve">A sensitivity analysis assuming the reduction in colonoscopies is reduced to 0-10%. </w:t>
      </w:r>
    </w:p>
    <w:p w14:paraId="53DBDE4E" w14:textId="77777777" w:rsidR="00FA283C" w:rsidRDefault="00FA283C" w:rsidP="00FA283C">
      <w:pPr>
        <w:pStyle w:val="ListParagraph"/>
        <w:numPr>
          <w:ilvl w:val="0"/>
          <w:numId w:val="37"/>
        </w:numPr>
      </w:pPr>
      <w:r>
        <w:t>A sensitivity analysis assuming the lower bounds of adherence to surveillance FC testing (50%) for symptomatic patients.</w:t>
      </w:r>
    </w:p>
    <w:p w14:paraId="34EC4575" w14:textId="77777777" w:rsidR="00FA283C" w:rsidRPr="00E832C3" w:rsidRDefault="00FA283C" w:rsidP="00FA283C">
      <w:r>
        <w:t xml:space="preserve">ESC also queried the assumption made in the economic model that patients in the FC arm are billed item 110 annually for the initial specialist consultation. This assumes that a patient has a referral that is valid for 12 months only and must obtain a new referral annually, allowing the specialist to bill item 110 on an annual basis. However, a proportion of patients may have an indefinite referral to a specialist and therefore would be billed item 110 only once, and all subsequent appointments would be billed the lower cost item 116. As such, ESC requested that </w:t>
      </w:r>
      <w:r>
        <w:lastRenderedPageBreak/>
        <w:t>a sensitivity analysis be undertaken to account for this scenario. ESC considered that equity issues may arise if FC testing for IBD monitoring purposes were MBS listed due to out-of-pocket payments for FC tests and GP and specialist consultations.  The increase in GP and specialist consultations may also cause issues with access to GPs and specialists. However, ESC also considered that the test would be unlikely to result in an increase in the number of GP visits for patients whose IBD is already primarily managed by their GP.</w:t>
      </w:r>
    </w:p>
    <w:p w14:paraId="34B59B56" w14:textId="50B5889B" w:rsidR="00FA283C" w:rsidRPr="00FA283C" w:rsidRDefault="00FA283C" w:rsidP="00FA283C">
      <w:pPr>
        <w:pStyle w:val="Heading2"/>
        <w:numPr>
          <w:ilvl w:val="0"/>
          <w:numId w:val="0"/>
        </w:numPr>
        <w:tabs>
          <w:tab w:val="num" w:pos="360"/>
        </w:tabs>
      </w:pPr>
      <w:r>
        <w:t>17.</w:t>
      </w:r>
      <w:r>
        <w:tab/>
      </w:r>
      <w:r w:rsidRPr="00FA283C">
        <w:t>Applicant comments on MSAC’s Public Summary Document</w:t>
      </w:r>
    </w:p>
    <w:p w14:paraId="3614F561" w14:textId="0424BD6E" w:rsidR="00FA283C" w:rsidRPr="00293C46" w:rsidRDefault="00293C46" w:rsidP="00FA283C">
      <w:pPr>
        <w:spacing w:after="240"/>
      </w:pPr>
      <w:r w:rsidRPr="00293C46">
        <w:t>The applicant had no comments.</w:t>
      </w:r>
    </w:p>
    <w:p w14:paraId="5D165A7C" w14:textId="55F65B8C" w:rsidR="00FA283C" w:rsidRPr="00FA283C" w:rsidRDefault="00FA283C" w:rsidP="00FA283C">
      <w:pPr>
        <w:pStyle w:val="Heading2"/>
        <w:numPr>
          <w:ilvl w:val="0"/>
          <w:numId w:val="0"/>
        </w:numPr>
        <w:tabs>
          <w:tab w:val="num" w:pos="360"/>
        </w:tabs>
      </w:pPr>
      <w:r>
        <w:t>18.</w:t>
      </w:r>
      <w:r>
        <w:tab/>
      </w:r>
      <w:r w:rsidRPr="00FA283C">
        <w:t>Further information on MSAC</w:t>
      </w:r>
    </w:p>
    <w:p w14:paraId="2AA6EE23" w14:textId="00EFCBD3" w:rsidR="00293C46" w:rsidRPr="00293C46" w:rsidRDefault="00FA283C" w:rsidP="00293C46">
      <w:pPr>
        <w:pStyle w:val="BodyText"/>
        <w:rPr>
          <w:b/>
          <w:bCs/>
          <w:i/>
          <w:iCs/>
        </w:rPr>
      </w:pPr>
      <w:r w:rsidRPr="00835672">
        <w:rPr>
          <w:bCs/>
          <w:iCs/>
        </w:rPr>
        <w:t xml:space="preserve">MSAC Terms of Reference and other information are available on the MSAC Website: </w:t>
      </w:r>
      <w:hyperlink r:id="rId12" w:tooltip="Link to the MSAC website" w:history="1">
        <w:r w:rsidRPr="00835672">
          <w:rPr>
            <w:rStyle w:val="Hyperlink"/>
            <w:iCs/>
          </w:rPr>
          <w:t>visit the MSAC website</w:t>
        </w:r>
      </w:hyperlink>
      <w:bookmarkStart w:id="55" w:name="_Toc176422714"/>
      <w:r w:rsidR="00293C46">
        <w:br w:type="page"/>
      </w:r>
    </w:p>
    <w:p w14:paraId="71AE296A" w14:textId="48882958" w:rsidR="000E4156" w:rsidRPr="00293C46" w:rsidRDefault="00EA2604" w:rsidP="00293C46">
      <w:pPr>
        <w:pStyle w:val="Heading1"/>
        <w:numPr>
          <w:ilvl w:val="0"/>
          <w:numId w:val="0"/>
        </w:numPr>
        <w:spacing w:before="240" w:after="240"/>
        <w:ind w:left="425"/>
        <w:rPr>
          <w:sz w:val="32"/>
          <w:szCs w:val="32"/>
        </w:rPr>
      </w:pPr>
      <w:r w:rsidRPr="00293C46">
        <w:rPr>
          <w:sz w:val="32"/>
          <w:szCs w:val="32"/>
        </w:rPr>
        <w:lastRenderedPageBreak/>
        <w:t>Addendum</w:t>
      </w:r>
      <w:r w:rsidR="00BB2CDA" w:rsidRPr="00293C46">
        <w:rPr>
          <w:sz w:val="32"/>
          <w:szCs w:val="32"/>
        </w:rPr>
        <w:t xml:space="preserve">: Post-ESC additional analyses </w:t>
      </w:r>
    </w:p>
    <w:bookmarkEnd w:id="55"/>
    <w:p w14:paraId="4E665B7F" w14:textId="65FF5B45" w:rsidR="000C729E" w:rsidRDefault="000C729E" w:rsidP="00293C46">
      <w:pPr>
        <w:pStyle w:val="ListParagraph"/>
        <w:numPr>
          <w:ilvl w:val="0"/>
          <w:numId w:val="38"/>
        </w:numPr>
        <w:spacing w:before="0"/>
        <w:rPr>
          <w:b/>
          <w:bCs/>
          <w:iCs/>
        </w:rPr>
      </w:pPr>
      <w:r>
        <w:rPr>
          <w:b/>
          <w:bCs/>
          <w:iCs/>
        </w:rPr>
        <w:t>Net financial implications of FC testing for monitoring IBD to the MBS</w:t>
      </w:r>
    </w:p>
    <w:p w14:paraId="31DB733A" w14:textId="1CEB7A48" w:rsidR="000C729E" w:rsidRDefault="000C729E" w:rsidP="000C729E">
      <w:pPr>
        <w:rPr>
          <w:iCs/>
        </w:rPr>
      </w:pPr>
      <w:r w:rsidRPr="000C729E">
        <w:rPr>
          <w:iCs/>
        </w:rPr>
        <w:t>In its pre-ESC response</w:t>
      </w:r>
      <w:r>
        <w:rPr>
          <w:iCs/>
        </w:rPr>
        <w:t>,</w:t>
      </w:r>
      <w:r w:rsidRPr="000C729E">
        <w:rPr>
          <w:iCs/>
        </w:rPr>
        <w:t xml:space="preserve"> the applicant advised that the appropriate MBS item for biopsy should be 72825 (with a fee of $180.250</w:t>
      </w:r>
      <w:r>
        <w:rPr>
          <w:iCs/>
        </w:rPr>
        <w:t>)</w:t>
      </w:r>
      <w:r w:rsidRPr="000C729E">
        <w:rPr>
          <w:iCs/>
        </w:rPr>
        <w:t xml:space="preserve"> instead of </w:t>
      </w:r>
      <w:r>
        <w:rPr>
          <w:iCs/>
        </w:rPr>
        <w:t xml:space="preserve">item </w:t>
      </w:r>
      <w:r w:rsidRPr="000C729E">
        <w:rPr>
          <w:iCs/>
        </w:rPr>
        <w:t>72824 (fee of $141.35).</w:t>
      </w:r>
      <w:r>
        <w:rPr>
          <w:iCs/>
        </w:rPr>
        <w:t xml:space="preserve"> The net financial implications of FC testing for monitoring IBD in both the symptomatic and asymptomatic population based on the applicant proposed MBS item for biopsy (72825) is presented in Addendum Table 1. Addendum Table 2 presents the net financial implication in the </w:t>
      </w:r>
      <w:r w:rsidR="006E5805">
        <w:rPr>
          <w:iCs/>
        </w:rPr>
        <w:t>symptomatic IBD population and Addendum Table 3 presents the net financial implication in the asymptomatic IBD population.</w:t>
      </w:r>
    </w:p>
    <w:p w14:paraId="1F395979" w14:textId="3566C774" w:rsidR="006E5805" w:rsidRPr="006E5805" w:rsidRDefault="006E5805" w:rsidP="006E5805">
      <w:pPr>
        <w:rPr>
          <w:b/>
          <w:bCs/>
          <w:iCs/>
        </w:rPr>
      </w:pPr>
      <w:r>
        <w:rPr>
          <w:b/>
          <w:bCs/>
          <w:iCs/>
        </w:rPr>
        <w:t xml:space="preserve">Addendum Table 1: </w:t>
      </w:r>
      <w:r w:rsidRPr="006E5805">
        <w:rPr>
          <w:b/>
          <w:bCs/>
          <w:iCs/>
        </w:rPr>
        <w:t>Net financial implications of FC testing for monitoring IBD to the MBS (symptomatic and asymptomatic population)</w:t>
      </w:r>
    </w:p>
    <w:tbl>
      <w:tblPr>
        <w:tblW w:w="9566" w:type="dxa"/>
        <w:shd w:val="clear" w:color="auto" w:fill="FFFFFF"/>
        <w:tblCellMar>
          <w:left w:w="0" w:type="dxa"/>
          <w:right w:w="0" w:type="dxa"/>
        </w:tblCellMar>
        <w:tblLook w:val="04A0" w:firstRow="1" w:lastRow="0" w:firstColumn="1" w:lastColumn="0" w:noHBand="0" w:noVBand="1"/>
      </w:tblPr>
      <w:tblGrid>
        <w:gridCol w:w="1568"/>
        <w:gridCol w:w="1333"/>
        <w:gridCol w:w="1333"/>
        <w:gridCol w:w="1333"/>
        <w:gridCol w:w="1333"/>
        <w:gridCol w:w="1333"/>
        <w:gridCol w:w="1333"/>
      </w:tblGrid>
      <w:tr w:rsidR="006E5805" w:rsidRPr="006E5805" w14:paraId="78E89F4D" w14:textId="77777777" w:rsidTr="006E5805">
        <w:trPr>
          <w:trHeight w:val="314"/>
          <w:tblHeader/>
        </w:trPr>
        <w:tc>
          <w:tcPr>
            <w:tcW w:w="1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A4B06"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lang w:val="en-US"/>
              </w:rPr>
              <w:t>Parameter</w:t>
            </w:r>
          </w:p>
        </w:tc>
        <w:tc>
          <w:tcPr>
            <w:tcW w:w="13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8D293D"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lang w:val="en-US"/>
              </w:rPr>
              <w:t>2025</w:t>
            </w:r>
          </w:p>
        </w:tc>
        <w:tc>
          <w:tcPr>
            <w:tcW w:w="13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73FBB9"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lang w:val="en-US"/>
              </w:rPr>
              <w:t>2026</w:t>
            </w:r>
          </w:p>
        </w:tc>
        <w:tc>
          <w:tcPr>
            <w:tcW w:w="13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8CDDFE"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lang w:val="en-US"/>
              </w:rPr>
              <w:t>2027</w:t>
            </w:r>
          </w:p>
        </w:tc>
        <w:tc>
          <w:tcPr>
            <w:tcW w:w="13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2D47CC"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lang w:val="en-US"/>
              </w:rPr>
              <w:t>2028</w:t>
            </w:r>
          </w:p>
        </w:tc>
        <w:tc>
          <w:tcPr>
            <w:tcW w:w="13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80D98"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lang w:val="en-US"/>
              </w:rPr>
              <w:t>2029</w:t>
            </w:r>
          </w:p>
        </w:tc>
        <w:tc>
          <w:tcPr>
            <w:tcW w:w="13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9E2157"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lang w:val="en-US"/>
              </w:rPr>
              <w:t>2030</w:t>
            </w:r>
          </w:p>
        </w:tc>
      </w:tr>
      <w:tr w:rsidR="006E5805" w:rsidRPr="006E5805" w14:paraId="08548C67" w14:textId="77777777" w:rsidTr="006E5805">
        <w:trPr>
          <w:trHeight w:val="303"/>
        </w:trPr>
        <w:tc>
          <w:tcPr>
            <w:tcW w:w="9566"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A0366B"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lang w:val="en-US"/>
              </w:rPr>
              <w:t>Estimated use and cost of the proposed health technology</w:t>
            </w:r>
          </w:p>
        </w:tc>
      </w:tr>
      <w:tr w:rsidR="006E5805" w:rsidRPr="006E5805" w14:paraId="20395AAF" w14:textId="77777777" w:rsidTr="006E5805">
        <w:trPr>
          <w:trHeight w:val="552"/>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9B039E"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Number of people eligible for FC testing</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E680B8"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191,886</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E4CECA"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196,683</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DDDAD8"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201,600</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218AE6"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206,640</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DA9245"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211,806</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2A0628"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217,101</w:t>
            </w:r>
          </w:p>
        </w:tc>
      </w:tr>
      <w:tr w:rsidR="006E5805" w:rsidRPr="006E5805" w14:paraId="2EF476F1" w14:textId="77777777" w:rsidTr="006E5805">
        <w:trPr>
          <w:trHeight w:val="314"/>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EEE201"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Number of FC tests</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611375"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395,439</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345A33"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405,324</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75498C"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415,458</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932C5D"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425,844</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19E7F2"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436,490</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E3E191"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447,402</w:t>
            </w:r>
          </w:p>
        </w:tc>
      </w:tr>
      <w:tr w:rsidR="006E5805" w:rsidRPr="006E5805" w14:paraId="2649F405" w14:textId="77777777" w:rsidTr="006E5805">
        <w:trPr>
          <w:trHeight w:val="303"/>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7A9498"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Cost to the MBS</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A35553"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$25,209,204</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0D28C8"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$25,839,435</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E257B8"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$26,485,420</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4C3098"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$27,147,556</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F10FB5"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$27,826,245</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F48074"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$28,521,901</w:t>
            </w:r>
          </w:p>
        </w:tc>
      </w:tr>
      <w:tr w:rsidR="006E5805" w:rsidRPr="006E5805" w14:paraId="5B112BC4" w14:textId="77777777" w:rsidTr="006E5805">
        <w:trPr>
          <w:trHeight w:val="314"/>
        </w:trPr>
        <w:tc>
          <w:tcPr>
            <w:tcW w:w="9566"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35A53F"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lang w:val="en-US"/>
              </w:rPr>
              <w:t>Change in use and cost of other health technologies</w:t>
            </w:r>
          </w:p>
        </w:tc>
      </w:tr>
      <w:tr w:rsidR="006E5805" w:rsidRPr="006E5805" w14:paraId="13494936" w14:textId="77777777" w:rsidTr="006E5805">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8DBCA"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Change in use of colonoscopies</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A4A935"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-26,753</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FBFB0B"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-27,422</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DAB5F5"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-28,108</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833897"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-28,810</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1EE8B9"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-29,531</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D2E251"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-30,269</w:t>
            </w:r>
          </w:p>
        </w:tc>
      </w:tr>
      <w:tr w:rsidR="006E5805" w:rsidRPr="006E5805" w14:paraId="7D70E5F8" w14:textId="77777777" w:rsidTr="006E5805">
        <w:trPr>
          <w:trHeight w:val="314"/>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BC84B1"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Change in GP visits</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3B4681"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222,587</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0C9249"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228,152</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54E90A"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233,856</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CFB67"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239,702</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C55EEE"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245,695</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7B95D"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251,837</w:t>
            </w:r>
          </w:p>
        </w:tc>
      </w:tr>
      <w:tr w:rsidR="006E5805" w:rsidRPr="006E5805" w14:paraId="36C48037" w14:textId="77777777" w:rsidTr="006E5805">
        <w:trPr>
          <w:trHeight w:val="540"/>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A0405B"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Change in specialist visits</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D1AFDD"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17,485</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5482BB"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17,922</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282AC8"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18,371</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FE153F"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18,830</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81DC84"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19,301</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F58A80"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19,783</w:t>
            </w:r>
          </w:p>
        </w:tc>
      </w:tr>
      <w:tr w:rsidR="006E5805" w:rsidRPr="006E5805" w14:paraId="411C3AB6" w14:textId="77777777" w:rsidTr="006E5805">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AA8D12"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Change in subsequent specialist visits</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F2CFA4"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74,531</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14BA30"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76,394</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37CE21"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78,304</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EBAA38"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80,261</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EE0535"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82,268</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A7415"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84,325</w:t>
            </w:r>
          </w:p>
        </w:tc>
      </w:tr>
      <w:tr w:rsidR="006E5805" w:rsidRPr="006E5805" w14:paraId="574813F7" w14:textId="77777777" w:rsidTr="006E5805">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ADF21B"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Change in cost of colonoscopies</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DBBCB"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-$9,981,697</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8A273F"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-$10,231,239</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108730"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-$10,487,020</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1EF41C"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-$10,749,196</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87AE70"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-$11,017,926</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3BD77A"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-$11,293,374</w:t>
            </w:r>
          </w:p>
        </w:tc>
      </w:tr>
      <w:tr w:rsidR="006E5805" w:rsidRPr="006E5805" w14:paraId="1FEF81AD" w14:textId="77777777" w:rsidTr="006E5805">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8C6F67"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Change in cost of GP visits</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9A8B7A"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$9,537,864</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E57E9F"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$9,776,311</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374F30"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$10,020,719</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E5B6F9"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$10,271,237</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A93813"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$10,528,017</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D90948"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$10,791,218</w:t>
            </w:r>
          </w:p>
        </w:tc>
      </w:tr>
      <w:tr w:rsidR="006E5805" w:rsidRPr="006E5805" w14:paraId="5EF0CF24" w14:textId="77777777" w:rsidTr="006E5805">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913130"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Change in cost of specialist visits</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8C552"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$2,593,513</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56AE2F"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$2,658,351</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652147"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$2,724,810</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BAA9B1"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$2,792,930</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0C9961"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$2,862,754</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651346"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$2,934,322</w:t>
            </w:r>
          </w:p>
        </w:tc>
      </w:tr>
      <w:tr w:rsidR="006E5805" w:rsidRPr="006E5805" w14:paraId="2DAE167A" w14:textId="77777777" w:rsidTr="006E5805">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063EF7"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Change in cost of subsequent specialist visits</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AA4D78"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$5,530,544</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6AAFDD"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$5,668,807</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E97EC2"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$5,810,527</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B0D1A3"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$5,955,791</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67291E"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$6,104,685</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A121A4" w14:textId="77777777" w:rsidR="006E5805" w:rsidRPr="006E5805" w:rsidRDefault="006E5805" w:rsidP="00293C46">
            <w:pPr>
              <w:spacing w:before="0" w:after="0"/>
              <w:rPr>
                <w:rFonts w:ascii="Arial Narrow" w:hAnsi="Arial Narrow"/>
                <w:iCs/>
                <w:sz w:val="20"/>
                <w:szCs w:val="20"/>
              </w:rPr>
            </w:pPr>
            <w:r w:rsidRPr="006E5805">
              <w:rPr>
                <w:rFonts w:ascii="Arial Narrow" w:hAnsi="Arial Narrow"/>
                <w:iCs/>
                <w:sz w:val="20"/>
                <w:szCs w:val="20"/>
              </w:rPr>
              <w:t>$6,257,302</w:t>
            </w:r>
          </w:p>
        </w:tc>
      </w:tr>
      <w:tr w:rsidR="006E5805" w:rsidRPr="006E5805" w14:paraId="7C773DF6" w14:textId="77777777" w:rsidTr="006E5805">
        <w:trPr>
          <w:trHeight w:val="766"/>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E07246" w14:textId="77777777" w:rsidR="006E5805" w:rsidRPr="006E5805" w:rsidRDefault="006E5805" w:rsidP="00293C46">
            <w:pPr>
              <w:spacing w:before="0" w:after="0"/>
              <w:rPr>
                <w:rFonts w:ascii="Arial Narrow" w:hAnsi="Arial Narrow"/>
                <w:b/>
                <w:bCs/>
                <w:iCs/>
                <w:sz w:val="20"/>
                <w:szCs w:val="20"/>
              </w:rPr>
            </w:pPr>
            <w:r w:rsidRPr="006E5805">
              <w:rPr>
                <w:rFonts w:ascii="Arial Narrow" w:hAnsi="Arial Narrow"/>
                <w:b/>
                <w:bCs/>
                <w:iCs/>
                <w:sz w:val="20"/>
                <w:szCs w:val="20"/>
              </w:rPr>
              <w:t>Net financial impact to the MBS (less copayments)</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C9C42" w14:textId="77777777" w:rsidR="006E5805" w:rsidRPr="00FC3D8D" w:rsidRDefault="006E5805" w:rsidP="00293C46">
            <w:pPr>
              <w:spacing w:before="0" w:after="0"/>
              <w:rPr>
                <w:rFonts w:ascii="Arial Narrow" w:hAnsi="Arial Narrow"/>
                <w:b/>
                <w:bCs/>
                <w:iCs/>
                <w:sz w:val="20"/>
                <w:szCs w:val="20"/>
              </w:rPr>
            </w:pPr>
            <w:r w:rsidRPr="00FC3D8D">
              <w:rPr>
                <w:rFonts w:ascii="Arial Narrow" w:hAnsi="Arial Narrow"/>
                <w:b/>
                <w:bCs/>
                <w:iCs/>
                <w:sz w:val="20"/>
                <w:szCs w:val="20"/>
              </w:rPr>
              <w:t>$32,889,429</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5345A0" w14:textId="77777777" w:rsidR="006E5805" w:rsidRPr="00FC3D8D" w:rsidRDefault="006E5805" w:rsidP="00293C46">
            <w:pPr>
              <w:spacing w:before="0" w:after="0"/>
              <w:rPr>
                <w:rFonts w:ascii="Arial Narrow" w:hAnsi="Arial Narrow"/>
                <w:b/>
                <w:bCs/>
                <w:iCs/>
                <w:sz w:val="20"/>
                <w:szCs w:val="20"/>
              </w:rPr>
            </w:pPr>
            <w:r w:rsidRPr="00FC3D8D">
              <w:rPr>
                <w:rFonts w:ascii="Arial Narrow" w:hAnsi="Arial Narrow"/>
                <w:b/>
                <w:bCs/>
                <w:iCs/>
                <w:sz w:val="20"/>
                <w:szCs w:val="20"/>
              </w:rPr>
              <w:t>$33,711,665</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A2E711" w14:textId="77777777" w:rsidR="006E5805" w:rsidRPr="00FC3D8D" w:rsidRDefault="006E5805" w:rsidP="00293C46">
            <w:pPr>
              <w:spacing w:before="0" w:after="0"/>
              <w:rPr>
                <w:rFonts w:ascii="Arial Narrow" w:hAnsi="Arial Narrow"/>
                <w:b/>
                <w:bCs/>
                <w:iCs/>
                <w:sz w:val="20"/>
                <w:szCs w:val="20"/>
              </w:rPr>
            </w:pPr>
            <w:r w:rsidRPr="00FC3D8D">
              <w:rPr>
                <w:rFonts w:ascii="Arial Narrow" w:hAnsi="Arial Narrow"/>
                <w:b/>
                <w:bCs/>
                <w:iCs/>
                <w:sz w:val="20"/>
                <w:szCs w:val="20"/>
              </w:rPr>
              <w:t>$34,554,456</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725C7" w14:textId="77777777" w:rsidR="006E5805" w:rsidRPr="00FC3D8D" w:rsidRDefault="006E5805" w:rsidP="00293C46">
            <w:pPr>
              <w:spacing w:before="0" w:after="0"/>
              <w:rPr>
                <w:rFonts w:ascii="Arial Narrow" w:hAnsi="Arial Narrow"/>
                <w:b/>
                <w:bCs/>
                <w:iCs/>
                <w:sz w:val="20"/>
                <w:szCs w:val="20"/>
              </w:rPr>
            </w:pPr>
            <w:r w:rsidRPr="00FC3D8D">
              <w:rPr>
                <w:rFonts w:ascii="Arial Narrow" w:hAnsi="Arial Narrow"/>
                <w:b/>
                <w:bCs/>
                <w:iCs/>
                <w:sz w:val="20"/>
                <w:szCs w:val="20"/>
              </w:rPr>
              <w:t>$35,418,318</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C142C0" w14:textId="77777777" w:rsidR="006E5805" w:rsidRPr="00FC3D8D" w:rsidRDefault="006E5805" w:rsidP="00293C46">
            <w:pPr>
              <w:spacing w:before="0" w:after="0"/>
              <w:rPr>
                <w:rFonts w:ascii="Arial Narrow" w:hAnsi="Arial Narrow"/>
                <w:b/>
                <w:bCs/>
                <w:iCs/>
                <w:sz w:val="20"/>
                <w:szCs w:val="20"/>
              </w:rPr>
            </w:pPr>
            <w:r w:rsidRPr="00FC3D8D">
              <w:rPr>
                <w:rFonts w:ascii="Arial Narrow" w:hAnsi="Arial Narrow"/>
                <w:b/>
                <w:bCs/>
                <w:iCs/>
                <w:sz w:val="20"/>
                <w:szCs w:val="20"/>
              </w:rPr>
              <w:t>$36,303,776</w:t>
            </w:r>
          </w:p>
        </w:tc>
        <w:tc>
          <w:tcPr>
            <w:tcW w:w="13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2A722E" w14:textId="77777777" w:rsidR="006E5805" w:rsidRPr="00FC3D8D" w:rsidRDefault="006E5805" w:rsidP="00293C46">
            <w:pPr>
              <w:spacing w:before="0" w:after="0"/>
              <w:rPr>
                <w:rFonts w:ascii="Arial Narrow" w:hAnsi="Arial Narrow"/>
                <w:b/>
                <w:bCs/>
                <w:iCs/>
                <w:sz w:val="20"/>
                <w:szCs w:val="20"/>
              </w:rPr>
            </w:pPr>
            <w:r w:rsidRPr="00FC3D8D">
              <w:rPr>
                <w:rFonts w:ascii="Arial Narrow" w:hAnsi="Arial Narrow"/>
                <w:b/>
                <w:bCs/>
                <w:iCs/>
                <w:sz w:val="20"/>
                <w:szCs w:val="20"/>
              </w:rPr>
              <w:t>$37,211,370</w:t>
            </w:r>
          </w:p>
        </w:tc>
      </w:tr>
    </w:tbl>
    <w:p w14:paraId="4EA868E5" w14:textId="0DC4C784" w:rsidR="006E5805" w:rsidRPr="006E5805" w:rsidRDefault="006E5805" w:rsidP="006E5805">
      <w:pPr>
        <w:rPr>
          <w:rFonts w:ascii="Arial Narrow" w:hAnsi="Arial Narrow"/>
          <w:iCs/>
          <w:sz w:val="18"/>
          <w:szCs w:val="18"/>
        </w:rPr>
      </w:pPr>
      <w:r>
        <w:rPr>
          <w:rFonts w:ascii="Arial Narrow" w:hAnsi="Arial Narrow"/>
          <w:iCs/>
          <w:sz w:val="18"/>
          <w:szCs w:val="18"/>
        </w:rPr>
        <w:t>The financial impact was calculated based on</w:t>
      </w:r>
      <w:r w:rsidR="00FC3D8D">
        <w:rPr>
          <w:rFonts w:ascii="Arial Narrow" w:hAnsi="Arial Narrow"/>
          <w:iCs/>
          <w:sz w:val="18"/>
          <w:szCs w:val="18"/>
        </w:rPr>
        <w:t xml:space="preserve"> the MBS item 72825 for biopsy, as advised by the applicant.</w:t>
      </w:r>
      <w:r>
        <w:rPr>
          <w:rFonts w:ascii="Arial Narrow" w:hAnsi="Arial Narrow"/>
          <w:iCs/>
          <w:sz w:val="18"/>
          <w:szCs w:val="18"/>
        </w:rPr>
        <w:t xml:space="preserve"> </w:t>
      </w:r>
      <w:r w:rsidRPr="006E5805">
        <w:rPr>
          <w:rFonts w:ascii="Arial Narrow" w:hAnsi="Arial Narrow"/>
          <w:iCs/>
          <w:sz w:val="18"/>
          <w:szCs w:val="18"/>
        </w:rPr>
        <w:t>FC = faecal calprotectin; IBD = inflammatory bowel disease; MBS = Medicare Benefits Schedule; GP = general practitioner</w:t>
      </w:r>
    </w:p>
    <w:p w14:paraId="3441D352" w14:textId="33C3989D" w:rsidR="00FC3D8D" w:rsidRPr="00FC3D8D" w:rsidRDefault="00FC3D8D" w:rsidP="00FC3D8D">
      <w:pPr>
        <w:rPr>
          <w:b/>
          <w:bCs/>
          <w:iCs/>
        </w:rPr>
      </w:pPr>
      <w:r>
        <w:rPr>
          <w:b/>
          <w:bCs/>
          <w:iCs/>
        </w:rPr>
        <w:lastRenderedPageBreak/>
        <w:t xml:space="preserve">Addendum Table 2: </w:t>
      </w:r>
      <w:r w:rsidRPr="006E5805">
        <w:rPr>
          <w:b/>
          <w:bCs/>
          <w:iCs/>
        </w:rPr>
        <w:t>Net financial implications of FC testing for monitoring IBD to the MBS (symptomatic population)</w:t>
      </w:r>
    </w:p>
    <w:tbl>
      <w:tblPr>
        <w:tblW w:w="9590" w:type="dxa"/>
        <w:shd w:val="clear" w:color="auto" w:fill="FFFFFF"/>
        <w:tblCellMar>
          <w:left w:w="0" w:type="dxa"/>
          <w:right w:w="0" w:type="dxa"/>
        </w:tblCellMar>
        <w:tblLook w:val="04A0" w:firstRow="1" w:lastRow="0" w:firstColumn="1" w:lastColumn="0" w:noHBand="0" w:noVBand="1"/>
      </w:tblPr>
      <w:tblGrid>
        <w:gridCol w:w="1568"/>
        <w:gridCol w:w="1337"/>
        <w:gridCol w:w="1337"/>
        <w:gridCol w:w="1337"/>
        <w:gridCol w:w="1337"/>
        <w:gridCol w:w="1337"/>
        <w:gridCol w:w="1337"/>
      </w:tblGrid>
      <w:tr w:rsidR="00FC3D8D" w:rsidRPr="00FC3D8D" w14:paraId="52B952FE" w14:textId="77777777" w:rsidTr="00FC3D8D">
        <w:trPr>
          <w:trHeight w:val="314"/>
          <w:tblHeader/>
        </w:trPr>
        <w:tc>
          <w:tcPr>
            <w:tcW w:w="1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54C169"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lang w:val="en-US"/>
              </w:rPr>
              <w:t>Parameter</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8CC411"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lang w:val="en-US"/>
              </w:rPr>
              <w:t>2025</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4AA1BB"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lang w:val="en-US"/>
              </w:rPr>
              <w:t>2026</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2B6FCE"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lang w:val="en-US"/>
              </w:rPr>
              <w:t>2027</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6D08C1"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lang w:val="en-US"/>
              </w:rPr>
              <w:t>2028</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F5A290"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lang w:val="en-US"/>
              </w:rPr>
              <w:t>2029</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6A4EF9"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lang w:val="en-US"/>
              </w:rPr>
              <w:t>2030</w:t>
            </w:r>
          </w:p>
        </w:tc>
      </w:tr>
      <w:tr w:rsidR="00FC3D8D" w:rsidRPr="00FC3D8D" w14:paraId="44717298" w14:textId="77777777" w:rsidTr="00FC3D8D">
        <w:trPr>
          <w:trHeight w:val="303"/>
        </w:trPr>
        <w:tc>
          <w:tcPr>
            <w:tcW w:w="9590"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B26249"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lang w:val="en-US"/>
              </w:rPr>
              <w:t>Estimated use and cost of the proposed health technology</w:t>
            </w:r>
          </w:p>
        </w:tc>
      </w:tr>
      <w:tr w:rsidR="00FC3D8D" w:rsidRPr="00FC3D8D" w14:paraId="4A2B84EB" w14:textId="77777777" w:rsidTr="00FC3D8D">
        <w:trPr>
          <w:trHeight w:val="552"/>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461685"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Number of people eligible for FC testing</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ADC55"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191,886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4397EC"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196,683</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2819EA"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201,600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771666"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206,640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A33294"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211,806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D82458"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217,101</w:t>
            </w:r>
          </w:p>
        </w:tc>
      </w:tr>
      <w:tr w:rsidR="00FC3D8D" w:rsidRPr="00FC3D8D" w14:paraId="600D134E" w14:textId="77777777" w:rsidTr="00FC3D8D">
        <w:trPr>
          <w:trHeight w:val="314"/>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28B7EE"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Number of FC tests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4D7BE"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206,675</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7542EE"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211,842</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95730F"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217,138</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6BF50C"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222,567</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A484BC"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228,131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84DCB1"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233,834</w:t>
            </w:r>
          </w:p>
        </w:tc>
      </w:tr>
      <w:tr w:rsidR="00FC3D8D" w:rsidRPr="00FC3D8D" w14:paraId="7CB4B7B3" w14:textId="77777777" w:rsidTr="00FC3D8D">
        <w:trPr>
          <w:trHeight w:val="303"/>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ED45D3"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Cost to the MBS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9C92B6"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$13,175,547</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B50889"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$13,504,936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15675A"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$13,842,559</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2AE400"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$14,188,623</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79BB07"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$14,543,339</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08CC04"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$14,906,923</w:t>
            </w:r>
          </w:p>
        </w:tc>
      </w:tr>
      <w:tr w:rsidR="00FC3D8D" w:rsidRPr="00FC3D8D" w14:paraId="2590CD2C" w14:textId="77777777" w:rsidTr="00FC3D8D">
        <w:trPr>
          <w:trHeight w:val="314"/>
        </w:trPr>
        <w:tc>
          <w:tcPr>
            <w:tcW w:w="9590"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09BC7D"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lang w:val="en-US"/>
              </w:rPr>
              <w:t>Change in use and cost of other health technologies</w:t>
            </w:r>
          </w:p>
        </w:tc>
      </w:tr>
      <w:tr w:rsidR="00FC3D8D" w:rsidRPr="00FC3D8D" w14:paraId="4E6706AE"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BC895"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Change in use of colonoscopies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EACD6E"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-28,429</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D7AB81"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-29,140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DB7D0E"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-29,868</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597268"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-30,615</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86BE0C"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-31,380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35AA06"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-32,165</w:t>
            </w:r>
          </w:p>
        </w:tc>
      </w:tr>
      <w:tr w:rsidR="00FC3D8D" w:rsidRPr="00FC3D8D" w14:paraId="2740C12C" w14:textId="77777777" w:rsidTr="00FC3D8D">
        <w:trPr>
          <w:trHeight w:val="314"/>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2D6916"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Change in GP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255AB8"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107,456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1603A2"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110,142</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963FEF"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112,896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1F84C0"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115,718</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3473D1"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118,611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4C105D"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121,577</w:t>
            </w:r>
          </w:p>
        </w:tc>
      </w:tr>
      <w:tr w:rsidR="00FC3D8D" w:rsidRPr="00FC3D8D" w14:paraId="5E489A23" w14:textId="77777777" w:rsidTr="00FC3D8D">
        <w:trPr>
          <w:trHeight w:val="540"/>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923F94"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Change in specialist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9DD985"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EAB78"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F4E081"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557A66"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45641D"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1E63D6"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r>
      <w:tr w:rsidR="00FC3D8D" w:rsidRPr="00FC3D8D" w14:paraId="55ECDF00"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D43EA8"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Change in subsequent specialist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746E00"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34,402</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ACCDF8"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35,262</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66002"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36,144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7E206B"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37,047</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AE6DBC"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37,973</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B47601"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38,923</w:t>
            </w:r>
          </w:p>
        </w:tc>
      </w:tr>
      <w:tr w:rsidR="00FC3D8D" w:rsidRPr="00FC3D8D" w14:paraId="1C172EC8"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3E4062"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Change in cost of colonoscopies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38AFF6"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-$10,606,853</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C371B2"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-$10,872,024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ED80C6"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-$11,143,825</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71EDDE"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-$11,422,421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F317E"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-$11,707,981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DA926D"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-$12,000,681</w:t>
            </w:r>
          </w:p>
        </w:tc>
      </w:tr>
      <w:tr w:rsidR="00FC3D8D" w:rsidRPr="00FC3D8D" w14:paraId="6FFB05C8"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70E8D2"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Change in cost of GP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A0993C"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$4,604,486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233737"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$4,719,598</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09F719"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$4,837,588</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594F50"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$4,958,528</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448E5C"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$5,082,491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163CEF"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$5,209,553</w:t>
            </w:r>
          </w:p>
        </w:tc>
      </w:tr>
      <w:tr w:rsidR="00FC3D8D" w:rsidRPr="00FC3D8D" w14:paraId="3562E026"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053E20"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Change in cost of specialist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2D0BD9"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2C3C7B"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18FA73"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4CD75B"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EEA623"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684BBA"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$0</w:t>
            </w:r>
          </w:p>
        </w:tc>
      </w:tr>
      <w:tr w:rsidR="00FC3D8D" w:rsidRPr="00FC3D8D" w14:paraId="2E788394"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FDD383"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Change in cost of subsequent specialist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A803C9"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$2,552,795</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5FC87"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$2,616,614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D59DF6"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$2,682,030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19B4D2"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$2,749,081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3A9695"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$2,817,808</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AFB81C" w14:textId="77777777" w:rsidR="00FC3D8D" w:rsidRPr="00FC3D8D" w:rsidRDefault="00FC3D8D" w:rsidP="00293C46">
            <w:pPr>
              <w:spacing w:before="0" w:after="0"/>
              <w:rPr>
                <w:rFonts w:ascii="Arial Narrow" w:hAnsi="Arial Narrow"/>
                <w:iCs/>
                <w:sz w:val="20"/>
                <w:szCs w:val="20"/>
              </w:rPr>
            </w:pPr>
            <w:r w:rsidRPr="00FC3D8D">
              <w:rPr>
                <w:rFonts w:ascii="Arial Narrow" w:hAnsi="Arial Narrow"/>
                <w:iCs/>
                <w:sz w:val="20"/>
                <w:szCs w:val="20"/>
              </w:rPr>
              <w:t>$2,888,253</w:t>
            </w:r>
          </w:p>
        </w:tc>
      </w:tr>
      <w:tr w:rsidR="00FC3D8D" w:rsidRPr="00FC3D8D" w14:paraId="1834551F" w14:textId="77777777" w:rsidTr="00FC3D8D">
        <w:trPr>
          <w:trHeight w:val="766"/>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528CC0"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Net financial impact to the MBS (less copayments)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EE822F"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$9,725,975</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051626"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$9,969,124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2F77D0"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$10,218,353</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142F65"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$10,473,811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6AFE72"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$10,735,657</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04390" w14:textId="77777777" w:rsidR="00FC3D8D" w:rsidRPr="00FC3D8D" w:rsidRDefault="00FC3D8D" w:rsidP="00293C46">
            <w:pPr>
              <w:spacing w:before="0" w:after="0"/>
              <w:rPr>
                <w:rFonts w:ascii="Arial Narrow" w:hAnsi="Arial Narrow"/>
                <w:b/>
                <w:bCs/>
                <w:iCs/>
                <w:sz w:val="20"/>
                <w:szCs w:val="20"/>
              </w:rPr>
            </w:pPr>
            <w:r w:rsidRPr="00FC3D8D">
              <w:rPr>
                <w:rFonts w:ascii="Arial Narrow" w:hAnsi="Arial Narrow"/>
                <w:b/>
                <w:bCs/>
                <w:iCs/>
                <w:sz w:val="20"/>
                <w:szCs w:val="20"/>
              </w:rPr>
              <w:t>$11,004,048</w:t>
            </w:r>
          </w:p>
        </w:tc>
      </w:tr>
    </w:tbl>
    <w:p w14:paraId="0289247A" w14:textId="7885446E" w:rsidR="00FC3D8D" w:rsidRPr="00293C46" w:rsidRDefault="00FC3D8D" w:rsidP="006E5805">
      <w:pPr>
        <w:rPr>
          <w:rFonts w:ascii="Arial Narrow" w:hAnsi="Arial Narrow"/>
          <w:iCs/>
          <w:sz w:val="18"/>
          <w:szCs w:val="18"/>
        </w:rPr>
      </w:pPr>
      <w:r w:rsidRPr="00FC3D8D">
        <w:rPr>
          <w:rFonts w:ascii="Arial Narrow" w:hAnsi="Arial Narrow"/>
          <w:iCs/>
          <w:sz w:val="18"/>
          <w:szCs w:val="18"/>
        </w:rPr>
        <w:t xml:space="preserve">The financial impact was calculated based on the MBS item 72825 for biopsy, as advised by the applicant. FC = faecal calprotectin; IBD = inflammatory bowel disease; MBS = Medicare Benefits Schedule; GP = general practitioner. </w:t>
      </w:r>
    </w:p>
    <w:p w14:paraId="4FBDA7B9" w14:textId="357331DB" w:rsidR="00FC3D8D" w:rsidRPr="00FC3D8D" w:rsidRDefault="00FC3D8D" w:rsidP="00293C46">
      <w:pPr>
        <w:keepNext/>
        <w:keepLines/>
        <w:rPr>
          <w:b/>
          <w:bCs/>
          <w:iCs/>
        </w:rPr>
      </w:pPr>
      <w:r>
        <w:rPr>
          <w:b/>
          <w:bCs/>
          <w:iCs/>
        </w:rPr>
        <w:lastRenderedPageBreak/>
        <w:t xml:space="preserve">Addendum Table 3: </w:t>
      </w:r>
      <w:r w:rsidRPr="006E5805">
        <w:rPr>
          <w:b/>
          <w:bCs/>
          <w:iCs/>
        </w:rPr>
        <w:t>Net financial implications of FC testing for monitoring IBD to the MBS (</w:t>
      </w:r>
      <w:r>
        <w:rPr>
          <w:b/>
          <w:bCs/>
          <w:iCs/>
        </w:rPr>
        <w:t>a</w:t>
      </w:r>
      <w:r w:rsidRPr="006E5805">
        <w:rPr>
          <w:b/>
          <w:bCs/>
          <w:iCs/>
        </w:rPr>
        <w:t>symptomatic population)</w:t>
      </w:r>
    </w:p>
    <w:tbl>
      <w:tblPr>
        <w:tblW w:w="9590" w:type="dxa"/>
        <w:shd w:val="clear" w:color="auto" w:fill="FFFFFF"/>
        <w:tblCellMar>
          <w:left w:w="0" w:type="dxa"/>
          <w:right w:w="0" w:type="dxa"/>
        </w:tblCellMar>
        <w:tblLook w:val="04A0" w:firstRow="1" w:lastRow="0" w:firstColumn="1" w:lastColumn="0" w:noHBand="0" w:noVBand="1"/>
      </w:tblPr>
      <w:tblGrid>
        <w:gridCol w:w="1568"/>
        <w:gridCol w:w="1337"/>
        <w:gridCol w:w="1337"/>
        <w:gridCol w:w="1337"/>
        <w:gridCol w:w="1337"/>
        <w:gridCol w:w="1337"/>
        <w:gridCol w:w="1337"/>
      </w:tblGrid>
      <w:tr w:rsidR="00FC3D8D" w:rsidRPr="00FC3D8D" w14:paraId="027BE55A" w14:textId="77777777" w:rsidTr="00FC3D8D">
        <w:trPr>
          <w:trHeight w:val="314"/>
          <w:tblHeader/>
        </w:trPr>
        <w:tc>
          <w:tcPr>
            <w:tcW w:w="1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D83C8D"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lang w:val="en-US"/>
              </w:rPr>
              <w:t>Parameter</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97BD9F"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lang w:val="en-US"/>
              </w:rPr>
              <w:t>2025</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5252C7"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lang w:val="en-US"/>
              </w:rPr>
              <w:t>2026</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3E8A37"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lang w:val="en-US"/>
              </w:rPr>
              <w:t>2027</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49255D"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lang w:val="en-US"/>
              </w:rPr>
              <w:t>2028</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2B4244"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lang w:val="en-US"/>
              </w:rPr>
              <w:t>2029</w:t>
            </w:r>
          </w:p>
        </w:tc>
        <w:tc>
          <w:tcPr>
            <w:tcW w:w="13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9A109C"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lang w:val="en-US"/>
              </w:rPr>
              <w:t>2030</w:t>
            </w:r>
          </w:p>
        </w:tc>
      </w:tr>
      <w:tr w:rsidR="00FC3D8D" w:rsidRPr="00FC3D8D" w14:paraId="1B4B5AF7" w14:textId="77777777" w:rsidTr="00FC3D8D">
        <w:trPr>
          <w:trHeight w:val="303"/>
        </w:trPr>
        <w:tc>
          <w:tcPr>
            <w:tcW w:w="9590"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1A5568"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lang w:val="en-US"/>
              </w:rPr>
              <w:t>Estimated use and cost of the proposed health technology</w:t>
            </w:r>
          </w:p>
        </w:tc>
      </w:tr>
      <w:tr w:rsidR="00FC3D8D" w:rsidRPr="00FC3D8D" w14:paraId="1295DFEB" w14:textId="77777777" w:rsidTr="00FC3D8D">
        <w:trPr>
          <w:trHeight w:val="552"/>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ED7A97"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Number of people eligible for FC testing</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84C9ED"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191,886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433F20"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196,683</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D960AE"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201,600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5EB394"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206,640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1BE95D"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211,806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D48242"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217,101</w:t>
            </w:r>
          </w:p>
        </w:tc>
      </w:tr>
      <w:tr w:rsidR="00FC3D8D" w:rsidRPr="00FC3D8D" w14:paraId="42605D1A" w14:textId="77777777" w:rsidTr="00FC3D8D">
        <w:trPr>
          <w:trHeight w:val="314"/>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BBE7DB"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Number of FC tests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BA79DA"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188,763</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E16A00"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193,482</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AC589E"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198,319</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D07E56"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203,277</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B9A62"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208,359</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AE863C"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213,568</w:t>
            </w:r>
          </w:p>
        </w:tc>
      </w:tr>
      <w:tr w:rsidR="00FC3D8D" w:rsidRPr="00FC3D8D" w14:paraId="63408EF1" w14:textId="77777777" w:rsidTr="00FC3D8D">
        <w:trPr>
          <w:trHeight w:val="303"/>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E075DB"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Cost to the MBS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161579"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$12,033,657</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427E4C"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$12,334,499</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4246A"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$12,642,861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25EB8B"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$12,958,932</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CA290F"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$13,282,906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95FE11"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$13,614,978</w:t>
            </w:r>
          </w:p>
        </w:tc>
      </w:tr>
      <w:tr w:rsidR="00FC3D8D" w:rsidRPr="00FC3D8D" w14:paraId="4ADE1270" w14:textId="77777777" w:rsidTr="00FC3D8D">
        <w:trPr>
          <w:trHeight w:val="314"/>
        </w:trPr>
        <w:tc>
          <w:tcPr>
            <w:tcW w:w="9590"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B8994E"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lang w:val="en-US"/>
              </w:rPr>
              <w:t>Change in use and cost of other health technologies</w:t>
            </w:r>
          </w:p>
        </w:tc>
      </w:tr>
      <w:tr w:rsidR="00FC3D8D" w:rsidRPr="00FC3D8D" w14:paraId="7B91782F"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62901"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Change in use of colonoscopies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0FEECC"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1,676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48BD02"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1,717</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87D8B4"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1,760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916FA5"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1,804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74E954"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1,850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2813EE"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1,896</w:t>
            </w:r>
          </w:p>
        </w:tc>
      </w:tr>
      <w:tr w:rsidR="00FC3D8D" w:rsidRPr="00FC3D8D" w14:paraId="1C5C0A28" w14:textId="77777777" w:rsidTr="00FC3D8D">
        <w:trPr>
          <w:trHeight w:val="314"/>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BCA47A"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Change in GP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EAA78"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115,131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DEA8BF"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118,010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FC511F"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120,960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C0F2C5"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123,984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2E479D"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127,083</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7DEF8F"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130,261</w:t>
            </w:r>
          </w:p>
        </w:tc>
      </w:tr>
      <w:tr w:rsidR="00FC3D8D" w:rsidRPr="00FC3D8D" w14:paraId="3395EF90" w14:textId="77777777" w:rsidTr="00FC3D8D">
        <w:trPr>
          <w:trHeight w:val="540"/>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FE7425"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Change in specialist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BA6EF1"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17,485</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EFE4A"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17,922</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AE19DF"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18,371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37AAB"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18,830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25D94D"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19,301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0E1705"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19,783</w:t>
            </w:r>
          </w:p>
        </w:tc>
      </w:tr>
      <w:tr w:rsidR="00FC3D8D" w:rsidRPr="00FC3D8D" w14:paraId="30120B7B"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142B80"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Change in subsequent specialist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D58C38"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40,129</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70F518"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41,132</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776EC2"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42,160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E10EE5"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43,214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05624C"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44,295</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8E83C"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45,402</w:t>
            </w:r>
          </w:p>
        </w:tc>
      </w:tr>
      <w:tr w:rsidR="00FC3D8D" w:rsidRPr="00FC3D8D" w14:paraId="172FBA53"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4F44AD"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Change in cost of colonoscopies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0A7644"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$625,156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67EB3E"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$640,785</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B86983"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$656,805</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B4A512"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$673,225</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2DA59E"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$690,056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375E76"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$707,307</w:t>
            </w:r>
          </w:p>
        </w:tc>
      </w:tr>
      <w:tr w:rsidR="00FC3D8D" w:rsidRPr="00FC3D8D" w14:paraId="2B052287"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0BB388"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Change in cost of GP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F336C8"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$4,933,378</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897058"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$5,056,713</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7CA11"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$5,183,130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FFCFCE"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$5,312,709</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405C0"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$5,445,526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ED7097"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$5,581,664</w:t>
            </w:r>
          </w:p>
        </w:tc>
      </w:tr>
      <w:tr w:rsidR="00FC3D8D" w:rsidRPr="00FC3D8D" w14:paraId="5EA4F668"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0A6E6E"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Change in cost of specialist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3B668C"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$2,593,513</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D9FAF9"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$2,658,351</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7E14CC"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$2,724,810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F0B6FD"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$2,792,930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902CB"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$2,862,754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DCFB63"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$2,934,322</w:t>
            </w:r>
          </w:p>
        </w:tc>
      </w:tr>
      <w:tr w:rsidR="00FC3D8D" w:rsidRPr="00FC3D8D" w14:paraId="5FEBE02F" w14:textId="77777777" w:rsidTr="00FC3D8D">
        <w:trPr>
          <w:trHeight w:val="777"/>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DCDC4"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Change in cost of subsequent specialist visits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1BDE2D"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$2,977,749</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27357E"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$3,052,193</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3C181C"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$3,128,498</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75D53E"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$3,206,710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829B18"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$3,286,878</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4ACF4" w14:textId="77777777" w:rsidR="00FC3D8D" w:rsidRPr="00FC3D8D" w:rsidRDefault="00FC3D8D" w:rsidP="00293C46">
            <w:pPr>
              <w:keepNext/>
              <w:keepLines/>
              <w:spacing w:before="0" w:after="0"/>
              <w:rPr>
                <w:rFonts w:ascii="Arial Narrow" w:hAnsi="Arial Narrow"/>
                <w:iCs/>
                <w:sz w:val="20"/>
                <w:szCs w:val="20"/>
              </w:rPr>
            </w:pPr>
            <w:r w:rsidRPr="00FC3D8D">
              <w:rPr>
                <w:rFonts w:ascii="Arial Narrow" w:hAnsi="Arial Narrow"/>
                <w:iCs/>
                <w:sz w:val="20"/>
                <w:szCs w:val="20"/>
              </w:rPr>
              <w:t>$3,369,050</w:t>
            </w:r>
          </w:p>
        </w:tc>
      </w:tr>
      <w:tr w:rsidR="00FC3D8D" w:rsidRPr="00FC3D8D" w14:paraId="223012E9" w14:textId="77777777" w:rsidTr="00FC3D8D">
        <w:trPr>
          <w:trHeight w:val="766"/>
        </w:trPr>
        <w:tc>
          <w:tcPr>
            <w:tcW w:w="1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45937"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Net financial impact to the MBS (less copayments)</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DF93A1"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$23,163,454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2F830C"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$23,742,540</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C32B11"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$24,336,104</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57FE7E"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$24,944,506</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CB2761"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$25,568,119</w:t>
            </w:r>
          </w:p>
        </w:tc>
        <w:tc>
          <w:tcPr>
            <w:tcW w:w="1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B2749A" w14:textId="77777777" w:rsidR="00FC3D8D" w:rsidRPr="00FC3D8D" w:rsidRDefault="00FC3D8D" w:rsidP="00293C46">
            <w:pPr>
              <w:keepNext/>
              <w:keepLines/>
              <w:spacing w:before="0" w:after="0"/>
              <w:rPr>
                <w:rFonts w:ascii="Arial Narrow" w:hAnsi="Arial Narrow"/>
                <w:b/>
                <w:bCs/>
                <w:iCs/>
                <w:sz w:val="20"/>
                <w:szCs w:val="20"/>
              </w:rPr>
            </w:pPr>
            <w:r w:rsidRPr="00FC3D8D">
              <w:rPr>
                <w:rFonts w:ascii="Arial Narrow" w:hAnsi="Arial Narrow"/>
                <w:b/>
                <w:bCs/>
                <w:iCs/>
                <w:sz w:val="20"/>
                <w:szCs w:val="20"/>
              </w:rPr>
              <w:t>$26,207,322</w:t>
            </w:r>
          </w:p>
        </w:tc>
      </w:tr>
    </w:tbl>
    <w:p w14:paraId="18FC5B26" w14:textId="31C02D92" w:rsidR="00293C46" w:rsidRDefault="00FC3D8D" w:rsidP="00293C46">
      <w:pPr>
        <w:keepNext/>
        <w:keepLines/>
        <w:rPr>
          <w:rFonts w:ascii="Arial Narrow" w:hAnsi="Arial Narrow"/>
          <w:iCs/>
          <w:sz w:val="18"/>
          <w:szCs w:val="18"/>
        </w:rPr>
      </w:pPr>
      <w:r w:rsidRPr="00FC3D8D">
        <w:rPr>
          <w:rFonts w:ascii="Arial Narrow" w:hAnsi="Arial Narrow"/>
          <w:iCs/>
          <w:sz w:val="18"/>
          <w:szCs w:val="18"/>
        </w:rPr>
        <w:t>The financial impact was calculated based on the MBS item 72825 for biopsy, as advised by the applicant. FC = faecal calprotectin; IBD = inflammatory bowel disease; MBS = Medicare Benefits Schedule; GP = general practitioner</w:t>
      </w:r>
      <w:r w:rsidR="00293C46">
        <w:rPr>
          <w:rFonts w:ascii="Arial Narrow" w:hAnsi="Arial Narrow"/>
          <w:iCs/>
          <w:sz w:val="18"/>
          <w:szCs w:val="18"/>
        </w:rPr>
        <w:br w:type="page"/>
      </w:r>
    </w:p>
    <w:p w14:paraId="48C4D054" w14:textId="5E49C062" w:rsidR="002565D0" w:rsidRPr="007F5EA2" w:rsidRDefault="00A928FB" w:rsidP="00293C46">
      <w:pPr>
        <w:pStyle w:val="ListParagraph"/>
        <w:keepNext/>
        <w:keepLines/>
        <w:numPr>
          <w:ilvl w:val="0"/>
          <w:numId w:val="38"/>
        </w:numPr>
        <w:rPr>
          <w:b/>
          <w:bCs/>
          <w:iCs/>
        </w:rPr>
      </w:pPr>
      <w:r w:rsidRPr="007F5EA2">
        <w:rPr>
          <w:b/>
          <w:bCs/>
          <w:iCs/>
        </w:rPr>
        <w:lastRenderedPageBreak/>
        <w:t xml:space="preserve">Additional </w:t>
      </w:r>
      <w:r w:rsidR="002565D0" w:rsidRPr="007F5EA2">
        <w:rPr>
          <w:b/>
          <w:bCs/>
          <w:iCs/>
        </w:rPr>
        <w:t xml:space="preserve">economic and financial </w:t>
      </w:r>
      <w:r w:rsidRPr="007F5EA2">
        <w:rPr>
          <w:b/>
          <w:bCs/>
          <w:iCs/>
        </w:rPr>
        <w:t>sensitivity analysis</w:t>
      </w:r>
    </w:p>
    <w:p w14:paraId="40EE5A1D" w14:textId="7B3AC8A3" w:rsidR="00106222" w:rsidRDefault="00BB2CDA" w:rsidP="00293C46">
      <w:pPr>
        <w:keepNext/>
        <w:keepLines/>
        <w:rPr>
          <w:iCs/>
        </w:rPr>
      </w:pPr>
      <w:r w:rsidRPr="002565D0">
        <w:rPr>
          <w:iCs/>
        </w:rPr>
        <w:t>Additional economic</w:t>
      </w:r>
      <w:r w:rsidR="002565D0">
        <w:rPr>
          <w:iCs/>
        </w:rPr>
        <w:t xml:space="preserve"> and financial </w:t>
      </w:r>
      <w:r w:rsidRPr="002565D0">
        <w:rPr>
          <w:iCs/>
        </w:rPr>
        <w:t>sensitivity analyses were requested by ESC</w:t>
      </w:r>
      <w:r w:rsidR="009821B6">
        <w:rPr>
          <w:iCs/>
        </w:rPr>
        <w:t xml:space="preserve"> (SA1-SA5) and the Department (SA6)</w:t>
      </w:r>
      <w:r w:rsidRPr="002565D0">
        <w:rPr>
          <w:iCs/>
        </w:rPr>
        <w:t xml:space="preserve">. The results of the analysis are reported in </w:t>
      </w:r>
      <w:r w:rsidR="00EA2604">
        <w:rPr>
          <w:iCs/>
        </w:rPr>
        <w:t xml:space="preserve">Addendum </w:t>
      </w:r>
      <w:r w:rsidRPr="002565D0">
        <w:rPr>
          <w:iCs/>
        </w:rPr>
        <w:t>Table</w:t>
      </w:r>
      <w:r w:rsidR="002565D0">
        <w:rPr>
          <w:iCs/>
        </w:rPr>
        <w:t>s</w:t>
      </w:r>
      <w:r w:rsidRPr="002565D0">
        <w:rPr>
          <w:iCs/>
        </w:rPr>
        <w:t xml:space="preserve"> </w:t>
      </w:r>
      <w:r w:rsidR="006E5805">
        <w:rPr>
          <w:iCs/>
        </w:rPr>
        <w:t xml:space="preserve">4 </w:t>
      </w:r>
      <w:r w:rsidR="002565D0">
        <w:rPr>
          <w:iCs/>
        </w:rPr>
        <w:t xml:space="preserve">and </w:t>
      </w:r>
      <w:r w:rsidR="006E5805">
        <w:rPr>
          <w:iCs/>
        </w:rPr>
        <w:t>5</w:t>
      </w:r>
      <w:r w:rsidR="006E5805" w:rsidRPr="002565D0">
        <w:rPr>
          <w:iCs/>
        </w:rPr>
        <w:t xml:space="preserve"> </w:t>
      </w:r>
      <w:r w:rsidRPr="002565D0">
        <w:rPr>
          <w:iCs/>
        </w:rPr>
        <w:t xml:space="preserve">below. </w:t>
      </w:r>
    </w:p>
    <w:p w14:paraId="4BBD7B77" w14:textId="19300563" w:rsidR="00106222" w:rsidRPr="007F5EA2" w:rsidRDefault="00EA2604" w:rsidP="00293C46">
      <w:pPr>
        <w:keepNext/>
        <w:keepLines/>
        <w:rPr>
          <w:rFonts w:ascii="Arial Narrow" w:hAnsi="Arial Narrow"/>
          <w:b/>
          <w:bCs/>
          <w:iCs/>
          <w:sz w:val="20"/>
          <w:szCs w:val="20"/>
        </w:rPr>
      </w:pPr>
      <w:r>
        <w:rPr>
          <w:rFonts w:ascii="Arial Narrow" w:hAnsi="Arial Narrow"/>
          <w:b/>
          <w:bCs/>
          <w:iCs/>
          <w:sz w:val="20"/>
          <w:szCs w:val="20"/>
        </w:rPr>
        <w:t xml:space="preserve">Addendum </w:t>
      </w:r>
      <w:r w:rsidR="004138E5" w:rsidRPr="007F5EA2">
        <w:rPr>
          <w:rFonts w:ascii="Arial Narrow" w:hAnsi="Arial Narrow"/>
          <w:b/>
          <w:bCs/>
          <w:iCs/>
          <w:sz w:val="20"/>
          <w:szCs w:val="20"/>
        </w:rPr>
        <w:t xml:space="preserve">Table </w:t>
      </w:r>
      <w:r w:rsidR="006E5805">
        <w:rPr>
          <w:rFonts w:ascii="Arial Narrow" w:hAnsi="Arial Narrow"/>
          <w:b/>
          <w:bCs/>
          <w:iCs/>
          <w:sz w:val="20"/>
          <w:szCs w:val="20"/>
        </w:rPr>
        <w:t>4</w:t>
      </w:r>
      <w:r w:rsidR="004138E5" w:rsidRPr="007F5EA2">
        <w:rPr>
          <w:rFonts w:ascii="Arial Narrow" w:hAnsi="Arial Narrow"/>
          <w:b/>
          <w:bCs/>
          <w:iCs/>
          <w:sz w:val="20"/>
          <w:szCs w:val="20"/>
        </w:rPr>
        <w:t xml:space="preserve">: </w:t>
      </w:r>
      <w:r w:rsidR="00517707" w:rsidRPr="00517707">
        <w:rPr>
          <w:rFonts w:ascii="Arial Narrow" w:hAnsi="Arial Narrow"/>
          <w:b/>
          <w:bCs/>
          <w:iCs/>
          <w:sz w:val="20"/>
          <w:szCs w:val="20"/>
        </w:rPr>
        <w:t>Additional sensitivity analysis: cost of FC testing per 100 patients (Symptomatic and Asymptomatic</w:t>
      </w:r>
      <w:r w:rsidR="00517707">
        <w:rPr>
          <w:rFonts w:ascii="Arial Narrow" w:hAnsi="Arial Narrow"/>
          <w:b/>
          <w:bCs/>
          <w:iCs/>
          <w:sz w:val="20"/>
          <w:szCs w:val="20"/>
        </w:rPr>
        <w:t>)</w:t>
      </w:r>
    </w:p>
    <w:tbl>
      <w:tblPr>
        <w:tblStyle w:val="ASDTable1"/>
        <w:tblW w:w="0" w:type="auto"/>
        <w:tblLook w:val="04A0" w:firstRow="1" w:lastRow="0" w:firstColumn="1" w:lastColumn="0" w:noHBand="0" w:noVBand="1"/>
      </w:tblPr>
      <w:tblGrid>
        <w:gridCol w:w="611"/>
        <w:gridCol w:w="1532"/>
        <w:gridCol w:w="1228"/>
        <w:gridCol w:w="1171"/>
        <w:gridCol w:w="1207"/>
        <w:gridCol w:w="1123"/>
        <w:gridCol w:w="916"/>
      </w:tblGrid>
      <w:tr w:rsidR="001A27C6" w:rsidRPr="0058498D" w14:paraId="55182990" w14:textId="77777777">
        <w:tc>
          <w:tcPr>
            <w:tcW w:w="611" w:type="dxa"/>
          </w:tcPr>
          <w:p w14:paraId="06060F5B" w14:textId="77777777" w:rsidR="001A27C6" w:rsidRPr="0058498D" w:rsidRDefault="001A27C6" w:rsidP="00293C46">
            <w:pPr>
              <w:keepNext/>
              <w:keepLines/>
              <w:spacing w:before="0"/>
              <w:rPr>
                <w:rFonts w:ascii="Arial Narrow" w:eastAsia="Times New Roman" w:hAnsi="Arial Narrow" w:cs="Times New Roman"/>
                <w:b/>
                <w:sz w:val="20"/>
                <w:szCs w:val="24"/>
                <w:lang w:val="en-US" w:eastAsia="en-AU"/>
              </w:rPr>
            </w:pPr>
          </w:p>
        </w:tc>
        <w:tc>
          <w:tcPr>
            <w:tcW w:w="1532" w:type="dxa"/>
            <w:vAlign w:val="center"/>
          </w:tcPr>
          <w:p w14:paraId="3187BA06" w14:textId="77777777" w:rsidR="001A27C6" w:rsidRPr="0058498D" w:rsidRDefault="001A27C6" w:rsidP="00293C46">
            <w:pPr>
              <w:keepNext/>
              <w:keepLines/>
              <w:spacing w:before="0"/>
              <w:rPr>
                <w:rFonts w:ascii="Arial Narrow" w:eastAsia="Times New Roman" w:hAnsi="Arial Narrow" w:cs="Times New Roman"/>
                <w:b/>
                <w:sz w:val="20"/>
                <w:szCs w:val="24"/>
                <w:lang w:val="en-US" w:eastAsia="en-AU"/>
              </w:rPr>
            </w:pPr>
            <w:r w:rsidRPr="0058498D">
              <w:rPr>
                <w:rFonts w:ascii="Arial Narrow" w:eastAsia="Times New Roman" w:hAnsi="Arial Narrow" w:cs="Times New Roman"/>
                <w:b/>
                <w:sz w:val="20"/>
                <w:szCs w:val="24"/>
                <w:lang w:val="en-US" w:eastAsia="en-AU"/>
              </w:rPr>
              <w:t>Scenario</w:t>
            </w:r>
          </w:p>
        </w:tc>
        <w:tc>
          <w:tcPr>
            <w:tcW w:w="1228" w:type="dxa"/>
            <w:vAlign w:val="center"/>
          </w:tcPr>
          <w:p w14:paraId="58834F12" w14:textId="77777777" w:rsidR="001A27C6" w:rsidRPr="0058498D" w:rsidRDefault="001A27C6" w:rsidP="00293C46">
            <w:pPr>
              <w:keepNext/>
              <w:keepLines/>
              <w:spacing w:before="0"/>
              <w:rPr>
                <w:rFonts w:ascii="Arial Narrow" w:eastAsia="Times New Roman" w:hAnsi="Arial Narrow" w:cs="Times New Roman"/>
                <w:b/>
                <w:sz w:val="20"/>
                <w:szCs w:val="24"/>
                <w:lang w:val="en-US" w:eastAsia="en-AU"/>
              </w:rPr>
            </w:pPr>
            <w:r w:rsidRPr="0058498D">
              <w:rPr>
                <w:rFonts w:ascii="Arial Narrow" w:eastAsia="Times New Roman" w:hAnsi="Arial Narrow" w:cs="Times New Roman"/>
                <w:b/>
                <w:sz w:val="20"/>
                <w:szCs w:val="24"/>
                <w:lang w:val="en-US" w:eastAsia="en-AU"/>
              </w:rPr>
              <w:t>SA</w:t>
            </w:r>
          </w:p>
        </w:tc>
        <w:tc>
          <w:tcPr>
            <w:tcW w:w="1171" w:type="dxa"/>
            <w:vAlign w:val="center"/>
          </w:tcPr>
          <w:p w14:paraId="407D594E" w14:textId="77777777" w:rsidR="001A27C6" w:rsidRPr="0058498D" w:rsidRDefault="001A27C6" w:rsidP="00293C46">
            <w:pPr>
              <w:keepNext/>
              <w:keepLines/>
              <w:spacing w:before="0"/>
              <w:rPr>
                <w:rFonts w:ascii="Arial Narrow" w:eastAsia="Times New Roman" w:hAnsi="Arial Narrow" w:cs="Times New Roman"/>
                <w:b/>
                <w:sz w:val="20"/>
                <w:szCs w:val="24"/>
                <w:lang w:val="en-US" w:eastAsia="en-AU"/>
              </w:rPr>
            </w:pPr>
            <w:r w:rsidRPr="0058498D">
              <w:rPr>
                <w:rFonts w:ascii="Arial Narrow" w:eastAsia="Times New Roman" w:hAnsi="Arial Narrow" w:cs="Times New Roman"/>
                <w:b/>
                <w:sz w:val="20"/>
                <w:szCs w:val="24"/>
                <w:lang w:val="en-US" w:eastAsia="en-AU"/>
              </w:rPr>
              <w:t>FC Arm</w:t>
            </w:r>
          </w:p>
        </w:tc>
        <w:tc>
          <w:tcPr>
            <w:tcW w:w="1207" w:type="dxa"/>
            <w:vAlign w:val="center"/>
          </w:tcPr>
          <w:p w14:paraId="23D7D12A" w14:textId="77777777" w:rsidR="001A27C6" w:rsidRPr="0058498D" w:rsidRDefault="001A27C6" w:rsidP="00293C46">
            <w:pPr>
              <w:keepNext/>
              <w:keepLines/>
              <w:spacing w:before="0"/>
              <w:rPr>
                <w:rFonts w:ascii="Arial Narrow" w:eastAsia="Times New Roman" w:hAnsi="Arial Narrow" w:cs="Times New Roman"/>
                <w:b/>
                <w:sz w:val="20"/>
                <w:szCs w:val="24"/>
                <w:lang w:val="en-US" w:eastAsia="en-AU"/>
              </w:rPr>
            </w:pPr>
            <w:r w:rsidRPr="0058498D">
              <w:rPr>
                <w:rFonts w:ascii="Arial Narrow" w:eastAsia="Times New Roman" w:hAnsi="Arial Narrow" w:cs="Times New Roman"/>
                <w:b/>
                <w:sz w:val="20"/>
                <w:szCs w:val="24"/>
                <w:lang w:val="en-US" w:eastAsia="en-AU"/>
              </w:rPr>
              <w:t>No FC Arm</w:t>
            </w:r>
          </w:p>
        </w:tc>
        <w:tc>
          <w:tcPr>
            <w:tcW w:w="1123" w:type="dxa"/>
            <w:vAlign w:val="center"/>
          </w:tcPr>
          <w:p w14:paraId="29800B35" w14:textId="77777777" w:rsidR="001A27C6" w:rsidRPr="0058498D" w:rsidRDefault="001A27C6" w:rsidP="00293C46">
            <w:pPr>
              <w:keepNext/>
              <w:keepLines/>
              <w:spacing w:before="0"/>
              <w:rPr>
                <w:rFonts w:ascii="Arial Narrow" w:eastAsia="Times New Roman" w:hAnsi="Arial Narrow" w:cs="Times New Roman"/>
                <w:b/>
                <w:sz w:val="20"/>
                <w:szCs w:val="24"/>
                <w:lang w:val="en-US" w:eastAsia="en-AU"/>
              </w:rPr>
            </w:pPr>
            <w:r w:rsidRPr="0058498D">
              <w:rPr>
                <w:rFonts w:ascii="Arial Narrow" w:eastAsia="Times New Roman" w:hAnsi="Arial Narrow" w:cs="Times New Roman"/>
                <w:b/>
                <w:sz w:val="20"/>
                <w:szCs w:val="24"/>
                <w:lang w:val="en-US" w:eastAsia="en-AU"/>
              </w:rPr>
              <w:t>Additional costs/cost offsets</w:t>
            </w:r>
          </w:p>
        </w:tc>
        <w:tc>
          <w:tcPr>
            <w:tcW w:w="916" w:type="dxa"/>
            <w:vAlign w:val="center"/>
          </w:tcPr>
          <w:p w14:paraId="303AA6A7" w14:textId="77777777" w:rsidR="001A27C6" w:rsidRPr="0058498D" w:rsidRDefault="001A27C6" w:rsidP="00293C46">
            <w:pPr>
              <w:keepNext/>
              <w:keepLines/>
              <w:spacing w:before="0"/>
              <w:rPr>
                <w:rFonts w:ascii="Arial Narrow" w:eastAsia="Times New Roman" w:hAnsi="Arial Narrow" w:cs="Times New Roman"/>
                <w:b/>
                <w:sz w:val="20"/>
                <w:szCs w:val="24"/>
                <w:lang w:val="en-US" w:eastAsia="en-AU"/>
              </w:rPr>
            </w:pPr>
            <w:r w:rsidRPr="0058498D">
              <w:rPr>
                <w:rFonts w:ascii="Arial Narrow" w:eastAsia="Times New Roman" w:hAnsi="Arial Narrow" w:cs="Times New Roman"/>
                <w:b/>
                <w:sz w:val="20"/>
                <w:szCs w:val="24"/>
                <w:lang w:val="en-US" w:eastAsia="en-AU"/>
              </w:rPr>
              <w:t>% Inc</w:t>
            </w:r>
          </w:p>
        </w:tc>
      </w:tr>
      <w:tr w:rsidR="00424582" w:rsidRPr="0058498D" w14:paraId="46851B86" w14:textId="77777777" w:rsidTr="007F5EA2">
        <w:tc>
          <w:tcPr>
            <w:tcW w:w="611" w:type="dxa"/>
          </w:tcPr>
          <w:p w14:paraId="53FA791D" w14:textId="77777777" w:rsidR="00424582" w:rsidRPr="0058498D" w:rsidRDefault="00424582" w:rsidP="00293C46">
            <w:pPr>
              <w:keepNext/>
              <w:keepLines/>
              <w:spacing w:before="0"/>
              <w:rPr>
                <w:rFonts w:ascii="Arial Narrow" w:eastAsia="Times New Roman" w:hAnsi="Arial Narrow" w:cs="Times New Roman"/>
                <w:bCs/>
                <w:sz w:val="20"/>
                <w:szCs w:val="24"/>
                <w:lang w:val="en-US" w:eastAsia="en-AU"/>
              </w:rPr>
            </w:pPr>
          </w:p>
        </w:tc>
        <w:tc>
          <w:tcPr>
            <w:tcW w:w="1532" w:type="dxa"/>
            <w:vAlign w:val="center"/>
          </w:tcPr>
          <w:p w14:paraId="4B0524E7" w14:textId="7E7B1CFD" w:rsidR="00424582"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Calibri" w:hAnsi="Arial Narrow" w:cs="Times New Roman"/>
                <w:b/>
                <w:sz w:val="20"/>
              </w:rPr>
              <w:t>Base case*</w:t>
            </w:r>
          </w:p>
        </w:tc>
        <w:tc>
          <w:tcPr>
            <w:tcW w:w="1228" w:type="dxa"/>
            <w:vAlign w:val="bottom"/>
          </w:tcPr>
          <w:p w14:paraId="1F6583D1" w14:textId="191A1C6F" w:rsidR="00424582" w:rsidRPr="0058498D" w:rsidRDefault="00424582" w:rsidP="00293C46">
            <w:pPr>
              <w:keepNext/>
              <w:keepLines/>
              <w:spacing w:before="0"/>
              <w:rPr>
                <w:rFonts w:ascii="Arial Narrow" w:eastAsia="Times New Roman" w:hAnsi="Arial Narrow" w:cs="Tahoma"/>
                <w:sz w:val="20"/>
                <w:szCs w:val="20"/>
                <w:lang w:eastAsia="en-AU"/>
              </w:rPr>
            </w:pPr>
          </w:p>
        </w:tc>
        <w:tc>
          <w:tcPr>
            <w:tcW w:w="1171" w:type="dxa"/>
            <w:vAlign w:val="bottom"/>
          </w:tcPr>
          <w:p w14:paraId="147EB0DC" w14:textId="7EBB1B35"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Calibri" w:hAnsi="Arial Narrow" w:cs="Times New Roman"/>
                <w:b/>
                <w:bCs/>
                <w:sz w:val="20"/>
              </w:rPr>
              <w:t>$135,629</w:t>
            </w:r>
          </w:p>
        </w:tc>
        <w:tc>
          <w:tcPr>
            <w:tcW w:w="1207" w:type="dxa"/>
            <w:vAlign w:val="bottom"/>
          </w:tcPr>
          <w:p w14:paraId="5B53A9C8" w14:textId="6B0FAFD2"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Calibri" w:hAnsi="Arial Narrow" w:cs="Times New Roman"/>
                <w:b/>
                <w:bCs/>
                <w:sz w:val="20"/>
              </w:rPr>
              <w:t>$153,580</w:t>
            </w:r>
          </w:p>
        </w:tc>
        <w:tc>
          <w:tcPr>
            <w:tcW w:w="1123" w:type="dxa"/>
            <w:vAlign w:val="bottom"/>
          </w:tcPr>
          <w:p w14:paraId="33A550E6" w14:textId="53D8F6F6"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Calibri" w:hAnsi="Arial Narrow" w:cs="Times New Roman"/>
                <w:b/>
                <w:bCs/>
                <w:sz w:val="20"/>
              </w:rPr>
              <w:t>-$17,951</w:t>
            </w:r>
          </w:p>
        </w:tc>
        <w:tc>
          <w:tcPr>
            <w:tcW w:w="916" w:type="dxa"/>
            <w:vAlign w:val="center"/>
          </w:tcPr>
          <w:p w14:paraId="681D48F7" w14:textId="77777777" w:rsidR="00424582" w:rsidRPr="0058498D" w:rsidRDefault="00424582" w:rsidP="00293C46">
            <w:pPr>
              <w:keepNext/>
              <w:keepLines/>
              <w:spacing w:before="0"/>
              <w:rPr>
                <w:rFonts w:ascii="Arial Narrow" w:eastAsia="Times New Roman" w:hAnsi="Arial Narrow" w:cs="Tahoma"/>
                <w:sz w:val="20"/>
                <w:szCs w:val="20"/>
                <w:lang w:eastAsia="en-AU"/>
              </w:rPr>
            </w:pPr>
          </w:p>
        </w:tc>
      </w:tr>
      <w:tr w:rsidR="00424582" w:rsidRPr="0058498D" w14:paraId="2F5FF414" w14:textId="77777777" w:rsidTr="007F5EA2">
        <w:tc>
          <w:tcPr>
            <w:tcW w:w="611" w:type="dxa"/>
          </w:tcPr>
          <w:p w14:paraId="31965A4C" w14:textId="4FA2C401" w:rsidR="00424582" w:rsidRPr="0058498D" w:rsidRDefault="00424582" w:rsidP="00293C46">
            <w:pPr>
              <w:keepNext/>
              <w:keepLines/>
              <w:spacing w:before="0"/>
              <w:rPr>
                <w:rFonts w:ascii="Arial Narrow" w:eastAsia="Times New Roman" w:hAnsi="Arial Narrow" w:cs="Times New Roman"/>
                <w:bCs/>
                <w:sz w:val="20"/>
                <w:szCs w:val="24"/>
                <w:lang w:val="en-US" w:eastAsia="en-AU"/>
              </w:rPr>
            </w:pPr>
            <w:r w:rsidRPr="0058498D">
              <w:rPr>
                <w:rFonts w:ascii="Arial Narrow" w:eastAsia="Times New Roman" w:hAnsi="Arial Narrow" w:cs="Times New Roman"/>
                <w:bCs/>
                <w:sz w:val="20"/>
                <w:szCs w:val="24"/>
                <w:lang w:val="en-US" w:eastAsia="en-AU"/>
              </w:rPr>
              <w:t xml:space="preserve">SA1 </w:t>
            </w:r>
          </w:p>
          <w:p w14:paraId="7012D479" w14:textId="77777777" w:rsidR="00424582" w:rsidRPr="0058498D" w:rsidRDefault="00424582" w:rsidP="00293C46">
            <w:pPr>
              <w:keepNext/>
              <w:keepLines/>
              <w:spacing w:before="0"/>
              <w:rPr>
                <w:rFonts w:ascii="Arial Narrow" w:eastAsia="Times New Roman" w:hAnsi="Arial Narrow" w:cs="Tahoma"/>
                <w:sz w:val="20"/>
                <w:szCs w:val="20"/>
                <w:vertAlign w:val="superscript"/>
                <w:lang w:eastAsia="en-AU"/>
              </w:rPr>
            </w:pPr>
          </w:p>
        </w:tc>
        <w:tc>
          <w:tcPr>
            <w:tcW w:w="1532" w:type="dxa"/>
          </w:tcPr>
          <w:p w14:paraId="1D6E0F02" w14:textId="382BDB2C" w:rsidR="00424582" w:rsidRPr="0058498D" w:rsidRDefault="00424582" w:rsidP="00293C46">
            <w:pPr>
              <w:keepNext/>
              <w:keepLines/>
              <w:spacing w:before="0"/>
              <w:rPr>
                <w:rFonts w:ascii="Arial Narrow" w:eastAsia="Times New Roman" w:hAnsi="Arial Narrow" w:cs="Tahoma"/>
                <w:sz w:val="20"/>
                <w:szCs w:val="20"/>
                <w:vertAlign w:val="superscript"/>
                <w:lang w:eastAsia="en-AU"/>
              </w:rPr>
            </w:pPr>
            <w:r>
              <w:rPr>
                <w:rFonts w:ascii="Arial Narrow" w:eastAsia="Times New Roman" w:hAnsi="Arial Narrow" w:cs="Tahoma"/>
                <w:sz w:val="20"/>
                <w:szCs w:val="20"/>
                <w:lang w:eastAsia="en-AU"/>
              </w:rPr>
              <w:t>100% of s</w:t>
            </w:r>
            <w:r w:rsidRPr="0058498D">
              <w:rPr>
                <w:rFonts w:ascii="Arial Narrow" w:eastAsia="Times New Roman" w:hAnsi="Arial Narrow" w:cs="Tahoma"/>
                <w:sz w:val="20"/>
                <w:szCs w:val="20"/>
                <w:lang w:eastAsia="en-AU"/>
              </w:rPr>
              <w:t>ymptomatic patients receiv</w:t>
            </w:r>
            <w:r>
              <w:rPr>
                <w:rFonts w:ascii="Arial Narrow" w:eastAsia="Times New Roman" w:hAnsi="Arial Narrow" w:cs="Tahoma"/>
                <w:sz w:val="20"/>
                <w:szCs w:val="20"/>
                <w:lang w:eastAsia="en-AU"/>
              </w:rPr>
              <w:t>e</w:t>
            </w:r>
            <w:r w:rsidRPr="0058498D">
              <w:rPr>
                <w:rFonts w:ascii="Arial Narrow" w:eastAsia="Times New Roman" w:hAnsi="Arial Narrow" w:cs="Tahoma"/>
                <w:sz w:val="20"/>
                <w:szCs w:val="20"/>
                <w:lang w:eastAsia="en-AU"/>
              </w:rPr>
              <w:t xml:space="preserve"> colonoscopy in no FC arm</w:t>
            </w:r>
          </w:p>
        </w:tc>
        <w:tc>
          <w:tcPr>
            <w:tcW w:w="1228" w:type="dxa"/>
            <w:vAlign w:val="center"/>
          </w:tcPr>
          <w:p w14:paraId="6E1BB797"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50%</w:t>
            </w:r>
          </w:p>
          <w:p w14:paraId="385F0787"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60%</w:t>
            </w:r>
          </w:p>
          <w:p w14:paraId="30B0A0A2"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70%</w:t>
            </w:r>
          </w:p>
        </w:tc>
        <w:tc>
          <w:tcPr>
            <w:tcW w:w="1171" w:type="dxa"/>
            <w:vAlign w:val="center"/>
          </w:tcPr>
          <w:p w14:paraId="030F317C"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$116,970</w:t>
            </w:r>
          </w:p>
          <w:p w14:paraId="78EA1239"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$120,702</w:t>
            </w:r>
          </w:p>
          <w:p w14:paraId="46CA0D0B"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$124,434</w:t>
            </w:r>
          </w:p>
        </w:tc>
        <w:tc>
          <w:tcPr>
            <w:tcW w:w="1207" w:type="dxa"/>
            <w:vAlign w:val="center"/>
          </w:tcPr>
          <w:p w14:paraId="506344F9"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$91,383</w:t>
            </w:r>
          </w:p>
          <w:p w14:paraId="0B59E677"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$103,823</w:t>
            </w:r>
          </w:p>
          <w:p w14:paraId="12EB2D30"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$116,262</w:t>
            </w:r>
          </w:p>
        </w:tc>
        <w:tc>
          <w:tcPr>
            <w:tcW w:w="1123" w:type="dxa"/>
            <w:vAlign w:val="center"/>
          </w:tcPr>
          <w:p w14:paraId="633148A0"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$25,587</w:t>
            </w:r>
          </w:p>
          <w:p w14:paraId="74BC192F"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$16,879</w:t>
            </w:r>
          </w:p>
          <w:p w14:paraId="6F1F11F6"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$8,172</w:t>
            </w:r>
          </w:p>
        </w:tc>
        <w:tc>
          <w:tcPr>
            <w:tcW w:w="916" w:type="dxa"/>
            <w:vAlign w:val="center"/>
          </w:tcPr>
          <w:p w14:paraId="16010E2B"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242.50%</w:t>
            </w:r>
          </w:p>
          <w:p w14:paraId="41894E94"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194.70%</w:t>
            </w:r>
          </w:p>
          <w:p w14:paraId="4B985E21"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145.50%</w:t>
            </w:r>
          </w:p>
        </w:tc>
      </w:tr>
      <w:tr w:rsidR="00424582" w:rsidRPr="0058498D" w14:paraId="00568A91" w14:textId="77777777" w:rsidTr="007F5EA2">
        <w:tc>
          <w:tcPr>
            <w:tcW w:w="611" w:type="dxa"/>
          </w:tcPr>
          <w:p w14:paraId="0F235FD0" w14:textId="05856C40" w:rsidR="00424582" w:rsidRPr="0058498D" w:rsidRDefault="00424582" w:rsidP="00293C46">
            <w:pPr>
              <w:keepNext/>
              <w:keepLines/>
              <w:spacing w:before="0"/>
              <w:rPr>
                <w:rFonts w:ascii="Arial Narrow" w:eastAsia="Times New Roman" w:hAnsi="Arial Narrow" w:cs="Tahoma"/>
                <w:sz w:val="20"/>
                <w:szCs w:val="20"/>
                <w:vertAlign w:val="superscript"/>
                <w:lang w:eastAsia="en-AU"/>
              </w:rPr>
            </w:pPr>
            <w:r w:rsidRPr="0058498D">
              <w:rPr>
                <w:rFonts w:ascii="Arial Narrow" w:eastAsia="Times New Roman" w:hAnsi="Arial Narrow" w:cs="Tahoma"/>
                <w:sz w:val="20"/>
                <w:szCs w:val="20"/>
                <w:lang w:eastAsia="en-AU"/>
              </w:rPr>
              <w:t>SA2</w:t>
            </w:r>
          </w:p>
        </w:tc>
        <w:tc>
          <w:tcPr>
            <w:tcW w:w="1532" w:type="dxa"/>
            <w:vAlign w:val="center"/>
          </w:tcPr>
          <w:p w14:paraId="5B1F590C" w14:textId="229FA744" w:rsidR="00424582" w:rsidRPr="0058498D" w:rsidRDefault="00424582" w:rsidP="00293C46">
            <w:pPr>
              <w:keepNext/>
              <w:keepLines/>
              <w:spacing w:before="0"/>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30.31% R</w:t>
            </w:r>
            <w:r w:rsidRPr="0058498D">
              <w:rPr>
                <w:rFonts w:ascii="Arial Narrow" w:eastAsia="Times New Roman" w:hAnsi="Arial Narrow" w:cs="Tahoma"/>
                <w:sz w:val="20"/>
                <w:szCs w:val="20"/>
                <w:lang w:eastAsia="en-AU"/>
              </w:rPr>
              <w:t xml:space="preserve">eduction in colonoscopies </w:t>
            </w:r>
          </w:p>
        </w:tc>
        <w:tc>
          <w:tcPr>
            <w:tcW w:w="1228" w:type="dxa"/>
            <w:vAlign w:val="center"/>
          </w:tcPr>
          <w:p w14:paraId="334E45D9"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0%</w:t>
            </w:r>
          </w:p>
          <w:p w14:paraId="5CDA5D76"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10%</w:t>
            </w:r>
          </w:p>
        </w:tc>
        <w:tc>
          <w:tcPr>
            <w:tcW w:w="1171" w:type="dxa"/>
            <w:vAlign w:val="center"/>
          </w:tcPr>
          <w:p w14:paraId="40406A95"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$178,987</w:t>
            </w:r>
          </w:p>
          <w:p w14:paraId="0245B37E"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$164,682</w:t>
            </w:r>
          </w:p>
        </w:tc>
        <w:tc>
          <w:tcPr>
            <w:tcW w:w="1207" w:type="dxa"/>
            <w:vAlign w:val="center"/>
          </w:tcPr>
          <w:p w14:paraId="4703A8B0"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$153,580</w:t>
            </w:r>
          </w:p>
          <w:p w14:paraId="726B3F74"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$153,580</w:t>
            </w:r>
          </w:p>
        </w:tc>
        <w:tc>
          <w:tcPr>
            <w:tcW w:w="1123" w:type="dxa"/>
            <w:vAlign w:val="center"/>
          </w:tcPr>
          <w:p w14:paraId="176E3BFB"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$25,408</w:t>
            </w:r>
          </w:p>
          <w:p w14:paraId="7AFFC2F4"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$11,102</w:t>
            </w:r>
          </w:p>
        </w:tc>
        <w:tc>
          <w:tcPr>
            <w:tcW w:w="916" w:type="dxa"/>
            <w:vAlign w:val="center"/>
          </w:tcPr>
          <w:p w14:paraId="40E70260"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241.50%</w:t>
            </w:r>
          </w:p>
          <w:p w14:paraId="795300E7"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161.8%</w:t>
            </w:r>
          </w:p>
        </w:tc>
      </w:tr>
      <w:tr w:rsidR="00424582" w:rsidRPr="0058498D" w14:paraId="22B10D6F" w14:textId="77777777">
        <w:tc>
          <w:tcPr>
            <w:tcW w:w="611" w:type="dxa"/>
          </w:tcPr>
          <w:p w14:paraId="130E9ED7" w14:textId="5664C64C" w:rsidR="00424582" w:rsidRPr="0058498D" w:rsidRDefault="00424582" w:rsidP="00293C46">
            <w:pPr>
              <w:keepNext/>
              <w:keepLines/>
              <w:spacing w:before="0"/>
              <w:rPr>
                <w:rFonts w:ascii="Arial Narrow" w:eastAsia="Times New Roman" w:hAnsi="Arial Narrow" w:cs="Tahoma"/>
                <w:sz w:val="20"/>
                <w:szCs w:val="20"/>
                <w:vertAlign w:val="superscript"/>
                <w:lang w:eastAsia="en-AU"/>
              </w:rPr>
            </w:pPr>
            <w:r w:rsidRPr="0058498D">
              <w:rPr>
                <w:rFonts w:ascii="Arial Narrow" w:eastAsia="Times New Roman" w:hAnsi="Arial Narrow" w:cs="Tahoma"/>
                <w:sz w:val="20"/>
                <w:szCs w:val="20"/>
                <w:lang w:eastAsia="en-AU"/>
              </w:rPr>
              <w:t>SA3</w:t>
            </w:r>
          </w:p>
        </w:tc>
        <w:tc>
          <w:tcPr>
            <w:tcW w:w="1532" w:type="dxa"/>
            <w:vAlign w:val="center"/>
          </w:tcPr>
          <w:p w14:paraId="32F0607F" w14:textId="2910D14F" w:rsidR="00424582" w:rsidRPr="0058498D" w:rsidRDefault="00424582" w:rsidP="00293C46">
            <w:pPr>
              <w:keepNext/>
              <w:keepLines/>
              <w:spacing w:before="0"/>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70% A</w:t>
            </w:r>
            <w:r w:rsidRPr="0058498D">
              <w:rPr>
                <w:rFonts w:ascii="Arial Narrow" w:eastAsia="Times New Roman" w:hAnsi="Arial Narrow" w:cs="Tahoma"/>
                <w:sz w:val="20"/>
                <w:szCs w:val="20"/>
                <w:lang w:eastAsia="en-AU"/>
              </w:rPr>
              <w:t>dherence to surveillance FC testing in symptomatic patients</w:t>
            </w:r>
          </w:p>
        </w:tc>
        <w:tc>
          <w:tcPr>
            <w:tcW w:w="1228" w:type="dxa"/>
            <w:vAlign w:val="center"/>
          </w:tcPr>
          <w:p w14:paraId="42CE1B53"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50%</w:t>
            </w:r>
          </w:p>
        </w:tc>
        <w:tc>
          <w:tcPr>
            <w:tcW w:w="1171" w:type="dxa"/>
            <w:vAlign w:val="center"/>
          </w:tcPr>
          <w:p w14:paraId="77FB1C5C"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$145,352</w:t>
            </w:r>
          </w:p>
        </w:tc>
        <w:tc>
          <w:tcPr>
            <w:tcW w:w="1207" w:type="dxa"/>
            <w:vAlign w:val="center"/>
          </w:tcPr>
          <w:p w14:paraId="777BF41F"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$153,580</w:t>
            </w:r>
          </w:p>
        </w:tc>
        <w:tc>
          <w:tcPr>
            <w:tcW w:w="1123" w:type="dxa"/>
            <w:vAlign w:val="center"/>
          </w:tcPr>
          <w:p w14:paraId="69514F75"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-$8,228</w:t>
            </w:r>
          </w:p>
        </w:tc>
        <w:tc>
          <w:tcPr>
            <w:tcW w:w="916" w:type="dxa"/>
            <w:vAlign w:val="center"/>
          </w:tcPr>
          <w:p w14:paraId="6F6221A1"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54.20%</w:t>
            </w:r>
          </w:p>
        </w:tc>
      </w:tr>
      <w:tr w:rsidR="00424582" w:rsidRPr="0058498D" w14:paraId="42287761" w14:textId="77777777">
        <w:tc>
          <w:tcPr>
            <w:tcW w:w="611" w:type="dxa"/>
          </w:tcPr>
          <w:p w14:paraId="7D5D1D2F" w14:textId="260A97BB"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SA4</w:t>
            </w:r>
          </w:p>
        </w:tc>
        <w:tc>
          <w:tcPr>
            <w:tcW w:w="1532" w:type="dxa"/>
            <w:vAlign w:val="center"/>
          </w:tcPr>
          <w:p w14:paraId="78358750" w14:textId="66BEC827" w:rsidR="00424582" w:rsidRPr="0058498D" w:rsidRDefault="00424582" w:rsidP="00293C46">
            <w:pPr>
              <w:keepNext/>
              <w:keepLines/>
              <w:spacing w:before="0"/>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100% A</w:t>
            </w:r>
            <w:r w:rsidRPr="0058498D">
              <w:rPr>
                <w:rFonts w:ascii="Arial Narrow" w:eastAsia="Times New Roman" w:hAnsi="Arial Narrow" w:cs="Tahoma"/>
                <w:sz w:val="20"/>
                <w:szCs w:val="20"/>
                <w:lang w:eastAsia="en-AU"/>
              </w:rPr>
              <w:t>dherence to repeat FC testing in symptomatic and asymptomatic patients</w:t>
            </w:r>
          </w:p>
        </w:tc>
        <w:tc>
          <w:tcPr>
            <w:tcW w:w="1228" w:type="dxa"/>
            <w:vAlign w:val="center"/>
          </w:tcPr>
          <w:p w14:paraId="44C7945A"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70% in symptomatic patients</w:t>
            </w:r>
          </w:p>
          <w:p w14:paraId="37931990" w14:textId="77777777" w:rsidR="00424582" w:rsidRPr="0058498D" w:rsidRDefault="00424582" w:rsidP="00293C46">
            <w:pPr>
              <w:keepNext/>
              <w:keepLines/>
              <w:spacing w:before="0"/>
              <w:rPr>
                <w:rFonts w:ascii="Arial Narrow" w:eastAsia="Times New Roman" w:hAnsi="Arial Narrow" w:cs="Tahoma"/>
                <w:sz w:val="20"/>
                <w:szCs w:val="20"/>
                <w:lang w:eastAsia="en-AU"/>
              </w:rPr>
            </w:pPr>
          </w:p>
          <w:p w14:paraId="21486D20"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50% in asymptomatic patients</w:t>
            </w:r>
          </w:p>
        </w:tc>
        <w:tc>
          <w:tcPr>
            <w:tcW w:w="1171" w:type="dxa"/>
            <w:vAlign w:val="center"/>
          </w:tcPr>
          <w:p w14:paraId="728F26DC"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$133,027</w:t>
            </w:r>
          </w:p>
        </w:tc>
        <w:tc>
          <w:tcPr>
            <w:tcW w:w="1207" w:type="dxa"/>
            <w:vAlign w:val="center"/>
          </w:tcPr>
          <w:p w14:paraId="78D2B5A3"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$153,580</w:t>
            </w:r>
          </w:p>
        </w:tc>
        <w:tc>
          <w:tcPr>
            <w:tcW w:w="1123" w:type="dxa"/>
            <w:vAlign w:val="center"/>
          </w:tcPr>
          <w:p w14:paraId="468F27D3" w14:textId="77777777" w:rsidR="00424582" w:rsidRPr="0058498D" w:rsidRDefault="00424582" w:rsidP="00293C46">
            <w:pPr>
              <w:keepNext/>
              <w:keepLines/>
              <w:spacing w:before="0"/>
              <w:rPr>
                <w:rFonts w:ascii="Arial Narrow" w:eastAsia="Times New Roman" w:hAnsi="Arial Narrow" w:cs="Tahoma"/>
                <w:color w:val="000000"/>
                <w:sz w:val="20"/>
                <w:szCs w:val="20"/>
                <w:lang w:eastAsia="en-AU"/>
              </w:rPr>
            </w:pPr>
            <w:r w:rsidRPr="0058498D">
              <w:rPr>
                <w:rFonts w:ascii="Arial Narrow" w:eastAsia="Times New Roman" w:hAnsi="Arial Narrow" w:cs="Tahoma"/>
                <w:color w:val="000000"/>
                <w:sz w:val="20"/>
                <w:szCs w:val="20"/>
                <w:lang w:eastAsia="en-AU"/>
              </w:rPr>
              <w:t>-$20,553</w:t>
            </w:r>
          </w:p>
        </w:tc>
        <w:tc>
          <w:tcPr>
            <w:tcW w:w="916" w:type="dxa"/>
            <w:vAlign w:val="center"/>
          </w:tcPr>
          <w:p w14:paraId="7CF79BFF" w14:textId="77777777" w:rsidR="00424582" w:rsidRPr="0058498D" w:rsidRDefault="00424582" w:rsidP="00293C46">
            <w:pPr>
              <w:keepNext/>
              <w:keepLines/>
              <w:spacing w:before="0"/>
              <w:rPr>
                <w:rFonts w:ascii="Arial Narrow" w:eastAsia="Times New Roman" w:hAnsi="Arial Narrow" w:cs="Tahoma"/>
                <w:sz w:val="20"/>
                <w:szCs w:val="20"/>
                <w:lang w:eastAsia="en-AU"/>
              </w:rPr>
            </w:pPr>
            <w:r w:rsidRPr="0058498D">
              <w:rPr>
                <w:rFonts w:ascii="Arial Narrow" w:eastAsia="Times New Roman" w:hAnsi="Arial Narrow" w:cs="Tahoma"/>
                <w:sz w:val="20"/>
                <w:szCs w:val="20"/>
                <w:lang w:eastAsia="en-AU"/>
              </w:rPr>
              <w:t>-14.5%</w:t>
            </w:r>
          </w:p>
        </w:tc>
      </w:tr>
      <w:tr w:rsidR="003A4EFC" w:rsidRPr="0058498D" w14:paraId="056EFAAA" w14:textId="77777777" w:rsidTr="007F5EA2">
        <w:tc>
          <w:tcPr>
            <w:tcW w:w="611" w:type="dxa"/>
          </w:tcPr>
          <w:p w14:paraId="1BBA9FD6" w14:textId="7AF16A35" w:rsidR="003A4EFC" w:rsidRPr="0058498D" w:rsidRDefault="003A4EFC" w:rsidP="00293C46">
            <w:pPr>
              <w:keepNext/>
              <w:keepLines/>
              <w:spacing w:before="0"/>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SA5</w:t>
            </w:r>
            <w:r w:rsidR="00DC7895" w:rsidRPr="007F5EA2">
              <w:rPr>
                <w:rFonts w:ascii="Arial Narrow" w:eastAsia="Times New Roman" w:hAnsi="Arial Narrow" w:cs="Tahoma"/>
                <w:sz w:val="20"/>
                <w:szCs w:val="20"/>
                <w:vertAlign w:val="superscript"/>
                <w:lang w:eastAsia="en-AU"/>
              </w:rPr>
              <w:t>a</w:t>
            </w:r>
          </w:p>
        </w:tc>
        <w:tc>
          <w:tcPr>
            <w:tcW w:w="1532" w:type="dxa"/>
            <w:vAlign w:val="center"/>
          </w:tcPr>
          <w:p w14:paraId="61928D50" w14:textId="03712E23" w:rsidR="003A4EFC" w:rsidRPr="0058498D" w:rsidRDefault="003A4EFC" w:rsidP="00293C46">
            <w:pPr>
              <w:keepNext/>
              <w:keepLines/>
              <w:spacing w:before="0"/>
              <w:rPr>
                <w:rFonts w:ascii="Arial Narrow" w:eastAsia="Times New Roman" w:hAnsi="Arial Narrow" w:cs="Tahoma"/>
                <w:sz w:val="20"/>
                <w:szCs w:val="20"/>
                <w:lang w:eastAsia="en-AU"/>
              </w:rPr>
            </w:pPr>
            <w:r w:rsidRPr="00B86ECC">
              <w:rPr>
                <w:rFonts w:ascii="Arial Narrow" w:eastAsia="Times New Roman" w:hAnsi="Arial Narrow" w:cs="Tahoma"/>
                <w:sz w:val="20"/>
                <w:szCs w:val="20"/>
                <w:lang w:eastAsia="en-AU"/>
              </w:rPr>
              <w:t>Ongoing patients are billed item 110 annually and all subsequent appointments in that year are billed item 116.</w:t>
            </w:r>
          </w:p>
        </w:tc>
        <w:tc>
          <w:tcPr>
            <w:tcW w:w="1228" w:type="dxa"/>
            <w:vAlign w:val="center"/>
          </w:tcPr>
          <w:p w14:paraId="24EEF969" w14:textId="37ED85E8" w:rsidR="003A4EFC" w:rsidRPr="0058498D" w:rsidRDefault="003A4EFC" w:rsidP="00293C46">
            <w:pPr>
              <w:keepNext/>
              <w:keepLines/>
              <w:spacing w:before="0"/>
              <w:rPr>
                <w:rFonts w:ascii="Arial Narrow" w:eastAsia="Times New Roman" w:hAnsi="Arial Narrow" w:cs="Tahoma"/>
                <w:sz w:val="20"/>
                <w:szCs w:val="20"/>
                <w:lang w:eastAsia="en-AU"/>
              </w:rPr>
            </w:pPr>
            <w:r w:rsidRPr="00DF23E3">
              <w:rPr>
                <w:rFonts w:ascii="Arial Narrow" w:eastAsia="Times New Roman" w:hAnsi="Arial Narrow" w:cs="Tahoma"/>
                <w:sz w:val="20"/>
                <w:szCs w:val="20"/>
                <w:lang w:eastAsia="en-AU"/>
              </w:rPr>
              <w:t>Ongoing patients are billed item 110 for their first appointment only and item 116 for all subsequent appointments</w:t>
            </w:r>
          </w:p>
        </w:tc>
        <w:tc>
          <w:tcPr>
            <w:tcW w:w="1171" w:type="dxa"/>
            <w:vAlign w:val="center"/>
          </w:tcPr>
          <w:p w14:paraId="7EE2F27A" w14:textId="7B937817" w:rsidR="003A4EFC" w:rsidRPr="003A4EFC" w:rsidRDefault="003A4EFC" w:rsidP="00293C46">
            <w:pPr>
              <w:keepNext/>
              <w:keepLines/>
              <w:spacing w:before="0"/>
              <w:rPr>
                <w:rFonts w:ascii="Arial Narrow" w:eastAsia="Times New Roman" w:hAnsi="Arial Narrow" w:cs="Tahoma"/>
                <w:color w:val="000000"/>
                <w:sz w:val="20"/>
                <w:szCs w:val="20"/>
                <w:lang w:eastAsia="en-AU"/>
              </w:rPr>
            </w:pPr>
            <w:r w:rsidRPr="007F5EA2">
              <w:rPr>
                <w:rFonts w:ascii="Arial Narrow" w:hAnsi="Arial Narrow"/>
                <w:sz w:val="20"/>
                <w:szCs w:val="20"/>
              </w:rPr>
              <w:t>$130,823</w:t>
            </w:r>
          </w:p>
        </w:tc>
        <w:tc>
          <w:tcPr>
            <w:tcW w:w="1207" w:type="dxa"/>
            <w:vAlign w:val="center"/>
          </w:tcPr>
          <w:p w14:paraId="637D4182" w14:textId="63730802" w:rsidR="003A4EFC" w:rsidRPr="003A4EFC" w:rsidRDefault="003A4EFC" w:rsidP="00293C46">
            <w:pPr>
              <w:keepNext/>
              <w:keepLines/>
              <w:spacing w:before="0"/>
              <w:rPr>
                <w:rFonts w:ascii="Arial Narrow" w:eastAsia="Times New Roman" w:hAnsi="Arial Narrow" w:cs="Tahoma"/>
                <w:color w:val="000000"/>
                <w:sz w:val="20"/>
                <w:szCs w:val="20"/>
                <w:lang w:eastAsia="en-AU"/>
              </w:rPr>
            </w:pPr>
            <w:r w:rsidRPr="007F5EA2">
              <w:rPr>
                <w:rFonts w:ascii="Arial Narrow" w:hAnsi="Arial Narrow"/>
                <w:sz w:val="20"/>
                <w:szCs w:val="20"/>
              </w:rPr>
              <w:t>$149,569</w:t>
            </w:r>
          </w:p>
        </w:tc>
        <w:tc>
          <w:tcPr>
            <w:tcW w:w="1123" w:type="dxa"/>
            <w:vAlign w:val="center"/>
          </w:tcPr>
          <w:p w14:paraId="5746F68F" w14:textId="4F072618" w:rsidR="003A4EFC" w:rsidRPr="003A4EFC" w:rsidRDefault="003A4EFC" w:rsidP="00293C46">
            <w:pPr>
              <w:keepNext/>
              <w:keepLines/>
              <w:spacing w:before="0"/>
              <w:rPr>
                <w:rFonts w:ascii="Arial Narrow" w:eastAsia="Times New Roman" w:hAnsi="Arial Narrow" w:cs="Tahoma"/>
                <w:color w:val="000000"/>
                <w:sz w:val="20"/>
                <w:szCs w:val="20"/>
                <w:lang w:eastAsia="en-AU"/>
              </w:rPr>
            </w:pPr>
            <w:r w:rsidRPr="007F5EA2">
              <w:rPr>
                <w:rFonts w:ascii="Arial Narrow" w:hAnsi="Arial Narrow"/>
                <w:sz w:val="20"/>
                <w:szCs w:val="20"/>
              </w:rPr>
              <w:t>-$18,745</w:t>
            </w:r>
          </w:p>
        </w:tc>
        <w:tc>
          <w:tcPr>
            <w:tcW w:w="916" w:type="dxa"/>
            <w:vAlign w:val="center"/>
          </w:tcPr>
          <w:p w14:paraId="586DC016" w14:textId="604D39BD" w:rsidR="003A4EFC" w:rsidRPr="003A4EFC" w:rsidRDefault="003A4EFC" w:rsidP="00293C46">
            <w:pPr>
              <w:keepNext/>
              <w:keepLines/>
              <w:spacing w:before="0"/>
              <w:rPr>
                <w:rFonts w:ascii="Arial Narrow" w:eastAsia="Times New Roman" w:hAnsi="Arial Narrow" w:cs="Tahoma"/>
                <w:sz w:val="20"/>
                <w:szCs w:val="20"/>
                <w:lang w:eastAsia="en-AU"/>
              </w:rPr>
            </w:pPr>
            <w:r w:rsidRPr="007F5EA2">
              <w:rPr>
                <w:rFonts w:ascii="Arial Narrow" w:hAnsi="Arial Narrow"/>
                <w:sz w:val="20"/>
                <w:szCs w:val="20"/>
              </w:rPr>
              <w:t>-4.4%</w:t>
            </w:r>
          </w:p>
        </w:tc>
      </w:tr>
      <w:tr w:rsidR="00DC7895" w:rsidRPr="0058498D" w14:paraId="24E12A79" w14:textId="77777777" w:rsidTr="007F5EA2">
        <w:tc>
          <w:tcPr>
            <w:tcW w:w="611" w:type="dxa"/>
          </w:tcPr>
          <w:p w14:paraId="10EE8238" w14:textId="2FB0E8AE" w:rsidR="00DC7895" w:rsidRDefault="00DC7895" w:rsidP="00293C46">
            <w:pPr>
              <w:keepNext/>
              <w:keepLines/>
              <w:spacing w:before="0"/>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 xml:space="preserve">SA6 </w:t>
            </w:r>
          </w:p>
        </w:tc>
        <w:tc>
          <w:tcPr>
            <w:tcW w:w="1532" w:type="dxa"/>
            <w:vAlign w:val="center"/>
          </w:tcPr>
          <w:p w14:paraId="29066B4C" w14:textId="3421F69C" w:rsidR="00DC7895" w:rsidRPr="00DC7895" w:rsidRDefault="00DC7895" w:rsidP="00293C46">
            <w:pPr>
              <w:keepNext/>
              <w:keepLines/>
              <w:spacing w:before="0"/>
              <w:rPr>
                <w:rFonts w:ascii="Arial Narrow" w:eastAsia="Times New Roman" w:hAnsi="Arial Narrow" w:cs="Tahoma"/>
                <w:sz w:val="20"/>
                <w:szCs w:val="20"/>
                <w:lang w:eastAsia="en-AU"/>
              </w:rPr>
            </w:pPr>
            <w:r w:rsidRPr="007F5EA2">
              <w:rPr>
                <w:rFonts w:ascii="Arial Narrow" w:eastAsia="Calibri" w:hAnsi="Arial Narrow" w:cs="Times New Roman"/>
                <w:kern w:val="2"/>
                <w:sz w:val="20"/>
                <w:szCs w:val="20"/>
              </w:rPr>
              <w:t>0% of asymptomatic true positive severe patients undergo</w:t>
            </w:r>
            <w:r w:rsidR="005F5CE5">
              <w:rPr>
                <w:rFonts w:ascii="Arial Narrow" w:eastAsia="Calibri" w:hAnsi="Arial Narrow" w:cs="Times New Roman"/>
                <w:kern w:val="2"/>
                <w:sz w:val="20"/>
                <w:szCs w:val="20"/>
              </w:rPr>
              <w:t xml:space="preserve"> </w:t>
            </w:r>
            <w:r w:rsidRPr="007F5EA2">
              <w:rPr>
                <w:rFonts w:ascii="Arial Narrow" w:eastAsia="Calibri" w:hAnsi="Arial Narrow" w:cs="Times New Roman"/>
                <w:kern w:val="2"/>
                <w:sz w:val="20"/>
                <w:szCs w:val="20"/>
              </w:rPr>
              <w:t>colonoscopy</w:t>
            </w:r>
          </w:p>
        </w:tc>
        <w:tc>
          <w:tcPr>
            <w:tcW w:w="1228" w:type="dxa"/>
            <w:vAlign w:val="center"/>
          </w:tcPr>
          <w:p w14:paraId="2C91CBE6" w14:textId="77777777" w:rsidR="00DC7895" w:rsidRPr="00DC7895" w:rsidRDefault="00DC7895" w:rsidP="00293C46">
            <w:pPr>
              <w:pStyle w:val="In-tableHeading"/>
              <w:keepLines/>
              <w:rPr>
                <w:b w:val="0"/>
                <w:bCs/>
                <w:szCs w:val="20"/>
              </w:rPr>
            </w:pPr>
            <w:r w:rsidRPr="00DC7895">
              <w:rPr>
                <w:b w:val="0"/>
                <w:bCs/>
                <w:szCs w:val="20"/>
              </w:rPr>
              <w:t>10%</w:t>
            </w:r>
          </w:p>
          <w:p w14:paraId="7048145D" w14:textId="77777777" w:rsidR="00DC7895" w:rsidRPr="00DC7895" w:rsidRDefault="00DC7895" w:rsidP="00293C46">
            <w:pPr>
              <w:pStyle w:val="In-tableHeading"/>
              <w:keepLines/>
              <w:rPr>
                <w:b w:val="0"/>
                <w:bCs/>
                <w:szCs w:val="20"/>
              </w:rPr>
            </w:pPr>
            <w:r w:rsidRPr="00DC7895">
              <w:rPr>
                <w:b w:val="0"/>
                <w:bCs/>
                <w:szCs w:val="20"/>
              </w:rPr>
              <w:t>20%</w:t>
            </w:r>
          </w:p>
          <w:p w14:paraId="764F0AFD" w14:textId="18421D83" w:rsidR="00DC7895" w:rsidRPr="00DC7895" w:rsidRDefault="00DC7895" w:rsidP="00293C46">
            <w:pPr>
              <w:keepNext/>
              <w:keepLines/>
              <w:spacing w:before="0"/>
              <w:rPr>
                <w:rFonts w:ascii="Arial Narrow" w:eastAsia="Times New Roman" w:hAnsi="Arial Narrow" w:cs="Tahoma"/>
                <w:sz w:val="20"/>
                <w:szCs w:val="20"/>
                <w:lang w:eastAsia="en-AU"/>
              </w:rPr>
            </w:pPr>
            <w:r w:rsidRPr="007F5EA2">
              <w:rPr>
                <w:rFonts w:ascii="Arial Narrow" w:hAnsi="Arial Narrow"/>
                <w:bCs/>
                <w:sz w:val="20"/>
                <w:szCs w:val="20"/>
              </w:rPr>
              <w:t>30%</w:t>
            </w:r>
          </w:p>
        </w:tc>
        <w:tc>
          <w:tcPr>
            <w:tcW w:w="1171" w:type="dxa"/>
            <w:vAlign w:val="center"/>
          </w:tcPr>
          <w:p w14:paraId="3B72E975" w14:textId="77777777" w:rsidR="00DC7895" w:rsidRPr="00DC7895" w:rsidRDefault="00DC7895" w:rsidP="00293C46">
            <w:pPr>
              <w:pStyle w:val="In-tableHeading"/>
              <w:keepLines/>
              <w:rPr>
                <w:b w:val="0"/>
                <w:bCs/>
                <w:szCs w:val="20"/>
              </w:rPr>
            </w:pPr>
            <w:r w:rsidRPr="00DC7895">
              <w:rPr>
                <w:b w:val="0"/>
                <w:bCs/>
                <w:szCs w:val="20"/>
              </w:rPr>
              <w:t>$137,161</w:t>
            </w:r>
          </w:p>
          <w:p w14:paraId="4272F031" w14:textId="77777777" w:rsidR="00DC7895" w:rsidRPr="00DC7895" w:rsidRDefault="00DC7895" w:rsidP="00293C46">
            <w:pPr>
              <w:pStyle w:val="In-tableHeading"/>
              <w:keepLines/>
              <w:rPr>
                <w:b w:val="0"/>
                <w:bCs/>
                <w:szCs w:val="20"/>
              </w:rPr>
            </w:pPr>
            <w:r w:rsidRPr="00DC7895">
              <w:rPr>
                <w:b w:val="0"/>
                <w:bCs/>
                <w:szCs w:val="20"/>
              </w:rPr>
              <w:t>$138,694</w:t>
            </w:r>
          </w:p>
          <w:p w14:paraId="51657795" w14:textId="4E75549A" w:rsidR="00DC7895" w:rsidRPr="00DC7895" w:rsidRDefault="00DC7895" w:rsidP="00293C46">
            <w:pPr>
              <w:keepNext/>
              <w:keepLines/>
              <w:spacing w:before="0"/>
              <w:rPr>
                <w:rFonts w:ascii="Arial Narrow" w:hAnsi="Arial Narrow"/>
                <w:sz w:val="20"/>
                <w:szCs w:val="20"/>
              </w:rPr>
            </w:pPr>
            <w:r w:rsidRPr="007F5EA2">
              <w:rPr>
                <w:rFonts w:ascii="Arial Narrow" w:hAnsi="Arial Narrow"/>
                <w:bCs/>
                <w:sz w:val="20"/>
                <w:szCs w:val="20"/>
              </w:rPr>
              <w:t>$140,226</w:t>
            </w:r>
          </w:p>
        </w:tc>
        <w:tc>
          <w:tcPr>
            <w:tcW w:w="1207" w:type="dxa"/>
            <w:vAlign w:val="center"/>
          </w:tcPr>
          <w:p w14:paraId="063B78C2" w14:textId="77777777" w:rsidR="00DC7895" w:rsidRPr="00DC7895" w:rsidRDefault="00DC7895" w:rsidP="00293C46">
            <w:pPr>
              <w:pStyle w:val="In-tableHeading"/>
              <w:keepLines/>
              <w:rPr>
                <w:b w:val="0"/>
                <w:bCs/>
                <w:szCs w:val="20"/>
              </w:rPr>
            </w:pPr>
            <w:r w:rsidRPr="00DC7895">
              <w:rPr>
                <w:b w:val="0"/>
                <w:bCs/>
                <w:szCs w:val="20"/>
              </w:rPr>
              <w:t>$153,580</w:t>
            </w:r>
          </w:p>
          <w:p w14:paraId="329451AA" w14:textId="77777777" w:rsidR="00DC7895" w:rsidRPr="00DC7895" w:rsidRDefault="00DC7895" w:rsidP="00293C46">
            <w:pPr>
              <w:pStyle w:val="In-tableHeading"/>
              <w:keepLines/>
              <w:rPr>
                <w:b w:val="0"/>
                <w:bCs/>
                <w:szCs w:val="20"/>
              </w:rPr>
            </w:pPr>
            <w:r w:rsidRPr="00DC7895">
              <w:rPr>
                <w:b w:val="0"/>
                <w:bCs/>
                <w:szCs w:val="20"/>
              </w:rPr>
              <w:t>$153,580</w:t>
            </w:r>
          </w:p>
          <w:p w14:paraId="3CA969B8" w14:textId="7F0DC085" w:rsidR="00DC7895" w:rsidRPr="00DC7895" w:rsidRDefault="00DC7895" w:rsidP="00293C46">
            <w:pPr>
              <w:keepNext/>
              <w:keepLines/>
              <w:spacing w:before="0"/>
              <w:rPr>
                <w:rFonts w:ascii="Arial Narrow" w:hAnsi="Arial Narrow"/>
                <w:sz w:val="20"/>
                <w:szCs w:val="20"/>
              </w:rPr>
            </w:pPr>
            <w:r w:rsidRPr="007F5EA2">
              <w:rPr>
                <w:rFonts w:ascii="Arial Narrow" w:hAnsi="Arial Narrow"/>
                <w:bCs/>
                <w:sz w:val="20"/>
                <w:szCs w:val="20"/>
              </w:rPr>
              <w:t>$153,580</w:t>
            </w:r>
          </w:p>
        </w:tc>
        <w:tc>
          <w:tcPr>
            <w:tcW w:w="1123" w:type="dxa"/>
            <w:vAlign w:val="center"/>
          </w:tcPr>
          <w:p w14:paraId="4D9F9F62" w14:textId="77777777" w:rsidR="00DC7895" w:rsidRPr="00DC7895" w:rsidRDefault="00DC7895" w:rsidP="00293C46">
            <w:pPr>
              <w:pStyle w:val="In-tableHeading"/>
              <w:keepLines/>
              <w:rPr>
                <w:b w:val="0"/>
                <w:bCs/>
                <w:szCs w:val="20"/>
              </w:rPr>
            </w:pPr>
            <w:r w:rsidRPr="00DC7895">
              <w:rPr>
                <w:b w:val="0"/>
                <w:bCs/>
                <w:szCs w:val="20"/>
              </w:rPr>
              <w:t>-$16,418</w:t>
            </w:r>
          </w:p>
          <w:p w14:paraId="7FB2502F" w14:textId="77777777" w:rsidR="00DC7895" w:rsidRPr="00DC7895" w:rsidRDefault="00DC7895" w:rsidP="00293C46">
            <w:pPr>
              <w:pStyle w:val="In-tableHeading"/>
              <w:keepLines/>
              <w:rPr>
                <w:b w:val="0"/>
                <w:bCs/>
                <w:szCs w:val="20"/>
              </w:rPr>
            </w:pPr>
            <w:r w:rsidRPr="00DC7895">
              <w:rPr>
                <w:b w:val="0"/>
                <w:bCs/>
                <w:szCs w:val="20"/>
              </w:rPr>
              <w:t>-$14,886</w:t>
            </w:r>
          </w:p>
          <w:p w14:paraId="4A498279" w14:textId="76BB1641" w:rsidR="00DC7895" w:rsidRPr="00DC7895" w:rsidRDefault="00DC7895" w:rsidP="00293C46">
            <w:pPr>
              <w:keepNext/>
              <w:keepLines/>
              <w:spacing w:before="0"/>
              <w:rPr>
                <w:rFonts w:ascii="Arial Narrow" w:hAnsi="Arial Narrow"/>
                <w:sz w:val="20"/>
                <w:szCs w:val="20"/>
              </w:rPr>
            </w:pPr>
            <w:r w:rsidRPr="007F5EA2">
              <w:rPr>
                <w:rFonts w:ascii="Arial Narrow" w:hAnsi="Arial Narrow"/>
                <w:bCs/>
                <w:sz w:val="20"/>
                <w:szCs w:val="20"/>
              </w:rPr>
              <w:t>-$13,354</w:t>
            </w:r>
          </w:p>
        </w:tc>
        <w:tc>
          <w:tcPr>
            <w:tcW w:w="916" w:type="dxa"/>
            <w:vAlign w:val="center"/>
          </w:tcPr>
          <w:p w14:paraId="0251AD22" w14:textId="77777777" w:rsidR="00DC7895" w:rsidRPr="00DC7895" w:rsidRDefault="00DC7895" w:rsidP="00293C46">
            <w:pPr>
              <w:pStyle w:val="In-tableHeading"/>
              <w:keepLines/>
              <w:rPr>
                <w:b w:val="0"/>
                <w:bCs/>
                <w:szCs w:val="20"/>
              </w:rPr>
            </w:pPr>
            <w:r w:rsidRPr="00DC7895">
              <w:rPr>
                <w:b w:val="0"/>
                <w:bCs/>
                <w:szCs w:val="20"/>
              </w:rPr>
              <w:t>8.50%</w:t>
            </w:r>
          </w:p>
          <w:p w14:paraId="126BAC06" w14:textId="77777777" w:rsidR="00DC7895" w:rsidRPr="00DC7895" w:rsidRDefault="00DC7895" w:rsidP="00293C46">
            <w:pPr>
              <w:pStyle w:val="In-tableHeading"/>
              <w:keepLines/>
              <w:rPr>
                <w:b w:val="0"/>
                <w:bCs/>
                <w:szCs w:val="20"/>
              </w:rPr>
            </w:pPr>
            <w:r w:rsidRPr="00DC7895">
              <w:rPr>
                <w:b w:val="0"/>
                <w:bCs/>
                <w:szCs w:val="20"/>
              </w:rPr>
              <w:t>17.10%</w:t>
            </w:r>
          </w:p>
          <w:p w14:paraId="011F3281" w14:textId="47B31E46" w:rsidR="00DC7895" w:rsidRPr="00DC7895" w:rsidRDefault="00DC7895" w:rsidP="00293C46">
            <w:pPr>
              <w:keepNext/>
              <w:keepLines/>
              <w:spacing w:before="0"/>
              <w:rPr>
                <w:rFonts w:ascii="Arial Narrow" w:hAnsi="Arial Narrow"/>
                <w:sz w:val="20"/>
                <w:szCs w:val="20"/>
              </w:rPr>
            </w:pPr>
            <w:r w:rsidRPr="007F5EA2">
              <w:rPr>
                <w:rFonts w:ascii="Arial Narrow" w:hAnsi="Arial Narrow"/>
                <w:bCs/>
                <w:sz w:val="20"/>
                <w:szCs w:val="20"/>
              </w:rPr>
              <w:t>25.60%</w:t>
            </w:r>
          </w:p>
        </w:tc>
      </w:tr>
    </w:tbl>
    <w:p w14:paraId="70D24070" w14:textId="624B574B" w:rsidR="0058498D" w:rsidRDefault="0058498D" w:rsidP="00293C46">
      <w:pPr>
        <w:keepNext/>
        <w:keepLines/>
        <w:spacing w:before="0" w:after="0"/>
        <w:rPr>
          <w:rFonts w:ascii="Arial Narrow" w:eastAsia="Calibri" w:hAnsi="Arial Narrow" w:cs="Times New Roman"/>
          <w:kern w:val="2"/>
          <w:sz w:val="18"/>
          <w:szCs w:val="18"/>
          <w14:ligatures w14:val="standardContextual"/>
        </w:rPr>
      </w:pPr>
      <w:r w:rsidRPr="0058498D">
        <w:rPr>
          <w:rFonts w:ascii="Arial Narrow" w:eastAsia="Calibri" w:hAnsi="Arial Narrow" w:cs="Times New Roman"/>
          <w:kern w:val="2"/>
          <w:sz w:val="18"/>
          <w:szCs w:val="18"/>
          <w14:ligatures w14:val="standardContextual"/>
        </w:rPr>
        <w:t xml:space="preserve">* </w:t>
      </w:r>
      <w:r w:rsidR="001C3EA1">
        <w:rPr>
          <w:rFonts w:ascii="Arial Narrow" w:eastAsia="Calibri" w:hAnsi="Arial Narrow" w:cs="Times New Roman"/>
          <w:kern w:val="2"/>
          <w:sz w:val="18"/>
          <w:szCs w:val="18"/>
          <w14:ligatures w14:val="standardContextual"/>
        </w:rPr>
        <w:t>The b</w:t>
      </w:r>
      <w:r w:rsidRPr="0058498D">
        <w:rPr>
          <w:rFonts w:ascii="Arial Narrow" w:eastAsia="Calibri" w:hAnsi="Arial Narrow" w:cs="Times New Roman"/>
          <w:kern w:val="2"/>
          <w:sz w:val="18"/>
          <w:szCs w:val="18"/>
          <w14:ligatures w14:val="standardContextual"/>
        </w:rPr>
        <w:t>ase case</w:t>
      </w:r>
      <w:r w:rsidR="001C3EA1">
        <w:rPr>
          <w:rFonts w:ascii="Arial Narrow" w:eastAsia="Calibri" w:hAnsi="Arial Narrow" w:cs="Times New Roman"/>
          <w:kern w:val="2"/>
          <w:sz w:val="18"/>
          <w:szCs w:val="18"/>
          <w14:ligatures w14:val="standardContextual"/>
        </w:rPr>
        <w:t xml:space="preserve"> was</w:t>
      </w:r>
      <w:r w:rsidRPr="0058498D">
        <w:rPr>
          <w:rFonts w:ascii="Arial Narrow" w:eastAsia="Calibri" w:hAnsi="Arial Narrow" w:cs="Times New Roman"/>
          <w:kern w:val="2"/>
          <w:sz w:val="18"/>
          <w:szCs w:val="18"/>
          <w14:ligatures w14:val="standardContextual"/>
        </w:rPr>
        <w:t xml:space="preserve"> updated in the rejoinder by revising the cost of biopsy to $180.25 (MBS Item 7282</w:t>
      </w:r>
      <w:r w:rsidR="00FC3D8D">
        <w:rPr>
          <w:rFonts w:ascii="Arial Narrow" w:eastAsia="Calibri" w:hAnsi="Arial Narrow" w:cs="Times New Roman"/>
          <w:kern w:val="2"/>
          <w:sz w:val="18"/>
          <w:szCs w:val="18"/>
          <w14:ligatures w14:val="standardContextual"/>
        </w:rPr>
        <w:t>5</w:t>
      </w:r>
      <w:r w:rsidRPr="0058498D">
        <w:rPr>
          <w:rFonts w:ascii="Arial Narrow" w:eastAsia="Calibri" w:hAnsi="Arial Narrow" w:cs="Times New Roman"/>
          <w:kern w:val="2"/>
          <w:sz w:val="18"/>
          <w:szCs w:val="18"/>
          <w14:ligatures w14:val="standardContextual"/>
        </w:rPr>
        <w:t xml:space="preserve">) based on applicant’s suggestion. </w:t>
      </w:r>
    </w:p>
    <w:p w14:paraId="28566DE0" w14:textId="70D269E8" w:rsidR="00B22074" w:rsidRDefault="00E10956" w:rsidP="0058498D">
      <w:pPr>
        <w:spacing w:before="0" w:after="0"/>
        <w:rPr>
          <w:rFonts w:ascii="Arial Narrow" w:eastAsia="Calibri" w:hAnsi="Arial Narrow" w:cs="Times New Roman"/>
          <w:kern w:val="2"/>
          <w:sz w:val="18"/>
          <w:szCs w:val="18"/>
          <w14:ligatures w14:val="standardContextual"/>
        </w:rPr>
      </w:pPr>
      <w:proofErr w:type="spellStart"/>
      <w:r>
        <w:rPr>
          <w:rFonts w:ascii="Arial Narrow" w:eastAsia="Calibri" w:hAnsi="Arial Narrow" w:cs="Times New Roman"/>
          <w:kern w:val="2"/>
          <w:sz w:val="18"/>
          <w:szCs w:val="18"/>
          <w14:ligatures w14:val="standardContextual"/>
        </w:rPr>
        <w:t>a</w:t>
      </w:r>
      <w:proofErr w:type="spellEnd"/>
      <w:r>
        <w:rPr>
          <w:rFonts w:ascii="Arial Narrow" w:eastAsia="Calibri" w:hAnsi="Arial Narrow" w:cs="Times New Roman"/>
          <w:kern w:val="2"/>
          <w:sz w:val="18"/>
          <w:szCs w:val="18"/>
          <w14:ligatures w14:val="standardContextual"/>
        </w:rPr>
        <w:t xml:space="preserve"> </w:t>
      </w:r>
      <w:r w:rsidR="00471D5E">
        <w:rPr>
          <w:rFonts w:ascii="Arial Narrow" w:eastAsia="Calibri" w:hAnsi="Arial Narrow" w:cs="Times New Roman"/>
          <w:kern w:val="2"/>
          <w:sz w:val="18"/>
          <w:szCs w:val="18"/>
          <w14:ligatures w14:val="standardContextual"/>
        </w:rPr>
        <w:t xml:space="preserve">This </w:t>
      </w:r>
      <w:r w:rsidR="00792A42">
        <w:rPr>
          <w:rFonts w:ascii="Arial Narrow" w:eastAsia="Calibri" w:hAnsi="Arial Narrow" w:cs="Times New Roman"/>
          <w:kern w:val="2"/>
          <w:sz w:val="18"/>
          <w:szCs w:val="18"/>
          <w14:ligatures w14:val="standardContextual"/>
        </w:rPr>
        <w:t xml:space="preserve">is meant to capture the scenario where </w:t>
      </w:r>
      <w:r w:rsidR="00471D5E" w:rsidRPr="00471D5E">
        <w:rPr>
          <w:rFonts w:ascii="Arial Narrow" w:eastAsia="Calibri" w:hAnsi="Arial Narrow" w:cs="Times New Roman"/>
          <w:kern w:val="2"/>
          <w:sz w:val="18"/>
          <w:szCs w:val="18"/>
          <w14:ligatures w14:val="standardContextual"/>
        </w:rPr>
        <w:t>the patient has an indefinite referral and only needs to incur the initial item once</w:t>
      </w:r>
      <w:r w:rsidR="00792A42">
        <w:rPr>
          <w:rFonts w:ascii="Arial Narrow" w:eastAsia="Calibri" w:hAnsi="Arial Narrow" w:cs="Times New Roman"/>
          <w:kern w:val="2"/>
          <w:sz w:val="18"/>
          <w:szCs w:val="18"/>
          <w14:ligatures w14:val="standardContextual"/>
        </w:rPr>
        <w:t xml:space="preserve">. </w:t>
      </w:r>
    </w:p>
    <w:p w14:paraId="6DDF085C" w14:textId="7F60B827" w:rsidR="00616094" w:rsidRPr="007F5EA2" w:rsidRDefault="00EA2604" w:rsidP="00616094">
      <w:pPr>
        <w:pStyle w:val="Caption"/>
        <w:rPr>
          <w:rFonts w:cstheme="minorHAnsi"/>
        </w:rPr>
      </w:pPr>
      <w:r>
        <w:rPr>
          <w:rFonts w:cstheme="minorHAnsi"/>
        </w:rPr>
        <w:lastRenderedPageBreak/>
        <w:t>Addendum</w:t>
      </w:r>
      <w:r w:rsidRPr="007F5EA2">
        <w:rPr>
          <w:rFonts w:cstheme="minorHAnsi"/>
        </w:rPr>
        <w:t xml:space="preserve"> </w:t>
      </w:r>
      <w:r w:rsidR="00616094" w:rsidRPr="007F5EA2">
        <w:rPr>
          <w:rFonts w:cstheme="minorHAnsi"/>
        </w:rPr>
        <w:t xml:space="preserve">Table </w:t>
      </w:r>
      <w:r w:rsidR="006E5805">
        <w:rPr>
          <w:rFonts w:cstheme="minorHAnsi"/>
        </w:rPr>
        <w:t>5</w:t>
      </w:r>
      <w:r w:rsidR="00616094" w:rsidRPr="007F5EA2">
        <w:rPr>
          <w:rFonts w:cstheme="minorHAnsi"/>
        </w:rPr>
        <w:t>: Net financial implications of requested sensitivity analyses</w:t>
      </w:r>
    </w:p>
    <w:tbl>
      <w:tblPr>
        <w:tblW w:w="9346" w:type="dxa"/>
        <w:tblLayout w:type="fixed"/>
        <w:tblCellMar>
          <w:left w:w="0" w:type="dxa"/>
          <w:right w:w="0" w:type="dxa"/>
        </w:tblCellMar>
        <w:tblLook w:val="04A0" w:firstRow="1" w:lastRow="0" w:firstColumn="1" w:lastColumn="0" w:noHBand="0" w:noVBand="1"/>
      </w:tblPr>
      <w:tblGrid>
        <w:gridCol w:w="1408"/>
        <w:gridCol w:w="1276"/>
        <w:gridCol w:w="1275"/>
        <w:gridCol w:w="1276"/>
        <w:gridCol w:w="1276"/>
        <w:gridCol w:w="1276"/>
        <w:gridCol w:w="1559"/>
      </w:tblGrid>
      <w:tr w:rsidR="00616094" w:rsidRPr="001B036C" w14:paraId="61C9F13D" w14:textId="77777777">
        <w:trPr>
          <w:trHeight w:val="314"/>
          <w:tblHead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509D52" w14:textId="77777777" w:rsidR="00616094" w:rsidRPr="001B036C" w:rsidRDefault="00616094">
            <w:pPr>
              <w:pStyle w:val="In-tableHeading"/>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FB01BD8" w14:textId="77777777" w:rsidR="00616094" w:rsidRPr="001B036C" w:rsidRDefault="00616094">
            <w:pPr>
              <w:pStyle w:val="In-tableHeading"/>
            </w:pPr>
            <w:r w:rsidRPr="001B036C">
              <w:t>2025</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2290B21" w14:textId="77777777" w:rsidR="00616094" w:rsidRPr="001B036C" w:rsidRDefault="00616094">
            <w:pPr>
              <w:pStyle w:val="In-tableHeading"/>
            </w:pPr>
            <w:r w:rsidRPr="001B036C">
              <w:t>2026</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B9CCCC6" w14:textId="77777777" w:rsidR="00616094" w:rsidRPr="001B036C" w:rsidRDefault="00616094">
            <w:pPr>
              <w:pStyle w:val="In-tableHeading"/>
            </w:pPr>
            <w:r w:rsidRPr="001B036C">
              <w:t>2027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968B552" w14:textId="77777777" w:rsidR="00616094" w:rsidRPr="001B036C" w:rsidRDefault="00616094">
            <w:pPr>
              <w:pStyle w:val="In-tableHeading"/>
            </w:pPr>
            <w:r w:rsidRPr="001B036C">
              <w:t>2028</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101127C" w14:textId="77777777" w:rsidR="00616094" w:rsidRPr="001B036C" w:rsidRDefault="00616094">
            <w:pPr>
              <w:pStyle w:val="In-tableHeading"/>
            </w:pPr>
            <w:r w:rsidRPr="001B036C">
              <w:t>2029</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12EF716" w14:textId="77777777" w:rsidR="00616094" w:rsidRPr="001B036C" w:rsidRDefault="00616094">
            <w:pPr>
              <w:pStyle w:val="In-tableHeading"/>
            </w:pPr>
            <w:r w:rsidRPr="001B036C">
              <w:t>2030</w:t>
            </w:r>
          </w:p>
        </w:tc>
      </w:tr>
      <w:tr w:rsidR="00616094" w:rsidRPr="001B036C" w14:paraId="103A781C" w14:textId="77777777">
        <w:trPr>
          <w:trHeight w:val="314"/>
          <w:tblHead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38A0BB" w14:textId="77777777" w:rsidR="00616094" w:rsidRPr="004C4CAF" w:rsidRDefault="00616094">
            <w:pPr>
              <w:pStyle w:val="In-tableHeading"/>
              <w:rPr>
                <w:b w:val="0"/>
                <w:bCs/>
              </w:rPr>
            </w:pPr>
            <w:r>
              <w:rPr>
                <w:bCs/>
              </w:rPr>
              <w:t>B</w:t>
            </w:r>
            <w:r w:rsidRPr="004C4CAF">
              <w:rPr>
                <w:bCs/>
              </w:rPr>
              <w:t>ase case</w:t>
            </w:r>
            <w:r w:rsidRPr="004C4CAF">
              <w:rPr>
                <w:bCs/>
                <w:vertAlign w:val="superscript"/>
              </w:rPr>
              <w:t xml:space="preserve"> </w:t>
            </w:r>
            <w:r>
              <w: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7AEB2A" w14:textId="77777777" w:rsidR="00616094" w:rsidRPr="004C4CAF" w:rsidRDefault="00616094">
            <w:pPr>
              <w:pStyle w:val="In-tableHeading"/>
              <w:rPr>
                <w:b w:val="0"/>
                <w:bCs/>
              </w:rPr>
            </w:pPr>
            <w:r w:rsidRPr="004C4CAF">
              <w:rPr>
                <w:bCs/>
              </w:rPr>
              <w:t>$32,889,429</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CA42B" w14:textId="77777777" w:rsidR="00616094" w:rsidRPr="004C4CAF" w:rsidRDefault="00616094">
            <w:pPr>
              <w:pStyle w:val="In-tableHeading"/>
              <w:rPr>
                <w:b w:val="0"/>
                <w:bCs/>
              </w:rPr>
            </w:pPr>
            <w:r w:rsidRPr="004C4CAF">
              <w:rPr>
                <w:bCs/>
              </w:rPr>
              <w:t>$33,711,665</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2CD67" w14:textId="77777777" w:rsidR="00616094" w:rsidRPr="004C4CAF" w:rsidRDefault="00616094">
            <w:pPr>
              <w:pStyle w:val="In-tableHeading"/>
              <w:rPr>
                <w:b w:val="0"/>
                <w:bCs/>
              </w:rPr>
            </w:pPr>
            <w:r w:rsidRPr="004C4CAF">
              <w:rPr>
                <w:bCs/>
              </w:rPr>
              <w:t>$34,554,456</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9EC2B4" w14:textId="77777777" w:rsidR="00616094" w:rsidRPr="004C4CAF" w:rsidRDefault="00616094">
            <w:pPr>
              <w:pStyle w:val="In-tableHeading"/>
              <w:rPr>
                <w:b w:val="0"/>
                <w:bCs/>
              </w:rPr>
            </w:pPr>
            <w:r w:rsidRPr="004C4CAF">
              <w:rPr>
                <w:bCs/>
              </w:rPr>
              <w:t>$35,418,318</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A06EE0" w14:textId="77777777" w:rsidR="00616094" w:rsidRPr="004C4CAF" w:rsidRDefault="00616094">
            <w:pPr>
              <w:pStyle w:val="In-tableHeading"/>
              <w:rPr>
                <w:b w:val="0"/>
                <w:bCs/>
              </w:rPr>
            </w:pPr>
            <w:r w:rsidRPr="004C4CAF">
              <w:rPr>
                <w:bCs/>
              </w:rPr>
              <w:t>$36,303,776</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A4809" w14:textId="77777777" w:rsidR="00616094" w:rsidRPr="004C4CAF" w:rsidRDefault="00616094">
            <w:pPr>
              <w:pStyle w:val="In-tableHeading"/>
              <w:rPr>
                <w:b w:val="0"/>
                <w:bCs/>
              </w:rPr>
            </w:pPr>
            <w:r w:rsidRPr="004C4CAF">
              <w:rPr>
                <w:bCs/>
              </w:rPr>
              <w:t>$37,211,370</w:t>
            </w:r>
          </w:p>
        </w:tc>
      </w:tr>
      <w:tr w:rsidR="00616094" w:rsidRPr="001B036C" w14:paraId="2FE7B8EB" w14:textId="77777777">
        <w:trPr>
          <w:trHeight w:val="314"/>
          <w:tblHead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1E80CC" w14:textId="062298DC" w:rsidR="00616094" w:rsidRPr="000C36B7" w:rsidRDefault="00616094">
            <w:pPr>
              <w:pStyle w:val="In-tableHeading"/>
              <w:rPr>
                <w:b w:val="0"/>
                <w:bCs/>
              </w:rPr>
            </w:pPr>
            <w:r w:rsidRPr="000C36B7">
              <w:rPr>
                <w:b w:val="0"/>
                <w:bCs/>
              </w:rPr>
              <w:t>SA1</w:t>
            </w:r>
            <w:r w:rsidRPr="000C36B7">
              <w:rPr>
                <w:b w:val="0"/>
                <w:bCs/>
                <w:vertAlign w:val="superscript"/>
              </w:rPr>
              <w:t>a</w:t>
            </w:r>
          </w:p>
          <w:p w14:paraId="633FD58B" w14:textId="77777777" w:rsidR="00616094" w:rsidRPr="000C36B7" w:rsidRDefault="00616094">
            <w:pPr>
              <w:pStyle w:val="In-tableHeading"/>
              <w:rPr>
                <w:b w:val="0"/>
                <w:bCs/>
              </w:rPr>
            </w:pPr>
            <w:r w:rsidRPr="000C36B7">
              <w:rPr>
                <w:b w:val="0"/>
                <w:bCs/>
              </w:rPr>
              <w:t>50%</w:t>
            </w:r>
          </w:p>
          <w:p w14:paraId="22F0219F" w14:textId="77777777" w:rsidR="00616094" w:rsidRPr="000C36B7" w:rsidRDefault="00616094">
            <w:pPr>
              <w:pStyle w:val="In-tableHeading"/>
              <w:rPr>
                <w:b w:val="0"/>
                <w:bCs/>
              </w:rPr>
            </w:pPr>
            <w:r w:rsidRPr="000C36B7">
              <w:rPr>
                <w:b w:val="0"/>
                <w:bCs/>
              </w:rPr>
              <w:t>60%</w:t>
            </w:r>
          </w:p>
          <w:p w14:paraId="7146885B" w14:textId="77777777" w:rsidR="00616094" w:rsidRPr="000C36B7" w:rsidRDefault="00616094">
            <w:pPr>
              <w:pStyle w:val="In-tableHeading"/>
              <w:rPr>
                <w:b w:val="0"/>
                <w:bCs/>
              </w:rPr>
            </w:pPr>
            <w:r w:rsidRPr="000C36B7">
              <w:rPr>
                <w:b w:val="0"/>
                <w:bCs/>
              </w:rPr>
              <w:t>70%</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A02B8" w14:textId="77777777" w:rsidR="00616094" w:rsidRPr="000C36B7" w:rsidRDefault="00616094">
            <w:pPr>
              <w:pStyle w:val="In-tableHeading"/>
              <w:rPr>
                <w:b w:val="0"/>
                <w:bCs/>
              </w:rPr>
            </w:pPr>
          </w:p>
          <w:p w14:paraId="617729D4" w14:textId="77777777" w:rsidR="00616094" w:rsidRPr="000C36B7" w:rsidRDefault="00616094">
            <w:pPr>
              <w:pStyle w:val="In-tableHeading"/>
              <w:rPr>
                <w:b w:val="0"/>
                <w:bCs/>
              </w:rPr>
            </w:pPr>
            <w:r w:rsidRPr="000C36B7">
              <w:rPr>
                <w:b w:val="0"/>
                <w:bCs/>
              </w:rPr>
              <w:t>$42,912,434</w:t>
            </w:r>
          </w:p>
          <w:p w14:paraId="338C93D1" w14:textId="77777777" w:rsidR="00616094" w:rsidRPr="000C36B7" w:rsidRDefault="00616094">
            <w:pPr>
              <w:pStyle w:val="In-tableHeading"/>
              <w:rPr>
                <w:b w:val="0"/>
                <w:bCs/>
              </w:rPr>
            </w:pPr>
            <w:r w:rsidRPr="000C36B7">
              <w:rPr>
                <w:b w:val="0"/>
                <w:bCs/>
              </w:rPr>
              <w:t>$40,907,833</w:t>
            </w:r>
          </w:p>
          <w:p w14:paraId="330F7EAF" w14:textId="77777777" w:rsidR="00616094" w:rsidRPr="000C36B7" w:rsidRDefault="00616094">
            <w:pPr>
              <w:pStyle w:val="In-tableHeading"/>
              <w:rPr>
                <w:b w:val="0"/>
                <w:bCs/>
              </w:rPr>
            </w:pPr>
            <w:r w:rsidRPr="000C36B7">
              <w:rPr>
                <w:b w:val="0"/>
                <w:bCs/>
              </w:rPr>
              <w:t>$38,903,232</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7BDD88" w14:textId="77777777" w:rsidR="00616094" w:rsidRPr="000C36B7" w:rsidRDefault="00616094">
            <w:pPr>
              <w:pStyle w:val="In-tableHeading"/>
              <w:rPr>
                <w:b w:val="0"/>
                <w:bCs/>
              </w:rPr>
            </w:pPr>
          </w:p>
          <w:p w14:paraId="4EEEA211" w14:textId="77777777" w:rsidR="00616094" w:rsidRPr="000C36B7" w:rsidRDefault="00616094">
            <w:pPr>
              <w:pStyle w:val="In-tableHeading"/>
              <w:rPr>
                <w:b w:val="0"/>
                <w:bCs/>
              </w:rPr>
            </w:pPr>
            <w:r w:rsidRPr="000C36B7">
              <w:rPr>
                <w:b w:val="0"/>
                <w:bCs/>
              </w:rPr>
              <w:t>$43,985,244</w:t>
            </w:r>
          </w:p>
          <w:p w14:paraId="33CC432A" w14:textId="77777777" w:rsidR="00616094" w:rsidRPr="000C36B7" w:rsidRDefault="00616094">
            <w:pPr>
              <w:pStyle w:val="In-tableHeading"/>
              <w:rPr>
                <w:b w:val="0"/>
                <w:bCs/>
              </w:rPr>
            </w:pPr>
            <w:r w:rsidRPr="000C36B7">
              <w:rPr>
                <w:b w:val="0"/>
                <w:bCs/>
              </w:rPr>
              <w:t>$41,930,528</w:t>
            </w:r>
          </w:p>
          <w:p w14:paraId="3E3965B2" w14:textId="77777777" w:rsidR="00616094" w:rsidRPr="000C36B7" w:rsidRDefault="00616094">
            <w:pPr>
              <w:pStyle w:val="In-tableHeading"/>
              <w:rPr>
                <w:b w:val="0"/>
                <w:bCs/>
              </w:rPr>
            </w:pPr>
            <w:r w:rsidRPr="000C36B7">
              <w:rPr>
                <w:b w:val="0"/>
                <w:bCs/>
              </w:rPr>
              <w:t>$39,875,812</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FF236C" w14:textId="77777777" w:rsidR="00616094" w:rsidRPr="000C36B7" w:rsidRDefault="00616094">
            <w:pPr>
              <w:pStyle w:val="In-tableHeading"/>
              <w:rPr>
                <w:b w:val="0"/>
                <w:bCs/>
              </w:rPr>
            </w:pPr>
          </w:p>
          <w:p w14:paraId="68FEC431" w14:textId="77777777" w:rsidR="00616094" w:rsidRPr="000C36B7" w:rsidRDefault="00616094">
            <w:pPr>
              <w:pStyle w:val="In-tableHeading"/>
              <w:rPr>
                <w:b w:val="0"/>
                <w:bCs/>
              </w:rPr>
            </w:pPr>
            <w:r w:rsidRPr="000C36B7">
              <w:rPr>
                <w:b w:val="0"/>
                <w:bCs/>
              </w:rPr>
              <w:t>$45,084,875</w:t>
            </w:r>
          </w:p>
          <w:p w14:paraId="10B98377" w14:textId="77777777" w:rsidR="00616094" w:rsidRPr="000C36B7" w:rsidRDefault="00616094">
            <w:pPr>
              <w:pStyle w:val="In-tableHeading"/>
              <w:rPr>
                <w:b w:val="0"/>
                <w:bCs/>
              </w:rPr>
            </w:pPr>
            <w:r w:rsidRPr="000C36B7">
              <w:rPr>
                <w:b w:val="0"/>
                <w:bCs/>
              </w:rPr>
              <w:t>$42,978,792</w:t>
            </w:r>
          </w:p>
          <w:p w14:paraId="37F522C7" w14:textId="77777777" w:rsidR="00616094" w:rsidRPr="000C36B7" w:rsidRDefault="00616094">
            <w:pPr>
              <w:pStyle w:val="In-tableHeading"/>
              <w:rPr>
                <w:b w:val="0"/>
                <w:bCs/>
              </w:rPr>
            </w:pPr>
            <w:r w:rsidRPr="000C36B7">
              <w:rPr>
                <w:b w:val="0"/>
                <w:bCs/>
              </w:rPr>
              <w:t>$40,872,708</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440F1F" w14:textId="77777777" w:rsidR="00616094" w:rsidRPr="000C36B7" w:rsidRDefault="00616094">
            <w:pPr>
              <w:pStyle w:val="In-tableHeading"/>
              <w:rPr>
                <w:b w:val="0"/>
                <w:bCs/>
              </w:rPr>
            </w:pPr>
          </w:p>
          <w:p w14:paraId="18050882" w14:textId="77777777" w:rsidR="00616094" w:rsidRPr="000C36B7" w:rsidRDefault="00616094">
            <w:pPr>
              <w:pStyle w:val="In-tableHeading"/>
              <w:rPr>
                <w:b w:val="0"/>
                <w:bCs/>
              </w:rPr>
            </w:pPr>
            <w:r w:rsidRPr="000C36B7">
              <w:rPr>
                <w:b w:val="0"/>
                <w:bCs/>
              </w:rPr>
              <w:t>$46,211,997</w:t>
            </w:r>
          </w:p>
          <w:p w14:paraId="14241A74" w14:textId="77777777" w:rsidR="00616094" w:rsidRPr="000C36B7" w:rsidRDefault="00616094">
            <w:pPr>
              <w:pStyle w:val="In-tableHeading"/>
              <w:rPr>
                <w:b w:val="0"/>
                <w:bCs/>
              </w:rPr>
            </w:pPr>
            <w:r w:rsidRPr="000C36B7">
              <w:rPr>
                <w:b w:val="0"/>
                <w:bCs/>
              </w:rPr>
              <w:t>$44,053,261</w:t>
            </w:r>
          </w:p>
          <w:p w14:paraId="48178299" w14:textId="77777777" w:rsidR="00616094" w:rsidRPr="000C36B7" w:rsidRDefault="00616094">
            <w:pPr>
              <w:pStyle w:val="In-tableHeading"/>
              <w:rPr>
                <w:b w:val="0"/>
                <w:bCs/>
              </w:rPr>
            </w:pPr>
            <w:r w:rsidRPr="000C36B7">
              <w:rPr>
                <w:b w:val="0"/>
                <w:bCs/>
              </w:rPr>
              <w:t xml:space="preserve">$41,894,525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F9F2BC" w14:textId="77777777" w:rsidR="00616094" w:rsidRPr="000C36B7" w:rsidRDefault="00616094">
            <w:pPr>
              <w:pStyle w:val="In-tableHeading"/>
              <w:rPr>
                <w:b w:val="0"/>
                <w:bCs/>
              </w:rPr>
            </w:pPr>
          </w:p>
          <w:p w14:paraId="37E1F741" w14:textId="77777777" w:rsidR="00616094" w:rsidRPr="000C36B7" w:rsidRDefault="00616094">
            <w:pPr>
              <w:pStyle w:val="In-tableHeading"/>
              <w:rPr>
                <w:b w:val="0"/>
                <w:bCs/>
              </w:rPr>
            </w:pPr>
            <w:r w:rsidRPr="000C36B7">
              <w:rPr>
                <w:b w:val="0"/>
                <w:bCs/>
              </w:rPr>
              <w:t>$47,367,297</w:t>
            </w:r>
          </w:p>
          <w:p w14:paraId="72D75419" w14:textId="77777777" w:rsidR="00616094" w:rsidRPr="000C36B7" w:rsidRDefault="00616094">
            <w:pPr>
              <w:pStyle w:val="In-tableHeading"/>
              <w:rPr>
                <w:b w:val="0"/>
                <w:bCs/>
              </w:rPr>
            </w:pPr>
            <w:r w:rsidRPr="000C36B7">
              <w:rPr>
                <w:b w:val="0"/>
                <w:bCs/>
              </w:rPr>
              <w:t>$45,154,593</w:t>
            </w:r>
          </w:p>
          <w:p w14:paraId="49C23AF8" w14:textId="77777777" w:rsidR="00616094" w:rsidRPr="000C36B7" w:rsidRDefault="00616094">
            <w:pPr>
              <w:pStyle w:val="In-tableHeading"/>
              <w:rPr>
                <w:b w:val="0"/>
                <w:bCs/>
              </w:rPr>
            </w:pPr>
            <w:r w:rsidRPr="000C36B7">
              <w:rPr>
                <w:b w:val="0"/>
                <w:bCs/>
              </w:rPr>
              <w:t>$42,941,889</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5D078C" w14:textId="77777777" w:rsidR="00616094" w:rsidRPr="000C36B7" w:rsidRDefault="00616094">
            <w:pPr>
              <w:pStyle w:val="In-tableHeading"/>
              <w:rPr>
                <w:b w:val="0"/>
                <w:bCs/>
              </w:rPr>
            </w:pPr>
          </w:p>
          <w:p w14:paraId="7AF75C53" w14:textId="77777777" w:rsidR="00616094" w:rsidRPr="000C36B7" w:rsidRDefault="00616094">
            <w:pPr>
              <w:pStyle w:val="In-tableHeading"/>
              <w:rPr>
                <w:b w:val="0"/>
                <w:bCs/>
              </w:rPr>
            </w:pPr>
            <w:r w:rsidRPr="000C36B7">
              <w:rPr>
                <w:b w:val="0"/>
                <w:bCs/>
              </w:rPr>
              <w:t>$48,551,480</w:t>
            </w:r>
          </w:p>
          <w:p w14:paraId="7E9DCD84" w14:textId="77777777" w:rsidR="00616094" w:rsidRPr="000C36B7" w:rsidRDefault="00616094">
            <w:pPr>
              <w:pStyle w:val="In-tableHeading"/>
              <w:rPr>
                <w:b w:val="0"/>
                <w:bCs/>
              </w:rPr>
            </w:pPr>
            <w:r w:rsidRPr="000C36B7">
              <w:rPr>
                <w:b w:val="0"/>
                <w:bCs/>
              </w:rPr>
              <w:t>$46,283,458</w:t>
            </w:r>
          </w:p>
          <w:p w14:paraId="06E23A6A" w14:textId="77777777" w:rsidR="00616094" w:rsidRPr="000C36B7" w:rsidRDefault="00616094">
            <w:pPr>
              <w:pStyle w:val="In-tableHeading"/>
              <w:rPr>
                <w:b w:val="0"/>
                <w:bCs/>
              </w:rPr>
            </w:pPr>
            <w:r w:rsidRPr="000C36B7">
              <w:rPr>
                <w:b w:val="0"/>
                <w:bCs/>
              </w:rPr>
              <w:t>$44,015,436</w:t>
            </w:r>
          </w:p>
        </w:tc>
      </w:tr>
      <w:tr w:rsidR="00616094" w:rsidRPr="001B036C" w14:paraId="52EBBAF6" w14:textId="77777777">
        <w:trPr>
          <w:trHeight w:val="314"/>
          <w:tblHead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ADE2FD" w14:textId="06E9F3D6" w:rsidR="00616094" w:rsidRDefault="00616094">
            <w:pPr>
              <w:pStyle w:val="In-tableHeading"/>
              <w:rPr>
                <w:b w:val="0"/>
                <w:bCs/>
                <w:vertAlign w:val="superscript"/>
              </w:rPr>
            </w:pPr>
            <w:r w:rsidRPr="00B614BB">
              <w:rPr>
                <w:b w:val="0"/>
                <w:bCs/>
              </w:rPr>
              <w:t>SA2</w:t>
            </w:r>
          </w:p>
          <w:p w14:paraId="14E9F907" w14:textId="77777777" w:rsidR="00616094" w:rsidRDefault="00616094">
            <w:pPr>
              <w:pStyle w:val="In-tableHeading"/>
              <w:rPr>
                <w:b w:val="0"/>
                <w:bCs/>
              </w:rPr>
            </w:pPr>
            <w:r>
              <w:rPr>
                <w:b w:val="0"/>
                <w:bCs/>
              </w:rPr>
              <w:t>0%</w:t>
            </w:r>
          </w:p>
          <w:p w14:paraId="6F033158" w14:textId="77777777" w:rsidR="00616094" w:rsidRPr="00B614BB" w:rsidRDefault="00616094">
            <w:pPr>
              <w:pStyle w:val="In-tableHeading"/>
              <w:rPr>
                <w:b w:val="0"/>
                <w:bCs/>
              </w:rPr>
            </w:pPr>
            <w:r>
              <w:rPr>
                <w:b w:val="0"/>
                <w:bCs/>
              </w:rPr>
              <w:t>10%</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888F8D3" w14:textId="77777777" w:rsidR="00616094" w:rsidRPr="00687FD0" w:rsidRDefault="00616094">
            <w:pPr>
              <w:pStyle w:val="In-tableHeading"/>
              <w:rPr>
                <w:b w:val="0"/>
                <w:bCs/>
              </w:rPr>
            </w:pPr>
            <w:r w:rsidRPr="00687FD0">
              <w:rPr>
                <w:b w:val="0"/>
                <w:bCs/>
              </w:rPr>
              <w:t>$42,871,126</w:t>
            </w:r>
          </w:p>
          <w:p w14:paraId="69BE9A3B" w14:textId="77777777" w:rsidR="00616094" w:rsidRPr="00687FD0" w:rsidRDefault="00616094">
            <w:pPr>
              <w:pStyle w:val="In-tableHeading"/>
              <w:rPr>
                <w:b w:val="0"/>
                <w:bCs/>
              </w:rPr>
            </w:pPr>
            <w:r w:rsidRPr="00687FD0">
              <w:rPr>
                <w:b w:val="0"/>
                <w:bCs/>
              </w:rPr>
              <w:t>$39,577,853</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02FB2A2" w14:textId="77777777" w:rsidR="00616094" w:rsidRPr="00687FD0" w:rsidRDefault="00616094">
            <w:pPr>
              <w:pStyle w:val="In-tableHeading"/>
              <w:rPr>
                <w:b w:val="0"/>
                <w:bCs/>
              </w:rPr>
            </w:pPr>
            <w:r w:rsidRPr="00687FD0">
              <w:rPr>
                <w:b w:val="0"/>
                <w:bCs/>
              </w:rPr>
              <w:t>$43,942,904</w:t>
            </w:r>
          </w:p>
          <w:p w14:paraId="50E4CB97" w14:textId="77777777" w:rsidR="00616094" w:rsidRPr="00687FD0" w:rsidRDefault="00616094">
            <w:pPr>
              <w:pStyle w:val="In-tableHeading"/>
              <w:rPr>
                <w:b w:val="0"/>
                <w:bCs/>
              </w:rPr>
            </w:pPr>
            <w:r w:rsidRPr="00687FD0">
              <w:rPr>
                <w:b w:val="0"/>
                <w:bCs/>
              </w:rPr>
              <w:t>$40,567,299</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7463386B" w14:textId="77777777" w:rsidR="00616094" w:rsidRPr="00687FD0" w:rsidRDefault="00616094">
            <w:pPr>
              <w:pStyle w:val="In-tableHeading"/>
              <w:rPr>
                <w:b w:val="0"/>
                <w:bCs/>
              </w:rPr>
            </w:pPr>
            <w:r w:rsidRPr="00687FD0">
              <w:rPr>
                <w:b w:val="0"/>
                <w:bCs/>
              </w:rPr>
              <w:t>$45,041,477</w:t>
            </w:r>
          </w:p>
          <w:p w14:paraId="1D785589" w14:textId="77777777" w:rsidR="00616094" w:rsidRPr="00687FD0" w:rsidRDefault="00616094">
            <w:pPr>
              <w:pStyle w:val="In-tableHeading"/>
              <w:rPr>
                <w:b w:val="0"/>
                <w:bCs/>
              </w:rPr>
            </w:pPr>
            <w:r w:rsidRPr="00687FD0">
              <w:rPr>
                <w:b w:val="0"/>
                <w:bCs/>
              </w:rPr>
              <w:t>$41,581,482</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C763B91" w14:textId="77777777" w:rsidR="00616094" w:rsidRPr="00687FD0" w:rsidRDefault="00616094">
            <w:pPr>
              <w:pStyle w:val="In-tableHeading"/>
              <w:rPr>
                <w:b w:val="0"/>
                <w:bCs/>
              </w:rPr>
            </w:pPr>
            <w:r w:rsidRPr="00687FD0">
              <w:rPr>
                <w:b w:val="0"/>
                <w:bCs/>
              </w:rPr>
              <w:t>$46,167,513</w:t>
            </w:r>
          </w:p>
          <w:p w14:paraId="4ED7F880" w14:textId="77777777" w:rsidR="00616094" w:rsidRPr="00687FD0" w:rsidRDefault="00616094">
            <w:pPr>
              <w:pStyle w:val="In-tableHeading"/>
              <w:rPr>
                <w:b w:val="0"/>
                <w:bCs/>
              </w:rPr>
            </w:pPr>
            <w:r w:rsidRPr="00687FD0">
              <w:rPr>
                <w:b w:val="0"/>
                <w:bCs/>
              </w:rPr>
              <w:t>$42,621,019</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E6523A3" w14:textId="77777777" w:rsidR="00616094" w:rsidRPr="00687FD0" w:rsidRDefault="00616094">
            <w:pPr>
              <w:pStyle w:val="In-tableHeading"/>
              <w:rPr>
                <w:b w:val="0"/>
                <w:bCs/>
              </w:rPr>
            </w:pPr>
            <w:r w:rsidRPr="00687FD0">
              <w:rPr>
                <w:b w:val="0"/>
                <w:bCs/>
              </w:rPr>
              <w:t>$47,321,701</w:t>
            </w:r>
          </w:p>
          <w:p w14:paraId="1914F597" w14:textId="77777777" w:rsidR="00616094" w:rsidRPr="00687FD0" w:rsidRDefault="00616094">
            <w:pPr>
              <w:pStyle w:val="In-tableHeading"/>
              <w:rPr>
                <w:b w:val="0"/>
                <w:bCs/>
              </w:rPr>
            </w:pPr>
            <w:r w:rsidRPr="00687FD0">
              <w:rPr>
                <w:b w:val="0"/>
                <w:bCs/>
              </w:rPr>
              <w:t>$43,686,544</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41E5F5F" w14:textId="77777777" w:rsidR="00616094" w:rsidRPr="00687FD0" w:rsidRDefault="00616094">
            <w:pPr>
              <w:pStyle w:val="In-tableHeading"/>
              <w:rPr>
                <w:b w:val="0"/>
                <w:bCs/>
              </w:rPr>
            </w:pPr>
            <w:r w:rsidRPr="00687FD0">
              <w:rPr>
                <w:b w:val="0"/>
                <w:bCs/>
              </w:rPr>
              <w:t>$48,504,744</w:t>
            </w:r>
          </w:p>
          <w:p w14:paraId="2C3D9E39" w14:textId="77777777" w:rsidR="00616094" w:rsidRPr="00687FD0" w:rsidRDefault="00616094">
            <w:pPr>
              <w:pStyle w:val="In-tableHeading"/>
              <w:rPr>
                <w:b w:val="0"/>
                <w:bCs/>
              </w:rPr>
            </w:pPr>
            <w:r w:rsidRPr="00687FD0">
              <w:rPr>
                <w:b w:val="0"/>
                <w:bCs/>
              </w:rPr>
              <w:t>$44,778,708</w:t>
            </w:r>
          </w:p>
        </w:tc>
      </w:tr>
      <w:tr w:rsidR="00616094" w:rsidRPr="001B036C" w14:paraId="58920F85" w14:textId="77777777">
        <w:trPr>
          <w:trHeight w:val="314"/>
          <w:tblHead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0496F" w14:textId="202DBE9A" w:rsidR="00616094" w:rsidRPr="00741323" w:rsidRDefault="00616094">
            <w:pPr>
              <w:pStyle w:val="In-tableHeading"/>
              <w:rPr>
                <w:b w:val="0"/>
                <w:bCs/>
                <w:vertAlign w:val="superscript"/>
              </w:rPr>
            </w:pPr>
            <w:r w:rsidRPr="007666DE">
              <w:rPr>
                <w:b w:val="0"/>
                <w:bCs/>
              </w:rPr>
              <w:t>SA3</w:t>
            </w:r>
          </w:p>
          <w:p w14:paraId="46BDE78A" w14:textId="77777777" w:rsidR="00616094" w:rsidRPr="007666DE" w:rsidRDefault="00616094">
            <w:pPr>
              <w:pStyle w:val="In-tableHeading"/>
              <w:rPr>
                <w:b w:val="0"/>
                <w:bCs/>
              </w:rPr>
            </w:pPr>
            <w:r w:rsidRPr="007666DE">
              <w:rPr>
                <w:b w:val="0"/>
                <w:bCs/>
              </w:rPr>
              <w:t>50%</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7E686628" w14:textId="77777777" w:rsidR="00616094" w:rsidRPr="00F2076E" w:rsidRDefault="00616094">
            <w:pPr>
              <w:pStyle w:val="In-tableHeading"/>
              <w:rPr>
                <w:b w:val="0"/>
                <w:bCs/>
                <w:szCs w:val="20"/>
              </w:rPr>
            </w:pPr>
            <w:r w:rsidRPr="00821A98">
              <w:rPr>
                <w:b w:val="0"/>
                <w:bCs/>
                <w:szCs w:val="20"/>
              </w:rPr>
              <w:t>$30,110,579</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624023F" w14:textId="77777777" w:rsidR="00616094" w:rsidRPr="00310D61" w:rsidRDefault="00616094">
            <w:pPr>
              <w:pStyle w:val="In-tableHeading"/>
              <w:rPr>
                <w:b w:val="0"/>
                <w:bCs/>
                <w:szCs w:val="20"/>
              </w:rPr>
            </w:pPr>
            <w:r w:rsidRPr="00821A98">
              <w:rPr>
                <w:b w:val="0"/>
                <w:bCs/>
                <w:szCs w:val="20"/>
              </w:rPr>
              <w:t>$30,863,343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E76EC27" w14:textId="77777777" w:rsidR="00616094" w:rsidRPr="00310D61" w:rsidRDefault="00616094">
            <w:pPr>
              <w:pStyle w:val="In-tableHeading"/>
              <w:rPr>
                <w:b w:val="0"/>
                <w:bCs/>
                <w:szCs w:val="20"/>
              </w:rPr>
            </w:pPr>
            <w:r w:rsidRPr="00821A98">
              <w:rPr>
                <w:b w:val="0"/>
                <w:bCs/>
                <w:szCs w:val="20"/>
              </w:rPr>
              <w:t>$31,634,927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34E4FAA" w14:textId="77777777" w:rsidR="00616094" w:rsidRPr="00310D61" w:rsidRDefault="00616094">
            <w:pPr>
              <w:pStyle w:val="In-tableHeading"/>
              <w:rPr>
                <w:b w:val="0"/>
                <w:bCs/>
                <w:szCs w:val="20"/>
              </w:rPr>
            </w:pPr>
            <w:r w:rsidRPr="00821A98">
              <w:rPr>
                <w:b w:val="0"/>
                <w:bCs/>
                <w:szCs w:val="20"/>
              </w:rPr>
              <w:t>$32,425,800</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E52E8C7" w14:textId="77777777" w:rsidR="00616094" w:rsidRPr="00310D61" w:rsidRDefault="00616094">
            <w:pPr>
              <w:pStyle w:val="In-tableHeading"/>
              <w:rPr>
                <w:b w:val="0"/>
                <w:bCs/>
                <w:szCs w:val="20"/>
              </w:rPr>
            </w:pPr>
            <w:r w:rsidRPr="00821A98">
              <w:rPr>
                <w:b w:val="0"/>
                <w:bCs/>
                <w:szCs w:val="20"/>
              </w:rPr>
              <w:t>$33,236,445</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DB8E0BA" w14:textId="77777777" w:rsidR="00616094" w:rsidRPr="00310D61" w:rsidRDefault="00616094">
            <w:pPr>
              <w:pStyle w:val="In-tableHeading"/>
              <w:rPr>
                <w:b w:val="0"/>
                <w:bCs/>
                <w:szCs w:val="20"/>
              </w:rPr>
            </w:pPr>
            <w:r w:rsidRPr="00821A98">
              <w:rPr>
                <w:b w:val="0"/>
                <w:bCs/>
                <w:szCs w:val="20"/>
              </w:rPr>
              <w:t>$34,067,356</w:t>
            </w:r>
          </w:p>
        </w:tc>
      </w:tr>
      <w:tr w:rsidR="00616094" w:rsidRPr="001B036C" w14:paraId="2C5E1D21" w14:textId="77777777">
        <w:trPr>
          <w:trHeight w:val="314"/>
          <w:tblHead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6A33E2" w14:textId="5170B736" w:rsidR="00616094" w:rsidRPr="00D73627" w:rsidRDefault="00616094">
            <w:pPr>
              <w:pStyle w:val="In-tableHeading"/>
              <w:rPr>
                <w:b w:val="0"/>
                <w:bCs/>
              </w:rPr>
            </w:pPr>
            <w:r w:rsidRPr="00D73627">
              <w:rPr>
                <w:b w:val="0"/>
                <w:bCs/>
              </w:rPr>
              <w:t>SA4</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556BBF" w14:textId="77777777" w:rsidR="00616094" w:rsidRPr="001E3D78" w:rsidRDefault="00616094">
            <w:pPr>
              <w:pStyle w:val="In-tableHeading"/>
              <w:rPr>
                <w:b w:val="0"/>
                <w:bCs/>
              </w:rPr>
            </w:pPr>
            <w:r w:rsidRPr="001E3D78">
              <w:rPr>
                <w:b w:val="0"/>
                <w:bCs/>
              </w:rPr>
              <w:t>$28,644,842</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367F6" w14:textId="77777777" w:rsidR="00616094" w:rsidRPr="001E3D78" w:rsidRDefault="00616094">
            <w:pPr>
              <w:pStyle w:val="In-tableHeading"/>
              <w:rPr>
                <w:b w:val="0"/>
                <w:bCs/>
              </w:rPr>
            </w:pPr>
            <w:r w:rsidRPr="001E3D78">
              <w:rPr>
                <w:b w:val="0"/>
                <w:bCs/>
              </w:rPr>
              <w:t>$29,360,963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881F96" w14:textId="77777777" w:rsidR="00616094" w:rsidRPr="001E3D78" w:rsidRDefault="00616094">
            <w:pPr>
              <w:pStyle w:val="In-tableHeading"/>
              <w:rPr>
                <w:b w:val="0"/>
                <w:bCs/>
              </w:rPr>
            </w:pPr>
            <w:r w:rsidRPr="001E3D78">
              <w:rPr>
                <w:b w:val="0"/>
                <w:bCs/>
              </w:rPr>
              <w:t>$30,094,987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308174" w14:textId="77777777" w:rsidR="00616094" w:rsidRPr="001E3D78" w:rsidRDefault="00616094">
            <w:pPr>
              <w:pStyle w:val="In-tableHeading"/>
              <w:rPr>
                <w:b w:val="0"/>
                <w:bCs/>
              </w:rPr>
            </w:pPr>
            <w:r w:rsidRPr="001E3D78">
              <w:rPr>
                <w:b w:val="0"/>
                <w:bCs/>
              </w:rPr>
              <w:t>$30,847,362</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30F50" w14:textId="77777777" w:rsidR="00616094" w:rsidRPr="001E3D78" w:rsidRDefault="00616094">
            <w:pPr>
              <w:pStyle w:val="In-tableHeading"/>
              <w:rPr>
                <w:b w:val="0"/>
                <w:bCs/>
              </w:rPr>
            </w:pPr>
            <w:r w:rsidRPr="001E3D78">
              <w:rPr>
                <w:b w:val="0"/>
                <w:bCs/>
              </w:rPr>
              <w:t>$31,618,546</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CF578B" w14:textId="77777777" w:rsidR="00616094" w:rsidRPr="001E3D78" w:rsidRDefault="00616094">
            <w:pPr>
              <w:pStyle w:val="In-tableHeading"/>
              <w:rPr>
                <w:b w:val="0"/>
                <w:bCs/>
              </w:rPr>
            </w:pPr>
            <w:r w:rsidRPr="001E3D78">
              <w:rPr>
                <w:b w:val="0"/>
                <w:bCs/>
              </w:rPr>
              <w:t>$32,409,010</w:t>
            </w:r>
          </w:p>
        </w:tc>
      </w:tr>
      <w:tr w:rsidR="009834FE" w:rsidRPr="001B036C" w14:paraId="5EA425F7" w14:textId="77777777" w:rsidTr="007F5EA2">
        <w:trPr>
          <w:trHeight w:val="314"/>
          <w:tblHead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9B9560" w14:textId="09B489E2" w:rsidR="009834FE" w:rsidRPr="00D73627" w:rsidRDefault="009834FE" w:rsidP="009834FE">
            <w:pPr>
              <w:pStyle w:val="In-tableHeading"/>
              <w:rPr>
                <w:b w:val="0"/>
                <w:bCs/>
              </w:rPr>
            </w:pPr>
            <w:r>
              <w:rPr>
                <w:b w:val="0"/>
                <w:bCs/>
              </w:rPr>
              <w:t xml:space="preserve">SA5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BE41FD" w14:textId="3D78EE7C" w:rsidR="009834FE" w:rsidRPr="009834FE" w:rsidRDefault="009834FE" w:rsidP="009834FE">
            <w:pPr>
              <w:pStyle w:val="In-tableHeading"/>
              <w:rPr>
                <w:b w:val="0"/>
                <w:bCs/>
              </w:rPr>
            </w:pPr>
            <w:r w:rsidRPr="007F5EA2">
              <w:rPr>
                <w:b w:val="0"/>
                <w:bCs/>
              </w:rPr>
              <w:t>$31,593,415</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F67701" w14:textId="6361D7FF" w:rsidR="009834FE" w:rsidRPr="009834FE" w:rsidRDefault="009834FE" w:rsidP="009834FE">
            <w:pPr>
              <w:pStyle w:val="In-tableHeading"/>
              <w:rPr>
                <w:b w:val="0"/>
                <w:bCs/>
              </w:rPr>
            </w:pPr>
            <w:r w:rsidRPr="007F5EA2">
              <w:rPr>
                <w:b w:val="0"/>
                <w:bCs/>
              </w:rPr>
              <w:t>$32,383,251</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403104" w14:textId="3BA84062" w:rsidR="009834FE" w:rsidRPr="009834FE" w:rsidRDefault="009834FE" w:rsidP="009834FE">
            <w:pPr>
              <w:pStyle w:val="In-tableHeading"/>
              <w:rPr>
                <w:b w:val="0"/>
                <w:bCs/>
              </w:rPr>
            </w:pPr>
            <w:r w:rsidRPr="007F5EA2">
              <w:rPr>
                <w:b w:val="0"/>
                <w:bCs/>
              </w:rPr>
              <w:t>$33,192,832</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A51D26" w14:textId="40BAB4E9" w:rsidR="009834FE" w:rsidRPr="009834FE" w:rsidRDefault="009834FE" w:rsidP="009834FE">
            <w:pPr>
              <w:pStyle w:val="In-tableHeading"/>
              <w:rPr>
                <w:b w:val="0"/>
                <w:bCs/>
              </w:rPr>
            </w:pPr>
            <w:r w:rsidRPr="007F5EA2">
              <w:rPr>
                <w:b w:val="0"/>
                <w:bCs/>
              </w:rPr>
              <w:t>$34,022,653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C2B93" w14:textId="55BB2928" w:rsidR="009834FE" w:rsidRPr="009834FE" w:rsidRDefault="009834FE" w:rsidP="009834FE">
            <w:pPr>
              <w:pStyle w:val="In-tableHeading"/>
              <w:rPr>
                <w:b w:val="0"/>
                <w:bCs/>
              </w:rPr>
            </w:pPr>
            <w:r w:rsidRPr="007F5EA2">
              <w:rPr>
                <w:b w:val="0"/>
                <w:bCs/>
              </w:rPr>
              <w:t>$34,873,219</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0680A" w14:textId="0826CD8F" w:rsidR="009834FE" w:rsidRPr="009834FE" w:rsidRDefault="009834FE" w:rsidP="009834FE">
            <w:pPr>
              <w:pStyle w:val="In-tableHeading"/>
              <w:rPr>
                <w:b w:val="0"/>
                <w:bCs/>
              </w:rPr>
            </w:pPr>
            <w:r w:rsidRPr="007F5EA2">
              <w:rPr>
                <w:b w:val="0"/>
                <w:bCs/>
              </w:rPr>
              <w:t>$35,745,050</w:t>
            </w:r>
          </w:p>
        </w:tc>
      </w:tr>
      <w:tr w:rsidR="00CE134C" w:rsidRPr="001B036C" w14:paraId="3EBA5981" w14:textId="77777777" w:rsidTr="007F5EA2">
        <w:trPr>
          <w:trHeight w:val="314"/>
          <w:tblHeader/>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7EFCCE" w14:textId="6297DE3B" w:rsidR="00CE134C" w:rsidRDefault="00CE134C" w:rsidP="00CE134C">
            <w:pPr>
              <w:pStyle w:val="In-tableHeading"/>
              <w:rPr>
                <w:b w:val="0"/>
                <w:bCs/>
                <w:vertAlign w:val="superscript"/>
              </w:rPr>
            </w:pPr>
            <w:r w:rsidRPr="000C36B7">
              <w:rPr>
                <w:b w:val="0"/>
                <w:bCs/>
              </w:rPr>
              <w:t>SA</w:t>
            </w:r>
            <w:r>
              <w:rPr>
                <w:b w:val="0"/>
                <w:bCs/>
              </w:rPr>
              <w:t>6</w:t>
            </w:r>
          </w:p>
          <w:p w14:paraId="6FB526DA" w14:textId="77777777" w:rsidR="00CE134C" w:rsidRDefault="00CE134C" w:rsidP="00CE134C">
            <w:pPr>
              <w:pStyle w:val="In-tableHeading"/>
              <w:rPr>
                <w:b w:val="0"/>
                <w:bCs/>
              </w:rPr>
            </w:pPr>
            <w:r>
              <w:rPr>
                <w:b w:val="0"/>
                <w:bCs/>
              </w:rPr>
              <w:t>10%</w:t>
            </w:r>
          </w:p>
          <w:p w14:paraId="13A065FF" w14:textId="77777777" w:rsidR="00CE134C" w:rsidRDefault="00CE134C" w:rsidP="00CE134C">
            <w:pPr>
              <w:pStyle w:val="In-tableHeading"/>
              <w:rPr>
                <w:b w:val="0"/>
                <w:bCs/>
              </w:rPr>
            </w:pPr>
            <w:r>
              <w:rPr>
                <w:b w:val="0"/>
                <w:bCs/>
              </w:rPr>
              <w:t>20%</w:t>
            </w:r>
          </w:p>
          <w:p w14:paraId="52405CB9" w14:textId="0B75913A" w:rsidR="00CE134C" w:rsidRPr="00D73627" w:rsidRDefault="00CE134C" w:rsidP="00CE134C">
            <w:pPr>
              <w:pStyle w:val="In-tableHeading"/>
              <w:rPr>
                <w:b w:val="0"/>
                <w:bCs/>
              </w:rPr>
            </w:pPr>
            <w:r>
              <w:rPr>
                <w:b w:val="0"/>
                <w:bCs/>
              </w:rPr>
              <w:t>30%</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38510A47" w14:textId="77777777" w:rsidR="00CE134C" w:rsidRPr="002550DC" w:rsidRDefault="00CE134C" w:rsidP="00CE134C">
            <w:pPr>
              <w:pStyle w:val="In-tableHeading"/>
              <w:rPr>
                <w:b w:val="0"/>
                <w:bCs/>
              </w:rPr>
            </w:pPr>
            <w:r w:rsidRPr="002550DC">
              <w:rPr>
                <w:b w:val="0"/>
                <w:bCs/>
              </w:rPr>
              <w:t>$33,242,184</w:t>
            </w:r>
          </w:p>
          <w:p w14:paraId="18042614" w14:textId="77777777" w:rsidR="00CE134C" w:rsidRPr="002550DC" w:rsidRDefault="00CE134C" w:rsidP="00CE134C">
            <w:pPr>
              <w:pStyle w:val="In-tableHeading"/>
              <w:rPr>
                <w:b w:val="0"/>
                <w:bCs/>
              </w:rPr>
            </w:pPr>
            <w:r w:rsidRPr="002550DC">
              <w:rPr>
                <w:b w:val="0"/>
                <w:bCs/>
              </w:rPr>
              <w:t>$33,594,938</w:t>
            </w:r>
          </w:p>
          <w:p w14:paraId="0A3212FB" w14:textId="72359066" w:rsidR="00CE134C" w:rsidRPr="001E3D78" w:rsidRDefault="00CE134C" w:rsidP="00CE134C">
            <w:pPr>
              <w:pStyle w:val="In-tableHeading"/>
              <w:rPr>
                <w:b w:val="0"/>
                <w:bCs/>
              </w:rPr>
            </w:pPr>
            <w:r w:rsidRPr="002550DC">
              <w:rPr>
                <w:b w:val="0"/>
                <w:bCs/>
              </w:rPr>
              <w:t>$33,947,693</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BF18FAB" w14:textId="77777777" w:rsidR="00CE134C" w:rsidRPr="002550DC" w:rsidRDefault="00CE134C" w:rsidP="00CE134C">
            <w:pPr>
              <w:pStyle w:val="In-tableHeading"/>
              <w:rPr>
                <w:b w:val="0"/>
                <w:bCs/>
              </w:rPr>
            </w:pPr>
            <w:r w:rsidRPr="002550DC">
              <w:rPr>
                <w:b w:val="0"/>
                <w:bCs/>
              </w:rPr>
              <w:t>$34,073,238</w:t>
            </w:r>
          </w:p>
          <w:p w14:paraId="4D215B47" w14:textId="77777777" w:rsidR="00CE134C" w:rsidRPr="002550DC" w:rsidRDefault="00CE134C" w:rsidP="00CE134C">
            <w:pPr>
              <w:pStyle w:val="In-tableHeading"/>
              <w:rPr>
                <w:b w:val="0"/>
                <w:bCs/>
              </w:rPr>
            </w:pPr>
            <w:r w:rsidRPr="002550DC">
              <w:rPr>
                <w:b w:val="0"/>
                <w:bCs/>
              </w:rPr>
              <w:t>$34,434,812</w:t>
            </w:r>
          </w:p>
          <w:p w14:paraId="3E0EDEA2" w14:textId="13B78990" w:rsidR="00CE134C" w:rsidRPr="001E3D78" w:rsidRDefault="00CE134C" w:rsidP="00CE134C">
            <w:pPr>
              <w:pStyle w:val="In-tableHeading"/>
              <w:rPr>
                <w:b w:val="0"/>
                <w:bCs/>
              </w:rPr>
            </w:pPr>
            <w:r w:rsidRPr="002550DC">
              <w:rPr>
                <w:b w:val="0"/>
                <w:bCs/>
              </w:rPr>
              <w:t>$34,796,385</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32519D4" w14:textId="77777777" w:rsidR="00CE134C" w:rsidRPr="002550DC" w:rsidRDefault="00CE134C" w:rsidP="00CE134C">
            <w:pPr>
              <w:pStyle w:val="In-tableHeading"/>
              <w:rPr>
                <w:b w:val="0"/>
                <w:bCs/>
              </w:rPr>
            </w:pPr>
            <w:r w:rsidRPr="002550DC">
              <w:rPr>
                <w:b w:val="0"/>
                <w:bCs/>
              </w:rPr>
              <w:t>$34,925,069</w:t>
            </w:r>
          </w:p>
          <w:p w14:paraId="415C9C8D" w14:textId="77777777" w:rsidR="00CE134C" w:rsidRPr="002550DC" w:rsidRDefault="00CE134C" w:rsidP="00CE134C">
            <w:pPr>
              <w:pStyle w:val="In-tableHeading"/>
              <w:rPr>
                <w:b w:val="0"/>
                <w:bCs/>
              </w:rPr>
            </w:pPr>
            <w:r w:rsidRPr="002550DC">
              <w:rPr>
                <w:b w:val="0"/>
                <w:bCs/>
              </w:rPr>
              <w:t>$35,295,682</w:t>
            </w:r>
          </w:p>
          <w:p w14:paraId="5B7FB036" w14:textId="18EEB275" w:rsidR="00CE134C" w:rsidRPr="001E3D78" w:rsidRDefault="00CE134C" w:rsidP="00CE134C">
            <w:pPr>
              <w:pStyle w:val="In-tableHeading"/>
              <w:rPr>
                <w:b w:val="0"/>
                <w:bCs/>
              </w:rPr>
            </w:pPr>
            <w:r w:rsidRPr="002550DC">
              <w:rPr>
                <w:b w:val="0"/>
                <w:bCs/>
              </w:rPr>
              <w:t>$35,666,295</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840E5D5" w14:textId="77777777" w:rsidR="00CE134C" w:rsidRPr="002550DC" w:rsidRDefault="00CE134C" w:rsidP="00CE134C">
            <w:pPr>
              <w:pStyle w:val="In-tableHeading"/>
              <w:rPr>
                <w:b w:val="0"/>
                <w:bCs/>
              </w:rPr>
            </w:pPr>
            <w:r w:rsidRPr="002550DC">
              <w:rPr>
                <w:b w:val="0"/>
                <w:bCs/>
              </w:rPr>
              <w:t>$35,798,196</w:t>
            </w:r>
          </w:p>
          <w:p w14:paraId="0CBDE01E" w14:textId="77777777" w:rsidR="00CE134C" w:rsidRPr="002550DC" w:rsidRDefault="00CE134C" w:rsidP="00CE134C">
            <w:pPr>
              <w:pStyle w:val="In-tableHeading"/>
              <w:rPr>
                <w:b w:val="0"/>
                <w:bCs/>
              </w:rPr>
            </w:pPr>
            <w:r w:rsidRPr="002550DC">
              <w:rPr>
                <w:b w:val="0"/>
                <w:bCs/>
              </w:rPr>
              <w:t>$36,178,074</w:t>
            </w:r>
          </w:p>
          <w:p w14:paraId="4C97ECC5" w14:textId="6B4B9A2A" w:rsidR="00CE134C" w:rsidRPr="001E3D78" w:rsidRDefault="00CE134C" w:rsidP="00CE134C">
            <w:pPr>
              <w:pStyle w:val="In-tableHeading"/>
              <w:rPr>
                <w:b w:val="0"/>
                <w:bCs/>
              </w:rPr>
            </w:pPr>
            <w:r w:rsidRPr="002550DC">
              <w:rPr>
                <w:b w:val="0"/>
                <w:bCs/>
              </w:rPr>
              <w:t>$36,557,952</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E663119" w14:textId="77777777" w:rsidR="00CE134C" w:rsidRPr="002550DC" w:rsidRDefault="00CE134C" w:rsidP="00CE134C">
            <w:pPr>
              <w:pStyle w:val="In-tableHeading"/>
              <w:rPr>
                <w:b w:val="0"/>
                <w:bCs/>
              </w:rPr>
            </w:pPr>
            <w:r w:rsidRPr="002550DC">
              <w:rPr>
                <w:b w:val="0"/>
                <w:bCs/>
              </w:rPr>
              <w:t>$36,693,151</w:t>
            </w:r>
          </w:p>
          <w:p w14:paraId="41765F07" w14:textId="77777777" w:rsidR="00CE134C" w:rsidRPr="002550DC" w:rsidRDefault="00CE134C" w:rsidP="00CE134C">
            <w:pPr>
              <w:pStyle w:val="In-tableHeading"/>
              <w:rPr>
                <w:b w:val="0"/>
                <w:bCs/>
              </w:rPr>
            </w:pPr>
            <w:r w:rsidRPr="002550DC">
              <w:rPr>
                <w:b w:val="0"/>
                <w:bCs/>
              </w:rPr>
              <w:t>$37,082,526</w:t>
            </w:r>
          </w:p>
          <w:p w14:paraId="7B6323A5" w14:textId="75286C4D" w:rsidR="00CE134C" w:rsidRPr="001E3D78" w:rsidRDefault="00CE134C" w:rsidP="00CE134C">
            <w:pPr>
              <w:pStyle w:val="In-tableHeading"/>
              <w:rPr>
                <w:b w:val="0"/>
                <w:bCs/>
              </w:rPr>
            </w:pPr>
            <w:r w:rsidRPr="002550DC">
              <w:rPr>
                <w:b w:val="0"/>
                <w:bCs/>
              </w:rPr>
              <w:t>$37,471,901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ACFC13B" w14:textId="77777777" w:rsidR="00CE134C" w:rsidRPr="002550DC" w:rsidRDefault="00CE134C" w:rsidP="00CE134C">
            <w:pPr>
              <w:pStyle w:val="In-tableHeading"/>
              <w:rPr>
                <w:b w:val="0"/>
                <w:bCs/>
              </w:rPr>
            </w:pPr>
            <w:r w:rsidRPr="002550DC">
              <w:rPr>
                <w:b w:val="0"/>
                <w:bCs/>
              </w:rPr>
              <w:t>$37,610,479</w:t>
            </w:r>
          </w:p>
          <w:p w14:paraId="7F34C6A0" w14:textId="77777777" w:rsidR="00CE134C" w:rsidRPr="002550DC" w:rsidRDefault="00CE134C" w:rsidP="00CE134C">
            <w:pPr>
              <w:pStyle w:val="In-tableHeading"/>
              <w:rPr>
                <w:b w:val="0"/>
                <w:bCs/>
              </w:rPr>
            </w:pPr>
            <w:r w:rsidRPr="002550DC">
              <w:rPr>
                <w:b w:val="0"/>
                <w:bCs/>
              </w:rPr>
              <w:t>$38,009,589</w:t>
            </w:r>
          </w:p>
          <w:p w14:paraId="255B683B" w14:textId="26B4F24B" w:rsidR="00CE134C" w:rsidRPr="001E3D78" w:rsidRDefault="00CE134C" w:rsidP="00CE134C">
            <w:pPr>
              <w:pStyle w:val="In-tableHeading"/>
              <w:rPr>
                <w:b w:val="0"/>
                <w:bCs/>
              </w:rPr>
            </w:pPr>
            <w:r w:rsidRPr="002550DC">
              <w:rPr>
                <w:b w:val="0"/>
                <w:bCs/>
              </w:rPr>
              <w:t>$38,408,698</w:t>
            </w:r>
          </w:p>
        </w:tc>
      </w:tr>
    </w:tbl>
    <w:p w14:paraId="7E0D2F52" w14:textId="3C859D30" w:rsidR="00616094" w:rsidRPr="00871B1A" w:rsidRDefault="00616094" w:rsidP="00616094">
      <w:pPr>
        <w:spacing w:after="0"/>
        <w:rPr>
          <w:rFonts w:ascii="Arial Narrow" w:hAnsi="Arial Narrow"/>
          <w:sz w:val="18"/>
          <w:szCs w:val="18"/>
        </w:rPr>
      </w:pPr>
      <w:r w:rsidRPr="00871B1A">
        <w:rPr>
          <w:rFonts w:ascii="Arial Narrow" w:hAnsi="Arial Narrow"/>
          <w:sz w:val="18"/>
          <w:szCs w:val="18"/>
        </w:rPr>
        <w:t xml:space="preserve">* </w:t>
      </w:r>
      <w:r w:rsidR="001C3EA1">
        <w:rPr>
          <w:rFonts w:ascii="Arial Narrow" w:hAnsi="Arial Narrow"/>
          <w:sz w:val="18"/>
          <w:szCs w:val="18"/>
        </w:rPr>
        <w:t>The b</w:t>
      </w:r>
      <w:r w:rsidRPr="00871B1A">
        <w:rPr>
          <w:rFonts w:ascii="Arial Narrow" w:hAnsi="Arial Narrow"/>
          <w:sz w:val="18"/>
          <w:szCs w:val="18"/>
        </w:rPr>
        <w:t>ase case</w:t>
      </w:r>
      <w:r w:rsidR="001C3EA1">
        <w:rPr>
          <w:rFonts w:ascii="Arial Narrow" w:hAnsi="Arial Narrow"/>
          <w:sz w:val="18"/>
          <w:szCs w:val="18"/>
        </w:rPr>
        <w:t xml:space="preserve"> was</w:t>
      </w:r>
      <w:r w:rsidRPr="00871B1A">
        <w:rPr>
          <w:rFonts w:ascii="Arial Narrow" w:hAnsi="Arial Narrow"/>
          <w:sz w:val="18"/>
          <w:szCs w:val="18"/>
        </w:rPr>
        <w:t xml:space="preserve"> updated in the rejoinder by revising the cost of biopsy to $180.25 (MBS Item 7282</w:t>
      </w:r>
      <w:r w:rsidR="00FC3D8D">
        <w:rPr>
          <w:rFonts w:ascii="Arial Narrow" w:hAnsi="Arial Narrow"/>
          <w:sz w:val="18"/>
          <w:szCs w:val="18"/>
        </w:rPr>
        <w:t>5</w:t>
      </w:r>
      <w:r w:rsidRPr="00871B1A">
        <w:rPr>
          <w:rFonts w:ascii="Arial Narrow" w:hAnsi="Arial Narrow"/>
          <w:sz w:val="18"/>
          <w:szCs w:val="18"/>
        </w:rPr>
        <w:t xml:space="preserve">) based on applicant’s suggestion. </w:t>
      </w:r>
    </w:p>
    <w:p w14:paraId="4930139E" w14:textId="6A8BADAA" w:rsidR="008C676F" w:rsidRDefault="008C676F" w:rsidP="00701176">
      <w:pPr>
        <w:pStyle w:val="Caption"/>
        <w:numPr>
          <w:ilvl w:val="0"/>
          <w:numId w:val="38"/>
        </w:numPr>
        <w:rPr>
          <w:rFonts w:asciiTheme="minorHAnsi" w:hAnsiTheme="minorHAnsi" w:cstheme="minorHAnsi"/>
          <w:sz w:val="22"/>
          <w:szCs w:val="22"/>
        </w:rPr>
      </w:pPr>
      <w:r w:rsidRPr="00933FCC">
        <w:rPr>
          <w:rFonts w:asciiTheme="minorHAnsi" w:hAnsiTheme="minorHAnsi" w:cstheme="minorHAnsi"/>
          <w:sz w:val="22"/>
          <w:szCs w:val="22"/>
        </w:rPr>
        <w:t xml:space="preserve">Financial </w:t>
      </w:r>
      <w:r w:rsidR="00954438">
        <w:rPr>
          <w:rFonts w:asciiTheme="minorHAnsi" w:hAnsiTheme="minorHAnsi" w:cstheme="minorHAnsi"/>
          <w:sz w:val="22"/>
          <w:szCs w:val="22"/>
        </w:rPr>
        <w:t>sensitivity analysis</w:t>
      </w:r>
      <w:r w:rsidRPr="00933FCC">
        <w:rPr>
          <w:rFonts w:asciiTheme="minorHAnsi" w:hAnsiTheme="minorHAnsi" w:cstheme="minorHAnsi"/>
          <w:sz w:val="22"/>
          <w:szCs w:val="22"/>
        </w:rPr>
        <w:t xml:space="preserve"> assuming a 30% reduction in colonoscopy in public</w:t>
      </w:r>
      <w:r w:rsidR="0024425D">
        <w:rPr>
          <w:rFonts w:asciiTheme="minorHAnsi" w:hAnsiTheme="minorHAnsi" w:cstheme="minorHAnsi"/>
          <w:sz w:val="22"/>
          <w:szCs w:val="22"/>
        </w:rPr>
        <w:t xml:space="preserve"> hospitals</w:t>
      </w:r>
      <w:r w:rsidRPr="00933FCC">
        <w:rPr>
          <w:rFonts w:asciiTheme="minorHAnsi" w:hAnsiTheme="minorHAnsi" w:cstheme="minorHAnsi"/>
          <w:sz w:val="22"/>
          <w:szCs w:val="22"/>
        </w:rPr>
        <w:t xml:space="preserve"> only and no change to private colonoscopies. </w:t>
      </w:r>
    </w:p>
    <w:p w14:paraId="76A49981" w14:textId="397C2653" w:rsidR="00791626" w:rsidRDefault="008C676F" w:rsidP="008C676F">
      <w:r>
        <w:t>ESC</w:t>
      </w:r>
      <w:r w:rsidR="00791626">
        <w:t xml:space="preserve"> also </w:t>
      </w:r>
      <w:r>
        <w:t>requested a financial estimate</w:t>
      </w:r>
      <w:r w:rsidR="00CE134C">
        <w:t xml:space="preserve"> </w:t>
      </w:r>
      <w:r>
        <w:t>o</w:t>
      </w:r>
      <w:r w:rsidR="00791626">
        <w:t xml:space="preserve">f the cost to the MBS assuming a </w:t>
      </w:r>
      <w:r w:rsidR="00791626" w:rsidRPr="00791626">
        <w:t xml:space="preserve">30% reduction in </w:t>
      </w:r>
      <w:r w:rsidR="006F34C6">
        <w:t xml:space="preserve">public hospital colonoscopies and no further reduction in private colonoscopies. The results of this over a </w:t>
      </w:r>
      <w:r w:rsidR="0036470E">
        <w:t>6-year</w:t>
      </w:r>
      <w:r w:rsidR="006F34C6">
        <w:t xml:space="preserve"> period </w:t>
      </w:r>
      <w:r w:rsidR="00CE134C">
        <w:t>are</w:t>
      </w:r>
      <w:r w:rsidR="006F34C6">
        <w:t xml:space="preserve"> reported </w:t>
      </w:r>
      <w:r w:rsidR="008E640F">
        <w:t>in A</w:t>
      </w:r>
      <w:r w:rsidR="006E5805">
        <w:t>ddendum</w:t>
      </w:r>
      <w:r w:rsidR="008E640F">
        <w:t xml:space="preserve"> Table </w:t>
      </w:r>
      <w:r w:rsidR="006E5805">
        <w:t>6</w:t>
      </w:r>
      <w:r w:rsidR="008E640F">
        <w:t xml:space="preserve"> </w:t>
      </w:r>
      <w:r w:rsidR="006F34C6">
        <w:t xml:space="preserve">below. </w:t>
      </w:r>
    </w:p>
    <w:p w14:paraId="546D5EBA" w14:textId="6AD71B96" w:rsidR="008C676F" w:rsidRPr="007F5EA2" w:rsidRDefault="00EA2604" w:rsidP="008C676F">
      <w:pPr>
        <w:rPr>
          <w:rFonts w:ascii="Arial Narrow" w:hAnsi="Arial Narrow"/>
          <w:b/>
          <w:bCs/>
          <w:sz w:val="20"/>
          <w:szCs w:val="20"/>
        </w:rPr>
      </w:pPr>
      <w:r>
        <w:rPr>
          <w:rFonts w:ascii="Arial Narrow" w:hAnsi="Arial Narrow"/>
          <w:b/>
          <w:bCs/>
          <w:sz w:val="20"/>
          <w:szCs w:val="20"/>
        </w:rPr>
        <w:t xml:space="preserve">Addendum </w:t>
      </w:r>
      <w:r w:rsidR="006F34C6" w:rsidRPr="007F5EA2">
        <w:rPr>
          <w:rFonts w:ascii="Arial Narrow" w:hAnsi="Arial Narrow"/>
          <w:b/>
          <w:bCs/>
          <w:sz w:val="20"/>
          <w:szCs w:val="20"/>
        </w:rPr>
        <w:t xml:space="preserve">Table </w:t>
      </w:r>
      <w:r w:rsidR="006E5805">
        <w:rPr>
          <w:rFonts w:ascii="Arial Narrow" w:hAnsi="Arial Narrow"/>
          <w:b/>
          <w:bCs/>
          <w:sz w:val="20"/>
          <w:szCs w:val="20"/>
        </w:rPr>
        <w:t>6</w:t>
      </w:r>
      <w:r w:rsidR="00CE134C" w:rsidRPr="007F5EA2">
        <w:rPr>
          <w:rFonts w:ascii="Arial Narrow" w:hAnsi="Arial Narrow"/>
          <w:b/>
          <w:bCs/>
          <w:sz w:val="20"/>
          <w:szCs w:val="20"/>
        </w:rPr>
        <w:t xml:space="preserve">: </w:t>
      </w:r>
      <w:r w:rsidR="00F00ED5" w:rsidRPr="007F5EA2">
        <w:rPr>
          <w:rFonts w:ascii="Arial Narrow" w:hAnsi="Arial Narrow"/>
          <w:b/>
          <w:bCs/>
          <w:sz w:val="20"/>
          <w:szCs w:val="20"/>
        </w:rPr>
        <w:t>Cost to MBS assuming a 30% reduction in public hospital colonoscopies and no further reduction in private colonoscopies</w:t>
      </w:r>
    </w:p>
    <w:tbl>
      <w:tblPr>
        <w:tblW w:w="9719" w:type="dxa"/>
        <w:tblLayout w:type="fixed"/>
        <w:tblCellMar>
          <w:left w:w="0" w:type="dxa"/>
          <w:right w:w="0" w:type="dxa"/>
        </w:tblCellMar>
        <w:tblLook w:val="04A0" w:firstRow="1" w:lastRow="0" w:firstColumn="1" w:lastColumn="0" w:noHBand="0" w:noVBand="1"/>
      </w:tblPr>
      <w:tblGrid>
        <w:gridCol w:w="1881"/>
        <w:gridCol w:w="1346"/>
        <w:gridCol w:w="1417"/>
        <w:gridCol w:w="1276"/>
        <w:gridCol w:w="1276"/>
        <w:gridCol w:w="1276"/>
        <w:gridCol w:w="1247"/>
      </w:tblGrid>
      <w:tr w:rsidR="008C676F" w:rsidRPr="001B036C" w14:paraId="51DA06EB" w14:textId="77777777">
        <w:trPr>
          <w:trHeight w:val="312"/>
          <w:tblHeader/>
        </w:trPr>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7E69B" w14:textId="77777777" w:rsidR="008C676F" w:rsidRPr="001B036C" w:rsidRDefault="008C676F">
            <w:pPr>
              <w:pStyle w:val="In-tableHeading"/>
            </w:pP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FB68467" w14:textId="77777777" w:rsidR="008C676F" w:rsidRPr="001B036C" w:rsidRDefault="008C676F">
            <w:pPr>
              <w:pStyle w:val="In-tableHeading"/>
            </w:pPr>
            <w:r w:rsidRPr="001B036C">
              <w:t>2025</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80230D3" w14:textId="77777777" w:rsidR="008C676F" w:rsidRPr="001B036C" w:rsidRDefault="008C676F">
            <w:pPr>
              <w:pStyle w:val="In-tableHeading"/>
            </w:pPr>
            <w:r w:rsidRPr="001B036C">
              <w:t>2026</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717CB1E" w14:textId="77777777" w:rsidR="008C676F" w:rsidRPr="001B036C" w:rsidRDefault="008C676F">
            <w:pPr>
              <w:pStyle w:val="In-tableHeading"/>
            </w:pPr>
            <w:r w:rsidRPr="001B036C">
              <w:t>2027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6D82E24" w14:textId="77777777" w:rsidR="008C676F" w:rsidRPr="001B036C" w:rsidRDefault="008C676F">
            <w:pPr>
              <w:pStyle w:val="In-tableHeading"/>
            </w:pPr>
            <w:r w:rsidRPr="001B036C">
              <w:t>2028</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E6EF8A9" w14:textId="77777777" w:rsidR="008C676F" w:rsidRPr="001B036C" w:rsidRDefault="008C676F">
            <w:pPr>
              <w:pStyle w:val="In-tableHeading"/>
            </w:pPr>
            <w:r w:rsidRPr="001B036C">
              <w:t>2029</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2466694" w14:textId="77777777" w:rsidR="008C676F" w:rsidRPr="001B036C" w:rsidRDefault="008C676F">
            <w:pPr>
              <w:pStyle w:val="In-tableHeading"/>
            </w:pPr>
            <w:r w:rsidRPr="001B036C">
              <w:t>2030</w:t>
            </w:r>
          </w:p>
        </w:tc>
      </w:tr>
      <w:tr w:rsidR="008C676F" w:rsidRPr="001B036C" w14:paraId="0B303289" w14:textId="77777777">
        <w:trPr>
          <w:trHeight w:val="312"/>
          <w:tblHeader/>
        </w:trPr>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84654" w14:textId="77777777" w:rsidR="008C676F" w:rsidRPr="001B036C" w:rsidRDefault="008C676F">
            <w:pPr>
              <w:pStyle w:val="In-tableHeading"/>
            </w:pPr>
            <w:r>
              <w:t xml:space="preserve">Cost </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3BEE001" w14:textId="77777777" w:rsidR="008C676F" w:rsidRPr="001B036C" w:rsidRDefault="008C676F">
            <w:pPr>
              <w:pStyle w:val="In-tableHeading"/>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CA457E2" w14:textId="77777777" w:rsidR="008C676F" w:rsidRPr="001B036C" w:rsidRDefault="008C676F">
            <w:pPr>
              <w:pStyle w:val="In-tableHeading"/>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7CC6AEB" w14:textId="77777777" w:rsidR="008C676F" w:rsidRPr="001B036C" w:rsidRDefault="008C676F">
            <w:pPr>
              <w:pStyle w:val="In-tableHeading"/>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82E8FD6" w14:textId="77777777" w:rsidR="008C676F" w:rsidRPr="001B036C" w:rsidRDefault="008C676F">
            <w:pPr>
              <w:pStyle w:val="In-tableHeading"/>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D50F61B" w14:textId="77777777" w:rsidR="008C676F" w:rsidRPr="001B036C" w:rsidRDefault="008C676F">
            <w:pPr>
              <w:pStyle w:val="In-tableHeading"/>
            </w:pP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5FE6332" w14:textId="77777777" w:rsidR="008C676F" w:rsidRPr="001B036C" w:rsidRDefault="008C676F">
            <w:pPr>
              <w:pStyle w:val="In-tableHeading"/>
            </w:pPr>
          </w:p>
        </w:tc>
      </w:tr>
      <w:tr w:rsidR="008C676F" w:rsidRPr="004C4CAF" w14:paraId="268930E1" w14:textId="77777777">
        <w:trPr>
          <w:trHeight w:val="312"/>
          <w:tblHeader/>
        </w:trPr>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0F5C2E" w14:textId="77777777" w:rsidR="008C676F" w:rsidRPr="004C4CAF" w:rsidRDefault="008C676F">
            <w:pPr>
              <w:pStyle w:val="In-tableHeading"/>
              <w:rPr>
                <w:b w:val="0"/>
                <w:bCs/>
              </w:rPr>
            </w:pPr>
            <w:r>
              <w:rPr>
                <w:bCs/>
              </w:rPr>
              <w:t>B</w:t>
            </w:r>
            <w:r w:rsidRPr="004C4CAF">
              <w:rPr>
                <w:bCs/>
              </w:rPr>
              <w:t>ase case</w:t>
            </w:r>
            <w:r w:rsidRPr="004C4CAF">
              <w:rPr>
                <w:bCs/>
                <w:vertAlign w:val="superscript"/>
              </w:rPr>
              <w:t xml:space="preserve"> </w:t>
            </w:r>
            <w:r>
              <w:t>*</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F502336" w14:textId="77777777" w:rsidR="008C676F" w:rsidRPr="008001B9" w:rsidRDefault="008C676F">
            <w:pPr>
              <w:pStyle w:val="In-tableHeading"/>
              <w:rPr>
                <w:b w:val="0"/>
                <w:bCs/>
                <w:szCs w:val="20"/>
              </w:rPr>
            </w:pPr>
            <w:r w:rsidRPr="008001B9">
              <w:rPr>
                <w:bCs/>
                <w:szCs w:val="20"/>
              </w:rPr>
              <w:t>$32,889,429</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0638192" w14:textId="77777777" w:rsidR="008C676F" w:rsidRPr="008001B9" w:rsidRDefault="008C676F">
            <w:pPr>
              <w:pStyle w:val="In-tableHeading"/>
              <w:rPr>
                <w:b w:val="0"/>
                <w:bCs/>
                <w:szCs w:val="20"/>
              </w:rPr>
            </w:pPr>
            <w:r w:rsidRPr="008001B9">
              <w:rPr>
                <w:bCs/>
                <w:szCs w:val="20"/>
              </w:rPr>
              <w:t>$33,711,665</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46E854C" w14:textId="77777777" w:rsidR="008C676F" w:rsidRPr="008001B9" w:rsidRDefault="008C676F">
            <w:pPr>
              <w:pStyle w:val="In-tableHeading"/>
              <w:rPr>
                <w:b w:val="0"/>
                <w:bCs/>
                <w:szCs w:val="20"/>
              </w:rPr>
            </w:pPr>
            <w:r w:rsidRPr="008001B9">
              <w:rPr>
                <w:bCs/>
                <w:szCs w:val="20"/>
              </w:rPr>
              <w:t>$34,554,456</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EFC847C" w14:textId="77777777" w:rsidR="008C676F" w:rsidRPr="008001B9" w:rsidRDefault="008C676F">
            <w:pPr>
              <w:pStyle w:val="In-tableHeading"/>
              <w:rPr>
                <w:b w:val="0"/>
                <w:bCs/>
                <w:szCs w:val="20"/>
              </w:rPr>
            </w:pPr>
            <w:r w:rsidRPr="008001B9">
              <w:rPr>
                <w:bCs/>
                <w:szCs w:val="20"/>
              </w:rPr>
              <w:t>$35,418,318</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87354A7" w14:textId="77777777" w:rsidR="008C676F" w:rsidRPr="008001B9" w:rsidRDefault="008C676F">
            <w:pPr>
              <w:pStyle w:val="In-tableHeading"/>
              <w:rPr>
                <w:b w:val="0"/>
                <w:bCs/>
                <w:szCs w:val="20"/>
              </w:rPr>
            </w:pPr>
            <w:r w:rsidRPr="008001B9">
              <w:rPr>
                <w:bCs/>
                <w:szCs w:val="20"/>
              </w:rPr>
              <w:t>$36,303,776</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B8348B5" w14:textId="77777777" w:rsidR="008C676F" w:rsidRPr="008001B9" w:rsidRDefault="008C676F">
            <w:pPr>
              <w:pStyle w:val="In-tableHeading"/>
              <w:rPr>
                <w:b w:val="0"/>
                <w:bCs/>
                <w:szCs w:val="20"/>
              </w:rPr>
            </w:pPr>
            <w:r w:rsidRPr="008001B9">
              <w:rPr>
                <w:bCs/>
                <w:szCs w:val="20"/>
              </w:rPr>
              <w:t>$37,211,370</w:t>
            </w:r>
          </w:p>
        </w:tc>
      </w:tr>
      <w:tr w:rsidR="008C676F" w:rsidRPr="000C36B7" w14:paraId="76202E99" w14:textId="77777777">
        <w:trPr>
          <w:trHeight w:val="312"/>
          <w:tblHeader/>
        </w:trPr>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3B52FD" w14:textId="28D15638" w:rsidR="008C676F" w:rsidRPr="007F5EA2" w:rsidRDefault="008C676F">
            <w:pPr>
              <w:pStyle w:val="In-tableHeading"/>
              <w:rPr>
                <w:b w:val="0"/>
                <w:bCs/>
                <w:vertAlign w:val="superscript"/>
              </w:rPr>
            </w:pPr>
            <w:r w:rsidRPr="007F5EA2">
              <w:rPr>
                <w:b w:val="0"/>
                <w:bCs/>
              </w:rPr>
              <w:t>SA</w:t>
            </w:r>
            <w:r w:rsidR="00E21361" w:rsidRPr="007F5EA2">
              <w:rPr>
                <w:b w:val="0"/>
                <w:bCs/>
              </w:rPr>
              <w:t>7</w:t>
            </w:r>
            <w:r w:rsidRPr="007F5EA2">
              <w:rPr>
                <w:b w:val="0"/>
                <w:bCs/>
                <w:vertAlign w:val="superscript"/>
              </w:rPr>
              <w:t>a</w:t>
            </w:r>
          </w:p>
          <w:p w14:paraId="66EB6DC1" w14:textId="77777777" w:rsidR="008C676F" w:rsidRPr="007F5EA2" w:rsidRDefault="008C676F">
            <w:pPr>
              <w:pStyle w:val="In-tableHeading"/>
              <w:rPr>
                <w:b w:val="0"/>
                <w:bCs/>
                <w:vertAlign w:val="superscript"/>
              </w:rPr>
            </w:pPr>
            <w:r w:rsidRPr="007F5EA2">
              <w:rPr>
                <w:b w:val="0"/>
                <w:bCs/>
              </w:rPr>
              <w:t>Cost to MBS assuming no change in private colonoscopies</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DE67A4" w14:textId="77777777" w:rsidR="008C676F" w:rsidRPr="007F5EA2" w:rsidRDefault="008C676F">
            <w:pPr>
              <w:pStyle w:val="In-tableHeading"/>
              <w:rPr>
                <w:b w:val="0"/>
                <w:bCs/>
              </w:rPr>
            </w:pPr>
            <w:r w:rsidRPr="007F5EA2">
              <w:rPr>
                <w:b w:val="0"/>
                <w:szCs w:val="20"/>
              </w:rPr>
              <w:t>$40,114,656</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3AF950" w14:textId="77777777" w:rsidR="008C676F" w:rsidRPr="007F5EA2" w:rsidRDefault="008C676F">
            <w:pPr>
              <w:pStyle w:val="In-tableHeading"/>
              <w:rPr>
                <w:b w:val="0"/>
                <w:bCs/>
              </w:rPr>
            </w:pPr>
            <w:r w:rsidRPr="007F5EA2">
              <w:rPr>
                <w:b w:val="0"/>
                <w:szCs w:val="20"/>
              </w:rPr>
              <w:t>$41,117,523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7B39EB" w14:textId="77777777" w:rsidR="008C676F" w:rsidRPr="007F5EA2" w:rsidRDefault="008C676F">
            <w:pPr>
              <w:pStyle w:val="In-tableHeading"/>
              <w:rPr>
                <w:b w:val="0"/>
                <w:bCs/>
              </w:rPr>
            </w:pPr>
            <w:r w:rsidRPr="007F5EA2">
              <w:rPr>
                <w:b w:val="0"/>
                <w:szCs w:val="20"/>
              </w:rPr>
              <w:t>$42,145,461</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69CDA0" w14:textId="77777777" w:rsidR="008C676F" w:rsidRPr="007F5EA2" w:rsidRDefault="008C676F">
            <w:pPr>
              <w:pStyle w:val="In-tableHeading"/>
              <w:rPr>
                <w:b w:val="0"/>
                <w:bCs/>
              </w:rPr>
            </w:pPr>
            <w:r w:rsidRPr="007F5EA2">
              <w:rPr>
                <w:b w:val="0"/>
                <w:szCs w:val="20"/>
              </w:rPr>
              <w:t>$43,199,097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026A7C" w14:textId="77777777" w:rsidR="008C676F" w:rsidRPr="007F5EA2" w:rsidRDefault="008C676F">
            <w:pPr>
              <w:pStyle w:val="In-tableHeading"/>
              <w:rPr>
                <w:b w:val="0"/>
                <w:bCs/>
              </w:rPr>
            </w:pPr>
            <w:r w:rsidRPr="007F5EA2">
              <w:rPr>
                <w:b w:val="0"/>
                <w:szCs w:val="20"/>
              </w:rPr>
              <w:t>$44,279,075</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BBFE85" w14:textId="77777777" w:rsidR="008C676F" w:rsidRPr="007F5EA2" w:rsidRDefault="008C676F">
            <w:pPr>
              <w:pStyle w:val="In-tableHeading"/>
              <w:rPr>
                <w:b w:val="0"/>
                <w:bCs/>
              </w:rPr>
            </w:pPr>
            <w:r w:rsidRPr="007F5EA2">
              <w:rPr>
                <w:b w:val="0"/>
                <w:szCs w:val="20"/>
              </w:rPr>
              <w:t>$45,386,052</w:t>
            </w:r>
          </w:p>
        </w:tc>
      </w:tr>
    </w:tbl>
    <w:p w14:paraId="3A16CD8D" w14:textId="793BA081" w:rsidR="00FA283C" w:rsidRPr="00293C46" w:rsidRDefault="008C676F" w:rsidP="00293C46">
      <w:pPr>
        <w:spacing w:after="0"/>
        <w:rPr>
          <w:rFonts w:ascii="Arial Narrow" w:hAnsi="Arial Narrow"/>
          <w:sz w:val="18"/>
          <w:szCs w:val="18"/>
        </w:rPr>
      </w:pPr>
      <w:r w:rsidRPr="00871B1A">
        <w:rPr>
          <w:rFonts w:ascii="Arial Narrow" w:hAnsi="Arial Narrow"/>
          <w:sz w:val="18"/>
          <w:szCs w:val="18"/>
        </w:rPr>
        <w:t xml:space="preserve">* </w:t>
      </w:r>
      <w:r w:rsidR="001C3EA1">
        <w:rPr>
          <w:rFonts w:ascii="Arial Narrow" w:hAnsi="Arial Narrow"/>
          <w:sz w:val="18"/>
          <w:szCs w:val="18"/>
        </w:rPr>
        <w:t>The b</w:t>
      </w:r>
      <w:r w:rsidRPr="00871B1A">
        <w:rPr>
          <w:rFonts w:ascii="Arial Narrow" w:hAnsi="Arial Narrow"/>
          <w:sz w:val="18"/>
          <w:szCs w:val="18"/>
        </w:rPr>
        <w:t>ase case</w:t>
      </w:r>
      <w:r w:rsidR="001C3EA1">
        <w:rPr>
          <w:rFonts w:ascii="Arial Narrow" w:hAnsi="Arial Narrow"/>
          <w:sz w:val="18"/>
          <w:szCs w:val="18"/>
        </w:rPr>
        <w:t xml:space="preserve"> was</w:t>
      </w:r>
      <w:r w:rsidRPr="00871B1A">
        <w:rPr>
          <w:rFonts w:ascii="Arial Narrow" w:hAnsi="Arial Narrow"/>
          <w:sz w:val="18"/>
          <w:szCs w:val="18"/>
        </w:rPr>
        <w:t xml:space="preserve"> updated in the rejoinder by revising the cost of biopsy to $180.25 (MBS Item 7282</w:t>
      </w:r>
      <w:r w:rsidR="00FC3D8D">
        <w:rPr>
          <w:rFonts w:ascii="Arial Narrow" w:hAnsi="Arial Narrow"/>
          <w:sz w:val="18"/>
          <w:szCs w:val="18"/>
        </w:rPr>
        <w:t>5</w:t>
      </w:r>
      <w:r w:rsidRPr="00871B1A">
        <w:rPr>
          <w:rFonts w:ascii="Arial Narrow" w:hAnsi="Arial Narrow"/>
          <w:sz w:val="18"/>
          <w:szCs w:val="18"/>
        </w:rPr>
        <w:t xml:space="preserve">) based on applicant’s suggestion. </w:t>
      </w:r>
      <w:r w:rsidR="0036470E">
        <w:rPr>
          <w:rFonts w:ascii="Arial Narrow" w:hAnsi="Arial Narrow"/>
          <w:sz w:val="18"/>
          <w:szCs w:val="18"/>
        </w:rPr>
        <w:t>This s</w:t>
      </w:r>
      <w:r w:rsidR="006F34C6" w:rsidRPr="006F34C6">
        <w:rPr>
          <w:rFonts w:ascii="Arial Narrow" w:hAnsi="Arial Narrow"/>
          <w:sz w:val="18"/>
          <w:szCs w:val="18"/>
        </w:rPr>
        <w:t>cenario assumes</w:t>
      </w:r>
      <w:r w:rsidR="0036470E">
        <w:rPr>
          <w:rFonts w:ascii="Arial Narrow" w:hAnsi="Arial Narrow"/>
          <w:sz w:val="18"/>
          <w:szCs w:val="18"/>
        </w:rPr>
        <w:t>,</w:t>
      </w:r>
      <w:r w:rsidR="006F34C6">
        <w:rPr>
          <w:rFonts w:ascii="Arial Narrow" w:hAnsi="Arial Narrow"/>
          <w:sz w:val="18"/>
          <w:szCs w:val="18"/>
        </w:rPr>
        <w:t xml:space="preserve"> as per base case</w:t>
      </w:r>
      <w:r w:rsidR="0036470E">
        <w:rPr>
          <w:rFonts w:ascii="Arial Narrow" w:hAnsi="Arial Narrow"/>
          <w:sz w:val="18"/>
          <w:szCs w:val="18"/>
        </w:rPr>
        <w:t>,</w:t>
      </w:r>
      <w:r w:rsidR="006F34C6" w:rsidRPr="006F34C6">
        <w:rPr>
          <w:rFonts w:ascii="Arial Narrow" w:hAnsi="Arial Narrow"/>
          <w:sz w:val="18"/>
          <w:szCs w:val="18"/>
        </w:rPr>
        <w:t xml:space="preserve"> that 28% of colonoscopies are conducted in public hospitals and the remaining 72% in private hospitals</w:t>
      </w:r>
      <w:r w:rsidR="006F34C6">
        <w:rPr>
          <w:rFonts w:ascii="Arial Narrow" w:hAnsi="Arial Narrow"/>
          <w:sz w:val="18"/>
          <w:szCs w:val="18"/>
        </w:rPr>
        <w:t>.</w:t>
      </w:r>
    </w:p>
    <w:sectPr w:rsidR="00FA283C" w:rsidRPr="00293C46" w:rsidSect="002639D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75740" w14:textId="77777777" w:rsidR="007570AF" w:rsidRDefault="007570AF" w:rsidP="00B62DF2">
      <w:pPr>
        <w:spacing w:after="0" w:line="240" w:lineRule="auto"/>
      </w:pPr>
      <w:r>
        <w:separator/>
      </w:r>
    </w:p>
  </w:endnote>
  <w:endnote w:type="continuationSeparator" w:id="0">
    <w:p w14:paraId="4613559C" w14:textId="77777777" w:rsidR="007570AF" w:rsidRDefault="007570AF" w:rsidP="00B62DF2">
      <w:pPr>
        <w:spacing w:after="0" w:line="240" w:lineRule="auto"/>
      </w:pPr>
      <w:r>
        <w:continuationSeparator/>
      </w:r>
    </w:p>
  </w:endnote>
  <w:endnote w:type="continuationNotice" w:id="1">
    <w:p w14:paraId="0F864EBD" w14:textId="77777777" w:rsidR="007570AF" w:rsidRDefault="007570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FA40" w14:textId="77777777" w:rsidR="00E64DA2" w:rsidRDefault="00E64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475117"/>
      <w:docPartObj>
        <w:docPartGallery w:val="Page Numbers (Bottom of Page)"/>
        <w:docPartUnique/>
      </w:docPartObj>
    </w:sdtPr>
    <w:sdtEndPr>
      <w:rPr>
        <w:noProof/>
      </w:rPr>
    </w:sdtEndPr>
    <w:sdtContent>
      <w:p w14:paraId="38398FB1" w14:textId="056B15BB" w:rsidR="00E6062B" w:rsidRDefault="00E6062B" w:rsidP="00FA28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322250"/>
      <w:docPartObj>
        <w:docPartGallery w:val="Page Numbers (Bottom of Page)"/>
        <w:docPartUnique/>
      </w:docPartObj>
    </w:sdtPr>
    <w:sdtEndPr>
      <w:rPr>
        <w:noProof/>
      </w:rPr>
    </w:sdtEndPr>
    <w:sdtContent>
      <w:p w14:paraId="103CC8B3" w14:textId="17FDF9F6" w:rsidR="006E149E" w:rsidRDefault="00E6062B" w:rsidP="00FA28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C247" w14:textId="77777777" w:rsidR="007570AF" w:rsidRDefault="007570AF" w:rsidP="00B62DF2">
      <w:pPr>
        <w:spacing w:after="0" w:line="240" w:lineRule="auto"/>
      </w:pPr>
      <w:r>
        <w:separator/>
      </w:r>
    </w:p>
  </w:footnote>
  <w:footnote w:type="continuationSeparator" w:id="0">
    <w:p w14:paraId="0F41AE2B" w14:textId="77777777" w:rsidR="007570AF" w:rsidRDefault="007570AF" w:rsidP="00B62DF2">
      <w:pPr>
        <w:spacing w:after="0" w:line="240" w:lineRule="auto"/>
      </w:pPr>
      <w:r>
        <w:continuationSeparator/>
      </w:r>
    </w:p>
  </w:footnote>
  <w:footnote w:type="continuationNotice" w:id="1">
    <w:p w14:paraId="133717FF" w14:textId="77777777" w:rsidR="007570AF" w:rsidRDefault="007570AF">
      <w:pPr>
        <w:spacing w:before="0" w:after="0" w:line="240" w:lineRule="auto"/>
      </w:pPr>
    </w:p>
  </w:footnote>
  <w:footnote w:id="2">
    <w:p w14:paraId="336D1100" w14:textId="73998562" w:rsidR="00ED3CC2" w:rsidRDefault="00ED3CC2" w:rsidP="00ED3CC2">
      <w:pPr>
        <w:pStyle w:val="FootnoteText"/>
      </w:pPr>
      <w:r>
        <w:rPr>
          <w:rStyle w:val="FootnoteReference"/>
        </w:rPr>
        <w:footnoteRef/>
      </w:r>
      <w:r>
        <w:t xml:space="preserve"> Australian Bureau of Statistics 2023</w:t>
      </w:r>
      <w:r w:rsidR="00040189">
        <w:t xml:space="preserve">. </w:t>
      </w:r>
      <w:r w:rsidRPr="00083E3C">
        <w:rPr>
          <w:i/>
        </w:rPr>
        <w:t>Population clock and pyramid</w:t>
      </w:r>
      <w:r w:rsidR="00BE75B6">
        <w:t>.</w:t>
      </w:r>
    </w:p>
  </w:footnote>
  <w:footnote w:id="3">
    <w:p w14:paraId="35AC29F2" w14:textId="77777777" w:rsidR="00E8665A" w:rsidRDefault="00E8665A" w:rsidP="00E8665A">
      <w:pPr>
        <w:pStyle w:val="FootnoteText"/>
      </w:pPr>
      <w:r>
        <w:rPr>
          <w:rStyle w:val="FootnoteReference"/>
        </w:rPr>
        <w:footnoteRef/>
      </w:r>
      <w:r>
        <w:t xml:space="preserve"> </w:t>
      </w:r>
      <w:r w:rsidRPr="00C91DC1">
        <w:t>https://www.racgp.org.au/afp/2017/august/inflammatory-bowel-disease-in-adolescents</w:t>
      </w:r>
    </w:p>
  </w:footnote>
  <w:footnote w:id="4">
    <w:p w14:paraId="267FADA5" w14:textId="46B4E3BB" w:rsidR="000D7F18" w:rsidRDefault="000D7F18" w:rsidP="00F116C2">
      <w:pPr>
        <w:pStyle w:val="FootnoteText"/>
      </w:pPr>
      <w:r>
        <w:rPr>
          <w:rStyle w:val="FootnoteReference"/>
        </w:rPr>
        <w:footnoteRef/>
      </w:r>
      <w:r>
        <w:t xml:space="preserve"> </w:t>
      </w:r>
      <w:r w:rsidR="00F116C2">
        <w:t xml:space="preserve">Cellier C, Sahmoud T, </w:t>
      </w:r>
      <w:proofErr w:type="spellStart"/>
      <w:r w:rsidR="00F116C2">
        <w:t>Froguel</w:t>
      </w:r>
      <w:proofErr w:type="spellEnd"/>
      <w:r w:rsidR="00F116C2">
        <w:t xml:space="preserve"> E, et al. 1994. Correlations between clinical activity, endoscopic severity, and biological parameters in colonic or ileocolonic Crohn’s disease. A prospective multicentre study of 121 cases. The Groupe </w:t>
      </w:r>
      <w:proofErr w:type="spellStart"/>
      <w:r w:rsidR="00F116C2">
        <w:t>d’Etudes</w:t>
      </w:r>
      <w:proofErr w:type="spellEnd"/>
      <w:r w:rsidR="00F116C2">
        <w:t xml:space="preserve"> </w:t>
      </w:r>
      <w:proofErr w:type="spellStart"/>
      <w:r w:rsidR="00F116C2">
        <w:t>Therapeutiques</w:t>
      </w:r>
      <w:proofErr w:type="spellEnd"/>
      <w:r w:rsidR="00F116C2">
        <w:t xml:space="preserve"> des Affections </w:t>
      </w:r>
      <w:proofErr w:type="spellStart"/>
      <w:r w:rsidR="00F116C2">
        <w:t>Inflammatoires</w:t>
      </w:r>
      <w:proofErr w:type="spellEnd"/>
      <w:r w:rsidR="00F116C2">
        <w:t xml:space="preserve"> Digestives. Gut. 35(2)231-2</w:t>
      </w:r>
    </w:p>
  </w:footnote>
  <w:footnote w:id="5">
    <w:p w14:paraId="350A5623" w14:textId="17BCF2A2" w:rsidR="00F116C2" w:rsidRDefault="00F116C2" w:rsidP="000A4829">
      <w:pPr>
        <w:pStyle w:val="FootnoteText"/>
      </w:pPr>
      <w:r>
        <w:rPr>
          <w:rStyle w:val="FootnoteReference"/>
        </w:rPr>
        <w:footnoteRef/>
      </w:r>
      <w:r>
        <w:t xml:space="preserve"> </w:t>
      </w:r>
      <w:r w:rsidR="000A4829">
        <w:t>Walsh A, Bryant R</w:t>
      </w:r>
      <w:r w:rsidR="00040189">
        <w:t>,</w:t>
      </w:r>
      <w:r w:rsidR="000A4829">
        <w:t xml:space="preserve"> Travis S. 2016. Current best practice for disease activity assessment in IBD. </w:t>
      </w:r>
      <w:r w:rsidR="000A4829" w:rsidRPr="00083E3C">
        <w:rPr>
          <w:i/>
        </w:rPr>
        <w:t>Nat Rev Gastroenterol Hepatol</w:t>
      </w:r>
      <w:r w:rsidR="000A4829">
        <w:t xml:space="preserve"> 13, 567–579.</w:t>
      </w:r>
    </w:p>
  </w:footnote>
  <w:footnote w:id="6">
    <w:p w14:paraId="4DF18497" w14:textId="20F12C08" w:rsidR="00461ACE" w:rsidRDefault="00461ACE">
      <w:pPr>
        <w:pStyle w:val="FootnoteText"/>
      </w:pPr>
      <w:r>
        <w:rPr>
          <w:rStyle w:val="FootnoteReference"/>
        </w:rPr>
        <w:footnoteRef/>
      </w:r>
      <w:r>
        <w:t xml:space="preserve"> </w:t>
      </w:r>
      <w:r w:rsidR="00596561" w:rsidRPr="00596561">
        <w:t>Australia, G. S. o. (2018). Clinical update for general practitioners and physicians: Inflammatory bowel disease. Melbourne: GESA, 2018. https://www.gesa.org.au/public/13/files/Education%20%26%20Resources/Clinical%20 Practice%20Resources/IBD/2018_IBD_Clinical_Update_May_update.pdf</w:t>
      </w:r>
    </w:p>
  </w:footnote>
  <w:footnote w:id="7">
    <w:p w14:paraId="26753E04" w14:textId="249148BA" w:rsidR="00035C3D" w:rsidRDefault="00035C3D" w:rsidP="00933814">
      <w:pPr>
        <w:pStyle w:val="FootnoteText"/>
      </w:pPr>
      <w:r>
        <w:rPr>
          <w:rStyle w:val="FootnoteReference"/>
        </w:rPr>
        <w:footnoteRef/>
      </w:r>
      <w:r>
        <w:t xml:space="preserve"> </w:t>
      </w:r>
      <w:r w:rsidR="00933814">
        <w:t>McDowell C, Farooq</w:t>
      </w:r>
      <w:r w:rsidR="004F1F3A">
        <w:t xml:space="preserve"> U</w:t>
      </w:r>
      <w:r w:rsidR="00933814">
        <w:t>, Haseeb</w:t>
      </w:r>
      <w:r w:rsidR="004F1F3A">
        <w:t xml:space="preserve"> M</w:t>
      </w:r>
      <w:r w:rsidR="00933814">
        <w:t xml:space="preserve">. 2023. 'Inflammatory Bowel Disease.' in, </w:t>
      </w:r>
      <w:proofErr w:type="spellStart"/>
      <w:r w:rsidR="00933814">
        <w:t>StatPearls</w:t>
      </w:r>
      <w:proofErr w:type="spellEnd"/>
      <w:r w:rsidR="00933814">
        <w:t xml:space="preserve"> (</w:t>
      </w:r>
      <w:proofErr w:type="spellStart"/>
      <w:r w:rsidR="00933814">
        <w:t>StatPearls</w:t>
      </w:r>
      <w:proofErr w:type="spellEnd"/>
      <w:r w:rsidR="00933814">
        <w:t xml:space="preserve"> Publishing, </w:t>
      </w:r>
      <w:proofErr w:type="spellStart"/>
      <w:r w:rsidR="00933814">
        <w:t>StatPearls</w:t>
      </w:r>
      <w:proofErr w:type="spellEnd"/>
      <w:r w:rsidR="00933814">
        <w:t xml:space="preserve"> Publishing LLC.: Treasure Island (FL)).</w:t>
      </w:r>
    </w:p>
  </w:footnote>
  <w:footnote w:id="8">
    <w:p w14:paraId="69D3D9EA" w14:textId="22AC064B" w:rsidR="00933814" w:rsidRDefault="00933814" w:rsidP="00D10B8D">
      <w:pPr>
        <w:pStyle w:val="FootnoteText"/>
      </w:pPr>
      <w:r>
        <w:rPr>
          <w:rStyle w:val="FootnoteReference"/>
        </w:rPr>
        <w:footnoteRef/>
      </w:r>
      <w:r>
        <w:t xml:space="preserve"> </w:t>
      </w:r>
      <w:r w:rsidR="00D10B8D">
        <w:t>Axelrad</w:t>
      </w:r>
      <w:r w:rsidR="00C23243">
        <w:t xml:space="preserve"> </w:t>
      </w:r>
      <w:r w:rsidR="00D10B8D">
        <w:t xml:space="preserve">JE, </w:t>
      </w:r>
      <w:proofErr w:type="spellStart"/>
      <w:r w:rsidR="00D10B8D">
        <w:t>Lichtiger</w:t>
      </w:r>
      <w:proofErr w:type="spellEnd"/>
      <w:r w:rsidR="00C23243">
        <w:t xml:space="preserve"> S</w:t>
      </w:r>
      <w:r w:rsidR="00D10B8D">
        <w:t xml:space="preserve">, </w:t>
      </w:r>
      <w:proofErr w:type="spellStart"/>
      <w:r w:rsidR="00D10B8D">
        <w:t>Yajnik</w:t>
      </w:r>
      <w:proofErr w:type="spellEnd"/>
      <w:r w:rsidR="00C23243">
        <w:t xml:space="preserve"> V</w:t>
      </w:r>
      <w:r w:rsidR="00D10B8D">
        <w:t xml:space="preserve">. 2016. 'Inflammatory bowel disease and cancer: The role of inflammation, immunosuppression, and cancer treatment', </w:t>
      </w:r>
      <w:r w:rsidR="00D10B8D" w:rsidRPr="00083E3C">
        <w:rPr>
          <w:i/>
        </w:rPr>
        <w:t>World J Gastroenterol</w:t>
      </w:r>
      <w:r w:rsidR="00D10B8D">
        <w:t>, 22: 4794-801</w:t>
      </w:r>
      <w:r w:rsidR="00C507D6">
        <w:t>.</w:t>
      </w:r>
    </w:p>
  </w:footnote>
  <w:footnote w:id="9">
    <w:p w14:paraId="5349FAEC" w14:textId="5101704A" w:rsidR="00E94CE4" w:rsidRDefault="00E94CE4">
      <w:pPr>
        <w:pStyle w:val="FootnoteText"/>
      </w:pPr>
      <w:r>
        <w:rPr>
          <w:rStyle w:val="FootnoteReference"/>
        </w:rPr>
        <w:footnoteRef/>
      </w:r>
      <w:r>
        <w:t xml:space="preserve"> </w:t>
      </w:r>
      <w:r w:rsidR="00C507D6" w:rsidRPr="00C507D6">
        <w:t>Holmer A</w:t>
      </w:r>
      <w:r w:rsidR="00C507D6">
        <w:t xml:space="preserve">, </w:t>
      </w:r>
      <w:r w:rsidR="00C507D6" w:rsidRPr="00C507D6">
        <w:t xml:space="preserve">Singh, S. 2019. </w:t>
      </w:r>
      <w:r w:rsidR="00C507D6">
        <w:t>‘</w:t>
      </w:r>
      <w:r w:rsidR="00C507D6" w:rsidRPr="00C507D6">
        <w:t xml:space="preserve">Overall and comparative safety of biologic and immunosuppressive therapy in inflammatory bowel </w:t>
      </w:r>
      <w:proofErr w:type="gramStart"/>
      <w:r w:rsidR="00C507D6" w:rsidRPr="00C507D6">
        <w:t>diseases</w:t>
      </w:r>
      <w:r w:rsidR="00C507D6">
        <w:t>’</w:t>
      </w:r>
      <w:proofErr w:type="gramEnd"/>
      <w:r w:rsidR="00C507D6" w:rsidRPr="00C507D6">
        <w:t xml:space="preserve">. </w:t>
      </w:r>
      <w:r w:rsidR="00C507D6" w:rsidRPr="00083E3C">
        <w:rPr>
          <w:i/>
        </w:rPr>
        <w:t>Expert Review of Clinical Immunology</w:t>
      </w:r>
      <w:r w:rsidR="00C507D6" w:rsidRPr="00C507D6">
        <w:t>, 15(9), 969-979</w:t>
      </w:r>
      <w:r w:rsidR="00C507D6">
        <w:t>.</w:t>
      </w:r>
    </w:p>
  </w:footnote>
  <w:footnote w:id="10">
    <w:p w14:paraId="09972B18" w14:textId="0933754F" w:rsidR="00F26C97" w:rsidRDefault="00F26C97">
      <w:pPr>
        <w:pStyle w:val="FootnoteText"/>
      </w:pPr>
      <w:r>
        <w:rPr>
          <w:rStyle w:val="FootnoteReference"/>
        </w:rPr>
        <w:footnoteRef/>
      </w:r>
      <w:r>
        <w:t xml:space="preserve"> </w:t>
      </w:r>
      <w:proofErr w:type="spellStart"/>
      <w:r w:rsidR="00450425" w:rsidRPr="00450425">
        <w:t>Labaere</w:t>
      </w:r>
      <w:proofErr w:type="spellEnd"/>
      <w:r w:rsidR="00450425" w:rsidRPr="00450425">
        <w:t xml:space="preserve"> D, </w:t>
      </w:r>
      <w:proofErr w:type="spellStart"/>
      <w:r w:rsidR="00450425" w:rsidRPr="00450425">
        <w:t>Smismans</w:t>
      </w:r>
      <w:proofErr w:type="spellEnd"/>
      <w:r w:rsidR="00450425" w:rsidRPr="00450425">
        <w:t xml:space="preserve"> A, Van </w:t>
      </w:r>
      <w:proofErr w:type="spellStart"/>
      <w:r w:rsidR="00450425" w:rsidRPr="00450425">
        <w:t>Olmen</w:t>
      </w:r>
      <w:proofErr w:type="spellEnd"/>
      <w:r w:rsidR="00450425">
        <w:t xml:space="preserve"> </w:t>
      </w:r>
      <w:r w:rsidR="00450425" w:rsidRPr="00450425">
        <w:t xml:space="preserve">A, </w:t>
      </w:r>
      <w:r w:rsidR="00450425">
        <w:t xml:space="preserve">et al. </w:t>
      </w:r>
      <w:r w:rsidR="00450425" w:rsidRPr="00450425">
        <w:t xml:space="preserve">2014. </w:t>
      </w:r>
      <w:r w:rsidR="00450425">
        <w:t>‘</w:t>
      </w:r>
      <w:r w:rsidR="00450425" w:rsidRPr="00450425">
        <w:t>Comparison of six different calprotectin assays for the assessment of inflammatory bowel disease</w:t>
      </w:r>
      <w:r w:rsidR="00450425">
        <w:t>’</w:t>
      </w:r>
      <w:r w:rsidR="00450425" w:rsidRPr="00450425">
        <w:t xml:space="preserve">. </w:t>
      </w:r>
      <w:r w:rsidR="00450425" w:rsidRPr="00083E3C">
        <w:rPr>
          <w:i/>
        </w:rPr>
        <w:t>United European Gastroenterology Journal</w:t>
      </w:r>
      <w:r w:rsidR="00450425" w:rsidRPr="00450425">
        <w:t>, 2(1), 30-37</w:t>
      </w:r>
    </w:p>
  </w:footnote>
  <w:footnote w:id="11">
    <w:p w14:paraId="09D03F84" w14:textId="4514AEAB" w:rsidR="007B2BFF" w:rsidRDefault="007B2BFF">
      <w:pPr>
        <w:pStyle w:val="FootnoteText"/>
      </w:pPr>
      <w:r>
        <w:rPr>
          <w:rStyle w:val="FootnoteReference"/>
        </w:rPr>
        <w:footnoteRef/>
      </w:r>
      <w:r>
        <w:t xml:space="preserve"> </w:t>
      </w:r>
      <w:r w:rsidRPr="007B2BFF">
        <w:t xml:space="preserve">Shi T, Chen N, </w:t>
      </w:r>
      <w:proofErr w:type="gramStart"/>
      <w:r w:rsidRPr="007B2BFF">
        <w:t>Xu .</w:t>
      </w:r>
      <w:proofErr w:type="gramEnd"/>
      <w:r w:rsidRPr="007B2BFF">
        <w:t xml:space="preserve">, </w:t>
      </w:r>
      <w:r>
        <w:t xml:space="preserve">et al. </w:t>
      </w:r>
      <w:r w:rsidRPr="007B2BFF">
        <w:t xml:space="preserve">2023. </w:t>
      </w:r>
      <w:r w:rsidR="00921849">
        <w:t>‘</w:t>
      </w:r>
      <w:r w:rsidRPr="007B2BFF">
        <w:t xml:space="preserve">Diagnostic Accuracy of </w:t>
      </w:r>
      <w:proofErr w:type="spellStart"/>
      <w:r w:rsidRPr="007B2BFF">
        <w:t>Fecal</w:t>
      </w:r>
      <w:proofErr w:type="spellEnd"/>
      <w:r w:rsidRPr="007B2BFF">
        <w:t xml:space="preserve"> Calprotectin for Predicting Relapse in Inflammatory Bowel Disease: A Meta-Analysis</w:t>
      </w:r>
      <w:r w:rsidR="00921849">
        <w:t>’</w:t>
      </w:r>
      <w:r w:rsidR="00E141FC">
        <w:t>,</w:t>
      </w:r>
      <w:r w:rsidRPr="007B2BFF">
        <w:t xml:space="preserve"> </w:t>
      </w:r>
      <w:r w:rsidRPr="00083E3C">
        <w:rPr>
          <w:i/>
        </w:rPr>
        <w:t>Journal of Clinical Medicine</w:t>
      </w:r>
      <w:r w:rsidRPr="007B2BFF">
        <w:t>, 12(3), 18</w:t>
      </w:r>
      <w:r w:rsidR="00E141FC">
        <w:t>.</w:t>
      </w:r>
    </w:p>
  </w:footnote>
  <w:footnote w:id="12">
    <w:p w14:paraId="5479B1CA" w14:textId="00461A9C" w:rsidR="007B2BFF" w:rsidRDefault="007B2BFF">
      <w:pPr>
        <w:pStyle w:val="FootnoteText"/>
      </w:pPr>
      <w:r>
        <w:rPr>
          <w:rStyle w:val="FootnoteReference"/>
        </w:rPr>
        <w:footnoteRef/>
      </w:r>
      <w:r>
        <w:t xml:space="preserve"> </w:t>
      </w:r>
      <w:proofErr w:type="spellStart"/>
      <w:r w:rsidR="003C3C72" w:rsidRPr="003C3C72">
        <w:t>Maaser</w:t>
      </w:r>
      <w:proofErr w:type="spellEnd"/>
      <w:r w:rsidR="003C3C72" w:rsidRPr="003C3C72">
        <w:t xml:space="preserve"> C, Sturm A, Vavricka S. R.</w:t>
      </w:r>
      <w:r w:rsidR="003C3C72">
        <w:t xml:space="preserve"> et</w:t>
      </w:r>
      <w:r w:rsidR="00E141FC">
        <w:t xml:space="preserve"> al</w:t>
      </w:r>
      <w:r w:rsidR="003C3C72" w:rsidRPr="003C3C72">
        <w:t xml:space="preserve">. 2019. </w:t>
      </w:r>
      <w:r w:rsidR="00E141FC">
        <w:t>‘</w:t>
      </w:r>
      <w:r w:rsidR="003C3C72" w:rsidRPr="003C3C72">
        <w:t>ECCO-ESGAR Guideline for Diagnostic Assessment in IBD Part 1: Initial diagnosis, monitoring of known IBD, detection of complications</w:t>
      </w:r>
      <w:r w:rsidR="00E141FC">
        <w:t>’,</w:t>
      </w:r>
      <w:r w:rsidR="003C3C72" w:rsidRPr="00083E3C">
        <w:rPr>
          <w:i/>
        </w:rPr>
        <w:t xml:space="preserve"> Journal of Crohn's and Colitis</w:t>
      </w:r>
      <w:r w:rsidR="003C3C72" w:rsidRPr="003C3C72">
        <w:t>, 13(2), 144-164K</w:t>
      </w:r>
      <w:r w:rsidR="007822EA">
        <w:t>.</w:t>
      </w:r>
    </w:p>
  </w:footnote>
  <w:footnote w:id="13">
    <w:p w14:paraId="4DA65939" w14:textId="096FBE02" w:rsidR="00064FAF" w:rsidRDefault="00064FAF">
      <w:pPr>
        <w:pStyle w:val="FootnoteText"/>
      </w:pPr>
      <w:r>
        <w:rPr>
          <w:rStyle w:val="FootnoteReference"/>
        </w:rPr>
        <w:footnoteRef/>
      </w:r>
      <w:r>
        <w:t xml:space="preserve"> </w:t>
      </w:r>
      <w:r w:rsidRPr="00064FAF">
        <w:t xml:space="preserve">Turner D, </w:t>
      </w:r>
      <w:proofErr w:type="spellStart"/>
      <w:r w:rsidRPr="00064FAF">
        <w:t>Ricciuto</w:t>
      </w:r>
      <w:proofErr w:type="spellEnd"/>
      <w:r w:rsidR="00930A1A">
        <w:t xml:space="preserve"> </w:t>
      </w:r>
      <w:r w:rsidRPr="00064FAF">
        <w:t>A, Lewis A</w:t>
      </w:r>
      <w:r w:rsidR="00930A1A">
        <w:t>,</w:t>
      </w:r>
      <w:r>
        <w:t xml:space="preserve"> et al. </w:t>
      </w:r>
      <w:r w:rsidRPr="00064FAF">
        <w:t xml:space="preserve"> 2021. </w:t>
      </w:r>
      <w:r w:rsidR="00930A1A">
        <w:t>‘</w:t>
      </w:r>
      <w:r w:rsidRPr="00064FAF">
        <w:t>STRIDE-II: an update on the Selecting Therapeutic Targets in Inflammatory Bowel Disease (STRIDE) Initiative of the International Organisation for the Study of IBD (IOIBD): determining therapeutic goals for treat-to-target strategies in IBD</w:t>
      </w:r>
      <w:r w:rsidR="00930A1A">
        <w:t>’</w:t>
      </w:r>
      <w:r w:rsidR="00D743B4">
        <w:t>,</w:t>
      </w:r>
      <w:r w:rsidRPr="00064FAF">
        <w:t xml:space="preserve"> </w:t>
      </w:r>
      <w:r w:rsidRPr="00083E3C">
        <w:rPr>
          <w:i/>
        </w:rPr>
        <w:t>Gastroenterology</w:t>
      </w:r>
      <w:r w:rsidRPr="00064FAF">
        <w:t>, 160(5), 1570-1583</w:t>
      </w:r>
      <w:r w:rsidR="00930A1A">
        <w:t>.</w:t>
      </w:r>
    </w:p>
  </w:footnote>
  <w:footnote w:id="14">
    <w:p w14:paraId="772C19BC" w14:textId="4EB7966C" w:rsidR="00064FAF" w:rsidRDefault="00064FAF">
      <w:pPr>
        <w:pStyle w:val="FootnoteText"/>
      </w:pPr>
      <w:r>
        <w:rPr>
          <w:rStyle w:val="FootnoteReference"/>
        </w:rPr>
        <w:footnoteRef/>
      </w:r>
      <w:r>
        <w:t xml:space="preserve"> </w:t>
      </w:r>
      <w:r w:rsidR="00135AE3" w:rsidRPr="00135AE3">
        <w:t xml:space="preserve">Seow, C. 2023. </w:t>
      </w:r>
      <w:r w:rsidR="000B07B5">
        <w:t>‘</w:t>
      </w:r>
      <w:r w:rsidR="00135AE3" w:rsidRPr="00135AE3">
        <w:t xml:space="preserve">Using a Treat-to-Target Approach to Manage Patients </w:t>
      </w:r>
      <w:proofErr w:type="gramStart"/>
      <w:r w:rsidR="00135AE3" w:rsidRPr="00135AE3">
        <w:t>With</w:t>
      </w:r>
      <w:proofErr w:type="gramEnd"/>
      <w:r w:rsidR="00135AE3" w:rsidRPr="00135AE3">
        <w:t xml:space="preserve"> Inflammatory Bowel Disease</w:t>
      </w:r>
      <w:r w:rsidR="000B07B5">
        <w:t>’,</w:t>
      </w:r>
      <w:r w:rsidR="00135AE3" w:rsidRPr="00135AE3">
        <w:t xml:space="preserve"> </w:t>
      </w:r>
      <w:r w:rsidR="00135AE3" w:rsidRPr="00083E3C">
        <w:rPr>
          <w:i/>
        </w:rPr>
        <w:t>Gastroenterology &amp; Hepatology</w:t>
      </w:r>
      <w:r w:rsidR="00135AE3" w:rsidRPr="00135AE3">
        <w:t>, 19(7), 415</w:t>
      </w:r>
    </w:p>
  </w:footnote>
  <w:footnote w:id="15">
    <w:p w14:paraId="29E77A99" w14:textId="6815EC0D" w:rsidR="006E4FEF" w:rsidRDefault="006E4FEF">
      <w:pPr>
        <w:pStyle w:val="FootnoteText"/>
      </w:pPr>
      <w:r>
        <w:rPr>
          <w:rStyle w:val="FootnoteReference"/>
        </w:rPr>
        <w:footnoteRef/>
      </w:r>
      <w:r>
        <w:t xml:space="preserve"> </w:t>
      </w:r>
      <w:r w:rsidR="00824063" w:rsidRPr="00824063">
        <w:t>West, J., Tan, K., Devi, J., Macrae, F., Christensen, B., &amp; Segal, J. P. (2023). Benefits and challenges of treat-to-target in inflammatory bowel disease. Journal of Clinical Medicine, 12(19), 6292.</w:t>
      </w:r>
    </w:p>
  </w:footnote>
  <w:footnote w:id="16">
    <w:p w14:paraId="3D946A38" w14:textId="1F793331" w:rsidR="0057520F" w:rsidRDefault="0057520F">
      <w:pPr>
        <w:pStyle w:val="FootnoteText"/>
      </w:pPr>
      <w:r>
        <w:rPr>
          <w:rStyle w:val="FootnoteReference"/>
        </w:rPr>
        <w:footnoteRef/>
      </w:r>
      <w:r>
        <w:t xml:space="preserve"> </w:t>
      </w:r>
      <w:r w:rsidR="00AA2D0F" w:rsidRPr="00AA2D0F">
        <w:t xml:space="preserve">Colombel JF, </w:t>
      </w:r>
      <w:proofErr w:type="spellStart"/>
      <w:r w:rsidR="00AA2D0F" w:rsidRPr="00AA2D0F">
        <w:t>D’haens</w:t>
      </w:r>
      <w:proofErr w:type="spellEnd"/>
      <w:r w:rsidR="00D20A4A">
        <w:t xml:space="preserve"> </w:t>
      </w:r>
      <w:r w:rsidR="00AA2D0F" w:rsidRPr="00AA2D0F">
        <w:t>G, Lee, WJ</w:t>
      </w:r>
      <w:r w:rsidR="00EA08CC">
        <w:t xml:space="preserve"> et al</w:t>
      </w:r>
      <w:r w:rsidR="00AA2D0F" w:rsidRPr="00AA2D0F">
        <w:t xml:space="preserve">. 2020. </w:t>
      </w:r>
      <w:r w:rsidR="00EA08CC">
        <w:t>‘</w:t>
      </w:r>
      <w:r w:rsidR="00AA2D0F" w:rsidRPr="00AA2D0F">
        <w:t>Outcomes and strategies to support a treat-to-target approach in inflammatory bowel disease: a systematic review</w:t>
      </w:r>
      <w:r w:rsidR="00EA08CC">
        <w:t xml:space="preserve">’, </w:t>
      </w:r>
      <w:r w:rsidR="00AA2D0F" w:rsidRPr="00083E3C">
        <w:rPr>
          <w:i/>
        </w:rPr>
        <w:t>Journal of Crohn's and Colitis</w:t>
      </w:r>
      <w:r w:rsidR="00AA2D0F" w:rsidRPr="00AA2D0F">
        <w:t>, 14(2), 254-266.</w:t>
      </w:r>
    </w:p>
  </w:footnote>
  <w:footnote w:id="17">
    <w:p w14:paraId="751E0F08" w14:textId="781F2588" w:rsidR="00086E7C" w:rsidRDefault="00086E7C">
      <w:pPr>
        <w:pStyle w:val="FootnoteText"/>
      </w:pPr>
      <w:r>
        <w:rPr>
          <w:rStyle w:val="FootnoteReference"/>
        </w:rPr>
        <w:footnoteRef/>
      </w:r>
      <w:r>
        <w:t xml:space="preserve"> </w:t>
      </w:r>
      <w:r w:rsidR="0045604D" w:rsidRPr="0045604D">
        <w:t xml:space="preserve">Cortesi PA, Fiorino G, </w:t>
      </w:r>
      <w:proofErr w:type="spellStart"/>
      <w:r w:rsidR="0045604D" w:rsidRPr="0045604D">
        <w:t>Peyrin-Biroulet</w:t>
      </w:r>
      <w:proofErr w:type="spellEnd"/>
      <w:r w:rsidR="0045604D" w:rsidRPr="0045604D">
        <w:t xml:space="preserve"> L, </w:t>
      </w:r>
      <w:r w:rsidR="0045604D">
        <w:t xml:space="preserve">et al. </w:t>
      </w:r>
      <w:r w:rsidR="0045604D" w:rsidRPr="0045604D">
        <w:t xml:space="preserve">2023. </w:t>
      </w:r>
      <w:r w:rsidR="00EA08CC">
        <w:t>‘</w:t>
      </w:r>
      <w:r w:rsidR="0045604D" w:rsidRPr="0045604D">
        <w:t>Non-invasive monitoring and treat-to-target approach are cost-effective in patients with mild-moderate ulcerative colitis</w:t>
      </w:r>
      <w:r w:rsidR="00EA08CC">
        <w:t xml:space="preserve">’, </w:t>
      </w:r>
      <w:r w:rsidR="0045604D" w:rsidRPr="00083E3C">
        <w:rPr>
          <w:i/>
        </w:rPr>
        <w:t>Alimentary Pharmacology and Therapeutics</w:t>
      </w:r>
      <w:r w:rsidR="0045604D" w:rsidRPr="0045604D">
        <w:t xml:space="preserve">, 57(5)(5), 486-495. </w:t>
      </w:r>
    </w:p>
  </w:footnote>
  <w:footnote w:id="18">
    <w:p w14:paraId="26DBC4EC" w14:textId="5DEFC3C5" w:rsidR="0045604D" w:rsidRDefault="0045604D">
      <w:pPr>
        <w:pStyle w:val="FootnoteText"/>
      </w:pPr>
      <w:r>
        <w:rPr>
          <w:rStyle w:val="FootnoteReference"/>
        </w:rPr>
        <w:footnoteRef/>
      </w:r>
      <w:r>
        <w:t xml:space="preserve"> </w:t>
      </w:r>
      <w:r w:rsidR="004D55DA" w:rsidRPr="004D55DA">
        <w:t xml:space="preserve">Srinivasan, A. R. 2024. </w:t>
      </w:r>
      <w:r w:rsidR="00A17690">
        <w:t>‘</w:t>
      </w:r>
      <w:r w:rsidR="004D55DA" w:rsidRPr="004D55DA">
        <w:t>Treat to target in Crohn's disease: A practical guide for clinicians</w:t>
      </w:r>
      <w:r w:rsidR="00A17690">
        <w:t xml:space="preserve">’, </w:t>
      </w:r>
      <w:r w:rsidR="004D55DA" w:rsidRPr="00083E3C">
        <w:rPr>
          <w:i/>
        </w:rPr>
        <w:t>World Journal of Gastroenterology</w:t>
      </w:r>
      <w:r w:rsidR="001D7562">
        <w:t>,</w:t>
      </w:r>
      <w:r w:rsidR="004D55DA" w:rsidRPr="004D55DA">
        <w:t xml:space="preserve"> 30(1), 21. </w:t>
      </w:r>
    </w:p>
  </w:footnote>
  <w:footnote w:id="19">
    <w:p w14:paraId="62C966E1" w14:textId="0CE3540B" w:rsidR="00D97C8A" w:rsidRDefault="00D97C8A">
      <w:pPr>
        <w:pStyle w:val="FootnoteText"/>
      </w:pPr>
      <w:r>
        <w:rPr>
          <w:rStyle w:val="FootnoteReference"/>
        </w:rPr>
        <w:footnoteRef/>
      </w:r>
      <w:r>
        <w:t xml:space="preserve"> </w:t>
      </w:r>
      <w:proofErr w:type="spellStart"/>
      <w:r w:rsidR="00572A5B" w:rsidRPr="00572A5B">
        <w:t>Plevris</w:t>
      </w:r>
      <w:proofErr w:type="spellEnd"/>
      <w:r w:rsidR="00572A5B" w:rsidRPr="00572A5B">
        <w:t xml:space="preserve"> N,</w:t>
      </w:r>
      <w:r w:rsidR="001D7562">
        <w:t xml:space="preserve"> </w:t>
      </w:r>
      <w:r w:rsidR="00572A5B" w:rsidRPr="00572A5B">
        <w:t xml:space="preserve">Lees CW 2022. </w:t>
      </w:r>
      <w:r w:rsidR="001D7562">
        <w:t>‘</w:t>
      </w:r>
      <w:r w:rsidR="00572A5B" w:rsidRPr="00572A5B">
        <w:t>Disease monitoring in inflammatory bowel disease: evolving principles and possibilities</w:t>
      </w:r>
      <w:r w:rsidR="001D7562">
        <w:t>’,</w:t>
      </w:r>
      <w:r w:rsidR="00572A5B" w:rsidRPr="00572A5B">
        <w:t xml:space="preserve"> </w:t>
      </w:r>
      <w:r w:rsidR="00572A5B" w:rsidRPr="00083E3C">
        <w:rPr>
          <w:i/>
        </w:rPr>
        <w:t>Gastroenterology</w:t>
      </w:r>
      <w:r w:rsidR="00572A5B" w:rsidRPr="00572A5B">
        <w:t>, 162(5), 1456-1475</w:t>
      </w:r>
      <w:r w:rsidR="00572A5B">
        <w:t>.</w:t>
      </w:r>
    </w:p>
  </w:footnote>
  <w:footnote w:id="20">
    <w:p w14:paraId="401E2D26" w14:textId="16BB4294" w:rsidR="00F86C9B" w:rsidRDefault="00F86C9B">
      <w:pPr>
        <w:pStyle w:val="FootnoteText"/>
      </w:pPr>
      <w:r>
        <w:rPr>
          <w:rStyle w:val="FootnoteReference"/>
        </w:rPr>
        <w:footnoteRef/>
      </w:r>
      <w:r>
        <w:t xml:space="preserve"> </w:t>
      </w:r>
      <w:r w:rsidR="00BB5C45" w:rsidRPr="009876D9">
        <w:t>Lasson</w:t>
      </w:r>
      <w:r w:rsidR="00D06334">
        <w:t xml:space="preserve"> </w:t>
      </w:r>
      <w:r w:rsidR="00BB5C45" w:rsidRPr="009876D9">
        <w:t xml:space="preserve">A, Öhman L, Stotzer PO, </w:t>
      </w:r>
      <w:r w:rsidR="00BB5C45">
        <w:t xml:space="preserve">et al. </w:t>
      </w:r>
      <w:r w:rsidR="00BB5C45" w:rsidRPr="009876D9">
        <w:t xml:space="preserve">2015. </w:t>
      </w:r>
      <w:r w:rsidR="00D06334">
        <w:t>‘</w:t>
      </w:r>
      <w:r w:rsidR="00BB5C45" w:rsidRPr="009876D9">
        <w:t xml:space="preserve">Pharmacological intervention based on </w:t>
      </w:r>
      <w:proofErr w:type="spellStart"/>
      <w:r w:rsidR="00BB5C45" w:rsidRPr="009876D9">
        <w:t>fecal</w:t>
      </w:r>
      <w:proofErr w:type="spellEnd"/>
      <w:r w:rsidR="00BB5C45" w:rsidRPr="009876D9">
        <w:t xml:space="preserve"> calprotectin levels in patients with ulcerative colitis at high risk of a relapse: A prospective, randomized, controlled study</w:t>
      </w:r>
      <w:r w:rsidR="00D06334">
        <w:t>’,</w:t>
      </w:r>
      <w:r w:rsidR="00BB5C45" w:rsidRPr="009876D9">
        <w:t xml:space="preserve"> </w:t>
      </w:r>
      <w:r w:rsidR="00BB5C45" w:rsidRPr="00083E3C">
        <w:rPr>
          <w:i/>
        </w:rPr>
        <w:t>United European Gastroenterology Journal</w:t>
      </w:r>
      <w:r w:rsidR="00BB5C45" w:rsidRPr="009876D9">
        <w:t>, 3(1), 72-79</w:t>
      </w:r>
      <w:r w:rsidR="00BB5C45">
        <w:t>.</w:t>
      </w:r>
    </w:p>
  </w:footnote>
  <w:footnote w:id="21">
    <w:p w14:paraId="4DC488C6" w14:textId="52365606" w:rsidR="009876D9" w:rsidRDefault="009876D9">
      <w:pPr>
        <w:pStyle w:val="FootnoteText"/>
      </w:pPr>
      <w:r>
        <w:rPr>
          <w:rStyle w:val="FootnoteReference"/>
        </w:rPr>
        <w:footnoteRef/>
      </w:r>
      <w:r>
        <w:t xml:space="preserve"> </w:t>
      </w:r>
      <w:proofErr w:type="spellStart"/>
      <w:r w:rsidR="006633FD" w:rsidRPr="006633FD">
        <w:t>Motaganahalli</w:t>
      </w:r>
      <w:proofErr w:type="spellEnd"/>
      <w:r w:rsidR="006633FD" w:rsidRPr="006633FD">
        <w:t xml:space="preserve"> S, Beswic</w:t>
      </w:r>
      <w:r w:rsidR="0059555D">
        <w:t xml:space="preserve">k </w:t>
      </w:r>
      <w:r w:rsidR="006633FD" w:rsidRPr="006633FD">
        <w:t>L, Con</w:t>
      </w:r>
      <w:r w:rsidR="0059555D">
        <w:t xml:space="preserve"> </w:t>
      </w:r>
      <w:r w:rsidR="006633FD" w:rsidRPr="006633FD">
        <w:t>D,</w:t>
      </w:r>
      <w:r w:rsidR="0059555D">
        <w:t xml:space="preserve"> et al. </w:t>
      </w:r>
      <w:r w:rsidR="006633FD" w:rsidRPr="006633FD">
        <w:t xml:space="preserve">2019. </w:t>
      </w:r>
      <w:r w:rsidR="0059555D">
        <w:t>‘</w:t>
      </w:r>
      <w:r w:rsidR="006633FD" w:rsidRPr="006633FD">
        <w:t>Faecal calprotectin delivers on convenience, cost reduction and clinical decision-making in inflammatory bowel disease: a real-world cohort study</w:t>
      </w:r>
      <w:r w:rsidR="0059555D">
        <w:t xml:space="preserve">’, </w:t>
      </w:r>
      <w:r w:rsidR="006633FD" w:rsidRPr="00083E3C">
        <w:rPr>
          <w:i/>
        </w:rPr>
        <w:t>Internal Medicine Journal</w:t>
      </w:r>
      <w:r w:rsidR="006633FD" w:rsidRPr="006633FD">
        <w:t>, 49(1), 94-100</w:t>
      </w:r>
      <w:r w:rsidR="006633FD">
        <w:t>.</w:t>
      </w:r>
    </w:p>
  </w:footnote>
  <w:footnote w:id="22">
    <w:p w14:paraId="6A12CFCC" w14:textId="6D7B50AD" w:rsidR="0022784D" w:rsidRDefault="0022784D">
      <w:pPr>
        <w:pStyle w:val="FootnoteText"/>
      </w:pPr>
      <w:r>
        <w:rPr>
          <w:rStyle w:val="FootnoteReference"/>
        </w:rPr>
        <w:footnoteRef/>
      </w:r>
      <w:r>
        <w:t xml:space="preserve"> </w:t>
      </w:r>
      <w:r w:rsidR="00E14739" w:rsidRPr="00E14739">
        <w:t xml:space="preserve">Waddingham W, Kamran U, Kumar B, </w:t>
      </w:r>
      <w:r w:rsidR="00E14739">
        <w:t xml:space="preserve">et al. </w:t>
      </w:r>
      <w:r w:rsidR="00E14739" w:rsidRPr="00E14739">
        <w:t xml:space="preserve">2023. </w:t>
      </w:r>
      <w:r w:rsidR="009B5E78">
        <w:t>‘</w:t>
      </w:r>
      <w:r w:rsidR="00E14739" w:rsidRPr="00E14739">
        <w:t>Complications of colonoscopy: common and rare—recognition, assessment and management</w:t>
      </w:r>
      <w:r w:rsidR="009B5E78">
        <w:t>’,</w:t>
      </w:r>
      <w:r w:rsidR="00E14739" w:rsidRPr="00E14739">
        <w:t xml:space="preserve"> </w:t>
      </w:r>
      <w:r w:rsidR="00E14739" w:rsidRPr="00083E3C">
        <w:rPr>
          <w:i/>
        </w:rPr>
        <w:t>BMJ Open Gastroenterology</w:t>
      </w:r>
      <w:r w:rsidR="00E14739" w:rsidRPr="00E14739">
        <w:t>, 10(1), e001193</w:t>
      </w:r>
    </w:p>
  </w:footnote>
  <w:footnote w:id="23">
    <w:p w14:paraId="193D6A58" w14:textId="2ED2EE11" w:rsidR="00E14739" w:rsidRDefault="00E14739">
      <w:pPr>
        <w:pStyle w:val="FootnoteText"/>
      </w:pPr>
      <w:r>
        <w:rPr>
          <w:rStyle w:val="FootnoteReference"/>
        </w:rPr>
        <w:footnoteRef/>
      </w:r>
      <w:r>
        <w:t xml:space="preserve"> </w:t>
      </w:r>
      <w:r w:rsidR="00BA1612" w:rsidRPr="00BA1612">
        <w:t>Navaneethan</w:t>
      </w:r>
      <w:r w:rsidR="009B5E78">
        <w:t xml:space="preserve"> </w:t>
      </w:r>
      <w:r w:rsidR="00BA1612" w:rsidRPr="00BA1612">
        <w:t xml:space="preserve">U, Parasa S, Venkatesh PG, </w:t>
      </w:r>
      <w:r w:rsidR="00BA1612">
        <w:t xml:space="preserve">et al. </w:t>
      </w:r>
      <w:r w:rsidR="00BA1612" w:rsidRPr="00BA1612">
        <w:t xml:space="preserve">2011. </w:t>
      </w:r>
      <w:r w:rsidR="009B5E78">
        <w:t>‘</w:t>
      </w:r>
      <w:r w:rsidR="00BA1612" w:rsidRPr="00BA1612">
        <w:t>Prevalence and risk factors for colonic perforation during colonoscopy in hospitalized inflammatory bowel disease patients</w:t>
      </w:r>
      <w:r w:rsidR="009B5E78">
        <w:t>’,</w:t>
      </w:r>
      <w:r w:rsidR="00BA1612" w:rsidRPr="00083E3C">
        <w:rPr>
          <w:i/>
        </w:rPr>
        <w:t xml:space="preserve"> Journal of Crohn's and Colitis</w:t>
      </w:r>
      <w:r w:rsidR="00BA1612" w:rsidRPr="00BA1612">
        <w:t>, 5(3), 189-195.</w:t>
      </w:r>
    </w:p>
  </w:footnote>
  <w:footnote w:id="24">
    <w:p w14:paraId="5D93BE2B" w14:textId="138C42AE" w:rsidR="003D5579" w:rsidRDefault="003D5579" w:rsidP="00B96464">
      <w:pPr>
        <w:pStyle w:val="FootnoteText"/>
      </w:pPr>
      <w:r>
        <w:rPr>
          <w:rStyle w:val="FootnoteReference"/>
        </w:rPr>
        <w:footnoteRef/>
      </w:r>
      <w:r>
        <w:t xml:space="preserve"> </w:t>
      </w:r>
      <w:r w:rsidR="00B96464">
        <w:t xml:space="preserve">Ungaro RC, </w:t>
      </w:r>
      <w:proofErr w:type="spellStart"/>
      <w:r w:rsidR="00B96464">
        <w:t>Yzet</w:t>
      </w:r>
      <w:proofErr w:type="spellEnd"/>
      <w:r w:rsidR="00B96464">
        <w:t xml:space="preserve"> C, Bossuyt </w:t>
      </w:r>
      <w:proofErr w:type="spellStart"/>
      <w:proofErr w:type="gramStart"/>
      <w:r w:rsidR="00B96464">
        <w:t>P,et</w:t>
      </w:r>
      <w:proofErr w:type="spellEnd"/>
      <w:r w:rsidR="00B96464">
        <w:t xml:space="preserve"> al.</w:t>
      </w:r>
      <w:proofErr w:type="gramEnd"/>
      <w:r w:rsidR="002E3B11">
        <w:t xml:space="preserve"> 2020.</w:t>
      </w:r>
      <w:r w:rsidR="00B96464">
        <w:t xml:space="preserve"> </w:t>
      </w:r>
      <w:r w:rsidR="009B5E78">
        <w:t>‘</w:t>
      </w:r>
      <w:r w:rsidR="00B96464">
        <w:t>Deep Remission at 1 Year Prevents Progression of Early Crohn's Disease</w:t>
      </w:r>
      <w:r w:rsidR="002E3B11">
        <w:t xml:space="preserve">’, </w:t>
      </w:r>
      <w:r w:rsidR="00B96464" w:rsidRPr="00083E3C">
        <w:rPr>
          <w:i/>
        </w:rPr>
        <w:t>Gastroenterology</w:t>
      </w:r>
      <w:r w:rsidR="00157D1C">
        <w:t xml:space="preserve">, </w:t>
      </w:r>
      <w:r w:rsidR="00B96464">
        <w:t>159(1):139-147.</w:t>
      </w:r>
    </w:p>
  </w:footnote>
  <w:footnote w:id="25">
    <w:p w14:paraId="405A0DE5" w14:textId="6EB2AA62" w:rsidR="00C4566B" w:rsidRDefault="00C4566B">
      <w:pPr>
        <w:pStyle w:val="FootnoteText"/>
      </w:pPr>
      <w:r>
        <w:rPr>
          <w:rStyle w:val="FootnoteReference"/>
        </w:rPr>
        <w:footnoteRef/>
      </w:r>
      <w:r>
        <w:t xml:space="preserve"> </w:t>
      </w:r>
      <w:proofErr w:type="spellStart"/>
      <w:r w:rsidRPr="00C4566B">
        <w:t>Beaugerie</w:t>
      </w:r>
      <w:proofErr w:type="spellEnd"/>
      <w:r w:rsidR="00157D1C">
        <w:t xml:space="preserve"> </w:t>
      </w:r>
      <w:r w:rsidRPr="00C4566B">
        <w:t xml:space="preserve">L, Itzkowitz SH. 2015. </w:t>
      </w:r>
      <w:r w:rsidR="00157D1C">
        <w:t>‘</w:t>
      </w:r>
      <w:r w:rsidRPr="00C4566B">
        <w:t>Cancers complicating inflammatory bowel disease</w:t>
      </w:r>
      <w:r w:rsidR="00157D1C">
        <w:t xml:space="preserve">’, </w:t>
      </w:r>
      <w:r w:rsidRPr="00083E3C">
        <w:rPr>
          <w:i/>
        </w:rPr>
        <w:t>New England Journal of Medicine</w:t>
      </w:r>
      <w:r w:rsidRPr="00C4566B">
        <w:t>, 372(15), 1441-1452</w:t>
      </w:r>
      <w:r>
        <w:t>.</w:t>
      </w:r>
    </w:p>
  </w:footnote>
  <w:footnote w:id="26">
    <w:p w14:paraId="64D0BD41" w14:textId="6D03C755" w:rsidR="00714D16" w:rsidRDefault="00714D16">
      <w:pPr>
        <w:pStyle w:val="FootnoteText"/>
      </w:pPr>
      <w:r>
        <w:rPr>
          <w:rStyle w:val="FootnoteReference"/>
        </w:rPr>
        <w:footnoteRef/>
      </w:r>
      <w:r>
        <w:t xml:space="preserve"> </w:t>
      </w:r>
      <w:r w:rsidR="00AE1A11" w:rsidRPr="00AE1A11">
        <w:t xml:space="preserve">Pedersen N, </w:t>
      </w:r>
      <w:proofErr w:type="spellStart"/>
      <w:r w:rsidR="00AE1A11" w:rsidRPr="00AE1A11">
        <w:t>Duricova</w:t>
      </w:r>
      <w:proofErr w:type="spellEnd"/>
      <w:r w:rsidR="00AE1A11" w:rsidRPr="00AE1A11">
        <w:t xml:space="preserve"> D, </w:t>
      </w:r>
      <w:proofErr w:type="spellStart"/>
      <w:r w:rsidR="00AE1A11" w:rsidRPr="00AE1A11">
        <w:t>Elkjaer</w:t>
      </w:r>
      <w:proofErr w:type="spellEnd"/>
      <w:r w:rsidR="00AE1A11" w:rsidRPr="00AE1A11">
        <w:t xml:space="preserve"> M,</w:t>
      </w:r>
      <w:r w:rsidR="00AE1A11">
        <w:t xml:space="preserve"> et al. </w:t>
      </w:r>
      <w:r w:rsidR="00AE1A11" w:rsidRPr="00AE1A11">
        <w:t xml:space="preserve">2010. </w:t>
      </w:r>
      <w:r w:rsidR="00095C8A">
        <w:t>‘</w:t>
      </w:r>
      <w:r w:rsidR="00AE1A11" w:rsidRPr="00AE1A11">
        <w:t>Risk of extra-intestinal cancer in inflammatory bowel disease: meta-analysis of population-based cohort studies</w:t>
      </w:r>
      <w:r w:rsidR="00095C8A">
        <w:t xml:space="preserve">’, </w:t>
      </w:r>
      <w:r w:rsidR="00AE1A11" w:rsidRPr="00083E3C">
        <w:rPr>
          <w:i/>
        </w:rPr>
        <w:t>Official journal of the American College of Gastroenterology</w:t>
      </w:r>
      <w:r w:rsidR="00AE1A11" w:rsidRPr="00AE1A11">
        <w:t>| ACG, 105(7), 1480-1487</w:t>
      </w:r>
    </w:p>
  </w:footnote>
  <w:footnote w:id="27">
    <w:p w14:paraId="4CFB4253" w14:textId="3D65334E" w:rsidR="00BF4099" w:rsidRDefault="00BF4099">
      <w:pPr>
        <w:pStyle w:val="FootnoteText"/>
      </w:pPr>
      <w:r>
        <w:rPr>
          <w:rStyle w:val="FootnoteReference"/>
        </w:rPr>
        <w:footnoteRef/>
      </w:r>
      <w:r>
        <w:t xml:space="preserve"> </w:t>
      </w:r>
      <w:proofErr w:type="spellStart"/>
      <w:r w:rsidR="00D840F4" w:rsidRPr="00D840F4">
        <w:t>Gonczi</w:t>
      </w:r>
      <w:proofErr w:type="spellEnd"/>
      <w:r w:rsidR="00D840F4" w:rsidRPr="00D840F4">
        <w:t xml:space="preserve"> L, </w:t>
      </w:r>
      <w:proofErr w:type="spellStart"/>
      <w:r w:rsidR="00D840F4" w:rsidRPr="00D840F4">
        <w:t>Bessissow</w:t>
      </w:r>
      <w:proofErr w:type="spellEnd"/>
      <w:r w:rsidR="00D840F4" w:rsidRPr="00D840F4">
        <w:t xml:space="preserve"> T, Lakatos PL. Disease monitoring strategies in inflammatory bowel diseases: What do we mean by "tight control"? </w:t>
      </w:r>
      <w:r w:rsidR="00D840F4" w:rsidRPr="00D0471B">
        <w:rPr>
          <w:i/>
          <w:iCs/>
        </w:rPr>
        <w:t>World J Gastroenterol</w:t>
      </w:r>
      <w:r w:rsidR="00D840F4" w:rsidRPr="00D840F4">
        <w:t>. 2019 Nov 7;25(41):6172-6189.</w:t>
      </w:r>
    </w:p>
  </w:footnote>
  <w:footnote w:id="28">
    <w:p w14:paraId="69155237" w14:textId="4502FAD2" w:rsidR="00DC61C0" w:rsidRDefault="00DC61C0">
      <w:pPr>
        <w:pStyle w:val="FootnoteText"/>
      </w:pPr>
      <w:r>
        <w:rPr>
          <w:rStyle w:val="FootnoteReference"/>
        </w:rPr>
        <w:footnoteRef/>
      </w:r>
      <w:r>
        <w:t xml:space="preserve"> </w:t>
      </w:r>
      <w:r w:rsidR="00913937" w:rsidRPr="00913937">
        <w:t xml:space="preserve">Jain A, Jain R, Nugent Z, </w:t>
      </w:r>
      <w:r w:rsidR="00913937">
        <w:t xml:space="preserve">et al. </w:t>
      </w:r>
      <w:r w:rsidR="00913937" w:rsidRPr="00913937">
        <w:t>2022.</w:t>
      </w:r>
      <w:r w:rsidR="005527A0">
        <w:t>’</w:t>
      </w:r>
      <w:r w:rsidR="00913937" w:rsidRPr="00913937">
        <w:t xml:space="preserve"> Improving colonoscopy bowel preparation and reducing patient anxiety through recently developed online information resource: a cross-sectional study</w:t>
      </w:r>
      <w:r w:rsidR="005527A0">
        <w:t xml:space="preserve">’, </w:t>
      </w:r>
      <w:r w:rsidR="00913937" w:rsidRPr="00083E3C">
        <w:rPr>
          <w:i/>
        </w:rPr>
        <w:t>Journal of the Canadian Association of Gastroenterology</w:t>
      </w:r>
      <w:r w:rsidR="00913937" w:rsidRPr="00913937">
        <w:t>, 5(4), 161-168</w:t>
      </w:r>
    </w:p>
  </w:footnote>
  <w:footnote w:id="29">
    <w:p w14:paraId="44210931" w14:textId="79BCA77D" w:rsidR="00457E64" w:rsidRDefault="00457E64">
      <w:pPr>
        <w:pStyle w:val="FootnoteText"/>
      </w:pPr>
      <w:r>
        <w:rPr>
          <w:rStyle w:val="FootnoteReference"/>
        </w:rPr>
        <w:footnoteRef/>
      </w:r>
      <w:r>
        <w:t xml:space="preserve"> </w:t>
      </w:r>
      <w:r w:rsidR="004E4ABB" w:rsidRPr="004E4ABB">
        <w:t>Arora</w:t>
      </w:r>
      <w:r w:rsidR="004E4ABB">
        <w:t xml:space="preserve"> G</w:t>
      </w:r>
      <w:r w:rsidR="004E4ABB" w:rsidRPr="004E4ABB">
        <w:t>, Gaurav</w:t>
      </w:r>
      <w:r w:rsidR="004E4ABB">
        <w:t xml:space="preserve"> A</w:t>
      </w:r>
      <w:r w:rsidR="004E4ABB" w:rsidRPr="004E4ABB">
        <w:t>, et al.</w:t>
      </w:r>
      <w:r w:rsidR="004E4ABB">
        <w:t xml:space="preserve"> 2009.</w:t>
      </w:r>
      <w:r w:rsidR="004E4ABB" w:rsidRPr="004E4ABB">
        <w:t xml:space="preserve"> "Risk of perforation from a colonoscopy in adults: a large population-based stud</w:t>
      </w:r>
      <w:r w:rsidR="004E4ABB">
        <w:t>y</w:t>
      </w:r>
      <w:r w:rsidR="004E4ABB" w:rsidRPr="004E4ABB">
        <w:t>"</w:t>
      </w:r>
      <w:r w:rsidR="004E4ABB">
        <w:t>,</w:t>
      </w:r>
      <w:r w:rsidR="004E4ABB" w:rsidRPr="004E4ABB">
        <w:t xml:space="preserve"> </w:t>
      </w:r>
      <w:r w:rsidR="004E4ABB" w:rsidRPr="00A0645E">
        <w:rPr>
          <w:i/>
          <w:iCs/>
        </w:rPr>
        <w:t>Gastrointestinal endoscopy</w:t>
      </w:r>
      <w:r w:rsidR="004E4ABB">
        <w:t>,</w:t>
      </w:r>
      <w:r w:rsidR="004E4ABB" w:rsidRPr="004E4ABB">
        <w:t xml:space="preserve"> 69</w:t>
      </w:r>
      <w:r w:rsidR="00A0645E">
        <w:t>(</w:t>
      </w:r>
      <w:r w:rsidR="004E4ABB" w:rsidRPr="004E4ABB">
        <w:t>3</w:t>
      </w:r>
      <w:r w:rsidR="00A0645E">
        <w:t>)</w:t>
      </w:r>
      <w:r w:rsidR="004E4ABB">
        <w:t>,</w:t>
      </w:r>
      <w:r w:rsidR="004E4ABB" w:rsidRPr="004E4ABB">
        <w:t xml:space="preserve"> 654-664.</w:t>
      </w:r>
    </w:p>
  </w:footnote>
  <w:footnote w:id="30">
    <w:p w14:paraId="29DAD79B" w14:textId="4FDA0316" w:rsidR="00B221EE" w:rsidRDefault="00B221EE">
      <w:pPr>
        <w:pStyle w:val="FootnoteText"/>
      </w:pPr>
      <w:r>
        <w:rPr>
          <w:rStyle w:val="FootnoteReference"/>
        </w:rPr>
        <w:footnoteRef/>
      </w:r>
      <w:r>
        <w:t xml:space="preserve"> </w:t>
      </w:r>
      <w:proofErr w:type="spellStart"/>
      <w:r w:rsidR="001601E3">
        <w:t>Mu</w:t>
      </w:r>
      <w:r w:rsidR="00D46112">
        <w:t>kewar</w:t>
      </w:r>
      <w:proofErr w:type="spellEnd"/>
      <w:r w:rsidR="00D46112">
        <w:t xml:space="preserve"> S, </w:t>
      </w:r>
      <w:proofErr w:type="spellStart"/>
      <w:r w:rsidR="00D46112">
        <w:t>Costedio</w:t>
      </w:r>
      <w:proofErr w:type="spellEnd"/>
      <w:r w:rsidR="00D46112">
        <w:t xml:space="preserve"> M, Wu X, et al.</w:t>
      </w:r>
      <w:r w:rsidR="0081501F">
        <w:t xml:space="preserve"> 2014. ‘Severe adverse outcomes of endoscopic perforations in patients with and without IBD’</w:t>
      </w:r>
      <w:r w:rsidR="00563311">
        <w:t xml:space="preserve">, </w:t>
      </w:r>
      <w:r w:rsidR="00563311" w:rsidRPr="00A0645E">
        <w:rPr>
          <w:i/>
          <w:iCs/>
        </w:rPr>
        <w:t>Inflammatory Bowel Diseases</w:t>
      </w:r>
      <w:r w:rsidR="00563311">
        <w:t>, 20(11)</w:t>
      </w:r>
      <w:r w:rsidR="007925ED">
        <w:t>, 2056-2066</w:t>
      </w:r>
    </w:p>
  </w:footnote>
  <w:footnote w:id="31">
    <w:p w14:paraId="2CC29BB0" w14:textId="5ED85473" w:rsidR="004D4679" w:rsidRDefault="004D4679">
      <w:pPr>
        <w:pStyle w:val="FootnoteText"/>
      </w:pPr>
      <w:r>
        <w:rPr>
          <w:rStyle w:val="FootnoteReference"/>
        </w:rPr>
        <w:footnoteRef/>
      </w:r>
      <w:r>
        <w:t xml:space="preserve"> </w:t>
      </w:r>
      <w:r w:rsidR="009B4604" w:rsidRPr="009B4604">
        <w:t>Melesse</w:t>
      </w:r>
      <w:r w:rsidR="009B4604">
        <w:t xml:space="preserve"> </w:t>
      </w:r>
      <w:r w:rsidR="009B4604" w:rsidRPr="009B4604">
        <w:t xml:space="preserve">DY, Lix LM, Nugent Z, </w:t>
      </w:r>
      <w:r w:rsidR="009B4604">
        <w:t>et al. 2</w:t>
      </w:r>
      <w:r w:rsidR="009B4604" w:rsidRPr="009B4604">
        <w:t xml:space="preserve">016. </w:t>
      </w:r>
      <w:r w:rsidR="009B4604">
        <w:t>‘</w:t>
      </w:r>
      <w:r w:rsidR="009B4604" w:rsidRPr="009B4604">
        <w:t>Estimates of Disease Course in Inflammatory Bowel Disease Using Administrative Data: A Population-level Study</w:t>
      </w:r>
      <w:r w:rsidR="009B4604">
        <w:t>’,</w:t>
      </w:r>
      <w:r w:rsidR="009B4604" w:rsidRPr="009B4604">
        <w:t xml:space="preserve"> </w:t>
      </w:r>
      <w:r w:rsidR="009B4604" w:rsidRPr="00083E3C">
        <w:rPr>
          <w:i/>
        </w:rPr>
        <w:t>Journal of Crohn's and Colitis</w:t>
      </w:r>
      <w:r w:rsidR="009B4604" w:rsidRPr="009B4604">
        <w:t xml:space="preserve">, 11(5), 562-570. </w:t>
      </w:r>
    </w:p>
  </w:footnote>
  <w:footnote w:id="32">
    <w:p w14:paraId="28F07424" w14:textId="77777777" w:rsidR="0019792D" w:rsidRPr="005E07C6" w:rsidRDefault="0019792D" w:rsidP="0019792D">
      <w:pPr>
        <w:pStyle w:val="FootnoteText"/>
      </w:pPr>
      <w:r>
        <w:rPr>
          <w:rStyle w:val="FootnoteReference"/>
        </w:rPr>
        <w:footnoteRef/>
      </w:r>
      <w:r>
        <w:t xml:space="preserve"> </w:t>
      </w:r>
      <w:r w:rsidRPr="006158E6">
        <w:t>https://www.mbsonline.gov.au/</w:t>
      </w:r>
    </w:p>
  </w:footnote>
  <w:footnote w:id="33">
    <w:p w14:paraId="75057E4A" w14:textId="786D6DBE" w:rsidR="005037CF" w:rsidRDefault="005037CF">
      <w:pPr>
        <w:pStyle w:val="FootnoteText"/>
      </w:pPr>
      <w:r>
        <w:rPr>
          <w:rStyle w:val="FootnoteReference"/>
        </w:rPr>
        <w:footnoteRef/>
      </w:r>
      <w:r>
        <w:t xml:space="preserve"> </w:t>
      </w:r>
      <w:r w:rsidR="00481895">
        <w:t xml:space="preserve">Worthington T, </w:t>
      </w:r>
      <w:r w:rsidR="0088053C">
        <w:t>He E, Lew J,</w:t>
      </w:r>
      <w:r w:rsidR="008B70B2">
        <w:t xml:space="preserve"> et al</w:t>
      </w:r>
      <w:r w:rsidR="00FE391F">
        <w:t>.</w:t>
      </w:r>
      <w:r w:rsidR="0088053C" w:rsidDel="008B70B2">
        <w:t xml:space="preserve"> </w:t>
      </w:r>
      <w:r w:rsidR="00AF3121">
        <w:t>202</w:t>
      </w:r>
      <w:r w:rsidR="002516E4">
        <w:t>3</w:t>
      </w:r>
      <w:r w:rsidR="00613140">
        <w:t xml:space="preserve">. </w:t>
      </w:r>
      <w:r w:rsidR="00FE391F">
        <w:t>‘</w:t>
      </w:r>
      <w:r w:rsidR="00613140" w:rsidRPr="00613140">
        <w:t xml:space="preserve">Colonoscopies in Australia – how much does the National Bowel Cancer Screening Program contribute to colonoscopy </w:t>
      </w:r>
      <w:r w:rsidR="00A55942" w:rsidRPr="00613140">
        <w:t>use?</w:t>
      </w:r>
      <w:r w:rsidR="00FE391F">
        <w:t xml:space="preserve">’, </w:t>
      </w:r>
      <w:r w:rsidR="00A55942" w:rsidRPr="00083E3C">
        <w:rPr>
          <w:i/>
        </w:rPr>
        <w:t>Public Health Research &amp; Practice</w:t>
      </w:r>
      <w:r w:rsidR="00FE391F">
        <w:rPr>
          <w:i/>
          <w:iCs/>
        </w:rPr>
        <w:t>.</w:t>
      </w:r>
    </w:p>
  </w:footnote>
  <w:footnote w:id="34">
    <w:p w14:paraId="442D8EFE" w14:textId="77777777" w:rsidR="003802AF" w:rsidRDefault="003802AF" w:rsidP="003802AF">
      <w:pPr>
        <w:pStyle w:val="FootnoteText"/>
      </w:pPr>
      <w:r>
        <w:rPr>
          <w:rStyle w:val="FootnoteReference"/>
        </w:rPr>
        <w:footnoteRef/>
      </w:r>
      <w:r>
        <w:t xml:space="preserve"> Cost of colonoscopy to MBS including co-claimed services as estimated in Section 4.</w:t>
      </w:r>
    </w:p>
  </w:footnote>
  <w:footnote w:id="35">
    <w:p w14:paraId="09841F9E" w14:textId="5F5E41DB" w:rsidR="005037CF" w:rsidRDefault="005037CF">
      <w:pPr>
        <w:pStyle w:val="FootnoteText"/>
      </w:pPr>
      <w:r>
        <w:rPr>
          <w:rStyle w:val="FootnoteReference"/>
        </w:rPr>
        <w:footnoteRef/>
      </w:r>
      <w:r>
        <w:t xml:space="preserve"> </w:t>
      </w:r>
      <w:r w:rsidRPr="005037CF">
        <w:t>Cost of colonoscopy in private health system based on P</w:t>
      </w:r>
      <w:r w:rsidR="00FC0DD9">
        <w:t>rivate Hospital Data Bureau</w:t>
      </w:r>
      <w:r w:rsidR="00386AEF">
        <w:t>:</w:t>
      </w:r>
      <w:r w:rsidRPr="005037CF">
        <w:t xml:space="preserve"> Annual Report</w:t>
      </w:r>
      <w:r w:rsidR="00386AEF">
        <w:t xml:space="preserve"> (2021-22)</w:t>
      </w:r>
      <w:r w:rsidRPr="005037CF">
        <w:t xml:space="preserve"> was estimated to be $765.16 (weighted average of hospital change per separation for AR-DRG G48A and G48B, after adjusting for inflation). Cost of colonoscopy plus biopsy</w:t>
      </w:r>
      <w:r w:rsidR="00386AEF">
        <w:t xml:space="preserve"> ($</w:t>
      </w:r>
      <w:r w:rsidR="00250E1F">
        <w:t>141.35, MBS Item 72824)</w:t>
      </w:r>
      <w:r w:rsidRPr="005037CF">
        <w:t xml:space="preserve"> in private day care is $906.51.</w:t>
      </w:r>
    </w:p>
  </w:footnote>
  <w:footnote w:id="36">
    <w:p w14:paraId="19530CC6" w14:textId="2EB3CE2B" w:rsidR="00BD5740" w:rsidRDefault="00BD5740">
      <w:pPr>
        <w:pStyle w:val="FootnoteText"/>
      </w:pPr>
      <w:r>
        <w:rPr>
          <w:rStyle w:val="FootnoteReference"/>
        </w:rPr>
        <w:footnoteRef/>
      </w:r>
      <w:r>
        <w:t xml:space="preserve"> </w:t>
      </w:r>
      <w:r w:rsidR="00EB16BA" w:rsidRPr="00EB16BA">
        <w:t>Forbes A J, Frampton C.MA, Day A.S,</w:t>
      </w:r>
      <w:r w:rsidR="0055339A">
        <w:t xml:space="preserve"> et al</w:t>
      </w:r>
      <w:r w:rsidR="00EB16BA" w:rsidRPr="00EB16BA">
        <w:t>. 202</w:t>
      </w:r>
      <w:r w:rsidR="00332060">
        <w:t>4</w:t>
      </w:r>
      <w:r w:rsidR="00EB16BA" w:rsidRPr="00EB16BA">
        <w:t xml:space="preserve">. </w:t>
      </w:r>
      <w:r w:rsidR="0055339A">
        <w:t>‘</w:t>
      </w:r>
      <w:r w:rsidR="00EB16BA" w:rsidRPr="00EB16BA">
        <w:t>The Epidemiology of Inflammatory Bowel Disease in Oceania: A Systematic Review and Meta-Analysis of Incidence and Prevalence.</w:t>
      </w:r>
      <w:r w:rsidR="0055339A">
        <w:t xml:space="preserve">’, </w:t>
      </w:r>
      <w:r w:rsidR="00EB16BA" w:rsidRPr="00083E3C">
        <w:rPr>
          <w:i/>
        </w:rPr>
        <w:t>Inflammatory Bowel Diseases</w:t>
      </w:r>
      <w:r w:rsidR="00212D7B">
        <w:rPr>
          <w:i/>
          <w:iCs/>
        </w:rPr>
        <w:t xml:space="preserve"> </w:t>
      </w:r>
      <w:r w:rsidR="00212D7B" w:rsidRPr="00083E3C">
        <w:t>30(11):2076-2086</w:t>
      </w:r>
      <w:r w:rsidR="00EB16BA" w:rsidRPr="00EB16BA">
        <w:t>.</w:t>
      </w:r>
    </w:p>
  </w:footnote>
  <w:footnote w:id="37">
    <w:p w14:paraId="5C7FB5E9" w14:textId="38162567" w:rsidR="009C063C" w:rsidRDefault="009C063C">
      <w:pPr>
        <w:pStyle w:val="FootnoteText"/>
      </w:pPr>
      <w:r>
        <w:rPr>
          <w:rStyle w:val="FootnoteReference"/>
        </w:rPr>
        <w:footnoteRef/>
      </w:r>
      <w:r>
        <w:t xml:space="preserve"> </w:t>
      </w:r>
      <w:r w:rsidR="006D658E" w:rsidRPr="006D658E">
        <w:t>Wilson J, Hair C, Knight R, et al. 2010. 'High incidence of inflammatory bowel disease in Australia: A prospective population-based Australian incidence study', Inflammatory Bowel Diseases, 16(9), 1550-1556</w:t>
      </w:r>
    </w:p>
  </w:footnote>
  <w:footnote w:id="38">
    <w:p w14:paraId="25463A11" w14:textId="5BCBA633" w:rsidR="007272D6" w:rsidRDefault="007272D6">
      <w:pPr>
        <w:pStyle w:val="FootnoteText"/>
      </w:pPr>
      <w:r>
        <w:rPr>
          <w:rStyle w:val="FootnoteReference"/>
        </w:rPr>
        <w:footnoteRef/>
      </w:r>
      <w:r>
        <w:t xml:space="preserve"> </w:t>
      </w:r>
      <w:r w:rsidRPr="007272D6">
        <w:t>Studd</w:t>
      </w:r>
      <w:r w:rsidR="00503C1E">
        <w:t xml:space="preserve"> </w:t>
      </w:r>
      <w:r w:rsidRPr="007272D6">
        <w:t>C, Cameron</w:t>
      </w:r>
      <w:r w:rsidR="00503C1E">
        <w:t xml:space="preserve"> </w:t>
      </w:r>
      <w:r w:rsidRPr="007272D6">
        <w:t xml:space="preserve">G, Beswick L, </w:t>
      </w:r>
      <w:r>
        <w:t xml:space="preserve">et al. </w:t>
      </w:r>
      <w:r w:rsidRPr="007272D6">
        <w:t xml:space="preserve">2016. </w:t>
      </w:r>
      <w:r w:rsidR="00503C1E">
        <w:t>‘</w:t>
      </w:r>
      <w:r w:rsidRPr="007272D6">
        <w:t>Never underestimate inflammatory bowel disease: High prevalence rates and confirmation of high incidence rates in Australia</w:t>
      </w:r>
      <w:r w:rsidR="00503C1E">
        <w:t>’,</w:t>
      </w:r>
      <w:r w:rsidRPr="007272D6">
        <w:t xml:space="preserve"> </w:t>
      </w:r>
      <w:r w:rsidRPr="00083E3C">
        <w:rPr>
          <w:i/>
        </w:rPr>
        <w:t>Journal of Gastroenterology &amp; Hepatology</w:t>
      </w:r>
      <w:r w:rsidRPr="007272D6">
        <w:t>, 31(1), 81-86.</w:t>
      </w:r>
    </w:p>
  </w:footnote>
  <w:footnote w:id="39">
    <w:p w14:paraId="7295BD2C" w14:textId="0E60E6AA" w:rsidR="007272D6" w:rsidRDefault="007272D6">
      <w:pPr>
        <w:pStyle w:val="FootnoteText"/>
      </w:pPr>
      <w:r>
        <w:rPr>
          <w:rStyle w:val="FootnoteReference"/>
        </w:rPr>
        <w:footnoteRef/>
      </w:r>
      <w:r>
        <w:t xml:space="preserve"> </w:t>
      </w:r>
      <w:r w:rsidR="00CD0F1C" w:rsidRPr="00CD0F1C">
        <w:t>https://crohnsandcolitis.org.au/advocacy/our-projects/improving-inflammatory-bowel-disease-care-across-australia/</w:t>
      </w:r>
    </w:p>
  </w:footnote>
  <w:footnote w:id="40">
    <w:p w14:paraId="347C1B65" w14:textId="763EE3B7" w:rsidR="00031648" w:rsidRDefault="00031648">
      <w:pPr>
        <w:pStyle w:val="FootnoteText"/>
      </w:pPr>
      <w:r>
        <w:rPr>
          <w:rStyle w:val="FootnoteReference"/>
        </w:rPr>
        <w:footnoteRef/>
      </w:r>
      <w:r>
        <w:t xml:space="preserve"> </w:t>
      </w:r>
      <w:r w:rsidR="00876610" w:rsidRPr="00876610">
        <w:t>Busingye</w:t>
      </w:r>
      <w:r w:rsidR="00503C1E">
        <w:t xml:space="preserve"> </w:t>
      </w:r>
      <w:r w:rsidR="00876610" w:rsidRPr="00876610">
        <w:t xml:space="preserve">D, Pollack A, </w:t>
      </w:r>
      <w:proofErr w:type="spellStart"/>
      <w:r w:rsidR="00876610" w:rsidRPr="00876610">
        <w:t>Chidwick</w:t>
      </w:r>
      <w:proofErr w:type="spellEnd"/>
      <w:r w:rsidR="00876610" w:rsidRPr="00876610">
        <w:t xml:space="preserve"> K. 2021. </w:t>
      </w:r>
      <w:r w:rsidR="00503C1E">
        <w:t>‘</w:t>
      </w:r>
      <w:r w:rsidR="00876610" w:rsidRPr="00876610">
        <w:t>Prevalence of inflammatory bowel disease in the Australian general practice population: A cross-sectional study</w:t>
      </w:r>
      <w:r w:rsidR="00503C1E">
        <w:t>’,</w:t>
      </w:r>
      <w:r w:rsidR="00876610" w:rsidRPr="00876610">
        <w:t xml:space="preserve"> </w:t>
      </w:r>
      <w:proofErr w:type="spellStart"/>
      <w:r w:rsidR="00876610" w:rsidRPr="00083E3C">
        <w:rPr>
          <w:i/>
        </w:rPr>
        <w:t>PLoS</w:t>
      </w:r>
      <w:proofErr w:type="spellEnd"/>
      <w:r w:rsidR="00876610" w:rsidRPr="00083E3C">
        <w:rPr>
          <w:i/>
        </w:rPr>
        <w:t xml:space="preserve"> ONE</w:t>
      </w:r>
      <w:r w:rsidR="00876610" w:rsidRPr="00876610">
        <w:t xml:space="preserve"> [Electronic Resource], 16(5), e0252458. https://doi.org/10.1371/journal.pone.0252458</w:t>
      </w:r>
    </w:p>
  </w:footnote>
  <w:footnote w:id="41">
    <w:p w14:paraId="67315B4A" w14:textId="77777777" w:rsidR="00FA283C" w:rsidRDefault="00FA283C" w:rsidP="00FA283C">
      <w:pPr>
        <w:pStyle w:val="FootnoteText"/>
      </w:pPr>
      <w:r>
        <w:rPr>
          <w:rStyle w:val="FootnoteReference"/>
        </w:rPr>
        <w:footnoteRef/>
      </w:r>
      <w:r>
        <w:t xml:space="preserve"> </w:t>
      </w:r>
      <w:r w:rsidRPr="00780AE5">
        <w:t xml:space="preserve">Turner D, </w:t>
      </w:r>
      <w:proofErr w:type="spellStart"/>
      <w:r w:rsidRPr="00780AE5">
        <w:t>Ricciuto</w:t>
      </w:r>
      <w:proofErr w:type="spellEnd"/>
      <w:r w:rsidRPr="00780AE5">
        <w:t xml:space="preserve"> A, Lewis A, </w:t>
      </w:r>
      <w:r>
        <w:t xml:space="preserve">et al. </w:t>
      </w:r>
      <w:r w:rsidRPr="00780AE5">
        <w:t>STRIDE-II: An Update on the Selecting Therapeutic Targets in Inflammatory Bowel Disease (STRIDE) Initiative of the International Organization for the Study of IBD (IOIBD): Determining Therapeutic Goals for Treat-to-Target strategies in IBD. Gastroenterology. 2021 Apr;160(5):1570-1583.</w:t>
      </w:r>
      <w:r>
        <w:t xml:space="preserve"> </w:t>
      </w:r>
    </w:p>
  </w:footnote>
  <w:footnote w:id="42">
    <w:p w14:paraId="6B881227" w14:textId="77777777" w:rsidR="00FA283C" w:rsidRDefault="00FA283C" w:rsidP="00FA283C">
      <w:pPr>
        <w:pStyle w:val="FootnoteText"/>
      </w:pPr>
      <w:r>
        <w:rPr>
          <w:rStyle w:val="FootnoteReference"/>
        </w:rPr>
        <w:footnoteRef/>
      </w:r>
      <w:r>
        <w:t xml:space="preserve"> </w:t>
      </w:r>
      <w:proofErr w:type="spellStart"/>
      <w:r w:rsidRPr="00325B12">
        <w:t>Motaganahalli</w:t>
      </w:r>
      <w:proofErr w:type="spellEnd"/>
      <w:r w:rsidRPr="00325B12">
        <w:t xml:space="preserve"> S, Beswick L, Con D, van Langenberg DR. Faecal calprotectin delivers on convenience, cost reduction and clinical decision-making in inflammatory bowel disease: a real-world cohort study. Intern Med J. 2019 Jan;49(1):94-100.</w:t>
      </w:r>
      <w:r>
        <w:t xml:space="preserve"> </w:t>
      </w:r>
    </w:p>
  </w:footnote>
  <w:footnote w:id="43">
    <w:p w14:paraId="5E2D4E10" w14:textId="77777777" w:rsidR="00FA283C" w:rsidRDefault="00FA283C" w:rsidP="00FA283C">
      <w:pPr>
        <w:pStyle w:val="FootnoteText"/>
      </w:pPr>
      <w:r>
        <w:rPr>
          <w:rStyle w:val="FootnoteReference"/>
        </w:rPr>
        <w:footnoteRef/>
      </w:r>
      <w:r>
        <w:t xml:space="preserve"> </w:t>
      </w:r>
      <w:proofErr w:type="spellStart"/>
      <w:r w:rsidRPr="00362BFF">
        <w:t>Plevris</w:t>
      </w:r>
      <w:proofErr w:type="spellEnd"/>
      <w:r w:rsidRPr="007A2110">
        <w:t xml:space="preserve"> N, Lees CW. Disease Monitoring in Inflammatory Bowel Disease: Evolving Principles and Possibilities. Gastroenterology. 2022 Apr;162(5):1456-1475.e1</w:t>
      </w:r>
      <w:r>
        <w:t>.</w:t>
      </w:r>
    </w:p>
  </w:footnote>
  <w:footnote w:id="44">
    <w:p w14:paraId="0B18AB3C" w14:textId="77777777" w:rsidR="00FA283C" w:rsidRDefault="00FA283C" w:rsidP="00FA283C">
      <w:pPr>
        <w:pStyle w:val="FootnoteText"/>
      </w:pPr>
      <w:r>
        <w:rPr>
          <w:rStyle w:val="FootnoteReference"/>
        </w:rPr>
        <w:footnoteRef/>
      </w:r>
      <w:r>
        <w:t xml:space="preserve"> </w:t>
      </w:r>
      <w:r w:rsidRPr="002C5CB0">
        <w:t>Khanna R, Bressler B, Levesque BG,</w:t>
      </w:r>
      <w:r>
        <w:t xml:space="preserve"> et al</w:t>
      </w:r>
      <w:r w:rsidRPr="002C5CB0">
        <w:t xml:space="preserve">. Early combined immunosuppression for the management of Crohn's disease (REACT): a cluster randomised controlled trial. Lancet. 2015 Nov 7;386(10006):1825-34. </w:t>
      </w:r>
      <w:proofErr w:type="spellStart"/>
      <w:r w:rsidRPr="002C5CB0">
        <w:t>doi</w:t>
      </w:r>
      <w:proofErr w:type="spellEnd"/>
      <w:r w:rsidRPr="002C5CB0">
        <w:t xml:space="preserve">: 10.1016/S0140-6736(15)00068-9. </w:t>
      </w:r>
    </w:p>
  </w:footnote>
  <w:footnote w:id="45">
    <w:p w14:paraId="4C6DD418" w14:textId="77777777" w:rsidR="00FA283C" w:rsidRDefault="00FA283C" w:rsidP="00FA283C">
      <w:pPr>
        <w:pStyle w:val="FootnoteText"/>
      </w:pPr>
      <w:r>
        <w:rPr>
          <w:rStyle w:val="FootnoteReference"/>
        </w:rPr>
        <w:footnoteRef/>
      </w:r>
      <w:r>
        <w:t xml:space="preserve"> </w:t>
      </w:r>
      <w:r w:rsidRPr="00B67DD7">
        <w:t>Colombel JF, Panaccione R, Bossuyt P,</w:t>
      </w:r>
      <w:r>
        <w:t xml:space="preserve"> et al</w:t>
      </w:r>
      <w:r w:rsidRPr="00B67DD7">
        <w:t xml:space="preserve">. Effect of tight control management on Crohn's disease (CALM): a multicentre, randomised, controlled phase 3 trial. Lancet. 2017 Dec 23;390(10114):2779-2789. </w:t>
      </w:r>
    </w:p>
  </w:footnote>
  <w:footnote w:id="46">
    <w:p w14:paraId="2C6E7882" w14:textId="77777777" w:rsidR="00FA283C" w:rsidRDefault="00FA283C" w:rsidP="00FA283C">
      <w:pPr>
        <w:pStyle w:val="FootnoteText"/>
      </w:pPr>
      <w:r>
        <w:rPr>
          <w:rStyle w:val="FootnoteReference"/>
        </w:rPr>
        <w:footnoteRef/>
      </w:r>
      <w:r>
        <w:t xml:space="preserve"> Briers M, Massa B, Vander Cruyssen B. et al. </w:t>
      </w:r>
      <w:r w:rsidRPr="009D62E2">
        <w:t>Discriminating signal from noise: the biological variation of circulating calprotectin in serum and plasma</w:t>
      </w:r>
      <w:r>
        <w:t xml:space="preserve">. </w:t>
      </w:r>
      <w:r w:rsidRPr="0071005D">
        <w:t>Clin Chem Lab Med 2024; 62(5): e113–e115</w:t>
      </w:r>
      <w:r>
        <w:t xml:space="preserve">. </w:t>
      </w:r>
    </w:p>
  </w:footnote>
  <w:footnote w:id="47">
    <w:p w14:paraId="2511DA43" w14:textId="77777777" w:rsidR="00FA283C" w:rsidRDefault="00FA283C" w:rsidP="00FA283C">
      <w:pPr>
        <w:pStyle w:val="FootnoteText"/>
      </w:pPr>
      <w:r>
        <w:rPr>
          <w:rStyle w:val="FootnoteReference"/>
        </w:rPr>
        <w:footnoteRef/>
      </w:r>
      <w:r>
        <w:t xml:space="preserve"> </w:t>
      </w:r>
      <w:r w:rsidRPr="00A90F63">
        <w:t>D'Amico</w:t>
      </w:r>
      <w:r>
        <w:t xml:space="preserve"> </w:t>
      </w:r>
      <w:r w:rsidRPr="00A90F63">
        <w:t>F, Rubin</w:t>
      </w:r>
      <w:r>
        <w:t xml:space="preserve"> </w:t>
      </w:r>
      <w:r w:rsidRPr="00A90F63">
        <w:t xml:space="preserve">DT, Kotze PG, </w:t>
      </w:r>
      <w:r>
        <w:t xml:space="preserve">et al. </w:t>
      </w:r>
      <w:proofErr w:type="gramStart"/>
      <w:r w:rsidRPr="00A90F63">
        <w:t>International</w:t>
      </w:r>
      <w:proofErr w:type="gramEnd"/>
      <w:r w:rsidRPr="00A90F63">
        <w:t xml:space="preserve"> consensus on methodological issues in standardization of </w:t>
      </w:r>
      <w:proofErr w:type="spellStart"/>
      <w:r w:rsidRPr="00A90F63">
        <w:t>fecal</w:t>
      </w:r>
      <w:proofErr w:type="spellEnd"/>
      <w:r w:rsidRPr="00A90F63">
        <w:t xml:space="preserve"> calprotectin measurement in inflammatory bowel diseases. United European Gastroenterol J</w:t>
      </w:r>
      <w:r>
        <w:t xml:space="preserve"> 2021</w:t>
      </w:r>
      <w:r w:rsidRPr="00A90F63">
        <w:t>, 9: 451-460. https://doi.org/10.1002/ueg2.12069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F536" w14:textId="77777777" w:rsidR="00E64DA2" w:rsidRDefault="00E64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AD1B" w14:textId="77777777" w:rsidR="00E64DA2" w:rsidRDefault="00E64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7EFB" w14:textId="77777777" w:rsidR="00E64DA2" w:rsidRDefault="00E64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CA1D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EED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3083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162F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A494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481C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7C34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6AEE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40E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8EE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971CA"/>
    <w:multiLevelType w:val="hybridMultilevel"/>
    <w:tmpl w:val="AFD04A60"/>
    <w:lvl w:ilvl="0" w:tplc="D69226E4">
      <w:start w:val="1"/>
      <w:numFmt w:val="bullet"/>
      <w:pStyle w:val="BoxDash"/>
      <w:lvlText w:val="o"/>
      <w:lvlJc w:val="left"/>
      <w:pPr>
        <w:ind w:left="36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8450AD"/>
    <w:multiLevelType w:val="hybridMultilevel"/>
    <w:tmpl w:val="825E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FC177E"/>
    <w:multiLevelType w:val="hybridMultilevel"/>
    <w:tmpl w:val="029C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11946"/>
    <w:multiLevelType w:val="multilevel"/>
    <w:tmpl w:val="6BC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EF6DAE"/>
    <w:multiLevelType w:val="hybridMultilevel"/>
    <w:tmpl w:val="1678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364127"/>
    <w:multiLevelType w:val="hybridMultilevel"/>
    <w:tmpl w:val="8D80E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250F1D"/>
    <w:multiLevelType w:val="multilevel"/>
    <w:tmpl w:val="1A60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925F5F"/>
    <w:multiLevelType w:val="hybridMultilevel"/>
    <w:tmpl w:val="EE8407FE"/>
    <w:lvl w:ilvl="0" w:tplc="033EB038">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482BF7"/>
    <w:multiLevelType w:val="hybridMultilevel"/>
    <w:tmpl w:val="D2C0B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3E469D"/>
    <w:multiLevelType w:val="multilevel"/>
    <w:tmpl w:val="7DF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EB7C09"/>
    <w:multiLevelType w:val="hybridMultilevel"/>
    <w:tmpl w:val="896A3A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D61C46"/>
    <w:multiLevelType w:val="hybridMultilevel"/>
    <w:tmpl w:val="BCCC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803733"/>
    <w:multiLevelType w:val="hybridMultilevel"/>
    <w:tmpl w:val="A5AC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0070A6"/>
    <w:multiLevelType w:val="multilevel"/>
    <w:tmpl w:val="B266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7C0EE4"/>
    <w:multiLevelType w:val="hybridMultilevel"/>
    <w:tmpl w:val="FFFFFFFF"/>
    <w:styleLink w:val="ESSectionheading-numbered"/>
    <w:lvl w:ilvl="0" w:tplc="30D0070A">
      <w:start w:val="1"/>
      <w:numFmt w:val="bullet"/>
      <w:pStyle w:val="BulletLast"/>
      <w:lvlText w:val="·"/>
      <w:lvlJc w:val="left"/>
      <w:pPr>
        <w:ind w:left="720" w:hanging="360"/>
      </w:pPr>
      <w:rPr>
        <w:rFonts w:ascii="Symbol" w:hAnsi="Symbol" w:hint="default"/>
      </w:rPr>
    </w:lvl>
    <w:lvl w:ilvl="1" w:tplc="819CA5E6">
      <w:start w:val="1"/>
      <w:numFmt w:val="bullet"/>
      <w:lvlText w:val="o"/>
      <w:lvlJc w:val="left"/>
      <w:pPr>
        <w:ind w:left="1440" w:hanging="360"/>
      </w:pPr>
      <w:rPr>
        <w:rFonts w:ascii="Courier New" w:hAnsi="Courier New" w:hint="default"/>
      </w:rPr>
    </w:lvl>
    <w:lvl w:ilvl="2" w:tplc="E7287F36">
      <w:start w:val="1"/>
      <w:numFmt w:val="bullet"/>
      <w:lvlText w:val=""/>
      <w:lvlJc w:val="left"/>
      <w:pPr>
        <w:ind w:left="2160" w:hanging="360"/>
      </w:pPr>
      <w:rPr>
        <w:rFonts w:ascii="Wingdings" w:hAnsi="Wingdings" w:hint="default"/>
      </w:rPr>
    </w:lvl>
    <w:lvl w:ilvl="3" w:tplc="C532893C">
      <w:start w:val="1"/>
      <w:numFmt w:val="bullet"/>
      <w:lvlText w:val=""/>
      <w:lvlJc w:val="left"/>
      <w:pPr>
        <w:ind w:left="2880" w:hanging="360"/>
      </w:pPr>
      <w:rPr>
        <w:rFonts w:ascii="Symbol" w:hAnsi="Symbol" w:hint="default"/>
      </w:rPr>
    </w:lvl>
    <w:lvl w:ilvl="4" w:tplc="6406C9F0">
      <w:start w:val="1"/>
      <w:numFmt w:val="bullet"/>
      <w:lvlText w:val="o"/>
      <w:lvlJc w:val="left"/>
      <w:pPr>
        <w:ind w:left="3600" w:hanging="360"/>
      </w:pPr>
      <w:rPr>
        <w:rFonts w:ascii="Courier New" w:hAnsi="Courier New" w:hint="default"/>
      </w:rPr>
    </w:lvl>
    <w:lvl w:ilvl="5" w:tplc="7EDC5362">
      <w:start w:val="1"/>
      <w:numFmt w:val="bullet"/>
      <w:lvlText w:val=""/>
      <w:lvlJc w:val="left"/>
      <w:pPr>
        <w:ind w:left="4320" w:hanging="360"/>
      </w:pPr>
      <w:rPr>
        <w:rFonts w:ascii="Wingdings" w:hAnsi="Wingdings" w:hint="default"/>
      </w:rPr>
    </w:lvl>
    <w:lvl w:ilvl="6" w:tplc="58762C5A">
      <w:start w:val="1"/>
      <w:numFmt w:val="bullet"/>
      <w:lvlText w:val=""/>
      <w:lvlJc w:val="left"/>
      <w:pPr>
        <w:ind w:left="5040" w:hanging="360"/>
      </w:pPr>
      <w:rPr>
        <w:rFonts w:ascii="Symbol" w:hAnsi="Symbol" w:hint="default"/>
      </w:rPr>
    </w:lvl>
    <w:lvl w:ilvl="7" w:tplc="DCDC6F6C">
      <w:start w:val="1"/>
      <w:numFmt w:val="bullet"/>
      <w:lvlText w:val="o"/>
      <w:lvlJc w:val="left"/>
      <w:pPr>
        <w:ind w:left="5760" w:hanging="360"/>
      </w:pPr>
      <w:rPr>
        <w:rFonts w:ascii="Courier New" w:hAnsi="Courier New" w:hint="default"/>
      </w:rPr>
    </w:lvl>
    <w:lvl w:ilvl="8" w:tplc="EFD2FED8">
      <w:start w:val="1"/>
      <w:numFmt w:val="bullet"/>
      <w:lvlText w:val=""/>
      <w:lvlJc w:val="left"/>
      <w:pPr>
        <w:ind w:left="6480" w:hanging="360"/>
      </w:pPr>
      <w:rPr>
        <w:rFonts w:ascii="Wingdings" w:hAnsi="Wingdings" w:hint="default"/>
      </w:rPr>
    </w:lvl>
  </w:abstractNum>
  <w:abstractNum w:abstractNumId="27" w15:restartNumberingAfterBreak="0">
    <w:nsid w:val="252F478D"/>
    <w:multiLevelType w:val="hybridMultilevel"/>
    <w:tmpl w:val="444EE658"/>
    <w:lvl w:ilvl="0" w:tplc="CB0E8862">
      <w:numFmt w:val="bullet"/>
      <w:lvlText w:val="•"/>
      <w:lvlJc w:val="left"/>
      <w:pPr>
        <w:ind w:left="108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DE45BF"/>
    <w:multiLevelType w:val="hybridMultilevel"/>
    <w:tmpl w:val="E2184DF8"/>
    <w:lvl w:ilvl="0" w:tplc="CB0E8862">
      <w:numFmt w:val="bullet"/>
      <w:lvlText w:val="•"/>
      <w:lvlJc w:val="left"/>
      <w:pPr>
        <w:ind w:left="108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B334CE"/>
    <w:multiLevelType w:val="hybridMultilevel"/>
    <w:tmpl w:val="0DFE3120"/>
    <w:lvl w:ilvl="0" w:tplc="CB0E8862">
      <w:numFmt w:val="bullet"/>
      <w:lvlText w:val="•"/>
      <w:lvlJc w:val="left"/>
      <w:pPr>
        <w:ind w:left="108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2CF611D8"/>
    <w:multiLevelType w:val="multilevel"/>
    <w:tmpl w:val="66BA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F8366F1"/>
    <w:multiLevelType w:val="multilevel"/>
    <w:tmpl w:val="11D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8470EA"/>
    <w:multiLevelType w:val="multilevel"/>
    <w:tmpl w:val="E0188F5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14A0DD5"/>
    <w:multiLevelType w:val="hybridMultilevel"/>
    <w:tmpl w:val="A4721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4371DC"/>
    <w:multiLevelType w:val="multilevel"/>
    <w:tmpl w:val="8700A296"/>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b w:val="0"/>
        <w:bCs/>
      </w:rPr>
    </w:lvl>
    <w:lvl w:ilvl="3">
      <w:start w:val="1"/>
      <w:numFmt w:val="lowerRoman"/>
      <w:lvlText w:val="%4."/>
      <w:lvlJc w:val="left"/>
      <w:pPr>
        <w:ind w:left="1440" w:hanging="360"/>
      </w:pPr>
      <w:rPr>
        <w:rFonts w:ascii="Franklin Gothic Book" w:eastAsiaTheme="minorHAnsi" w:hAnsi="Franklin Gothic Book" w:cstheme="minorBid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7EE5C3F"/>
    <w:multiLevelType w:val="multilevel"/>
    <w:tmpl w:val="357E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D9D6BB1"/>
    <w:multiLevelType w:val="multilevel"/>
    <w:tmpl w:val="1E26DC20"/>
    <w:styleLink w:val="CurrentList1"/>
    <w:lvl w:ilvl="0">
      <w:start w:val="1"/>
      <w:numFmt w:val="decimal"/>
      <w:lvlText w:val="Section %1"/>
      <w:lvlJc w:val="left"/>
      <w:pPr>
        <w:ind w:left="786" w:hanging="360"/>
      </w:pPr>
      <w:rPr>
        <w:rFonts w:hint="default"/>
      </w:rPr>
    </w:lvl>
    <w:lvl w:ilvl="1">
      <w:start w:val="1"/>
      <w:numFmt w:val="decimal"/>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b w:val="0"/>
        <w:bCs/>
      </w:r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DB102F9"/>
    <w:multiLevelType w:val="multilevel"/>
    <w:tmpl w:val="80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27369A4"/>
    <w:multiLevelType w:val="multilevel"/>
    <w:tmpl w:val="17F8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7095746"/>
    <w:multiLevelType w:val="hybridMultilevel"/>
    <w:tmpl w:val="D0FCDD94"/>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48885CEC"/>
    <w:multiLevelType w:val="hybridMultilevel"/>
    <w:tmpl w:val="39A4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246AA7"/>
    <w:multiLevelType w:val="hybridMultilevel"/>
    <w:tmpl w:val="9508D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881764"/>
    <w:multiLevelType w:val="multilevel"/>
    <w:tmpl w:val="1D1C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CE2E23"/>
    <w:multiLevelType w:val="hybridMultilevel"/>
    <w:tmpl w:val="C098FC1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4C237BD"/>
    <w:multiLevelType w:val="hybridMultilevel"/>
    <w:tmpl w:val="68C6F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57338B3"/>
    <w:multiLevelType w:val="hybridMultilevel"/>
    <w:tmpl w:val="2834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775541"/>
    <w:multiLevelType w:val="hybridMultilevel"/>
    <w:tmpl w:val="D262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254855"/>
    <w:multiLevelType w:val="multilevel"/>
    <w:tmpl w:val="5A4CA23C"/>
    <w:lvl w:ilvl="0">
      <w:start w:val="1"/>
      <w:numFmt w:val="decimal"/>
      <w:lvlText w:val="%1)"/>
      <w:lvlJc w:val="left"/>
      <w:pPr>
        <w:ind w:left="360" w:hanging="360"/>
      </w:pPr>
      <w:rPr>
        <w:rFonts w:hint="default"/>
        <w:b w:val="0"/>
        <w:bCs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52" w15:restartNumberingAfterBreak="0">
    <w:nsid w:val="67409A9C"/>
    <w:multiLevelType w:val="hybridMultilevel"/>
    <w:tmpl w:val="FFFFFFFF"/>
    <w:lvl w:ilvl="0" w:tplc="27E851D2">
      <w:start w:val="1"/>
      <w:numFmt w:val="bullet"/>
      <w:lvlText w:val=""/>
      <w:lvlJc w:val="left"/>
      <w:pPr>
        <w:ind w:left="720" w:hanging="360"/>
      </w:pPr>
      <w:rPr>
        <w:rFonts w:ascii="Symbol" w:hAnsi="Symbol" w:hint="default"/>
      </w:rPr>
    </w:lvl>
    <w:lvl w:ilvl="1" w:tplc="5C7C7574">
      <w:start w:val="1"/>
      <w:numFmt w:val="bullet"/>
      <w:lvlText w:val="o"/>
      <w:lvlJc w:val="left"/>
      <w:pPr>
        <w:ind w:left="1440" w:hanging="360"/>
      </w:pPr>
      <w:rPr>
        <w:rFonts w:ascii="Courier New" w:hAnsi="Courier New" w:hint="default"/>
      </w:rPr>
    </w:lvl>
    <w:lvl w:ilvl="2" w:tplc="3D2AECE0">
      <w:start w:val="1"/>
      <w:numFmt w:val="bullet"/>
      <w:lvlText w:val=""/>
      <w:lvlJc w:val="left"/>
      <w:pPr>
        <w:ind w:left="2160" w:hanging="360"/>
      </w:pPr>
      <w:rPr>
        <w:rFonts w:ascii="Wingdings" w:hAnsi="Wingdings" w:hint="default"/>
      </w:rPr>
    </w:lvl>
    <w:lvl w:ilvl="3" w:tplc="CF6C0424">
      <w:start w:val="1"/>
      <w:numFmt w:val="bullet"/>
      <w:lvlText w:val=""/>
      <w:lvlJc w:val="left"/>
      <w:pPr>
        <w:ind w:left="2880" w:hanging="360"/>
      </w:pPr>
      <w:rPr>
        <w:rFonts w:ascii="Symbol" w:hAnsi="Symbol" w:hint="default"/>
      </w:rPr>
    </w:lvl>
    <w:lvl w:ilvl="4" w:tplc="386AB7A2">
      <w:start w:val="1"/>
      <w:numFmt w:val="bullet"/>
      <w:lvlText w:val="o"/>
      <w:lvlJc w:val="left"/>
      <w:pPr>
        <w:ind w:left="3600" w:hanging="360"/>
      </w:pPr>
      <w:rPr>
        <w:rFonts w:ascii="Courier New" w:hAnsi="Courier New" w:hint="default"/>
      </w:rPr>
    </w:lvl>
    <w:lvl w:ilvl="5" w:tplc="4B544946">
      <w:start w:val="1"/>
      <w:numFmt w:val="bullet"/>
      <w:lvlText w:val=""/>
      <w:lvlJc w:val="left"/>
      <w:pPr>
        <w:ind w:left="4320" w:hanging="360"/>
      </w:pPr>
      <w:rPr>
        <w:rFonts w:ascii="Wingdings" w:hAnsi="Wingdings" w:hint="default"/>
      </w:rPr>
    </w:lvl>
    <w:lvl w:ilvl="6" w:tplc="6AB055C0">
      <w:start w:val="1"/>
      <w:numFmt w:val="bullet"/>
      <w:lvlText w:val=""/>
      <w:lvlJc w:val="left"/>
      <w:pPr>
        <w:ind w:left="5040" w:hanging="360"/>
      </w:pPr>
      <w:rPr>
        <w:rFonts w:ascii="Symbol" w:hAnsi="Symbol" w:hint="default"/>
      </w:rPr>
    </w:lvl>
    <w:lvl w:ilvl="7" w:tplc="433EEE72">
      <w:start w:val="1"/>
      <w:numFmt w:val="bullet"/>
      <w:lvlText w:val="o"/>
      <w:lvlJc w:val="left"/>
      <w:pPr>
        <w:ind w:left="5760" w:hanging="360"/>
      </w:pPr>
      <w:rPr>
        <w:rFonts w:ascii="Courier New" w:hAnsi="Courier New" w:hint="default"/>
      </w:rPr>
    </w:lvl>
    <w:lvl w:ilvl="8" w:tplc="0AC46D98">
      <w:start w:val="1"/>
      <w:numFmt w:val="bullet"/>
      <w:lvlText w:val=""/>
      <w:lvlJc w:val="left"/>
      <w:pPr>
        <w:ind w:left="6480" w:hanging="360"/>
      </w:pPr>
      <w:rPr>
        <w:rFonts w:ascii="Wingdings" w:hAnsi="Wingdings" w:hint="default"/>
      </w:rPr>
    </w:lvl>
  </w:abstractNum>
  <w:abstractNum w:abstractNumId="53" w15:restartNumberingAfterBreak="0">
    <w:nsid w:val="6E1440A8"/>
    <w:multiLevelType w:val="hybridMultilevel"/>
    <w:tmpl w:val="516E383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4" w15:restartNumberingAfterBreak="0">
    <w:nsid w:val="76305F16"/>
    <w:multiLevelType w:val="multilevel"/>
    <w:tmpl w:val="3C76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EF10F4"/>
    <w:multiLevelType w:val="hybridMultilevel"/>
    <w:tmpl w:val="0AD4DC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6F55CDF"/>
    <w:multiLevelType w:val="multilevel"/>
    <w:tmpl w:val="55F4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C86ACE"/>
    <w:multiLevelType w:val="multilevel"/>
    <w:tmpl w:val="798C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2022278">
    <w:abstractNumId w:val="38"/>
  </w:num>
  <w:num w:numId="2" w16cid:durableId="1541164023">
    <w:abstractNumId w:val="17"/>
  </w:num>
  <w:num w:numId="3" w16cid:durableId="1020471982">
    <w:abstractNumId w:val="26"/>
  </w:num>
  <w:num w:numId="4" w16cid:durableId="416906475">
    <w:abstractNumId w:val="57"/>
  </w:num>
  <w:num w:numId="5" w16cid:durableId="527453964">
    <w:abstractNumId w:val="29"/>
  </w:num>
  <w:num w:numId="6" w16cid:durableId="285426606">
    <w:abstractNumId w:val="32"/>
  </w:num>
  <w:num w:numId="7" w16cid:durableId="1760176269">
    <w:abstractNumId w:val="36"/>
  </w:num>
  <w:num w:numId="8" w16cid:durableId="1831869217">
    <w:abstractNumId w:val="43"/>
  </w:num>
  <w:num w:numId="9" w16cid:durableId="918754654">
    <w:abstractNumId w:val="48"/>
  </w:num>
  <w:num w:numId="10" w16cid:durableId="1750495920">
    <w:abstractNumId w:val="21"/>
  </w:num>
  <w:num w:numId="11" w16cid:durableId="479153943">
    <w:abstractNumId w:val="53"/>
  </w:num>
  <w:num w:numId="12" w16cid:durableId="697660639">
    <w:abstractNumId w:val="47"/>
  </w:num>
  <w:num w:numId="13" w16cid:durableId="103039136">
    <w:abstractNumId w:val="12"/>
  </w:num>
  <w:num w:numId="14" w16cid:durableId="595098884">
    <w:abstractNumId w:val="50"/>
  </w:num>
  <w:num w:numId="15" w16cid:durableId="2120640913">
    <w:abstractNumId w:val="37"/>
  </w:num>
  <w:num w:numId="16" w16cid:durableId="512034722">
    <w:abstractNumId w:val="11"/>
  </w:num>
  <w:num w:numId="17" w16cid:durableId="1319767895">
    <w:abstractNumId w:val="52"/>
  </w:num>
  <w:num w:numId="18" w16cid:durableId="1165121418">
    <w:abstractNumId w:val="9"/>
  </w:num>
  <w:num w:numId="19" w16cid:durableId="1808358555">
    <w:abstractNumId w:val="7"/>
  </w:num>
  <w:num w:numId="20" w16cid:durableId="1544908207">
    <w:abstractNumId w:val="6"/>
  </w:num>
  <w:num w:numId="21" w16cid:durableId="232549997">
    <w:abstractNumId w:val="5"/>
  </w:num>
  <w:num w:numId="22" w16cid:durableId="1148015827">
    <w:abstractNumId w:val="4"/>
  </w:num>
  <w:num w:numId="23" w16cid:durableId="754014003">
    <w:abstractNumId w:val="8"/>
  </w:num>
  <w:num w:numId="24" w16cid:durableId="214053677">
    <w:abstractNumId w:val="3"/>
  </w:num>
  <w:num w:numId="25" w16cid:durableId="1337536340">
    <w:abstractNumId w:val="2"/>
  </w:num>
  <w:num w:numId="26" w16cid:durableId="1262300276">
    <w:abstractNumId w:val="1"/>
  </w:num>
  <w:num w:numId="27" w16cid:durableId="1221087843">
    <w:abstractNumId w:val="0"/>
  </w:num>
  <w:num w:numId="28" w16cid:durableId="1165628851">
    <w:abstractNumId w:val="23"/>
  </w:num>
  <w:num w:numId="29" w16cid:durableId="2075857931">
    <w:abstractNumId w:val="19"/>
  </w:num>
  <w:num w:numId="30" w16cid:durableId="1391657232">
    <w:abstractNumId w:val="49"/>
  </w:num>
  <w:num w:numId="31" w16cid:durableId="1234854829">
    <w:abstractNumId w:val="24"/>
  </w:num>
  <w:num w:numId="32" w16cid:durableId="528875951">
    <w:abstractNumId w:val="44"/>
  </w:num>
  <w:num w:numId="33" w16cid:durableId="1036584991">
    <w:abstractNumId w:val="40"/>
  </w:num>
  <w:num w:numId="34" w16cid:durableId="1246303243">
    <w:abstractNumId w:val="58"/>
  </w:num>
  <w:num w:numId="35" w16cid:durableId="2084990852">
    <w:abstractNumId w:val="10"/>
  </w:num>
  <w:num w:numId="36" w16cid:durableId="1689479852">
    <w:abstractNumId w:val="22"/>
  </w:num>
  <w:num w:numId="37" w16cid:durableId="248854267">
    <w:abstractNumId w:val="18"/>
  </w:num>
  <w:num w:numId="38" w16cid:durableId="2065135019">
    <w:abstractNumId w:val="55"/>
  </w:num>
  <w:num w:numId="39" w16cid:durableId="450637309">
    <w:abstractNumId w:val="31"/>
  </w:num>
  <w:num w:numId="40" w16cid:durableId="1366830731">
    <w:abstractNumId w:val="46"/>
  </w:num>
  <w:num w:numId="41" w16cid:durableId="1670861470">
    <w:abstractNumId w:val="41"/>
  </w:num>
  <w:num w:numId="42" w16cid:durableId="1704016512">
    <w:abstractNumId w:val="25"/>
  </w:num>
  <w:num w:numId="43" w16cid:durableId="169755796">
    <w:abstractNumId w:val="34"/>
  </w:num>
  <w:num w:numId="44" w16cid:durableId="630015440">
    <w:abstractNumId w:val="59"/>
  </w:num>
  <w:num w:numId="45" w16cid:durableId="781267748">
    <w:abstractNumId w:val="54"/>
  </w:num>
  <w:num w:numId="46" w16cid:durableId="337393128">
    <w:abstractNumId w:val="56"/>
  </w:num>
  <w:num w:numId="47" w16cid:durableId="1173958321">
    <w:abstractNumId w:val="16"/>
  </w:num>
  <w:num w:numId="48" w16cid:durableId="880939617">
    <w:abstractNumId w:val="13"/>
  </w:num>
  <w:num w:numId="49" w16cid:durableId="519704466">
    <w:abstractNumId w:val="33"/>
  </w:num>
  <w:num w:numId="50" w16cid:durableId="1321077997">
    <w:abstractNumId w:val="39"/>
  </w:num>
  <w:num w:numId="51" w16cid:durableId="1427071331">
    <w:abstractNumId w:val="20"/>
  </w:num>
  <w:num w:numId="52" w16cid:durableId="297534717">
    <w:abstractNumId w:val="35"/>
  </w:num>
  <w:num w:numId="53" w16cid:durableId="470172841">
    <w:abstractNumId w:val="42"/>
  </w:num>
  <w:num w:numId="54" w16cid:durableId="131336325">
    <w:abstractNumId w:val="14"/>
  </w:num>
  <w:num w:numId="55" w16cid:durableId="1774548286">
    <w:abstractNumId w:val="30"/>
  </w:num>
  <w:num w:numId="56" w16cid:durableId="387656840">
    <w:abstractNumId w:val="28"/>
  </w:num>
  <w:num w:numId="57" w16cid:durableId="315258204">
    <w:abstractNumId w:val="27"/>
  </w:num>
  <w:num w:numId="58" w16cid:durableId="1604412282">
    <w:abstractNumId w:val="15"/>
  </w:num>
  <w:num w:numId="59" w16cid:durableId="958071766">
    <w:abstractNumId w:val="51"/>
  </w:num>
  <w:num w:numId="60" w16cid:durableId="1136027643">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PA 7th&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157F1"/>
    <w:rsid w:val="000001CA"/>
    <w:rsid w:val="000002EC"/>
    <w:rsid w:val="00000310"/>
    <w:rsid w:val="00000368"/>
    <w:rsid w:val="0000040C"/>
    <w:rsid w:val="0000053A"/>
    <w:rsid w:val="000005BD"/>
    <w:rsid w:val="00000648"/>
    <w:rsid w:val="0000066B"/>
    <w:rsid w:val="000006EA"/>
    <w:rsid w:val="00000702"/>
    <w:rsid w:val="00000745"/>
    <w:rsid w:val="0000090F"/>
    <w:rsid w:val="00000A1F"/>
    <w:rsid w:val="00000AEF"/>
    <w:rsid w:val="00000D19"/>
    <w:rsid w:val="00000D24"/>
    <w:rsid w:val="00000E3E"/>
    <w:rsid w:val="00000EEF"/>
    <w:rsid w:val="00000F12"/>
    <w:rsid w:val="00000FD7"/>
    <w:rsid w:val="0000105F"/>
    <w:rsid w:val="0000109A"/>
    <w:rsid w:val="0000114E"/>
    <w:rsid w:val="0000123C"/>
    <w:rsid w:val="000012F9"/>
    <w:rsid w:val="000012FB"/>
    <w:rsid w:val="00001346"/>
    <w:rsid w:val="0000134E"/>
    <w:rsid w:val="0000145F"/>
    <w:rsid w:val="0000148B"/>
    <w:rsid w:val="000014A2"/>
    <w:rsid w:val="000015C6"/>
    <w:rsid w:val="000015FB"/>
    <w:rsid w:val="000016A6"/>
    <w:rsid w:val="00001769"/>
    <w:rsid w:val="0000177C"/>
    <w:rsid w:val="00001947"/>
    <w:rsid w:val="00001A7A"/>
    <w:rsid w:val="00001AE6"/>
    <w:rsid w:val="00001C77"/>
    <w:rsid w:val="00001FAB"/>
    <w:rsid w:val="000020A7"/>
    <w:rsid w:val="000020C2"/>
    <w:rsid w:val="0000222E"/>
    <w:rsid w:val="00002237"/>
    <w:rsid w:val="000022C8"/>
    <w:rsid w:val="0000234D"/>
    <w:rsid w:val="00002398"/>
    <w:rsid w:val="000023CB"/>
    <w:rsid w:val="00002486"/>
    <w:rsid w:val="00002494"/>
    <w:rsid w:val="000025AC"/>
    <w:rsid w:val="000025EA"/>
    <w:rsid w:val="00002601"/>
    <w:rsid w:val="0000269C"/>
    <w:rsid w:val="000027BB"/>
    <w:rsid w:val="00002841"/>
    <w:rsid w:val="000028C7"/>
    <w:rsid w:val="000028E4"/>
    <w:rsid w:val="00002A19"/>
    <w:rsid w:val="00002A7F"/>
    <w:rsid w:val="00002B43"/>
    <w:rsid w:val="00002B9C"/>
    <w:rsid w:val="00002BC4"/>
    <w:rsid w:val="00002C35"/>
    <w:rsid w:val="00002D9E"/>
    <w:rsid w:val="00002E01"/>
    <w:rsid w:val="00002E9C"/>
    <w:rsid w:val="00002EBE"/>
    <w:rsid w:val="00002EF2"/>
    <w:rsid w:val="00002F06"/>
    <w:rsid w:val="00002F93"/>
    <w:rsid w:val="000030BA"/>
    <w:rsid w:val="00003168"/>
    <w:rsid w:val="00003248"/>
    <w:rsid w:val="000033BA"/>
    <w:rsid w:val="0000371F"/>
    <w:rsid w:val="000037AB"/>
    <w:rsid w:val="00003951"/>
    <w:rsid w:val="00003B9E"/>
    <w:rsid w:val="00003C25"/>
    <w:rsid w:val="00003DDD"/>
    <w:rsid w:val="00003F89"/>
    <w:rsid w:val="00003FA3"/>
    <w:rsid w:val="00003FAE"/>
    <w:rsid w:val="00003FCF"/>
    <w:rsid w:val="000040DE"/>
    <w:rsid w:val="000040F3"/>
    <w:rsid w:val="00004142"/>
    <w:rsid w:val="000042CB"/>
    <w:rsid w:val="000042E5"/>
    <w:rsid w:val="00004305"/>
    <w:rsid w:val="00004502"/>
    <w:rsid w:val="0000462D"/>
    <w:rsid w:val="00004809"/>
    <w:rsid w:val="00004830"/>
    <w:rsid w:val="000048FD"/>
    <w:rsid w:val="00004A3A"/>
    <w:rsid w:val="00004A69"/>
    <w:rsid w:val="00004C8E"/>
    <w:rsid w:val="00004D69"/>
    <w:rsid w:val="00004EAB"/>
    <w:rsid w:val="00004F7F"/>
    <w:rsid w:val="000051FB"/>
    <w:rsid w:val="0000521F"/>
    <w:rsid w:val="00005300"/>
    <w:rsid w:val="00005368"/>
    <w:rsid w:val="0000546E"/>
    <w:rsid w:val="000054C9"/>
    <w:rsid w:val="000056A1"/>
    <w:rsid w:val="000057C9"/>
    <w:rsid w:val="00005809"/>
    <w:rsid w:val="00005A1F"/>
    <w:rsid w:val="00005A53"/>
    <w:rsid w:val="00005A58"/>
    <w:rsid w:val="00005B61"/>
    <w:rsid w:val="00005C94"/>
    <w:rsid w:val="00005CD6"/>
    <w:rsid w:val="00005DEE"/>
    <w:rsid w:val="00005E0F"/>
    <w:rsid w:val="00005EAB"/>
    <w:rsid w:val="00005EBA"/>
    <w:rsid w:val="00005F8E"/>
    <w:rsid w:val="00006077"/>
    <w:rsid w:val="00006154"/>
    <w:rsid w:val="0000619B"/>
    <w:rsid w:val="000061AE"/>
    <w:rsid w:val="00006294"/>
    <w:rsid w:val="000062F1"/>
    <w:rsid w:val="00006313"/>
    <w:rsid w:val="00006376"/>
    <w:rsid w:val="000065AC"/>
    <w:rsid w:val="0000661C"/>
    <w:rsid w:val="00006632"/>
    <w:rsid w:val="0000665D"/>
    <w:rsid w:val="000066E3"/>
    <w:rsid w:val="000069B6"/>
    <w:rsid w:val="00006AB7"/>
    <w:rsid w:val="00006BA9"/>
    <w:rsid w:val="00006C1A"/>
    <w:rsid w:val="00006CC6"/>
    <w:rsid w:val="00006CCE"/>
    <w:rsid w:val="00006D36"/>
    <w:rsid w:val="00006D81"/>
    <w:rsid w:val="00006DBE"/>
    <w:rsid w:val="00006DD9"/>
    <w:rsid w:val="00006DF3"/>
    <w:rsid w:val="00006F47"/>
    <w:rsid w:val="00007103"/>
    <w:rsid w:val="000071A1"/>
    <w:rsid w:val="000073B1"/>
    <w:rsid w:val="000073BE"/>
    <w:rsid w:val="0000744D"/>
    <w:rsid w:val="00007450"/>
    <w:rsid w:val="00007459"/>
    <w:rsid w:val="000074F0"/>
    <w:rsid w:val="00007625"/>
    <w:rsid w:val="00007628"/>
    <w:rsid w:val="0000767D"/>
    <w:rsid w:val="00007786"/>
    <w:rsid w:val="00007CB3"/>
    <w:rsid w:val="00007D90"/>
    <w:rsid w:val="000102A8"/>
    <w:rsid w:val="00010326"/>
    <w:rsid w:val="000104BA"/>
    <w:rsid w:val="00010635"/>
    <w:rsid w:val="00010642"/>
    <w:rsid w:val="0001079D"/>
    <w:rsid w:val="000107A7"/>
    <w:rsid w:val="00010925"/>
    <w:rsid w:val="00010AE6"/>
    <w:rsid w:val="00010B4B"/>
    <w:rsid w:val="00010EC9"/>
    <w:rsid w:val="00010F2F"/>
    <w:rsid w:val="00011077"/>
    <w:rsid w:val="0001119F"/>
    <w:rsid w:val="000112E2"/>
    <w:rsid w:val="00011568"/>
    <w:rsid w:val="00011934"/>
    <w:rsid w:val="000119EC"/>
    <w:rsid w:val="00011AD9"/>
    <w:rsid w:val="00011B3E"/>
    <w:rsid w:val="00011B55"/>
    <w:rsid w:val="00011E5F"/>
    <w:rsid w:val="00011F2A"/>
    <w:rsid w:val="00011FAF"/>
    <w:rsid w:val="00011FC6"/>
    <w:rsid w:val="0001214A"/>
    <w:rsid w:val="00012246"/>
    <w:rsid w:val="000122DE"/>
    <w:rsid w:val="000123E7"/>
    <w:rsid w:val="00012539"/>
    <w:rsid w:val="0001263E"/>
    <w:rsid w:val="0001264A"/>
    <w:rsid w:val="000126B9"/>
    <w:rsid w:val="000126D9"/>
    <w:rsid w:val="000127EF"/>
    <w:rsid w:val="00012811"/>
    <w:rsid w:val="00012891"/>
    <w:rsid w:val="000128D6"/>
    <w:rsid w:val="00012B75"/>
    <w:rsid w:val="00012BD7"/>
    <w:rsid w:val="00012C1C"/>
    <w:rsid w:val="00012C4C"/>
    <w:rsid w:val="00012DC0"/>
    <w:rsid w:val="00012F0D"/>
    <w:rsid w:val="00012F58"/>
    <w:rsid w:val="00012F65"/>
    <w:rsid w:val="00012FD5"/>
    <w:rsid w:val="000130EB"/>
    <w:rsid w:val="00013133"/>
    <w:rsid w:val="0001321B"/>
    <w:rsid w:val="00013453"/>
    <w:rsid w:val="000134C7"/>
    <w:rsid w:val="0001350C"/>
    <w:rsid w:val="00013569"/>
    <w:rsid w:val="00013635"/>
    <w:rsid w:val="00013638"/>
    <w:rsid w:val="000136AD"/>
    <w:rsid w:val="000136CE"/>
    <w:rsid w:val="00013710"/>
    <w:rsid w:val="000137E3"/>
    <w:rsid w:val="00013919"/>
    <w:rsid w:val="000139EA"/>
    <w:rsid w:val="00013A14"/>
    <w:rsid w:val="00013C8E"/>
    <w:rsid w:val="00013CC3"/>
    <w:rsid w:val="00013CC5"/>
    <w:rsid w:val="00013DC4"/>
    <w:rsid w:val="00013E25"/>
    <w:rsid w:val="00013E72"/>
    <w:rsid w:val="00013FED"/>
    <w:rsid w:val="00014026"/>
    <w:rsid w:val="0001423C"/>
    <w:rsid w:val="000142F1"/>
    <w:rsid w:val="0001445E"/>
    <w:rsid w:val="000144B5"/>
    <w:rsid w:val="000144CD"/>
    <w:rsid w:val="000144F5"/>
    <w:rsid w:val="00014599"/>
    <w:rsid w:val="000145AC"/>
    <w:rsid w:val="00014716"/>
    <w:rsid w:val="000147A3"/>
    <w:rsid w:val="000148B7"/>
    <w:rsid w:val="000148FC"/>
    <w:rsid w:val="0001490B"/>
    <w:rsid w:val="00014974"/>
    <w:rsid w:val="00014A92"/>
    <w:rsid w:val="00014B29"/>
    <w:rsid w:val="00014B63"/>
    <w:rsid w:val="00014C29"/>
    <w:rsid w:val="00014F23"/>
    <w:rsid w:val="00015082"/>
    <w:rsid w:val="000150A4"/>
    <w:rsid w:val="00015144"/>
    <w:rsid w:val="000151C8"/>
    <w:rsid w:val="000151CD"/>
    <w:rsid w:val="00015287"/>
    <w:rsid w:val="000152F4"/>
    <w:rsid w:val="000152FE"/>
    <w:rsid w:val="00015467"/>
    <w:rsid w:val="00015484"/>
    <w:rsid w:val="00015542"/>
    <w:rsid w:val="000155A7"/>
    <w:rsid w:val="000156A9"/>
    <w:rsid w:val="000156B7"/>
    <w:rsid w:val="0001575D"/>
    <w:rsid w:val="000158F5"/>
    <w:rsid w:val="00015A5D"/>
    <w:rsid w:val="00015CA3"/>
    <w:rsid w:val="00015D63"/>
    <w:rsid w:val="00015EE5"/>
    <w:rsid w:val="000160A8"/>
    <w:rsid w:val="00016157"/>
    <w:rsid w:val="0001615D"/>
    <w:rsid w:val="0001649F"/>
    <w:rsid w:val="00016690"/>
    <w:rsid w:val="0001673D"/>
    <w:rsid w:val="00016753"/>
    <w:rsid w:val="000167C6"/>
    <w:rsid w:val="000167E5"/>
    <w:rsid w:val="000168DC"/>
    <w:rsid w:val="00016A8E"/>
    <w:rsid w:val="00016B16"/>
    <w:rsid w:val="00016CC0"/>
    <w:rsid w:val="00016D31"/>
    <w:rsid w:val="00016D58"/>
    <w:rsid w:val="00016E1B"/>
    <w:rsid w:val="00016E74"/>
    <w:rsid w:val="00016EA0"/>
    <w:rsid w:val="00016EFC"/>
    <w:rsid w:val="00017062"/>
    <w:rsid w:val="000170E2"/>
    <w:rsid w:val="00017153"/>
    <w:rsid w:val="000171C2"/>
    <w:rsid w:val="00017240"/>
    <w:rsid w:val="000173B5"/>
    <w:rsid w:val="000173D8"/>
    <w:rsid w:val="000176C3"/>
    <w:rsid w:val="00017709"/>
    <w:rsid w:val="00017906"/>
    <w:rsid w:val="00017D72"/>
    <w:rsid w:val="00017DEA"/>
    <w:rsid w:val="00017DF7"/>
    <w:rsid w:val="00017E9C"/>
    <w:rsid w:val="00020137"/>
    <w:rsid w:val="0002013D"/>
    <w:rsid w:val="000201F6"/>
    <w:rsid w:val="00020279"/>
    <w:rsid w:val="000202CD"/>
    <w:rsid w:val="00020323"/>
    <w:rsid w:val="00020534"/>
    <w:rsid w:val="0002058A"/>
    <w:rsid w:val="00020750"/>
    <w:rsid w:val="00020800"/>
    <w:rsid w:val="0002094E"/>
    <w:rsid w:val="00020959"/>
    <w:rsid w:val="00020A4B"/>
    <w:rsid w:val="00020AA8"/>
    <w:rsid w:val="00020B49"/>
    <w:rsid w:val="00020D2B"/>
    <w:rsid w:val="00021225"/>
    <w:rsid w:val="00021513"/>
    <w:rsid w:val="000215CC"/>
    <w:rsid w:val="00021670"/>
    <w:rsid w:val="00021836"/>
    <w:rsid w:val="0002191A"/>
    <w:rsid w:val="000219CA"/>
    <w:rsid w:val="00021D66"/>
    <w:rsid w:val="00022004"/>
    <w:rsid w:val="0002212D"/>
    <w:rsid w:val="00022198"/>
    <w:rsid w:val="000221E3"/>
    <w:rsid w:val="000223A1"/>
    <w:rsid w:val="000223A5"/>
    <w:rsid w:val="000223AE"/>
    <w:rsid w:val="000224E9"/>
    <w:rsid w:val="000224F8"/>
    <w:rsid w:val="0002256A"/>
    <w:rsid w:val="0002261A"/>
    <w:rsid w:val="00022631"/>
    <w:rsid w:val="0002279D"/>
    <w:rsid w:val="0002280E"/>
    <w:rsid w:val="000228B8"/>
    <w:rsid w:val="000228DF"/>
    <w:rsid w:val="0002295C"/>
    <w:rsid w:val="00022BAF"/>
    <w:rsid w:val="00022CC6"/>
    <w:rsid w:val="00022D96"/>
    <w:rsid w:val="00022EE9"/>
    <w:rsid w:val="000230C6"/>
    <w:rsid w:val="000230E6"/>
    <w:rsid w:val="00023258"/>
    <w:rsid w:val="000233B0"/>
    <w:rsid w:val="00023606"/>
    <w:rsid w:val="0002361C"/>
    <w:rsid w:val="000236BA"/>
    <w:rsid w:val="000237B8"/>
    <w:rsid w:val="000237BA"/>
    <w:rsid w:val="000237BE"/>
    <w:rsid w:val="000237DB"/>
    <w:rsid w:val="0002381B"/>
    <w:rsid w:val="00023892"/>
    <w:rsid w:val="000238ED"/>
    <w:rsid w:val="00023905"/>
    <w:rsid w:val="000239D4"/>
    <w:rsid w:val="000239E7"/>
    <w:rsid w:val="00023B78"/>
    <w:rsid w:val="00023BC2"/>
    <w:rsid w:val="00023E12"/>
    <w:rsid w:val="0002408A"/>
    <w:rsid w:val="000240AC"/>
    <w:rsid w:val="000242B4"/>
    <w:rsid w:val="000242D4"/>
    <w:rsid w:val="000243EC"/>
    <w:rsid w:val="00024563"/>
    <w:rsid w:val="000246D7"/>
    <w:rsid w:val="000246DD"/>
    <w:rsid w:val="000249AF"/>
    <w:rsid w:val="00024B04"/>
    <w:rsid w:val="00024C37"/>
    <w:rsid w:val="00024DAF"/>
    <w:rsid w:val="00024DE7"/>
    <w:rsid w:val="00024DEE"/>
    <w:rsid w:val="00024EA5"/>
    <w:rsid w:val="00024EFE"/>
    <w:rsid w:val="00024F41"/>
    <w:rsid w:val="00024FFA"/>
    <w:rsid w:val="000251C9"/>
    <w:rsid w:val="000252B8"/>
    <w:rsid w:val="00025392"/>
    <w:rsid w:val="000253C3"/>
    <w:rsid w:val="00025606"/>
    <w:rsid w:val="00025787"/>
    <w:rsid w:val="000257B8"/>
    <w:rsid w:val="000257C8"/>
    <w:rsid w:val="0002588B"/>
    <w:rsid w:val="0002591F"/>
    <w:rsid w:val="000259AB"/>
    <w:rsid w:val="000259AD"/>
    <w:rsid w:val="00025A48"/>
    <w:rsid w:val="00025C38"/>
    <w:rsid w:val="00025C43"/>
    <w:rsid w:val="00025D15"/>
    <w:rsid w:val="00025D30"/>
    <w:rsid w:val="00025DC6"/>
    <w:rsid w:val="00025E2E"/>
    <w:rsid w:val="00025F46"/>
    <w:rsid w:val="00025FC5"/>
    <w:rsid w:val="00026475"/>
    <w:rsid w:val="000264E4"/>
    <w:rsid w:val="00026517"/>
    <w:rsid w:val="0002658D"/>
    <w:rsid w:val="00026692"/>
    <w:rsid w:val="000266D1"/>
    <w:rsid w:val="00026774"/>
    <w:rsid w:val="0002685D"/>
    <w:rsid w:val="000268AC"/>
    <w:rsid w:val="000269EB"/>
    <w:rsid w:val="000269F5"/>
    <w:rsid w:val="00026A02"/>
    <w:rsid w:val="00026A9E"/>
    <w:rsid w:val="00026AB3"/>
    <w:rsid w:val="00026C76"/>
    <w:rsid w:val="00026CDA"/>
    <w:rsid w:val="00026D33"/>
    <w:rsid w:val="00026DD5"/>
    <w:rsid w:val="00026DF9"/>
    <w:rsid w:val="00026E8D"/>
    <w:rsid w:val="00026F8C"/>
    <w:rsid w:val="000270EF"/>
    <w:rsid w:val="00027114"/>
    <w:rsid w:val="000271B6"/>
    <w:rsid w:val="000272C9"/>
    <w:rsid w:val="0002755F"/>
    <w:rsid w:val="00027572"/>
    <w:rsid w:val="000275AD"/>
    <w:rsid w:val="000275B5"/>
    <w:rsid w:val="00027652"/>
    <w:rsid w:val="0002768D"/>
    <w:rsid w:val="000276A5"/>
    <w:rsid w:val="000276E1"/>
    <w:rsid w:val="00027822"/>
    <w:rsid w:val="0002787D"/>
    <w:rsid w:val="000278DF"/>
    <w:rsid w:val="000279C1"/>
    <w:rsid w:val="00027C1C"/>
    <w:rsid w:val="00027C59"/>
    <w:rsid w:val="00027D96"/>
    <w:rsid w:val="00027DA6"/>
    <w:rsid w:val="00027ED6"/>
    <w:rsid w:val="00027F4D"/>
    <w:rsid w:val="00027F55"/>
    <w:rsid w:val="00027FAD"/>
    <w:rsid w:val="00030000"/>
    <w:rsid w:val="0003003E"/>
    <w:rsid w:val="000301F2"/>
    <w:rsid w:val="00030293"/>
    <w:rsid w:val="00030447"/>
    <w:rsid w:val="0003051D"/>
    <w:rsid w:val="00030558"/>
    <w:rsid w:val="0003057D"/>
    <w:rsid w:val="000306D3"/>
    <w:rsid w:val="00030724"/>
    <w:rsid w:val="00030743"/>
    <w:rsid w:val="00030877"/>
    <w:rsid w:val="0003087A"/>
    <w:rsid w:val="00030970"/>
    <w:rsid w:val="00030A9C"/>
    <w:rsid w:val="00030ADC"/>
    <w:rsid w:val="00030B20"/>
    <w:rsid w:val="00030BC5"/>
    <w:rsid w:val="00030C65"/>
    <w:rsid w:val="00030FB6"/>
    <w:rsid w:val="00031076"/>
    <w:rsid w:val="000310B7"/>
    <w:rsid w:val="0003112B"/>
    <w:rsid w:val="0003117E"/>
    <w:rsid w:val="00031189"/>
    <w:rsid w:val="000312C2"/>
    <w:rsid w:val="00031354"/>
    <w:rsid w:val="00031455"/>
    <w:rsid w:val="000314D6"/>
    <w:rsid w:val="00031527"/>
    <w:rsid w:val="00031648"/>
    <w:rsid w:val="0003166B"/>
    <w:rsid w:val="00031770"/>
    <w:rsid w:val="000317F0"/>
    <w:rsid w:val="00031963"/>
    <w:rsid w:val="000319C7"/>
    <w:rsid w:val="000319D1"/>
    <w:rsid w:val="00031C74"/>
    <w:rsid w:val="00031C7F"/>
    <w:rsid w:val="00031D31"/>
    <w:rsid w:val="00031D90"/>
    <w:rsid w:val="00031E32"/>
    <w:rsid w:val="00031F30"/>
    <w:rsid w:val="00031FEA"/>
    <w:rsid w:val="00032056"/>
    <w:rsid w:val="0003218A"/>
    <w:rsid w:val="000321A5"/>
    <w:rsid w:val="00032333"/>
    <w:rsid w:val="00032563"/>
    <w:rsid w:val="000325BC"/>
    <w:rsid w:val="00032618"/>
    <w:rsid w:val="000327E8"/>
    <w:rsid w:val="00032822"/>
    <w:rsid w:val="00032860"/>
    <w:rsid w:val="000328CC"/>
    <w:rsid w:val="0003293C"/>
    <w:rsid w:val="0003294A"/>
    <w:rsid w:val="0003297F"/>
    <w:rsid w:val="00032A75"/>
    <w:rsid w:val="00032A94"/>
    <w:rsid w:val="00032B22"/>
    <w:rsid w:val="00032C1D"/>
    <w:rsid w:val="00032C66"/>
    <w:rsid w:val="00032DB9"/>
    <w:rsid w:val="00032E72"/>
    <w:rsid w:val="00032E8A"/>
    <w:rsid w:val="00032EEE"/>
    <w:rsid w:val="00032FE4"/>
    <w:rsid w:val="00033023"/>
    <w:rsid w:val="00033035"/>
    <w:rsid w:val="000330EC"/>
    <w:rsid w:val="00033134"/>
    <w:rsid w:val="00033181"/>
    <w:rsid w:val="0003322E"/>
    <w:rsid w:val="000333B1"/>
    <w:rsid w:val="00033459"/>
    <w:rsid w:val="00033490"/>
    <w:rsid w:val="0003350A"/>
    <w:rsid w:val="00033544"/>
    <w:rsid w:val="0003362A"/>
    <w:rsid w:val="0003372A"/>
    <w:rsid w:val="0003385D"/>
    <w:rsid w:val="00033907"/>
    <w:rsid w:val="000339E1"/>
    <w:rsid w:val="00033A31"/>
    <w:rsid w:val="00033AAF"/>
    <w:rsid w:val="00033C8B"/>
    <w:rsid w:val="00033CA9"/>
    <w:rsid w:val="00033CB0"/>
    <w:rsid w:val="00033D1C"/>
    <w:rsid w:val="00033D58"/>
    <w:rsid w:val="00033EAB"/>
    <w:rsid w:val="00033FAB"/>
    <w:rsid w:val="000341AC"/>
    <w:rsid w:val="0003423A"/>
    <w:rsid w:val="000343BF"/>
    <w:rsid w:val="00034443"/>
    <w:rsid w:val="00034608"/>
    <w:rsid w:val="0003477F"/>
    <w:rsid w:val="000347FE"/>
    <w:rsid w:val="00034811"/>
    <w:rsid w:val="0003495D"/>
    <w:rsid w:val="00034992"/>
    <w:rsid w:val="00034B13"/>
    <w:rsid w:val="00034B71"/>
    <w:rsid w:val="00034BB7"/>
    <w:rsid w:val="00034BC4"/>
    <w:rsid w:val="00034C77"/>
    <w:rsid w:val="00034CB5"/>
    <w:rsid w:val="00034CB9"/>
    <w:rsid w:val="00034CBB"/>
    <w:rsid w:val="00034D6E"/>
    <w:rsid w:val="00034DC0"/>
    <w:rsid w:val="00034DC5"/>
    <w:rsid w:val="00034E23"/>
    <w:rsid w:val="00034F78"/>
    <w:rsid w:val="00035060"/>
    <w:rsid w:val="00035124"/>
    <w:rsid w:val="00035275"/>
    <w:rsid w:val="0003535C"/>
    <w:rsid w:val="0003538E"/>
    <w:rsid w:val="0003544F"/>
    <w:rsid w:val="00035557"/>
    <w:rsid w:val="00035747"/>
    <w:rsid w:val="00035973"/>
    <w:rsid w:val="000359B5"/>
    <w:rsid w:val="00035A7A"/>
    <w:rsid w:val="00035ACB"/>
    <w:rsid w:val="00035B37"/>
    <w:rsid w:val="00035BE8"/>
    <w:rsid w:val="00035BF6"/>
    <w:rsid w:val="00035C15"/>
    <w:rsid w:val="00035C3D"/>
    <w:rsid w:val="00035C42"/>
    <w:rsid w:val="00035C7D"/>
    <w:rsid w:val="00035DC8"/>
    <w:rsid w:val="00035E12"/>
    <w:rsid w:val="00035E53"/>
    <w:rsid w:val="00036046"/>
    <w:rsid w:val="00036141"/>
    <w:rsid w:val="0003614B"/>
    <w:rsid w:val="00036179"/>
    <w:rsid w:val="000361C8"/>
    <w:rsid w:val="0003627F"/>
    <w:rsid w:val="000362B7"/>
    <w:rsid w:val="000362C7"/>
    <w:rsid w:val="000363D4"/>
    <w:rsid w:val="00036757"/>
    <w:rsid w:val="0003677E"/>
    <w:rsid w:val="000367FB"/>
    <w:rsid w:val="0003694D"/>
    <w:rsid w:val="00036AD8"/>
    <w:rsid w:val="00036CB4"/>
    <w:rsid w:val="00036D21"/>
    <w:rsid w:val="00036DA1"/>
    <w:rsid w:val="00036E1E"/>
    <w:rsid w:val="00036E54"/>
    <w:rsid w:val="00036EB5"/>
    <w:rsid w:val="00036ECF"/>
    <w:rsid w:val="00037037"/>
    <w:rsid w:val="000370E3"/>
    <w:rsid w:val="00037102"/>
    <w:rsid w:val="0003729C"/>
    <w:rsid w:val="000372DA"/>
    <w:rsid w:val="00037302"/>
    <w:rsid w:val="000373E4"/>
    <w:rsid w:val="000374BA"/>
    <w:rsid w:val="000375E5"/>
    <w:rsid w:val="00037823"/>
    <w:rsid w:val="000378AD"/>
    <w:rsid w:val="00037968"/>
    <w:rsid w:val="00037A02"/>
    <w:rsid w:val="00037A07"/>
    <w:rsid w:val="00037A0A"/>
    <w:rsid w:val="00037AA6"/>
    <w:rsid w:val="00037AAC"/>
    <w:rsid w:val="00037BE4"/>
    <w:rsid w:val="00037DCC"/>
    <w:rsid w:val="00037DFC"/>
    <w:rsid w:val="00037EE1"/>
    <w:rsid w:val="0004005D"/>
    <w:rsid w:val="00040189"/>
    <w:rsid w:val="00040393"/>
    <w:rsid w:val="00040577"/>
    <w:rsid w:val="000406D4"/>
    <w:rsid w:val="00040830"/>
    <w:rsid w:val="00040967"/>
    <w:rsid w:val="000409CD"/>
    <w:rsid w:val="000409EE"/>
    <w:rsid w:val="00040A64"/>
    <w:rsid w:val="00040ADF"/>
    <w:rsid w:val="00040F7D"/>
    <w:rsid w:val="00040FB4"/>
    <w:rsid w:val="00040FC4"/>
    <w:rsid w:val="00041006"/>
    <w:rsid w:val="00041091"/>
    <w:rsid w:val="00041115"/>
    <w:rsid w:val="000411A6"/>
    <w:rsid w:val="0004139F"/>
    <w:rsid w:val="000414A7"/>
    <w:rsid w:val="000415C3"/>
    <w:rsid w:val="000416BE"/>
    <w:rsid w:val="0004178C"/>
    <w:rsid w:val="0004188E"/>
    <w:rsid w:val="00041B0A"/>
    <w:rsid w:val="00041B3B"/>
    <w:rsid w:val="00041BCC"/>
    <w:rsid w:val="00041CDA"/>
    <w:rsid w:val="00041DFA"/>
    <w:rsid w:val="00041E66"/>
    <w:rsid w:val="00041F5D"/>
    <w:rsid w:val="00042166"/>
    <w:rsid w:val="00042203"/>
    <w:rsid w:val="00042271"/>
    <w:rsid w:val="0004237D"/>
    <w:rsid w:val="00042497"/>
    <w:rsid w:val="000424EF"/>
    <w:rsid w:val="00042550"/>
    <w:rsid w:val="000425F3"/>
    <w:rsid w:val="00042628"/>
    <w:rsid w:val="0004269E"/>
    <w:rsid w:val="0004287C"/>
    <w:rsid w:val="00042F19"/>
    <w:rsid w:val="00043190"/>
    <w:rsid w:val="000431D4"/>
    <w:rsid w:val="00043255"/>
    <w:rsid w:val="0004339A"/>
    <w:rsid w:val="0004352A"/>
    <w:rsid w:val="0004358F"/>
    <w:rsid w:val="000435D7"/>
    <w:rsid w:val="00043748"/>
    <w:rsid w:val="00043782"/>
    <w:rsid w:val="00043919"/>
    <w:rsid w:val="00043CAB"/>
    <w:rsid w:val="00043EAB"/>
    <w:rsid w:val="00043FB8"/>
    <w:rsid w:val="00044009"/>
    <w:rsid w:val="00044097"/>
    <w:rsid w:val="000440A2"/>
    <w:rsid w:val="00044107"/>
    <w:rsid w:val="00044117"/>
    <w:rsid w:val="00044128"/>
    <w:rsid w:val="00044367"/>
    <w:rsid w:val="000443A6"/>
    <w:rsid w:val="0004468D"/>
    <w:rsid w:val="000448D1"/>
    <w:rsid w:val="00044975"/>
    <w:rsid w:val="000449AF"/>
    <w:rsid w:val="000449D1"/>
    <w:rsid w:val="00044BC5"/>
    <w:rsid w:val="00044D1D"/>
    <w:rsid w:val="00044D2B"/>
    <w:rsid w:val="00044E05"/>
    <w:rsid w:val="00044E3F"/>
    <w:rsid w:val="00044E59"/>
    <w:rsid w:val="00044F4B"/>
    <w:rsid w:val="00044F88"/>
    <w:rsid w:val="00044FDC"/>
    <w:rsid w:val="00045010"/>
    <w:rsid w:val="000450B3"/>
    <w:rsid w:val="00045158"/>
    <w:rsid w:val="00045172"/>
    <w:rsid w:val="000451C6"/>
    <w:rsid w:val="000455E1"/>
    <w:rsid w:val="00045647"/>
    <w:rsid w:val="00045684"/>
    <w:rsid w:val="0004569A"/>
    <w:rsid w:val="000456B3"/>
    <w:rsid w:val="00045724"/>
    <w:rsid w:val="000458C5"/>
    <w:rsid w:val="00045905"/>
    <w:rsid w:val="000459E1"/>
    <w:rsid w:val="00045B63"/>
    <w:rsid w:val="00045B8D"/>
    <w:rsid w:val="00045BD2"/>
    <w:rsid w:val="00045C2C"/>
    <w:rsid w:val="00045CC5"/>
    <w:rsid w:val="00045D53"/>
    <w:rsid w:val="00045DFD"/>
    <w:rsid w:val="00045E00"/>
    <w:rsid w:val="00045EAC"/>
    <w:rsid w:val="00046028"/>
    <w:rsid w:val="0004611E"/>
    <w:rsid w:val="000461A2"/>
    <w:rsid w:val="000461E9"/>
    <w:rsid w:val="00046344"/>
    <w:rsid w:val="000463B1"/>
    <w:rsid w:val="00046514"/>
    <w:rsid w:val="0004663B"/>
    <w:rsid w:val="0004664F"/>
    <w:rsid w:val="00046709"/>
    <w:rsid w:val="0004678A"/>
    <w:rsid w:val="00046867"/>
    <w:rsid w:val="00046983"/>
    <w:rsid w:val="00046A02"/>
    <w:rsid w:val="00046AF0"/>
    <w:rsid w:val="00046B6A"/>
    <w:rsid w:val="00046C72"/>
    <w:rsid w:val="00046D17"/>
    <w:rsid w:val="00046E33"/>
    <w:rsid w:val="00047036"/>
    <w:rsid w:val="000470B8"/>
    <w:rsid w:val="000472D4"/>
    <w:rsid w:val="0004731E"/>
    <w:rsid w:val="00047327"/>
    <w:rsid w:val="00047432"/>
    <w:rsid w:val="00047514"/>
    <w:rsid w:val="000476E0"/>
    <w:rsid w:val="0004784E"/>
    <w:rsid w:val="00047959"/>
    <w:rsid w:val="00047C7D"/>
    <w:rsid w:val="00047CDF"/>
    <w:rsid w:val="00050029"/>
    <w:rsid w:val="00050066"/>
    <w:rsid w:val="00050082"/>
    <w:rsid w:val="000500A3"/>
    <w:rsid w:val="00050343"/>
    <w:rsid w:val="0005036E"/>
    <w:rsid w:val="00050375"/>
    <w:rsid w:val="000504CE"/>
    <w:rsid w:val="00050548"/>
    <w:rsid w:val="000506FB"/>
    <w:rsid w:val="00050709"/>
    <w:rsid w:val="00050718"/>
    <w:rsid w:val="0005071D"/>
    <w:rsid w:val="000507A6"/>
    <w:rsid w:val="000509B7"/>
    <w:rsid w:val="00050A19"/>
    <w:rsid w:val="00050B3C"/>
    <w:rsid w:val="00050B5C"/>
    <w:rsid w:val="00050BD7"/>
    <w:rsid w:val="00050F52"/>
    <w:rsid w:val="00051051"/>
    <w:rsid w:val="00051066"/>
    <w:rsid w:val="00051177"/>
    <w:rsid w:val="000511B2"/>
    <w:rsid w:val="000515B8"/>
    <w:rsid w:val="0005171B"/>
    <w:rsid w:val="000517BE"/>
    <w:rsid w:val="0005187C"/>
    <w:rsid w:val="000518B6"/>
    <w:rsid w:val="000518B7"/>
    <w:rsid w:val="00051935"/>
    <w:rsid w:val="00051972"/>
    <w:rsid w:val="000519E2"/>
    <w:rsid w:val="00051AA2"/>
    <w:rsid w:val="00051C66"/>
    <w:rsid w:val="00051D0A"/>
    <w:rsid w:val="00051D2A"/>
    <w:rsid w:val="00051DA8"/>
    <w:rsid w:val="00051FE3"/>
    <w:rsid w:val="0005208B"/>
    <w:rsid w:val="00052208"/>
    <w:rsid w:val="00052232"/>
    <w:rsid w:val="00052331"/>
    <w:rsid w:val="00052427"/>
    <w:rsid w:val="00052623"/>
    <w:rsid w:val="0005284F"/>
    <w:rsid w:val="00052A3E"/>
    <w:rsid w:val="00052A54"/>
    <w:rsid w:val="00052A7D"/>
    <w:rsid w:val="00052B4E"/>
    <w:rsid w:val="00052BAC"/>
    <w:rsid w:val="00052BFB"/>
    <w:rsid w:val="00052CB8"/>
    <w:rsid w:val="00052D49"/>
    <w:rsid w:val="00052DD3"/>
    <w:rsid w:val="00052E9D"/>
    <w:rsid w:val="00052FFF"/>
    <w:rsid w:val="0005302A"/>
    <w:rsid w:val="0005307C"/>
    <w:rsid w:val="000531D7"/>
    <w:rsid w:val="0005326D"/>
    <w:rsid w:val="000532BA"/>
    <w:rsid w:val="00053327"/>
    <w:rsid w:val="00053328"/>
    <w:rsid w:val="00053374"/>
    <w:rsid w:val="00053456"/>
    <w:rsid w:val="00053521"/>
    <w:rsid w:val="0005361F"/>
    <w:rsid w:val="00053686"/>
    <w:rsid w:val="00053747"/>
    <w:rsid w:val="00053776"/>
    <w:rsid w:val="00053810"/>
    <w:rsid w:val="00053900"/>
    <w:rsid w:val="00053969"/>
    <w:rsid w:val="00053ACF"/>
    <w:rsid w:val="00053BF9"/>
    <w:rsid w:val="00053EBF"/>
    <w:rsid w:val="00053F15"/>
    <w:rsid w:val="00053F57"/>
    <w:rsid w:val="00053F6C"/>
    <w:rsid w:val="00053F83"/>
    <w:rsid w:val="00053FB0"/>
    <w:rsid w:val="000542FC"/>
    <w:rsid w:val="00054364"/>
    <w:rsid w:val="000543E6"/>
    <w:rsid w:val="00054512"/>
    <w:rsid w:val="0005457D"/>
    <w:rsid w:val="000545A3"/>
    <w:rsid w:val="000545F1"/>
    <w:rsid w:val="00054625"/>
    <w:rsid w:val="000546EC"/>
    <w:rsid w:val="000546FC"/>
    <w:rsid w:val="00054710"/>
    <w:rsid w:val="0005473C"/>
    <w:rsid w:val="00054970"/>
    <w:rsid w:val="00054A7E"/>
    <w:rsid w:val="00054C3B"/>
    <w:rsid w:val="00054D53"/>
    <w:rsid w:val="00054E53"/>
    <w:rsid w:val="00054E9B"/>
    <w:rsid w:val="00054F1D"/>
    <w:rsid w:val="00054F58"/>
    <w:rsid w:val="00055090"/>
    <w:rsid w:val="000550C6"/>
    <w:rsid w:val="00055263"/>
    <w:rsid w:val="0005535B"/>
    <w:rsid w:val="0005541C"/>
    <w:rsid w:val="00055561"/>
    <w:rsid w:val="00055868"/>
    <w:rsid w:val="00055896"/>
    <w:rsid w:val="000558D0"/>
    <w:rsid w:val="00055904"/>
    <w:rsid w:val="00055A75"/>
    <w:rsid w:val="00055B1C"/>
    <w:rsid w:val="00055B9E"/>
    <w:rsid w:val="00055BF7"/>
    <w:rsid w:val="00055C3E"/>
    <w:rsid w:val="00055CEE"/>
    <w:rsid w:val="00055D58"/>
    <w:rsid w:val="00055DFD"/>
    <w:rsid w:val="00055E76"/>
    <w:rsid w:val="00055EFC"/>
    <w:rsid w:val="000560A8"/>
    <w:rsid w:val="000560CC"/>
    <w:rsid w:val="000560EB"/>
    <w:rsid w:val="00056219"/>
    <w:rsid w:val="000562B0"/>
    <w:rsid w:val="000562F6"/>
    <w:rsid w:val="00056381"/>
    <w:rsid w:val="000564CE"/>
    <w:rsid w:val="0005655F"/>
    <w:rsid w:val="0005657F"/>
    <w:rsid w:val="000565D1"/>
    <w:rsid w:val="000565E2"/>
    <w:rsid w:val="000568BE"/>
    <w:rsid w:val="000568F2"/>
    <w:rsid w:val="0005691F"/>
    <w:rsid w:val="00056A7D"/>
    <w:rsid w:val="00056C4A"/>
    <w:rsid w:val="00056C93"/>
    <w:rsid w:val="00056E85"/>
    <w:rsid w:val="00056FA2"/>
    <w:rsid w:val="00056FDB"/>
    <w:rsid w:val="0005703E"/>
    <w:rsid w:val="000570C8"/>
    <w:rsid w:val="00057116"/>
    <w:rsid w:val="00057334"/>
    <w:rsid w:val="00057368"/>
    <w:rsid w:val="0005754B"/>
    <w:rsid w:val="0005756A"/>
    <w:rsid w:val="000575A7"/>
    <w:rsid w:val="000575E2"/>
    <w:rsid w:val="0005775D"/>
    <w:rsid w:val="000577C4"/>
    <w:rsid w:val="00057A6F"/>
    <w:rsid w:val="00057C36"/>
    <w:rsid w:val="00057CB3"/>
    <w:rsid w:val="00057CDA"/>
    <w:rsid w:val="00057CE6"/>
    <w:rsid w:val="00060144"/>
    <w:rsid w:val="0006015B"/>
    <w:rsid w:val="00060163"/>
    <w:rsid w:val="0006023F"/>
    <w:rsid w:val="000604B3"/>
    <w:rsid w:val="000607CF"/>
    <w:rsid w:val="00060875"/>
    <w:rsid w:val="000609AC"/>
    <w:rsid w:val="00060A4F"/>
    <w:rsid w:val="00060D92"/>
    <w:rsid w:val="00060DB3"/>
    <w:rsid w:val="00061017"/>
    <w:rsid w:val="00061031"/>
    <w:rsid w:val="000610C4"/>
    <w:rsid w:val="00061173"/>
    <w:rsid w:val="000611EC"/>
    <w:rsid w:val="000612D7"/>
    <w:rsid w:val="00061366"/>
    <w:rsid w:val="0006139F"/>
    <w:rsid w:val="00061444"/>
    <w:rsid w:val="0006153E"/>
    <w:rsid w:val="000615DD"/>
    <w:rsid w:val="00061619"/>
    <w:rsid w:val="000618E4"/>
    <w:rsid w:val="0006194C"/>
    <w:rsid w:val="00061D2B"/>
    <w:rsid w:val="00061DF5"/>
    <w:rsid w:val="00061ED6"/>
    <w:rsid w:val="00061F5D"/>
    <w:rsid w:val="0006219E"/>
    <w:rsid w:val="000623B3"/>
    <w:rsid w:val="000623D2"/>
    <w:rsid w:val="00062403"/>
    <w:rsid w:val="00062427"/>
    <w:rsid w:val="00062455"/>
    <w:rsid w:val="000625E8"/>
    <w:rsid w:val="00062638"/>
    <w:rsid w:val="000626DF"/>
    <w:rsid w:val="00062702"/>
    <w:rsid w:val="0006279B"/>
    <w:rsid w:val="000627C5"/>
    <w:rsid w:val="000628D6"/>
    <w:rsid w:val="000628E7"/>
    <w:rsid w:val="00062908"/>
    <w:rsid w:val="0006293C"/>
    <w:rsid w:val="00062B26"/>
    <w:rsid w:val="00062B73"/>
    <w:rsid w:val="00062B87"/>
    <w:rsid w:val="00062C70"/>
    <w:rsid w:val="00062D00"/>
    <w:rsid w:val="00062F74"/>
    <w:rsid w:val="00063220"/>
    <w:rsid w:val="00063291"/>
    <w:rsid w:val="000632ED"/>
    <w:rsid w:val="0006339C"/>
    <w:rsid w:val="000635AC"/>
    <w:rsid w:val="000635D7"/>
    <w:rsid w:val="000636A1"/>
    <w:rsid w:val="000636B5"/>
    <w:rsid w:val="0006373E"/>
    <w:rsid w:val="00063B9B"/>
    <w:rsid w:val="00063E18"/>
    <w:rsid w:val="00063E8E"/>
    <w:rsid w:val="00063F68"/>
    <w:rsid w:val="0006407D"/>
    <w:rsid w:val="000640AA"/>
    <w:rsid w:val="000640AC"/>
    <w:rsid w:val="000641D1"/>
    <w:rsid w:val="000641EF"/>
    <w:rsid w:val="000641FE"/>
    <w:rsid w:val="00064335"/>
    <w:rsid w:val="0006445A"/>
    <w:rsid w:val="0006467D"/>
    <w:rsid w:val="00064783"/>
    <w:rsid w:val="000647C2"/>
    <w:rsid w:val="00064803"/>
    <w:rsid w:val="000649C2"/>
    <w:rsid w:val="00064A8B"/>
    <w:rsid w:val="00064B1B"/>
    <w:rsid w:val="00064BE6"/>
    <w:rsid w:val="00064DF4"/>
    <w:rsid w:val="00064DFA"/>
    <w:rsid w:val="00064FAF"/>
    <w:rsid w:val="00065081"/>
    <w:rsid w:val="000651DB"/>
    <w:rsid w:val="00065234"/>
    <w:rsid w:val="00065351"/>
    <w:rsid w:val="0006548D"/>
    <w:rsid w:val="000654E5"/>
    <w:rsid w:val="0006570C"/>
    <w:rsid w:val="0006583A"/>
    <w:rsid w:val="0006585C"/>
    <w:rsid w:val="00065A19"/>
    <w:rsid w:val="00065A76"/>
    <w:rsid w:val="00065A87"/>
    <w:rsid w:val="00065AB5"/>
    <w:rsid w:val="00065AFA"/>
    <w:rsid w:val="00065B39"/>
    <w:rsid w:val="00065B7F"/>
    <w:rsid w:val="00065D84"/>
    <w:rsid w:val="00065DBD"/>
    <w:rsid w:val="00065E2D"/>
    <w:rsid w:val="00065E45"/>
    <w:rsid w:val="00065F42"/>
    <w:rsid w:val="00065F8C"/>
    <w:rsid w:val="000661EF"/>
    <w:rsid w:val="000661FC"/>
    <w:rsid w:val="00066388"/>
    <w:rsid w:val="00066467"/>
    <w:rsid w:val="0006665E"/>
    <w:rsid w:val="000667AD"/>
    <w:rsid w:val="00066855"/>
    <w:rsid w:val="0006697A"/>
    <w:rsid w:val="00066A65"/>
    <w:rsid w:val="00066A88"/>
    <w:rsid w:val="00066AF9"/>
    <w:rsid w:val="00066B8F"/>
    <w:rsid w:val="00066BE4"/>
    <w:rsid w:val="00066CB3"/>
    <w:rsid w:val="00066D43"/>
    <w:rsid w:val="00067199"/>
    <w:rsid w:val="00067460"/>
    <w:rsid w:val="00067466"/>
    <w:rsid w:val="000674B0"/>
    <w:rsid w:val="0006753A"/>
    <w:rsid w:val="0006755C"/>
    <w:rsid w:val="0006761D"/>
    <w:rsid w:val="000676C0"/>
    <w:rsid w:val="0006771B"/>
    <w:rsid w:val="00067813"/>
    <w:rsid w:val="00067880"/>
    <w:rsid w:val="0006796C"/>
    <w:rsid w:val="00067ABE"/>
    <w:rsid w:val="00067B01"/>
    <w:rsid w:val="00067C0D"/>
    <w:rsid w:val="00067C73"/>
    <w:rsid w:val="00067D65"/>
    <w:rsid w:val="00067D8D"/>
    <w:rsid w:val="00067D9C"/>
    <w:rsid w:val="00067EED"/>
    <w:rsid w:val="00070122"/>
    <w:rsid w:val="000701EA"/>
    <w:rsid w:val="0007021F"/>
    <w:rsid w:val="00070228"/>
    <w:rsid w:val="0007042F"/>
    <w:rsid w:val="00070502"/>
    <w:rsid w:val="00070510"/>
    <w:rsid w:val="0007061F"/>
    <w:rsid w:val="0007062D"/>
    <w:rsid w:val="00070915"/>
    <w:rsid w:val="000709A0"/>
    <w:rsid w:val="000709C3"/>
    <w:rsid w:val="00070A9D"/>
    <w:rsid w:val="00070B62"/>
    <w:rsid w:val="00070C41"/>
    <w:rsid w:val="00070E45"/>
    <w:rsid w:val="00070E4A"/>
    <w:rsid w:val="00070E66"/>
    <w:rsid w:val="00070FBB"/>
    <w:rsid w:val="00070FD7"/>
    <w:rsid w:val="00070FF0"/>
    <w:rsid w:val="00071148"/>
    <w:rsid w:val="00071188"/>
    <w:rsid w:val="00071216"/>
    <w:rsid w:val="000713EB"/>
    <w:rsid w:val="0007150F"/>
    <w:rsid w:val="00071560"/>
    <w:rsid w:val="00071750"/>
    <w:rsid w:val="000718F3"/>
    <w:rsid w:val="000719FB"/>
    <w:rsid w:val="00071A4D"/>
    <w:rsid w:val="00071AD6"/>
    <w:rsid w:val="00071B72"/>
    <w:rsid w:val="00071C00"/>
    <w:rsid w:val="00071DF0"/>
    <w:rsid w:val="0007210D"/>
    <w:rsid w:val="00072239"/>
    <w:rsid w:val="000723FE"/>
    <w:rsid w:val="0007243F"/>
    <w:rsid w:val="000724CC"/>
    <w:rsid w:val="000724FD"/>
    <w:rsid w:val="0007285A"/>
    <w:rsid w:val="00072911"/>
    <w:rsid w:val="00072A77"/>
    <w:rsid w:val="00072ACE"/>
    <w:rsid w:val="00072CF7"/>
    <w:rsid w:val="00072E6A"/>
    <w:rsid w:val="00073079"/>
    <w:rsid w:val="00073080"/>
    <w:rsid w:val="00073148"/>
    <w:rsid w:val="00073286"/>
    <w:rsid w:val="00073373"/>
    <w:rsid w:val="000733D7"/>
    <w:rsid w:val="0007342B"/>
    <w:rsid w:val="0007349A"/>
    <w:rsid w:val="000734BA"/>
    <w:rsid w:val="000734E1"/>
    <w:rsid w:val="00073551"/>
    <w:rsid w:val="000735EA"/>
    <w:rsid w:val="00073610"/>
    <w:rsid w:val="00073671"/>
    <w:rsid w:val="00073A53"/>
    <w:rsid w:val="00073AB0"/>
    <w:rsid w:val="00073D7D"/>
    <w:rsid w:val="00073DB1"/>
    <w:rsid w:val="00073E38"/>
    <w:rsid w:val="00073EDC"/>
    <w:rsid w:val="00074103"/>
    <w:rsid w:val="00074199"/>
    <w:rsid w:val="000741E7"/>
    <w:rsid w:val="00074234"/>
    <w:rsid w:val="00074246"/>
    <w:rsid w:val="0007427E"/>
    <w:rsid w:val="0007430E"/>
    <w:rsid w:val="00074329"/>
    <w:rsid w:val="000744BE"/>
    <w:rsid w:val="000744D4"/>
    <w:rsid w:val="00074590"/>
    <w:rsid w:val="0007466F"/>
    <w:rsid w:val="0007486C"/>
    <w:rsid w:val="00074892"/>
    <w:rsid w:val="000749E4"/>
    <w:rsid w:val="00074AD4"/>
    <w:rsid w:val="00074C12"/>
    <w:rsid w:val="00074CF2"/>
    <w:rsid w:val="00074EF3"/>
    <w:rsid w:val="00074F11"/>
    <w:rsid w:val="00075137"/>
    <w:rsid w:val="0007528B"/>
    <w:rsid w:val="000753DB"/>
    <w:rsid w:val="00075486"/>
    <w:rsid w:val="000754F8"/>
    <w:rsid w:val="0007553D"/>
    <w:rsid w:val="00075630"/>
    <w:rsid w:val="00075745"/>
    <w:rsid w:val="00075769"/>
    <w:rsid w:val="000758F2"/>
    <w:rsid w:val="00075937"/>
    <w:rsid w:val="00075A61"/>
    <w:rsid w:val="00075B5F"/>
    <w:rsid w:val="00075E55"/>
    <w:rsid w:val="00075EA3"/>
    <w:rsid w:val="00075FB3"/>
    <w:rsid w:val="0007608E"/>
    <w:rsid w:val="00076137"/>
    <w:rsid w:val="000763BA"/>
    <w:rsid w:val="000763BF"/>
    <w:rsid w:val="000763C4"/>
    <w:rsid w:val="00076592"/>
    <w:rsid w:val="00076671"/>
    <w:rsid w:val="000766E7"/>
    <w:rsid w:val="0007672F"/>
    <w:rsid w:val="00076977"/>
    <w:rsid w:val="00076D0D"/>
    <w:rsid w:val="00076D2D"/>
    <w:rsid w:val="00076D67"/>
    <w:rsid w:val="00076E94"/>
    <w:rsid w:val="00076E95"/>
    <w:rsid w:val="0007710C"/>
    <w:rsid w:val="00077168"/>
    <w:rsid w:val="00077367"/>
    <w:rsid w:val="00077387"/>
    <w:rsid w:val="000773BB"/>
    <w:rsid w:val="000773EA"/>
    <w:rsid w:val="00077576"/>
    <w:rsid w:val="00077585"/>
    <w:rsid w:val="00077600"/>
    <w:rsid w:val="000777DF"/>
    <w:rsid w:val="000778E6"/>
    <w:rsid w:val="0007791A"/>
    <w:rsid w:val="0007791E"/>
    <w:rsid w:val="000779E9"/>
    <w:rsid w:val="00077A5A"/>
    <w:rsid w:val="00077B44"/>
    <w:rsid w:val="00077D08"/>
    <w:rsid w:val="00077DDF"/>
    <w:rsid w:val="00077EBB"/>
    <w:rsid w:val="00077F32"/>
    <w:rsid w:val="00077F5E"/>
    <w:rsid w:val="00080241"/>
    <w:rsid w:val="00080385"/>
    <w:rsid w:val="00080451"/>
    <w:rsid w:val="00080460"/>
    <w:rsid w:val="0008046B"/>
    <w:rsid w:val="00080568"/>
    <w:rsid w:val="000806F8"/>
    <w:rsid w:val="0008086E"/>
    <w:rsid w:val="00080912"/>
    <w:rsid w:val="000809D4"/>
    <w:rsid w:val="00080A63"/>
    <w:rsid w:val="00080A6D"/>
    <w:rsid w:val="00080BC5"/>
    <w:rsid w:val="00080BFD"/>
    <w:rsid w:val="00080CB0"/>
    <w:rsid w:val="00080DFA"/>
    <w:rsid w:val="00080EEA"/>
    <w:rsid w:val="00080FF6"/>
    <w:rsid w:val="00081068"/>
    <w:rsid w:val="00081088"/>
    <w:rsid w:val="000810B8"/>
    <w:rsid w:val="000812C2"/>
    <w:rsid w:val="0008151F"/>
    <w:rsid w:val="00081527"/>
    <w:rsid w:val="00081611"/>
    <w:rsid w:val="00081778"/>
    <w:rsid w:val="000818C0"/>
    <w:rsid w:val="00081909"/>
    <w:rsid w:val="000819AE"/>
    <w:rsid w:val="00081A04"/>
    <w:rsid w:val="00081C98"/>
    <w:rsid w:val="00081DEB"/>
    <w:rsid w:val="00081E50"/>
    <w:rsid w:val="00081E58"/>
    <w:rsid w:val="00081EAF"/>
    <w:rsid w:val="00081F20"/>
    <w:rsid w:val="00081F80"/>
    <w:rsid w:val="0008202D"/>
    <w:rsid w:val="000820D8"/>
    <w:rsid w:val="000821FF"/>
    <w:rsid w:val="00082279"/>
    <w:rsid w:val="000822B6"/>
    <w:rsid w:val="00082486"/>
    <w:rsid w:val="000824A3"/>
    <w:rsid w:val="000824AF"/>
    <w:rsid w:val="000824FE"/>
    <w:rsid w:val="00082517"/>
    <w:rsid w:val="000825A1"/>
    <w:rsid w:val="000825DB"/>
    <w:rsid w:val="00082B6F"/>
    <w:rsid w:val="00082C97"/>
    <w:rsid w:val="00082D50"/>
    <w:rsid w:val="00082E71"/>
    <w:rsid w:val="00082FB5"/>
    <w:rsid w:val="000830F8"/>
    <w:rsid w:val="00083221"/>
    <w:rsid w:val="00083234"/>
    <w:rsid w:val="000833A1"/>
    <w:rsid w:val="0008358C"/>
    <w:rsid w:val="00083615"/>
    <w:rsid w:val="0008371A"/>
    <w:rsid w:val="0008372C"/>
    <w:rsid w:val="00083BF2"/>
    <w:rsid w:val="00083D40"/>
    <w:rsid w:val="00083DB5"/>
    <w:rsid w:val="00083E3C"/>
    <w:rsid w:val="00083EE7"/>
    <w:rsid w:val="00083F84"/>
    <w:rsid w:val="00084008"/>
    <w:rsid w:val="00084196"/>
    <w:rsid w:val="000841A1"/>
    <w:rsid w:val="0008428D"/>
    <w:rsid w:val="000843F8"/>
    <w:rsid w:val="00084539"/>
    <w:rsid w:val="00084592"/>
    <w:rsid w:val="000846DC"/>
    <w:rsid w:val="000846DD"/>
    <w:rsid w:val="000846F0"/>
    <w:rsid w:val="00084714"/>
    <w:rsid w:val="00084875"/>
    <w:rsid w:val="000848E2"/>
    <w:rsid w:val="00084943"/>
    <w:rsid w:val="00084A2A"/>
    <w:rsid w:val="00084DB2"/>
    <w:rsid w:val="00084E9A"/>
    <w:rsid w:val="00084FA4"/>
    <w:rsid w:val="00085084"/>
    <w:rsid w:val="000851D6"/>
    <w:rsid w:val="000852DE"/>
    <w:rsid w:val="00085351"/>
    <w:rsid w:val="0008548D"/>
    <w:rsid w:val="000855A8"/>
    <w:rsid w:val="000855CB"/>
    <w:rsid w:val="000855EC"/>
    <w:rsid w:val="00085695"/>
    <w:rsid w:val="000856EE"/>
    <w:rsid w:val="00085728"/>
    <w:rsid w:val="0008581C"/>
    <w:rsid w:val="000858D3"/>
    <w:rsid w:val="000859BA"/>
    <w:rsid w:val="00085A05"/>
    <w:rsid w:val="00085A62"/>
    <w:rsid w:val="00085AAE"/>
    <w:rsid w:val="00085ADB"/>
    <w:rsid w:val="00085C4E"/>
    <w:rsid w:val="00085D57"/>
    <w:rsid w:val="00085DC2"/>
    <w:rsid w:val="00085EF4"/>
    <w:rsid w:val="00085F19"/>
    <w:rsid w:val="00085F27"/>
    <w:rsid w:val="00085F6B"/>
    <w:rsid w:val="00086072"/>
    <w:rsid w:val="000860DA"/>
    <w:rsid w:val="00086130"/>
    <w:rsid w:val="00086187"/>
    <w:rsid w:val="000861D9"/>
    <w:rsid w:val="00086350"/>
    <w:rsid w:val="00086383"/>
    <w:rsid w:val="000863D8"/>
    <w:rsid w:val="00086462"/>
    <w:rsid w:val="0008655D"/>
    <w:rsid w:val="000865B5"/>
    <w:rsid w:val="000865F0"/>
    <w:rsid w:val="000865FF"/>
    <w:rsid w:val="00086648"/>
    <w:rsid w:val="0008681D"/>
    <w:rsid w:val="0008688B"/>
    <w:rsid w:val="0008693E"/>
    <w:rsid w:val="0008696A"/>
    <w:rsid w:val="000869F5"/>
    <w:rsid w:val="00086C05"/>
    <w:rsid w:val="00086E7C"/>
    <w:rsid w:val="00086ECD"/>
    <w:rsid w:val="00086FFC"/>
    <w:rsid w:val="000870B6"/>
    <w:rsid w:val="000870FA"/>
    <w:rsid w:val="0008718B"/>
    <w:rsid w:val="000871DE"/>
    <w:rsid w:val="00087350"/>
    <w:rsid w:val="00087441"/>
    <w:rsid w:val="0008754A"/>
    <w:rsid w:val="000875B2"/>
    <w:rsid w:val="00087600"/>
    <w:rsid w:val="000877AC"/>
    <w:rsid w:val="00087903"/>
    <w:rsid w:val="00087930"/>
    <w:rsid w:val="0008794D"/>
    <w:rsid w:val="00087A54"/>
    <w:rsid w:val="00087D4F"/>
    <w:rsid w:val="00087D54"/>
    <w:rsid w:val="00087D7B"/>
    <w:rsid w:val="00087F8E"/>
    <w:rsid w:val="00087FD4"/>
    <w:rsid w:val="0009006A"/>
    <w:rsid w:val="00090232"/>
    <w:rsid w:val="000902D5"/>
    <w:rsid w:val="000903CA"/>
    <w:rsid w:val="00090556"/>
    <w:rsid w:val="00090613"/>
    <w:rsid w:val="0009096E"/>
    <w:rsid w:val="00090985"/>
    <w:rsid w:val="00090A88"/>
    <w:rsid w:val="00090AE0"/>
    <w:rsid w:val="00090BD1"/>
    <w:rsid w:val="00090C22"/>
    <w:rsid w:val="00090E7F"/>
    <w:rsid w:val="00090F6C"/>
    <w:rsid w:val="00091219"/>
    <w:rsid w:val="000912C1"/>
    <w:rsid w:val="00091457"/>
    <w:rsid w:val="000914D4"/>
    <w:rsid w:val="000914D9"/>
    <w:rsid w:val="000916F2"/>
    <w:rsid w:val="00091741"/>
    <w:rsid w:val="0009176C"/>
    <w:rsid w:val="00091784"/>
    <w:rsid w:val="00091857"/>
    <w:rsid w:val="0009187E"/>
    <w:rsid w:val="00091885"/>
    <w:rsid w:val="00091917"/>
    <w:rsid w:val="00091989"/>
    <w:rsid w:val="00091C18"/>
    <w:rsid w:val="00091C59"/>
    <w:rsid w:val="00091D37"/>
    <w:rsid w:val="00091DAB"/>
    <w:rsid w:val="00091E8D"/>
    <w:rsid w:val="00091F06"/>
    <w:rsid w:val="00091F6A"/>
    <w:rsid w:val="00091F75"/>
    <w:rsid w:val="000922C3"/>
    <w:rsid w:val="000923B7"/>
    <w:rsid w:val="000923BB"/>
    <w:rsid w:val="000924A0"/>
    <w:rsid w:val="0009250A"/>
    <w:rsid w:val="0009263D"/>
    <w:rsid w:val="000926B0"/>
    <w:rsid w:val="000926D8"/>
    <w:rsid w:val="00092A21"/>
    <w:rsid w:val="00092BED"/>
    <w:rsid w:val="00092C12"/>
    <w:rsid w:val="00092C1F"/>
    <w:rsid w:val="00092D9F"/>
    <w:rsid w:val="00092E79"/>
    <w:rsid w:val="00092F0B"/>
    <w:rsid w:val="00092F1F"/>
    <w:rsid w:val="00092FB3"/>
    <w:rsid w:val="0009327D"/>
    <w:rsid w:val="000934E4"/>
    <w:rsid w:val="00093777"/>
    <w:rsid w:val="00093839"/>
    <w:rsid w:val="0009387D"/>
    <w:rsid w:val="0009388A"/>
    <w:rsid w:val="00093948"/>
    <w:rsid w:val="00093A3E"/>
    <w:rsid w:val="00093AC2"/>
    <w:rsid w:val="00093B22"/>
    <w:rsid w:val="00093BBF"/>
    <w:rsid w:val="00093C2F"/>
    <w:rsid w:val="00093D9A"/>
    <w:rsid w:val="00093E4D"/>
    <w:rsid w:val="00093E66"/>
    <w:rsid w:val="0009403C"/>
    <w:rsid w:val="0009412F"/>
    <w:rsid w:val="000941BB"/>
    <w:rsid w:val="000942B7"/>
    <w:rsid w:val="000942D4"/>
    <w:rsid w:val="00094386"/>
    <w:rsid w:val="00094482"/>
    <w:rsid w:val="000944A0"/>
    <w:rsid w:val="0009454B"/>
    <w:rsid w:val="00094656"/>
    <w:rsid w:val="0009467F"/>
    <w:rsid w:val="000947A4"/>
    <w:rsid w:val="000947CA"/>
    <w:rsid w:val="00094919"/>
    <w:rsid w:val="00094A38"/>
    <w:rsid w:val="00094AE8"/>
    <w:rsid w:val="00094C2A"/>
    <w:rsid w:val="00094DF0"/>
    <w:rsid w:val="00094E2B"/>
    <w:rsid w:val="00094E48"/>
    <w:rsid w:val="00094E6D"/>
    <w:rsid w:val="00094EFA"/>
    <w:rsid w:val="00094F26"/>
    <w:rsid w:val="00094F3A"/>
    <w:rsid w:val="00094FC9"/>
    <w:rsid w:val="00095039"/>
    <w:rsid w:val="00095063"/>
    <w:rsid w:val="000950ED"/>
    <w:rsid w:val="00095271"/>
    <w:rsid w:val="00095276"/>
    <w:rsid w:val="00095402"/>
    <w:rsid w:val="000954A3"/>
    <w:rsid w:val="000954C5"/>
    <w:rsid w:val="000954F7"/>
    <w:rsid w:val="000955E9"/>
    <w:rsid w:val="00095627"/>
    <w:rsid w:val="0009565D"/>
    <w:rsid w:val="00095A80"/>
    <w:rsid w:val="00095B80"/>
    <w:rsid w:val="00095B91"/>
    <w:rsid w:val="00095BF3"/>
    <w:rsid w:val="00095C0F"/>
    <w:rsid w:val="00095C8A"/>
    <w:rsid w:val="00095CCE"/>
    <w:rsid w:val="00095DA9"/>
    <w:rsid w:val="00095E39"/>
    <w:rsid w:val="00095EC0"/>
    <w:rsid w:val="00095FDC"/>
    <w:rsid w:val="00095FEA"/>
    <w:rsid w:val="00096103"/>
    <w:rsid w:val="000961AB"/>
    <w:rsid w:val="0009626B"/>
    <w:rsid w:val="00096390"/>
    <w:rsid w:val="00096621"/>
    <w:rsid w:val="00096671"/>
    <w:rsid w:val="000967D2"/>
    <w:rsid w:val="000968A0"/>
    <w:rsid w:val="0009692F"/>
    <w:rsid w:val="00096B2A"/>
    <w:rsid w:val="00096B52"/>
    <w:rsid w:val="00096BB2"/>
    <w:rsid w:val="00096BB6"/>
    <w:rsid w:val="00096C9C"/>
    <w:rsid w:val="00096CD8"/>
    <w:rsid w:val="00096D5F"/>
    <w:rsid w:val="00096EA0"/>
    <w:rsid w:val="00096FBC"/>
    <w:rsid w:val="000971D5"/>
    <w:rsid w:val="000971E2"/>
    <w:rsid w:val="000972D1"/>
    <w:rsid w:val="000973CD"/>
    <w:rsid w:val="00097471"/>
    <w:rsid w:val="00097564"/>
    <w:rsid w:val="00097693"/>
    <w:rsid w:val="00097724"/>
    <w:rsid w:val="000978D9"/>
    <w:rsid w:val="000978FD"/>
    <w:rsid w:val="00097974"/>
    <w:rsid w:val="000979DB"/>
    <w:rsid w:val="00097AE1"/>
    <w:rsid w:val="00097C2A"/>
    <w:rsid w:val="00097E01"/>
    <w:rsid w:val="00097E62"/>
    <w:rsid w:val="00097F21"/>
    <w:rsid w:val="00097FCD"/>
    <w:rsid w:val="00097FD1"/>
    <w:rsid w:val="000A008A"/>
    <w:rsid w:val="000A00E5"/>
    <w:rsid w:val="000A0402"/>
    <w:rsid w:val="000A047E"/>
    <w:rsid w:val="000A0541"/>
    <w:rsid w:val="000A0606"/>
    <w:rsid w:val="000A06A8"/>
    <w:rsid w:val="000A0745"/>
    <w:rsid w:val="000A07CC"/>
    <w:rsid w:val="000A07D7"/>
    <w:rsid w:val="000A0829"/>
    <w:rsid w:val="000A09A3"/>
    <w:rsid w:val="000A09AC"/>
    <w:rsid w:val="000A09B4"/>
    <w:rsid w:val="000A0A8B"/>
    <w:rsid w:val="000A0B98"/>
    <w:rsid w:val="000A0C4E"/>
    <w:rsid w:val="000A0C65"/>
    <w:rsid w:val="000A0D39"/>
    <w:rsid w:val="000A0EE9"/>
    <w:rsid w:val="000A0F99"/>
    <w:rsid w:val="000A10BF"/>
    <w:rsid w:val="000A1177"/>
    <w:rsid w:val="000A11A8"/>
    <w:rsid w:val="000A138D"/>
    <w:rsid w:val="000A15E8"/>
    <w:rsid w:val="000A161D"/>
    <w:rsid w:val="000A184B"/>
    <w:rsid w:val="000A1A76"/>
    <w:rsid w:val="000A1B03"/>
    <w:rsid w:val="000A1B41"/>
    <w:rsid w:val="000A1BDD"/>
    <w:rsid w:val="000A1BF6"/>
    <w:rsid w:val="000A1C62"/>
    <w:rsid w:val="000A1EAD"/>
    <w:rsid w:val="000A1EC8"/>
    <w:rsid w:val="000A20EF"/>
    <w:rsid w:val="000A2160"/>
    <w:rsid w:val="000A226A"/>
    <w:rsid w:val="000A2448"/>
    <w:rsid w:val="000A2449"/>
    <w:rsid w:val="000A2492"/>
    <w:rsid w:val="000A25A6"/>
    <w:rsid w:val="000A2649"/>
    <w:rsid w:val="000A26DB"/>
    <w:rsid w:val="000A27CF"/>
    <w:rsid w:val="000A2830"/>
    <w:rsid w:val="000A295C"/>
    <w:rsid w:val="000A2A1A"/>
    <w:rsid w:val="000A2ACD"/>
    <w:rsid w:val="000A2B65"/>
    <w:rsid w:val="000A2B8B"/>
    <w:rsid w:val="000A2BB0"/>
    <w:rsid w:val="000A2BC1"/>
    <w:rsid w:val="000A2C3F"/>
    <w:rsid w:val="000A2C87"/>
    <w:rsid w:val="000A2D2A"/>
    <w:rsid w:val="000A2DA8"/>
    <w:rsid w:val="000A3040"/>
    <w:rsid w:val="000A31A8"/>
    <w:rsid w:val="000A31E3"/>
    <w:rsid w:val="000A34F7"/>
    <w:rsid w:val="000A3552"/>
    <w:rsid w:val="000A3698"/>
    <w:rsid w:val="000A36D2"/>
    <w:rsid w:val="000A3837"/>
    <w:rsid w:val="000A388C"/>
    <w:rsid w:val="000A3A86"/>
    <w:rsid w:val="000A3A97"/>
    <w:rsid w:val="000A3BCF"/>
    <w:rsid w:val="000A3D48"/>
    <w:rsid w:val="000A3D8F"/>
    <w:rsid w:val="000A3E08"/>
    <w:rsid w:val="000A402F"/>
    <w:rsid w:val="000A4178"/>
    <w:rsid w:val="000A4435"/>
    <w:rsid w:val="000A4442"/>
    <w:rsid w:val="000A445A"/>
    <w:rsid w:val="000A44DE"/>
    <w:rsid w:val="000A4609"/>
    <w:rsid w:val="000A46D8"/>
    <w:rsid w:val="000A46DC"/>
    <w:rsid w:val="000A4829"/>
    <w:rsid w:val="000A4838"/>
    <w:rsid w:val="000A4B1E"/>
    <w:rsid w:val="000A4B64"/>
    <w:rsid w:val="000A4B94"/>
    <w:rsid w:val="000A4C11"/>
    <w:rsid w:val="000A4C15"/>
    <w:rsid w:val="000A4C9B"/>
    <w:rsid w:val="000A4DA0"/>
    <w:rsid w:val="000A4DDC"/>
    <w:rsid w:val="000A4EAF"/>
    <w:rsid w:val="000A4EDB"/>
    <w:rsid w:val="000A4FC9"/>
    <w:rsid w:val="000A4FE1"/>
    <w:rsid w:val="000A508F"/>
    <w:rsid w:val="000A50EA"/>
    <w:rsid w:val="000A514B"/>
    <w:rsid w:val="000A5243"/>
    <w:rsid w:val="000A524B"/>
    <w:rsid w:val="000A532C"/>
    <w:rsid w:val="000A5373"/>
    <w:rsid w:val="000A5459"/>
    <w:rsid w:val="000A553C"/>
    <w:rsid w:val="000A56C1"/>
    <w:rsid w:val="000A588D"/>
    <w:rsid w:val="000A58B7"/>
    <w:rsid w:val="000A58DC"/>
    <w:rsid w:val="000A592D"/>
    <w:rsid w:val="000A5B5D"/>
    <w:rsid w:val="000A5C47"/>
    <w:rsid w:val="000A5DF0"/>
    <w:rsid w:val="000A5EBD"/>
    <w:rsid w:val="000A5F36"/>
    <w:rsid w:val="000A5F7A"/>
    <w:rsid w:val="000A5FD1"/>
    <w:rsid w:val="000A6086"/>
    <w:rsid w:val="000A6186"/>
    <w:rsid w:val="000A629E"/>
    <w:rsid w:val="000A638A"/>
    <w:rsid w:val="000A639B"/>
    <w:rsid w:val="000A63B6"/>
    <w:rsid w:val="000A63BF"/>
    <w:rsid w:val="000A63E2"/>
    <w:rsid w:val="000A646D"/>
    <w:rsid w:val="000A64D8"/>
    <w:rsid w:val="000A6752"/>
    <w:rsid w:val="000A6777"/>
    <w:rsid w:val="000A678C"/>
    <w:rsid w:val="000A67A5"/>
    <w:rsid w:val="000A67AF"/>
    <w:rsid w:val="000A68D8"/>
    <w:rsid w:val="000A69D4"/>
    <w:rsid w:val="000A6A9A"/>
    <w:rsid w:val="000A6B30"/>
    <w:rsid w:val="000A6D73"/>
    <w:rsid w:val="000A6F1C"/>
    <w:rsid w:val="000A70BA"/>
    <w:rsid w:val="000A71FE"/>
    <w:rsid w:val="000A7222"/>
    <w:rsid w:val="000A7338"/>
    <w:rsid w:val="000A739A"/>
    <w:rsid w:val="000A73B0"/>
    <w:rsid w:val="000A766F"/>
    <w:rsid w:val="000A7685"/>
    <w:rsid w:val="000A78F0"/>
    <w:rsid w:val="000A79A8"/>
    <w:rsid w:val="000A7A0C"/>
    <w:rsid w:val="000A7A6F"/>
    <w:rsid w:val="000A7AF9"/>
    <w:rsid w:val="000A7AFD"/>
    <w:rsid w:val="000A7C3B"/>
    <w:rsid w:val="000A7C5A"/>
    <w:rsid w:val="000A7C9D"/>
    <w:rsid w:val="000A7D8A"/>
    <w:rsid w:val="000A7E31"/>
    <w:rsid w:val="000A7E43"/>
    <w:rsid w:val="000A84E2"/>
    <w:rsid w:val="000B0044"/>
    <w:rsid w:val="000B0061"/>
    <w:rsid w:val="000B00AB"/>
    <w:rsid w:val="000B0268"/>
    <w:rsid w:val="000B0269"/>
    <w:rsid w:val="000B0414"/>
    <w:rsid w:val="000B04E6"/>
    <w:rsid w:val="000B054B"/>
    <w:rsid w:val="000B06B9"/>
    <w:rsid w:val="000B07B5"/>
    <w:rsid w:val="000B0991"/>
    <w:rsid w:val="000B0B0A"/>
    <w:rsid w:val="000B0BBF"/>
    <w:rsid w:val="000B0CC5"/>
    <w:rsid w:val="000B0D1C"/>
    <w:rsid w:val="000B1067"/>
    <w:rsid w:val="000B1192"/>
    <w:rsid w:val="000B125F"/>
    <w:rsid w:val="000B1345"/>
    <w:rsid w:val="000B134B"/>
    <w:rsid w:val="000B13D3"/>
    <w:rsid w:val="000B13E5"/>
    <w:rsid w:val="000B1435"/>
    <w:rsid w:val="000B177F"/>
    <w:rsid w:val="000B17D6"/>
    <w:rsid w:val="000B1940"/>
    <w:rsid w:val="000B1A46"/>
    <w:rsid w:val="000B1AFC"/>
    <w:rsid w:val="000B1E1A"/>
    <w:rsid w:val="000B1E53"/>
    <w:rsid w:val="000B2222"/>
    <w:rsid w:val="000B2358"/>
    <w:rsid w:val="000B23AD"/>
    <w:rsid w:val="000B23E5"/>
    <w:rsid w:val="000B25BE"/>
    <w:rsid w:val="000B281A"/>
    <w:rsid w:val="000B286C"/>
    <w:rsid w:val="000B28F6"/>
    <w:rsid w:val="000B29F3"/>
    <w:rsid w:val="000B2A65"/>
    <w:rsid w:val="000B2AE6"/>
    <w:rsid w:val="000B2C19"/>
    <w:rsid w:val="000B2C79"/>
    <w:rsid w:val="000B2DB3"/>
    <w:rsid w:val="000B2DE3"/>
    <w:rsid w:val="000B2F19"/>
    <w:rsid w:val="000B2F77"/>
    <w:rsid w:val="000B30DC"/>
    <w:rsid w:val="000B31B4"/>
    <w:rsid w:val="000B31E3"/>
    <w:rsid w:val="000B325D"/>
    <w:rsid w:val="000B32B3"/>
    <w:rsid w:val="000B3330"/>
    <w:rsid w:val="000B3671"/>
    <w:rsid w:val="000B369E"/>
    <w:rsid w:val="000B36BA"/>
    <w:rsid w:val="000B3899"/>
    <w:rsid w:val="000B3B2B"/>
    <w:rsid w:val="000B3C25"/>
    <w:rsid w:val="000B3C95"/>
    <w:rsid w:val="000B3E0A"/>
    <w:rsid w:val="000B3F01"/>
    <w:rsid w:val="000B3F04"/>
    <w:rsid w:val="000B4265"/>
    <w:rsid w:val="000B44EF"/>
    <w:rsid w:val="000B4554"/>
    <w:rsid w:val="000B45DD"/>
    <w:rsid w:val="000B46E8"/>
    <w:rsid w:val="000B49C5"/>
    <w:rsid w:val="000B49FC"/>
    <w:rsid w:val="000B4A2E"/>
    <w:rsid w:val="000B4A5D"/>
    <w:rsid w:val="000B4ABB"/>
    <w:rsid w:val="000B4ABC"/>
    <w:rsid w:val="000B4CB4"/>
    <w:rsid w:val="000B4DA8"/>
    <w:rsid w:val="000B4ED7"/>
    <w:rsid w:val="000B4F97"/>
    <w:rsid w:val="000B5094"/>
    <w:rsid w:val="000B5125"/>
    <w:rsid w:val="000B512B"/>
    <w:rsid w:val="000B51D4"/>
    <w:rsid w:val="000B52A8"/>
    <w:rsid w:val="000B52E1"/>
    <w:rsid w:val="000B56C9"/>
    <w:rsid w:val="000B587E"/>
    <w:rsid w:val="000B5B76"/>
    <w:rsid w:val="000B5BE4"/>
    <w:rsid w:val="000B5BF0"/>
    <w:rsid w:val="000B5BFA"/>
    <w:rsid w:val="000B5CD2"/>
    <w:rsid w:val="000B5D47"/>
    <w:rsid w:val="000B5DEB"/>
    <w:rsid w:val="000B5F2C"/>
    <w:rsid w:val="000B5F63"/>
    <w:rsid w:val="000B5FCD"/>
    <w:rsid w:val="000B608A"/>
    <w:rsid w:val="000B60B8"/>
    <w:rsid w:val="000B60D8"/>
    <w:rsid w:val="000B6177"/>
    <w:rsid w:val="000B6238"/>
    <w:rsid w:val="000B6337"/>
    <w:rsid w:val="000B6463"/>
    <w:rsid w:val="000B64A6"/>
    <w:rsid w:val="000B6504"/>
    <w:rsid w:val="000B654D"/>
    <w:rsid w:val="000B6559"/>
    <w:rsid w:val="000B65DD"/>
    <w:rsid w:val="000B67DE"/>
    <w:rsid w:val="000B68F7"/>
    <w:rsid w:val="000B6B4F"/>
    <w:rsid w:val="000B6C11"/>
    <w:rsid w:val="000B6C21"/>
    <w:rsid w:val="000B6C81"/>
    <w:rsid w:val="000B6CF0"/>
    <w:rsid w:val="000B6E48"/>
    <w:rsid w:val="000B6E7E"/>
    <w:rsid w:val="000B6E9E"/>
    <w:rsid w:val="000B6F40"/>
    <w:rsid w:val="000B6F80"/>
    <w:rsid w:val="000B6FE3"/>
    <w:rsid w:val="000B7108"/>
    <w:rsid w:val="000B712D"/>
    <w:rsid w:val="000B71A2"/>
    <w:rsid w:val="000B720C"/>
    <w:rsid w:val="000B723E"/>
    <w:rsid w:val="000B7272"/>
    <w:rsid w:val="000B7487"/>
    <w:rsid w:val="000B7598"/>
    <w:rsid w:val="000B7665"/>
    <w:rsid w:val="000B7753"/>
    <w:rsid w:val="000B77B5"/>
    <w:rsid w:val="000B7906"/>
    <w:rsid w:val="000B7951"/>
    <w:rsid w:val="000B7A2C"/>
    <w:rsid w:val="000B7BC4"/>
    <w:rsid w:val="000B7DA2"/>
    <w:rsid w:val="000B7F4D"/>
    <w:rsid w:val="000B7F76"/>
    <w:rsid w:val="000C01C7"/>
    <w:rsid w:val="000C020A"/>
    <w:rsid w:val="000C0244"/>
    <w:rsid w:val="000C0381"/>
    <w:rsid w:val="000C05C3"/>
    <w:rsid w:val="000C05E6"/>
    <w:rsid w:val="000C08EA"/>
    <w:rsid w:val="000C0951"/>
    <w:rsid w:val="000C09AC"/>
    <w:rsid w:val="000C09DF"/>
    <w:rsid w:val="000C0D51"/>
    <w:rsid w:val="000C0ED3"/>
    <w:rsid w:val="000C0F41"/>
    <w:rsid w:val="000C0F76"/>
    <w:rsid w:val="000C1294"/>
    <w:rsid w:val="000C12AD"/>
    <w:rsid w:val="000C12F5"/>
    <w:rsid w:val="000C136A"/>
    <w:rsid w:val="000C1396"/>
    <w:rsid w:val="000C140D"/>
    <w:rsid w:val="000C148B"/>
    <w:rsid w:val="000C156B"/>
    <w:rsid w:val="000C15F0"/>
    <w:rsid w:val="000C1628"/>
    <w:rsid w:val="000C1682"/>
    <w:rsid w:val="000C16EE"/>
    <w:rsid w:val="000C1754"/>
    <w:rsid w:val="000C175C"/>
    <w:rsid w:val="000C180C"/>
    <w:rsid w:val="000C190B"/>
    <w:rsid w:val="000C19D5"/>
    <w:rsid w:val="000C19DC"/>
    <w:rsid w:val="000C19E7"/>
    <w:rsid w:val="000C1ACC"/>
    <w:rsid w:val="000C1C1F"/>
    <w:rsid w:val="000C1CFA"/>
    <w:rsid w:val="000C1D6F"/>
    <w:rsid w:val="000C1D9B"/>
    <w:rsid w:val="000C1DED"/>
    <w:rsid w:val="000C1E5F"/>
    <w:rsid w:val="000C1F21"/>
    <w:rsid w:val="000C20B7"/>
    <w:rsid w:val="000C217E"/>
    <w:rsid w:val="000C222C"/>
    <w:rsid w:val="000C223F"/>
    <w:rsid w:val="000C229E"/>
    <w:rsid w:val="000C236B"/>
    <w:rsid w:val="000C23A5"/>
    <w:rsid w:val="000C2464"/>
    <w:rsid w:val="000C24BB"/>
    <w:rsid w:val="000C2972"/>
    <w:rsid w:val="000C2A92"/>
    <w:rsid w:val="000C2AEA"/>
    <w:rsid w:val="000C2C91"/>
    <w:rsid w:val="000C2DED"/>
    <w:rsid w:val="000C2EB7"/>
    <w:rsid w:val="000C30E0"/>
    <w:rsid w:val="000C3117"/>
    <w:rsid w:val="000C31C0"/>
    <w:rsid w:val="000C33FD"/>
    <w:rsid w:val="000C34D9"/>
    <w:rsid w:val="000C3518"/>
    <w:rsid w:val="000C361D"/>
    <w:rsid w:val="000C3699"/>
    <w:rsid w:val="000C36CD"/>
    <w:rsid w:val="000C378D"/>
    <w:rsid w:val="000C37FF"/>
    <w:rsid w:val="000C3B28"/>
    <w:rsid w:val="000C3BA4"/>
    <w:rsid w:val="000C3BED"/>
    <w:rsid w:val="000C3C65"/>
    <w:rsid w:val="000C3E32"/>
    <w:rsid w:val="000C3EAA"/>
    <w:rsid w:val="000C3F37"/>
    <w:rsid w:val="000C4061"/>
    <w:rsid w:val="000C41A7"/>
    <w:rsid w:val="000C41C2"/>
    <w:rsid w:val="000C41D4"/>
    <w:rsid w:val="000C42B8"/>
    <w:rsid w:val="000C432C"/>
    <w:rsid w:val="000C4380"/>
    <w:rsid w:val="000C4419"/>
    <w:rsid w:val="000C4482"/>
    <w:rsid w:val="000C44AF"/>
    <w:rsid w:val="000C4539"/>
    <w:rsid w:val="000C4551"/>
    <w:rsid w:val="000C4677"/>
    <w:rsid w:val="000C468B"/>
    <w:rsid w:val="000C46C2"/>
    <w:rsid w:val="000C49DD"/>
    <w:rsid w:val="000C4BCB"/>
    <w:rsid w:val="000C4D67"/>
    <w:rsid w:val="000C4F80"/>
    <w:rsid w:val="000C4FE7"/>
    <w:rsid w:val="000C5008"/>
    <w:rsid w:val="000C5156"/>
    <w:rsid w:val="000C519A"/>
    <w:rsid w:val="000C51AB"/>
    <w:rsid w:val="000C51E9"/>
    <w:rsid w:val="000C51EB"/>
    <w:rsid w:val="000C5204"/>
    <w:rsid w:val="000C5209"/>
    <w:rsid w:val="000C52AF"/>
    <w:rsid w:val="000C53DB"/>
    <w:rsid w:val="000C54C0"/>
    <w:rsid w:val="000C54C1"/>
    <w:rsid w:val="000C5618"/>
    <w:rsid w:val="000C5655"/>
    <w:rsid w:val="000C5A1A"/>
    <w:rsid w:val="000C5C77"/>
    <w:rsid w:val="000C5C7D"/>
    <w:rsid w:val="000C5E2F"/>
    <w:rsid w:val="000C5E62"/>
    <w:rsid w:val="000C5F50"/>
    <w:rsid w:val="000C5F95"/>
    <w:rsid w:val="000C600E"/>
    <w:rsid w:val="000C6011"/>
    <w:rsid w:val="000C6083"/>
    <w:rsid w:val="000C615E"/>
    <w:rsid w:val="000C61EB"/>
    <w:rsid w:val="000C6271"/>
    <w:rsid w:val="000C6378"/>
    <w:rsid w:val="000C63B1"/>
    <w:rsid w:val="000C63C8"/>
    <w:rsid w:val="000C63F6"/>
    <w:rsid w:val="000C6419"/>
    <w:rsid w:val="000C647C"/>
    <w:rsid w:val="000C6559"/>
    <w:rsid w:val="000C657F"/>
    <w:rsid w:val="000C66AF"/>
    <w:rsid w:val="000C6703"/>
    <w:rsid w:val="000C67A4"/>
    <w:rsid w:val="000C6B37"/>
    <w:rsid w:val="000C6C1B"/>
    <w:rsid w:val="000C6C71"/>
    <w:rsid w:val="000C6CF5"/>
    <w:rsid w:val="000C6D15"/>
    <w:rsid w:val="000C6D50"/>
    <w:rsid w:val="000C6D63"/>
    <w:rsid w:val="000C6D74"/>
    <w:rsid w:val="000C6E11"/>
    <w:rsid w:val="000C6F9F"/>
    <w:rsid w:val="000C7037"/>
    <w:rsid w:val="000C71CC"/>
    <w:rsid w:val="000C729E"/>
    <w:rsid w:val="000C72B7"/>
    <w:rsid w:val="000C734E"/>
    <w:rsid w:val="000C7377"/>
    <w:rsid w:val="000C7667"/>
    <w:rsid w:val="000C7837"/>
    <w:rsid w:val="000C78B0"/>
    <w:rsid w:val="000C78CF"/>
    <w:rsid w:val="000C7A51"/>
    <w:rsid w:val="000C7ABC"/>
    <w:rsid w:val="000C7BAC"/>
    <w:rsid w:val="000C7C46"/>
    <w:rsid w:val="000C7C8C"/>
    <w:rsid w:val="000C7C9C"/>
    <w:rsid w:val="000C7D6B"/>
    <w:rsid w:val="000C7F8D"/>
    <w:rsid w:val="000C7FA7"/>
    <w:rsid w:val="000D003A"/>
    <w:rsid w:val="000D0046"/>
    <w:rsid w:val="000D00EC"/>
    <w:rsid w:val="000D0179"/>
    <w:rsid w:val="000D029F"/>
    <w:rsid w:val="000D02A1"/>
    <w:rsid w:val="000D033E"/>
    <w:rsid w:val="000D0510"/>
    <w:rsid w:val="000D057A"/>
    <w:rsid w:val="000D05EC"/>
    <w:rsid w:val="000D08AF"/>
    <w:rsid w:val="000D0A3A"/>
    <w:rsid w:val="000D0A4F"/>
    <w:rsid w:val="000D0BCD"/>
    <w:rsid w:val="000D0BE2"/>
    <w:rsid w:val="000D0C58"/>
    <w:rsid w:val="000D0C91"/>
    <w:rsid w:val="000D0D6E"/>
    <w:rsid w:val="000D0DC3"/>
    <w:rsid w:val="000D1495"/>
    <w:rsid w:val="000D14C2"/>
    <w:rsid w:val="000D1515"/>
    <w:rsid w:val="000D155B"/>
    <w:rsid w:val="000D16C1"/>
    <w:rsid w:val="000D175D"/>
    <w:rsid w:val="000D17C9"/>
    <w:rsid w:val="000D1831"/>
    <w:rsid w:val="000D19AE"/>
    <w:rsid w:val="000D1AEE"/>
    <w:rsid w:val="000D1B52"/>
    <w:rsid w:val="000D1B85"/>
    <w:rsid w:val="000D1BC6"/>
    <w:rsid w:val="000D1BE4"/>
    <w:rsid w:val="000D1CC4"/>
    <w:rsid w:val="000D1FF5"/>
    <w:rsid w:val="000D201A"/>
    <w:rsid w:val="000D203B"/>
    <w:rsid w:val="000D2086"/>
    <w:rsid w:val="000D21C4"/>
    <w:rsid w:val="000D21CE"/>
    <w:rsid w:val="000D230B"/>
    <w:rsid w:val="000D2466"/>
    <w:rsid w:val="000D259D"/>
    <w:rsid w:val="000D25A6"/>
    <w:rsid w:val="000D268F"/>
    <w:rsid w:val="000D2793"/>
    <w:rsid w:val="000D27A8"/>
    <w:rsid w:val="000D27C7"/>
    <w:rsid w:val="000D285F"/>
    <w:rsid w:val="000D2906"/>
    <w:rsid w:val="000D29EE"/>
    <w:rsid w:val="000D2AB9"/>
    <w:rsid w:val="000D2DEB"/>
    <w:rsid w:val="000D2ED3"/>
    <w:rsid w:val="000D3029"/>
    <w:rsid w:val="000D307A"/>
    <w:rsid w:val="000D3094"/>
    <w:rsid w:val="000D3268"/>
    <w:rsid w:val="000D32E8"/>
    <w:rsid w:val="000D3487"/>
    <w:rsid w:val="000D352D"/>
    <w:rsid w:val="000D362A"/>
    <w:rsid w:val="000D367A"/>
    <w:rsid w:val="000D3707"/>
    <w:rsid w:val="000D37C2"/>
    <w:rsid w:val="000D3896"/>
    <w:rsid w:val="000D38A3"/>
    <w:rsid w:val="000D38B2"/>
    <w:rsid w:val="000D3946"/>
    <w:rsid w:val="000D39E7"/>
    <w:rsid w:val="000D3A21"/>
    <w:rsid w:val="000D3B0D"/>
    <w:rsid w:val="000D3D6D"/>
    <w:rsid w:val="000D3FCF"/>
    <w:rsid w:val="000D40A5"/>
    <w:rsid w:val="000D40AA"/>
    <w:rsid w:val="000D41DB"/>
    <w:rsid w:val="000D43D6"/>
    <w:rsid w:val="000D4539"/>
    <w:rsid w:val="000D478F"/>
    <w:rsid w:val="000D47CA"/>
    <w:rsid w:val="000D485B"/>
    <w:rsid w:val="000D48A4"/>
    <w:rsid w:val="000D496C"/>
    <w:rsid w:val="000D497F"/>
    <w:rsid w:val="000D49AD"/>
    <w:rsid w:val="000D49B7"/>
    <w:rsid w:val="000D4A6B"/>
    <w:rsid w:val="000D4C1B"/>
    <w:rsid w:val="000D4C2A"/>
    <w:rsid w:val="000D4CB5"/>
    <w:rsid w:val="000D500A"/>
    <w:rsid w:val="000D5060"/>
    <w:rsid w:val="000D507A"/>
    <w:rsid w:val="000D5105"/>
    <w:rsid w:val="000D542E"/>
    <w:rsid w:val="000D544C"/>
    <w:rsid w:val="000D5523"/>
    <w:rsid w:val="000D5574"/>
    <w:rsid w:val="000D55A0"/>
    <w:rsid w:val="000D56B9"/>
    <w:rsid w:val="000D57C1"/>
    <w:rsid w:val="000D57C7"/>
    <w:rsid w:val="000D581D"/>
    <w:rsid w:val="000D58C0"/>
    <w:rsid w:val="000D5B03"/>
    <w:rsid w:val="000D5B8C"/>
    <w:rsid w:val="000D5D4A"/>
    <w:rsid w:val="000D6049"/>
    <w:rsid w:val="000D616B"/>
    <w:rsid w:val="000D62D2"/>
    <w:rsid w:val="000D62E2"/>
    <w:rsid w:val="000D64EA"/>
    <w:rsid w:val="000D64F9"/>
    <w:rsid w:val="000D6632"/>
    <w:rsid w:val="000D674A"/>
    <w:rsid w:val="000D679C"/>
    <w:rsid w:val="000D68E2"/>
    <w:rsid w:val="000D6A36"/>
    <w:rsid w:val="000D6A64"/>
    <w:rsid w:val="000D6B8E"/>
    <w:rsid w:val="000D6DAC"/>
    <w:rsid w:val="000D6E09"/>
    <w:rsid w:val="000D6F0B"/>
    <w:rsid w:val="000D70A1"/>
    <w:rsid w:val="000D70DA"/>
    <w:rsid w:val="000D70EB"/>
    <w:rsid w:val="000D7141"/>
    <w:rsid w:val="000D71A7"/>
    <w:rsid w:val="000D71E0"/>
    <w:rsid w:val="000D73F3"/>
    <w:rsid w:val="000D7430"/>
    <w:rsid w:val="000D74EC"/>
    <w:rsid w:val="000D7576"/>
    <w:rsid w:val="000D75EE"/>
    <w:rsid w:val="000D7618"/>
    <w:rsid w:val="000D76E8"/>
    <w:rsid w:val="000D7729"/>
    <w:rsid w:val="000D7884"/>
    <w:rsid w:val="000D790D"/>
    <w:rsid w:val="000D79F1"/>
    <w:rsid w:val="000D7ADD"/>
    <w:rsid w:val="000D7C88"/>
    <w:rsid w:val="000D7CCA"/>
    <w:rsid w:val="000D7D48"/>
    <w:rsid w:val="000D7F18"/>
    <w:rsid w:val="000D7F67"/>
    <w:rsid w:val="000D7FB8"/>
    <w:rsid w:val="000D7FF0"/>
    <w:rsid w:val="000E02AE"/>
    <w:rsid w:val="000E0316"/>
    <w:rsid w:val="000E03DC"/>
    <w:rsid w:val="000E0553"/>
    <w:rsid w:val="000E08E3"/>
    <w:rsid w:val="000E095B"/>
    <w:rsid w:val="000E0A21"/>
    <w:rsid w:val="000E0B2A"/>
    <w:rsid w:val="000E0C9B"/>
    <w:rsid w:val="000E0E79"/>
    <w:rsid w:val="000E1027"/>
    <w:rsid w:val="000E1043"/>
    <w:rsid w:val="000E1124"/>
    <w:rsid w:val="000E1146"/>
    <w:rsid w:val="000E11B0"/>
    <w:rsid w:val="000E11C4"/>
    <w:rsid w:val="000E1417"/>
    <w:rsid w:val="000E1479"/>
    <w:rsid w:val="000E1541"/>
    <w:rsid w:val="000E15C0"/>
    <w:rsid w:val="000E171C"/>
    <w:rsid w:val="000E198D"/>
    <w:rsid w:val="000E1A8C"/>
    <w:rsid w:val="000E1AA6"/>
    <w:rsid w:val="000E1AB9"/>
    <w:rsid w:val="000E1ABC"/>
    <w:rsid w:val="000E1BF7"/>
    <w:rsid w:val="000E1CDD"/>
    <w:rsid w:val="000E1DD5"/>
    <w:rsid w:val="000E1DEF"/>
    <w:rsid w:val="000E1DF7"/>
    <w:rsid w:val="000E1EAE"/>
    <w:rsid w:val="000E1F09"/>
    <w:rsid w:val="000E2364"/>
    <w:rsid w:val="000E25D5"/>
    <w:rsid w:val="000E261E"/>
    <w:rsid w:val="000E262B"/>
    <w:rsid w:val="000E2729"/>
    <w:rsid w:val="000E290B"/>
    <w:rsid w:val="000E2913"/>
    <w:rsid w:val="000E2B27"/>
    <w:rsid w:val="000E2BE1"/>
    <w:rsid w:val="000E2C55"/>
    <w:rsid w:val="000E2C5B"/>
    <w:rsid w:val="000E2DE3"/>
    <w:rsid w:val="000E2EB1"/>
    <w:rsid w:val="000E2EE3"/>
    <w:rsid w:val="000E2EFD"/>
    <w:rsid w:val="000E2F93"/>
    <w:rsid w:val="000E3171"/>
    <w:rsid w:val="000E3219"/>
    <w:rsid w:val="000E329B"/>
    <w:rsid w:val="000E3316"/>
    <w:rsid w:val="000E3565"/>
    <w:rsid w:val="000E36B7"/>
    <w:rsid w:val="000E36BE"/>
    <w:rsid w:val="000E36F1"/>
    <w:rsid w:val="000E3764"/>
    <w:rsid w:val="000E376F"/>
    <w:rsid w:val="000E37B1"/>
    <w:rsid w:val="000E398F"/>
    <w:rsid w:val="000E3A27"/>
    <w:rsid w:val="000E3BA5"/>
    <w:rsid w:val="000E3C0A"/>
    <w:rsid w:val="000E3C9D"/>
    <w:rsid w:val="000E3D10"/>
    <w:rsid w:val="000E3D7F"/>
    <w:rsid w:val="000E3DE5"/>
    <w:rsid w:val="000E4156"/>
    <w:rsid w:val="000E4322"/>
    <w:rsid w:val="000E44B3"/>
    <w:rsid w:val="000E4713"/>
    <w:rsid w:val="000E4883"/>
    <w:rsid w:val="000E498E"/>
    <w:rsid w:val="000E49E8"/>
    <w:rsid w:val="000E4A87"/>
    <w:rsid w:val="000E4AE8"/>
    <w:rsid w:val="000E4F28"/>
    <w:rsid w:val="000E4F45"/>
    <w:rsid w:val="000E4F46"/>
    <w:rsid w:val="000E4F62"/>
    <w:rsid w:val="000E522E"/>
    <w:rsid w:val="000E53A4"/>
    <w:rsid w:val="000E5531"/>
    <w:rsid w:val="000E553D"/>
    <w:rsid w:val="000E55D6"/>
    <w:rsid w:val="000E56C3"/>
    <w:rsid w:val="000E573F"/>
    <w:rsid w:val="000E5896"/>
    <w:rsid w:val="000E5AE0"/>
    <w:rsid w:val="000E5E13"/>
    <w:rsid w:val="000E603B"/>
    <w:rsid w:val="000E61FF"/>
    <w:rsid w:val="000E6410"/>
    <w:rsid w:val="000E64AF"/>
    <w:rsid w:val="000E6536"/>
    <w:rsid w:val="000E6614"/>
    <w:rsid w:val="000E678B"/>
    <w:rsid w:val="000E67BB"/>
    <w:rsid w:val="000E67BC"/>
    <w:rsid w:val="000E6A50"/>
    <w:rsid w:val="000E6B5A"/>
    <w:rsid w:val="000E6B60"/>
    <w:rsid w:val="000E6B8F"/>
    <w:rsid w:val="000E6C42"/>
    <w:rsid w:val="000E6C9D"/>
    <w:rsid w:val="000E6E55"/>
    <w:rsid w:val="000E700D"/>
    <w:rsid w:val="000E75F0"/>
    <w:rsid w:val="000E75FF"/>
    <w:rsid w:val="000E7603"/>
    <w:rsid w:val="000E7712"/>
    <w:rsid w:val="000E7785"/>
    <w:rsid w:val="000E77B9"/>
    <w:rsid w:val="000E7814"/>
    <w:rsid w:val="000E794E"/>
    <w:rsid w:val="000E7A24"/>
    <w:rsid w:val="000E7A9C"/>
    <w:rsid w:val="000E7AC4"/>
    <w:rsid w:val="000E7AD6"/>
    <w:rsid w:val="000E7BE1"/>
    <w:rsid w:val="000E7CD3"/>
    <w:rsid w:val="000E7D8E"/>
    <w:rsid w:val="000E7E64"/>
    <w:rsid w:val="000E7ED2"/>
    <w:rsid w:val="000E7EF1"/>
    <w:rsid w:val="000F003A"/>
    <w:rsid w:val="000F009C"/>
    <w:rsid w:val="000F0196"/>
    <w:rsid w:val="000F023A"/>
    <w:rsid w:val="000F023C"/>
    <w:rsid w:val="000F0335"/>
    <w:rsid w:val="000F03F6"/>
    <w:rsid w:val="000F049D"/>
    <w:rsid w:val="000F04D1"/>
    <w:rsid w:val="000F0504"/>
    <w:rsid w:val="000F05D6"/>
    <w:rsid w:val="000F068A"/>
    <w:rsid w:val="000F077C"/>
    <w:rsid w:val="000F07BD"/>
    <w:rsid w:val="000F08AC"/>
    <w:rsid w:val="000F09C1"/>
    <w:rsid w:val="000F09E1"/>
    <w:rsid w:val="000F0AE8"/>
    <w:rsid w:val="000F0BBF"/>
    <w:rsid w:val="000F0D32"/>
    <w:rsid w:val="000F11DA"/>
    <w:rsid w:val="000F1335"/>
    <w:rsid w:val="000F14D1"/>
    <w:rsid w:val="000F14FF"/>
    <w:rsid w:val="000F16AC"/>
    <w:rsid w:val="000F1759"/>
    <w:rsid w:val="000F178A"/>
    <w:rsid w:val="000F19E3"/>
    <w:rsid w:val="000F1D3E"/>
    <w:rsid w:val="000F1D46"/>
    <w:rsid w:val="000F1ECC"/>
    <w:rsid w:val="000F1FD9"/>
    <w:rsid w:val="000F217C"/>
    <w:rsid w:val="000F21DD"/>
    <w:rsid w:val="000F21FD"/>
    <w:rsid w:val="000F22C7"/>
    <w:rsid w:val="000F22FB"/>
    <w:rsid w:val="000F243A"/>
    <w:rsid w:val="000F2524"/>
    <w:rsid w:val="000F2561"/>
    <w:rsid w:val="000F2572"/>
    <w:rsid w:val="000F2623"/>
    <w:rsid w:val="000F2784"/>
    <w:rsid w:val="000F294B"/>
    <w:rsid w:val="000F2A55"/>
    <w:rsid w:val="000F2A59"/>
    <w:rsid w:val="000F2B3C"/>
    <w:rsid w:val="000F2B74"/>
    <w:rsid w:val="000F2C25"/>
    <w:rsid w:val="000F2D6C"/>
    <w:rsid w:val="000F2E01"/>
    <w:rsid w:val="000F2E5A"/>
    <w:rsid w:val="000F2FEF"/>
    <w:rsid w:val="000F30B1"/>
    <w:rsid w:val="000F30FC"/>
    <w:rsid w:val="000F3162"/>
    <w:rsid w:val="000F31E2"/>
    <w:rsid w:val="000F32CD"/>
    <w:rsid w:val="000F34AA"/>
    <w:rsid w:val="000F3562"/>
    <w:rsid w:val="000F358A"/>
    <w:rsid w:val="000F392C"/>
    <w:rsid w:val="000F393E"/>
    <w:rsid w:val="000F3965"/>
    <w:rsid w:val="000F398C"/>
    <w:rsid w:val="000F399B"/>
    <w:rsid w:val="000F3AD3"/>
    <w:rsid w:val="000F3C0E"/>
    <w:rsid w:val="000F3CA9"/>
    <w:rsid w:val="000F3F10"/>
    <w:rsid w:val="000F4236"/>
    <w:rsid w:val="000F4428"/>
    <w:rsid w:val="000F453B"/>
    <w:rsid w:val="000F459B"/>
    <w:rsid w:val="000F45BA"/>
    <w:rsid w:val="000F480D"/>
    <w:rsid w:val="000F483A"/>
    <w:rsid w:val="000F4897"/>
    <w:rsid w:val="000F4A2D"/>
    <w:rsid w:val="000F4C8C"/>
    <w:rsid w:val="000F4CBE"/>
    <w:rsid w:val="000F4CC2"/>
    <w:rsid w:val="000F4E4D"/>
    <w:rsid w:val="000F4E89"/>
    <w:rsid w:val="000F4F2C"/>
    <w:rsid w:val="000F5115"/>
    <w:rsid w:val="000F5134"/>
    <w:rsid w:val="000F51ED"/>
    <w:rsid w:val="000F520D"/>
    <w:rsid w:val="000F5442"/>
    <w:rsid w:val="000F55AC"/>
    <w:rsid w:val="000F55D2"/>
    <w:rsid w:val="000F5612"/>
    <w:rsid w:val="000F5736"/>
    <w:rsid w:val="000F58D6"/>
    <w:rsid w:val="000F58EA"/>
    <w:rsid w:val="000F5A54"/>
    <w:rsid w:val="000F5CF2"/>
    <w:rsid w:val="000F5D80"/>
    <w:rsid w:val="000F5E14"/>
    <w:rsid w:val="000F5E8D"/>
    <w:rsid w:val="000F5EC8"/>
    <w:rsid w:val="000F5FDA"/>
    <w:rsid w:val="000F60F2"/>
    <w:rsid w:val="000F6103"/>
    <w:rsid w:val="000F6212"/>
    <w:rsid w:val="000F626B"/>
    <w:rsid w:val="000F6285"/>
    <w:rsid w:val="000F6443"/>
    <w:rsid w:val="000F65EC"/>
    <w:rsid w:val="000F6624"/>
    <w:rsid w:val="000F6753"/>
    <w:rsid w:val="000F6917"/>
    <w:rsid w:val="000F6CF2"/>
    <w:rsid w:val="000F6D10"/>
    <w:rsid w:val="000F6F6E"/>
    <w:rsid w:val="000F6FE2"/>
    <w:rsid w:val="000F7085"/>
    <w:rsid w:val="000F733D"/>
    <w:rsid w:val="000F734B"/>
    <w:rsid w:val="000F739F"/>
    <w:rsid w:val="000F7532"/>
    <w:rsid w:val="000F7664"/>
    <w:rsid w:val="000F7925"/>
    <w:rsid w:val="000F7987"/>
    <w:rsid w:val="000F7AC9"/>
    <w:rsid w:val="000F7CE8"/>
    <w:rsid w:val="001000B8"/>
    <w:rsid w:val="00100236"/>
    <w:rsid w:val="00100275"/>
    <w:rsid w:val="0010033F"/>
    <w:rsid w:val="001003C5"/>
    <w:rsid w:val="0010040A"/>
    <w:rsid w:val="00100439"/>
    <w:rsid w:val="00100519"/>
    <w:rsid w:val="0010051C"/>
    <w:rsid w:val="00100550"/>
    <w:rsid w:val="00100563"/>
    <w:rsid w:val="0010060A"/>
    <w:rsid w:val="001007C2"/>
    <w:rsid w:val="001009D0"/>
    <w:rsid w:val="00100ABA"/>
    <w:rsid w:val="00100B1B"/>
    <w:rsid w:val="00100B3C"/>
    <w:rsid w:val="00100EA1"/>
    <w:rsid w:val="0010103A"/>
    <w:rsid w:val="00101076"/>
    <w:rsid w:val="00101130"/>
    <w:rsid w:val="00101306"/>
    <w:rsid w:val="00101320"/>
    <w:rsid w:val="00101524"/>
    <w:rsid w:val="00101604"/>
    <w:rsid w:val="00101682"/>
    <w:rsid w:val="00101793"/>
    <w:rsid w:val="001017B4"/>
    <w:rsid w:val="0010183A"/>
    <w:rsid w:val="00101998"/>
    <w:rsid w:val="00101A3B"/>
    <w:rsid w:val="00101A84"/>
    <w:rsid w:val="00101B26"/>
    <w:rsid w:val="00101B8A"/>
    <w:rsid w:val="00101DBE"/>
    <w:rsid w:val="00101E03"/>
    <w:rsid w:val="00101E7C"/>
    <w:rsid w:val="00101E83"/>
    <w:rsid w:val="00101ED8"/>
    <w:rsid w:val="00101FD9"/>
    <w:rsid w:val="00102088"/>
    <w:rsid w:val="001021D1"/>
    <w:rsid w:val="0010241A"/>
    <w:rsid w:val="00102535"/>
    <w:rsid w:val="001025E9"/>
    <w:rsid w:val="00102651"/>
    <w:rsid w:val="0010266E"/>
    <w:rsid w:val="001026A8"/>
    <w:rsid w:val="00102769"/>
    <w:rsid w:val="001027B7"/>
    <w:rsid w:val="0010291F"/>
    <w:rsid w:val="00102B4B"/>
    <w:rsid w:val="00102C40"/>
    <w:rsid w:val="00102D13"/>
    <w:rsid w:val="00102D23"/>
    <w:rsid w:val="00102D9D"/>
    <w:rsid w:val="00102DFE"/>
    <w:rsid w:val="0010314C"/>
    <w:rsid w:val="00103211"/>
    <w:rsid w:val="00103289"/>
    <w:rsid w:val="00103314"/>
    <w:rsid w:val="0010331D"/>
    <w:rsid w:val="001035D4"/>
    <w:rsid w:val="001035DA"/>
    <w:rsid w:val="001036B4"/>
    <w:rsid w:val="00103A1A"/>
    <w:rsid w:val="00103B47"/>
    <w:rsid w:val="00103B5B"/>
    <w:rsid w:val="00103C91"/>
    <w:rsid w:val="00103E83"/>
    <w:rsid w:val="00103E94"/>
    <w:rsid w:val="00103EED"/>
    <w:rsid w:val="00103FA2"/>
    <w:rsid w:val="00104163"/>
    <w:rsid w:val="001042AB"/>
    <w:rsid w:val="00104435"/>
    <w:rsid w:val="0010448B"/>
    <w:rsid w:val="001044A8"/>
    <w:rsid w:val="00104600"/>
    <w:rsid w:val="001046E2"/>
    <w:rsid w:val="001048A1"/>
    <w:rsid w:val="001048C9"/>
    <w:rsid w:val="0010490A"/>
    <w:rsid w:val="00104BED"/>
    <w:rsid w:val="00104C81"/>
    <w:rsid w:val="00104E2E"/>
    <w:rsid w:val="00104EA3"/>
    <w:rsid w:val="00105082"/>
    <w:rsid w:val="001050F5"/>
    <w:rsid w:val="00105122"/>
    <w:rsid w:val="0010513A"/>
    <w:rsid w:val="00105146"/>
    <w:rsid w:val="0010521F"/>
    <w:rsid w:val="001052C6"/>
    <w:rsid w:val="001052DE"/>
    <w:rsid w:val="001052EF"/>
    <w:rsid w:val="0010531D"/>
    <w:rsid w:val="001053D4"/>
    <w:rsid w:val="0010550F"/>
    <w:rsid w:val="0010565E"/>
    <w:rsid w:val="00105679"/>
    <w:rsid w:val="00105819"/>
    <w:rsid w:val="00105A6C"/>
    <w:rsid w:val="00105AB5"/>
    <w:rsid w:val="00105CF0"/>
    <w:rsid w:val="00105DBE"/>
    <w:rsid w:val="001060D1"/>
    <w:rsid w:val="00106222"/>
    <w:rsid w:val="0010625A"/>
    <w:rsid w:val="001063BF"/>
    <w:rsid w:val="001064C5"/>
    <w:rsid w:val="001064C9"/>
    <w:rsid w:val="0010665D"/>
    <w:rsid w:val="00106722"/>
    <w:rsid w:val="00106809"/>
    <w:rsid w:val="001068D6"/>
    <w:rsid w:val="00106B20"/>
    <w:rsid w:val="00106BCE"/>
    <w:rsid w:val="00106DFF"/>
    <w:rsid w:val="00106E59"/>
    <w:rsid w:val="00106F69"/>
    <w:rsid w:val="00106F7C"/>
    <w:rsid w:val="00106FC4"/>
    <w:rsid w:val="00106FD2"/>
    <w:rsid w:val="0010713A"/>
    <w:rsid w:val="00107208"/>
    <w:rsid w:val="0010735F"/>
    <w:rsid w:val="00107379"/>
    <w:rsid w:val="00107454"/>
    <w:rsid w:val="00107524"/>
    <w:rsid w:val="00107545"/>
    <w:rsid w:val="00107668"/>
    <w:rsid w:val="001076AE"/>
    <w:rsid w:val="00107750"/>
    <w:rsid w:val="00107751"/>
    <w:rsid w:val="0010788F"/>
    <w:rsid w:val="0010792C"/>
    <w:rsid w:val="00107981"/>
    <w:rsid w:val="00107A81"/>
    <w:rsid w:val="00107AFD"/>
    <w:rsid w:val="00107BD1"/>
    <w:rsid w:val="00107CC5"/>
    <w:rsid w:val="00107DCD"/>
    <w:rsid w:val="00107E75"/>
    <w:rsid w:val="00107EF0"/>
    <w:rsid w:val="00107FED"/>
    <w:rsid w:val="001100D9"/>
    <w:rsid w:val="001102B6"/>
    <w:rsid w:val="00110398"/>
    <w:rsid w:val="001105DE"/>
    <w:rsid w:val="00110624"/>
    <w:rsid w:val="0011072E"/>
    <w:rsid w:val="00110B86"/>
    <w:rsid w:val="00110B8D"/>
    <w:rsid w:val="00110BBF"/>
    <w:rsid w:val="00110C2F"/>
    <w:rsid w:val="00110D62"/>
    <w:rsid w:val="00110F07"/>
    <w:rsid w:val="001112C8"/>
    <w:rsid w:val="00111417"/>
    <w:rsid w:val="00111437"/>
    <w:rsid w:val="0011158B"/>
    <w:rsid w:val="00111623"/>
    <w:rsid w:val="00111636"/>
    <w:rsid w:val="00111644"/>
    <w:rsid w:val="00111721"/>
    <w:rsid w:val="0011187B"/>
    <w:rsid w:val="00111B36"/>
    <w:rsid w:val="00111BE3"/>
    <w:rsid w:val="00111C8D"/>
    <w:rsid w:val="00111D02"/>
    <w:rsid w:val="00111D51"/>
    <w:rsid w:val="00111F2A"/>
    <w:rsid w:val="001120AD"/>
    <w:rsid w:val="00112158"/>
    <w:rsid w:val="001121E3"/>
    <w:rsid w:val="001121ED"/>
    <w:rsid w:val="00112247"/>
    <w:rsid w:val="00112382"/>
    <w:rsid w:val="00112425"/>
    <w:rsid w:val="001124D6"/>
    <w:rsid w:val="001126C8"/>
    <w:rsid w:val="0011282B"/>
    <w:rsid w:val="0011288A"/>
    <w:rsid w:val="00112AC6"/>
    <w:rsid w:val="00112AD1"/>
    <w:rsid w:val="00112ADE"/>
    <w:rsid w:val="00112B8C"/>
    <w:rsid w:val="00112D14"/>
    <w:rsid w:val="00112D3D"/>
    <w:rsid w:val="00112D94"/>
    <w:rsid w:val="00112D9C"/>
    <w:rsid w:val="00112DC9"/>
    <w:rsid w:val="00112DCC"/>
    <w:rsid w:val="00112EAC"/>
    <w:rsid w:val="00112F52"/>
    <w:rsid w:val="00112F5E"/>
    <w:rsid w:val="00112F9C"/>
    <w:rsid w:val="001130F7"/>
    <w:rsid w:val="0011320F"/>
    <w:rsid w:val="00113253"/>
    <w:rsid w:val="00113415"/>
    <w:rsid w:val="0011346D"/>
    <w:rsid w:val="00113566"/>
    <w:rsid w:val="001135C9"/>
    <w:rsid w:val="00113629"/>
    <w:rsid w:val="00113694"/>
    <w:rsid w:val="00113735"/>
    <w:rsid w:val="0011392A"/>
    <w:rsid w:val="00113998"/>
    <w:rsid w:val="00113A87"/>
    <w:rsid w:val="00113AED"/>
    <w:rsid w:val="00113B33"/>
    <w:rsid w:val="00113B60"/>
    <w:rsid w:val="00113C60"/>
    <w:rsid w:val="00113C66"/>
    <w:rsid w:val="00113CAB"/>
    <w:rsid w:val="00113F94"/>
    <w:rsid w:val="001140B3"/>
    <w:rsid w:val="001141CF"/>
    <w:rsid w:val="001142ED"/>
    <w:rsid w:val="001143F1"/>
    <w:rsid w:val="00114494"/>
    <w:rsid w:val="0011450A"/>
    <w:rsid w:val="00114682"/>
    <w:rsid w:val="00114793"/>
    <w:rsid w:val="001147C9"/>
    <w:rsid w:val="0011495A"/>
    <w:rsid w:val="001149E1"/>
    <w:rsid w:val="00114A31"/>
    <w:rsid w:val="00114A46"/>
    <w:rsid w:val="00114B05"/>
    <w:rsid w:val="00114C3B"/>
    <w:rsid w:val="00114D44"/>
    <w:rsid w:val="00114E6A"/>
    <w:rsid w:val="00114E9A"/>
    <w:rsid w:val="00114FDB"/>
    <w:rsid w:val="001150DC"/>
    <w:rsid w:val="00115223"/>
    <w:rsid w:val="00115350"/>
    <w:rsid w:val="0011539A"/>
    <w:rsid w:val="001154DE"/>
    <w:rsid w:val="0011550C"/>
    <w:rsid w:val="00115585"/>
    <w:rsid w:val="00115691"/>
    <w:rsid w:val="00115761"/>
    <w:rsid w:val="001158E8"/>
    <w:rsid w:val="0011592F"/>
    <w:rsid w:val="0011598A"/>
    <w:rsid w:val="00115A23"/>
    <w:rsid w:val="00115A5E"/>
    <w:rsid w:val="00115C91"/>
    <w:rsid w:val="00115E58"/>
    <w:rsid w:val="00115FAB"/>
    <w:rsid w:val="001160CA"/>
    <w:rsid w:val="00116172"/>
    <w:rsid w:val="001161D6"/>
    <w:rsid w:val="00116232"/>
    <w:rsid w:val="001163CB"/>
    <w:rsid w:val="0011648B"/>
    <w:rsid w:val="0011652B"/>
    <w:rsid w:val="0011652F"/>
    <w:rsid w:val="00116595"/>
    <w:rsid w:val="001165EF"/>
    <w:rsid w:val="001166E9"/>
    <w:rsid w:val="001169E4"/>
    <w:rsid w:val="00116A5B"/>
    <w:rsid w:val="00116CE3"/>
    <w:rsid w:val="00116CE8"/>
    <w:rsid w:val="00116D23"/>
    <w:rsid w:val="00116EBB"/>
    <w:rsid w:val="00116F91"/>
    <w:rsid w:val="00117039"/>
    <w:rsid w:val="0011705C"/>
    <w:rsid w:val="0011709B"/>
    <w:rsid w:val="001170F0"/>
    <w:rsid w:val="00117116"/>
    <w:rsid w:val="0011713C"/>
    <w:rsid w:val="0011717C"/>
    <w:rsid w:val="00117259"/>
    <w:rsid w:val="001172CC"/>
    <w:rsid w:val="001172E6"/>
    <w:rsid w:val="00117578"/>
    <w:rsid w:val="0011762F"/>
    <w:rsid w:val="001177D3"/>
    <w:rsid w:val="001177F3"/>
    <w:rsid w:val="0011797C"/>
    <w:rsid w:val="00117AC2"/>
    <w:rsid w:val="00117ACD"/>
    <w:rsid w:val="00117B58"/>
    <w:rsid w:val="00117CE2"/>
    <w:rsid w:val="00117D86"/>
    <w:rsid w:val="00117E38"/>
    <w:rsid w:val="00117F04"/>
    <w:rsid w:val="00120222"/>
    <w:rsid w:val="0012034C"/>
    <w:rsid w:val="00120681"/>
    <w:rsid w:val="001207D1"/>
    <w:rsid w:val="0012080B"/>
    <w:rsid w:val="001208E2"/>
    <w:rsid w:val="00120CD6"/>
    <w:rsid w:val="00120CE2"/>
    <w:rsid w:val="00120D61"/>
    <w:rsid w:val="00120E15"/>
    <w:rsid w:val="00120EAF"/>
    <w:rsid w:val="00120FF6"/>
    <w:rsid w:val="0012110D"/>
    <w:rsid w:val="0012139F"/>
    <w:rsid w:val="001213A1"/>
    <w:rsid w:val="00121414"/>
    <w:rsid w:val="0012147B"/>
    <w:rsid w:val="001216CE"/>
    <w:rsid w:val="001216D5"/>
    <w:rsid w:val="00121825"/>
    <w:rsid w:val="001218AC"/>
    <w:rsid w:val="0012194B"/>
    <w:rsid w:val="001219A5"/>
    <w:rsid w:val="001219D0"/>
    <w:rsid w:val="00121A8A"/>
    <w:rsid w:val="00121ABF"/>
    <w:rsid w:val="00121B36"/>
    <w:rsid w:val="00121B97"/>
    <w:rsid w:val="00121CC4"/>
    <w:rsid w:val="00121D35"/>
    <w:rsid w:val="00121D96"/>
    <w:rsid w:val="00121E71"/>
    <w:rsid w:val="00121E7A"/>
    <w:rsid w:val="00121F2B"/>
    <w:rsid w:val="00121F70"/>
    <w:rsid w:val="0012204A"/>
    <w:rsid w:val="0012207C"/>
    <w:rsid w:val="00122146"/>
    <w:rsid w:val="001221A9"/>
    <w:rsid w:val="001221C6"/>
    <w:rsid w:val="0012238C"/>
    <w:rsid w:val="001223DE"/>
    <w:rsid w:val="00122428"/>
    <w:rsid w:val="0012244A"/>
    <w:rsid w:val="00122477"/>
    <w:rsid w:val="00122508"/>
    <w:rsid w:val="00122677"/>
    <w:rsid w:val="001226C3"/>
    <w:rsid w:val="00122737"/>
    <w:rsid w:val="001228AF"/>
    <w:rsid w:val="001229BB"/>
    <w:rsid w:val="001229E7"/>
    <w:rsid w:val="00122A58"/>
    <w:rsid w:val="00122AA0"/>
    <w:rsid w:val="00122AE3"/>
    <w:rsid w:val="00122AEF"/>
    <w:rsid w:val="00122AF2"/>
    <w:rsid w:val="00122B67"/>
    <w:rsid w:val="00122B74"/>
    <w:rsid w:val="00122D04"/>
    <w:rsid w:val="00122DE5"/>
    <w:rsid w:val="00122EB7"/>
    <w:rsid w:val="00122EE1"/>
    <w:rsid w:val="00122F1F"/>
    <w:rsid w:val="00122FC5"/>
    <w:rsid w:val="00123009"/>
    <w:rsid w:val="001230FF"/>
    <w:rsid w:val="00123138"/>
    <w:rsid w:val="0012322C"/>
    <w:rsid w:val="001232B8"/>
    <w:rsid w:val="00123303"/>
    <w:rsid w:val="0012331F"/>
    <w:rsid w:val="001233DD"/>
    <w:rsid w:val="00123512"/>
    <w:rsid w:val="001235D4"/>
    <w:rsid w:val="00123658"/>
    <w:rsid w:val="00123678"/>
    <w:rsid w:val="00123757"/>
    <w:rsid w:val="001237AF"/>
    <w:rsid w:val="00123AA0"/>
    <w:rsid w:val="00123E04"/>
    <w:rsid w:val="00123F66"/>
    <w:rsid w:val="00123F84"/>
    <w:rsid w:val="0012407F"/>
    <w:rsid w:val="001241D6"/>
    <w:rsid w:val="001241EA"/>
    <w:rsid w:val="001242B6"/>
    <w:rsid w:val="001242FC"/>
    <w:rsid w:val="0012440D"/>
    <w:rsid w:val="001247EB"/>
    <w:rsid w:val="001249FD"/>
    <w:rsid w:val="00124A6E"/>
    <w:rsid w:val="00124B63"/>
    <w:rsid w:val="00124B69"/>
    <w:rsid w:val="00124BD6"/>
    <w:rsid w:val="00124D9E"/>
    <w:rsid w:val="00124DE8"/>
    <w:rsid w:val="00124EE4"/>
    <w:rsid w:val="00124F3C"/>
    <w:rsid w:val="00125143"/>
    <w:rsid w:val="00125493"/>
    <w:rsid w:val="0012555D"/>
    <w:rsid w:val="00125778"/>
    <w:rsid w:val="001257A6"/>
    <w:rsid w:val="00125971"/>
    <w:rsid w:val="00125A53"/>
    <w:rsid w:val="00125A6E"/>
    <w:rsid w:val="00125B61"/>
    <w:rsid w:val="00125C95"/>
    <w:rsid w:val="00125D2F"/>
    <w:rsid w:val="00125D31"/>
    <w:rsid w:val="00125DEB"/>
    <w:rsid w:val="00125DF1"/>
    <w:rsid w:val="00125E67"/>
    <w:rsid w:val="00125F8E"/>
    <w:rsid w:val="00125FEF"/>
    <w:rsid w:val="00126054"/>
    <w:rsid w:val="00126122"/>
    <w:rsid w:val="001262E1"/>
    <w:rsid w:val="0012635D"/>
    <w:rsid w:val="00126374"/>
    <w:rsid w:val="0012638E"/>
    <w:rsid w:val="001263A0"/>
    <w:rsid w:val="00126402"/>
    <w:rsid w:val="001264B3"/>
    <w:rsid w:val="00126654"/>
    <w:rsid w:val="00126919"/>
    <w:rsid w:val="001269BC"/>
    <w:rsid w:val="001269DC"/>
    <w:rsid w:val="00126B01"/>
    <w:rsid w:val="00126B94"/>
    <w:rsid w:val="00126D6F"/>
    <w:rsid w:val="00126D7D"/>
    <w:rsid w:val="00126D90"/>
    <w:rsid w:val="00126E56"/>
    <w:rsid w:val="00126EE3"/>
    <w:rsid w:val="00126F92"/>
    <w:rsid w:val="00126FA6"/>
    <w:rsid w:val="00127048"/>
    <w:rsid w:val="001270D2"/>
    <w:rsid w:val="001271C2"/>
    <w:rsid w:val="0012733B"/>
    <w:rsid w:val="00127377"/>
    <w:rsid w:val="001273B2"/>
    <w:rsid w:val="00127501"/>
    <w:rsid w:val="001275F6"/>
    <w:rsid w:val="001276C3"/>
    <w:rsid w:val="001277CA"/>
    <w:rsid w:val="0012783C"/>
    <w:rsid w:val="001278A9"/>
    <w:rsid w:val="0012790F"/>
    <w:rsid w:val="0012791A"/>
    <w:rsid w:val="00127AB3"/>
    <w:rsid w:val="00127ACB"/>
    <w:rsid w:val="00127B00"/>
    <w:rsid w:val="00127BAE"/>
    <w:rsid w:val="00127ED0"/>
    <w:rsid w:val="00127EFA"/>
    <w:rsid w:val="00127F94"/>
    <w:rsid w:val="00127FE7"/>
    <w:rsid w:val="001300E6"/>
    <w:rsid w:val="001301A3"/>
    <w:rsid w:val="00130245"/>
    <w:rsid w:val="0013024A"/>
    <w:rsid w:val="001302AC"/>
    <w:rsid w:val="00130509"/>
    <w:rsid w:val="0013069A"/>
    <w:rsid w:val="001306EA"/>
    <w:rsid w:val="00130911"/>
    <w:rsid w:val="001309E0"/>
    <w:rsid w:val="001309F2"/>
    <w:rsid w:val="00130B2C"/>
    <w:rsid w:val="00130E4C"/>
    <w:rsid w:val="00130F24"/>
    <w:rsid w:val="00131261"/>
    <w:rsid w:val="00131303"/>
    <w:rsid w:val="00131615"/>
    <w:rsid w:val="00131621"/>
    <w:rsid w:val="001316C1"/>
    <w:rsid w:val="00131737"/>
    <w:rsid w:val="001318E5"/>
    <w:rsid w:val="001319D4"/>
    <w:rsid w:val="001319D5"/>
    <w:rsid w:val="00131C59"/>
    <w:rsid w:val="00131C6F"/>
    <w:rsid w:val="00131D0F"/>
    <w:rsid w:val="00131D45"/>
    <w:rsid w:val="00131D81"/>
    <w:rsid w:val="00131E62"/>
    <w:rsid w:val="00131EB1"/>
    <w:rsid w:val="00131ECE"/>
    <w:rsid w:val="0013200E"/>
    <w:rsid w:val="001320E3"/>
    <w:rsid w:val="001320F0"/>
    <w:rsid w:val="00132182"/>
    <w:rsid w:val="001321AC"/>
    <w:rsid w:val="0013222F"/>
    <w:rsid w:val="00132332"/>
    <w:rsid w:val="00132349"/>
    <w:rsid w:val="0013234A"/>
    <w:rsid w:val="0013235C"/>
    <w:rsid w:val="00132543"/>
    <w:rsid w:val="0013266D"/>
    <w:rsid w:val="001326B6"/>
    <w:rsid w:val="00132779"/>
    <w:rsid w:val="001328F1"/>
    <w:rsid w:val="001329B7"/>
    <w:rsid w:val="00132B43"/>
    <w:rsid w:val="00132D3E"/>
    <w:rsid w:val="00132E3A"/>
    <w:rsid w:val="00132E4D"/>
    <w:rsid w:val="00132E73"/>
    <w:rsid w:val="00132E74"/>
    <w:rsid w:val="00132F8F"/>
    <w:rsid w:val="00133175"/>
    <w:rsid w:val="001332EE"/>
    <w:rsid w:val="0013341A"/>
    <w:rsid w:val="00133500"/>
    <w:rsid w:val="00133513"/>
    <w:rsid w:val="0013365D"/>
    <w:rsid w:val="001336E0"/>
    <w:rsid w:val="001336F8"/>
    <w:rsid w:val="001337BF"/>
    <w:rsid w:val="0013393D"/>
    <w:rsid w:val="0013396A"/>
    <w:rsid w:val="001339E5"/>
    <w:rsid w:val="00133A89"/>
    <w:rsid w:val="00133B54"/>
    <w:rsid w:val="00133BCF"/>
    <w:rsid w:val="00133D0D"/>
    <w:rsid w:val="00133DBD"/>
    <w:rsid w:val="00133E5B"/>
    <w:rsid w:val="00133F33"/>
    <w:rsid w:val="00133F34"/>
    <w:rsid w:val="00133FB6"/>
    <w:rsid w:val="00134085"/>
    <w:rsid w:val="001340E7"/>
    <w:rsid w:val="0013428F"/>
    <w:rsid w:val="001343EC"/>
    <w:rsid w:val="00134518"/>
    <w:rsid w:val="0013482C"/>
    <w:rsid w:val="00134853"/>
    <w:rsid w:val="00134864"/>
    <w:rsid w:val="0013490B"/>
    <w:rsid w:val="00134928"/>
    <w:rsid w:val="001349AC"/>
    <w:rsid w:val="001349F7"/>
    <w:rsid w:val="00134A92"/>
    <w:rsid w:val="00134C71"/>
    <w:rsid w:val="00134DB2"/>
    <w:rsid w:val="00134F1A"/>
    <w:rsid w:val="00135164"/>
    <w:rsid w:val="0013519F"/>
    <w:rsid w:val="001351B5"/>
    <w:rsid w:val="001351BB"/>
    <w:rsid w:val="00135273"/>
    <w:rsid w:val="0013527A"/>
    <w:rsid w:val="001352A0"/>
    <w:rsid w:val="001352A9"/>
    <w:rsid w:val="0013544E"/>
    <w:rsid w:val="00135462"/>
    <w:rsid w:val="0013549D"/>
    <w:rsid w:val="0013567E"/>
    <w:rsid w:val="00135695"/>
    <w:rsid w:val="001357B1"/>
    <w:rsid w:val="001357ED"/>
    <w:rsid w:val="001357F9"/>
    <w:rsid w:val="0013589F"/>
    <w:rsid w:val="00135A76"/>
    <w:rsid w:val="00135AE3"/>
    <w:rsid w:val="00135CEB"/>
    <w:rsid w:val="00135D64"/>
    <w:rsid w:val="00135DFE"/>
    <w:rsid w:val="00135F54"/>
    <w:rsid w:val="00135FA9"/>
    <w:rsid w:val="00135FBF"/>
    <w:rsid w:val="00135FC9"/>
    <w:rsid w:val="0013625D"/>
    <w:rsid w:val="001364D9"/>
    <w:rsid w:val="00136731"/>
    <w:rsid w:val="00136891"/>
    <w:rsid w:val="00136AF3"/>
    <w:rsid w:val="00136B6E"/>
    <w:rsid w:val="00136BFE"/>
    <w:rsid w:val="00136DCA"/>
    <w:rsid w:val="00136E91"/>
    <w:rsid w:val="00136EA9"/>
    <w:rsid w:val="00136EC0"/>
    <w:rsid w:val="00136ED5"/>
    <w:rsid w:val="001370A5"/>
    <w:rsid w:val="001370D2"/>
    <w:rsid w:val="00137150"/>
    <w:rsid w:val="00137252"/>
    <w:rsid w:val="001372B0"/>
    <w:rsid w:val="001372BF"/>
    <w:rsid w:val="001372E2"/>
    <w:rsid w:val="00137311"/>
    <w:rsid w:val="001374DC"/>
    <w:rsid w:val="00137581"/>
    <w:rsid w:val="00137799"/>
    <w:rsid w:val="0013779B"/>
    <w:rsid w:val="00137916"/>
    <w:rsid w:val="00137A24"/>
    <w:rsid w:val="00137A4F"/>
    <w:rsid w:val="00137AD6"/>
    <w:rsid w:val="00137B53"/>
    <w:rsid w:val="00137B84"/>
    <w:rsid w:val="00137C07"/>
    <w:rsid w:val="00137F52"/>
    <w:rsid w:val="00137F6D"/>
    <w:rsid w:val="00137FB0"/>
    <w:rsid w:val="00137FC2"/>
    <w:rsid w:val="00137FCC"/>
    <w:rsid w:val="00137FF4"/>
    <w:rsid w:val="00140058"/>
    <w:rsid w:val="0014005B"/>
    <w:rsid w:val="001400DB"/>
    <w:rsid w:val="0014023B"/>
    <w:rsid w:val="0014025B"/>
    <w:rsid w:val="00140354"/>
    <w:rsid w:val="00140466"/>
    <w:rsid w:val="00140558"/>
    <w:rsid w:val="00140602"/>
    <w:rsid w:val="001407AA"/>
    <w:rsid w:val="00140808"/>
    <w:rsid w:val="001408B1"/>
    <w:rsid w:val="00140936"/>
    <w:rsid w:val="00140A8F"/>
    <w:rsid w:val="00140BA4"/>
    <w:rsid w:val="00140C2A"/>
    <w:rsid w:val="00140C6A"/>
    <w:rsid w:val="00140C89"/>
    <w:rsid w:val="00140CC1"/>
    <w:rsid w:val="00140CD8"/>
    <w:rsid w:val="00140DEC"/>
    <w:rsid w:val="00140DF0"/>
    <w:rsid w:val="00140E8E"/>
    <w:rsid w:val="00140EBE"/>
    <w:rsid w:val="00141069"/>
    <w:rsid w:val="00141073"/>
    <w:rsid w:val="0014107A"/>
    <w:rsid w:val="00141201"/>
    <w:rsid w:val="00141203"/>
    <w:rsid w:val="001412F7"/>
    <w:rsid w:val="00141467"/>
    <w:rsid w:val="001415D6"/>
    <w:rsid w:val="001416BD"/>
    <w:rsid w:val="001416CF"/>
    <w:rsid w:val="00141765"/>
    <w:rsid w:val="001417EB"/>
    <w:rsid w:val="001419BC"/>
    <w:rsid w:val="00141BE5"/>
    <w:rsid w:val="00141D79"/>
    <w:rsid w:val="00141DC5"/>
    <w:rsid w:val="00141E22"/>
    <w:rsid w:val="00141E7D"/>
    <w:rsid w:val="00141F7F"/>
    <w:rsid w:val="00141FC8"/>
    <w:rsid w:val="00142019"/>
    <w:rsid w:val="00142036"/>
    <w:rsid w:val="001421D4"/>
    <w:rsid w:val="00142276"/>
    <w:rsid w:val="001423E0"/>
    <w:rsid w:val="00142411"/>
    <w:rsid w:val="00142469"/>
    <w:rsid w:val="001426B4"/>
    <w:rsid w:val="00142827"/>
    <w:rsid w:val="00142852"/>
    <w:rsid w:val="001428D5"/>
    <w:rsid w:val="001428E8"/>
    <w:rsid w:val="00142A34"/>
    <w:rsid w:val="00142A82"/>
    <w:rsid w:val="00142A9F"/>
    <w:rsid w:val="00142B86"/>
    <w:rsid w:val="00142B8A"/>
    <w:rsid w:val="00142BAD"/>
    <w:rsid w:val="00142CAF"/>
    <w:rsid w:val="00142D6D"/>
    <w:rsid w:val="00142F21"/>
    <w:rsid w:val="00142F25"/>
    <w:rsid w:val="00142F3A"/>
    <w:rsid w:val="00142F59"/>
    <w:rsid w:val="00143004"/>
    <w:rsid w:val="00143028"/>
    <w:rsid w:val="00143089"/>
    <w:rsid w:val="0014314A"/>
    <w:rsid w:val="00143295"/>
    <w:rsid w:val="001433A8"/>
    <w:rsid w:val="001433E6"/>
    <w:rsid w:val="00143478"/>
    <w:rsid w:val="00143504"/>
    <w:rsid w:val="001435D8"/>
    <w:rsid w:val="00143637"/>
    <w:rsid w:val="001436A1"/>
    <w:rsid w:val="00143973"/>
    <w:rsid w:val="00143AC6"/>
    <w:rsid w:val="00143C6A"/>
    <w:rsid w:val="00143CB7"/>
    <w:rsid w:val="00143D58"/>
    <w:rsid w:val="00143D9A"/>
    <w:rsid w:val="00143EEB"/>
    <w:rsid w:val="00143F2F"/>
    <w:rsid w:val="00144000"/>
    <w:rsid w:val="0014411C"/>
    <w:rsid w:val="00144248"/>
    <w:rsid w:val="00144282"/>
    <w:rsid w:val="001442D7"/>
    <w:rsid w:val="001443A0"/>
    <w:rsid w:val="00144710"/>
    <w:rsid w:val="001447FD"/>
    <w:rsid w:val="001448D4"/>
    <w:rsid w:val="001448E2"/>
    <w:rsid w:val="0014497A"/>
    <w:rsid w:val="00144BA9"/>
    <w:rsid w:val="00144BF9"/>
    <w:rsid w:val="00144C34"/>
    <w:rsid w:val="00144C4A"/>
    <w:rsid w:val="00144CAD"/>
    <w:rsid w:val="00144DA0"/>
    <w:rsid w:val="00144E14"/>
    <w:rsid w:val="00144F79"/>
    <w:rsid w:val="00144F92"/>
    <w:rsid w:val="0014512A"/>
    <w:rsid w:val="001452EA"/>
    <w:rsid w:val="00145330"/>
    <w:rsid w:val="0014537B"/>
    <w:rsid w:val="0014544C"/>
    <w:rsid w:val="00145463"/>
    <w:rsid w:val="001454CC"/>
    <w:rsid w:val="00145605"/>
    <w:rsid w:val="001456CA"/>
    <w:rsid w:val="001456D2"/>
    <w:rsid w:val="00145871"/>
    <w:rsid w:val="001458C1"/>
    <w:rsid w:val="00145A36"/>
    <w:rsid w:val="00145ACF"/>
    <w:rsid w:val="00145C04"/>
    <w:rsid w:val="00145C29"/>
    <w:rsid w:val="00145CDC"/>
    <w:rsid w:val="00145CE2"/>
    <w:rsid w:val="00145D23"/>
    <w:rsid w:val="00145D35"/>
    <w:rsid w:val="00145D99"/>
    <w:rsid w:val="00145E6E"/>
    <w:rsid w:val="00145F3C"/>
    <w:rsid w:val="00146078"/>
    <w:rsid w:val="001460C3"/>
    <w:rsid w:val="00146288"/>
    <w:rsid w:val="00146461"/>
    <w:rsid w:val="00146624"/>
    <w:rsid w:val="001466CC"/>
    <w:rsid w:val="001466E7"/>
    <w:rsid w:val="001466FA"/>
    <w:rsid w:val="0014671D"/>
    <w:rsid w:val="00146804"/>
    <w:rsid w:val="00146807"/>
    <w:rsid w:val="00146848"/>
    <w:rsid w:val="00146863"/>
    <w:rsid w:val="001469C6"/>
    <w:rsid w:val="00146ABF"/>
    <w:rsid w:val="00146AF4"/>
    <w:rsid w:val="00146BD4"/>
    <w:rsid w:val="00146C77"/>
    <w:rsid w:val="00146C9A"/>
    <w:rsid w:val="00146C9D"/>
    <w:rsid w:val="00146CD4"/>
    <w:rsid w:val="00146D22"/>
    <w:rsid w:val="00146D98"/>
    <w:rsid w:val="00146E99"/>
    <w:rsid w:val="00146EE9"/>
    <w:rsid w:val="00146EF9"/>
    <w:rsid w:val="00146F58"/>
    <w:rsid w:val="00146F9D"/>
    <w:rsid w:val="0014724E"/>
    <w:rsid w:val="00147344"/>
    <w:rsid w:val="001474BD"/>
    <w:rsid w:val="0014766F"/>
    <w:rsid w:val="001476AD"/>
    <w:rsid w:val="001476EB"/>
    <w:rsid w:val="0014773D"/>
    <w:rsid w:val="001477B5"/>
    <w:rsid w:val="0014785F"/>
    <w:rsid w:val="00147AA7"/>
    <w:rsid w:val="00147B81"/>
    <w:rsid w:val="00147CA6"/>
    <w:rsid w:val="00147E15"/>
    <w:rsid w:val="00147E8F"/>
    <w:rsid w:val="00147F11"/>
    <w:rsid w:val="00147F88"/>
    <w:rsid w:val="00150118"/>
    <w:rsid w:val="0015013A"/>
    <w:rsid w:val="0015018D"/>
    <w:rsid w:val="00150205"/>
    <w:rsid w:val="001502EE"/>
    <w:rsid w:val="00150323"/>
    <w:rsid w:val="0015033E"/>
    <w:rsid w:val="00150376"/>
    <w:rsid w:val="001503C4"/>
    <w:rsid w:val="001503C8"/>
    <w:rsid w:val="00150421"/>
    <w:rsid w:val="0015053B"/>
    <w:rsid w:val="0015053E"/>
    <w:rsid w:val="001505EF"/>
    <w:rsid w:val="001506D9"/>
    <w:rsid w:val="00150775"/>
    <w:rsid w:val="00150947"/>
    <w:rsid w:val="001509B2"/>
    <w:rsid w:val="00150A41"/>
    <w:rsid w:val="00150A73"/>
    <w:rsid w:val="00150B92"/>
    <w:rsid w:val="00150BA0"/>
    <w:rsid w:val="00150C54"/>
    <w:rsid w:val="00150DAF"/>
    <w:rsid w:val="00150E69"/>
    <w:rsid w:val="00150E75"/>
    <w:rsid w:val="00150E7B"/>
    <w:rsid w:val="00150FD2"/>
    <w:rsid w:val="00150FD6"/>
    <w:rsid w:val="001510DC"/>
    <w:rsid w:val="00151111"/>
    <w:rsid w:val="00151274"/>
    <w:rsid w:val="0015131C"/>
    <w:rsid w:val="001513C2"/>
    <w:rsid w:val="00151550"/>
    <w:rsid w:val="0015164E"/>
    <w:rsid w:val="0015188D"/>
    <w:rsid w:val="00151AE9"/>
    <w:rsid w:val="00151B2B"/>
    <w:rsid w:val="00151B2F"/>
    <w:rsid w:val="00151C5D"/>
    <w:rsid w:val="00151C70"/>
    <w:rsid w:val="00151D1A"/>
    <w:rsid w:val="00151D85"/>
    <w:rsid w:val="00151DBD"/>
    <w:rsid w:val="00151DCA"/>
    <w:rsid w:val="00151F8E"/>
    <w:rsid w:val="0015202E"/>
    <w:rsid w:val="001520E2"/>
    <w:rsid w:val="00152181"/>
    <w:rsid w:val="00152317"/>
    <w:rsid w:val="00152466"/>
    <w:rsid w:val="00152515"/>
    <w:rsid w:val="00152534"/>
    <w:rsid w:val="001525B5"/>
    <w:rsid w:val="001527DF"/>
    <w:rsid w:val="00152820"/>
    <w:rsid w:val="0015287C"/>
    <w:rsid w:val="00152D1C"/>
    <w:rsid w:val="00152E75"/>
    <w:rsid w:val="00152E7C"/>
    <w:rsid w:val="0015314E"/>
    <w:rsid w:val="001531D6"/>
    <w:rsid w:val="0015323B"/>
    <w:rsid w:val="00153287"/>
    <w:rsid w:val="001532CF"/>
    <w:rsid w:val="00153300"/>
    <w:rsid w:val="00153400"/>
    <w:rsid w:val="001535B7"/>
    <w:rsid w:val="001536F1"/>
    <w:rsid w:val="001536F6"/>
    <w:rsid w:val="001538FB"/>
    <w:rsid w:val="00153AD1"/>
    <w:rsid w:val="00153B0C"/>
    <w:rsid w:val="00153B81"/>
    <w:rsid w:val="00153B9D"/>
    <w:rsid w:val="00153D3D"/>
    <w:rsid w:val="00153DB4"/>
    <w:rsid w:val="00153ED7"/>
    <w:rsid w:val="00153F65"/>
    <w:rsid w:val="00153F69"/>
    <w:rsid w:val="00153FC0"/>
    <w:rsid w:val="00153FEC"/>
    <w:rsid w:val="0015407F"/>
    <w:rsid w:val="0015418E"/>
    <w:rsid w:val="001542EC"/>
    <w:rsid w:val="00154331"/>
    <w:rsid w:val="0015439C"/>
    <w:rsid w:val="0015459D"/>
    <w:rsid w:val="00154649"/>
    <w:rsid w:val="00154773"/>
    <w:rsid w:val="001547B4"/>
    <w:rsid w:val="00154884"/>
    <w:rsid w:val="00154952"/>
    <w:rsid w:val="00154A88"/>
    <w:rsid w:val="00154AC2"/>
    <w:rsid w:val="00154BED"/>
    <w:rsid w:val="00154D0D"/>
    <w:rsid w:val="00154F7F"/>
    <w:rsid w:val="00154FB4"/>
    <w:rsid w:val="0015503E"/>
    <w:rsid w:val="001551B4"/>
    <w:rsid w:val="00155209"/>
    <w:rsid w:val="001552AF"/>
    <w:rsid w:val="00155300"/>
    <w:rsid w:val="00155344"/>
    <w:rsid w:val="00155434"/>
    <w:rsid w:val="00155491"/>
    <w:rsid w:val="00155511"/>
    <w:rsid w:val="001555B3"/>
    <w:rsid w:val="0015561C"/>
    <w:rsid w:val="001557C7"/>
    <w:rsid w:val="0015582F"/>
    <w:rsid w:val="00155833"/>
    <w:rsid w:val="001558A1"/>
    <w:rsid w:val="001559AE"/>
    <w:rsid w:val="001559F3"/>
    <w:rsid w:val="00155B0D"/>
    <w:rsid w:val="00155B2F"/>
    <w:rsid w:val="00155B4E"/>
    <w:rsid w:val="00155BC4"/>
    <w:rsid w:val="00155BD1"/>
    <w:rsid w:val="00155BDA"/>
    <w:rsid w:val="00155C0E"/>
    <w:rsid w:val="00155CE5"/>
    <w:rsid w:val="00155D12"/>
    <w:rsid w:val="00155D5A"/>
    <w:rsid w:val="0015605C"/>
    <w:rsid w:val="001562EF"/>
    <w:rsid w:val="00156481"/>
    <w:rsid w:val="00156493"/>
    <w:rsid w:val="001564F4"/>
    <w:rsid w:val="00156531"/>
    <w:rsid w:val="0015658E"/>
    <w:rsid w:val="0015671D"/>
    <w:rsid w:val="001567D6"/>
    <w:rsid w:val="0015690C"/>
    <w:rsid w:val="00156A09"/>
    <w:rsid w:val="00156A33"/>
    <w:rsid w:val="00156A91"/>
    <w:rsid w:val="00156ACD"/>
    <w:rsid w:val="00156B16"/>
    <w:rsid w:val="00156BC6"/>
    <w:rsid w:val="00156BDF"/>
    <w:rsid w:val="00156C55"/>
    <w:rsid w:val="00156C78"/>
    <w:rsid w:val="00156C88"/>
    <w:rsid w:val="00156D36"/>
    <w:rsid w:val="00156D38"/>
    <w:rsid w:val="00156D97"/>
    <w:rsid w:val="00156DA2"/>
    <w:rsid w:val="00156DCB"/>
    <w:rsid w:val="00156EDF"/>
    <w:rsid w:val="00156F08"/>
    <w:rsid w:val="00156FA7"/>
    <w:rsid w:val="00156FD5"/>
    <w:rsid w:val="00157046"/>
    <w:rsid w:val="001570D0"/>
    <w:rsid w:val="00157146"/>
    <w:rsid w:val="0015714A"/>
    <w:rsid w:val="00157337"/>
    <w:rsid w:val="00157364"/>
    <w:rsid w:val="00157388"/>
    <w:rsid w:val="001573D9"/>
    <w:rsid w:val="001574BD"/>
    <w:rsid w:val="00157702"/>
    <w:rsid w:val="00157A29"/>
    <w:rsid w:val="00157AE7"/>
    <w:rsid w:val="00157AEC"/>
    <w:rsid w:val="00157B5D"/>
    <w:rsid w:val="00157CE6"/>
    <w:rsid w:val="00157D1C"/>
    <w:rsid w:val="00157D90"/>
    <w:rsid w:val="00157EEF"/>
    <w:rsid w:val="00157F37"/>
    <w:rsid w:val="00157F46"/>
    <w:rsid w:val="00157FCC"/>
    <w:rsid w:val="00157FDD"/>
    <w:rsid w:val="00157FEE"/>
    <w:rsid w:val="001600CF"/>
    <w:rsid w:val="0016012C"/>
    <w:rsid w:val="0016015B"/>
    <w:rsid w:val="001601DA"/>
    <w:rsid w:val="001601E3"/>
    <w:rsid w:val="00160206"/>
    <w:rsid w:val="0016023A"/>
    <w:rsid w:val="0016033A"/>
    <w:rsid w:val="001604C1"/>
    <w:rsid w:val="00160632"/>
    <w:rsid w:val="00160694"/>
    <w:rsid w:val="001606E6"/>
    <w:rsid w:val="00160735"/>
    <w:rsid w:val="00160769"/>
    <w:rsid w:val="00160794"/>
    <w:rsid w:val="001607A3"/>
    <w:rsid w:val="0016084B"/>
    <w:rsid w:val="00160856"/>
    <w:rsid w:val="00160867"/>
    <w:rsid w:val="001609FE"/>
    <w:rsid w:val="00160DCD"/>
    <w:rsid w:val="00160EFC"/>
    <w:rsid w:val="00161117"/>
    <w:rsid w:val="001612AC"/>
    <w:rsid w:val="00161306"/>
    <w:rsid w:val="0016143B"/>
    <w:rsid w:val="0016185B"/>
    <w:rsid w:val="00161942"/>
    <w:rsid w:val="001619B9"/>
    <w:rsid w:val="001619CF"/>
    <w:rsid w:val="001619DC"/>
    <w:rsid w:val="00161B96"/>
    <w:rsid w:val="00161C43"/>
    <w:rsid w:val="00161CCB"/>
    <w:rsid w:val="00161D4A"/>
    <w:rsid w:val="00161D73"/>
    <w:rsid w:val="00161E3E"/>
    <w:rsid w:val="00161E4A"/>
    <w:rsid w:val="00161EF0"/>
    <w:rsid w:val="0016205C"/>
    <w:rsid w:val="00162074"/>
    <w:rsid w:val="0016209C"/>
    <w:rsid w:val="0016213F"/>
    <w:rsid w:val="0016225E"/>
    <w:rsid w:val="00162273"/>
    <w:rsid w:val="00162393"/>
    <w:rsid w:val="001623B0"/>
    <w:rsid w:val="0016254D"/>
    <w:rsid w:val="00162604"/>
    <w:rsid w:val="0016270C"/>
    <w:rsid w:val="0016277B"/>
    <w:rsid w:val="00162A2E"/>
    <w:rsid w:val="00162A59"/>
    <w:rsid w:val="00162A79"/>
    <w:rsid w:val="00162BC7"/>
    <w:rsid w:val="00162BE9"/>
    <w:rsid w:val="00162DBF"/>
    <w:rsid w:val="00162EBB"/>
    <w:rsid w:val="00163136"/>
    <w:rsid w:val="00163358"/>
    <w:rsid w:val="001633BC"/>
    <w:rsid w:val="00163579"/>
    <w:rsid w:val="0016368F"/>
    <w:rsid w:val="00163700"/>
    <w:rsid w:val="0016388A"/>
    <w:rsid w:val="00163A0F"/>
    <w:rsid w:val="00163A25"/>
    <w:rsid w:val="00163A73"/>
    <w:rsid w:val="00163A98"/>
    <w:rsid w:val="00163B73"/>
    <w:rsid w:val="00163BD8"/>
    <w:rsid w:val="00163D1A"/>
    <w:rsid w:val="00163DCE"/>
    <w:rsid w:val="00163DFE"/>
    <w:rsid w:val="00163E70"/>
    <w:rsid w:val="00163FD4"/>
    <w:rsid w:val="001640A3"/>
    <w:rsid w:val="00164153"/>
    <w:rsid w:val="001641C7"/>
    <w:rsid w:val="0016425F"/>
    <w:rsid w:val="001643EF"/>
    <w:rsid w:val="001644F6"/>
    <w:rsid w:val="0016461C"/>
    <w:rsid w:val="0016464C"/>
    <w:rsid w:val="001646C0"/>
    <w:rsid w:val="001647FA"/>
    <w:rsid w:val="00164985"/>
    <w:rsid w:val="001649EB"/>
    <w:rsid w:val="00164AC5"/>
    <w:rsid w:val="00164AC9"/>
    <w:rsid w:val="00164B97"/>
    <w:rsid w:val="00164CF8"/>
    <w:rsid w:val="00164D9F"/>
    <w:rsid w:val="0016504C"/>
    <w:rsid w:val="001651B1"/>
    <w:rsid w:val="001653AE"/>
    <w:rsid w:val="00165406"/>
    <w:rsid w:val="0016547F"/>
    <w:rsid w:val="0016558B"/>
    <w:rsid w:val="00165692"/>
    <w:rsid w:val="00165896"/>
    <w:rsid w:val="001658D1"/>
    <w:rsid w:val="001659D1"/>
    <w:rsid w:val="00165CCB"/>
    <w:rsid w:val="00165EDF"/>
    <w:rsid w:val="00165FAC"/>
    <w:rsid w:val="0016602B"/>
    <w:rsid w:val="0016607A"/>
    <w:rsid w:val="0016607E"/>
    <w:rsid w:val="00166126"/>
    <w:rsid w:val="001662D8"/>
    <w:rsid w:val="001663AA"/>
    <w:rsid w:val="001663C4"/>
    <w:rsid w:val="00166437"/>
    <w:rsid w:val="00166572"/>
    <w:rsid w:val="0016657D"/>
    <w:rsid w:val="0016660B"/>
    <w:rsid w:val="00166630"/>
    <w:rsid w:val="00166706"/>
    <w:rsid w:val="00166754"/>
    <w:rsid w:val="00166865"/>
    <w:rsid w:val="001669A9"/>
    <w:rsid w:val="00166B70"/>
    <w:rsid w:val="00166BB2"/>
    <w:rsid w:val="00166C04"/>
    <w:rsid w:val="00166C45"/>
    <w:rsid w:val="00166D08"/>
    <w:rsid w:val="001670E3"/>
    <w:rsid w:val="00167227"/>
    <w:rsid w:val="00167477"/>
    <w:rsid w:val="0016756B"/>
    <w:rsid w:val="0016764B"/>
    <w:rsid w:val="00167772"/>
    <w:rsid w:val="00167797"/>
    <w:rsid w:val="001677B7"/>
    <w:rsid w:val="001677EA"/>
    <w:rsid w:val="00167B49"/>
    <w:rsid w:val="00167C63"/>
    <w:rsid w:val="00167DA3"/>
    <w:rsid w:val="00167EBE"/>
    <w:rsid w:val="00167F9D"/>
    <w:rsid w:val="001700C7"/>
    <w:rsid w:val="0017011B"/>
    <w:rsid w:val="00170134"/>
    <w:rsid w:val="00170255"/>
    <w:rsid w:val="001703F6"/>
    <w:rsid w:val="0017044E"/>
    <w:rsid w:val="00170486"/>
    <w:rsid w:val="0017065B"/>
    <w:rsid w:val="001706DD"/>
    <w:rsid w:val="00170713"/>
    <w:rsid w:val="001708C4"/>
    <w:rsid w:val="0017092D"/>
    <w:rsid w:val="00170965"/>
    <w:rsid w:val="00170A2B"/>
    <w:rsid w:val="00170A93"/>
    <w:rsid w:val="00170B16"/>
    <w:rsid w:val="00170B4D"/>
    <w:rsid w:val="00170B51"/>
    <w:rsid w:val="00170CA0"/>
    <w:rsid w:val="00170D39"/>
    <w:rsid w:val="00170D5B"/>
    <w:rsid w:val="00170D85"/>
    <w:rsid w:val="00170E0E"/>
    <w:rsid w:val="00170E13"/>
    <w:rsid w:val="00170E1D"/>
    <w:rsid w:val="00170ED6"/>
    <w:rsid w:val="00170F23"/>
    <w:rsid w:val="00170FD2"/>
    <w:rsid w:val="00171028"/>
    <w:rsid w:val="001710DF"/>
    <w:rsid w:val="00171130"/>
    <w:rsid w:val="00171156"/>
    <w:rsid w:val="00171178"/>
    <w:rsid w:val="001713C5"/>
    <w:rsid w:val="0017168D"/>
    <w:rsid w:val="00171703"/>
    <w:rsid w:val="0017173E"/>
    <w:rsid w:val="0017177C"/>
    <w:rsid w:val="001717FD"/>
    <w:rsid w:val="00171865"/>
    <w:rsid w:val="001718AA"/>
    <w:rsid w:val="00171955"/>
    <w:rsid w:val="00171A3A"/>
    <w:rsid w:val="00171A5B"/>
    <w:rsid w:val="00171A8A"/>
    <w:rsid w:val="00171B1E"/>
    <w:rsid w:val="00171BA3"/>
    <w:rsid w:val="00171D9E"/>
    <w:rsid w:val="00171DCD"/>
    <w:rsid w:val="00171DDE"/>
    <w:rsid w:val="00171E49"/>
    <w:rsid w:val="00171EC1"/>
    <w:rsid w:val="00171F69"/>
    <w:rsid w:val="00172038"/>
    <w:rsid w:val="0017221D"/>
    <w:rsid w:val="00172276"/>
    <w:rsid w:val="0017240E"/>
    <w:rsid w:val="0017242C"/>
    <w:rsid w:val="0017259A"/>
    <w:rsid w:val="00172607"/>
    <w:rsid w:val="00172631"/>
    <w:rsid w:val="0017269D"/>
    <w:rsid w:val="0017270C"/>
    <w:rsid w:val="00172738"/>
    <w:rsid w:val="00172953"/>
    <w:rsid w:val="00172AC4"/>
    <w:rsid w:val="00172B8F"/>
    <w:rsid w:val="00172C4F"/>
    <w:rsid w:val="00172CF2"/>
    <w:rsid w:val="00172ED6"/>
    <w:rsid w:val="00172EF3"/>
    <w:rsid w:val="00172EF5"/>
    <w:rsid w:val="00172F4B"/>
    <w:rsid w:val="001730D1"/>
    <w:rsid w:val="0017319B"/>
    <w:rsid w:val="00173232"/>
    <w:rsid w:val="001736F8"/>
    <w:rsid w:val="001737B4"/>
    <w:rsid w:val="001737CE"/>
    <w:rsid w:val="00173833"/>
    <w:rsid w:val="00173834"/>
    <w:rsid w:val="001738E1"/>
    <w:rsid w:val="0017391B"/>
    <w:rsid w:val="00173A4E"/>
    <w:rsid w:val="00173C5B"/>
    <w:rsid w:val="00173D85"/>
    <w:rsid w:val="00173F09"/>
    <w:rsid w:val="00173FFC"/>
    <w:rsid w:val="00174076"/>
    <w:rsid w:val="001741EB"/>
    <w:rsid w:val="00174472"/>
    <w:rsid w:val="001744CB"/>
    <w:rsid w:val="00174741"/>
    <w:rsid w:val="001747BA"/>
    <w:rsid w:val="0017486E"/>
    <w:rsid w:val="001748C9"/>
    <w:rsid w:val="00174C47"/>
    <w:rsid w:val="00174DC8"/>
    <w:rsid w:val="00174DE3"/>
    <w:rsid w:val="00174EC3"/>
    <w:rsid w:val="00174EFC"/>
    <w:rsid w:val="00174FD4"/>
    <w:rsid w:val="001750AF"/>
    <w:rsid w:val="001750D7"/>
    <w:rsid w:val="0017519D"/>
    <w:rsid w:val="001751FD"/>
    <w:rsid w:val="0017525B"/>
    <w:rsid w:val="001752D0"/>
    <w:rsid w:val="00175397"/>
    <w:rsid w:val="001753D1"/>
    <w:rsid w:val="00175600"/>
    <w:rsid w:val="0017567B"/>
    <w:rsid w:val="00175734"/>
    <w:rsid w:val="00175740"/>
    <w:rsid w:val="00175869"/>
    <w:rsid w:val="00175887"/>
    <w:rsid w:val="001759CA"/>
    <w:rsid w:val="00175BA0"/>
    <w:rsid w:val="00175BD7"/>
    <w:rsid w:val="00175D44"/>
    <w:rsid w:val="00175F06"/>
    <w:rsid w:val="00175F99"/>
    <w:rsid w:val="0017615F"/>
    <w:rsid w:val="00176184"/>
    <w:rsid w:val="0017648B"/>
    <w:rsid w:val="001765B1"/>
    <w:rsid w:val="0017689A"/>
    <w:rsid w:val="001768D0"/>
    <w:rsid w:val="001768F3"/>
    <w:rsid w:val="001769F2"/>
    <w:rsid w:val="00176CE2"/>
    <w:rsid w:val="00176EDC"/>
    <w:rsid w:val="00176FB6"/>
    <w:rsid w:val="00177190"/>
    <w:rsid w:val="001772EC"/>
    <w:rsid w:val="001772F3"/>
    <w:rsid w:val="00177585"/>
    <w:rsid w:val="001776F0"/>
    <w:rsid w:val="001776FF"/>
    <w:rsid w:val="00177715"/>
    <w:rsid w:val="001779D7"/>
    <w:rsid w:val="00177A74"/>
    <w:rsid w:val="00177D98"/>
    <w:rsid w:val="00177E68"/>
    <w:rsid w:val="00177F31"/>
    <w:rsid w:val="00180005"/>
    <w:rsid w:val="00180179"/>
    <w:rsid w:val="001801AB"/>
    <w:rsid w:val="001801AD"/>
    <w:rsid w:val="00180412"/>
    <w:rsid w:val="00180531"/>
    <w:rsid w:val="00180727"/>
    <w:rsid w:val="001807EC"/>
    <w:rsid w:val="001807F9"/>
    <w:rsid w:val="00180860"/>
    <w:rsid w:val="001808FE"/>
    <w:rsid w:val="0018096B"/>
    <w:rsid w:val="001809DB"/>
    <w:rsid w:val="00180A81"/>
    <w:rsid w:val="00180C3E"/>
    <w:rsid w:val="00180D37"/>
    <w:rsid w:val="00180E0D"/>
    <w:rsid w:val="00180FDF"/>
    <w:rsid w:val="00181007"/>
    <w:rsid w:val="00181023"/>
    <w:rsid w:val="001811E2"/>
    <w:rsid w:val="00181267"/>
    <w:rsid w:val="0018137A"/>
    <w:rsid w:val="001813E3"/>
    <w:rsid w:val="00181651"/>
    <w:rsid w:val="001816AA"/>
    <w:rsid w:val="001816DD"/>
    <w:rsid w:val="001818EC"/>
    <w:rsid w:val="00181B19"/>
    <w:rsid w:val="00181C33"/>
    <w:rsid w:val="00181DC4"/>
    <w:rsid w:val="00181DCA"/>
    <w:rsid w:val="00181DEA"/>
    <w:rsid w:val="00181EFC"/>
    <w:rsid w:val="001820DD"/>
    <w:rsid w:val="00182323"/>
    <w:rsid w:val="0018261E"/>
    <w:rsid w:val="00182AFC"/>
    <w:rsid w:val="00182B7F"/>
    <w:rsid w:val="00182BCB"/>
    <w:rsid w:val="00182C38"/>
    <w:rsid w:val="00182CD0"/>
    <w:rsid w:val="00182D3D"/>
    <w:rsid w:val="00182E40"/>
    <w:rsid w:val="00182E6B"/>
    <w:rsid w:val="00182F06"/>
    <w:rsid w:val="00182F78"/>
    <w:rsid w:val="00183028"/>
    <w:rsid w:val="00183091"/>
    <w:rsid w:val="0018313B"/>
    <w:rsid w:val="001832C2"/>
    <w:rsid w:val="00183528"/>
    <w:rsid w:val="00183554"/>
    <w:rsid w:val="001835EC"/>
    <w:rsid w:val="00183909"/>
    <w:rsid w:val="001839A4"/>
    <w:rsid w:val="001839AE"/>
    <w:rsid w:val="00183A4A"/>
    <w:rsid w:val="00183AF6"/>
    <w:rsid w:val="00183B83"/>
    <w:rsid w:val="00183BA5"/>
    <w:rsid w:val="00183BEE"/>
    <w:rsid w:val="00183C5F"/>
    <w:rsid w:val="00183D76"/>
    <w:rsid w:val="00183E12"/>
    <w:rsid w:val="00183FA3"/>
    <w:rsid w:val="001840F0"/>
    <w:rsid w:val="0018425E"/>
    <w:rsid w:val="001842D7"/>
    <w:rsid w:val="00184308"/>
    <w:rsid w:val="0018430B"/>
    <w:rsid w:val="0018431A"/>
    <w:rsid w:val="00184419"/>
    <w:rsid w:val="001845B7"/>
    <w:rsid w:val="0018464B"/>
    <w:rsid w:val="00184720"/>
    <w:rsid w:val="0018479C"/>
    <w:rsid w:val="0018482C"/>
    <w:rsid w:val="001848BC"/>
    <w:rsid w:val="0018499F"/>
    <w:rsid w:val="001849A2"/>
    <w:rsid w:val="00184B60"/>
    <w:rsid w:val="00184BAE"/>
    <w:rsid w:val="00184C32"/>
    <w:rsid w:val="00184C77"/>
    <w:rsid w:val="00184DDD"/>
    <w:rsid w:val="00184E14"/>
    <w:rsid w:val="00184E47"/>
    <w:rsid w:val="00184F05"/>
    <w:rsid w:val="00185058"/>
    <w:rsid w:val="00185064"/>
    <w:rsid w:val="0018508E"/>
    <w:rsid w:val="001850E6"/>
    <w:rsid w:val="0018514F"/>
    <w:rsid w:val="001851DD"/>
    <w:rsid w:val="0018529C"/>
    <w:rsid w:val="00185474"/>
    <w:rsid w:val="00185540"/>
    <w:rsid w:val="00185587"/>
    <w:rsid w:val="001855C2"/>
    <w:rsid w:val="00185739"/>
    <w:rsid w:val="001857B8"/>
    <w:rsid w:val="001858D8"/>
    <w:rsid w:val="00185901"/>
    <w:rsid w:val="00185970"/>
    <w:rsid w:val="0018599D"/>
    <w:rsid w:val="00185BE3"/>
    <w:rsid w:val="00185C69"/>
    <w:rsid w:val="00185D3D"/>
    <w:rsid w:val="00185E1C"/>
    <w:rsid w:val="00185FA7"/>
    <w:rsid w:val="00186010"/>
    <w:rsid w:val="001861C7"/>
    <w:rsid w:val="0018628A"/>
    <w:rsid w:val="001864C2"/>
    <w:rsid w:val="001864C3"/>
    <w:rsid w:val="001865F5"/>
    <w:rsid w:val="0018669C"/>
    <w:rsid w:val="001866C0"/>
    <w:rsid w:val="001867E4"/>
    <w:rsid w:val="00186861"/>
    <w:rsid w:val="00186AC0"/>
    <w:rsid w:val="00186AFF"/>
    <w:rsid w:val="00186C9E"/>
    <w:rsid w:val="00186ED8"/>
    <w:rsid w:val="00186EE6"/>
    <w:rsid w:val="00187416"/>
    <w:rsid w:val="0018743D"/>
    <w:rsid w:val="00187484"/>
    <w:rsid w:val="001875CA"/>
    <w:rsid w:val="0018772D"/>
    <w:rsid w:val="00187734"/>
    <w:rsid w:val="0018775E"/>
    <w:rsid w:val="00187816"/>
    <w:rsid w:val="00187884"/>
    <w:rsid w:val="00187988"/>
    <w:rsid w:val="001879F1"/>
    <w:rsid w:val="00187AC9"/>
    <w:rsid w:val="00187B3F"/>
    <w:rsid w:val="00187C86"/>
    <w:rsid w:val="00187CA2"/>
    <w:rsid w:val="00187E77"/>
    <w:rsid w:val="001900A8"/>
    <w:rsid w:val="001900FC"/>
    <w:rsid w:val="001902F3"/>
    <w:rsid w:val="0019044A"/>
    <w:rsid w:val="001904FE"/>
    <w:rsid w:val="00190530"/>
    <w:rsid w:val="0019057B"/>
    <w:rsid w:val="0019058D"/>
    <w:rsid w:val="001905BE"/>
    <w:rsid w:val="00190686"/>
    <w:rsid w:val="0019068B"/>
    <w:rsid w:val="001907CD"/>
    <w:rsid w:val="00190978"/>
    <w:rsid w:val="00190B4E"/>
    <w:rsid w:val="00190B76"/>
    <w:rsid w:val="00190B8D"/>
    <w:rsid w:val="00190BFE"/>
    <w:rsid w:val="00190C29"/>
    <w:rsid w:val="00190D9E"/>
    <w:rsid w:val="00190DD3"/>
    <w:rsid w:val="00190E03"/>
    <w:rsid w:val="001910B1"/>
    <w:rsid w:val="00191233"/>
    <w:rsid w:val="00191257"/>
    <w:rsid w:val="001912AA"/>
    <w:rsid w:val="001912E4"/>
    <w:rsid w:val="0019151A"/>
    <w:rsid w:val="001915ED"/>
    <w:rsid w:val="00191678"/>
    <w:rsid w:val="00191808"/>
    <w:rsid w:val="0019183F"/>
    <w:rsid w:val="0019192B"/>
    <w:rsid w:val="00191A69"/>
    <w:rsid w:val="00191C7A"/>
    <w:rsid w:val="00191CF6"/>
    <w:rsid w:val="00191D0E"/>
    <w:rsid w:val="00191FD7"/>
    <w:rsid w:val="001920B7"/>
    <w:rsid w:val="001920FC"/>
    <w:rsid w:val="0019213C"/>
    <w:rsid w:val="001924C3"/>
    <w:rsid w:val="00192709"/>
    <w:rsid w:val="001927DF"/>
    <w:rsid w:val="001927F9"/>
    <w:rsid w:val="00192867"/>
    <w:rsid w:val="00192926"/>
    <w:rsid w:val="00192B79"/>
    <w:rsid w:val="00192C60"/>
    <w:rsid w:val="00192C97"/>
    <w:rsid w:val="00192D14"/>
    <w:rsid w:val="00192FDB"/>
    <w:rsid w:val="00193124"/>
    <w:rsid w:val="00193207"/>
    <w:rsid w:val="001932DE"/>
    <w:rsid w:val="0019351C"/>
    <w:rsid w:val="0019362A"/>
    <w:rsid w:val="001936CB"/>
    <w:rsid w:val="001937F7"/>
    <w:rsid w:val="0019383A"/>
    <w:rsid w:val="001939AB"/>
    <w:rsid w:val="00193A8C"/>
    <w:rsid w:val="00193C06"/>
    <w:rsid w:val="00193DAF"/>
    <w:rsid w:val="00193F3A"/>
    <w:rsid w:val="00193FBD"/>
    <w:rsid w:val="00193FC7"/>
    <w:rsid w:val="00194087"/>
    <w:rsid w:val="0019409F"/>
    <w:rsid w:val="0019422C"/>
    <w:rsid w:val="0019447C"/>
    <w:rsid w:val="001944A1"/>
    <w:rsid w:val="001944BD"/>
    <w:rsid w:val="0019457C"/>
    <w:rsid w:val="001945AF"/>
    <w:rsid w:val="001946B4"/>
    <w:rsid w:val="0019473E"/>
    <w:rsid w:val="0019474E"/>
    <w:rsid w:val="00194769"/>
    <w:rsid w:val="00194839"/>
    <w:rsid w:val="0019486C"/>
    <w:rsid w:val="001949BD"/>
    <w:rsid w:val="00194BD1"/>
    <w:rsid w:val="00194CA7"/>
    <w:rsid w:val="00194F23"/>
    <w:rsid w:val="00195126"/>
    <w:rsid w:val="0019518D"/>
    <w:rsid w:val="0019536D"/>
    <w:rsid w:val="00195728"/>
    <w:rsid w:val="0019572F"/>
    <w:rsid w:val="0019588E"/>
    <w:rsid w:val="00195978"/>
    <w:rsid w:val="00195AB8"/>
    <w:rsid w:val="00195D02"/>
    <w:rsid w:val="00195D28"/>
    <w:rsid w:val="00195D2A"/>
    <w:rsid w:val="00195D86"/>
    <w:rsid w:val="00195DCB"/>
    <w:rsid w:val="00195DE2"/>
    <w:rsid w:val="00195EE2"/>
    <w:rsid w:val="00196045"/>
    <w:rsid w:val="0019614F"/>
    <w:rsid w:val="0019620B"/>
    <w:rsid w:val="00196244"/>
    <w:rsid w:val="00196314"/>
    <w:rsid w:val="001963BA"/>
    <w:rsid w:val="001963F5"/>
    <w:rsid w:val="0019644E"/>
    <w:rsid w:val="001964BE"/>
    <w:rsid w:val="001964D8"/>
    <w:rsid w:val="0019652C"/>
    <w:rsid w:val="00196777"/>
    <w:rsid w:val="0019680F"/>
    <w:rsid w:val="00196A74"/>
    <w:rsid w:val="00196B4A"/>
    <w:rsid w:val="00196C1A"/>
    <w:rsid w:val="00196D4E"/>
    <w:rsid w:val="00196E8B"/>
    <w:rsid w:val="00196EA7"/>
    <w:rsid w:val="001970C0"/>
    <w:rsid w:val="001971C9"/>
    <w:rsid w:val="001972BA"/>
    <w:rsid w:val="001973AB"/>
    <w:rsid w:val="00197469"/>
    <w:rsid w:val="001974DA"/>
    <w:rsid w:val="001976B3"/>
    <w:rsid w:val="0019770D"/>
    <w:rsid w:val="0019775A"/>
    <w:rsid w:val="001977EF"/>
    <w:rsid w:val="00197921"/>
    <w:rsid w:val="0019792D"/>
    <w:rsid w:val="00197BF1"/>
    <w:rsid w:val="00197BF2"/>
    <w:rsid w:val="00197EC2"/>
    <w:rsid w:val="0019BA10"/>
    <w:rsid w:val="001A007D"/>
    <w:rsid w:val="001A0154"/>
    <w:rsid w:val="001A0186"/>
    <w:rsid w:val="001A01AD"/>
    <w:rsid w:val="001A0289"/>
    <w:rsid w:val="001A02F4"/>
    <w:rsid w:val="001A04BD"/>
    <w:rsid w:val="001A04C2"/>
    <w:rsid w:val="001A052E"/>
    <w:rsid w:val="001A060D"/>
    <w:rsid w:val="001A0783"/>
    <w:rsid w:val="001A07CA"/>
    <w:rsid w:val="001A0AF3"/>
    <w:rsid w:val="001A0C19"/>
    <w:rsid w:val="001A0CF6"/>
    <w:rsid w:val="001A0E08"/>
    <w:rsid w:val="001A0E9C"/>
    <w:rsid w:val="001A0F20"/>
    <w:rsid w:val="001A0F92"/>
    <w:rsid w:val="001A0FD4"/>
    <w:rsid w:val="001A11F4"/>
    <w:rsid w:val="001A12B7"/>
    <w:rsid w:val="001A1342"/>
    <w:rsid w:val="001A13E2"/>
    <w:rsid w:val="001A1472"/>
    <w:rsid w:val="001A156A"/>
    <w:rsid w:val="001A1691"/>
    <w:rsid w:val="001A16B3"/>
    <w:rsid w:val="001A18A0"/>
    <w:rsid w:val="001A18BE"/>
    <w:rsid w:val="001A18F8"/>
    <w:rsid w:val="001A1A50"/>
    <w:rsid w:val="001A1AD8"/>
    <w:rsid w:val="001A1CAD"/>
    <w:rsid w:val="001A1CB7"/>
    <w:rsid w:val="001A1D0F"/>
    <w:rsid w:val="001A1D4E"/>
    <w:rsid w:val="001A1F3D"/>
    <w:rsid w:val="001A2040"/>
    <w:rsid w:val="001A205C"/>
    <w:rsid w:val="001A2065"/>
    <w:rsid w:val="001A2191"/>
    <w:rsid w:val="001A242F"/>
    <w:rsid w:val="001A24E2"/>
    <w:rsid w:val="001A251E"/>
    <w:rsid w:val="001A25EA"/>
    <w:rsid w:val="001A273E"/>
    <w:rsid w:val="001A27C6"/>
    <w:rsid w:val="001A27FC"/>
    <w:rsid w:val="001A284A"/>
    <w:rsid w:val="001A284F"/>
    <w:rsid w:val="001A290B"/>
    <w:rsid w:val="001A2A7F"/>
    <w:rsid w:val="001A2C71"/>
    <w:rsid w:val="001A3059"/>
    <w:rsid w:val="001A313A"/>
    <w:rsid w:val="001A3251"/>
    <w:rsid w:val="001A32D7"/>
    <w:rsid w:val="001A33D7"/>
    <w:rsid w:val="001A341B"/>
    <w:rsid w:val="001A35BF"/>
    <w:rsid w:val="001A35C1"/>
    <w:rsid w:val="001A377A"/>
    <w:rsid w:val="001A37C1"/>
    <w:rsid w:val="001A3892"/>
    <w:rsid w:val="001A38A4"/>
    <w:rsid w:val="001A3971"/>
    <w:rsid w:val="001A39B2"/>
    <w:rsid w:val="001A3A4B"/>
    <w:rsid w:val="001A3BC9"/>
    <w:rsid w:val="001A3C39"/>
    <w:rsid w:val="001A3C7D"/>
    <w:rsid w:val="001A3D2A"/>
    <w:rsid w:val="001A3E38"/>
    <w:rsid w:val="001A3ED5"/>
    <w:rsid w:val="001A403D"/>
    <w:rsid w:val="001A407E"/>
    <w:rsid w:val="001A40C5"/>
    <w:rsid w:val="001A4150"/>
    <w:rsid w:val="001A420B"/>
    <w:rsid w:val="001A438B"/>
    <w:rsid w:val="001A442C"/>
    <w:rsid w:val="001A4577"/>
    <w:rsid w:val="001A4722"/>
    <w:rsid w:val="001A4815"/>
    <w:rsid w:val="001A4947"/>
    <w:rsid w:val="001A4A67"/>
    <w:rsid w:val="001A4B8B"/>
    <w:rsid w:val="001A4B97"/>
    <w:rsid w:val="001A4BB2"/>
    <w:rsid w:val="001A4CF8"/>
    <w:rsid w:val="001A4D4C"/>
    <w:rsid w:val="001A4D99"/>
    <w:rsid w:val="001A4E3B"/>
    <w:rsid w:val="001A4EAE"/>
    <w:rsid w:val="001A4F7D"/>
    <w:rsid w:val="001A503B"/>
    <w:rsid w:val="001A510B"/>
    <w:rsid w:val="001A5134"/>
    <w:rsid w:val="001A521E"/>
    <w:rsid w:val="001A5265"/>
    <w:rsid w:val="001A52BF"/>
    <w:rsid w:val="001A5312"/>
    <w:rsid w:val="001A541F"/>
    <w:rsid w:val="001A54DB"/>
    <w:rsid w:val="001A54E1"/>
    <w:rsid w:val="001A552A"/>
    <w:rsid w:val="001A55CF"/>
    <w:rsid w:val="001A5683"/>
    <w:rsid w:val="001A56E6"/>
    <w:rsid w:val="001A57C0"/>
    <w:rsid w:val="001A5E00"/>
    <w:rsid w:val="001A5EC8"/>
    <w:rsid w:val="001A5EE0"/>
    <w:rsid w:val="001A5FDF"/>
    <w:rsid w:val="001A60D4"/>
    <w:rsid w:val="001A61C0"/>
    <w:rsid w:val="001A630D"/>
    <w:rsid w:val="001A6375"/>
    <w:rsid w:val="001A63BA"/>
    <w:rsid w:val="001A63EA"/>
    <w:rsid w:val="001A650A"/>
    <w:rsid w:val="001A6719"/>
    <w:rsid w:val="001A6790"/>
    <w:rsid w:val="001A6823"/>
    <w:rsid w:val="001A68C0"/>
    <w:rsid w:val="001A68F4"/>
    <w:rsid w:val="001A6924"/>
    <w:rsid w:val="001A6BAA"/>
    <w:rsid w:val="001A6F1B"/>
    <w:rsid w:val="001A6F61"/>
    <w:rsid w:val="001A7014"/>
    <w:rsid w:val="001A7045"/>
    <w:rsid w:val="001A7135"/>
    <w:rsid w:val="001A71B1"/>
    <w:rsid w:val="001A7297"/>
    <w:rsid w:val="001A73D7"/>
    <w:rsid w:val="001A73D8"/>
    <w:rsid w:val="001A73DB"/>
    <w:rsid w:val="001A75BD"/>
    <w:rsid w:val="001A767F"/>
    <w:rsid w:val="001A78A3"/>
    <w:rsid w:val="001A78FF"/>
    <w:rsid w:val="001A7A9F"/>
    <w:rsid w:val="001A7B31"/>
    <w:rsid w:val="001A7B3C"/>
    <w:rsid w:val="001A7B42"/>
    <w:rsid w:val="001A7CCB"/>
    <w:rsid w:val="001A7CCD"/>
    <w:rsid w:val="001A7D8F"/>
    <w:rsid w:val="001A7E3E"/>
    <w:rsid w:val="001A7E93"/>
    <w:rsid w:val="001A7F39"/>
    <w:rsid w:val="001A7F56"/>
    <w:rsid w:val="001A7F8A"/>
    <w:rsid w:val="001B0020"/>
    <w:rsid w:val="001B002A"/>
    <w:rsid w:val="001B00A7"/>
    <w:rsid w:val="001B00BE"/>
    <w:rsid w:val="001B036C"/>
    <w:rsid w:val="001B0382"/>
    <w:rsid w:val="001B03FB"/>
    <w:rsid w:val="001B049D"/>
    <w:rsid w:val="001B064A"/>
    <w:rsid w:val="001B06A3"/>
    <w:rsid w:val="001B06BF"/>
    <w:rsid w:val="001B06C1"/>
    <w:rsid w:val="001B072F"/>
    <w:rsid w:val="001B07C0"/>
    <w:rsid w:val="001B0933"/>
    <w:rsid w:val="001B096E"/>
    <w:rsid w:val="001B0AB7"/>
    <w:rsid w:val="001B0B7B"/>
    <w:rsid w:val="001B0C5C"/>
    <w:rsid w:val="001B0D07"/>
    <w:rsid w:val="001B0E0C"/>
    <w:rsid w:val="001B0EB9"/>
    <w:rsid w:val="001B1127"/>
    <w:rsid w:val="001B1169"/>
    <w:rsid w:val="001B1387"/>
    <w:rsid w:val="001B13F7"/>
    <w:rsid w:val="001B17EF"/>
    <w:rsid w:val="001B17FE"/>
    <w:rsid w:val="001B1904"/>
    <w:rsid w:val="001B1AD7"/>
    <w:rsid w:val="001B1BDB"/>
    <w:rsid w:val="001B1BEC"/>
    <w:rsid w:val="001B1BED"/>
    <w:rsid w:val="001B1C6C"/>
    <w:rsid w:val="001B1D88"/>
    <w:rsid w:val="001B1DD8"/>
    <w:rsid w:val="001B1EA0"/>
    <w:rsid w:val="001B1F1A"/>
    <w:rsid w:val="001B2180"/>
    <w:rsid w:val="001B2361"/>
    <w:rsid w:val="001B2362"/>
    <w:rsid w:val="001B23C0"/>
    <w:rsid w:val="001B23D5"/>
    <w:rsid w:val="001B2439"/>
    <w:rsid w:val="001B252D"/>
    <w:rsid w:val="001B26A5"/>
    <w:rsid w:val="001B2729"/>
    <w:rsid w:val="001B27C4"/>
    <w:rsid w:val="001B28D1"/>
    <w:rsid w:val="001B2945"/>
    <w:rsid w:val="001B2A97"/>
    <w:rsid w:val="001B2B32"/>
    <w:rsid w:val="001B2B3E"/>
    <w:rsid w:val="001B2CD4"/>
    <w:rsid w:val="001B2FCA"/>
    <w:rsid w:val="001B3112"/>
    <w:rsid w:val="001B318C"/>
    <w:rsid w:val="001B32AB"/>
    <w:rsid w:val="001B32F9"/>
    <w:rsid w:val="001B3340"/>
    <w:rsid w:val="001B33AA"/>
    <w:rsid w:val="001B33B6"/>
    <w:rsid w:val="001B353E"/>
    <w:rsid w:val="001B3616"/>
    <w:rsid w:val="001B36F6"/>
    <w:rsid w:val="001B37B8"/>
    <w:rsid w:val="001B384F"/>
    <w:rsid w:val="001B38FA"/>
    <w:rsid w:val="001B398A"/>
    <w:rsid w:val="001B3A50"/>
    <w:rsid w:val="001B3AC6"/>
    <w:rsid w:val="001B3AD1"/>
    <w:rsid w:val="001B3B43"/>
    <w:rsid w:val="001B3BF2"/>
    <w:rsid w:val="001B3C57"/>
    <w:rsid w:val="001B3E9D"/>
    <w:rsid w:val="001B3EB1"/>
    <w:rsid w:val="001B3F08"/>
    <w:rsid w:val="001B3F6B"/>
    <w:rsid w:val="001B4135"/>
    <w:rsid w:val="001B41C3"/>
    <w:rsid w:val="001B4231"/>
    <w:rsid w:val="001B4281"/>
    <w:rsid w:val="001B4421"/>
    <w:rsid w:val="001B4424"/>
    <w:rsid w:val="001B4481"/>
    <w:rsid w:val="001B4791"/>
    <w:rsid w:val="001B48AD"/>
    <w:rsid w:val="001B49BB"/>
    <w:rsid w:val="001B4A81"/>
    <w:rsid w:val="001B4AAE"/>
    <w:rsid w:val="001B4CC3"/>
    <w:rsid w:val="001B4D6F"/>
    <w:rsid w:val="001B4E2B"/>
    <w:rsid w:val="001B4FFC"/>
    <w:rsid w:val="001B51AC"/>
    <w:rsid w:val="001B51E1"/>
    <w:rsid w:val="001B52A3"/>
    <w:rsid w:val="001B5389"/>
    <w:rsid w:val="001B54F2"/>
    <w:rsid w:val="001B5646"/>
    <w:rsid w:val="001B564F"/>
    <w:rsid w:val="001B5780"/>
    <w:rsid w:val="001B5998"/>
    <w:rsid w:val="001B5A76"/>
    <w:rsid w:val="001B5C72"/>
    <w:rsid w:val="001B5CD9"/>
    <w:rsid w:val="001B5D42"/>
    <w:rsid w:val="001B5F12"/>
    <w:rsid w:val="001B5F3D"/>
    <w:rsid w:val="001B601E"/>
    <w:rsid w:val="001B6113"/>
    <w:rsid w:val="001B6213"/>
    <w:rsid w:val="001B627C"/>
    <w:rsid w:val="001B62C7"/>
    <w:rsid w:val="001B62F3"/>
    <w:rsid w:val="001B6335"/>
    <w:rsid w:val="001B64D3"/>
    <w:rsid w:val="001B664D"/>
    <w:rsid w:val="001B665F"/>
    <w:rsid w:val="001B68A4"/>
    <w:rsid w:val="001B69E9"/>
    <w:rsid w:val="001B6AC8"/>
    <w:rsid w:val="001B6AD9"/>
    <w:rsid w:val="001B6B39"/>
    <w:rsid w:val="001B6FA4"/>
    <w:rsid w:val="001B703F"/>
    <w:rsid w:val="001B718C"/>
    <w:rsid w:val="001B7329"/>
    <w:rsid w:val="001B7456"/>
    <w:rsid w:val="001B763D"/>
    <w:rsid w:val="001B7908"/>
    <w:rsid w:val="001B7933"/>
    <w:rsid w:val="001B7A0F"/>
    <w:rsid w:val="001B7AC4"/>
    <w:rsid w:val="001B7B0A"/>
    <w:rsid w:val="001B7D2C"/>
    <w:rsid w:val="001B7DC4"/>
    <w:rsid w:val="001B7E24"/>
    <w:rsid w:val="001B7EDC"/>
    <w:rsid w:val="001C0082"/>
    <w:rsid w:val="001C00D0"/>
    <w:rsid w:val="001C0151"/>
    <w:rsid w:val="001C0412"/>
    <w:rsid w:val="001C0488"/>
    <w:rsid w:val="001C0721"/>
    <w:rsid w:val="001C0866"/>
    <w:rsid w:val="001C09BB"/>
    <w:rsid w:val="001C0A24"/>
    <w:rsid w:val="001C0A9F"/>
    <w:rsid w:val="001C0B3F"/>
    <w:rsid w:val="001C0B6C"/>
    <w:rsid w:val="001C0C32"/>
    <w:rsid w:val="001C0C3F"/>
    <w:rsid w:val="001C0DED"/>
    <w:rsid w:val="001C0F41"/>
    <w:rsid w:val="001C0F74"/>
    <w:rsid w:val="001C0FB7"/>
    <w:rsid w:val="001C12D2"/>
    <w:rsid w:val="001C14D5"/>
    <w:rsid w:val="001C14ED"/>
    <w:rsid w:val="001C1552"/>
    <w:rsid w:val="001C1585"/>
    <w:rsid w:val="001C1655"/>
    <w:rsid w:val="001C174A"/>
    <w:rsid w:val="001C177D"/>
    <w:rsid w:val="001C17D9"/>
    <w:rsid w:val="001C18C3"/>
    <w:rsid w:val="001C191B"/>
    <w:rsid w:val="001C1963"/>
    <w:rsid w:val="001C1B8D"/>
    <w:rsid w:val="001C1BB7"/>
    <w:rsid w:val="001C1C0F"/>
    <w:rsid w:val="001C1CCE"/>
    <w:rsid w:val="001C1D05"/>
    <w:rsid w:val="001C1E6A"/>
    <w:rsid w:val="001C22C4"/>
    <w:rsid w:val="001C2315"/>
    <w:rsid w:val="001C2335"/>
    <w:rsid w:val="001C2356"/>
    <w:rsid w:val="001C235E"/>
    <w:rsid w:val="001C24E0"/>
    <w:rsid w:val="001C25CC"/>
    <w:rsid w:val="001C260A"/>
    <w:rsid w:val="001C2886"/>
    <w:rsid w:val="001C2913"/>
    <w:rsid w:val="001C2A48"/>
    <w:rsid w:val="001C2B58"/>
    <w:rsid w:val="001C2C50"/>
    <w:rsid w:val="001C2E75"/>
    <w:rsid w:val="001C2EA5"/>
    <w:rsid w:val="001C2F0F"/>
    <w:rsid w:val="001C2F51"/>
    <w:rsid w:val="001C315B"/>
    <w:rsid w:val="001C3204"/>
    <w:rsid w:val="001C327E"/>
    <w:rsid w:val="001C32A1"/>
    <w:rsid w:val="001C3347"/>
    <w:rsid w:val="001C334C"/>
    <w:rsid w:val="001C337E"/>
    <w:rsid w:val="001C347E"/>
    <w:rsid w:val="001C34BA"/>
    <w:rsid w:val="001C3592"/>
    <w:rsid w:val="001C3695"/>
    <w:rsid w:val="001C3760"/>
    <w:rsid w:val="001C3762"/>
    <w:rsid w:val="001C37AB"/>
    <w:rsid w:val="001C37B6"/>
    <w:rsid w:val="001C38D4"/>
    <w:rsid w:val="001C3914"/>
    <w:rsid w:val="001C391A"/>
    <w:rsid w:val="001C3A81"/>
    <w:rsid w:val="001C3B7C"/>
    <w:rsid w:val="001C3BED"/>
    <w:rsid w:val="001C3C3D"/>
    <w:rsid w:val="001C3CEE"/>
    <w:rsid w:val="001C3EA1"/>
    <w:rsid w:val="001C3EED"/>
    <w:rsid w:val="001C4441"/>
    <w:rsid w:val="001C4477"/>
    <w:rsid w:val="001C47DD"/>
    <w:rsid w:val="001C48C6"/>
    <w:rsid w:val="001C4ACB"/>
    <w:rsid w:val="001C4B1D"/>
    <w:rsid w:val="001C4D04"/>
    <w:rsid w:val="001C4D05"/>
    <w:rsid w:val="001C4D91"/>
    <w:rsid w:val="001C4D96"/>
    <w:rsid w:val="001C4DD8"/>
    <w:rsid w:val="001C4E3E"/>
    <w:rsid w:val="001C4ECC"/>
    <w:rsid w:val="001C4F66"/>
    <w:rsid w:val="001C4F70"/>
    <w:rsid w:val="001C4FC4"/>
    <w:rsid w:val="001C50C4"/>
    <w:rsid w:val="001C5112"/>
    <w:rsid w:val="001C514F"/>
    <w:rsid w:val="001C5219"/>
    <w:rsid w:val="001C5245"/>
    <w:rsid w:val="001C524B"/>
    <w:rsid w:val="001C54B7"/>
    <w:rsid w:val="001C56C8"/>
    <w:rsid w:val="001C5783"/>
    <w:rsid w:val="001C5808"/>
    <w:rsid w:val="001C5891"/>
    <w:rsid w:val="001C58B2"/>
    <w:rsid w:val="001C58C3"/>
    <w:rsid w:val="001C5B0F"/>
    <w:rsid w:val="001C5B56"/>
    <w:rsid w:val="001C5C72"/>
    <w:rsid w:val="001C5CD9"/>
    <w:rsid w:val="001C5D12"/>
    <w:rsid w:val="001C5DCD"/>
    <w:rsid w:val="001C612D"/>
    <w:rsid w:val="001C61A0"/>
    <w:rsid w:val="001C61F4"/>
    <w:rsid w:val="001C627F"/>
    <w:rsid w:val="001C62E0"/>
    <w:rsid w:val="001C6345"/>
    <w:rsid w:val="001C6518"/>
    <w:rsid w:val="001C681B"/>
    <w:rsid w:val="001C689A"/>
    <w:rsid w:val="001C68A9"/>
    <w:rsid w:val="001C6930"/>
    <w:rsid w:val="001C69D0"/>
    <w:rsid w:val="001C69E3"/>
    <w:rsid w:val="001C6A90"/>
    <w:rsid w:val="001C6B05"/>
    <w:rsid w:val="001C6C38"/>
    <w:rsid w:val="001C6CA3"/>
    <w:rsid w:val="001C6DFD"/>
    <w:rsid w:val="001C703A"/>
    <w:rsid w:val="001C7172"/>
    <w:rsid w:val="001C71C9"/>
    <w:rsid w:val="001C72C7"/>
    <w:rsid w:val="001C739F"/>
    <w:rsid w:val="001C7525"/>
    <w:rsid w:val="001C759D"/>
    <w:rsid w:val="001C77C9"/>
    <w:rsid w:val="001C783C"/>
    <w:rsid w:val="001C7887"/>
    <w:rsid w:val="001C7B3B"/>
    <w:rsid w:val="001C7BA6"/>
    <w:rsid w:val="001C7BCC"/>
    <w:rsid w:val="001C7C02"/>
    <w:rsid w:val="001C7D33"/>
    <w:rsid w:val="001C7DFE"/>
    <w:rsid w:val="001C7E04"/>
    <w:rsid w:val="001C7F92"/>
    <w:rsid w:val="001D003F"/>
    <w:rsid w:val="001D006F"/>
    <w:rsid w:val="001D023F"/>
    <w:rsid w:val="001D030C"/>
    <w:rsid w:val="001D03A4"/>
    <w:rsid w:val="001D0465"/>
    <w:rsid w:val="001D049D"/>
    <w:rsid w:val="001D05A1"/>
    <w:rsid w:val="001D06A1"/>
    <w:rsid w:val="001D076F"/>
    <w:rsid w:val="001D0864"/>
    <w:rsid w:val="001D08B3"/>
    <w:rsid w:val="001D095D"/>
    <w:rsid w:val="001D0972"/>
    <w:rsid w:val="001D0994"/>
    <w:rsid w:val="001D0C97"/>
    <w:rsid w:val="001D0D3F"/>
    <w:rsid w:val="001D0DBD"/>
    <w:rsid w:val="001D0F11"/>
    <w:rsid w:val="001D0FE6"/>
    <w:rsid w:val="001D1025"/>
    <w:rsid w:val="001D10A1"/>
    <w:rsid w:val="001D1101"/>
    <w:rsid w:val="001D12DD"/>
    <w:rsid w:val="001D13F2"/>
    <w:rsid w:val="001D14FC"/>
    <w:rsid w:val="001D151A"/>
    <w:rsid w:val="001D19B3"/>
    <w:rsid w:val="001D19D0"/>
    <w:rsid w:val="001D1A63"/>
    <w:rsid w:val="001D1BE1"/>
    <w:rsid w:val="001D1C86"/>
    <w:rsid w:val="001D1DD4"/>
    <w:rsid w:val="001D1DEB"/>
    <w:rsid w:val="001D1F9D"/>
    <w:rsid w:val="001D201C"/>
    <w:rsid w:val="001D202E"/>
    <w:rsid w:val="001D20B5"/>
    <w:rsid w:val="001D20C4"/>
    <w:rsid w:val="001D215D"/>
    <w:rsid w:val="001D2216"/>
    <w:rsid w:val="001D2348"/>
    <w:rsid w:val="001D23B6"/>
    <w:rsid w:val="001D24E7"/>
    <w:rsid w:val="001D2593"/>
    <w:rsid w:val="001D2740"/>
    <w:rsid w:val="001D28D6"/>
    <w:rsid w:val="001D2932"/>
    <w:rsid w:val="001D2933"/>
    <w:rsid w:val="001D296F"/>
    <w:rsid w:val="001D2A5E"/>
    <w:rsid w:val="001D2AC1"/>
    <w:rsid w:val="001D2AFF"/>
    <w:rsid w:val="001D2C10"/>
    <w:rsid w:val="001D2C27"/>
    <w:rsid w:val="001D2F6D"/>
    <w:rsid w:val="001D3061"/>
    <w:rsid w:val="001D314A"/>
    <w:rsid w:val="001D31CA"/>
    <w:rsid w:val="001D3201"/>
    <w:rsid w:val="001D328D"/>
    <w:rsid w:val="001D32C0"/>
    <w:rsid w:val="001D32EF"/>
    <w:rsid w:val="001D331A"/>
    <w:rsid w:val="001D3376"/>
    <w:rsid w:val="001D3515"/>
    <w:rsid w:val="001D35F4"/>
    <w:rsid w:val="001D360F"/>
    <w:rsid w:val="001D3773"/>
    <w:rsid w:val="001D37BA"/>
    <w:rsid w:val="001D38E7"/>
    <w:rsid w:val="001D3970"/>
    <w:rsid w:val="001D3A64"/>
    <w:rsid w:val="001D3AE4"/>
    <w:rsid w:val="001D3C31"/>
    <w:rsid w:val="001D3CF2"/>
    <w:rsid w:val="001D3D55"/>
    <w:rsid w:val="001D3EFE"/>
    <w:rsid w:val="001D43D9"/>
    <w:rsid w:val="001D4846"/>
    <w:rsid w:val="001D4C20"/>
    <w:rsid w:val="001D4C2D"/>
    <w:rsid w:val="001D4CBC"/>
    <w:rsid w:val="001D4CF5"/>
    <w:rsid w:val="001D4D42"/>
    <w:rsid w:val="001D4DFC"/>
    <w:rsid w:val="001D4F34"/>
    <w:rsid w:val="001D5595"/>
    <w:rsid w:val="001D55E7"/>
    <w:rsid w:val="001D564D"/>
    <w:rsid w:val="001D5793"/>
    <w:rsid w:val="001D580B"/>
    <w:rsid w:val="001D583D"/>
    <w:rsid w:val="001D5AC7"/>
    <w:rsid w:val="001D5AF1"/>
    <w:rsid w:val="001D5B3D"/>
    <w:rsid w:val="001D5C31"/>
    <w:rsid w:val="001D5C73"/>
    <w:rsid w:val="001D5CDF"/>
    <w:rsid w:val="001D5DFC"/>
    <w:rsid w:val="001D5E43"/>
    <w:rsid w:val="001D5E7D"/>
    <w:rsid w:val="001D61D7"/>
    <w:rsid w:val="001D61E5"/>
    <w:rsid w:val="001D6240"/>
    <w:rsid w:val="001D6444"/>
    <w:rsid w:val="001D6457"/>
    <w:rsid w:val="001D650F"/>
    <w:rsid w:val="001D6619"/>
    <w:rsid w:val="001D66DA"/>
    <w:rsid w:val="001D670F"/>
    <w:rsid w:val="001D6722"/>
    <w:rsid w:val="001D676D"/>
    <w:rsid w:val="001D6795"/>
    <w:rsid w:val="001D6889"/>
    <w:rsid w:val="001D6890"/>
    <w:rsid w:val="001D69FB"/>
    <w:rsid w:val="001D6A28"/>
    <w:rsid w:val="001D6BAA"/>
    <w:rsid w:val="001D6BBA"/>
    <w:rsid w:val="001D6BF6"/>
    <w:rsid w:val="001D6C02"/>
    <w:rsid w:val="001D6C8F"/>
    <w:rsid w:val="001D6CD6"/>
    <w:rsid w:val="001D6DD1"/>
    <w:rsid w:val="001D6EB0"/>
    <w:rsid w:val="001D6EF8"/>
    <w:rsid w:val="001D6F01"/>
    <w:rsid w:val="001D707E"/>
    <w:rsid w:val="001D7125"/>
    <w:rsid w:val="001D72E7"/>
    <w:rsid w:val="001D72EA"/>
    <w:rsid w:val="001D738D"/>
    <w:rsid w:val="001D73DC"/>
    <w:rsid w:val="001D749B"/>
    <w:rsid w:val="001D74A7"/>
    <w:rsid w:val="001D7562"/>
    <w:rsid w:val="001D75F8"/>
    <w:rsid w:val="001D763C"/>
    <w:rsid w:val="001D774A"/>
    <w:rsid w:val="001D7779"/>
    <w:rsid w:val="001D788C"/>
    <w:rsid w:val="001D794F"/>
    <w:rsid w:val="001D7ACF"/>
    <w:rsid w:val="001D7BFB"/>
    <w:rsid w:val="001D7C7D"/>
    <w:rsid w:val="001D7ED4"/>
    <w:rsid w:val="001D7F57"/>
    <w:rsid w:val="001D7F76"/>
    <w:rsid w:val="001D7F81"/>
    <w:rsid w:val="001D7F92"/>
    <w:rsid w:val="001D7FE3"/>
    <w:rsid w:val="001E00B9"/>
    <w:rsid w:val="001E0268"/>
    <w:rsid w:val="001E02A7"/>
    <w:rsid w:val="001E02E5"/>
    <w:rsid w:val="001E034F"/>
    <w:rsid w:val="001E04EF"/>
    <w:rsid w:val="001E0603"/>
    <w:rsid w:val="001E0617"/>
    <w:rsid w:val="001E06D0"/>
    <w:rsid w:val="001E06DB"/>
    <w:rsid w:val="001E0788"/>
    <w:rsid w:val="001E07CC"/>
    <w:rsid w:val="001E07F0"/>
    <w:rsid w:val="001E0840"/>
    <w:rsid w:val="001E0845"/>
    <w:rsid w:val="001E0876"/>
    <w:rsid w:val="001E093F"/>
    <w:rsid w:val="001E09F6"/>
    <w:rsid w:val="001E0A33"/>
    <w:rsid w:val="001E0A82"/>
    <w:rsid w:val="001E0AE0"/>
    <w:rsid w:val="001E0BC3"/>
    <w:rsid w:val="001E0CED"/>
    <w:rsid w:val="001E0DC8"/>
    <w:rsid w:val="001E101E"/>
    <w:rsid w:val="001E101F"/>
    <w:rsid w:val="001E1051"/>
    <w:rsid w:val="001E10C0"/>
    <w:rsid w:val="001E10D1"/>
    <w:rsid w:val="001E1115"/>
    <w:rsid w:val="001E116E"/>
    <w:rsid w:val="001E1263"/>
    <w:rsid w:val="001E13F0"/>
    <w:rsid w:val="001E14AD"/>
    <w:rsid w:val="001E153C"/>
    <w:rsid w:val="001E15F2"/>
    <w:rsid w:val="001E1628"/>
    <w:rsid w:val="001E1679"/>
    <w:rsid w:val="001E1878"/>
    <w:rsid w:val="001E19BD"/>
    <w:rsid w:val="001E1A00"/>
    <w:rsid w:val="001E1BFF"/>
    <w:rsid w:val="001E1C36"/>
    <w:rsid w:val="001E1C8A"/>
    <w:rsid w:val="001E1CD3"/>
    <w:rsid w:val="001E1CF3"/>
    <w:rsid w:val="001E1D4F"/>
    <w:rsid w:val="001E1D88"/>
    <w:rsid w:val="001E1E53"/>
    <w:rsid w:val="001E1E95"/>
    <w:rsid w:val="001E1EAF"/>
    <w:rsid w:val="001E1F4E"/>
    <w:rsid w:val="001E2018"/>
    <w:rsid w:val="001E22F7"/>
    <w:rsid w:val="001E260B"/>
    <w:rsid w:val="001E267D"/>
    <w:rsid w:val="001E268D"/>
    <w:rsid w:val="001E273C"/>
    <w:rsid w:val="001E2B4B"/>
    <w:rsid w:val="001E2B9E"/>
    <w:rsid w:val="001E2C53"/>
    <w:rsid w:val="001E2C98"/>
    <w:rsid w:val="001E2D0E"/>
    <w:rsid w:val="001E2D1E"/>
    <w:rsid w:val="001E2D78"/>
    <w:rsid w:val="001E2E91"/>
    <w:rsid w:val="001E2F19"/>
    <w:rsid w:val="001E2F60"/>
    <w:rsid w:val="001E30A3"/>
    <w:rsid w:val="001E315A"/>
    <w:rsid w:val="001E3265"/>
    <w:rsid w:val="001E3420"/>
    <w:rsid w:val="001E35F8"/>
    <w:rsid w:val="001E3649"/>
    <w:rsid w:val="001E37DA"/>
    <w:rsid w:val="001E3828"/>
    <w:rsid w:val="001E38FD"/>
    <w:rsid w:val="001E395F"/>
    <w:rsid w:val="001E3A27"/>
    <w:rsid w:val="001E3B7C"/>
    <w:rsid w:val="001E3BD9"/>
    <w:rsid w:val="001E3C84"/>
    <w:rsid w:val="001E3CB3"/>
    <w:rsid w:val="001E3CEA"/>
    <w:rsid w:val="001E3D39"/>
    <w:rsid w:val="001E3D44"/>
    <w:rsid w:val="001E3D57"/>
    <w:rsid w:val="001E3D86"/>
    <w:rsid w:val="001E3DB7"/>
    <w:rsid w:val="001E3EAE"/>
    <w:rsid w:val="001E3EFA"/>
    <w:rsid w:val="001E424F"/>
    <w:rsid w:val="001E42B8"/>
    <w:rsid w:val="001E42CC"/>
    <w:rsid w:val="001E42FD"/>
    <w:rsid w:val="001E4307"/>
    <w:rsid w:val="001E44AA"/>
    <w:rsid w:val="001E45AE"/>
    <w:rsid w:val="001E465F"/>
    <w:rsid w:val="001E467B"/>
    <w:rsid w:val="001E4692"/>
    <w:rsid w:val="001E4701"/>
    <w:rsid w:val="001E48A0"/>
    <w:rsid w:val="001E495B"/>
    <w:rsid w:val="001E4B7E"/>
    <w:rsid w:val="001E4C68"/>
    <w:rsid w:val="001E4E20"/>
    <w:rsid w:val="001E4EA8"/>
    <w:rsid w:val="001E4FB2"/>
    <w:rsid w:val="001E4FBF"/>
    <w:rsid w:val="001E5022"/>
    <w:rsid w:val="001E524C"/>
    <w:rsid w:val="001E52EF"/>
    <w:rsid w:val="001E5307"/>
    <w:rsid w:val="001E539E"/>
    <w:rsid w:val="001E53B1"/>
    <w:rsid w:val="001E53CC"/>
    <w:rsid w:val="001E55CE"/>
    <w:rsid w:val="001E5911"/>
    <w:rsid w:val="001E5B17"/>
    <w:rsid w:val="001E5D31"/>
    <w:rsid w:val="001E5E87"/>
    <w:rsid w:val="001E5EA9"/>
    <w:rsid w:val="001E5ED6"/>
    <w:rsid w:val="001E601B"/>
    <w:rsid w:val="001E6155"/>
    <w:rsid w:val="001E635C"/>
    <w:rsid w:val="001E6380"/>
    <w:rsid w:val="001E639C"/>
    <w:rsid w:val="001E6422"/>
    <w:rsid w:val="001E6606"/>
    <w:rsid w:val="001E673A"/>
    <w:rsid w:val="001E6907"/>
    <w:rsid w:val="001E6A32"/>
    <w:rsid w:val="001E6A87"/>
    <w:rsid w:val="001E6BD9"/>
    <w:rsid w:val="001E6CB7"/>
    <w:rsid w:val="001E6D01"/>
    <w:rsid w:val="001E6DBB"/>
    <w:rsid w:val="001E6E8C"/>
    <w:rsid w:val="001E7235"/>
    <w:rsid w:val="001E7317"/>
    <w:rsid w:val="001E73B1"/>
    <w:rsid w:val="001E7513"/>
    <w:rsid w:val="001E7570"/>
    <w:rsid w:val="001E759E"/>
    <w:rsid w:val="001E76E9"/>
    <w:rsid w:val="001E76ED"/>
    <w:rsid w:val="001E77FF"/>
    <w:rsid w:val="001E78F3"/>
    <w:rsid w:val="001E793F"/>
    <w:rsid w:val="001E7B24"/>
    <w:rsid w:val="001E7C88"/>
    <w:rsid w:val="001E7D1B"/>
    <w:rsid w:val="001E7E6F"/>
    <w:rsid w:val="001E7EBF"/>
    <w:rsid w:val="001F0747"/>
    <w:rsid w:val="001F079D"/>
    <w:rsid w:val="001F087D"/>
    <w:rsid w:val="001F08AF"/>
    <w:rsid w:val="001F0977"/>
    <w:rsid w:val="001F0ABD"/>
    <w:rsid w:val="001F0AEE"/>
    <w:rsid w:val="001F0C25"/>
    <w:rsid w:val="001F0C99"/>
    <w:rsid w:val="001F0DBB"/>
    <w:rsid w:val="001F0EA2"/>
    <w:rsid w:val="001F0F58"/>
    <w:rsid w:val="001F0FFF"/>
    <w:rsid w:val="001F103B"/>
    <w:rsid w:val="001F10CD"/>
    <w:rsid w:val="001F12F9"/>
    <w:rsid w:val="001F145E"/>
    <w:rsid w:val="001F14E3"/>
    <w:rsid w:val="001F1569"/>
    <w:rsid w:val="001F1617"/>
    <w:rsid w:val="001F16D4"/>
    <w:rsid w:val="001F1709"/>
    <w:rsid w:val="001F1802"/>
    <w:rsid w:val="001F1810"/>
    <w:rsid w:val="001F187C"/>
    <w:rsid w:val="001F1AB2"/>
    <w:rsid w:val="001F1B47"/>
    <w:rsid w:val="001F1BA1"/>
    <w:rsid w:val="001F1CD4"/>
    <w:rsid w:val="001F1D04"/>
    <w:rsid w:val="001F1D31"/>
    <w:rsid w:val="001F1E07"/>
    <w:rsid w:val="001F1E6E"/>
    <w:rsid w:val="001F247B"/>
    <w:rsid w:val="001F2642"/>
    <w:rsid w:val="001F26EB"/>
    <w:rsid w:val="001F2882"/>
    <w:rsid w:val="001F2902"/>
    <w:rsid w:val="001F29EB"/>
    <w:rsid w:val="001F2B44"/>
    <w:rsid w:val="001F2B77"/>
    <w:rsid w:val="001F2CED"/>
    <w:rsid w:val="001F2DD6"/>
    <w:rsid w:val="001F2E01"/>
    <w:rsid w:val="001F2F23"/>
    <w:rsid w:val="001F30D6"/>
    <w:rsid w:val="001F30E7"/>
    <w:rsid w:val="001F3117"/>
    <w:rsid w:val="001F31E4"/>
    <w:rsid w:val="001F323B"/>
    <w:rsid w:val="001F32BE"/>
    <w:rsid w:val="001F32D3"/>
    <w:rsid w:val="001F3489"/>
    <w:rsid w:val="001F34CF"/>
    <w:rsid w:val="001F34E0"/>
    <w:rsid w:val="001F3591"/>
    <w:rsid w:val="001F35C2"/>
    <w:rsid w:val="001F3712"/>
    <w:rsid w:val="001F3758"/>
    <w:rsid w:val="001F3769"/>
    <w:rsid w:val="001F37E8"/>
    <w:rsid w:val="001F38A7"/>
    <w:rsid w:val="001F3A8D"/>
    <w:rsid w:val="001F3AA8"/>
    <w:rsid w:val="001F3B7F"/>
    <w:rsid w:val="001F3B84"/>
    <w:rsid w:val="001F3C59"/>
    <w:rsid w:val="001F3CA1"/>
    <w:rsid w:val="001F3CBA"/>
    <w:rsid w:val="001F3E34"/>
    <w:rsid w:val="001F3E9A"/>
    <w:rsid w:val="001F3F36"/>
    <w:rsid w:val="001F400F"/>
    <w:rsid w:val="001F40FC"/>
    <w:rsid w:val="001F411D"/>
    <w:rsid w:val="001F41E6"/>
    <w:rsid w:val="001F4293"/>
    <w:rsid w:val="001F430B"/>
    <w:rsid w:val="001F433B"/>
    <w:rsid w:val="001F457F"/>
    <w:rsid w:val="001F45FE"/>
    <w:rsid w:val="001F48FF"/>
    <w:rsid w:val="001F4B77"/>
    <w:rsid w:val="001F4CAB"/>
    <w:rsid w:val="001F4E0D"/>
    <w:rsid w:val="001F4F67"/>
    <w:rsid w:val="001F4F85"/>
    <w:rsid w:val="001F5007"/>
    <w:rsid w:val="001F50AD"/>
    <w:rsid w:val="001F5244"/>
    <w:rsid w:val="001F5383"/>
    <w:rsid w:val="001F53D5"/>
    <w:rsid w:val="001F54DB"/>
    <w:rsid w:val="001F576C"/>
    <w:rsid w:val="001F58EC"/>
    <w:rsid w:val="001F594D"/>
    <w:rsid w:val="001F59FC"/>
    <w:rsid w:val="001F5AC4"/>
    <w:rsid w:val="001F5AE1"/>
    <w:rsid w:val="001F5B1D"/>
    <w:rsid w:val="001F5B6B"/>
    <w:rsid w:val="001F5BB9"/>
    <w:rsid w:val="001F5CB1"/>
    <w:rsid w:val="001F5D9B"/>
    <w:rsid w:val="001F5E14"/>
    <w:rsid w:val="001F5E5C"/>
    <w:rsid w:val="001F5F75"/>
    <w:rsid w:val="001F630E"/>
    <w:rsid w:val="001F658C"/>
    <w:rsid w:val="001F6695"/>
    <w:rsid w:val="001F675C"/>
    <w:rsid w:val="001F678B"/>
    <w:rsid w:val="001F6AB8"/>
    <w:rsid w:val="001F6BE7"/>
    <w:rsid w:val="001F6C91"/>
    <w:rsid w:val="001F6F44"/>
    <w:rsid w:val="001F6F55"/>
    <w:rsid w:val="001F7052"/>
    <w:rsid w:val="001F7114"/>
    <w:rsid w:val="001F7180"/>
    <w:rsid w:val="001F71DB"/>
    <w:rsid w:val="001F735C"/>
    <w:rsid w:val="001F753B"/>
    <w:rsid w:val="001F7563"/>
    <w:rsid w:val="001F7574"/>
    <w:rsid w:val="001F75E5"/>
    <w:rsid w:val="001F7629"/>
    <w:rsid w:val="001F7685"/>
    <w:rsid w:val="001F76B3"/>
    <w:rsid w:val="001F7897"/>
    <w:rsid w:val="001F78C6"/>
    <w:rsid w:val="001F798B"/>
    <w:rsid w:val="001F7B54"/>
    <w:rsid w:val="001F7C08"/>
    <w:rsid w:val="001F7C78"/>
    <w:rsid w:val="001F7D86"/>
    <w:rsid w:val="001F7F41"/>
    <w:rsid w:val="0020025A"/>
    <w:rsid w:val="00200579"/>
    <w:rsid w:val="00200836"/>
    <w:rsid w:val="00200A3A"/>
    <w:rsid w:val="00200ADB"/>
    <w:rsid w:val="00200C07"/>
    <w:rsid w:val="00200D4A"/>
    <w:rsid w:val="00200DC7"/>
    <w:rsid w:val="00200DE0"/>
    <w:rsid w:val="00200F47"/>
    <w:rsid w:val="0020118B"/>
    <w:rsid w:val="002011D7"/>
    <w:rsid w:val="002012DF"/>
    <w:rsid w:val="002012F1"/>
    <w:rsid w:val="00201559"/>
    <w:rsid w:val="002015AA"/>
    <w:rsid w:val="0020161D"/>
    <w:rsid w:val="002018F4"/>
    <w:rsid w:val="00201A30"/>
    <w:rsid w:val="00201A50"/>
    <w:rsid w:val="00201B24"/>
    <w:rsid w:val="00201BB1"/>
    <w:rsid w:val="00201BE5"/>
    <w:rsid w:val="00201D3B"/>
    <w:rsid w:val="00201D9C"/>
    <w:rsid w:val="00202075"/>
    <w:rsid w:val="002020AF"/>
    <w:rsid w:val="0020215A"/>
    <w:rsid w:val="0020216B"/>
    <w:rsid w:val="002022FD"/>
    <w:rsid w:val="00202959"/>
    <w:rsid w:val="00202AB5"/>
    <w:rsid w:val="00202C23"/>
    <w:rsid w:val="00202C8C"/>
    <w:rsid w:val="00202CCE"/>
    <w:rsid w:val="00202CD0"/>
    <w:rsid w:val="00202D04"/>
    <w:rsid w:val="00202DB6"/>
    <w:rsid w:val="00202E36"/>
    <w:rsid w:val="00203025"/>
    <w:rsid w:val="0020307F"/>
    <w:rsid w:val="00203140"/>
    <w:rsid w:val="002033CC"/>
    <w:rsid w:val="0020355B"/>
    <w:rsid w:val="00203605"/>
    <w:rsid w:val="002038D0"/>
    <w:rsid w:val="00203913"/>
    <w:rsid w:val="00203A72"/>
    <w:rsid w:val="00203AEB"/>
    <w:rsid w:val="00203C2E"/>
    <w:rsid w:val="00203F2B"/>
    <w:rsid w:val="00204077"/>
    <w:rsid w:val="002041E0"/>
    <w:rsid w:val="00204243"/>
    <w:rsid w:val="0020425B"/>
    <w:rsid w:val="00204358"/>
    <w:rsid w:val="002043A2"/>
    <w:rsid w:val="00204581"/>
    <w:rsid w:val="002045CE"/>
    <w:rsid w:val="002045EA"/>
    <w:rsid w:val="002048C3"/>
    <w:rsid w:val="00204915"/>
    <w:rsid w:val="002049A2"/>
    <w:rsid w:val="00204BD5"/>
    <w:rsid w:val="00204BEB"/>
    <w:rsid w:val="00204D71"/>
    <w:rsid w:val="00204EDD"/>
    <w:rsid w:val="00204F72"/>
    <w:rsid w:val="00204FB2"/>
    <w:rsid w:val="0020513B"/>
    <w:rsid w:val="002051D5"/>
    <w:rsid w:val="0020526A"/>
    <w:rsid w:val="002052CC"/>
    <w:rsid w:val="00205337"/>
    <w:rsid w:val="002053B2"/>
    <w:rsid w:val="002054EF"/>
    <w:rsid w:val="0020556D"/>
    <w:rsid w:val="0020561F"/>
    <w:rsid w:val="0020581E"/>
    <w:rsid w:val="002059D0"/>
    <w:rsid w:val="00205AA7"/>
    <w:rsid w:val="00205B2D"/>
    <w:rsid w:val="00205D3B"/>
    <w:rsid w:val="00205D82"/>
    <w:rsid w:val="00205E1E"/>
    <w:rsid w:val="00206162"/>
    <w:rsid w:val="00206276"/>
    <w:rsid w:val="0020639A"/>
    <w:rsid w:val="002063A8"/>
    <w:rsid w:val="00206445"/>
    <w:rsid w:val="002064E7"/>
    <w:rsid w:val="00206554"/>
    <w:rsid w:val="00206588"/>
    <w:rsid w:val="002065D2"/>
    <w:rsid w:val="002065E4"/>
    <w:rsid w:val="00206729"/>
    <w:rsid w:val="002067BB"/>
    <w:rsid w:val="002067E1"/>
    <w:rsid w:val="0020692B"/>
    <w:rsid w:val="00206964"/>
    <w:rsid w:val="00206BE8"/>
    <w:rsid w:val="00206DF5"/>
    <w:rsid w:val="002071C3"/>
    <w:rsid w:val="00207322"/>
    <w:rsid w:val="002074D0"/>
    <w:rsid w:val="0020757E"/>
    <w:rsid w:val="00207724"/>
    <w:rsid w:val="00207764"/>
    <w:rsid w:val="0020778B"/>
    <w:rsid w:val="00207865"/>
    <w:rsid w:val="00207980"/>
    <w:rsid w:val="00207B25"/>
    <w:rsid w:val="00207C17"/>
    <w:rsid w:val="00207C7F"/>
    <w:rsid w:val="00207CDE"/>
    <w:rsid w:val="00207D8C"/>
    <w:rsid w:val="00207E24"/>
    <w:rsid w:val="00207E35"/>
    <w:rsid w:val="00207F59"/>
    <w:rsid w:val="00210071"/>
    <w:rsid w:val="00210108"/>
    <w:rsid w:val="0021014D"/>
    <w:rsid w:val="002102BF"/>
    <w:rsid w:val="002104D6"/>
    <w:rsid w:val="00210602"/>
    <w:rsid w:val="00210621"/>
    <w:rsid w:val="002106FB"/>
    <w:rsid w:val="0021095B"/>
    <w:rsid w:val="002109B1"/>
    <w:rsid w:val="00210C56"/>
    <w:rsid w:val="00210D00"/>
    <w:rsid w:val="00210DBD"/>
    <w:rsid w:val="00210F5C"/>
    <w:rsid w:val="0021105F"/>
    <w:rsid w:val="002110EC"/>
    <w:rsid w:val="00211314"/>
    <w:rsid w:val="0021131D"/>
    <w:rsid w:val="002113A7"/>
    <w:rsid w:val="002114E9"/>
    <w:rsid w:val="002116F3"/>
    <w:rsid w:val="00211843"/>
    <w:rsid w:val="0021197D"/>
    <w:rsid w:val="00211BCD"/>
    <w:rsid w:val="00211C18"/>
    <w:rsid w:val="00211C63"/>
    <w:rsid w:val="00211D25"/>
    <w:rsid w:val="00211DA0"/>
    <w:rsid w:val="00211DC3"/>
    <w:rsid w:val="00211E23"/>
    <w:rsid w:val="00211F3D"/>
    <w:rsid w:val="00212343"/>
    <w:rsid w:val="002125F7"/>
    <w:rsid w:val="00212883"/>
    <w:rsid w:val="002128BA"/>
    <w:rsid w:val="00212ADE"/>
    <w:rsid w:val="00212B93"/>
    <w:rsid w:val="00212C19"/>
    <w:rsid w:val="00212D7B"/>
    <w:rsid w:val="00212F0B"/>
    <w:rsid w:val="00212FDA"/>
    <w:rsid w:val="00213006"/>
    <w:rsid w:val="0021302E"/>
    <w:rsid w:val="00213075"/>
    <w:rsid w:val="0021309A"/>
    <w:rsid w:val="0021322C"/>
    <w:rsid w:val="0021347B"/>
    <w:rsid w:val="002134A2"/>
    <w:rsid w:val="002135A7"/>
    <w:rsid w:val="002136AE"/>
    <w:rsid w:val="0021374A"/>
    <w:rsid w:val="0021378C"/>
    <w:rsid w:val="00213885"/>
    <w:rsid w:val="00213901"/>
    <w:rsid w:val="00213B62"/>
    <w:rsid w:val="00213BDA"/>
    <w:rsid w:val="00213D12"/>
    <w:rsid w:val="00213D98"/>
    <w:rsid w:val="00213E8A"/>
    <w:rsid w:val="00213E8D"/>
    <w:rsid w:val="00213EDD"/>
    <w:rsid w:val="00213FAC"/>
    <w:rsid w:val="00213FE5"/>
    <w:rsid w:val="0021400B"/>
    <w:rsid w:val="002140C6"/>
    <w:rsid w:val="002141C1"/>
    <w:rsid w:val="0021428C"/>
    <w:rsid w:val="00214625"/>
    <w:rsid w:val="0021464D"/>
    <w:rsid w:val="00214763"/>
    <w:rsid w:val="00214820"/>
    <w:rsid w:val="002148B3"/>
    <w:rsid w:val="00214932"/>
    <w:rsid w:val="00214950"/>
    <w:rsid w:val="002149BA"/>
    <w:rsid w:val="00214AF8"/>
    <w:rsid w:val="00214B37"/>
    <w:rsid w:val="00214CFD"/>
    <w:rsid w:val="00214D1C"/>
    <w:rsid w:val="00214E67"/>
    <w:rsid w:val="00214FF7"/>
    <w:rsid w:val="0021509A"/>
    <w:rsid w:val="002150D3"/>
    <w:rsid w:val="002153EE"/>
    <w:rsid w:val="00215426"/>
    <w:rsid w:val="002154D6"/>
    <w:rsid w:val="00215568"/>
    <w:rsid w:val="002155B6"/>
    <w:rsid w:val="0021568C"/>
    <w:rsid w:val="002157E4"/>
    <w:rsid w:val="00215835"/>
    <w:rsid w:val="0021583E"/>
    <w:rsid w:val="00215873"/>
    <w:rsid w:val="002158B7"/>
    <w:rsid w:val="00215972"/>
    <w:rsid w:val="00215AB6"/>
    <w:rsid w:val="00215AF2"/>
    <w:rsid w:val="00215AFB"/>
    <w:rsid w:val="00215BAF"/>
    <w:rsid w:val="00215BE0"/>
    <w:rsid w:val="00215D0C"/>
    <w:rsid w:val="00215DCD"/>
    <w:rsid w:val="00215DEA"/>
    <w:rsid w:val="00215E8B"/>
    <w:rsid w:val="00216011"/>
    <w:rsid w:val="0021612D"/>
    <w:rsid w:val="00216168"/>
    <w:rsid w:val="00216224"/>
    <w:rsid w:val="00216231"/>
    <w:rsid w:val="002162C6"/>
    <w:rsid w:val="0021646A"/>
    <w:rsid w:val="00216474"/>
    <w:rsid w:val="00216510"/>
    <w:rsid w:val="00216533"/>
    <w:rsid w:val="002165FF"/>
    <w:rsid w:val="0021666D"/>
    <w:rsid w:val="002166AB"/>
    <w:rsid w:val="0021670A"/>
    <w:rsid w:val="0021671A"/>
    <w:rsid w:val="0021699C"/>
    <w:rsid w:val="00216AAB"/>
    <w:rsid w:val="00216BB4"/>
    <w:rsid w:val="00216ED8"/>
    <w:rsid w:val="00217454"/>
    <w:rsid w:val="00217466"/>
    <w:rsid w:val="0021747F"/>
    <w:rsid w:val="00217522"/>
    <w:rsid w:val="00217580"/>
    <w:rsid w:val="00217592"/>
    <w:rsid w:val="00217615"/>
    <w:rsid w:val="0021768E"/>
    <w:rsid w:val="0021770D"/>
    <w:rsid w:val="00217818"/>
    <w:rsid w:val="00217827"/>
    <w:rsid w:val="00217B80"/>
    <w:rsid w:val="00217B8C"/>
    <w:rsid w:val="00217E01"/>
    <w:rsid w:val="00217EBA"/>
    <w:rsid w:val="00217F53"/>
    <w:rsid w:val="002200D8"/>
    <w:rsid w:val="0022014E"/>
    <w:rsid w:val="0022035F"/>
    <w:rsid w:val="002203C3"/>
    <w:rsid w:val="00220526"/>
    <w:rsid w:val="00220733"/>
    <w:rsid w:val="00220921"/>
    <w:rsid w:val="002209D6"/>
    <w:rsid w:val="00220A22"/>
    <w:rsid w:val="00220AA7"/>
    <w:rsid w:val="00220B33"/>
    <w:rsid w:val="00220BBF"/>
    <w:rsid w:val="00220C54"/>
    <w:rsid w:val="00220C75"/>
    <w:rsid w:val="00220C98"/>
    <w:rsid w:val="00220F34"/>
    <w:rsid w:val="00220FEB"/>
    <w:rsid w:val="00221184"/>
    <w:rsid w:val="00221250"/>
    <w:rsid w:val="0022133C"/>
    <w:rsid w:val="00221419"/>
    <w:rsid w:val="00221468"/>
    <w:rsid w:val="002214B4"/>
    <w:rsid w:val="002214CA"/>
    <w:rsid w:val="002215A7"/>
    <w:rsid w:val="002216F6"/>
    <w:rsid w:val="0022184F"/>
    <w:rsid w:val="00221855"/>
    <w:rsid w:val="00221889"/>
    <w:rsid w:val="00221A7D"/>
    <w:rsid w:val="00221B51"/>
    <w:rsid w:val="00221C6D"/>
    <w:rsid w:val="00221D54"/>
    <w:rsid w:val="00221DB5"/>
    <w:rsid w:val="00221E0F"/>
    <w:rsid w:val="00221E56"/>
    <w:rsid w:val="00221E70"/>
    <w:rsid w:val="00221FC2"/>
    <w:rsid w:val="00222268"/>
    <w:rsid w:val="0022229D"/>
    <w:rsid w:val="00222464"/>
    <w:rsid w:val="00222779"/>
    <w:rsid w:val="0022279E"/>
    <w:rsid w:val="00222868"/>
    <w:rsid w:val="00222A22"/>
    <w:rsid w:val="00222A4A"/>
    <w:rsid w:val="00222AE8"/>
    <w:rsid w:val="00222C6C"/>
    <w:rsid w:val="00222CD0"/>
    <w:rsid w:val="00222DBA"/>
    <w:rsid w:val="00222EEB"/>
    <w:rsid w:val="00222F38"/>
    <w:rsid w:val="00222F97"/>
    <w:rsid w:val="00222F9F"/>
    <w:rsid w:val="002230FC"/>
    <w:rsid w:val="00223202"/>
    <w:rsid w:val="00223253"/>
    <w:rsid w:val="00223292"/>
    <w:rsid w:val="0022336F"/>
    <w:rsid w:val="00223560"/>
    <w:rsid w:val="00223664"/>
    <w:rsid w:val="0022375C"/>
    <w:rsid w:val="002237E4"/>
    <w:rsid w:val="0022394D"/>
    <w:rsid w:val="002239F2"/>
    <w:rsid w:val="00223A56"/>
    <w:rsid w:val="00223A98"/>
    <w:rsid w:val="00223B1F"/>
    <w:rsid w:val="00223BFC"/>
    <w:rsid w:val="00223CDD"/>
    <w:rsid w:val="00224378"/>
    <w:rsid w:val="002243C4"/>
    <w:rsid w:val="002244A5"/>
    <w:rsid w:val="002244CD"/>
    <w:rsid w:val="002244D2"/>
    <w:rsid w:val="002247A4"/>
    <w:rsid w:val="00224845"/>
    <w:rsid w:val="0022494D"/>
    <w:rsid w:val="00224C1F"/>
    <w:rsid w:val="00224CDF"/>
    <w:rsid w:val="00224E50"/>
    <w:rsid w:val="00224E77"/>
    <w:rsid w:val="00224F5D"/>
    <w:rsid w:val="00224F65"/>
    <w:rsid w:val="00225001"/>
    <w:rsid w:val="00225090"/>
    <w:rsid w:val="002250C4"/>
    <w:rsid w:val="00225121"/>
    <w:rsid w:val="00225288"/>
    <w:rsid w:val="002252CE"/>
    <w:rsid w:val="002253AD"/>
    <w:rsid w:val="002253FF"/>
    <w:rsid w:val="0022545C"/>
    <w:rsid w:val="002254AE"/>
    <w:rsid w:val="0022558D"/>
    <w:rsid w:val="002255DF"/>
    <w:rsid w:val="002256CD"/>
    <w:rsid w:val="002256D5"/>
    <w:rsid w:val="00225708"/>
    <w:rsid w:val="0022574A"/>
    <w:rsid w:val="00225833"/>
    <w:rsid w:val="00225842"/>
    <w:rsid w:val="00225895"/>
    <w:rsid w:val="00225945"/>
    <w:rsid w:val="00225ACF"/>
    <w:rsid w:val="00225D4E"/>
    <w:rsid w:val="00225DB0"/>
    <w:rsid w:val="00225F75"/>
    <w:rsid w:val="00225F86"/>
    <w:rsid w:val="00225F9C"/>
    <w:rsid w:val="00226095"/>
    <w:rsid w:val="00226122"/>
    <w:rsid w:val="002262AC"/>
    <w:rsid w:val="00226443"/>
    <w:rsid w:val="00226457"/>
    <w:rsid w:val="00226524"/>
    <w:rsid w:val="00226600"/>
    <w:rsid w:val="0022661B"/>
    <w:rsid w:val="00226894"/>
    <w:rsid w:val="00226897"/>
    <w:rsid w:val="002269C1"/>
    <w:rsid w:val="00226A5F"/>
    <w:rsid w:val="00226B2B"/>
    <w:rsid w:val="00226BFC"/>
    <w:rsid w:val="00226DBC"/>
    <w:rsid w:val="00226DFF"/>
    <w:rsid w:val="00226FE7"/>
    <w:rsid w:val="002270D0"/>
    <w:rsid w:val="00227153"/>
    <w:rsid w:val="0022715C"/>
    <w:rsid w:val="0022727D"/>
    <w:rsid w:val="002272CD"/>
    <w:rsid w:val="00227407"/>
    <w:rsid w:val="002275B5"/>
    <w:rsid w:val="002275DF"/>
    <w:rsid w:val="002276E8"/>
    <w:rsid w:val="0022779D"/>
    <w:rsid w:val="0022784D"/>
    <w:rsid w:val="00227A43"/>
    <w:rsid w:val="00227A86"/>
    <w:rsid w:val="00227A8E"/>
    <w:rsid w:val="00227AE5"/>
    <w:rsid w:val="00227B89"/>
    <w:rsid w:val="00227C8A"/>
    <w:rsid w:val="00227D11"/>
    <w:rsid w:val="00227D69"/>
    <w:rsid w:val="00227ECF"/>
    <w:rsid w:val="00227ED8"/>
    <w:rsid w:val="00227F0A"/>
    <w:rsid w:val="00227F43"/>
    <w:rsid w:val="0022AEF0"/>
    <w:rsid w:val="002300AA"/>
    <w:rsid w:val="002300D5"/>
    <w:rsid w:val="0023019F"/>
    <w:rsid w:val="002301B1"/>
    <w:rsid w:val="00230616"/>
    <w:rsid w:val="0023064C"/>
    <w:rsid w:val="002306BA"/>
    <w:rsid w:val="00230803"/>
    <w:rsid w:val="00230A3E"/>
    <w:rsid w:val="00230BDD"/>
    <w:rsid w:val="00230C0B"/>
    <w:rsid w:val="00230C7B"/>
    <w:rsid w:val="00230C80"/>
    <w:rsid w:val="00230EA2"/>
    <w:rsid w:val="00230EBF"/>
    <w:rsid w:val="00230EC4"/>
    <w:rsid w:val="00230F53"/>
    <w:rsid w:val="00231119"/>
    <w:rsid w:val="00231257"/>
    <w:rsid w:val="00231262"/>
    <w:rsid w:val="0023128E"/>
    <w:rsid w:val="002312FB"/>
    <w:rsid w:val="002315DA"/>
    <w:rsid w:val="00231733"/>
    <w:rsid w:val="0023173E"/>
    <w:rsid w:val="002317BD"/>
    <w:rsid w:val="002318FA"/>
    <w:rsid w:val="00231952"/>
    <w:rsid w:val="00231992"/>
    <w:rsid w:val="002319EF"/>
    <w:rsid w:val="002319FC"/>
    <w:rsid w:val="00231A94"/>
    <w:rsid w:val="00231A9B"/>
    <w:rsid w:val="00231B6D"/>
    <w:rsid w:val="00231B9C"/>
    <w:rsid w:val="00231BD2"/>
    <w:rsid w:val="00231BDF"/>
    <w:rsid w:val="00231D90"/>
    <w:rsid w:val="00231E5C"/>
    <w:rsid w:val="00231F23"/>
    <w:rsid w:val="00231FC4"/>
    <w:rsid w:val="00231FF6"/>
    <w:rsid w:val="00232011"/>
    <w:rsid w:val="002321A5"/>
    <w:rsid w:val="002321CC"/>
    <w:rsid w:val="00232210"/>
    <w:rsid w:val="00232220"/>
    <w:rsid w:val="0023247B"/>
    <w:rsid w:val="0023252B"/>
    <w:rsid w:val="002327D3"/>
    <w:rsid w:val="0023288B"/>
    <w:rsid w:val="0023292E"/>
    <w:rsid w:val="00232998"/>
    <w:rsid w:val="00232A34"/>
    <w:rsid w:val="00232A54"/>
    <w:rsid w:val="00232B1D"/>
    <w:rsid w:val="00232BE8"/>
    <w:rsid w:val="00232CF2"/>
    <w:rsid w:val="00232D7D"/>
    <w:rsid w:val="00232E77"/>
    <w:rsid w:val="00232F6E"/>
    <w:rsid w:val="00232F72"/>
    <w:rsid w:val="00232FE6"/>
    <w:rsid w:val="00232FED"/>
    <w:rsid w:val="0023302F"/>
    <w:rsid w:val="002330D1"/>
    <w:rsid w:val="002331A3"/>
    <w:rsid w:val="002331E5"/>
    <w:rsid w:val="00233305"/>
    <w:rsid w:val="00233416"/>
    <w:rsid w:val="00233443"/>
    <w:rsid w:val="0023360C"/>
    <w:rsid w:val="00233670"/>
    <w:rsid w:val="002336B2"/>
    <w:rsid w:val="0023373B"/>
    <w:rsid w:val="002338BA"/>
    <w:rsid w:val="00233908"/>
    <w:rsid w:val="00233A32"/>
    <w:rsid w:val="00233AA3"/>
    <w:rsid w:val="00233BBF"/>
    <w:rsid w:val="00233C2A"/>
    <w:rsid w:val="00233D0A"/>
    <w:rsid w:val="00233D9D"/>
    <w:rsid w:val="00233DC6"/>
    <w:rsid w:val="00233F54"/>
    <w:rsid w:val="002340DB"/>
    <w:rsid w:val="002340DF"/>
    <w:rsid w:val="0023423A"/>
    <w:rsid w:val="00234293"/>
    <w:rsid w:val="00234301"/>
    <w:rsid w:val="00234338"/>
    <w:rsid w:val="0023451D"/>
    <w:rsid w:val="0023456B"/>
    <w:rsid w:val="00234640"/>
    <w:rsid w:val="0023464A"/>
    <w:rsid w:val="002347C4"/>
    <w:rsid w:val="00234825"/>
    <w:rsid w:val="00234840"/>
    <w:rsid w:val="0023487E"/>
    <w:rsid w:val="00234B8A"/>
    <w:rsid w:val="00234D13"/>
    <w:rsid w:val="00234FAF"/>
    <w:rsid w:val="00235214"/>
    <w:rsid w:val="00235332"/>
    <w:rsid w:val="0023533A"/>
    <w:rsid w:val="00235350"/>
    <w:rsid w:val="00235360"/>
    <w:rsid w:val="00235445"/>
    <w:rsid w:val="002355B9"/>
    <w:rsid w:val="002356A6"/>
    <w:rsid w:val="00235819"/>
    <w:rsid w:val="0023592A"/>
    <w:rsid w:val="00235A4B"/>
    <w:rsid w:val="00235A6C"/>
    <w:rsid w:val="00235B48"/>
    <w:rsid w:val="00235C87"/>
    <w:rsid w:val="00235CA9"/>
    <w:rsid w:val="00235E79"/>
    <w:rsid w:val="00235E8E"/>
    <w:rsid w:val="00235F4C"/>
    <w:rsid w:val="00235F62"/>
    <w:rsid w:val="002360CD"/>
    <w:rsid w:val="0023612C"/>
    <w:rsid w:val="00236382"/>
    <w:rsid w:val="002363EF"/>
    <w:rsid w:val="0023656C"/>
    <w:rsid w:val="0023667D"/>
    <w:rsid w:val="002367B1"/>
    <w:rsid w:val="002367B5"/>
    <w:rsid w:val="00236802"/>
    <w:rsid w:val="002368B8"/>
    <w:rsid w:val="00236A5B"/>
    <w:rsid w:val="00236AA5"/>
    <w:rsid w:val="00236B16"/>
    <w:rsid w:val="00236BD0"/>
    <w:rsid w:val="00236BD9"/>
    <w:rsid w:val="00236BFB"/>
    <w:rsid w:val="00236C04"/>
    <w:rsid w:val="00236D04"/>
    <w:rsid w:val="00236DE9"/>
    <w:rsid w:val="00236E4C"/>
    <w:rsid w:val="00236EC7"/>
    <w:rsid w:val="002370FB"/>
    <w:rsid w:val="00237105"/>
    <w:rsid w:val="0023716B"/>
    <w:rsid w:val="002372E6"/>
    <w:rsid w:val="002373ED"/>
    <w:rsid w:val="0023749E"/>
    <w:rsid w:val="0023758D"/>
    <w:rsid w:val="002375A7"/>
    <w:rsid w:val="0023776F"/>
    <w:rsid w:val="002377B6"/>
    <w:rsid w:val="002377E9"/>
    <w:rsid w:val="0023780F"/>
    <w:rsid w:val="00237911"/>
    <w:rsid w:val="00237A42"/>
    <w:rsid w:val="00237CF6"/>
    <w:rsid w:val="00237D02"/>
    <w:rsid w:val="00240106"/>
    <w:rsid w:val="0024010C"/>
    <w:rsid w:val="002401F4"/>
    <w:rsid w:val="00240279"/>
    <w:rsid w:val="002404C3"/>
    <w:rsid w:val="00240511"/>
    <w:rsid w:val="002406A3"/>
    <w:rsid w:val="002406E6"/>
    <w:rsid w:val="0024070D"/>
    <w:rsid w:val="00240A53"/>
    <w:rsid w:val="00240AC5"/>
    <w:rsid w:val="00240D37"/>
    <w:rsid w:val="00240E72"/>
    <w:rsid w:val="00240F85"/>
    <w:rsid w:val="00241014"/>
    <w:rsid w:val="0024102F"/>
    <w:rsid w:val="002411C7"/>
    <w:rsid w:val="00241311"/>
    <w:rsid w:val="0024145F"/>
    <w:rsid w:val="00241591"/>
    <w:rsid w:val="002415A5"/>
    <w:rsid w:val="00241743"/>
    <w:rsid w:val="00241759"/>
    <w:rsid w:val="002418BE"/>
    <w:rsid w:val="002418C9"/>
    <w:rsid w:val="002419D1"/>
    <w:rsid w:val="00241A3F"/>
    <w:rsid w:val="00241ACC"/>
    <w:rsid w:val="00241B3D"/>
    <w:rsid w:val="00241B6E"/>
    <w:rsid w:val="00241CD3"/>
    <w:rsid w:val="00241CFD"/>
    <w:rsid w:val="00241F8C"/>
    <w:rsid w:val="002420CA"/>
    <w:rsid w:val="002420F3"/>
    <w:rsid w:val="0024223D"/>
    <w:rsid w:val="002423AA"/>
    <w:rsid w:val="002423F5"/>
    <w:rsid w:val="002423F8"/>
    <w:rsid w:val="002424C8"/>
    <w:rsid w:val="002424DF"/>
    <w:rsid w:val="00242588"/>
    <w:rsid w:val="002425EA"/>
    <w:rsid w:val="002425FC"/>
    <w:rsid w:val="0024266F"/>
    <w:rsid w:val="00242722"/>
    <w:rsid w:val="00242A8E"/>
    <w:rsid w:val="00242A91"/>
    <w:rsid w:val="00242B64"/>
    <w:rsid w:val="00242C6F"/>
    <w:rsid w:val="00242D08"/>
    <w:rsid w:val="00242D8F"/>
    <w:rsid w:val="00242F4E"/>
    <w:rsid w:val="00242FA7"/>
    <w:rsid w:val="00243120"/>
    <w:rsid w:val="002431A0"/>
    <w:rsid w:val="002431A1"/>
    <w:rsid w:val="002431D9"/>
    <w:rsid w:val="00243279"/>
    <w:rsid w:val="00243289"/>
    <w:rsid w:val="0024350F"/>
    <w:rsid w:val="002435BC"/>
    <w:rsid w:val="002436E0"/>
    <w:rsid w:val="00243701"/>
    <w:rsid w:val="00243BE0"/>
    <w:rsid w:val="00243BEC"/>
    <w:rsid w:val="00243C4B"/>
    <w:rsid w:val="00243D78"/>
    <w:rsid w:val="00243DEC"/>
    <w:rsid w:val="00243F94"/>
    <w:rsid w:val="00243FB0"/>
    <w:rsid w:val="00244048"/>
    <w:rsid w:val="0024409D"/>
    <w:rsid w:val="00244239"/>
    <w:rsid w:val="0024425D"/>
    <w:rsid w:val="002442C8"/>
    <w:rsid w:val="002442E4"/>
    <w:rsid w:val="002446B2"/>
    <w:rsid w:val="002449D9"/>
    <w:rsid w:val="00244A82"/>
    <w:rsid w:val="00244ABC"/>
    <w:rsid w:val="00244BD9"/>
    <w:rsid w:val="00244DA4"/>
    <w:rsid w:val="00244EAF"/>
    <w:rsid w:val="00244F2A"/>
    <w:rsid w:val="00245078"/>
    <w:rsid w:val="002450B4"/>
    <w:rsid w:val="002451D3"/>
    <w:rsid w:val="002451E9"/>
    <w:rsid w:val="00245260"/>
    <w:rsid w:val="0024528C"/>
    <w:rsid w:val="002452A0"/>
    <w:rsid w:val="00245503"/>
    <w:rsid w:val="0024560A"/>
    <w:rsid w:val="0024583E"/>
    <w:rsid w:val="002458B2"/>
    <w:rsid w:val="00245A54"/>
    <w:rsid w:val="00245CBC"/>
    <w:rsid w:val="00245ED9"/>
    <w:rsid w:val="00245F18"/>
    <w:rsid w:val="0024607F"/>
    <w:rsid w:val="002460AC"/>
    <w:rsid w:val="002461B9"/>
    <w:rsid w:val="002462BE"/>
    <w:rsid w:val="00246308"/>
    <w:rsid w:val="002463A6"/>
    <w:rsid w:val="002464FA"/>
    <w:rsid w:val="002465FD"/>
    <w:rsid w:val="00246604"/>
    <w:rsid w:val="0024661F"/>
    <w:rsid w:val="0024676B"/>
    <w:rsid w:val="00246844"/>
    <w:rsid w:val="0024694D"/>
    <w:rsid w:val="00246972"/>
    <w:rsid w:val="002469BB"/>
    <w:rsid w:val="002469C4"/>
    <w:rsid w:val="002469FF"/>
    <w:rsid w:val="00246ADB"/>
    <w:rsid w:val="00246B09"/>
    <w:rsid w:val="00246C98"/>
    <w:rsid w:val="00246D3C"/>
    <w:rsid w:val="00246DDE"/>
    <w:rsid w:val="002470FE"/>
    <w:rsid w:val="0024715C"/>
    <w:rsid w:val="00247163"/>
    <w:rsid w:val="002471A5"/>
    <w:rsid w:val="002471E8"/>
    <w:rsid w:val="0024723F"/>
    <w:rsid w:val="0024749C"/>
    <w:rsid w:val="002474F2"/>
    <w:rsid w:val="00247530"/>
    <w:rsid w:val="0024753A"/>
    <w:rsid w:val="002475C6"/>
    <w:rsid w:val="002475D2"/>
    <w:rsid w:val="00247616"/>
    <w:rsid w:val="00247694"/>
    <w:rsid w:val="00247728"/>
    <w:rsid w:val="002477B3"/>
    <w:rsid w:val="002477B5"/>
    <w:rsid w:val="00247840"/>
    <w:rsid w:val="00247874"/>
    <w:rsid w:val="002478EF"/>
    <w:rsid w:val="002478F4"/>
    <w:rsid w:val="00247943"/>
    <w:rsid w:val="002479A3"/>
    <w:rsid w:val="002479C5"/>
    <w:rsid w:val="00247C14"/>
    <w:rsid w:val="00247CCF"/>
    <w:rsid w:val="00247CD0"/>
    <w:rsid w:val="00247EAA"/>
    <w:rsid w:val="00247EFF"/>
    <w:rsid w:val="00247F86"/>
    <w:rsid w:val="00250005"/>
    <w:rsid w:val="00250014"/>
    <w:rsid w:val="0025005C"/>
    <w:rsid w:val="00250079"/>
    <w:rsid w:val="002500DF"/>
    <w:rsid w:val="00250213"/>
    <w:rsid w:val="002502B4"/>
    <w:rsid w:val="002502C8"/>
    <w:rsid w:val="0025033F"/>
    <w:rsid w:val="0025034C"/>
    <w:rsid w:val="002504B6"/>
    <w:rsid w:val="002505BF"/>
    <w:rsid w:val="00250603"/>
    <w:rsid w:val="00250682"/>
    <w:rsid w:val="00250758"/>
    <w:rsid w:val="00250839"/>
    <w:rsid w:val="00250877"/>
    <w:rsid w:val="00250980"/>
    <w:rsid w:val="00250A4F"/>
    <w:rsid w:val="00250A93"/>
    <w:rsid w:val="00250B3B"/>
    <w:rsid w:val="00250D40"/>
    <w:rsid w:val="00250D9E"/>
    <w:rsid w:val="00250E1F"/>
    <w:rsid w:val="00250F7F"/>
    <w:rsid w:val="00250FC7"/>
    <w:rsid w:val="0025127C"/>
    <w:rsid w:val="002513B4"/>
    <w:rsid w:val="002516B4"/>
    <w:rsid w:val="002516E4"/>
    <w:rsid w:val="00251756"/>
    <w:rsid w:val="002517A5"/>
    <w:rsid w:val="0025187A"/>
    <w:rsid w:val="002518E0"/>
    <w:rsid w:val="00251913"/>
    <w:rsid w:val="0025196C"/>
    <w:rsid w:val="00251A55"/>
    <w:rsid w:val="00251A57"/>
    <w:rsid w:val="00251AE7"/>
    <w:rsid w:val="00251B70"/>
    <w:rsid w:val="00251C3A"/>
    <w:rsid w:val="00251C57"/>
    <w:rsid w:val="00251C5B"/>
    <w:rsid w:val="00251F6C"/>
    <w:rsid w:val="00252035"/>
    <w:rsid w:val="002520DB"/>
    <w:rsid w:val="00252189"/>
    <w:rsid w:val="0025227F"/>
    <w:rsid w:val="00252288"/>
    <w:rsid w:val="002522CC"/>
    <w:rsid w:val="00252434"/>
    <w:rsid w:val="0025249C"/>
    <w:rsid w:val="002526A5"/>
    <w:rsid w:val="00252785"/>
    <w:rsid w:val="00252822"/>
    <w:rsid w:val="00252911"/>
    <w:rsid w:val="00252AC5"/>
    <w:rsid w:val="00252B34"/>
    <w:rsid w:val="00252C2E"/>
    <w:rsid w:val="00252CAE"/>
    <w:rsid w:val="00252CFB"/>
    <w:rsid w:val="00252D0A"/>
    <w:rsid w:val="00252EC9"/>
    <w:rsid w:val="00252F5F"/>
    <w:rsid w:val="002530E5"/>
    <w:rsid w:val="002530FD"/>
    <w:rsid w:val="00253394"/>
    <w:rsid w:val="0025343C"/>
    <w:rsid w:val="0025344C"/>
    <w:rsid w:val="00253596"/>
    <w:rsid w:val="00253715"/>
    <w:rsid w:val="00253857"/>
    <w:rsid w:val="00253998"/>
    <w:rsid w:val="0025399F"/>
    <w:rsid w:val="002539ED"/>
    <w:rsid w:val="00253A0E"/>
    <w:rsid w:val="00253AE5"/>
    <w:rsid w:val="00253C4B"/>
    <w:rsid w:val="00253CD9"/>
    <w:rsid w:val="00253DD1"/>
    <w:rsid w:val="00253E1B"/>
    <w:rsid w:val="00253E26"/>
    <w:rsid w:val="00254090"/>
    <w:rsid w:val="00254281"/>
    <w:rsid w:val="002542DA"/>
    <w:rsid w:val="00254316"/>
    <w:rsid w:val="00254345"/>
    <w:rsid w:val="0025439C"/>
    <w:rsid w:val="0025440D"/>
    <w:rsid w:val="002544A6"/>
    <w:rsid w:val="0025450E"/>
    <w:rsid w:val="00254523"/>
    <w:rsid w:val="00254592"/>
    <w:rsid w:val="002545C9"/>
    <w:rsid w:val="00254775"/>
    <w:rsid w:val="00254807"/>
    <w:rsid w:val="002548D7"/>
    <w:rsid w:val="002549CD"/>
    <w:rsid w:val="00254A15"/>
    <w:rsid w:val="00254A69"/>
    <w:rsid w:val="00254A79"/>
    <w:rsid w:val="00254ACC"/>
    <w:rsid w:val="00254CBC"/>
    <w:rsid w:val="00254D43"/>
    <w:rsid w:val="00254D58"/>
    <w:rsid w:val="00254D93"/>
    <w:rsid w:val="00254DDC"/>
    <w:rsid w:val="00254E3B"/>
    <w:rsid w:val="00254EF3"/>
    <w:rsid w:val="00254F44"/>
    <w:rsid w:val="00254F9A"/>
    <w:rsid w:val="002550B9"/>
    <w:rsid w:val="00255136"/>
    <w:rsid w:val="00255152"/>
    <w:rsid w:val="0025516C"/>
    <w:rsid w:val="002552DA"/>
    <w:rsid w:val="00255347"/>
    <w:rsid w:val="002553F5"/>
    <w:rsid w:val="002554BD"/>
    <w:rsid w:val="0025554E"/>
    <w:rsid w:val="00255699"/>
    <w:rsid w:val="002558A3"/>
    <w:rsid w:val="002558F4"/>
    <w:rsid w:val="00255BE6"/>
    <w:rsid w:val="00255BFC"/>
    <w:rsid w:val="00255C43"/>
    <w:rsid w:val="00255CBA"/>
    <w:rsid w:val="00255CD6"/>
    <w:rsid w:val="00255CEF"/>
    <w:rsid w:val="00255E06"/>
    <w:rsid w:val="00255E45"/>
    <w:rsid w:val="00255ED4"/>
    <w:rsid w:val="0025610C"/>
    <w:rsid w:val="002561A0"/>
    <w:rsid w:val="00256202"/>
    <w:rsid w:val="00256240"/>
    <w:rsid w:val="002562A0"/>
    <w:rsid w:val="00256342"/>
    <w:rsid w:val="002564A4"/>
    <w:rsid w:val="002564B6"/>
    <w:rsid w:val="002565D0"/>
    <w:rsid w:val="0025665A"/>
    <w:rsid w:val="002566F3"/>
    <w:rsid w:val="00256944"/>
    <w:rsid w:val="002569BA"/>
    <w:rsid w:val="00256A7C"/>
    <w:rsid w:val="00256AE3"/>
    <w:rsid w:val="00256AF4"/>
    <w:rsid w:val="00256B93"/>
    <w:rsid w:val="00256BCF"/>
    <w:rsid w:val="00256D67"/>
    <w:rsid w:val="00256E46"/>
    <w:rsid w:val="00256EF0"/>
    <w:rsid w:val="00257009"/>
    <w:rsid w:val="00257043"/>
    <w:rsid w:val="00257105"/>
    <w:rsid w:val="0025720D"/>
    <w:rsid w:val="002572FB"/>
    <w:rsid w:val="002573A5"/>
    <w:rsid w:val="002573DD"/>
    <w:rsid w:val="00257414"/>
    <w:rsid w:val="00257457"/>
    <w:rsid w:val="0025787F"/>
    <w:rsid w:val="0025793A"/>
    <w:rsid w:val="00257A0C"/>
    <w:rsid w:val="00257B9C"/>
    <w:rsid w:val="00257BD0"/>
    <w:rsid w:val="00257CA6"/>
    <w:rsid w:val="00257CAD"/>
    <w:rsid w:val="00257CDC"/>
    <w:rsid w:val="00257D54"/>
    <w:rsid w:val="00257DE4"/>
    <w:rsid w:val="00257FB5"/>
    <w:rsid w:val="00257FE5"/>
    <w:rsid w:val="00257FEC"/>
    <w:rsid w:val="00259F30"/>
    <w:rsid w:val="0026007A"/>
    <w:rsid w:val="002601FC"/>
    <w:rsid w:val="00260369"/>
    <w:rsid w:val="00260382"/>
    <w:rsid w:val="0026070A"/>
    <w:rsid w:val="00260943"/>
    <w:rsid w:val="00260A7A"/>
    <w:rsid w:val="00260B28"/>
    <w:rsid w:val="00260BA7"/>
    <w:rsid w:val="00260D58"/>
    <w:rsid w:val="00260F81"/>
    <w:rsid w:val="00260FFA"/>
    <w:rsid w:val="0026119E"/>
    <w:rsid w:val="0026123B"/>
    <w:rsid w:val="002613BF"/>
    <w:rsid w:val="002614E5"/>
    <w:rsid w:val="0026154F"/>
    <w:rsid w:val="002615B9"/>
    <w:rsid w:val="00261745"/>
    <w:rsid w:val="00261946"/>
    <w:rsid w:val="00261AC4"/>
    <w:rsid w:val="00261B16"/>
    <w:rsid w:val="00261CE9"/>
    <w:rsid w:val="00261CFE"/>
    <w:rsid w:val="00261D47"/>
    <w:rsid w:val="00261D59"/>
    <w:rsid w:val="00261E43"/>
    <w:rsid w:val="00261E76"/>
    <w:rsid w:val="00261ECF"/>
    <w:rsid w:val="00261EEC"/>
    <w:rsid w:val="002620E1"/>
    <w:rsid w:val="0026239D"/>
    <w:rsid w:val="002623A6"/>
    <w:rsid w:val="002624BD"/>
    <w:rsid w:val="00262515"/>
    <w:rsid w:val="0026252E"/>
    <w:rsid w:val="00262621"/>
    <w:rsid w:val="00262641"/>
    <w:rsid w:val="00262650"/>
    <w:rsid w:val="00262664"/>
    <w:rsid w:val="002627FF"/>
    <w:rsid w:val="002628E4"/>
    <w:rsid w:val="00262911"/>
    <w:rsid w:val="00262A0F"/>
    <w:rsid w:val="00262A5C"/>
    <w:rsid w:val="00262DF9"/>
    <w:rsid w:val="00262E20"/>
    <w:rsid w:val="00262E83"/>
    <w:rsid w:val="00262F89"/>
    <w:rsid w:val="00262FF2"/>
    <w:rsid w:val="0026317F"/>
    <w:rsid w:val="00263327"/>
    <w:rsid w:val="0026334F"/>
    <w:rsid w:val="002633A4"/>
    <w:rsid w:val="00263433"/>
    <w:rsid w:val="0026358E"/>
    <w:rsid w:val="0026371B"/>
    <w:rsid w:val="0026376F"/>
    <w:rsid w:val="00263798"/>
    <w:rsid w:val="002638F4"/>
    <w:rsid w:val="002639D8"/>
    <w:rsid w:val="00263C20"/>
    <w:rsid w:val="00263C3A"/>
    <w:rsid w:val="00263EA3"/>
    <w:rsid w:val="00263ED0"/>
    <w:rsid w:val="00263FCF"/>
    <w:rsid w:val="00263FE6"/>
    <w:rsid w:val="00264133"/>
    <w:rsid w:val="002641D6"/>
    <w:rsid w:val="00264283"/>
    <w:rsid w:val="00264348"/>
    <w:rsid w:val="00264359"/>
    <w:rsid w:val="002643AA"/>
    <w:rsid w:val="002643B7"/>
    <w:rsid w:val="00264449"/>
    <w:rsid w:val="00264669"/>
    <w:rsid w:val="00264680"/>
    <w:rsid w:val="00264791"/>
    <w:rsid w:val="002648BD"/>
    <w:rsid w:val="00264B0A"/>
    <w:rsid w:val="00264C14"/>
    <w:rsid w:val="00264CDA"/>
    <w:rsid w:val="00264DE4"/>
    <w:rsid w:val="00264DFB"/>
    <w:rsid w:val="00264FA0"/>
    <w:rsid w:val="00265020"/>
    <w:rsid w:val="002650C3"/>
    <w:rsid w:val="00265259"/>
    <w:rsid w:val="00265287"/>
    <w:rsid w:val="002652A0"/>
    <w:rsid w:val="00265311"/>
    <w:rsid w:val="00265548"/>
    <w:rsid w:val="002655A5"/>
    <w:rsid w:val="0026561C"/>
    <w:rsid w:val="00265796"/>
    <w:rsid w:val="0026579B"/>
    <w:rsid w:val="002657B4"/>
    <w:rsid w:val="00265827"/>
    <w:rsid w:val="00265849"/>
    <w:rsid w:val="00265883"/>
    <w:rsid w:val="002658FD"/>
    <w:rsid w:val="00265A7C"/>
    <w:rsid w:val="00265A85"/>
    <w:rsid w:val="00265BDE"/>
    <w:rsid w:val="00265D45"/>
    <w:rsid w:val="00265D61"/>
    <w:rsid w:val="00265DE9"/>
    <w:rsid w:val="00265DFC"/>
    <w:rsid w:val="00265F95"/>
    <w:rsid w:val="00265FCF"/>
    <w:rsid w:val="00266021"/>
    <w:rsid w:val="0026603E"/>
    <w:rsid w:val="0026612B"/>
    <w:rsid w:val="00266145"/>
    <w:rsid w:val="0026621B"/>
    <w:rsid w:val="002662F4"/>
    <w:rsid w:val="00266338"/>
    <w:rsid w:val="0026643C"/>
    <w:rsid w:val="00266571"/>
    <w:rsid w:val="0026673B"/>
    <w:rsid w:val="0026684D"/>
    <w:rsid w:val="00266856"/>
    <w:rsid w:val="00266869"/>
    <w:rsid w:val="00266AB3"/>
    <w:rsid w:val="00266AC3"/>
    <w:rsid w:val="00266B15"/>
    <w:rsid w:val="00266C97"/>
    <w:rsid w:val="00266CB7"/>
    <w:rsid w:val="00266E02"/>
    <w:rsid w:val="00266F43"/>
    <w:rsid w:val="00266FA2"/>
    <w:rsid w:val="00266FBE"/>
    <w:rsid w:val="0026701A"/>
    <w:rsid w:val="0026710A"/>
    <w:rsid w:val="00267204"/>
    <w:rsid w:val="0026721C"/>
    <w:rsid w:val="002673CE"/>
    <w:rsid w:val="0026746D"/>
    <w:rsid w:val="00267540"/>
    <w:rsid w:val="00267651"/>
    <w:rsid w:val="0026786D"/>
    <w:rsid w:val="00267963"/>
    <w:rsid w:val="00267A13"/>
    <w:rsid w:val="00267B8A"/>
    <w:rsid w:val="00267C08"/>
    <w:rsid w:val="00267C32"/>
    <w:rsid w:val="00267C3E"/>
    <w:rsid w:val="00267C83"/>
    <w:rsid w:val="00267D51"/>
    <w:rsid w:val="00267E59"/>
    <w:rsid w:val="00267E5F"/>
    <w:rsid w:val="00267F81"/>
    <w:rsid w:val="00267FF5"/>
    <w:rsid w:val="0027005D"/>
    <w:rsid w:val="002700B7"/>
    <w:rsid w:val="002700BF"/>
    <w:rsid w:val="002701C7"/>
    <w:rsid w:val="00270246"/>
    <w:rsid w:val="00270443"/>
    <w:rsid w:val="00270448"/>
    <w:rsid w:val="002704DB"/>
    <w:rsid w:val="002705B8"/>
    <w:rsid w:val="002705DB"/>
    <w:rsid w:val="0027065D"/>
    <w:rsid w:val="0027068E"/>
    <w:rsid w:val="0027089D"/>
    <w:rsid w:val="0027092F"/>
    <w:rsid w:val="00270942"/>
    <w:rsid w:val="00270ADA"/>
    <w:rsid w:val="00270C2D"/>
    <w:rsid w:val="00270C61"/>
    <w:rsid w:val="00270C86"/>
    <w:rsid w:val="00270C9A"/>
    <w:rsid w:val="00270DB7"/>
    <w:rsid w:val="00270F8F"/>
    <w:rsid w:val="00270FC0"/>
    <w:rsid w:val="00270FE7"/>
    <w:rsid w:val="0027142C"/>
    <w:rsid w:val="0027160C"/>
    <w:rsid w:val="00271688"/>
    <w:rsid w:val="00271807"/>
    <w:rsid w:val="0027187C"/>
    <w:rsid w:val="002718B4"/>
    <w:rsid w:val="00271B04"/>
    <w:rsid w:val="00271B47"/>
    <w:rsid w:val="00271BF6"/>
    <w:rsid w:val="00271D74"/>
    <w:rsid w:val="00271EA0"/>
    <w:rsid w:val="00271F22"/>
    <w:rsid w:val="002720A3"/>
    <w:rsid w:val="002720BA"/>
    <w:rsid w:val="0027217E"/>
    <w:rsid w:val="00272284"/>
    <w:rsid w:val="00272289"/>
    <w:rsid w:val="002722D3"/>
    <w:rsid w:val="00272444"/>
    <w:rsid w:val="00272466"/>
    <w:rsid w:val="00272662"/>
    <w:rsid w:val="0027290D"/>
    <w:rsid w:val="00272965"/>
    <w:rsid w:val="00272A34"/>
    <w:rsid w:val="00272D02"/>
    <w:rsid w:val="00272E62"/>
    <w:rsid w:val="00272FF4"/>
    <w:rsid w:val="002730AF"/>
    <w:rsid w:val="002731A0"/>
    <w:rsid w:val="00273364"/>
    <w:rsid w:val="002733E3"/>
    <w:rsid w:val="002735E3"/>
    <w:rsid w:val="00273757"/>
    <w:rsid w:val="00273874"/>
    <w:rsid w:val="002739B6"/>
    <w:rsid w:val="00273B30"/>
    <w:rsid w:val="00273C8A"/>
    <w:rsid w:val="00274146"/>
    <w:rsid w:val="00274177"/>
    <w:rsid w:val="002741FF"/>
    <w:rsid w:val="00274415"/>
    <w:rsid w:val="00274501"/>
    <w:rsid w:val="002745AA"/>
    <w:rsid w:val="002746CB"/>
    <w:rsid w:val="0027488E"/>
    <w:rsid w:val="00274A4C"/>
    <w:rsid w:val="00274B69"/>
    <w:rsid w:val="00274BAB"/>
    <w:rsid w:val="00274BAF"/>
    <w:rsid w:val="00274BE3"/>
    <w:rsid w:val="00274C5C"/>
    <w:rsid w:val="00274C98"/>
    <w:rsid w:val="00274F36"/>
    <w:rsid w:val="00274F69"/>
    <w:rsid w:val="00274FB0"/>
    <w:rsid w:val="00275144"/>
    <w:rsid w:val="002751AA"/>
    <w:rsid w:val="002751D1"/>
    <w:rsid w:val="00275209"/>
    <w:rsid w:val="00275253"/>
    <w:rsid w:val="0027541D"/>
    <w:rsid w:val="0027543F"/>
    <w:rsid w:val="002755D0"/>
    <w:rsid w:val="0027562B"/>
    <w:rsid w:val="002756B8"/>
    <w:rsid w:val="00275766"/>
    <w:rsid w:val="00275862"/>
    <w:rsid w:val="00275872"/>
    <w:rsid w:val="0027592A"/>
    <w:rsid w:val="00275992"/>
    <w:rsid w:val="002759FB"/>
    <w:rsid w:val="00275AF7"/>
    <w:rsid w:val="00275CA8"/>
    <w:rsid w:val="00275D04"/>
    <w:rsid w:val="00275D69"/>
    <w:rsid w:val="00275DF6"/>
    <w:rsid w:val="00275ED3"/>
    <w:rsid w:val="00276087"/>
    <w:rsid w:val="002760DB"/>
    <w:rsid w:val="002764CA"/>
    <w:rsid w:val="002764F1"/>
    <w:rsid w:val="00276920"/>
    <w:rsid w:val="0027693C"/>
    <w:rsid w:val="00276977"/>
    <w:rsid w:val="00276B75"/>
    <w:rsid w:val="00276C35"/>
    <w:rsid w:val="00276D88"/>
    <w:rsid w:val="002771C5"/>
    <w:rsid w:val="002771D6"/>
    <w:rsid w:val="002772AA"/>
    <w:rsid w:val="0027734C"/>
    <w:rsid w:val="002774E4"/>
    <w:rsid w:val="0027771A"/>
    <w:rsid w:val="00277736"/>
    <w:rsid w:val="002777F7"/>
    <w:rsid w:val="00277AE8"/>
    <w:rsid w:val="00277B8B"/>
    <w:rsid w:val="00277D11"/>
    <w:rsid w:val="00277DA4"/>
    <w:rsid w:val="00277E98"/>
    <w:rsid w:val="00277FED"/>
    <w:rsid w:val="0028008F"/>
    <w:rsid w:val="002801A9"/>
    <w:rsid w:val="0028031A"/>
    <w:rsid w:val="00280346"/>
    <w:rsid w:val="002803FD"/>
    <w:rsid w:val="002804E0"/>
    <w:rsid w:val="00280725"/>
    <w:rsid w:val="0028080A"/>
    <w:rsid w:val="00280818"/>
    <w:rsid w:val="0028081F"/>
    <w:rsid w:val="0028087A"/>
    <w:rsid w:val="0028087E"/>
    <w:rsid w:val="00280A7E"/>
    <w:rsid w:val="00280B21"/>
    <w:rsid w:val="00280B89"/>
    <w:rsid w:val="00280F10"/>
    <w:rsid w:val="00280F3A"/>
    <w:rsid w:val="00280F60"/>
    <w:rsid w:val="00280FF1"/>
    <w:rsid w:val="002810BD"/>
    <w:rsid w:val="00281105"/>
    <w:rsid w:val="002812C3"/>
    <w:rsid w:val="00281301"/>
    <w:rsid w:val="002814B8"/>
    <w:rsid w:val="0028163A"/>
    <w:rsid w:val="0028166F"/>
    <w:rsid w:val="0028169D"/>
    <w:rsid w:val="00281B48"/>
    <w:rsid w:val="00281CE6"/>
    <w:rsid w:val="00281DBD"/>
    <w:rsid w:val="00281DD0"/>
    <w:rsid w:val="00281E66"/>
    <w:rsid w:val="00281F27"/>
    <w:rsid w:val="0028201C"/>
    <w:rsid w:val="002820EC"/>
    <w:rsid w:val="0028214D"/>
    <w:rsid w:val="00282469"/>
    <w:rsid w:val="002827D2"/>
    <w:rsid w:val="00282968"/>
    <w:rsid w:val="00282A13"/>
    <w:rsid w:val="00282A6C"/>
    <w:rsid w:val="00282A99"/>
    <w:rsid w:val="00282AA4"/>
    <w:rsid w:val="00282C34"/>
    <w:rsid w:val="00282D9C"/>
    <w:rsid w:val="00282DBF"/>
    <w:rsid w:val="00282FA9"/>
    <w:rsid w:val="00283002"/>
    <w:rsid w:val="00283191"/>
    <w:rsid w:val="00283328"/>
    <w:rsid w:val="00283439"/>
    <w:rsid w:val="00283458"/>
    <w:rsid w:val="00283514"/>
    <w:rsid w:val="00283710"/>
    <w:rsid w:val="002837B1"/>
    <w:rsid w:val="002838BC"/>
    <w:rsid w:val="002838D5"/>
    <w:rsid w:val="0028391D"/>
    <w:rsid w:val="0028399F"/>
    <w:rsid w:val="002839CB"/>
    <w:rsid w:val="00283A5D"/>
    <w:rsid w:val="00283B32"/>
    <w:rsid w:val="00283BC7"/>
    <w:rsid w:val="00283BF5"/>
    <w:rsid w:val="00283C3B"/>
    <w:rsid w:val="00283CB6"/>
    <w:rsid w:val="00283E08"/>
    <w:rsid w:val="00283E32"/>
    <w:rsid w:val="00284115"/>
    <w:rsid w:val="00284189"/>
    <w:rsid w:val="00284234"/>
    <w:rsid w:val="00284340"/>
    <w:rsid w:val="002847DF"/>
    <w:rsid w:val="002848BF"/>
    <w:rsid w:val="00284B4F"/>
    <w:rsid w:val="00284C26"/>
    <w:rsid w:val="00284CBA"/>
    <w:rsid w:val="00284CFE"/>
    <w:rsid w:val="00284D28"/>
    <w:rsid w:val="00284DCD"/>
    <w:rsid w:val="00284DD9"/>
    <w:rsid w:val="0028503D"/>
    <w:rsid w:val="002850B0"/>
    <w:rsid w:val="002850D1"/>
    <w:rsid w:val="002851DD"/>
    <w:rsid w:val="00285355"/>
    <w:rsid w:val="0028557F"/>
    <w:rsid w:val="002855C8"/>
    <w:rsid w:val="002856B0"/>
    <w:rsid w:val="002856F7"/>
    <w:rsid w:val="002856F8"/>
    <w:rsid w:val="00285734"/>
    <w:rsid w:val="0028576A"/>
    <w:rsid w:val="00285A91"/>
    <w:rsid w:val="00285B6C"/>
    <w:rsid w:val="00285BC3"/>
    <w:rsid w:val="00285DA3"/>
    <w:rsid w:val="00285EE6"/>
    <w:rsid w:val="00285EF0"/>
    <w:rsid w:val="00286048"/>
    <w:rsid w:val="002862AC"/>
    <w:rsid w:val="002862E0"/>
    <w:rsid w:val="00286495"/>
    <w:rsid w:val="00286610"/>
    <w:rsid w:val="00286728"/>
    <w:rsid w:val="00286731"/>
    <w:rsid w:val="00286751"/>
    <w:rsid w:val="00286915"/>
    <w:rsid w:val="00286A26"/>
    <w:rsid w:val="00286D9F"/>
    <w:rsid w:val="00286E33"/>
    <w:rsid w:val="00286F07"/>
    <w:rsid w:val="00286F20"/>
    <w:rsid w:val="0028735A"/>
    <w:rsid w:val="002873C7"/>
    <w:rsid w:val="002873F8"/>
    <w:rsid w:val="00287569"/>
    <w:rsid w:val="002875B6"/>
    <w:rsid w:val="00287677"/>
    <w:rsid w:val="002876D7"/>
    <w:rsid w:val="0028772A"/>
    <w:rsid w:val="0028772F"/>
    <w:rsid w:val="00287832"/>
    <w:rsid w:val="002878D3"/>
    <w:rsid w:val="002878D8"/>
    <w:rsid w:val="00287911"/>
    <w:rsid w:val="00287A20"/>
    <w:rsid w:val="00287A27"/>
    <w:rsid w:val="00287B2C"/>
    <w:rsid w:val="00287D12"/>
    <w:rsid w:val="00287E78"/>
    <w:rsid w:val="00287F70"/>
    <w:rsid w:val="00290055"/>
    <w:rsid w:val="002900D1"/>
    <w:rsid w:val="00290131"/>
    <w:rsid w:val="002903EE"/>
    <w:rsid w:val="002903F5"/>
    <w:rsid w:val="0029045F"/>
    <w:rsid w:val="0029060C"/>
    <w:rsid w:val="00290676"/>
    <w:rsid w:val="0029072F"/>
    <w:rsid w:val="002907A2"/>
    <w:rsid w:val="002907C7"/>
    <w:rsid w:val="00290845"/>
    <w:rsid w:val="0029086F"/>
    <w:rsid w:val="0029095C"/>
    <w:rsid w:val="00290A00"/>
    <w:rsid w:val="00290BC5"/>
    <w:rsid w:val="00290D70"/>
    <w:rsid w:val="00290E9C"/>
    <w:rsid w:val="00290F0F"/>
    <w:rsid w:val="00290F8D"/>
    <w:rsid w:val="00291022"/>
    <w:rsid w:val="0029119A"/>
    <w:rsid w:val="00291202"/>
    <w:rsid w:val="00291442"/>
    <w:rsid w:val="00291462"/>
    <w:rsid w:val="00291572"/>
    <w:rsid w:val="002915A6"/>
    <w:rsid w:val="00291654"/>
    <w:rsid w:val="00291674"/>
    <w:rsid w:val="002916AE"/>
    <w:rsid w:val="002916C9"/>
    <w:rsid w:val="0029179A"/>
    <w:rsid w:val="0029188E"/>
    <w:rsid w:val="002918C6"/>
    <w:rsid w:val="00291A73"/>
    <w:rsid w:val="00291AE0"/>
    <w:rsid w:val="00291BD4"/>
    <w:rsid w:val="00291C77"/>
    <w:rsid w:val="00291C86"/>
    <w:rsid w:val="00291FC8"/>
    <w:rsid w:val="002920DC"/>
    <w:rsid w:val="0029210F"/>
    <w:rsid w:val="0029215D"/>
    <w:rsid w:val="002921FD"/>
    <w:rsid w:val="00292221"/>
    <w:rsid w:val="002922E9"/>
    <w:rsid w:val="00292345"/>
    <w:rsid w:val="00292411"/>
    <w:rsid w:val="0029268F"/>
    <w:rsid w:val="00292A09"/>
    <w:rsid w:val="00292AA2"/>
    <w:rsid w:val="00292AF4"/>
    <w:rsid w:val="00292B4C"/>
    <w:rsid w:val="00292C08"/>
    <w:rsid w:val="00292DCC"/>
    <w:rsid w:val="00292EDB"/>
    <w:rsid w:val="00292EF3"/>
    <w:rsid w:val="00292F3F"/>
    <w:rsid w:val="00292F46"/>
    <w:rsid w:val="002930CF"/>
    <w:rsid w:val="00293252"/>
    <w:rsid w:val="0029327A"/>
    <w:rsid w:val="00293465"/>
    <w:rsid w:val="0029349E"/>
    <w:rsid w:val="00293542"/>
    <w:rsid w:val="00293575"/>
    <w:rsid w:val="00293815"/>
    <w:rsid w:val="00293A5B"/>
    <w:rsid w:val="00293B67"/>
    <w:rsid w:val="00293C46"/>
    <w:rsid w:val="00293DB5"/>
    <w:rsid w:val="00293E76"/>
    <w:rsid w:val="00293F20"/>
    <w:rsid w:val="00293F76"/>
    <w:rsid w:val="00294097"/>
    <w:rsid w:val="002940BE"/>
    <w:rsid w:val="002940DF"/>
    <w:rsid w:val="002942A5"/>
    <w:rsid w:val="00294483"/>
    <w:rsid w:val="002944E0"/>
    <w:rsid w:val="00294540"/>
    <w:rsid w:val="00294735"/>
    <w:rsid w:val="00294858"/>
    <w:rsid w:val="00294882"/>
    <w:rsid w:val="002949BC"/>
    <w:rsid w:val="00294C23"/>
    <w:rsid w:val="00294C41"/>
    <w:rsid w:val="00294D58"/>
    <w:rsid w:val="00294D93"/>
    <w:rsid w:val="00294DCB"/>
    <w:rsid w:val="00294E8A"/>
    <w:rsid w:val="00294ED3"/>
    <w:rsid w:val="0029503B"/>
    <w:rsid w:val="002951A3"/>
    <w:rsid w:val="00295294"/>
    <w:rsid w:val="00295316"/>
    <w:rsid w:val="0029531A"/>
    <w:rsid w:val="002953FB"/>
    <w:rsid w:val="002954CD"/>
    <w:rsid w:val="0029553F"/>
    <w:rsid w:val="002955A0"/>
    <w:rsid w:val="00295644"/>
    <w:rsid w:val="00295673"/>
    <w:rsid w:val="0029574A"/>
    <w:rsid w:val="00295958"/>
    <w:rsid w:val="00295A42"/>
    <w:rsid w:val="00295A58"/>
    <w:rsid w:val="00295B25"/>
    <w:rsid w:val="00295CB5"/>
    <w:rsid w:val="00295DC3"/>
    <w:rsid w:val="00295DC6"/>
    <w:rsid w:val="00295E6D"/>
    <w:rsid w:val="00295EC8"/>
    <w:rsid w:val="00295EF6"/>
    <w:rsid w:val="0029610E"/>
    <w:rsid w:val="00296151"/>
    <w:rsid w:val="002962A5"/>
    <w:rsid w:val="0029637B"/>
    <w:rsid w:val="002963A8"/>
    <w:rsid w:val="002964DC"/>
    <w:rsid w:val="0029654A"/>
    <w:rsid w:val="002966CA"/>
    <w:rsid w:val="00296707"/>
    <w:rsid w:val="002969D6"/>
    <w:rsid w:val="00296A71"/>
    <w:rsid w:val="00296BED"/>
    <w:rsid w:val="00296C3E"/>
    <w:rsid w:val="00296DB3"/>
    <w:rsid w:val="00296EAB"/>
    <w:rsid w:val="00296EE2"/>
    <w:rsid w:val="00296FBD"/>
    <w:rsid w:val="00296FF9"/>
    <w:rsid w:val="0029700F"/>
    <w:rsid w:val="00297077"/>
    <w:rsid w:val="0029717D"/>
    <w:rsid w:val="00297182"/>
    <w:rsid w:val="002971B8"/>
    <w:rsid w:val="00297203"/>
    <w:rsid w:val="0029724D"/>
    <w:rsid w:val="0029736E"/>
    <w:rsid w:val="002973AA"/>
    <w:rsid w:val="002973C9"/>
    <w:rsid w:val="002974F9"/>
    <w:rsid w:val="00297599"/>
    <w:rsid w:val="0029789A"/>
    <w:rsid w:val="00297951"/>
    <w:rsid w:val="00297BD6"/>
    <w:rsid w:val="00297CE6"/>
    <w:rsid w:val="00297DF9"/>
    <w:rsid w:val="00297E54"/>
    <w:rsid w:val="00297EBB"/>
    <w:rsid w:val="00297F31"/>
    <w:rsid w:val="002A0087"/>
    <w:rsid w:val="002A0096"/>
    <w:rsid w:val="002A00FD"/>
    <w:rsid w:val="002A0272"/>
    <w:rsid w:val="002A030A"/>
    <w:rsid w:val="002A031D"/>
    <w:rsid w:val="002A0345"/>
    <w:rsid w:val="002A03F8"/>
    <w:rsid w:val="002A04B4"/>
    <w:rsid w:val="002A05B9"/>
    <w:rsid w:val="002A05CC"/>
    <w:rsid w:val="002A05F8"/>
    <w:rsid w:val="002A094B"/>
    <w:rsid w:val="002A099F"/>
    <w:rsid w:val="002A09B2"/>
    <w:rsid w:val="002A0AA3"/>
    <w:rsid w:val="002A0AFB"/>
    <w:rsid w:val="002A0B02"/>
    <w:rsid w:val="002A0BCE"/>
    <w:rsid w:val="002A0BD9"/>
    <w:rsid w:val="002A1141"/>
    <w:rsid w:val="002A13CE"/>
    <w:rsid w:val="002A140C"/>
    <w:rsid w:val="002A145B"/>
    <w:rsid w:val="002A1639"/>
    <w:rsid w:val="002A17DD"/>
    <w:rsid w:val="002A18BE"/>
    <w:rsid w:val="002A192B"/>
    <w:rsid w:val="002A198C"/>
    <w:rsid w:val="002A1A6E"/>
    <w:rsid w:val="002A1AB0"/>
    <w:rsid w:val="002A1AD7"/>
    <w:rsid w:val="002A1B38"/>
    <w:rsid w:val="002A1B94"/>
    <w:rsid w:val="002A1C51"/>
    <w:rsid w:val="002A1DD5"/>
    <w:rsid w:val="002A1F65"/>
    <w:rsid w:val="002A1F6F"/>
    <w:rsid w:val="002A203E"/>
    <w:rsid w:val="002A20A1"/>
    <w:rsid w:val="002A20C6"/>
    <w:rsid w:val="002A219E"/>
    <w:rsid w:val="002A27F2"/>
    <w:rsid w:val="002A2812"/>
    <w:rsid w:val="002A2955"/>
    <w:rsid w:val="002A29DF"/>
    <w:rsid w:val="002A2A59"/>
    <w:rsid w:val="002A2CAC"/>
    <w:rsid w:val="002A2D7C"/>
    <w:rsid w:val="002A2E9C"/>
    <w:rsid w:val="002A2EF2"/>
    <w:rsid w:val="002A2F91"/>
    <w:rsid w:val="002A3074"/>
    <w:rsid w:val="002A30DB"/>
    <w:rsid w:val="002A3250"/>
    <w:rsid w:val="002A3262"/>
    <w:rsid w:val="002A32B3"/>
    <w:rsid w:val="002A346A"/>
    <w:rsid w:val="002A3495"/>
    <w:rsid w:val="002A36F6"/>
    <w:rsid w:val="002A382C"/>
    <w:rsid w:val="002A392B"/>
    <w:rsid w:val="002A394F"/>
    <w:rsid w:val="002A39D6"/>
    <w:rsid w:val="002A3A3E"/>
    <w:rsid w:val="002A3A5B"/>
    <w:rsid w:val="002A3BBE"/>
    <w:rsid w:val="002A3C30"/>
    <w:rsid w:val="002A3C3C"/>
    <w:rsid w:val="002A3C73"/>
    <w:rsid w:val="002A3CEA"/>
    <w:rsid w:val="002A3E37"/>
    <w:rsid w:val="002A3E3F"/>
    <w:rsid w:val="002A3E53"/>
    <w:rsid w:val="002A3EDC"/>
    <w:rsid w:val="002A3F61"/>
    <w:rsid w:val="002A3FA3"/>
    <w:rsid w:val="002A404E"/>
    <w:rsid w:val="002A4084"/>
    <w:rsid w:val="002A408A"/>
    <w:rsid w:val="002A41D4"/>
    <w:rsid w:val="002A42A9"/>
    <w:rsid w:val="002A4528"/>
    <w:rsid w:val="002A457F"/>
    <w:rsid w:val="002A459B"/>
    <w:rsid w:val="002A45B2"/>
    <w:rsid w:val="002A46C4"/>
    <w:rsid w:val="002A4770"/>
    <w:rsid w:val="002A4842"/>
    <w:rsid w:val="002A4880"/>
    <w:rsid w:val="002A4918"/>
    <w:rsid w:val="002A4945"/>
    <w:rsid w:val="002A4AD6"/>
    <w:rsid w:val="002A4E04"/>
    <w:rsid w:val="002A4E06"/>
    <w:rsid w:val="002A4E50"/>
    <w:rsid w:val="002A505B"/>
    <w:rsid w:val="002A5091"/>
    <w:rsid w:val="002A50C2"/>
    <w:rsid w:val="002A51B4"/>
    <w:rsid w:val="002A51E8"/>
    <w:rsid w:val="002A5219"/>
    <w:rsid w:val="002A522B"/>
    <w:rsid w:val="002A53CF"/>
    <w:rsid w:val="002A557A"/>
    <w:rsid w:val="002A5599"/>
    <w:rsid w:val="002A55FA"/>
    <w:rsid w:val="002A5665"/>
    <w:rsid w:val="002A5866"/>
    <w:rsid w:val="002A595A"/>
    <w:rsid w:val="002A59A0"/>
    <w:rsid w:val="002A5A46"/>
    <w:rsid w:val="002A5A56"/>
    <w:rsid w:val="002A5A78"/>
    <w:rsid w:val="002A5B1F"/>
    <w:rsid w:val="002A5D4F"/>
    <w:rsid w:val="002A5D97"/>
    <w:rsid w:val="002A5F7A"/>
    <w:rsid w:val="002A6091"/>
    <w:rsid w:val="002A609A"/>
    <w:rsid w:val="002A60B9"/>
    <w:rsid w:val="002A613F"/>
    <w:rsid w:val="002A6163"/>
    <w:rsid w:val="002A6199"/>
    <w:rsid w:val="002A61EF"/>
    <w:rsid w:val="002A624B"/>
    <w:rsid w:val="002A626C"/>
    <w:rsid w:val="002A634E"/>
    <w:rsid w:val="002A63C8"/>
    <w:rsid w:val="002A6460"/>
    <w:rsid w:val="002A653C"/>
    <w:rsid w:val="002A6647"/>
    <w:rsid w:val="002A67A2"/>
    <w:rsid w:val="002A6875"/>
    <w:rsid w:val="002A69D2"/>
    <w:rsid w:val="002A6AAA"/>
    <w:rsid w:val="002A6AAC"/>
    <w:rsid w:val="002A6BFA"/>
    <w:rsid w:val="002A6CC8"/>
    <w:rsid w:val="002A6D47"/>
    <w:rsid w:val="002A6DED"/>
    <w:rsid w:val="002A6EF0"/>
    <w:rsid w:val="002A6F00"/>
    <w:rsid w:val="002A6F64"/>
    <w:rsid w:val="002A7196"/>
    <w:rsid w:val="002A7223"/>
    <w:rsid w:val="002A72B1"/>
    <w:rsid w:val="002A73C7"/>
    <w:rsid w:val="002A74D7"/>
    <w:rsid w:val="002A75AD"/>
    <w:rsid w:val="002A769F"/>
    <w:rsid w:val="002A76AE"/>
    <w:rsid w:val="002A771B"/>
    <w:rsid w:val="002A7A1B"/>
    <w:rsid w:val="002A7A2E"/>
    <w:rsid w:val="002A7B64"/>
    <w:rsid w:val="002A7CD1"/>
    <w:rsid w:val="002A7DDA"/>
    <w:rsid w:val="002A7DFE"/>
    <w:rsid w:val="002A7F39"/>
    <w:rsid w:val="002A7FAC"/>
    <w:rsid w:val="002B0002"/>
    <w:rsid w:val="002B00AE"/>
    <w:rsid w:val="002B00E4"/>
    <w:rsid w:val="002B017E"/>
    <w:rsid w:val="002B018E"/>
    <w:rsid w:val="002B020D"/>
    <w:rsid w:val="002B05C1"/>
    <w:rsid w:val="002B0634"/>
    <w:rsid w:val="002B06AD"/>
    <w:rsid w:val="002B06B2"/>
    <w:rsid w:val="002B06DA"/>
    <w:rsid w:val="002B07AF"/>
    <w:rsid w:val="002B0879"/>
    <w:rsid w:val="002B089A"/>
    <w:rsid w:val="002B09BA"/>
    <w:rsid w:val="002B0D50"/>
    <w:rsid w:val="002B0D90"/>
    <w:rsid w:val="002B0E6E"/>
    <w:rsid w:val="002B0E70"/>
    <w:rsid w:val="002B0EEC"/>
    <w:rsid w:val="002B0F18"/>
    <w:rsid w:val="002B0F96"/>
    <w:rsid w:val="002B108B"/>
    <w:rsid w:val="002B118C"/>
    <w:rsid w:val="002B1283"/>
    <w:rsid w:val="002B12C3"/>
    <w:rsid w:val="002B12E2"/>
    <w:rsid w:val="002B135F"/>
    <w:rsid w:val="002B136E"/>
    <w:rsid w:val="002B1384"/>
    <w:rsid w:val="002B138B"/>
    <w:rsid w:val="002B15B9"/>
    <w:rsid w:val="002B188E"/>
    <w:rsid w:val="002B18FD"/>
    <w:rsid w:val="002B1947"/>
    <w:rsid w:val="002B1B0D"/>
    <w:rsid w:val="002B1C56"/>
    <w:rsid w:val="002B1CC3"/>
    <w:rsid w:val="002B1D62"/>
    <w:rsid w:val="002B1DAC"/>
    <w:rsid w:val="002B2258"/>
    <w:rsid w:val="002B22EC"/>
    <w:rsid w:val="002B2605"/>
    <w:rsid w:val="002B2717"/>
    <w:rsid w:val="002B27DE"/>
    <w:rsid w:val="002B2814"/>
    <w:rsid w:val="002B2A43"/>
    <w:rsid w:val="002B2A5E"/>
    <w:rsid w:val="002B2A6A"/>
    <w:rsid w:val="002B2BB8"/>
    <w:rsid w:val="002B2DB6"/>
    <w:rsid w:val="002B2E02"/>
    <w:rsid w:val="002B2E84"/>
    <w:rsid w:val="002B3065"/>
    <w:rsid w:val="002B30FA"/>
    <w:rsid w:val="002B32C0"/>
    <w:rsid w:val="002B32E4"/>
    <w:rsid w:val="002B3370"/>
    <w:rsid w:val="002B33DC"/>
    <w:rsid w:val="002B33F8"/>
    <w:rsid w:val="002B3608"/>
    <w:rsid w:val="002B3681"/>
    <w:rsid w:val="002B3822"/>
    <w:rsid w:val="002B3880"/>
    <w:rsid w:val="002B3B9B"/>
    <w:rsid w:val="002B3C16"/>
    <w:rsid w:val="002B3C27"/>
    <w:rsid w:val="002B3C6C"/>
    <w:rsid w:val="002B3E92"/>
    <w:rsid w:val="002B3FD0"/>
    <w:rsid w:val="002B4207"/>
    <w:rsid w:val="002B43FD"/>
    <w:rsid w:val="002B4450"/>
    <w:rsid w:val="002B4478"/>
    <w:rsid w:val="002B44F9"/>
    <w:rsid w:val="002B47D9"/>
    <w:rsid w:val="002B484D"/>
    <w:rsid w:val="002B4A81"/>
    <w:rsid w:val="002B4C18"/>
    <w:rsid w:val="002B4CD7"/>
    <w:rsid w:val="002B4D1F"/>
    <w:rsid w:val="002B4E57"/>
    <w:rsid w:val="002B4F6B"/>
    <w:rsid w:val="002B5006"/>
    <w:rsid w:val="002B50CD"/>
    <w:rsid w:val="002B5384"/>
    <w:rsid w:val="002B5463"/>
    <w:rsid w:val="002B5638"/>
    <w:rsid w:val="002B5852"/>
    <w:rsid w:val="002B58E7"/>
    <w:rsid w:val="002B59A4"/>
    <w:rsid w:val="002B5A1A"/>
    <w:rsid w:val="002B5AC9"/>
    <w:rsid w:val="002B5C16"/>
    <w:rsid w:val="002B5D9D"/>
    <w:rsid w:val="002B5E35"/>
    <w:rsid w:val="002B5EC6"/>
    <w:rsid w:val="002B5F56"/>
    <w:rsid w:val="002B5FEC"/>
    <w:rsid w:val="002B60AC"/>
    <w:rsid w:val="002B60B4"/>
    <w:rsid w:val="002B6107"/>
    <w:rsid w:val="002B61D1"/>
    <w:rsid w:val="002B62BB"/>
    <w:rsid w:val="002B62FA"/>
    <w:rsid w:val="002B6420"/>
    <w:rsid w:val="002B6440"/>
    <w:rsid w:val="002B650F"/>
    <w:rsid w:val="002B6530"/>
    <w:rsid w:val="002B6565"/>
    <w:rsid w:val="002B657E"/>
    <w:rsid w:val="002B6594"/>
    <w:rsid w:val="002B660A"/>
    <w:rsid w:val="002B667C"/>
    <w:rsid w:val="002B68DA"/>
    <w:rsid w:val="002B69C9"/>
    <w:rsid w:val="002B6BF8"/>
    <w:rsid w:val="002B6C4D"/>
    <w:rsid w:val="002B6CFC"/>
    <w:rsid w:val="002B6E23"/>
    <w:rsid w:val="002B6E73"/>
    <w:rsid w:val="002B6F52"/>
    <w:rsid w:val="002B6FA0"/>
    <w:rsid w:val="002B706B"/>
    <w:rsid w:val="002B7254"/>
    <w:rsid w:val="002B745D"/>
    <w:rsid w:val="002B7540"/>
    <w:rsid w:val="002B7569"/>
    <w:rsid w:val="002B75FA"/>
    <w:rsid w:val="002B76D7"/>
    <w:rsid w:val="002B7705"/>
    <w:rsid w:val="002B7770"/>
    <w:rsid w:val="002B7B5C"/>
    <w:rsid w:val="002B7C41"/>
    <w:rsid w:val="002B7C4F"/>
    <w:rsid w:val="002B7CC4"/>
    <w:rsid w:val="002B7D29"/>
    <w:rsid w:val="002B7D2D"/>
    <w:rsid w:val="002B7D4A"/>
    <w:rsid w:val="002B7DD7"/>
    <w:rsid w:val="002C0074"/>
    <w:rsid w:val="002C0221"/>
    <w:rsid w:val="002C03CF"/>
    <w:rsid w:val="002C0458"/>
    <w:rsid w:val="002C0494"/>
    <w:rsid w:val="002C04FA"/>
    <w:rsid w:val="002C052B"/>
    <w:rsid w:val="002C058B"/>
    <w:rsid w:val="002C05A0"/>
    <w:rsid w:val="002C06B4"/>
    <w:rsid w:val="002C06E3"/>
    <w:rsid w:val="002C075F"/>
    <w:rsid w:val="002C07D9"/>
    <w:rsid w:val="002C09CA"/>
    <w:rsid w:val="002C0B33"/>
    <w:rsid w:val="002C0DEF"/>
    <w:rsid w:val="002C0E19"/>
    <w:rsid w:val="002C0E49"/>
    <w:rsid w:val="002C0F4F"/>
    <w:rsid w:val="002C10A9"/>
    <w:rsid w:val="002C10BD"/>
    <w:rsid w:val="002C11CA"/>
    <w:rsid w:val="002C11DA"/>
    <w:rsid w:val="002C11ED"/>
    <w:rsid w:val="002C132D"/>
    <w:rsid w:val="002C1359"/>
    <w:rsid w:val="002C1408"/>
    <w:rsid w:val="002C1563"/>
    <w:rsid w:val="002C1583"/>
    <w:rsid w:val="002C1593"/>
    <w:rsid w:val="002C16EB"/>
    <w:rsid w:val="002C17CC"/>
    <w:rsid w:val="002C18B6"/>
    <w:rsid w:val="002C18C4"/>
    <w:rsid w:val="002C1921"/>
    <w:rsid w:val="002C1A53"/>
    <w:rsid w:val="002C1ABB"/>
    <w:rsid w:val="002C1D1A"/>
    <w:rsid w:val="002C1D44"/>
    <w:rsid w:val="002C1E2B"/>
    <w:rsid w:val="002C1F19"/>
    <w:rsid w:val="002C2253"/>
    <w:rsid w:val="002C24B3"/>
    <w:rsid w:val="002C2541"/>
    <w:rsid w:val="002C2587"/>
    <w:rsid w:val="002C2598"/>
    <w:rsid w:val="002C26E0"/>
    <w:rsid w:val="002C270A"/>
    <w:rsid w:val="002C2829"/>
    <w:rsid w:val="002C28E2"/>
    <w:rsid w:val="002C28F9"/>
    <w:rsid w:val="002C2937"/>
    <w:rsid w:val="002C2A17"/>
    <w:rsid w:val="002C2A77"/>
    <w:rsid w:val="002C2B0D"/>
    <w:rsid w:val="002C2B66"/>
    <w:rsid w:val="002C2B76"/>
    <w:rsid w:val="002C2D89"/>
    <w:rsid w:val="002C2E42"/>
    <w:rsid w:val="002C2EBD"/>
    <w:rsid w:val="002C2F22"/>
    <w:rsid w:val="002C2F4C"/>
    <w:rsid w:val="002C2FEB"/>
    <w:rsid w:val="002C31C9"/>
    <w:rsid w:val="002C3210"/>
    <w:rsid w:val="002C33A4"/>
    <w:rsid w:val="002C3598"/>
    <w:rsid w:val="002C362F"/>
    <w:rsid w:val="002C3650"/>
    <w:rsid w:val="002C3707"/>
    <w:rsid w:val="002C3AF2"/>
    <w:rsid w:val="002C3B39"/>
    <w:rsid w:val="002C3B4D"/>
    <w:rsid w:val="002C3BE7"/>
    <w:rsid w:val="002C3C51"/>
    <w:rsid w:val="002C3E98"/>
    <w:rsid w:val="002C4020"/>
    <w:rsid w:val="002C409C"/>
    <w:rsid w:val="002C421A"/>
    <w:rsid w:val="002C4256"/>
    <w:rsid w:val="002C4552"/>
    <w:rsid w:val="002C45E8"/>
    <w:rsid w:val="002C4757"/>
    <w:rsid w:val="002C47B3"/>
    <w:rsid w:val="002C47DC"/>
    <w:rsid w:val="002C4801"/>
    <w:rsid w:val="002C4968"/>
    <w:rsid w:val="002C498D"/>
    <w:rsid w:val="002C4A12"/>
    <w:rsid w:val="002C4A9E"/>
    <w:rsid w:val="002C4C3D"/>
    <w:rsid w:val="002C4CDC"/>
    <w:rsid w:val="002C4D0A"/>
    <w:rsid w:val="002C4D2D"/>
    <w:rsid w:val="002C4D44"/>
    <w:rsid w:val="002C4E13"/>
    <w:rsid w:val="002C4E16"/>
    <w:rsid w:val="002C4FE5"/>
    <w:rsid w:val="002C508B"/>
    <w:rsid w:val="002C51C1"/>
    <w:rsid w:val="002C5285"/>
    <w:rsid w:val="002C546C"/>
    <w:rsid w:val="002C54B8"/>
    <w:rsid w:val="002C5590"/>
    <w:rsid w:val="002C565A"/>
    <w:rsid w:val="002C56AF"/>
    <w:rsid w:val="002C58C0"/>
    <w:rsid w:val="002C58D3"/>
    <w:rsid w:val="002C5A66"/>
    <w:rsid w:val="002C5C77"/>
    <w:rsid w:val="002C5CB0"/>
    <w:rsid w:val="002C5CD1"/>
    <w:rsid w:val="002C5D34"/>
    <w:rsid w:val="002C5DCB"/>
    <w:rsid w:val="002C5E53"/>
    <w:rsid w:val="002C5EE8"/>
    <w:rsid w:val="002C6010"/>
    <w:rsid w:val="002C61AC"/>
    <w:rsid w:val="002C654E"/>
    <w:rsid w:val="002C65EA"/>
    <w:rsid w:val="002C66DE"/>
    <w:rsid w:val="002C66F5"/>
    <w:rsid w:val="002C670F"/>
    <w:rsid w:val="002C6745"/>
    <w:rsid w:val="002C678E"/>
    <w:rsid w:val="002C6795"/>
    <w:rsid w:val="002C67F5"/>
    <w:rsid w:val="002C691B"/>
    <w:rsid w:val="002C6A09"/>
    <w:rsid w:val="002C6A72"/>
    <w:rsid w:val="002C6AE3"/>
    <w:rsid w:val="002C6BAD"/>
    <w:rsid w:val="002C6C9E"/>
    <w:rsid w:val="002C6D21"/>
    <w:rsid w:val="002C6DCC"/>
    <w:rsid w:val="002C6DF3"/>
    <w:rsid w:val="002C6F50"/>
    <w:rsid w:val="002C70B6"/>
    <w:rsid w:val="002C70CE"/>
    <w:rsid w:val="002C72BC"/>
    <w:rsid w:val="002C72C1"/>
    <w:rsid w:val="002C72C5"/>
    <w:rsid w:val="002C7374"/>
    <w:rsid w:val="002C7474"/>
    <w:rsid w:val="002C7557"/>
    <w:rsid w:val="002C76D3"/>
    <w:rsid w:val="002C792B"/>
    <w:rsid w:val="002C7972"/>
    <w:rsid w:val="002C7AA1"/>
    <w:rsid w:val="002C7ABE"/>
    <w:rsid w:val="002C7B82"/>
    <w:rsid w:val="002C7BA0"/>
    <w:rsid w:val="002C7BD1"/>
    <w:rsid w:val="002C7C11"/>
    <w:rsid w:val="002C7C6B"/>
    <w:rsid w:val="002C7C7C"/>
    <w:rsid w:val="002C7DED"/>
    <w:rsid w:val="002C7FCF"/>
    <w:rsid w:val="002D000F"/>
    <w:rsid w:val="002D006B"/>
    <w:rsid w:val="002D0102"/>
    <w:rsid w:val="002D012B"/>
    <w:rsid w:val="002D0389"/>
    <w:rsid w:val="002D0641"/>
    <w:rsid w:val="002D086B"/>
    <w:rsid w:val="002D0870"/>
    <w:rsid w:val="002D08C6"/>
    <w:rsid w:val="002D08FA"/>
    <w:rsid w:val="002D0906"/>
    <w:rsid w:val="002D0B40"/>
    <w:rsid w:val="002D0B73"/>
    <w:rsid w:val="002D0CE6"/>
    <w:rsid w:val="002D0E04"/>
    <w:rsid w:val="002D0E22"/>
    <w:rsid w:val="002D0FCE"/>
    <w:rsid w:val="002D1077"/>
    <w:rsid w:val="002D1086"/>
    <w:rsid w:val="002D10C9"/>
    <w:rsid w:val="002D11E8"/>
    <w:rsid w:val="002D1264"/>
    <w:rsid w:val="002D139B"/>
    <w:rsid w:val="002D14D0"/>
    <w:rsid w:val="002D1540"/>
    <w:rsid w:val="002D16A2"/>
    <w:rsid w:val="002D1792"/>
    <w:rsid w:val="002D1819"/>
    <w:rsid w:val="002D1860"/>
    <w:rsid w:val="002D1AAC"/>
    <w:rsid w:val="002D1AB8"/>
    <w:rsid w:val="002D1BC4"/>
    <w:rsid w:val="002D1C76"/>
    <w:rsid w:val="002D1CFA"/>
    <w:rsid w:val="002D1D2F"/>
    <w:rsid w:val="002D1D3A"/>
    <w:rsid w:val="002D1E49"/>
    <w:rsid w:val="002D1EBF"/>
    <w:rsid w:val="002D1F5A"/>
    <w:rsid w:val="002D1F7D"/>
    <w:rsid w:val="002D1FA5"/>
    <w:rsid w:val="002D2026"/>
    <w:rsid w:val="002D21F0"/>
    <w:rsid w:val="002D22C8"/>
    <w:rsid w:val="002D2384"/>
    <w:rsid w:val="002D24A4"/>
    <w:rsid w:val="002D25EC"/>
    <w:rsid w:val="002D2646"/>
    <w:rsid w:val="002D2684"/>
    <w:rsid w:val="002D26B5"/>
    <w:rsid w:val="002D27FB"/>
    <w:rsid w:val="002D2891"/>
    <w:rsid w:val="002D29A7"/>
    <w:rsid w:val="002D2AA2"/>
    <w:rsid w:val="002D2B1A"/>
    <w:rsid w:val="002D2B24"/>
    <w:rsid w:val="002D2CDE"/>
    <w:rsid w:val="002D2E02"/>
    <w:rsid w:val="002D2EBF"/>
    <w:rsid w:val="002D2F40"/>
    <w:rsid w:val="002D2F89"/>
    <w:rsid w:val="002D31B0"/>
    <w:rsid w:val="002D33D3"/>
    <w:rsid w:val="002D34FA"/>
    <w:rsid w:val="002D37AE"/>
    <w:rsid w:val="002D37D4"/>
    <w:rsid w:val="002D39E8"/>
    <w:rsid w:val="002D3A0E"/>
    <w:rsid w:val="002D3A5B"/>
    <w:rsid w:val="002D3AB0"/>
    <w:rsid w:val="002D3AC8"/>
    <w:rsid w:val="002D3B66"/>
    <w:rsid w:val="002D3E13"/>
    <w:rsid w:val="002D3E22"/>
    <w:rsid w:val="002D3E7C"/>
    <w:rsid w:val="002D3EB3"/>
    <w:rsid w:val="002D40DE"/>
    <w:rsid w:val="002D4102"/>
    <w:rsid w:val="002D413B"/>
    <w:rsid w:val="002D4140"/>
    <w:rsid w:val="002D424F"/>
    <w:rsid w:val="002D43DD"/>
    <w:rsid w:val="002D4480"/>
    <w:rsid w:val="002D4561"/>
    <w:rsid w:val="002D4617"/>
    <w:rsid w:val="002D4644"/>
    <w:rsid w:val="002D470B"/>
    <w:rsid w:val="002D4735"/>
    <w:rsid w:val="002D4879"/>
    <w:rsid w:val="002D48EC"/>
    <w:rsid w:val="002D48F3"/>
    <w:rsid w:val="002D4902"/>
    <w:rsid w:val="002D4918"/>
    <w:rsid w:val="002D4940"/>
    <w:rsid w:val="002D49D7"/>
    <w:rsid w:val="002D4B6B"/>
    <w:rsid w:val="002D4BC4"/>
    <w:rsid w:val="002D4BD5"/>
    <w:rsid w:val="002D4C75"/>
    <w:rsid w:val="002D4EF9"/>
    <w:rsid w:val="002D4F3E"/>
    <w:rsid w:val="002D4FFD"/>
    <w:rsid w:val="002D5049"/>
    <w:rsid w:val="002D5097"/>
    <w:rsid w:val="002D5126"/>
    <w:rsid w:val="002D52BF"/>
    <w:rsid w:val="002D5368"/>
    <w:rsid w:val="002D539D"/>
    <w:rsid w:val="002D5453"/>
    <w:rsid w:val="002D54F2"/>
    <w:rsid w:val="002D5535"/>
    <w:rsid w:val="002D55E4"/>
    <w:rsid w:val="002D56A9"/>
    <w:rsid w:val="002D5749"/>
    <w:rsid w:val="002D57EC"/>
    <w:rsid w:val="002D57ED"/>
    <w:rsid w:val="002D5916"/>
    <w:rsid w:val="002D596E"/>
    <w:rsid w:val="002D5999"/>
    <w:rsid w:val="002D59A4"/>
    <w:rsid w:val="002D5AA2"/>
    <w:rsid w:val="002D5B54"/>
    <w:rsid w:val="002D5BE7"/>
    <w:rsid w:val="002D5C19"/>
    <w:rsid w:val="002D5E0B"/>
    <w:rsid w:val="002D5E42"/>
    <w:rsid w:val="002D5E5C"/>
    <w:rsid w:val="002D5EE1"/>
    <w:rsid w:val="002D61D8"/>
    <w:rsid w:val="002D61ED"/>
    <w:rsid w:val="002D6348"/>
    <w:rsid w:val="002D6378"/>
    <w:rsid w:val="002D6472"/>
    <w:rsid w:val="002D6498"/>
    <w:rsid w:val="002D64DB"/>
    <w:rsid w:val="002D66CE"/>
    <w:rsid w:val="002D66F8"/>
    <w:rsid w:val="002D676F"/>
    <w:rsid w:val="002D690D"/>
    <w:rsid w:val="002D693A"/>
    <w:rsid w:val="002D6942"/>
    <w:rsid w:val="002D6A1F"/>
    <w:rsid w:val="002D6B35"/>
    <w:rsid w:val="002D6C88"/>
    <w:rsid w:val="002D6CD8"/>
    <w:rsid w:val="002D6D47"/>
    <w:rsid w:val="002D6D58"/>
    <w:rsid w:val="002D6FC5"/>
    <w:rsid w:val="002D71F1"/>
    <w:rsid w:val="002D7297"/>
    <w:rsid w:val="002D761D"/>
    <w:rsid w:val="002D767A"/>
    <w:rsid w:val="002D77D5"/>
    <w:rsid w:val="002D7C75"/>
    <w:rsid w:val="002D7CC2"/>
    <w:rsid w:val="002D7FE7"/>
    <w:rsid w:val="002E0032"/>
    <w:rsid w:val="002E0041"/>
    <w:rsid w:val="002E0130"/>
    <w:rsid w:val="002E0370"/>
    <w:rsid w:val="002E039B"/>
    <w:rsid w:val="002E0467"/>
    <w:rsid w:val="002E05F7"/>
    <w:rsid w:val="002E085D"/>
    <w:rsid w:val="002E09F1"/>
    <w:rsid w:val="002E0A83"/>
    <w:rsid w:val="002E0AD5"/>
    <w:rsid w:val="002E0D8F"/>
    <w:rsid w:val="002E0DDD"/>
    <w:rsid w:val="002E1259"/>
    <w:rsid w:val="002E128F"/>
    <w:rsid w:val="002E1399"/>
    <w:rsid w:val="002E144D"/>
    <w:rsid w:val="002E14A9"/>
    <w:rsid w:val="002E1500"/>
    <w:rsid w:val="002E1548"/>
    <w:rsid w:val="002E1724"/>
    <w:rsid w:val="002E1766"/>
    <w:rsid w:val="002E177E"/>
    <w:rsid w:val="002E18F9"/>
    <w:rsid w:val="002E1AB1"/>
    <w:rsid w:val="002E1AF8"/>
    <w:rsid w:val="002E1B1F"/>
    <w:rsid w:val="002E1B8F"/>
    <w:rsid w:val="002E1BDD"/>
    <w:rsid w:val="002E1CFE"/>
    <w:rsid w:val="002E1D1C"/>
    <w:rsid w:val="002E1DCE"/>
    <w:rsid w:val="002E1E90"/>
    <w:rsid w:val="002E2030"/>
    <w:rsid w:val="002E2088"/>
    <w:rsid w:val="002E2133"/>
    <w:rsid w:val="002E227C"/>
    <w:rsid w:val="002E229C"/>
    <w:rsid w:val="002E232C"/>
    <w:rsid w:val="002E25E6"/>
    <w:rsid w:val="002E263F"/>
    <w:rsid w:val="002E265E"/>
    <w:rsid w:val="002E270A"/>
    <w:rsid w:val="002E2710"/>
    <w:rsid w:val="002E294D"/>
    <w:rsid w:val="002E2996"/>
    <w:rsid w:val="002E2A2B"/>
    <w:rsid w:val="002E2C95"/>
    <w:rsid w:val="002E2CA4"/>
    <w:rsid w:val="002E2CBD"/>
    <w:rsid w:val="002E2D42"/>
    <w:rsid w:val="002E2D78"/>
    <w:rsid w:val="002E31D8"/>
    <w:rsid w:val="002E3338"/>
    <w:rsid w:val="002E3360"/>
    <w:rsid w:val="002E3383"/>
    <w:rsid w:val="002E33CF"/>
    <w:rsid w:val="002E34A4"/>
    <w:rsid w:val="002E3624"/>
    <w:rsid w:val="002E3630"/>
    <w:rsid w:val="002E386A"/>
    <w:rsid w:val="002E396E"/>
    <w:rsid w:val="002E3A3F"/>
    <w:rsid w:val="002E3A73"/>
    <w:rsid w:val="002E3B11"/>
    <w:rsid w:val="002E3C63"/>
    <w:rsid w:val="002E3C88"/>
    <w:rsid w:val="002E3D25"/>
    <w:rsid w:val="002E3D88"/>
    <w:rsid w:val="002E3E11"/>
    <w:rsid w:val="002E3E51"/>
    <w:rsid w:val="002E3FD0"/>
    <w:rsid w:val="002E4110"/>
    <w:rsid w:val="002E4207"/>
    <w:rsid w:val="002E422B"/>
    <w:rsid w:val="002E43AD"/>
    <w:rsid w:val="002E43F9"/>
    <w:rsid w:val="002E440C"/>
    <w:rsid w:val="002E445E"/>
    <w:rsid w:val="002E450D"/>
    <w:rsid w:val="002E4588"/>
    <w:rsid w:val="002E45EE"/>
    <w:rsid w:val="002E47BD"/>
    <w:rsid w:val="002E48F6"/>
    <w:rsid w:val="002E4A53"/>
    <w:rsid w:val="002E4A8E"/>
    <w:rsid w:val="002E4ABB"/>
    <w:rsid w:val="002E4B35"/>
    <w:rsid w:val="002E4BD6"/>
    <w:rsid w:val="002E4E0A"/>
    <w:rsid w:val="002E4F74"/>
    <w:rsid w:val="002E505B"/>
    <w:rsid w:val="002E5120"/>
    <w:rsid w:val="002E513E"/>
    <w:rsid w:val="002E52E1"/>
    <w:rsid w:val="002E545A"/>
    <w:rsid w:val="002E56A0"/>
    <w:rsid w:val="002E579A"/>
    <w:rsid w:val="002E5838"/>
    <w:rsid w:val="002E5870"/>
    <w:rsid w:val="002E5A66"/>
    <w:rsid w:val="002E5BDF"/>
    <w:rsid w:val="002E5BE2"/>
    <w:rsid w:val="002E5BF5"/>
    <w:rsid w:val="002E5D45"/>
    <w:rsid w:val="002E5D6C"/>
    <w:rsid w:val="002E5D8D"/>
    <w:rsid w:val="002E5E9E"/>
    <w:rsid w:val="002E5F4C"/>
    <w:rsid w:val="002E5F97"/>
    <w:rsid w:val="002E6044"/>
    <w:rsid w:val="002E6084"/>
    <w:rsid w:val="002E60DB"/>
    <w:rsid w:val="002E6196"/>
    <w:rsid w:val="002E61B4"/>
    <w:rsid w:val="002E61EA"/>
    <w:rsid w:val="002E62B9"/>
    <w:rsid w:val="002E62D1"/>
    <w:rsid w:val="002E63EC"/>
    <w:rsid w:val="002E64CE"/>
    <w:rsid w:val="002E65C2"/>
    <w:rsid w:val="002E65D8"/>
    <w:rsid w:val="002E6653"/>
    <w:rsid w:val="002E66D9"/>
    <w:rsid w:val="002E672B"/>
    <w:rsid w:val="002E6848"/>
    <w:rsid w:val="002E699D"/>
    <w:rsid w:val="002E6C78"/>
    <w:rsid w:val="002E6D2C"/>
    <w:rsid w:val="002E6DFF"/>
    <w:rsid w:val="002E716E"/>
    <w:rsid w:val="002E71FA"/>
    <w:rsid w:val="002E731B"/>
    <w:rsid w:val="002E73F2"/>
    <w:rsid w:val="002E7427"/>
    <w:rsid w:val="002E756D"/>
    <w:rsid w:val="002E7662"/>
    <w:rsid w:val="002E7775"/>
    <w:rsid w:val="002E7878"/>
    <w:rsid w:val="002E796E"/>
    <w:rsid w:val="002E79D7"/>
    <w:rsid w:val="002E7A90"/>
    <w:rsid w:val="002E7AD2"/>
    <w:rsid w:val="002E7AE2"/>
    <w:rsid w:val="002E7AF8"/>
    <w:rsid w:val="002E7B93"/>
    <w:rsid w:val="002E7BE2"/>
    <w:rsid w:val="002E7C1B"/>
    <w:rsid w:val="002E7CAD"/>
    <w:rsid w:val="002E7CF3"/>
    <w:rsid w:val="002E7F82"/>
    <w:rsid w:val="002E7F99"/>
    <w:rsid w:val="002F012A"/>
    <w:rsid w:val="002F014E"/>
    <w:rsid w:val="002F01F1"/>
    <w:rsid w:val="002F02E7"/>
    <w:rsid w:val="002F048B"/>
    <w:rsid w:val="002F05B4"/>
    <w:rsid w:val="002F08A1"/>
    <w:rsid w:val="002F0928"/>
    <w:rsid w:val="002F09F7"/>
    <w:rsid w:val="002F0AAA"/>
    <w:rsid w:val="002F0C8E"/>
    <w:rsid w:val="002F0D11"/>
    <w:rsid w:val="002F0E20"/>
    <w:rsid w:val="002F0EEA"/>
    <w:rsid w:val="002F0F56"/>
    <w:rsid w:val="002F0FCF"/>
    <w:rsid w:val="002F0FEA"/>
    <w:rsid w:val="002F1025"/>
    <w:rsid w:val="002F1116"/>
    <w:rsid w:val="002F11BA"/>
    <w:rsid w:val="002F12FC"/>
    <w:rsid w:val="002F1399"/>
    <w:rsid w:val="002F1433"/>
    <w:rsid w:val="002F15D4"/>
    <w:rsid w:val="002F16A3"/>
    <w:rsid w:val="002F1765"/>
    <w:rsid w:val="002F188E"/>
    <w:rsid w:val="002F190B"/>
    <w:rsid w:val="002F192D"/>
    <w:rsid w:val="002F1B4E"/>
    <w:rsid w:val="002F1B82"/>
    <w:rsid w:val="002F1CE3"/>
    <w:rsid w:val="002F1F77"/>
    <w:rsid w:val="002F20F2"/>
    <w:rsid w:val="002F217B"/>
    <w:rsid w:val="002F223B"/>
    <w:rsid w:val="002F22A9"/>
    <w:rsid w:val="002F22B3"/>
    <w:rsid w:val="002F23E1"/>
    <w:rsid w:val="002F2505"/>
    <w:rsid w:val="002F2510"/>
    <w:rsid w:val="002F2567"/>
    <w:rsid w:val="002F2619"/>
    <w:rsid w:val="002F2628"/>
    <w:rsid w:val="002F2720"/>
    <w:rsid w:val="002F2777"/>
    <w:rsid w:val="002F28BC"/>
    <w:rsid w:val="002F2961"/>
    <w:rsid w:val="002F2A08"/>
    <w:rsid w:val="002F2AB0"/>
    <w:rsid w:val="002F2B4B"/>
    <w:rsid w:val="002F2C79"/>
    <w:rsid w:val="002F2EA8"/>
    <w:rsid w:val="002F2EB6"/>
    <w:rsid w:val="002F2F85"/>
    <w:rsid w:val="002F3086"/>
    <w:rsid w:val="002F322A"/>
    <w:rsid w:val="002F32FB"/>
    <w:rsid w:val="002F331D"/>
    <w:rsid w:val="002F3704"/>
    <w:rsid w:val="002F3765"/>
    <w:rsid w:val="002F37D0"/>
    <w:rsid w:val="002F3949"/>
    <w:rsid w:val="002F3AD1"/>
    <w:rsid w:val="002F3AEA"/>
    <w:rsid w:val="002F3C0E"/>
    <w:rsid w:val="002F3C51"/>
    <w:rsid w:val="002F3C97"/>
    <w:rsid w:val="002F3ECE"/>
    <w:rsid w:val="002F4061"/>
    <w:rsid w:val="002F406F"/>
    <w:rsid w:val="002F407C"/>
    <w:rsid w:val="002F4086"/>
    <w:rsid w:val="002F40B5"/>
    <w:rsid w:val="002F41CE"/>
    <w:rsid w:val="002F4276"/>
    <w:rsid w:val="002F42A2"/>
    <w:rsid w:val="002F42D7"/>
    <w:rsid w:val="002F453F"/>
    <w:rsid w:val="002F455C"/>
    <w:rsid w:val="002F4899"/>
    <w:rsid w:val="002F4938"/>
    <w:rsid w:val="002F4A70"/>
    <w:rsid w:val="002F4B49"/>
    <w:rsid w:val="002F4B4A"/>
    <w:rsid w:val="002F4C12"/>
    <w:rsid w:val="002F4C6B"/>
    <w:rsid w:val="002F4C70"/>
    <w:rsid w:val="002F4E6B"/>
    <w:rsid w:val="002F4E8B"/>
    <w:rsid w:val="002F4F75"/>
    <w:rsid w:val="002F5131"/>
    <w:rsid w:val="002F5157"/>
    <w:rsid w:val="002F516C"/>
    <w:rsid w:val="002F5267"/>
    <w:rsid w:val="002F532D"/>
    <w:rsid w:val="002F5360"/>
    <w:rsid w:val="002F540F"/>
    <w:rsid w:val="002F5424"/>
    <w:rsid w:val="002F54EE"/>
    <w:rsid w:val="002F5611"/>
    <w:rsid w:val="002F5941"/>
    <w:rsid w:val="002F599F"/>
    <w:rsid w:val="002F5A21"/>
    <w:rsid w:val="002F5AAE"/>
    <w:rsid w:val="002F5B3F"/>
    <w:rsid w:val="002F5B91"/>
    <w:rsid w:val="002F5C01"/>
    <w:rsid w:val="002F5D25"/>
    <w:rsid w:val="002F5DAD"/>
    <w:rsid w:val="002F5DFF"/>
    <w:rsid w:val="002F5E85"/>
    <w:rsid w:val="002F5EBF"/>
    <w:rsid w:val="002F5F5E"/>
    <w:rsid w:val="002F5F85"/>
    <w:rsid w:val="002F6007"/>
    <w:rsid w:val="002F608D"/>
    <w:rsid w:val="002F60B5"/>
    <w:rsid w:val="002F6130"/>
    <w:rsid w:val="002F62EF"/>
    <w:rsid w:val="002F6551"/>
    <w:rsid w:val="002F65FD"/>
    <w:rsid w:val="002F676C"/>
    <w:rsid w:val="002F6878"/>
    <w:rsid w:val="002F693F"/>
    <w:rsid w:val="002F6A58"/>
    <w:rsid w:val="002F6A82"/>
    <w:rsid w:val="002F6AAC"/>
    <w:rsid w:val="002F6D25"/>
    <w:rsid w:val="002F6DD1"/>
    <w:rsid w:val="002F6E88"/>
    <w:rsid w:val="002F6F67"/>
    <w:rsid w:val="002F7027"/>
    <w:rsid w:val="002F7035"/>
    <w:rsid w:val="002F7469"/>
    <w:rsid w:val="002F7A40"/>
    <w:rsid w:val="002F7B44"/>
    <w:rsid w:val="002F7B78"/>
    <w:rsid w:val="002F7C4B"/>
    <w:rsid w:val="002F7C86"/>
    <w:rsid w:val="002F7CAB"/>
    <w:rsid w:val="002F7DE9"/>
    <w:rsid w:val="002F7FBA"/>
    <w:rsid w:val="00300425"/>
    <w:rsid w:val="00300484"/>
    <w:rsid w:val="00300544"/>
    <w:rsid w:val="00300581"/>
    <w:rsid w:val="00300674"/>
    <w:rsid w:val="0030077C"/>
    <w:rsid w:val="00300828"/>
    <w:rsid w:val="00300847"/>
    <w:rsid w:val="003008CC"/>
    <w:rsid w:val="003009BA"/>
    <w:rsid w:val="00300C11"/>
    <w:rsid w:val="00300D14"/>
    <w:rsid w:val="00300DF7"/>
    <w:rsid w:val="00300E30"/>
    <w:rsid w:val="00300F0C"/>
    <w:rsid w:val="00300F6F"/>
    <w:rsid w:val="0030101C"/>
    <w:rsid w:val="003010CD"/>
    <w:rsid w:val="003010CF"/>
    <w:rsid w:val="003010DC"/>
    <w:rsid w:val="003010E9"/>
    <w:rsid w:val="00301234"/>
    <w:rsid w:val="0030136F"/>
    <w:rsid w:val="003013EC"/>
    <w:rsid w:val="00301635"/>
    <w:rsid w:val="00301763"/>
    <w:rsid w:val="003017DF"/>
    <w:rsid w:val="0030180E"/>
    <w:rsid w:val="00301853"/>
    <w:rsid w:val="003018B6"/>
    <w:rsid w:val="00301906"/>
    <w:rsid w:val="00301978"/>
    <w:rsid w:val="00301B12"/>
    <w:rsid w:val="00301B34"/>
    <w:rsid w:val="00301C75"/>
    <w:rsid w:val="00301D59"/>
    <w:rsid w:val="00301DEB"/>
    <w:rsid w:val="00301E63"/>
    <w:rsid w:val="00301E7D"/>
    <w:rsid w:val="003021EA"/>
    <w:rsid w:val="00302252"/>
    <w:rsid w:val="003022B0"/>
    <w:rsid w:val="00302308"/>
    <w:rsid w:val="00302400"/>
    <w:rsid w:val="00302461"/>
    <w:rsid w:val="00302562"/>
    <w:rsid w:val="0030260F"/>
    <w:rsid w:val="003027D7"/>
    <w:rsid w:val="00302841"/>
    <w:rsid w:val="0030286B"/>
    <w:rsid w:val="00302A43"/>
    <w:rsid w:val="00302A5B"/>
    <w:rsid w:val="00302AAF"/>
    <w:rsid w:val="00302B23"/>
    <w:rsid w:val="00302CAA"/>
    <w:rsid w:val="003030E4"/>
    <w:rsid w:val="0030324F"/>
    <w:rsid w:val="003032B6"/>
    <w:rsid w:val="00303449"/>
    <w:rsid w:val="0030377C"/>
    <w:rsid w:val="00303877"/>
    <w:rsid w:val="00303A8E"/>
    <w:rsid w:val="00303AC0"/>
    <w:rsid w:val="00303C60"/>
    <w:rsid w:val="003040D1"/>
    <w:rsid w:val="003040F5"/>
    <w:rsid w:val="00304109"/>
    <w:rsid w:val="00304132"/>
    <w:rsid w:val="00304223"/>
    <w:rsid w:val="00304330"/>
    <w:rsid w:val="00304486"/>
    <w:rsid w:val="00304560"/>
    <w:rsid w:val="00304609"/>
    <w:rsid w:val="00304747"/>
    <w:rsid w:val="003048EF"/>
    <w:rsid w:val="003048FE"/>
    <w:rsid w:val="003049DB"/>
    <w:rsid w:val="00304A5E"/>
    <w:rsid w:val="00304B2F"/>
    <w:rsid w:val="00304D0E"/>
    <w:rsid w:val="00304D30"/>
    <w:rsid w:val="00304D43"/>
    <w:rsid w:val="00304DAC"/>
    <w:rsid w:val="00304DD6"/>
    <w:rsid w:val="00304E91"/>
    <w:rsid w:val="00304EF8"/>
    <w:rsid w:val="00304FB8"/>
    <w:rsid w:val="0030501E"/>
    <w:rsid w:val="0030511F"/>
    <w:rsid w:val="0030512D"/>
    <w:rsid w:val="00305223"/>
    <w:rsid w:val="003052A4"/>
    <w:rsid w:val="00305362"/>
    <w:rsid w:val="003053F2"/>
    <w:rsid w:val="003059E7"/>
    <w:rsid w:val="003059EF"/>
    <w:rsid w:val="00305A00"/>
    <w:rsid w:val="00305D36"/>
    <w:rsid w:val="00305D73"/>
    <w:rsid w:val="00305DAD"/>
    <w:rsid w:val="00305F33"/>
    <w:rsid w:val="00306138"/>
    <w:rsid w:val="0030636F"/>
    <w:rsid w:val="0030637B"/>
    <w:rsid w:val="00306621"/>
    <w:rsid w:val="0030685B"/>
    <w:rsid w:val="0030685C"/>
    <w:rsid w:val="00306A2B"/>
    <w:rsid w:val="00306A6F"/>
    <w:rsid w:val="00306AD0"/>
    <w:rsid w:val="00306CB8"/>
    <w:rsid w:val="00306F40"/>
    <w:rsid w:val="00306F59"/>
    <w:rsid w:val="00306FE4"/>
    <w:rsid w:val="0030701B"/>
    <w:rsid w:val="00307078"/>
    <w:rsid w:val="003070E4"/>
    <w:rsid w:val="003070FB"/>
    <w:rsid w:val="00307135"/>
    <w:rsid w:val="00307160"/>
    <w:rsid w:val="00307182"/>
    <w:rsid w:val="00307299"/>
    <w:rsid w:val="00307348"/>
    <w:rsid w:val="00307386"/>
    <w:rsid w:val="0030739B"/>
    <w:rsid w:val="003073B2"/>
    <w:rsid w:val="003073D4"/>
    <w:rsid w:val="003075B9"/>
    <w:rsid w:val="0030762E"/>
    <w:rsid w:val="0030791F"/>
    <w:rsid w:val="003079D3"/>
    <w:rsid w:val="00307A21"/>
    <w:rsid w:val="00307A76"/>
    <w:rsid w:val="00307AA7"/>
    <w:rsid w:val="00307B04"/>
    <w:rsid w:val="00307B6C"/>
    <w:rsid w:val="00307C87"/>
    <w:rsid w:val="00307D48"/>
    <w:rsid w:val="00307E7D"/>
    <w:rsid w:val="00307E94"/>
    <w:rsid w:val="00310054"/>
    <w:rsid w:val="0031027B"/>
    <w:rsid w:val="003102AB"/>
    <w:rsid w:val="003102B2"/>
    <w:rsid w:val="003104D9"/>
    <w:rsid w:val="00310532"/>
    <w:rsid w:val="00310599"/>
    <w:rsid w:val="0031071C"/>
    <w:rsid w:val="0031077B"/>
    <w:rsid w:val="003109EC"/>
    <w:rsid w:val="00310A0E"/>
    <w:rsid w:val="00310A1C"/>
    <w:rsid w:val="00310B55"/>
    <w:rsid w:val="00310B88"/>
    <w:rsid w:val="00310B9B"/>
    <w:rsid w:val="00310C04"/>
    <w:rsid w:val="00310C3F"/>
    <w:rsid w:val="00310C4C"/>
    <w:rsid w:val="00310D92"/>
    <w:rsid w:val="00311093"/>
    <w:rsid w:val="003110DB"/>
    <w:rsid w:val="00311209"/>
    <w:rsid w:val="00311380"/>
    <w:rsid w:val="003113BB"/>
    <w:rsid w:val="00311482"/>
    <w:rsid w:val="00311497"/>
    <w:rsid w:val="00311565"/>
    <w:rsid w:val="003115EB"/>
    <w:rsid w:val="003116B1"/>
    <w:rsid w:val="00311722"/>
    <w:rsid w:val="0031174D"/>
    <w:rsid w:val="003117AB"/>
    <w:rsid w:val="003117E3"/>
    <w:rsid w:val="00311979"/>
    <w:rsid w:val="003119E8"/>
    <w:rsid w:val="00311A19"/>
    <w:rsid w:val="00311A5D"/>
    <w:rsid w:val="00311A8B"/>
    <w:rsid w:val="00311C76"/>
    <w:rsid w:val="00311CFC"/>
    <w:rsid w:val="00311E6B"/>
    <w:rsid w:val="0031201C"/>
    <w:rsid w:val="003120DC"/>
    <w:rsid w:val="003121FF"/>
    <w:rsid w:val="00312204"/>
    <w:rsid w:val="0031247B"/>
    <w:rsid w:val="00312493"/>
    <w:rsid w:val="00312509"/>
    <w:rsid w:val="00312746"/>
    <w:rsid w:val="0031289B"/>
    <w:rsid w:val="003128B8"/>
    <w:rsid w:val="003128FB"/>
    <w:rsid w:val="003129F7"/>
    <w:rsid w:val="00312DC0"/>
    <w:rsid w:val="00312E45"/>
    <w:rsid w:val="00312F40"/>
    <w:rsid w:val="00312F8D"/>
    <w:rsid w:val="003130BC"/>
    <w:rsid w:val="003131C1"/>
    <w:rsid w:val="00313201"/>
    <w:rsid w:val="00313423"/>
    <w:rsid w:val="0031343B"/>
    <w:rsid w:val="00313500"/>
    <w:rsid w:val="0031356E"/>
    <w:rsid w:val="003136C8"/>
    <w:rsid w:val="00313791"/>
    <w:rsid w:val="003137A2"/>
    <w:rsid w:val="003137D6"/>
    <w:rsid w:val="003139A9"/>
    <w:rsid w:val="00313BEB"/>
    <w:rsid w:val="00313C7F"/>
    <w:rsid w:val="00313CE0"/>
    <w:rsid w:val="00313E8D"/>
    <w:rsid w:val="00313F43"/>
    <w:rsid w:val="0031406A"/>
    <w:rsid w:val="003140D2"/>
    <w:rsid w:val="0031412D"/>
    <w:rsid w:val="00314218"/>
    <w:rsid w:val="003143C5"/>
    <w:rsid w:val="00314402"/>
    <w:rsid w:val="00314425"/>
    <w:rsid w:val="00314434"/>
    <w:rsid w:val="003144A5"/>
    <w:rsid w:val="003145AB"/>
    <w:rsid w:val="003145BB"/>
    <w:rsid w:val="003145E7"/>
    <w:rsid w:val="0031467A"/>
    <w:rsid w:val="00314694"/>
    <w:rsid w:val="003146BE"/>
    <w:rsid w:val="003147F8"/>
    <w:rsid w:val="00314AD3"/>
    <w:rsid w:val="00314BD6"/>
    <w:rsid w:val="00314D32"/>
    <w:rsid w:val="00314D47"/>
    <w:rsid w:val="00314DF5"/>
    <w:rsid w:val="00314E66"/>
    <w:rsid w:val="00314EC6"/>
    <w:rsid w:val="00314FA4"/>
    <w:rsid w:val="00314FB8"/>
    <w:rsid w:val="003150A5"/>
    <w:rsid w:val="0031516F"/>
    <w:rsid w:val="00315229"/>
    <w:rsid w:val="0031529C"/>
    <w:rsid w:val="00315338"/>
    <w:rsid w:val="00315438"/>
    <w:rsid w:val="00315542"/>
    <w:rsid w:val="003155E0"/>
    <w:rsid w:val="00315601"/>
    <w:rsid w:val="00315710"/>
    <w:rsid w:val="003157ED"/>
    <w:rsid w:val="00315A4D"/>
    <w:rsid w:val="00315B3F"/>
    <w:rsid w:val="00315B53"/>
    <w:rsid w:val="00315C09"/>
    <w:rsid w:val="00315DB0"/>
    <w:rsid w:val="00315E4B"/>
    <w:rsid w:val="00315EBB"/>
    <w:rsid w:val="00315F08"/>
    <w:rsid w:val="00315F26"/>
    <w:rsid w:val="003161EF"/>
    <w:rsid w:val="003163A1"/>
    <w:rsid w:val="00316595"/>
    <w:rsid w:val="003166C6"/>
    <w:rsid w:val="00316817"/>
    <w:rsid w:val="00316852"/>
    <w:rsid w:val="00316870"/>
    <w:rsid w:val="0031693E"/>
    <w:rsid w:val="00316B8A"/>
    <w:rsid w:val="00316BE6"/>
    <w:rsid w:val="00316D03"/>
    <w:rsid w:val="00317046"/>
    <w:rsid w:val="003170A9"/>
    <w:rsid w:val="0031712D"/>
    <w:rsid w:val="00317152"/>
    <w:rsid w:val="003171BB"/>
    <w:rsid w:val="00317294"/>
    <w:rsid w:val="00317451"/>
    <w:rsid w:val="00317464"/>
    <w:rsid w:val="0031747A"/>
    <w:rsid w:val="003175A4"/>
    <w:rsid w:val="003175A5"/>
    <w:rsid w:val="003175F5"/>
    <w:rsid w:val="0031764C"/>
    <w:rsid w:val="00317714"/>
    <w:rsid w:val="00317A30"/>
    <w:rsid w:val="00317B7E"/>
    <w:rsid w:val="00317C90"/>
    <w:rsid w:val="00317CD6"/>
    <w:rsid w:val="00317E82"/>
    <w:rsid w:val="00317F99"/>
    <w:rsid w:val="00317FA7"/>
    <w:rsid w:val="00320072"/>
    <w:rsid w:val="00320088"/>
    <w:rsid w:val="003200CE"/>
    <w:rsid w:val="00320575"/>
    <w:rsid w:val="00320825"/>
    <w:rsid w:val="00320A17"/>
    <w:rsid w:val="00320A4C"/>
    <w:rsid w:val="00320AB0"/>
    <w:rsid w:val="00320C45"/>
    <w:rsid w:val="00320C84"/>
    <w:rsid w:val="00320D45"/>
    <w:rsid w:val="00320D98"/>
    <w:rsid w:val="00320D9E"/>
    <w:rsid w:val="00320DCE"/>
    <w:rsid w:val="00320E07"/>
    <w:rsid w:val="00320F22"/>
    <w:rsid w:val="00320FF8"/>
    <w:rsid w:val="0032104B"/>
    <w:rsid w:val="00321093"/>
    <w:rsid w:val="003210FF"/>
    <w:rsid w:val="0032113B"/>
    <w:rsid w:val="0032128F"/>
    <w:rsid w:val="003213B1"/>
    <w:rsid w:val="00321459"/>
    <w:rsid w:val="003214C9"/>
    <w:rsid w:val="00321589"/>
    <w:rsid w:val="0032160E"/>
    <w:rsid w:val="00321670"/>
    <w:rsid w:val="00321752"/>
    <w:rsid w:val="003218DE"/>
    <w:rsid w:val="0032198B"/>
    <w:rsid w:val="00321ACB"/>
    <w:rsid w:val="00321C79"/>
    <w:rsid w:val="00321CE8"/>
    <w:rsid w:val="00321E92"/>
    <w:rsid w:val="00321F06"/>
    <w:rsid w:val="00321F8E"/>
    <w:rsid w:val="00321FA5"/>
    <w:rsid w:val="003220CC"/>
    <w:rsid w:val="003220D3"/>
    <w:rsid w:val="0032233B"/>
    <w:rsid w:val="0032234F"/>
    <w:rsid w:val="0032237B"/>
    <w:rsid w:val="0032237D"/>
    <w:rsid w:val="00322455"/>
    <w:rsid w:val="00322698"/>
    <w:rsid w:val="0032273A"/>
    <w:rsid w:val="0032286A"/>
    <w:rsid w:val="003229EA"/>
    <w:rsid w:val="00322B25"/>
    <w:rsid w:val="00322D0B"/>
    <w:rsid w:val="00322D19"/>
    <w:rsid w:val="00322D3E"/>
    <w:rsid w:val="00322D9D"/>
    <w:rsid w:val="00322DA9"/>
    <w:rsid w:val="00323088"/>
    <w:rsid w:val="003230BE"/>
    <w:rsid w:val="003230D6"/>
    <w:rsid w:val="003233F7"/>
    <w:rsid w:val="00323473"/>
    <w:rsid w:val="003234CC"/>
    <w:rsid w:val="00323524"/>
    <w:rsid w:val="00323579"/>
    <w:rsid w:val="003235B8"/>
    <w:rsid w:val="00323632"/>
    <w:rsid w:val="00323753"/>
    <w:rsid w:val="00323A11"/>
    <w:rsid w:val="00323AF6"/>
    <w:rsid w:val="00323C8E"/>
    <w:rsid w:val="00323E61"/>
    <w:rsid w:val="00323E94"/>
    <w:rsid w:val="00323EE0"/>
    <w:rsid w:val="00323EED"/>
    <w:rsid w:val="00324224"/>
    <w:rsid w:val="003242F4"/>
    <w:rsid w:val="00324364"/>
    <w:rsid w:val="003244A1"/>
    <w:rsid w:val="00324585"/>
    <w:rsid w:val="0032485A"/>
    <w:rsid w:val="00324864"/>
    <w:rsid w:val="003249B4"/>
    <w:rsid w:val="00324ADA"/>
    <w:rsid w:val="00324B03"/>
    <w:rsid w:val="00324CD1"/>
    <w:rsid w:val="00324D79"/>
    <w:rsid w:val="00324DC9"/>
    <w:rsid w:val="00324E87"/>
    <w:rsid w:val="003250EF"/>
    <w:rsid w:val="00325121"/>
    <w:rsid w:val="003251C2"/>
    <w:rsid w:val="003251FE"/>
    <w:rsid w:val="00325203"/>
    <w:rsid w:val="00325317"/>
    <w:rsid w:val="0032535A"/>
    <w:rsid w:val="00325393"/>
    <w:rsid w:val="0032548D"/>
    <w:rsid w:val="003255F2"/>
    <w:rsid w:val="00325AF4"/>
    <w:rsid w:val="00325B10"/>
    <w:rsid w:val="00325B12"/>
    <w:rsid w:val="00325C86"/>
    <w:rsid w:val="00325C8F"/>
    <w:rsid w:val="00325CEF"/>
    <w:rsid w:val="00325D78"/>
    <w:rsid w:val="00325E32"/>
    <w:rsid w:val="00325FA0"/>
    <w:rsid w:val="00326027"/>
    <w:rsid w:val="0032602F"/>
    <w:rsid w:val="003260B4"/>
    <w:rsid w:val="00326399"/>
    <w:rsid w:val="0032662E"/>
    <w:rsid w:val="00326671"/>
    <w:rsid w:val="003266E7"/>
    <w:rsid w:val="00326735"/>
    <w:rsid w:val="00326742"/>
    <w:rsid w:val="00326750"/>
    <w:rsid w:val="0032676B"/>
    <w:rsid w:val="00326910"/>
    <w:rsid w:val="0032695E"/>
    <w:rsid w:val="00326986"/>
    <w:rsid w:val="003269D5"/>
    <w:rsid w:val="00326C31"/>
    <w:rsid w:val="00326E00"/>
    <w:rsid w:val="00326EA7"/>
    <w:rsid w:val="00326F1C"/>
    <w:rsid w:val="003270EC"/>
    <w:rsid w:val="00327162"/>
    <w:rsid w:val="0032718D"/>
    <w:rsid w:val="00327378"/>
    <w:rsid w:val="0032741C"/>
    <w:rsid w:val="0032762B"/>
    <w:rsid w:val="003276E9"/>
    <w:rsid w:val="003277EE"/>
    <w:rsid w:val="0032783F"/>
    <w:rsid w:val="00327868"/>
    <w:rsid w:val="00327958"/>
    <w:rsid w:val="0032798D"/>
    <w:rsid w:val="00327A14"/>
    <w:rsid w:val="00327A9D"/>
    <w:rsid w:val="00327AC4"/>
    <w:rsid w:val="00327AF2"/>
    <w:rsid w:val="00327D13"/>
    <w:rsid w:val="00327DB6"/>
    <w:rsid w:val="00327EF0"/>
    <w:rsid w:val="00327F48"/>
    <w:rsid w:val="00327F57"/>
    <w:rsid w:val="00327F5B"/>
    <w:rsid w:val="00327F6B"/>
    <w:rsid w:val="00327F6F"/>
    <w:rsid w:val="0033007B"/>
    <w:rsid w:val="0033021C"/>
    <w:rsid w:val="00330279"/>
    <w:rsid w:val="003304B3"/>
    <w:rsid w:val="003305BA"/>
    <w:rsid w:val="00330623"/>
    <w:rsid w:val="0033065A"/>
    <w:rsid w:val="00330755"/>
    <w:rsid w:val="003307B3"/>
    <w:rsid w:val="0033084E"/>
    <w:rsid w:val="00330917"/>
    <w:rsid w:val="00330A0A"/>
    <w:rsid w:val="00330A6B"/>
    <w:rsid w:val="00330A87"/>
    <w:rsid w:val="00330CD6"/>
    <w:rsid w:val="00330EF5"/>
    <w:rsid w:val="00330F05"/>
    <w:rsid w:val="00330F26"/>
    <w:rsid w:val="00330F54"/>
    <w:rsid w:val="003312E8"/>
    <w:rsid w:val="003314F1"/>
    <w:rsid w:val="00331559"/>
    <w:rsid w:val="0033156D"/>
    <w:rsid w:val="00331681"/>
    <w:rsid w:val="003317E0"/>
    <w:rsid w:val="00331842"/>
    <w:rsid w:val="00331993"/>
    <w:rsid w:val="003319EC"/>
    <w:rsid w:val="00331A8E"/>
    <w:rsid w:val="00331A9A"/>
    <w:rsid w:val="00331B62"/>
    <w:rsid w:val="00331C6C"/>
    <w:rsid w:val="00331D3A"/>
    <w:rsid w:val="00331FE4"/>
    <w:rsid w:val="00332060"/>
    <w:rsid w:val="00332066"/>
    <w:rsid w:val="00332067"/>
    <w:rsid w:val="0033214C"/>
    <w:rsid w:val="00332155"/>
    <w:rsid w:val="0033220B"/>
    <w:rsid w:val="00332281"/>
    <w:rsid w:val="003322D8"/>
    <w:rsid w:val="003324D3"/>
    <w:rsid w:val="00332780"/>
    <w:rsid w:val="003327D8"/>
    <w:rsid w:val="003328A9"/>
    <w:rsid w:val="00332ACA"/>
    <w:rsid w:val="00332E36"/>
    <w:rsid w:val="00332E66"/>
    <w:rsid w:val="00332F4C"/>
    <w:rsid w:val="00333044"/>
    <w:rsid w:val="00333100"/>
    <w:rsid w:val="00333198"/>
    <w:rsid w:val="0033328B"/>
    <w:rsid w:val="00333419"/>
    <w:rsid w:val="0033346C"/>
    <w:rsid w:val="003334F6"/>
    <w:rsid w:val="0033364C"/>
    <w:rsid w:val="00333665"/>
    <w:rsid w:val="003336E7"/>
    <w:rsid w:val="00333950"/>
    <w:rsid w:val="00333B1C"/>
    <w:rsid w:val="00333B39"/>
    <w:rsid w:val="00333D5D"/>
    <w:rsid w:val="00333D8F"/>
    <w:rsid w:val="00333DA0"/>
    <w:rsid w:val="00333E39"/>
    <w:rsid w:val="00333F13"/>
    <w:rsid w:val="00333F3E"/>
    <w:rsid w:val="003341C7"/>
    <w:rsid w:val="003341D0"/>
    <w:rsid w:val="003342A3"/>
    <w:rsid w:val="003342A7"/>
    <w:rsid w:val="00334605"/>
    <w:rsid w:val="003346B1"/>
    <w:rsid w:val="003346FA"/>
    <w:rsid w:val="003347F7"/>
    <w:rsid w:val="00334A71"/>
    <w:rsid w:val="00334AC2"/>
    <w:rsid w:val="00334BF4"/>
    <w:rsid w:val="00334C5C"/>
    <w:rsid w:val="00334C6C"/>
    <w:rsid w:val="00334E92"/>
    <w:rsid w:val="00335315"/>
    <w:rsid w:val="0033538F"/>
    <w:rsid w:val="0033551E"/>
    <w:rsid w:val="00335582"/>
    <w:rsid w:val="003355BF"/>
    <w:rsid w:val="003356AE"/>
    <w:rsid w:val="003357E9"/>
    <w:rsid w:val="0033595C"/>
    <w:rsid w:val="00335AD9"/>
    <w:rsid w:val="00335AE6"/>
    <w:rsid w:val="00335E42"/>
    <w:rsid w:val="00336010"/>
    <w:rsid w:val="00336166"/>
    <w:rsid w:val="00336210"/>
    <w:rsid w:val="003362C0"/>
    <w:rsid w:val="0033632F"/>
    <w:rsid w:val="0033650F"/>
    <w:rsid w:val="00336839"/>
    <w:rsid w:val="003368DD"/>
    <w:rsid w:val="0033707C"/>
    <w:rsid w:val="003371B5"/>
    <w:rsid w:val="003371C0"/>
    <w:rsid w:val="00337273"/>
    <w:rsid w:val="003372A5"/>
    <w:rsid w:val="003375F7"/>
    <w:rsid w:val="00337601"/>
    <w:rsid w:val="003377B2"/>
    <w:rsid w:val="0033799C"/>
    <w:rsid w:val="003379D0"/>
    <w:rsid w:val="00337A6C"/>
    <w:rsid w:val="00337B49"/>
    <w:rsid w:val="00337B7A"/>
    <w:rsid w:val="00337BAF"/>
    <w:rsid w:val="00337C0B"/>
    <w:rsid w:val="00337C28"/>
    <w:rsid w:val="00337CA8"/>
    <w:rsid w:val="003400E2"/>
    <w:rsid w:val="0034010D"/>
    <w:rsid w:val="00340214"/>
    <w:rsid w:val="00340232"/>
    <w:rsid w:val="00340341"/>
    <w:rsid w:val="003403DE"/>
    <w:rsid w:val="00340401"/>
    <w:rsid w:val="0034042A"/>
    <w:rsid w:val="003404A9"/>
    <w:rsid w:val="003404E8"/>
    <w:rsid w:val="00340660"/>
    <w:rsid w:val="003407CE"/>
    <w:rsid w:val="0034089F"/>
    <w:rsid w:val="0034097C"/>
    <w:rsid w:val="00340B8E"/>
    <w:rsid w:val="00340D41"/>
    <w:rsid w:val="00340D66"/>
    <w:rsid w:val="00340E2C"/>
    <w:rsid w:val="003410A5"/>
    <w:rsid w:val="003410DD"/>
    <w:rsid w:val="00341157"/>
    <w:rsid w:val="003411C2"/>
    <w:rsid w:val="003412EB"/>
    <w:rsid w:val="003413EC"/>
    <w:rsid w:val="0034159F"/>
    <w:rsid w:val="003417CB"/>
    <w:rsid w:val="0034188F"/>
    <w:rsid w:val="00341AF0"/>
    <w:rsid w:val="00341C52"/>
    <w:rsid w:val="00341E62"/>
    <w:rsid w:val="00341E78"/>
    <w:rsid w:val="003420BB"/>
    <w:rsid w:val="003421BA"/>
    <w:rsid w:val="003421D9"/>
    <w:rsid w:val="0034270A"/>
    <w:rsid w:val="00342730"/>
    <w:rsid w:val="00342800"/>
    <w:rsid w:val="00342865"/>
    <w:rsid w:val="00342964"/>
    <w:rsid w:val="003429F6"/>
    <w:rsid w:val="00342A30"/>
    <w:rsid w:val="00342CFC"/>
    <w:rsid w:val="00342F5E"/>
    <w:rsid w:val="00342FF5"/>
    <w:rsid w:val="0034303A"/>
    <w:rsid w:val="0034339D"/>
    <w:rsid w:val="003433CC"/>
    <w:rsid w:val="003433F4"/>
    <w:rsid w:val="00343427"/>
    <w:rsid w:val="00343429"/>
    <w:rsid w:val="00343472"/>
    <w:rsid w:val="003435A9"/>
    <w:rsid w:val="003436F5"/>
    <w:rsid w:val="0034387F"/>
    <w:rsid w:val="003438DB"/>
    <w:rsid w:val="00343A47"/>
    <w:rsid w:val="00343A54"/>
    <w:rsid w:val="00343A7A"/>
    <w:rsid w:val="00343BBD"/>
    <w:rsid w:val="00343CBE"/>
    <w:rsid w:val="00343CDF"/>
    <w:rsid w:val="00343D8B"/>
    <w:rsid w:val="00343DB4"/>
    <w:rsid w:val="00343E39"/>
    <w:rsid w:val="00343EA1"/>
    <w:rsid w:val="00344107"/>
    <w:rsid w:val="0034412C"/>
    <w:rsid w:val="0034433E"/>
    <w:rsid w:val="0034434B"/>
    <w:rsid w:val="00344549"/>
    <w:rsid w:val="0034457F"/>
    <w:rsid w:val="00344649"/>
    <w:rsid w:val="003446B4"/>
    <w:rsid w:val="00344804"/>
    <w:rsid w:val="0034484D"/>
    <w:rsid w:val="0034489B"/>
    <w:rsid w:val="003448BF"/>
    <w:rsid w:val="003448C1"/>
    <w:rsid w:val="00344934"/>
    <w:rsid w:val="00344C59"/>
    <w:rsid w:val="00344C97"/>
    <w:rsid w:val="00344CE2"/>
    <w:rsid w:val="00344D5E"/>
    <w:rsid w:val="00344D6E"/>
    <w:rsid w:val="00344E2E"/>
    <w:rsid w:val="00344FED"/>
    <w:rsid w:val="00345205"/>
    <w:rsid w:val="00345245"/>
    <w:rsid w:val="00345279"/>
    <w:rsid w:val="003452B2"/>
    <w:rsid w:val="00345371"/>
    <w:rsid w:val="00345496"/>
    <w:rsid w:val="003454B7"/>
    <w:rsid w:val="003455EA"/>
    <w:rsid w:val="0034572F"/>
    <w:rsid w:val="00345809"/>
    <w:rsid w:val="00345823"/>
    <w:rsid w:val="003458D6"/>
    <w:rsid w:val="003458F6"/>
    <w:rsid w:val="003459AF"/>
    <w:rsid w:val="00345A5D"/>
    <w:rsid w:val="00345ADC"/>
    <w:rsid w:val="00345BCF"/>
    <w:rsid w:val="00345E5B"/>
    <w:rsid w:val="00345FE1"/>
    <w:rsid w:val="003460D8"/>
    <w:rsid w:val="003462A1"/>
    <w:rsid w:val="00346380"/>
    <w:rsid w:val="0034642F"/>
    <w:rsid w:val="00346494"/>
    <w:rsid w:val="003464F1"/>
    <w:rsid w:val="003465A4"/>
    <w:rsid w:val="003466F9"/>
    <w:rsid w:val="00346770"/>
    <w:rsid w:val="003468A5"/>
    <w:rsid w:val="00346953"/>
    <w:rsid w:val="00346965"/>
    <w:rsid w:val="003469BD"/>
    <w:rsid w:val="00346A1A"/>
    <w:rsid w:val="00346A3B"/>
    <w:rsid w:val="00346A80"/>
    <w:rsid w:val="00346B7D"/>
    <w:rsid w:val="00346BE3"/>
    <w:rsid w:val="00346C5D"/>
    <w:rsid w:val="00346DFA"/>
    <w:rsid w:val="00346EF7"/>
    <w:rsid w:val="00346F90"/>
    <w:rsid w:val="003471BD"/>
    <w:rsid w:val="003472DB"/>
    <w:rsid w:val="00347329"/>
    <w:rsid w:val="00347340"/>
    <w:rsid w:val="0034737A"/>
    <w:rsid w:val="003475BA"/>
    <w:rsid w:val="00347690"/>
    <w:rsid w:val="00347751"/>
    <w:rsid w:val="003478FC"/>
    <w:rsid w:val="003479AF"/>
    <w:rsid w:val="00347AED"/>
    <w:rsid w:val="00347E69"/>
    <w:rsid w:val="00347ECA"/>
    <w:rsid w:val="00347F1B"/>
    <w:rsid w:val="00347FFE"/>
    <w:rsid w:val="00350092"/>
    <w:rsid w:val="003500C5"/>
    <w:rsid w:val="003501FA"/>
    <w:rsid w:val="00350363"/>
    <w:rsid w:val="0035046F"/>
    <w:rsid w:val="00350591"/>
    <w:rsid w:val="003505D9"/>
    <w:rsid w:val="003505FC"/>
    <w:rsid w:val="003506CC"/>
    <w:rsid w:val="003506FD"/>
    <w:rsid w:val="00350714"/>
    <w:rsid w:val="00350821"/>
    <w:rsid w:val="0035087A"/>
    <w:rsid w:val="00350913"/>
    <w:rsid w:val="00350932"/>
    <w:rsid w:val="00350963"/>
    <w:rsid w:val="00350D57"/>
    <w:rsid w:val="00350E0E"/>
    <w:rsid w:val="00351032"/>
    <w:rsid w:val="00351036"/>
    <w:rsid w:val="003511AB"/>
    <w:rsid w:val="0035138F"/>
    <w:rsid w:val="00351543"/>
    <w:rsid w:val="00351560"/>
    <w:rsid w:val="0035158A"/>
    <w:rsid w:val="00351594"/>
    <w:rsid w:val="00351819"/>
    <w:rsid w:val="003519AD"/>
    <w:rsid w:val="003519BD"/>
    <w:rsid w:val="003519C1"/>
    <w:rsid w:val="003519D8"/>
    <w:rsid w:val="00351BE0"/>
    <w:rsid w:val="00351CF5"/>
    <w:rsid w:val="00351D46"/>
    <w:rsid w:val="00351DAD"/>
    <w:rsid w:val="00351E0E"/>
    <w:rsid w:val="00351E13"/>
    <w:rsid w:val="00351E56"/>
    <w:rsid w:val="00351F0C"/>
    <w:rsid w:val="00351FA0"/>
    <w:rsid w:val="00352045"/>
    <w:rsid w:val="00352104"/>
    <w:rsid w:val="003521A7"/>
    <w:rsid w:val="00352209"/>
    <w:rsid w:val="0035228B"/>
    <w:rsid w:val="0035236B"/>
    <w:rsid w:val="003524F0"/>
    <w:rsid w:val="0035264F"/>
    <w:rsid w:val="00352722"/>
    <w:rsid w:val="003527EE"/>
    <w:rsid w:val="00352910"/>
    <w:rsid w:val="00352A61"/>
    <w:rsid w:val="00352BFF"/>
    <w:rsid w:val="00352C6C"/>
    <w:rsid w:val="00352D1E"/>
    <w:rsid w:val="00352D4E"/>
    <w:rsid w:val="00352D86"/>
    <w:rsid w:val="00352E49"/>
    <w:rsid w:val="00352EC4"/>
    <w:rsid w:val="00352EC6"/>
    <w:rsid w:val="00352EC8"/>
    <w:rsid w:val="00352EEE"/>
    <w:rsid w:val="00352EF9"/>
    <w:rsid w:val="00352F24"/>
    <w:rsid w:val="003530DE"/>
    <w:rsid w:val="003531FE"/>
    <w:rsid w:val="003533E1"/>
    <w:rsid w:val="003535CA"/>
    <w:rsid w:val="003535FE"/>
    <w:rsid w:val="00353750"/>
    <w:rsid w:val="0035388C"/>
    <w:rsid w:val="00353A7A"/>
    <w:rsid w:val="00353AA1"/>
    <w:rsid w:val="00353B4C"/>
    <w:rsid w:val="00353C9B"/>
    <w:rsid w:val="00353D0F"/>
    <w:rsid w:val="00353DC4"/>
    <w:rsid w:val="00353E97"/>
    <w:rsid w:val="00353E98"/>
    <w:rsid w:val="003540F9"/>
    <w:rsid w:val="0035429E"/>
    <w:rsid w:val="00354473"/>
    <w:rsid w:val="003544C9"/>
    <w:rsid w:val="0035451A"/>
    <w:rsid w:val="0035463D"/>
    <w:rsid w:val="00354792"/>
    <w:rsid w:val="003548BC"/>
    <w:rsid w:val="00354999"/>
    <w:rsid w:val="00354A24"/>
    <w:rsid w:val="00354AED"/>
    <w:rsid w:val="00354C45"/>
    <w:rsid w:val="00354D03"/>
    <w:rsid w:val="00354D4B"/>
    <w:rsid w:val="00354DFC"/>
    <w:rsid w:val="00354EB4"/>
    <w:rsid w:val="003551AE"/>
    <w:rsid w:val="00355216"/>
    <w:rsid w:val="003552AE"/>
    <w:rsid w:val="00355364"/>
    <w:rsid w:val="0035547E"/>
    <w:rsid w:val="003554A6"/>
    <w:rsid w:val="0035550B"/>
    <w:rsid w:val="003555EB"/>
    <w:rsid w:val="003557B4"/>
    <w:rsid w:val="003558EC"/>
    <w:rsid w:val="00355915"/>
    <w:rsid w:val="00355929"/>
    <w:rsid w:val="00355B7C"/>
    <w:rsid w:val="00355CDD"/>
    <w:rsid w:val="00355CDF"/>
    <w:rsid w:val="00355D8F"/>
    <w:rsid w:val="00355DD5"/>
    <w:rsid w:val="00355DF1"/>
    <w:rsid w:val="00355E5B"/>
    <w:rsid w:val="003560A2"/>
    <w:rsid w:val="003561F6"/>
    <w:rsid w:val="0035651A"/>
    <w:rsid w:val="0035656A"/>
    <w:rsid w:val="0035657F"/>
    <w:rsid w:val="00356721"/>
    <w:rsid w:val="00356725"/>
    <w:rsid w:val="00356741"/>
    <w:rsid w:val="00356827"/>
    <w:rsid w:val="003568FC"/>
    <w:rsid w:val="00356A77"/>
    <w:rsid w:val="00356ABD"/>
    <w:rsid w:val="00356C1E"/>
    <w:rsid w:val="00356C51"/>
    <w:rsid w:val="00356C92"/>
    <w:rsid w:val="00356D29"/>
    <w:rsid w:val="00356D94"/>
    <w:rsid w:val="00356D99"/>
    <w:rsid w:val="00356E83"/>
    <w:rsid w:val="00357074"/>
    <w:rsid w:val="00357082"/>
    <w:rsid w:val="003570E5"/>
    <w:rsid w:val="003571C2"/>
    <w:rsid w:val="00357268"/>
    <w:rsid w:val="00357300"/>
    <w:rsid w:val="003574A8"/>
    <w:rsid w:val="00357542"/>
    <w:rsid w:val="00357591"/>
    <w:rsid w:val="00357748"/>
    <w:rsid w:val="0035788A"/>
    <w:rsid w:val="00357978"/>
    <w:rsid w:val="00357ABD"/>
    <w:rsid w:val="00357B48"/>
    <w:rsid w:val="00357CC5"/>
    <w:rsid w:val="00357D8C"/>
    <w:rsid w:val="00360056"/>
    <w:rsid w:val="00360125"/>
    <w:rsid w:val="00360192"/>
    <w:rsid w:val="0036025F"/>
    <w:rsid w:val="003603A5"/>
    <w:rsid w:val="003603F3"/>
    <w:rsid w:val="00360443"/>
    <w:rsid w:val="0036046D"/>
    <w:rsid w:val="0036047D"/>
    <w:rsid w:val="003605FE"/>
    <w:rsid w:val="003606AD"/>
    <w:rsid w:val="00360733"/>
    <w:rsid w:val="0036088F"/>
    <w:rsid w:val="0036096D"/>
    <w:rsid w:val="003609E4"/>
    <w:rsid w:val="00360A47"/>
    <w:rsid w:val="00360A65"/>
    <w:rsid w:val="00360A71"/>
    <w:rsid w:val="00360D59"/>
    <w:rsid w:val="00361103"/>
    <w:rsid w:val="003612C4"/>
    <w:rsid w:val="00361394"/>
    <w:rsid w:val="00361429"/>
    <w:rsid w:val="0036152E"/>
    <w:rsid w:val="003616E2"/>
    <w:rsid w:val="00361733"/>
    <w:rsid w:val="0036192D"/>
    <w:rsid w:val="00361ADC"/>
    <w:rsid w:val="00361B0A"/>
    <w:rsid w:val="00361CBE"/>
    <w:rsid w:val="00361DD4"/>
    <w:rsid w:val="00361E47"/>
    <w:rsid w:val="00361FE7"/>
    <w:rsid w:val="00362022"/>
    <w:rsid w:val="003621B9"/>
    <w:rsid w:val="00362277"/>
    <w:rsid w:val="00362402"/>
    <w:rsid w:val="003624B9"/>
    <w:rsid w:val="003624EC"/>
    <w:rsid w:val="00362515"/>
    <w:rsid w:val="00362539"/>
    <w:rsid w:val="003625AB"/>
    <w:rsid w:val="00362634"/>
    <w:rsid w:val="0036284C"/>
    <w:rsid w:val="003629AF"/>
    <w:rsid w:val="00362BFF"/>
    <w:rsid w:val="00362D07"/>
    <w:rsid w:val="00362D6E"/>
    <w:rsid w:val="00362D8B"/>
    <w:rsid w:val="00362E4E"/>
    <w:rsid w:val="00362E94"/>
    <w:rsid w:val="00362F2A"/>
    <w:rsid w:val="003631BD"/>
    <w:rsid w:val="0036326F"/>
    <w:rsid w:val="0036345E"/>
    <w:rsid w:val="0036346C"/>
    <w:rsid w:val="003635A2"/>
    <w:rsid w:val="00363698"/>
    <w:rsid w:val="003639DA"/>
    <w:rsid w:val="00363A52"/>
    <w:rsid w:val="00363D1C"/>
    <w:rsid w:val="00363EE2"/>
    <w:rsid w:val="00363F68"/>
    <w:rsid w:val="00363FCC"/>
    <w:rsid w:val="003640A7"/>
    <w:rsid w:val="0036412B"/>
    <w:rsid w:val="003642C4"/>
    <w:rsid w:val="0036438C"/>
    <w:rsid w:val="0036441A"/>
    <w:rsid w:val="0036444D"/>
    <w:rsid w:val="003644C2"/>
    <w:rsid w:val="0036461D"/>
    <w:rsid w:val="0036470E"/>
    <w:rsid w:val="00364A03"/>
    <w:rsid w:val="00364C41"/>
    <w:rsid w:val="00364C63"/>
    <w:rsid w:val="00364D8B"/>
    <w:rsid w:val="00364E8D"/>
    <w:rsid w:val="0036500E"/>
    <w:rsid w:val="00365192"/>
    <w:rsid w:val="00365299"/>
    <w:rsid w:val="00365362"/>
    <w:rsid w:val="00365418"/>
    <w:rsid w:val="00365447"/>
    <w:rsid w:val="00365549"/>
    <w:rsid w:val="00365593"/>
    <w:rsid w:val="00365739"/>
    <w:rsid w:val="00365793"/>
    <w:rsid w:val="003659A5"/>
    <w:rsid w:val="003659DB"/>
    <w:rsid w:val="00365A67"/>
    <w:rsid w:val="00365B17"/>
    <w:rsid w:val="00365BBE"/>
    <w:rsid w:val="00365D86"/>
    <w:rsid w:val="00365FFA"/>
    <w:rsid w:val="0036606D"/>
    <w:rsid w:val="003660EB"/>
    <w:rsid w:val="00366131"/>
    <w:rsid w:val="003661A2"/>
    <w:rsid w:val="003662FE"/>
    <w:rsid w:val="00366311"/>
    <w:rsid w:val="00366373"/>
    <w:rsid w:val="003664A8"/>
    <w:rsid w:val="00366644"/>
    <w:rsid w:val="00366678"/>
    <w:rsid w:val="00366690"/>
    <w:rsid w:val="003666EF"/>
    <w:rsid w:val="003667A1"/>
    <w:rsid w:val="003667F9"/>
    <w:rsid w:val="00366859"/>
    <w:rsid w:val="003669F5"/>
    <w:rsid w:val="00366BE7"/>
    <w:rsid w:val="00366D31"/>
    <w:rsid w:val="00366DAB"/>
    <w:rsid w:val="00366E5D"/>
    <w:rsid w:val="00366EC6"/>
    <w:rsid w:val="00366F0C"/>
    <w:rsid w:val="00366FF4"/>
    <w:rsid w:val="00367017"/>
    <w:rsid w:val="003671F8"/>
    <w:rsid w:val="00367244"/>
    <w:rsid w:val="003672EE"/>
    <w:rsid w:val="003673AB"/>
    <w:rsid w:val="003675D5"/>
    <w:rsid w:val="0036769F"/>
    <w:rsid w:val="003676BC"/>
    <w:rsid w:val="00367805"/>
    <w:rsid w:val="00367900"/>
    <w:rsid w:val="0036794E"/>
    <w:rsid w:val="00367A28"/>
    <w:rsid w:val="00367D08"/>
    <w:rsid w:val="00367D5E"/>
    <w:rsid w:val="00370029"/>
    <w:rsid w:val="0037004E"/>
    <w:rsid w:val="003700C3"/>
    <w:rsid w:val="0037017C"/>
    <w:rsid w:val="0037036B"/>
    <w:rsid w:val="003706C3"/>
    <w:rsid w:val="0037094A"/>
    <w:rsid w:val="00370988"/>
    <w:rsid w:val="00370ACB"/>
    <w:rsid w:val="00370B95"/>
    <w:rsid w:val="00370C18"/>
    <w:rsid w:val="00370C53"/>
    <w:rsid w:val="00370C96"/>
    <w:rsid w:val="00370C9C"/>
    <w:rsid w:val="00370CA7"/>
    <w:rsid w:val="00370CE8"/>
    <w:rsid w:val="00370D1F"/>
    <w:rsid w:val="00370D6B"/>
    <w:rsid w:val="00370E61"/>
    <w:rsid w:val="00371086"/>
    <w:rsid w:val="0037129B"/>
    <w:rsid w:val="003713F7"/>
    <w:rsid w:val="00371478"/>
    <w:rsid w:val="0037154C"/>
    <w:rsid w:val="0037162F"/>
    <w:rsid w:val="003716ED"/>
    <w:rsid w:val="003717AE"/>
    <w:rsid w:val="0037187E"/>
    <w:rsid w:val="003718B2"/>
    <w:rsid w:val="003719AA"/>
    <w:rsid w:val="00371B7C"/>
    <w:rsid w:val="00371BB0"/>
    <w:rsid w:val="00371C70"/>
    <w:rsid w:val="00371CCD"/>
    <w:rsid w:val="00371CDF"/>
    <w:rsid w:val="00371D84"/>
    <w:rsid w:val="00371E2B"/>
    <w:rsid w:val="0037201E"/>
    <w:rsid w:val="00372039"/>
    <w:rsid w:val="003721CD"/>
    <w:rsid w:val="003721F5"/>
    <w:rsid w:val="003721FD"/>
    <w:rsid w:val="0037225B"/>
    <w:rsid w:val="00372291"/>
    <w:rsid w:val="003722B2"/>
    <w:rsid w:val="00372587"/>
    <w:rsid w:val="00372694"/>
    <w:rsid w:val="0037282B"/>
    <w:rsid w:val="00372B22"/>
    <w:rsid w:val="00372BED"/>
    <w:rsid w:val="00372EA6"/>
    <w:rsid w:val="00372EF8"/>
    <w:rsid w:val="00372F7B"/>
    <w:rsid w:val="00373014"/>
    <w:rsid w:val="003730D7"/>
    <w:rsid w:val="00373368"/>
    <w:rsid w:val="0037355F"/>
    <w:rsid w:val="00373587"/>
    <w:rsid w:val="0037359B"/>
    <w:rsid w:val="00373600"/>
    <w:rsid w:val="003736C5"/>
    <w:rsid w:val="003736CE"/>
    <w:rsid w:val="003736DA"/>
    <w:rsid w:val="00373786"/>
    <w:rsid w:val="003737D7"/>
    <w:rsid w:val="00373855"/>
    <w:rsid w:val="0037388D"/>
    <w:rsid w:val="00373966"/>
    <w:rsid w:val="00373B4D"/>
    <w:rsid w:val="00373BA0"/>
    <w:rsid w:val="00373BD0"/>
    <w:rsid w:val="00373EED"/>
    <w:rsid w:val="00374079"/>
    <w:rsid w:val="00374186"/>
    <w:rsid w:val="00374311"/>
    <w:rsid w:val="003743B7"/>
    <w:rsid w:val="00374424"/>
    <w:rsid w:val="003744BC"/>
    <w:rsid w:val="003744FE"/>
    <w:rsid w:val="00374531"/>
    <w:rsid w:val="00374665"/>
    <w:rsid w:val="003747F7"/>
    <w:rsid w:val="0037484F"/>
    <w:rsid w:val="00374974"/>
    <w:rsid w:val="00374A59"/>
    <w:rsid w:val="00374ADE"/>
    <w:rsid w:val="00374AF8"/>
    <w:rsid w:val="00374CBA"/>
    <w:rsid w:val="00374CDD"/>
    <w:rsid w:val="00374D01"/>
    <w:rsid w:val="00374D0A"/>
    <w:rsid w:val="00374D64"/>
    <w:rsid w:val="00374E38"/>
    <w:rsid w:val="00374ED3"/>
    <w:rsid w:val="003750FD"/>
    <w:rsid w:val="003752A3"/>
    <w:rsid w:val="00375475"/>
    <w:rsid w:val="003754A3"/>
    <w:rsid w:val="003755A9"/>
    <w:rsid w:val="00375624"/>
    <w:rsid w:val="00375868"/>
    <w:rsid w:val="0037588F"/>
    <w:rsid w:val="003758DE"/>
    <w:rsid w:val="003759BE"/>
    <w:rsid w:val="003759E6"/>
    <w:rsid w:val="00375AC3"/>
    <w:rsid w:val="00375B8D"/>
    <w:rsid w:val="00375BDC"/>
    <w:rsid w:val="00375CE5"/>
    <w:rsid w:val="00375D25"/>
    <w:rsid w:val="00375D2B"/>
    <w:rsid w:val="003760EA"/>
    <w:rsid w:val="00376208"/>
    <w:rsid w:val="00376233"/>
    <w:rsid w:val="00376263"/>
    <w:rsid w:val="00376298"/>
    <w:rsid w:val="003762C0"/>
    <w:rsid w:val="0037636B"/>
    <w:rsid w:val="00376373"/>
    <w:rsid w:val="003763B8"/>
    <w:rsid w:val="003763C3"/>
    <w:rsid w:val="003763E3"/>
    <w:rsid w:val="00376497"/>
    <w:rsid w:val="003764ED"/>
    <w:rsid w:val="00376650"/>
    <w:rsid w:val="00376718"/>
    <w:rsid w:val="0037680E"/>
    <w:rsid w:val="003768A7"/>
    <w:rsid w:val="003768AD"/>
    <w:rsid w:val="00376ACC"/>
    <w:rsid w:val="00376B47"/>
    <w:rsid w:val="00376BFD"/>
    <w:rsid w:val="00376C2B"/>
    <w:rsid w:val="00376E21"/>
    <w:rsid w:val="00376F79"/>
    <w:rsid w:val="00377036"/>
    <w:rsid w:val="00377184"/>
    <w:rsid w:val="003771A4"/>
    <w:rsid w:val="003771BF"/>
    <w:rsid w:val="0037727E"/>
    <w:rsid w:val="0037742C"/>
    <w:rsid w:val="0037746C"/>
    <w:rsid w:val="00377500"/>
    <w:rsid w:val="0037757B"/>
    <w:rsid w:val="00377785"/>
    <w:rsid w:val="0037799E"/>
    <w:rsid w:val="003779DB"/>
    <w:rsid w:val="003779F5"/>
    <w:rsid w:val="00377A3F"/>
    <w:rsid w:val="00377A53"/>
    <w:rsid w:val="00377ABE"/>
    <w:rsid w:val="00377B3B"/>
    <w:rsid w:val="00377CE6"/>
    <w:rsid w:val="00377D06"/>
    <w:rsid w:val="00377D08"/>
    <w:rsid w:val="00377D10"/>
    <w:rsid w:val="00377E19"/>
    <w:rsid w:val="00377FBB"/>
    <w:rsid w:val="00380017"/>
    <w:rsid w:val="0038002C"/>
    <w:rsid w:val="0038006D"/>
    <w:rsid w:val="003800B1"/>
    <w:rsid w:val="003801A2"/>
    <w:rsid w:val="00380210"/>
    <w:rsid w:val="0038026E"/>
    <w:rsid w:val="003802AF"/>
    <w:rsid w:val="0038034E"/>
    <w:rsid w:val="00380353"/>
    <w:rsid w:val="00380537"/>
    <w:rsid w:val="003806BD"/>
    <w:rsid w:val="003806FA"/>
    <w:rsid w:val="0038077E"/>
    <w:rsid w:val="003807AB"/>
    <w:rsid w:val="00380975"/>
    <w:rsid w:val="00380993"/>
    <w:rsid w:val="00380A45"/>
    <w:rsid w:val="00380AD8"/>
    <w:rsid w:val="00380B3A"/>
    <w:rsid w:val="00380BD2"/>
    <w:rsid w:val="00380C2A"/>
    <w:rsid w:val="0038113E"/>
    <w:rsid w:val="00381271"/>
    <w:rsid w:val="00381352"/>
    <w:rsid w:val="003813B6"/>
    <w:rsid w:val="00381422"/>
    <w:rsid w:val="0038146C"/>
    <w:rsid w:val="00381677"/>
    <w:rsid w:val="003817A5"/>
    <w:rsid w:val="0038185D"/>
    <w:rsid w:val="0038193F"/>
    <w:rsid w:val="00381B31"/>
    <w:rsid w:val="00381B36"/>
    <w:rsid w:val="00381B74"/>
    <w:rsid w:val="00381CB4"/>
    <w:rsid w:val="00381EC5"/>
    <w:rsid w:val="00382006"/>
    <w:rsid w:val="00382022"/>
    <w:rsid w:val="00382187"/>
    <w:rsid w:val="00382222"/>
    <w:rsid w:val="00382239"/>
    <w:rsid w:val="00382244"/>
    <w:rsid w:val="003824D6"/>
    <w:rsid w:val="003825C8"/>
    <w:rsid w:val="00382609"/>
    <w:rsid w:val="0038265E"/>
    <w:rsid w:val="0038274C"/>
    <w:rsid w:val="0038281F"/>
    <w:rsid w:val="00382950"/>
    <w:rsid w:val="00382979"/>
    <w:rsid w:val="00382A77"/>
    <w:rsid w:val="00382B1B"/>
    <w:rsid w:val="00382B73"/>
    <w:rsid w:val="00382C3F"/>
    <w:rsid w:val="00382DE3"/>
    <w:rsid w:val="00382F84"/>
    <w:rsid w:val="00382FD0"/>
    <w:rsid w:val="00382FE7"/>
    <w:rsid w:val="00383061"/>
    <w:rsid w:val="0038320D"/>
    <w:rsid w:val="00383216"/>
    <w:rsid w:val="003833FE"/>
    <w:rsid w:val="0038350A"/>
    <w:rsid w:val="003835B2"/>
    <w:rsid w:val="003836AA"/>
    <w:rsid w:val="0038375A"/>
    <w:rsid w:val="00383872"/>
    <w:rsid w:val="003838BD"/>
    <w:rsid w:val="003839CE"/>
    <w:rsid w:val="003839F4"/>
    <w:rsid w:val="00383AB8"/>
    <w:rsid w:val="00383B74"/>
    <w:rsid w:val="00383B7F"/>
    <w:rsid w:val="00383BA9"/>
    <w:rsid w:val="00383C5D"/>
    <w:rsid w:val="00383F96"/>
    <w:rsid w:val="0038401D"/>
    <w:rsid w:val="00384193"/>
    <w:rsid w:val="0038421F"/>
    <w:rsid w:val="003848E0"/>
    <w:rsid w:val="00384A57"/>
    <w:rsid w:val="00384B9A"/>
    <w:rsid w:val="00384BC3"/>
    <w:rsid w:val="00384CB0"/>
    <w:rsid w:val="00384D91"/>
    <w:rsid w:val="00384EFB"/>
    <w:rsid w:val="00384F68"/>
    <w:rsid w:val="00384FDF"/>
    <w:rsid w:val="0038509F"/>
    <w:rsid w:val="003851A1"/>
    <w:rsid w:val="0038526D"/>
    <w:rsid w:val="0038555B"/>
    <w:rsid w:val="0038557E"/>
    <w:rsid w:val="003857B5"/>
    <w:rsid w:val="00385908"/>
    <w:rsid w:val="0038596D"/>
    <w:rsid w:val="00385A14"/>
    <w:rsid w:val="00385B4B"/>
    <w:rsid w:val="00385C41"/>
    <w:rsid w:val="00385E58"/>
    <w:rsid w:val="00385FA5"/>
    <w:rsid w:val="003860F0"/>
    <w:rsid w:val="00386124"/>
    <w:rsid w:val="00386234"/>
    <w:rsid w:val="00386243"/>
    <w:rsid w:val="003862FF"/>
    <w:rsid w:val="00386339"/>
    <w:rsid w:val="003864D5"/>
    <w:rsid w:val="0038655C"/>
    <w:rsid w:val="003867F4"/>
    <w:rsid w:val="0038686F"/>
    <w:rsid w:val="00386ACB"/>
    <w:rsid w:val="00386AE4"/>
    <w:rsid w:val="00386AEF"/>
    <w:rsid w:val="00386BD6"/>
    <w:rsid w:val="00386C49"/>
    <w:rsid w:val="00386CA3"/>
    <w:rsid w:val="00386CF0"/>
    <w:rsid w:val="00386D22"/>
    <w:rsid w:val="00386DC8"/>
    <w:rsid w:val="00386E8A"/>
    <w:rsid w:val="00386E96"/>
    <w:rsid w:val="00386EFD"/>
    <w:rsid w:val="00387002"/>
    <w:rsid w:val="00387130"/>
    <w:rsid w:val="00387177"/>
    <w:rsid w:val="003872D9"/>
    <w:rsid w:val="00387391"/>
    <w:rsid w:val="00387524"/>
    <w:rsid w:val="003876B8"/>
    <w:rsid w:val="00387725"/>
    <w:rsid w:val="003877FC"/>
    <w:rsid w:val="00387847"/>
    <w:rsid w:val="00387869"/>
    <w:rsid w:val="00387888"/>
    <w:rsid w:val="003878DD"/>
    <w:rsid w:val="00387951"/>
    <w:rsid w:val="00387A06"/>
    <w:rsid w:val="00387A96"/>
    <w:rsid w:val="00387AE8"/>
    <w:rsid w:val="00387B32"/>
    <w:rsid w:val="00387C69"/>
    <w:rsid w:val="00387C70"/>
    <w:rsid w:val="00387C93"/>
    <w:rsid w:val="00387DD8"/>
    <w:rsid w:val="00387E05"/>
    <w:rsid w:val="00387FC0"/>
    <w:rsid w:val="0039023B"/>
    <w:rsid w:val="003902F2"/>
    <w:rsid w:val="003903F1"/>
    <w:rsid w:val="00390450"/>
    <w:rsid w:val="00390458"/>
    <w:rsid w:val="00390500"/>
    <w:rsid w:val="00390521"/>
    <w:rsid w:val="00390567"/>
    <w:rsid w:val="003905D7"/>
    <w:rsid w:val="0039077A"/>
    <w:rsid w:val="00390798"/>
    <w:rsid w:val="00390B88"/>
    <w:rsid w:val="00390BF9"/>
    <w:rsid w:val="00390BFA"/>
    <w:rsid w:val="00390CAF"/>
    <w:rsid w:val="00390D3A"/>
    <w:rsid w:val="00390DD0"/>
    <w:rsid w:val="00390E01"/>
    <w:rsid w:val="00390F02"/>
    <w:rsid w:val="00390FBE"/>
    <w:rsid w:val="003910D6"/>
    <w:rsid w:val="00391112"/>
    <w:rsid w:val="00391113"/>
    <w:rsid w:val="00391222"/>
    <w:rsid w:val="003912E3"/>
    <w:rsid w:val="003912F0"/>
    <w:rsid w:val="0039130C"/>
    <w:rsid w:val="0039161B"/>
    <w:rsid w:val="003916A9"/>
    <w:rsid w:val="003916CF"/>
    <w:rsid w:val="003917EB"/>
    <w:rsid w:val="00391890"/>
    <w:rsid w:val="00391892"/>
    <w:rsid w:val="003918D2"/>
    <w:rsid w:val="003919D5"/>
    <w:rsid w:val="00391A8F"/>
    <w:rsid w:val="00391BAC"/>
    <w:rsid w:val="00391BB5"/>
    <w:rsid w:val="00391C83"/>
    <w:rsid w:val="00391D5A"/>
    <w:rsid w:val="00391F8C"/>
    <w:rsid w:val="00391FDD"/>
    <w:rsid w:val="00391FE0"/>
    <w:rsid w:val="003921F9"/>
    <w:rsid w:val="003924A2"/>
    <w:rsid w:val="003929F2"/>
    <w:rsid w:val="00392B63"/>
    <w:rsid w:val="00392BC2"/>
    <w:rsid w:val="00392C96"/>
    <w:rsid w:val="00392DF9"/>
    <w:rsid w:val="00392E2A"/>
    <w:rsid w:val="00393049"/>
    <w:rsid w:val="0039307F"/>
    <w:rsid w:val="0039312A"/>
    <w:rsid w:val="003931B8"/>
    <w:rsid w:val="003932B7"/>
    <w:rsid w:val="00393367"/>
    <w:rsid w:val="0039337D"/>
    <w:rsid w:val="00393495"/>
    <w:rsid w:val="0039353E"/>
    <w:rsid w:val="0039376C"/>
    <w:rsid w:val="00393845"/>
    <w:rsid w:val="00393928"/>
    <w:rsid w:val="00393993"/>
    <w:rsid w:val="00393AE3"/>
    <w:rsid w:val="00393AF3"/>
    <w:rsid w:val="00393BB6"/>
    <w:rsid w:val="00393BEA"/>
    <w:rsid w:val="00393D4A"/>
    <w:rsid w:val="00393E77"/>
    <w:rsid w:val="00393F31"/>
    <w:rsid w:val="00393F32"/>
    <w:rsid w:val="00393F48"/>
    <w:rsid w:val="00394011"/>
    <w:rsid w:val="00394096"/>
    <w:rsid w:val="003940C8"/>
    <w:rsid w:val="003940D3"/>
    <w:rsid w:val="00394116"/>
    <w:rsid w:val="00394154"/>
    <w:rsid w:val="003941F6"/>
    <w:rsid w:val="00394209"/>
    <w:rsid w:val="00394475"/>
    <w:rsid w:val="003945D2"/>
    <w:rsid w:val="0039462E"/>
    <w:rsid w:val="003946D4"/>
    <w:rsid w:val="00394719"/>
    <w:rsid w:val="00394789"/>
    <w:rsid w:val="003947EC"/>
    <w:rsid w:val="003948CE"/>
    <w:rsid w:val="00394965"/>
    <w:rsid w:val="00394970"/>
    <w:rsid w:val="00394DF0"/>
    <w:rsid w:val="00394FE5"/>
    <w:rsid w:val="00395311"/>
    <w:rsid w:val="003954CF"/>
    <w:rsid w:val="00395588"/>
    <w:rsid w:val="0039558C"/>
    <w:rsid w:val="003955FE"/>
    <w:rsid w:val="0039577C"/>
    <w:rsid w:val="003957F1"/>
    <w:rsid w:val="00395A3F"/>
    <w:rsid w:val="00395AF1"/>
    <w:rsid w:val="00395D11"/>
    <w:rsid w:val="00395D39"/>
    <w:rsid w:val="00395E0C"/>
    <w:rsid w:val="00395E3E"/>
    <w:rsid w:val="00395F22"/>
    <w:rsid w:val="00395F3E"/>
    <w:rsid w:val="00395FA2"/>
    <w:rsid w:val="00395FD5"/>
    <w:rsid w:val="00396179"/>
    <w:rsid w:val="003962A2"/>
    <w:rsid w:val="0039633B"/>
    <w:rsid w:val="003966B0"/>
    <w:rsid w:val="003966F6"/>
    <w:rsid w:val="00396711"/>
    <w:rsid w:val="0039675D"/>
    <w:rsid w:val="0039677D"/>
    <w:rsid w:val="00396886"/>
    <w:rsid w:val="003968FC"/>
    <w:rsid w:val="003969A1"/>
    <w:rsid w:val="003969DA"/>
    <w:rsid w:val="00396A63"/>
    <w:rsid w:val="00396BC7"/>
    <w:rsid w:val="00396C3C"/>
    <w:rsid w:val="00396C9B"/>
    <w:rsid w:val="00396D80"/>
    <w:rsid w:val="00396DAC"/>
    <w:rsid w:val="00396E19"/>
    <w:rsid w:val="00396EE3"/>
    <w:rsid w:val="00396EFC"/>
    <w:rsid w:val="0039701D"/>
    <w:rsid w:val="00397228"/>
    <w:rsid w:val="003972CD"/>
    <w:rsid w:val="00397309"/>
    <w:rsid w:val="0039734C"/>
    <w:rsid w:val="0039740F"/>
    <w:rsid w:val="003974C7"/>
    <w:rsid w:val="003975CB"/>
    <w:rsid w:val="003976CA"/>
    <w:rsid w:val="0039797C"/>
    <w:rsid w:val="00397A52"/>
    <w:rsid w:val="00397AA0"/>
    <w:rsid w:val="00397D9C"/>
    <w:rsid w:val="00397E4C"/>
    <w:rsid w:val="00397E76"/>
    <w:rsid w:val="00397E8F"/>
    <w:rsid w:val="00397EA0"/>
    <w:rsid w:val="00397F02"/>
    <w:rsid w:val="00397F68"/>
    <w:rsid w:val="00397F7C"/>
    <w:rsid w:val="00397FC7"/>
    <w:rsid w:val="00397FDE"/>
    <w:rsid w:val="003A0099"/>
    <w:rsid w:val="003A00D0"/>
    <w:rsid w:val="003A012C"/>
    <w:rsid w:val="003A01A2"/>
    <w:rsid w:val="003A0273"/>
    <w:rsid w:val="003A02B4"/>
    <w:rsid w:val="003A0352"/>
    <w:rsid w:val="003A047A"/>
    <w:rsid w:val="003A04F9"/>
    <w:rsid w:val="003A0559"/>
    <w:rsid w:val="003A05A0"/>
    <w:rsid w:val="003A05F1"/>
    <w:rsid w:val="003A0660"/>
    <w:rsid w:val="003A0673"/>
    <w:rsid w:val="003A0894"/>
    <w:rsid w:val="003A09D4"/>
    <w:rsid w:val="003A0B2A"/>
    <w:rsid w:val="003A0B74"/>
    <w:rsid w:val="003A0BC4"/>
    <w:rsid w:val="003A0C17"/>
    <w:rsid w:val="003A0C2A"/>
    <w:rsid w:val="003A0D52"/>
    <w:rsid w:val="003A0DAE"/>
    <w:rsid w:val="003A0E06"/>
    <w:rsid w:val="003A0E86"/>
    <w:rsid w:val="003A109B"/>
    <w:rsid w:val="003A11EF"/>
    <w:rsid w:val="003A1210"/>
    <w:rsid w:val="003A131C"/>
    <w:rsid w:val="003A13A4"/>
    <w:rsid w:val="003A1428"/>
    <w:rsid w:val="003A1722"/>
    <w:rsid w:val="003A1747"/>
    <w:rsid w:val="003A1778"/>
    <w:rsid w:val="003A18B9"/>
    <w:rsid w:val="003A19D9"/>
    <w:rsid w:val="003A1A26"/>
    <w:rsid w:val="003A1A7F"/>
    <w:rsid w:val="003A1D01"/>
    <w:rsid w:val="003A1DBB"/>
    <w:rsid w:val="003A1F54"/>
    <w:rsid w:val="003A21E4"/>
    <w:rsid w:val="003A264E"/>
    <w:rsid w:val="003A270E"/>
    <w:rsid w:val="003A273B"/>
    <w:rsid w:val="003A275A"/>
    <w:rsid w:val="003A27F7"/>
    <w:rsid w:val="003A282B"/>
    <w:rsid w:val="003A2850"/>
    <w:rsid w:val="003A287B"/>
    <w:rsid w:val="003A2918"/>
    <w:rsid w:val="003A298B"/>
    <w:rsid w:val="003A2A23"/>
    <w:rsid w:val="003A2B04"/>
    <w:rsid w:val="003A2B0F"/>
    <w:rsid w:val="003A2C0C"/>
    <w:rsid w:val="003A2C2F"/>
    <w:rsid w:val="003A2DED"/>
    <w:rsid w:val="003A2ED1"/>
    <w:rsid w:val="003A3022"/>
    <w:rsid w:val="003A3069"/>
    <w:rsid w:val="003A3198"/>
    <w:rsid w:val="003A32CD"/>
    <w:rsid w:val="003A3476"/>
    <w:rsid w:val="003A3487"/>
    <w:rsid w:val="003A3605"/>
    <w:rsid w:val="003A364D"/>
    <w:rsid w:val="003A3682"/>
    <w:rsid w:val="003A36E8"/>
    <w:rsid w:val="003A371F"/>
    <w:rsid w:val="003A3740"/>
    <w:rsid w:val="003A3770"/>
    <w:rsid w:val="003A380C"/>
    <w:rsid w:val="003A3816"/>
    <w:rsid w:val="003A3900"/>
    <w:rsid w:val="003A3A03"/>
    <w:rsid w:val="003A3B74"/>
    <w:rsid w:val="003A3C6B"/>
    <w:rsid w:val="003A3D0D"/>
    <w:rsid w:val="003A3D8E"/>
    <w:rsid w:val="003A3DF2"/>
    <w:rsid w:val="003A3E3B"/>
    <w:rsid w:val="003A3F60"/>
    <w:rsid w:val="003A408E"/>
    <w:rsid w:val="003A40A5"/>
    <w:rsid w:val="003A40AB"/>
    <w:rsid w:val="003A4146"/>
    <w:rsid w:val="003A41F1"/>
    <w:rsid w:val="003A4254"/>
    <w:rsid w:val="003A4265"/>
    <w:rsid w:val="003A4374"/>
    <w:rsid w:val="003A4431"/>
    <w:rsid w:val="003A453A"/>
    <w:rsid w:val="003A462B"/>
    <w:rsid w:val="003A48DF"/>
    <w:rsid w:val="003A4929"/>
    <w:rsid w:val="003A4974"/>
    <w:rsid w:val="003A4976"/>
    <w:rsid w:val="003A4AB6"/>
    <w:rsid w:val="003A4C47"/>
    <w:rsid w:val="003A4CDB"/>
    <w:rsid w:val="003A4EFC"/>
    <w:rsid w:val="003A4F34"/>
    <w:rsid w:val="003A50D1"/>
    <w:rsid w:val="003A50F8"/>
    <w:rsid w:val="003A516D"/>
    <w:rsid w:val="003A5281"/>
    <w:rsid w:val="003A555F"/>
    <w:rsid w:val="003A5562"/>
    <w:rsid w:val="003A5688"/>
    <w:rsid w:val="003A56A5"/>
    <w:rsid w:val="003A56C1"/>
    <w:rsid w:val="003A596D"/>
    <w:rsid w:val="003A5983"/>
    <w:rsid w:val="003A5A36"/>
    <w:rsid w:val="003A5A3E"/>
    <w:rsid w:val="003A5AEE"/>
    <w:rsid w:val="003A5BD6"/>
    <w:rsid w:val="003A5C4E"/>
    <w:rsid w:val="003A5CB3"/>
    <w:rsid w:val="003A5D89"/>
    <w:rsid w:val="003A5F7C"/>
    <w:rsid w:val="003A60A2"/>
    <w:rsid w:val="003A61E5"/>
    <w:rsid w:val="003A62F2"/>
    <w:rsid w:val="003A6464"/>
    <w:rsid w:val="003A64EB"/>
    <w:rsid w:val="003A6611"/>
    <w:rsid w:val="003A6724"/>
    <w:rsid w:val="003A6998"/>
    <w:rsid w:val="003A6A88"/>
    <w:rsid w:val="003A6E1A"/>
    <w:rsid w:val="003A6E6C"/>
    <w:rsid w:val="003A6FB6"/>
    <w:rsid w:val="003A7341"/>
    <w:rsid w:val="003A7363"/>
    <w:rsid w:val="003A73F6"/>
    <w:rsid w:val="003A73FB"/>
    <w:rsid w:val="003A7420"/>
    <w:rsid w:val="003A7626"/>
    <w:rsid w:val="003A7C47"/>
    <w:rsid w:val="003A7C65"/>
    <w:rsid w:val="003A7DD7"/>
    <w:rsid w:val="003A7F01"/>
    <w:rsid w:val="003B0097"/>
    <w:rsid w:val="003B01EE"/>
    <w:rsid w:val="003B035E"/>
    <w:rsid w:val="003B04BC"/>
    <w:rsid w:val="003B04CB"/>
    <w:rsid w:val="003B05C3"/>
    <w:rsid w:val="003B068D"/>
    <w:rsid w:val="003B06AC"/>
    <w:rsid w:val="003B074B"/>
    <w:rsid w:val="003B082D"/>
    <w:rsid w:val="003B0887"/>
    <w:rsid w:val="003B09D8"/>
    <w:rsid w:val="003B0A22"/>
    <w:rsid w:val="003B0A6E"/>
    <w:rsid w:val="003B0A70"/>
    <w:rsid w:val="003B0BA1"/>
    <w:rsid w:val="003B0DA4"/>
    <w:rsid w:val="003B0E3A"/>
    <w:rsid w:val="003B0EF0"/>
    <w:rsid w:val="003B10A5"/>
    <w:rsid w:val="003B112A"/>
    <w:rsid w:val="003B1284"/>
    <w:rsid w:val="003B13E3"/>
    <w:rsid w:val="003B13F7"/>
    <w:rsid w:val="003B1425"/>
    <w:rsid w:val="003B1674"/>
    <w:rsid w:val="003B1693"/>
    <w:rsid w:val="003B169A"/>
    <w:rsid w:val="003B16C5"/>
    <w:rsid w:val="003B171B"/>
    <w:rsid w:val="003B1732"/>
    <w:rsid w:val="003B1752"/>
    <w:rsid w:val="003B18BE"/>
    <w:rsid w:val="003B18FD"/>
    <w:rsid w:val="003B1944"/>
    <w:rsid w:val="003B1970"/>
    <w:rsid w:val="003B1D23"/>
    <w:rsid w:val="003B1D2F"/>
    <w:rsid w:val="003B1D58"/>
    <w:rsid w:val="003B1DEC"/>
    <w:rsid w:val="003B1E9B"/>
    <w:rsid w:val="003B1F1E"/>
    <w:rsid w:val="003B1F79"/>
    <w:rsid w:val="003B2020"/>
    <w:rsid w:val="003B205F"/>
    <w:rsid w:val="003B228F"/>
    <w:rsid w:val="003B236A"/>
    <w:rsid w:val="003B23C2"/>
    <w:rsid w:val="003B2691"/>
    <w:rsid w:val="003B2800"/>
    <w:rsid w:val="003B2844"/>
    <w:rsid w:val="003B285A"/>
    <w:rsid w:val="003B2864"/>
    <w:rsid w:val="003B2958"/>
    <w:rsid w:val="003B2C28"/>
    <w:rsid w:val="003B2DB2"/>
    <w:rsid w:val="003B2E8F"/>
    <w:rsid w:val="003B2FE7"/>
    <w:rsid w:val="003B30E2"/>
    <w:rsid w:val="003B33E2"/>
    <w:rsid w:val="003B3609"/>
    <w:rsid w:val="003B366B"/>
    <w:rsid w:val="003B38BC"/>
    <w:rsid w:val="003B38EC"/>
    <w:rsid w:val="003B3904"/>
    <w:rsid w:val="003B3907"/>
    <w:rsid w:val="003B399E"/>
    <w:rsid w:val="003B3AAA"/>
    <w:rsid w:val="003B3ADE"/>
    <w:rsid w:val="003B3B24"/>
    <w:rsid w:val="003B3B2D"/>
    <w:rsid w:val="003B3BB0"/>
    <w:rsid w:val="003B3EA9"/>
    <w:rsid w:val="003B3ECF"/>
    <w:rsid w:val="003B3FA4"/>
    <w:rsid w:val="003B4120"/>
    <w:rsid w:val="003B4233"/>
    <w:rsid w:val="003B4544"/>
    <w:rsid w:val="003B455C"/>
    <w:rsid w:val="003B4599"/>
    <w:rsid w:val="003B45CF"/>
    <w:rsid w:val="003B45D8"/>
    <w:rsid w:val="003B4734"/>
    <w:rsid w:val="003B4790"/>
    <w:rsid w:val="003B47F5"/>
    <w:rsid w:val="003B484B"/>
    <w:rsid w:val="003B4A27"/>
    <w:rsid w:val="003B4C51"/>
    <w:rsid w:val="003B4C8B"/>
    <w:rsid w:val="003B4FCA"/>
    <w:rsid w:val="003B509A"/>
    <w:rsid w:val="003B51F5"/>
    <w:rsid w:val="003B5216"/>
    <w:rsid w:val="003B52A8"/>
    <w:rsid w:val="003B5329"/>
    <w:rsid w:val="003B5350"/>
    <w:rsid w:val="003B535B"/>
    <w:rsid w:val="003B5473"/>
    <w:rsid w:val="003B55DE"/>
    <w:rsid w:val="003B5607"/>
    <w:rsid w:val="003B562D"/>
    <w:rsid w:val="003B570C"/>
    <w:rsid w:val="003B583F"/>
    <w:rsid w:val="003B5B5C"/>
    <w:rsid w:val="003B5BE3"/>
    <w:rsid w:val="003B5C77"/>
    <w:rsid w:val="003B5CB9"/>
    <w:rsid w:val="003B5D39"/>
    <w:rsid w:val="003B5DB8"/>
    <w:rsid w:val="003B5F1D"/>
    <w:rsid w:val="003B60E0"/>
    <w:rsid w:val="003B612E"/>
    <w:rsid w:val="003B61B7"/>
    <w:rsid w:val="003B6201"/>
    <w:rsid w:val="003B6294"/>
    <w:rsid w:val="003B62FD"/>
    <w:rsid w:val="003B6493"/>
    <w:rsid w:val="003B64BE"/>
    <w:rsid w:val="003B65B6"/>
    <w:rsid w:val="003B6656"/>
    <w:rsid w:val="003B6702"/>
    <w:rsid w:val="003B672D"/>
    <w:rsid w:val="003B6870"/>
    <w:rsid w:val="003B6899"/>
    <w:rsid w:val="003B68A4"/>
    <w:rsid w:val="003B6942"/>
    <w:rsid w:val="003B6B58"/>
    <w:rsid w:val="003B6C72"/>
    <w:rsid w:val="003B6F73"/>
    <w:rsid w:val="003B70D1"/>
    <w:rsid w:val="003B7170"/>
    <w:rsid w:val="003B71F1"/>
    <w:rsid w:val="003B737D"/>
    <w:rsid w:val="003B7476"/>
    <w:rsid w:val="003B757F"/>
    <w:rsid w:val="003B769D"/>
    <w:rsid w:val="003B76A6"/>
    <w:rsid w:val="003B7899"/>
    <w:rsid w:val="003B78CB"/>
    <w:rsid w:val="003B7907"/>
    <w:rsid w:val="003B7938"/>
    <w:rsid w:val="003B79B2"/>
    <w:rsid w:val="003B7A89"/>
    <w:rsid w:val="003B7B1D"/>
    <w:rsid w:val="003B7C37"/>
    <w:rsid w:val="003B7C98"/>
    <w:rsid w:val="003B7F64"/>
    <w:rsid w:val="003C0001"/>
    <w:rsid w:val="003C00A8"/>
    <w:rsid w:val="003C018B"/>
    <w:rsid w:val="003C0293"/>
    <w:rsid w:val="003C03EC"/>
    <w:rsid w:val="003C0416"/>
    <w:rsid w:val="003C0443"/>
    <w:rsid w:val="003C0600"/>
    <w:rsid w:val="003C067D"/>
    <w:rsid w:val="003C079E"/>
    <w:rsid w:val="003C07F1"/>
    <w:rsid w:val="003C08CD"/>
    <w:rsid w:val="003C0B71"/>
    <w:rsid w:val="003C0B91"/>
    <w:rsid w:val="003C0BC5"/>
    <w:rsid w:val="003C0C10"/>
    <w:rsid w:val="003C0CEF"/>
    <w:rsid w:val="003C0D9D"/>
    <w:rsid w:val="003C0DE9"/>
    <w:rsid w:val="003C0E78"/>
    <w:rsid w:val="003C0F9F"/>
    <w:rsid w:val="003C1064"/>
    <w:rsid w:val="003C10F9"/>
    <w:rsid w:val="003C1107"/>
    <w:rsid w:val="003C11AA"/>
    <w:rsid w:val="003C1207"/>
    <w:rsid w:val="003C120F"/>
    <w:rsid w:val="003C125A"/>
    <w:rsid w:val="003C1310"/>
    <w:rsid w:val="003C1438"/>
    <w:rsid w:val="003C14E2"/>
    <w:rsid w:val="003C150B"/>
    <w:rsid w:val="003C15C3"/>
    <w:rsid w:val="003C16E5"/>
    <w:rsid w:val="003C170F"/>
    <w:rsid w:val="003C1730"/>
    <w:rsid w:val="003C19F9"/>
    <w:rsid w:val="003C1A3D"/>
    <w:rsid w:val="003C1AD2"/>
    <w:rsid w:val="003C1AE2"/>
    <w:rsid w:val="003C1DAA"/>
    <w:rsid w:val="003C1DFF"/>
    <w:rsid w:val="003C2146"/>
    <w:rsid w:val="003C21D0"/>
    <w:rsid w:val="003C227B"/>
    <w:rsid w:val="003C2453"/>
    <w:rsid w:val="003C2478"/>
    <w:rsid w:val="003C2550"/>
    <w:rsid w:val="003C26BC"/>
    <w:rsid w:val="003C2982"/>
    <w:rsid w:val="003C2A03"/>
    <w:rsid w:val="003C2A3D"/>
    <w:rsid w:val="003C2B21"/>
    <w:rsid w:val="003C2BD9"/>
    <w:rsid w:val="003C2D22"/>
    <w:rsid w:val="003C2D4E"/>
    <w:rsid w:val="003C2DC3"/>
    <w:rsid w:val="003C2F36"/>
    <w:rsid w:val="003C3092"/>
    <w:rsid w:val="003C30D9"/>
    <w:rsid w:val="003C3199"/>
    <w:rsid w:val="003C323C"/>
    <w:rsid w:val="003C3254"/>
    <w:rsid w:val="003C347D"/>
    <w:rsid w:val="003C359B"/>
    <w:rsid w:val="003C35D1"/>
    <w:rsid w:val="003C36BF"/>
    <w:rsid w:val="003C3700"/>
    <w:rsid w:val="003C372A"/>
    <w:rsid w:val="003C372E"/>
    <w:rsid w:val="003C3780"/>
    <w:rsid w:val="003C37D3"/>
    <w:rsid w:val="003C387B"/>
    <w:rsid w:val="003C39B0"/>
    <w:rsid w:val="003C3AA5"/>
    <w:rsid w:val="003C3C15"/>
    <w:rsid w:val="003C3C72"/>
    <w:rsid w:val="003C3EF7"/>
    <w:rsid w:val="003C3F6C"/>
    <w:rsid w:val="003C4015"/>
    <w:rsid w:val="003C4061"/>
    <w:rsid w:val="003C409E"/>
    <w:rsid w:val="003C42A2"/>
    <w:rsid w:val="003C43DB"/>
    <w:rsid w:val="003C4632"/>
    <w:rsid w:val="003C4716"/>
    <w:rsid w:val="003C4717"/>
    <w:rsid w:val="003C473C"/>
    <w:rsid w:val="003C4823"/>
    <w:rsid w:val="003C482F"/>
    <w:rsid w:val="003C4A63"/>
    <w:rsid w:val="003C4A86"/>
    <w:rsid w:val="003C4B39"/>
    <w:rsid w:val="003C4BAF"/>
    <w:rsid w:val="003C4E37"/>
    <w:rsid w:val="003C4F8F"/>
    <w:rsid w:val="003C515C"/>
    <w:rsid w:val="003C5202"/>
    <w:rsid w:val="003C5287"/>
    <w:rsid w:val="003C5479"/>
    <w:rsid w:val="003C54C4"/>
    <w:rsid w:val="003C5619"/>
    <w:rsid w:val="003C5AA7"/>
    <w:rsid w:val="003C5B8E"/>
    <w:rsid w:val="003C5B9D"/>
    <w:rsid w:val="003C5BBF"/>
    <w:rsid w:val="003C608A"/>
    <w:rsid w:val="003C616B"/>
    <w:rsid w:val="003C619D"/>
    <w:rsid w:val="003C628D"/>
    <w:rsid w:val="003C63B4"/>
    <w:rsid w:val="003C6406"/>
    <w:rsid w:val="003C6420"/>
    <w:rsid w:val="003C648A"/>
    <w:rsid w:val="003C6504"/>
    <w:rsid w:val="003C6557"/>
    <w:rsid w:val="003C65A4"/>
    <w:rsid w:val="003C6747"/>
    <w:rsid w:val="003C69C4"/>
    <w:rsid w:val="003C6A0B"/>
    <w:rsid w:val="003C6A58"/>
    <w:rsid w:val="003C6B59"/>
    <w:rsid w:val="003C6C32"/>
    <w:rsid w:val="003C6C44"/>
    <w:rsid w:val="003C6D28"/>
    <w:rsid w:val="003C6DFA"/>
    <w:rsid w:val="003C6E22"/>
    <w:rsid w:val="003C6E68"/>
    <w:rsid w:val="003C6F4E"/>
    <w:rsid w:val="003C6FE4"/>
    <w:rsid w:val="003C7096"/>
    <w:rsid w:val="003C70A8"/>
    <w:rsid w:val="003C7145"/>
    <w:rsid w:val="003C739D"/>
    <w:rsid w:val="003C741A"/>
    <w:rsid w:val="003C770B"/>
    <w:rsid w:val="003C7837"/>
    <w:rsid w:val="003C78AF"/>
    <w:rsid w:val="003C78F9"/>
    <w:rsid w:val="003C79B3"/>
    <w:rsid w:val="003C7B32"/>
    <w:rsid w:val="003C7B81"/>
    <w:rsid w:val="003C7E12"/>
    <w:rsid w:val="003D0005"/>
    <w:rsid w:val="003D004B"/>
    <w:rsid w:val="003D00EA"/>
    <w:rsid w:val="003D0457"/>
    <w:rsid w:val="003D0514"/>
    <w:rsid w:val="003D06E6"/>
    <w:rsid w:val="003D0E60"/>
    <w:rsid w:val="003D0E81"/>
    <w:rsid w:val="003D0ED1"/>
    <w:rsid w:val="003D0F32"/>
    <w:rsid w:val="003D0F73"/>
    <w:rsid w:val="003D1101"/>
    <w:rsid w:val="003D11BF"/>
    <w:rsid w:val="003D1333"/>
    <w:rsid w:val="003D1385"/>
    <w:rsid w:val="003D139A"/>
    <w:rsid w:val="003D1464"/>
    <w:rsid w:val="003D14BF"/>
    <w:rsid w:val="003D15F5"/>
    <w:rsid w:val="003D1651"/>
    <w:rsid w:val="003D1694"/>
    <w:rsid w:val="003D16E6"/>
    <w:rsid w:val="003D1724"/>
    <w:rsid w:val="003D18B4"/>
    <w:rsid w:val="003D1984"/>
    <w:rsid w:val="003D19EB"/>
    <w:rsid w:val="003D1A1A"/>
    <w:rsid w:val="003D1B44"/>
    <w:rsid w:val="003D1B68"/>
    <w:rsid w:val="003D1D36"/>
    <w:rsid w:val="003D1D69"/>
    <w:rsid w:val="003D1DC3"/>
    <w:rsid w:val="003D1DF9"/>
    <w:rsid w:val="003D1E79"/>
    <w:rsid w:val="003D1EF5"/>
    <w:rsid w:val="003D1EF6"/>
    <w:rsid w:val="003D1F3D"/>
    <w:rsid w:val="003D201F"/>
    <w:rsid w:val="003D217E"/>
    <w:rsid w:val="003D225E"/>
    <w:rsid w:val="003D2277"/>
    <w:rsid w:val="003D22F8"/>
    <w:rsid w:val="003D2499"/>
    <w:rsid w:val="003D2596"/>
    <w:rsid w:val="003D25BB"/>
    <w:rsid w:val="003D26A1"/>
    <w:rsid w:val="003D26EF"/>
    <w:rsid w:val="003D275F"/>
    <w:rsid w:val="003D2954"/>
    <w:rsid w:val="003D2972"/>
    <w:rsid w:val="003D299E"/>
    <w:rsid w:val="003D2B1A"/>
    <w:rsid w:val="003D2B27"/>
    <w:rsid w:val="003D2C29"/>
    <w:rsid w:val="003D2C97"/>
    <w:rsid w:val="003D2E74"/>
    <w:rsid w:val="003D2E92"/>
    <w:rsid w:val="003D2EE1"/>
    <w:rsid w:val="003D3011"/>
    <w:rsid w:val="003D308F"/>
    <w:rsid w:val="003D3180"/>
    <w:rsid w:val="003D32B7"/>
    <w:rsid w:val="003D335E"/>
    <w:rsid w:val="003D348B"/>
    <w:rsid w:val="003D34B9"/>
    <w:rsid w:val="003D34D6"/>
    <w:rsid w:val="003D36FF"/>
    <w:rsid w:val="003D3705"/>
    <w:rsid w:val="003D37BF"/>
    <w:rsid w:val="003D382E"/>
    <w:rsid w:val="003D38D0"/>
    <w:rsid w:val="003D3C1E"/>
    <w:rsid w:val="003D3C62"/>
    <w:rsid w:val="003D3E0F"/>
    <w:rsid w:val="003D3EEE"/>
    <w:rsid w:val="003D3FCB"/>
    <w:rsid w:val="003D408C"/>
    <w:rsid w:val="003D42A1"/>
    <w:rsid w:val="003D42EE"/>
    <w:rsid w:val="003D458E"/>
    <w:rsid w:val="003D4594"/>
    <w:rsid w:val="003D4859"/>
    <w:rsid w:val="003D4A62"/>
    <w:rsid w:val="003D4A88"/>
    <w:rsid w:val="003D4CAE"/>
    <w:rsid w:val="003D4F13"/>
    <w:rsid w:val="003D4FDA"/>
    <w:rsid w:val="003D4FF5"/>
    <w:rsid w:val="003D5196"/>
    <w:rsid w:val="003D51BA"/>
    <w:rsid w:val="003D52D2"/>
    <w:rsid w:val="003D54A7"/>
    <w:rsid w:val="003D5579"/>
    <w:rsid w:val="003D55E1"/>
    <w:rsid w:val="003D55EC"/>
    <w:rsid w:val="003D57F5"/>
    <w:rsid w:val="003D5891"/>
    <w:rsid w:val="003D58EA"/>
    <w:rsid w:val="003D590E"/>
    <w:rsid w:val="003D5B24"/>
    <w:rsid w:val="003D5B90"/>
    <w:rsid w:val="003D5B93"/>
    <w:rsid w:val="003D5CA3"/>
    <w:rsid w:val="003D5D87"/>
    <w:rsid w:val="003D5E35"/>
    <w:rsid w:val="003D5E8C"/>
    <w:rsid w:val="003D5F11"/>
    <w:rsid w:val="003D5FE7"/>
    <w:rsid w:val="003D60C2"/>
    <w:rsid w:val="003D6219"/>
    <w:rsid w:val="003D630E"/>
    <w:rsid w:val="003D6413"/>
    <w:rsid w:val="003D641A"/>
    <w:rsid w:val="003D648D"/>
    <w:rsid w:val="003D66D4"/>
    <w:rsid w:val="003D6717"/>
    <w:rsid w:val="003D67AC"/>
    <w:rsid w:val="003D67C2"/>
    <w:rsid w:val="003D681E"/>
    <w:rsid w:val="003D688D"/>
    <w:rsid w:val="003D68E4"/>
    <w:rsid w:val="003D6A57"/>
    <w:rsid w:val="003D6AEF"/>
    <w:rsid w:val="003D6B7A"/>
    <w:rsid w:val="003D6C05"/>
    <w:rsid w:val="003D6C7E"/>
    <w:rsid w:val="003D6C9B"/>
    <w:rsid w:val="003D6D97"/>
    <w:rsid w:val="003D6DE0"/>
    <w:rsid w:val="003D6EC0"/>
    <w:rsid w:val="003D6F23"/>
    <w:rsid w:val="003D71A8"/>
    <w:rsid w:val="003D71EB"/>
    <w:rsid w:val="003D7245"/>
    <w:rsid w:val="003D732D"/>
    <w:rsid w:val="003D740F"/>
    <w:rsid w:val="003D754F"/>
    <w:rsid w:val="003D7561"/>
    <w:rsid w:val="003D75E4"/>
    <w:rsid w:val="003D760E"/>
    <w:rsid w:val="003D77C2"/>
    <w:rsid w:val="003D78EA"/>
    <w:rsid w:val="003D79A7"/>
    <w:rsid w:val="003D7B0E"/>
    <w:rsid w:val="003D7B2E"/>
    <w:rsid w:val="003D7B6E"/>
    <w:rsid w:val="003D7CDA"/>
    <w:rsid w:val="003D7E01"/>
    <w:rsid w:val="003D7E50"/>
    <w:rsid w:val="003D7FA7"/>
    <w:rsid w:val="003D7FCF"/>
    <w:rsid w:val="003E014E"/>
    <w:rsid w:val="003E0294"/>
    <w:rsid w:val="003E0329"/>
    <w:rsid w:val="003E03F7"/>
    <w:rsid w:val="003E0430"/>
    <w:rsid w:val="003E0455"/>
    <w:rsid w:val="003E047A"/>
    <w:rsid w:val="003E04C1"/>
    <w:rsid w:val="003E08AB"/>
    <w:rsid w:val="003E0F66"/>
    <w:rsid w:val="003E10FB"/>
    <w:rsid w:val="003E130B"/>
    <w:rsid w:val="003E135A"/>
    <w:rsid w:val="003E1378"/>
    <w:rsid w:val="003E139D"/>
    <w:rsid w:val="003E13EE"/>
    <w:rsid w:val="003E1402"/>
    <w:rsid w:val="003E1583"/>
    <w:rsid w:val="003E173A"/>
    <w:rsid w:val="003E19D1"/>
    <w:rsid w:val="003E1A3C"/>
    <w:rsid w:val="003E1A80"/>
    <w:rsid w:val="003E1AD6"/>
    <w:rsid w:val="003E1B4E"/>
    <w:rsid w:val="003E1D15"/>
    <w:rsid w:val="003E1E68"/>
    <w:rsid w:val="003E2085"/>
    <w:rsid w:val="003E2123"/>
    <w:rsid w:val="003E22CB"/>
    <w:rsid w:val="003E2343"/>
    <w:rsid w:val="003E2486"/>
    <w:rsid w:val="003E2514"/>
    <w:rsid w:val="003E25C1"/>
    <w:rsid w:val="003E273D"/>
    <w:rsid w:val="003E279F"/>
    <w:rsid w:val="003E27A0"/>
    <w:rsid w:val="003E2AD7"/>
    <w:rsid w:val="003E2EF6"/>
    <w:rsid w:val="003E2F44"/>
    <w:rsid w:val="003E325E"/>
    <w:rsid w:val="003E336E"/>
    <w:rsid w:val="003E33C5"/>
    <w:rsid w:val="003E3566"/>
    <w:rsid w:val="003E35DE"/>
    <w:rsid w:val="003E3765"/>
    <w:rsid w:val="003E3B27"/>
    <w:rsid w:val="003E3CD7"/>
    <w:rsid w:val="003E3D96"/>
    <w:rsid w:val="003E3DAA"/>
    <w:rsid w:val="003E3FC1"/>
    <w:rsid w:val="003E406B"/>
    <w:rsid w:val="003E419B"/>
    <w:rsid w:val="003E424C"/>
    <w:rsid w:val="003E426D"/>
    <w:rsid w:val="003E4353"/>
    <w:rsid w:val="003E437A"/>
    <w:rsid w:val="003E43D9"/>
    <w:rsid w:val="003E4524"/>
    <w:rsid w:val="003E4712"/>
    <w:rsid w:val="003E47E5"/>
    <w:rsid w:val="003E49D4"/>
    <w:rsid w:val="003E49DD"/>
    <w:rsid w:val="003E4B26"/>
    <w:rsid w:val="003E4B3F"/>
    <w:rsid w:val="003E4C24"/>
    <w:rsid w:val="003E4CE8"/>
    <w:rsid w:val="003E4D43"/>
    <w:rsid w:val="003E4ECC"/>
    <w:rsid w:val="003E4F96"/>
    <w:rsid w:val="003E4FAD"/>
    <w:rsid w:val="003E4FB7"/>
    <w:rsid w:val="003E5011"/>
    <w:rsid w:val="003E51E0"/>
    <w:rsid w:val="003E5278"/>
    <w:rsid w:val="003E53FB"/>
    <w:rsid w:val="003E560B"/>
    <w:rsid w:val="003E568A"/>
    <w:rsid w:val="003E581E"/>
    <w:rsid w:val="003E5870"/>
    <w:rsid w:val="003E58C7"/>
    <w:rsid w:val="003E594A"/>
    <w:rsid w:val="003E5968"/>
    <w:rsid w:val="003E5A94"/>
    <w:rsid w:val="003E5B9E"/>
    <w:rsid w:val="003E5BD5"/>
    <w:rsid w:val="003E5CCA"/>
    <w:rsid w:val="003E5DC3"/>
    <w:rsid w:val="003E5E0B"/>
    <w:rsid w:val="003E5E38"/>
    <w:rsid w:val="003E5FEB"/>
    <w:rsid w:val="003E62A0"/>
    <w:rsid w:val="003E6352"/>
    <w:rsid w:val="003E640D"/>
    <w:rsid w:val="003E64BA"/>
    <w:rsid w:val="003E659F"/>
    <w:rsid w:val="003E65F8"/>
    <w:rsid w:val="003E66EC"/>
    <w:rsid w:val="003E6791"/>
    <w:rsid w:val="003E67D9"/>
    <w:rsid w:val="003E680F"/>
    <w:rsid w:val="003E6ABC"/>
    <w:rsid w:val="003E6E39"/>
    <w:rsid w:val="003E7026"/>
    <w:rsid w:val="003E7071"/>
    <w:rsid w:val="003E7174"/>
    <w:rsid w:val="003E71F8"/>
    <w:rsid w:val="003E7268"/>
    <w:rsid w:val="003E7290"/>
    <w:rsid w:val="003E73A1"/>
    <w:rsid w:val="003E751A"/>
    <w:rsid w:val="003E75DF"/>
    <w:rsid w:val="003E7646"/>
    <w:rsid w:val="003E766C"/>
    <w:rsid w:val="003E7674"/>
    <w:rsid w:val="003E7684"/>
    <w:rsid w:val="003E76B0"/>
    <w:rsid w:val="003E7773"/>
    <w:rsid w:val="003E7941"/>
    <w:rsid w:val="003E7A7A"/>
    <w:rsid w:val="003E7C04"/>
    <w:rsid w:val="003E7CC4"/>
    <w:rsid w:val="003E7CCC"/>
    <w:rsid w:val="003E7CFF"/>
    <w:rsid w:val="003E7EB6"/>
    <w:rsid w:val="003E7FD0"/>
    <w:rsid w:val="003E7FE6"/>
    <w:rsid w:val="003F005A"/>
    <w:rsid w:val="003F005B"/>
    <w:rsid w:val="003F011B"/>
    <w:rsid w:val="003F0167"/>
    <w:rsid w:val="003F029B"/>
    <w:rsid w:val="003F0346"/>
    <w:rsid w:val="003F0377"/>
    <w:rsid w:val="003F0463"/>
    <w:rsid w:val="003F05ED"/>
    <w:rsid w:val="003F05EF"/>
    <w:rsid w:val="003F063E"/>
    <w:rsid w:val="003F07B7"/>
    <w:rsid w:val="003F0CB2"/>
    <w:rsid w:val="003F0CE7"/>
    <w:rsid w:val="003F0E3F"/>
    <w:rsid w:val="003F0E5C"/>
    <w:rsid w:val="003F0FBF"/>
    <w:rsid w:val="003F0FF1"/>
    <w:rsid w:val="003F115E"/>
    <w:rsid w:val="003F1172"/>
    <w:rsid w:val="003F11FC"/>
    <w:rsid w:val="003F125D"/>
    <w:rsid w:val="003F12C8"/>
    <w:rsid w:val="003F133A"/>
    <w:rsid w:val="003F135C"/>
    <w:rsid w:val="003F14C2"/>
    <w:rsid w:val="003F14E3"/>
    <w:rsid w:val="003F15F1"/>
    <w:rsid w:val="003F1616"/>
    <w:rsid w:val="003F1736"/>
    <w:rsid w:val="003F17E0"/>
    <w:rsid w:val="003F1873"/>
    <w:rsid w:val="003F18C7"/>
    <w:rsid w:val="003F1A58"/>
    <w:rsid w:val="003F1B52"/>
    <w:rsid w:val="003F1C9F"/>
    <w:rsid w:val="003F1DA1"/>
    <w:rsid w:val="003F1E5F"/>
    <w:rsid w:val="003F1E86"/>
    <w:rsid w:val="003F1E9E"/>
    <w:rsid w:val="003F1EBD"/>
    <w:rsid w:val="003F1F7B"/>
    <w:rsid w:val="003F2056"/>
    <w:rsid w:val="003F2210"/>
    <w:rsid w:val="003F2229"/>
    <w:rsid w:val="003F2231"/>
    <w:rsid w:val="003F22EF"/>
    <w:rsid w:val="003F2427"/>
    <w:rsid w:val="003F25ED"/>
    <w:rsid w:val="003F2660"/>
    <w:rsid w:val="003F274A"/>
    <w:rsid w:val="003F29D8"/>
    <w:rsid w:val="003F2AB1"/>
    <w:rsid w:val="003F2D13"/>
    <w:rsid w:val="003F2D59"/>
    <w:rsid w:val="003F2D5F"/>
    <w:rsid w:val="003F2E30"/>
    <w:rsid w:val="003F2E7D"/>
    <w:rsid w:val="003F2F02"/>
    <w:rsid w:val="003F2F6B"/>
    <w:rsid w:val="003F301C"/>
    <w:rsid w:val="003F301E"/>
    <w:rsid w:val="003F33F9"/>
    <w:rsid w:val="003F356F"/>
    <w:rsid w:val="003F35BB"/>
    <w:rsid w:val="003F3613"/>
    <w:rsid w:val="003F3922"/>
    <w:rsid w:val="003F3A86"/>
    <w:rsid w:val="003F3AC9"/>
    <w:rsid w:val="003F3AD3"/>
    <w:rsid w:val="003F3B00"/>
    <w:rsid w:val="003F3C2E"/>
    <w:rsid w:val="003F3CBE"/>
    <w:rsid w:val="003F3CFC"/>
    <w:rsid w:val="003F3D8D"/>
    <w:rsid w:val="003F3FFC"/>
    <w:rsid w:val="003F4041"/>
    <w:rsid w:val="003F413D"/>
    <w:rsid w:val="003F4158"/>
    <w:rsid w:val="003F42E3"/>
    <w:rsid w:val="003F43F4"/>
    <w:rsid w:val="003F445B"/>
    <w:rsid w:val="003F445C"/>
    <w:rsid w:val="003F44C9"/>
    <w:rsid w:val="003F462D"/>
    <w:rsid w:val="003F4723"/>
    <w:rsid w:val="003F48F1"/>
    <w:rsid w:val="003F49F9"/>
    <w:rsid w:val="003F4B44"/>
    <w:rsid w:val="003F4BBB"/>
    <w:rsid w:val="003F4CD8"/>
    <w:rsid w:val="003F4E76"/>
    <w:rsid w:val="003F4EA7"/>
    <w:rsid w:val="003F4EF8"/>
    <w:rsid w:val="003F4F08"/>
    <w:rsid w:val="003F4F21"/>
    <w:rsid w:val="003F4F91"/>
    <w:rsid w:val="003F5107"/>
    <w:rsid w:val="003F521F"/>
    <w:rsid w:val="003F5250"/>
    <w:rsid w:val="003F52E1"/>
    <w:rsid w:val="003F535C"/>
    <w:rsid w:val="003F5651"/>
    <w:rsid w:val="003F5768"/>
    <w:rsid w:val="003F5851"/>
    <w:rsid w:val="003F587B"/>
    <w:rsid w:val="003F5980"/>
    <w:rsid w:val="003F59F5"/>
    <w:rsid w:val="003F5B4A"/>
    <w:rsid w:val="003F5B57"/>
    <w:rsid w:val="003F5C0F"/>
    <w:rsid w:val="003F5E10"/>
    <w:rsid w:val="003F5EDB"/>
    <w:rsid w:val="003F6116"/>
    <w:rsid w:val="003F61AE"/>
    <w:rsid w:val="003F6417"/>
    <w:rsid w:val="003F6500"/>
    <w:rsid w:val="003F6522"/>
    <w:rsid w:val="003F657B"/>
    <w:rsid w:val="003F6628"/>
    <w:rsid w:val="003F67B8"/>
    <w:rsid w:val="003F67D3"/>
    <w:rsid w:val="003F6861"/>
    <w:rsid w:val="003F6874"/>
    <w:rsid w:val="003F68AE"/>
    <w:rsid w:val="003F68FB"/>
    <w:rsid w:val="003F6AB1"/>
    <w:rsid w:val="003F6AF3"/>
    <w:rsid w:val="003F6BD6"/>
    <w:rsid w:val="003F6C35"/>
    <w:rsid w:val="003F6CBE"/>
    <w:rsid w:val="003F6D97"/>
    <w:rsid w:val="003F6DFE"/>
    <w:rsid w:val="003F6E1B"/>
    <w:rsid w:val="003F6EF3"/>
    <w:rsid w:val="003F7037"/>
    <w:rsid w:val="003F705B"/>
    <w:rsid w:val="003F70C6"/>
    <w:rsid w:val="003F7117"/>
    <w:rsid w:val="003F7196"/>
    <w:rsid w:val="003F7217"/>
    <w:rsid w:val="003F7250"/>
    <w:rsid w:val="003F72B6"/>
    <w:rsid w:val="003F72BF"/>
    <w:rsid w:val="003F73F3"/>
    <w:rsid w:val="003F7445"/>
    <w:rsid w:val="003F7532"/>
    <w:rsid w:val="003F7680"/>
    <w:rsid w:val="003F77BA"/>
    <w:rsid w:val="003F77DF"/>
    <w:rsid w:val="003F7826"/>
    <w:rsid w:val="003F79DD"/>
    <w:rsid w:val="003F7A36"/>
    <w:rsid w:val="003F7ABA"/>
    <w:rsid w:val="003F7B54"/>
    <w:rsid w:val="003F7B6E"/>
    <w:rsid w:val="003F7C87"/>
    <w:rsid w:val="003F7D1B"/>
    <w:rsid w:val="003F7E6D"/>
    <w:rsid w:val="003F7EDA"/>
    <w:rsid w:val="003F7F84"/>
    <w:rsid w:val="00400028"/>
    <w:rsid w:val="00400051"/>
    <w:rsid w:val="00400116"/>
    <w:rsid w:val="0040018A"/>
    <w:rsid w:val="004001F8"/>
    <w:rsid w:val="00400241"/>
    <w:rsid w:val="00400312"/>
    <w:rsid w:val="0040039C"/>
    <w:rsid w:val="004003BE"/>
    <w:rsid w:val="00400486"/>
    <w:rsid w:val="00400500"/>
    <w:rsid w:val="00400522"/>
    <w:rsid w:val="00400583"/>
    <w:rsid w:val="004005E9"/>
    <w:rsid w:val="004007A8"/>
    <w:rsid w:val="00400802"/>
    <w:rsid w:val="00400866"/>
    <w:rsid w:val="004008AF"/>
    <w:rsid w:val="0040090B"/>
    <w:rsid w:val="0040097D"/>
    <w:rsid w:val="00400A16"/>
    <w:rsid w:val="00400A43"/>
    <w:rsid w:val="00400AE9"/>
    <w:rsid w:val="00400B06"/>
    <w:rsid w:val="00400B5F"/>
    <w:rsid w:val="00400BA0"/>
    <w:rsid w:val="00400C87"/>
    <w:rsid w:val="00400CFB"/>
    <w:rsid w:val="00400DA2"/>
    <w:rsid w:val="00400EA4"/>
    <w:rsid w:val="00400EC1"/>
    <w:rsid w:val="00400F91"/>
    <w:rsid w:val="00400FD2"/>
    <w:rsid w:val="00401120"/>
    <w:rsid w:val="0040143C"/>
    <w:rsid w:val="004016D4"/>
    <w:rsid w:val="004018B9"/>
    <w:rsid w:val="004018DC"/>
    <w:rsid w:val="004018F7"/>
    <w:rsid w:val="004019DC"/>
    <w:rsid w:val="00401B94"/>
    <w:rsid w:val="00401B9B"/>
    <w:rsid w:val="00401D35"/>
    <w:rsid w:val="00401DBF"/>
    <w:rsid w:val="00401DD7"/>
    <w:rsid w:val="00401DF2"/>
    <w:rsid w:val="00401E19"/>
    <w:rsid w:val="0040202F"/>
    <w:rsid w:val="004020B2"/>
    <w:rsid w:val="004022C1"/>
    <w:rsid w:val="00402452"/>
    <w:rsid w:val="00402462"/>
    <w:rsid w:val="00402553"/>
    <w:rsid w:val="0040259E"/>
    <w:rsid w:val="0040268F"/>
    <w:rsid w:val="00402743"/>
    <w:rsid w:val="004027B0"/>
    <w:rsid w:val="00402901"/>
    <w:rsid w:val="004029F4"/>
    <w:rsid w:val="00402A5B"/>
    <w:rsid w:val="00402AC8"/>
    <w:rsid w:val="00402CF9"/>
    <w:rsid w:val="00402D14"/>
    <w:rsid w:val="00402DAA"/>
    <w:rsid w:val="00402E7F"/>
    <w:rsid w:val="00402F02"/>
    <w:rsid w:val="00402F92"/>
    <w:rsid w:val="00402F9C"/>
    <w:rsid w:val="00403044"/>
    <w:rsid w:val="00403250"/>
    <w:rsid w:val="00403345"/>
    <w:rsid w:val="004033BE"/>
    <w:rsid w:val="004033D9"/>
    <w:rsid w:val="004034E1"/>
    <w:rsid w:val="00403534"/>
    <w:rsid w:val="004035CE"/>
    <w:rsid w:val="00403693"/>
    <w:rsid w:val="00403858"/>
    <w:rsid w:val="00403B1D"/>
    <w:rsid w:val="00403D26"/>
    <w:rsid w:val="00403D77"/>
    <w:rsid w:val="00403EEB"/>
    <w:rsid w:val="00403F4B"/>
    <w:rsid w:val="00403FB5"/>
    <w:rsid w:val="0040415D"/>
    <w:rsid w:val="0040428A"/>
    <w:rsid w:val="004042DF"/>
    <w:rsid w:val="00404310"/>
    <w:rsid w:val="004043A2"/>
    <w:rsid w:val="00404425"/>
    <w:rsid w:val="00404541"/>
    <w:rsid w:val="004045D9"/>
    <w:rsid w:val="00404731"/>
    <w:rsid w:val="004047CF"/>
    <w:rsid w:val="0040489E"/>
    <w:rsid w:val="00404A94"/>
    <w:rsid w:val="00404B48"/>
    <w:rsid w:val="00404C05"/>
    <w:rsid w:val="00404D83"/>
    <w:rsid w:val="00404D9F"/>
    <w:rsid w:val="00404E60"/>
    <w:rsid w:val="00404F94"/>
    <w:rsid w:val="00404FE3"/>
    <w:rsid w:val="00404FFB"/>
    <w:rsid w:val="00405179"/>
    <w:rsid w:val="004051B9"/>
    <w:rsid w:val="00405349"/>
    <w:rsid w:val="004053B9"/>
    <w:rsid w:val="004053F0"/>
    <w:rsid w:val="004054A4"/>
    <w:rsid w:val="004054E3"/>
    <w:rsid w:val="004054F8"/>
    <w:rsid w:val="0040551F"/>
    <w:rsid w:val="0040575C"/>
    <w:rsid w:val="004057E2"/>
    <w:rsid w:val="00405839"/>
    <w:rsid w:val="0040589F"/>
    <w:rsid w:val="004059C9"/>
    <w:rsid w:val="00405B4A"/>
    <w:rsid w:val="00405B61"/>
    <w:rsid w:val="00405C30"/>
    <w:rsid w:val="00405C72"/>
    <w:rsid w:val="00405D4C"/>
    <w:rsid w:val="00405F3C"/>
    <w:rsid w:val="00405F99"/>
    <w:rsid w:val="00406039"/>
    <w:rsid w:val="0040605D"/>
    <w:rsid w:val="004061D8"/>
    <w:rsid w:val="004061DA"/>
    <w:rsid w:val="004062C2"/>
    <w:rsid w:val="00406478"/>
    <w:rsid w:val="004068DA"/>
    <w:rsid w:val="00406DB4"/>
    <w:rsid w:val="00406F25"/>
    <w:rsid w:val="0040701E"/>
    <w:rsid w:val="004070D1"/>
    <w:rsid w:val="0040722B"/>
    <w:rsid w:val="004075A2"/>
    <w:rsid w:val="004075BE"/>
    <w:rsid w:val="0040771F"/>
    <w:rsid w:val="00407765"/>
    <w:rsid w:val="0040796F"/>
    <w:rsid w:val="00407C04"/>
    <w:rsid w:val="00407C46"/>
    <w:rsid w:val="00407C9E"/>
    <w:rsid w:val="00407E67"/>
    <w:rsid w:val="00407F38"/>
    <w:rsid w:val="00407F5F"/>
    <w:rsid w:val="00407F6A"/>
    <w:rsid w:val="00407FFA"/>
    <w:rsid w:val="0041003D"/>
    <w:rsid w:val="00410061"/>
    <w:rsid w:val="004101FC"/>
    <w:rsid w:val="00410207"/>
    <w:rsid w:val="00410241"/>
    <w:rsid w:val="004102E8"/>
    <w:rsid w:val="0041048D"/>
    <w:rsid w:val="00410506"/>
    <w:rsid w:val="0041059B"/>
    <w:rsid w:val="00410658"/>
    <w:rsid w:val="00410750"/>
    <w:rsid w:val="00410790"/>
    <w:rsid w:val="00410968"/>
    <w:rsid w:val="00410A3D"/>
    <w:rsid w:val="00410A98"/>
    <w:rsid w:val="00410ABD"/>
    <w:rsid w:val="00410B2C"/>
    <w:rsid w:val="00410B92"/>
    <w:rsid w:val="00410BEF"/>
    <w:rsid w:val="00410D29"/>
    <w:rsid w:val="00410D59"/>
    <w:rsid w:val="00410EB0"/>
    <w:rsid w:val="00410ED9"/>
    <w:rsid w:val="004111F7"/>
    <w:rsid w:val="00411267"/>
    <w:rsid w:val="0041136F"/>
    <w:rsid w:val="00411371"/>
    <w:rsid w:val="0041139F"/>
    <w:rsid w:val="0041149E"/>
    <w:rsid w:val="004114BC"/>
    <w:rsid w:val="0041153D"/>
    <w:rsid w:val="00411544"/>
    <w:rsid w:val="004115C5"/>
    <w:rsid w:val="00411600"/>
    <w:rsid w:val="004116EE"/>
    <w:rsid w:val="0041178B"/>
    <w:rsid w:val="00411842"/>
    <w:rsid w:val="00411934"/>
    <w:rsid w:val="00411A66"/>
    <w:rsid w:val="00411B2D"/>
    <w:rsid w:val="00411C01"/>
    <w:rsid w:val="00411D1A"/>
    <w:rsid w:val="00411D6A"/>
    <w:rsid w:val="00411F9E"/>
    <w:rsid w:val="00411FAA"/>
    <w:rsid w:val="004120E6"/>
    <w:rsid w:val="00412121"/>
    <w:rsid w:val="0041217D"/>
    <w:rsid w:val="0041224D"/>
    <w:rsid w:val="00412435"/>
    <w:rsid w:val="004125C6"/>
    <w:rsid w:val="0041264C"/>
    <w:rsid w:val="00412698"/>
    <w:rsid w:val="0041275F"/>
    <w:rsid w:val="00412A81"/>
    <w:rsid w:val="00412B31"/>
    <w:rsid w:val="00412B38"/>
    <w:rsid w:val="00412D89"/>
    <w:rsid w:val="00412DED"/>
    <w:rsid w:val="00412E1F"/>
    <w:rsid w:val="00412E3B"/>
    <w:rsid w:val="00412EED"/>
    <w:rsid w:val="0041332F"/>
    <w:rsid w:val="004133BB"/>
    <w:rsid w:val="004134A2"/>
    <w:rsid w:val="004134B6"/>
    <w:rsid w:val="004135E8"/>
    <w:rsid w:val="00413612"/>
    <w:rsid w:val="0041374D"/>
    <w:rsid w:val="0041382E"/>
    <w:rsid w:val="0041388A"/>
    <w:rsid w:val="0041389A"/>
    <w:rsid w:val="004138E5"/>
    <w:rsid w:val="0041396C"/>
    <w:rsid w:val="00413B55"/>
    <w:rsid w:val="00413D3E"/>
    <w:rsid w:val="00413E3D"/>
    <w:rsid w:val="00413ECD"/>
    <w:rsid w:val="004141A0"/>
    <w:rsid w:val="00414230"/>
    <w:rsid w:val="004142DC"/>
    <w:rsid w:val="004143B6"/>
    <w:rsid w:val="004143BE"/>
    <w:rsid w:val="00414422"/>
    <w:rsid w:val="00414428"/>
    <w:rsid w:val="00414458"/>
    <w:rsid w:val="0041457D"/>
    <w:rsid w:val="004147F7"/>
    <w:rsid w:val="004148AF"/>
    <w:rsid w:val="004149DB"/>
    <w:rsid w:val="00414ABC"/>
    <w:rsid w:val="00414B4E"/>
    <w:rsid w:val="00414BF6"/>
    <w:rsid w:val="00414D7E"/>
    <w:rsid w:val="00414DBA"/>
    <w:rsid w:val="00414E0F"/>
    <w:rsid w:val="00414E7B"/>
    <w:rsid w:val="00414ED3"/>
    <w:rsid w:val="00414F07"/>
    <w:rsid w:val="00414FC6"/>
    <w:rsid w:val="00415121"/>
    <w:rsid w:val="0041514D"/>
    <w:rsid w:val="004151F7"/>
    <w:rsid w:val="00415311"/>
    <w:rsid w:val="0041531F"/>
    <w:rsid w:val="0041537F"/>
    <w:rsid w:val="00415418"/>
    <w:rsid w:val="0041557B"/>
    <w:rsid w:val="004155C5"/>
    <w:rsid w:val="004155D4"/>
    <w:rsid w:val="004155D6"/>
    <w:rsid w:val="004155E9"/>
    <w:rsid w:val="00415688"/>
    <w:rsid w:val="0041583F"/>
    <w:rsid w:val="004158B2"/>
    <w:rsid w:val="004159A6"/>
    <w:rsid w:val="00415A14"/>
    <w:rsid w:val="00415A7E"/>
    <w:rsid w:val="00415A82"/>
    <w:rsid w:val="00415E43"/>
    <w:rsid w:val="00415E68"/>
    <w:rsid w:val="00415E89"/>
    <w:rsid w:val="0041606F"/>
    <w:rsid w:val="004161E4"/>
    <w:rsid w:val="004166CC"/>
    <w:rsid w:val="004167C2"/>
    <w:rsid w:val="00416828"/>
    <w:rsid w:val="0041690A"/>
    <w:rsid w:val="00416932"/>
    <w:rsid w:val="00416ADB"/>
    <w:rsid w:val="00416B70"/>
    <w:rsid w:val="00416BC4"/>
    <w:rsid w:val="00416D07"/>
    <w:rsid w:val="00416E14"/>
    <w:rsid w:val="00416E3E"/>
    <w:rsid w:val="00416FCB"/>
    <w:rsid w:val="00416FDF"/>
    <w:rsid w:val="00416FE6"/>
    <w:rsid w:val="0041705F"/>
    <w:rsid w:val="0041715B"/>
    <w:rsid w:val="004171B6"/>
    <w:rsid w:val="0041724E"/>
    <w:rsid w:val="00417357"/>
    <w:rsid w:val="00417518"/>
    <w:rsid w:val="0041753A"/>
    <w:rsid w:val="00417640"/>
    <w:rsid w:val="0041768B"/>
    <w:rsid w:val="0041773E"/>
    <w:rsid w:val="00417A7E"/>
    <w:rsid w:val="00417AF6"/>
    <w:rsid w:val="00417B62"/>
    <w:rsid w:val="00417BAF"/>
    <w:rsid w:val="00417BD1"/>
    <w:rsid w:val="00417CEE"/>
    <w:rsid w:val="00417E3C"/>
    <w:rsid w:val="00417E5A"/>
    <w:rsid w:val="00417EBB"/>
    <w:rsid w:val="00417F77"/>
    <w:rsid w:val="00417F90"/>
    <w:rsid w:val="004200E6"/>
    <w:rsid w:val="004200F2"/>
    <w:rsid w:val="00420119"/>
    <w:rsid w:val="00420292"/>
    <w:rsid w:val="004202A0"/>
    <w:rsid w:val="00420678"/>
    <w:rsid w:val="004206C2"/>
    <w:rsid w:val="00420764"/>
    <w:rsid w:val="004208CB"/>
    <w:rsid w:val="00420F33"/>
    <w:rsid w:val="00420F5A"/>
    <w:rsid w:val="00420F88"/>
    <w:rsid w:val="00420F9E"/>
    <w:rsid w:val="00420FB2"/>
    <w:rsid w:val="00421019"/>
    <w:rsid w:val="004210A5"/>
    <w:rsid w:val="004210FB"/>
    <w:rsid w:val="004211A7"/>
    <w:rsid w:val="004211DB"/>
    <w:rsid w:val="004212A0"/>
    <w:rsid w:val="0042132B"/>
    <w:rsid w:val="004213E3"/>
    <w:rsid w:val="004214E0"/>
    <w:rsid w:val="00421507"/>
    <w:rsid w:val="00421524"/>
    <w:rsid w:val="004215DC"/>
    <w:rsid w:val="004215E9"/>
    <w:rsid w:val="00421753"/>
    <w:rsid w:val="00421A89"/>
    <w:rsid w:val="00421C44"/>
    <w:rsid w:val="00421CBF"/>
    <w:rsid w:val="00421D7C"/>
    <w:rsid w:val="00421EBC"/>
    <w:rsid w:val="00421EC0"/>
    <w:rsid w:val="00421FF2"/>
    <w:rsid w:val="004220CD"/>
    <w:rsid w:val="00422129"/>
    <w:rsid w:val="004221E4"/>
    <w:rsid w:val="0042226E"/>
    <w:rsid w:val="004228AB"/>
    <w:rsid w:val="0042294A"/>
    <w:rsid w:val="0042297B"/>
    <w:rsid w:val="004229CE"/>
    <w:rsid w:val="00422ABA"/>
    <w:rsid w:val="00422ACA"/>
    <w:rsid w:val="00422BDC"/>
    <w:rsid w:val="00422BE3"/>
    <w:rsid w:val="00422D53"/>
    <w:rsid w:val="00422F31"/>
    <w:rsid w:val="0042304B"/>
    <w:rsid w:val="004232E3"/>
    <w:rsid w:val="004235C1"/>
    <w:rsid w:val="004235C6"/>
    <w:rsid w:val="004236EC"/>
    <w:rsid w:val="00423759"/>
    <w:rsid w:val="0042376F"/>
    <w:rsid w:val="004237BE"/>
    <w:rsid w:val="00423823"/>
    <w:rsid w:val="00423920"/>
    <w:rsid w:val="0042396B"/>
    <w:rsid w:val="00423A46"/>
    <w:rsid w:val="00423AF4"/>
    <w:rsid w:val="00423B7B"/>
    <w:rsid w:val="00423CF7"/>
    <w:rsid w:val="00423DC1"/>
    <w:rsid w:val="00423E52"/>
    <w:rsid w:val="00424084"/>
    <w:rsid w:val="00424230"/>
    <w:rsid w:val="00424320"/>
    <w:rsid w:val="00424358"/>
    <w:rsid w:val="0042441B"/>
    <w:rsid w:val="00424451"/>
    <w:rsid w:val="0042448C"/>
    <w:rsid w:val="00424582"/>
    <w:rsid w:val="0042460F"/>
    <w:rsid w:val="0042469F"/>
    <w:rsid w:val="00424722"/>
    <w:rsid w:val="00424791"/>
    <w:rsid w:val="004247C9"/>
    <w:rsid w:val="0042486A"/>
    <w:rsid w:val="0042491D"/>
    <w:rsid w:val="00424A21"/>
    <w:rsid w:val="00424B3C"/>
    <w:rsid w:val="00424E30"/>
    <w:rsid w:val="00425009"/>
    <w:rsid w:val="00425161"/>
    <w:rsid w:val="0042519A"/>
    <w:rsid w:val="0042541D"/>
    <w:rsid w:val="00425437"/>
    <w:rsid w:val="004256EE"/>
    <w:rsid w:val="00425742"/>
    <w:rsid w:val="004257F7"/>
    <w:rsid w:val="0042594D"/>
    <w:rsid w:val="00425987"/>
    <w:rsid w:val="00425ACF"/>
    <w:rsid w:val="00425B72"/>
    <w:rsid w:val="00425BBC"/>
    <w:rsid w:val="00425CF6"/>
    <w:rsid w:val="00425D9C"/>
    <w:rsid w:val="00425DD2"/>
    <w:rsid w:val="00425F61"/>
    <w:rsid w:val="00425FF6"/>
    <w:rsid w:val="0042606A"/>
    <w:rsid w:val="004260BA"/>
    <w:rsid w:val="00426386"/>
    <w:rsid w:val="00426467"/>
    <w:rsid w:val="0042659B"/>
    <w:rsid w:val="00426782"/>
    <w:rsid w:val="004267FB"/>
    <w:rsid w:val="0042684B"/>
    <w:rsid w:val="0042689E"/>
    <w:rsid w:val="0042697B"/>
    <w:rsid w:val="00426999"/>
    <w:rsid w:val="00426A2A"/>
    <w:rsid w:val="00426CDE"/>
    <w:rsid w:val="00426D16"/>
    <w:rsid w:val="00426DF1"/>
    <w:rsid w:val="00426E69"/>
    <w:rsid w:val="00426F89"/>
    <w:rsid w:val="00426FCB"/>
    <w:rsid w:val="00427005"/>
    <w:rsid w:val="00427010"/>
    <w:rsid w:val="00427259"/>
    <w:rsid w:val="004273AD"/>
    <w:rsid w:val="004275D4"/>
    <w:rsid w:val="00427728"/>
    <w:rsid w:val="0042776B"/>
    <w:rsid w:val="004279EA"/>
    <w:rsid w:val="00427A60"/>
    <w:rsid w:val="00427AEF"/>
    <w:rsid w:val="00427B43"/>
    <w:rsid w:val="00427B71"/>
    <w:rsid w:val="00427B8C"/>
    <w:rsid w:val="00427C4A"/>
    <w:rsid w:val="00427CEF"/>
    <w:rsid w:val="00427D8F"/>
    <w:rsid w:val="00427D98"/>
    <w:rsid w:val="00427EA8"/>
    <w:rsid w:val="00427EE9"/>
    <w:rsid w:val="00427F23"/>
    <w:rsid w:val="00427F30"/>
    <w:rsid w:val="00430084"/>
    <w:rsid w:val="00430169"/>
    <w:rsid w:val="004305AD"/>
    <w:rsid w:val="004305AE"/>
    <w:rsid w:val="00430715"/>
    <w:rsid w:val="004307FF"/>
    <w:rsid w:val="00430945"/>
    <w:rsid w:val="00430A13"/>
    <w:rsid w:val="00430C5D"/>
    <w:rsid w:val="00430C73"/>
    <w:rsid w:val="00430C9F"/>
    <w:rsid w:val="00430DCD"/>
    <w:rsid w:val="00430E64"/>
    <w:rsid w:val="00431034"/>
    <w:rsid w:val="00431054"/>
    <w:rsid w:val="00431186"/>
    <w:rsid w:val="0043124F"/>
    <w:rsid w:val="00431277"/>
    <w:rsid w:val="004312A1"/>
    <w:rsid w:val="004316EB"/>
    <w:rsid w:val="00431800"/>
    <w:rsid w:val="004319AA"/>
    <w:rsid w:val="00431C31"/>
    <w:rsid w:val="00431E2D"/>
    <w:rsid w:val="00431E38"/>
    <w:rsid w:val="00431ED5"/>
    <w:rsid w:val="00431F97"/>
    <w:rsid w:val="004320C1"/>
    <w:rsid w:val="004320D4"/>
    <w:rsid w:val="004322CC"/>
    <w:rsid w:val="0043231C"/>
    <w:rsid w:val="00432621"/>
    <w:rsid w:val="0043263F"/>
    <w:rsid w:val="0043267F"/>
    <w:rsid w:val="00432792"/>
    <w:rsid w:val="004327C8"/>
    <w:rsid w:val="004327E4"/>
    <w:rsid w:val="00432838"/>
    <w:rsid w:val="0043283F"/>
    <w:rsid w:val="004328FA"/>
    <w:rsid w:val="00432A3A"/>
    <w:rsid w:val="00432A9C"/>
    <w:rsid w:val="00432B20"/>
    <w:rsid w:val="00432BB2"/>
    <w:rsid w:val="00432BF2"/>
    <w:rsid w:val="00432C61"/>
    <w:rsid w:val="00432CF1"/>
    <w:rsid w:val="00432D3E"/>
    <w:rsid w:val="00432DBE"/>
    <w:rsid w:val="00433146"/>
    <w:rsid w:val="004332CF"/>
    <w:rsid w:val="00433471"/>
    <w:rsid w:val="0043347C"/>
    <w:rsid w:val="00433498"/>
    <w:rsid w:val="00433520"/>
    <w:rsid w:val="0043352E"/>
    <w:rsid w:val="00433541"/>
    <w:rsid w:val="0043369A"/>
    <w:rsid w:val="0043372F"/>
    <w:rsid w:val="004338F5"/>
    <w:rsid w:val="00433BE9"/>
    <w:rsid w:val="00433D01"/>
    <w:rsid w:val="00433D92"/>
    <w:rsid w:val="00433DD6"/>
    <w:rsid w:val="0043403B"/>
    <w:rsid w:val="0043408A"/>
    <w:rsid w:val="004341D9"/>
    <w:rsid w:val="004343E8"/>
    <w:rsid w:val="004344C9"/>
    <w:rsid w:val="004345F7"/>
    <w:rsid w:val="00434760"/>
    <w:rsid w:val="004347A8"/>
    <w:rsid w:val="004348D9"/>
    <w:rsid w:val="0043495D"/>
    <w:rsid w:val="00434973"/>
    <w:rsid w:val="00434A33"/>
    <w:rsid w:val="00434AB7"/>
    <w:rsid w:val="00434BD0"/>
    <w:rsid w:val="00434E4E"/>
    <w:rsid w:val="004350CD"/>
    <w:rsid w:val="004350EC"/>
    <w:rsid w:val="0043511A"/>
    <w:rsid w:val="00435190"/>
    <w:rsid w:val="004354B9"/>
    <w:rsid w:val="004355B2"/>
    <w:rsid w:val="00435604"/>
    <w:rsid w:val="00435635"/>
    <w:rsid w:val="00435700"/>
    <w:rsid w:val="0043583D"/>
    <w:rsid w:val="004358DF"/>
    <w:rsid w:val="004359C3"/>
    <w:rsid w:val="00435B1D"/>
    <w:rsid w:val="00435B33"/>
    <w:rsid w:val="00435C89"/>
    <w:rsid w:val="00435D31"/>
    <w:rsid w:val="00435E4C"/>
    <w:rsid w:val="0043619F"/>
    <w:rsid w:val="0043625B"/>
    <w:rsid w:val="004363C8"/>
    <w:rsid w:val="0043643C"/>
    <w:rsid w:val="00436514"/>
    <w:rsid w:val="004366B2"/>
    <w:rsid w:val="0043674A"/>
    <w:rsid w:val="00436753"/>
    <w:rsid w:val="00436911"/>
    <w:rsid w:val="00436A3D"/>
    <w:rsid w:val="00436C27"/>
    <w:rsid w:val="00436C41"/>
    <w:rsid w:val="00436CCD"/>
    <w:rsid w:val="00436D35"/>
    <w:rsid w:val="00436D53"/>
    <w:rsid w:val="00436F9D"/>
    <w:rsid w:val="0043709A"/>
    <w:rsid w:val="004370A5"/>
    <w:rsid w:val="00437501"/>
    <w:rsid w:val="00437547"/>
    <w:rsid w:val="004375D6"/>
    <w:rsid w:val="004376AE"/>
    <w:rsid w:val="004376E0"/>
    <w:rsid w:val="00437814"/>
    <w:rsid w:val="00437851"/>
    <w:rsid w:val="00437862"/>
    <w:rsid w:val="004378BB"/>
    <w:rsid w:val="00437AC2"/>
    <w:rsid w:val="00437BB9"/>
    <w:rsid w:val="00437C88"/>
    <w:rsid w:val="00437D5B"/>
    <w:rsid w:val="00437D77"/>
    <w:rsid w:val="00437DC6"/>
    <w:rsid w:val="00437FC9"/>
    <w:rsid w:val="00440054"/>
    <w:rsid w:val="004400DD"/>
    <w:rsid w:val="004400EB"/>
    <w:rsid w:val="0044019C"/>
    <w:rsid w:val="004401AD"/>
    <w:rsid w:val="00440331"/>
    <w:rsid w:val="00440338"/>
    <w:rsid w:val="004404D3"/>
    <w:rsid w:val="004406B5"/>
    <w:rsid w:val="00440769"/>
    <w:rsid w:val="00440819"/>
    <w:rsid w:val="00440848"/>
    <w:rsid w:val="00440881"/>
    <w:rsid w:val="0044093E"/>
    <w:rsid w:val="0044094C"/>
    <w:rsid w:val="00440954"/>
    <w:rsid w:val="00440B40"/>
    <w:rsid w:val="00440BCA"/>
    <w:rsid w:val="00440C37"/>
    <w:rsid w:val="00440CBD"/>
    <w:rsid w:val="00440CEE"/>
    <w:rsid w:val="00440D5C"/>
    <w:rsid w:val="00440D6F"/>
    <w:rsid w:val="00440FE9"/>
    <w:rsid w:val="00441098"/>
    <w:rsid w:val="00441429"/>
    <w:rsid w:val="00441449"/>
    <w:rsid w:val="0044145E"/>
    <w:rsid w:val="004414F1"/>
    <w:rsid w:val="0044165E"/>
    <w:rsid w:val="0044170C"/>
    <w:rsid w:val="00441747"/>
    <w:rsid w:val="004417C3"/>
    <w:rsid w:val="004418FE"/>
    <w:rsid w:val="004419DC"/>
    <w:rsid w:val="00441A92"/>
    <w:rsid w:val="00441AE2"/>
    <w:rsid w:val="00441B75"/>
    <w:rsid w:val="00441CAD"/>
    <w:rsid w:val="00441CDF"/>
    <w:rsid w:val="00441DD8"/>
    <w:rsid w:val="00441E6D"/>
    <w:rsid w:val="00441E78"/>
    <w:rsid w:val="00441EE6"/>
    <w:rsid w:val="00441F83"/>
    <w:rsid w:val="00442037"/>
    <w:rsid w:val="00442107"/>
    <w:rsid w:val="0044219A"/>
    <w:rsid w:val="004421E8"/>
    <w:rsid w:val="004422F7"/>
    <w:rsid w:val="004423F7"/>
    <w:rsid w:val="004424AF"/>
    <w:rsid w:val="004424EE"/>
    <w:rsid w:val="0044266E"/>
    <w:rsid w:val="004428B8"/>
    <w:rsid w:val="004428BE"/>
    <w:rsid w:val="00442A2F"/>
    <w:rsid w:val="00442A49"/>
    <w:rsid w:val="00442AE9"/>
    <w:rsid w:val="00442AEB"/>
    <w:rsid w:val="00442C39"/>
    <w:rsid w:val="00442C7B"/>
    <w:rsid w:val="00442D19"/>
    <w:rsid w:val="00442D3B"/>
    <w:rsid w:val="00442D79"/>
    <w:rsid w:val="00442DFC"/>
    <w:rsid w:val="00442E54"/>
    <w:rsid w:val="00442E73"/>
    <w:rsid w:val="00442E83"/>
    <w:rsid w:val="00442F1E"/>
    <w:rsid w:val="00442F44"/>
    <w:rsid w:val="00443048"/>
    <w:rsid w:val="00443234"/>
    <w:rsid w:val="00443302"/>
    <w:rsid w:val="00443369"/>
    <w:rsid w:val="0044342D"/>
    <w:rsid w:val="004436A4"/>
    <w:rsid w:val="00443737"/>
    <w:rsid w:val="0044375C"/>
    <w:rsid w:val="004439A1"/>
    <w:rsid w:val="00443A32"/>
    <w:rsid w:val="00443AB7"/>
    <w:rsid w:val="00443CD9"/>
    <w:rsid w:val="00443D6A"/>
    <w:rsid w:val="00443EA1"/>
    <w:rsid w:val="00443EB8"/>
    <w:rsid w:val="00443F33"/>
    <w:rsid w:val="00443F58"/>
    <w:rsid w:val="00443FF5"/>
    <w:rsid w:val="00444083"/>
    <w:rsid w:val="004440B6"/>
    <w:rsid w:val="004441A5"/>
    <w:rsid w:val="00444397"/>
    <w:rsid w:val="00444421"/>
    <w:rsid w:val="00444455"/>
    <w:rsid w:val="00444697"/>
    <w:rsid w:val="004447C0"/>
    <w:rsid w:val="004448E1"/>
    <w:rsid w:val="00444A1C"/>
    <w:rsid w:val="00444ABE"/>
    <w:rsid w:val="00444AFB"/>
    <w:rsid w:val="00444BAC"/>
    <w:rsid w:val="00444BBE"/>
    <w:rsid w:val="00444C13"/>
    <w:rsid w:val="00444D04"/>
    <w:rsid w:val="00444D9C"/>
    <w:rsid w:val="00444DAD"/>
    <w:rsid w:val="00444EEC"/>
    <w:rsid w:val="00444F66"/>
    <w:rsid w:val="0044515D"/>
    <w:rsid w:val="00445235"/>
    <w:rsid w:val="00445309"/>
    <w:rsid w:val="0044534C"/>
    <w:rsid w:val="0044548F"/>
    <w:rsid w:val="00445504"/>
    <w:rsid w:val="00445508"/>
    <w:rsid w:val="004455C0"/>
    <w:rsid w:val="004455F9"/>
    <w:rsid w:val="004456C6"/>
    <w:rsid w:val="0044573B"/>
    <w:rsid w:val="0044589E"/>
    <w:rsid w:val="004458A2"/>
    <w:rsid w:val="004458D5"/>
    <w:rsid w:val="00445AB1"/>
    <w:rsid w:val="00445ABA"/>
    <w:rsid w:val="00445BCE"/>
    <w:rsid w:val="00445BF4"/>
    <w:rsid w:val="00445CF5"/>
    <w:rsid w:val="00446075"/>
    <w:rsid w:val="00446084"/>
    <w:rsid w:val="00446166"/>
    <w:rsid w:val="004461EE"/>
    <w:rsid w:val="00446253"/>
    <w:rsid w:val="0044642F"/>
    <w:rsid w:val="004465A1"/>
    <w:rsid w:val="00446644"/>
    <w:rsid w:val="00446713"/>
    <w:rsid w:val="00446717"/>
    <w:rsid w:val="00446718"/>
    <w:rsid w:val="0044678B"/>
    <w:rsid w:val="004467FA"/>
    <w:rsid w:val="004467FE"/>
    <w:rsid w:val="0044681B"/>
    <w:rsid w:val="0044684C"/>
    <w:rsid w:val="0044690B"/>
    <w:rsid w:val="00446961"/>
    <w:rsid w:val="004469F6"/>
    <w:rsid w:val="00446B15"/>
    <w:rsid w:val="00446B8A"/>
    <w:rsid w:val="00446BA8"/>
    <w:rsid w:val="00446BBE"/>
    <w:rsid w:val="00446C64"/>
    <w:rsid w:val="00446C73"/>
    <w:rsid w:val="00446DD4"/>
    <w:rsid w:val="00446F66"/>
    <w:rsid w:val="00446FC8"/>
    <w:rsid w:val="00447003"/>
    <w:rsid w:val="0044706E"/>
    <w:rsid w:val="004471A8"/>
    <w:rsid w:val="004471B6"/>
    <w:rsid w:val="004471B7"/>
    <w:rsid w:val="004472E2"/>
    <w:rsid w:val="00447368"/>
    <w:rsid w:val="004473CA"/>
    <w:rsid w:val="00447431"/>
    <w:rsid w:val="00447553"/>
    <w:rsid w:val="00447640"/>
    <w:rsid w:val="0044782C"/>
    <w:rsid w:val="00447ACF"/>
    <w:rsid w:val="00447B32"/>
    <w:rsid w:val="00447C08"/>
    <w:rsid w:val="00447D9B"/>
    <w:rsid w:val="00447ED0"/>
    <w:rsid w:val="00447F28"/>
    <w:rsid w:val="00447F40"/>
    <w:rsid w:val="00447FE3"/>
    <w:rsid w:val="004500CA"/>
    <w:rsid w:val="004500ED"/>
    <w:rsid w:val="004501DB"/>
    <w:rsid w:val="004501DC"/>
    <w:rsid w:val="0045024A"/>
    <w:rsid w:val="00450255"/>
    <w:rsid w:val="00450256"/>
    <w:rsid w:val="004502A4"/>
    <w:rsid w:val="004502C4"/>
    <w:rsid w:val="00450384"/>
    <w:rsid w:val="0045038F"/>
    <w:rsid w:val="004503C9"/>
    <w:rsid w:val="00450413"/>
    <w:rsid w:val="00450425"/>
    <w:rsid w:val="0045046E"/>
    <w:rsid w:val="004505FF"/>
    <w:rsid w:val="0045060E"/>
    <w:rsid w:val="00450619"/>
    <w:rsid w:val="00450662"/>
    <w:rsid w:val="00450893"/>
    <w:rsid w:val="004508CA"/>
    <w:rsid w:val="0045093D"/>
    <w:rsid w:val="00450B41"/>
    <w:rsid w:val="00450D05"/>
    <w:rsid w:val="00450E08"/>
    <w:rsid w:val="00450F50"/>
    <w:rsid w:val="00450FB1"/>
    <w:rsid w:val="0045105F"/>
    <w:rsid w:val="004511C3"/>
    <w:rsid w:val="004511DA"/>
    <w:rsid w:val="00451402"/>
    <w:rsid w:val="00451645"/>
    <w:rsid w:val="0045168C"/>
    <w:rsid w:val="0045171B"/>
    <w:rsid w:val="00451785"/>
    <w:rsid w:val="004517B5"/>
    <w:rsid w:val="00451849"/>
    <w:rsid w:val="00451878"/>
    <w:rsid w:val="004519CA"/>
    <w:rsid w:val="00451A0B"/>
    <w:rsid w:val="00451A6F"/>
    <w:rsid w:val="00451A75"/>
    <w:rsid w:val="00451B72"/>
    <w:rsid w:val="00451E8F"/>
    <w:rsid w:val="0045201C"/>
    <w:rsid w:val="00452179"/>
    <w:rsid w:val="004522AC"/>
    <w:rsid w:val="004522DF"/>
    <w:rsid w:val="004523AA"/>
    <w:rsid w:val="004523C9"/>
    <w:rsid w:val="00452419"/>
    <w:rsid w:val="0045242D"/>
    <w:rsid w:val="00452558"/>
    <w:rsid w:val="004525E5"/>
    <w:rsid w:val="0045261B"/>
    <w:rsid w:val="004527F4"/>
    <w:rsid w:val="0045290E"/>
    <w:rsid w:val="00452915"/>
    <w:rsid w:val="00452A6C"/>
    <w:rsid w:val="00452B58"/>
    <w:rsid w:val="00452D6B"/>
    <w:rsid w:val="00452E1B"/>
    <w:rsid w:val="00452EC7"/>
    <w:rsid w:val="00452F63"/>
    <w:rsid w:val="00452FFB"/>
    <w:rsid w:val="0045304D"/>
    <w:rsid w:val="00453130"/>
    <w:rsid w:val="00453164"/>
    <w:rsid w:val="004531A8"/>
    <w:rsid w:val="004531E3"/>
    <w:rsid w:val="00453372"/>
    <w:rsid w:val="004533AB"/>
    <w:rsid w:val="0045342F"/>
    <w:rsid w:val="004535A6"/>
    <w:rsid w:val="004536C8"/>
    <w:rsid w:val="0045371D"/>
    <w:rsid w:val="004537FA"/>
    <w:rsid w:val="004537FE"/>
    <w:rsid w:val="00453873"/>
    <w:rsid w:val="004538D3"/>
    <w:rsid w:val="00453901"/>
    <w:rsid w:val="00453B2F"/>
    <w:rsid w:val="00453CA3"/>
    <w:rsid w:val="00453CBE"/>
    <w:rsid w:val="00453E11"/>
    <w:rsid w:val="00453EF1"/>
    <w:rsid w:val="004542C4"/>
    <w:rsid w:val="0045442C"/>
    <w:rsid w:val="00454508"/>
    <w:rsid w:val="004546F5"/>
    <w:rsid w:val="0045474E"/>
    <w:rsid w:val="00454A84"/>
    <w:rsid w:val="00454B09"/>
    <w:rsid w:val="00454D31"/>
    <w:rsid w:val="00454DA1"/>
    <w:rsid w:val="00454F8E"/>
    <w:rsid w:val="00454FDF"/>
    <w:rsid w:val="0045519C"/>
    <w:rsid w:val="0045523F"/>
    <w:rsid w:val="00455276"/>
    <w:rsid w:val="00455380"/>
    <w:rsid w:val="004553C8"/>
    <w:rsid w:val="004553F9"/>
    <w:rsid w:val="004554C2"/>
    <w:rsid w:val="004554E9"/>
    <w:rsid w:val="004555A9"/>
    <w:rsid w:val="00455695"/>
    <w:rsid w:val="0045570E"/>
    <w:rsid w:val="004558AF"/>
    <w:rsid w:val="00455B8D"/>
    <w:rsid w:val="00455B9C"/>
    <w:rsid w:val="00455C33"/>
    <w:rsid w:val="00455D11"/>
    <w:rsid w:val="00455D12"/>
    <w:rsid w:val="00455DDF"/>
    <w:rsid w:val="00455E41"/>
    <w:rsid w:val="00455E72"/>
    <w:rsid w:val="00455F12"/>
    <w:rsid w:val="0045604D"/>
    <w:rsid w:val="004562AF"/>
    <w:rsid w:val="00456320"/>
    <w:rsid w:val="004563A4"/>
    <w:rsid w:val="00456751"/>
    <w:rsid w:val="004567EB"/>
    <w:rsid w:val="00456854"/>
    <w:rsid w:val="0045691A"/>
    <w:rsid w:val="0045693F"/>
    <w:rsid w:val="0045695D"/>
    <w:rsid w:val="00456BF1"/>
    <w:rsid w:val="00456C04"/>
    <w:rsid w:val="00456C12"/>
    <w:rsid w:val="00456DD8"/>
    <w:rsid w:val="00457153"/>
    <w:rsid w:val="00457220"/>
    <w:rsid w:val="0045723F"/>
    <w:rsid w:val="00457353"/>
    <w:rsid w:val="00457366"/>
    <w:rsid w:val="004574DD"/>
    <w:rsid w:val="004575BB"/>
    <w:rsid w:val="004576AD"/>
    <w:rsid w:val="004576B7"/>
    <w:rsid w:val="00457723"/>
    <w:rsid w:val="00457789"/>
    <w:rsid w:val="004577DB"/>
    <w:rsid w:val="0045781D"/>
    <w:rsid w:val="00457886"/>
    <w:rsid w:val="00457939"/>
    <w:rsid w:val="004579BA"/>
    <w:rsid w:val="00457E1F"/>
    <w:rsid w:val="00457E64"/>
    <w:rsid w:val="00457F15"/>
    <w:rsid w:val="00457F59"/>
    <w:rsid w:val="00457F65"/>
    <w:rsid w:val="00457FE0"/>
    <w:rsid w:val="004601B2"/>
    <w:rsid w:val="0046028D"/>
    <w:rsid w:val="00460313"/>
    <w:rsid w:val="00460381"/>
    <w:rsid w:val="004603A3"/>
    <w:rsid w:val="0046041D"/>
    <w:rsid w:val="0046049B"/>
    <w:rsid w:val="00460726"/>
    <w:rsid w:val="00460865"/>
    <w:rsid w:val="00460AEE"/>
    <w:rsid w:val="00460B50"/>
    <w:rsid w:val="00460B6B"/>
    <w:rsid w:val="00460B98"/>
    <w:rsid w:val="00460BC5"/>
    <w:rsid w:val="00460BCD"/>
    <w:rsid w:val="00460E32"/>
    <w:rsid w:val="00460E8A"/>
    <w:rsid w:val="00460E9A"/>
    <w:rsid w:val="00460EC0"/>
    <w:rsid w:val="00460F04"/>
    <w:rsid w:val="00461121"/>
    <w:rsid w:val="00461316"/>
    <w:rsid w:val="004613E2"/>
    <w:rsid w:val="00461422"/>
    <w:rsid w:val="004615CE"/>
    <w:rsid w:val="00461654"/>
    <w:rsid w:val="0046187C"/>
    <w:rsid w:val="004618B4"/>
    <w:rsid w:val="004618B7"/>
    <w:rsid w:val="0046193A"/>
    <w:rsid w:val="004619B2"/>
    <w:rsid w:val="00461ACE"/>
    <w:rsid w:val="00461B31"/>
    <w:rsid w:val="00461D31"/>
    <w:rsid w:val="00461DCD"/>
    <w:rsid w:val="00461E44"/>
    <w:rsid w:val="00461F9B"/>
    <w:rsid w:val="00461FC6"/>
    <w:rsid w:val="00462213"/>
    <w:rsid w:val="00462281"/>
    <w:rsid w:val="004622E5"/>
    <w:rsid w:val="00462448"/>
    <w:rsid w:val="00462753"/>
    <w:rsid w:val="00462778"/>
    <w:rsid w:val="0046279C"/>
    <w:rsid w:val="004627F7"/>
    <w:rsid w:val="004629E9"/>
    <w:rsid w:val="00462A48"/>
    <w:rsid w:val="00462AF0"/>
    <w:rsid w:val="00462B2A"/>
    <w:rsid w:val="00462C8A"/>
    <w:rsid w:val="00462C91"/>
    <w:rsid w:val="00462CF5"/>
    <w:rsid w:val="00462E98"/>
    <w:rsid w:val="00462F21"/>
    <w:rsid w:val="00462F57"/>
    <w:rsid w:val="00462FC2"/>
    <w:rsid w:val="004630AF"/>
    <w:rsid w:val="00463194"/>
    <w:rsid w:val="004631AE"/>
    <w:rsid w:val="004631B3"/>
    <w:rsid w:val="004631C3"/>
    <w:rsid w:val="00463201"/>
    <w:rsid w:val="00463224"/>
    <w:rsid w:val="0046325A"/>
    <w:rsid w:val="00463282"/>
    <w:rsid w:val="004633DA"/>
    <w:rsid w:val="00463404"/>
    <w:rsid w:val="004634BC"/>
    <w:rsid w:val="00463658"/>
    <w:rsid w:val="00463770"/>
    <w:rsid w:val="00463834"/>
    <w:rsid w:val="0046386D"/>
    <w:rsid w:val="00463995"/>
    <w:rsid w:val="00463A2F"/>
    <w:rsid w:val="00463AD5"/>
    <w:rsid w:val="00463CF8"/>
    <w:rsid w:val="00463EEE"/>
    <w:rsid w:val="00463F83"/>
    <w:rsid w:val="00464025"/>
    <w:rsid w:val="00464153"/>
    <w:rsid w:val="00464197"/>
    <w:rsid w:val="0046454E"/>
    <w:rsid w:val="004646CC"/>
    <w:rsid w:val="004647C7"/>
    <w:rsid w:val="004647CE"/>
    <w:rsid w:val="004648F6"/>
    <w:rsid w:val="00464941"/>
    <w:rsid w:val="00464C99"/>
    <w:rsid w:val="00464CC5"/>
    <w:rsid w:val="00464D32"/>
    <w:rsid w:val="00464DDB"/>
    <w:rsid w:val="00464F6C"/>
    <w:rsid w:val="0046500F"/>
    <w:rsid w:val="00465039"/>
    <w:rsid w:val="0046503C"/>
    <w:rsid w:val="00465135"/>
    <w:rsid w:val="004651DE"/>
    <w:rsid w:val="004652E8"/>
    <w:rsid w:val="004653BF"/>
    <w:rsid w:val="004653E4"/>
    <w:rsid w:val="0046567D"/>
    <w:rsid w:val="0046569A"/>
    <w:rsid w:val="0046569F"/>
    <w:rsid w:val="00465726"/>
    <w:rsid w:val="00465897"/>
    <w:rsid w:val="00465B44"/>
    <w:rsid w:val="00465B5B"/>
    <w:rsid w:val="00465BED"/>
    <w:rsid w:val="00465C7D"/>
    <w:rsid w:val="00465CBE"/>
    <w:rsid w:val="00465CEB"/>
    <w:rsid w:val="00465E7B"/>
    <w:rsid w:val="00466025"/>
    <w:rsid w:val="0046609A"/>
    <w:rsid w:val="004660E2"/>
    <w:rsid w:val="00466288"/>
    <w:rsid w:val="00466292"/>
    <w:rsid w:val="004662AC"/>
    <w:rsid w:val="0046633B"/>
    <w:rsid w:val="00466349"/>
    <w:rsid w:val="00466479"/>
    <w:rsid w:val="00466483"/>
    <w:rsid w:val="0046667E"/>
    <w:rsid w:val="004667BA"/>
    <w:rsid w:val="00466AC0"/>
    <w:rsid w:val="00466D87"/>
    <w:rsid w:val="00466DEC"/>
    <w:rsid w:val="0046707E"/>
    <w:rsid w:val="00467192"/>
    <w:rsid w:val="004672AF"/>
    <w:rsid w:val="004673C1"/>
    <w:rsid w:val="0046749D"/>
    <w:rsid w:val="00467508"/>
    <w:rsid w:val="004675BD"/>
    <w:rsid w:val="00467629"/>
    <w:rsid w:val="0046779E"/>
    <w:rsid w:val="004677A7"/>
    <w:rsid w:val="004678D1"/>
    <w:rsid w:val="004678F3"/>
    <w:rsid w:val="004679F5"/>
    <w:rsid w:val="00467ADD"/>
    <w:rsid w:val="00467B25"/>
    <w:rsid w:val="00467B9A"/>
    <w:rsid w:val="00467BB4"/>
    <w:rsid w:val="00467C06"/>
    <w:rsid w:val="00467D40"/>
    <w:rsid w:val="00467D9B"/>
    <w:rsid w:val="00467FF5"/>
    <w:rsid w:val="00470048"/>
    <w:rsid w:val="0047006D"/>
    <w:rsid w:val="0047007D"/>
    <w:rsid w:val="00470086"/>
    <w:rsid w:val="004700AB"/>
    <w:rsid w:val="00470139"/>
    <w:rsid w:val="00470203"/>
    <w:rsid w:val="00470248"/>
    <w:rsid w:val="0047050B"/>
    <w:rsid w:val="004705BC"/>
    <w:rsid w:val="004705EB"/>
    <w:rsid w:val="00470623"/>
    <w:rsid w:val="004706F7"/>
    <w:rsid w:val="0047091F"/>
    <w:rsid w:val="004709B9"/>
    <w:rsid w:val="00470AA7"/>
    <w:rsid w:val="00470B79"/>
    <w:rsid w:val="00470F99"/>
    <w:rsid w:val="004711F7"/>
    <w:rsid w:val="004712DE"/>
    <w:rsid w:val="00471317"/>
    <w:rsid w:val="004715F6"/>
    <w:rsid w:val="00471683"/>
    <w:rsid w:val="004716A4"/>
    <w:rsid w:val="004716C0"/>
    <w:rsid w:val="004716F0"/>
    <w:rsid w:val="0047179C"/>
    <w:rsid w:val="0047190C"/>
    <w:rsid w:val="00471B2F"/>
    <w:rsid w:val="00471C40"/>
    <w:rsid w:val="00471D09"/>
    <w:rsid w:val="00471D0D"/>
    <w:rsid w:val="00471D5E"/>
    <w:rsid w:val="00472059"/>
    <w:rsid w:val="0047242B"/>
    <w:rsid w:val="004724D4"/>
    <w:rsid w:val="00472506"/>
    <w:rsid w:val="00472571"/>
    <w:rsid w:val="004727F1"/>
    <w:rsid w:val="0047290B"/>
    <w:rsid w:val="004729FF"/>
    <w:rsid w:val="00472A52"/>
    <w:rsid w:val="00472AA0"/>
    <w:rsid w:val="00472C70"/>
    <w:rsid w:val="00472CD6"/>
    <w:rsid w:val="00473052"/>
    <w:rsid w:val="00473068"/>
    <w:rsid w:val="0047319F"/>
    <w:rsid w:val="004731C9"/>
    <w:rsid w:val="00473232"/>
    <w:rsid w:val="00473289"/>
    <w:rsid w:val="0047330A"/>
    <w:rsid w:val="00473330"/>
    <w:rsid w:val="00473529"/>
    <w:rsid w:val="00473558"/>
    <w:rsid w:val="004735FE"/>
    <w:rsid w:val="0047373F"/>
    <w:rsid w:val="0047396C"/>
    <w:rsid w:val="00473988"/>
    <w:rsid w:val="00473BE3"/>
    <w:rsid w:val="00473C56"/>
    <w:rsid w:val="00473D03"/>
    <w:rsid w:val="00473DAD"/>
    <w:rsid w:val="00473E1B"/>
    <w:rsid w:val="00473F35"/>
    <w:rsid w:val="00473F4E"/>
    <w:rsid w:val="00474035"/>
    <w:rsid w:val="00474185"/>
    <w:rsid w:val="004741A3"/>
    <w:rsid w:val="00474238"/>
    <w:rsid w:val="00474450"/>
    <w:rsid w:val="00474457"/>
    <w:rsid w:val="004746DE"/>
    <w:rsid w:val="00474717"/>
    <w:rsid w:val="004748A0"/>
    <w:rsid w:val="004749B8"/>
    <w:rsid w:val="00474B2D"/>
    <w:rsid w:val="00474B66"/>
    <w:rsid w:val="00474B7A"/>
    <w:rsid w:val="00474C31"/>
    <w:rsid w:val="00474C36"/>
    <w:rsid w:val="00474CB5"/>
    <w:rsid w:val="00474E01"/>
    <w:rsid w:val="00474FFC"/>
    <w:rsid w:val="00475182"/>
    <w:rsid w:val="00475197"/>
    <w:rsid w:val="00475371"/>
    <w:rsid w:val="00475653"/>
    <w:rsid w:val="004756BA"/>
    <w:rsid w:val="004757E7"/>
    <w:rsid w:val="004759B3"/>
    <w:rsid w:val="00475A55"/>
    <w:rsid w:val="00475BFD"/>
    <w:rsid w:val="00475DAE"/>
    <w:rsid w:val="00475DFC"/>
    <w:rsid w:val="00475E31"/>
    <w:rsid w:val="00475F2C"/>
    <w:rsid w:val="00475F69"/>
    <w:rsid w:val="00475FBA"/>
    <w:rsid w:val="004760A8"/>
    <w:rsid w:val="004760B5"/>
    <w:rsid w:val="004760CD"/>
    <w:rsid w:val="00476176"/>
    <w:rsid w:val="004761CB"/>
    <w:rsid w:val="00476213"/>
    <w:rsid w:val="00476294"/>
    <w:rsid w:val="0047636F"/>
    <w:rsid w:val="004763D3"/>
    <w:rsid w:val="00476586"/>
    <w:rsid w:val="00476644"/>
    <w:rsid w:val="0047665E"/>
    <w:rsid w:val="004767A6"/>
    <w:rsid w:val="00476963"/>
    <w:rsid w:val="00476B72"/>
    <w:rsid w:val="00476CCC"/>
    <w:rsid w:val="00476D21"/>
    <w:rsid w:val="00476DB0"/>
    <w:rsid w:val="00476DDF"/>
    <w:rsid w:val="00476EF0"/>
    <w:rsid w:val="00476F27"/>
    <w:rsid w:val="004770D9"/>
    <w:rsid w:val="004772EC"/>
    <w:rsid w:val="004776BE"/>
    <w:rsid w:val="004777BB"/>
    <w:rsid w:val="004777D9"/>
    <w:rsid w:val="00477AC9"/>
    <w:rsid w:val="00477B08"/>
    <w:rsid w:val="00477D5D"/>
    <w:rsid w:val="00477D65"/>
    <w:rsid w:val="00477DB6"/>
    <w:rsid w:val="00477E57"/>
    <w:rsid w:val="00477E74"/>
    <w:rsid w:val="00480069"/>
    <w:rsid w:val="004801D6"/>
    <w:rsid w:val="0048058A"/>
    <w:rsid w:val="00480796"/>
    <w:rsid w:val="004809A2"/>
    <w:rsid w:val="00480A29"/>
    <w:rsid w:val="00480AC4"/>
    <w:rsid w:val="00480BFD"/>
    <w:rsid w:val="00480DAA"/>
    <w:rsid w:val="00480E02"/>
    <w:rsid w:val="00480E14"/>
    <w:rsid w:val="00480E59"/>
    <w:rsid w:val="00480F0C"/>
    <w:rsid w:val="00480FB3"/>
    <w:rsid w:val="00480FC2"/>
    <w:rsid w:val="00480FE3"/>
    <w:rsid w:val="00481192"/>
    <w:rsid w:val="004812B6"/>
    <w:rsid w:val="0048133C"/>
    <w:rsid w:val="00481399"/>
    <w:rsid w:val="004815B8"/>
    <w:rsid w:val="004815BF"/>
    <w:rsid w:val="00481674"/>
    <w:rsid w:val="0048177D"/>
    <w:rsid w:val="004817A0"/>
    <w:rsid w:val="004817EC"/>
    <w:rsid w:val="00481895"/>
    <w:rsid w:val="00481969"/>
    <w:rsid w:val="0048199D"/>
    <w:rsid w:val="00481AEA"/>
    <w:rsid w:val="00481B8D"/>
    <w:rsid w:val="00481B96"/>
    <w:rsid w:val="00481BC1"/>
    <w:rsid w:val="00481BED"/>
    <w:rsid w:val="00481BEF"/>
    <w:rsid w:val="00481CF7"/>
    <w:rsid w:val="00481DB1"/>
    <w:rsid w:val="00481FB0"/>
    <w:rsid w:val="00482074"/>
    <w:rsid w:val="00482143"/>
    <w:rsid w:val="00482174"/>
    <w:rsid w:val="0048225F"/>
    <w:rsid w:val="0048241A"/>
    <w:rsid w:val="00482458"/>
    <w:rsid w:val="00482590"/>
    <w:rsid w:val="004825CA"/>
    <w:rsid w:val="00482645"/>
    <w:rsid w:val="00482671"/>
    <w:rsid w:val="004826D0"/>
    <w:rsid w:val="00482701"/>
    <w:rsid w:val="00482804"/>
    <w:rsid w:val="004828A1"/>
    <w:rsid w:val="00482914"/>
    <w:rsid w:val="004829EA"/>
    <w:rsid w:val="00482B32"/>
    <w:rsid w:val="00482B47"/>
    <w:rsid w:val="00482C8E"/>
    <w:rsid w:val="00482F03"/>
    <w:rsid w:val="00483181"/>
    <w:rsid w:val="00483184"/>
    <w:rsid w:val="00483211"/>
    <w:rsid w:val="0048323E"/>
    <w:rsid w:val="00483441"/>
    <w:rsid w:val="004834DC"/>
    <w:rsid w:val="0048355A"/>
    <w:rsid w:val="00483654"/>
    <w:rsid w:val="0048383D"/>
    <w:rsid w:val="004839B6"/>
    <w:rsid w:val="00483A71"/>
    <w:rsid w:val="00483BAF"/>
    <w:rsid w:val="00483C15"/>
    <w:rsid w:val="00483C23"/>
    <w:rsid w:val="00483C47"/>
    <w:rsid w:val="00483C73"/>
    <w:rsid w:val="00483C80"/>
    <w:rsid w:val="00483CF8"/>
    <w:rsid w:val="00483D27"/>
    <w:rsid w:val="00483D33"/>
    <w:rsid w:val="00483EE7"/>
    <w:rsid w:val="00484112"/>
    <w:rsid w:val="0048413F"/>
    <w:rsid w:val="00484271"/>
    <w:rsid w:val="004846E2"/>
    <w:rsid w:val="00484A85"/>
    <w:rsid w:val="00484C28"/>
    <w:rsid w:val="00484C5A"/>
    <w:rsid w:val="00484DA1"/>
    <w:rsid w:val="00484DC5"/>
    <w:rsid w:val="00484EE3"/>
    <w:rsid w:val="00484F13"/>
    <w:rsid w:val="00484F4C"/>
    <w:rsid w:val="00484F95"/>
    <w:rsid w:val="004850D9"/>
    <w:rsid w:val="0048513E"/>
    <w:rsid w:val="004851D6"/>
    <w:rsid w:val="0048525F"/>
    <w:rsid w:val="004854F7"/>
    <w:rsid w:val="00485626"/>
    <w:rsid w:val="00485675"/>
    <w:rsid w:val="00485709"/>
    <w:rsid w:val="004857B2"/>
    <w:rsid w:val="0048580C"/>
    <w:rsid w:val="00485952"/>
    <w:rsid w:val="00485ACC"/>
    <w:rsid w:val="00485ADC"/>
    <w:rsid w:val="00485B2E"/>
    <w:rsid w:val="00485BB4"/>
    <w:rsid w:val="00485D6D"/>
    <w:rsid w:val="00485EF9"/>
    <w:rsid w:val="00485F2B"/>
    <w:rsid w:val="00485F30"/>
    <w:rsid w:val="00485F91"/>
    <w:rsid w:val="00486293"/>
    <w:rsid w:val="00486416"/>
    <w:rsid w:val="004864D2"/>
    <w:rsid w:val="0048656B"/>
    <w:rsid w:val="00486619"/>
    <w:rsid w:val="0048664A"/>
    <w:rsid w:val="0048691C"/>
    <w:rsid w:val="00486927"/>
    <w:rsid w:val="0048695F"/>
    <w:rsid w:val="00486C60"/>
    <w:rsid w:val="00486D85"/>
    <w:rsid w:val="00486D92"/>
    <w:rsid w:val="004871AA"/>
    <w:rsid w:val="00487256"/>
    <w:rsid w:val="004873C4"/>
    <w:rsid w:val="00487445"/>
    <w:rsid w:val="00487473"/>
    <w:rsid w:val="00487494"/>
    <w:rsid w:val="00487775"/>
    <w:rsid w:val="00487907"/>
    <w:rsid w:val="00487C03"/>
    <w:rsid w:val="00487C79"/>
    <w:rsid w:val="00487C85"/>
    <w:rsid w:val="00487C8B"/>
    <w:rsid w:val="00487D35"/>
    <w:rsid w:val="00487DCE"/>
    <w:rsid w:val="00487E56"/>
    <w:rsid w:val="00487F78"/>
    <w:rsid w:val="00487F9C"/>
    <w:rsid w:val="0048CAB5"/>
    <w:rsid w:val="00490274"/>
    <w:rsid w:val="00490441"/>
    <w:rsid w:val="004909C3"/>
    <w:rsid w:val="00490A30"/>
    <w:rsid w:val="00490B8B"/>
    <w:rsid w:val="00490D8D"/>
    <w:rsid w:val="00490DC0"/>
    <w:rsid w:val="00490DC4"/>
    <w:rsid w:val="00490EB3"/>
    <w:rsid w:val="00490F00"/>
    <w:rsid w:val="00491060"/>
    <w:rsid w:val="004911BC"/>
    <w:rsid w:val="0049131E"/>
    <w:rsid w:val="004914FE"/>
    <w:rsid w:val="004916F8"/>
    <w:rsid w:val="004917E5"/>
    <w:rsid w:val="0049197A"/>
    <w:rsid w:val="00491A92"/>
    <w:rsid w:val="00491AA5"/>
    <w:rsid w:val="00491AFD"/>
    <w:rsid w:val="00491BAA"/>
    <w:rsid w:val="00491BC1"/>
    <w:rsid w:val="00491C45"/>
    <w:rsid w:val="00491DE0"/>
    <w:rsid w:val="00491E8E"/>
    <w:rsid w:val="00491FD3"/>
    <w:rsid w:val="00492068"/>
    <w:rsid w:val="004920C5"/>
    <w:rsid w:val="00492160"/>
    <w:rsid w:val="00492373"/>
    <w:rsid w:val="004924BE"/>
    <w:rsid w:val="00492520"/>
    <w:rsid w:val="00492532"/>
    <w:rsid w:val="004926E0"/>
    <w:rsid w:val="0049271F"/>
    <w:rsid w:val="004927EA"/>
    <w:rsid w:val="00492833"/>
    <w:rsid w:val="00492846"/>
    <w:rsid w:val="0049284C"/>
    <w:rsid w:val="00492884"/>
    <w:rsid w:val="00492972"/>
    <w:rsid w:val="00492B56"/>
    <w:rsid w:val="00492BA1"/>
    <w:rsid w:val="00492DEC"/>
    <w:rsid w:val="00492EAA"/>
    <w:rsid w:val="00492F34"/>
    <w:rsid w:val="00493132"/>
    <w:rsid w:val="00493170"/>
    <w:rsid w:val="00493226"/>
    <w:rsid w:val="004932FD"/>
    <w:rsid w:val="004934AC"/>
    <w:rsid w:val="0049351E"/>
    <w:rsid w:val="0049361D"/>
    <w:rsid w:val="00493642"/>
    <w:rsid w:val="004936AA"/>
    <w:rsid w:val="004938FB"/>
    <w:rsid w:val="00493B0B"/>
    <w:rsid w:val="00493D6A"/>
    <w:rsid w:val="00493DDD"/>
    <w:rsid w:val="00493E04"/>
    <w:rsid w:val="00493FFC"/>
    <w:rsid w:val="004940C3"/>
    <w:rsid w:val="0049415A"/>
    <w:rsid w:val="004941B1"/>
    <w:rsid w:val="004942D6"/>
    <w:rsid w:val="00494344"/>
    <w:rsid w:val="004943FD"/>
    <w:rsid w:val="004945FD"/>
    <w:rsid w:val="00494634"/>
    <w:rsid w:val="004947D0"/>
    <w:rsid w:val="0049498D"/>
    <w:rsid w:val="004949C6"/>
    <w:rsid w:val="00494A86"/>
    <w:rsid w:val="00494ACA"/>
    <w:rsid w:val="00494ACD"/>
    <w:rsid w:val="00494BA4"/>
    <w:rsid w:val="00494E19"/>
    <w:rsid w:val="00494F64"/>
    <w:rsid w:val="00495072"/>
    <w:rsid w:val="0049545D"/>
    <w:rsid w:val="004954EE"/>
    <w:rsid w:val="0049555E"/>
    <w:rsid w:val="0049556D"/>
    <w:rsid w:val="0049559B"/>
    <w:rsid w:val="004955A1"/>
    <w:rsid w:val="00495731"/>
    <w:rsid w:val="004957AB"/>
    <w:rsid w:val="00495840"/>
    <w:rsid w:val="004959F1"/>
    <w:rsid w:val="00495B14"/>
    <w:rsid w:val="00495BF4"/>
    <w:rsid w:val="00495D5F"/>
    <w:rsid w:val="00495DF8"/>
    <w:rsid w:val="00495E01"/>
    <w:rsid w:val="00495EC5"/>
    <w:rsid w:val="00496015"/>
    <w:rsid w:val="0049602F"/>
    <w:rsid w:val="004960DA"/>
    <w:rsid w:val="00496166"/>
    <w:rsid w:val="00496315"/>
    <w:rsid w:val="00496383"/>
    <w:rsid w:val="00496397"/>
    <w:rsid w:val="0049641C"/>
    <w:rsid w:val="0049647E"/>
    <w:rsid w:val="004964D4"/>
    <w:rsid w:val="00496727"/>
    <w:rsid w:val="004967D4"/>
    <w:rsid w:val="004968E7"/>
    <w:rsid w:val="00496B69"/>
    <w:rsid w:val="00496B7D"/>
    <w:rsid w:val="00496C2F"/>
    <w:rsid w:val="00496C6F"/>
    <w:rsid w:val="00496C91"/>
    <w:rsid w:val="00496CDE"/>
    <w:rsid w:val="00496D53"/>
    <w:rsid w:val="00496EAE"/>
    <w:rsid w:val="00496F59"/>
    <w:rsid w:val="00496F80"/>
    <w:rsid w:val="00496FA0"/>
    <w:rsid w:val="00496FB7"/>
    <w:rsid w:val="00497220"/>
    <w:rsid w:val="004972DB"/>
    <w:rsid w:val="004973D1"/>
    <w:rsid w:val="004973FA"/>
    <w:rsid w:val="0049749B"/>
    <w:rsid w:val="00497700"/>
    <w:rsid w:val="004977C6"/>
    <w:rsid w:val="00497861"/>
    <w:rsid w:val="0049798F"/>
    <w:rsid w:val="004979A7"/>
    <w:rsid w:val="00497B9F"/>
    <w:rsid w:val="00497C69"/>
    <w:rsid w:val="00497E8B"/>
    <w:rsid w:val="00497ED2"/>
    <w:rsid w:val="00497EFF"/>
    <w:rsid w:val="00497F8B"/>
    <w:rsid w:val="00497FDD"/>
    <w:rsid w:val="00497FE9"/>
    <w:rsid w:val="00498D30"/>
    <w:rsid w:val="004A0324"/>
    <w:rsid w:val="004A03AE"/>
    <w:rsid w:val="004A076A"/>
    <w:rsid w:val="004A07B2"/>
    <w:rsid w:val="004A0882"/>
    <w:rsid w:val="004A088C"/>
    <w:rsid w:val="004A0A8E"/>
    <w:rsid w:val="004A0D06"/>
    <w:rsid w:val="004A0EA2"/>
    <w:rsid w:val="004A102F"/>
    <w:rsid w:val="004A1361"/>
    <w:rsid w:val="004A1386"/>
    <w:rsid w:val="004A1B3C"/>
    <w:rsid w:val="004A1C1A"/>
    <w:rsid w:val="004A1E12"/>
    <w:rsid w:val="004A1E17"/>
    <w:rsid w:val="004A2084"/>
    <w:rsid w:val="004A2252"/>
    <w:rsid w:val="004A2371"/>
    <w:rsid w:val="004A274B"/>
    <w:rsid w:val="004A275F"/>
    <w:rsid w:val="004A2761"/>
    <w:rsid w:val="004A27DD"/>
    <w:rsid w:val="004A2869"/>
    <w:rsid w:val="004A296E"/>
    <w:rsid w:val="004A2A9C"/>
    <w:rsid w:val="004A2B27"/>
    <w:rsid w:val="004A3094"/>
    <w:rsid w:val="004A312C"/>
    <w:rsid w:val="004A3211"/>
    <w:rsid w:val="004A3341"/>
    <w:rsid w:val="004A3539"/>
    <w:rsid w:val="004A356B"/>
    <w:rsid w:val="004A3629"/>
    <w:rsid w:val="004A3924"/>
    <w:rsid w:val="004A3975"/>
    <w:rsid w:val="004A39AA"/>
    <w:rsid w:val="004A3A15"/>
    <w:rsid w:val="004A3A84"/>
    <w:rsid w:val="004A3B97"/>
    <w:rsid w:val="004A3ED0"/>
    <w:rsid w:val="004A3F07"/>
    <w:rsid w:val="004A3FAA"/>
    <w:rsid w:val="004A402A"/>
    <w:rsid w:val="004A434F"/>
    <w:rsid w:val="004A4430"/>
    <w:rsid w:val="004A44EC"/>
    <w:rsid w:val="004A465F"/>
    <w:rsid w:val="004A46C8"/>
    <w:rsid w:val="004A46CA"/>
    <w:rsid w:val="004A4718"/>
    <w:rsid w:val="004A4725"/>
    <w:rsid w:val="004A48A2"/>
    <w:rsid w:val="004A4954"/>
    <w:rsid w:val="004A4AF8"/>
    <w:rsid w:val="004A4B64"/>
    <w:rsid w:val="004A4BFE"/>
    <w:rsid w:val="004A4CC1"/>
    <w:rsid w:val="004A4E13"/>
    <w:rsid w:val="004A4FDF"/>
    <w:rsid w:val="004A50B4"/>
    <w:rsid w:val="004A50E9"/>
    <w:rsid w:val="004A5489"/>
    <w:rsid w:val="004A5629"/>
    <w:rsid w:val="004A564A"/>
    <w:rsid w:val="004A576C"/>
    <w:rsid w:val="004A582F"/>
    <w:rsid w:val="004A596A"/>
    <w:rsid w:val="004A596F"/>
    <w:rsid w:val="004A59FD"/>
    <w:rsid w:val="004A5A58"/>
    <w:rsid w:val="004A5B70"/>
    <w:rsid w:val="004A5E73"/>
    <w:rsid w:val="004A5E74"/>
    <w:rsid w:val="004A5F29"/>
    <w:rsid w:val="004A643C"/>
    <w:rsid w:val="004A6455"/>
    <w:rsid w:val="004A64EB"/>
    <w:rsid w:val="004A65D2"/>
    <w:rsid w:val="004A66CD"/>
    <w:rsid w:val="004A66DB"/>
    <w:rsid w:val="004A66F1"/>
    <w:rsid w:val="004A6725"/>
    <w:rsid w:val="004A6764"/>
    <w:rsid w:val="004A6855"/>
    <w:rsid w:val="004A6A71"/>
    <w:rsid w:val="004A6B5F"/>
    <w:rsid w:val="004A6C35"/>
    <w:rsid w:val="004A6E27"/>
    <w:rsid w:val="004A6E3D"/>
    <w:rsid w:val="004A6E92"/>
    <w:rsid w:val="004A7018"/>
    <w:rsid w:val="004A70E8"/>
    <w:rsid w:val="004A73B0"/>
    <w:rsid w:val="004A741B"/>
    <w:rsid w:val="004A75D8"/>
    <w:rsid w:val="004A7A52"/>
    <w:rsid w:val="004A7ACF"/>
    <w:rsid w:val="004A7B09"/>
    <w:rsid w:val="004A7B54"/>
    <w:rsid w:val="004A7B94"/>
    <w:rsid w:val="004A7C40"/>
    <w:rsid w:val="004A7CA9"/>
    <w:rsid w:val="004A7CAB"/>
    <w:rsid w:val="004A7D06"/>
    <w:rsid w:val="004A7FB1"/>
    <w:rsid w:val="004B03C4"/>
    <w:rsid w:val="004B03D7"/>
    <w:rsid w:val="004B055B"/>
    <w:rsid w:val="004B05AC"/>
    <w:rsid w:val="004B0742"/>
    <w:rsid w:val="004B08F8"/>
    <w:rsid w:val="004B09F6"/>
    <w:rsid w:val="004B0AF0"/>
    <w:rsid w:val="004B0B12"/>
    <w:rsid w:val="004B0BFA"/>
    <w:rsid w:val="004B0D1A"/>
    <w:rsid w:val="004B0E14"/>
    <w:rsid w:val="004B0E27"/>
    <w:rsid w:val="004B0F74"/>
    <w:rsid w:val="004B103D"/>
    <w:rsid w:val="004B10F9"/>
    <w:rsid w:val="004B136B"/>
    <w:rsid w:val="004B1389"/>
    <w:rsid w:val="004B13F1"/>
    <w:rsid w:val="004B14E7"/>
    <w:rsid w:val="004B1558"/>
    <w:rsid w:val="004B1777"/>
    <w:rsid w:val="004B1817"/>
    <w:rsid w:val="004B183C"/>
    <w:rsid w:val="004B19FE"/>
    <w:rsid w:val="004B1B56"/>
    <w:rsid w:val="004B1B79"/>
    <w:rsid w:val="004B1C5E"/>
    <w:rsid w:val="004B1D5E"/>
    <w:rsid w:val="004B1DE2"/>
    <w:rsid w:val="004B1E6D"/>
    <w:rsid w:val="004B2037"/>
    <w:rsid w:val="004B21BA"/>
    <w:rsid w:val="004B228D"/>
    <w:rsid w:val="004B229D"/>
    <w:rsid w:val="004B2478"/>
    <w:rsid w:val="004B249D"/>
    <w:rsid w:val="004B24D7"/>
    <w:rsid w:val="004B2528"/>
    <w:rsid w:val="004B2826"/>
    <w:rsid w:val="004B2863"/>
    <w:rsid w:val="004B288D"/>
    <w:rsid w:val="004B288F"/>
    <w:rsid w:val="004B29BD"/>
    <w:rsid w:val="004B2A36"/>
    <w:rsid w:val="004B2A46"/>
    <w:rsid w:val="004B2A4D"/>
    <w:rsid w:val="004B2C72"/>
    <w:rsid w:val="004B2DB7"/>
    <w:rsid w:val="004B2DD8"/>
    <w:rsid w:val="004B2F45"/>
    <w:rsid w:val="004B2FF3"/>
    <w:rsid w:val="004B3012"/>
    <w:rsid w:val="004B304B"/>
    <w:rsid w:val="004B3070"/>
    <w:rsid w:val="004B31D7"/>
    <w:rsid w:val="004B31DD"/>
    <w:rsid w:val="004B32D8"/>
    <w:rsid w:val="004B33C2"/>
    <w:rsid w:val="004B35CA"/>
    <w:rsid w:val="004B3706"/>
    <w:rsid w:val="004B38C5"/>
    <w:rsid w:val="004B3986"/>
    <w:rsid w:val="004B3A84"/>
    <w:rsid w:val="004B3B79"/>
    <w:rsid w:val="004B3B8A"/>
    <w:rsid w:val="004B3C16"/>
    <w:rsid w:val="004B3C96"/>
    <w:rsid w:val="004B3CC3"/>
    <w:rsid w:val="004B3CD2"/>
    <w:rsid w:val="004B3E06"/>
    <w:rsid w:val="004B3ECD"/>
    <w:rsid w:val="004B40F8"/>
    <w:rsid w:val="004B4214"/>
    <w:rsid w:val="004B4246"/>
    <w:rsid w:val="004B4352"/>
    <w:rsid w:val="004B4384"/>
    <w:rsid w:val="004B4409"/>
    <w:rsid w:val="004B4482"/>
    <w:rsid w:val="004B44F0"/>
    <w:rsid w:val="004B4830"/>
    <w:rsid w:val="004B4A15"/>
    <w:rsid w:val="004B4B06"/>
    <w:rsid w:val="004B4B6E"/>
    <w:rsid w:val="004B4D0D"/>
    <w:rsid w:val="004B4D87"/>
    <w:rsid w:val="004B4F3C"/>
    <w:rsid w:val="004B5265"/>
    <w:rsid w:val="004B5298"/>
    <w:rsid w:val="004B539C"/>
    <w:rsid w:val="004B53EA"/>
    <w:rsid w:val="004B56D4"/>
    <w:rsid w:val="004B56E1"/>
    <w:rsid w:val="004B57D3"/>
    <w:rsid w:val="004B57DA"/>
    <w:rsid w:val="004B57F2"/>
    <w:rsid w:val="004B5927"/>
    <w:rsid w:val="004B5A37"/>
    <w:rsid w:val="004B5B9D"/>
    <w:rsid w:val="004B5BCE"/>
    <w:rsid w:val="004B5BD3"/>
    <w:rsid w:val="004B5E63"/>
    <w:rsid w:val="004B5E92"/>
    <w:rsid w:val="004B5FE3"/>
    <w:rsid w:val="004B60A8"/>
    <w:rsid w:val="004B6380"/>
    <w:rsid w:val="004B6382"/>
    <w:rsid w:val="004B6469"/>
    <w:rsid w:val="004B646F"/>
    <w:rsid w:val="004B647C"/>
    <w:rsid w:val="004B6550"/>
    <w:rsid w:val="004B65BC"/>
    <w:rsid w:val="004B67FC"/>
    <w:rsid w:val="004B689D"/>
    <w:rsid w:val="004B68F3"/>
    <w:rsid w:val="004B697C"/>
    <w:rsid w:val="004B69D3"/>
    <w:rsid w:val="004B6A15"/>
    <w:rsid w:val="004B6A97"/>
    <w:rsid w:val="004B6E8F"/>
    <w:rsid w:val="004B6EFC"/>
    <w:rsid w:val="004B6FB3"/>
    <w:rsid w:val="004B6FC0"/>
    <w:rsid w:val="004B6FFD"/>
    <w:rsid w:val="004B7014"/>
    <w:rsid w:val="004B70E5"/>
    <w:rsid w:val="004B7142"/>
    <w:rsid w:val="004B7208"/>
    <w:rsid w:val="004B7301"/>
    <w:rsid w:val="004B744A"/>
    <w:rsid w:val="004B758E"/>
    <w:rsid w:val="004B75A6"/>
    <w:rsid w:val="004B777B"/>
    <w:rsid w:val="004B794D"/>
    <w:rsid w:val="004B7AFA"/>
    <w:rsid w:val="004B7BDD"/>
    <w:rsid w:val="004B7D13"/>
    <w:rsid w:val="004B7D5D"/>
    <w:rsid w:val="004B7D83"/>
    <w:rsid w:val="004B7DD5"/>
    <w:rsid w:val="004B7F0A"/>
    <w:rsid w:val="004B7FAC"/>
    <w:rsid w:val="004C01D1"/>
    <w:rsid w:val="004C022F"/>
    <w:rsid w:val="004C0256"/>
    <w:rsid w:val="004C04A1"/>
    <w:rsid w:val="004C04D5"/>
    <w:rsid w:val="004C0501"/>
    <w:rsid w:val="004C0719"/>
    <w:rsid w:val="004C083D"/>
    <w:rsid w:val="004C0875"/>
    <w:rsid w:val="004C0877"/>
    <w:rsid w:val="004C08D9"/>
    <w:rsid w:val="004C0943"/>
    <w:rsid w:val="004C0950"/>
    <w:rsid w:val="004C0A3A"/>
    <w:rsid w:val="004C0AC6"/>
    <w:rsid w:val="004C0BC7"/>
    <w:rsid w:val="004C0C9D"/>
    <w:rsid w:val="004C0D29"/>
    <w:rsid w:val="004C0D86"/>
    <w:rsid w:val="004C0E97"/>
    <w:rsid w:val="004C0F10"/>
    <w:rsid w:val="004C0FF1"/>
    <w:rsid w:val="004C128B"/>
    <w:rsid w:val="004C133E"/>
    <w:rsid w:val="004C13A7"/>
    <w:rsid w:val="004C1418"/>
    <w:rsid w:val="004C1430"/>
    <w:rsid w:val="004C1458"/>
    <w:rsid w:val="004C15E9"/>
    <w:rsid w:val="004C164C"/>
    <w:rsid w:val="004C1701"/>
    <w:rsid w:val="004C1833"/>
    <w:rsid w:val="004C18F0"/>
    <w:rsid w:val="004C1A4E"/>
    <w:rsid w:val="004C1BD5"/>
    <w:rsid w:val="004C1DD6"/>
    <w:rsid w:val="004C1DE3"/>
    <w:rsid w:val="004C1DF3"/>
    <w:rsid w:val="004C1E09"/>
    <w:rsid w:val="004C1E33"/>
    <w:rsid w:val="004C1E4A"/>
    <w:rsid w:val="004C1E4D"/>
    <w:rsid w:val="004C1E96"/>
    <w:rsid w:val="004C1F12"/>
    <w:rsid w:val="004C1FB1"/>
    <w:rsid w:val="004C1FBD"/>
    <w:rsid w:val="004C2050"/>
    <w:rsid w:val="004C22E4"/>
    <w:rsid w:val="004C2368"/>
    <w:rsid w:val="004C24FE"/>
    <w:rsid w:val="004C25B9"/>
    <w:rsid w:val="004C27D1"/>
    <w:rsid w:val="004C28B8"/>
    <w:rsid w:val="004C2C24"/>
    <w:rsid w:val="004C2CA1"/>
    <w:rsid w:val="004C2CAE"/>
    <w:rsid w:val="004C2D18"/>
    <w:rsid w:val="004C2DBD"/>
    <w:rsid w:val="004C2DFB"/>
    <w:rsid w:val="004C2E58"/>
    <w:rsid w:val="004C2FD9"/>
    <w:rsid w:val="004C30CD"/>
    <w:rsid w:val="004C317C"/>
    <w:rsid w:val="004C32B2"/>
    <w:rsid w:val="004C3323"/>
    <w:rsid w:val="004C33A9"/>
    <w:rsid w:val="004C3432"/>
    <w:rsid w:val="004C37C5"/>
    <w:rsid w:val="004C3841"/>
    <w:rsid w:val="004C3893"/>
    <w:rsid w:val="004C3925"/>
    <w:rsid w:val="004C3ADD"/>
    <w:rsid w:val="004C3C58"/>
    <w:rsid w:val="004C3D63"/>
    <w:rsid w:val="004C3D98"/>
    <w:rsid w:val="004C3E74"/>
    <w:rsid w:val="004C3FC7"/>
    <w:rsid w:val="004C4113"/>
    <w:rsid w:val="004C4138"/>
    <w:rsid w:val="004C425C"/>
    <w:rsid w:val="004C4274"/>
    <w:rsid w:val="004C4333"/>
    <w:rsid w:val="004C43DD"/>
    <w:rsid w:val="004C4461"/>
    <w:rsid w:val="004C4480"/>
    <w:rsid w:val="004C4558"/>
    <w:rsid w:val="004C45D2"/>
    <w:rsid w:val="004C45DB"/>
    <w:rsid w:val="004C47FB"/>
    <w:rsid w:val="004C4809"/>
    <w:rsid w:val="004C480D"/>
    <w:rsid w:val="004C48AD"/>
    <w:rsid w:val="004C48C8"/>
    <w:rsid w:val="004C4933"/>
    <w:rsid w:val="004C493F"/>
    <w:rsid w:val="004C49E6"/>
    <w:rsid w:val="004C4A93"/>
    <w:rsid w:val="004C4AA9"/>
    <w:rsid w:val="004C4BA7"/>
    <w:rsid w:val="004C4D7D"/>
    <w:rsid w:val="004C4D84"/>
    <w:rsid w:val="004C51CD"/>
    <w:rsid w:val="004C5277"/>
    <w:rsid w:val="004C536E"/>
    <w:rsid w:val="004C53B3"/>
    <w:rsid w:val="004C5466"/>
    <w:rsid w:val="004C5585"/>
    <w:rsid w:val="004C5725"/>
    <w:rsid w:val="004C5738"/>
    <w:rsid w:val="004C598D"/>
    <w:rsid w:val="004C5AA5"/>
    <w:rsid w:val="004C5C0B"/>
    <w:rsid w:val="004C5DE9"/>
    <w:rsid w:val="004C5ECA"/>
    <w:rsid w:val="004C5F68"/>
    <w:rsid w:val="004C608B"/>
    <w:rsid w:val="004C6127"/>
    <w:rsid w:val="004C638F"/>
    <w:rsid w:val="004C6464"/>
    <w:rsid w:val="004C654C"/>
    <w:rsid w:val="004C65CA"/>
    <w:rsid w:val="004C67FB"/>
    <w:rsid w:val="004C686E"/>
    <w:rsid w:val="004C694E"/>
    <w:rsid w:val="004C6ADE"/>
    <w:rsid w:val="004C6BFD"/>
    <w:rsid w:val="004C6E1B"/>
    <w:rsid w:val="004C7220"/>
    <w:rsid w:val="004C72CB"/>
    <w:rsid w:val="004C7358"/>
    <w:rsid w:val="004C753E"/>
    <w:rsid w:val="004C7742"/>
    <w:rsid w:val="004C7835"/>
    <w:rsid w:val="004C7945"/>
    <w:rsid w:val="004C7A4B"/>
    <w:rsid w:val="004C7ACF"/>
    <w:rsid w:val="004C7B06"/>
    <w:rsid w:val="004C7C9E"/>
    <w:rsid w:val="004C7D2C"/>
    <w:rsid w:val="004C7DAC"/>
    <w:rsid w:val="004C7DAD"/>
    <w:rsid w:val="004C7F44"/>
    <w:rsid w:val="004C7F8D"/>
    <w:rsid w:val="004D0189"/>
    <w:rsid w:val="004D028E"/>
    <w:rsid w:val="004D0495"/>
    <w:rsid w:val="004D0598"/>
    <w:rsid w:val="004D05A6"/>
    <w:rsid w:val="004D07CC"/>
    <w:rsid w:val="004D081D"/>
    <w:rsid w:val="004D0863"/>
    <w:rsid w:val="004D0869"/>
    <w:rsid w:val="004D0924"/>
    <w:rsid w:val="004D094C"/>
    <w:rsid w:val="004D098E"/>
    <w:rsid w:val="004D09C0"/>
    <w:rsid w:val="004D0A1D"/>
    <w:rsid w:val="004D0AE2"/>
    <w:rsid w:val="004D0C8D"/>
    <w:rsid w:val="004D0D46"/>
    <w:rsid w:val="004D0E4C"/>
    <w:rsid w:val="004D0E79"/>
    <w:rsid w:val="004D0FA4"/>
    <w:rsid w:val="004D100F"/>
    <w:rsid w:val="004D105D"/>
    <w:rsid w:val="004D10A5"/>
    <w:rsid w:val="004D10F5"/>
    <w:rsid w:val="004D1164"/>
    <w:rsid w:val="004D1242"/>
    <w:rsid w:val="004D1345"/>
    <w:rsid w:val="004D1376"/>
    <w:rsid w:val="004D1478"/>
    <w:rsid w:val="004D14A9"/>
    <w:rsid w:val="004D14AE"/>
    <w:rsid w:val="004D153F"/>
    <w:rsid w:val="004D1600"/>
    <w:rsid w:val="004D1621"/>
    <w:rsid w:val="004D1659"/>
    <w:rsid w:val="004D16E0"/>
    <w:rsid w:val="004D1738"/>
    <w:rsid w:val="004D183D"/>
    <w:rsid w:val="004D19EF"/>
    <w:rsid w:val="004D1BB6"/>
    <w:rsid w:val="004D1BD4"/>
    <w:rsid w:val="004D1C2D"/>
    <w:rsid w:val="004D1D57"/>
    <w:rsid w:val="004D1D60"/>
    <w:rsid w:val="004D1E7C"/>
    <w:rsid w:val="004D1E95"/>
    <w:rsid w:val="004D2072"/>
    <w:rsid w:val="004D21FF"/>
    <w:rsid w:val="004D2340"/>
    <w:rsid w:val="004D2723"/>
    <w:rsid w:val="004D27F2"/>
    <w:rsid w:val="004D2B2A"/>
    <w:rsid w:val="004D2B69"/>
    <w:rsid w:val="004D2C7B"/>
    <w:rsid w:val="004D2DA3"/>
    <w:rsid w:val="004D2ECB"/>
    <w:rsid w:val="004D2F42"/>
    <w:rsid w:val="004D312E"/>
    <w:rsid w:val="004D31B3"/>
    <w:rsid w:val="004D3204"/>
    <w:rsid w:val="004D3207"/>
    <w:rsid w:val="004D33E2"/>
    <w:rsid w:val="004D33F9"/>
    <w:rsid w:val="004D3425"/>
    <w:rsid w:val="004D3492"/>
    <w:rsid w:val="004D34C4"/>
    <w:rsid w:val="004D359C"/>
    <w:rsid w:val="004D35E8"/>
    <w:rsid w:val="004D361D"/>
    <w:rsid w:val="004D3623"/>
    <w:rsid w:val="004D3642"/>
    <w:rsid w:val="004D36D7"/>
    <w:rsid w:val="004D37BA"/>
    <w:rsid w:val="004D37D3"/>
    <w:rsid w:val="004D3825"/>
    <w:rsid w:val="004D3872"/>
    <w:rsid w:val="004D3889"/>
    <w:rsid w:val="004D3897"/>
    <w:rsid w:val="004D39F3"/>
    <w:rsid w:val="004D3C16"/>
    <w:rsid w:val="004D3DD7"/>
    <w:rsid w:val="004D3F0D"/>
    <w:rsid w:val="004D407D"/>
    <w:rsid w:val="004D4109"/>
    <w:rsid w:val="004D4269"/>
    <w:rsid w:val="004D42E3"/>
    <w:rsid w:val="004D4389"/>
    <w:rsid w:val="004D43BA"/>
    <w:rsid w:val="004D4425"/>
    <w:rsid w:val="004D44F5"/>
    <w:rsid w:val="004D4679"/>
    <w:rsid w:val="004D4850"/>
    <w:rsid w:val="004D49F1"/>
    <w:rsid w:val="004D4C10"/>
    <w:rsid w:val="004D4C37"/>
    <w:rsid w:val="004D4D71"/>
    <w:rsid w:val="004D5005"/>
    <w:rsid w:val="004D50BC"/>
    <w:rsid w:val="004D50FD"/>
    <w:rsid w:val="004D510D"/>
    <w:rsid w:val="004D510F"/>
    <w:rsid w:val="004D5146"/>
    <w:rsid w:val="004D5184"/>
    <w:rsid w:val="004D51A5"/>
    <w:rsid w:val="004D51B5"/>
    <w:rsid w:val="004D5238"/>
    <w:rsid w:val="004D5350"/>
    <w:rsid w:val="004D5417"/>
    <w:rsid w:val="004D549A"/>
    <w:rsid w:val="004D5525"/>
    <w:rsid w:val="004D557C"/>
    <w:rsid w:val="004D55B7"/>
    <w:rsid w:val="004D55DA"/>
    <w:rsid w:val="004D5623"/>
    <w:rsid w:val="004D56EE"/>
    <w:rsid w:val="004D5AE3"/>
    <w:rsid w:val="004D5B0C"/>
    <w:rsid w:val="004D5B51"/>
    <w:rsid w:val="004D5B85"/>
    <w:rsid w:val="004D5BD8"/>
    <w:rsid w:val="004D5D1A"/>
    <w:rsid w:val="004D5D79"/>
    <w:rsid w:val="004D5F44"/>
    <w:rsid w:val="004D6120"/>
    <w:rsid w:val="004D613F"/>
    <w:rsid w:val="004D61C1"/>
    <w:rsid w:val="004D6798"/>
    <w:rsid w:val="004D67F1"/>
    <w:rsid w:val="004D68D1"/>
    <w:rsid w:val="004D6931"/>
    <w:rsid w:val="004D6A00"/>
    <w:rsid w:val="004D6A14"/>
    <w:rsid w:val="004D6E26"/>
    <w:rsid w:val="004D6EC6"/>
    <w:rsid w:val="004D6F94"/>
    <w:rsid w:val="004D72F2"/>
    <w:rsid w:val="004D72FB"/>
    <w:rsid w:val="004D7385"/>
    <w:rsid w:val="004D741E"/>
    <w:rsid w:val="004D74EC"/>
    <w:rsid w:val="004D7719"/>
    <w:rsid w:val="004D7C88"/>
    <w:rsid w:val="004D7CC4"/>
    <w:rsid w:val="004D7D49"/>
    <w:rsid w:val="004D7DC2"/>
    <w:rsid w:val="004D7E97"/>
    <w:rsid w:val="004DB4A7"/>
    <w:rsid w:val="004E0068"/>
    <w:rsid w:val="004E01F8"/>
    <w:rsid w:val="004E027D"/>
    <w:rsid w:val="004E0328"/>
    <w:rsid w:val="004E0492"/>
    <w:rsid w:val="004E066C"/>
    <w:rsid w:val="004E0806"/>
    <w:rsid w:val="004E098A"/>
    <w:rsid w:val="004E0A0D"/>
    <w:rsid w:val="004E0A21"/>
    <w:rsid w:val="004E0AB0"/>
    <w:rsid w:val="004E0AC7"/>
    <w:rsid w:val="004E0AF5"/>
    <w:rsid w:val="004E0D1A"/>
    <w:rsid w:val="004E0D73"/>
    <w:rsid w:val="004E0E23"/>
    <w:rsid w:val="004E0E49"/>
    <w:rsid w:val="004E0F1F"/>
    <w:rsid w:val="004E0F29"/>
    <w:rsid w:val="004E0F6E"/>
    <w:rsid w:val="004E0F83"/>
    <w:rsid w:val="004E1168"/>
    <w:rsid w:val="004E128D"/>
    <w:rsid w:val="004E1310"/>
    <w:rsid w:val="004E1342"/>
    <w:rsid w:val="004E141C"/>
    <w:rsid w:val="004E147E"/>
    <w:rsid w:val="004E16C5"/>
    <w:rsid w:val="004E16FB"/>
    <w:rsid w:val="004E1778"/>
    <w:rsid w:val="004E18FB"/>
    <w:rsid w:val="004E1974"/>
    <w:rsid w:val="004E1A68"/>
    <w:rsid w:val="004E1D0D"/>
    <w:rsid w:val="004E1D36"/>
    <w:rsid w:val="004E1D6F"/>
    <w:rsid w:val="004E1D76"/>
    <w:rsid w:val="004E2075"/>
    <w:rsid w:val="004E208A"/>
    <w:rsid w:val="004E20C9"/>
    <w:rsid w:val="004E21E2"/>
    <w:rsid w:val="004E2219"/>
    <w:rsid w:val="004E22EC"/>
    <w:rsid w:val="004E2356"/>
    <w:rsid w:val="004E2493"/>
    <w:rsid w:val="004E28B8"/>
    <w:rsid w:val="004E28C0"/>
    <w:rsid w:val="004E2950"/>
    <w:rsid w:val="004E29AB"/>
    <w:rsid w:val="004E29C1"/>
    <w:rsid w:val="004E2A6A"/>
    <w:rsid w:val="004E2ACF"/>
    <w:rsid w:val="004E2B39"/>
    <w:rsid w:val="004E2B3B"/>
    <w:rsid w:val="004E2BD6"/>
    <w:rsid w:val="004E2C66"/>
    <w:rsid w:val="004E2E31"/>
    <w:rsid w:val="004E2F72"/>
    <w:rsid w:val="004E309D"/>
    <w:rsid w:val="004E3125"/>
    <w:rsid w:val="004E325F"/>
    <w:rsid w:val="004E3375"/>
    <w:rsid w:val="004E33DC"/>
    <w:rsid w:val="004E3447"/>
    <w:rsid w:val="004E35B6"/>
    <w:rsid w:val="004E35BB"/>
    <w:rsid w:val="004E3744"/>
    <w:rsid w:val="004E38AA"/>
    <w:rsid w:val="004E38E9"/>
    <w:rsid w:val="004E398E"/>
    <w:rsid w:val="004E3997"/>
    <w:rsid w:val="004E3BEE"/>
    <w:rsid w:val="004E3D23"/>
    <w:rsid w:val="004E3D54"/>
    <w:rsid w:val="004E3E18"/>
    <w:rsid w:val="004E3E36"/>
    <w:rsid w:val="004E3FBD"/>
    <w:rsid w:val="004E3FC9"/>
    <w:rsid w:val="004E4012"/>
    <w:rsid w:val="004E40BB"/>
    <w:rsid w:val="004E414E"/>
    <w:rsid w:val="004E42C3"/>
    <w:rsid w:val="004E4319"/>
    <w:rsid w:val="004E4392"/>
    <w:rsid w:val="004E43EC"/>
    <w:rsid w:val="004E4703"/>
    <w:rsid w:val="004E47D6"/>
    <w:rsid w:val="004E49E2"/>
    <w:rsid w:val="004E4A00"/>
    <w:rsid w:val="004E4A27"/>
    <w:rsid w:val="004E4ABB"/>
    <w:rsid w:val="004E4B58"/>
    <w:rsid w:val="004E4B84"/>
    <w:rsid w:val="004E4BE3"/>
    <w:rsid w:val="004E4C44"/>
    <w:rsid w:val="004E4D28"/>
    <w:rsid w:val="004E4DC1"/>
    <w:rsid w:val="004E4ED2"/>
    <w:rsid w:val="004E4F80"/>
    <w:rsid w:val="004E4FC4"/>
    <w:rsid w:val="004E4FDB"/>
    <w:rsid w:val="004E5090"/>
    <w:rsid w:val="004E50B2"/>
    <w:rsid w:val="004E51EC"/>
    <w:rsid w:val="004E51F4"/>
    <w:rsid w:val="004E5287"/>
    <w:rsid w:val="004E5417"/>
    <w:rsid w:val="004E54EB"/>
    <w:rsid w:val="004E5A3A"/>
    <w:rsid w:val="004E5A3B"/>
    <w:rsid w:val="004E5A68"/>
    <w:rsid w:val="004E5AAE"/>
    <w:rsid w:val="004E5ABA"/>
    <w:rsid w:val="004E5AED"/>
    <w:rsid w:val="004E5C1D"/>
    <w:rsid w:val="004E5CFB"/>
    <w:rsid w:val="004E5EB8"/>
    <w:rsid w:val="004E60D4"/>
    <w:rsid w:val="004E6250"/>
    <w:rsid w:val="004E6262"/>
    <w:rsid w:val="004E63B7"/>
    <w:rsid w:val="004E6401"/>
    <w:rsid w:val="004E6498"/>
    <w:rsid w:val="004E65DF"/>
    <w:rsid w:val="004E67A5"/>
    <w:rsid w:val="004E690D"/>
    <w:rsid w:val="004E6A9D"/>
    <w:rsid w:val="004E6ADD"/>
    <w:rsid w:val="004E6B4B"/>
    <w:rsid w:val="004E6C1E"/>
    <w:rsid w:val="004E6CBB"/>
    <w:rsid w:val="004E6D37"/>
    <w:rsid w:val="004E6D46"/>
    <w:rsid w:val="004E6F52"/>
    <w:rsid w:val="004E6F6A"/>
    <w:rsid w:val="004E702A"/>
    <w:rsid w:val="004E70EF"/>
    <w:rsid w:val="004E7182"/>
    <w:rsid w:val="004E7390"/>
    <w:rsid w:val="004E74B9"/>
    <w:rsid w:val="004E7568"/>
    <w:rsid w:val="004E75EA"/>
    <w:rsid w:val="004E760C"/>
    <w:rsid w:val="004E7658"/>
    <w:rsid w:val="004E76FD"/>
    <w:rsid w:val="004E773F"/>
    <w:rsid w:val="004E7856"/>
    <w:rsid w:val="004E7AEE"/>
    <w:rsid w:val="004E7B97"/>
    <w:rsid w:val="004E7C7B"/>
    <w:rsid w:val="004E7CE1"/>
    <w:rsid w:val="004E7D45"/>
    <w:rsid w:val="004E7D72"/>
    <w:rsid w:val="004E7E41"/>
    <w:rsid w:val="004F0109"/>
    <w:rsid w:val="004F025A"/>
    <w:rsid w:val="004F02B1"/>
    <w:rsid w:val="004F043F"/>
    <w:rsid w:val="004F0450"/>
    <w:rsid w:val="004F06C6"/>
    <w:rsid w:val="004F082B"/>
    <w:rsid w:val="004F08BB"/>
    <w:rsid w:val="004F08CB"/>
    <w:rsid w:val="004F08F7"/>
    <w:rsid w:val="004F09BB"/>
    <w:rsid w:val="004F0A3D"/>
    <w:rsid w:val="004F0AB9"/>
    <w:rsid w:val="004F0C2A"/>
    <w:rsid w:val="004F0C2B"/>
    <w:rsid w:val="004F0EF7"/>
    <w:rsid w:val="004F0F42"/>
    <w:rsid w:val="004F120B"/>
    <w:rsid w:val="004F12CF"/>
    <w:rsid w:val="004F150A"/>
    <w:rsid w:val="004F1585"/>
    <w:rsid w:val="004F1829"/>
    <w:rsid w:val="004F18F6"/>
    <w:rsid w:val="004F1B10"/>
    <w:rsid w:val="004F1B27"/>
    <w:rsid w:val="004F1BBC"/>
    <w:rsid w:val="004F1BEE"/>
    <w:rsid w:val="004F1D45"/>
    <w:rsid w:val="004F1DB8"/>
    <w:rsid w:val="004F1EC8"/>
    <w:rsid w:val="004F1F31"/>
    <w:rsid w:val="004F1F3A"/>
    <w:rsid w:val="004F1FC8"/>
    <w:rsid w:val="004F2071"/>
    <w:rsid w:val="004F2190"/>
    <w:rsid w:val="004F225C"/>
    <w:rsid w:val="004F2397"/>
    <w:rsid w:val="004F23A6"/>
    <w:rsid w:val="004F25F8"/>
    <w:rsid w:val="004F2943"/>
    <w:rsid w:val="004F29E3"/>
    <w:rsid w:val="004F2A81"/>
    <w:rsid w:val="004F2B5C"/>
    <w:rsid w:val="004F2BCE"/>
    <w:rsid w:val="004F2BE2"/>
    <w:rsid w:val="004F2D2C"/>
    <w:rsid w:val="004F2D7F"/>
    <w:rsid w:val="004F30C2"/>
    <w:rsid w:val="004F32BC"/>
    <w:rsid w:val="004F3440"/>
    <w:rsid w:val="004F3495"/>
    <w:rsid w:val="004F3510"/>
    <w:rsid w:val="004F3559"/>
    <w:rsid w:val="004F364E"/>
    <w:rsid w:val="004F3747"/>
    <w:rsid w:val="004F3809"/>
    <w:rsid w:val="004F38CD"/>
    <w:rsid w:val="004F3916"/>
    <w:rsid w:val="004F39CB"/>
    <w:rsid w:val="004F3A20"/>
    <w:rsid w:val="004F3A32"/>
    <w:rsid w:val="004F3AEB"/>
    <w:rsid w:val="004F3AFA"/>
    <w:rsid w:val="004F3CA9"/>
    <w:rsid w:val="004F3E02"/>
    <w:rsid w:val="004F3F0D"/>
    <w:rsid w:val="004F3F3D"/>
    <w:rsid w:val="004F3FD7"/>
    <w:rsid w:val="004F40D5"/>
    <w:rsid w:val="004F4106"/>
    <w:rsid w:val="004F41F4"/>
    <w:rsid w:val="004F424F"/>
    <w:rsid w:val="004F426A"/>
    <w:rsid w:val="004F43A0"/>
    <w:rsid w:val="004F4497"/>
    <w:rsid w:val="004F45C1"/>
    <w:rsid w:val="004F4658"/>
    <w:rsid w:val="004F465B"/>
    <w:rsid w:val="004F46E7"/>
    <w:rsid w:val="004F471A"/>
    <w:rsid w:val="004F47FA"/>
    <w:rsid w:val="004F48E2"/>
    <w:rsid w:val="004F49EE"/>
    <w:rsid w:val="004F4A78"/>
    <w:rsid w:val="004F4C75"/>
    <w:rsid w:val="004F4C95"/>
    <w:rsid w:val="004F4D4F"/>
    <w:rsid w:val="004F4EBC"/>
    <w:rsid w:val="004F4F09"/>
    <w:rsid w:val="004F4F80"/>
    <w:rsid w:val="004F500E"/>
    <w:rsid w:val="004F5052"/>
    <w:rsid w:val="004F516E"/>
    <w:rsid w:val="004F51D0"/>
    <w:rsid w:val="004F51DF"/>
    <w:rsid w:val="004F5377"/>
    <w:rsid w:val="004F54CD"/>
    <w:rsid w:val="004F54E1"/>
    <w:rsid w:val="004F54F0"/>
    <w:rsid w:val="004F55BB"/>
    <w:rsid w:val="004F55E5"/>
    <w:rsid w:val="004F5602"/>
    <w:rsid w:val="004F572E"/>
    <w:rsid w:val="004F574F"/>
    <w:rsid w:val="004F57A9"/>
    <w:rsid w:val="004F57DF"/>
    <w:rsid w:val="004F5A97"/>
    <w:rsid w:val="004F5C9E"/>
    <w:rsid w:val="004F5D9B"/>
    <w:rsid w:val="004F5DD5"/>
    <w:rsid w:val="004F5DFF"/>
    <w:rsid w:val="004F5F94"/>
    <w:rsid w:val="004F600E"/>
    <w:rsid w:val="004F6035"/>
    <w:rsid w:val="004F608A"/>
    <w:rsid w:val="004F617E"/>
    <w:rsid w:val="004F62D3"/>
    <w:rsid w:val="004F62E0"/>
    <w:rsid w:val="004F6581"/>
    <w:rsid w:val="004F65F4"/>
    <w:rsid w:val="004F6607"/>
    <w:rsid w:val="004F6661"/>
    <w:rsid w:val="004F67DA"/>
    <w:rsid w:val="004F69DE"/>
    <w:rsid w:val="004F6A1C"/>
    <w:rsid w:val="004F6AD3"/>
    <w:rsid w:val="004F6B5A"/>
    <w:rsid w:val="004F6BC4"/>
    <w:rsid w:val="004F6C54"/>
    <w:rsid w:val="004F6C6D"/>
    <w:rsid w:val="004F6D43"/>
    <w:rsid w:val="004F6F17"/>
    <w:rsid w:val="004F7029"/>
    <w:rsid w:val="004F7069"/>
    <w:rsid w:val="004F722E"/>
    <w:rsid w:val="004F7311"/>
    <w:rsid w:val="004F732A"/>
    <w:rsid w:val="004F74F9"/>
    <w:rsid w:val="004F7558"/>
    <w:rsid w:val="004F7590"/>
    <w:rsid w:val="004F765F"/>
    <w:rsid w:val="004F776A"/>
    <w:rsid w:val="004F779B"/>
    <w:rsid w:val="004F77A2"/>
    <w:rsid w:val="004F79F1"/>
    <w:rsid w:val="004F7ACA"/>
    <w:rsid w:val="004F7B4E"/>
    <w:rsid w:val="004F7BAF"/>
    <w:rsid w:val="004F7C8C"/>
    <w:rsid w:val="004F7E03"/>
    <w:rsid w:val="004F7E67"/>
    <w:rsid w:val="004F7F8A"/>
    <w:rsid w:val="005001BF"/>
    <w:rsid w:val="0050027C"/>
    <w:rsid w:val="0050031B"/>
    <w:rsid w:val="00500366"/>
    <w:rsid w:val="0050037C"/>
    <w:rsid w:val="0050041D"/>
    <w:rsid w:val="00500555"/>
    <w:rsid w:val="005005F1"/>
    <w:rsid w:val="00500B8E"/>
    <w:rsid w:val="00500C9D"/>
    <w:rsid w:val="00500DBB"/>
    <w:rsid w:val="00500F6A"/>
    <w:rsid w:val="00500FED"/>
    <w:rsid w:val="0050112D"/>
    <w:rsid w:val="005012D5"/>
    <w:rsid w:val="0050136E"/>
    <w:rsid w:val="00501386"/>
    <w:rsid w:val="0050139C"/>
    <w:rsid w:val="0050158B"/>
    <w:rsid w:val="005016B1"/>
    <w:rsid w:val="005018BC"/>
    <w:rsid w:val="00501987"/>
    <w:rsid w:val="00501A4B"/>
    <w:rsid w:val="00501A78"/>
    <w:rsid w:val="00501BD9"/>
    <w:rsid w:val="00501C25"/>
    <w:rsid w:val="00501F10"/>
    <w:rsid w:val="00501F47"/>
    <w:rsid w:val="00501FF8"/>
    <w:rsid w:val="00502060"/>
    <w:rsid w:val="0050211E"/>
    <w:rsid w:val="00502180"/>
    <w:rsid w:val="0050246C"/>
    <w:rsid w:val="005024AE"/>
    <w:rsid w:val="0050254F"/>
    <w:rsid w:val="005026B1"/>
    <w:rsid w:val="005027A6"/>
    <w:rsid w:val="00502989"/>
    <w:rsid w:val="005029C7"/>
    <w:rsid w:val="005029EE"/>
    <w:rsid w:val="00502A47"/>
    <w:rsid w:val="00502BAC"/>
    <w:rsid w:val="00502BED"/>
    <w:rsid w:val="00502C1F"/>
    <w:rsid w:val="00502CDE"/>
    <w:rsid w:val="00502D42"/>
    <w:rsid w:val="00502DAE"/>
    <w:rsid w:val="00502E50"/>
    <w:rsid w:val="00502F33"/>
    <w:rsid w:val="00502F3C"/>
    <w:rsid w:val="00502FFB"/>
    <w:rsid w:val="00503011"/>
    <w:rsid w:val="00503084"/>
    <w:rsid w:val="0050308F"/>
    <w:rsid w:val="005031AA"/>
    <w:rsid w:val="005032C8"/>
    <w:rsid w:val="0050333D"/>
    <w:rsid w:val="005033FE"/>
    <w:rsid w:val="00503673"/>
    <w:rsid w:val="0050368C"/>
    <w:rsid w:val="00503727"/>
    <w:rsid w:val="00503750"/>
    <w:rsid w:val="005037CF"/>
    <w:rsid w:val="00503812"/>
    <w:rsid w:val="0050382B"/>
    <w:rsid w:val="005038A0"/>
    <w:rsid w:val="005038F3"/>
    <w:rsid w:val="005038FB"/>
    <w:rsid w:val="0050392B"/>
    <w:rsid w:val="00503983"/>
    <w:rsid w:val="00503A8A"/>
    <w:rsid w:val="00503ABF"/>
    <w:rsid w:val="00503C1E"/>
    <w:rsid w:val="00503C92"/>
    <w:rsid w:val="00503DBE"/>
    <w:rsid w:val="0050400F"/>
    <w:rsid w:val="005040BC"/>
    <w:rsid w:val="005041A1"/>
    <w:rsid w:val="00504497"/>
    <w:rsid w:val="005044E1"/>
    <w:rsid w:val="00504558"/>
    <w:rsid w:val="00504690"/>
    <w:rsid w:val="00504809"/>
    <w:rsid w:val="0050489A"/>
    <w:rsid w:val="00504917"/>
    <w:rsid w:val="0050496B"/>
    <w:rsid w:val="00504A82"/>
    <w:rsid w:val="00504ACD"/>
    <w:rsid w:val="00504D7A"/>
    <w:rsid w:val="00504DB0"/>
    <w:rsid w:val="00504DB2"/>
    <w:rsid w:val="00504E73"/>
    <w:rsid w:val="00504EC3"/>
    <w:rsid w:val="00505088"/>
    <w:rsid w:val="005050A3"/>
    <w:rsid w:val="0050521C"/>
    <w:rsid w:val="0050535B"/>
    <w:rsid w:val="005053C9"/>
    <w:rsid w:val="005054E9"/>
    <w:rsid w:val="00505503"/>
    <w:rsid w:val="00505600"/>
    <w:rsid w:val="0050569A"/>
    <w:rsid w:val="005056DF"/>
    <w:rsid w:val="00505724"/>
    <w:rsid w:val="005058EF"/>
    <w:rsid w:val="00505A8D"/>
    <w:rsid w:val="00505A9A"/>
    <w:rsid w:val="00505AAC"/>
    <w:rsid w:val="00505B95"/>
    <w:rsid w:val="00505BB3"/>
    <w:rsid w:val="00505BC6"/>
    <w:rsid w:val="00505BEC"/>
    <w:rsid w:val="00505C8F"/>
    <w:rsid w:val="00505CE4"/>
    <w:rsid w:val="00505E19"/>
    <w:rsid w:val="00505E1F"/>
    <w:rsid w:val="00505E20"/>
    <w:rsid w:val="00505E88"/>
    <w:rsid w:val="00505E9B"/>
    <w:rsid w:val="00505F0F"/>
    <w:rsid w:val="00505F57"/>
    <w:rsid w:val="00505FBC"/>
    <w:rsid w:val="00506034"/>
    <w:rsid w:val="0050618F"/>
    <w:rsid w:val="00506230"/>
    <w:rsid w:val="00506270"/>
    <w:rsid w:val="005062C9"/>
    <w:rsid w:val="005063D5"/>
    <w:rsid w:val="005064A4"/>
    <w:rsid w:val="0050658B"/>
    <w:rsid w:val="0050668B"/>
    <w:rsid w:val="00506907"/>
    <w:rsid w:val="00506A82"/>
    <w:rsid w:val="00506B47"/>
    <w:rsid w:val="00506CA6"/>
    <w:rsid w:val="00506DDB"/>
    <w:rsid w:val="00506ED3"/>
    <w:rsid w:val="00506F24"/>
    <w:rsid w:val="00506F8C"/>
    <w:rsid w:val="0050702A"/>
    <w:rsid w:val="005070D9"/>
    <w:rsid w:val="00507121"/>
    <w:rsid w:val="005072D1"/>
    <w:rsid w:val="0050731F"/>
    <w:rsid w:val="00507372"/>
    <w:rsid w:val="0050743F"/>
    <w:rsid w:val="0050746A"/>
    <w:rsid w:val="005074FB"/>
    <w:rsid w:val="00507505"/>
    <w:rsid w:val="0050750E"/>
    <w:rsid w:val="0050767F"/>
    <w:rsid w:val="0050769C"/>
    <w:rsid w:val="00507886"/>
    <w:rsid w:val="005078E1"/>
    <w:rsid w:val="00507B39"/>
    <w:rsid w:val="00507DA8"/>
    <w:rsid w:val="00507DB8"/>
    <w:rsid w:val="00507ECA"/>
    <w:rsid w:val="00507ED2"/>
    <w:rsid w:val="00510083"/>
    <w:rsid w:val="005100C7"/>
    <w:rsid w:val="005100DB"/>
    <w:rsid w:val="005101A9"/>
    <w:rsid w:val="005103C5"/>
    <w:rsid w:val="005104C0"/>
    <w:rsid w:val="00510569"/>
    <w:rsid w:val="005105E7"/>
    <w:rsid w:val="0051064C"/>
    <w:rsid w:val="005106CE"/>
    <w:rsid w:val="005106E8"/>
    <w:rsid w:val="0051072A"/>
    <w:rsid w:val="0051080A"/>
    <w:rsid w:val="005108C0"/>
    <w:rsid w:val="005109CC"/>
    <w:rsid w:val="005109E0"/>
    <w:rsid w:val="005109E6"/>
    <w:rsid w:val="00510CDD"/>
    <w:rsid w:val="00510E77"/>
    <w:rsid w:val="0051108B"/>
    <w:rsid w:val="005110E2"/>
    <w:rsid w:val="00511102"/>
    <w:rsid w:val="005111C6"/>
    <w:rsid w:val="005112A3"/>
    <w:rsid w:val="005112C3"/>
    <w:rsid w:val="00511638"/>
    <w:rsid w:val="005116DA"/>
    <w:rsid w:val="00511715"/>
    <w:rsid w:val="00511A16"/>
    <w:rsid w:val="00511A41"/>
    <w:rsid w:val="00511AE6"/>
    <w:rsid w:val="00511B28"/>
    <w:rsid w:val="00511B62"/>
    <w:rsid w:val="00511CD2"/>
    <w:rsid w:val="00511D5E"/>
    <w:rsid w:val="00511D8B"/>
    <w:rsid w:val="00511D90"/>
    <w:rsid w:val="005122A6"/>
    <w:rsid w:val="005122E9"/>
    <w:rsid w:val="005123F7"/>
    <w:rsid w:val="005124E2"/>
    <w:rsid w:val="005126C1"/>
    <w:rsid w:val="00512712"/>
    <w:rsid w:val="00512924"/>
    <w:rsid w:val="00512AF5"/>
    <w:rsid w:val="00512D3D"/>
    <w:rsid w:val="00512E2F"/>
    <w:rsid w:val="00512E51"/>
    <w:rsid w:val="00512E73"/>
    <w:rsid w:val="00512EFA"/>
    <w:rsid w:val="005130D9"/>
    <w:rsid w:val="00513157"/>
    <w:rsid w:val="005131D3"/>
    <w:rsid w:val="005132EE"/>
    <w:rsid w:val="005134DC"/>
    <w:rsid w:val="0051352C"/>
    <w:rsid w:val="005136B0"/>
    <w:rsid w:val="005136FE"/>
    <w:rsid w:val="00513752"/>
    <w:rsid w:val="0051380E"/>
    <w:rsid w:val="00513861"/>
    <w:rsid w:val="005138A8"/>
    <w:rsid w:val="005138E0"/>
    <w:rsid w:val="0051397F"/>
    <w:rsid w:val="00513993"/>
    <w:rsid w:val="00513AC2"/>
    <w:rsid w:val="00513D14"/>
    <w:rsid w:val="00513E74"/>
    <w:rsid w:val="00513F00"/>
    <w:rsid w:val="005140D9"/>
    <w:rsid w:val="00514200"/>
    <w:rsid w:val="0051437B"/>
    <w:rsid w:val="0051447B"/>
    <w:rsid w:val="00514516"/>
    <w:rsid w:val="0051452E"/>
    <w:rsid w:val="0051457F"/>
    <w:rsid w:val="0051462B"/>
    <w:rsid w:val="005147DD"/>
    <w:rsid w:val="005148B4"/>
    <w:rsid w:val="005148D7"/>
    <w:rsid w:val="00514BE2"/>
    <w:rsid w:val="00514BF2"/>
    <w:rsid w:val="00514D4C"/>
    <w:rsid w:val="00514FC2"/>
    <w:rsid w:val="00515079"/>
    <w:rsid w:val="00515336"/>
    <w:rsid w:val="0051535B"/>
    <w:rsid w:val="005153AF"/>
    <w:rsid w:val="00515443"/>
    <w:rsid w:val="00515738"/>
    <w:rsid w:val="0051573C"/>
    <w:rsid w:val="005157A9"/>
    <w:rsid w:val="0051592A"/>
    <w:rsid w:val="00515996"/>
    <w:rsid w:val="0051599D"/>
    <w:rsid w:val="00515BA1"/>
    <w:rsid w:val="00515BB6"/>
    <w:rsid w:val="00515BFA"/>
    <w:rsid w:val="00515BFE"/>
    <w:rsid w:val="00515CD3"/>
    <w:rsid w:val="00515CE2"/>
    <w:rsid w:val="00515CF9"/>
    <w:rsid w:val="00515D11"/>
    <w:rsid w:val="00515D46"/>
    <w:rsid w:val="00515EBC"/>
    <w:rsid w:val="00515FF0"/>
    <w:rsid w:val="0051602E"/>
    <w:rsid w:val="0051606C"/>
    <w:rsid w:val="00516432"/>
    <w:rsid w:val="00516568"/>
    <w:rsid w:val="005166A3"/>
    <w:rsid w:val="005166ED"/>
    <w:rsid w:val="00516723"/>
    <w:rsid w:val="005169AA"/>
    <w:rsid w:val="00516A0D"/>
    <w:rsid w:val="00516B35"/>
    <w:rsid w:val="00516E73"/>
    <w:rsid w:val="00517356"/>
    <w:rsid w:val="005174F4"/>
    <w:rsid w:val="0051756F"/>
    <w:rsid w:val="00517707"/>
    <w:rsid w:val="00517785"/>
    <w:rsid w:val="005177E6"/>
    <w:rsid w:val="00517860"/>
    <w:rsid w:val="0051791B"/>
    <w:rsid w:val="005179E3"/>
    <w:rsid w:val="005179EE"/>
    <w:rsid w:val="00517A86"/>
    <w:rsid w:val="00517AF9"/>
    <w:rsid w:val="00517D04"/>
    <w:rsid w:val="00517D8E"/>
    <w:rsid w:val="00517E3E"/>
    <w:rsid w:val="00517E66"/>
    <w:rsid w:val="00517EB7"/>
    <w:rsid w:val="00520005"/>
    <w:rsid w:val="00520094"/>
    <w:rsid w:val="005200EB"/>
    <w:rsid w:val="005204F6"/>
    <w:rsid w:val="005205A5"/>
    <w:rsid w:val="005205E3"/>
    <w:rsid w:val="005206B7"/>
    <w:rsid w:val="00520942"/>
    <w:rsid w:val="00520992"/>
    <w:rsid w:val="005209AB"/>
    <w:rsid w:val="005209B8"/>
    <w:rsid w:val="00520A08"/>
    <w:rsid w:val="00520A67"/>
    <w:rsid w:val="00520AB2"/>
    <w:rsid w:val="00520C10"/>
    <w:rsid w:val="00520D61"/>
    <w:rsid w:val="00520E13"/>
    <w:rsid w:val="00520E85"/>
    <w:rsid w:val="00520EAC"/>
    <w:rsid w:val="00520F6A"/>
    <w:rsid w:val="00521077"/>
    <w:rsid w:val="005211A5"/>
    <w:rsid w:val="00521263"/>
    <w:rsid w:val="005212E7"/>
    <w:rsid w:val="00521364"/>
    <w:rsid w:val="00521411"/>
    <w:rsid w:val="0052142C"/>
    <w:rsid w:val="0052185B"/>
    <w:rsid w:val="005219C8"/>
    <w:rsid w:val="00521A55"/>
    <w:rsid w:val="00521AD4"/>
    <w:rsid w:val="00521D02"/>
    <w:rsid w:val="00521DE3"/>
    <w:rsid w:val="00521E5F"/>
    <w:rsid w:val="00521E98"/>
    <w:rsid w:val="00521F16"/>
    <w:rsid w:val="00521F21"/>
    <w:rsid w:val="00522037"/>
    <w:rsid w:val="0052209D"/>
    <w:rsid w:val="0052209E"/>
    <w:rsid w:val="005220C3"/>
    <w:rsid w:val="00522313"/>
    <w:rsid w:val="0052241A"/>
    <w:rsid w:val="005224FB"/>
    <w:rsid w:val="0052258C"/>
    <w:rsid w:val="005225B6"/>
    <w:rsid w:val="005227D7"/>
    <w:rsid w:val="00522892"/>
    <w:rsid w:val="005229AC"/>
    <w:rsid w:val="00522A41"/>
    <w:rsid w:val="00522ADE"/>
    <w:rsid w:val="00522E4D"/>
    <w:rsid w:val="00522E64"/>
    <w:rsid w:val="00522EB2"/>
    <w:rsid w:val="00522F3F"/>
    <w:rsid w:val="00522F8C"/>
    <w:rsid w:val="00522F91"/>
    <w:rsid w:val="00523038"/>
    <w:rsid w:val="0052330F"/>
    <w:rsid w:val="00523429"/>
    <w:rsid w:val="0052349D"/>
    <w:rsid w:val="005234B6"/>
    <w:rsid w:val="0052352F"/>
    <w:rsid w:val="00523580"/>
    <w:rsid w:val="00523615"/>
    <w:rsid w:val="00523688"/>
    <w:rsid w:val="00523914"/>
    <w:rsid w:val="00523B22"/>
    <w:rsid w:val="00523C71"/>
    <w:rsid w:val="00523E8F"/>
    <w:rsid w:val="00523F08"/>
    <w:rsid w:val="00523F30"/>
    <w:rsid w:val="00524195"/>
    <w:rsid w:val="0052429E"/>
    <w:rsid w:val="005242AE"/>
    <w:rsid w:val="005242BC"/>
    <w:rsid w:val="0052444A"/>
    <w:rsid w:val="00524595"/>
    <w:rsid w:val="005245BC"/>
    <w:rsid w:val="005245CB"/>
    <w:rsid w:val="005245D4"/>
    <w:rsid w:val="0052470F"/>
    <w:rsid w:val="00524AD0"/>
    <w:rsid w:val="00524B80"/>
    <w:rsid w:val="00524BE8"/>
    <w:rsid w:val="00524C7F"/>
    <w:rsid w:val="00524CA6"/>
    <w:rsid w:val="00524E28"/>
    <w:rsid w:val="00524E45"/>
    <w:rsid w:val="00524F27"/>
    <w:rsid w:val="00524FB5"/>
    <w:rsid w:val="00525057"/>
    <w:rsid w:val="00525172"/>
    <w:rsid w:val="00525223"/>
    <w:rsid w:val="00525461"/>
    <w:rsid w:val="0052561D"/>
    <w:rsid w:val="0052575D"/>
    <w:rsid w:val="005257F1"/>
    <w:rsid w:val="0052582D"/>
    <w:rsid w:val="005258BB"/>
    <w:rsid w:val="00525BFB"/>
    <w:rsid w:val="00525CA2"/>
    <w:rsid w:val="00525D6C"/>
    <w:rsid w:val="00525E4C"/>
    <w:rsid w:val="00525EE8"/>
    <w:rsid w:val="00525F4F"/>
    <w:rsid w:val="00525FC9"/>
    <w:rsid w:val="00526027"/>
    <w:rsid w:val="005262BA"/>
    <w:rsid w:val="00526342"/>
    <w:rsid w:val="00526361"/>
    <w:rsid w:val="005265D2"/>
    <w:rsid w:val="005267C5"/>
    <w:rsid w:val="005267DA"/>
    <w:rsid w:val="0052693A"/>
    <w:rsid w:val="00526979"/>
    <w:rsid w:val="005269B1"/>
    <w:rsid w:val="00526A02"/>
    <w:rsid w:val="00526A9F"/>
    <w:rsid w:val="00526B86"/>
    <w:rsid w:val="00526B9C"/>
    <w:rsid w:val="00526C92"/>
    <w:rsid w:val="00526D7E"/>
    <w:rsid w:val="00526D93"/>
    <w:rsid w:val="00527174"/>
    <w:rsid w:val="0052721B"/>
    <w:rsid w:val="005272AA"/>
    <w:rsid w:val="005272B0"/>
    <w:rsid w:val="005275FC"/>
    <w:rsid w:val="0052768C"/>
    <w:rsid w:val="005276B4"/>
    <w:rsid w:val="005276CC"/>
    <w:rsid w:val="0052774D"/>
    <w:rsid w:val="005278CC"/>
    <w:rsid w:val="005279E4"/>
    <w:rsid w:val="00527AFE"/>
    <w:rsid w:val="00527B02"/>
    <w:rsid w:val="00527DA5"/>
    <w:rsid w:val="00527DB3"/>
    <w:rsid w:val="005301C5"/>
    <w:rsid w:val="005302A5"/>
    <w:rsid w:val="0053036C"/>
    <w:rsid w:val="00530449"/>
    <w:rsid w:val="00530472"/>
    <w:rsid w:val="0053064E"/>
    <w:rsid w:val="00530896"/>
    <w:rsid w:val="005308C4"/>
    <w:rsid w:val="005309CD"/>
    <w:rsid w:val="00530A3E"/>
    <w:rsid w:val="00530E35"/>
    <w:rsid w:val="00530EE3"/>
    <w:rsid w:val="00530EE4"/>
    <w:rsid w:val="00530F66"/>
    <w:rsid w:val="005310AF"/>
    <w:rsid w:val="005310B5"/>
    <w:rsid w:val="00531124"/>
    <w:rsid w:val="005311C0"/>
    <w:rsid w:val="00531211"/>
    <w:rsid w:val="00531247"/>
    <w:rsid w:val="0053139D"/>
    <w:rsid w:val="005314BE"/>
    <w:rsid w:val="005316AA"/>
    <w:rsid w:val="005317B7"/>
    <w:rsid w:val="00531822"/>
    <w:rsid w:val="005319B3"/>
    <w:rsid w:val="005319E9"/>
    <w:rsid w:val="005319ED"/>
    <w:rsid w:val="00531A09"/>
    <w:rsid w:val="00531A42"/>
    <w:rsid w:val="00531B04"/>
    <w:rsid w:val="00531B83"/>
    <w:rsid w:val="00531BBF"/>
    <w:rsid w:val="00531BF2"/>
    <w:rsid w:val="00531CA6"/>
    <w:rsid w:val="00531D3A"/>
    <w:rsid w:val="00531D81"/>
    <w:rsid w:val="00531ECC"/>
    <w:rsid w:val="00531FE5"/>
    <w:rsid w:val="00532183"/>
    <w:rsid w:val="00532198"/>
    <w:rsid w:val="0053223D"/>
    <w:rsid w:val="005322B7"/>
    <w:rsid w:val="0053237D"/>
    <w:rsid w:val="0053239C"/>
    <w:rsid w:val="005323D5"/>
    <w:rsid w:val="00532490"/>
    <w:rsid w:val="00532531"/>
    <w:rsid w:val="005325A4"/>
    <w:rsid w:val="005325BC"/>
    <w:rsid w:val="005326EE"/>
    <w:rsid w:val="00532899"/>
    <w:rsid w:val="00532D9D"/>
    <w:rsid w:val="00532FC3"/>
    <w:rsid w:val="00533004"/>
    <w:rsid w:val="00533028"/>
    <w:rsid w:val="00533082"/>
    <w:rsid w:val="0053310D"/>
    <w:rsid w:val="00533131"/>
    <w:rsid w:val="00533161"/>
    <w:rsid w:val="00533214"/>
    <w:rsid w:val="00533374"/>
    <w:rsid w:val="005334CC"/>
    <w:rsid w:val="0053359A"/>
    <w:rsid w:val="005335A4"/>
    <w:rsid w:val="00533693"/>
    <w:rsid w:val="00533853"/>
    <w:rsid w:val="005338EF"/>
    <w:rsid w:val="00533B10"/>
    <w:rsid w:val="00533B19"/>
    <w:rsid w:val="00533BAE"/>
    <w:rsid w:val="00533C5B"/>
    <w:rsid w:val="00533CCA"/>
    <w:rsid w:val="00533D65"/>
    <w:rsid w:val="00533E62"/>
    <w:rsid w:val="00533EE0"/>
    <w:rsid w:val="00533F63"/>
    <w:rsid w:val="00534081"/>
    <w:rsid w:val="00534196"/>
    <w:rsid w:val="0053424A"/>
    <w:rsid w:val="005342C3"/>
    <w:rsid w:val="005342C4"/>
    <w:rsid w:val="00534328"/>
    <w:rsid w:val="00534554"/>
    <w:rsid w:val="005346D5"/>
    <w:rsid w:val="00534728"/>
    <w:rsid w:val="00534B58"/>
    <w:rsid w:val="00534BAB"/>
    <w:rsid w:val="00534BD2"/>
    <w:rsid w:val="00534BF5"/>
    <w:rsid w:val="00534C64"/>
    <w:rsid w:val="00534CCC"/>
    <w:rsid w:val="00534CF4"/>
    <w:rsid w:val="005350EB"/>
    <w:rsid w:val="00535205"/>
    <w:rsid w:val="005352F1"/>
    <w:rsid w:val="0053537A"/>
    <w:rsid w:val="00535437"/>
    <w:rsid w:val="00535476"/>
    <w:rsid w:val="00535483"/>
    <w:rsid w:val="005354A7"/>
    <w:rsid w:val="0053551C"/>
    <w:rsid w:val="00535679"/>
    <w:rsid w:val="00535755"/>
    <w:rsid w:val="005358BE"/>
    <w:rsid w:val="005358FC"/>
    <w:rsid w:val="0053594C"/>
    <w:rsid w:val="0053597D"/>
    <w:rsid w:val="005359D6"/>
    <w:rsid w:val="00535B14"/>
    <w:rsid w:val="00535D19"/>
    <w:rsid w:val="00535D66"/>
    <w:rsid w:val="00535D68"/>
    <w:rsid w:val="00535E37"/>
    <w:rsid w:val="00535F45"/>
    <w:rsid w:val="00536058"/>
    <w:rsid w:val="005360BF"/>
    <w:rsid w:val="00536100"/>
    <w:rsid w:val="005362C7"/>
    <w:rsid w:val="005362F5"/>
    <w:rsid w:val="005364C8"/>
    <w:rsid w:val="00536514"/>
    <w:rsid w:val="0053672C"/>
    <w:rsid w:val="005367A6"/>
    <w:rsid w:val="005367CA"/>
    <w:rsid w:val="005367DE"/>
    <w:rsid w:val="005368D6"/>
    <w:rsid w:val="005368EF"/>
    <w:rsid w:val="00536908"/>
    <w:rsid w:val="00536A05"/>
    <w:rsid w:val="00536A48"/>
    <w:rsid w:val="00536A6E"/>
    <w:rsid w:val="00536B34"/>
    <w:rsid w:val="00536C2B"/>
    <w:rsid w:val="00536C44"/>
    <w:rsid w:val="00536C68"/>
    <w:rsid w:val="00536C89"/>
    <w:rsid w:val="00536D74"/>
    <w:rsid w:val="00536DE3"/>
    <w:rsid w:val="00536ED2"/>
    <w:rsid w:val="00536F3E"/>
    <w:rsid w:val="00536F43"/>
    <w:rsid w:val="00537108"/>
    <w:rsid w:val="0053713E"/>
    <w:rsid w:val="00537179"/>
    <w:rsid w:val="0053725B"/>
    <w:rsid w:val="00537349"/>
    <w:rsid w:val="00537350"/>
    <w:rsid w:val="005374C6"/>
    <w:rsid w:val="00537535"/>
    <w:rsid w:val="005375F6"/>
    <w:rsid w:val="0053768B"/>
    <w:rsid w:val="005376C4"/>
    <w:rsid w:val="00537722"/>
    <w:rsid w:val="0053777F"/>
    <w:rsid w:val="005377BF"/>
    <w:rsid w:val="005378BD"/>
    <w:rsid w:val="005379DB"/>
    <w:rsid w:val="00537B0E"/>
    <w:rsid w:val="00537B3C"/>
    <w:rsid w:val="00537BA8"/>
    <w:rsid w:val="00537C1B"/>
    <w:rsid w:val="00537D0B"/>
    <w:rsid w:val="00537F36"/>
    <w:rsid w:val="0053AC5C"/>
    <w:rsid w:val="00540003"/>
    <w:rsid w:val="0054002E"/>
    <w:rsid w:val="005400A0"/>
    <w:rsid w:val="005401F0"/>
    <w:rsid w:val="0054023C"/>
    <w:rsid w:val="0054030A"/>
    <w:rsid w:val="00540340"/>
    <w:rsid w:val="00540418"/>
    <w:rsid w:val="00540595"/>
    <w:rsid w:val="005405B7"/>
    <w:rsid w:val="005405C2"/>
    <w:rsid w:val="00540684"/>
    <w:rsid w:val="00540776"/>
    <w:rsid w:val="00540869"/>
    <w:rsid w:val="005408E5"/>
    <w:rsid w:val="00540BE3"/>
    <w:rsid w:val="00540C0B"/>
    <w:rsid w:val="00540C57"/>
    <w:rsid w:val="00540D42"/>
    <w:rsid w:val="00540E41"/>
    <w:rsid w:val="00540FAE"/>
    <w:rsid w:val="00540FC3"/>
    <w:rsid w:val="00540FDD"/>
    <w:rsid w:val="00540FF9"/>
    <w:rsid w:val="005411F5"/>
    <w:rsid w:val="00541590"/>
    <w:rsid w:val="005419F1"/>
    <w:rsid w:val="00541AEE"/>
    <w:rsid w:val="00541DED"/>
    <w:rsid w:val="00541E53"/>
    <w:rsid w:val="00542138"/>
    <w:rsid w:val="00542157"/>
    <w:rsid w:val="005424F2"/>
    <w:rsid w:val="0054263A"/>
    <w:rsid w:val="00542783"/>
    <w:rsid w:val="005427BF"/>
    <w:rsid w:val="00542A5A"/>
    <w:rsid w:val="00542C94"/>
    <w:rsid w:val="00542CB9"/>
    <w:rsid w:val="00542EC1"/>
    <w:rsid w:val="00542F38"/>
    <w:rsid w:val="00543016"/>
    <w:rsid w:val="005430B1"/>
    <w:rsid w:val="00543116"/>
    <w:rsid w:val="00543263"/>
    <w:rsid w:val="00543300"/>
    <w:rsid w:val="00543406"/>
    <w:rsid w:val="005435E7"/>
    <w:rsid w:val="0054364B"/>
    <w:rsid w:val="005436C2"/>
    <w:rsid w:val="005437D5"/>
    <w:rsid w:val="00543830"/>
    <w:rsid w:val="00543869"/>
    <w:rsid w:val="0054389B"/>
    <w:rsid w:val="0054389E"/>
    <w:rsid w:val="005438E2"/>
    <w:rsid w:val="0054390E"/>
    <w:rsid w:val="00543A14"/>
    <w:rsid w:val="00543BED"/>
    <w:rsid w:val="00543BEF"/>
    <w:rsid w:val="00543C53"/>
    <w:rsid w:val="00543C92"/>
    <w:rsid w:val="00543CDC"/>
    <w:rsid w:val="00543D7E"/>
    <w:rsid w:val="00543D9A"/>
    <w:rsid w:val="00543EF7"/>
    <w:rsid w:val="00543F9D"/>
    <w:rsid w:val="005440B4"/>
    <w:rsid w:val="005440BB"/>
    <w:rsid w:val="005442DC"/>
    <w:rsid w:val="0054432D"/>
    <w:rsid w:val="005443A4"/>
    <w:rsid w:val="00544495"/>
    <w:rsid w:val="00544790"/>
    <w:rsid w:val="00544AB2"/>
    <w:rsid w:val="00544B4D"/>
    <w:rsid w:val="00544BA5"/>
    <w:rsid w:val="00544C61"/>
    <w:rsid w:val="00544CBF"/>
    <w:rsid w:val="00544E70"/>
    <w:rsid w:val="00545090"/>
    <w:rsid w:val="005450ED"/>
    <w:rsid w:val="005450F7"/>
    <w:rsid w:val="005451B9"/>
    <w:rsid w:val="00545315"/>
    <w:rsid w:val="00545381"/>
    <w:rsid w:val="00545442"/>
    <w:rsid w:val="005455BE"/>
    <w:rsid w:val="00545643"/>
    <w:rsid w:val="00545667"/>
    <w:rsid w:val="0054570A"/>
    <w:rsid w:val="00545723"/>
    <w:rsid w:val="00545725"/>
    <w:rsid w:val="0054576E"/>
    <w:rsid w:val="00545A61"/>
    <w:rsid w:val="00545ADB"/>
    <w:rsid w:val="00545BEF"/>
    <w:rsid w:val="00545C48"/>
    <w:rsid w:val="00545DD8"/>
    <w:rsid w:val="00545DEA"/>
    <w:rsid w:val="00545FF5"/>
    <w:rsid w:val="00546049"/>
    <w:rsid w:val="00546274"/>
    <w:rsid w:val="005462B1"/>
    <w:rsid w:val="00546394"/>
    <w:rsid w:val="005463C5"/>
    <w:rsid w:val="00546414"/>
    <w:rsid w:val="005464AF"/>
    <w:rsid w:val="005465DB"/>
    <w:rsid w:val="00546679"/>
    <w:rsid w:val="005466B2"/>
    <w:rsid w:val="00546863"/>
    <w:rsid w:val="0054694C"/>
    <w:rsid w:val="00546A63"/>
    <w:rsid w:val="00546BDD"/>
    <w:rsid w:val="00546D2F"/>
    <w:rsid w:val="00546D42"/>
    <w:rsid w:val="00546DE9"/>
    <w:rsid w:val="00546F14"/>
    <w:rsid w:val="00546FB7"/>
    <w:rsid w:val="00546FDD"/>
    <w:rsid w:val="00547009"/>
    <w:rsid w:val="00547099"/>
    <w:rsid w:val="00547131"/>
    <w:rsid w:val="00547140"/>
    <w:rsid w:val="005471BF"/>
    <w:rsid w:val="0054733E"/>
    <w:rsid w:val="005474CC"/>
    <w:rsid w:val="005474EB"/>
    <w:rsid w:val="0054760C"/>
    <w:rsid w:val="0054789F"/>
    <w:rsid w:val="00547A36"/>
    <w:rsid w:val="00547B10"/>
    <w:rsid w:val="00547C52"/>
    <w:rsid w:val="00547D36"/>
    <w:rsid w:val="00547EEA"/>
    <w:rsid w:val="00547F81"/>
    <w:rsid w:val="00550007"/>
    <w:rsid w:val="00550062"/>
    <w:rsid w:val="005501A0"/>
    <w:rsid w:val="00550201"/>
    <w:rsid w:val="00550271"/>
    <w:rsid w:val="00550441"/>
    <w:rsid w:val="00550759"/>
    <w:rsid w:val="0055081D"/>
    <w:rsid w:val="0055087C"/>
    <w:rsid w:val="00550A05"/>
    <w:rsid w:val="00550A0D"/>
    <w:rsid w:val="00550BB2"/>
    <w:rsid w:val="00550D0A"/>
    <w:rsid w:val="00550EEA"/>
    <w:rsid w:val="0055107A"/>
    <w:rsid w:val="0055109F"/>
    <w:rsid w:val="005510D3"/>
    <w:rsid w:val="00551138"/>
    <w:rsid w:val="00551169"/>
    <w:rsid w:val="0055150C"/>
    <w:rsid w:val="00551558"/>
    <w:rsid w:val="005517AA"/>
    <w:rsid w:val="0055180E"/>
    <w:rsid w:val="00551889"/>
    <w:rsid w:val="00551B7C"/>
    <w:rsid w:val="00551B81"/>
    <w:rsid w:val="00551BB4"/>
    <w:rsid w:val="00551CE1"/>
    <w:rsid w:val="00551D5D"/>
    <w:rsid w:val="00551D9B"/>
    <w:rsid w:val="00552140"/>
    <w:rsid w:val="00552243"/>
    <w:rsid w:val="005522DB"/>
    <w:rsid w:val="005524ED"/>
    <w:rsid w:val="005526F0"/>
    <w:rsid w:val="00552737"/>
    <w:rsid w:val="005527A0"/>
    <w:rsid w:val="00552815"/>
    <w:rsid w:val="00552886"/>
    <w:rsid w:val="005528A3"/>
    <w:rsid w:val="005529B8"/>
    <w:rsid w:val="00552A92"/>
    <w:rsid w:val="00552C50"/>
    <w:rsid w:val="00552D05"/>
    <w:rsid w:val="00552D14"/>
    <w:rsid w:val="00552E79"/>
    <w:rsid w:val="00552F0F"/>
    <w:rsid w:val="0055301F"/>
    <w:rsid w:val="005530A7"/>
    <w:rsid w:val="005530D3"/>
    <w:rsid w:val="005531BD"/>
    <w:rsid w:val="0055323F"/>
    <w:rsid w:val="00553270"/>
    <w:rsid w:val="00553381"/>
    <w:rsid w:val="0055339A"/>
    <w:rsid w:val="00553494"/>
    <w:rsid w:val="005534D8"/>
    <w:rsid w:val="00553550"/>
    <w:rsid w:val="00553787"/>
    <w:rsid w:val="005538F2"/>
    <w:rsid w:val="00553A12"/>
    <w:rsid w:val="00553ABD"/>
    <w:rsid w:val="00553C13"/>
    <w:rsid w:val="00553C28"/>
    <w:rsid w:val="00553C52"/>
    <w:rsid w:val="00553D16"/>
    <w:rsid w:val="00553DA3"/>
    <w:rsid w:val="00553DFA"/>
    <w:rsid w:val="00553E1B"/>
    <w:rsid w:val="00554023"/>
    <w:rsid w:val="005540F5"/>
    <w:rsid w:val="0055415C"/>
    <w:rsid w:val="00554298"/>
    <w:rsid w:val="00554332"/>
    <w:rsid w:val="00554450"/>
    <w:rsid w:val="005545D1"/>
    <w:rsid w:val="0055488A"/>
    <w:rsid w:val="005548FB"/>
    <w:rsid w:val="00554A0D"/>
    <w:rsid w:val="00554A3B"/>
    <w:rsid w:val="00554CAF"/>
    <w:rsid w:val="00554E42"/>
    <w:rsid w:val="00555054"/>
    <w:rsid w:val="005550FC"/>
    <w:rsid w:val="00555237"/>
    <w:rsid w:val="00555320"/>
    <w:rsid w:val="005553D9"/>
    <w:rsid w:val="0055557F"/>
    <w:rsid w:val="005555A1"/>
    <w:rsid w:val="00555703"/>
    <w:rsid w:val="005559EA"/>
    <w:rsid w:val="00555AC8"/>
    <w:rsid w:val="00555B12"/>
    <w:rsid w:val="00555D68"/>
    <w:rsid w:val="00555F36"/>
    <w:rsid w:val="00556011"/>
    <w:rsid w:val="005562C3"/>
    <w:rsid w:val="005564B4"/>
    <w:rsid w:val="00556505"/>
    <w:rsid w:val="005566B0"/>
    <w:rsid w:val="005567B2"/>
    <w:rsid w:val="00556851"/>
    <w:rsid w:val="00556A3A"/>
    <w:rsid w:val="00556A54"/>
    <w:rsid w:val="00556BB3"/>
    <w:rsid w:val="00556CAC"/>
    <w:rsid w:val="00556D1A"/>
    <w:rsid w:val="00556D54"/>
    <w:rsid w:val="00556D7F"/>
    <w:rsid w:val="00556D82"/>
    <w:rsid w:val="00556EDB"/>
    <w:rsid w:val="00556EEC"/>
    <w:rsid w:val="00556F0A"/>
    <w:rsid w:val="0055724C"/>
    <w:rsid w:val="0055732B"/>
    <w:rsid w:val="0055734B"/>
    <w:rsid w:val="0055746A"/>
    <w:rsid w:val="0055753F"/>
    <w:rsid w:val="005575C0"/>
    <w:rsid w:val="00557691"/>
    <w:rsid w:val="005576C9"/>
    <w:rsid w:val="00557797"/>
    <w:rsid w:val="005577A4"/>
    <w:rsid w:val="00557870"/>
    <w:rsid w:val="0055792F"/>
    <w:rsid w:val="00557935"/>
    <w:rsid w:val="00557B11"/>
    <w:rsid w:val="00557B5C"/>
    <w:rsid w:val="00557BA9"/>
    <w:rsid w:val="00557C5F"/>
    <w:rsid w:val="00557CA8"/>
    <w:rsid w:val="00557D5A"/>
    <w:rsid w:val="00557DAF"/>
    <w:rsid w:val="00557E27"/>
    <w:rsid w:val="00557E31"/>
    <w:rsid w:val="00557EC8"/>
    <w:rsid w:val="00557FCA"/>
    <w:rsid w:val="00558309"/>
    <w:rsid w:val="0056000B"/>
    <w:rsid w:val="005600A4"/>
    <w:rsid w:val="00560277"/>
    <w:rsid w:val="005603EB"/>
    <w:rsid w:val="00560485"/>
    <w:rsid w:val="005605E6"/>
    <w:rsid w:val="0056075A"/>
    <w:rsid w:val="00560848"/>
    <w:rsid w:val="005608C5"/>
    <w:rsid w:val="00560938"/>
    <w:rsid w:val="0056093A"/>
    <w:rsid w:val="00560AF1"/>
    <w:rsid w:val="00560DCD"/>
    <w:rsid w:val="00560F90"/>
    <w:rsid w:val="005610F9"/>
    <w:rsid w:val="00561167"/>
    <w:rsid w:val="0056119E"/>
    <w:rsid w:val="005611BB"/>
    <w:rsid w:val="0056139A"/>
    <w:rsid w:val="005613A5"/>
    <w:rsid w:val="005613D9"/>
    <w:rsid w:val="0056154F"/>
    <w:rsid w:val="00561562"/>
    <w:rsid w:val="0056187D"/>
    <w:rsid w:val="005619A3"/>
    <w:rsid w:val="005619C5"/>
    <w:rsid w:val="00561A74"/>
    <w:rsid w:val="00561BB1"/>
    <w:rsid w:val="00561CBC"/>
    <w:rsid w:val="00561E8C"/>
    <w:rsid w:val="00561EDF"/>
    <w:rsid w:val="00561F90"/>
    <w:rsid w:val="005620B6"/>
    <w:rsid w:val="0056216A"/>
    <w:rsid w:val="005621BE"/>
    <w:rsid w:val="0056231D"/>
    <w:rsid w:val="00562492"/>
    <w:rsid w:val="00562619"/>
    <w:rsid w:val="00562691"/>
    <w:rsid w:val="005626C4"/>
    <w:rsid w:val="0056287B"/>
    <w:rsid w:val="0056290B"/>
    <w:rsid w:val="00562944"/>
    <w:rsid w:val="005629BC"/>
    <w:rsid w:val="00562A12"/>
    <w:rsid w:val="00562A2D"/>
    <w:rsid w:val="00562A37"/>
    <w:rsid w:val="00562BAD"/>
    <w:rsid w:val="00562BAE"/>
    <w:rsid w:val="00562C78"/>
    <w:rsid w:val="00562D4B"/>
    <w:rsid w:val="00563311"/>
    <w:rsid w:val="005633C8"/>
    <w:rsid w:val="005634A2"/>
    <w:rsid w:val="00563571"/>
    <w:rsid w:val="005635B9"/>
    <w:rsid w:val="005635E6"/>
    <w:rsid w:val="005636CE"/>
    <w:rsid w:val="005636E2"/>
    <w:rsid w:val="005638B0"/>
    <w:rsid w:val="00563AE4"/>
    <w:rsid w:val="00563D33"/>
    <w:rsid w:val="00563DE6"/>
    <w:rsid w:val="00563EBF"/>
    <w:rsid w:val="00563EDD"/>
    <w:rsid w:val="00563FC3"/>
    <w:rsid w:val="0056409B"/>
    <w:rsid w:val="005640B6"/>
    <w:rsid w:val="00564187"/>
    <w:rsid w:val="005641AD"/>
    <w:rsid w:val="005642FE"/>
    <w:rsid w:val="00564362"/>
    <w:rsid w:val="00564488"/>
    <w:rsid w:val="00564614"/>
    <w:rsid w:val="005646E5"/>
    <w:rsid w:val="0056471B"/>
    <w:rsid w:val="00564820"/>
    <w:rsid w:val="0056496D"/>
    <w:rsid w:val="00564A4B"/>
    <w:rsid w:val="00564AAB"/>
    <w:rsid w:val="00564ADD"/>
    <w:rsid w:val="00564B20"/>
    <w:rsid w:val="00564D6E"/>
    <w:rsid w:val="00564F48"/>
    <w:rsid w:val="00565049"/>
    <w:rsid w:val="005651FB"/>
    <w:rsid w:val="0056528D"/>
    <w:rsid w:val="00565316"/>
    <w:rsid w:val="00565378"/>
    <w:rsid w:val="005654FD"/>
    <w:rsid w:val="00565502"/>
    <w:rsid w:val="00565771"/>
    <w:rsid w:val="00565895"/>
    <w:rsid w:val="005659C7"/>
    <w:rsid w:val="005659ED"/>
    <w:rsid w:val="00565A6C"/>
    <w:rsid w:val="00565ABD"/>
    <w:rsid w:val="00565B7E"/>
    <w:rsid w:val="00565B89"/>
    <w:rsid w:val="00565C80"/>
    <w:rsid w:val="00565DEF"/>
    <w:rsid w:val="00565F91"/>
    <w:rsid w:val="0056611C"/>
    <w:rsid w:val="00566270"/>
    <w:rsid w:val="0056628B"/>
    <w:rsid w:val="00566298"/>
    <w:rsid w:val="005664FE"/>
    <w:rsid w:val="00566663"/>
    <w:rsid w:val="00566707"/>
    <w:rsid w:val="0056674A"/>
    <w:rsid w:val="005667BE"/>
    <w:rsid w:val="00566960"/>
    <w:rsid w:val="005669B9"/>
    <w:rsid w:val="005669FE"/>
    <w:rsid w:val="00566A48"/>
    <w:rsid w:val="00566A59"/>
    <w:rsid w:val="00566A61"/>
    <w:rsid w:val="00566ACB"/>
    <w:rsid w:val="00566BA6"/>
    <w:rsid w:val="00566CA0"/>
    <w:rsid w:val="00566CFE"/>
    <w:rsid w:val="00566D38"/>
    <w:rsid w:val="00566F42"/>
    <w:rsid w:val="00566FED"/>
    <w:rsid w:val="005670FD"/>
    <w:rsid w:val="005672D8"/>
    <w:rsid w:val="005673EC"/>
    <w:rsid w:val="005673ED"/>
    <w:rsid w:val="00567433"/>
    <w:rsid w:val="0056760C"/>
    <w:rsid w:val="005677EB"/>
    <w:rsid w:val="0056794C"/>
    <w:rsid w:val="005679F4"/>
    <w:rsid w:val="00567BDA"/>
    <w:rsid w:val="00567DB5"/>
    <w:rsid w:val="00567DDF"/>
    <w:rsid w:val="00567E1A"/>
    <w:rsid w:val="00567E3A"/>
    <w:rsid w:val="00570488"/>
    <w:rsid w:val="00570561"/>
    <w:rsid w:val="005705BF"/>
    <w:rsid w:val="005707AD"/>
    <w:rsid w:val="005707B0"/>
    <w:rsid w:val="0057080E"/>
    <w:rsid w:val="00570850"/>
    <w:rsid w:val="005708E1"/>
    <w:rsid w:val="0057091E"/>
    <w:rsid w:val="0057092A"/>
    <w:rsid w:val="00570AC2"/>
    <w:rsid w:val="00570ACF"/>
    <w:rsid w:val="00570B2D"/>
    <w:rsid w:val="00570E51"/>
    <w:rsid w:val="00570E7B"/>
    <w:rsid w:val="00570EF4"/>
    <w:rsid w:val="00571010"/>
    <w:rsid w:val="00571019"/>
    <w:rsid w:val="00571086"/>
    <w:rsid w:val="00571427"/>
    <w:rsid w:val="0057159A"/>
    <w:rsid w:val="0057166C"/>
    <w:rsid w:val="00571690"/>
    <w:rsid w:val="00571790"/>
    <w:rsid w:val="005717F9"/>
    <w:rsid w:val="00571816"/>
    <w:rsid w:val="00571A25"/>
    <w:rsid w:val="00571B3D"/>
    <w:rsid w:val="00571C42"/>
    <w:rsid w:val="00571CD7"/>
    <w:rsid w:val="00571F86"/>
    <w:rsid w:val="0057209C"/>
    <w:rsid w:val="005721D5"/>
    <w:rsid w:val="00572229"/>
    <w:rsid w:val="005722D9"/>
    <w:rsid w:val="00572314"/>
    <w:rsid w:val="005723D6"/>
    <w:rsid w:val="00572423"/>
    <w:rsid w:val="0057252E"/>
    <w:rsid w:val="00572578"/>
    <w:rsid w:val="005725E7"/>
    <w:rsid w:val="005726C9"/>
    <w:rsid w:val="0057286F"/>
    <w:rsid w:val="005728CF"/>
    <w:rsid w:val="00572A5B"/>
    <w:rsid w:val="00572CE0"/>
    <w:rsid w:val="00572D77"/>
    <w:rsid w:val="00572DD4"/>
    <w:rsid w:val="00572E2F"/>
    <w:rsid w:val="00572E34"/>
    <w:rsid w:val="00572F55"/>
    <w:rsid w:val="00572F9C"/>
    <w:rsid w:val="00573050"/>
    <w:rsid w:val="0057331E"/>
    <w:rsid w:val="00573375"/>
    <w:rsid w:val="005734E4"/>
    <w:rsid w:val="0057354F"/>
    <w:rsid w:val="00573589"/>
    <w:rsid w:val="00573685"/>
    <w:rsid w:val="005736CB"/>
    <w:rsid w:val="005736ED"/>
    <w:rsid w:val="0057374D"/>
    <w:rsid w:val="005737C7"/>
    <w:rsid w:val="00573835"/>
    <w:rsid w:val="005738B8"/>
    <w:rsid w:val="005739BA"/>
    <w:rsid w:val="005739FA"/>
    <w:rsid w:val="00573A7B"/>
    <w:rsid w:val="00573AD6"/>
    <w:rsid w:val="00573B06"/>
    <w:rsid w:val="00573B84"/>
    <w:rsid w:val="00573C93"/>
    <w:rsid w:val="00573EA3"/>
    <w:rsid w:val="00573ED7"/>
    <w:rsid w:val="00573EF0"/>
    <w:rsid w:val="00574039"/>
    <w:rsid w:val="00574110"/>
    <w:rsid w:val="00574123"/>
    <w:rsid w:val="0057424A"/>
    <w:rsid w:val="00574262"/>
    <w:rsid w:val="005742A0"/>
    <w:rsid w:val="005743A2"/>
    <w:rsid w:val="00574489"/>
    <w:rsid w:val="00574553"/>
    <w:rsid w:val="00574565"/>
    <w:rsid w:val="00574567"/>
    <w:rsid w:val="00574773"/>
    <w:rsid w:val="00574904"/>
    <w:rsid w:val="00574988"/>
    <w:rsid w:val="00574A6E"/>
    <w:rsid w:val="00574BAA"/>
    <w:rsid w:val="00574D68"/>
    <w:rsid w:val="00574DF8"/>
    <w:rsid w:val="00574E3F"/>
    <w:rsid w:val="00575029"/>
    <w:rsid w:val="0057512A"/>
    <w:rsid w:val="0057520F"/>
    <w:rsid w:val="0057523B"/>
    <w:rsid w:val="00575404"/>
    <w:rsid w:val="00575462"/>
    <w:rsid w:val="00575A42"/>
    <w:rsid w:val="00575A4B"/>
    <w:rsid w:val="00575AEC"/>
    <w:rsid w:val="00575BFB"/>
    <w:rsid w:val="00575C41"/>
    <w:rsid w:val="00575CE5"/>
    <w:rsid w:val="00575E76"/>
    <w:rsid w:val="00575E94"/>
    <w:rsid w:val="00575EAA"/>
    <w:rsid w:val="0057605A"/>
    <w:rsid w:val="00576077"/>
    <w:rsid w:val="005760D3"/>
    <w:rsid w:val="00576101"/>
    <w:rsid w:val="0057614F"/>
    <w:rsid w:val="00576237"/>
    <w:rsid w:val="00576296"/>
    <w:rsid w:val="00576371"/>
    <w:rsid w:val="0057667D"/>
    <w:rsid w:val="005766FD"/>
    <w:rsid w:val="0057674B"/>
    <w:rsid w:val="00576807"/>
    <w:rsid w:val="0057692B"/>
    <w:rsid w:val="0057693C"/>
    <w:rsid w:val="00576AB8"/>
    <w:rsid w:val="00576B01"/>
    <w:rsid w:val="00576BB4"/>
    <w:rsid w:val="00576BEC"/>
    <w:rsid w:val="00576E1A"/>
    <w:rsid w:val="00576F42"/>
    <w:rsid w:val="00576FD7"/>
    <w:rsid w:val="00577030"/>
    <w:rsid w:val="00577145"/>
    <w:rsid w:val="0057715D"/>
    <w:rsid w:val="005771C6"/>
    <w:rsid w:val="00577249"/>
    <w:rsid w:val="0057730D"/>
    <w:rsid w:val="005773BE"/>
    <w:rsid w:val="00577533"/>
    <w:rsid w:val="005775CD"/>
    <w:rsid w:val="005775DD"/>
    <w:rsid w:val="00577616"/>
    <w:rsid w:val="00577752"/>
    <w:rsid w:val="00577757"/>
    <w:rsid w:val="005777AF"/>
    <w:rsid w:val="005778A2"/>
    <w:rsid w:val="00577A1D"/>
    <w:rsid w:val="00577ADA"/>
    <w:rsid w:val="00577B1D"/>
    <w:rsid w:val="00577B4D"/>
    <w:rsid w:val="00577B97"/>
    <w:rsid w:val="00577C3D"/>
    <w:rsid w:val="00577C7A"/>
    <w:rsid w:val="00577CD5"/>
    <w:rsid w:val="00577E27"/>
    <w:rsid w:val="00580137"/>
    <w:rsid w:val="0058013B"/>
    <w:rsid w:val="005802D4"/>
    <w:rsid w:val="00580310"/>
    <w:rsid w:val="005803C4"/>
    <w:rsid w:val="0058047E"/>
    <w:rsid w:val="005804CA"/>
    <w:rsid w:val="0058051D"/>
    <w:rsid w:val="0058059B"/>
    <w:rsid w:val="005805A8"/>
    <w:rsid w:val="005805B8"/>
    <w:rsid w:val="0058076B"/>
    <w:rsid w:val="0058076E"/>
    <w:rsid w:val="00580883"/>
    <w:rsid w:val="005808A5"/>
    <w:rsid w:val="00580942"/>
    <w:rsid w:val="005809BE"/>
    <w:rsid w:val="005809F4"/>
    <w:rsid w:val="00580A0E"/>
    <w:rsid w:val="00580B25"/>
    <w:rsid w:val="00580B61"/>
    <w:rsid w:val="00580BC9"/>
    <w:rsid w:val="00580C1D"/>
    <w:rsid w:val="00580D22"/>
    <w:rsid w:val="00580ED7"/>
    <w:rsid w:val="00580EE8"/>
    <w:rsid w:val="00580EEE"/>
    <w:rsid w:val="00580EF8"/>
    <w:rsid w:val="005811D1"/>
    <w:rsid w:val="00581282"/>
    <w:rsid w:val="005813DA"/>
    <w:rsid w:val="00581422"/>
    <w:rsid w:val="0058149F"/>
    <w:rsid w:val="005814D2"/>
    <w:rsid w:val="005815DA"/>
    <w:rsid w:val="00581601"/>
    <w:rsid w:val="00581647"/>
    <w:rsid w:val="0058169B"/>
    <w:rsid w:val="005816D5"/>
    <w:rsid w:val="00581932"/>
    <w:rsid w:val="00581935"/>
    <w:rsid w:val="005819F0"/>
    <w:rsid w:val="00581B02"/>
    <w:rsid w:val="00581CA8"/>
    <w:rsid w:val="00581D1C"/>
    <w:rsid w:val="00581D2B"/>
    <w:rsid w:val="00581D6C"/>
    <w:rsid w:val="00581E67"/>
    <w:rsid w:val="00581F43"/>
    <w:rsid w:val="00581F9B"/>
    <w:rsid w:val="0058201D"/>
    <w:rsid w:val="0058201F"/>
    <w:rsid w:val="00582021"/>
    <w:rsid w:val="00582054"/>
    <w:rsid w:val="005820D1"/>
    <w:rsid w:val="005821C0"/>
    <w:rsid w:val="00582365"/>
    <w:rsid w:val="005823E1"/>
    <w:rsid w:val="0058247E"/>
    <w:rsid w:val="00582528"/>
    <w:rsid w:val="00582798"/>
    <w:rsid w:val="005828F2"/>
    <w:rsid w:val="0058290D"/>
    <w:rsid w:val="005829BD"/>
    <w:rsid w:val="00582A81"/>
    <w:rsid w:val="00582BAA"/>
    <w:rsid w:val="00582C22"/>
    <w:rsid w:val="00582C2E"/>
    <w:rsid w:val="00582CB2"/>
    <w:rsid w:val="00582CF8"/>
    <w:rsid w:val="00582D2F"/>
    <w:rsid w:val="00582E2F"/>
    <w:rsid w:val="00582E39"/>
    <w:rsid w:val="00583068"/>
    <w:rsid w:val="005830BB"/>
    <w:rsid w:val="005832BD"/>
    <w:rsid w:val="0058333F"/>
    <w:rsid w:val="0058336B"/>
    <w:rsid w:val="005833C9"/>
    <w:rsid w:val="005834E7"/>
    <w:rsid w:val="005837FE"/>
    <w:rsid w:val="00583828"/>
    <w:rsid w:val="00583869"/>
    <w:rsid w:val="005838A1"/>
    <w:rsid w:val="0058390F"/>
    <w:rsid w:val="0058397D"/>
    <w:rsid w:val="00583AA5"/>
    <w:rsid w:val="00583AC9"/>
    <w:rsid w:val="00583B55"/>
    <w:rsid w:val="00583C5B"/>
    <w:rsid w:val="00583DB0"/>
    <w:rsid w:val="00583F68"/>
    <w:rsid w:val="00583FD3"/>
    <w:rsid w:val="0058403C"/>
    <w:rsid w:val="0058413D"/>
    <w:rsid w:val="00584167"/>
    <w:rsid w:val="00584256"/>
    <w:rsid w:val="0058425F"/>
    <w:rsid w:val="0058426D"/>
    <w:rsid w:val="00584430"/>
    <w:rsid w:val="005846A0"/>
    <w:rsid w:val="00584810"/>
    <w:rsid w:val="0058481E"/>
    <w:rsid w:val="0058494E"/>
    <w:rsid w:val="0058498D"/>
    <w:rsid w:val="005849F4"/>
    <w:rsid w:val="00584CEF"/>
    <w:rsid w:val="00584DDC"/>
    <w:rsid w:val="00584E33"/>
    <w:rsid w:val="00584F03"/>
    <w:rsid w:val="00584F5A"/>
    <w:rsid w:val="00585163"/>
    <w:rsid w:val="00585268"/>
    <w:rsid w:val="00585411"/>
    <w:rsid w:val="0058543E"/>
    <w:rsid w:val="005854CB"/>
    <w:rsid w:val="0058552C"/>
    <w:rsid w:val="005857DD"/>
    <w:rsid w:val="005857E1"/>
    <w:rsid w:val="00585A8C"/>
    <w:rsid w:val="00585ACD"/>
    <w:rsid w:val="00585B16"/>
    <w:rsid w:val="00585B9E"/>
    <w:rsid w:val="00585C1B"/>
    <w:rsid w:val="00585CBF"/>
    <w:rsid w:val="00585CFC"/>
    <w:rsid w:val="00585DD5"/>
    <w:rsid w:val="00585F6A"/>
    <w:rsid w:val="00585FE0"/>
    <w:rsid w:val="0058630B"/>
    <w:rsid w:val="005863F7"/>
    <w:rsid w:val="00586737"/>
    <w:rsid w:val="005867A1"/>
    <w:rsid w:val="00586A33"/>
    <w:rsid w:val="00586B3E"/>
    <w:rsid w:val="00586BDA"/>
    <w:rsid w:val="00587037"/>
    <w:rsid w:val="00587038"/>
    <w:rsid w:val="00587136"/>
    <w:rsid w:val="00587229"/>
    <w:rsid w:val="005872DD"/>
    <w:rsid w:val="00587301"/>
    <w:rsid w:val="005873EA"/>
    <w:rsid w:val="00587639"/>
    <w:rsid w:val="00587692"/>
    <w:rsid w:val="005876EA"/>
    <w:rsid w:val="00587707"/>
    <w:rsid w:val="00587788"/>
    <w:rsid w:val="00587BDF"/>
    <w:rsid w:val="00587D61"/>
    <w:rsid w:val="00587D7D"/>
    <w:rsid w:val="00587FD3"/>
    <w:rsid w:val="0059006F"/>
    <w:rsid w:val="00590152"/>
    <w:rsid w:val="005901F1"/>
    <w:rsid w:val="00590301"/>
    <w:rsid w:val="005904F4"/>
    <w:rsid w:val="005906C6"/>
    <w:rsid w:val="00590734"/>
    <w:rsid w:val="005908B2"/>
    <w:rsid w:val="00590A58"/>
    <w:rsid w:val="00590B6B"/>
    <w:rsid w:val="00590D25"/>
    <w:rsid w:val="00590F8F"/>
    <w:rsid w:val="00591089"/>
    <w:rsid w:val="00591272"/>
    <w:rsid w:val="00591343"/>
    <w:rsid w:val="00591352"/>
    <w:rsid w:val="00591368"/>
    <w:rsid w:val="00591392"/>
    <w:rsid w:val="00591490"/>
    <w:rsid w:val="005915FD"/>
    <w:rsid w:val="00591621"/>
    <w:rsid w:val="00591720"/>
    <w:rsid w:val="00591732"/>
    <w:rsid w:val="00591833"/>
    <w:rsid w:val="00591856"/>
    <w:rsid w:val="00591B85"/>
    <w:rsid w:val="00591B91"/>
    <w:rsid w:val="00591B93"/>
    <w:rsid w:val="00591C2B"/>
    <w:rsid w:val="00591CCD"/>
    <w:rsid w:val="00591EB4"/>
    <w:rsid w:val="00591EFF"/>
    <w:rsid w:val="00591F69"/>
    <w:rsid w:val="00591F83"/>
    <w:rsid w:val="00591FF9"/>
    <w:rsid w:val="0059202C"/>
    <w:rsid w:val="00592266"/>
    <w:rsid w:val="005922A9"/>
    <w:rsid w:val="00592397"/>
    <w:rsid w:val="00592466"/>
    <w:rsid w:val="005924C0"/>
    <w:rsid w:val="00592514"/>
    <w:rsid w:val="0059252E"/>
    <w:rsid w:val="00592638"/>
    <w:rsid w:val="00592776"/>
    <w:rsid w:val="005927E3"/>
    <w:rsid w:val="00592821"/>
    <w:rsid w:val="00592831"/>
    <w:rsid w:val="00592988"/>
    <w:rsid w:val="00592A33"/>
    <w:rsid w:val="00592A6F"/>
    <w:rsid w:val="00592B4C"/>
    <w:rsid w:val="00592BC3"/>
    <w:rsid w:val="00592C4C"/>
    <w:rsid w:val="00592C84"/>
    <w:rsid w:val="00592D64"/>
    <w:rsid w:val="00592E9B"/>
    <w:rsid w:val="00592EED"/>
    <w:rsid w:val="0059304D"/>
    <w:rsid w:val="005930DA"/>
    <w:rsid w:val="00593138"/>
    <w:rsid w:val="005932BC"/>
    <w:rsid w:val="005934FB"/>
    <w:rsid w:val="005935FF"/>
    <w:rsid w:val="00593613"/>
    <w:rsid w:val="00593687"/>
    <w:rsid w:val="0059383A"/>
    <w:rsid w:val="00593882"/>
    <w:rsid w:val="0059388F"/>
    <w:rsid w:val="005939EA"/>
    <w:rsid w:val="00593A1A"/>
    <w:rsid w:val="00593A33"/>
    <w:rsid w:val="00593A39"/>
    <w:rsid w:val="00593A68"/>
    <w:rsid w:val="00593D61"/>
    <w:rsid w:val="00593DB3"/>
    <w:rsid w:val="00593EAC"/>
    <w:rsid w:val="00593F6C"/>
    <w:rsid w:val="005941C4"/>
    <w:rsid w:val="00594231"/>
    <w:rsid w:val="005942EB"/>
    <w:rsid w:val="005942F7"/>
    <w:rsid w:val="005944EE"/>
    <w:rsid w:val="00594671"/>
    <w:rsid w:val="005946BC"/>
    <w:rsid w:val="005947B5"/>
    <w:rsid w:val="0059485E"/>
    <w:rsid w:val="00594AC4"/>
    <w:rsid w:val="00594B5B"/>
    <w:rsid w:val="00594C83"/>
    <w:rsid w:val="00594C9B"/>
    <w:rsid w:val="00594CC6"/>
    <w:rsid w:val="00594F35"/>
    <w:rsid w:val="00594F82"/>
    <w:rsid w:val="00595280"/>
    <w:rsid w:val="0059533A"/>
    <w:rsid w:val="00595360"/>
    <w:rsid w:val="0059555D"/>
    <w:rsid w:val="005955C0"/>
    <w:rsid w:val="0059576D"/>
    <w:rsid w:val="005957A9"/>
    <w:rsid w:val="005958C1"/>
    <w:rsid w:val="00595B79"/>
    <w:rsid w:val="00595DED"/>
    <w:rsid w:val="00595DEE"/>
    <w:rsid w:val="00595F42"/>
    <w:rsid w:val="00595F9F"/>
    <w:rsid w:val="005960BB"/>
    <w:rsid w:val="005960C8"/>
    <w:rsid w:val="0059619F"/>
    <w:rsid w:val="005961E5"/>
    <w:rsid w:val="00596211"/>
    <w:rsid w:val="005963BB"/>
    <w:rsid w:val="0059642F"/>
    <w:rsid w:val="00596538"/>
    <w:rsid w:val="00596561"/>
    <w:rsid w:val="00596660"/>
    <w:rsid w:val="005966DE"/>
    <w:rsid w:val="005966DF"/>
    <w:rsid w:val="005969BB"/>
    <w:rsid w:val="00596C4F"/>
    <w:rsid w:val="00596CCA"/>
    <w:rsid w:val="005970AE"/>
    <w:rsid w:val="005972E6"/>
    <w:rsid w:val="005973CB"/>
    <w:rsid w:val="00597407"/>
    <w:rsid w:val="0059746A"/>
    <w:rsid w:val="005974DA"/>
    <w:rsid w:val="0059751E"/>
    <w:rsid w:val="0059772A"/>
    <w:rsid w:val="00597779"/>
    <w:rsid w:val="00597789"/>
    <w:rsid w:val="00597810"/>
    <w:rsid w:val="0059782E"/>
    <w:rsid w:val="005978A9"/>
    <w:rsid w:val="005978C8"/>
    <w:rsid w:val="00597972"/>
    <w:rsid w:val="00597A4F"/>
    <w:rsid w:val="00597ABF"/>
    <w:rsid w:val="00597AE9"/>
    <w:rsid w:val="00597CCC"/>
    <w:rsid w:val="00597DC4"/>
    <w:rsid w:val="00597DE7"/>
    <w:rsid w:val="00597E14"/>
    <w:rsid w:val="00597E9D"/>
    <w:rsid w:val="00597F44"/>
    <w:rsid w:val="005A0039"/>
    <w:rsid w:val="005A0099"/>
    <w:rsid w:val="005A00E4"/>
    <w:rsid w:val="005A0103"/>
    <w:rsid w:val="005A0278"/>
    <w:rsid w:val="005A02BF"/>
    <w:rsid w:val="005A0496"/>
    <w:rsid w:val="005A0645"/>
    <w:rsid w:val="005A066E"/>
    <w:rsid w:val="005A06FC"/>
    <w:rsid w:val="005A0793"/>
    <w:rsid w:val="005A0879"/>
    <w:rsid w:val="005A09EA"/>
    <w:rsid w:val="005A0A3A"/>
    <w:rsid w:val="005A0A4E"/>
    <w:rsid w:val="005A0AC7"/>
    <w:rsid w:val="005A0D37"/>
    <w:rsid w:val="005A0D45"/>
    <w:rsid w:val="005A0EA7"/>
    <w:rsid w:val="005A0F71"/>
    <w:rsid w:val="005A0F9A"/>
    <w:rsid w:val="005A0FDE"/>
    <w:rsid w:val="005A10A0"/>
    <w:rsid w:val="005A11DF"/>
    <w:rsid w:val="005A124A"/>
    <w:rsid w:val="005A1260"/>
    <w:rsid w:val="005A12F7"/>
    <w:rsid w:val="005A137E"/>
    <w:rsid w:val="005A143C"/>
    <w:rsid w:val="005A1514"/>
    <w:rsid w:val="005A15C3"/>
    <w:rsid w:val="005A1773"/>
    <w:rsid w:val="005A1866"/>
    <w:rsid w:val="005A18A0"/>
    <w:rsid w:val="005A192E"/>
    <w:rsid w:val="005A19DE"/>
    <w:rsid w:val="005A1B0A"/>
    <w:rsid w:val="005A1B2A"/>
    <w:rsid w:val="005A1CDD"/>
    <w:rsid w:val="005A1CF2"/>
    <w:rsid w:val="005A1E53"/>
    <w:rsid w:val="005A1F00"/>
    <w:rsid w:val="005A1F53"/>
    <w:rsid w:val="005A2034"/>
    <w:rsid w:val="005A2055"/>
    <w:rsid w:val="005A207D"/>
    <w:rsid w:val="005A2466"/>
    <w:rsid w:val="005A24DA"/>
    <w:rsid w:val="005A250C"/>
    <w:rsid w:val="005A2922"/>
    <w:rsid w:val="005A2AB2"/>
    <w:rsid w:val="005A2AFE"/>
    <w:rsid w:val="005A2C42"/>
    <w:rsid w:val="005A2C51"/>
    <w:rsid w:val="005A2C5D"/>
    <w:rsid w:val="005A2C70"/>
    <w:rsid w:val="005A2C7A"/>
    <w:rsid w:val="005A2DC6"/>
    <w:rsid w:val="005A2EB6"/>
    <w:rsid w:val="005A3018"/>
    <w:rsid w:val="005A3025"/>
    <w:rsid w:val="005A3061"/>
    <w:rsid w:val="005A3155"/>
    <w:rsid w:val="005A31AE"/>
    <w:rsid w:val="005A323C"/>
    <w:rsid w:val="005A32E5"/>
    <w:rsid w:val="005A36E6"/>
    <w:rsid w:val="005A37EB"/>
    <w:rsid w:val="005A3876"/>
    <w:rsid w:val="005A3884"/>
    <w:rsid w:val="005A38BC"/>
    <w:rsid w:val="005A3AAF"/>
    <w:rsid w:val="005A3BE9"/>
    <w:rsid w:val="005A3D0E"/>
    <w:rsid w:val="005A3DD5"/>
    <w:rsid w:val="005A3EB8"/>
    <w:rsid w:val="005A3EFC"/>
    <w:rsid w:val="005A3F01"/>
    <w:rsid w:val="005A3F62"/>
    <w:rsid w:val="005A3F9A"/>
    <w:rsid w:val="005A4047"/>
    <w:rsid w:val="005A407F"/>
    <w:rsid w:val="005A40D6"/>
    <w:rsid w:val="005A40F7"/>
    <w:rsid w:val="005A411E"/>
    <w:rsid w:val="005A414D"/>
    <w:rsid w:val="005A4153"/>
    <w:rsid w:val="005A42D6"/>
    <w:rsid w:val="005A4384"/>
    <w:rsid w:val="005A4391"/>
    <w:rsid w:val="005A43CC"/>
    <w:rsid w:val="005A4441"/>
    <w:rsid w:val="005A44FB"/>
    <w:rsid w:val="005A45C1"/>
    <w:rsid w:val="005A462D"/>
    <w:rsid w:val="005A46E7"/>
    <w:rsid w:val="005A46FB"/>
    <w:rsid w:val="005A47AE"/>
    <w:rsid w:val="005A482E"/>
    <w:rsid w:val="005A4AC1"/>
    <w:rsid w:val="005A4C6D"/>
    <w:rsid w:val="005A4D04"/>
    <w:rsid w:val="005A4D99"/>
    <w:rsid w:val="005A4E1B"/>
    <w:rsid w:val="005A4ED9"/>
    <w:rsid w:val="005A5053"/>
    <w:rsid w:val="005A51B7"/>
    <w:rsid w:val="005A51BF"/>
    <w:rsid w:val="005A5280"/>
    <w:rsid w:val="005A53FD"/>
    <w:rsid w:val="005A55EF"/>
    <w:rsid w:val="005A580E"/>
    <w:rsid w:val="005A5950"/>
    <w:rsid w:val="005A5986"/>
    <w:rsid w:val="005A5A34"/>
    <w:rsid w:val="005A5B6C"/>
    <w:rsid w:val="005A5CF3"/>
    <w:rsid w:val="005A5D84"/>
    <w:rsid w:val="005A5F20"/>
    <w:rsid w:val="005A6261"/>
    <w:rsid w:val="005A628E"/>
    <w:rsid w:val="005A64F2"/>
    <w:rsid w:val="005A6506"/>
    <w:rsid w:val="005A66DB"/>
    <w:rsid w:val="005A6723"/>
    <w:rsid w:val="005A675C"/>
    <w:rsid w:val="005A675F"/>
    <w:rsid w:val="005A679F"/>
    <w:rsid w:val="005A6866"/>
    <w:rsid w:val="005A6AE8"/>
    <w:rsid w:val="005A6D77"/>
    <w:rsid w:val="005A6DCF"/>
    <w:rsid w:val="005A6DFF"/>
    <w:rsid w:val="005A6EB0"/>
    <w:rsid w:val="005A6EEF"/>
    <w:rsid w:val="005A7012"/>
    <w:rsid w:val="005A7075"/>
    <w:rsid w:val="005A7135"/>
    <w:rsid w:val="005A713D"/>
    <w:rsid w:val="005A71FF"/>
    <w:rsid w:val="005A74E7"/>
    <w:rsid w:val="005A74F0"/>
    <w:rsid w:val="005A7682"/>
    <w:rsid w:val="005A771C"/>
    <w:rsid w:val="005A77D3"/>
    <w:rsid w:val="005A7805"/>
    <w:rsid w:val="005A781A"/>
    <w:rsid w:val="005A7873"/>
    <w:rsid w:val="005A7885"/>
    <w:rsid w:val="005A795A"/>
    <w:rsid w:val="005A79C9"/>
    <w:rsid w:val="005A7A5E"/>
    <w:rsid w:val="005A7CB7"/>
    <w:rsid w:val="005A7CEC"/>
    <w:rsid w:val="005A7D2F"/>
    <w:rsid w:val="005A7D7D"/>
    <w:rsid w:val="005A7FFD"/>
    <w:rsid w:val="005B0136"/>
    <w:rsid w:val="005B01DF"/>
    <w:rsid w:val="005B01F3"/>
    <w:rsid w:val="005B023F"/>
    <w:rsid w:val="005B0322"/>
    <w:rsid w:val="005B034F"/>
    <w:rsid w:val="005B04A3"/>
    <w:rsid w:val="005B05FB"/>
    <w:rsid w:val="005B0643"/>
    <w:rsid w:val="005B06AC"/>
    <w:rsid w:val="005B083E"/>
    <w:rsid w:val="005B08A2"/>
    <w:rsid w:val="005B0946"/>
    <w:rsid w:val="005B0B02"/>
    <w:rsid w:val="005B0C21"/>
    <w:rsid w:val="005B0D0B"/>
    <w:rsid w:val="005B0EAC"/>
    <w:rsid w:val="005B1011"/>
    <w:rsid w:val="005B10D7"/>
    <w:rsid w:val="005B11D0"/>
    <w:rsid w:val="005B121B"/>
    <w:rsid w:val="005B12D4"/>
    <w:rsid w:val="005B1376"/>
    <w:rsid w:val="005B159A"/>
    <w:rsid w:val="005B15CE"/>
    <w:rsid w:val="005B1832"/>
    <w:rsid w:val="005B185C"/>
    <w:rsid w:val="005B191D"/>
    <w:rsid w:val="005B1AA5"/>
    <w:rsid w:val="005B1B21"/>
    <w:rsid w:val="005B1C07"/>
    <w:rsid w:val="005B1C56"/>
    <w:rsid w:val="005B1C94"/>
    <w:rsid w:val="005B1CCC"/>
    <w:rsid w:val="005B1DAB"/>
    <w:rsid w:val="005B20BD"/>
    <w:rsid w:val="005B2231"/>
    <w:rsid w:val="005B22B8"/>
    <w:rsid w:val="005B22FC"/>
    <w:rsid w:val="005B2369"/>
    <w:rsid w:val="005B2523"/>
    <w:rsid w:val="005B256C"/>
    <w:rsid w:val="005B2591"/>
    <w:rsid w:val="005B2808"/>
    <w:rsid w:val="005B2854"/>
    <w:rsid w:val="005B29D5"/>
    <w:rsid w:val="005B2B9E"/>
    <w:rsid w:val="005B2BBC"/>
    <w:rsid w:val="005B2D19"/>
    <w:rsid w:val="005B2EAB"/>
    <w:rsid w:val="005B2EBD"/>
    <w:rsid w:val="005B2EFF"/>
    <w:rsid w:val="005B2F0D"/>
    <w:rsid w:val="005B2F8F"/>
    <w:rsid w:val="005B306C"/>
    <w:rsid w:val="005B30C6"/>
    <w:rsid w:val="005B30DE"/>
    <w:rsid w:val="005B32F5"/>
    <w:rsid w:val="005B3432"/>
    <w:rsid w:val="005B3452"/>
    <w:rsid w:val="005B3474"/>
    <w:rsid w:val="005B34B1"/>
    <w:rsid w:val="005B353A"/>
    <w:rsid w:val="005B371F"/>
    <w:rsid w:val="005B3743"/>
    <w:rsid w:val="005B3891"/>
    <w:rsid w:val="005B3B9B"/>
    <w:rsid w:val="005B3BA2"/>
    <w:rsid w:val="005B3BD6"/>
    <w:rsid w:val="005B3E2F"/>
    <w:rsid w:val="005B3EE1"/>
    <w:rsid w:val="005B3F66"/>
    <w:rsid w:val="005B40BF"/>
    <w:rsid w:val="005B4191"/>
    <w:rsid w:val="005B42CF"/>
    <w:rsid w:val="005B4375"/>
    <w:rsid w:val="005B43E1"/>
    <w:rsid w:val="005B4525"/>
    <w:rsid w:val="005B4557"/>
    <w:rsid w:val="005B45C4"/>
    <w:rsid w:val="005B462C"/>
    <w:rsid w:val="005B4641"/>
    <w:rsid w:val="005B469B"/>
    <w:rsid w:val="005B4720"/>
    <w:rsid w:val="005B47CE"/>
    <w:rsid w:val="005B47F8"/>
    <w:rsid w:val="005B4823"/>
    <w:rsid w:val="005B4831"/>
    <w:rsid w:val="005B497E"/>
    <w:rsid w:val="005B49D0"/>
    <w:rsid w:val="005B49F3"/>
    <w:rsid w:val="005B4C13"/>
    <w:rsid w:val="005B4C3E"/>
    <w:rsid w:val="005B4C72"/>
    <w:rsid w:val="005B4CAD"/>
    <w:rsid w:val="005B4DA0"/>
    <w:rsid w:val="005B4DCA"/>
    <w:rsid w:val="005B4E36"/>
    <w:rsid w:val="005B4F91"/>
    <w:rsid w:val="005B515A"/>
    <w:rsid w:val="005B518E"/>
    <w:rsid w:val="005B5286"/>
    <w:rsid w:val="005B5309"/>
    <w:rsid w:val="005B535C"/>
    <w:rsid w:val="005B547A"/>
    <w:rsid w:val="005B54AE"/>
    <w:rsid w:val="005B5540"/>
    <w:rsid w:val="005B55AD"/>
    <w:rsid w:val="005B568F"/>
    <w:rsid w:val="005B56C6"/>
    <w:rsid w:val="005B57FA"/>
    <w:rsid w:val="005B5A73"/>
    <w:rsid w:val="005B5C5A"/>
    <w:rsid w:val="005B5CD4"/>
    <w:rsid w:val="005B5ED4"/>
    <w:rsid w:val="005B5F17"/>
    <w:rsid w:val="005B60B5"/>
    <w:rsid w:val="005B60C0"/>
    <w:rsid w:val="005B6435"/>
    <w:rsid w:val="005B6572"/>
    <w:rsid w:val="005B66B8"/>
    <w:rsid w:val="005B6794"/>
    <w:rsid w:val="005B67BA"/>
    <w:rsid w:val="005B6893"/>
    <w:rsid w:val="005B68A7"/>
    <w:rsid w:val="005B6A6C"/>
    <w:rsid w:val="005B6BAB"/>
    <w:rsid w:val="005B6CB8"/>
    <w:rsid w:val="005B6D11"/>
    <w:rsid w:val="005B6FD5"/>
    <w:rsid w:val="005B709F"/>
    <w:rsid w:val="005B70B7"/>
    <w:rsid w:val="005B710E"/>
    <w:rsid w:val="005B719F"/>
    <w:rsid w:val="005B7212"/>
    <w:rsid w:val="005B72BC"/>
    <w:rsid w:val="005B7403"/>
    <w:rsid w:val="005B74FD"/>
    <w:rsid w:val="005B7726"/>
    <w:rsid w:val="005B7733"/>
    <w:rsid w:val="005B7940"/>
    <w:rsid w:val="005B7B0B"/>
    <w:rsid w:val="005B7C8F"/>
    <w:rsid w:val="005B7CD6"/>
    <w:rsid w:val="005B7D6C"/>
    <w:rsid w:val="005B7E3D"/>
    <w:rsid w:val="005B7E69"/>
    <w:rsid w:val="005B7F98"/>
    <w:rsid w:val="005C0049"/>
    <w:rsid w:val="005C009A"/>
    <w:rsid w:val="005C01B5"/>
    <w:rsid w:val="005C01BB"/>
    <w:rsid w:val="005C02BC"/>
    <w:rsid w:val="005C039A"/>
    <w:rsid w:val="005C03FF"/>
    <w:rsid w:val="005C0457"/>
    <w:rsid w:val="005C045B"/>
    <w:rsid w:val="005C04C2"/>
    <w:rsid w:val="005C0786"/>
    <w:rsid w:val="005C0787"/>
    <w:rsid w:val="005C08A0"/>
    <w:rsid w:val="005C08BB"/>
    <w:rsid w:val="005C0C9D"/>
    <w:rsid w:val="005C0F0B"/>
    <w:rsid w:val="005C0F6A"/>
    <w:rsid w:val="005C0FFF"/>
    <w:rsid w:val="005C1115"/>
    <w:rsid w:val="005C11CC"/>
    <w:rsid w:val="005C1265"/>
    <w:rsid w:val="005C128A"/>
    <w:rsid w:val="005C136D"/>
    <w:rsid w:val="005C13F0"/>
    <w:rsid w:val="005C13F1"/>
    <w:rsid w:val="005C1489"/>
    <w:rsid w:val="005C1A50"/>
    <w:rsid w:val="005C1C82"/>
    <w:rsid w:val="005C1D15"/>
    <w:rsid w:val="005C1FB0"/>
    <w:rsid w:val="005C2009"/>
    <w:rsid w:val="005C2176"/>
    <w:rsid w:val="005C22ED"/>
    <w:rsid w:val="005C237D"/>
    <w:rsid w:val="005C23B5"/>
    <w:rsid w:val="005C23E5"/>
    <w:rsid w:val="005C249C"/>
    <w:rsid w:val="005C251B"/>
    <w:rsid w:val="005C255E"/>
    <w:rsid w:val="005C25AC"/>
    <w:rsid w:val="005C25FC"/>
    <w:rsid w:val="005C2641"/>
    <w:rsid w:val="005C27EE"/>
    <w:rsid w:val="005C2915"/>
    <w:rsid w:val="005C2AB8"/>
    <w:rsid w:val="005C2B6F"/>
    <w:rsid w:val="005C2BB9"/>
    <w:rsid w:val="005C2E13"/>
    <w:rsid w:val="005C3109"/>
    <w:rsid w:val="005C32E9"/>
    <w:rsid w:val="005C33FE"/>
    <w:rsid w:val="005C3506"/>
    <w:rsid w:val="005C356F"/>
    <w:rsid w:val="005C3640"/>
    <w:rsid w:val="005C3800"/>
    <w:rsid w:val="005C3919"/>
    <w:rsid w:val="005C3A6F"/>
    <w:rsid w:val="005C3ACF"/>
    <w:rsid w:val="005C3C82"/>
    <w:rsid w:val="005C3EC1"/>
    <w:rsid w:val="005C4025"/>
    <w:rsid w:val="005C42D7"/>
    <w:rsid w:val="005C4398"/>
    <w:rsid w:val="005C4632"/>
    <w:rsid w:val="005C4664"/>
    <w:rsid w:val="005C484B"/>
    <w:rsid w:val="005C48D5"/>
    <w:rsid w:val="005C490A"/>
    <w:rsid w:val="005C4AEB"/>
    <w:rsid w:val="005C4B07"/>
    <w:rsid w:val="005C4C79"/>
    <w:rsid w:val="005C4C7C"/>
    <w:rsid w:val="005C4DAC"/>
    <w:rsid w:val="005C4DBC"/>
    <w:rsid w:val="005C4DD5"/>
    <w:rsid w:val="005C4F5D"/>
    <w:rsid w:val="005C4F64"/>
    <w:rsid w:val="005C50D9"/>
    <w:rsid w:val="005C520C"/>
    <w:rsid w:val="005C524B"/>
    <w:rsid w:val="005C5370"/>
    <w:rsid w:val="005C538F"/>
    <w:rsid w:val="005C543F"/>
    <w:rsid w:val="005C5448"/>
    <w:rsid w:val="005C54C7"/>
    <w:rsid w:val="005C5538"/>
    <w:rsid w:val="005C5888"/>
    <w:rsid w:val="005C5ACD"/>
    <w:rsid w:val="005C5AE5"/>
    <w:rsid w:val="005C5D72"/>
    <w:rsid w:val="005C5F4F"/>
    <w:rsid w:val="005C5F5A"/>
    <w:rsid w:val="005C6230"/>
    <w:rsid w:val="005C630C"/>
    <w:rsid w:val="005C64BF"/>
    <w:rsid w:val="005C661F"/>
    <w:rsid w:val="005C665C"/>
    <w:rsid w:val="005C6688"/>
    <w:rsid w:val="005C66E1"/>
    <w:rsid w:val="005C6725"/>
    <w:rsid w:val="005C672E"/>
    <w:rsid w:val="005C67E9"/>
    <w:rsid w:val="005C6AEE"/>
    <w:rsid w:val="005C6B79"/>
    <w:rsid w:val="005C6BAE"/>
    <w:rsid w:val="005C6C5A"/>
    <w:rsid w:val="005C6E49"/>
    <w:rsid w:val="005C7215"/>
    <w:rsid w:val="005C72C1"/>
    <w:rsid w:val="005C72DD"/>
    <w:rsid w:val="005C739D"/>
    <w:rsid w:val="005C73C4"/>
    <w:rsid w:val="005C762E"/>
    <w:rsid w:val="005C76C0"/>
    <w:rsid w:val="005C77F7"/>
    <w:rsid w:val="005C78A2"/>
    <w:rsid w:val="005C7D70"/>
    <w:rsid w:val="005C7E1C"/>
    <w:rsid w:val="005C7F56"/>
    <w:rsid w:val="005C7F6A"/>
    <w:rsid w:val="005C7FDE"/>
    <w:rsid w:val="005D0064"/>
    <w:rsid w:val="005D00EA"/>
    <w:rsid w:val="005D0145"/>
    <w:rsid w:val="005D023B"/>
    <w:rsid w:val="005D032C"/>
    <w:rsid w:val="005D0381"/>
    <w:rsid w:val="005D0453"/>
    <w:rsid w:val="005D05BA"/>
    <w:rsid w:val="005D0619"/>
    <w:rsid w:val="005D0741"/>
    <w:rsid w:val="005D0884"/>
    <w:rsid w:val="005D088F"/>
    <w:rsid w:val="005D08AE"/>
    <w:rsid w:val="005D08D9"/>
    <w:rsid w:val="005D0A07"/>
    <w:rsid w:val="005D0D37"/>
    <w:rsid w:val="005D0D4C"/>
    <w:rsid w:val="005D0DFD"/>
    <w:rsid w:val="005D0E21"/>
    <w:rsid w:val="005D0FB0"/>
    <w:rsid w:val="005D0FB2"/>
    <w:rsid w:val="005D0FFB"/>
    <w:rsid w:val="005D1135"/>
    <w:rsid w:val="005D1275"/>
    <w:rsid w:val="005D1307"/>
    <w:rsid w:val="005D1445"/>
    <w:rsid w:val="005D15FA"/>
    <w:rsid w:val="005D163F"/>
    <w:rsid w:val="005D170D"/>
    <w:rsid w:val="005D18B1"/>
    <w:rsid w:val="005D18C4"/>
    <w:rsid w:val="005D1953"/>
    <w:rsid w:val="005D1A41"/>
    <w:rsid w:val="005D1C2F"/>
    <w:rsid w:val="005D1CF5"/>
    <w:rsid w:val="005D1D58"/>
    <w:rsid w:val="005D1D5F"/>
    <w:rsid w:val="005D1DA4"/>
    <w:rsid w:val="005D1DB0"/>
    <w:rsid w:val="005D1DB8"/>
    <w:rsid w:val="005D1DEE"/>
    <w:rsid w:val="005D1E96"/>
    <w:rsid w:val="005D1F3E"/>
    <w:rsid w:val="005D1FB0"/>
    <w:rsid w:val="005D2044"/>
    <w:rsid w:val="005D20BD"/>
    <w:rsid w:val="005D21F5"/>
    <w:rsid w:val="005D2304"/>
    <w:rsid w:val="005D2388"/>
    <w:rsid w:val="005D2571"/>
    <w:rsid w:val="005D25D5"/>
    <w:rsid w:val="005D270A"/>
    <w:rsid w:val="005D2733"/>
    <w:rsid w:val="005D2815"/>
    <w:rsid w:val="005D2A3B"/>
    <w:rsid w:val="005D2A6A"/>
    <w:rsid w:val="005D2AE7"/>
    <w:rsid w:val="005D2BDE"/>
    <w:rsid w:val="005D2CD5"/>
    <w:rsid w:val="005D2D07"/>
    <w:rsid w:val="005D2E61"/>
    <w:rsid w:val="005D2E6A"/>
    <w:rsid w:val="005D2EE0"/>
    <w:rsid w:val="005D2F2F"/>
    <w:rsid w:val="005D3184"/>
    <w:rsid w:val="005D32D1"/>
    <w:rsid w:val="005D3302"/>
    <w:rsid w:val="005D3373"/>
    <w:rsid w:val="005D33AF"/>
    <w:rsid w:val="005D3552"/>
    <w:rsid w:val="005D357B"/>
    <w:rsid w:val="005D36C1"/>
    <w:rsid w:val="005D37B2"/>
    <w:rsid w:val="005D3A04"/>
    <w:rsid w:val="005D3AFC"/>
    <w:rsid w:val="005D3BB9"/>
    <w:rsid w:val="005D3C6C"/>
    <w:rsid w:val="005D3C97"/>
    <w:rsid w:val="005D3DB8"/>
    <w:rsid w:val="005D3DD3"/>
    <w:rsid w:val="005D40FB"/>
    <w:rsid w:val="005D410D"/>
    <w:rsid w:val="005D4120"/>
    <w:rsid w:val="005D431F"/>
    <w:rsid w:val="005D433C"/>
    <w:rsid w:val="005D43E4"/>
    <w:rsid w:val="005D4491"/>
    <w:rsid w:val="005D4542"/>
    <w:rsid w:val="005D4549"/>
    <w:rsid w:val="005D4604"/>
    <w:rsid w:val="005D4622"/>
    <w:rsid w:val="005D463B"/>
    <w:rsid w:val="005D46A4"/>
    <w:rsid w:val="005D46C9"/>
    <w:rsid w:val="005D4853"/>
    <w:rsid w:val="005D48D0"/>
    <w:rsid w:val="005D48DE"/>
    <w:rsid w:val="005D48FE"/>
    <w:rsid w:val="005D490A"/>
    <w:rsid w:val="005D4923"/>
    <w:rsid w:val="005D4927"/>
    <w:rsid w:val="005D4B2F"/>
    <w:rsid w:val="005D4D49"/>
    <w:rsid w:val="005D4D81"/>
    <w:rsid w:val="005D50D9"/>
    <w:rsid w:val="005D5167"/>
    <w:rsid w:val="005D5350"/>
    <w:rsid w:val="005D53F4"/>
    <w:rsid w:val="005D5459"/>
    <w:rsid w:val="005D545B"/>
    <w:rsid w:val="005D552E"/>
    <w:rsid w:val="005D5538"/>
    <w:rsid w:val="005D557C"/>
    <w:rsid w:val="005D55FC"/>
    <w:rsid w:val="005D5690"/>
    <w:rsid w:val="005D5776"/>
    <w:rsid w:val="005D58E7"/>
    <w:rsid w:val="005D5A5A"/>
    <w:rsid w:val="005D5DEB"/>
    <w:rsid w:val="005D5E3B"/>
    <w:rsid w:val="005D5E41"/>
    <w:rsid w:val="005D5E56"/>
    <w:rsid w:val="005D5E89"/>
    <w:rsid w:val="005D5F02"/>
    <w:rsid w:val="005D641E"/>
    <w:rsid w:val="005D6527"/>
    <w:rsid w:val="005D656E"/>
    <w:rsid w:val="005D6980"/>
    <w:rsid w:val="005D6B3A"/>
    <w:rsid w:val="005D6CF2"/>
    <w:rsid w:val="005D6DAF"/>
    <w:rsid w:val="005D6E56"/>
    <w:rsid w:val="005D6E86"/>
    <w:rsid w:val="005D6EE6"/>
    <w:rsid w:val="005D6F6E"/>
    <w:rsid w:val="005D7003"/>
    <w:rsid w:val="005D7005"/>
    <w:rsid w:val="005D7020"/>
    <w:rsid w:val="005D714C"/>
    <w:rsid w:val="005D7323"/>
    <w:rsid w:val="005D739E"/>
    <w:rsid w:val="005D73A0"/>
    <w:rsid w:val="005D7471"/>
    <w:rsid w:val="005D749D"/>
    <w:rsid w:val="005D75E4"/>
    <w:rsid w:val="005D75F5"/>
    <w:rsid w:val="005D77D0"/>
    <w:rsid w:val="005D7961"/>
    <w:rsid w:val="005D7997"/>
    <w:rsid w:val="005D7C13"/>
    <w:rsid w:val="005D7C8C"/>
    <w:rsid w:val="005D7D2E"/>
    <w:rsid w:val="005D7D65"/>
    <w:rsid w:val="005D7D96"/>
    <w:rsid w:val="005D7DB6"/>
    <w:rsid w:val="005D7E94"/>
    <w:rsid w:val="005D7F70"/>
    <w:rsid w:val="005D7FB5"/>
    <w:rsid w:val="005E0188"/>
    <w:rsid w:val="005E02AA"/>
    <w:rsid w:val="005E04F6"/>
    <w:rsid w:val="005E0534"/>
    <w:rsid w:val="005E0553"/>
    <w:rsid w:val="005E059A"/>
    <w:rsid w:val="005E05F9"/>
    <w:rsid w:val="005E0641"/>
    <w:rsid w:val="005E06B1"/>
    <w:rsid w:val="005E074B"/>
    <w:rsid w:val="005E07C6"/>
    <w:rsid w:val="005E0886"/>
    <w:rsid w:val="005E0944"/>
    <w:rsid w:val="005E0BCB"/>
    <w:rsid w:val="005E0C91"/>
    <w:rsid w:val="005E0CB2"/>
    <w:rsid w:val="005E0DDA"/>
    <w:rsid w:val="005E0DEE"/>
    <w:rsid w:val="005E0FFB"/>
    <w:rsid w:val="005E10DC"/>
    <w:rsid w:val="005E10E1"/>
    <w:rsid w:val="005E1211"/>
    <w:rsid w:val="005E1335"/>
    <w:rsid w:val="005E1456"/>
    <w:rsid w:val="005E15A4"/>
    <w:rsid w:val="005E163E"/>
    <w:rsid w:val="005E19C8"/>
    <w:rsid w:val="005E1B3C"/>
    <w:rsid w:val="005E1B85"/>
    <w:rsid w:val="005E1B98"/>
    <w:rsid w:val="005E1D79"/>
    <w:rsid w:val="005E1D82"/>
    <w:rsid w:val="005E1DBA"/>
    <w:rsid w:val="005E1DD1"/>
    <w:rsid w:val="005E1DDB"/>
    <w:rsid w:val="005E1EBD"/>
    <w:rsid w:val="005E2294"/>
    <w:rsid w:val="005E22B1"/>
    <w:rsid w:val="005E2362"/>
    <w:rsid w:val="005E2438"/>
    <w:rsid w:val="005E25B9"/>
    <w:rsid w:val="005E2702"/>
    <w:rsid w:val="005E27F3"/>
    <w:rsid w:val="005E28C8"/>
    <w:rsid w:val="005E290D"/>
    <w:rsid w:val="005E2AB5"/>
    <w:rsid w:val="005E2B02"/>
    <w:rsid w:val="005E2B64"/>
    <w:rsid w:val="005E2BC0"/>
    <w:rsid w:val="005E2CA9"/>
    <w:rsid w:val="005E2E7E"/>
    <w:rsid w:val="005E2E84"/>
    <w:rsid w:val="005E2F73"/>
    <w:rsid w:val="005E30AF"/>
    <w:rsid w:val="005E317F"/>
    <w:rsid w:val="005E3203"/>
    <w:rsid w:val="005E32BE"/>
    <w:rsid w:val="005E359F"/>
    <w:rsid w:val="005E35A9"/>
    <w:rsid w:val="005E35F6"/>
    <w:rsid w:val="005E37C9"/>
    <w:rsid w:val="005E3B4D"/>
    <w:rsid w:val="005E3B8B"/>
    <w:rsid w:val="005E3BA4"/>
    <w:rsid w:val="005E3BB4"/>
    <w:rsid w:val="005E3BEC"/>
    <w:rsid w:val="005E3CAE"/>
    <w:rsid w:val="005E3D12"/>
    <w:rsid w:val="005E3D8A"/>
    <w:rsid w:val="005E3DFF"/>
    <w:rsid w:val="005E3E88"/>
    <w:rsid w:val="005E3F8C"/>
    <w:rsid w:val="005E411B"/>
    <w:rsid w:val="005E4423"/>
    <w:rsid w:val="005E45A7"/>
    <w:rsid w:val="005E45B7"/>
    <w:rsid w:val="005E467E"/>
    <w:rsid w:val="005E4728"/>
    <w:rsid w:val="005E4BBA"/>
    <w:rsid w:val="005E4BFF"/>
    <w:rsid w:val="005E4C5E"/>
    <w:rsid w:val="005E4C84"/>
    <w:rsid w:val="005E4DDA"/>
    <w:rsid w:val="005E5050"/>
    <w:rsid w:val="005E5211"/>
    <w:rsid w:val="005E5271"/>
    <w:rsid w:val="005E52C2"/>
    <w:rsid w:val="005E52C4"/>
    <w:rsid w:val="005E5356"/>
    <w:rsid w:val="005E5402"/>
    <w:rsid w:val="005E54C2"/>
    <w:rsid w:val="005E5708"/>
    <w:rsid w:val="005E574D"/>
    <w:rsid w:val="005E5750"/>
    <w:rsid w:val="005E575B"/>
    <w:rsid w:val="005E5773"/>
    <w:rsid w:val="005E57B5"/>
    <w:rsid w:val="005E5874"/>
    <w:rsid w:val="005E58BB"/>
    <w:rsid w:val="005E5977"/>
    <w:rsid w:val="005E5ADF"/>
    <w:rsid w:val="005E5C68"/>
    <w:rsid w:val="005E5E88"/>
    <w:rsid w:val="005E5ED1"/>
    <w:rsid w:val="005E5F41"/>
    <w:rsid w:val="005E6047"/>
    <w:rsid w:val="005E606F"/>
    <w:rsid w:val="005E61DE"/>
    <w:rsid w:val="005E6227"/>
    <w:rsid w:val="005E6307"/>
    <w:rsid w:val="005E6593"/>
    <w:rsid w:val="005E66AB"/>
    <w:rsid w:val="005E66BB"/>
    <w:rsid w:val="005E6809"/>
    <w:rsid w:val="005E6893"/>
    <w:rsid w:val="005E6947"/>
    <w:rsid w:val="005E6A99"/>
    <w:rsid w:val="005E6BD2"/>
    <w:rsid w:val="005E6BD4"/>
    <w:rsid w:val="005E6D24"/>
    <w:rsid w:val="005E7002"/>
    <w:rsid w:val="005E704C"/>
    <w:rsid w:val="005E70AC"/>
    <w:rsid w:val="005E71CB"/>
    <w:rsid w:val="005E72AC"/>
    <w:rsid w:val="005E72CA"/>
    <w:rsid w:val="005E739B"/>
    <w:rsid w:val="005E73C1"/>
    <w:rsid w:val="005E7408"/>
    <w:rsid w:val="005E752A"/>
    <w:rsid w:val="005E7544"/>
    <w:rsid w:val="005E75A8"/>
    <w:rsid w:val="005E75D5"/>
    <w:rsid w:val="005E75DE"/>
    <w:rsid w:val="005E783A"/>
    <w:rsid w:val="005E78E5"/>
    <w:rsid w:val="005E794C"/>
    <w:rsid w:val="005E79E6"/>
    <w:rsid w:val="005E7A07"/>
    <w:rsid w:val="005E7AEF"/>
    <w:rsid w:val="005E7C07"/>
    <w:rsid w:val="005E7C22"/>
    <w:rsid w:val="005E7C40"/>
    <w:rsid w:val="005E7C45"/>
    <w:rsid w:val="005E7CC6"/>
    <w:rsid w:val="005E7ECF"/>
    <w:rsid w:val="005E7FC6"/>
    <w:rsid w:val="005EE3E0"/>
    <w:rsid w:val="005F01B2"/>
    <w:rsid w:val="005F01CD"/>
    <w:rsid w:val="005F020F"/>
    <w:rsid w:val="005F0242"/>
    <w:rsid w:val="005F031E"/>
    <w:rsid w:val="005F0419"/>
    <w:rsid w:val="005F0471"/>
    <w:rsid w:val="005F048A"/>
    <w:rsid w:val="005F048F"/>
    <w:rsid w:val="005F04AF"/>
    <w:rsid w:val="005F04C0"/>
    <w:rsid w:val="005F0512"/>
    <w:rsid w:val="005F0586"/>
    <w:rsid w:val="005F0661"/>
    <w:rsid w:val="005F06B5"/>
    <w:rsid w:val="005F0754"/>
    <w:rsid w:val="005F0767"/>
    <w:rsid w:val="005F08A9"/>
    <w:rsid w:val="005F08B3"/>
    <w:rsid w:val="005F0AC4"/>
    <w:rsid w:val="005F0B23"/>
    <w:rsid w:val="005F0C00"/>
    <w:rsid w:val="005F0C32"/>
    <w:rsid w:val="005F0CE9"/>
    <w:rsid w:val="005F0D60"/>
    <w:rsid w:val="005F0DF9"/>
    <w:rsid w:val="005F0E02"/>
    <w:rsid w:val="005F0E89"/>
    <w:rsid w:val="005F0F01"/>
    <w:rsid w:val="005F0F47"/>
    <w:rsid w:val="005F12A6"/>
    <w:rsid w:val="005F1391"/>
    <w:rsid w:val="005F13DE"/>
    <w:rsid w:val="005F14E5"/>
    <w:rsid w:val="005F1520"/>
    <w:rsid w:val="005F1555"/>
    <w:rsid w:val="005F178B"/>
    <w:rsid w:val="005F17DF"/>
    <w:rsid w:val="005F180A"/>
    <w:rsid w:val="005F18F1"/>
    <w:rsid w:val="005F194E"/>
    <w:rsid w:val="005F1A7A"/>
    <w:rsid w:val="005F1A8F"/>
    <w:rsid w:val="005F1AFF"/>
    <w:rsid w:val="005F1C9A"/>
    <w:rsid w:val="005F1E2A"/>
    <w:rsid w:val="005F2120"/>
    <w:rsid w:val="005F21A1"/>
    <w:rsid w:val="005F21D5"/>
    <w:rsid w:val="005F2272"/>
    <w:rsid w:val="005F25A6"/>
    <w:rsid w:val="005F2978"/>
    <w:rsid w:val="005F2C00"/>
    <w:rsid w:val="005F2D93"/>
    <w:rsid w:val="005F2E4A"/>
    <w:rsid w:val="005F2F2E"/>
    <w:rsid w:val="005F2FF2"/>
    <w:rsid w:val="005F3007"/>
    <w:rsid w:val="005F304E"/>
    <w:rsid w:val="005F3265"/>
    <w:rsid w:val="005F3318"/>
    <w:rsid w:val="005F3348"/>
    <w:rsid w:val="005F335B"/>
    <w:rsid w:val="005F34D0"/>
    <w:rsid w:val="005F3686"/>
    <w:rsid w:val="005F37FF"/>
    <w:rsid w:val="005F38A7"/>
    <w:rsid w:val="005F3A81"/>
    <w:rsid w:val="005F3BFA"/>
    <w:rsid w:val="005F3C06"/>
    <w:rsid w:val="005F3C1A"/>
    <w:rsid w:val="005F3D93"/>
    <w:rsid w:val="005F3E0E"/>
    <w:rsid w:val="005F3F81"/>
    <w:rsid w:val="005F4011"/>
    <w:rsid w:val="005F405C"/>
    <w:rsid w:val="005F419E"/>
    <w:rsid w:val="005F4287"/>
    <w:rsid w:val="005F42EB"/>
    <w:rsid w:val="005F4443"/>
    <w:rsid w:val="005F4520"/>
    <w:rsid w:val="005F46C8"/>
    <w:rsid w:val="005F4721"/>
    <w:rsid w:val="005F47C2"/>
    <w:rsid w:val="005F4A13"/>
    <w:rsid w:val="005F4BB6"/>
    <w:rsid w:val="005F4C0B"/>
    <w:rsid w:val="005F4D6D"/>
    <w:rsid w:val="005F4DF1"/>
    <w:rsid w:val="005F4F35"/>
    <w:rsid w:val="005F5032"/>
    <w:rsid w:val="005F5146"/>
    <w:rsid w:val="005F5359"/>
    <w:rsid w:val="005F5376"/>
    <w:rsid w:val="005F5514"/>
    <w:rsid w:val="005F5607"/>
    <w:rsid w:val="005F5673"/>
    <w:rsid w:val="005F5674"/>
    <w:rsid w:val="005F5861"/>
    <w:rsid w:val="005F58B9"/>
    <w:rsid w:val="005F5BB8"/>
    <w:rsid w:val="005F5C69"/>
    <w:rsid w:val="005F5C78"/>
    <w:rsid w:val="005F5CE5"/>
    <w:rsid w:val="005F5DBC"/>
    <w:rsid w:val="005F5DCA"/>
    <w:rsid w:val="005F5E8A"/>
    <w:rsid w:val="005F5F95"/>
    <w:rsid w:val="005F601A"/>
    <w:rsid w:val="005F6030"/>
    <w:rsid w:val="005F619F"/>
    <w:rsid w:val="005F61D1"/>
    <w:rsid w:val="005F624A"/>
    <w:rsid w:val="005F6295"/>
    <w:rsid w:val="005F62C0"/>
    <w:rsid w:val="005F63A1"/>
    <w:rsid w:val="005F6499"/>
    <w:rsid w:val="005F64A9"/>
    <w:rsid w:val="005F65DF"/>
    <w:rsid w:val="005F674C"/>
    <w:rsid w:val="005F677D"/>
    <w:rsid w:val="005F680A"/>
    <w:rsid w:val="005F6830"/>
    <w:rsid w:val="005F6899"/>
    <w:rsid w:val="005F6B5A"/>
    <w:rsid w:val="005F6BB5"/>
    <w:rsid w:val="005F6BB8"/>
    <w:rsid w:val="005F6C50"/>
    <w:rsid w:val="005F6C8D"/>
    <w:rsid w:val="005F6D8D"/>
    <w:rsid w:val="005F6DAA"/>
    <w:rsid w:val="005F6EDD"/>
    <w:rsid w:val="005F6FD6"/>
    <w:rsid w:val="005F7075"/>
    <w:rsid w:val="005F708C"/>
    <w:rsid w:val="005F720A"/>
    <w:rsid w:val="005F72F0"/>
    <w:rsid w:val="005F72F4"/>
    <w:rsid w:val="005F73FD"/>
    <w:rsid w:val="005F742D"/>
    <w:rsid w:val="005F7441"/>
    <w:rsid w:val="005F7558"/>
    <w:rsid w:val="005F7781"/>
    <w:rsid w:val="005F78C8"/>
    <w:rsid w:val="005F791B"/>
    <w:rsid w:val="005F7967"/>
    <w:rsid w:val="005F7979"/>
    <w:rsid w:val="005F798B"/>
    <w:rsid w:val="005F79B4"/>
    <w:rsid w:val="005F79CA"/>
    <w:rsid w:val="005F7C0B"/>
    <w:rsid w:val="005F7D0E"/>
    <w:rsid w:val="005F7D31"/>
    <w:rsid w:val="005F7E03"/>
    <w:rsid w:val="005F7EA2"/>
    <w:rsid w:val="005F7F1C"/>
    <w:rsid w:val="005F7F88"/>
    <w:rsid w:val="006000E5"/>
    <w:rsid w:val="00600196"/>
    <w:rsid w:val="006003DD"/>
    <w:rsid w:val="00600416"/>
    <w:rsid w:val="00600593"/>
    <w:rsid w:val="0060061B"/>
    <w:rsid w:val="006006B9"/>
    <w:rsid w:val="006006DE"/>
    <w:rsid w:val="006007B0"/>
    <w:rsid w:val="006007CB"/>
    <w:rsid w:val="006009DE"/>
    <w:rsid w:val="006009F9"/>
    <w:rsid w:val="00600ACF"/>
    <w:rsid w:val="00600DD3"/>
    <w:rsid w:val="00600DE6"/>
    <w:rsid w:val="00600F11"/>
    <w:rsid w:val="00601068"/>
    <w:rsid w:val="006011E1"/>
    <w:rsid w:val="006012BD"/>
    <w:rsid w:val="0060140B"/>
    <w:rsid w:val="0060142F"/>
    <w:rsid w:val="006014B1"/>
    <w:rsid w:val="006015A1"/>
    <w:rsid w:val="0060162D"/>
    <w:rsid w:val="00601723"/>
    <w:rsid w:val="00601772"/>
    <w:rsid w:val="006019F6"/>
    <w:rsid w:val="00601B52"/>
    <w:rsid w:val="00601D7B"/>
    <w:rsid w:val="00601D91"/>
    <w:rsid w:val="00601ECB"/>
    <w:rsid w:val="00601F33"/>
    <w:rsid w:val="006020E3"/>
    <w:rsid w:val="006020EF"/>
    <w:rsid w:val="0060214A"/>
    <w:rsid w:val="0060226D"/>
    <w:rsid w:val="0060226F"/>
    <w:rsid w:val="00602319"/>
    <w:rsid w:val="00602329"/>
    <w:rsid w:val="006023C2"/>
    <w:rsid w:val="006023F6"/>
    <w:rsid w:val="0060251D"/>
    <w:rsid w:val="006025B6"/>
    <w:rsid w:val="006025E1"/>
    <w:rsid w:val="00602621"/>
    <w:rsid w:val="006026EB"/>
    <w:rsid w:val="006027E6"/>
    <w:rsid w:val="00602804"/>
    <w:rsid w:val="0060282D"/>
    <w:rsid w:val="006028BF"/>
    <w:rsid w:val="00602993"/>
    <w:rsid w:val="006029DC"/>
    <w:rsid w:val="00602A04"/>
    <w:rsid w:val="00602A64"/>
    <w:rsid w:val="00602CEE"/>
    <w:rsid w:val="00602E2D"/>
    <w:rsid w:val="00602E59"/>
    <w:rsid w:val="00602E66"/>
    <w:rsid w:val="00602F36"/>
    <w:rsid w:val="00602F43"/>
    <w:rsid w:val="00602F99"/>
    <w:rsid w:val="00603063"/>
    <w:rsid w:val="0060308B"/>
    <w:rsid w:val="00603151"/>
    <w:rsid w:val="006033BB"/>
    <w:rsid w:val="006033D7"/>
    <w:rsid w:val="006034BA"/>
    <w:rsid w:val="0060364B"/>
    <w:rsid w:val="00603693"/>
    <w:rsid w:val="006036BE"/>
    <w:rsid w:val="00603722"/>
    <w:rsid w:val="0060385A"/>
    <w:rsid w:val="006038F5"/>
    <w:rsid w:val="00603AA9"/>
    <w:rsid w:val="00603B08"/>
    <w:rsid w:val="00603B45"/>
    <w:rsid w:val="00603D0E"/>
    <w:rsid w:val="00603D91"/>
    <w:rsid w:val="00603EBF"/>
    <w:rsid w:val="00603F16"/>
    <w:rsid w:val="00603F54"/>
    <w:rsid w:val="00603F62"/>
    <w:rsid w:val="006041B2"/>
    <w:rsid w:val="006041DB"/>
    <w:rsid w:val="0060435C"/>
    <w:rsid w:val="00604378"/>
    <w:rsid w:val="00604406"/>
    <w:rsid w:val="0060445F"/>
    <w:rsid w:val="00604576"/>
    <w:rsid w:val="00604630"/>
    <w:rsid w:val="00604759"/>
    <w:rsid w:val="00604792"/>
    <w:rsid w:val="0060487E"/>
    <w:rsid w:val="0060494F"/>
    <w:rsid w:val="00604955"/>
    <w:rsid w:val="00604ADC"/>
    <w:rsid w:val="00604BC3"/>
    <w:rsid w:val="00604CD0"/>
    <w:rsid w:val="00604D47"/>
    <w:rsid w:val="00604E66"/>
    <w:rsid w:val="00604E7D"/>
    <w:rsid w:val="00604E90"/>
    <w:rsid w:val="00605011"/>
    <w:rsid w:val="006050A1"/>
    <w:rsid w:val="00605122"/>
    <w:rsid w:val="0060545C"/>
    <w:rsid w:val="0060554F"/>
    <w:rsid w:val="006055B5"/>
    <w:rsid w:val="0060563F"/>
    <w:rsid w:val="00605646"/>
    <w:rsid w:val="006056AE"/>
    <w:rsid w:val="006056D5"/>
    <w:rsid w:val="00605776"/>
    <w:rsid w:val="0060577B"/>
    <w:rsid w:val="00605ACD"/>
    <w:rsid w:val="00605AEA"/>
    <w:rsid w:val="00605B22"/>
    <w:rsid w:val="00605BF1"/>
    <w:rsid w:val="00605D89"/>
    <w:rsid w:val="00605E7B"/>
    <w:rsid w:val="00605F05"/>
    <w:rsid w:val="006060B7"/>
    <w:rsid w:val="00606218"/>
    <w:rsid w:val="006062E3"/>
    <w:rsid w:val="006063F5"/>
    <w:rsid w:val="00606462"/>
    <w:rsid w:val="006064A3"/>
    <w:rsid w:val="00606543"/>
    <w:rsid w:val="00606633"/>
    <w:rsid w:val="00606805"/>
    <w:rsid w:val="00606838"/>
    <w:rsid w:val="006068E3"/>
    <w:rsid w:val="00606B36"/>
    <w:rsid w:val="00606D74"/>
    <w:rsid w:val="00606DEB"/>
    <w:rsid w:val="00606E95"/>
    <w:rsid w:val="00606FEA"/>
    <w:rsid w:val="0060709F"/>
    <w:rsid w:val="00607317"/>
    <w:rsid w:val="00607398"/>
    <w:rsid w:val="0060742C"/>
    <w:rsid w:val="006074D4"/>
    <w:rsid w:val="006075A7"/>
    <w:rsid w:val="0060776E"/>
    <w:rsid w:val="006077FB"/>
    <w:rsid w:val="0060796B"/>
    <w:rsid w:val="00607C16"/>
    <w:rsid w:val="00607CF3"/>
    <w:rsid w:val="00607ED2"/>
    <w:rsid w:val="00607F9D"/>
    <w:rsid w:val="00607FCF"/>
    <w:rsid w:val="00607FEE"/>
    <w:rsid w:val="00610021"/>
    <w:rsid w:val="00610162"/>
    <w:rsid w:val="00610166"/>
    <w:rsid w:val="006103F5"/>
    <w:rsid w:val="00610497"/>
    <w:rsid w:val="006104E0"/>
    <w:rsid w:val="006104E7"/>
    <w:rsid w:val="00610569"/>
    <w:rsid w:val="006108A1"/>
    <w:rsid w:val="00610A37"/>
    <w:rsid w:val="00610ABA"/>
    <w:rsid w:val="00610BE5"/>
    <w:rsid w:val="00610E36"/>
    <w:rsid w:val="0061108A"/>
    <w:rsid w:val="00611094"/>
    <w:rsid w:val="006111AD"/>
    <w:rsid w:val="00611424"/>
    <w:rsid w:val="00611459"/>
    <w:rsid w:val="0061182F"/>
    <w:rsid w:val="006118D6"/>
    <w:rsid w:val="00611A1B"/>
    <w:rsid w:val="00611D33"/>
    <w:rsid w:val="00611D8F"/>
    <w:rsid w:val="00611E8B"/>
    <w:rsid w:val="00611F1E"/>
    <w:rsid w:val="00612001"/>
    <w:rsid w:val="00612045"/>
    <w:rsid w:val="0061213D"/>
    <w:rsid w:val="00612256"/>
    <w:rsid w:val="0061225D"/>
    <w:rsid w:val="00612492"/>
    <w:rsid w:val="006125AC"/>
    <w:rsid w:val="0061271E"/>
    <w:rsid w:val="006128FB"/>
    <w:rsid w:val="00612910"/>
    <w:rsid w:val="0061294A"/>
    <w:rsid w:val="00612988"/>
    <w:rsid w:val="006129A7"/>
    <w:rsid w:val="006129CF"/>
    <w:rsid w:val="00612AE9"/>
    <w:rsid w:val="00612B62"/>
    <w:rsid w:val="00612C02"/>
    <w:rsid w:val="00612C6D"/>
    <w:rsid w:val="00612CD7"/>
    <w:rsid w:val="00612E87"/>
    <w:rsid w:val="00613037"/>
    <w:rsid w:val="00613100"/>
    <w:rsid w:val="00613140"/>
    <w:rsid w:val="0061337E"/>
    <w:rsid w:val="0061344C"/>
    <w:rsid w:val="006135AB"/>
    <w:rsid w:val="006135C3"/>
    <w:rsid w:val="00613649"/>
    <w:rsid w:val="00613863"/>
    <w:rsid w:val="006138E4"/>
    <w:rsid w:val="0061390D"/>
    <w:rsid w:val="00613934"/>
    <w:rsid w:val="00613B05"/>
    <w:rsid w:val="00613BD4"/>
    <w:rsid w:val="00613C0D"/>
    <w:rsid w:val="00613C3D"/>
    <w:rsid w:val="00613CBF"/>
    <w:rsid w:val="00613CCE"/>
    <w:rsid w:val="00613D0B"/>
    <w:rsid w:val="00613D4D"/>
    <w:rsid w:val="00613DF3"/>
    <w:rsid w:val="00613E8D"/>
    <w:rsid w:val="00613E9B"/>
    <w:rsid w:val="00613FCB"/>
    <w:rsid w:val="00614027"/>
    <w:rsid w:val="00614171"/>
    <w:rsid w:val="0061428A"/>
    <w:rsid w:val="0061438A"/>
    <w:rsid w:val="0061445C"/>
    <w:rsid w:val="006144C7"/>
    <w:rsid w:val="006144F6"/>
    <w:rsid w:val="0061455F"/>
    <w:rsid w:val="006146B0"/>
    <w:rsid w:val="0061476C"/>
    <w:rsid w:val="00614A20"/>
    <w:rsid w:val="00614BB4"/>
    <w:rsid w:val="00614CF3"/>
    <w:rsid w:val="00614D7F"/>
    <w:rsid w:val="00614E79"/>
    <w:rsid w:val="00614FA3"/>
    <w:rsid w:val="00615295"/>
    <w:rsid w:val="006152A5"/>
    <w:rsid w:val="0061536A"/>
    <w:rsid w:val="0061537A"/>
    <w:rsid w:val="00615581"/>
    <w:rsid w:val="006157A6"/>
    <w:rsid w:val="00615855"/>
    <w:rsid w:val="006158E6"/>
    <w:rsid w:val="00615954"/>
    <w:rsid w:val="00615A2F"/>
    <w:rsid w:val="00615AB6"/>
    <w:rsid w:val="00615B99"/>
    <w:rsid w:val="00615CDD"/>
    <w:rsid w:val="00615F5A"/>
    <w:rsid w:val="0061600E"/>
    <w:rsid w:val="0061606E"/>
    <w:rsid w:val="00616094"/>
    <w:rsid w:val="0061617C"/>
    <w:rsid w:val="006162EA"/>
    <w:rsid w:val="006163C5"/>
    <w:rsid w:val="00616407"/>
    <w:rsid w:val="00616591"/>
    <w:rsid w:val="006166C6"/>
    <w:rsid w:val="006166D3"/>
    <w:rsid w:val="006168D7"/>
    <w:rsid w:val="00616A13"/>
    <w:rsid w:val="00616AEE"/>
    <w:rsid w:val="00616B92"/>
    <w:rsid w:val="00616CA2"/>
    <w:rsid w:val="00616E26"/>
    <w:rsid w:val="00616E57"/>
    <w:rsid w:val="00616F5D"/>
    <w:rsid w:val="00617175"/>
    <w:rsid w:val="00617276"/>
    <w:rsid w:val="0061735A"/>
    <w:rsid w:val="00617444"/>
    <w:rsid w:val="0061745A"/>
    <w:rsid w:val="006175D6"/>
    <w:rsid w:val="00617601"/>
    <w:rsid w:val="00617636"/>
    <w:rsid w:val="006178AA"/>
    <w:rsid w:val="0061794A"/>
    <w:rsid w:val="006179D1"/>
    <w:rsid w:val="006179ED"/>
    <w:rsid w:val="00617A66"/>
    <w:rsid w:val="00617C40"/>
    <w:rsid w:val="00617C49"/>
    <w:rsid w:val="00617E25"/>
    <w:rsid w:val="00617EB8"/>
    <w:rsid w:val="00620066"/>
    <w:rsid w:val="0062048A"/>
    <w:rsid w:val="006204A8"/>
    <w:rsid w:val="00620510"/>
    <w:rsid w:val="0062065A"/>
    <w:rsid w:val="0062066E"/>
    <w:rsid w:val="0062082E"/>
    <w:rsid w:val="00620911"/>
    <w:rsid w:val="00620919"/>
    <w:rsid w:val="00620951"/>
    <w:rsid w:val="0062098A"/>
    <w:rsid w:val="006209CC"/>
    <w:rsid w:val="00620CD7"/>
    <w:rsid w:val="00620DA9"/>
    <w:rsid w:val="00620E0B"/>
    <w:rsid w:val="00620E40"/>
    <w:rsid w:val="00620E5A"/>
    <w:rsid w:val="00620F3C"/>
    <w:rsid w:val="00620F4B"/>
    <w:rsid w:val="00620F7B"/>
    <w:rsid w:val="00621150"/>
    <w:rsid w:val="00621189"/>
    <w:rsid w:val="00621248"/>
    <w:rsid w:val="00621284"/>
    <w:rsid w:val="00621293"/>
    <w:rsid w:val="006214D2"/>
    <w:rsid w:val="00621546"/>
    <w:rsid w:val="006215BE"/>
    <w:rsid w:val="006215D5"/>
    <w:rsid w:val="0062178C"/>
    <w:rsid w:val="006218D3"/>
    <w:rsid w:val="0062196F"/>
    <w:rsid w:val="00621A41"/>
    <w:rsid w:val="00621A6F"/>
    <w:rsid w:val="00621B0C"/>
    <w:rsid w:val="00621B0D"/>
    <w:rsid w:val="00621CB7"/>
    <w:rsid w:val="00621DDA"/>
    <w:rsid w:val="00621EB4"/>
    <w:rsid w:val="00621ECE"/>
    <w:rsid w:val="0062216E"/>
    <w:rsid w:val="00622310"/>
    <w:rsid w:val="006223A0"/>
    <w:rsid w:val="00622547"/>
    <w:rsid w:val="00622642"/>
    <w:rsid w:val="00622789"/>
    <w:rsid w:val="00622A00"/>
    <w:rsid w:val="00622A97"/>
    <w:rsid w:val="00622C04"/>
    <w:rsid w:val="00622EF2"/>
    <w:rsid w:val="00622FB8"/>
    <w:rsid w:val="00623051"/>
    <w:rsid w:val="006230F3"/>
    <w:rsid w:val="006232E6"/>
    <w:rsid w:val="00623413"/>
    <w:rsid w:val="00623483"/>
    <w:rsid w:val="006234DC"/>
    <w:rsid w:val="006235FB"/>
    <w:rsid w:val="006236C7"/>
    <w:rsid w:val="0062382C"/>
    <w:rsid w:val="0062386A"/>
    <w:rsid w:val="00623892"/>
    <w:rsid w:val="006238E4"/>
    <w:rsid w:val="006239A5"/>
    <w:rsid w:val="00623A58"/>
    <w:rsid w:val="00623B98"/>
    <w:rsid w:val="00623BFC"/>
    <w:rsid w:val="00623F6D"/>
    <w:rsid w:val="00623FD3"/>
    <w:rsid w:val="00624013"/>
    <w:rsid w:val="0062407D"/>
    <w:rsid w:val="006240B6"/>
    <w:rsid w:val="006241BA"/>
    <w:rsid w:val="0062429B"/>
    <w:rsid w:val="006242BB"/>
    <w:rsid w:val="0062441B"/>
    <w:rsid w:val="0062442C"/>
    <w:rsid w:val="006244EA"/>
    <w:rsid w:val="006245F1"/>
    <w:rsid w:val="00624796"/>
    <w:rsid w:val="006247EE"/>
    <w:rsid w:val="0062480B"/>
    <w:rsid w:val="0062485A"/>
    <w:rsid w:val="00624868"/>
    <w:rsid w:val="0062495F"/>
    <w:rsid w:val="00624A14"/>
    <w:rsid w:val="00624AE4"/>
    <w:rsid w:val="00624AFE"/>
    <w:rsid w:val="00624B71"/>
    <w:rsid w:val="00624E8E"/>
    <w:rsid w:val="00624EA5"/>
    <w:rsid w:val="00624FE3"/>
    <w:rsid w:val="00624FF8"/>
    <w:rsid w:val="00624FFF"/>
    <w:rsid w:val="00625023"/>
    <w:rsid w:val="0062509D"/>
    <w:rsid w:val="006250E9"/>
    <w:rsid w:val="00625180"/>
    <w:rsid w:val="006252B9"/>
    <w:rsid w:val="006253E3"/>
    <w:rsid w:val="006254FB"/>
    <w:rsid w:val="00625653"/>
    <w:rsid w:val="00625743"/>
    <w:rsid w:val="006257A3"/>
    <w:rsid w:val="006257CF"/>
    <w:rsid w:val="00625825"/>
    <w:rsid w:val="00625AA3"/>
    <w:rsid w:val="00625B37"/>
    <w:rsid w:val="00625C95"/>
    <w:rsid w:val="00625D45"/>
    <w:rsid w:val="00625D58"/>
    <w:rsid w:val="00625D81"/>
    <w:rsid w:val="00625E0A"/>
    <w:rsid w:val="00625E52"/>
    <w:rsid w:val="00625F23"/>
    <w:rsid w:val="00625F65"/>
    <w:rsid w:val="00625FE5"/>
    <w:rsid w:val="00625FE8"/>
    <w:rsid w:val="0062610E"/>
    <w:rsid w:val="006262BA"/>
    <w:rsid w:val="00626302"/>
    <w:rsid w:val="0062637B"/>
    <w:rsid w:val="00626386"/>
    <w:rsid w:val="0062641B"/>
    <w:rsid w:val="00626433"/>
    <w:rsid w:val="0062662B"/>
    <w:rsid w:val="00626720"/>
    <w:rsid w:val="006267E4"/>
    <w:rsid w:val="00626815"/>
    <w:rsid w:val="00626842"/>
    <w:rsid w:val="0062693A"/>
    <w:rsid w:val="00626992"/>
    <w:rsid w:val="00626B21"/>
    <w:rsid w:val="00626BA8"/>
    <w:rsid w:val="00626BC8"/>
    <w:rsid w:val="00626D18"/>
    <w:rsid w:val="00626D4D"/>
    <w:rsid w:val="00626D7B"/>
    <w:rsid w:val="00626E47"/>
    <w:rsid w:val="00626EAD"/>
    <w:rsid w:val="00626F99"/>
    <w:rsid w:val="006271B7"/>
    <w:rsid w:val="00627209"/>
    <w:rsid w:val="00627246"/>
    <w:rsid w:val="006273D9"/>
    <w:rsid w:val="006274C7"/>
    <w:rsid w:val="006274E3"/>
    <w:rsid w:val="00627528"/>
    <w:rsid w:val="0062769F"/>
    <w:rsid w:val="006276DC"/>
    <w:rsid w:val="0062773D"/>
    <w:rsid w:val="006277C1"/>
    <w:rsid w:val="006279A1"/>
    <w:rsid w:val="00627A3C"/>
    <w:rsid w:val="00627AA4"/>
    <w:rsid w:val="00627BA5"/>
    <w:rsid w:val="00627BF3"/>
    <w:rsid w:val="00627F4F"/>
    <w:rsid w:val="00627F5E"/>
    <w:rsid w:val="00627F63"/>
    <w:rsid w:val="00630007"/>
    <w:rsid w:val="00630075"/>
    <w:rsid w:val="006300EF"/>
    <w:rsid w:val="00630109"/>
    <w:rsid w:val="0063011C"/>
    <w:rsid w:val="0063015C"/>
    <w:rsid w:val="006301B6"/>
    <w:rsid w:val="006303D8"/>
    <w:rsid w:val="0063040B"/>
    <w:rsid w:val="006307E6"/>
    <w:rsid w:val="00630802"/>
    <w:rsid w:val="0063082D"/>
    <w:rsid w:val="00630864"/>
    <w:rsid w:val="006308D3"/>
    <w:rsid w:val="00630A27"/>
    <w:rsid w:val="00630AF2"/>
    <w:rsid w:val="00630B77"/>
    <w:rsid w:val="00630D4D"/>
    <w:rsid w:val="00630D5D"/>
    <w:rsid w:val="00630E63"/>
    <w:rsid w:val="00630F78"/>
    <w:rsid w:val="00630FDD"/>
    <w:rsid w:val="0063100D"/>
    <w:rsid w:val="006310D9"/>
    <w:rsid w:val="0063110A"/>
    <w:rsid w:val="0063114B"/>
    <w:rsid w:val="006311A6"/>
    <w:rsid w:val="00631250"/>
    <w:rsid w:val="006312E2"/>
    <w:rsid w:val="00631494"/>
    <w:rsid w:val="006314DF"/>
    <w:rsid w:val="0063153C"/>
    <w:rsid w:val="00631697"/>
    <w:rsid w:val="00631709"/>
    <w:rsid w:val="00631780"/>
    <w:rsid w:val="006317E6"/>
    <w:rsid w:val="006318DB"/>
    <w:rsid w:val="006319B0"/>
    <w:rsid w:val="006319CA"/>
    <w:rsid w:val="00631ACC"/>
    <w:rsid w:val="00631C09"/>
    <w:rsid w:val="00631DD3"/>
    <w:rsid w:val="00631E15"/>
    <w:rsid w:val="00631E4D"/>
    <w:rsid w:val="00631E8E"/>
    <w:rsid w:val="00631F07"/>
    <w:rsid w:val="00632006"/>
    <w:rsid w:val="0063208C"/>
    <w:rsid w:val="006320F5"/>
    <w:rsid w:val="006321F4"/>
    <w:rsid w:val="0063222E"/>
    <w:rsid w:val="00632428"/>
    <w:rsid w:val="0063243A"/>
    <w:rsid w:val="00632443"/>
    <w:rsid w:val="00632704"/>
    <w:rsid w:val="0063274A"/>
    <w:rsid w:val="006327B2"/>
    <w:rsid w:val="00632863"/>
    <w:rsid w:val="006328DD"/>
    <w:rsid w:val="006328E8"/>
    <w:rsid w:val="00632AA8"/>
    <w:rsid w:val="00632B0B"/>
    <w:rsid w:val="00632B3B"/>
    <w:rsid w:val="00632BDC"/>
    <w:rsid w:val="00632C45"/>
    <w:rsid w:val="00632C53"/>
    <w:rsid w:val="00632CD7"/>
    <w:rsid w:val="00632FBE"/>
    <w:rsid w:val="00632FD4"/>
    <w:rsid w:val="00633325"/>
    <w:rsid w:val="0063338F"/>
    <w:rsid w:val="0063343C"/>
    <w:rsid w:val="00633467"/>
    <w:rsid w:val="0063352F"/>
    <w:rsid w:val="006335D4"/>
    <w:rsid w:val="006336AD"/>
    <w:rsid w:val="00633739"/>
    <w:rsid w:val="0063380F"/>
    <w:rsid w:val="006338C5"/>
    <w:rsid w:val="00633B2F"/>
    <w:rsid w:val="00633D1D"/>
    <w:rsid w:val="00633E12"/>
    <w:rsid w:val="00633E9C"/>
    <w:rsid w:val="00633F43"/>
    <w:rsid w:val="00633F95"/>
    <w:rsid w:val="006340BB"/>
    <w:rsid w:val="00634221"/>
    <w:rsid w:val="0063434D"/>
    <w:rsid w:val="00634373"/>
    <w:rsid w:val="0063438F"/>
    <w:rsid w:val="006343CF"/>
    <w:rsid w:val="0063456D"/>
    <w:rsid w:val="0063457D"/>
    <w:rsid w:val="006348B7"/>
    <w:rsid w:val="0063491C"/>
    <w:rsid w:val="00634946"/>
    <w:rsid w:val="00634A47"/>
    <w:rsid w:val="00634B48"/>
    <w:rsid w:val="00634B52"/>
    <w:rsid w:val="00634C1B"/>
    <w:rsid w:val="00634D81"/>
    <w:rsid w:val="00634D95"/>
    <w:rsid w:val="00634E3C"/>
    <w:rsid w:val="00634F12"/>
    <w:rsid w:val="00634F61"/>
    <w:rsid w:val="006350A9"/>
    <w:rsid w:val="006350E3"/>
    <w:rsid w:val="0063522F"/>
    <w:rsid w:val="00635287"/>
    <w:rsid w:val="006353FC"/>
    <w:rsid w:val="006354DD"/>
    <w:rsid w:val="00635554"/>
    <w:rsid w:val="00635631"/>
    <w:rsid w:val="006357A3"/>
    <w:rsid w:val="006357E1"/>
    <w:rsid w:val="006357ED"/>
    <w:rsid w:val="00635850"/>
    <w:rsid w:val="00635901"/>
    <w:rsid w:val="00635A32"/>
    <w:rsid w:val="00635B43"/>
    <w:rsid w:val="00635B87"/>
    <w:rsid w:val="00635D71"/>
    <w:rsid w:val="00635F07"/>
    <w:rsid w:val="006360B6"/>
    <w:rsid w:val="006361E9"/>
    <w:rsid w:val="00636211"/>
    <w:rsid w:val="0063627D"/>
    <w:rsid w:val="00636389"/>
    <w:rsid w:val="006363C2"/>
    <w:rsid w:val="00636479"/>
    <w:rsid w:val="006367D3"/>
    <w:rsid w:val="00636811"/>
    <w:rsid w:val="00636974"/>
    <w:rsid w:val="00636AFE"/>
    <w:rsid w:val="00636B34"/>
    <w:rsid w:val="00636B9D"/>
    <w:rsid w:val="00636BA7"/>
    <w:rsid w:val="00636CA9"/>
    <w:rsid w:val="00637074"/>
    <w:rsid w:val="006370B9"/>
    <w:rsid w:val="0063713E"/>
    <w:rsid w:val="00637231"/>
    <w:rsid w:val="0063724B"/>
    <w:rsid w:val="00637383"/>
    <w:rsid w:val="006373E2"/>
    <w:rsid w:val="00637435"/>
    <w:rsid w:val="00637570"/>
    <w:rsid w:val="006375FC"/>
    <w:rsid w:val="00637602"/>
    <w:rsid w:val="006376D1"/>
    <w:rsid w:val="00637833"/>
    <w:rsid w:val="00637A16"/>
    <w:rsid w:val="00637A64"/>
    <w:rsid w:val="00637BCC"/>
    <w:rsid w:val="00637D09"/>
    <w:rsid w:val="00637E3D"/>
    <w:rsid w:val="00637F6C"/>
    <w:rsid w:val="006400B7"/>
    <w:rsid w:val="006400CE"/>
    <w:rsid w:val="00640265"/>
    <w:rsid w:val="00640291"/>
    <w:rsid w:val="006402E7"/>
    <w:rsid w:val="006403A3"/>
    <w:rsid w:val="006403DB"/>
    <w:rsid w:val="006407CF"/>
    <w:rsid w:val="00640918"/>
    <w:rsid w:val="00640945"/>
    <w:rsid w:val="00640977"/>
    <w:rsid w:val="00640B6D"/>
    <w:rsid w:val="00640BE0"/>
    <w:rsid w:val="00640C31"/>
    <w:rsid w:val="00640E51"/>
    <w:rsid w:val="00640FE7"/>
    <w:rsid w:val="006410E8"/>
    <w:rsid w:val="0064124B"/>
    <w:rsid w:val="00641291"/>
    <w:rsid w:val="0064169B"/>
    <w:rsid w:val="006416B1"/>
    <w:rsid w:val="006416CF"/>
    <w:rsid w:val="00641804"/>
    <w:rsid w:val="00641819"/>
    <w:rsid w:val="006419C2"/>
    <w:rsid w:val="00641A9E"/>
    <w:rsid w:val="00641BE9"/>
    <w:rsid w:val="00641C9E"/>
    <w:rsid w:val="00641CF9"/>
    <w:rsid w:val="00641D4F"/>
    <w:rsid w:val="00641E5E"/>
    <w:rsid w:val="00641EB9"/>
    <w:rsid w:val="00641F09"/>
    <w:rsid w:val="00642066"/>
    <w:rsid w:val="00642181"/>
    <w:rsid w:val="006422FB"/>
    <w:rsid w:val="0064234A"/>
    <w:rsid w:val="006423BA"/>
    <w:rsid w:val="006423F1"/>
    <w:rsid w:val="006424FB"/>
    <w:rsid w:val="00642588"/>
    <w:rsid w:val="00642759"/>
    <w:rsid w:val="00642892"/>
    <w:rsid w:val="006428BC"/>
    <w:rsid w:val="00642A44"/>
    <w:rsid w:val="00642B67"/>
    <w:rsid w:val="00642C1A"/>
    <w:rsid w:val="00642C6A"/>
    <w:rsid w:val="00642CAF"/>
    <w:rsid w:val="00642D1F"/>
    <w:rsid w:val="00642ECE"/>
    <w:rsid w:val="00642F89"/>
    <w:rsid w:val="00643017"/>
    <w:rsid w:val="00643161"/>
    <w:rsid w:val="00643188"/>
    <w:rsid w:val="00643226"/>
    <w:rsid w:val="0064326A"/>
    <w:rsid w:val="0064328F"/>
    <w:rsid w:val="006432C8"/>
    <w:rsid w:val="00643311"/>
    <w:rsid w:val="0064336E"/>
    <w:rsid w:val="006435A3"/>
    <w:rsid w:val="0064366C"/>
    <w:rsid w:val="00643802"/>
    <w:rsid w:val="0064396F"/>
    <w:rsid w:val="00643C0E"/>
    <w:rsid w:val="00643C5F"/>
    <w:rsid w:val="00643DCD"/>
    <w:rsid w:val="00643ED3"/>
    <w:rsid w:val="00643FB6"/>
    <w:rsid w:val="00644043"/>
    <w:rsid w:val="00644119"/>
    <w:rsid w:val="0064411D"/>
    <w:rsid w:val="00644159"/>
    <w:rsid w:val="00644215"/>
    <w:rsid w:val="00644243"/>
    <w:rsid w:val="006444F2"/>
    <w:rsid w:val="00644525"/>
    <w:rsid w:val="0064488B"/>
    <w:rsid w:val="0064490E"/>
    <w:rsid w:val="00644A06"/>
    <w:rsid w:val="00644B78"/>
    <w:rsid w:val="00644BEF"/>
    <w:rsid w:val="00644C3A"/>
    <w:rsid w:val="00644C51"/>
    <w:rsid w:val="00644DCA"/>
    <w:rsid w:val="00644DEA"/>
    <w:rsid w:val="00644F30"/>
    <w:rsid w:val="00644FD5"/>
    <w:rsid w:val="006450AD"/>
    <w:rsid w:val="00645210"/>
    <w:rsid w:val="006452B0"/>
    <w:rsid w:val="00645438"/>
    <w:rsid w:val="00645453"/>
    <w:rsid w:val="006454CB"/>
    <w:rsid w:val="0064558A"/>
    <w:rsid w:val="006458C3"/>
    <w:rsid w:val="006459EF"/>
    <w:rsid w:val="00645A33"/>
    <w:rsid w:val="00645B05"/>
    <w:rsid w:val="00645B2F"/>
    <w:rsid w:val="00645B80"/>
    <w:rsid w:val="00645B9D"/>
    <w:rsid w:val="00645C89"/>
    <w:rsid w:val="00645DA5"/>
    <w:rsid w:val="00645F03"/>
    <w:rsid w:val="00645F7F"/>
    <w:rsid w:val="006460AE"/>
    <w:rsid w:val="00646157"/>
    <w:rsid w:val="00646159"/>
    <w:rsid w:val="0064619B"/>
    <w:rsid w:val="00646208"/>
    <w:rsid w:val="00646327"/>
    <w:rsid w:val="006465F3"/>
    <w:rsid w:val="00646676"/>
    <w:rsid w:val="00646769"/>
    <w:rsid w:val="006467AB"/>
    <w:rsid w:val="00646849"/>
    <w:rsid w:val="00646864"/>
    <w:rsid w:val="00646891"/>
    <w:rsid w:val="006468B2"/>
    <w:rsid w:val="00646955"/>
    <w:rsid w:val="00646AE3"/>
    <w:rsid w:val="00646B08"/>
    <w:rsid w:val="00646B92"/>
    <w:rsid w:val="00646C53"/>
    <w:rsid w:val="00646C5A"/>
    <w:rsid w:val="00646C6C"/>
    <w:rsid w:val="00646D51"/>
    <w:rsid w:val="00646EBC"/>
    <w:rsid w:val="00646EC0"/>
    <w:rsid w:val="00646F29"/>
    <w:rsid w:val="00647046"/>
    <w:rsid w:val="0064716F"/>
    <w:rsid w:val="006471C5"/>
    <w:rsid w:val="00647273"/>
    <w:rsid w:val="0064736E"/>
    <w:rsid w:val="006473DE"/>
    <w:rsid w:val="00647483"/>
    <w:rsid w:val="00647544"/>
    <w:rsid w:val="00647626"/>
    <w:rsid w:val="006476E8"/>
    <w:rsid w:val="00647A24"/>
    <w:rsid w:val="00647AC7"/>
    <w:rsid w:val="00647BAD"/>
    <w:rsid w:val="00647BB0"/>
    <w:rsid w:val="00647C5E"/>
    <w:rsid w:val="00647FEC"/>
    <w:rsid w:val="0065010D"/>
    <w:rsid w:val="00650168"/>
    <w:rsid w:val="00650373"/>
    <w:rsid w:val="00650557"/>
    <w:rsid w:val="0065059C"/>
    <w:rsid w:val="0065061C"/>
    <w:rsid w:val="00650780"/>
    <w:rsid w:val="006507BF"/>
    <w:rsid w:val="0065094E"/>
    <w:rsid w:val="006509E2"/>
    <w:rsid w:val="00650A5D"/>
    <w:rsid w:val="00650A65"/>
    <w:rsid w:val="00650A7A"/>
    <w:rsid w:val="00650B05"/>
    <w:rsid w:val="00650CDA"/>
    <w:rsid w:val="00650F65"/>
    <w:rsid w:val="00650FAA"/>
    <w:rsid w:val="0065104E"/>
    <w:rsid w:val="006510AE"/>
    <w:rsid w:val="00651192"/>
    <w:rsid w:val="0065129C"/>
    <w:rsid w:val="00651361"/>
    <w:rsid w:val="006513E4"/>
    <w:rsid w:val="006514C4"/>
    <w:rsid w:val="00651547"/>
    <w:rsid w:val="0065157B"/>
    <w:rsid w:val="006515BC"/>
    <w:rsid w:val="006515FE"/>
    <w:rsid w:val="006516B1"/>
    <w:rsid w:val="006516E6"/>
    <w:rsid w:val="00651811"/>
    <w:rsid w:val="0065182C"/>
    <w:rsid w:val="00651993"/>
    <w:rsid w:val="00651C24"/>
    <w:rsid w:val="00651CA4"/>
    <w:rsid w:val="00651CBC"/>
    <w:rsid w:val="00652057"/>
    <w:rsid w:val="006520C5"/>
    <w:rsid w:val="006520FA"/>
    <w:rsid w:val="00652169"/>
    <w:rsid w:val="006521C3"/>
    <w:rsid w:val="0065235C"/>
    <w:rsid w:val="006523C0"/>
    <w:rsid w:val="006523D8"/>
    <w:rsid w:val="00652627"/>
    <w:rsid w:val="0065265E"/>
    <w:rsid w:val="0065295A"/>
    <w:rsid w:val="00652B42"/>
    <w:rsid w:val="00652B73"/>
    <w:rsid w:val="00652C85"/>
    <w:rsid w:val="00652CF9"/>
    <w:rsid w:val="00652D85"/>
    <w:rsid w:val="00652F23"/>
    <w:rsid w:val="00652F57"/>
    <w:rsid w:val="006531A6"/>
    <w:rsid w:val="006532E1"/>
    <w:rsid w:val="006533D9"/>
    <w:rsid w:val="006533DF"/>
    <w:rsid w:val="006534BF"/>
    <w:rsid w:val="0065355D"/>
    <w:rsid w:val="006535B2"/>
    <w:rsid w:val="00653677"/>
    <w:rsid w:val="00653737"/>
    <w:rsid w:val="0065373E"/>
    <w:rsid w:val="00653762"/>
    <w:rsid w:val="006537D3"/>
    <w:rsid w:val="006537D5"/>
    <w:rsid w:val="006537D7"/>
    <w:rsid w:val="0065380A"/>
    <w:rsid w:val="00653835"/>
    <w:rsid w:val="0065392A"/>
    <w:rsid w:val="00653978"/>
    <w:rsid w:val="00653BA2"/>
    <w:rsid w:val="00653C1D"/>
    <w:rsid w:val="00653D70"/>
    <w:rsid w:val="00653F82"/>
    <w:rsid w:val="006540C5"/>
    <w:rsid w:val="0065421C"/>
    <w:rsid w:val="0065422D"/>
    <w:rsid w:val="0065428D"/>
    <w:rsid w:val="00654299"/>
    <w:rsid w:val="00654358"/>
    <w:rsid w:val="00654376"/>
    <w:rsid w:val="0065444A"/>
    <w:rsid w:val="006544DC"/>
    <w:rsid w:val="0065451A"/>
    <w:rsid w:val="00654557"/>
    <w:rsid w:val="0065461A"/>
    <w:rsid w:val="00654631"/>
    <w:rsid w:val="00654675"/>
    <w:rsid w:val="00654743"/>
    <w:rsid w:val="006547D7"/>
    <w:rsid w:val="006547E1"/>
    <w:rsid w:val="006547ED"/>
    <w:rsid w:val="00654991"/>
    <w:rsid w:val="00654B82"/>
    <w:rsid w:val="00654CE9"/>
    <w:rsid w:val="00654D1C"/>
    <w:rsid w:val="00654DA8"/>
    <w:rsid w:val="00654EAD"/>
    <w:rsid w:val="00654F68"/>
    <w:rsid w:val="0065500D"/>
    <w:rsid w:val="006550E7"/>
    <w:rsid w:val="00655110"/>
    <w:rsid w:val="00655128"/>
    <w:rsid w:val="00655154"/>
    <w:rsid w:val="0065543F"/>
    <w:rsid w:val="006556FF"/>
    <w:rsid w:val="00655794"/>
    <w:rsid w:val="006557B6"/>
    <w:rsid w:val="006557EF"/>
    <w:rsid w:val="00655871"/>
    <w:rsid w:val="00655A55"/>
    <w:rsid w:val="00655B51"/>
    <w:rsid w:val="00655C6C"/>
    <w:rsid w:val="00655C9F"/>
    <w:rsid w:val="00655CF9"/>
    <w:rsid w:val="00655D45"/>
    <w:rsid w:val="00655E50"/>
    <w:rsid w:val="006560C8"/>
    <w:rsid w:val="006560CC"/>
    <w:rsid w:val="006560F8"/>
    <w:rsid w:val="00656211"/>
    <w:rsid w:val="00656252"/>
    <w:rsid w:val="006562BF"/>
    <w:rsid w:val="006562C7"/>
    <w:rsid w:val="006562D0"/>
    <w:rsid w:val="0065631B"/>
    <w:rsid w:val="006563D7"/>
    <w:rsid w:val="00656424"/>
    <w:rsid w:val="006564C4"/>
    <w:rsid w:val="00656686"/>
    <w:rsid w:val="00656980"/>
    <w:rsid w:val="00656C59"/>
    <w:rsid w:val="00656CF4"/>
    <w:rsid w:val="00656D20"/>
    <w:rsid w:val="00656D88"/>
    <w:rsid w:val="00656EB9"/>
    <w:rsid w:val="00656EC7"/>
    <w:rsid w:val="00656F2C"/>
    <w:rsid w:val="00656F4D"/>
    <w:rsid w:val="00656F68"/>
    <w:rsid w:val="00657022"/>
    <w:rsid w:val="0065714C"/>
    <w:rsid w:val="006573DB"/>
    <w:rsid w:val="00657426"/>
    <w:rsid w:val="00657494"/>
    <w:rsid w:val="0065753F"/>
    <w:rsid w:val="00657627"/>
    <w:rsid w:val="0065795A"/>
    <w:rsid w:val="00657B4A"/>
    <w:rsid w:val="00657F0C"/>
    <w:rsid w:val="00660043"/>
    <w:rsid w:val="00660060"/>
    <w:rsid w:val="00660109"/>
    <w:rsid w:val="006604C9"/>
    <w:rsid w:val="00660762"/>
    <w:rsid w:val="00660776"/>
    <w:rsid w:val="006607F8"/>
    <w:rsid w:val="006609DA"/>
    <w:rsid w:val="00660A3D"/>
    <w:rsid w:val="00660A65"/>
    <w:rsid w:val="00660A74"/>
    <w:rsid w:val="00660B59"/>
    <w:rsid w:val="00660B6F"/>
    <w:rsid w:val="00660C9F"/>
    <w:rsid w:val="00660CAB"/>
    <w:rsid w:val="00660CB1"/>
    <w:rsid w:val="00660CE7"/>
    <w:rsid w:val="00660D4D"/>
    <w:rsid w:val="00660ED2"/>
    <w:rsid w:val="00660F5A"/>
    <w:rsid w:val="00661037"/>
    <w:rsid w:val="0066115E"/>
    <w:rsid w:val="00661333"/>
    <w:rsid w:val="00661369"/>
    <w:rsid w:val="006613AF"/>
    <w:rsid w:val="0066141F"/>
    <w:rsid w:val="00661500"/>
    <w:rsid w:val="006616CC"/>
    <w:rsid w:val="006616FE"/>
    <w:rsid w:val="0066172E"/>
    <w:rsid w:val="006617F4"/>
    <w:rsid w:val="00661BBD"/>
    <w:rsid w:val="00661C53"/>
    <w:rsid w:val="00661DE8"/>
    <w:rsid w:val="00661E01"/>
    <w:rsid w:val="00661F05"/>
    <w:rsid w:val="00661F21"/>
    <w:rsid w:val="0066202F"/>
    <w:rsid w:val="006620CD"/>
    <w:rsid w:val="00662246"/>
    <w:rsid w:val="0066227D"/>
    <w:rsid w:val="0066240E"/>
    <w:rsid w:val="00662482"/>
    <w:rsid w:val="006626E2"/>
    <w:rsid w:val="006626FD"/>
    <w:rsid w:val="00662731"/>
    <w:rsid w:val="00662801"/>
    <w:rsid w:val="006629C2"/>
    <w:rsid w:val="00662A1A"/>
    <w:rsid w:val="00662C21"/>
    <w:rsid w:val="00662C2F"/>
    <w:rsid w:val="00662C56"/>
    <w:rsid w:val="00662DE5"/>
    <w:rsid w:val="00662E5F"/>
    <w:rsid w:val="00662F44"/>
    <w:rsid w:val="0066302E"/>
    <w:rsid w:val="00663058"/>
    <w:rsid w:val="00663084"/>
    <w:rsid w:val="006630A4"/>
    <w:rsid w:val="0066325A"/>
    <w:rsid w:val="006632A2"/>
    <w:rsid w:val="00663314"/>
    <w:rsid w:val="0066339A"/>
    <w:rsid w:val="006633D7"/>
    <w:rsid w:val="006633FD"/>
    <w:rsid w:val="0066344E"/>
    <w:rsid w:val="00663496"/>
    <w:rsid w:val="006634FE"/>
    <w:rsid w:val="0066383E"/>
    <w:rsid w:val="0066385F"/>
    <w:rsid w:val="006638A9"/>
    <w:rsid w:val="006639B3"/>
    <w:rsid w:val="00663B0E"/>
    <w:rsid w:val="00663BF9"/>
    <w:rsid w:val="00663CB2"/>
    <w:rsid w:val="00663D90"/>
    <w:rsid w:val="00663E56"/>
    <w:rsid w:val="00663E97"/>
    <w:rsid w:val="00663ED7"/>
    <w:rsid w:val="00664245"/>
    <w:rsid w:val="00664322"/>
    <w:rsid w:val="006643AB"/>
    <w:rsid w:val="006643FC"/>
    <w:rsid w:val="00664434"/>
    <w:rsid w:val="00664572"/>
    <w:rsid w:val="006645CF"/>
    <w:rsid w:val="006645FA"/>
    <w:rsid w:val="00664643"/>
    <w:rsid w:val="00664793"/>
    <w:rsid w:val="00664801"/>
    <w:rsid w:val="0066489A"/>
    <w:rsid w:val="006648F3"/>
    <w:rsid w:val="00664B76"/>
    <w:rsid w:val="00664BA1"/>
    <w:rsid w:val="00664D98"/>
    <w:rsid w:val="00664DB8"/>
    <w:rsid w:val="00664F05"/>
    <w:rsid w:val="00664F54"/>
    <w:rsid w:val="00664FAD"/>
    <w:rsid w:val="00665124"/>
    <w:rsid w:val="00665257"/>
    <w:rsid w:val="00665341"/>
    <w:rsid w:val="00665421"/>
    <w:rsid w:val="00665506"/>
    <w:rsid w:val="006655E1"/>
    <w:rsid w:val="0066561F"/>
    <w:rsid w:val="006657B1"/>
    <w:rsid w:val="0066587F"/>
    <w:rsid w:val="006658F4"/>
    <w:rsid w:val="00665933"/>
    <w:rsid w:val="0066593C"/>
    <w:rsid w:val="00665A27"/>
    <w:rsid w:val="00665BA1"/>
    <w:rsid w:val="00665C6A"/>
    <w:rsid w:val="00665E3F"/>
    <w:rsid w:val="00665E8D"/>
    <w:rsid w:val="00665FFB"/>
    <w:rsid w:val="00666009"/>
    <w:rsid w:val="006660AE"/>
    <w:rsid w:val="00666181"/>
    <w:rsid w:val="00666218"/>
    <w:rsid w:val="00666226"/>
    <w:rsid w:val="006663C8"/>
    <w:rsid w:val="006663DD"/>
    <w:rsid w:val="00666415"/>
    <w:rsid w:val="0066646D"/>
    <w:rsid w:val="0066649E"/>
    <w:rsid w:val="006665DA"/>
    <w:rsid w:val="00666647"/>
    <w:rsid w:val="006666A3"/>
    <w:rsid w:val="006666BE"/>
    <w:rsid w:val="0066679A"/>
    <w:rsid w:val="00666899"/>
    <w:rsid w:val="00666A58"/>
    <w:rsid w:val="00666AB5"/>
    <w:rsid w:val="00666B5B"/>
    <w:rsid w:val="00666B7D"/>
    <w:rsid w:val="00666BE6"/>
    <w:rsid w:val="00666C06"/>
    <w:rsid w:val="00666CC2"/>
    <w:rsid w:val="00666CDC"/>
    <w:rsid w:val="00666EC8"/>
    <w:rsid w:val="00666FAD"/>
    <w:rsid w:val="0066708D"/>
    <w:rsid w:val="006670DE"/>
    <w:rsid w:val="00667102"/>
    <w:rsid w:val="0066720A"/>
    <w:rsid w:val="00667265"/>
    <w:rsid w:val="0066729B"/>
    <w:rsid w:val="006673D3"/>
    <w:rsid w:val="00667422"/>
    <w:rsid w:val="006674BA"/>
    <w:rsid w:val="00667552"/>
    <w:rsid w:val="00667BEC"/>
    <w:rsid w:val="00667D47"/>
    <w:rsid w:val="00667DCC"/>
    <w:rsid w:val="00667E5E"/>
    <w:rsid w:val="00667EA8"/>
    <w:rsid w:val="00667FAE"/>
    <w:rsid w:val="00670059"/>
    <w:rsid w:val="0067028A"/>
    <w:rsid w:val="006703B5"/>
    <w:rsid w:val="00670447"/>
    <w:rsid w:val="006704FF"/>
    <w:rsid w:val="00670608"/>
    <w:rsid w:val="00670650"/>
    <w:rsid w:val="00670689"/>
    <w:rsid w:val="00670760"/>
    <w:rsid w:val="006707BB"/>
    <w:rsid w:val="006707E1"/>
    <w:rsid w:val="00670A4C"/>
    <w:rsid w:val="00670C36"/>
    <w:rsid w:val="00670C46"/>
    <w:rsid w:val="00670DE4"/>
    <w:rsid w:val="00670E0A"/>
    <w:rsid w:val="00670F7F"/>
    <w:rsid w:val="00670FFD"/>
    <w:rsid w:val="006711ED"/>
    <w:rsid w:val="0067129E"/>
    <w:rsid w:val="006712C0"/>
    <w:rsid w:val="00671361"/>
    <w:rsid w:val="0067144C"/>
    <w:rsid w:val="006714BB"/>
    <w:rsid w:val="006715F6"/>
    <w:rsid w:val="00671642"/>
    <w:rsid w:val="00671694"/>
    <w:rsid w:val="006717AF"/>
    <w:rsid w:val="00671879"/>
    <w:rsid w:val="006718C6"/>
    <w:rsid w:val="00671992"/>
    <w:rsid w:val="00671CC6"/>
    <w:rsid w:val="00671F77"/>
    <w:rsid w:val="00672173"/>
    <w:rsid w:val="006721B2"/>
    <w:rsid w:val="00672274"/>
    <w:rsid w:val="006722C1"/>
    <w:rsid w:val="006724D1"/>
    <w:rsid w:val="00672576"/>
    <w:rsid w:val="00672936"/>
    <w:rsid w:val="006729A4"/>
    <w:rsid w:val="006729D2"/>
    <w:rsid w:val="00672A3E"/>
    <w:rsid w:val="00672A51"/>
    <w:rsid w:val="00672C6B"/>
    <w:rsid w:val="00672D46"/>
    <w:rsid w:val="00672F24"/>
    <w:rsid w:val="0067307E"/>
    <w:rsid w:val="0067313B"/>
    <w:rsid w:val="00673168"/>
    <w:rsid w:val="00673317"/>
    <w:rsid w:val="0067341F"/>
    <w:rsid w:val="006735C5"/>
    <w:rsid w:val="00673897"/>
    <w:rsid w:val="00673940"/>
    <w:rsid w:val="00673A9A"/>
    <w:rsid w:val="00673AD3"/>
    <w:rsid w:val="00673AD4"/>
    <w:rsid w:val="00673B26"/>
    <w:rsid w:val="00673BAE"/>
    <w:rsid w:val="00673BBF"/>
    <w:rsid w:val="00673D99"/>
    <w:rsid w:val="00673E43"/>
    <w:rsid w:val="00673EED"/>
    <w:rsid w:val="006740B6"/>
    <w:rsid w:val="00674118"/>
    <w:rsid w:val="0067411A"/>
    <w:rsid w:val="00674194"/>
    <w:rsid w:val="0067422D"/>
    <w:rsid w:val="00674253"/>
    <w:rsid w:val="006742CF"/>
    <w:rsid w:val="006744AC"/>
    <w:rsid w:val="006745A6"/>
    <w:rsid w:val="00674689"/>
    <w:rsid w:val="0067479B"/>
    <w:rsid w:val="0067480E"/>
    <w:rsid w:val="006748EF"/>
    <w:rsid w:val="00674934"/>
    <w:rsid w:val="00674A53"/>
    <w:rsid w:val="00674A95"/>
    <w:rsid w:val="00674B13"/>
    <w:rsid w:val="00674C7D"/>
    <w:rsid w:val="00674DE3"/>
    <w:rsid w:val="00674EB6"/>
    <w:rsid w:val="006751AF"/>
    <w:rsid w:val="006751CB"/>
    <w:rsid w:val="006752BF"/>
    <w:rsid w:val="006753D1"/>
    <w:rsid w:val="00675423"/>
    <w:rsid w:val="00675440"/>
    <w:rsid w:val="0067548A"/>
    <w:rsid w:val="006754A4"/>
    <w:rsid w:val="006754C9"/>
    <w:rsid w:val="00675553"/>
    <w:rsid w:val="00675644"/>
    <w:rsid w:val="00675DFD"/>
    <w:rsid w:val="00675FDD"/>
    <w:rsid w:val="006760FC"/>
    <w:rsid w:val="0067613C"/>
    <w:rsid w:val="00676452"/>
    <w:rsid w:val="006764DA"/>
    <w:rsid w:val="0067681A"/>
    <w:rsid w:val="0067697C"/>
    <w:rsid w:val="00676A68"/>
    <w:rsid w:val="00676A85"/>
    <w:rsid w:val="00676B3D"/>
    <w:rsid w:val="00676CDE"/>
    <w:rsid w:val="00676D08"/>
    <w:rsid w:val="00677037"/>
    <w:rsid w:val="006770A2"/>
    <w:rsid w:val="00677145"/>
    <w:rsid w:val="006771FA"/>
    <w:rsid w:val="0067727D"/>
    <w:rsid w:val="006772B5"/>
    <w:rsid w:val="00677641"/>
    <w:rsid w:val="00677646"/>
    <w:rsid w:val="00677812"/>
    <w:rsid w:val="00677819"/>
    <w:rsid w:val="0067788B"/>
    <w:rsid w:val="00677AFE"/>
    <w:rsid w:val="00677B0A"/>
    <w:rsid w:val="00677BEC"/>
    <w:rsid w:val="00677C14"/>
    <w:rsid w:val="00677CFC"/>
    <w:rsid w:val="00677E8D"/>
    <w:rsid w:val="00680064"/>
    <w:rsid w:val="00680073"/>
    <w:rsid w:val="00680163"/>
    <w:rsid w:val="00680275"/>
    <w:rsid w:val="00680288"/>
    <w:rsid w:val="006802D7"/>
    <w:rsid w:val="006802EE"/>
    <w:rsid w:val="00680474"/>
    <w:rsid w:val="006805A5"/>
    <w:rsid w:val="0068063C"/>
    <w:rsid w:val="00680677"/>
    <w:rsid w:val="006806FA"/>
    <w:rsid w:val="0068078F"/>
    <w:rsid w:val="00680792"/>
    <w:rsid w:val="00680A69"/>
    <w:rsid w:val="00680B40"/>
    <w:rsid w:val="00680B5B"/>
    <w:rsid w:val="00680BD9"/>
    <w:rsid w:val="00680CB7"/>
    <w:rsid w:val="00680F64"/>
    <w:rsid w:val="006810BB"/>
    <w:rsid w:val="0068110B"/>
    <w:rsid w:val="006814D1"/>
    <w:rsid w:val="006814E9"/>
    <w:rsid w:val="0068178D"/>
    <w:rsid w:val="006817EB"/>
    <w:rsid w:val="00681833"/>
    <w:rsid w:val="00681862"/>
    <w:rsid w:val="0068189B"/>
    <w:rsid w:val="006819D6"/>
    <w:rsid w:val="00681A1B"/>
    <w:rsid w:val="00681AC5"/>
    <w:rsid w:val="00681BC9"/>
    <w:rsid w:val="00681C36"/>
    <w:rsid w:val="00681C8D"/>
    <w:rsid w:val="00681D19"/>
    <w:rsid w:val="00681EC9"/>
    <w:rsid w:val="006820C2"/>
    <w:rsid w:val="00682236"/>
    <w:rsid w:val="006822FA"/>
    <w:rsid w:val="0068234F"/>
    <w:rsid w:val="00682460"/>
    <w:rsid w:val="0068247A"/>
    <w:rsid w:val="006824A8"/>
    <w:rsid w:val="006824B3"/>
    <w:rsid w:val="00682570"/>
    <w:rsid w:val="00682580"/>
    <w:rsid w:val="00682765"/>
    <w:rsid w:val="006827B5"/>
    <w:rsid w:val="0068288C"/>
    <w:rsid w:val="00682943"/>
    <w:rsid w:val="00682A1A"/>
    <w:rsid w:val="00682AA9"/>
    <w:rsid w:val="00682DB3"/>
    <w:rsid w:val="00682F70"/>
    <w:rsid w:val="00682FE9"/>
    <w:rsid w:val="00683175"/>
    <w:rsid w:val="00683212"/>
    <w:rsid w:val="00683249"/>
    <w:rsid w:val="006833B7"/>
    <w:rsid w:val="0068342E"/>
    <w:rsid w:val="00683550"/>
    <w:rsid w:val="00683696"/>
    <w:rsid w:val="006837CD"/>
    <w:rsid w:val="00683816"/>
    <w:rsid w:val="0068381F"/>
    <w:rsid w:val="00683982"/>
    <w:rsid w:val="00683988"/>
    <w:rsid w:val="00683995"/>
    <w:rsid w:val="006839C7"/>
    <w:rsid w:val="006839D9"/>
    <w:rsid w:val="006839F5"/>
    <w:rsid w:val="00683A40"/>
    <w:rsid w:val="00683AA2"/>
    <w:rsid w:val="00683DAE"/>
    <w:rsid w:val="00683E35"/>
    <w:rsid w:val="00683F0C"/>
    <w:rsid w:val="00683F36"/>
    <w:rsid w:val="00683F88"/>
    <w:rsid w:val="0068404F"/>
    <w:rsid w:val="00684088"/>
    <w:rsid w:val="006840CE"/>
    <w:rsid w:val="006842B0"/>
    <w:rsid w:val="006843CD"/>
    <w:rsid w:val="006844FE"/>
    <w:rsid w:val="00684603"/>
    <w:rsid w:val="00684620"/>
    <w:rsid w:val="00684661"/>
    <w:rsid w:val="006847CC"/>
    <w:rsid w:val="00684800"/>
    <w:rsid w:val="00684922"/>
    <w:rsid w:val="006849B2"/>
    <w:rsid w:val="00684A31"/>
    <w:rsid w:val="00684AA5"/>
    <w:rsid w:val="00684B20"/>
    <w:rsid w:val="00684F49"/>
    <w:rsid w:val="00685010"/>
    <w:rsid w:val="00685065"/>
    <w:rsid w:val="0068518F"/>
    <w:rsid w:val="00685246"/>
    <w:rsid w:val="006852A5"/>
    <w:rsid w:val="006853BB"/>
    <w:rsid w:val="00685462"/>
    <w:rsid w:val="00685473"/>
    <w:rsid w:val="00685490"/>
    <w:rsid w:val="00685589"/>
    <w:rsid w:val="0068566F"/>
    <w:rsid w:val="00685764"/>
    <w:rsid w:val="006857EC"/>
    <w:rsid w:val="0068584D"/>
    <w:rsid w:val="00685A3E"/>
    <w:rsid w:val="00685BE5"/>
    <w:rsid w:val="00685CAD"/>
    <w:rsid w:val="00685D92"/>
    <w:rsid w:val="00685E01"/>
    <w:rsid w:val="00685E14"/>
    <w:rsid w:val="0068601D"/>
    <w:rsid w:val="00686090"/>
    <w:rsid w:val="006860E6"/>
    <w:rsid w:val="00686137"/>
    <w:rsid w:val="00686138"/>
    <w:rsid w:val="0068613A"/>
    <w:rsid w:val="006861F4"/>
    <w:rsid w:val="0068621F"/>
    <w:rsid w:val="00686226"/>
    <w:rsid w:val="0068628E"/>
    <w:rsid w:val="006862BA"/>
    <w:rsid w:val="006863AF"/>
    <w:rsid w:val="0068661E"/>
    <w:rsid w:val="0068666A"/>
    <w:rsid w:val="00686820"/>
    <w:rsid w:val="0068682C"/>
    <w:rsid w:val="00686865"/>
    <w:rsid w:val="00686A46"/>
    <w:rsid w:val="00686BD9"/>
    <w:rsid w:val="00686CCE"/>
    <w:rsid w:val="00686D9D"/>
    <w:rsid w:val="00686F66"/>
    <w:rsid w:val="00686FC8"/>
    <w:rsid w:val="00687012"/>
    <w:rsid w:val="006871C2"/>
    <w:rsid w:val="00687260"/>
    <w:rsid w:val="0068746C"/>
    <w:rsid w:val="006874D3"/>
    <w:rsid w:val="0068752C"/>
    <w:rsid w:val="0068759F"/>
    <w:rsid w:val="0068766A"/>
    <w:rsid w:val="006876A4"/>
    <w:rsid w:val="006877F5"/>
    <w:rsid w:val="0068785B"/>
    <w:rsid w:val="00687882"/>
    <w:rsid w:val="006878E7"/>
    <w:rsid w:val="00687AFB"/>
    <w:rsid w:val="00687B0F"/>
    <w:rsid w:val="00687B72"/>
    <w:rsid w:val="00687DAC"/>
    <w:rsid w:val="00687E5C"/>
    <w:rsid w:val="00687E72"/>
    <w:rsid w:val="00687F97"/>
    <w:rsid w:val="00690328"/>
    <w:rsid w:val="0069047B"/>
    <w:rsid w:val="006904E1"/>
    <w:rsid w:val="006908D7"/>
    <w:rsid w:val="0069092A"/>
    <w:rsid w:val="00690B37"/>
    <w:rsid w:val="00690D22"/>
    <w:rsid w:val="00690E41"/>
    <w:rsid w:val="00690E88"/>
    <w:rsid w:val="00690F23"/>
    <w:rsid w:val="00690F34"/>
    <w:rsid w:val="00690F4F"/>
    <w:rsid w:val="00690F52"/>
    <w:rsid w:val="006910A6"/>
    <w:rsid w:val="006910B0"/>
    <w:rsid w:val="00691240"/>
    <w:rsid w:val="0069126B"/>
    <w:rsid w:val="006913B4"/>
    <w:rsid w:val="0069144D"/>
    <w:rsid w:val="00691456"/>
    <w:rsid w:val="006915B3"/>
    <w:rsid w:val="006915C3"/>
    <w:rsid w:val="006916BD"/>
    <w:rsid w:val="006916ED"/>
    <w:rsid w:val="006918E0"/>
    <w:rsid w:val="006919C4"/>
    <w:rsid w:val="006919DD"/>
    <w:rsid w:val="00691A62"/>
    <w:rsid w:val="00691A95"/>
    <w:rsid w:val="00691BED"/>
    <w:rsid w:val="00691C4A"/>
    <w:rsid w:val="00691D3D"/>
    <w:rsid w:val="00691EA9"/>
    <w:rsid w:val="00691FA7"/>
    <w:rsid w:val="0069212A"/>
    <w:rsid w:val="0069220C"/>
    <w:rsid w:val="0069220D"/>
    <w:rsid w:val="006923EB"/>
    <w:rsid w:val="0069242C"/>
    <w:rsid w:val="00692437"/>
    <w:rsid w:val="0069247B"/>
    <w:rsid w:val="006925C0"/>
    <w:rsid w:val="00692611"/>
    <w:rsid w:val="00692683"/>
    <w:rsid w:val="00692685"/>
    <w:rsid w:val="0069273A"/>
    <w:rsid w:val="006928C3"/>
    <w:rsid w:val="006929D3"/>
    <w:rsid w:val="00692A0D"/>
    <w:rsid w:val="00692A13"/>
    <w:rsid w:val="00692AC8"/>
    <w:rsid w:val="00692B35"/>
    <w:rsid w:val="00692BD3"/>
    <w:rsid w:val="00692C61"/>
    <w:rsid w:val="00692D86"/>
    <w:rsid w:val="00692E61"/>
    <w:rsid w:val="00692F4D"/>
    <w:rsid w:val="0069320D"/>
    <w:rsid w:val="00693326"/>
    <w:rsid w:val="00693390"/>
    <w:rsid w:val="00693454"/>
    <w:rsid w:val="006934D9"/>
    <w:rsid w:val="006934E0"/>
    <w:rsid w:val="0069373D"/>
    <w:rsid w:val="00693749"/>
    <w:rsid w:val="006937D4"/>
    <w:rsid w:val="00693871"/>
    <w:rsid w:val="006938AA"/>
    <w:rsid w:val="00693993"/>
    <w:rsid w:val="00693ABD"/>
    <w:rsid w:val="00693BA7"/>
    <w:rsid w:val="00693C7F"/>
    <w:rsid w:val="00693CB9"/>
    <w:rsid w:val="00693CE7"/>
    <w:rsid w:val="00693D08"/>
    <w:rsid w:val="00693EB2"/>
    <w:rsid w:val="00693F5F"/>
    <w:rsid w:val="00693F86"/>
    <w:rsid w:val="00693FEC"/>
    <w:rsid w:val="00693FF9"/>
    <w:rsid w:val="0069418C"/>
    <w:rsid w:val="00694240"/>
    <w:rsid w:val="0069439C"/>
    <w:rsid w:val="006943DA"/>
    <w:rsid w:val="0069474B"/>
    <w:rsid w:val="0069475D"/>
    <w:rsid w:val="006947CD"/>
    <w:rsid w:val="006949AC"/>
    <w:rsid w:val="00694D3F"/>
    <w:rsid w:val="00694D5D"/>
    <w:rsid w:val="00694DCD"/>
    <w:rsid w:val="00694DDC"/>
    <w:rsid w:val="00694EC0"/>
    <w:rsid w:val="00694F0C"/>
    <w:rsid w:val="00695000"/>
    <w:rsid w:val="00695093"/>
    <w:rsid w:val="006950FC"/>
    <w:rsid w:val="0069514F"/>
    <w:rsid w:val="00695183"/>
    <w:rsid w:val="006952B0"/>
    <w:rsid w:val="0069531C"/>
    <w:rsid w:val="006953A6"/>
    <w:rsid w:val="00695455"/>
    <w:rsid w:val="00695474"/>
    <w:rsid w:val="00695475"/>
    <w:rsid w:val="006958ED"/>
    <w:rsid w:val="00695A54"/>
    <w:rsid w:val="00695BA9"/>
    <w:rsid w:val="00695BFC"/>
    <w:rsid w:val="00695C2C"/>
    <w:rsid w:val="00695D12"/>
    <w:rsid w:val="00695E8E"/>
    <w:rsid w:val="00696096"/>
    <w:rsid w:val="00696200"/>
    <w:rsid w:val="00696275"/>
    <w:rsid w:val="00696307"/>
    <w:rsid w:val="00696451"/>
    <w:rsid w:val="006965BB"/>
    <w:rsid w:val="00696684"/>
    <w:rsid w:val="0069668F"/>
    <w:rsid w:val="006967E4"/>
    <w:rsid w:val="0069680D"/>
    <w:rsid w:val="00696837"/>
    <w:rsid w:val="00696AD5"/>
    <w:rsid w:val="00696B04"/>
    <w:rsid w:val="00696B7A"/>
    <w:rsid w:val="00696BD1"/>
    <w:rsid w:val="00696C1F"/>
    <w:rsid w:val="00696C79"/>
    <w:rsid w:val="00696DBA"/>
    <w:rsid w:val="00696E68"/>
    <w:rsid w:val="00696E95"/>
    <w:rsid w:val="00696F10"/>
    <w:rsid w:val="0069704B"/>
    <w:rsid w:val="00697171"/>
    <w:rsid w:val="0069735E"/>
    <w:rsid w:val="00697375"/>
    <w:rsid w:val="006973ED"/>
    <w:rsid w:val="006974AE"/>
    <w:rsid w:val="006974F8"/>
    <w:rsid w:val="006974FC"/>
    <w:rsid w:val="00697509"/>
    <w:rsid w:val="00697678"/>
    <w:rsid w:val="00697730"/>
    <w:rsid w:val="0069774F"/>
    <w:rsid w:val="0069788A"/>
    <w:rsid w:val="00697966"/>
    <w:rsid w:val="006979C7"/>
    <w:rsid w:val="00697A04"/>
    <w:rsid w:val="00697AC6"/>
    <w:rsid w:val="00697AEC"/>
    <w:rsid w:val="00697CE7"/>
    <w:rsid w:val="00697F48"/>
    <w:rsid w:val="006A0002"/>
    <w:rsid w:val="006A0039"/>
    <w:rsid w:val="006A0267"/>
    <w:rsid w:val="006A038B"/>
    <w:rsid w:val="006A04FC"/>
    <w:rsid w:val="006A0596"/>
    <w:rsid w:val="006A063B"/>
    <w:rsid w:val="006A085B"/>
    <w:rsid w:val="006A0A95"/>
    <w:rsid w:val="006A0AC7"/>
    <w:rsid w:val="006A0B09"/>
    <w:rsid w:val="006A0B1E"/>
    <w:rsid w:val="006A0B3D"/>
    <w:rsid w:val="006A0BBE"/>
    <w:rsid w:val="006A0CA4"/>
    <w:rsid w:val="006A0CBD"/>
    <w:rsid w:val="006A0D7B"/>
    <w:rsid w:val="006A0DC7"/>
    <w:rsid w:val="006A0ED4"/>
    <w:rsid w:val="006A0F6B"/>
    <w:rsid w:val="006A10A8"/>
    <w:rsid w:val="006A10E5"/>
    <w:rsid w:val="006A11B7"/>
    <w:rsid w:val="006A128E"/>
    <w:rsid w:val="006A1399"/>
    <w:rsid w:val="006A139E"/>
    <w:rsid w:val="006A13A1"/>
    <w:rsid w:val="006A148E"/>
    <w:rsid w:val="006A14AD"/>
    <w:rsid w:val="006A14C6"/>
    <w:rsid w:val="006A151B"/>
    <w:rsid w:val="006A1531"/>
    <w:rsid w:val="006A172A"/>
    <w:rsid w:val="006A17C6"/>
    <w:rsid w:val="006A17CE"/>
    <w:rsid w:val="006A18EB"/>
    <w:rsid w:val="006A19D2"/>
    <w:rsid w:val="006A1C16"/>
    <w:rsid w:val="006A1CA0"/>
    <w:rsid w:val="006A1E25"/>
    <w:rsid w:val="006A1E49"/>
    <w:rsid w:val="006A1F37"/>
    <w:rsid w:val="006A2012"/>
    <w:rsid w:val="006A2079"/>
    <w:rsid w:val="006A21A8"/>
    <w:rsid w:val="006A223C"/>
    <w:rsid w:val="006A2534"/>
    <w:rsid w:val="006A2547"/>
    <w:rsid w:val="006A259E"/>
    <w:rsid w:val="006A25E7"/>
    <w:rsid w:val="006A25E9"/>
    <w:rsid w:val="006A2624"/>
    <w:rsid w:val="006A2639"/>
    <w:rsid w:val="006A2652"/>
    <w:rsid w:val="006A269F"/>
    <w:rsid w:val="006A278F"/>
    <w:rsid w:val="006A2907"/>
    <w:rsid w:val="006A2B71"/>
    <w:rsid w:val="006A2BE6"/>
    <w:rsid w:val="006A2BEA"/>
    <w:rsid w:val="006A2C47"/>
    <w:rsid w:val="006A2E35"/>
    <w:rsid w:val="006A2E95"/>
    <w:rsid w:val="006A2FF2"/>
    <w:rsid w:val="006A3230"/>
    <w:rsid w:val="006A378E"/>
    <w:rsid w:val="006A38DF"/>
    <w:rsid w:val="006A393C"/>
    <w:rsid w:val="006A39C3"/>
    <w:rsid w:val="006A3A2B"/>
    <w:rsid w:val="006A3C91"/>
    <w:rsid w:val="006A3CA1"/>
    <w:rsid w:val="006A3DE5"/>
    <w:rsid w:val="006A3DF5"/>
    <w:rsid w:val="006A3ED7"/>
    <w:rsid w:val="006A3F5F"/>
    <w:rsid w:val="006A4003"/>
    <w:rsid w:val="006A412F"/>
    <w:rsid w:val="006A4212"/>
    <w:rsid w:val="006A423E"/>
    <w:rsid w:val="006A4328"/>
    <w:rsid w:val="006A46CF"/>
    <w:rsid w:val="006A492F"/>
    <w:rsid w:val="006A49AB"/>
    <w:rsid w:val="006A49F2"/>
    <w:rsid w:val="006A4A59"/>
    <w:rsid w:val="006A4A5D"/>
    <w:rsid w:val="006A4AAD"/>
    <w:rsid w:val="006A4BE7"/>
    <w:rsid w:val="006A4C7F"/>
    <w:rsid w:val="006A4DC0"/>
    <w:rsid w:val="006A511E"/>
    <w:rsid w:val="006A5152"/>
    <w:rsid w:val="006A538C"/>
    <w:rsid w:val="006A53CB"/>
    <w:rsid w:val="006A5643"/>
    <w:rsid w:val="006A57F1"/>
    <w:rsid w:val="006A58E8"/>
    <w:rsid w:val="006A592B"/>
    <w:rsid w:val="006A5954"/>
    <w:rsid w:val="006A5A24"/>
    <w:rsid w:val="006A5AAF"/>
    <w:rsid w:val="006A5B15"/>
    <w:rsid w:val="006A5CA5"/>
    <w:rsid w:val="006A5E47"/>
    <w:rsid w:val="006A5E9F"/>
    <w:rsid w:val="006A5F25"/>
    <w:rsid w:val="006A6096"/>
    <w:rsid w:val="006A6167"/>
    <w:rsid w:val="006A61D7"/>
    <w:rsid w:val="006A623A"/>
    <w:rsid w:val="006A6275"/>
    <w:rsid w:val="006A629E"/>
    <w:rsid w:val="006A63EE"/>
    <w:rsid w:val="006A6470"/>
    <w:rsid w:val="006A657B"/>
    <w:rsid w:val="006A6631"/>
    <w:rsid w:val="006A68A0"/>
    <w:rsid w:val="006A69D2"/>
    <w:rsid w:val="006A6BF1"/>
    <w:rsid w:val="006A6D37"/>
    <w:rsid w:val="006A6EEB"/>
    <w:rsid w:val="006A6EF1"/>
    <w:rsid w:val="006A6F6F"/>
    <w:rsid w:val="006A6F70"/>
    <w:rsid w:val="006A6F8D"/>
    <w:rsid w:val="006A712F"/>
    <w:rsid w:val="006A738E"/>
    <w:rsid w:val="006A7457"/>
    <w:rsid w:val="006A745F"/>
    <w:rsid w:val="006A747E"/>
    <w:rsid w:val="006A74B1"/>
    <w:rsid w:val="006A751E"/>
    <w:rsid w:val="006A7549"/>
    <w:rsid w:val="006A769E"/>
    <w:rsid w:val="006A7752"/>
    <w:rsid w:val="006A7817"/>
    <w:rsid w:val="006A786D"/>
    <w:rsid w:val="006A791A"/>
    <w:rsid w:val="006A79E7"/>
    <w:rsid w:val="006A7B20"/>
    <w:rsid w:val="006A7BC5"/>
    <w:rsid w:val="006A7BCD"/>
    <w:rsid w:val="006A7CED"/>
    <w:rsid w:val="006A7DC9"/>
    <w:rsid w:val="006A7DDC"/>
    <w:rsid w:val="006A7E38"/>
    <w:rsid w:val="006A7EDE"/>
    <w:rsid w:val="006A7F52"/>
    <w:rsid w:val="006AC0CD"/>
    <w:rsid w:val="006B00A5"/>
    <w:rsid w:val="006B00A7"/>
    <w:rsid w:val="006B014F"/>
    <w:rsid w:val="006B0189"/>
    <w:rsid w:val="006B036C"/>
    <w:rsid w:val="006B03E8"/>
    <w:rsid w:val="006B049E"/>
    <w:rsid w:val="006B062A"/>
    <w:rsid w:val="006B062F"/>
    <w:rsid w:val="006B08F1"/>
    <w:rsid w:val="006B091C"/>
    <w:rsid w:val="006B0959"/>
    <w:rsid w:val="006B09C2"/>
    <w:rsid w:val="006B0B14"/>
    <w:rsid w:val="006B0B52"/>
    <w:rsid w:val="006B0B9C"/>
    <w:rsid w:val="006B0BA7"/>
    <w:rsid w:val="006B0C32"/>
    <w:rsid w:val="006B0C77"/>
    <w:rsid w:val="006B0CD5"/>
    <w:rsid w:val="006B0F92"/>
    <w:rsid w:val="006B10D1"/>
    <w:rsid w:val="006B112F"/>
    <w:rsid w:val="006B117B"/>
    <w:rsid w:val="006B119B"/>
    <w:rsid w:val="006B1245"/>
    <w:rsid w:val="006B1350"/>
    <w:rsid w:val="006B1474"/>
    <w:rsid w:val="006B1579"/>
    <w:rsid w:val="006B15ED"/>
    <w:rsid w:val="006B18B5"/>
    <w:rsid w:val="006B18E1"/>
    <w:rsid w:val="006B1960"/>
    <w:rsid w:val="006B1A5D"/>
    <w:rsid w:val="006B1AE9"/>
    <w:rsid w:val="006B1B55"/>
    <w:rsid w:val="006B1C1B"/>
    <w:rsid w:val="006B1C2B"/>
    <w:rsid w:val="006B1D62"/>
    <w:rsid w:val="006B1D7F"/>
    <w:rsid w:val="006B1E73"/>
    <w:rsid w:val="006B1F71"/>
    <w:rsid w:val="006B2086"/>
    <w:rsid w:val="006B209A"/>
    <w:rsid w:val="006B219F"/>
    <w:rsid w:val="006B21F1"/>
    <w:rsid w:val="006B2234"/>
    <w:rsid w:val="006B22D0"/>
    <w:rsid w:val="006B23C0"/>
    <w:rsid w:val="006B24C1"/>
    <w:rsid w:val="006B260C"/>
    <w:rsid w:val="006B2716"/>
    <w:rsid w:val="006B27C7"/>
    <w:rsid w:val="006B2877"/>
    <w:rsid w:val="006B2946"/>
    <w:rsid w:val="006B2A0B"/>
    <w:rsid w:val="006B2CFD"/>
    <w:rsid w:val="006B2DF2"/>
    <w:rsid w:val="006B2EDF"/>
    <w:rsid w:val="006B2F57"/>
    <w:rsid w:val="006B2FED"/>
    <w:rsid w:val="006B3032"/>
    <w:rsid w:val="006B31E3"/>
    <w:rsid w:val="006B33C3"/>
    <w:rsid w:val="006B342A"/>
    <w:rsid w:val="006B342F"/>
    <w:rsid w:val="006B3542"/>
    <w:rsid w:val="006B3560"/>
    <w:rsid w:val="006B3638"/>
    <w:rsid w:val="006B36C5"/>
    <w:rsid w:val="006B36ED"/>
    <w:rsid w:val="006B370E"/>
    <w:rsid w:val="006B3751"/>
    <w:rsid w:val="006B3787"/>
    <w:rsid w:val="006B3788"/>
    <w:rsid w:val="006B38C9"/>
    <w:rsid w:val="006B3937"/>
    <w:rsid w:val="006B39B9"/>
    <w:rsid w:val="006B39BD"/>
    <w:rsid w:val="006B3C8C"/>
    <w:rsid w:val="006B3CFA"/>
    <w:rsid w:val="006B3D99"/>
    <w:rsid w:val="006B3DDB"/>
    <w:rsid w:val="006B3E17"/>
    <w:rsid w:val="006B3E46"/>
    <w:rsid w:val="006B3E9C"/>
    <w:rsid w:val="006B4073"/>
    <w:rsid w:val="006B4181"/>
    <w:rsid w:val="006B4293"/>
    <w:rsid w:val="006B42F8"/>
    <w:rsid w:val="006B441D"/>
    <w:rsid w:val="006B4476"/>
    <w:rsid w:val="006B4504"/>
    <w:rsid w:val="006B45CE"/>
    <w:rsid w:val="006B47C4"/>
    <w:rsid w:val="006B498B"/>
    <w:rsid w:val="006B49A2"/>
    <w:rsid w:val="006B4AA4"/>
    <w:rsid w:val="006B4B4A"/>
    <w:rsid w:val="006B4E84"/>
    <w:rsid w:val="006B4EE1"/>
    <w:rsid w:val="006B5281"/>
    <w:rsid w:val="006B52A5"/>
    <w:rsid w:val="006B5507"/>
    <w:rsid w:val="006B55D3"/>
    <w:rsid w:val="006B55E8"/>
    <w:rsid w:val="006B560C"/>
    <w:rsid w:val="006B5623"/>
    <w:rsid w:val="006B58A2"/>
    <w:rsid w:val="006B5A0D"/>
    <w:rsid w:val="006B5B01"/>
    <w:rsid w:val="006B5DCD"/>
    <w:rsid w:val="006B5E0E"/>
    <w:rsid w:val="006B5F9C"/>
    <w:rsid w:val="006B62B7"/>
    <w:rsid w:val="006B63F7"/>
    <w:rsid w:val="006B6415"/>
    <w:rsid w:val="006B648B"/>
    <w:rsid w:val="006B656A"/>
    <w:rsid w:val="006B65C2"/>
    <w:rsid w:val="006B6667"/>
    <w:rsid w:val="006B66CF"/>
    <w:rsid w:val="006B677B"/>
    <w:rsid w:val="006B67A4"/>
    <w:rsid w:val="006B6817"/>
    <w:rsid w:val="006B681D"/>
    <w:rsid w:val="006B6944"/>
    <w:rsid w:val="006B6C8E"/>
    <w:rsid w:val="006B6DA2"/>
    <w:rsid w:val="006B6DC6"/>
    <w:rsid w:val="006B6DE5"/>
    <w:rsid w:val="006B70D3"/>
    <w:rsid w:val="006B72E9"/>
    <w:rsid w:val="006B72FB"/>
    <w:rsid w:val="006B7331"/>
    <w:rsid w:val="006B750F"/>
    <w:rsid w:val="006B756D"/>
    <w:rsid w:val="006B75C6"/>
    <w:rsid w:val="006B760A"/>
    <w:rsid w:val="006B76D4"/>
    <w:rsid w:val="006B76E4"/>
    <w:rsid w:val="006B78FF"/>
    <w:rsid w:val="006B796A"/>
    <w:rsid w:val="006B7B19"/>
    <w:rsid w:val="006B7CDE"/>
    <w:rsid w:val="006B7D57"/>
    <w:rsid w:val="006B7DB8"/>
    <w:rsid w:val="006B7DF1"/>
    <w:rsid w:val="006B7E3A"/>
    <w:rsid w:val="006C006D"/>
    <w:rsid w:val="006C00A4"/>
    <w:rsid w:val="006C0154"/>
    <w:rsid w:val="006C016E"/>
    <w:rsid w:val="006C016F"/>
    <w:rsid w:val="006C0186"/>
    <w:rsid w:val="006C0253"/>
    <w:rsid w:val="006C0574"/>
    <w:rsid w:val="006C06E8"/>
    <w:rsid w:val="006C0717"/>
    <w:rsid w:val="006C08D2"/>
    <w:rsid w:val="006C092B"/>
    <w:rsid w:val="006C0963"/>
    <w:rsid w:val="006C0A86"/>
    <w:rsid w:val="006C0AEC"/>
    <w:rsid w:val="006C0B5E"/>
    <w:rsid w:val="006C0C31"/>
    <w:rsid w:val="006C0C49"/>
    <w:rsid w:val="006C0CAA"/>
    <w:rsid w:val="006C0E6D"/>
    <w:rsid w:val="006C104D"/>
    <w:rsid w:val="006C113D"/>
    <w:rsid w:val="006C118F"/>
    <w:rsid w:val="006C1232"/>
    <w:rsid w:val="006C124A"/>
    <w:rsid w:val="006C12E1"/>
    <w:rsid w:val="006C13CA"/>
    <w:rsid w:val="006C15B5"/>
    <w:rsid w:val="006C1682"/>
    <w:rsid w:val="006C16E1"/>
    <w:rsid w:val="006C1724"/>
    <w:rsid w:val="006C1732"/>
    <w:rsid w:val="006C17A4"/>
    <w:rsid w:val="006C17B4"/>
    <w:rsid w:val="006C189D"/>
    <w:rsid w:val="006C19D3"/>
    <w:rsid w:val="006C1E61"/>
    <w:rsid w:val="006C204D"/>
    <w:rsid w:val="006C2174"/>
    <w:rsid w:val="006C22E3"/>
    <w:rsid w:val="006C2324"/>
    <w:rsid w:val="006C23F3"/>
    <w:rsid w:val="006C2476"/>
    <w:rsid w:val="006C25EA"/>
    <w:rsid w:val="006C279C"/>
    <w:rsid w:val="006C27FE"/>
    <w:rsid w:val="006C285A"/>
    <w:rsid w:val="006C2886"/>
    <w:rsid w:val="006C2899"/>
    <w:rsid w:val="006C29B1"/>
    <w:rsid w:val="006C2A6C"/>
    <w:rsid w:val="006C2BB1"/>
    <w:rsid w:val="006C2C6D"/>
    <w:rsid w:val="006C2C9B"/>
    <w:rsid w:val="006C2CDE"/>
    <w:rsid w:val="006C2E3C"/>
    <w:rsid w:val="006C2E88"/>
    <w:rsid w:val="006C317C"/>
    <w:rsid w:val="006C31BF"/>
    <w:rsid w:val="006C354C"/>
    <w:rsid w:val="006C3963"/>
    <w:rsid w:val="006C39A9"/>
    <w:rsid w:val="006C39C9"/>
    <w:rsid w:val="006C3A23"/>
    <w:rsid w:val="006C3B76"/>
    <w:rsid w:val="006C3B85"/>
    <w:rsid w:val="006C3B9D"/>
    <w:rsid w:val="006C3BB9"/>
    <w:rsid w:val="006C3C50"/>
    <w:rsid w:val="006C3C8F"/>
    <w:rsid w:val="006C3D1C"/>
    <w:rsid w:val="006C3D60"/>
    <w:rsid w:val="006C3D6F"/>
    <w:rsid w:val="006C3DE2"/>
    <w:rsid w:val="006C3E3D"/>
    <w:rsid w:val="006C3E59"/>
    <w:rsid w:val="006C3E7A"/>
    <w:rsid w:val="006C3F48"/>
    <w:rsid w:val="006C3F95"/>
    <w:rsid w:val="006C4131"/>
    <w:rsid w:val="006C42C1"/>
    <w:rsid w:val="006C42EA"/>
    <w:rsid w:val="006C4403"/>
    <w:rsid w:val="006C4406"/>
    <w:rsid w:val="006C4572"/>
    <w:rsid w:val="006C46B1"/>
    <w:rsid w:val="006C4704"/>
    <w:rsid w:val="006C47F5"/>
    <w:rsid w:val="006C49A2"/>
    <w:rsid w:val="006C4ACA"/>
    <w:rsid w:val="006C4ACE"/>
    <w:rsid w:val="006C4C79"/>
    <w:rsid w:val="006C4D87"/>
    <w:rsid w:val="006C53E0"/>
    <w:rsid w:val="006C540E"/>
    <w:rsid w:val="006C54C5"/>
    <w:rsid w:val="006C55E1"/>
    <w:rsid w:val="006C5609"/>
    <w:rsid w:val="006C57D5"/>
    <w:rsid w:val="006C582D"/>
    <w:rsid w:val="006C58FE"/>
    <w:rsid w:val="006C59CB"/>
    <w:rsid w:val="006C5CD8"/>
    <w:rsid w:val="006C5F49"/>
    <w:rsid w:val="006C5FF6"/>
    <w:rsid w:val="006C5FFA"/>
    <w:rsid w:val="006C6079"/>
    <w:rsid w:val="006C6107"/>
    <w:rsid w:val="006C613F"/>
    <w:rsid w:val="006C619E"/>
    <w:rsid w:val="006C61B4"/>
    <w:rsid w:val="006C63A1"/>
    <w:rsid w:val="006C63DB"/>
    <w:rsid w:val="006C6444"/>
    <w:rsid w:val="006C6532"/>
    <w:rsid w:val="006C67E9"/>
    <w:rsid w:val="006C6909"/>
    <w:rsid w:val="006C6955"/>
    <w:rsid w:val="006C6BD8"/>
    <w:rsid w:val="006C6CC7"/>
    <w:rsid w:val="006C6E48"/>
    <w:rsid w:val="006C6E90"/>
    <w:rsid w:val="006C7060"/>
    <w:rsid w:val="006C7172"/>
    <w:rsid w:val="006C7207"/>
    <w:rsid w:val="006C7638"/>
    <w:rsid w:val="006C76AD"/>
    <w:rsid w:val="006C76F1"/>
    <w:rsid w:val="006C79F5"/>
    <w:rsid w:val="006C7AA1"/>
    <w:rsid w:val="006C7B03"/>
    <w:rsid w:val="006C7EAF"/>
    <w:rsid w:val="006C7ED9"/>
    <w:rsid w:val="006C7EE9"/>
    <w:rsid w:val="006C7F4C"/>
    <w:rsid w:val="006C7F85"/>
    <w:rsid w:val="006C7FDE"/>
    <w:rsid w:val="006C7FE7"/>
    <w:rsid w:val="006D0077"/>
    <w:rsid w:val="006D00F3"/>
    <w:rsid w:val="006D0117"/>
    <w:rsid w:val="006D0272"/>
    <w:rsid w:val="006D03F9"/>
    <w:rsid w:val="006D060E"/>
    <w:rsid w:val="006D091F"/>
    <w:rsid w:val="006D0B00"/>
    <w:rsid w:val="006D0B6F"/>
    <w:rsid w:val="006D0C20"/>
    <w:rsid w:val="006D0E78"/>
    <w:rsid w:val="006D0EC2"/>
    <w:rsid w:val="006D0F3A"/>
    <w:rsid w:val="006D10FA"/>
    <w:rsid w:val="006D11E9"/>
    <w:rsid w:val="006D1408"/>
    <w:rsid w:val="006D15BE"/>
    <w:rsid w:val="006D15D0"/>
    <w:rsid w:val="006D15F2"/>
    <w:rsid w:val="006D1712"/>
    <w:rsid w:val="006D1731"/>
    <w:rsid w:val="006D18C0"/>
    <w:rsid w:val="006D19D8"/>
    <w:rsid w:val="006D1C20"/>
    <w:rsid w:val="006D1D01"/>
    <w:rsid w:val="006D1E2D"/>
    <w:rsid w:val="006D1E6C"/>
    <w:rsid w:val="006D2296"/>
    <w:rsid w:val="006D22BD"/>
    <w:rsid w:val="006D22C6"/>
    <w:rsid w:val="006D25B9"/>
    <w:rsid w:val="006D25D0"/>
    <w:rsid w:val="006D25EF"/>
    <w:rsid w:val="006D263B"/>
    <w:rsid w:val="006D2655"/>
    <w:rsid w:val="006D2658"/>
    <w:rsid w:val="006D26DC"/>
    <w:rsid w:val="006D27D3"/>
    <w:rsid w:val="006D2820"/>
    <w:rsid w:val="006D2BD1"/>
    <w:rsid w:val="006D2C79"/>
    <w:rsid w:val="006D2C8A"/>
    <w:rsid w:val="006D2CA0"/>
    <w:rsid w:val="006D2F0E"/>
    <w:rsid w:val="006D2F23"/>
    <w:rsid w:val="006D2F6B"/>
    <w:rsid w:val="006D2F9C"/>
    <w:rsid w:val="006D3036"/>
    <w:rsid w:val="006D30AA"/>
    <w:rsid w:val="006D3222"/>
    <w:rsid w:val="006D326E"/>
    <w:rsid w:val="006D32BC"/>
    <w:rsid w:val="006D32BF"/>
    <w:rsid w:val="006D33A1"/>
    <w:rsid w:val="006D33A7"/>
    <w:rsid w:val="006D33DF"/>
    <w:rsid w:val="006D3583"/>
    <w:rsid w:val="006D3637"/>
    <w:rsid w:val="006D36DE"/>
    <w:rsid w:val="006D3738"/>
    <w:rsid w:val="006D3833"/>
    <w:rsid w:val="006D387A"/>
    <w:rsid w:val="006D3970"/>
    <w:rsid w:val="006D3A05"/>
    <w:rsid w:val="006D3A6E"/>
    <w:rsid w:val="006D3CD6"/>
    <w:rsid w:val="006D3D52"/>
    <w:rsid w:val="006D3D7C"/>
    <w:rsid w:val="006D3E70"/>
    <w:rsid w:val="006D3E7F"/>
    <w:rsid w:val="006D3FF6"/>
    <w:rsid w:val="006D4090"/>
    <w:rsid w:val="006D429B"/>
    <w:rsid w:val="006D42CE"/>
    <w:rsid w:val="006D43D9"/>
    <w:rsid w:val="006D4498"/>
    <w:rsid w:val="006D4515"/>
    <w:rsid w:val="006D48A7"/>
    <w:rsid w:val="006D48F8"/>
    <w:rsid w:val="006D4C04"/>
    <w:rsid w:val="006D4C72"/>
    <w:rsid w:val="006D4D35"/>
    <w:rsid w:val="006D4E1B"/>
    <w:rsid w:val="006D4E4C"/>
    <w:rsid w:val="006D4E7D"/>
    <w:rsid w:val="006D51B6"/>
    <w:rsid w:val="006D5242"/>
    <w:rsid w:val="006D5321"/>
    <w:rsid w:val="006D549E"/>
    <w:rsid w:val="006D5585"/>
    <w:rsid w:val="006D55F7"/>
    <w:rsid w:val="006D5630"/>
    <w:rsid w:val="006D5682"/>
    <w:rsid w:val="006D5867"/>
    <w:rsid w:val="006D58F1"/>
    <w:rsid w:val="006D591E"/>
    <w:rsid w:val="006D5959"/>
    <w:rsid w:val="006D599D"/>
    <w:rsid w:val="006D5B7D"/>
    <w:rsid w:val="006D5B8F"/>
    <w:rsid w:val="006D5BE9"/>
    <w:rsid w:val="006D5C76"/>
    <w:rsid w:val="006D5D82"/>
    <w:rsid w:val="006D5E00"/>
    <w:rsid w:val="006D5E3F"/>
    <w:rsid w:val="006D5E97"/>
    <w:rsid w:val="006D5F50"/>
    <w:rsid w:val="006D5F76"/>
    <w:rsid w:val="006D6224"/>
    <w:rsid w:val="006D658E"/>
    <w:rsid w:val="006D6658"/>
    <w:rsid w:val="006D670F"/>
    <w:rsid w:val="006D67DD"/>
    <w:rsid w:val="006D67E7"/>
    <w:rsid w:val="006D6A8F"/>
    <w:rsid w:val="006D6B9A"/>
    <w:rsid w:val="006D6BD8"/>
    <w:rsid w:val="006D6C66"/>
    <w:rsid w:val="006D6C9F"/>
    <w:rsid w:val="006D6CA1"/>
    <w:rsid w:val="006D6CBF"/>
    <w:rsid w:val="006D6CFE"/>
    <w:rsid w:val="006D6D53"/>
    <w:rsid w:val="006D6D96"/>
    <w:rsid w:val="006D6EDD"/>
    <w:rsid w:val="006D6FE9"/>
    <w:rsid w:val="006D70F2"/>
    <w:rsid w:val="006D71C2"/>
    <w:rsid w:val="006D7211"/>
    <w:rsid w:val="006D75C8"/>
    <w:rsid w:val="006D7611"/>
    <w:rsid w:val="006D76E5"/>
    <w:rsid w:val="006D775A"/>
    <w:rsid w:val="006D7843"/>
    <w:rsid w:val="006D78F9"/>
    <w:rsid w:val="006D7945"/>
    <w:rsid w:val="006D79D5"/>
    <w:rsid w:val="006D7BE8"/>
    <w:rsid w:val="006D7C5D"/>
    <w:rsid w:val="006D7E61"/>
    <w:rsid w:val="006D7F0F"/>
    <w:rsid w:val="006D7FDD"/>
    <w:rsid w:val="006E00E1"/>
    <w:rsid w:val="006E03D5"/>
    <w:rsid w:val="006E0644"/>
    <w:rsid w:val="006E06AF"/>
    <w:rsid w:val="006E0A85"/>
    <w:rsid w:val="006E0B7F"/>
    <w:rsid w:val="006E0CF3"/>
    <w:rsid w:val="006E0D11"/>
    <w:rsid w:val="006E0D2C"/>
    <w:rsid w:val="006E0E2B"/>
    <w:rsid w:val="006E0F15"/>
    <w:rsid w:val="006E0FD9"/>
    <w:rsid w:val="006E112B"/>
    <w:rsid w:val="006E112E"/>
    <w:rsid w:val="006E1133"/>
    <w:rsid w:val="006E1290"/>
    <w:rsid w:val="006E149E"/>
    <w:rsid w:val="006E1542"/>
    <w:rsid w:val="006E156B"/>
    <w:rsid w:val="006E1611"/>
    <w:rsid w:val="006E1690"/>
    <w:rsid w:val="006E16DD"/>
    <w:rsid w:val="006E1720"/>
    <w:rsid w:val="006E1729"/>
    <w:rsid w:val="006E174A"/>
    <w:rsid w:val="006E1788"/>
    <w:rsid w:val="006E1808"/>
    <w:rsid w:val="006E1A16"/>
    <w:rsid w:val="006E1A8D"/>
    <w:rsid w:val="006E1B64"/>
    <w:rsid w:val="006E1B6D"/>
    <w:rsid w:val="006E1BB0"/>
    <w:rsid w:val="006E1D4F"/>
    <w:rsid w:val="006E1D53"/>
    <w:rsid w:val="006E1DA2"/>
    <w:rsid w:val="006E1E03"/>
    <w:rsid w:val="006E1E62"/>
    <w:rsid w:val="006E1EA4"/>
    <w:rsid w:val="006E2015"/>
    <w:rsid w:val="006E224F"/>
    <w:rsid w:val="006E228D"/>
    <w:rsid w:val="006E2301"/>
    <w:rsid w:val="006E23DA"/>
    <w:rsid w:val="006E242C"/>
    <w:rsid w:val="006E2435"/>
    <w:rsid w:val="006E2485"/>
    <w:rsid w:val="006E24BC"/>
    <w:rsid w:val="006E24F9"/>
    <w:rsid w:val="006E250E"/>
    <w:rsid w:val="006E2515"/>
    <w:rsid w:val="006E264B"/>
    <w:rsid w:val="006E2842"/>
    <w:rsid w:val="006E284E"/>
    <w:rsid w:val="006E298F"/>
    <w:rsid w:val="006E299B"/>
    <w:rsid w:val="006E2A37"/>
    <w:rsid w:val="006E2A52"/>
    <w:rsid w:val="006E2A7F"/>
    <w:rsid w:val="006E2B60"/>
    <w:rsid w:val="006E2C9A"/>
    <w:rsid w:val="006E2E83"/>
    <w:rsid w:val="006E2EDE"/>
    <w:rsid w:val="006E2F6A"/>
    <w:rsid w:val="006E3087"/>
    <w:rsid w:val="006E3139"/>
    <w:rsid w:val="006E31D9"/>
    <w:rsid w:val="006E3257"/>
    <w:rsid w:val="006E335E"/>
    <w:rsid w:val="006E3494"/>
    <w:rsid w:val="006E34D9"/>
    <w:rsid w:val="006E3522"/>
    <w:rsid w:val="006E371C"/>
    <w:rsid w:val="006E37B1"/>
    <w:rsid w:val="006E3A10"/>
    <w:rsid w:val="006E3B23"/>
    <w:rsid w:val="006E3BC2"/>
    <w:rsid w:val="006E3BEE"/>
    <w:rsid w:val="006E3EE7"/>
    <w:rsid w:val="006E3F72"/>
    <w:rsid w:val="006E4083"/>
    <w:rsid w:val="006E417A"/>
    <w:rsid w:val="006E4300"/>
    <w:rsid w:val="006E4412"/>
    <w:rsid w:val="006E4465"/>
    <w:rsid w:val="006E4521"/>
    <w:rsid w:val="006E45CA"/>
    <w:rsid w:val="006E469C"/>
    <w:rsid w:val="006E4839"/>
    <w:rsid w:val="006E4961"/>
    <w:rsid w:val="006E4999"/>
    <w:rsid w:val="006E4A26"/>
    <w:rsid w:val="006E4ADE"/>
    <w:rsid w:val="006E4B75"/>
    <w:rsid w:val="006E4C25"/>
    <w:rsid w:val="006E4C6F"/>
    <w:rsid w:val="006E4D31"/>
    <w:rsid w:val="006E4EE4"/>
    <w:rsid w:val="006E4FEF"/>
    <w:rsid w:val="006E5022"/>
    <w:rsid w:val="006E517A"/>
    <w:rsid w:val="006E52A9"/>
    <w:rsid w:val="006E5318"/>
    <w:rsid w:val="006E53A1"/>
    <w:rsid w:val="006E543A"/>
    <w:rsid w:val="006E54EE"/>
    <w:rsid w:val="006E5657"/>
    <w:rsid w:val="006E5773"/>
    <w:rsid w:val="006E5805"/>
    <w:rsid w:val="006E58BA"/>
    <w:rsid w:val="006E5927"/>
    <w:rsid w:val="006E5960"/>
    <w:rsid w:val="006E5AE7"/>
    <w:rsid w:val="006E5BBD"/>
    <w:rsid w:val="006E5E34"/>
    <w:rsid w:val="006E5F63"/>
    <w:rsid w:val="006E5FD8"/>
    <w:rsid w:val="006E606C"/>
    <w:rsid w:val="006E60B1"/>
    <w:rsid w:val="006E60EF"/>
    <w:rsid w:val="006E61B4"/>
    <w:rsid w:val="006E61B7"/>
    <w:rsid w:val="006E62FD"/>
    <w:rsid w:val="006E631A"/>
    <w:rsid w:val="006E631F"/>
    <w:rsid w:val="006E64D8"/>
    <w:rsid w:val="006E64E4"/>
    <w:rsid w:val="006E655F"/>
    <w:rsid w:val="006E65C9"/>
    <w:rsid w:val="006E65D5"/>
    <w:rsid w:val="006E6742"/>
    <w:rsid w:val="006E67B2"/>
    <w:rsid w:val="006E6899"/>
    <w:rsid w:val="006E68BD"/>
    <w:rsid w:val="006E69D5"/>
    <w:rsid w:val="006E6B4A"/>
    <w:rsid w:val="006E6C87"/>
    <w:rsid w:val="006E6DBA"/>
    <w:rsid w:val="006E6E58"/>
    <w:rsid w:val="006E7064"/>
    <w:rsid w:val="006E70D2"/>
    <w:rsid w:val="006E7121"/>
    <w:rsid w:val="006E7164"/>
    <w:rsid w:val="006E721E"/>
    <w:rsid w:val="006E72D7"/>
    <w:rsid w:val="006E735C"/>
    <w:rsid w:val="006E73A2"/>
    <w:rsid w:val="006E7482"/>
    <w:rsid w:val="006E74BA"/>
    <w:rsid w:val="006E7656"/>
    <w:rsid w:val="006E7A13"/>
    <w:rsid w:val="006E7BC1"/>
    <w:rsid w:val="006E7CF4"/>
    <w:rsid w:val="006E7EC5"/>
    <w:rsid w:val="006E7F16"/>
    <w:rsid w:val="006E7FB4"/>
    <w:rsid w:val="006F0102"/>
    <w:rsid w:val="006F0124"/>
    <w:rsid w:val="006F0170"/>
    <w:rsid w:val="006F0316"/>
    <w:rsid w:val="006F03E3"/>
    <w:rsid w:val="006F04EC"/>
    <w:rsid w:val="006F058F"/>
    <w:rsid w:val="006F062F"/>
    <w:rsid w:val="006F06D8"/>
    <w:rsid w:val="006F06EC"/>
    <w:rsid w:val="006F0706"/>
    <w:rsid w:val="006F0753"/>
    <w:rsid w:val="006F0764"/>
    <w:rsid w:val="006F0801"/>
    <w:rsid w:val="006F0914"/>
    <w:rsid w:val="006F0A42"/>
    <w:rsid w:val="006F0A7F"/>
    <w:rsid w:val="006F0AEE"/>
    <w:rsid w:val="006F0B84"/>
    <w:rsid w:val="006F0BF0"/>
    <w:rsid w:val="006F0D46"/>
    <w:rsid w:val="006F0D59"/>
    <w:rsid w:val="006F0E0C"/>
    <w:rsid w:val="006F0E6B"/>
    <w:rsid w:val="006F0EBF"/>
    <w:rsid w:val="006F0F29"/>
    <w:rsid w:val="006F0FEF"/>
    <w:rsid w:val="006F1045"/>
    <w:rsid w:val="006F147C"/>
    <w:rsid w:val="006F1567"/>
    <w:rsid w:val="006F15BE"/>
    <w:rsid w:val="006F1643"/>
    <w:rsid w:val="006F177E"/>
    <w:rsid w:val="006F18ED"/>
    <w:rsid w:val="006F1984"/>
    <w:rsid w:val="006F1A6D"/>
    <w:rsid w:val="006F1B6B"/>
    <w:rsid w:val="006F1D25"/>
    <w:rsid w:val="006F1D7B"/>
    <w:rsid w:val="006F1DA0"/>
    <w:rsid w:val="006F1F44"/>
    <w:rsid w:val="006F206A"/>
    <w:rsid w:val="006F20D8"/>
    <w:rsid w:val="006F21AE"/>
    <w:rsid w:val="006F2337"/>
    <w:rsid w:val="006F2344"/>
    <w:rsid w:val="006F23DD"/>
    <w:rsid w:val="006F25FE"/>
    <w:rsid w:val="006F27B3"/>
    <w:rsid w:val="006F2878"/>
    <w:rsid w:val="006F28A8"/>
    <w:rsid w:val="006F291C"/>
    <w:rsid w:val="006F2A09"/>
    <w:rsid w:val="006F2B89"/>
    <w:rsid w:val="006F2BBF"/>
    <w:rsid w:val="006F2C69"/>
    <w:rsid w:val="006F2D04"/>
    <w:rsid w:val="006F2DDB"/>
    <w:rsid w:val="006F2E25"/>
    <w:rsid w:val="006F2EE9"/>
    <w:rsid w:val="006F31A6"/>
    <w:rsid w:val="006F3289"/>
    <w:rsid w:val="006F3338"/>
    <w:rsid w:val="006F3400"/>
    <w:rsid w:val="006F3420"/>
    <w:rsid w:val="006F3486"/>
    <w:rsid w:val="006F34C6"/>
    <w:rsid w:val="006F3565"/>
    <w:rsid w:val="006F37A5"/>
    <w:rsid w:val="006F37ED"/>
    <w:rsid w:val="006F393C"/>
    <w:rsid w:val="006F39F2"/>
    <w:rsid w:val="006F39F7"/>
    <w:rsid w:val="006F3A4B"/>
    <w:rsid w:val="006F3AB8"/>
    <w:rsid w:val="006F3B50"/>
    <w:rsid w:val="006F3B5A"/>
    <w:rsid w:val="006F3C80"/>
    <w:rsid w:val="006F3E41"/>
    <w:rsid w:val="006F3FD8"/>
    <w:rsid w:val="006F4093"/>
    <w:rsid w:val="006F40C5"/>
    <w:rsid w:val="006F424F"/>
    <w:rsid w:val="006F446E"/>
    <w:rsid w:val="006F45A1"/>
    <w:rsid w:val="006F45A4"/>
    <w:rsid w:val="006F45B3"/>
    <w:rsid w:val="006F45E1"/>
    <w:rsid w:val="006F46A8"/>
    <w:rsid w:val="006F4765"/>
    <w:rsid w:val="006F4813"/>
    <w:rsid w:val="006F48FF"/>
    <w:rsid w:val="006F4910"/>
    <w:rsid w:val="006F49AE"/>
    <w:rsid w:val="006F4AA6"/>
    <w:rsid w:val="006F4AF5"/>
    <w:rsid w:val="006F4B2E"/>
    <w:rsid w:val="006F4BDC"/>
    <w:rsid w:val="006F4C7B"/>
    <w:rsid w:val="006F4D20"/>
    <w:rsid w:val="006F4E4D"/>
    <w:rsid w:val="006F4E65"/>
    <w:rsid w:val="006F4F74"/>
    <w:rsid w:val="006F4FC4"/>
    <w:rsid w:val="006F4FCC"/>
    <w:rsid w:val="006F50F0"/>
    <w:rsid w:val="006F5158"/>
    <w:rsid w:val="006F5223"/>
    <w:rsid w:val="006F54AB"/>
    <w:rsid w:val="006F54D6"/>
    <w:rsid w:val="006F551A"/>
    <w:rsid w:val="006F596D"/>
    <w:rsid w:val="006F5A2F"/>
    <w:rsid w:val="006F5A3C"/>
    <w:rsid w:val="006F5A7B"/>
    <w:rsid w:val="006F5D00"/>
    <w:rsid w:val="006F5E2F"/>
    <w:rsid w:val="006F5E98"/>
    <w:rsid w:val="006F5EC2"/>
    <w:rsid w:val="006F5F40"/>
    <w:rsid w:val="006F5FE7"/>
    <w:rsid w:val="006F6048"/>
    <w:rsid w:val="006F60B1"/>
    <w:rsid w:val="006F61EE"/>
    <w:rsid w:val="006F6230"/>
    <w:rsid w:val="006F64EC"/>
    <w:rsid w:val="006F656A"/>
    <w:rsid w:val="006F658F"/>
    <w:rsid w:val="006F66AF"/>
    <w:rsid w:val="006F6C8F"/>
    <w:rsid w:val="006F6CE8"/>
    <w:rsid w:val="006F6ED1"/>
    <w:rsid w:val="006F6EF5"/>
    <w:rsid w:val="006F6F0F"/>
    <w:rsid w:val="006F71E6"/>
    <w:rsid w:val="006F7276"/>
    <w:rsid w:val="006F72E2"/>
    <w:rsid w:val="006F7703"/>
    <w:rsid w:val="006F77CD"/>
    <w:rsid w:val="006F784F"/>
    <w:rsid w:val="006F7994"/>
    <w:rsid w:val="006F79B1"/>
    <w:rsid w:val="006F7BCC"/>
    <w:rsid w:val="006F7D04"/>
    <w:rsid w:val="006F7D92"/>
    <w:rsid w:val="006F7DA7"/>
    <w:rsid w:val="006F7DDD"/>
    <w:rsid w:val="006F7E2B"/>
    <w:rsid w:val="006F7F0F"/>
    <w:rsid w:val="006F7F9C"/>
    <w:rsid w:val="006F7FF2"/>
    <w:rsid w:val="00700140"/>
    <w:rsid w:val="00700186"/>
    <w:rsid w:val="0070021B"/>
    <w:rsid w:val="0070025A"/>
    <w:rsid w:val="007002C5"/>
    <w:rsid w:val="007003ED"/>
    <w:rsid w:val="00700591"/>
    <w:rsid w:val="00700651"/>
    <w:rsid w:val="00700950"/>
    <w:rsid w:val="00700A25"/>
    <w:rsid w:val="00700AED"/>
    <w:rsid w:val="00700C14"/>
    <w:rsid w:val="00700E7C"/>
    <w:rsid w:val="00700FB6"/>
    <w:rsid w:val="0070102B"/>
    <w:rsid w:val="00701046"/>
    <w:rsid w:val="00701136"/>
    <w:rsid w:val="00701154"/>
    <w:rsid w:val="00701176"/>
    <w:rsid w:val="007012D3"/>
    <w:rsid w:val="00701335"/>
    <w:rsid w:val="00701341"/>
    <w:rsid w:val="00701624"/>
    <w:rsid w:val="007016C3"/>
    <w:rsid w:val="00701764"/>
    <w:rsid w:val="00701858"/>
    <w:rsid w:val="007018D3"/>
    <w:rsid w:val="00701934"/>
    <w:rsid w:val="007019BD"/>
    <w:rsid w:val="007019EE"/>
    <w:rsid w:val="00701A43"/>
    <w:rsid w:val="00701AFE"/>
    <w:rsid w:val="00701CBB"/>
    <w:rsid w:val="00701CC6"/>
    <w:rsid w:val="00701CE8"/>
    <w:rsid w:val="00701D77"/>
    <w:rsid w:val="007020C5"/>
    <w:rsid w:val="0070216A"/>
    <w:rsid w:val="0070223A"/>
    <w:rsid w:val="007022DF"/>
    <w:rsid w:val="007023F1"/>
    <w:rsid w:val="0070259C"/>
    <w:rsid w:val="007025D3"/>
    <w:rsid w:val="007027CF"/>
    <w:rsid w:val="007028E5"/>
    <w:rsid w:val="00702900"/>
    <w:rsid w:val="00702943"/>
    <w:rsid w:val="00702A14"/>
    <w:rsid w:val="00702A2B"/>
    <w:rsid w:val="00702B7A"/>
    <w:rsid w:val="00702C4A"/>
    <w:rsid w:val="00702C62"/>
    <w:rsid w:val="00702F25"/>
    <w:rsid w:val="00702F70"/>
    <w:rsid w:val="00702FED"/>
    <w:rsid w:val="00703090"/>
    <w:rsid w:val="007030D6"/>
    <w:rsid w:val="007030E5"/>
    <w:rsid w:val="0070311F"/>
    <w:rsid w:val="0070313A"/>
    <w:rsid w:val="0070319A"/>
    <w:rsid w:val="0070321E"/>
    <w:rsid w:val="0070321F"/>
    <w:rsid w:val="007032D6"/>
    <w:rsid w:val="0070366C"/>
    <w:rsid w:val="007036E3"/>
    <w:rsid w:val="007037FE"/>
    <w:rsid w:val="00703B3E"/>
    <w:rsid w:val="00703B6D"/>
    <w:rsid w:val="00703CB4"/>
    <w:rsid w:val="00703EF1"/>
    <w:rsid w:val="00703F0B"/>
    <w:rsid w:val="00703F59"/>
    <w:rsid w:val="0070405C"/>
    <w:rsid w:val="00704374"/>
    <w:rsid w:val="00704385"/>
    <w:rsid w:val="00704389"/>
    <w:rsid w:val="0070463F"/>
    <w:rsid w:val="00704921"/>
    <w:rsid w:val="00704A43"/>
    <w:rsid w:val="00704ADE"/>
    <w:rsid w:val="00704B57"/>
    <w:rsid w:val="00704C15"/>
    <w:rsid w:val="00704C1B"/>
    <w:rsid w:val="00704DDC"/>
    <w:rsid w:val="00704ED8"/>
    <w:rsid w:val="00705160"/>
    <w:rsid w:val="007051F1"/>
    <w:rsid w:val="007055AE"/>
    <w:rsid w:val="007055DD"/>
    <w:rsid w:val="0070571A"/>
    <w:rsid w:val="00705819"/>
    <w:rsid w:val="0070586E"/>
    <w:rsid w:val="007058D0"/>
    <w:rsid w:val="00705902"/>
    <w:rsid w:val="00705919"/>
    <w:rsid w:val="00705A02"/>
    <w:rsid w:val="00705A0B"/>
    <w:rsid w:val="00705A8E"/>
    <w:rsid w:val="00705C7A"/>
    <w:rsid w:val="00705C82"/>
    <w:rsid w:val="00705D53"/>
    <w:rsid w:val="00705F26"/>
    <w:rsid w:val="00705F9D"/>
    <w:rsid w:val="00706194"/>
    <w:rsid w:val="007063BD"/>
    <w:rsid w:val="007064F2"/>
    <w:rsid w:val="00706775"/>
    <w:rsid w:val="00706835"/>
    <w:rsid w:val="0070684D"/>
    <w:rsid w:val="00706964"/>
    <w:rsid w:val="00706989"/>
    <w:rsid w:val="0070698B"/>
    <w:rsid w:val="00706A52"/>
    <w:rsid w:val="00706B17"/>
    <w:rsid w:val="00706BB4"/>
    <w:rsid w:val="00706C38"/>
    <w:rsid w:val="00706CA2"/>
    <w:rsid w:val="00706CC1"/>
    <w:rsid w:val="00706D44"/>
    <w:rsid w:val="00706D58"/>
    <w:rsid w:val="00706DFA"/>
    <w:rsid w:val="00706E4F"/>
    <w:rsid w:val="00707066"/>
    <w:rsid w:val="00707166"/>
    <w:rsid w:val="00707217"/>
    <w:rsid w:val="0070729B"/>
    <w:rsid w:val="007073A2"/>
    <w:rsid w:val="0070747F"/>
    <w:rsid w:val="00707490"/>
    <w:rsid w:val="0070762B"/>
    <w:rsid w:val="007076ED"/>
    <w:rsid w:val="00707755"/>
    <w:rsid w:val="0070775A"/>
    <w:rsid w:val="00707776"/>
    <w:rsid w:val="007077FC"/>
    <w:rsid w:val="00707889"/>
    <w:rsid w:val="00707A1E"/>
    <w:rsid w:val="00707C18"/>
    <w:rsid w:val="00707D42"/>
    <w:rsid w:val="00707D58"/>
    <w:rsid w:val="00707DAF"/>
    <w:rsid w:val="00707E60"/>
    <w:rsid w:val="00707F91"/>
    <w:rsid w:val="00710014"/>
    <w:rsid w:val="0071005D"/>
    <w:rsid w:val="007100C3"/>
    <w:rsid w:val="00710195"/>
    <w:rsid w:val="00710264"/>
    <w:rsid w:val="0071026C"/>
    <w:rsid w:val="0071026E"/>
    <w:rsid w:val="0071033F"/>
    <w:rsid w:val="007103A9"/>
    <w:rsid w:val="0071048F"/>
    <w:rsid w:val="00710658"/>
    <w:rsid w:val="00710693"/>
    <w:rsid w:val="007107EC"/>
    <w:rsid w:val="007108F9"/>
    <w:rsid w:val="007108FB"/>
    <w:rsid w:val="00710A90"/>
    <w:rsid w:val="00710C0B"/>
    <w:rsid w:val="00710D0C"/>
    <w:rsid w:val="00710E1E"/>
    <w:rsid w:val="00710F10"/>
    <w:rsid w:val="00710F37"/>
    <w:rsid w:val="007110C6"/>
    <w:rsid w:val="0071112B"/>
    <w:rsid w:val="00711197"/>
    <w:rsid w:val="007111E4"/>
    <w:rsid w:val="00711628"/>
    <w:rsid w:val="00711812"/>
    <w:rsid w:val="0071189F"/>
    <w:rsid w:val="0071191F"/>
    <w:rsid w:val="0071194D"/>
    <w:rsid w:val="007119A2"/>
    <w:rsid w:val="007119A8"/>
    <w:rsid w:val="00711A2F"/>
    <w:rsid w:val="00711A37"/>
    <w:rsid w:val="00711AD5"/>
    <w:rsid w:val="00711B3E"/>
    <w:rsid w:val="00711C05"/>
    <w:rsid w:val="00711C0A"/>
    <w:rsid w:val="00711C66"/>
    <w:rsid w:val="00711E0D"/>
    <w:rsid w:val="00711E6F"/>
    <w:rsid w:val="00711EFC"/>
    <w:rsid w:val="0071207B"/>
    <w:rsid w:val="0071223E"/>
    <w:rsid w:val="00712285"/>
    <w:rsid w:val="00712366"/>
    <w:rsid w:val="00712395"/>
    <w:rsid w:val="00712418"/>
    <w:rsid w:val="0071243E"/>
    <w:rsid w:val="00712581"/>
    <w:rsid w:val="00712B1D"/>
    <w:rsid w:val="00712B6F"/>
    <w:rsid w:val="00712B97"/>
    <w:rsid w:val="00712C22"/>
    <w:rsid w:val="00712D4D"/>
    <w:rsid w:val="00712D8D"/>
    <w:rsid w:val="00712EAA"/>
    <w:rsid w:val="00712F88"/>
    <w:rsid w:val="0071315A"/>
    <w:rsid w:val="0071315D"/>
    <w:rsid w:val="00713288"/>
    <w:rsid w:val="007132EA"/>
    <w:rsid w:val="00713397"/>
    <w:rsid w:val="007133B6"/>
    <w:rsid w:val="00713452"/>
    <w:rsid w:val="0071389D"/>
    <w:rsid w:val="00713911"/>
    <w:rsid w:val="00713A3F"/>
    <w:rsid w:val="00713C41"/>
    <w:rsid w:val="00713E60"/>
    <w:rsid w:val="00713E8E"/>
    <w:rsid w:val="00713EAD"/>
    <w:rsid w:val="00713F1C"/>
    <w:rsid w:val="00713F48"/>
    <w:rsid w:val="00714046"/>
    <w:rsid w:val="0071409C"/>
    <w:rsid w:val="0071423E"/>
    <w:rsid w:val="00714360"/>
    <w:rsid w:val="007144C1"/>
    <w:rsid w:val="00714629"/>
    <w:rsid w:val="00714639"/>
    <w:rsid w:val="0071490C"/>
    <w:rsid w:val="007149F3"/>
    <w:rsid w:val="00714AA8"/>
    <w:rsid w:val="00714B19"/>
    <w:rsid w:val="00714C5B"/>
    <w:rsid w:val="00714D16"/>
    <w:rsid w:val="00714DD4"/>
    <w:rsid w:val="00714DEB"/>
    <w:rsid w:val="00714E18"/>
    <w:rsid w:val="00714F0D"/>
    <w:rsid w:val="00714F44"/>
    <w:rsid w:val="00715252"/>
    <w:rsid w:val="00715289"/>
    <w:rsid w:val="00715358"/>
    <w:rsid w:val="0071540D"/>
    <w:rsid w:val="0071542B"/>
    <w:rsid w:val="0071547F"/>
    <w:rsid w:val="007154A1"/>
    <w:rsid w:val="00715545"/>
    <w:rsid w:val="007155EF"/>
    <w:rsid w:val="00715620"/>
    <w:rsid w:val="00715717"/>
    <w:rsid w:val="00715826"/>
    <w:rsid w:val="00715839"/>
    <w:rsid w:val="00715A01"/>
    <w:rsid w:val="00715B48"/>
    <w:rsid w:val="00715BA9"/>
    <w:rsid w:val="00715BDA"/>
    <w:rsid w:val="00715C7F"/>
    <w:rsid w:val="00715CB5"/>
    <w:rsid w:val="00715DFF"/>
    <w:rsid w:val="00715E2C"/>
    <w:rsid w:val="00715F56"/>
    <w:rsid w:val="00716003"/>
    <w:rsid w:val="00716050"/>
    <w:rsid w:val="0071616C"/>
    <w:rsid w:val="0071625C"/>
    <w:rsid w:val="00716335"/>
    <w:rsid w:val="00716424"/>
    <w:rsid w:val="007166D2"/>
    <w:rsid w:val="0071674F"/>
    <w:rsid w:val="007167F4"/>
    <w:rsid w:val="00716861"/>
    <w:rsid w:val="0071691E"/>
    <w:rsid w:val="00716A21"/>
    <w:rsid w:val="00716AB9"/>
    <w:rsid w:val="00716AD2"/>
    <w:rsid w:val="00716BA4"/>
    <w:rsid w:val="00716C0D"/>
    <w:rsid w:val="00716D32"/>
    <w:rsid w:val="00716D3C"/>
    <w:rsid w:val="00716ED4"/>
    <w:rsid w:val="007170E9"/>
    <w:rsid w:val="00717144"/>
    <w:rsid w:val="0071716B"/>
    <w:rsid w:val="007171A8"/>
    <w:rsid w:val="007171AC"/>
    <w:rsid w:val="0071736D"/>
    <w:rsid w:val="007174E6"/>
    <w:rsid w:val="00717508"/>
    <w:rsid w:val="0071751E"/>
    <w:rsid w:val="00717686"/>
    <w:rsid w:val="007176C8"/>
    <w:rsid w:val="00717746"/>
    <w:rsid w:val="0071782A"/>
    <w:rsid w:val="00717895"/>
    <w:rsid w:val="0071795E"/>
    <w:rsid w:val="00717C00"/>
    <w:rsid w:val="00717C4D"/>
    <w:rsid w:val="00717D6E"/>
    <w:rsid w:val="00717DCF"/>
    <w:rsid w:val="00717F91"/>
    <w:rsid w:val="0072018E"/>
    <w:rsid w:val="007201F2"/>
    <w:rsid w:val="007202CE"/>
    <w:rsid w:val="00720361"/>
    <w:rsid w:val="007203B9"/>
    <w:rsid w:val="007203CA"/>
    <w:rsid w:val="00720531"/>
    <w:rsid w:val="007205BA"/>
    <w:rsid w:val="0072067F"/>
    <w:rsid w:val="007207D9"/>
    <w:rsid w:val="007207E8"/>
    <w:rsid w:val="00720871"/>
    <w:rsid w:val="00720916"/>
    <w:rsid w:val="00720A42"/>
    <w:rsid w:val="00720AAA"/>
    <w:rsid w:val="00720C75"/>
    <w:rsid w:val="00720DC2"/>
    <w:rsid w:val="00720E52"/>
    <w:rsid w:val="00720E91"/>
    <w:rsid w:val="00720F1A"/>
    <w:rsid w:val="0072109C"/>
    <w:rsid w:val="007211E4"/>
    <w:rsid w:val="00721267"/>
    <w:rsid w:val="00721304"/>
    <w:rsid w:val="00721390"/>
    <w:rsid w:val="00721482"/>
    <w:rsid w:val="0072166E"/>
    <w:rsid w:val="00721685"/>
    <w:rsid w:val="0072175E"/>
    <w:rsid w:val="00721813"/>
    <w:rsid w:val="00721876"/>
    <w:rsid w:val="007218FC"/>
    <w:rsid w:val="00721937"/>
    <w:rsid w:val="007219D0"/>
    <w:rsid w:val="00721A55"/>
    <w:rsid w:val="00721ABC"/>
    <w:rsid w:val="00721C7F"/>
    <w:rsid w:val="00721CA2"/>
    <w:rsid w:val="00722448"/>
    <w:rsid w:val="007224D4"/>
    <w:rsid w:val="00722586"/>
    <w:rsid w:val="00722617"/>
    <w:rsid w:val="007226F5"/>
    <w:rsid w:val="007227A7"/>
    <w:rsid w:val="007227D3"/>
    <w:rsid w:val="00722932"/>
    <w:rsid w:val="0072296E"/>
    <w:rsid w:val="0072298B"/>
    <w:rsid w:val="00722A2A"/>
    <w:rsid w:val="00722A7F"/>
    <w:rsid w:val="00722B56"/>
    <w:rsid w:val="00722BCD"/>
    <w:rsid w:val="00722D77"/>
    <w:rsid w:val="00722F3F"/>
    <w:rsid w:val="00722FA4"/>
    <w:rsid w:val="00722FB0"/>
    <w:rsid w:val="00722FC2"/>
    <w:rsid w:val="00722FE9"/>
    <w:rsid w:val="0072306F"/>
    <w:rsid w:val="007230CB"/>
    <w:rsid w:val="0072321D"/>
    <w:rsid w:val="00723608"/>
    <w:rsid w:val="00723626"/>
    <w:rsid w:val="00723707"/>
    <w:rsid w:val="0072375C"/>
    <w:rsid w:val="00723A38"/>
    <w:rsid w:val="00723A6E"/>
    <w:rsid w:val="00723B2C"/>
    <w:rsid w:val="00723B32"/>
    <w:rsid w:val="00723B3A"/>
    <w:rsid w:val="00723C9D"/>
    <w:rsid w:val="00723CE0"/>
    <w:rsid w:val="00723E2D"/>
    <w:rsid w:val="00723E5F"/>
    <w:rsid w:val="00723ED4"/>
    <w:rsid w:val="00723F4B"/>
    <w:rsid w:val="00724079"/>
    <w:rsid w:val="00724096"/>
    <w:rsid w:val="0072409D"/>
    <w:rsid w:val="007240A4"/>
    <w:rsid w:val="00724264"/>
    <w:rsid w:val="00724348"/>
    <w:rsid w:val="00724550"/>
    <w:rsid w:val="007245FB"/>
    <w:rsid w:val="0072468D"/>
    <w:rsid w:val="007246DA"/>
    <w:rsid w:val="00724729"/>
    <w:rsid w:val="007247F8"/>
    <w:rsid w:val="007247FA"/>
    <w:rsid w:val="0072481C"/>
    <w:rsid w:val="00724824"/>
    <w:rsid w:val="0072485E"/>
    <w:rsid w:val="00724904"/>
    <w:rsid w:val="00724AB2"/>
    <w:rsid w:val="00724B28"/>
    <w:rsid w:val="00724B43"/>
    <w:rsid w:val="00724CFA"/>
    <w:rsid w:val="00724D65"/>
    <w:rsid w:val="00724ECC"/>
    <w:rsid w:val="00724ED0"/>
    <w:rsid w:val="00724F1F"/>
    <w:rsid w:val="00724F2D"/>
    <w:rsid w:val="00724F5B"/>
    <w:rsid w:val="00724F91"/>
    <w:rsid w:val="00724F92"/>
    <w:rsid w:val="00725152"/>
    <w:rsid w:val="00725215"/>
    <w:rsid w:val="00725263"/>
    <w:rsid w:val="00725286"/>
    <w:rsid w:val="007253D6"/>
    <w:rsid w:val="00725534"/>
    <w:rsid w:val="0072554D"/>
    <w:rsid w:val="007255B1"/>
    <w:rsid w:val="0072560F"/>
    <w:rsid w:val="0072578A"/>
    <w:rsid w:val="007257DE"/>
    <w:rsid w:val="0072583A"/>
    <w:rsid w:val="00725935"/>
    <w:rsid w:val="0072597A"/>
    <w:rsid w:val="00725993"/>
    <w:rsid w:val="007259C3"/>
    <w:rsid w:val="00725B11"/>
    <w:rsid w:val="00725BBC"/>
    <w:rsid w:val="00725D31"/>
    <w:rsid w:val="00725E92"/>
    <w:rsid w:val="00725F25"/>
    <w:rsid w:val="00725FB5"/>
    <w:rsid w:val="0072616B"/>
    <w:rsid w:val="007263D1"/>
    <w:rsid w:val="007263E2"/>
    <w:rsid w:val="00726611"/>
    <w:rsid w:val="007268A5"/>
    <w:rsid w:val="007268D8"/>
    <w:rsid w:val="00726A70"/>
    <w:rsid w:val="00726A98"/>
    <w:rsid w:val="00726AEB"/>
    <w:rsid w:val="00726B0A"/>
    <w:rsid w:val="00726B34"/>
    <w:rsid w:val="00726D74"/>
    <w:rsid w:val="00726FAF"/>
    <w:rsid w:val="00727120"/>
    <w:rsid w:val="007271AB"/>
    <w:rsid w:val="007271D7"/>
    <w:rsid w:val="007272D6"/>
    <w:rsid w:val="007272D7"/>
    <w:rsid w:val="007273B2"/>
    <w:rsid w:val="0072753F"/>
    <w:rsid w:val="00727592"/>
    <w:rsid w:val="00727605"/>
    <w:rsid w:val="0072760F"/>
    <w:rsid w:val="007277A9"/>
    <w:rsid w:val="007277B2"/>
    <w:rsid w:val="007277CC"/>
    <w:rsid w:val="00727969"/>
    <w:rsid w:val="0072798D"/>
    <w:rsid w:val="00727A6F"/>
    <w:rsid w:val="00727CB4"/>
    <w:rsid w:val="00727DAC"/>
    <w:rsid w:val="00727EAD"/>
    <w:rsid w:val="00727FFC"/>
    <w:rsid w:val="00730582"/>
    <w:rsid w:val="007306E4"/>
    <w:rsid w:val="00730735"/>
    <w:rsid w:val="00730841"/>
    <w:rsid w:val="00730961"/>
    <w:rsid w:val="00730AB2"/>
    <w:rsid w:val="00730B6F"/>
    <w:rsid w:val="00730C35"/>
    <w:rsid w:val="00730C83"/>
    <w:rsid w:val="00730F02"/>
    <w:rsid w:val="007310B2"/>
    <w:rsid w:val="0073112B"/>
    <w:rsid w:val="007311C9"/>
    <w:rsid w:val="00731300"/>
    <w:rsid w:val="007313B1"/>
    <w:rsid w:val="007313F1"/>
    <w:rsid w:val="0073142C"/>
    <w:rsid w:val="007314AC"/>
    <w:rsid w:val="007314C4"/>
    <w:rsid w:val="007316E2"/>
    <w:rsid w:val="00731795"/>
    <w:rsid w:val="007318F0"/>
    <w:rsid w:val="00731998"/>
    <w:rsid w:val="00731A06"/>
    <w:rsid w:val="00731AB7"/>
    <w:rsid w:val="00731B21"/>
    <w:rsid w:val="00731B87"/>
    <w:rsid w:val="00731E0F"/>
    <w:rsid w:val="00731F5D"/>
    <w:rsid w:val="00731F8E"/>
    <w:rsid w:val="0073204E"/>
    <w:rsid w:val="00732155"/>
    <w:rsid w:val="00732179"/>
    <w:rsid w:val="007322C0"/>
    <w:rsid w:val="00732324"/>
    <w:rsid w:val="00732364"/>
    <w:rsid w:val="0073237D"/>
    <w:rsid w:val="00732582"/>
    <w:rsid w:val="0073259F"/>
    <w:rsid w:val="00732652"/>
    <w:rsid w:val="00732683"/>
    <w:rsid w:val="007327D5"/>
    <w:rsid w:val="007328FA"/>
    <w:rsid w:val="00732912"/>
    <w:rsid w:val="00732946"/>
    <w:rsid w:val="00732C64"/>
    <w:rsid w:val="00732DCC"/>
    <w:rsid w:val="00732E41"/>
    <w:rsid w:val="00732E52"/>
    <w:rsid w:val="00732E9C"/>
    <w:rsid w:val="00732EB0"/>
    <w:rsid w:val="00732F00"/>
    <w:rsid w:val="00732F25"/>
    <w:rsid w:val="00732FFB"/>
    <w:rsid w:val="00733041"/>
    <w:rsid w:val="0073308A"/>
    <w:rsid w:val="007330C9"/>
    <w:rsid w:val="007331B3"/>
    <w:rsid w:val="00733404"/>
    <w:rsid w:val="0073342F"/>
    <w:rsid w:val="00733473"/>
    <w:rsid w:val="00733474"/>
    <w:rsid w:val="007336E5"/>
    <w:rsid w:val="00733845"/>
    <w:rsid w:val="007338BE"/>
    <w:rsid w:val="0073392F"/>
    <w:rsid w:val="00733A25"/>
    <w:rsid w:val="00733C53"/>
    <w:rsid w:val="00733D19"/>
    <w:rsid w:val="00733D32"/>
    <w:rsid w:val="00733D89"/>
    <w:rsid w:val="00733E51"/>
    <w:rsid w:val="00733F9D"/>
    <w:rsid w:val="00733FBD"/>
    <w:rsid w:val="00734122"/>
    <w:rsid w:val="0073423B"/>
    <w:rsid w:val="00734242"/>
    <w:rsid w:val="00734271"/>
    <w:rsid w:val="007342DD"/>
    <w:rsid w:val="007342E5"/>
    <w:rsid w:val="00734312"/>
    <w:rsid w:val="00734458"/>
    <w:rsid w:val="00734496"/>
    <w:rsid w:val="00734625"/>
    <w:rsid w:val="007346E0"/>
    <w:rsid w:val="00734703"/>
    <w:rsid w:val="00734779"/>
    <w:rsid w:val="007347CB"/>
    <w:rsid w:val="00734955"/>
    <w:rsid w:val="007349AE"/>
    <w:rsid w:val="00734CE1"/>
    <w:rsid w:val="00734D23"/>
    <w:rsid w:val="00734E2E"/>
    <w:rsid w:val="00734EB5"/>
    <w:rsid w:val="00734F90"/>
    <w:rsid w:val="00735268"/>
    <w:rsid w:val="0073528F"/>
    <w:rsid w:val="007352A3"/>
    <w:rsid w:val="0073536E"/>
    <w:rsid w:val="007353EE"/>
    <w:rsid w:val="00735439"/>
    <w:rsid w:val="00735562"/>
    <w:rsid w:val="0073582C"/>
    <w:rsid w:val="007358B7"/>
    <w:rsid w:val="007358F7"/>
    <w:rsid w:val="00735C52"/>
    <w:rsid w:val="00735C8F"/>
    <w:rsid w:val="00735E39"/>
    <w:rsid w:val="00735F10"/>
    <w:rsid w:val="00735FB9"/>
    <w:rsid w:val="00736079"/>
    <w:rsid w:val="0073611A"/>
    <w:rsid w:val="00736222"/>
    <w:rsid w:val="00736297"/>
    <w:rsid w:val="007362D9"/>
    <w:rsid w:val="00736644"/>
    <w:rsid w:val="00736704"/>
    <w:rsid w:val="0073678E"/>
    <w:rsid w:val="00736838"/>
    <w:rsid w:val="0073683C"/>
    <w:rsid w:val="00736848"/>
    <w:rsid w:val="00736917"/>
    <w:rsid w:val="007369DB"/>
    <w:rsid w:val="00736C39"/>
    <w:rsid w:val="00736C81"/>
    <w:rsid w:val="00736C9F"/>
    <w:rsid w:val="00736CFE"/>
    <w:rsid w:val="00736E6A"/>
    <w:rsid w:val="00736EBC"/>
    <w:rsid w:val="00736F3A"/>
    <w:rsid w:val="007372A2"/>
    <w:rsid w:val="0073749A"/>
    <w:rsid w:val="007374CE"/>
    <w:rsid w:val="007374E7"/>
    <w:rsid w:val="00737556"/>
    <w:rsid w:val="00737626"/>
    <w:rsid w:val="0073767D"/>
    <w:rsid w:val="0073773C"/>
    <w:rsid w:val="0073776A"/>
    <w:rsid w:val="0073789A"/>
    <w:rsid w:val="0073792C"/>
    <w:rsid w:val="007379B7"/>
    <w:rsid w:val="00737A7B"/>
    <w:rsid w:val="00737B2E"/>
    <w:rsid w:val="00737BB8"/>
    <w:rsid w:val="00737C3F"/>
    <w:rsid w:val="00737CCD"/>
    <w:rsid w:val="00737CE8"/>
    <w:rsid w:val="00737D9E"/>
    <w:rsid w:val="00737DD2"/>
    <w:rsid w:val="00737E8A"/>
    <w:rsid w:val="00737ED5"/>
    <w:rsid w:val="00737ED9"/>
    <w:rsid w:val="00740016"/>
    <w:rsid w:val="0074002B"/>
    <w:rsid w:val="00740179"/>
    <w:rsid w:val="00740198"/>
    <w:rsid w:val="007401B9"/>
    <w:rsid w:val="007401C9"/>
    <w:rsid w:val="0074023F"/>
    <w:rsid w:val="00740242"/>
    <w:rsid w:val="0074027B"/>
    <w:rsid w:val="0074033F"/>
    <w:rsid w:val="00740410"/>
    <w:rsid w:val="00740585"/>
    <w:rsid w:val="00740591"/>
    <w:rsid w:val="00740651"/>
    <w:rsid w:val="00740654"/>
    <w:rsid w:val="007406EB"/>
    <w:rsid w:val="0074070F"/>
    <w:rsid w:val="0074073E"/>
    <w:rsid w:val="00740814"/>
    <w:rsid w:val="007409DD"/>
    <w:rsid w:val="007409F5"/>
    <w:rsid w:val="00740A3B"/>
    <w:rsid w:val="00740AB8"/>
    <w:rsid w:val="00740AF8"/>
    <w:rsid w:val="00740B2C"/>
    <w:rsid w:val="00740BB5"/>
    <w:rsid w:val="00740BB7"/>
    <w:rsid w:val="00740CC5"/>
    <w:rsid w:val="00740D24"/>
    <w:rsid w:val="00740D84"/>
    <w:rsid w:val="00740E66"/>
    <w:rsid w:val="00740F68"/>
    <w:rsid w:val="00740F75"/>
    <w:rsid w:val="007410E6"/>
    <w:rsid w:val="007411BB"/>
    <w:rsid w:val="00741316"/>
    <w:rsid w:val="0074133E"/>
    <w:rsid w:val="007414A2"/>
    <w:rsid w:val="007416AE"/>
    <w:rsid w:val="00741803"/>
    <w:rsid w:val="00741A12"/>
    <w:rsid w:val="00741AA7"/>
    <w:rsid w:val="00741B5F"/>
    <w:rsid w:val="00741D55"/>
    <w:rsid w:val="00741EA6"/>
    <w:rsid w:val="00741F8A"/>
    <w:rsid w:val="00742267"/>
    <w:rsid w:val="007423FA"/>
    <w:rsid w:val="00742563"/>
    <w:rsid w:val="00742569"/>
    <w:rsid w:val="0074257A"/>
    <w:rsid w:val="00742742"/>
    <w:rsid w:val="0074277C"/>
    <w:rsid w:val="0074282A"/>
    <w:rsid w:val="0074282C"/>
    <w:rsid w:val="0074288E"/>
    <w:rsid w:val="0074292E"/>
    <w:rsid w:val="00742933"/>
    <w:rsid w:val="00742989"/>
    <w:rsid w:val="007429C5"/>
    <w:rsid w:val="00742A20"/>
    <w:rsid w:val="00742A64"/>
    <w:rsid w:val="00742CBF"/>
    <w:rsid w:val="00742D66"/>
    <w:rsid w:val="00742E92"/>
    <w:rsid w:val="00743255"/>
    <w:rsid w:val="00743363"/>
    <w:rsid w:val="007433F9"/>
    <w:rsid w:val="007434A6"/>
    <w:rsid w:val="007434EB"/>
    <w:rsid w:val="007436C1"/>
    <w:rsid w:val="0074373A"/>
    <w:rsid w:val="00743A2F"/>
    <w:rsid w:val="00743C0D"/>
    <w:rsid w:val="00743DB7"/>
    <w:rsid w:val="00743F65"/>
    <w:rsid w:val="0074416D"/>
    <w:rsid w:val="007441DE"/>
    <w:rsid w:val="00744300"/>
    <w:rsid w:val="00744401"/>
    <w:rsid w:val="007444A0"/>
    <w:rsid w:val="00744549"/>
    <w:rsid w:val="007446B6"/>
    <w:rsid w:val="007446CA"/>
    <w:rsid w:val="0074471A"/>
    <w:rsid w:val="007448CE"/>
    <w:rsid w:val="0074493B"/>
    <w:rsid w:val="007449CA"/>
    <w:rsid w:val="00744B59"/>
    <w:rsid w:val="00744C32"/>
    <w:rsid w:val="00744CFE"/>
    <w:rsid w:val="00744D30"/>
    <w:rsid w:val="00744D9D"/>
    <w:rsid w:val="00744F75"/>
    <w:rsid w:val="00745126"/>
    <w:rsid w:val="00745185"/>
    <w:rsid w:val="00745207"/>
    <w:rsid w:val="00745318"/>
    <w:rsid w:val="0074551F"/>
    <w:rsid w:val="00745546"/>
    <w:rsid w:val="0074559F"/>
    <w:rsid w:val="007455D6"/>
    <w:rsid w:val="007458A4"/>
    <w:rsid w:val="00745948"/>
    <w:rsid w:val="00745B44"/>
    <w:rsid w:val="00745B61"/>
    <w:rsid w:val="00745BD9"/>
    <w:rsid w:val="00745C58"/>
    <w:rsid w:val="00745D5F"/>
    <w:rsid w:val="00745ED7"/>
    <w:rsid w:val="00745F6E"/>
    <w:rsid w:val="00745F8C"/>
    <w:rsid w:val="00745FC6"/>
    <w:rsid w:val="007465BC"/>
    <w:rsid w:val="007465CF"/>
    <w:rsid w:val="00746697"/>
    <w:rsid w:val="007466D3"/>
    <w:rsid w:val="007466DB"/>
    <w:rsid w:val="00746797"/>
    <w:rsid w:val="007467B6"/>
    <w:rsid w:val="00746802"/>
    <w:rsid w:val="00746948"/>
    <w:rsid w:val="00746A3E"/>
    <w:rsid w:val="00746A52"/>
    <w:rsid w:val="00746BCC"/>
    <w:rsid w:val="00746BCE"/>
    <w:rsid w:val="00746C39"/>
    <w:rsid w:val="00746CB8"/>
    <w:rsid w:val="00746E06"/>
    <w:rsid w:val="0074704B"/>
    <w:rsid w:val="00747084"/>
    <w:rsid w:val="007472DC"/>
    <w:rsid w:val="007472F4"/>
    <w:rsid w:val="00747362"/>
    <w:rsid w:val="00747434"/>
    <w:rsid w:val="007476CF"/>
    <w:rsid w:val="00747761"/>
    <w:rsid w:val="007477C7"/>
    <w:rsid w:val="0074788B"/>
    <w:rsid w:val="007478FB"/>
    <w:rsid w:val="00747A0F"/>
    <w:rsid w:val="00747A87"/>
    <w:rsid w:val="00747B24"/>
    <w:rsid w:val="00747B7C"/>
    <w:rsid w:val="00747CA7"/>
    <w:rsid w:val="00747F7B"/>
    <w:rsid w:val="0075000F"/>
    <w:rsid w:val="007500D1"/>
    <w:rsid w:val="00750156"/>
    <w:rsid w:val="0075020D"/>
    <w:rsid w:val="00750232"/>
    <w:rsid w:val="0075025B"/>
    <w:rsid w:val="007502BF"/>
    <w:rsid w:val="0075037A"/>
    <w:rsid w:val="007503EC"/>
    <w:rsid w:val="00750560"/>
    <w:rsid w:val="007505FA"/>
    <w:rsid w:val="0075073B"/>
    <w:rsid w:val="0075074B"/>
    <w:rsid w:val="00750781"/>
    <w:rsid w:val="00750C4F"/>
    <w:rsid w:val="00750E0E"/>
    <w:rsid w:val="00750E13"/>
    <w:rsid w:val="00750E1A"/>
    <w:rsid w:val="00750E99"/>
    <w:rsid w:val="00750F84"/>
    <w:rsid w:val="00750FD9"/>
    <w:rsid w:val="0075118A"/>
    <w:rsid w:val="007512D6"/>
    <w:rsid w:val="007512F4"/>
    <w:rsid w:val="0075137C"/>
    <w:rsid w:val="00751414"/>
    <w:rsid w:val="007514D6"/>
    <w:rsid w:val="0075151A"/>
    <w:rsid w:val="007518AD"/>
    <w:rsid w:val="00751962"/>
    <w:rsid w:val="00751BBC"/>
    <w:rsid w:val="00751BC0"/>
    <w:rsid w:val="00751D1D"/>
    <w:rsid w:val="00751F7C"/>
    <w:rsid w:val="00751FE1"/>
    <w:rsid w:val="0075207C"/>
    <w:rsid w:val="00752418"/>
    <w:rsid w:val="00752453"/>
    <w:rsid w:val="0075247D"/>
    <w:rsid w:val="007524A6"/>
    <w:rsid w:val="0075253F"/>
    <w:rsid w:val="007526C8"/>
    <w:rsid w:val="00752B5A"/>
    <w:rsid w:val="00752C80"/>
    <w:rsid w:val="00753027"/>
    <w:rsid w:val="007531B0"/>
    <w:rsid w:val="0075343D"/>
    <w:rsid w:val="0075347F"/>
    <w:rsid w:val="00753489"/>
    <w:rsid w:val="007537B3"/>
    <w:rsid w:val="00753996"/>
    <w:rsid w:val="00753BAF"/>
    <w:rsid w:val="00753BC1"/>
    <w:rsid w:val="00753C7E"/>
    <w:rsid w:val="00753C97"/>
    <w:rsid w:val="00753CA4"/>
    <w:rsid w:val="00753DDE"/>
    <w:rsid w:val="00753E1A"/>
    <w:rsid w:val="00753EAC"/>
    <w:rsid w:val="00753F6D"/>
    <w:rsid w:val="00754175"/>
    <w:rsid w:val="0075418A"/>
    <w:rsid w:val="007542A5"/>
    <w:rsid w:val="007543BF"/>
    <w:rsid w:val="00754445"/>
    <w:rsid w:val="00754741"/>
    <w:rsid w:val="00754755"/>
    <w:rsid w:val="007547E8"/>
    <w:rsid w:val="007547FC"/>
    <w:rsid w:val="0075480E"/>
    <w:rsid w:val="00754823"/>
    <w:rsid w:val="007548D0"/>
    <w:rsid w:val="007548EB"/>
    <w:rsid w:val="00754B4F"/>
    <w:rsid w:val="00754C0F"/>
    <w:rsid w:val="00754E08"/>
    <w:rsid w:val="00754F22"/>
    <w:rsid w:val="007550AD"/>
    <w:rsid w:val="00755619"/>
    <w:rsid w:val="0075594E"/>
    <w:rsid w:val="00755999"/>
    <w:rsid w:val="007559C7"/>
    <w:rsid w:val="00755AD2"/>
    <w:rsid w:val="00755BB7"/>
    <w:rsid w:val="00755C53"/>
    <w:rsid w:val="00755D28"/>
    <w:rsid w:val="00755D9D"/>
    <w:rsid w:val="00755EA1"/>
    <w:rsid w:val="00755F10"/>
    <w:rsid w:val="00755FD6"/>
    <w:rsid w:val="00755FE3"/>
    <w:rsid w:val="0075603A"/>
    <w:rsid w:val="0075632D"/>
    <w:rsid w:val="007563B0"/>
    <w:rsid w:val="007565AC"/>
    <w:rsid w:val="00756614"/>
    <w:rsid w:val="00756686"/>
    <w:rsid w:val="0075670C"/>
    <w:rsid w:val="007568D9"/>
    <w:rsid w:val="0075698A"/>
    <w:rsid w:val="00756D72"/>
    <w:rsid w:val="00756DA0"/>
    <w:rsid w:val="00756DF9"/>
    <w:rsid w:val="00756F07"/>
    <w:rsid w:val="00756F71"/>
    <w:rsid w:val="00756F81"/>
    <w:rsid w:val="007570AF"/>
    <w:rsid w:val="00757559"/>
    <w:rsid w:val="00757571"/>
    <w:rsid w:val="007575CD"/>
    <w:rsid w:val="007576E5"/>
    <w:rsid w:val="00757795"/>
    <w:rsid w:val="00757875"/>
    <w:rsid w:val="0075795E"/>
    <w:rsid w:val="007579CF"/>
    <w:rsid w:val="00757A24"/>
    <w:rsid w:val="00757A30"/>
    <w:rsid w:val="00757C2B"/>
    <w:rsid w:val="00757D16"/>
    <w:rsid w:val="00757FDC"/>
    <w:rsid w:val="00760041"/>
    <w:rsid w:val="007600B7"/>
    <w:rsid w:val="00760164"/>
    <w:rsid w:val="007602A2"/>
    <w:rsid w:val="007602E4"/>
    <w:rsid w:val="00760426"/>
    <w:rsid w:val="0076045D"/>
    <w:rsid w:val="007605FB"/>
    <w:rsid w:val="00760675"/>
    <w:rsid w:val="00760713"/>
    <w:rsid w:val="00760818"/>
    <w:rsid w:val="0076082A"/>
    <w:rsid w:val="007608BA"/>
    <w:rsid w:val="00760A6F"/>
    <w:rsid w:val="00760D6C"/>
    <w:rsid w:val="00760E9C"/>
    <w:rsid w:val="00760F34"/>
    <w:rsid w:val="00761013"/>
    <w:rsid w:val="007610D9"/>
    <w:rsid w:val="00761293"/>
    <w:rsid w:val="00761333"/>
    <w:rsid w:val="00761441"/>
    <w:rsid w:val="00761473"/>
    <w:rsid w:val="007615CF"/>
    <w:rsid w:val="0076177E"/>
    <w:rsid w:val="00761961"/>
    <w:rsid w:val="0076197F"/>
    <w:rsid w:val="007619C3"/>
    <w:rsid w:val="00761B0E"/>
    <w:rsid w:val="00761C3B"/>
    <w:rsid w:val="00761C92"/>
    <w:rsid w:val="00761E15"/>
    <w:rsid w:val="00761E52"/>
    <w:rsid w:val="00761EE0"/>
    <w:rsid w:val="00761F97"/>
    <w:rsid w:val="00762011"/>
    <w:rsid w:val="00762025"/>
    <w:rsid w:val="00762239"/>
    <w:rsid w:val="007622F8"/>
    <w:rsid w:val="0076234A"/>
    <w:rsid w:val="0076246D"/>
    <w:rsid w:val="007625E3"/>
    <w:rsid w:val="0076260D"/>
    <w:rsid w:val="007626E7"/>
    <w:rsid w:val="007626F6"/>
    <w:rsid w:val="007627D1"/>
    <w:rsid w:val="007627D7"/>
    <w:rsid w:val="007627DB"/>
    <w:rsid w:val="00762888"/>
    <w:rsid w:val="00762B0B"/>
    <w:rsid w:val="00762B44"/>
    <w:rsid w:val="00762D80"/>
    <w:rsid w:val="00762D89"/>
    <w:rsid w:val="00762ECA"/>
    <w:rsid w:val="00763215"/>
    <w:rsid w:val="00763223"/>
    <w:rsid w:val="00763225"/>
    <w:rsid w:val="0076328B"/>
    <w:rsid w:val="00763321"/>
    <w:rsid w:val="00763521"/>
    <w:rsid w:val="007635C0"/>
    <w:rsid w:val="00763722"/>
    <w:rsid w:val="00763735"/>
    <w:rsid w:val="00763806"/>
    <w:rsid w:val="007638AF"/>
    <w:rsid w:val="007639EB"/>
    <w:rsid w:val="00763B25"/>
    <w:rsid w:val="00763B2B"/>
    <w:rsid w:val="00763B77"/>
    <w:rsid w:val="00763BAF"/>
    <w:rsid w:val="00763C9C"/>
    <w:rsid w:val="00763DF6"/>
    <w:rsid w:val="00763F77"/>
    <w:rsid w:val="00763F79"/>
    <w:rsid w:val="00763FC2"/>
    <w:rsid w:val="00763FE6"/>
    <w:rsid w:val="00764017"/>
    <w:rsid w:val="00764019"/>
    <w:rsid w:val="0076402D"/>
    <w:rsid w:val="007640B6"/>
    <w:rsid w:val="007640D8"/>
    <w:rsid w:val="007640F8"/>
    <w:rsid w:val="00764186"/>
    <w:rsid w:val="007641B9"/>
    <w:rsid w:val="0076423F"/>
    <w:rsid w:val="00764283"/>
    <w:rsid w:val="007642A9"/>
    <w:rsid w:val="00764389"/>
    <w:rsid w:val="007644CF"/>
    <w:rsid w:val="007644EF"/>
    <w:rsid w:val="007645F3"/>
    <w:rsid w:val="00764729"/>
    <w:rsid w:val="00764863"/>
    <w:rsid w:val="007648D5"/>
    <w:rsid w:val="007648FC"/>
    <w:rsid w:val="00764955"/>
    <w:rsid w:val="00764A37"/>
    <w:rsid w:val="00764BA1"/>
    <w:rsid w:val="00764C1C"/>
    <w:rsid w:val="00764C2F"/>
    <w:rsid w:val="00764E45"/>
    <w:rsid w:val="00764E62"/>
    <w:rsid w:val="00765037"/>
    <w:rsid w:val="00765068"/>
    <w:rsid w:val="00765141"/>
    <w:rsid w:val="007652A3"/>
    <w:rsid w:val="007652A7"/>
    <w:rsid w:val="007652DB"/>
    <w:rsid w:val="0076543C"/>
    <w:rsid w:val="007654B0"/>
    <w:rsid w:val="00765516"/>
    <w:rsid w:val="00765571"/>
    <w:rsid w:val="007655A4"/>
    <w:rsid w:val="00765613"/>
    <w:rsid w:val="0076571A"/>
    <w:rsid w:val="00765736"/>
    <w:rsid w:val="00765779"/>
    <w:rsid w:val="007659BD"/>
    <w:rsid w:val="00765A01"/>
    <w:rsid w:val="00765A0A"/>
    <w:rsid w:val="00765A6F"/>
    <w:rsid w:val="00765AAD"/>
    <w:rsid w:val="00765BB7"/>
    <w:rsid w:val="00765DDC"/>
    <w:rsid w:val="00765DF6"/>
    <w:rsid w:val="00765EA2"/>
    <w:rsid w:val="00765EE9"/>
    <w:rsid w:val="00765FBC"/>
    <w:rsid w:val="00766237"/>
    <w:rsid w:val="00766242"/>
    <w:rsid w:val="00766308"/>
    <w:rsid w:val="00766337"/>
    <w:rsid w:val="007663DA"/>
    <w:rsid w:val="00766462"/>
    <w:rsid w:val="007664E4"/>
    <w:rsid w:val="007665AA"/>
    <w:rsid w:val="0076677D"/>
    <w:rsid w:val="0076690D"/>
    <w:rsid w:val="00766932"/>
    <w:rsid w:val="007669A8"/>
    <w:rsid w:val="00766A47"/>
    <w:rsid w:val="00766A91"/>
    <w:rsid w:val="00766B6B"/>
    <w:rsid w:val="00766B98"/>
    <w:rsid w:val="00766BD7"/>
    <w:rsid w:val="00766C35"/>
    <w:rsid w:val="00766D15"/>
    <w:rsid w:val="00766E38"/>
    <w:rsid w:val="00766FCD"/>
    <w:rsid w:val="0076702C"/>
    <w:rsid w:val="007672BF"/>
    <w:rsid w:val="007674D6"/>
    <w:rsid w:val="0076779D"/>
    <w:rsid w:val="0076791E"/>
    <w:rsid w:val="007679BB"/>
    <w:rsid w:val="00767AF0"/>
    <w:rsid w:val="00767B19"/>
    <w:rsid w:val="00767BF6"/>
    <w:rsid w:val="00767CFF"/>
    <w:rsid w:val="00767EAE"/>
    <w:rsid w:val="00767F10"/>
    <w:rsid w:val="00767F6C"/>
    <w:rsid w:val="007700C2"/>
    <w:rsid w:val="007702CB"/>
    <w:rsid w:val="0077031D"/>
    <w:rsid w:val="00770392"/>
    <w:rsid w:val="0077043B"/>
    <w:rsid w:val="00770441"/>
    <w:rsid w:val="00770528"/>
    <w:rsid w:val="007707F4"/>
    <w:rsid w:val="0077088D"/>
    <w:rsid w:val="00770A2D"/>
    <w:rsid w:val="00770BB6"/>
    <w:rsid w:val="00770BCB"/>
    <w:rsid w:val="00770C67"/>
    <w:rsid w:val="00770C84"/>
    <w:rsid w:val="00770E85"/>
    <w:rsid w:val="00770F78"/>
    <w:rsid w:val="00771136"/>
    <w:rsid w:val="0077118D"/>
    <w:rsid w:val="0077131D"/>
    <w:rsid w:val="00771499"/>
    <w:rsid w:val="0077163F"/>
    <w:rsid w:val="00771672"/>
    <w:rsid w:val="007717E9"/>
    <w:rsid w:val="00771882"/>
    <w:rsid w:val="0077195F"/>
    <w:rsid w:val="00771A6A"/>
    <w:rsid w:val="00771AC5"/>
    <w:rsid w:val="00771B54"/>
    <w:rsid w:val="00771C60"/>
    <w:rsid w:val="00771CB2"/>
    <w:rsid w:val="00771F05"/>
    <w:rsid w:val="00771F62"/>
    <w:rsid w:val="007720BA"/>
    <w:rsid w:val="00772104"/>
    <w:rsid w:val="00772130"/>
    <w:rsid w:val="007721CB"/>
    <w:rsid w:val="00772384"/>
    <w:rsid w:val="007723E5"/>
    <w:rsid w:val="007723F9"/>
    <w:rsid w:val="007724B0"/>
    <w:rsid w:val="007725CE"/>
    <w:rsid w:val="007725EB"/>
    <w:rsid w:val="007726E7"/>
    <w:rsid w:val="00772723"/>
    <w:rsid w:val="00772829"/>
    <w:rsid w:val="00772A27"/>
    <w:rsid w:val="00772BA3"/>
    <w:rsid w:val="00772CB5"/>
    <w:rsid w:val="00772CDA"/>
    <w:rsid w:val="00773085"/>
    <w:rsid w:val="00773092"/>
    <w:rsid w:val="007730AB"/>
    <w:rsid w:val="007731D3"/>
    <w:rsid w:val="007732A1"/>
    <w:rsid w:val="007732DF"/>
    <w:rsid w:val="007733CB"/>
    <w:rsid w:val="00773533"/>
    <w:rsid w:val="00773687"/>
    <w:rsid w:val="007737E1"/>
    <w:rsid w:val="007737EE"/>
    <w:rsid w:val="0077384B"/>
    <w:rsid w:val="007739EB"/>
    <w:rsid w:val="00773AAD"/>
    <w:rsid w:val="00773AFB"/>
    <w:rsid w:val="00773BD0"/>
    <w:rsid w:val="00773C70"/>
    <w:rsid w:val="00773D7C"/>
    <w:rsid w:val="00773EA0"/>
    <w:rsid w:val="00773F63"/>
    <w:rsid w:val="00773FF7"/>
    <w:rsid w:val="007740B4"/>
    <w:rsid w:val="00774116"/>
    <w:rsid w:val="007741C2"/>
    <w:rsid w:val="007741EC"/>
    <w:rsid w:val="0077421E"/>
    <w:rsid w:val="00774370"/>
    <w:rsid w:val="007743A2"/>
    <w:rsid w:val="0077444C"/>
    <w:rsid w:val="00774495"/>
    <w:rsid w:val="00774681"/>
    <w:rsid w:val="007747F7"/>
    <w:rsid w:val="0077499E"/>
    <w:rsid w:val="007749F3"/>
    <w:rsid w:val="00774CA0"/>
    <w:rsid w:val="00774CD1"/>
    <w:rsid w:val="00774CF4"/>
    <w:rsid w:val="00774F26"/>
    <w:rsid w:val="007750CB"/>
    <w:rsid w:val="0077513C"/>
    <w:rsid w:val="00775268"/>
    <w:rsid w:val="007755C7"/>
    <w:rsid w:val="007756C9"/>
    <w:rsid w:val="0077573D"/>
    <w:rsid w:val="00775A05"/>
    <w:rsid w:val="00775AEA"/>
    <w:rsid w:val="00775B44"/>
    <w:rsid w:val="00775DF8"/>
    <w:rsid w:val="00775E63"/>
    <w:rsid w:val="00775FCB"/>
    <w:rsid w:val="007760C8"/>
    <w:rsid w:val="0077620C"/>
    <w:rsid w:val="00776483"/>
    <w:rsid w:val="007764B1"/>
    <w:rsid w:val="00776595"/>
    <w:rsid w:val="00776725"/>
    <w:rsid w:val="00776728"/>
    <w:rsid w:val="007769FE"/>
    <w:rsid w:val="00776A68"/>
    <w:rsid w:val="00776B20"/>
    <w:rsid w:val="00776C78"/>
    <w:rsid w:val="00776C92"/>
    <w:rsid w:val="00776CA7"/>
    <w:rsid w:val="00776D35"/>
    <w:rsid w:val="00776F6D"/>
    <w:rsid w:val="00776F91"/>
    <w:rsid w:val="0077707F"/>
    <w:rsid w:val="007770D7"/>
    <w:rsid w:val="00777181"/>
    <w:rsid w:val="007771F1"/>
    <w:rsid w:val="007774A8"/>
    <w:rsid w:val="007774E4"/>
    <w:rsid w:val="00777519"/>
    <w:rsid w:val="00777631"/>
    <w:rsid w:val="00777659"/>
    <w:rsid w:val="007776A0"/>
    <w:rsid w:val="00777774"/>
    <w:rsid w:val="00777848"/>
    <w:rsid w:val="00777893"/>
    <w:rsid w:val="00777A19"/>
    <w:rsid w:val="00777C64"/>
    <w:rsid w:val="00777E83"/>
    <w:rsid w:val="00777EBC"/>
    <w:rsid w:val="00777EEB"/>
    <w:rsid w:val="00777FA2"/>
    <w:rsid w:val="00777FCB"/>
    <w:rsid w:val="00780196"/>
    <w:rsid w:val="00780217"/>
    <w:rsid w:val="00780222"/>
    <w:rsid w:val="007802FC"/>
    <w:rsid w:val="007803DD"/>
    <w:rsid w:val="00780564"/>
    <w:rsid w:val="007805AF"/>
    <w:rsid w:val="007805BF"/>
    <w:rsid w:val="0078064B"/>
    <w:rsid w:val="00780868"/>
    <w:rsid w:val="00780884"/>
    <w:rsid w:val="007809F8"/>
    <w:rsid w:val="00780A21"/>
    <w:rsid w:val="00780AAD"/>
    <w:rsid w:val="00780AE5"/>
    <w:rsid w:val="00780C28"/>
    <w:rsid w:val="00780C86"/>
    <w:rsid w:val="00780D1A"/>
    <w:rsid w:val="00780D25"/>
    <w:rsid w:val="00780D36"/>
    <w:rsid w:val="00780D75"/>
    <w:rsid w:val="00780E8C"/>
    <w:rsid w:val="00780ECD"/>
    <w:rsid w:val="00780FF1"/>
    <w:rsid w:val="0078100F"/>
    <w:rsid w:val="00781550"/>
    <w:rsid w:val="00781585"/>
    <w:rsid w:val="007815EF"/>
    <w:rsid w:val="0078169E"/>
    <w:rsid w:val="007816BB"/>
    <w:rsid w:val="0078177F"/>
    <w:rsid w:val="0078184C"/>
    <w:rsid w:val="007818D3"/>
    <w:rsid w:val="0078198D"/>
    <w:rsid w:val="00781A05"/>
    <w:rsid w:val="00781CB0"/>
    <w:rsid w:val="00781DC2"/>
    <w:rsid w:val="00781DE5"/>
    <w:rsid w:val="00781DFE"/>
    <w:rsid w:val="00781EF9"/>
    <w:rsid w:val="00781FFF"/>
    <w:rsid w:val="007820D6"/>
    <w:rsid w:val="007821AC"/>
    <w:rsid w:val="007822EA"/>
    <w:rsid w:val="0078230C"/>
    <w:rsid w:val="00782317"/>
    <w:rsid w:val="0078232F"/>
    <w:rsid w:val="00782330"/>
    <w:rsid w:val="00782343"/>
    <w:rsid w:val="007823EC"/>
    <w:rsid w:val="00782600"/>
    <w:rsid w:val="00782832"/>
    <w:rsid w:val="0078294C"/>
    <w:rsid w:val="007829C9"/>
    <w:rsid w:val="00782A07"/>
    <w:rsid w:val="00782A8C"/>
    <w:rsid w:val="00782AFA"/>
    <w:rsid w:val="00782B01"/>
    <w:rsid w:val="00782B25"/>
    <w:rsid w:val="00782CBC"/>
    <w:rsid w:val="00782D14"/>
    <w:rsid w:val="00782D23"/>
    <w:rsid w:val="00782E00"/>
    <w:rsid w:val="00782FE7"/>
    <w:rsid w:val="00783074"/>
    <w:rsid w:val="0078309A"/>
    <w:rsid w:val="007830A3"/>
    <w:rsid w:val="007830E5"/>
    <w:rsid w:val="00783455"/>
    <w:rsid w:val="00783565"/>
    <w:rsid w:val="007835A2"/>
    <w:rsid w:val="007836CB"/>
    <w:rsid w:val="00783A1F"/>
    <w:rsid w:val="00783A37"/>
    <w:rsid w:val="00783B81"/>
    <w:rsid w:val="00783D68"/>
    <w:rsid w:val="00783DEF"/>
    <w:rsid w:val="00783E3C"/>
    <w:rsid w:val="00783F2A"/>
    <w:rsid w:val="00783F45"/>
    <w:rsid w:val="00783FC7"/>
    <w:rsid w:val="007840FC"/>
    <w:rsid w:val="00784182"/>
    <w:rsid w:val="007843A7"/>
    <w:rsid w:val="007843AB"/>
    <w:rsid w:val="0078441D"/>
    <w:rsid w:val="0078445A"/>
    <w:rsid w:val="007844E8"/>
    <w:rsid w:val="00784514"/>
    <w:rsid w:val="00784538"/>
    <w:rsid w:val="00784576"/>
    <w:rsid w:val="0078463A"/>
    <w:rsid w:val="0078478F"/>
    <w:rsid w:val="007847B2"/>
    <w:rsid w:val="007847C0"/>
    <w:rsid w:val="00784800"/>
    <w:rsid w:val="00784A31"/>
    <w:rsid w:val="00784AE8"/>
    <w:rsid w:val="00784B69"/>
    <w:rsid w:val="00784B9C"/>
    <w:rsid w:val="00784BD5"/>
    <w:rsid w:val="00784CAA"/>
    <w:rsid w:val="0078500F"/>
    <w:rsid w:val="00785078"/>
    <w:rsid w:val="007851A3"/>
    <w:rsid w:val="0078526C"/>
    <w:rsid w:val="007852E9"/>
    <w:rsid w:val="007852F8"/>
    <w:rsid w:val="0078555D"/>
    <w:rsid w:val="00785610"/>
    <w:rsid w:val="0078564C"/>
    <w:rsid w:val="00785688"/>
    <w:rsid w:val="007857CA"/>
    <w:rsid w:val="00785916"/>
    <w:rsid w:val="00785A09"/>
    <w:rsid w:val="00785A16"/>
    <w:rsid w:val="00785A25"/>
    <w:rsid w:val="00785B73"/>
    <w:rsid w:val="00785B9E"/>
    <w:rsid w:val="00785BFE"/>
    <w:rsid w:val="00785C78"/>
    <w:rsid w:val="00785D5D"/>
    <w:rsid w:val="00785EB2"/>
    <w:rsid w:val="00785F7A"/>
    <w:rsid w:val="00786383"/>
    <w:rsid w:val="00786387"/>
    <w:rsid w:val="00786404"/>
    <w:rsid w:val="00786462"/>
    <w:rsid w:val="007865AA"/>
    <w:rsid w:val="00786624"/>
    <w:rsid w:val="0078679E"/>
    <w:rsid w:val="007867DC"/>
    <w:rsid w:val="0078680C"/>
    <w:rsid w:val="00786823"/>
    <w:rsid w:val="00786992"/>
    <w:rsid w:val="00786AE5"/>
    <w:rsid w:val="00786B24"/>
    <w:rsid w:val="00786BB5"/>
    <w:rsid w:val="00786BC9"/>
    <w:rsid w:val="00786BD2"/>
    <w:rsid w:val="00786C74"/>
    <w:rsid w:val="00786CB7"/>
    <w:rsid w:val="00786CE5"/>
    <w:rsid w:val="00786DBB"/>
    <w:rsid w:val="00786FB8"/>
    <w:rsid w:val="0078703F"/>
    <w:rsid w:val="00787427"/>
    <w:rsid w:val="0078763E"/>
    <w:rsid w:val="00787694"/>
    <w:rsid w:val="007876CE"/>
    <w:rsid w:val="00787784"/>
    <w:rsid w:val="007878BA"/>
    <w:rsid w:val="007879EB"/>
    <w:rsid w:val="00787AF2"/>
    <w:rsid w:val="00787B28"/>
    <w:rsid w:val="00787BDE"/>
    <w:rsid w:val="00787DDF"/>
    <w:rsid w:val="00787E67"/>
    <w:rsid w:val="00787F98"/>
    <w:rsid w:val="0079002A"/>
    <w:rsid w:val="007900F5"/>
    <w:rsid w:val="00790192"/>
    <w:rsid w:val="00790243"/>
    <w:rsid w:val="007903AC"/>
    <w:rsid w:val="007903D6"/>
    <w:rsid w:val="00790466"/>
    <w:rsid w:val="00790474"/>
    <w:rsid w:val="00790494"/>
    <w:rsid w:val="0079056A"/>
    <w:rsid w:val="0079058C"/>
    <w:rsid w:val="0079062C"/>
    <w:rsid w:val="007906F4"/>
    <w:rsid w:val="00790712"/>
    <w:rsid w:val="0079091D"/>
    <w:rsid w:val="00790924"/>
    <w:rsid w:val="00790929"/>
    <w:rsid w:val="007909EC"/>
    <w:rsid w:val="00790A25"/>
    <w:rsid w:val="00790B15"/>
    <w:rsid w:val="00790C4F"/>
    <w:rsid w:val="00790C88"/>
    <w:rsid w:val="00790D11"/>
    <w:rsid w:val="00790D8A"/>
    <w:rsid w:val="00790EE6"/>
    <w:rsid w:val="00790F49"/>
    <w:rsid w:val="00790F85"/>
    <w:rsid w:val="007910F3"/>
    <w:rsid w:val="007911D8"/>
    <w:rsid w:val="00791210"/>
    <w:rsid w:val="00791240"/>
    <w:rsid w:val="007912FC"/>
    <w:rsid w:val="007914B1"/>
    <w:rsid w:val="007914CC"/>
    <w:rsid w:val="007914E9"/>
    <w:rsid w:val="007915B9"/>
    <w:rsid w:val="00791626"/>
    <w:rsid w:val="0079172E"/>
    <w:rsid w:val="00791833"/>
    <w:rsid w:val="0079199A"/>
    <w:rsid w:val="00791A78"/>
    <w:rsid w:val="00791AAD"/>
    <w:rsid w:val="00791C04"/>
    <w:rsid w:val="00791C1F"/>
    <w:rsid w:val="00791C23"/>
    <w:rsid w:val="00791CF6"/>
    <w:rsid w:val="00791D35"/>
    <w:rsid w:val="00792285"/>
    <w:rsid w:val="007923A0"/>
    <w:rsid w:val="00792405"/>
    <w:rsid w:val="00792558"/>
    <w:rsid w:val="007925A4"/>
    <w:rsid w:val="007925ED"/>
    <w:rsid w:val="0079264F"/>
    <w:rsid w:val="0079279D"/>
    <w:rsid w:val="00792A42"/>
    <w:rsid w:val="00792ADB"/>
    <w:rsid w:val="00792D0D"/>
    <w:rsid w:val="00792E25"/>
    <w:rsid w:val="00792E31"/>
    <w:rsid w:val="00793019"/>
    <w:rsid w:val="00793106"/>
    <w:rsid w:val="007931CB"/>
    <w:rsid w:val="0079331F"/>
    <w:rsid w:val="00793346"/>
    <w:rsid w:val="00793452"/>
    <w:rsid w:val="0079352E"/>
    <w:rsid w:val="007939E3"/>
    <w:rsid w:val="00793BA7"/>
    <w:rsid w:val="00793C2D"/>
    <w:rsid w:val="00793C64"/>
    <w:rsid w:val="00793C78"/>
    <w:rsid w:val="00793C91"/>
    <w:rsid w:val="00793CFD"/>
    <w:rsid w:val="00793DE3"/>
    <w:rsid w:val="00793E27"/>
    <w:rsid w:val="00793FDC"/>
    <w:rsid w:val="007940C4"/>
    <w:rsid w:val="00794292"/>
    <w:rsid w:val="007942D8"/>
    <w:rsid w:val="007944BE"/>
    <w:rsid w:val="00794690"/>
    <w:rsid w:val="007946F0"/>
    <w:rsid w:val="0079479C"/>
    <w:rsid w:val="0079480F"/>
    <w:rsid w:val="0079491B"/>
    <w:rsid w:val="0079498D"/>
    <w:rsid w:val="007949B1"/>
    <w:rsid w:val="00794BC8"/>
    <w:rsid w:val="00794C8A"/>
    <w:rsid w:val="00794D16"/>
    <w:rsid w:val="00794D66"/>
    <w:rsid w:val="00794E25"/>
    <w:rsid w:val="00794EB1"/>
    <w:rsid w:val="00794ECA"/>
    <w:rsid w:val="00794F3C"/>
    <w:rsid w:val="00794F5B"/>
    <w:rsid w:val="007951D4"/>
    <w:rsid w:val="0079521F"/>
    <w:rsid w:val="00795248"/>
    <w:rsid w:val="007952A3"/>
    <w:rsid w:val="00795301"/>
    <w:rsid w:val="0079539F"/>
    <w:rsid w:val="00795478"/>
    <w:rsid w:val="0079549A"/>
    <w:rsid w:val="00795543"/>
    <w:rsid w:val="0079568F"/>
    <w:rsid w:val="00795695"/>
    <w:rsid w:val="0079577A"/>
    <w:rsid w:val="00795890"/>
    <w:rsid w:val="00795A70"/>
    <w:rsid w:val="00795A7C"/>
    <w:rsid w:val="00795CF6"/>
    <w:rsid w:val="00795E76"/>
    <w:rsid w:val="00796262"/>
    <w:rsid w:val="00796288"/>
    <w:rsid w:val="00796338"/>
    <w:rsid w:val="00796361"/>
    <w:rsid w:val="00796387"/>
    <w:rsid w:val="007963C2"/>
    <w:rsid w:val="007963DF"/>
    <w:rsid w:val="0079648C"/>
    <w:rsid w:val="00796A3F"/>
    <w:rsid w:val="00796B9A"/>
    <w:rsid w:val="00796CF8"/>
    <w:rsid w:val="00796D8E"/>
    <w:rsid w:val="00796F34"/>
    <w:rsid w:val="007970E0"/>
    <w:rsid w:val="00797272"/>
    <w:rsid w:val="0079740E"/>
    <w:rsid w:val="0079745E"/>
    <w:rsid w:val="007976B8"/>
    <w:rsid w:val="007977AD"/>
    <w:rsid w:val="00797985"/>
    <w:rsid w:val="00797C46"/>
    <w:rsid w:val="00797D07"/>
    <w:rsid w:val="00797D5F"/>
    <w:rsid w:val="00797DFA"/>
    <w:rsid w:val="00797E16"/>
    <w:rsid w:val="00797ED8"/>
    <w:rsid w:val="00797FAE"/>
    <w:rsid w:val="00797FB3"/>
    <w:rsid w:val="007A001B"/>
    <w:rsid w:val="007A0081"/>
    <w:rsid w:val="007A018F"/>
    <w:rsid w:val="007A01D0"/>
    <w:rsid w:val="007A01FB"/>
    <w:rsid w:val="007A02BE"/>
    <w:rsid w:val="007A0333"/>
    <w:rsid w:val="007A0377"/>
    <w:rsid w:val="007A0379"/>
    <w:rsid w:val="007A040C"/>
    <w:rsid w:val="007A040E"/>
    <w:rsid w:val="007A052D"/>
    <w:rsid w:val="007A054C"/>
    <w:rsid w:val="007A054D"/>
    <w:rsid w:val="007A0629"/>
    <w:rsid w:val="007A09E8"/>
    <w:rsid w:val="007A0A73"/>
    <w:rsid w:val="007A0A9F"/>
    <w:rsid w:val="007A0ADD"/>
    <w:rsid w:val="007A0B14"/>
    <w:rsid w:val="007A0B3C"/>
    <w:rsid w:val="007A0DD9"/>
    <w:rsid w:val="007A0E01"/>
    <w:rsid w:val="007A0E49"/>
    <w:rsid w:val="007A0EB4"/>
    <w:rsid w:val="007A0EC4"/>
    <w:rsid w:val="007A0EE7"/>
    <w:rsid w:val="007A0F26"/>
    <w:rsid w:val="007A0F29"/>
    <w:rsid w:val="007A0FE8"/>
    <w:rsid w:val="007A106F"/>
    <w:rsid w:val="007A11F0"/>
    <w:rsid w:val="007A12C4"/>
    <w:rsid w:val="007A13DC"/>
    <w:rsid w:val="007A1444"/>
    <w:rsid w:val="007A161D"/>
    <w:rsid w:val="007A180B"/>
    <w:rsid w:val="007A182E"/>
    <w:rsid w:val="007A18F8"/>
    <w:rsid w:val="007A195E"/>
    <w:rsid w:val="007A1983"/>
    <w:rsid w:val="007A19D7"/>
    <w:rsid w:val="007A19F6"/>
    <w:rsid w:val="007A1BFF"/>
    <w:rsid w:val="007A1E1A"/>
    <w:rsid w:val="007A2055"/>
    <w:rsid w:val="007A20D0"/>
    <w:rsid w:val="007A20D9"/>
    <w:rsid w:val="007A2110"/>
    <w:rsid w:val="007A23F1"/>
    <w:rsid w:val="007A243B"/>
    <w:rsid w:val="007A24A9"/>
    <w:rsid w:val="007A257D"/>
    <w:rsid w:val="007A25C8"/>
    <w:rsid w:val="007A2642"/>
    <w:rsid w:val="007A2699"/>
    <w:rsid w:val="007A269C"/>
    <w:rsid w:val="007A270F"/>
    <w:rsid w:val="007A2776"/>
    <w:rsid w:val="007A27B4"/>
    <w:rsid w:val="007A2820"/>
    <w:rsid w:val="007A289F"/>
    <w:rsid w:val="007A2949"/>
    <w:rsid w:val="007A29D3"/>
    <w:rsid w:val="007A29DD"/>
    <w:rsid w:val="007A2AC2"/>
    <w:rsid w:val="007A2B65"/>
    <w:rsid w:val="007A2BC9"/>
    <w:rsid w:val="007A2CAC"/>
    <w:rsid w:val="007A2CDF"/>
    <w:rsid w:val="007A2DFA"/>
    <w:rsid w:val="007A2E8B"/>
    <w:rsid w:val="007A334F"/>
    <w:rsid w:val="007A348D"/>
    <w:rsid w:val="007A35DE"/>
    <w:rsid w:val="007A37EE"/>
    <w:rsid w:val="007A380F"/>
    <w:rsid w:val="007A39EE"/>
    <w:rsid w:val="007A3AF1"/>
    <w:rsid w:val="007A3B11"/>
    <w:rsid w:val="007A3B1C"/>
    <w:rsid w:val="007A3BCC"/>
    <w:rsid w:val="007A3C73"/>
    <w:rsid w:val="007A3CD7"/>
    <w:rsid w:val="007A3D1D"/>
    <w:rsid w:val="007A4097"/>
    <w:rsid w:val="007A411B"/>
    <w:rsid w:val="007A4231"/>
    <w:rsid w:val="007A44F5"/>
    <w:rsid w:val="007A45F2"/>
    <w:rsid w:val="007A484B"/>
    <w:rsid w:val="007A4851"/>
    <w:rsid w:val="007A48C4"/>
    <w:rsid w:val="007A4AB9"/>
    <w:rsid w:val="007A4ACE"/>
    <w:rsid w:val="007A4B17"/>
    <w:rsid w:val="007A4BAE"/>
    <w:rsid w:val="007A4C1C"/>
    <w:rsid w:val="007A4D46"/>
    <w:rsid w:val="007A4D86"/>
    <w:rsid w:val="007A4D95"/>
    <w:rsid w:val="007A4DA8"/>
    <w:rsid w:val="007A4E2D"/>
    <w:rsid w:val="007A4EF7"/>
    <w:rsid w:val="007A4F3C"/>
    <w:rsid w:val="007A4F85"/>
    <w:rsid w:val="007A5272"/>
    <w:rsid w:val="007A5320"/>
    <w:rsid w:val="007A55BB"/>
    <w:rsid w:val="007A5617"/>
    <w:rsid w:val="007A569F"/>
    <w:rsid w:val="007A5703"/>
    <w:rsid w:val="007A58B4"/>
    <w:rsid w:val="007A592E"/>
    <w:rsid w:val="007A5A7C"/>
    <w:rsid w:val="007A5B57"/>
    <w:rsid w:val="007A5D03"/>
    <w:rsid w:val="007A5DA9"/>
    <w:rsid w:val="007A5E38"/>
    <w:rsid w:val="007A5F50"/>
    <w:rsid w:val="007A62D8"/>
    <w:rsid w:val="007A63F3"/>
    <w:rsid w:val="007A63F9"/>
    <w:rsid w:val="007A645E"/>
    <w:rsid w:val="007A64FF"/>
    <w:rsid w:val="007A667B"/>
    <w:rsid w:val="007A6751"/>
    <w:rsid w:val="007A685E"/>
    <w:rsid w:val="007A6895"/>
    <w:rsid w:val="007A698B"/>
    <w:rsid w:val="007A6A99"/>
    <w:rsid w:val="007A6AD4"/>
    <w:rsid w:val="007A6C59"/>
    <w:rsid w:val="007A6D04"/>
    <w:rsid w:val="007A6D58"/>
    <w:rsid w:val="007A7009"/>
    <w:rsid w:val="007A7048"/>
    <w:rsid w:val="007A71D1"/>
    <w:rsid w:val="007A71E9"/>
    <w:rsid w:val="007A72D6"/>
    <w:rsid w:val="007A7392"/>
    <w:rsid w:val="007A7402"/>
    <w:rsid w:val="007A761C"/>
    <w:rsid w:val="007A771C"/>
    <w:rsid w:val="007A77DC"/>
    <w:rsid w:val="007A78CD"/>
    <w:rsid w:val="007A7950"/>
    <w:rsid w:val="007A7A39"/>
    <w:rsid w:val="007A7A4C"/>
    <w:rsid w:val="007A7BF2"/>
    <w:rsid w:val="007A7F15"/>
    <w:rsid w:val="007A7F2E"/>
    <w:rsid w:val="007A7F69"/>
    <w:rsid w:val="007AA6D1"/>
    <w:rsid w:val="007B0002"/>
    <w:rsid w:val="007B0245"/>
    <w:rsid w:val="007B02BD"/>
    <w:rsid w:val="007B02C3"/>
    <w:rsid w:val="007B030E"/>
    <w:rsid w:val="007B0403"/>
    <w:rsid w:val="007B040E"/>
    <w:rsid w:val="007B0529"/>
    <w:rsid w:val="007B06DD"/>
    <w:rsid w:val="007B0799"/>
    <w:rsid w:val="007B07AB"/>
    <w:rsid w:val="007B0836"/>
    <w:rsid w:val="007B083F"/>
    <w:rsid w:val="007B0880"/>
    <w:rsid w:val="007B0925"/>
    <w:rsid w:val="007B0A09"/>
    <w:rsid w:val="007B0A1B"/>
    <w:rsid w:val="007B0B61"/>
    <w:rsid w:val="007B0C40"/>
    <w:rsid w:val="007B0D01"/>
    <w:rsid w:val="007B0D28"/>
    <w:rsid w:val="007B0DDC"/>
    <w:rsid w:val="007B0FBC"/>
    <w:rsid w:val="007B0FFA"/>
    <w:rsid w:val="007B100D"/>
    <w:rsid w:val="007B1013"/>
    <w:rsid w:val="007B118C"/>
    <w:rsid w:val="007B1279"/>
    <w:rsid w:val="007B128E"/>
    <w:rsid w:val="007B1471"/>
    <w:rsid w:val="007B1619"/>
    <w:rsid w:val="007B1678"/>
    <w:rsid w:val="007B16D0"/>
    <w:rsid w:val="007B1782"/>
    <w:rsid w:val="007B17F8"/>
    <w:rsid w:val="007B1811"/>
    <w:rsid w:val="007B1814"/>
    <w:rsid w:val="007B18A0"/>
    <w:rsid w:val="007B1956"/>
    <w:rsid w:val="007B1977"/>
    <w:rsid w:val="007B1A3B"/>
    <w:rsid w:val="007B1B1F"/>
    <w:rsid w:val="007B1BD5"/>
    <w:rsid w:val="007B2085"/>
    <w:rsid w:val="007B2089"/>
    <w:rsid w:val="007B20D7"/>
    <w:rsid w:val="007B2147"/>
    <w:rsid w:val="007B2174"/>
    <w:rsid w:val="007B21CC"/>
    <w:rsid w:val="007B237C"/>
    <w:rsid w:val="007B2397"/>
    <w:rsid w:val="007B2400"/>
    <w:rsid w:val="007B2694"/>
    <w:rsid w:val="007B2707"/>
    <w:rsid w:val="007B2742"/>
    <w:rsid w:val="007B296C"/>
    <w:rsid w:val="007B2B92"/>
    <w:rsid w:val="007B2BFF"/>
    <w:rsid w:val="007B2C2C"/>
    <w:rsid w:val="007B2C94"/>
    <w:rsid w:val="007B2C9B"/>
    <w:rsid w:val="007B2F52"/>
    <w:rsid w:val="007B2F9C"/>
    <w:rsid w:val="007B2FDC"/>
    <w:rsid w:val="007B30A5"/>
    <w:rsid w:val="007B3147"/>
    <w:rsid w:val="007B31D4"/>
    <w:rsid w:val="007B31E4"/>
    <w:rsid w:val="007B3546"/>
    <w:rsid w:val="007B38A0"/>
    <w:rsid w:val="007B38B7"/>
    <w:rsid w:val="007B3ACB"/>
    <w:rsid w:val="007B3E1C"/>
    <w:rsid w:val="007B40C5"/>
    <w:rsid w:val="007B40D8"/>
    <w:rsid w:val="007B4147"/>
    <w:rsid w:val="007B44A7"/>
    <w:rsid w:val="007B45B5"/>
    <w:rsid w:val="007B45E3"/>
    <w:rsid w:val="007B464C"/>
    <w:rsid w:val="007B46A3"/>
    <w:rsid w:val="007B46E7"/>
    <w:rsid w:val="007B4749"/>
    <w:rsid w:val="007B480D"/>
    <w:rsid w:val="007B4828"/>
    <w:rsid w:val="007B48FE"/>
    <w:rsid w:val="007B495F"/>
    <w:rsid w:val="007B49FB"/>
    <w:rsid w:val="007B4A0B"/>
    <w:rsid w:val="007B4A94"/>
    <w:rsid w:val="007B4AB1"/>
    <w:rsid w:val="007B4AC0"/>
    <w:rsid w:val="007B4CBC"/>
    <w:rsid w:val="007B4DEE"/>
    <w:rsid w:val="007B4E2E"/>
    <w:rsid w:val="007B4E70"/>
    <w:rsid w:val="007B4EDC"/>
    <w:rsid w:val="007B4F7B"/>
    <w:rsid w:val="007B4F98"/>
    <w:rsid w:val="007B4FBF"/>
    <w:rsid w:val="007B5055"/>
    <w:rsid w:val="007B50C8"/>
    <w:rsid w:val="007B50F4"/>
    <w:rsid w:val="007B53FD"/>
    <w:rsid w:val="007B54C2"/>
    <w:rsid w:val="007B55FB"/>
    <w:rsid w:val="007B5782"/>
    <w:rsid w:val="007B583D"/>
    <w:rsid w:val="007B58F3"/>
    <w:rsid w:val="007B5A18"/>
    <w:rsid w:val="007B5A45"/>
    <w:rsid w:val="007B5AB9"/>
    <w:rsid w:val="007B5B8E"/>
    <w:rsid w:val="007B5C1B"/>
    <w:rsid w:val="007B5E5D"/>
    <w:rsid w:val="007B60BA"/>
    <w:rsid w:val="007B6682"/>
    <w:rsid w:val="007B6684"/>
    <w:rsid w:val="007B6856"/>
    <w:rsid w:val="007B69BE"/>
    <w:rsid w:val="007B69C1"/>
    <w:rsid w:val="007B6A4E"/>
    <w:rsid w:val="007B6A93"/>
    <w:rsid w:val="007B6B21"/>
    <w:rsid w:val="007B6B30"/>
    <w:rsid w:val="007B6BFB"/>
    <w:rsid w:val="007B6C9A"/>
    <w:rsid w:val="007B6D1D"/>
    <w:rsid w:val="007B6F04"/>
    <w:rsid w:val="007B6FC1"/>
    <w:rsid w:val="007B6FCA"/>
    <w:rsid w:val="007B7024"/>
    <w:rsid w:val="007B70C8"/>
    <w:rsid w:val="007B70EC"/>
    <w:rsid w:val="007B7155"/>
    <w:rsid w:val="007B749A"/>
    <w:rsid w:val="007B74DA"/>
    <w:rsid w:val="007B760F"/>
    <w:rsid w:val="007B76BA"/>
    <w:rsid w:val="007B775D"/>
    <w:rsid w:val="007B7788"/>
    <w:rsid w:val="007B7827"/>
    <w:rsid w:val="007B784C"/>
    <w:rsid w:val="007B794A"/>
    <w:rsid w:val="007B799D"/>
    <w:rsid w:val="007B79A6"/>
    <w:rsid w:val="007B79AF"/>
    <w:rsid w:val="007B7B10"/>
    <w:rsid w:val="007B7B5C"/>
    <w:rsid w:val="007B7BF3"/>
    <w:rsid w:val="007B7C7F"/>
    <w:rsid w:val="007B7C9E"/>
    <w:rsid w:val="007C0390"/>
    <w:rsid w:val="007C04FA"/>
    <w:rsid w:val="007C0550"/>
    <w:rsid w:val="007C0696"/>
    <w:rsid w:val="007C06BB"/>
    <w:rsid w:val="007C07FC"/>
    <w:rsid w:val="007C0823"/>
    <w:rsid w:val="007C082C"/>
    <w:rsid w:val="007C0AE3"/>
    <w:rsid w:val="007C0B10"/>
    <w:rsid w:val="007C0B6F"/>
    <w:rsid w:val="007C0CC1"/>
    <w:rsid w:val="007C0CEB"/>
    <w:rsid w:val="007C0D0E"/>
    <w:rsid w:val="007C0D75"/>
    <w:rsid w:val="007C0F30"/>
    <w:rsid w:val="007C0F47"/>
    <w:rsid w:val="007C12DA"/>
    <w:rsid w:val="007C1459"/>
    <w:rsid w:val="007C14A2"/>
    <w:rsid w:val="007C150A"/>
    <w:rsid w:val="007C1564"/>
    <w:rsid w:val="007C1670"/>
    <w:rsid w:val="007C174F"/>
    <w:rsid w:val="007C184C"/>
    <w:rsid w:val="007C18BE"/>
    <w:rsid w:val="007C19C1"/>
    <w:rsid w:val="007C1A12"/>
    <w:rsid w:val="007C1A14"/>
    <w:rsid w:val="007C1ACB"/>
    <w:rsid w:val="007C1C3A"/>
    <w:rsid w:val="007C1C72"/>
    <w:rsid w:val="007C1D7C"/>
    <w:rsid w:val="007C1D83"/>
    <w:rsid w:val="007C1DD0"/>
    <w:rsid w:val="007C1F30"/>
    <w:rsid w:val="007C1F85"/>
    <w:rsid w:val="007C1FFC"/>
    <w:rsid w:val="007C226A"/>
    <w:rsid w:val="007C243B"/>
    <w:rsid w:val="007C24F0"/>
    <w:rsid w:val="007C25EF"/>
    <w:rsid w:val="007C2DD7"/>
    <w:rsid w:val="007C300E"/>
    <w:rsid w:val="007C31DE"/>
    <w:rsid w:val="007C31EF"/>
    <w:rsid w:val="007C328D"/>
    <w:rsid w:val="007C329F"/>
    <w:rsid w:val="007C336F"/>
    <w:rsid w:val="007C3387"/>
    <w:rsid w:val="007C3398"/>
    <w:rsid w:val="007C34D6"/>
    <w:rsid w:val="007C34E4"/>
    <w:rsid w:val="007C389A"/>
    <w:rsid w:val="007C38CF"/>
    <w:rsid w:val="007C3A6B"/>
    <w:rsid w:val="007C3A7E"/>
    <w:rsid w:val="007C3B86"/>
    <w:rsid w:val="007C3C20"/>
    <w:rsid w:val="007C3CF4"/>
    <w:rsid w:val="007C3F79"/>
    <w:rsid w:val="007C4024"/>
    <w:rsid w:val="007C41B1"/>
    <w:rsid w:val="007C4370"/>
    <w:rsid w:val="007C43D2"/>
    <w:rsid w:val="007C440C"/>
    <w:rsid w:val="007C440E"/>
    <w:rsid w:val="007C4421"/>
    <w:rsid w:val="007C44FF"/>
    <w:rsid w:val="007C4516"/>
    <w:rsid w:val="007C451D"/>
    <w:rsid w:val="007C4551"/>
    <w:rsid w:val="007C4619"/>
    <w:rsid w:val="007C465E"/>
    <w:rsid w:val="007C46D8"/>
    <w:rsid w:val="007C47CD"/>
    <w:rsid w:val="007C48CF"/>
    <w:rsid w:val="007C4936"/>
    <w:rsid w:val="007C49A3"/>
    <w:rsid w:val="007C4AA5"/>
    <w:rsid w:val="007C4ADA"/>
    <w:rsid w:val="007C4BB0"/>
    <w:rsid w:val="007C4C79"/>
    <w:rsid w:val="007C4E35"/>
    <w:rsid w:val="007C4FCE"/>
    <w:rsid w:val="007C5103"/>
    <w:rsid w:val="007C515B"/>
    <w:rsid w:val="007C51FA"/>
    <w:rsid w:val="007C5281"/>
    <w:rsid w:val="007C52E3"/>
    <w:rsid w:val="007C5316"/>
    <w:rsid w:val="007C532D"/>
    <w:rsid w:val="007C53CB"/>
    <w:rsid w:val="007C53D4"/>
    <w:rsid w:val="007C54CE"/>
    <w:rsid w:val="007C552C"/>
    <w:rsid w:val="007C5589"/>
    <w:rsid w:val="007C558E"/>
    <w:rsid w:val="007C5633"/>
    <w:rsid w:val="007C5707"/>
    <w:rsid w:val="007C5750"/>
    <w:rsid w:val="007C579A"/>
    <w:rsid w:val="007C5B02"/>
    <w:rsid w:val="007C5C0E"/>
    <w:rsid w:val="007C5C6B"/>
    <w:rsid w:val="007C5D31"/>
    <w:rsid w:val="007C5DEE"/>
    <w:rsid w:val="007C5E6C"/>
    <w:rsid w:val="007C5E7B"/>
    <w:rsid w:val="007C5F08"/>
    <w:rsid w:val="007C5F0F"/>
    <w:rsid w:val="007C5F1E"/>
    <w:rsid w:val="007C5FC0"/>
    <w:rsid w:val="007C6365"/>
    <w:rsid w:val="007C63A3"/>
    <w:rsid w:val="007C63DA"/>
    <w:rsid w:val="007C6456"/>
    <w:rsid w:val="007C64B6"/>
    <w:rsid w:val="007C65E9"/>
    <w:rsid w:val="007C6745"/>
    <w:rsid w:val="007C6819"/>
    <w:rsid w:val="007C682B"/>
    <w:rsid w:val="007C68B3"/>
    <w:rsid w:val="007C6967"/>
    <w:rsid w:val="007C6A83"/>
    <w:rsid w:val="007C6AE9"/>
    <w:rsid w:val="007C6BB9"/>
    <w:rsid w:val="007C6D0B"/>
    <w:rsid w:val="007C6D3C"/>
    <w:rsid w:val="007C6D61"/>
    <w:rsid w:val="007C6E7F"/>
    <w:rsid w:val="007C6EF5"/>
    <w:rsid w:val="007C6EF7"/>
    <w:rsid w:val="007C6EF9"/>
    <w:rsid w:val="007C6FA0"/>
    <w:rsid w:val="007C7033"/>
    <w:rsid w:val="007C703C"/>
    <w:rsid w:val="007C7101"/>
    <w:rsid w:val="007C711B"/>
    <w:rsid w:val="007C72CE"/>
    <w:rsid w:val="007C738E"/>
    <w:rsid w:val="007C73A7"/>
    <w:rsid w:val="007C74D1"/>
    <w:rsid w:val="007C7647"/>
    <w:rsid w:val="007C767B"/>
    <w:rsid w:val="007C7753"/>
    <w:rsid w:val="007C792B"/>
    <w:rsid w:val="007C7A4B"/>
    <w:rsid w:val="007C7A62"/>
    <w:rsid w:val="007C7AA8"/>
    <w:rsid w:val="007C7BC5"/>
    <w:rsid w:val="007C7FF6"/>
    <w:rsid w:val="007D0188"/>
    <w:rsid w:val="007D024F"/>
    <w:rsid w:val="007D0332"/>
    <w:rsid w:val="007D0343"/>
    <w:rsid w:val="007D042A"/>
    <w:rsid w:val="007D047C"/>
    <w:rsid w:val="007D04EB"/>
    <w:rsid w:val="007D05B4"/>
    <w:rsid w:val="007D08BF"/>
    <w:rsid w:val="007D090D"/>
    <w:rsid w:val="007D0972"/>
    <w:rsid w:val="007D09EE"/>
    <w:rsid w:val="007D0A35"/>
    <w:rsid w:val="007D0C56"/>
    <w:rsid w:val="007D0EFF"/>
    <w:rsid w:val="007D0F6F"/>
    <w:rsid w:val="007D1021"/>
    <w:rsid w:val="007D1065"/>
    <w:rsid w:val="007D1072"/>
    <w:rsid w:val="007D10FD"/>
    <w:rsid w:val="007D1105"/>
    <w:rsid w:val="007D1248"/>
    <w:rsid w:val="007D12F3"/>
    <w:rsid w:val="007D1590"/>
    <w:rsid w:val="007D15B3"/>
    <w:rsid w:val="007D16FB"/>
    <w:rsid w:val="007D1777"/>
    <w:rsid w:val="007D19D5"/>
    <w:rsid w:val="007D1AB0"/>
    <w:rsid w:val="007D1C09"/>
    <w:rsid w:val="007D1C3F"/>
    <w:rsid w:val="007D1C43"/>
    <w:rsid w:val="007D1CE6"/>
    <w:rsid w:val="007D1FD3"/>
    <w:rsid w:val="007D215F"/>
    <w:rsid w:val="007D2281"/>
    <w:rsid w:val="007D23D0"/>
    <w:rsid w:val="007D2409"/>
    <w:rsid w:val="007D25A3"/>
    <w:rsid w:val="007D25CD"/>
    <w:rsid w:val="007D25FB"/>
    <w:rsid w:val="007D2693"/>
    <w:rsid w:val="007D274D"/>
    <w:rsid w:val="007D28BB"/>
    <w:rsid w:val="007D29F2"/>
    <w:rsid w:val="007D2A21"/>
    <w:rsid w:val="007D2C92"/>
    <w:rsid w:val="007D2D87"/>
    <w:rsid w:val="007D2E00"/>
    <w:rsid w:val="007D30B7"/>
    <w:rsid w:val="007D3151"/>
    <w:rsid w:val="007D328F"/>
    <w:rsid w:val="007D33D0"/>
    <w:rsid w:val="007D3449"/>
    <w:rsid w:val="007D3530"/>
    <w:rsid w:val="007D353A"/>
    <w:rsid w:val="007D364F"/>
    <w:rsid w:val="007D3704"/>
    <w:rsid w:val="007D3770"/>
    <w:rsid w:val="007D37CE"/>
    <w:rsid w:val="007D37F6"/>
    <w:rsid w:val="007D3848"/>
    <w:rsid w:val="007D38A9"/>
    <w:rsid w:val="007D3B4A"/>
    <w:rsid w:val="007D3B62"/>
    <w:rsid w:val="007D3B85"/>
    <w:rsid w:val="007D3D76"/>
    <w:rsid w:val="007D3D93"/>
    <w:rsid w:val="007D3DDE"/>
    <w:rsid w:val="007D3E72"/>
    <w:rsid w:val="007D3EE5"/>
    <w:rsid w:val="007D413C"/>
    <w:rsid w:val="007D42EE"/>
    <w:rsid w:val="007D43AA"/>
    <w:rsid w:val="007D43E1"/>
    <w:rsid w:val="007D44E3"/>
    <w:rsid w:val="007D4635"/>
    <w:rsid w:val="007D4671"/>
    <w:rsid w:val="007D46A8"/>
    <w:rsid w:val="007D49B2"/>
    <w:rsid w:val="007D49B3"/>
    <w:rsid w:val="007D4A05"/>
    <w:rsid w:val="007D4ADF"/>
    <w:rsid w:val="007D4B81"/>
    <w:rsid w:val="007D4C07"/>
    <w:rsid w:val="007D4D66"/>
    <w:rsid w:val="007D4E24"/>
    <w:rsid w:val="007D4FB8"/>
    <w:rsid w:val="007D5038"/>
    <w:rsid w:val="007D50A3"/>
    <w:rsid w:val="007D51FC"/>
    <w:rsid w:val="007D528D"/>
    <w:rsid w:val="007D5296"/>
    <w:rsid w:val="007D52EF"/>
    <w:rsid w:val="007D5377"/>
    <w:rsid w:val="007D53ED"/>
    <w:rsid w:val="007D5503"/>
    <w:rsid w:val="007D5636"/>
    <w:rsid w:val="007D5653"/>
    <w:rsid w:val="007D5683"/>
    <w:rsid w:val="007D56BE"/>
    <w:rsid w:val="007D56D5"/>
    <w:rsid w:val="007D571A"/>
    <w:rsid w:val="007D57C2"/>
    <w:rsid w:val="007D5A16"/>
    <w:rsid w:val="007D5E78"/>
    <w:rsid w:val="007D607B"/>
    <w:rsid w:val="007D6320"/>
    <w:rsid w:val="007D634F"/>
    <w:rsid w:val="007D64EB"/>
    <w:rsid w:val="007D6682"/>
    <w:rsid w:val="007D6CCA"/>
    <w:rsid w:val="007D6D71"/>
    <w:rsid w:val="007D6DEA"/>
    <w:rsid w:val="007D6E5D"/>
    <w:rsid w:val="007D6F40"/>
    <w:rsid w:val="007D6FC8"/>
    <w:rsid w:val="007D7007"/>
    <w:rsid w:val="007D7095"/>
    <w:rsid w:val="007D715A"/>
    <w:rsid w:val="007D72BC"/>
    <w:rsid w:val="007D7581"/>
    <w:rsid w:val="007D75A9"/>
    <w:rsid w:val="007D75C3"/>
    <w:rsid w:val="007D7832"/>
    <w:rsid w:val="007D7880"/>
    <w:rsid w:val="007D7996"/>
    <w:rsid w:val="007D799E"/>
    <w:rsid w:val="007D7C50"/>
    <w:rsid w:val="007D7CFF"/>
    <w:rsid w:val="007D7E13"/>
    <w:rsid w:val="007D7E4C"/>
    <w:rsid w:val="007D7E58"/>
    <w:rsid w:val="007D7E82"/>
    <w:rsid w:val="007D7EFA"/>
    <w:rsid w:val="007E0087"/>
    <w:rsid w:val="007E00B2"/>
    <w:rsid w:val="007E00E8"/>
    <w:rsid w:val="007E0124"/>
    <w:rsid w:val="007E0147"/>
    <w:rsid w:val="007E0153"/>
    <w:rsid w:val="007E01C7"/>
    <w:rsid w:val="007E049E"/>
    <w:rsid w:val="007E0650"/>
    <w:rsid w:val="007E0673"/>
    <w:rsid w:val="007E06FE"/>
    <w:rsid w:val="007E076E"/>
    <w:rsid w:val="007E0860"/>
    <w:rsid w:val="007E0907"/>
    <w:rsid w:val="007E09A1"/>
    <w:rsid w:val="007E09D3"/>
    <w:rsid w:val="007E09F9"/>
    <w:rsid w:val="007E0AEA"/>
    <w:rsid w:val="007E0B48"/>
    <w:rsid w:val="007E0E1F"/>
    <w:rsid w:val="007E0E80"/>
    <w:rsid w:val="007E0F89"/>
    <w:rsid w:val="007E1126"/>
    <w:rsid w:val="007E1144"/>
    <w:rsid w:val="007E11AA"/>
    <w:rsid w:val="007E1297"/>
    <w:rsid w:val="007E12F9"/>
    <w:rsid w:val="007E14DE"/>
    <w:rsid w:val="007E15AD"/>
    <w:rsid w:val="007E161D"/>
    <w:rsid w:val="007E174D"/>
    <w:rsid w:val="007E1758"/>
    <w:rsid w:val="007E17BA"/>
    <w:rsid w:val="007E184C"/>
    <w:rsid w:val="007E1936"/>
    <w:rsid w:val="007E1CDE"/>
    <w:rsid w:val="007E1CFF"/>
    <w:rsid w:val="007E1D27"/>
    <w:rsid w:val="007E1DC4"/>
    <w:rsid w:val="007E1F01"/>
    <w:rsid w:val="007E1F93"/>
    <w:rsid w:val="007E223C"/>
    <w:rsid w:val="007E227F"/>
    <w:rsid w:val="007E2295"/>
    <w:rsid w:val="007E2375"/>
    <w:rsid w:val="007E2390"/>
    <w:rsid w:val="007E2532"/>
    <w:rsid w:val="007E25AA"/>
    <w:rsid w:val="007E25D9"/>
    <w:rsid w:val="007E25E4"/>
    <w:rsid w:val="007E25ED"/>
    <w:rsid w:val="007E260E"/>
    <w:rsid w:val="007E2988"/>
    <w:rsid w:val="007E299E"/>
    <w:rsid w:val="007E2AD9"/>
    <w:rsid w:val="007E2BC0"/>
    <w:rsid w:val="007E2C97"/>
    <w:rsid w:val="007E2DB7"/>
    <w:rsid w:val="007E2DC3"/>
    <w:rsid w:val="007E2E21"/>
    <w:rsid w:val="007E2E52"/>
    <w:rsid w:val="007E2F27"/>
    <w:rsid w:val="007E2F40"/>
    <w:rsid w:val="007E2FEB"/>
    <w:rsid w:val="007E300C"/>
    <w:rsid w:val="007E3124"/>
    <w:rsid w:val="007E318E"/>
    <w:rsid w:val="007E32AA"/>
    <w:rsid w:val="007E3425"/>
    <w:rsid w:val="007E34DF"/>
    <w:rsid w:val="007E3612"/>
    <w:rsid w:val="007E365A"/>
    <w:rsid w:val="007E3727"/>
    <w:rsid w:val="007E3879"/>
    <w:rsid w:val="007E39A2"/>
    <w:rsid w:val="007E3B72"/>
    <w:rsid w:val="007E40D5"/>
    <w:rsid w:val="007E4136"/>
    <w:rsid w:val="007E4140"/>
    <w:rsid w:val="007E419A"/>
    <w:rsid w:val="007E41B9"/>
    <w:rsid w:val="007E4221"/>
    <w:rsid w:val="007E4373"/>
    <w:rsid w:val="007E43B9"/>
    <w:rsid w:val="007E43F7"/>
    <w:rsid w:val="007E45D9"/>
    <w:rsid w:val="007E470E"/>
    <w:rsid w:val="007E47B3"/>
    <w:rsid w:val="007E482A"/>
    <w:rsid w:val="007E4960"/>
    <w:rsid w:val="007E4A56"/>
    <w:rsid w:val="007E4A7F"/>
    <w:rsid w:val="007E4AE8"/>
    <w:rsid w:val="007E4B68"/>
    <w:rsid w:val="007E4C43"/>
    <w:rsid w:val="007E4C4A"/>
    <w:rsid w:val="007E4CA6"/>
    <w:rsid w:val="007E4D28"/>
    <w:rsid w:val="007E4D6D"/>
    <w:rsid w:val="007E4FEE"/>
    <w:rsid w:val="007E50DB"/>
    <w:rsid w:val="007E50E8"/>
    <w:rsid w:val="007E517E"/>
    <w:rsid w:val="007E53F8"/>
    <w:rsid w:val="007E54B2"/>
    <w:rsid w:val="007E54D7"/>
    <w:rsid w:val="007E5558"/>
    <w:rsid w:val="007E5758"/>
    <w:rsid w:val="007E5804"/>
    <w:rsid w:val="007E58C0"/>
    <w:rsid w:val="007E5956"/>
    <w:rsid w:val="007E5C9D"/>
    <w:rsid w:val="007E5E20"/>
    <w:rsid w:val="007E5E5E"/>
    <w:rsid w:val="007E5F6E"/>
    <w:rsid w:val="007E5F70"/>
    <w:rsid w:val="007E61B7"/>
    <w:rsid w:val="007E6230"/>
    <w:rsid w:val="007E6303"/>
    <w:rsid w:val="007E637C"/>
    <w:rsid w:val="007E645E"/>
    <w:rsid w:val="007E65DE"/>
    <w:rsid w:val="007E6670"/>
    <w:rsid w:val="007E6696"/>
    <w:rsid w:val="007E68AE"/>
    <w:rsid w:val="007E68B0"/>
    <w:rsid w:val="007E695D"/>
    <w:rsid w:val="007E6970"/>
    <w:rsid w:val="007E6988"/>
    <w:rsid w:val="007E6A0A"/>
    <w:rsid w:val="007E6A61"/>
    <w:rsid w:val="007E6BE1"/>
    <w:rsid w:val="007E6CD0"/>
    <w:rsid w:val="007E6CD7"/>
    <w:rsid w:val="007E6F29"/>
    <w:rsid w:val="007E6F59"/>
    <w:rsid w:val="007E6FA5"/>
    <w:rsid w:val="007E70D2"/>
    <w:rsid w:val="007E7117"/>
    <w:rsid w:val="007E7264"/>
    <w:rsid w:val="007E726F"/>
    <w:rsid w:val="007E733F"/>
    <w:rsid w:val="007E7528"/>
    <w:rsid w:val="007E762E"/>
    <w:rsid w:val="007E7654"/>
    <w:rsid w:val="007E767A"/>
    <w:rsid w:val="007E77AF"/>
    <w:rsid w:val="007E7C17"/>
    <w:rsid w:val="007E7C83"/>
    <w:rsid w:val="007E7C95"/>
    <w:rsid w:val="007E7D1A"/>
    <w:rsid w:val="007E7D68"/>
    <w:rsid w:val="007F03DB"/>
    <w:rsid w:val="007F064E"/>
    <w:rsid w:val="007F06A7"/>
    <w:rsid w:val="007F07D9"/>
    <w:rsid w:val="007F089A"/>
    <w:rsid w:val="007F08DF"/>
    <w:rsid w:val="007F0B5C"/>
    <w:rsid w:val="007F0C8E"/>
    <w:rsid w:val="007F0CEB"/>
    <w:rsid w:val="007F0DB1"/>
    <w:rsid w:val="007F0E41"/>
    <w:rsid w:val="007F0EFB"/>
    <w:rsid w:val="007F0F7D"/>
    <w:rsid w:val="007F100A"/>
    <w:rsid w:val="007F1118"/>
    <w:rsid w:val="007F12F4"/>
    <w:rsid w:val="007F142D"/>
    <w:rsid w:val="007F14F4"/>
    <w:rsid w:val="007F1872"/>
    <w:rsid w:val="007F18F9"/>
    <w:rsid w:val="007F1936"/>
    <w:rsid w:val="007F1A8F"/>
    <w:rsid w:val="007F1BAA"/>
    <w:rsid w:val="007F1C9B"/>
    <w:rsid w:val="007F1D64"/>
    <w:rsid w:val="007F1DAF"/>
    <w:rsid w:val="007F1EF1"/>
    <w:rsid w:val="007F2023"/>
    <w:rsid w:val="007F21D9"/>
    <w:rsid w:val="007F2241"/>
    <w:rsid w:val="007F234D"/>
    <w:rsid w:val="007F23BA"/>
    <w:rsid w:val="007F2404"/>
    <w:rsid w:val="007F266E"/>
    <w:rsid w:val="007F2672"/>
    <w:rsid w:val="007F2838"/>
    <w:rsid w:val="007F287B"/>
    <w:rsid w:val="007F296D"/>
    <w:rsid w:val="007F2A1A"/>
    <w:rsid w:val="007F2ABD"/>
    <w:rsid w:val="007F2E38"/>
    <w:rsid w:val="007F2EC5"/>
    <w:rsid w:val="007F2F90"/>
    <w:rsid w:val="007F2FF0"/>
    <w:rsid w:val="007F3088"/>
    <w:rsid w:val="007F3157"/>
    <w:rsid w:val="007F31B6"/>
    <w:rsid w:val="007F33B6"/>
    <w:rsid w:val="007F35A1"/>
    <w:rsid w:val="007F3620"/>
    <w:rsid w:val="007F36A6"/>
    <w:rsid w:val="007F3882"/>
    <w:rsid w:val="007F390D"/>
    <w:rsid w:val="007F3B81"/>
    <w:rsid w:val="007F3CD8"/>
    <w:rsid w:val="007F3D1C"/>
    <w:rsid w:val="007F3D77"/>
    <w:rsid w:val="007F3E62"/>
    <w:rsid w:val="007F3EB6"/>
    <w:rsid w:val="007F3F29"/>
    <w:rsid w:val="007F40C5"/>
    <w:rsid w:val="007F44BE"/>
    <w:rsid w:val="007F44E2"/>
    <w:rsid w:val="007F4521"/>
    <w:rsid w:val="007F455C"/>
    <w:rsid w:val="007F469F"/>
    <w:rsid w:val="007F49B4"/>
    <w:rsid w:val="007F49F0"/>
    <w:rsid w:val="007F4B4A"/>
    <w:rsid w:val="007F4D56"/>
    <w:rsid w:val="007F4E79"/>
    <w:rsid w:val="007F4FD6"/>
    <w:rsid w:val="007F51A2"/>
    <w:rsid w:val="007F520F"/>
    <w:rsid w:val="007F53C5"/>
    <w:rsid w:val="007F53E6"/>
    <w:rsid w:val="007F5588"/>
    <w:rsid w:val="007F55A0"/>
    <w:rsid w:val="007F5631"/>
    <w:rsid w:val="007F5653"/>
    <w:rsid w:val="007F57A8"/>
    <w:rsid w:val="007F5853"/>
    <w:rsid w:val="007F5A59"/>
    <w:rsid w:val="007F5A61"/>
    <w:rsid w:val="007F5A88"/>
    <w:rsid w:val="007F5C7D"/>
    <w:rsid w:val="007F5D8B"/>
    <w:rsid w:val="007F5EA2"/>
    <w:rsid w:val="007F5ED2"/>
    <w:rsid w:val="007F5FD0"/>
    <w:rsid w:val="007F60B7"/>
    <w:rsid w:val="007F6191"/>
    <w:rsid w:val="007F61AD"/>
    <w:rsid w:val="007F61B0"/>
    <w:rsid w:val="007F628B"/>
    <w:rsid w:val="007F62B3"/>
    <w:rsid w:val="007F6361"/>
    <w:rsid w:val="007F63FC"/>
    <w:rsid w:val="007F65F0"/>
    <w:rsid w:val="007F664A"/>
    <w:rsid w:val="007F67E9"/>
    <w:rsid w:val="007F6842"/>
    <w:rsid w:val="007F68E9"/>
    <w:rsid w:val="007F6925"/>
    <w:rsid w:val="007F6A68"/>
    <w:rsid w:val="007F6AF8"/>
    <w:rsid w:val="007F6CA4"/>
    <w:rsid w:val="007F6D07"/>
    <w:rsid w:val="007F6D2F"/>
    <w:rsid w:val="007F6EAA"/>
    <w:rsid w:val="007F6F61"/>
    <w:rsid w:val="007F7023"/>
    <w:rsid w:val="007F7142"/>
    <w:rsid w:val="007F723A"/>
    <w:rsid w:val="007F72F7"/>
    <w:rsid w:val="007F73EC"/>
    <w:rsid w:val="007F759C"/>
    <w:rsid w:val="007F75EE"/>
    <w:rsid w:val="007F763A"/>
    <w:rsid w:val="007F76BF"/>
    <w:rsid w:val="007F7913"/>
    <w:rsid w:val="007F79A7"/>
    <w:rsid w:val="007F7A8A"/>
    <w:rsid w:val="007F7C7B"/>
    <w:rsid w:val="007F7E5E"/>
    <w:rsid w:val="007F7F8D"/>
    <w:rsid w:val="00800182"/>
    <w:rsid w:val="00800256"/>
    <w:rsid w:val="0080038B"/>
    <w:rsid w:val="008003A2"/>
    <w:rsid w:val="008003CA"/>
    <w:rsid w:val="00800627"/>
    <w:rsid w:val="00800947"/>
    <w:rsid w:val="0080097F"/>
    <w:rsid w:val="008009D7"/>
    <w:rsid w:val="00800B56"/>
    <w:rsid w:val="00800C14"/>
    <w:rsid w:val="00800C68"/>
    <w:rsid w:val="00800D15"/>
    <w:rsid w:val="00800F03"/>
    <w:rsid w:val="008010DF"/>
    <w:rsid w:val="0080117D"/>
    <w:rsid w:val="0080140C"/>
    <w:rsid w:val="0080147C"/>
    <w:rsid w:val="008014A6"/>
    <w:rsid w:val="00801544"/>
    <w:rsid w:val="00801563"/>
    <w:rsid w:val="008015A3"/>
    <w:rsid w:val="00801A6C"/>
    <w:rsid w:val="00801B96"/>
    <w:rsid w:val="00801C8D"/>
    <w:rsid w:val="00801D06"/>
    <w:rsid w:val="00801D3C"/>
    <w:rsid w:val="00802000"/>
    <w:rsid w:val="008020A6"/>
    <w:rsid w:val="0080236E"/>
    <w:rsid w:val="008023B4"/>
    <w:rsid w:val="00802456"/>
    <w:rsid w:val="00802470"/>
    <w:rsid w:val="00802483"/>
    <w:rsid w:val="0080258D"/>
    <w:rsid w:val="008025D5"/>
    <w:rsid w:val="0080265D"/>
    <w:rsid w:val="0080267E"/>
    <w:rsid w:val="008026E0"/>
    <w:rsid w:val="008028A0"/>
    <w:rsid w:val="00802921"/>
    <w:rsid w:val="00802AB6"/>
    <w:rsid w:val="00802BF5"/>
    <w:rsid w:val="00802BFF"/>
    <w:rsid w:val="00802E01"/>
    <w:rsid w:val="00802FF8"/>
    <w:rsid w:val="0080317E"/>
    <w:rsid w:val="0080328A"/>
    <w:rsid w:val="0080344F"/>
    <w:rsid w:val="008034AF"/>
    <w:rsid w:val="008035A5"/>
    <w:rsid w:val="00803856"/>
    <w:rsid w:val="00803903"/>
    <w:rsid w:val="008039E2"/>
    <w:rsid w:val="00803A1C"/>
    <w:rsid w:val="00803B2A"/>
    <w:rsid w:val="00803B6D"/>
    <w:rsid w:val="00803CAB"/>
    <w:rsid w:val="00803CC6"/>
    <w:rsid w:val="00803D7D"/>
    <w:rsid w:val="00803E6F"/>
    <w:rsid w:val="00803EC5"/>
    <w:rsid w:val="00803ED3"/>
    <w:rsid w:val="00803FAD"/>
    <w:rsid w:val="008040A2"/>
    <w:rsid w:val="00804108"/>
    <w:rsid w:val="00804170"/>
    <w:rsid w:val="008041D2"/>
    <w:rsid w:val="008041EB"/>
    <w:rsid w:val="008042F0"/>
    <w:rsid w:val="00804321"/>
    <w:rsid w:val="0080438A"/>
    <w:rsid w:val="008043DC"/>
    <w:rsid w:val="008044FF"/>
    <w:rsid w:val="008045A5"/>
    <w:rsid w:val="00804632"/>
    <w:rsid w:val="008046D7"/>
    <w:rsid w:val="0080478B"/>
    <w:rsid w:val="00804809"/>
    <w:rsid w:val="008049FD"/>
    <w:rsid w:val="00804C07"/>
    <w:rsid w:val="00804DB3"/>
    <w:rsid w:val="00804DD2"/>
    <w:rsid w:val="00804F41"/>
    <w:rsid w:val="00805024"/>
    <w:rsid w:val="008050EC"/>
    <w:rsid w:val="00805138"/>
    <w:rsid w:val="008051D3"/>
    <w:rsid w:val="008054D9"/>
    <w:rsid w:val="00805639"/>
    <w:rsid w:val="00805736"/>
    <w:rsid w:val="008057F6"/>
    <w:rsid w:val="008058AE"/>
    <w:rsid w:val="008058C4"/>
    <w:rsid w:val="008058D9"/>
    <w:rsid w:val="008058DA"/>
    <w:rsid w:val="00805914"/>
    <w:rsid w:val="00805AB4"/>
    <w:rsid w:val="00805AFD"/>
    <w:rsid w:val="00805B1C"/>
    <w:rsid w:val="00805C24"/>
    <w:rsid w:val="00805D7C"/>
    <w:rsid w:val="00805FDE"/>
    <w:rsid w:val="00806041"/>
    <w:rsid w:val="00806465"/>
    <w:rsid w:val="00806683"/>
    <w:rsid w:val="00806688"/>
    <w:rsid w:val="0080672F"/>
    <w:rsid w:val="00806731"/>
    <w:rsid w:val="00806845"/>
    <w:rsid w:val="008068FC"/>
    <w:rsid w:val="00806986"/>
    <w:rsid w:val="00806A33"/>
    <w:rsid w:val="00806B5A"/>
    <w:rsid w:val="00806C1E"/>
    <w:rsid w:val="00806CF8"/>
    <w:rsid w:val="00806D00"/>
    <w:rsid w:val="00806E55"/>
    <w:rsid w:val="00806E5E"/>
    <w:rsid w:val="00806E7E"/>
    <w:rsid w:val="00807021"/>
    <w:rsid w:val="00807209"/>
    <w:rsid w:val="0080724D"/>
    <w:rsid w:val="00807596"/>
    <w:rsid w:val="008077E8"/>
    <w:rsid w:val="008077FD"/>
    <w:rsid w:val="008078F4"/>
    <w:rsid w:val="00807A05"/>
    <w:rsid w:val="00807A3E"/>
    <w:rsid w:val="00807AE5"/>
    <w:rsid w:val="00807CB4"/>
    <w:rsid w:val="00807D9F"/>
    <w:rsid w:val="00807E26"/>
    <w:rsid w:val="00807F27"/>
    <w:rsid w:val="008102EF"/>
    <w:rsid w:val="00810338"/>
    <w:rsid w:val="008103FF"/>
    <w:rsid w:val="008104A3"/>
    <w:rsid w:val="0081071C"/>
    <w:rsid w:val="008107F9"/>
    <w:rsid w:val="0081083E"/>
    <w:rsid w:val="008108BF"/>
    <w:rsid w:val="00810B58"/>
    <w:rsid w:val="00810D12"/>
    <w:rsid w:val="0081106A"/>
    <w:rsid w:val="008111C7"/>
    <w:rsid w:val="008113F6"/>
    <w:rsid w:val="008114F5"/>
    <w:rsid w:val="00811520"/>
    <w:rsid w:val="008115D8"/>
    <w:rsid w:val="008116B8"/>
    <w:rsid w:val="008117B9"/>
    <w:rsid w:val="008118FA"/>
    <w:rsid w:val="00811916"/>
    <w:rsid w:val="00811A68"/>
    <w:rsid w:val="00811A9C"/>
    <w:rsid w:val="00811BAF"/>
    <w:rsid w:val="00811BF9"/>
    <w:rsid w:val="00811CA9"/>
    <w:rsid w:val="00811D08"/>
    <w:rsid w:val="00811E80"/>
    <w:rsid w:val="00811F79"/>
    <w:rsid w:val="0081201D"/>
    <w:rsid w:val="00812046"/>
    <w:rsid w:val="0081208F"/>
    <w:rsid w:val="00812282"/>
    <w:rsid w:val="0081234A"/>
    <w:rsid w:val="008124A2"/>
    <w:rsid w:val="008125CD"/>
    <w:rsid w:val="008125FB"/>
    <w:rsid w:val="0081262E"/>
    <w:rsid w:val="008127B8"/>
    <w:rsid w:val="00812977"/>
    <w:rsid w:val="00812AA9"/>
    <w:rsid w:val="00812B34"/>
    <w:rsid w:val="00812D10"/>
    <w:rsid w:val="00812D3C"/>
    <w:rsid w:val="00812E1A"/>
    <w:rsid w:val="00812F1F"/>
    <w:rsid w:val="0081311C"/>
    <w:rsid w:val="00813166"/>
    <w:rsid w:val="00813173"/>
    <w:rsid w:val="00813238"/>
    <w:rsid w:val="00813259"/>
    <w:rsid w:val="0081333B"/>
    <w:rsid w:val="0081333F"/>
    <w:rsid w:val="00813410"/>
    <w:rsid w:val="0081350D"/>
    <w:rsid w:val="0081353B"/>
    <w:rsid w:val="00813555"/>
    <w:rsid w:val="008135EB"/>
    <w:rsid w:val="00813648"/>
    <w:rsid w:val="0081368C"/>
    <w:rsid w:val="00813877"/>
    <w:rsid w:val="008139ED"/>
    <w:rsid w:val="00813B5F"/>
    <w:rsid w:val="00813C26"/>
    <w:rsid w:val="00813D21"/>
    <w:rsid w:val="00813D37"/>
    <w:rsid w:val="00813E3F"/>
    <w:rsid w:val="00813F58"/>
    <w:rsid w:val="00813FB4"/>
    <w:rsid w:val="00813FE8"/>
    <w:rsid w:val="00814009"/>
    <w:rsid w:val="0081409D"/>
    <w:rsid w:val="008140B3"/>
    <w:rsid w:val="00814121"/>
    <w:rsid w:val="0081412E"/>
    <w:rsid w:val="00814211"/>
    <w:rsid w:val="0081425A"/>
    <w:rsid w:val="0081425D"/>
    <w:rsid w:val="0081426E"/>
    <w:rsid w:val="008142B4"/>
    <w:rsid w:val="0081438E"/>
    <w:rsid w:val="0081444C"/>
    <w:rsid w:val="00814495"/>
    <w:rsid w:val="008144DE"/>
    <w:rsid w:val="008145CA"/>
    <w:rsid w:val="00814875"/>
    <w:rsid w:val="008148BA"/>
    <w:rsid w:val="008148E4"/>
    <w:rsid w:val="0081493E"/>
    <w:rsid w:val="00814B80"/>
    <w:rsid w:val="00814C00"/>
    <w:rsid w:val="00814C34"/>
    <w:rsid w:val="00814D53"/>
    <w:rsid w:val="00814DC7"/>
    <w:rsid w:val="00814F67"/>
    <w:rsid w:val="0081501F"/>
    <w:rsid w:val="00815032"/>
    <w:rsid w:val="00815044"/>
    <w:rsid w:val="00815182"/>
    <w:rsid w:val="0081521E"/>
    <w:rsid w:val="008152EA"/>
    <w:rsid w:val="008153B6"/>
    <w:rsid w:val="0081540A"/>
    <w:rsid w:val="008154C9"/>
    <w:rsid w:val="0081563A"/>
    <w:rsid w:val="0081568B"/>
    <w:rsid w:val="008156E9"/>
    <w:rsid w:val="00815707"/>
    <w:rsid w:val="0081576D"/>
    <w:rsid w:val="008157B1"/>
    <w:rsid w:val="008157F1"/>
    <w:rsid w:val="00815945"/>
    <w:rsid w:val="00815AC6"/>
    <w:rsid w:val="00815BB5"/>
    <w:rsid w:val="00815D74"/>
    <w:rsid w:val="00815DB2"/>
    <w:rsid w:val="00815E34"/>
    <w:rsid w:val="00815EF7"/>
    <w:rsid w:val="00815F69"/>
    <w:rsid w:val="0081600A"/>
    <w:rsid w:val="008163F8"/>
    <w:rsid w:val="008164A1"/>
    <w:rsid w:val="008165FD"/>
    <w:rsid w:val="00816635"/>
    <w:rsid w:val="008166AA"/>
    <w:rsid w:val="00816ABC"/>
    <w:rsid w:val="00816B41"/>
    <w:rsid w:val="00816C0D"/>
    <w:rsid w:val="00816EBA"/>
    <w:rsid w:val="00816EC2"/>
    <w:rsid w:val="00817056"/>
    <w:rsid w:val="0081733A"/>
    <w:rsid w:val="0081741A"/>
    <w:rsid w:val="008174FF"/>
    <w:rsid w:val="00817651"/>
    <w:rsid w:val="00817837"/>
    <w:rsid w:val="00817866"/>
    <w:rsid w:val="0081789C"/>
    <w:rsid w:val="00817C9F"/>
    <w:rsid w:val="00817CE8"/>
    <w:rsid w:val="00817D21"/>
    <w:rsid w:val="00817D98"/>
    <w:rsid w:val="00817DEF"/>
    <w:rsid w:val="00817E72"/>
    <w:rsid w:val="00817EF4"/>
    <w:rsid w:val="00817F30"/>
    <w:rsid w:val="008200A9"/>
    <w:rsid w:val="008200B3"/>
    <w:rsid w:val="008201EE"/>
    <w:rsid w:val="00820212"/>
    <w:rsid w:val="00820269"/>
    <w:rsid w:val="00820383"/>
    <w:rsid w:val="00820389"/>
    <w:rsid w:val="008204F7"/>
    <w:rsid w:val="00820526"/>
    <w:rsid w:val="00820528"/>
    <w:rsid w:val="0082058B"/>
    <w:rsid w:val="00820598"/>
    <w:rsid w:val="008206C1"/>
    <w:rsid w:val="008206DD"/>
    <w:rsid w:val="0082072F"/>
    <w:rsid w:val="00820875"/>
    <w:rsid w:val="008208A9"/>
    <w:rsid w:val="008208C6"/>
    <w:rsid w:val="00820AF9"/>
    <w:rsid w:val="00820C4C"/>
    <w:rsid w:val="00820CA9"/>
    <w:rsid w:val="00820D09"/>
    <w:rsid w:val="00820D1C"/>
    <w:rsid w:val="00820EB6"/>
    <w:rsid w:val="00820F28"/>
    <w:rsid w:val="00820F53"/>
    <w:rsid w:val="00821085"/>
    <w:rsid w:val="0082113E"/>
    <w:rsid w:val="008211D9"/>
    <w:rsid w:val="008211DA"/>
    <w:rsid w:val="00821244"/>
    <w:rsid w:val="00821325"/>
    <w:rsid w:val="00821491"/>
    <w:rsid w:val="008214A0"/>
    <w:rsid w:val="008215E4"/>
    <w:rsid w:val="00821747"/>
    <w:rsid w:val="00821A1B"/>
    <w:rsid w:val="00821AB3"/>
    <w:rsid w:val="00821B93"/>
    <w:rsid w:val="00821D01"/>
    <w:rsid w:val="00821F66"/>
    <w:rsid w:val="00821FE8"/>
    <w:rsid w:val="00822071"/>
    <w:rsid w:val="0082210E"/>
    <w:rsid w:val="0082212F"/>
    <w:rsid w:val="0082218C"/>
    <w:rsid w:val="00822221"/>
    <w:rsid w:val="0082230C"/>
    <w:rsid w:val="0082240F"/>
    <w:rsid w:val="008224D7"/>
    <w:rsid w:val="008224ED"/>
    <w:rsid w:val="008224FA"/>
    <w:rsid w:val="00822681"/>
    <w:rsid w:val="008226FB"/>
    <w:rsid w:val="00822782"/>
    <w:rsid w:val="00822845"/>
    <w:rsid w:val="008228DE"/>
    <w:rsid w:val="00822993"/>
    <w:rsid w:val="00822EC1"/>
    <w:rsid w:val="00822ED0"/>
    <w:rsid w:val="0082304A"/>
    <w:rsid w:val="008230CB"/>
    <w:rsid w:val="0082324C"/>
    <w:rsid w:val="0082336E"/>
    <w:rsid w:val="008233F8"/>
    <w:rsid w:val="00823478"/>
    <w:rsid w:val="00823543"/>
    <w:rsid w:val="008236DC"/>
    <w:rsid w:val="008236E1"/>
    <w:rsid w:val="00823830"/>
    <w:rsid w:val="008238D0"/>
    <w:rsid w:val="008238D6"/>
    <w:rsid w:val="00823968"/>
    <w:rsid w:val="008239F9"/>
    <w:rsid w:val="00823A30"/>
    <w:rsid w:val="00823A7A"/>
    <w:rsid w:val="00823ADB"/>
    <w:rsid w:val="00823BA4"/>
    <w:rsid w:val="00823C2D"/>
    <w:rsid w:val="00823C38"/>
    <w:rsid w:val="00823C67"/>
    <w:rsid w:val="00823CE3"/>
    <w:rsid w:val="00823CF0"/>
    <w:rsid w:val="00823DA9"/>
    <w:rsid w:val="00823E1B"/>
    <w:rsid w:val="00823E52"/>
    <w:rsid w:val="00824005"/>
    <w:rsid w:val="0082401C"/>
    <w:rsid w:val="00824063"/>
    <w:rsid w:val="008240B3"/>
    <w:rsid w:val="008241E3"/>
    <w:rsid w:val="00824232"/>
    <w:rsid w:val="008243D7"/>
    <w:rsid w:val="00824458"/>
    <w:rsid w:val="00824544"/>
    <w:rsid w:val="00824591"/>
    <w:rsid w:val="0082459D"/>
    <w:rsid w:val="00824837"/>
    <w:rsid w:val="0082486F"/>
    <w:rsid w:val="008248CE"/>
    <w:rsid w:val="008249F7"/>
    <w:rsid w:val="00824A12"/>
    <w:rsid w:val="00824B74"/>
    <w:rsid w:val="00824C29"/>
    <w:rsid w:val="00824D29"/>
    <w:rsid w:val="00824F77"/>
    <w:rsid w:val="00824FF9"/>
    <w:rsid w:val="00825069"/>
    <w:rsid w:val="008250BD"/>
    <w:rsid w:val="008252C4"/>
    <w:rsid w:val="00825352"/>
    <w:rsid w:val="008254C2"/>
    <w:rsid w:val="00825656"/>
    <w:rsid w:val="008256E1"/>
    <w:rsid w:val="0082589D"/>
    <w:rsid w:val="008258A7"/>
    <w:rsid w:val="00825A1F"/>
    <w:rsid w:val="00825A7A"/>
    <w:rsid w:val="00825B23"/>
    <w:rsid w:val="00825BE3"/>
    <w:rsid w:val="00825DAC"/>
    <w:rsid w:val="00825DD1"/>
    <w:rsid w:val="00825E6C"/>
    <w:rsid w:val="00825FBC"/>
    <w:rsid w:val="008260F0"/>
    <w:rsid w:val="0082614E"/>
    <w:rsid w:val="0082622A"/>
    <w:rsid w:val="00826461"/>
    <w:rsid w:val="008264BD"/>
    <w:rsid w:val="008264FC"/>
    <w:rsid w:val="00826A72"/>
    <w:rsid w:val="00826BDC"/>
    <w:rsid w:val="00826DF3"/>
    <w:rsid w:val="00826EF4"/>
    <w:rsid w:val="00826F45"/>
    <w:rsid w:val="00827027"/>
    <w:rsid w:val="00827086"/>
    <w:rsid w:val="0082723B"/>
    <w:rsid w:val="00827247"/>
    <w:rsid w:val="00827321"/>
    <w:rsid w:val="00827570"/>
    <w:rsid w:val="008276D2"/>
    <w:rsid w:val="00827736"/>
    <w:rsid w:val="00827783"/>
    <w:rsid w:val="00827799"/>
    <w:rsid w:val="008277A7"/>
    <w:rsid w:val="008277E6"/>
    <w:rsid w:val="008278E6"/>
    <w:rsid w:val="00827984"/>
    <w:rsid w:val="00827A23"/>
    <w:rsid w:val="00827A3A"/>
    <w:rsid w:val="00827B92"/>
    <w:rsid w:val="00827C42"/>
    <w:rsid w:val="00827C74"/>
    <w:rsid w:val="00827E25"/>
    <w:rsid w:val="00827E8F"/>
    <w:rsid w:val="00827EC2"/>
    <w:rsid w:val="0082C1B2"/>
    <w:rsid w:val="0083002F"/>
    <w:rsid w:val="008300CC"/>
    <w:rsid w:val="008307C6"/>
    <w:rsid w:val="0083088F"/>
    <w:rsid w:val="0083099B"/>
    <w:rsid w:val="008309C2"/>
    <w:rsid w:val="008309D5"/>
    <w:rsid w:val="00830C3C"/>
    <w:rsid w:val="00830C65"/>
    <w:rsid w:val="00830D8F"/>
    <w:rsid w:val="00830E1B"/>
    <w:rsid w:val="00830E39"/>
    <w:rsid w:val="00830FB5"/>
    <w:rsid w:val="008311B6"/>
    <w:rsid w:val="00831669"/>
    <w:rsid w:val="008316B7"/>
    <w:rsid w:val="008316C3"/>
    <w:rsid w:val="00831800"/>
    <w:rsid w:val="008319AD"/>
    <w:rsid w:val="00831B7B"/>
    <w:rsid w:val="00831B7D"/>
    <w:rsid w:val="00831B98"/>
    <w:rsid w:val="00831BB8"/>
    <w:rsid w:val="00831C4B"/>
    <w:rsid w:val="00831C5D"/>
    <w:rsid w:val="00831C5E"/>
    <w:rsid w:val="00831E90"/>
    <w:rsid w:val="00831ED2"/>
    <w:rsid w:val="00831F01"/>
    <w:rsid w:val="0083204B"/>
    <w:rsid w:val="00832116"/>
    <w:rsid w:val="00832145"/>
    <w:rsid w:val="00832186"/>
    <w:rsid w:val="008321AE"/>
    <w:rsid w:val="008321B1"/>
    <w:rsid w:val="008323BC"/>
    <w:rsid w:val="0083242E"/>
    <w:rsid w:val="00832473"/>
    <w:rsid w:val="0083257D"/>
    <w:rsid w:val="008326C9"/>
    <w:rsid w:val="008326CC"/>
    <w:rsid w:val="008326D0"/>
    <w:rsid w:val="008326E8"/>
    <w:rsid w:val="008327AC"/>
    <w:rsid w:val="0083283F"/>
    <w:rsid w:val="0083288A"/>
    <w:rsid w:val="00832B37"/>
    <w:rsid w:val="00832CD9"/>
    <w:rsid w:val="00832D3E"/>
    <w:rsid w:val="00832DAE"/>
    <w:rsid w:val="00832E88"/>
    <w:rsid w:val="0083300E"/>
    <w:rsid w:val="00833140"/>
    <w:rsid w:val="0083322A"/>
    <w:rsid w:val="008332EE"/>
    <w:rsid w:val="008333FB"/>
    <w:rsid w:val="00833442"/>
    <w:rsid w:val="008335C4"/>
    <w:rsid w:val="008335D6"/>
    <w:rsid w:val="00833745"/>
    <w:rsid w:val="008338C0"/>
    <w:rsid w:val="0083391B"/>
    <w:rsid w:val="00833AE1"/>
    <w:rsid w:val="00833AE4"/>
    <w:rsid w:val="00833B53"/>
    <w:rsid w:val="00833B7C"/>
    <w:rsid w:val="00833C95"/>
    <w:rsid w:val="00833D16"/>
    <w:rsid w:val="00833D2B"/>
    <w:rsid w:val="00833D99"/>
    <w:rsid w:val="00833E00"/>
    <w:rsid w:val="00833E42"/>
    <w:rsid w:val="00833ECC"/>
    <w:rsid w:val="00833FB8"/>
    <w:rsid w:val="00834082"/>
    <w:rsid w:val="00834145"/>
    <w:rsid w:val="00834193"/>
    <w:rsid w:val="008343AA"/>
    <w:rsid w:val="008343BB"/>
    <w:rsid w:val="008343BE"/>
    <w:rsid w:val="00834486"/>
    <w:rsid w:val="0083467B"/>
    <w:rsid w:val="008346B8"/>
    <w:rsid w:val="008347FD"/>
    <w:rsid w:val="00834808"/>
    <w:rsid w:val="0083481D"/>
    <w:rsid w:val="0083498C"/>
    <w:rsid w:val="00834D02"/>
    <w:rsid w:val="00834DC7"/>
    <w:rsid w:val="00834F9A"/>
    <w:rsid w:val="0083500A"/>
    <w:rsid w:val="00835055"/>
    <w:rsid w:val="0083516B"/>
    <w:rsid w:val="008351F0"/>
    <w:rsid w:val="00835596"/>
    <w:rsid w:val="008358E7"/>
    <w:rsid w:val="00835939"/>
    <w:rsid w:val="00835B77"/>
    <w:rsid w:val="00835B83"/>
    <w:rsid w:val="00835BC1"/>
    <w:rsid w:val="00835BCD"/>
    <w:rsid w:val="00835D02"/>
    <w:rsid w:val="00835D44"/>
    <w:rsid w:val="00835EC9"/>
    <w:rsid w:val="00835F28"/>
    <w:rsid w:val="0083605E"/>
    <w:rsid w:val="00836068"/>
    <w:rsid w:val="008360C4"/>
    <w:rsid w:val="00836424"/>
    <w:rsid w:val="00836429"/>
    <w:rsid w:val="008364F8"/>
    <w:rsid w:val="00836523"/>
    <w:rsid w:val="0083656B"/>
    <w:rsid w:val="008367C3"/>
    <w:rsid w:val="008368D5"/>
    <w:rsid w:val="00836B64"/>
    <w:rsid w:val="00836C47"/>
    <w:rsid w:val="00836CB5"/>
    <w:rsid w:val="00836D85"/>
    <w:rsid w:val="00836DAC"/>
    <w:rsid w:val="00836EEC"/>
    <w:rsid w:val="00836F1A"/>
    <w:rsid w:val="00836F26"/>
    <w:rsid w:val="00836F33"/>
    <w:rsid w:val="00836F36"/>
    <w:rsid w:val="00836F4A"/>
    <w:rsid w:val="00836FFE"/>
    <w:rsid w:val="00837220"/>
    <w:rsid w:val="008372D7"/>
    <w:rsid w:val="00837404"/>
    <w:rsid w:val="00837472"/>
    <w:rsid w:val="008374A2"/>
    <w:rsid w:val="00837516"/>
    <w:rsid w:val="008376F1"/>
    <w:rsid w:val="0083773A"/>
    <w:rsid w:val="00837794"/>
    <w:rsid w:val="008378E0"/>
    <w:rsid w:val="008378E6"/>
    <w:rsid w:val="00837A83"/>
    <w:rsid w:val="00837AA8"/>
    <w:rsid w:val="00837C2B"/>
    <w:rsid w:val="00837C5C"/>
    <w:rsid w:val="00837D6C"/>
    <w:rsid w:val="00837E01"/>
    <w:rsid w:val="00837E3A"/>
    <w:rsid w:val="00837FC1"/>
    <w:rsid w:val="00840101"/>
    <w:rsid w:val="008401A3"/>
    <w:rsid w:val="008401B5"/>
    <w:rsid w:val="008401D8"/>
    <w:rsid w:val="008401E3"/>
    <w:rsid w:val="0084026B"/>
    <w:rsid w:val="00840427"/>
    <w:rsid w:val="008405C5"/>
    <w:rsid w:val="00840652"/>
    <w:rsid w:val="008407D2"/>
    <w:rsid w:val="0084081E"/>
    <w:rsid w:val="00840993"/>
    <w:rsid w:val="00840B03"/>
    <w:rsid w:val="00840F4F"/>
    <w:rsid w:val="00841145"/>
    <w:rsid w:val="0084114C"/>
    <w:rsid w:val="00841388"/>
    <w:rsid w:val="0084153F"/>
    <w:rsid w:val="008415C5"/>
    <w:rsid w:val="008417DD"/>
    <w:rsid w:val="00841811"/>
    <w:rsid w:val="0084198E"/>
    <w:rsid w:val="00841A00"/>
    <w:rsid w:val="00841B7C"/>
    <w:rsid w:val="00841C54"/>
    <w:rsid w:val="00841CCA"/>
    <w:rsid w:val="00841E7F"/>
    <w:rsid w:val="00841EFB"/>
    <w:rsid w:val="00841F44"/>
    <w:rsid w:val="00841FC8"/>
    <w:rsid w:val="00841FD8"/>
    <w:rsid w:val="00842032"/>
    <w:rsid w:val="008421B8"/>
    <w:rsid w:val="008421D3"/>
    <w:rsid w:val="008424F5"/>
    <w:rsid w:val="008424FE"/>
    <w:rsid w:val="0084252B"/>
    <w:rsid w:val="008428BE"/>
    <w:rsid w:val="00842A1E"/>
    <w:rsid w:val="00842AE1"/>
    <w:rsid w:val="00842C82"/>
    <w:rsid w:val="00842C8C"/>
    <w:rsid w:val="00842D1D"/>
    <w:rsid w:val="00842E8B"/>
    <w:rsid w:val="00842E90"/>
    <w:rsid w:val="00842EC9"/>
    <w:rsid w:val="00842F4A"/>
    <w:rsid w:val="00842FE5"/>
    <w:rsid w:val="00843029"/>
    <w:rsid w:val="00843048"/>
    <w:rsid w:val="00843246"/>
    <w:rsid w:val="008432BE"/>
    <w:rsid w:val="008432CD"/>
    <w:rsid w:val="0084333F"/>
    <w:rsid w:val="0084339E"/>
    <w:rsid w:val="008433FC"/>
    <w:rsid w:val="00843687"/>
    <w:rsid w:val="00843699"/>
    <w:rsid w:val="008436D7"/>
    <w:rsid w:val="0084370D"/>
    <w:rsid w:val="0084370E"/>
    <w:rsid w:val="008437BC"/>
    <w:rsid w:val="008439D3"/>
    <w:rsid w:val="00843ACC"/>
    <w:rsid w:val="00843AF5"/>
    <w:rsid w:val="00843B25"/>
    <w:rsid w:val="00843B74"/>
    <w:rsid w:val="00843BC6"/>
    <w:rsid w:val="00843C80"/>
    <w:rsid w:val="00843CE0"/>
    <w:rsid w:val="00843E18"/>
    <w:rsid w:val="00843F75"/>
    <w:rsid w:val="0084406D"/>
    <w:rsid w:val="00844073"/>
    <w:rsid w:val="008440F3"/>
    <w:rsid w:val="008440FE"/>
    <w:rsid w:val="00844125"/>
    <w:rsid w:val="008444E3"/>
    <w:rsid w:val="00844574"/>
    <w:rsid w:val="008447CC"/>
    <w:rsid w:val="008448F7"/>
    <w:rsid w:val="00844924"/>
    <w:rsid w:val="00844A7D"/>
    <w:rsid w:val="00844AF3"/>
    <w:rsid w:val="00844B66"/>
    <w:rsid w:val="00844C32"/>
    <w:rsid w:val="00844C34"/>
    <w:rsid w:val="00844E0C"/>
    <w:rsid w:val="00844F11"/>
    <w:rsid w:val="00844FE7"/>
    <w:rsid w:val="008450FB"/>
    <w:rsid w:val="0084514F"/>
    <w:rsid w:val="00845167"/>
    <w:rsid w:val="008451AC"/>
    <w:rsid w:val="0084523E"/>
    <w:rsid w:val="0084527E"/>
    <w:rsid w:val="00845346"/>
    <w:rsid w:val="00845384"/>
    <w:rsid w:val="008453BC"/>
    <w:rsid w:val="008453EA"/>
    <w:rsid w:val="008453EE"/>
    <w:rsid w:val="00845539"/>
    <w:rsid w:val="00845581"/>
    <w:rsid w:val="0084571D"/>
    <w:rsid w:val="008459A5"/>
    <w:rsid w:val="00845AFD"/>
    <w:rsid w:val="00845B4B"/>
    <w:rsid w:val="00845B61"/>
    <w:rsid w:val="00845C88"/>
    <w:rsid w:val="00845CEE"/>
    <w:rsid w:val="00845D31"/>
    <w:rsid w:val="00845D76"/>
    <w:rsid w:val="00845EB0"/>
    <w:rsid w:val="00845F89"/>
    <w:rsid w:val="00846028"/>
    <w:rsid w:val="0084603A"/>
    <w:rsid w:val="00846119"/>
    <w:rsid w:val="00846269"/>
    <w:rsid w:val="008462B8"/>
    <w:rsid w:val="00846415"/>
    <w:rsid w:val="00846457"/>
    <w:rsid w:val="0084672C"/>
    <w:rsid w:val="00846745"/>
    <w:rsid w:val="0084679C"/>
    <w:rsid w:val="0084690C"/>
    <w:rsid w:val="008469C6"/>
    <w:rsid w:val="00846AF1"/>
    <w:rsid w:val="00846C5C"/>
    <w:rsid w:val="00846C7B"/>
    <w:rsid w:val="00846F28"/>
    <w:rsid w:val="00847081"/>
    <w:rsid w:val="00847093"/>
    <w:rsid w:val="008470F3"/>
    <w:rsid w:val="008472D3"/>
    <w:rsid w:val="008473FF"/>
    <w:rsid w:val="008474E3"/>
    <w:rsid w:val="00847652"/>
    <w:rsid w:val="008476C1"/>
    <w:rsid w:val="0084780E"/>
    <w:rsid w:val="00847833"/>
    <w:rsid w:val="00847A2D"/>
    <w:rsid w:val="00847A3F"/>
    <w:rsid w:val="00847AFD"/>
    <w:rsid w:val="00847BE5"/>
    <w:rsid w:val="00847C0F"/>
    <w:rsid w:val="00847CA7"/>
    <w:rsid w:val="00847D01"/>
    <w:rsid w:val="00847D07"/>
    <w:rsid w:val="00847DB0"/>
    <w:rsid w:val="00847DC9"/>
    <w:rsid w:val="00847E24"/>
    <w:rsid w:val="00847EBD"/>
    <w:rsid w:val="00847F45"/>
    <w:rsid w:val="00850092"/>
    <w:rsid w:val="008500E4"/>
    <w:rsid w:val="00850110"/>
    <w:rsid w:val="008502D8"/>
    <w:rsid w:val="00850301"/>
    <w:rsid w:val="00850710"/>
    <w:rsid w:val="00850C57"/>
    <w:rsid w:val="00850C66"/>
    <w:rsid w:val="00850D5D"/>
    <w:rsid w:val="00850E44"/>
    <w:rsid w:val="008510E3"/>
    <w:rsid w:val="008511B5"/>
    <w:rsid w:val="00851272"/>
    <w:rsid w:val="0085129D"/>
    <w:rsid w:val="008512B4"/>
    <w:rsid w:val="008513D0"/>
    <w:rsid w:val="0085143F"/>
    <w:rsid w:val="00851605"/>
    <w:rsid w:val="00851740"/>
    <w:rsid w:val="008517EA"/>
    <w:rsid w:val="0085192D"/>
    <w:rsid w:val="00851A93"/>
    <w:rsid w:val="00851BD4"/>
    <w:rsid w:val="00851BF2"/>
    <w:rsid w:val="00851C1C"/>
    <w:rsid w:val="00851CCE"/>
    <w:rsid w:val="00851EFF"/>
    <w:rsid w:val="00851F41"/>
    <w:rsid w:val="00851F5D"/>
    <w:rsid w:val="00852200"/>
    <w:rsid w:val="0085222B"/>
    <w:rsid w:val="00852278"/>
    <w:rsid w:val="008523D5"/>
    <w:rsid w:val="0085242C"/>
    <w:rsid w:val="0085249D"/>
    <w:rsid w:val="00852571"/>
    <w:rsid w:val="008525E5"/>
    <w:rsid w:val="008526A2"/>
    <w:rsid w:val="00852707"/>
    <w:rsid w:val="008527A2"/>
    <w:rsid w:val="008527ED"/>
    <w:rsid w:val="008528F4"/>
    <w:rsid w:val="008529A0"/>
    <w:rsid w:val="00852BFA"/>
    <w:rsid w:val="00852C79"/>
    <w:rsid w:val="00852CD0"/>
    <w:rsid w:val="00852D1F"/>
    <w:rsid w:val="00852DEF"/>
    <w:rsid w:val="00852EC8"/>
    <w:rsid w:val="0085305B"/>
    <w:rsid w:val="008530F1"/>
    <w:rsid w:val="008530FB"/>
    <w:rsid w:val="00853203"/>
    <w:rsid w:val="00853281"/>
    <w:rsid w:val="00853373"/>
    <w:rsid w:val="00853489"/>
    <w:rsid w:val="008535ED"/>
    <w:rsid w:val="0085362A"/>
    <w:rsid w:val="0085362C"/>
    <w:rsid w:val="0085362F"/>
    <w:rsid w:val="008536D4"/>
    <w:rsid w:val="008536D7"/>
    <w:rsid w:val="008537EC"/>
    <w:rsid w:val="008537F7"/>
    <w:rsid w:val="00853823"/>
    <w:rsid w:val="0085385E"/>
    <w:rsid w:val="008539C4"/>
    <w:rsid w:val="00853BE7"/>
    <w:rsid w:val="00853C5B"/>
    <w:rsid w:val="00853C82"/>
    <w:rsid w:val="00853EDA"/>
    <w:rsid w:val="00853FBD"/>
    <w:rsid w:val="00853FD7"/>
    <w:rsid w:val="00853FDD"/>
    <w:rsid w:val="00854079"/>
    <w:rsid w:val="00854081"/>
    <w:rsid w:val="00854082"/>
    <w:rsid w:val="00854100"/>
    <w:rsid w:val="00854102"/>
    <w:rsid w:val="00854559"/>
    <w:rsid w:val="008546BE"/>
    <w:rsid w:val="008546D5"/>
    <w:rsid w:val="008547D9"/>
    <w:rsid w:val="00854B6B"/>
    <w:rsid w:val="00854F06"/>
    <w:rsid w:val="00854F4C"/>
    <w:rsid w:val="00854F53"/>
    <w:rsid w:val="00854F5A"/>
    <w:rsid w:val="00854FEC"/>
    <w:rsid w:val="00854FFA"/>
    <w:rsid w:val="008551E5"/>
    <w:rsid w:val="008554CA"/>
    <w:rsid w:val="0085559B"/>
    <w:rsid w:val="008555C7"/>
    <w:rsid w:val="00855859"/>
    <w:rsid w:val="00855A1C"/>
    <w:rsid w:val="00855A64"/>
    <w:rsid w:val="00855B1B"/>
    <w:rsid w:val="00855C39"/>
    <w:rsid w:val="00855CBB"/>
    <w:rsid w:val="00855DBC"/>
    <w:rsid w:val="00855DEC"/>
    <w:rsid w:val="00855F36"/>
    <w:rsid w:val="00856074"/>
    <w:rsid w:val="008560DC"/>
    <w:rsid w:val="00856101"/>
    <w:rsid w:val="0085616C"/>
    <w:rsid w:val="00856401"/>
    <w:rsid w:val="00856409"/>
    <w:rsid w:val="0085645C"/>
    <w:rsid w:val="008564FD"/>
    <w:rsid w:val="00856507"/>
    <w:rsid w:val="00856609"/>
    <w:rsid w:val="00856634"/>
    <w:rsid w:val="00856639"/>
    <w:rsid w:val="008566D9"/>
    <w:rsid w:val="008567E5"/>
    <w:rsid w:val="00856865"/>
    <w:rsid w:val="0085693D"/>
    <w:rsid w:val="008569D7"/>
    <w:rsid w:val="00856DC3"/>
    <w:rsid w:val="00856F5B"/>
    <w:rsid w:val="008570B0"/>
    <w:rsid w:val="008570C6"/>
    <w:rsid w:val="008572F4"/>
    <w:rsid w:val="008573B2"/>
    <w:rsid w:val="00857465"/>
    <w:rsid w:val="008574BF"/>
    <w:rsid w:val="0085754C"/>
    <w:rsid w:val="008576CC"/>
    <w:rsid w:val="0085772A"/>
    <w:rsid w:val="00857835"/>
    <w:rsid w:val="00857949"/>
    <w:rsid w:val="00857ADD"/>
    <w:rsid w:val="00857C30"/>
    <w:rsid w:val="00857C9D"/>
    <w:rsid w:val="00857D0C"/>
    <w:rsid w:val="00857DD9"/>
    <w:rsid w:val="00857E93"/>
    <w:rsid w:val="0085E863"/>
    <w:rsid w:val="008603AF"/>
    <w:rsid w:val="008604C1"/>
    <w:rsid w:val="0086074D"/>
    <w:rsid w:val="008608E1"/>
    <w:rsid w:val="00860D5C"/>
    <w:rsid w:val="00860DCA"/>
    <w:rsid w:val="00860EF8"/>
    <w:rsid w:val="00860F08"/>
    <w:rsid w:val="00860FCF"/>
    <w:rsid w:val="00861253"/>
    <w:rsid w:val="008612E1"/>
    <w:rsid w:val="00861555"/>
    <w:rsid w:val="00861585"/>
    <w:rsid w:val="00861637"/>
    <w:rsid w:val="00861689"/>
    <w:rsid w:val="008616F2"/>
    <w:rsid w:val="00861846"/>
    <w:rsid w:val="008618A8"/>
    <w:rsid w:val="008618D6"/>
    <w:rsid w:val="00861990"/>
    <w:rsid w:val="00861A27"/>
    <w:rsid w:val="00861A33"/>
    <w:rsid w:val="00861B81"/>
    <w:rsid w:val="00861BC5"/>
    <w:rsid w:val="00861DD8"/>
    <w:rsid w:val="00861DE5"/>
    <w:rsid w:val="00861F76"/>
    <w:rsid w:val="00862288"/>
    <w:rsid w:val="008622E4"/>
    <w:rsid w:val="0086237B"/>
    <w:rsid w:val="0086255E"/>
    <w:rsid w:val="008626A8"/>
    <w:rsid w:val="00862740"/>
    <w:rsid w:val="00862758"/>
    <w:rsid w:val="0086278F"/>
    <w:rsid w:val="00862866"/>
    <w:rsid w:val="008629AC"/>
    <w:rsid w:val="00862C3E"/>
    <w:rsid w:val="00862C7F"/>
    <w:rsid w:val="00862D96"/>
    <w:rsid w:val="00862DB1"/>
    <w:rsid w:val="00862ECF"/>
    <w:rsid w:val="00862F3A"/>
    <w:rsid w:val="00862FDD"/>
    <w:rsid w:val="00862FF2"/>
    <w:rsid w:val="008633C8"/>
    <w:rsid w:val="00863434"/>
    <w:rsid w:val="00863470"/>
    <w:rsid w:val="00863478"/>
    <w:rsid w:val="008634A6"/>
    <w:rsid w:val="008634CB"/>
    <w:rsid w:val="00863522"/>
    <w:rsid w:val="0086352D"/>
    <w:rsid w:val="00863697"/>
    <w:rsid w:val="008636B7"/>
    <w:rsid w:val="00863727"/>
    <w:rsid w:val="00863738"/>
    <w:rsid w:val="0086398D"/>
    <w:rsid w:val="008639C8"/>
    <w:rsid w:val="00863A9F"/>
    <w:rsid w:val="00863AF2"/>
    <w:rsid w:val="00863B3E"/>
    <w:rsid w:val="00863BDD"/>
    <w:rsid w:val="00863C38"/>
    <w:rsid w:val="00863D44"/>
    <w:rsid w:val="00863D71"/>
    <w:rsid w:val="00863F52"/>
    <w:rsid w:val="00864010"/>
    <w:rsid w:val="0086418D"/>
    <w:rsid w:val="008641B0"/>
    <w:rsid w:val="00864270"/>
    <w:rsid w:val="008642A4"/>
    <w:rsid w:val="008642D6"/>
    <w:rsid w:val="008643A6"/>
    <w:rsid w:val="008645AE"/>
    <w:rsid w:val="0086461D"/>
    <w:rsid w:val="0086466F"/>
    <w:rsid w:val="008646D2"/>
    <w:rsid w:val="00864764"/>
    <w:rsid w:val="008647BA"/>
    <w:rsid w:val="0086480A"/>
    <w:rsid w:val="00864824"/>
    <w:rsid w:val="00864839"/>
    <w:rsid w:val="00864843"/>
    <w:rsid w:val="00864907"/>
    <w:rsid w:val="00864934"/>
    <w:rsid w:val="00864ABE"/>
    <w:rsid w:val="00864B31"/>
    <w:rsid w:val="00864B83"/>
    <w:rsid w:val="00864BE1"/>
    <w:rsid w:val="00864DCA"/>
    <w:rsid w:val="00864E2D"/>
    <w:rsid w:val="00864E95"/>
    <w:rsid w:val="00864EDF"/>
    <w:rsid w:val="00865127"/>
    <w:rsid w:val="0086532A"/>
    <w:rsid w:val="00865338"/>
    <w:rsid w:val="008653BA"/>
    <w:rsid w:val="008653D6"/>
    <w:rsid w:val="00865538"/>
    <w:rsid w:val="008655D6"/>
    <w:rsid w:val="0086584B"/>
    <w:rsid w:val="00865AD0"/>
    <w:rsid w:val="00865DD9"/>
    <w:rsid w:val="00865E98"/>
    <w:rsid w:val="00865EAB"/>
    <w:rsid w:val="008660DD"/>
    <w:rsid w:val="00866239"/>
    <w:rsid w:val="008663FC"/>
    <w:rsid w:val="00866403"/>
    <w:rsid w:val="00866453"/>
    <w:rsid w:val="008666A1"/>
    <w:rsid w:val="008666B2"/>
    <w:rsid w:val="008668DB"/>
    <w:rsid w:val="00866A19"/>
    <w:rsid w:val="00866BA9"/>
    <w:rsid w:val="00866BCA"/>
    <w:rsid w:val="00866CB2"/>
    <w:rsid w:val="00866D03"/>
    <w:rsid w:val="00866D06"/>
    <w:rsid w:val="00866DC3"/>
    <w:rsid w:val="00866F56"/>
    <w:rsid w:val="0086709A"/>
    <w:rsid w:val="008671AB"/>
    <w:rsid w:val="008671D0"/>
    <w:rsid w:val="00867227"/>
    <w:rsid w:val="008672EC"/>
    <w:rsid w:val="008672FE"/>
    <w:rsid w:val="008673B6"/>
    <w:rsid w:val="0086748B"/>
    <w:rsid w:val="00867567"/>
    <w:rsid w:val="008676ED"/>
    <w:rsid w:val="0086778E"/>
    <w:rsid w:val="0086792C"/>
    <w:rsid w:val="00867AA6"/>
    <w:rsid w:val="00867B6A"/>
    <w:rsid w:val="00867D58"/>
    <w:rsid w:val="00867EAF"/>
    <w:rsid w:val="00867EDF"/>
    <w:rsid w:val="00870049"/>
    <w:rsid w:val="00870152"/>
    <w:rsid w:val="0087017B"/>
    <w:rsid w:val="008701AC"/>
    <w:rsid w:val="0087023D"/>
    <w:rsid w:val="008702EC"/>
    <w:rsid w:val="00870370"/>
    <w:rsid w:val="00870414"/>
    <w:rsid w:val="0087045E"/>
    <w:rsid w:val="00870699"/>
    <w:rsid w:val="008707CF"/>
    <w:rsid w:val="0087080E"/>
    <w:rsid w:val="008708B6"/>
    <w:rsid w:val="00870971"/>
    <w:rsid w:val="008709D3"/>
    <w:rsid w:val="008709D7"/>
    <w:rsid w:val="00870A5A"/>
    <w:rsid w:val="00870BC9"/>
    <w:rsid w:val="00870CD2"/>
    <w:rsid w:val="00870D9B"/>
    <w:rsid w:val="0087100C"/>
    <w:rsid w:val="00871051"/>
    <w:rsid w:val="008710BA"/>
    <w:rsid w:val="008710F4"/>
    <w:rsid w:val="0087129A"/>
    <w:rsid w:val="0087148E"/>
    <w:rsid w:val="00871626"/>
    <w:rsid w:val="0087166E"/>
    <w:rsid w:val="008716F3"/>
    <w:rsid w:val="00871844"/>
    <w:rsid w:val="00871C64"/>
    <w:rsid w:val="00871C73"/>
    <w:rsid w:val="00871D89"/>
    <w:rsid w:val="00871EA1"/>
    <w:rsid w:val="00871FA8"/>
    <w:rsid w:val="00872061"/>
    <w:rsid w:val="008722F3"/>
    <w:rsid w:val="0087232B"/>
    <w:rsid w:val="0087238A"/>
    <w:rsid w:val="0087238C"/>
    <w:rsid w:val="008723A7"/>
    <w:rsid w:val="008723F2"/>
    <w:rsid w:val="008725CC"/>
    <w:rsid w:val="008725EC"/>
    <w:rsid w:val="00872603"/>
    <w:rsid w:val="0087275C"/>
    <w:rsid w:val="0087277A"/>
    <w:rsid w:val="008728D0"/>
    <w:rsid w:val="00872A47"/>
    <w:rsid w:val="00872B57"/>
    <w:rsid w:val="00872C7F"/>
    <w:rsid w:val="00872D08"/>
    <w:rsid w:val="00872F23"/>
    <w:rsid w:val="00873214"/>
    <w:rsid w:val="008732C2"/>
    <w:rsid w:val="00873304"/>
    <w:rsid w:val="0087338E"/>
    <w:rsid w:val="0087357E"/>
    <w:rsid w:val="00873593"/>
    <w:rsid w:val="00873698"/>
    <w:rsid w:val="008736DD"/>
    <w:rsid w:val="008736E2"/>
    <w:rsid w:val="00873A34"/>
    <w:rsid w:val="00873AB0"/>
    <w:rsid w:val="00873B79"/>
    <w:rsid w:val="00873BF8"/>
    <w:rsid w:val="00873C10"/>
    <w:rsid w:val="00873C39"/>
    <w:rsid w:val="00873D38"/>
    <w:rsid w:val="00873DCB"/>
    <w:rsid w:val="00873E41"/>
    <w:rsid w:val="00873EED"/>
    <w:rsid w:val="00873FC5"/>
    <w:rsid w:val="00874115"/>
    <w:rsid w:val="0087413D"/>
    <w:rsid w:val="0087425E"/>
    <w:rsid w:val="00874268"/>
    <w:rsid w:val="00874351"/>
    <w:rsid w:val="00874378"/>
    <w:rsid w:val="00874565"/>
    <w:rsid w:val="008745E0"/>
    <w:rsid w:val="00874617"/>
    <w:rsid w:val="00874725"/>
    <w:rsid w:val="0087497E"/>
    <w:rsid w:val="00874A31"/>
    <w:rsid w:val="00874AF0"/>
    <w:rsid w:val="00874B37"/>
    <w:rsid w:val="00874B7E"/>
    <w:rsid w:val="00874C2E"/>
    <w:rsid w:val="00874CC5"/>
    <w:rsid w:val="00874D3B"/>
    <w:rsid w:val="00874DE6"/>
    <w:rsid w:val="00875174"/>
    <w:rsid w:val="008751D6"/>
    <w:rsid w:val="0087539E"/>
    <w:rsid w:val="0087548B"/>
    <w:rsid w:val="008754A5"/>
    <w:rsid w:val="008758D7"/>
    <w:rsid w:val="008759BD"/>
    <w:rsid w:val="00875A93"/>
    <w:rsid w:val="00875AA3"/>
    <w:rsid w:val="00875C45"/>
    <w:rsid w:val="00875D52"/>
    <w:rsid w:val="00875DD4"/>
    <w:rsid w:val="00876053"/>
    <w:rsid w:val="008760F8"/>
    <w:rsid w:val="0087626B"/>
    <w:rsid w:val="008762E3"/>
    <w:rsid w:val="0087637B"/>
    <w:rsid w:val="008763E1"/>
    <w:rsid w:val="00876483"/>
    <w:rsid w:val="00876610"/>
    <w:rsid w:val="0087664D"/>
    <w:rsid w:val="00876750"/>
    <w:rsid w:val="00876AB2"/>
    <w:rsid w:val="00876B6A"/>
    <w:rsid w:val="00876BF0"/>
    <w:rsid w:val="00876D57"/>
    <w:rsid w:val="00876DD6"/>
    <w:rsid w:val="00876DE3"/>
    <w:rsid w:val="00876FA9"/>
    <w:rsid w:val="00877077"/>
    <w:rsid w:val="008770CB"/>
    <w:rsid w:val="00877130"/>
    <w:rsid w:val="008771F4"/>
    <w:rsid w:val="00877247"/>
    <w:rsid w:val="0087735E"/>
    <w:rsid w:val="008773EE"/>
    <w:rsid w:val="00877432"/>
    <w:rsid w:val="00877501"/>
    <w:rsid w:val="0087761A"/>
    <w:rsid w:val="008776CB"/>
    <w:rsid w:val="008777F0"/>
    <w:rsid w:val="008779DE"/>
    <w:rsid w:val="00877B5C"/>
    <w:rsid w:val="00877B98"/>
    <w:rsid w:val="00877BEC"/>
    <w:rsid w:val="00877C60"/>
    <w:rsid w:val="00877E6F"/>
    <w:rsid w:val="00877EE2"/>
    <w:rsid w:val="00880032"/>
    <w:rsid w:val="00880058"/>
    <w:rsid w:val="0088016F"/>
    <w:rsid w:val="008801AE"/>
    <w:rsid w:val="00880373"/>
    <w:rsid w:val="0088053C"/>
    <w:rsid w:val="00880555"/>
    <w:rsid w:val="008806CC"/>
    <w:rsid w:val="008806E3"/>
    <w:rsid w:val="00880821"/>
    <w:rsid w:val="0088091F"/>
    <w:rsid w:val="00880AA3"/>
    <w:rsid w:val="00880C8D"/>
    <w:rsid w:val="00880E6E"/>
    <w:rsid w:val="00880E92"/>
    <w:rsid w:val="00880EA0"/>
    <w:rsid w:val="00880F3F"/>
    <w:rsid w:val="0088106C"/>
    <w:rsid w:val="0088115B"/>
    <w:rsid w:val="008811A2"/>
    <w:rsid w:val="00881351"/>
    <w:rsid w:val="008813B6"/>
    <w:rsid w:val="008813C4"/>
    <w:rsid w:val="008813C8"/>
    <w:rsid w:val="00881409"/>
    <w:rsid w:val="008814A1"/>
    <w:rsid w:val="00881554"/>
    <w:rsid w:val="0088160B"/>
    <w:rsid w:val="008816C8"/>
    <w:rsid w:val="0088178A"/>
    <w:rsid w:val="00881853"/>
    <w:rsid w:val="00881892"/>
    <w:rsid w:val="008818F0"/>
    <w:rsid w:val="00881992"/>
    <w:rsid w:val="0088199F"/>
    <w:rsid w:val="008819B2"/>
    <w:rsid w:val="00881A3A"/>
    <w:rsid w:val="00881CCD"/>
    <w:rsid w:val="00881CED"/>
    <w:rsid w:val="00881E62"/>
    <w:rsid w:val="008821D9"/>
    <w:rsid w:val="00882285"/>
    <w:rsid w:val="008822B7"/>
    <w:rsid w:val="008822FB"/>
    <w:rsid w:val="00882488"/>
    <w:rsid w:val="00882662"/>
    <w:rsid w:val="00882663"/>
    <w:rsid w:val="00882783"/>
    <w:rsid w:val="008827B2"/>
    <w:rsid w:val="008827E0"/>
    <w:rsid w:val="008827FF"/>
    <w:rsid w:val="00882ACE"/>
    <w:rsid w:val="00882BA4"/>
    <w:rsid w:val="00882C29"/>
    <w:rsid w:val="00882C71"/>
    <w:rsid w:val="00882F38"/>
    <w:rsid w:val="0088302B"/>
    <w:rsid w:val="00883037"/>
    <w:rsid w:val="00883130"/>
    <w:rsid w:val="00883163"/>
    <w:rsid w:val="00883205"/>
    <w:rsid w:val="0088321C"/>
    <w:rsid w:val="00883269"/>
    <w:rsid w:val="00883288"/>
    <w:rsid w:val="00883339"/>
    <w:rsid w:val="00883355"/>
    <w:rsid w:val="00883364"/>
    <w:rsid w:val="00883519"/>
    <w:rsid w:val="008835A9"/>
    <w:rsid w:val="00883843"/>
    <w:rsid w:val="008838BF"/>
    <w:rsid w:val="00883949"/>
    <w:rsid w:val="008839C8"/>
    <w:rsid w:val="00883A40"/>
    <w:rsid w:val="00883AF7"/>
    <w:rsid w:val="00883AFE"/>
    <w:rsid w:val="00883D32"/>
    <w:rsid w:val="00883D5A"/>
    <w:rsid w:val="00883DCA"/>
    <w:rsid w:val="00883F2E"/>
    <w:rsid w:val="00884021"/>
    <w:rsid w:val="00884053"/>
    <w:rsid w:val="00884083"/>
    <w:rsid w:val="008841C7"/>
    <w:rsid w:val="0088421C"/>
    <w:rsid w:val="008842C0"/>
    <w:rsid w:val="0088435C"/>
    <w:rsid w:val="008843F3"/>
    <w:rsid w:val="0088442E"/>
    <w:rsid w:val="00884431"/>
    <w:rsid w:val="0088445B"/>
    <w:rsid w:val="008844EA"/>
    <w:rsid w:val="0088464A"/>
    <w:rsid w:val="00884919"/>
    <w:rsid w:val="0088497C"/>
    <w:rsid w:val="00884A2D"/>
    <w:rsid w:val="00884ABD"/>
    <w:rsid w:val="00884BC0"/>
    <w:rsid w:val="00884CC0"/>
    <w:rsid w:val="00884D1D"/>
    <w:rsid w:val="00884E9C"/>
    <w:rsid w:val="0088519F"/>
    <w:rsid w:val="008851A6"/>
    <w:rsid w:val="00885416"/>
    <w:rsid w:val="00885435"/>
    <w:rsid w:val="008854C9"/>
    <w:rsid w:val="0088553E"/>
    <w:rsid w:val="00885592"/>
    <w:rsid w:val="0088578F"/>
    <w:rsid w:val="0088579C"/>
    <w:rsid w:val="00885872"/>
    <w:rsid w:val="00885B46"/>
    <w:rsid w:val="00885B92"/>
    <w:rsid w:val="00885C24"/>
    <w:rsid w:val="00885CDE"/>
    <w:rsid w:val="00885DAA"/>
    <w:rsid w:val="00885F4F"/>
    <w:rsid w:val="00885F98"/>
    <w:rsid w:val="008860E5"/>
    <w:rsid w:val="00886240"/>
    <w:rsid w:val="00886261"/>
    <w:rsid w:val="00886454"/>
    <w:rsid w:val="00886512"/>
    <w:rsid w:val="008866DD"/>
    <w:rsid w:val="00886763"/>
    <w:rsid w:val="0088699F"/>
    <w:rsid w:val="00886B2C"/>
    <w:rsid w:val="00886B3D"/>
    <w:rsid w:val="00886B46"/>
    <w:rsid w:val="00886B87"/>
    <w:rsid w:val="00886C64"/>
    <w:rsid w:val="00886C81"/>
    <w:rsid w:val="00886DEB"/>
    <w:rsid w:val="00886EA4"/>
    <w:rsid w:val="00887146"/>
    <w:rsid w:val="0088717F"/>
    <w:rsid w:val="00887302"/>
    <w:rsid w:val="00887409"/>
    <w:rsid w:val="0088740D"/>
    <w:rsid w:val="008875C7"/>
    <w:rsid w:val="008875DD"/>
    <w:rsid w:val="00887644"/>
    <w:rsid w:val="008877CB"/>
    <w:rsid w:val="00887878"/>
    <w:rsid w:val="00887CD8"/>
    <w:rsid w:val="00887F11"/>
    <w:rsid w:val="00887FC5"/>
    <w:rsid w:val="008901EE"/>
    <w:rsid w:val="0089020D"/>
    <w:rsid w:val="008903D4"/>
    <w:rsid w:val="0089043A"/>
    <w:rsid w:val="008904EF"/>
    <w:rsid w:val="00890572"/>
    <w:rsid w:val="008905D0"/>
    <w:rsid w:val="00890643"/>
    <w:rsid w:val="00890804"/>
    <w:rsid w:val="00890C15"/>
    <w:rsid w:val="00890DFE"/>
    <w:rsid w:val="00890E17"/>
    <w:rsid w:val="00890E68"/>
    <w:rsid w:val="00890EE4"/>
    <w:rsid w:val="00890F06"/>
    <w:rsid w:val="00890F63"/>
    <w:rsid w:val="00890FBC"/>
    <w:rsid w:val="00891071"/>
    <w:rsid w:val="00891076"/>
    <w:rsid w:val="008910DB"/>
    <w:rsid w:val="00891102"/>
    <w:rsid w:val="00891134"/>
    <w:rsid w:val="0089114C"/>
    <w:rsid w:val="008911FF"/>
    <w:rsid w:val="00891233"/>
    <w:rsid w:val="00891346"/>
    <w:rsid w:val="00891387"/>
    <w:rsid w:val="0089140D"/>
    <w:rsid w:val="008914FE"/>
    <w:rsid w:val="008915E3"/>
    <w:rsid w:val="0089160D"/>
    <w:rsid w:val="00891743"/>
    <w:rsid w:val="0089179D"/>
    <w:rsid w:val="0089184E"/>
    <w:rsid w:val="0089185C"/>
    <w:rsid w:val="008918B0"/>
    <w:rsid w:val="00891AC4"/>
    <w:rsid w:val="00891AF6"/>
    <w:rsid w:val="00891B4E"/>
    <w:rsid w:val="00891B67"/>
    <w:rsid w:val="00891B7A"/>
    <w:rsid w:val="00891BC3"/>
    <w:rsid w:val="00891C0F"/>
    <w:rsid w:val="00891C7A"/>
    <w:rsid w:val="00891FFD"/>
    <w:rsid w:val="00892246"/>
    <w:rsid w:val="008923B1"/>
    <w:rsid w:val="008924C4"/>
    <w:rsid w:val="008925B3"/>
    <w:rsid w:val="008925FF"/>
    <w:rsid w:val="008926CC"/>
    <w:rsid w:val="008926E5"/>
    <w:rsid w:val="00892872"/>
    <w:rsid w:val="00892A5C"/>
    <w:rsid w:val="00892BED"/>
    <w:rsid w:val="00892D2A"/>
    <w:rsid w:val="00892D3D"/>
    <w:rsid w:val="00892EF6"/>
    <w:rsid w:val="00892F55"/>
    <w:rsid w:val="00892FC4"/>
    <w:rsid w:val="0089301D"/>
    <w:rsid w:val="0089334E"/>
    <w:rsid w:val="008933BA"/>
    <w:rsid w:val="008933E3"/>
    <w:rsid w:val="00893530"/>
    <w:rsid w:val="00893560"/>
    <w:rsid w:val="00893697"/>
    <w:rsid w:val="008937A1"/>
    <w:rsid w:val="008937C8"/>
    <w:rsid w:val="00893995"/>
    <w:rsid w:val="008939FE"/>
    <w:rsid w:val="00893A15"/>
    <w:rsid w:val="00893BE8"/>
    <w:rsid w:val="00893DF7"/>
    <w:rsid w:val="00893EC9"/>
    <w:rsid w:val="00893FA4"/>
    <w:rsid w:val="008940B5"/>
    <w:rsid w:val="0089410A"/>
    <w:rsid w:val="0089422B"/>
    <w:rsid w:val="008944D2"/>
    <w:rsid w:val="00894516"/>
    <w:rsid w:val="0089458B"/>
    <w:rsid w:val="0089465B"/>
    <w:rsid w:val="00894680"/>
    <w:rsid w:val="008946B3"/>
    <w:rsid w:val="008946E5"/>
    <w:rsid w:val="00894723"/>
    <w:rsid w:val="00894973"/>
    <w:rsid w:val="008949C2"/>
    <w:rsid w:val="00894C58"/>
    <w:rsid w:val="00894C6D"/>
    <w:rsid w:val="00894D26"/>
    <w:rsid w:val="00895101"/>
    <w:rsid w:val="0089512D"/>
    <w:rsid w:val="008951B0"/>
    <w:rsid w:val="00895445"/>
    <w:rsid w:val="0089548F"/>
    <w:rsid w:val="008954FC"/>
    <w:rsid w:val="00895578"/>
    <w:rsid w:val="008958CB"/>
    <w:rsid w:val="008958E0"/>
    <w:rsid w:val="0089590A"/>
    <w:rsid w:val="008959A6"/>
    <w:rsid w:val="00895C62"/>
    <w:rsid w:val="00895CAF"/>
    <w:rsid w:val="00895D78"/>
    <w:rsid w:val="00895D82"/>
    <w:rsid w:val="00895FD9"/>
    <w:rsid w:val="0089600B"/>
    <w:rsid w:val="00896061"/>
    <w:rsid w:val="0089608C"/>
    <w:rsid w:val="008961B1"/>
    <w:rsid w:val="008961B3"/>
    <w:rsid w:val="0089628C"/>
    <w:rsid w:val="008962ED"/>
    <w:rsid w:val="008963AD"/>
    <w:rsid w:val="008965F5"/>
    <w:rsid w:val="008966A4"/>
    <w:rsid w:val="008967C4"/>
    <w:rsid w:val="008967DF"/>
    <w:rsid w:val="0089692A"/>
    <w:rsid w:val="00896BC3"/>
    <w:rsid w:val="00896BDC"/>
    <w:rsid w:val="00896C47"/>
    <w:rsid w:val="00896C4C"/>
    <w:rsid w:val="00896CB7"/>
    <w:rsid w:val="00896F3E"/>
    <w:rsid w:val="00896F7C"/>
    <w:rsid w:val="00897012"/>
    <w:rsid w:val="00897037"/>
    <w:rsid w:val="00897151"/>
    <w:rsid w:val="0089718B"/>
    <w:rsid w:val="0089733D"/>
    <w:rsid w:val="0089736B"/>
    <w:rsid w:val="00897384"/>
    <w:rsid w:val="008973C4"/>
    <w:rsid w:val="00897484"/>
    <w:rsid w:val="008975AD"/>
    <w:rsid w:val="0089763E"/>
    <w:rsid w:val="0089770C"/>
    <w:rsid w:val="0089771C"/>
    <w:rsid w:val="00897729"/>
    <w:rsid w:val="00897753"/>
    <w:rsid w:val="008977AE"/>
    <w:rsid w:val="008979A4"/>
    <w:rsid w:val="008979AE"/>
    <w:rsid w:val="00897ADF"/>
    <w:rsid w:val="00897C0E"/>
    <w:rsid w:val="00897C8D"/>
    <w:rsid w:val="00897DD9"/>
    <w:rsid w:val="00897E4F"/>
    <w:rsid w:val="00897E53"/>
    <w:rsid w:val="00897EF0"/>
    <w:rsid w:val="00897F41"/>
    <w:rsid w:val="008A0020"/>
    <w:rsid w:val="008A00B1"/>
    <w:rsid w:val="008A0249"/>
    <w:rsid w:val="008A036E"/>
    <w:rsid w:val="008A0384"/>
    <w:rsid w:val="008A04A6"/>
    <w:rsid w:val="008A04B5"/>
    <w:rsid w:val="008A063C"/>
    <w:rsid w:val="008A0816"/>
    <w:rsid w:val="008A0932"/>
    <w:rsid w:val="008A094A"/>
    <w:rsid w:val="008A0963"/>
    <w:rsid w:val="008A098C"/>
    <w:rsid w:val="008A0AA6"/>
    <w:rsid w:val="008A0BCB"/>
    <w:rsid w:val="008A0C79"/>
    <w:rsid w:val="008A0D2A"/>
    <w:rsid w:val="008A0FC3"/>
    <w:rsid w:val="008A1010"/>
    <w:rsid w:val="008A10A4"/>
    <w:rsid w:val="008A1164"/>
    <w:rsid w:val="008A12B0"/>
    <w:rsid w:val="008A1376"/>
    <w:rsid w:val="008A13FC"/>
    <w:rsid w:val="008A14B4"/>
    <w:rsid w:val="008A1693"/>
    <w:rsid w:val="008A1840"/>
    <w:rsid w:val="008A185E"/>
    <w:rsid w:val="008A1891"/>
    <w:rsid w:val="008A18BB"/>
    <w:rsid w:val="008A18C1"/>
    <w:rsid w:val="008A19D1"/>
    <w:rsid w:val="008A19FB"/>
    <w:rsid w:val="008A1A30"/>
    <w:rsid w:val="008A1B55"/>
    <w:rsid w:val="008A1B65"/>
    <w:rsid w:val="008A1D91"/>
    <w:rsid w:val="008A1E71"/>
    <w:rsid w:val="008A231D"/>
    <w:rsid w:val="008A2408"/>
    <w:rsid w:val="008A24B2"/>
    <w:rsid w:val="008A254F"/>
    <w:rsid w:val="008A2589"/>
    <w:rsid w:val="008A25E8"/>
    <w:rsid w:val="008A2601"/>
    <w:rsid w:val="008A2630"/>
    <w:rsid w:val="008A2635"/>
    <w:rsid w:val="008A2674"/>
    <w:rsid w:val="008A2677"/>
    <w:rsid w:val="008A27A5"/>
    <w:rsid w:val="008A27C2"/>
    <w:rsid w:val="008A27F8"/>
    <w:rsid w:val="008A2888"/>
    <w:rsid w:val="008A28AB"/>
    <w:rsid w:val="008A2925"/>
    <w:rsid w:val="008A29FE"/>
    <w:rsid w:val="008A2A17"/>
    <w:rsid w:val="008A2B47"/>
    <w:rsid w:val="008A2BB5"/>
    <w:rsid w:val="008A2EE2"/>
    <w:rsid w:val="008A3010"/>
    <w:rsid w:val="008A3131"/>
    <w:rsid w:val="008A3254"/>
    <w:rsid w:val="008A3299"/>
    <w:rsid w:val="008A32A7"/>
    <w:rsid w:val="008A3327"/>
    <w:rsid w:val="008A3486"/>
    <w:rsid w:val="008A3501"/>
    <w:rsid w:val="008A35C0"/>
    <w:rsid w:val="008A361D"/>
    <w:rsid w:val="008A3647"/>
    <w:rsid w:val="008A3680"/>
    <w:rsid w:val="008A36BB"/>
    <w:rsid w:val="008A3731"/>
    <w:rsid w:val="008A38A0"/>
    <w:rsid w:val="008A391F"/>
    <w:rsid w:val="008A39A1"/>
    <w:rsid w:val="008A39B0"/>
    <w:rsid w:val="008A39DF"/>
    <w:rsid w:val="008A3A1E"/>
    <w:rsid w:val="008A3A80"/>
    <w:rsid w:val="008A3A82"/>
    <w:rsid w:val="008A3CD0"/>
    <w:rsid w:val="008A3D93"/>
    <w:rsid w:val="008A3E0E"/>
    <w:rsid w:val="008A3E62"/>
    <w:rsid w:val="008A3E81"/>
    <w:rsid w:val="008A4018"/>
    <w:rsid w:val="008A407C"/>
    <w:rsid w:val="008A40A4"/>
    <w:rsid w:val="008A4366"/>
    <w:rsid w:val="008A4367"/>
    <w:rsid w:val="008A444C"/>
    <w:rsid w:val="008A4547"/>
    <w:rsid w:val="008A45EF"/>
    <w:rsid w:val="008A4987"/>
    <w:rsid w:val="008A4A9C"/>
    <w:rsid w:val="008A4AA7"/>
    <w:rsid w:val="008A4BF4"/>
    <w:rsid w:val="008A4BFE"/>
    <w:rsid w:val="008A4CA2"/>
    <w:rsid w:val="008A4D04"/>
    <w:rsid w:val="008A4D24"/>
    <w:rsid w:val="008A4D69"/>
    <w:rsid w:val="008A4F26"/>
    <w:rsid w:val="008A4F6B"/>
    <w:rsid w:val="008A51A0"/>
    <w:rsid w:val="008A55D4"/>
    <w:rsid w:val="008A5806"/>
    <w:rsid w:val="008A5833"/>
    <w:rsid w:val="008A58EB"/>
    <w:rsid w:val="008A5C24"/>
    <w:rsid w:val="008A5D99"/>
    <w:rsid w:val="008A5EAB"/>
    <w:rsid w:val="008A5FAC"/>
    <w:rsid w:val="008A6154"/>
    <w:rsid w:val="008A618C"/>
    <w:rsid w:val="008A6453"/>
    <w:rsid w:val="008A648F"/>
    <w:rsid w:val="008A6524"/>
    <w:rsid w:val="008A65A1"/>
    <w:rsid w:val="008A65BF"/>
    <w:rsid w:val="008A6684"/>
    <w:rsid w:val="008A66D4"/>
    <w:rsid w:val="008A6736"/>
    <w:rsid w:val="008A67ED"/>
    <w:rsid w:val="008A6892"/>
    <w:rsid w:val="008A691D"/>
    <w:rsid w:val="008A6990"/>
    <w:rsid w:val="008A69E3"/>
    <w:rsid w:val="008A69E7"/>
    <w:rsid w:val="008A6A51"/>
    <w:rsid w:val="008A6AF3"/>
    <w:rsid w:val="008A6BBF"/>
    <w:rsid w:val="008A6C1A"/>
    <w:rsid w:val="008A6E42"/>
    <w:rsid w:val="008A6E79"/>
    <w:rsid w:val="008A704A"/>
    <w:rsid w:val="008A72F3"/>
    <w:rsid w:val="008A7437"/>
    <w:rsid w:val="008A746B"/>
    <w:rsid w:val="008A7526"/>
    <w:rsid w:val="008A75FE"/>
    <w:rsid w:val="008A7648"/>
    <w:rsid w:val="008A7920"/>
    <w:rsid w:val="008A7947"/>
    <w:rsid w:val="008A7A9C"/>
    <w:rsid w:val="008A7BBF"/>
    <w:rsid w:val="008A7C19"/>
    <w:rsid w:val="008A7C8C"/>
    <w:rsid w:val="008A7CEF"/>
    <w:rsid w:val="008A7D8F"/>
    <w:rsid w:val="008A7E48"/>
    <w:rsid w:val="008A7EF6"/>
    <w:rsid w:val="008A7EFD"/>
    <w:rsid w:val="008A7F26"/>
    <w:rsid w:val="008B022E"/>
    <w:rsid w:val="008B0236"/>
    <w:rsid w:val="008B028B"/>
    <w:rsid w:val="008B032F"/>
    <w:rsid w:val="008B04BF"/>
    <w:rsid w:val="008B0598"/>
    <w:rsid w:val="008B0612"/>
    <w:rsid w:val="008B0655"/>
    <w:rsid w:val="008B068B"/>
    <w:rsid w:val="008B07AA"/>
    <w:rsid w:val="008B089B"/>
    <w:rsid w:val="008B08A7"/>
    <w:rsid w:val="008B0933"/>
    <w:rsid w:val="008B0945"/>
    <w:rsid w:val="008B0A42"/>
    <w:rsid w:val="008B0ABC"/>
    <w:rsid w:val="008B0B4E"/>
    <w:rsid w:val="008B0C1C"/>
    <w:rsid w:val="008B0CF8"/>
    <w:rsid w:val="008B0D94"/>
    <w:rsid w:val="008B0DAD"/>
    <w:rsid w:val="008B1032"/>
    <w:rsid w:val="008B1059"/>
    <w:rsid w:val="008B10CD"/>
    <w:rsid w:val="008B12F4"/>
    <w:rsid w:val="008B14A6"/>
    <w:rsid w:val="008B1520"/>
    <w:rsid w:val="008B1590"/>
    <w:rsid w:val="008B16F8"/>
    <w:rsid w:val="008B1716"/>
    <w:rsid w:val="008B1754"/>
    <w:rsid w:val="008B17F4"/>
    <w:rsid w:val="008B1870"/>
    <w:rsid w:val="008B1890"/>
    <w:rsid w:val="008B1A1C"/>
    <w:rsid w:val="008B1A52"/>
    <w:rsid w:val="008B1B17"/>
    <w:rsid w:val="008B1C76"/>
    <w:rsid w:val="008B1CBB"/>
    <w:rsid w:val="008B1E48"/>
    <w:rsid w:val="008B1E79"/>
    <w:rsid w:val="008B1EAF"/>
    <w:rsid w:val="008B1EF4"/>
    <w:rsid w:val="008B2052"/>
    <w:rsid w:val="008B216E"/>
    <w:rsid w:val="008B2296"/>
    <w:rsid w:val="008B240E"/>
    <w:rsid w:val="008B24D5"/>
    <w:rsid w:val="008B25B6"/>
    <w:rsid w:val="008B276B"/>
    <w:rsid w:val="008B27D4"/>
    <w:rsid w:val="008B2918"/>
    <w:rsid w:val="008B2A20"/>
    <w:rsid w:val="008B2A2B"/>
    <w:rsid w:val="008B2AF1"/>
    <w:rsid w:val="008B2C0A"/>
    <w:rsid w:val="008B2C19"/>
    <w:rsid w:val="008B2CCA"/>
    <w:rsid w:val="008B2ED2"/>
    <w:rsid w:val="008B2F64"/>
    <w:rsid w:val="008B2FC6"/>
    <w:rsid w:val="008B3060"/>
    <w:rsid w:val="008B3422"/>
    <w:rsid w:val="008B3506"/>
    <w:rsid w:val="008B35C2"/>
    <w:rsid w:val="008B3634"/>
    <w:rsid w:val="008B36A2"/>
    <w:rsid w:val="008B36C7"/>
    <w:rsid w:val="008B38D1"/>
    <w:rsid w:val="008B38D6"/>
    <w:rsid w:val="008B38EB"/>
    <w:rsid w:val="008B39FC"/>
    <w:rsid w:val="008B3A04"/>
    <w:rsid w:val="008B3A88"/>
    <w:rsid w:val="008B3B8E"/>
    <w:rsid w:val="008B3B95"/>
    <w:rsid w:val="008B3C71"/>
    <w:rsid w:val="008B3CE9"/>
    <w:rsid w:val="008B3EC0"/>
    <w:rsid w:val="008B3F37"/>
    <w:rsid w:val="008B3FD9"/>
    <w:rsid w:val="008B40B9"/>
    <w:rsid w:val="008B422A"/>
    <w:rsid w:val="008B428D"/>
    <w:rsid w:val="008B4334"/>
    <w:rsid w:val="008B43C4"/>
    <w:rsid w:val="008B4476"/>
    <w:rsid w:val="008B4696"/>
    <w:rsid w:val="008B475F"/>
    <w:rsid w:val="008B47C2"/>
    <w:rsid w:val="008B47CD"/>
    <w:rsid w:val="008B4832"/>
    <w:rsid w:val="008B4A35"/>
    <w:rsid w:val="008B4B19"/>
    <w:rsid w:val="008B4BF0"/>
    <w:rsid w:val="008B4BFC"/>
    <w:rsid w:val="008B4C37"/>
    <w:rsid w:val="008B4CFB"/>
    <w:rsid w:val="008B4F1E"/>
    <w:rsid w:val="008B4F64"/>
    <w:rsid w:val="008B4F79"/>
    <w:rsid w:val="008B4FF0"/>
    <w:rsid w:val="008B505A"/>
    <w:rsid w:val="008B5198"/>
    <w:rsid w:val="008B51B4"/>
    <w:rsid w:val="008B5213"/>
    <w:rsid w:val="008B548D"/>
    <w:rsid w:val="008B55CB"/>
    <w:rsid w:val="008B58F0"/>
    <w:rsid w:val="008B592E"/>
    <w:rsid w:val="008B5935"/>
    <w:rsid w:val="008B595A"/>
    <w:rsid w:val="008B5AF1"/>
    <w:rsid w:val="008B5B3B"/>
    <w:rsid w:val="008B5B67"/>
    <w:rsid w:val="008B5B68"/>
    <w:rsid w:val="008B5CED"/>
    <w:rsid w:val="008B5CEE"/>
    <w:rsid w:val="008B5D7A"/>
    <w:rsid w:val="008B5DBC"/>
    <w:rsid w:val="008B5DD7"/>
    <w:rsid w:val="008B5E55"/>
    <w:rsid w:val="008B5E72"/>
    <w:rsid w:val="008B5FD5"/>
    <w:rsid w:val="008B6022"/>
    <w:rsid w:val="008B6024"/>
    <w:rsid w:val="008B61A5"/>
    <w:rsid w:val="008B6293"/>
    <w:rsid w:val="008B62AE"/>
    <w:rsid w:val="008B639E"/>
    <w:rsid w:val="008B66A2"/>
    <w:rsid w:val="008B66E3"/>
    <w:rsid w:val="008B67A8"/>
    <w:rsid w:val="008B67F0"/>
    <w:rsid w:val="008B6836"/>
    <w:rsid w:val="008B68B3"/>
    <w:rsid w:val="008B6BE5"/>
    <w:rsid w:val="008B6DED"/>
    <w:rsid w:val="008B6E68"/>
    <w:rsid w:val="008B6E6A"/>
    <w:rsid w:val="008B6FE6"/>
    <w:rsid w:val="008B70B2"/>
    <w:rsid w:val="008B7169"/>
    <w:rsid w:val="008B721B"/>
    <w:rsid w:val="008B734D"/>
    <w:rsid w:val="008B741D"/>
    <w:rsid w:val="008B7848"/>
    <w:rsid w:val="008B7898"/>
    <w:rsid w:val="008B78BB"/>
    <w:rsid w:val="008B7C1C"/>
    <w:rsid w:val="008B7C26"/>
    <w:rsid w:val="008B7CC9"/>
    <w:rsid w:val="008B7D58"/>
    <w:rsid w:val="008B7E9B"/>
    <w:rsid w:val="008BF0F3"/>
    <w:rsid w:val="008C0179"/>
    <w:rsid w:val="008C053F"/>
    <w:rsid w:val="008C0846"/>
    <w:rsid w:val="008C08DE"/>
    <w:rsid w:val="008C0923"/>
    <w:rsid w:val="008C0A8D"/>
    <w:rsid w:val="008C0C1B"/>
    <w:rsid w:val="008C0C70"/>
    <w:rsid w:val="008C1082"/>
    <w:rsid w:val="008C1181"/>
    <w:rsid w:val="008C119D"/>
    <w:rsid w:val="008C1364"/>
    <w:rsid w:val="008C157B"/>
    <w:rsid w:val="008C158B"/>
    <w:rsid w:val="008C15E2"/>
    <w:rsid w:val="008C16DB"/>
    <w:rsid w:val="008C1719"/>
    <w:rsid w:val="008C17C8"/>
    <w:rsid w:val="008C1860"/>
    <w:rsid w:val="008C1927"/>
    <w:rsid w:val="008C19A5"/>
    <w:rsid w:val="008C19E0"/>
    <w:rsid w:val="008C1A01"/>
    <w:rsid w:val="008C1A24"/>
    <w:rsid w:val="008C1AE6"/>
    <w:rsid w:val="008C1D04"/>
    <w:rsid w:val="008C1E05"/>
    <w:rsid w:val="008C1E0A"/>
    <w:rsid w:val="008C1E2F"/>
    <w:rsid w:val="008C2097"/>
    <w:rsid w:val="008C22AF"/>
    <w:rsid w:val="008C24A7"/>
    <w:rsid w:val="008C258C"/>
    <w:rsid w:val="008C26A0"/>
    <w:rsid w:val="008C26D1"/>
    <w:rsid w:val="008C273C"/>
    <w:rsid w:val="008C2784"/>
    <w:rsid w:val="008C2885"/>
    <w:rsid w:val="008C28CF"/>
    <w:rsid w:val="008C29E9"/>
    <w:rsid w:val="008C2A2A"/>
    <w:rsid w:val="008C2A83"/>
    <w:rsid w:val="008C2AB8"/>
    <w:rsid w:val="008C2B49"/>
    <w:rsid w:val="008C2C5C"/>
    <w:rsid w:val="008C2E98"/>
    <w:rsid w:val="008C2F09"/>
    <w:rsid w:val="008C2F5E"/>
    <w:rsid w:val="008C303C"/>
    <w:rsid w:val="008C3085"/>
    <w:rsid w:val="008C3388"/>
    <w:rsid w:val="008C3468"/>
    <w:rsid w:val="008C3494"/>
    <w:rsid w:val="008C34BB"/>
    <w:rsid w:val="008C34F3"/>
    <w:rsid w:val="008C3542"/>
    <w:rsid w:val="008C3563"/>
    <w:rsid w:val="008C358F"/>
    <w:rsid w:val="008C3AEF"/>
    <w:rsid w:val="008C3AF6"/>
    <w:rsid w:val="008C3C14"/>
    <w:rsid w:val="008C3D75"/>
    <w:rsid w:val="008C3EFC"/>
    <w:rsid w:val="008C3F6E"/>
    <w:rsid w:val="008C3F74"/>
    <w:rsid w:val="008C3F9F"/>
    <w:rsid w:val="008C3FBC"/>
    <w:rsid w:val="008C400A"/>
    <w:rsid w:val="008C418F"/>
    <w:rsid w:val="008C42E8"/>
    <w:rsid w:val="008C4384"/>
    <w:rsid w:val="008C43FE"/>
    <w:rsid w:val="008C45E2"/>
    <w:rsid w:val="008C4655"/>
    <w:rsid w:val="008C46AE"/>
    <w:rsid w:val="008C46D5"/>
    <w:rsid w:val="008C46D9"/>
    <w:rsid w:val="008C4762"/>
    <w:rsid w:val="008C4769"/>
    <w:rsid w:val="008C4A82"/>
    <w:rsid w:val="008C4B82"/>
    <w:rsid w:val="008C4BC3"/>
    <w:rsid w:val="008C4D51"/>
    <w:rsid w:val="008C4E39"/>
    <w:rsid w:val="008C50C4"/>
    <w:rsid w:val="008C5112"/>
    <w:rsid w:val="008C5169"/>
    <w:rsid w:val="008C5377"/>
    <w:rsid w:val="008C54AD"/>
    <w:rsid w:val="008C54BF"/>
    <w:rsid w:val="008C5618"/>
    <w:rsid w:val="008C5639"/>
    <w:rsid w:val="008C581E"/>
    <w:rsid w:val="008C5A12"/>
    <w:rsid w:val="008C5A62"/>
    <w:rsid w:val="008C5AB0"/>
    <w:rsid w:val="008C5B37"/>
    <w:rsid w:val="008C5BB1"/>
    <w:rsid w:val="008C5DE5"/>
    <w:rsid w:val="008C5E66"/>
    <w:rsid w:val="008C6115"/>
    <w:rsid w:val="008C61D2"/>
    <w:rsid w:val="008C6201"/>
    <w:rsid w:val="008C6238"/>
    <w:rsid w:val="008C626A"/>
    <w:rsid w:val="008C6335"/>
    <w:rsid w:val="008C63A2"/>
    <w:rsid w:val="008C63A7"/>
    <w:rsid w:val="008C6762"/>
    <w:rsid w:val="008C676F"/>
    <w:rsid w:val="008C6991"/>
    <w:rsid w:val="008C69B7"/>
    <w:rsid w:val="008C6B61"/>
    <w:rsid w:val="008C6C4B"/>
    <w:rsid w:val="008C6CB7"/>
    <w:rsid w:val="008C6CCF"/>
    <w:rsid w:val="008C6D00"/>
    <w:rsid w:val="008C6FE2"/>
    <w:rsid w:val="008C701E"/>
    <w:rsid w:val="008C7041"/>
    <w:rsid w:val="008C70E6"/>
    <w:rsid w:val="008C7100"/>
    <w:rsid w:val="008C7170"/>
    <w:rsid w:val="008C752C"/>
    <w:rsid w:val="008C75DD"/>
    <w:rsid w:val="008C75F2"/>
    <w:rsid w:val="008C7621"/>
    <w:rsid w:val="008C769D"/>
    <w:rsid w:val="008C7747"/>
    <w:rsid w:val="008C7895"/>
    <w:rsid w:val="008C793C"/>
    <w:rsid w:val="008C79DA"/>
    <w:rsid w:val="008C79DF"/>
    <w:rsid w:val="008C7A39"/>
    <w:rsid w:val="008C7B6B"/>
    <w:rsid w:val="008C7BFB"/>
    <w:rsid w:val="008C7D32"/>
    <w:rsid w:val="008C7D50"/>
    <w:rsid w:val="008C7D6C"/>
    <w:rsid w:val="008C7F7C"/>
    <w:rsid w:val="008D00AB"/>
    <w:rsid w:val="008D00D6"/>
    <w:rsid w:val="008D011F"/>
    <w:rsid w:val="008D013A"/>
    <w:rsid w:val="008D01A1"/>
    <w:rsid w:val="008D03A9"/>
    <w:rsid w:val="008D0419"/>
    <w:rsid w:val="008D04B7"/>
    <w:rsid w:val="008D0510"/>
    <w:rsid w:val="008D0581"/>
    <w:rsid w:val="008D0876"/>
    <w:rsid w:val="008D08E4"/>
    <w:rsid w:val="008D0A3E"/>
    <w:rsid w:val="008D0A6A"/>
    <w:rsid w:val="008D0A95"/>
    <w:rsid w:val="008D0B96"/>
    <w:rsid w:val="008D0BFF"/>
    <w:rsid w:val="008D0C11"/>
    <w:rsid w:val="008D0D12"/>
    <w:rsid w:val="008D0D71"/>
    <w:rsid w:val="008D0E9A"/>
    <w:rsid w:val="008D0FA3"/>
    <w:rsid w:val="008D1043"/>
    <w:rsid w:val="008D10D8"/>
    <w:rsid w:val="008D11F5"/>
    <w:rsid w:val="008D1316"/>
    <w:rsid w:val="008D1383"/>
    <w:rsid w:val="008D1455"/>
    <w:rsid w:val="008D173E"/>
    <w:rsid w:val="008D177B"/>
    <w:rsid w:val="008D19D3"/>
    <w:rsid w:val="008D1AB8"/>
    <w:rsid w:val="008D1F2F"/>
    <w:rsid w:val="008D2038"/>
    <w:rsid w:val="008D2081"/>
    <w:rsid w:val="008D212C"/>
    <w:rsid w:val="008D226E"/>
    <w:rsid w:val="008D22FC"/>
    <w:rsid w:val="008D23CC"/>
    <w:rsid w:val="008D23E9"/>
    <w:rsid w:val="008D252C"/>
    <w:rsid w:val="008D2678"/>
    <w:rsid w:val="008D280B"/>
    <w:rsid w:val="008D280C"/>
    <w:rsid w:val="008D2854"/>
    <w:rsid w:val="008D2873"/>
    <w:rsid w:val="008D2A43"/>
    <w:rsid w:val="008D2A4D"/>
    <w:rsid w:val="008D2B55"/>
    <w:rsid w:val="008D2B61"/>
    <w:rsid w:val="008D2C05"/>
    <w:rsid w:val="008D2C17"/>
    <w:rsid w:val="008D2E0C"/>
    <w:rsid w:val="008D2ECC"/>
    <w:rsid w:val="008D2F2A"/>
    <w:rsid w:val="008D2F9A"/>
    <w:rsid w:val="008D2FDD"/>
    <w:rsid w:val="008D3004"/>
    <w:rsid w:val="008D300D"/>
    <w:rsid w:val="008D3018"/>
    <w:rsid w:val="008D3320"/>
    <w:rsid w:val="008D3495"/>
    <w:rsid w:val="008D34BA"/>
    <w:rsid w:val="008D34E2"/>
    <w:rsid w:val="008D3572"/>
    <w:rsid w:val="008D35DC"/>
    <w:rsid w:val="008D35DF"/>
    <w:rsid w:val="008D35F3"/>
    <w:rsid w:val="008D3648"/>
    <w:rsid w:val="008D36A2"/>
    <w:rsid w:val="008D3726"/>
    <w:rsid w:val="008D3A02"/>
    <w:rsid w:val="008D3A75"/>
    <w:rsid w:val="008D3C0E"/>
    <w:rsid w:val="008D3FF2"/>
    <w:rsid w:val="008D4199"/>
    <w:rsid w:val="008D437C"/>
    <w:rsid w:val="008D45F4"/>
    <w:rsid w:val="008D4737"/>
    <w:rsid w:val="008D4804"/>
    <w:rsid w:val="008D488F"/>
    <w:rsid w:val="008D4BA8"/>
    <w:rsid w:val="008D4CB0"/>
    <w:rsid w:val="008D4D4A"/>
    <w:rsid w:val="008D4ED1"/>
    <w:rsid w:val="008D4F85"/>
    <w:rsid w:val="008D50E8"/>
    <w:rsid w:val="008D51CE"/>
    <w:rsid w:val="008D5219"/>
    <w:rsid w:val="008D52E0"/>
    <w:rsid w:val="008D5368"/>
    <w:rsid w:val="008D53ED"/>
    <w:rsid w:val="008D550C"/>
    <w:rsid w:val="008D557E"/>
    <w:rsid w:val="008D573F"/>
    <w:rsid w:val="008D5788"/>
    <w:rsid w:val="008D57B1"/>
    <w:rsid w:val="008D58E4"/>
    <w:rsid w:val="008D59B3"/>
    <w:rsid w:val="008D5AA2"/>
    <w:rsid w:val="008D5D3E"/>
    <w:rsid w:val="008D5DA5"/>
    <w:rsid w:val="008D5F8C"/>
    <w:rsid w:val="008D6177"/>
    <w:rsid w:val="008D61E7"/>
    <w:rsid w:val="008D61FA"/>
    <w:rsid w:val="008D62E0"/>
    <w:rsid w:val="008D62FF"/>
    <w:rsid w:val="008D6397"/>
    <w:rsid w:val="008D657D"/>
    <w:rsid w:val="008D65D6"/>
    <w:rsid w:val="008D6601"/>
    <w:rsid w:val="008D6711"/>
    <w:rsid w:val="008D67B1"/>
    <w:rsid w:val="008D6829"/>
    <w:rsid w:val="008D688B"/>
    <w:rsid w:val="008D68FA"/>
    <w:rsid w:val="008D6959"/>
    <w:rsid w:val="008D6E4D"/>
    <w:rsid w:val="008D6F31"/>
    <w:rsid w:val="008D7042"/>
    <w:rsid w:val="008D73C9"/>
    <w:rsid w:val="008D73F5"/>
    <w:rsid w:val="008D7750"/>
    <w:rsid w:val="008D7985"/>
    <w:rsid w:val="008D7A47"/>
    <w:rsid w:val="008D7BAE"/>
    <w:rsid w:val="008D7CFE"/>
    <w:rsid w:val="008D7EC5"/>
    <w:rsid w:val="008D7EC9"/>
    <w:rsid w:val="008D7ED2"/>
    <w:rsid w:val="008E04E2"/>
    <w:rsid w:val="008E0619"/>
    <w:rsid w:val="008E063E"/>
    <w:rsid w:val="008E073A"/>
    <w:rsid w:val="008E087D"/>
    <w:rsid w:val="008E08C6"/>
    <w:rsid w:val="008E08DD"/>
    <w:rsid w:val="008E0932"/>
    <w:rsid w:val="008E0969"/>
    <w:rsid w:val="008E0A13"/>
    <w:rsid w:val="008E0B69"/>
    <w:rsid w:val="008E0BAC"/>
    <w:rsid w:val="008E0BBA"/>
    <w:rsid w:val="008E0C4B"/>
    <w:rsid w:val="008E0D16"/>
    <w:rsid w:val="008E0F84"/>
    <w:rsid w:val="008E11C6"/>
    <w:rsid w:val="008E1212"/>
    <w:rsid w:val="008E123A"/>
    <w:rsid w:val="008E1256"/>
    <w:rsid w:val="008E1350"/>
    <w:rsid w:val="008E1388"/>
    <w:rsid w:val="008E159E"/>
    <w:rsid w:val="008E16BF"/>
    <w:rsid w:val="008E19C4"/>
    <w:rsid w:val="008E1A47"/>
    <w:rsid w:val="008E1ACD"/>
    <w:rsid w:val="008E1B76"/>
    <w:rsid w:val="008E1B9F"/>
    <w:rsid w:val="008E1BCF"/>
    <w:rsid w:val="008E1BF1"/>
    <w:rsid w:val="008E1C6D"/>
    <w:rsid w:val="008E1C91"/>
    <w:rsid w:val="008E1E0A"/>
    <w:rsid w:val="008E1EB3"/>
    <w:rsid w:val="008E1F29"/>
    <w:rsid w:val="008E2007"/>
    <w:rsid w:val="008E202E"/>
    <w:rsid w:val="008E2041"/>
    <w:rsid w:val="008E209F"/>
    <w:rsid w:val="008E24F9"/>
    <w:rsid w:val="008E26F8"/>
    <w:rsid w:val="008E2769"/>
    <w:rsid w:val="008E29FD"/>
    <w:rsid w:val="008E2AFE"/>
    <w:rsid w:val="008E2BD3"/>
    <w:rsid w:val="008E2CAC"/>
    <w:rsid w:val="008E2D93"/>
    <w:rsid w:val="008E2E3A"/>
    <w:rsid w:val="008E2E7F"/>
    <w:rsid w:val="008E2FC6"/>
    <w:rsid w:val="008E3049"/>
    <w:rsid w:val="008E3227"/>
    <w:rsid w:val="008E33A5"/>
    <w:rsid w:val="008E3595"/>
    <w:rsid w:val="008E35A3"/>
    <w:rsid w:val="008E3695"/>
    <w:rsid w:val="008E36DD"/>
    <w:rsid w:val="008E36F4"/>
    <w:rsid w:val="008E3870"/>
    <w:rsid w:val="008E38EC"/>
    <w:rsid w:val="008E3A2D"/>
    <w:rsid w:val="008E3AE0"/>
    <w:rsid w:val="008E3C0B"/>
    <w:rsid w:val="008E3C99"/>
    <w:rsid w:val="008E3DCD"/>
    <w:rsid w:val="008E3E19"/>
    <w:rsid w:val="008E3E39"/>
    <w:rsid w:val="008E3FCA"/>
    <w:rsid w:val="008E4166"/>
    <w:rsid w:val="008E4208"/>
    <w:rsid w:val="008E42F8"/>
    <w:rsid w:val="008E42FB"/>
    <w:rsid w:val="008E4399"/>
    <w:rsid w:val="008E4425"/>
    <w:rsid w:val="008E4667"/>
    <w:rsid w:val="008E4861"/>
    <w:rsid w:val="008E4C8E"/>
    <w:rsid w:val="008E4E59"/>
    <w:rsid w:val="008E4E8B"/>
    <w:rsid w:val="008E4EA6"/>
    <w:rsid w:val="008E4FD9"/>
    <w:rsid w:val="008E506C"/>
    <w:rsid w:val="008E511B"/>
    <w:rsid w:val="008E52C4"/>
    <w:rsid w:val="008E52E9"/>
    <w:rsid w:val="008E53EE"/>
    <w:rsid w:val="008E5527"/>
    <w:rsid w:val="008E5668"/>
    <w:rsid w:val="008E56F9"/>
    <w:rsid w:val="008E57BB"/>
    <w:rsid w:val="008E5A3E"/>
    <w:rsid w:val="008E5A94"/>
    <w:rsid w:val="008E5B9E"/>
    <w:rsid w:val="008E5BB9"/>
    <w:rsid w:val="008E5BCF"/>
    <w:rsid w:val="008E5C21"/>
    <w:rsid w:val="008E5CEF"/>
    <w:rsid w:val="008E5CF6"/>
    <w:rsid w:val="008E5D3F"/>
    <w:rsid w:val="008E5D5E"/>
    <w:rsid w:val="008E5D89"/>
    <w:rsid w:val="008E5E6B"/>
    <w:rsid w:val="008E60D8"/>
    <w:rsid w:val="008E6231"/>
    <w:rsid w:val="008E633F"/>
    <w:rsid w:val="008E6364"/>
    <w:rsid w:val="008E640F"/>
    <w:rsid w:val="008E6481"/>
    <w:rsid w:val="008E64C8"/>
    <w:rsid w:val="008E6511"/>
    <w:rsid w:val="008E6558"/>
    <w:rsid w:val="008E655A"/>
    <w:rsid w:val="008E6725"/>
    <w:rsid w:val="008E67D5"/>
    <w:rsid w:val="008E686A"/>
    <w:rsid w:val="008E6A40"/>
    <w:rsid w:val="008E6B05"/>
    <w:rsid w:val="008E6B5C"/>
    <w:rsid w:val="008E6D98"/>
    <w:rsid w:val="008E6EA2"/>
    <w:rsid w:val="008E6EAB"/>
    <w:rsid w:val="008E7062"/>
    <w:rsid w:val="008E714B"/>
    <w:rsid w:val="008E7274"/>
    <w:rsid w:val="008E727A"/>
    <w:rsid w:val="008E7312"/>
    <w:rsid w:val="008E744D"/>
    <w:rsid w:val="008E763C"/>
    <w:rsid w:val="008E7659"/>
    <w:rsid w:val="008E7746"/>
    <w:rsid w:val="008E785A"/>
    <w:rsid w:val="008E78B3"/>
    <w:rsid w:val="008E78D7"/>
    <w:rsid w:val="008E78DB"/>
    <w:rsid w:val="008E7A1A"/>
    <w:rsid w:val="008E7B5F"/>
    <w:rsid w:val="008E7BC7"/>
    <w:rsid w:val="008E7BD9"/>
    <w:rsid w:val="008E7C63"/>
    <w:rsid w:val="008E7D0F"/>
    <w:rsid w:val="008E7D63"/>
    <w:rsid w:val="008E7DAC"/>
    <w:rsid w:val="008E7F0A"/>
    <w:rsid w:val="008E7FC6"/>
    <w:rsid w:val="008F000E"/>
    <w:rsid w:val="008F02D5"/>
    <w:rsid w:val="008F0562"/>
    <w:rsid w:val="008F065A"/>
    <w:rsid w:val="008F0756"/>
    <w:rsid w:val="008F07C0"/>
    <w:rsid w:val="008F07F9"/>
    <w:rsid w:val="008F0A35"/>
    <w:rsid w:val="008F0ABF"/>
    <w:rsid w:val="008F0B08"/>
    <w:rsid w:val="008F0C25"/>
    <w:rsid w:val="008F0C8B"/>
    <w:rsid w:val="008F0E67"/>
    <w:rsid w:val="008F0E6E"/>
    <w:rsid w:val="008F0EA0"/>
    <w:rsid w:val="008F0F13"/>
    <w:rsid w:val="008F0F7E"/>
    <w:rsid w:val="008F1069"/>
    <w:rsid w:val="008F10EA"/>
    <w:rsid w:val="008F11D1"/>
    <w:rsid w:val="008F131A"/>
    <w:rsid w:val="008F1331"/>
    <w:rsid w:val="008F13D2"/>
    <w:rsid w:val="008F1488"/>
    <w:rsid w:val="008F1588"/>
    <w:rsid w:val="008F158A"/>
    <w:rsid w:val="008F15FE"/>
    <w:rsid w:val="008F1665"/>
    <w:rsid w:val="008F1668"/>
    <w:rsid w:val="008F1784"/>
    <w:rsid w:val="008F17BA"/>
    <w:rsid w:val="008F1854"/>
    <w:rsid w:val="008F18BD"/>
    <w:rsid w:val="008F1973"/>
    <w:rsid w:val="008F19C9"/>
    <w:rsid w:val="008F1AEF"/>
    <w:rsid w:val="008F1B54"/>
    <w:rsid w:val="008F1B6D"/>
    <w:rsid w:val="008F1C11"/>
    <w:rsid w:val="008F1CE5"/>
    <w:rsid w:val="008F1F71"/>
    <w:rsid w:val="008F208C"/>
    <w:rsid w:val="008F2134"/>
    <w:rsid w:val="008F227C"/>
    <w:rsid w:val="008F22B7"/>
    <w:rsid w:val="008F2415"/>
    <w:rsid w:val="008F260B"/>
    <w:rsid w:val="008F26BD"/>
    <w:rsid w:val="008F29A3"/>
    <w:rsid w:val="008F2A92"/>
    <w:rsid w:val="008F2A98"/>
    <w:rsid w:val="008F2AE8"/>
    <w:rsid w:val="008F2B35"/>
    <w:rsid w:val="008F2C0C"/>
    <w:rsid w:val="008F2C7A"/>
    <w:rsid w:val="008F2EB6"/>
    <w:rsid w:val="008F2FE5"/>
    <w:rsid w:val="008F301A"/>
    <w:rsid w:val="008F3097"/>
    <w:rsid w:val="008F309C"/>
    <w:rsid w:val="008F3266"/>
    <w:rsid w:val="008F34C1"/>
    <w:rsid w:val="008F364F"/>
    <w:rsid w:val="008F3744"/>
    <w:rsid w:val="008F37B0"/>
    <w:rsid w:val="008F38B7"/>
    <w:rsid w:val="008F3A4B"/>
    <w:rsid w:val="008F3AFF"/>
    <w:rsid w:val="008F3BAB"/>
    <w:rsid w:val="008F3BBB"/>
    <w:rsid w:val="008F3BC1"/>
    <w:rsid w:val="008F3CA4"/>
    <w:rsid w:val="008F3E06"/>
    <w:rsid w:val="008F3E0B"/>
    <w:rsid w:val="008F3F60"/>
    <w:rsid w:val="008F3F78"/>
    <w:rsid w:val="008F4025"/>
    <w:rsid w:val="008F42CE"/>
    <w:rsid w:val="008F436D"/>
    <w:rsid w:val="008F4515"/>
    <w:rsid w:val="008F4582"/>
    <w:rsid w:val="008F4758"/>
    <w:rsid w:val="008F47C8"/>
    <w:rsid w:val="008F48B6"/>
    <w:rsid w:val="008F4949"/>
    <w:rsid w:val="008F49AB"/>
    <w:rsid w:val="008F4C45"/>
    <w:rsid w:val="008F4C96"/>
    <w:rsid w:val="008F4C9A"/>
    <w:rsid w:val="008F4CBF"/>
    <w:rsid w:val="008F4DA2"/>
    <w:rsid w:val="008F4DC7"/>
    <w:rsid w:val="008F4DE6"/>
    <w:rsid w:val="008F4E48"/>
    <w:rsid w:val="008F507B"/>
    <w:rsid w:val="008F507D"/>
    <w:rsid w:val="008F510B"/>
    <w:rsid w:val="008F513B"/>
    <w:rsid w:val="008F51D9"/>
    <w:rsid w:val="008F52F1"/>
    <w:rsid w:val="008F5542"/>
    <w:rsid w:val="008F5913"/>
    <w:rsid w:val="008F5921"/>
    <w:rsid w:val="008F5AC5"/>
    <w:rsid w:val="008F5CDB"/>
    <w:rsid w:val="008F5DFC"/>
    <w:rsid w:val="008F6125"/>
    <w:rsid w:val="008F619E"/>
    <w:rsid w:val="008F6226"/>
    <w:rsid w:val="008F622F"/>
    <w:rsid w:val="008F62D9"/>
    <w:rsid w:val="008F62EA"/>
    <w:rsid w:val="008F63E6"/>
    <w:rsid w:val="008F649E"/>
    <w:rsid w:val="008F6551"/>
    <w:rsid w:val="008F6594"/>
    <w:rsid w:val="008F65DC"/>
    <w:rsid w:val="008F662A"/>
    <w:rsid w:val="008F6673"/>
    <w:rsid w:val="008F66FA"/>
    <w:rsid w:val="008F6703"/>
    <w:rsid w:val="008F672B"/>
    <w:rsid w:val="008F674C"/>
    <w:rsid w:val="008F68F1"/>
    <w:rsid w:val="008F6911"/>
    <w:rsid w:val="008F6B42"/>
    <w:rsid w:val="008F6E37"/>
    <w:rsid w:val="008F6F22"/>
    <w:rsid w:val="008F6F2B"/>
    <w:rsid w:val="008F7036"/>
    <w:rsid w:val="008F7057"/>
    <w:rsid w:val="008F70E4"/>
    <w:rsid w:val="008F7110"/>
    <w:rsid w:val="008F71DF"/>
    <w:rsid w:val="008F7233"/>
    <w:rsid w:val="008F736F"/>
    <w:rsid w:val="008F758A"/>
    <w:rsid w:val="008F75D9"/>
    <w:rsid w:val="008F7640"/>
    <w:rsid w:val="008F7644"/>
    <w:rsid w:val="008F7686"/>
    <w:rsid w:val="008F7711"/>
    <w:rsid w:val="008F772B"/>
    <w:rsid w:val="008F776E"/>
    <w:rsid w:val="008F77EB"/>
    <w:rsid w:val="008F78C4"/>
    <w:rsid w:val="008F78F7"/>
    <w:rsid w:val="008F7AAA"/>
    <w:rsid w:val="008F7CCA"/>
    <w:rsid w:val="008F7D4F"/>
    <w:rsid w:val="008F7F62"/>
    <w:rsid w:val="008F7FA1"/>
    <w:rsid w:val="008FADCE"/>
    <w:rsid w:val="009002B0"/>
    <w:rsid w:val="009003C1"/>
    <w:rsid w:val="00900483"/>
    <w:rsid w:val="00900644"/>
    <w:rsid w:val="00900683"/>
    <w:rsid w:val="009006BB"/>
    <w:rsid w:val="00900765"/>
    <w:rsid w:val="0090077A"/>
    <w:rsid w:val="009009DF"/>
    <w:rsid w:val="00900AA8"/>
    <w:rsid w:val="00900D5B"/>
    <w:rsid w:val="00900FA1"/>
    <w:rsid w:val="00900FE7"/>
    <w:rsid w:val="00900FEE"/>
    <w:rsid w:val="009010F8"/>
    <w:rsid w:val="00901104"/>
    <w:rsid w:val="0090112F"/>
    <w:rsid w:val="00901310"/>
    <w:rsid w:val="00901375"/>
    <w:rsid w:val="009013E8"/>
    <w:rsid w:val="009015C0"/>
    <w:rsid w:val="009015FD"/>
    <w:rsid w:val="009018CD"/>
    <w:rsid w:val="00901928"/>
    <w:rsid w:val="0090192A"/>
    <w:rsid w:val="00901A25"/>
    <w:rsid w:val="00901A95"/>
    <w:rsid w:val="00901AE8"/>
    <w:rsid w:val="00901AF3"/>
    <w:rsid w:val="00901B01"/>
    <w:rsid w:val="00901BF7"/>
    <w:rsid w:val="00901EC5"/>
    <w:rsid w:val="00901ECF"/>
    <w:rsid w:val="00902147"/>
    <w:rsid w:val="00902219"/>
    <w:rsid w:val="0090223E"/>
    <w:rsid w:val="00902347"/>
    <w:rsid w:val="00902382"/>
    <w:rsid w:val="00902596"/>
    <w:rsid w:val="0090272B"/>
    <w:rsid w:val="00902788"/>
    <w:rsid w:val="009027DD"/>
    <w:rsid w:val="00902916"/>
    <w:rsid w:val="00902922"/>
    <w:rsid w:val="00902A66"/>
    <w:rsid w:val="00902AC8"/>
    <w:rsid w:val="00902B19"/>
    <w:rsid w:val="00902BA9"/>
    <w:rsid w:val="00902BEB"/>
    <w:rsid w:val="00902C05"/>
    <w:rsid w:val="00902C3B"/>
    <w:rsid w:val="00902C8D"/>
    <w:rsid w:val="00902DBB"/>
    <w:rsid w:val="00902F99"/>
    <w:rsid w:val="00902FA1"/>
    <w:rsid w:val="00903052"/>
    <w:rsid w:val="00903094"/>
    <w:rsid w:val="009030D5"/>
    <w:rsid w:val="009033CF"/>
    <w:rsid w:val="00903430"/>
    <w:rsid w:val="009034C1"/>
    <w:rsid w:val="0090353A"/>
    <w:rsid w:val="009035BD"/>
    <w:rsid w:val="009035E0"/>
    <w:rsid w:val="0090364E"/>
    <w:rsid w:val="009036A6"/>
    <w:rsid w:val="0090376F"/>
    <w:rsid w:val="009038C5"/>
    <w:rsid w:val="009038FB"/>
    <w:rsid w:val="00903938"/>
    <w:rsid w:val="00903A68"/>
    <w:rsid w:val="00903AC3"/>
    <w:rsid w:val="00903B40"/>
    <w:rsid w:val="00903C70"/>
    <w:rsid w:val="00903E10"/>
    <w:rsid w:val="00903E3E"/>
    <w:rsid w:val="00903E5A"/>
    <w:rsid w:val="00903F04"/>
    <w:rsid w:val="009042B5"/>
    <w:rsid w:val="00904490"/>
    <w:rsid w:val="009045B1"/>
    <w:rsid w:val="009048C1"/>
    <w:rsid w:val="00904A6B"/>
    <w:rsid w:val="00904BF5"/>
    <w:rsid w:val="00904BFE"/>
    <w:rsid w:val="00904D39"/>
    <w:rsid w:val="00904F5D"/>
    <w:rsid w:val="00904F70"/>
    <w:rsid w:val="00904FBD"/>
    <w:rsid w:val="00905140"/>
    <w:rsid w:val="00905170"/>
    <w:rsid w:val="00905329"/>
    <w:rsid w:val="00905343"/>
    <w:rsid w:val="0090542F"/>
    <w:rsid w:val="00905447"/>
    <w:rsid w:val="00905469"/>
    <w:rsid w:val="00905528"/>
    <w:rsid w:val="009055A8"/>
    <w:rsid w:val="00905608"/>
    <w:rsid w:val="00905694"/>
    <w:rsid w:val="009057AF"/>
    <w:rsid w:val="00905814"/>
    <w:rsid w:val="00905936"/>
    <w:rsid w:val="00905976"/>
    <w:rsid w:val="00905A21"/>
    <w:rsid w:val="00905A47"/>
    <w:rsid w:val="00905A96"/>
    <w:rsid w:val="00905B19"/>
    <w:rsid w:val="00905B9C"/>
    <w:rsid w:val="00905C26"/>
    <w:rsid w:val="00905C5A"/>
    <w:rsid w:val="00905DD9"/>
    <w:rsid w:val="00905ED5"/>
    <w:rsid w:val="00905F1C"/>
    <w:rsid w:val="00905FEF"/>
    <w:rsid w:val="00906057"/>
    <w:rsid w:val="009060B1"/>
    <w:rsid w:val="009060F9"/>
    <w:rsid w:val="00906350"/>
    <w:rsid w:val="009063E2"/>
    <w:rsid w:val="00906430"/>
    <w:rsid w:val="009066EC"/>
    <w:rsid w:val="009066F7"/>
    <w:rsid w:val="00906700"/>
    <w:rsid w:val="009067C4"/>
    <w:rsid w:val="009067F5"/>
    <w:rsid w:val="00906967"/>
    <w:rsid w:val="00906997"/>
    <w:rsid w:val="00906B6A"/>
    <w:rsid w:val="00906D2A"/>
    <w:rsid w:val="00906E65"/>
    <w:rsid w:val="00907091"/>
    <w:rsid w:val="009070DF"/>
    <w:rsid w:val="00907297"/>
    <w:rsid w:val="009072B0"/>
    <w:rsid w:val="009073D8"/>
    <w:rsid w:val="009074EB"/>
    <w:rsid w:val="009075A3"/>
    <w:rsid w:val="0090766C"/>
    <w:rsid w:val="009078E6"/>
    <w:rsid w:val="00907B1D"/>
    <w:rsid w:val="00907B2E"/>
    <w:rsid w:val="00907D65"/>
    <w:rsid w:val="00907E60"/>
    <w:rsid w:val="00907EA3"/>
    <w:rsid w:val="0091000B"/>
    <w:rsid w:val="0091005F"/>
    <w:rsid w:val="0091012C"/>
    <w:rsid w:val="009101D0"/>
    <w:rsid w:val="009101EF"/>
    <w:rsid w:val="00910340"/>
    <w:rsid w:val="009103E3"/>
    <w:rsid w:val="00910443"/>
    <w:rsid w:val="00910480"/>
    <w:rsid w:val="009104DB"/>
    <w:rsid w:val="009105F9"/>
    <w:rsid w:val="009106DE"/>
    <w:rsid w:val="00910886"/>
    <w:rsid w:val="00910C24"/>
    <w:rsid w:val="00910C7D"/>
    <w:rsid w:val="00910E4E"/>
    <w:rsid w:val="00910EB4"/>
    <w:rsid w:val="00910EBF"/>
    <w:rsid w:val="0091106F"/>
    <w:rsid w:val="0091132F"/>
    <w:rsid w:val="009113D5"/>
    <w:rsid w:val="009113FB"/>
    <w:rsid w:val="0091181D"/>
    <w:rsid w:val="00911841"/>
    <w:rsid w:val="0091188A"/>
    <w:rsid w:val="00911896"/>
    <w:rsid w:val="00911B0C"/>
    <w:rsid w:val="00911B25"/>
    <w:rsid w:val="00911CB3"/>
    <w:rsid w:val="00911D14"/>
    <w:rsid w:val="00911D5B"/>
    <w:rsid w:val="00911F9E"/>
    <w:rsid w:val="00911FDA"/>
    <w:rsid w:val="00912111"/>
    <w:rsid w:val="00912349"/>
    <w:rsid w:val="009124EC"/>
    <w:rsid w:val="009125C8"/>
    <w:rsid w:val="0091271F"/>
    <w:rsid w:val="00912847"/>
    <w:rsid w:val="009128DF"/>
    <w:rsid w:val="0091296B"/>
    <w:rsid w:val="009129BC"/>
    <w:rsid w:val="00912AD1"/>
    <w:rsid w:val="00912B3D"/>
    <w:rsid w:val="00912B4F"/>
    <w:rsid w:val="00912BEF"/>
    <w:rsid w:val="00912D85"/>
    <w:rsid w:val="00912DEF"/>
    <w:rsid w:val="00912E0A"/>
    <w:rsid w:val="00912F0A"/>
    <w:rsid w:val="00912F4F"/>
    <w:rsid w:val="00912F7D"/>
    <w:rsid w:val="009132FD"/>
    <w:rsid w:val="009133C2"/>
    <w:rsid w:val="009133EB"/>
    <w:rsid w:val="00913643"/>
    <w:rsid w:val="00913725"/>
    <w:rsid w:val="00913937"/>
    <w:rsid w:val="0091393E"/>
    <w:rsid w:val="00913A09"/>
    <w:rsid w:val="00913A0D"/>
    <w:rsid w:val="00913A1A"/>
    <w:rsid w:val="00913A51"/>
    <w:rsid w:val="00913AB7"/>
    <w:rsid w:val="00913AEC"/>
    <w:rsid w:val="00913B9C"/>
    <w:rsid w:val="00913C6C"/>
    <w:rsid w:val="00913C87"/>
    <w:rsid w:val="00913D1F"/>
    <w:rsid w:val="00913DCB"/>
    <w:rsid w:val="00913DDD"/>
    <w:rsid w:val="00913EEF"/>
    <w:rsid w:val="00913FCD"/>
    <w:rsid w:val="0091407F"/>
    <w:rsid w:val="0091432A"/>
    <w:rsid w:val="00914352"/>
    <w:rsid w:val="00914392"/>
    <w:rsid w:val="0091439F"/>
    <w:rsid w:val="009143C8"/>
    <w:rsid w:val="00914438"/>
    <w:rsid w:val="00914454"/>
    <w:rsid w:val="009144D5"/>
    <w:rsid w:val="009144F4"/>
    <w:rsid w:val="00914552"/>
    <w:rsid w:val="00914633"/>
    <w:rsid w:val="00914888"/>
    <w:rsid w:val="00914916"/>
    <w:rsid w:val="0091492B"/>
    <w:rsid w:val="00914B60"/>
    <w:rsid w:val="00914CC9"/>
    <w:rsid w:val="00914DC4"/>
    <w:rsid w:val="009150F1"/>
    <w:rsid w:val="0091522D"/>
    <w:rsid w:val="00915236"/>
    <w:rsid w:val="00915295"/>
    <w:rsid w:val="009152A8"/>
    <w:rsid w:val="009153A9"/>
    <w:rsid w:val="00915465"/>
    <w:rsid w:val="0091552D"/>
    <w:rsid w:val="00915565"/>
    <w:rsid w:val="0091556E"/>
    <w:rsid w:val="009155FA"/>
    <w:rsid w:val="00915788"/>
    <w:rsid w:val="00915919"/>
    <w:rsid w:val="009159AD"/>
    <w:rsid w:val="00915A56"/>
    <w:rsid w:val="00915A94"/>
    <w:rsid w:val="00915BB3"/>
    <w:rsid w:val="00915C84"/>
    <w:rsid w:val="00915CE5"/>
    <w:rsid w:val="00915D30"/>
    <w:rsid w:val="00915E44"/>
    <w:rsid w:val="00915EA5"/>
    <w:rsid w:val="00915F98"/>
    <w:rsid w:val="00915FA3"/>
    <w:rsid w:val="00915FBC"/>
    <w:rsid w:val="00915FEE"/>
    <w:rsid w:val="0091601D"/>
    <w:rsid w:val="00916262"/>
    <w:rsid w:val="009163C0"/>
    <w:rsid w:val="00916421"/>
    <w:rsid w:val="00916699"/>
    <w:rsid w:val="009166B4"/>
    <w:rsid w:val="009167FE"/>
    <w:rsid w:val="0091680D"/>
    <w:rsid w:val="0091686F"/>
    <w:rsid w:val="0091688E"/>
    <w:rsid w:val="009168CF"/>
    <w:rsid w:val="00916A7C"/>
    <w:rsid w:val="00916AD5"/>
    <w:rsid w:val="00916B16"/>
    <w:rsid w:val="00916C18"/>
    <w:rsid w:val="00916C96"/>
    <w:rsid w:val="00916E10"/>
    <w:rsid w:val="00916EBA"/>
    <w:rsid w:val="00916FCE"/>
    <w:rsid w:val="009171E9"/>
    <w:rsid w:val="009171FA"/>
    <w:rsid w:val="00917223"/>
    <w:rsid w:val="009172C8"/>
    <w:rsid w:val="0091734F"/>
    <w:rsid w:val="00917391"/>
    <w:rsid w:val="00917494"/>
    <w:rsid w:val="009176EE"/>
    <w:rsid w:val="009178C0"/>
    <w:rsid w:val="00917946"/>
    <w:rsid w:val="00917C28"/>
    <w:rsid w:val="00917CF1"/>
    <w:rsid w:val="00917E86"/>
    <w:rsid w:val="00917F38"/>
    <w:rsid w:val="00917F70"/>
    <w:rsid w:val="0092008B"/>
    <w:rsid w:val="00920094"/>
    <w:rsid w:val="00920099"/>
    <w:rsid w:val="00920205"/>
    <w:rsid w:val="009202EB"/>
    <w:rsid w:val="00920353"/>
    <w:rsid w:val="00920367"/>
    <w:rsid w:val="00920391"/>
    <w:rsid w:val="009203AD"/>
    <w:rsid w:val="009204A6"/>
    <w:rsid w:val="009206BB"/>
    <w:rsid w:val="00920942"/>
    <w:rsid w:val="0092096E"/>
    <w:rsid w:val="00920983"/>
    <w:rsid w:val="009209CE"/>
    <w:rsid w:val="00920A40"/>
    <w:rsid w:val="00920AE3"/>
    <w:rsid w:val="00920AFA"/>
    <w:rsid w:val="00920B54"/>
    <w:rsid w:val="00920C68"/>
    <w:rsid w:val="00920D8C"/>
    <w:rsid w:val="00920F41"/>
    <w:rsid w:val="00920F4E"/>
    <w:rsid w:val="00921147"/>
    <w:rsid w:val="009211A2"/>
    <w:rsid w:val="00921306"/>
    <w:rsid w:val="0092130F"/>
    <w:rsid w:val="009213B7"/>
    <w:rsid w:val="00921520"/>
    <w:rsid w:val="00921551"/>
    <w:rsid w:val="00921744"/>
    <w:rsid w:val="009217F8"/>
    <w:rsid w:val="0092183D"/>
    <w:rsid w:val="00921849"/>
    <w:rsid w:val="0092188A"/>
    <w:rsid w:val="0092188B"/>
    <w:rsid w:val="009218A9"/>
    <w:rsid w:val="009218DD"/>
    <w:rsid w:val="00921904"/>
    <w:rsid w:val="00921973"/>
    <w:rsid w:val="00921AF6"/>
    <w:rsid w:val="00921BEB"/>
    <w:rsid w:val="00921BFB"/>
    <w:rsid w:val="00921CF4"/>
    <w:rsid w:val="00921ECE"/>
    <w:rsid w:val="00921F3B"/>
    <w:rsid w:val="00921F7C"/>
    <w:rsid w:val="00921FCE"/>
    <w:rsid w:val="00922107"/>
    <w:rsid w:val="00922250"/>
    <w:rsid w:val="009222CF"/>
    <w:rsid w:val="009224E1"/>
    <w:rsid w:val="00922616"/>
    <w:rsid w:val="00922660"/>
    <w:rsid w:val="00922665"/>
    <w:rsid w:val="009227CA"/>
    <w:rsid w:val="00922B49"/>
    <w:rsid w:val="00922C8F"/>
    <w:rsid w:val="00922CF4"/>
    <w:rsid w:val="00922D50"/>
    <w:rsid w:val="00922E13"/>
    <w:rsid w:val="00922E3B"/>
    <w:rsid w:val="00922F76"/>
    <w:rsid w:val="0092304A"/>
    <w:rsid w:val="00923136"/>
    <w:rsid w:val="00923183"/>
    <w:rsid w:val="009231BC"/>
    <w:rsid w:val="00923431"/>
    <w:rsid w:val="0092347D"/>
    <w:rsid w:val="009235DF"/>
    <w:rsid w:val="00923697"/>
    <w:rsid w:val="009236F5"/>
    <w:rsid w:val="0092371D"/>
    <w:rsid w:val="00923763"/>
    <w:rsid w:val="009237C5"/>
    <w:rsid w:val="00923855"/>
    <w:rsid w:val="009238EE"/>
    <w:rsid w:val="009238F8"/>
    <w:rsid w:val="00923A3C"/>
    <w:rsid w:val="00923A67"/>
    <w:rsid w:val="00923A9A"/>
    <w:rsid w:val="00923B76"/>
    <w:rsid w:val="00923B99"/>
    <w:rsid w:val="00923C34"/>
    <w:rsid w:val="00923DEF"/>
    <w:rsid w:val="00923E12"/>
    <w:rsid w:val="00923E70"/>
    <w:rsid w:val="009240C1"/>
    <w:rsid w:val="009241A8"/>
    <w:rsid w:val="009242D0"/>
    <w:rsid w:val="00924548"/>
    <w:rsid w:val="0092455C"/>
    <w:rsid w:val="00924570"/>
    <w:rsid w:val="009245B2"/>
    <w:rsid w:val="00924622"/>
    <w:rsid w:val="0092470E"/>
    <w:rsid w:val="00924739"/>
    <w:rsid w:val="00924754"/>
    <w:rsid w:val="00924946"/>
    <w:rsid w:val="00924B7F"/>
    <w:rsid w:val="00924B9A"/>
    <w:rsid w:val="00924C0D"/>
    <w:rsid w:val="00924D7D"/>
    <w:rsid w:val="00924DEF"/>
    <w:rsid w:val="00924E0F"/>
    <w:rsid w:val="00924E82"/>
    <w:rsid w:val="00924EEE"/>
    <w:rsid w:val="00924FBE"/>
    <w:rsid w:val="00925187"/>
    <w:rsid w:val="00925241"/>
    <w:rsid w:val="009252D6"/>
    <w:rsid w:val="00925474"/>
    <w:rsid w:val="00925677"/>
    <w:rsid w:val="00925950"/>
    <w:rsid w:val="00925A2C"/>
    <w:rsid w:val="00925A6C"/>
    <w:rsid w:val="00925B58"/>
    <w:rsid w:val="00925C8B"/>
    <w:rsid w:val="00925D54"/>
    <w:rsid w:val="00925F83"/>
    <w:rsid w:val="00926014"/>
    <w:rsid w:val="00926147"/>
    <w:rsid w:val="00926186"/>
    <w:rsid w:val="009261B1"/>
    <w:rsid w:val="0092628A"/>
    <w:rsid w:val="009262A0"/>
    <w:rsid w:val="00926331"/>
    <w:rsid w:val="009263BB"/>
    <w:rsid w:val="009264AD"/>
    <w:rsid w:val="009264B3"/>
    <w:rsid w:val="0092651C"/>
    <w:rsid w:val="00926555"/>
    <w:rsid w:val="00926608"/>
    <w:rsid w:val="00926661"/>
    <w:rsid w:val="009266E4"/>
    <w:rsid w:val="009267EB"/>
    <w:rsid w:val="0092680C"/>
    <w:rsid w:val="00926873"/>
    <w:rsid w:val="009269D3"/>
    <w:rsid w:val="00926C4B"/>
    <w:rsid w:val="00926DBB"/>
    <w:rsid w:val="00926DCF"/>
    <w:rsid w:val="0092709C"/>
    <w:rsid w:val="0092717F"/>
    <w:rsid w:val="009271AE"/>
    <w:rsid w:val="00927285"/>
    <w:rsid w:val="00927296"/>
    <w:rsid w:val="00927304"/>
    <w:rsid w:val="00927396"/>
    <w:rsid w:val="009273A3"/>
    <w:rsid w:val="009273B1"/>
    <w:rsid w:val="00927469"/>
    <w:rsid w:val="00927470"/>
    <w:rsid w:val="009274AB"/>
    <w:rsid w:val="009275C2"/>
    <w:rsid w:val="009275E8"/>
    <w:rsid w:val="0092767E"/>
    <w:rsid w:val="009276B1"/>
    <w:rsid w:val="009276E1"/>
    <w:rsid w:val="009276EA"/>
    <w:rsid w:val="00927727"/>
    <w:rsid w:val="00927744"/>
    <w:rsid w:val="00927772"/>
    <w:rsid w:val="00927887"/>
    <w:rsid w:val="00927AE0"/>
    <w:rsid w:val="00927AE6"/>
    <w:rsid w:val="00927B05"/>
    <w:rsid w:val="00927B17"/>
    <w:rsid w:val="00927B9B"/>
    <w:rsid w:val="00927C0F"/>
    <w:rsid w:val="00927C92"/>
    <w:rsid w:val="00927E37"/>
    <w:rsid w:val="00927EC1"/>
    <w:rsid w:val="00927F38"/>
    <w:rsid w:val="00930033"/>
    <w:rsid w:val="00930055"/>
    <w:rsid w:val="0093006C"/>
    <w:rsid w:val="00930074"/>
    <w:rsid w:val="00930153"/>
    <w:rsid w:val="009301FC"/>
    <w:rsid w:val="00930250"/>
    <w:rsid w:val="009302A3"/>
    <w:rsid w:val="009305C1"/>
    <w:rsid w:val="009305E7"/>
    <w:rsid w:val="0093064E"/>
    <w:rsid w:val="00930666"/>
    <w:rsid w:val="0093066C"/>
    <w:rsid w:val="00930721"/>
    <w:rsid w:val="009308F2"/>
    <w:rsid w:val="00930A1A"/>
    <w:rsid w:val="00930AE3"/>
    <w:rsid w:val="00930AFD"/>
    <w:rsid w:val="00930B6C"/>
    <w:rsid w:val="00930CFD"/>
    <w:rsid w:val="00930EEB"/>
    <w:rsid w:val="00930F34"/>
    <w:rsid w:val="00930F4E"/>
    <w:rsid w:val="00930FD0"/>
    <w:rsid w:val="009310DF"/>
    <w:rsid w:val="009310F3"/>
    <w:rsid w:val="009311DC"/>
    <w:rsid w:val="0093121A"/>
    <w:rsid w:val="00931279"/>
    <w:rsid w:val="00931332"/>
    <w:rsid w:val="00931511"/>
    <w:rsid w:val="00931641"/>
    <w:rsid w:val="0093181D"/>
    <w:rsid w:val="00931937"/>
    <w:rsid w:val="00931976"/>
    <w:rsid w:val="00931A66"/>
    <w:rsid w:val="00931AD9"/>
    <w:rsid w:val="00931E3E"/>
    <w:rsid w:val="00931F70"/>
    <w:rsid w:val="0093204E"/>
    <w:rsid w:val="00932198"/>
    <w:rsid w:val="00932240"/>
    <w:rsid w:val="0093226C"/>
    <w:rsid w:val="009322EA"/>
    <w:rsid w:val="009325D6"/>
    <w:rsid w:val="009326CE"/>
    <w:rsid w:val="009327B4"/>
    <w:rsid w:val="0093281F"/>
    <w:rsid w:val="009328D5"/>
    <w:rsid w:val="009328FA"/>
    <w:rsid w:val="0093294F"/>
    <w:rsid w:val="00932A4D"/>
    <w:rsid w:val="00932B5F"/>
    <w:rsid w:val="00932CCA"/>
    <w:rsid w:val="00932D5D"/>
    <w:rsid w:val="00932D71"/>
    <w:rsid w:val="00932D84"/>
    <w:rsid w:val="00932DC0"/>
    <w:rsid w:val="00932DC1"/>
    <w:rsid w:val="00932E56"/>
    <w:rsid w:val="00933042"/>
    <w:rsid w:val="009330BF"/>
    <w:rsid w:val="0093316E"/>
    <w:rsid w:val="009332BD"/>
    <w:rsid w:val="009333CE"/>
    <w:rsid w:val="0093363D"/>
    <w:rsid w:val="00933707"/>
    <w:rsid w:val="00933734"/>
    <w:rsid w:val="00933741"/>
    <w:rsid w:val="009337D0"/>
    <w:rsid w:val="009337F9"/>
    <w:rsid w:val="0093380A"/>
    <w:rsid w:val="00933814"/>
    <w:rsid w:val="0093383E"/>
    <w:rsid w:val="00933841"/>
    <w:rsid w:val="009338DF"/>
    <w:rsid w:val="009338F9"/>
    <w:rsid w:val="00933951"/>
    <w:rsid w:val="009339AB"/>
    <w:rsid w:val="00933A38"/>
    <w:rsid w:val="00933BA3"/>
    <w:rsid w:val="00933DD3"/>
    <w:rsid w:val="00933F67"/>
    <w:rsid w:val="00934044"/>
    <w:rsid w:val="0093410A"/>
    <w:rsid w:val="009342DD"/>
    <w:rsid w:val="0093435B"/>
    <w:rsid w:val="0093449A"/>
    <w:rsid w:val="009345BE"/>
    <w:rsid w:val="009345E2"/>
    <w:rsid w:val="009345F8"/>
    <w:rsid w:val="009346A0"/>
    <w:rsid w:val="009346A1"/>
    <w:rsid w:val="0093477F"/>
    <w:rsid w:val="0093486B"/>
    <w:rsid w:val="009348CF"/>
    <w:rsid w:val="009348FA"/>
    <w:rsid w:val="00934919"/>
    <w:rsid w:val="00934958"/>
    <w:rsid w:val="00934AB0"/>
    <w:rsid w:val="00934AFF"/>
    <w:rsid w:val="00934C68"/>
    <w:rsid w:val="00934CE9"/>
    <w:rsid w:val="00934D3E"/>
    <w:rsid w:val="00934DCA"/>
    <w:rsid w:val="00934E31"/>
    <w:rsid w:val="00934E3F"/>
    <w:rsid w:val="00934ECD"/>
    <w:rsid w:val="00934F68"/>
    <w:rsid w:val="00934FCC"/>
    <w:rsid w:val="0093507B"/>
    <w:rsid w:val="00935177"/>
    <w:rsid w:val="009351E8"/>
    <w:rsid w:val="009351F1"/>
    <w:rsid w:val="00935223"/>
    <w:rsid w:val="0093539F"/>
    <w:rsid w:val="009354E6"/>
    <w:rsid w:val="00935532"/>
    <w:rsid w:val="0093567E"/>
    <w:rsid w:val="00935745"/>
    <w:rsid w:val="009359FF"/>
    <w:rsid w:val="00935A39"/>
    <w:rsid w:val="00935C7C"/>
    <w:rsid w:val="00935CB5"/>
    <w:rsid w:val="00935CF0"/>
    <w:rsid w:val="00935E65"/>
    <w:rsid w:val="00935ED7"/>
    <w:rsid w:val="00935F03"/>
    <w:rsid w:val="00935F5C"/>
    <w:rsid w:val="00935FA5"/>
    <w:rsid w:val="00936062"/>
    <w:rsid w:val="009361AE"/>
    <w:rsid w:val="009361B8"/>
    <w:rsid w:val="009361DC"/>
    <w:rsid w:val="00936254"/>
    <w:rsid w:val="00936341"/>
    <w:rsid w:val="00936472"/>
    <w:rsid w:val="00936587"/>
    <w:rsid w:val="0093686F"/>
    <w:rsid w:val="00936ABE"/>
    <w:rsid w:val="00936AD7"/>
    <w:rsid w:val="00936C02"/>
    <w:rsid w:val="00936C94"/>
    <w:rsid w:val="00936D27"/>
    <w:rsid w:val="00936D51"/>
    <w:rsid w:val="00936DFB"/>
    <w:rsid w:val="00936EF5"/>
    <w:rsid w:val="00936F1D"/>
    <w:rsid w:val="00936F3B"/>
    <w:rsid w:val="00936F5E"/>
    <w:rsid w:val="00937429"/>
    <w:rsid w:val="0093748B"/>
    <w:rsid w:val="009374A4"/>
    <w:rsid w:val="00937538"/>
    <w:rsid w:val="0093753F"/>
    <w:rsid w:val="00937643"/>
    <w:rsid w:val="00937812"/>
    <w:rsid w:val="0093781E"/>
    <w:rsid w:val="00937845"/>
    <w:rsid w:val="0093794E"/>
    <w:rsid w:val="0093795F"/>
    <w:rsid w:val="00937974"/>
    <w:rsid w:val="00937A18"/>
    <w:rsid w:val="00937B18"/>
    <w:rsid w:val="00937B82"/>
    <w:rsid w:val="00937CBE"/>
    <w:rsid w:val="00937CF0"/>
    <w:rsid w:val="00937E68"/>
    <w:rsid w:val="00937FDF"/>
    <w:rsid w:val="00940065"/>
    <w:rsid w:val="009400BF"/>
    <w:rsid w:val="009401B6"/>
    <w:rsid w:val="00940356"/>
    <w:rsid w:val="009403DB"/>
    <w:rsid w:val="009404A1"/>
    <w:rsid w:val="0094057C"/>
    <w:rsid w:val="00940705"/>
    <w:rsid w:val="0094077B"/>
    <w:rsid w:val="009407B3"/>
    <w:rsid w:val="00940944"/>
    <w:rsid w:val="00940BB7"/>
    <w:rsid w:val="00940CAF"/>
    <w:rsid w:val="00940D09"/>
    <w:rsid w:val="00940D7D"/>
    <w:rsid w:val="00940D8B"/>
    <w:rsid w:val="00940E52"/>
    <w:rsid w:val="0094100A"/>
    <w:rsid w:val="00941012"/>
    <w:rsid w:val="0094101C"/>
    <w:rsid w:val="00941022"/>
    <w:rsid w:val="00941216"/>
    <w:rsid w:val="00941275"/>
    <w:rsid w:val="00941372"/>
    <w:rsid w:val="009414C3"/>
    <w:rsid w:val="0094159C"/>
    <w:rsid w:val="009416A8"/>
    <w:rsid w:val="009416C6"/>
    <w:rsid w:val="009417A1"/>
    <w:rsid w:val="00941AEB"/>
    <w:rsid w:val="00941B38"/>
    <w:rsid w:val="00941D3D"/>
    <w:rsid w:val="00941E3A"/>
    <w:rsid w:val="00941E41"/>
    <w:rsid w:val="00941EA2"/>
    <w:rsid w:val="00941EC9"/>
    <w:rsid w:val="00942204"/>
    <w:rsid w:val="00942265"/>
    <w:rsid w:val="0094246F"/>
    <w:rsid w:val="009424E1"/>
    <w:rsid w:val="00942599"/>
    <w:rsid w:val="00942672"/>
    <w:rsid w:val="00942808"/>
    <w:rsid w:val="00942853"/>
    <w:rsid w:val="009428BD"/>
    <w:rsid w:val="0094291A"/>
    <w:rsid w:val="0094292F"/>
    <w:rsid w:val="00942B82"/>
    <w:rsid w:val="00942BDB"/>
    <w:rsid w:val="00942C2B"/>
    <w:rsid w:val="00942C46"/>
    <w:rsid w:val="00942E01"/>
    <w:rsid w:val="00942EC2"/>
    <w:rsid w:val="00943046"/>
    <w:rsid w:val="0094307A"/>
    <w:rsid w:val="00943088"/>
    <w:rsid w:val="00943092"/>
    <w:rsid w:val="009430B4"/>
    <w:rsid w:val="00943244"/>
    <w:rsid w:val="0094325F"/>
    <w:rsid w:val="0094327C"/>
    <w:rsid w:val="00943476"/>
    <w:rsid w:val="009434B0"/>
    <w:rsid w:val="00943705"/>
    <w:rsid w:val="009437EA"/>
    <w:rsid w:val="00943841"/>
    <w:rsid w:val="00943A0D"/>
    <w:rsid w:val="00943B11"/>
    <w:rsid w:val="00943C1F"/>
    <w:rsid w:val="00943D95"/>
    <w:rsid w:val="00943E38"/>
    <w:rsid w:val="00943E95"/>
    <w:rsid w:val="00944087"/>
    <w:rsid w:val="00944267"/>
    <w:rsid w:val="00944350"/>
    <w:rsid w:val="0094447F"/>
    <w:rsid w:val="00944557"/>
    <w:rsid w:val="00944564"/>
    <w:rsid w:val="00944570"/>
    <w:rsid w:val="009445C6"/>
    <w:rsid w:val="00944728"/>
    <w:rsid w:val="00944857"/>
    <w:rsid w:val="00944B15"/>
    <w:rsid w:val="00944B71"/>
    <w:rsid w:val="00944E74"/>
    <w:rsid w:val="00944F3E"/>
    <w:rsid w:val="00944F56"/>
    <w:rsid w:val="00944FBB"/>
    <w:rsid w:val="00945021"/>
    <w:rsid w:val="0094503F"/>
    <w:rsid w:val="009454F1"/>
    <w:rsid w:val="009455BB"/>
    <w:rsid w:val="00945609"/>
    <w:rsid w:val="009457E7"/>
    <w:rsid w:val="00945D43"/>
    <w:rsid w:val="00945E47"/>
    <w:rsid w:val="00945E6A"/>
    <w:rsid w:val="00945F66"/>
    <w:rsid w:val="009460A2"/>
    <w:rsid w:val="009461A2"/>
    <w:rsid w:val="00946229"/>
    <w:rsid w:val="00946420"/>
    <w:rsid w:val="0094644A"/>
    <w:rsid w:val="009464EF"/>
    <w:rsid w:val="009465EA"/>
    <w:rsid w:val="00946685"/>
    <w:rsid w:val="00946751"/>
    <w:rsid w:val="00946764"/>
    <w:rsid w:val="00946777"/>
    <w:rsid w:val="0094683F"/>
    <w:rsid w:val="00946870"/>
    <w:rsid w:val="009468D4"/>
    <w:rsid w:val="009468F0"/>
    <w:rsid w:val="00946AF4"/>
    <w:rsid w:val="00946BF7"/>
    <w:rsid w:val="00946D4F"/>
    <w:rsid w:val="00946DA1"/>
    <w:rsid w:val="00946DD3"/>
    <w:rsid w:val="0094701E"/>
    <w:rsid w:val="009470B0"/>
    <w:rsid w:val="0094728A"/>
    <w:rsid w:val="00947423"/>
    <w:rsid w:val="00947544"/>
    <w:rsid w:val="00947567"/>
    <w:rsid w:val="0094778A"/>
    <w:rsid w:val="00947791"/>
    <w:rsid w:val="00947799"/>
    <w:rsid w:val="009479FE"/>
    <w:rsid w:val="00947AF0"/>
    <w:rsid w:val="00947B45"/>
    <w:rsid w:val="00947BC5"/>
    <w:rsid w:val="00947BFD"/>
    <w:rsid w:val="00947C7A"/>
    <w:rsid w:val="00947C9E"/>
    <w:rsid w:val="00947CB0"/>
    <w:rsid w:val="00947CF5"/>
    <w:rsid w:val="00947D5D"/>
    <w:rsid w:val="00947F10"/>
    <w:rsid w:val="00950043"/>
    <w:rsid w:val="009500D3"/>
    <w:rsid w:val="0095012E"/>
    <w:rsid w:val="00950247"/>
    <w:rsid w:val="009502AE"/>
    <w:rsid w:val="009503E3"/>
    <w:rsid w:val="009505F1"/>
    <w:rsid w:val="009505F7"/>
    <w:rsid w:val="00950673"/>
    <w:rsid w:val="0095079C"/>
    <w:rsid w:val="009508C7"/>
    <w:rsid w:val="00950978"/>
    <w:rsid w:val="0095098D"/>
    <w:rsid w:val="00950BA8"/>
    <w:rsid w:val="00950D14"/>
    <w:rsid w:val="00950E32"/>
    <w:rsid w:val="00950EB0"/>
    <w:rsid w:val="00950F25"/>
    <w:rsid w:val="00950F2B"/>
    <w:rsid w:val="00950FFB"/>
    <w:rsid w:val="0095102F"/>
    <w:rsid w:val="009511B3"/>
    <w:rsid w:val="00951371"/>
    <w:rsid w:val="00951406"/>
    <w:rsid w:val="00951450"/>
    <w:rsid w:val="0095149A"/>
    <w:rsid w:val="009514B6"/>
    <w:rsid w:val="009514F0"/>
    <w:rsid w:val="00951764"/>
    <w:rsid w:val="009517C7"/>
    <w:rsid w:val="00951862"/>
    <w:rsid w:val="00951934"/>
    <w:rsid w:val="00951B0A"/>
    <w:rsid w:val="00951B8A"/>
    <w:rsid w:val="00951B9A"/>
    <w:rsid w:val="00951C2F"/>
    <w:rsid w:val="00951DE6"/>
    <w:rsid w:val="00951EB6"/>
    <w:rsid w:val="00951F2E"/>
    <w:rsid w:val="00951F30"/>
    <w:rsid w:val="00951F75"/>
    <w:rsid w:val="00951FA7"/>
    <w:rsid w:val="00951FC9"/>
    <w:rsid w:val="00952005"/>
    <w:rsid w:val="0095207B"/>
    <w:rsid w:val="009520E6"/>
    <w:rsid w:val="009520F5"/>
    <w:rsid w:val="00952247"/>
    <w:rsid w:val="009522A7"/>
    <w:rsid w:val="009526A6"/>
    <w:rsid w:val="009526BB"/>
    <w:rsid w:val="0095271B"/>
    <w:rsid w:val="00952789"/>
    <w:rsid w:val="009527D1"/>
    <w:rsid w:val="00952905"/>
    <w:rsid w:val="00952914"/>
    <w:rsid w:val="00952A2C"/>
    <w:rsid w:val="00952BB0"/>
    <w:rsid w:val="00952BD2"/>
    <w:rsid w:val="00952C33"/>
    <w:rsid w:val="00952CA9"/>
    <w:rsid w:val="00952CD7"/>
    <w:rsid w:val="00952EC9"/>
    <w:rsid w:val="00952F69"/>
    <w:rsid w:val="0095307E"/>
    <w:rsid w:val="009530B8"/>
    <w:rsid w:val="00953193"/>
    <w:rsid w:val="00953266"/>
    <w:rsid w:val="00953285"/>
    <w:rsid w:val="00953327"/>
    <w:rsid w:val="00953573"/>
    <w:rsid w:val="00953919"/>
    <w:rsid w:val="0095391D"/>
    <w:rsid w:val="0095392A"/>
    <w:rsid w:val="00953956"/>
    <w:rsid w:val="00953959"/>
    <w:rsid w:val="00953966"/>
    <w:rsid w:val="00953A7E"/>
    <w:rsid w:val="00953AC0"/>
    <w:rsid w:val="00953AC7"/>
    <w:rsid w:val="00953C0B"/>
    <w:rsid w:val="00953C1C"/>
    <w:rsid w:val="00953DAD"/>
    <w:rsid w:val="00953DD0"/>
    <w:rsid w:val="00953E85"/>
    <w:rsid w:val="0095437F"/>
    <w:rsid w:val="00954410"/>
    <w:rsid w:val="00954438"/>
    <w:rsid w:val="009545A5"/>
    <w:rsid w:val="00954609"/>
    <w:rsid w:val="00954628"/>
    <w:rsid w:val="009547E7"/>
    <w:rsid w:val="00954800"/>
    <w:rsid w:val="009548C5"/>
    <w:rsid w:val="00954B9B"/>
    <w:rsid w:val="00954C8C"/>
    <w:rsid w:val="00954CEA"/>
    <w:rsid w:val="00954DF1"/>
    <w:rsid w:val="00954EA9"/>
    <w:rsid w:val="00954EF1"/>
    <w:rsid w:val="00954F40"/>
    <w:rsid w:val="00954F4F"/>
    <w:rsid w:val="00954FE2"/>
    <w:rsid w:val="0095507C"/>
    <w:rsid w:val="00955142"/>
    <w:rsid w:val="00955169"/>
    <w:rsid w:val="00955278"/>
    <w:rsid w:val="009552C6"/>
    <w:rsid w:val="009552D5"/>
    <w:rsid w:val="0095531B"/>
    <w:rsid w:val="0095535E"/>
    <w:rsid w:val="00955477"/>
    <w:rsid w:val="009554AC"/>
    <w:rsid w:val="00955541"/>
    <w:rsid w:val="00955608"/>
    <w:rsid w:val="00955629"/>
    <w:rsid w:val="00955688"/>
    <w:rsid w:val="009556B5"/>
    <w:rsid w:val="00955779"/>
    <w:rsid w:val="009557FC"/>
    <w:rsid w:val="00955A7B"/>
    <w:rsid w:val="00955C78"/>
    <w:rsid w:val="00955DD6"/>
    <w:rsid w:val="00955E14"/>
    <w:rsid w:val="00955E79"/>
    <w:rsid w:val="00955E98"/>
    <w:rsid w:val="009560C5"/>
    <w:rsid w:val="009560CF"/>
    <w:rsid w:val="009561D9"/>
    <w:rsid w:val="009561DD"/>
    <w:rsid w:val="00956225"/>
    <w:rsid w:val="00956300"/>
    <w:rsid w:val="009563A9"/>
    <w:rsid w:val="00956472"/>
    <w:rsid w:val="00956577"/>
    <w:rsid w:val="00956681"/>
    <w:rsid w:val="0095668D"/>
    <w:rsid w:val="00956A6C"/>
    <w:rsid w:val="00956ACE"/>
    <w:rsid w:val="00956C7F"/>
    <w:rsid w:val="00956CD6"/>
    <w:rsid w:val="00956ED0"/>
    <w:rsid w:val="00956F2B"/>
    <w:rsid w:val="00956F4C"/>
    <w:rsid w:val="00956F50"/>
    <w:rsid w:val="00956FCD"/>
    <w:rsid w:val="00957250"/>
    <w:rsid w:val="009572A0"/>
    <w:rsid w:val="00957420"/>
    <w:rsid w:val="00957448"/>
    <w:rsid w:val="009574A2"/>
    <w:rsid w:val="009574A8"/>
    <w:rsid w:val="009574C5"/>
    <w:rsid w:val="0095765F"/>
    <w:rsid w:val="009577E5"/>
    <w:rsid w:val="0095781C"/>
    <w:rsid w:val="00957A0D"/>
    <w:rsid w:val="00957B00"/>
    <w:rsid w:val="00957B4F"/>
    <w:rsid w:val="00957C71"/>
    <w:rsid w:val="00957CA9"/>
    <w:rsid w:val="00957CE6"/>
    <w:rsid w:val="00957D1B"/>
    <w:rsid w:val="00957D24"/>
    <w:rsid w:val="00957D45"/>
    <w:rsid w:val="00957D7F"/>
    <w:rsid w:val="00957D8D"/>
    <w:rsid w:val="00957D9A"/>
    <w:rsid w:val="00957DE7"/>
    <w:rsid w:val="00957E2C"/>
    <w:rsid w:val="00960043"/>
    <w:rsid w:val="00960196"/>
    <w:rsid w:val="009601C1"/>
    <w:rsid w:val="009603D5"/>
    <w:rsid w:val="009603E4"/>
    <w:rsid w:val="00960419"/>
    <w:rsid w:val="00960426"/>
    <w:rsid w:val="009604A0"/>
    <w:rsid w:val="009605BD"/>
    <w:rsid w:val="00960651"/>
    <w:rsid w:val="0096076E"/>
    <w:rsid w:val="009608AA"/>
    <w:rsid w:val="009608F6"/>
    <w:rsid w:val="00960940"/>
    <w:rsid w:val="009609E7"/>
    <w:rsid w:val="00960AE6"/>
    <w:rsid w:val="00960B22"/>
    <w:rsid w:val="00960CBF"/>
    <w:rsid w:val="00960DA3"/>
    <w:rsid w:val="00960DCF"/>
    <w:rsid w:val="00960E60"/>
    <w:rsid w:val="00960FB7"/>
    <w:rsid w:val="00961002"/>
    <w:rsid w:val="00961003"/>
    <w:rsid w:val="009611F7"/>
    <w:rsid w:val="00961281"/>
    <w:rsid w:val="009612B3"/>
    <w:rsid w:val="00961321"/>
    <w:rsid w:val="00961402"/>
    <w:rsid w:val="00961539"/>
    <w:rsid w:val="009615CB"/>
    <w:rsid w:val="0096165C"/>
    <w:rsid w:val="0096166F"/>
    <w:rsid w:val="009616C1"/>
    <w:rsid w:val="0096171D"/>
    <w:rsid w:val="0096174C"/>
    <w:rsid w:val="00961897"/>
    <w:rsid w:val="00961A61"/>
    <w:rsid w:val="00961B4A"/>
    <w:rsid w:val="00961B53"/>
    <w:rsid w:val="00961BD0"/>
    <w:rsid w:val="00961CB1"/>
    <w:rsid w:val="00961CFE"/>
    <w:rsid w:val="00961D75"/>
    <w:rsid w:val="00961E56"/>
    <w:rsid w:val="00961EC8"/>
    <w:rsid w:val="00961ED8"/>
    <w:rsid w:val="00961F4C"/>
    <w:rsid w:val="0096201C"/>
    <w:rsid w:val="009620B7"/>
    <w:rsid w:val="009620E7"/>
    <w:rsid w:val="00962130"/>
    <w:rsid w:val="0096216E"/>
    <w:rsid w:val="009621F7"/>
    <w:rsid w:val="00962236"/>
    <w:rsid w:val="009622EB"/>
    <w:rsid w:val="00962390"/>
    <w:rsid w:val="00962516"/>
    <w:rsid w:val="00962533"/>
    <w:rsid w:val="00962A81"/>
    <w:rsid w:val="00962B7C"/>
    <w:rsid w:val="00962C3F"/>
    <w:rsid w:val="00962CE0"/>
    <w:rsid w:val="00962D2F"/>
    <w:rsid w:val="00962D72"/>
    <w:rsid w:val="00962DE9"/>
    <w:rsid w:val="00962FAE"/>
    <w:rsid w:val="00962FD6"/>
    <w:rsid w:val="00963178"/>
    <w:rsid w:val="00963264"/>
    <w:rsid w:val="009634BC"/>
    <w:rsid w:val="00963648"/>
    <w:rsid w:val="009637AB"/>
    <w:rsid w:val="0096389D"/>
    <w:rsid w:val="009638BB"/>
    <w:rsid w:val="00963B63"/>
    <w:rsid w:val="00963BB8"/>
    <w:rsid w:val="00963C84"/>
    <w:rsid w:val="00963D02"/>
    <w:rsid w:val="0096404D"/>
    <w:rsid w:val="0096408D"/>
    <w:rsid w:val="00964097"/>
    <w:rsid w:val="00964098"/>
    <w:rsid w:val="0096436F"/>
    <w:rsid w:val="009643F3"/>
    <w:rsid w:val="00964454"/>
    <w:rsid w:val="00964476"/>
    <w:rsid w:val="009646C1"/>
    <w:rsid w:val="00964715"/>
    <w:rsid w:val="00964780"/>
    <w:rsid w:val="00964791"/>
    <w:rsid w:val="009647B3"/>
    <w:rsid w:val="00964841"/>
    <w:rsid w:val="0096492E"/>
    <w:rsid w:val="00964A62"/>
    <w:rsid w:val="00964B9B"/>
    <w:rsid w:val="00964CB4"/>
    <w:rsid w:val="00964DE0"/>
    <w:rsid w:val="00964E37"/>
    <w:rsid w:val="00965145"/>
    <w:rsid w:val="009652FD"/>
    <w:rsid w:val="009654B4"/>
    <w:rsid w:val="00965719"/>
    <w:rsid w:val="00965978"/>
    <w:rsid w:val="00965A11"/>
    <w:rsid w:val="00965A2F"/>
    <w:rsid w:val="00965A83"/>
    <w:rsid w:val="00965ABE"/>
    <w:rsid w:val="00965C8C"/>
    <w:rsid w:val="00965DBD"/>
    <w:rsid w:val="00965E29"/>
    <w:rsid w:val="00965ED5"/>
    <w:rsid w:val="00966132"/>
    <w:rsid w:val="009662F8"/>
    <w:rsid w:val="00966314"/>
    <w:rsid w:val="009663D2"/>
    <w:rsid w:val="00966435"/>
    <w:rsid w:val="00966466"/>
    <w:rsid w:val="00966472"/>
    <w:rsid w:val="0096649D"/>
    <w:rsid w:val="00966522"/>
    <w:rsid w:val="009666C3"/>
    <w:rsid w:val="009666CB"/>
    <w:rsid w:val="009667C4"/>
    <w:rsid w:val="0096681C"/>
    <w:rsid w:val="00966ADE"/>
    <w:rsid w:val="00966C24"/>
    <w:rsid w:val="00966C4C"/>
    <w:rsid w:val="00966E86"/>
    <w:rsid w:val="00966EC2"/>
    <w:rsid w:val="00966F7A"/>
    <w:rsid w:val="00966F84"/>
    <w:rsid w:val="00966FA1"/>
    <w:rsid w:val="00966FE9"/>
    <w:rsid w:val="009672C9"/>
    <w:rsid w:val="00967549"/>
    <w:rsid w:val="00967686"/>
    <w:rsid w:val="009676C0"/>
    <w:rsid w:val="00967798"/>
    <w:rsid w:val="0096782B"/>
    <w:rsid w:val="00967A78"/>
    <w:rsid w:val="00967C94"/>
    <w:rsid w:val="00967E6A"/>
    <w:rsid w:val="00967F1B"/>
    <w:rsid w:val="00967F30"/>
    <w:rsid w:val="00967FCA"/>
    <w:rsid w:val="009701DF"/>
    <w:rsid w:val="00970476"/>
    <w:rsid w:val="009704FC"/>
    <w:rsid w:val="0097056B"/>
    <w:rsid w:val="0097059D"/>
    <w:rsid w:val="00970630"/>
    <w:rsid w:val="00970859"/>
    <w:rsid w:val="00970869"/>
    <w:rsid w:val="009708BF"/>
    <w:rsid w:val="00970930"/>
    <w:rsid w:val="009709B1"/>
    <w:rsid w:val="00970A98"/>
    <w:rsid w:val="00970B06"/>
    <w:rsid w:val="00970BB1"/>
    <w:rsid w:val="00970C29"/>
    <w:rsid w:val="00970C59"/>
    <w:rsid w:val="00970CE7"/>
    <w:rsid w:val="00970CFF"/>
    <w:rsid w:val="00970D1E"/>
    <w:rsid w:val="00970DDE"/>
    <w:rsid w:val="00970E88"/>
    <w:rsid w:val="00970EB9"/>
    <w:rsid w:val="00970F4C"/>
    <w:rsid w:val="0097118B"/>
    <w:rsid w:val="009712D8"/>
    <w:rsid w:val="00971516"/>
    <w:rsid w:val="009715EA"/>
    <w:rsid w:val="00971682"/>
    <w:rsid w:val="0097182A"/>
    <w:rsid w:val="00971AAF"/>
    <w:rsid w:val="00971B21"/>
    <w:rsid w:val="00971B29"/>
    <w:rsid w:val="00971B2C"/>
    <w:rsid w:val="00971BC0"/>
    <w:rsid w:val="00971C9D"/>
    <w:rsid w:val="00971CA6"/>
    <w:rsid w:val="00971DCF"/>
    <w:rsid w:val="00971E86"/>
    <w:rsid w:val="00971FD6"/>
    <w:rsid w:val="0097236F"/>
    <w:rsid w:val="00972377"/>
    <w:rsid w:val="00972541"/>
    <w:rsid w:val="0097255C"/>
    <w:rsid w:val="009725B2"/>
    <w:rsid w:val="009726CE"/>
    <w:rsid w:val="00972790"/>
    <w:rsid w:val="0097285C"/>
    <w:rsid w:val="00972999"/>
    <w:rsid w:val="009729B2"/>
    <w:rsid w:val="00972A28"/>
    <w:rsid w:val="00972B1B"/>
    <w:rsid w:val="00972C0E"/>
    <w:rsid w:val="00972C8B"/>
    <w:rsid w:val="00972E8A"/>
    <w:rsid w:val="00972E9D"/>
    <w:rsid w:val="00972F8E"/>
    <w:rsid w:val="0097312A"/>
    <w:rsid w:val="00973198"/>
    <w:rsid w:val="009731E0"/>
    <w:rsid w:val="00973201"/>
    <w:rsid w:val="009732D2"/>
    <w:rsid w:val="0097332D"/>
    <w:rsid w:val="00973425"/>
    <w:rsid w:val="0097342A"/>
    <w:rsid w:val="0097349D"/>
    <w:rsid w:val="00973553"/>
    <w:rsid w:val="009735E8"/>
    <w:rsid w:val="009736BD"/>
    <w:rsid w:val="009737DD"/>
    <w:rsid w:val="009738AB"/>
    <w:rsid w:val="009738AE"/>
    <w:rsid w:val="0097391D"/>
    <w:rsid w:val="00973997"/>
    <w:rsid w:val="00973A28"/>
    <w:rsid w:val="00973A9B"/>
    <w:rsid w:val="00973BB0"/>
    <w:rsid w:val="00973BC3"/>
    <w:rsid w:val="00973C84"/>
    <w:rsid w:val="00973DFF"/>
    <w:rsid w:val="00973E54"/>
    <w:rsid w:val="00973F88"/>
    <w:rsid w:val="00973FE2"/>
    <w:rsid w:val="00974118"/>
    <w:rsid w:val="0097413F"/>
    <w:rsid w:val="00974166"/>
    <w:rsid w:val="009741B1"/>
    <w:rsid w:val="009741D0"/>
    <w:rsid w:val="00974441"/>
    <w:rsid w:val="009745B7"/>
    <w:rsid w:val="00974909"/>
    <w:rsid w:val="00974A23"/>
    <w:rsid w:val="00974AEF"/>
    <w:rsid w:val="00974AFA"/>
    <w:rsid w:val="00974DBB"/>
    <w:rsid w:val="00974DDC"/>
    <w:rsid w:val="00974DE3"/>
    <w:rsid w:val="00974E6F"/>
    <w:rsid w:val="00974F41"/>
    <w:rsid w:val="00974FAC"/>
    <w:rsid w:val="00975085"/>
    <w:rsid w:val="009750F4"/>
    <w:rsid w:val="00975150"/>
    <w:rsid w:val="00975285"/>
    <w:rsid w:val="0097534C"/>
    <w:rsid w:val="0097543A"/>
    <w:rsid w:val="009754FA"/>
    <w:rsid w:val="0097551B"/>
    <w:rsid w:val="0097554F"/>
    <w:rsid w:val="0097557E"/>
    <w:rsid w:val="00975655"/>
    <w:rsid w:val="0097566B"/>
    <w:rsid w:val="0097571D"/>
    <w:rsid w:val="009757F8"/>
    <w:rsid w:val="00975802"/>
    <w:rsid w:val="009759B7"/>
    <w:rsid w:val="00975AC8"/>
    <w:rsid w:val="00975B3C"/>
    <w:rsid w:val="00975D27"/>
    <w:rsid w:val="00975E10"/>
    <w:rsid w:val="00975F5B"/>
    <w:rsid w:val="00975FB4"/>
    <w:rsid w:val="0097628C"/>
    <w:rsid w:val="009762DB"/>
    <w:rsid w:val="0097630B"/>
    <w:rsid w:val="009763AB"/>
    <w:rsid w:val="009764C1"/>
    <w:rsid w:val="00976528"/>
    <w:rsid w:val="0097658D"/>
    <w:rsid w:val="009766A0"/>
    <w:rsid w:val="009766B8"/>
    <w:rsid w:val="009767A3"/>
    <w:rsid w:val="0097680E"/>
    <w:rsid w:val="009768BC"/>
    <w:rsid w:val="00976959"/>
    <w:rsid w:val="009769C5"/>
    <w:rsid w:val="00976D5A"/>
    <w:rsid w:val="00976DFD"/>
    <w:rsid w:val="00976E1E"/>
    <w:rsid w:val="00976E5B"/>
    <w:rsid w:val="00976EBF"/>
    <w:rsid w:val="00976F68"/>
    <w:rsid w:val="009771CF"/>
    <w:rsid w:val="009771F1"/>
    <w:rsid w:val="00977317"/>
    <w:rsid w:val="00977450"/>
    <w:rsid w:val="009774AC"/>
    <w:rsid w:val="009777CB"/>
    <w:rsid w:val="009778BD"/>
    <w:rsid w:val="00977AB9"/>
    <w:rsid w:val="00977C1C"/>
    <w:rsid w:val="00977C9A"/>
    <w:rsid w:val="00977CE5"/>
    <w:rsid w:val="00977EA6"/>
    <w:rsid w:val="009802F3"/>
    <w:rsid w:val="0098035A"/>
    <w:rsid w:val="009803A9"/>
    <w:rsid w:val="009803CB"/>
    <w:rsid w:val="009803D4"/>
    <w:rsid w:val="0098050B"/>
    <w:rsid w:val="00980725"/>
    <w:rsid w:val="009807A2"/>
    <w:rsid w:val="0098096E"/>
    <w:rsid w:val="00980970"/>
    <w:rsid w:val="00980AA0"/>
    <w:rsid w:val="00980AEC"/>
    <w:rsid w:val="00980B10"/>
    <w:rsid w:val="00980EE3"/>
    <w:rsid w:val="00980F0F"/>
    <w:rsid w:val="009810B8"/>
    <w:rsid w:val="009812C6"/>
    <w:rsid w:val="00981519"/>
    <w:rsid w:val="0098158D"/>
    <w:rsid w:val="009815E0"/>
    <w:rsid w:val="009816C9"/>
    <w:rsid w:val="0098178D"/>
    <w:rsid w:val="009818B3"/>
    <w:rsid w:val="0098192E"/>
    <w:rsid w:val="0098199C"/>
    <w:rsid w:val="00981A1F"/>
    <w:rsid w:val="00981BC6"/>
    <w:rsid w:val="00981BEB"/>
    <w:rsid w:val="00981D80"/>
    <w:rsid w:val="00981E17"/>
    <w:rsid w:val="00982082"/>
    <w:rsid w:val="0098210E"/>
    <w:rsid w:val="009821B6"/>
    <w:rsid w:val="009821B7"/>
    <w:rsid w:val="0098225F"/>
    <w:rsid w:val="0098227F"/>
    <w:rsid w:val="00982280"/>
    <w:rsid w:val="0098229D"/>
    <w:rsid w:val="00982552"/>
    <w:rsid w:val="00982568"/>
    <w:rsid w:val="0098268D"/>
    <w:rsid w:val="00982698"/>
    <w:rsid w:val="009827C3"/>
    <w:rsid w:val="00982977"/>
    <w:rsid w:val="00982A12"/>
    <w:rsid w:val="00982A4E"/>
    <w:rsid w:val="00982A50"/>
    <w:rsid w:val="00982C29"/>
    <w:rsid w:val="00982D3D"/>
    <w:rsid w:val="00982D4E"/>
    <w:rsid w:val="00982E2C"/>
    <w:rsid w:val="00982F50"/>
    <w:rsid w:val="0098316F"/>
    <w:rsid w:val="009831C7"/>
    <w:rsid w:val="009831DD"/>
    <w:rsid w:val="0098322E"/>
    <w:rsid w:val="00983264"/>
    <w:rsid w:val="009832D1"/>
    <w:rsid w:val="009833AB"/>
    <w:rsid w:val="009833BD"/>
    <w:rsid w:val="0098342A"/>
    <w:rsid w:val="00983483"/>
    <w:rsid w:val="009834FE"/>
    <w:rsid w:val="009835A2"/>
    <w:rsid w:val="009836F0"/>
    <w:rsid w:val="00983809"/>
    <w:rsid w:val="0098390D"/>
    <w:rsid w:val="0098393F"/>
    <w:rsid w:val="00983B66"/>
    <w:rsid w:val="00983C15"/>
    <w:rsid w:val="00983C88"/>
    <w:rsid w:val="00983C8E"/>
    <w:rsid w:val="00983EDC"/>
    <w:rsid w:val="00983F6C"/>
    <w:rsid w:val="009840CA"/>
    <w:rsid w:val="00984178"/>
    <w:rsid w:val="009841D4"/>
    <w:rsid w:val="0098427C"/>
    <w:rsid w:val="009842E9"/>
    <w:rsid w:val="009843A3"/>
    <w:rsid w:val="009843EC"/>
    <w:rsid w:val="00984417"/>
    <w:rsid w:val="009844B5"/>
    <w:rsid w:val="009845F3"/>
    <w:rsid w:val="0098474E"/>
    <w:rsid w:val="00984822"/>
    <w:rsid w:val="009848C3"/>
    <w:rsid w:val="00984982"/>
    <w:rsid w:val="009849D4"/>
    <w:rsid w:val="00984B85"/>
    <w:rsid w:val="00984BFB"/>
    <w:rsid w:val="00984D32"/>
    <w:rsid w:val="00984DB9"/>
    <w:rsid w:val="00984E7F"/>
    <w:rsid w:val="00984EF3"/>
    <w:rsid w:val="00984F19"/>
    <w:rsid w:val="00984F8A"/>
    <w:rsid w:val="00985103"/>
    <w:rsid w:val="0098531C"/>
    <w:rsid w:val="0098538D"/>
    <w:rsid w:val="009856A4"/>
    <w:rsid w:val="009856B7"/>
    <w:rsid w:val="009857CE"/>
    <w:rsid w:val="00985898"/>
    <w:rsid w:val="00985904"/>
    <w:rsid w:val="0098593C"/>
    <w:rsid w:val="0098595B"/>
    <w:rsid w:val="00985B54"/>
    <w:rsid w:val="00985B86"/>
    <w:rsid w:val="00985BCB"/>
    <w:rsid w:val="00985CF3"/>
    <w:rsid w:val="00985D78"/>
    <w:rsid w:val="00985FA8"/>
    <w:rsid w:val="00986377"/>
    <w:rsid w:val="0098649D"/>
    <w:rsid w:val="0098662D"/>
    <w:rsid w:val="009866E5"/>
    <w:rsid w:val="0098690F"/>
    <w:rsid w:val="00986991"/>
    <w:rsid w:val="00986D46"/>
    <w:rsid w:val="00986FFF"/>
    <w:rsid w:val="00987055"/>
    <w:rsid w:val="0098707D"/>
    <w:rsid w:val="009870C7"/>
    <w:rsid w:val="00987150"/>
    <w:rsid w:val="009871B9"/>
    <w:rsid w:val="009873F3"/>
    <w:rsid w:val="0098741D"/>
    <w:rsid w:val="00987460"/>
    <w:rsid w:val="00987513"/>
    <w:rsid w:val="009876D9"/>
    <w:rsid w:val="00987768"/>
    <w:rsid w:val="00987875"/>
    <w:rsid w:val="009879BF"/>
    <w:rsid w:val="009879CF"/>
    <w:rsid w:val="00987A38"/>
    <w:rsid w:val="00987AD7"/>
    <w:rsid w:val="00987BF5"/>
    <w:rsid w:val="00987D20"/>
    <w:rsid w:val="00987DB4"/>
    <w:rsid w:val="00987DDD"/>
    <w:rsid w:val="00987FA5"/>
    <w:rsid w:val="009901DF"/>
    <w:rsid w:val="00990465"/>
    <w:rsid w:val="009906E5"/>
    <w:rsid w:val="009906F7"/>
    <w:rsid w:val="00990867"/>
    <w:rsid w:val="0099088C"/>
    <w:rsid w:val="00990C55"/>
    <w:rsid w:val="00990E8A"/>
    <w:rsid w:val="00991020"/>
    <w:rsid w:val="009910F0"/>
    <w:rsid w:val="0099110B"/>
    <w:rsid w:val="00991496"/>
    <w:rsid w:val="009914FE"/>
    <w:rsid w:val="009917A5"/>
    <w:rsid w:val="00991822"/>
    <w:rsid w:val="0099190F"/>
    <w:rsid w:val="0099191D"/>
    <w:rsid w:val="00991ABB"/>
    <w:rsid w:val="00991BD4"/>
    <w:rsid w:val="00991E97"/>
    <w:rsid w:val="0099207E"/>
    <w:rsid w:val="00992229"/>
    <w:rsid w:val="009922CA"/>
    <w:rsid w:val="00992339"/>
    <w:rsid w:val="0099233F"/>
    <w:rsid w:val="009924B7"/>
    <w:rsid w:val="00992504"/>
    <w:rsid w:val="00992533"/>
    <w:rsid w:val="0099263C"/>
    <w:rsid w:val="00992675"/>
    <w:rsid w:val="00992936"/>
    <w:rsid w:val="0099296E"/>
    <w:rsid w:val="009929B0"/>
    <w:rsid w:val="00992A0C"/>
    <w:rsid w:val="00992A2B"/>
    <w:rsid w:val="00992A91"/>
    <w:rsid w:val="00992C37"/>
    <w:rsid w:val="00992CB8"/>
    <w:rsid w:val="00992CF7"/>
    <w:rsid w:val="00992E6C"/>
    <w:rsid w:val="00992EDD"/>
    <w:rsid w:val="00992F9A"/>
    <w:rsid w:val="00992FC1"/>
    <w:rsid w:val="00993099"/>
    <w:rsid w:val="00993161"/>
    <w:rsid w:val="009931A5"/>
    <w:rsid w:val="009931A9"/>
    <w:rsid w:val="009931ED"/>
    <w:rsid w:val="00993228"/>
    <w:rsid w:val="009933CD"/>
    <w:rsid w:val="009936A1"/>
    <w:rsid w:val="009936C1"/>
    <w:rsid w:val="0099379C"/>
    <w:rsid w:val="00993867"/>
    <w:rsid w:val="00993956"/>
    <w:rsid w:val="00993E42"/>
    <w:rsid w:val="00993FEC"/>
    <w:rsid w:val="0099413F"/>
    <w:rsid w:val="00994204"/>
    <w:rsid w:val="00994481"/>
    <w:rsid w:val="009944BA"/>
    <w:rsid w:val="00994604"/>
    <w:rsid w:val="00994652"/>
    <w:rsid w:val="00994654"/>
    <w:rsid w:val="00994A13"/>
    <w:rsid w:val="00994C42"/>
    <w:rsid w:val="00994DC3"/>
    <w:rsid w:val="00994DD7"/>
    <w:rsid w:val="00994EA7"/>
    <w:rsid w:val="00994F2C"/>
    <w:rsid w:val="00995090"/>
    <w:rsid w:val="0099514D"/>
    <w:rsid w:val="0099525D"/>
    <w:rsid w:val="009952C3"/>
    <w:rsid w:val="009953E2"/>
    <w:rsid w:val="009956C3"/>
    <w:rsid w:val="0099570F"/>
    <w:rsid w:val="00995711"/>
    <w:rsid w:val="00995752"/>
    <w:rsid w:val="00995905"/>
    <w:rsid w:val="00995A60"/>
    <w:rsid w:val="00995B8A"/>
    <w:rsid w:val="00995B90"/>
    <w:rsid w:val="00995C13"/>
    <w:rsid w:val="00995C24"/>
    <w:rsid w:val="00995C38"/>
    <w:rsid w:val="00995C58"/>
    <w:rsid w:val="00995E98"/>
    <w:rsid w:val="00995EE1"/>
    <w:rsid w:val="00995F1D"/>
    <w:rsid w:val="0099606B"/>
    <w:rsid w:val="00996151"/>
    <w:rsid w:val="0099634A"/>
    <w:rsid w:val="00996350"/>
    <w:rsid w:val="00996467"/>
    <w:rsid w:val="009964A7"/>
    <w:rsid w:val="009964DF"/>
    <w:rsid w:val="00996668"/>
    <w:rsid w:val="00996670"/>
    <w:rsid w:val="009966C3"/>
    <w:rsid w:val="0099677F"/>
    <w:rsid w:val="009967AA"/>
    <w:rsid w:val="009967CE"/>
    <w:rsid w:val="00996888"/>
    <w:rsid w:val="0099691C"/>
    <w:rsid w:val="009969D6"/>
    <w:rsid w:val="00996A7C"/>
    <w:rsid w:val="00996C33"/>
    <w:rsid w:val="00996C84"/>
    <w:rsid w:val="00996CDB"/>
    <w:rsid w:val="00996CE8"/>
    <w:rsid w:val="00996D0B"/>
    <w:rsid w:val="00996D19"/>
    <w:rsid w:val="00996D2B"/>
    <w:rsid w:val="00996DC8"/>
    <w:rsid w:val="00996E1C"/>
    <w:rsid w:val="00996E74"/>
    <w:rsid w:val="00996E8E"/>
    <w:rsid w:val="00996F15"/>
    <w:rsid w:val="00997107"/>
    <w:rsid w:val="00997154"/>
    <w:rsid w:val="00997171"/>
    <w:rsid w:val="00997429"/>
    <w:rsid w:val="009975D4"/>
    <w:rsid w:val="009977A8"/>
    <w:rsid w:val="009978ED"/>
    <w:rsid w:val="00997A15"/>
    <w:rsid w:val="00997ADC"/>
    <w:rsid w:val="00997B8E"/>
    <w:rsid w:val="00997BA8"/>
    <w:rsid w:val="00997C16"/>
    <w:rsid w:val="00997F85"/>
    <w:rsid w:val="00997FB5"/>
    <w:rsid w:val="009A0011"/>
    <w:rsid w:val="009A004C"/>
    <w:rsid w:val="009A0068"/>
    <w:rsid w:val="009A01CE"/>
    <w:rsid w:val="009A02CC"/>
    <w:rsid w:val="009A03FD"/>
    <w:rsid w:val="009A04DA"/>
    <w:rsid w:val="009A0544"/>
    <w:rsid w:val="009A0634"/>
    <w:rsid w:val="009A06C8"/>
    <w:rsid w:val="009A06CC"/>
    <w:rsid w:val="009A06F4"/>
    <w:rsid w:val="009A0755"/>
    <w:rsid w:val="009A0982"/>
    <w:rsid w:val="009A09E0"/>
    <w:rsid w:val="009A0A70"/>
    <w:rsid w:val="009A0A72"/>
    <w:rsid w:val="009A0AE6"/>
    <w:rsid w:val="009A0B08"/>
    <w:rsid w:val="009A0B27"/>
    <w:rsid w:val="009A0CEA"/>
    <w:rsid w:val="009A0D48"/>
    <w:rsid w:val="009A0DAE"/>
    <w:rsid w:val="009A0DAF"/>
    <w:rsid w:val="009A105E"/>
    <w:rsid w:val="009A106A"/>
    <w:rsid w:val="009A1137"/>
    <w:rsid w:val="009A1236"/>
    <w:rsid w:val="009A12D1"/>
    <w:rsid w:val="009A143F"/>
    <w:rsid w:val="009A148B"/>
    <w:rsid w:val="009A150C"/>
    <w:rsid w:val="009A15BE"/>
    <w:rsid w:val="009A16CE"/>
    <w:rsid w:val="009A16DA"/>
    <w:rsid w:val="009A1785"/>
    <w:rsid w:val="009A1877"/>
    <w:rsid w:val="009A192F"/>
    <w:rsid w:val="009A1962"/>
    <w:rsid w:val="009A19BF"/>
    <w:rsid w:val="009A1D33"/>
    <w:rsid w:val="009A1ECD"/>
    <w:rsid w:val="009A2026"/>
    <w:rsid w:val="009A214A"/>
    <w:rsid w:val="009A223C"/>
    <w:rsid w:val="009A24FE"/>
    <w:rsid w:val="009A26FB"/>
    <w:rsid w:val="009A2825"/>
    <w:rsid w:val="009A29E6"/>
    <w:rsid w:val="009A2B2C"/>
    <w:rsid w:val="009A2BB9"/>
    <w:rsid w:val="009A2CF2"/>
    <w:rsid w:val="009A2D20"/>
    <w:rsid w:val="009A2F34"/>
    <w:rsid w:val="009A3190"/>
    <w:rsid w:val="009A33F5"/>
    <w:rsid w:val="009A354A"/>
    <w:rsid w:val="009A35D9"/>
    <w:rsid w:val="009A3778"/>
    <w:rsid w:val="009A37A6"/>
    <w:rsid w:val="009A37B1"/>
    <w:rsid w:val="009A3A14"/>
    <w:rsid w:val="009A3B35"/>
    <w:rsid w:val="009A3B3B"/>
    <w:rsid w:val="009A3E27"/>
    <w:rsid w:val="009A3E2E"/>
    <w:rsid w:val="009A3EB1"/>
    <w:rsid w:val="009A3EF9"/>
    <w:rsid w:val="009A4065"/>
    <w:rsid w:val="009A40BB"/>
    <w:rsid w:val="009A422F"/>
    <w:rsid w:val="009A42DE"/>
    <w:rsid w:val="009A431C"/>
    <w:rsid w:val="009A4392"/>
    <w:rsid w:val="009A4396"/>
    <w:rsid w:val="009A4434"/>
    <w:rsid w:val="009A4461"/>
    <w:rsid w:val="009A446F"/>
    <w:rsid w:val="009A44C1"/>
    <w:rsid w:val="009A45AA"/>
    <w:rsid w:val="009A45C5"/>
    <w:rsid w:val="009A4686"/>
    <w:rsid w:val="009A4694"/>
    <w:rsid w:val="009A4696"/>
    <w:rsid w:val="009A4757"/>
    <w:rsid w:val="009A47A1"/>
    <w:rsid w:val="009A48B2"/>
    <w:rsid w:val="009A4B15"/>
    <w:rsid w:val="009A4B3F"/>
    <w:rsid w:val="009A4CC0"/>
    <w:rsid w:val="009A4CE9"/>
    <w:rsid w:val="009A4EBD"/>
    <w:rsid w:val="009A4EF2"/>
    <w:rsid w:val="009A4F1D"/>
    <w:rsid w:val="009A5117"/>
    <w:rsid w:val="009A528B"/>
    <w:rsid w:val="009A553A"/>
    <w:rsid w:val="009A55AB"/>
    <w:rsid w:val="009A55DA"/>
    <w:rsid w:val="009A564D"/>
    <w:rsid w:val="009A56E2"/>
    <w:rsid w:val="009A56EA"/>
    <w:rsid w:val="009A58E0"/>
    <w:rsid w:val="009A5AB6"/>
    <w:rsid w:val="009A5B48"/>
    <w:rsid w:val="009A5CC6"/>
    <w:rsid w:val="009A5D05"/>
    <w:rsid w:val="009A5DF6"/>
    <w:rsid w:val="009A5EAA"/>
    <w:rsid w:val="009A5EB7"/>
    <w:rsid w:val="009A5FE0"/>
    <w:rsid w:val="009A5FF1"/>
    <w:rsid w:val="009A6094"/>
    <w:rsid w:val="009A6113"/>
    <w:rsid w:val="009A61F9"/>
    <w:rsid w:val="009A6215"/>
    <w:rsid w:val="009A63E7"/>
    <w:rsid w:val="009A63FB"/>
    <w:rsid w:val="009A649E"/>
    <w:rsid w:val="009A64B8"/>
    <w:rsid w:val="009A6506"/>
    <w:rsid w:val="009A662C"/>
    <w:rsid w:val="009A67B5"/>
    <w:rsid w:val="009A6910"/>
    <w:rsid w:val="009A6922"/>
    <w:rsid w:val="009A69B8"/>
    <w:rsid w:val="009A69CE"/>
    <w:rsid w:val="009A6A83"/>
    <w:rsid w:val="009A6C2F"/>
    <w:rsid w:val="009A6EEC"/>
    <w:rsid w:val="009A6EF6"/>
    <w:rsid w:val="009A7006"/>
    <w:rsid w:val="009A7013"/>
    <w:rsid w:val="009A7098"/>
    <w:rsid w:val="009A70CE"/>
    <w:rsid w:val="009A71CB"/>
    <w:rsid w:val="009A7260"/>
    <w:rsid w:val="009A7356"/>
    <w:rsid w:val="009A7525"/>
    <w:rsid w:val="009A7609"/>
    <w:rsid w:val="009A760D"/>
    <w:rsid w:val="009A7644"/>
    <w:rsid w:val="009A7738"/>
    <w:rsid w:val="009A7806"/>
    <w:rsid w:val="009A7977"/>
    <w:rsid w:val="009A79A6"/>
    <w:rsid w:val="009A7A2F"/>
    <w:rsid w:val="009A7B94"/>
    <w:rsid w:val="009A7BB1"/>
    <w:rsid w:val="009A7CF4"/>
    <w:rsid w:val="009A7E96"/>
    <w:rsid w:val="009A7F34"/>
    <w:rsid w:val="009A7F70"/>
    <w:rsid w:val="009B0217"/>
    <w:rsid w:val="009B02E1"/>
    <w:rsid w:val="009B037D"/>
    <w:rsid w:val="009B0430"/>
    <w:rsid w:val="009B04E7"/>
    <w:rsid w:val="009B089E"/>
    <w:rsid w:val="009B0A7E"/>
    <w:rsid w:val="009B0A80"/>
    <w:rsid w:val="009B0AA6"/>
    <w:rsid w:val="009B0BE9"/>
    <w:rsid w:val="009B0C96"/>
    <w:rsid w:val="009B0D02"/>
    <w:rsid w:val="009B0D2F"/>
    <w:rsid w:val="009B0D89"/>
    <w:rsid w:val="009B1088"/>
    <w:rsid w:val="009B10F3"/>
    <w:rsid w:val="009B1167"/>
    <w:rsid w:val="009B1256"/>
    <w:rsid w:val="009B13AA"/>
    <w:rsid w:val="009B1468"/>
    <w:rsid w:val="009B152D"/>
    <w:rsid w:val="009B15F3"/>
    <w:rsid w:val="009B1634"/>
    <w:rsid w:val="009B1773"/>
    <w:rsid w:val="009B179B"/>
    <w:rsid w:val="009B17BB"/>
    <w:rsid w:val="009B185A"/>
    <w:rsid w:val="009B1988"/>
    <w:rsid w:val="009B1A42"/>
    <w:rsid w:val="009B1B5E"/>
    <w:rsid w:val="009B1C3C"/>
    <w:rsid w:val="009B1CEF"/>
    <w:rsid w:val="009B1D30"/>
    <w:rsid w:val="009B1E48"/>
    <w:rsid w:val="009B1F19"/>
    <w:rsid w:val="009B2067"/>
    <w:rsid w:val="009B2138"/>
    <w:rsid w:val="009B2218"/>
    <w:rsid w:val="009B2245"/>
    <w:rsid w:val="009B224C"/>
    <w:rsid w:val="009B2310"/>
    <w:rsid w:val="009B24F3"/>
    <w:rsid w:val="009B258E"/>
    <w:rsid w:val="009B259A"/>
    <w:rsid w:val="009B273E"/>
    <w:rsid w:val="009B2804"/>
    <w:rsid w:val="009B280E"/>
    <w:rsid w:val="009B2902"/>
    <w:rsid w:val="009B294E"/>
    <w:rsid w:val="009B2C2E"/>
    <w:rsid w:val="009B2C6C"/>
    <w:rsid w:val="009B2C8C"/>
    <w:rsid w:val="009B2DBB"/>
    <w:rsid w:val="009B2DD7"/>
    <w:rsid w:val="009B2E48"/>
    <w:rsid w:val="009B2E87"/>
    <w:rsid w:val="009B2EB4"/>
    <w:rsid w:val="009B2EBE"/>
    <w:rsid w:val="009B3036"/>
    <w:rsid w:val="009B3040"/>
    <w:rsid w:val="009B3057"/>
    <w:rsid w:val="009B3221"/>
    <w:rsid w:val="009B3295"/>
    <w:rsid w:val="009B3377"/>
    <w:rsid w:val="009B34C4"/>
    <w:rsid w:val="009B3532"/>
    <w:rsid w:val="009B36AE"/>
    <w:rsid w:val="009B373B"/>
    <w:rsid w:val="009B380B"/>
    <w:rsid w:val="009B381F"/>
    <w:rsid w:val="009B38FE"/>
    <w:rsid w:val="009B392B"/>
    <w:rsid w:val="009B3C52"/>
    <w:rsid w:val="009B3C65"/>
    <w:rsid w:val="009B3CEE"/>
    <w:rsid w:val="009B3D32"/>
    <w:rsid w:val="009B3E66"/>
    <w:rsid w:val="009B3F4C"/>
    <w:rsid w:val="009B3FCF"/>
    <w:rsid w:val="009B401F"/>
    <w:rsid w:val="009B4071"/>
    <w:rsid w:val="009B40A5"/>
    <w:rsid w:val="009B447A"/>
    <w:rsid w:val="009B449C"/>
    <w:rsid w:val="009B449D"/>
    <w:rsid w:val="009B44A2"/>
    <w:rsid w:val="009B45CD"/>
    <w:rsid w:val="009B4604"/>
    <w:rsid w:val="009B462F"/>
    <w:rsid w:val="009B46A7"/>
    <w:rsid w:val="009B4748"/>
    <w:rsid w:val="009B48C8"/>
    <w:rsid w:val="009B49F0"/>
    <w:rsid w:val="009B4C52"/>
    <w:rsid w:val="009B4C88"/>
    <w:rsid w:val="009B4E4E"/>
    <w:rsid w:val="009B4F99"/>
    <w:rsid w:val="009B51AF"/>
    <w:rsid w:val="009B51EB"/>
    <w:rsid w:val="009B525D"/>
    <w:rsid w:val="009B52B5"/>
    <w:rsid w:val="009B5366"/>
    <w:rsid w:val="009B5368"/>
    <w:rsid w:val="009B53E0"/>
    <w:rsid w:val="009B53E5"/>
    <w:rsid w:val="009B557F"/>
    <w:rsid w:val="009B5580"/>
    <w:rsid w:val="009B5699"/>
    <w:rsid w:val="009B5721"/>
    <w:rsid w:val="009B5988"/>
    <w:rsid w:val="009B5997"/>
    <w:rsid w:val="009B5B13"/>
    <w:rsid w:val="009B5C21"/>
    <w:rsid w:val="009B5C78"/>
    <w:rsid w:val="009B5CBD"/>
    <w:rsid w:val="009B5CD4"/>
    <w:rsid w:val="009B5D0C"/>
    <w:rsid w:val="009B5D4D"/>
    <w:rsid w:val="009B5D7C"/>
    <w:rsid w:val="009B5DE3"/>
    <w:rsid w:val="009B5E4A"/>
    <w:rsid w:val="009B5E6C"/>
    <w:rsid w:val="009B5E78"/>
    <w:rsid w:val="009B6079"/>
    <w:rsid w:val="009B6106"/>
    <w:rsid w:val="009B6295"/>
    <w:rsid w:val="009B62D6"/>
    <w:rsid w:val="009B64A7"/>
    <w:rsid w:val="009B64D6"/>
    <w:rsid w:val="009B6705"/>
    <w:rsid w:val="009B6799"/>
    <w:rsid w:val="009B6813"/>
    <w:rsid w:val="009B6959"/>
    <w:rsid w:val="009B6B23"/>
    <w:rsid w:val="009B7008"/>
    <w:rsid w:val="009B70E8"/>
    <w:rsid w:val="009B71F1"/>
    <w:rsid w:val="009B7226"/>
    <w:rsid w:val="009B731E"/>
    <w:rsid w:val="009B7331"/>
    <w:rsid w:val="009B737C"/>
    <w:rsid w:val="009B7396"/>
    <w:rsid w:val="009B73A9"/>
    <w:rsid w:val="009B7504"/>
    <w:rsid w:val="009B7508"/>
    <w:rsid w:val="009B7574"/>
    <w:rsid w:val="009B75F5"/>
    <w:rsid w:val="009B766D"/>
    <w:rsid w:val="009B769A"/>
    <w:rsid w:val="009B77A7"/>
    <w:rsid w:val="009B7860"/>
    <w:rsid w:val="009B7ABD"/>
    <w:rsid w:val="009B7ACF"/>
    <w:rsid w:val="009B7B4F"/>
    <w:rsid w:val="009B7BC0"/>
    <w:rsid w:val="009B7D65"/>
    <w:rsid w:val="009B7DB4"/>
    <w:rsid w:val="009B7E0B"/>
    <w:rsid w:val="009B7EA6"/>
    <w:rsid w:val="009B7EF0"/>
    <w:rsid w:val="009C0023"/>
    <w:rsid w:val="009C01AE"/>
    <w:rsid w:val="009C0273"/>
    <w:rsid w:val="009C0288"/>
    <w:rsid w:val="009C052B"/>
    <w:rsid w:val="009C063C"/>
    <w:rsid w:val="009C0955"/>
    <w:rsid w:val="009C0A46"/>
    <w:rsid w:val="009C0B10"/>
    <w:rsid w:val="009C0B3C"/>
    <w:rsid w:val="009C0CBA"/>
    <w:rsid w:val="009C0D5D"/>
    <w:rsid w:val="009C0D8C"/>
    <w:rsid w:val="009C0E0B"/>
    <w:rsid w:val="009C0E65"/>
    <w:rsid w:val="009C0EB5"/>
    <w:rsid w:val="009C0F51"/>
    <w:rsid w:val="009C104A"/>
    <w:rsid w:val="009C1111"/>
    <w:rsid w:val="009C1123"/>
    <w:rsid w:val="009C1125"/>
    <w:rsid w:val="009C1193"/>
    <w:rsid w:val="009C1198"/>
    <w:rsid w:val="009C11B4"/>
    <w:rsid w:val="009C1379"/>
    <w:rsid w:val="009C171A"/>
    <w:rsid w:val="009C173B"/>
    <w:rsid w:val="009C17D6"/>
    <w:rsid w:val="009C1AB0"/>
    <w:rsid w:val="009C1BD6"/>
    <w:rsid w:val="009C1CA3"/>
    <w:rsid w:val="009C1CB0"/>
    <w:rsid w:val="009C1D27"/>
    <w:rsid w:val="009C1FDF"/>
    <w:rsid w:val="009C2017"/>
    <w:rsid w:val="009C2312"/>
    <w:rsid w:val="009C25FA"/>
    <w:rsid w:val="009C2645"/>
    <w:rsid w:val="009C26FE"/>
    <w:rsid w:val="009C2795"/>
    <w:rsid w:val="009C2872"/>
    <w:rsid w:val="009C2A06"/>
    <w:rsid w:val="009C2A32"/>
    <w:rsid w:val="009C2B7B"/>
    <w:rsid w:val="009C2BBB"/>
    <w:rsid w:val="009C2C26"/>
    <w:rsid w:val="009C2C75"/>
    <w:rsid w:val="009C2E19"/>
    <w:rsid w:val="009C2EE9"/>
    <w:rsid w:val="009C2F3C"/>
    <w:rsid w:val="009C3055"/>
    <w:rsid w:val="009C312A"/>
    <w:rsid w:val="009C3160"/>
    <w:rsid w:val="009C31D6"/>
    <w:rsid w:val="009C324B"/>
    <w:rsid w:val="009C333E"/>
    <w:rsid w:val="009C33A3"/>
    <w:rsid w:val="009C33B0"/>
    <w:rsid w:val="009C37C7"/>
    <w:rsid w:val="009C3826"/>
    <w:rsid w:val="009C3AA0"/>
    <w:rsid w:val="009C3B66"/>
    <w:rsid w:val="009C3B9B"/>
    <w:rsid w:val="009C3BD9"/>
    <w:rsid w:val="009C3C23"/>
    <w:rsid w:val="009C3CB1"/>
    <w:rsid w:val="009C3FC7"/>
    <w:rsid w:val="009C409C"/>
    <w:rsid w:val="009C4381"/>
    <w:rsid w:val="009C438F"/>
    <w:rsid w:val="009C43E8"/>
    <w:rsid w:val="009C43EC"/>
    <w:rsid w:val="009C4578"/>
    <w:rsid w:val="009C45DA"/>
    <w:rsid w:val="009C486E"/>
    <w:rsid w:val="009C4875"/>
    <w:rsid w:val="009C4919"/>
    <w:rsid w:val="009C4AD5"/>
    <w:rsid w:val="009C4BB1"/>
    <w:rsid w:val="009C4C15"/>
    <w:rsid w:val="009C4DA5"/>
    <w:rsid w:val="009C4E8D"/>
    <w:rsid w:val="009C4F0F"/>
    <w:rsid w:val="009C5113"/>
    <w:rsid w:val="009C519B"/>
    <w:rsid w:val="009C5259"/>
    <w:rsid w:val="009C5349"/>
    <w:rsid w:val="009C5350"/>
    <w:rsid w:val="009C5434"/>
    <w:rsid w:val="009C56D2"/>
    <w:rsid w:val="009C5725"/>
    <w:rsid w:val="009C5867"/>
    <w:rsid w:val="009C58D5"/>
    <w:rsid w:val="009C592C"/>
    <w:rsid w:val="009C59D0"/>
    <w:rsid w:val="009C5A27"/>
    <w:rsid w:val="009C5B82"/>
    <w:rsid w:val="009C5BDF"/>
    <w:rsid w:val="009C5C55"/>
    <w:rsid w:val="009C5E3F"/>
    <w:rsid w:val="009C5E5D"/>
    <w:rsid w:val="009C5ED2"/>
    <w:rsid w:val="009C6327"/>
    <w:rsid w:val="009C639E"/>
    <w:rsid w:val="009C6754"/>
    <w:rsid w:val="009C678E"/>
    <w:rsid w:val="009C6867"/>
    <w:rsid w:val="009C6914"/>
    <w:rsid w:val="009C69D7"/>
    <w:rsid w:val="009C6A2A"/>
    <w:rsid w:val="009C6AF2"/>
    <w:rsid w:val="009C6C2F"/>
    <w:rsid w:val="009C6C77"/>
    <w:rsid w:val="009C6DEA"/>
    <w:rsid w:val="009C6E24"/>
    <w:rsid w:val="009C6F0A"/>
    <w:rsid w:val="009C6F96"/>
    <w:rsid w:val="009C70AC"/>
    <w:rsid w:val="009C70F9"/>
    <w:rsid w:val="009C714A"/>
    <w:rsid w:val="009C736D"/>
    <w:rsid w:val="009C750F"/>
    <w:rsid w:val="009C756E"/>
    <w:rsid w:val="009C75B7"/>
    <w:rsid w:val="009C76EC"/>
    <w:rsid w:val="009C7735"/>
    <w:rsid w:val="009C778C"/>
    <w:rsid w:val="009C7852"/>
    <w:rsid w:val="009C795F"/>
    <w:rsid w:val="009C79AC"/>
    <w:rsid w:val="009C7A0D"/>
    <w:rsid w:val="009C7A78"/>
    <w:rsid w:val="009C7AC9"/>
    <w:rsid w:val="009C7B48"/>
    <w:rsid w:val="009C7BBA"/>
    <w:rsid w:val="009C7C5D"/>
    <w:rsid w:val="009C7CF4"/>
    <w:rsid w:val="009C7D43"/>
    <w:rsid w:val="009C7D60"/>
    <w:rsid w:val="009C7E4E"/>
    <w:rsid w:val="009C7F5A"/>
    <w:rsid w:val="009C8E9E"/>
    <w:rsid w:val="009D0212"/>
    <w:rsid w:val="009D03AB"/>
    <w:rsid w:val="009D0586"/>
    <w:rsid w:val="009D0955"/>
    <w:rsid w:val="009D0A4E"/>
    <w:rsid w:val="009D0B20"/>
    <w:rsid w:val="009D0BCE"/>
    <w:rsid w:val="009D0EDA"/>
    <w:rsid w:val="009D0F6E"/>
    <w:rsid w:val="009D1018"/>
    <w:rsid w:val="009D1035"/>
    <w:rsid w:val="009D1082"/>
    <w:rsid w:val="009D10C8"/>
    <w:rsid w:val="009D1160"/>
    <w:rsid w:val="009D11EF"/>
    <w:rsid w:val="009D138C"/>
    <w:rsid w:val="009D13AB"/>
    <w:rsid w:val="009D1510"/>
    <w:rsid w:val="009D178A"/>
    <w:rsid w:val="009D180F"/>
    <w:rsid w:val="009D181E"/>
    <w:rsid w:val="009D1885"/>
    <w:rsid w:val="009D18C5"/>
    <w:rsid w:val="009D1991"/>
    <w:rsid w:val="009D1A72"/>
    <w:rsid w:val="009D1A7A"/>
    <w:rsid w:val="009D1A8C"/>
    <w:rsid w:val="009D1BAF"/>
    <w:rsid w:val="009D1C75"/>
    <w:rsid w:val="009D1C7A"/>
    <w:rsid w:val="009D1E08"/>
    <w:rsid w:val="009D1E7A"/>
    <w:rsid w:val="009D1F50"/>
    <w:rsid w:val="009D205B"/>
    <w:rsid w:val="009D20F2"/>
    <w:rsid w:val="009D219E"/>
    <w:rsid w:val="009D21BE"/>
    <w:rsid w:val="009D22C8"/>
    <w:rsid w:val="009D239F"/>
    <w:rsid w:val="009D258F"/>
    <w:rsid w:val="009D2924"/>
    <w:rsid w:val="009D2A4B"/>
    <w:rsid w:val="009D2AA2"/>
    <w:rsid w:val="009D2AEF"/>
    <w:rsid w:val="009D2B6D"/>
    <w:rsid w:val="009D2CD1"/>
    <w:rsid w:val="009D2CDE"/>
    <w:rsid w:val="009D3226"/>
    <w:rsid w:val="009D3344"/>
    <w:rsid w:val="009D3431"/>
    <w:rsid w:val="009D35F6"/>
    <w:rsid w:val="009D37B2"/>
    <w:rsid w:val="009D399B"/>
    <w:rsid w:val="009D3AE5"/>
    <w:rsid w:val="009D3B15"/>
    <w:rsid w:val="009D3B66"/>
    <w:rsid w:val="009D3B70"/>
    <w:rsid w:val="009D3BEF"/>
    <w:rsid w:val="009D3C3D"/>
    <w:rsid w:val="009D3C9A"/>
    <w:rsid w:val="009D3E36"/>
    <w:rsid w:val="009D3E4F"/>
    <w:rsid w:val="009D3F0D"/>
    <w:rsid w:val="009D3FC1"/>
    <w:rsid w:val="009D40D3"/>
    <w:rsid w:val="009D41A8"/>
    <w:rsid w:val="009D4207"/>
    <w:rsid w:val="009D43BA"/>
    <w:rsid w:val="009D452C"/>
    <w:rsid w:val="009D47B0"/>
    <w:rsid w:val="009D494D"/>
    <w:rsid w:val="009D49ED"/>
    <w:rsid w:val="009D4A3F"/>
    <w:rsid w:val="009D4A5F"/>
    <w:rsid w:val="009D4A75"/>
    <w:rsid w:val="009D4AB5"/>
    <w:rsid w:val="009D4AE4"/>
    <w:rsid w:val="009D4B69"/>
    <w:rsid w:val="009D4BE0"/>
    <w:rsid w:val="009D4BE4"/>
    <w:rsid w:val="009D4C09"/>
    <w:rsid w:val="009D4D89"/>
    <w:rsid w:val="009D4FF3"/>
    <w:rsid w:val="009D5156"/>
    <w:rsid w:val="009D51B5"/>
    <w:rsid w:val="009D5230"/>
    <w:rsid w:val="009D5240"/>
    <w:rsid w:val="009D5288"/>
    <w:rsid w:val="009D52C9"/>
    <w:rsid w:val="009D54FD"/>
    <w:rsid w:val="009D55E2"/>
    <w:rsid w:val="009D567F"/>
    <w:rsid w:val="009D56B4"/>
    <w:rsid w:val="009D572C"/>
    <w:rsid w:val="009D574C"/>
    <w:rsid w:val="009D579B"/>
    <w:rsid w:val="009D5939"/>
    <w:rsid w:val="009D594D"/>
    <w:rsid w:val="009D5A94"/>
    <w:rsid w:val="009D5B14"/>
    <w:rsid w:val="009D5B53"/>
    <w:rsid w:val="009D5C38"/>
    <w:rsid w:val="009D5DF5"/>
    <w:rsid w:val="009D5F05"/>
    <w:rsid w:val="009D5F50"/>
    <w:rsid w:val="009D5FB0"/>
    <w:rsid w:val="009D5FDF"/>
    <w:rsid w:val="009D61FC"/>
    <w:rsid w:val="009D62C5"/>
    <w:rsid w:val="009D62D6"/>
    <w:rsid w:val="009D62E0"/>
    <w:rsid w:val="009D62E2"/>
    <w:rsid w:val="009D6412"/>
    <w:rsid w:val="009D6546"/>
    <w:rsid w:val="009D656E"/>
    <w:rsid w:val="009D657A"/>
    <w:rsid w:val="009D659C"/>
    <w:rsid w:val="009D6766"/>
    <w:rsid w:val="009D68CB"/>
    <w:rsid w:val="009D693F"/>
    <w:rsid w:val="009D69DE"/>
    <w:rsid w:val="009D6A93"/>
    <w:rsid w:val="009D6C2D"/>
    <w:rsid w:val="009D6FF0"/>
    <w:rsid w:val="009D7046"/>
    <w:rsid w:val="009D7083"/>
    <w:rsid w:val="009D716E"/>
    <w:rsid w:val="009D72CE"/>
    <w:rsid w:val="009D7349"/>
    <w:rsid w:val="009D7564"/>
    <w:rsid w:val="009D7634"/>
    <w:rsid w:val="009D763F"/>
    <w:rsid w:val="009D77D9"/>
    <w:rsid w:val="009D78A5"/>
    <w:rsid w:val="009D79DA"/>
    <w:rsid w:val="009D7AC0"/>
    <w:rsid w:val="009D7BD3"/>
    <w:rsid w:val="009D7C8C"/>
    <w:rsid w:val="009D7D2B"/>
    <w:rsid w:val="009D7F31"/>
    <w:rsid w:val="009DB490"/>
    <w:rsid w:val="009E01A3"/>
    <w:rsid w:val="009E0353"/>
    <w:rsid w:val="009E042F"/>
    <w:rsid w:val="009E05BD"/>
    <w:rsid w:val="009E0658"/>
    <w:rsid w:val="009E07C1"/>
    <w:rsid w:val="009E082A"/>
    <w:rsid w:val="009E0848"/>
    <w:rsid w:val="009E09A9"/>
    <w:rsid w:val="009E0A08"/>
    <w:rsid w:val="009E0B06"/>
    <w:rsid w:val="009E0B2A"/>
    <w:rsid w:val="009E0B46"/>
    <w:rsid w:val="009E0B54"/>
    <w:rsid w:val="009E0CB4"/>
    <w:rsid w:val="009E0DE6"/>
    <w:rsid w:val="009E0EDA"/>
    <w:rsid w:val="009E10AE"/>
    <w:rsid w:val="009E1532"/>
    <w:rsid w:val="009E16AB"/>
    <w:rsid w:val="009E17A1"/>
    <w:rsid w:val="009E1876"/>
    <w:rsid w:val="009E1943"/>
    <w:rsid w:val="009E1A7B"/>
    <w:rsid w:val="009E1B0C"/>
    <w:rsid w:val="009E1B30"/>
    <w:rsid w:val="009E1BC1"/>
    <w:rsid w:val="009E1C54"/>
    <w:rsid w:val="009E1E79"/>
    <w:rsid w:val="009E1F94"/>
    <w:rsid w:val="009E1FD5"/>
    <w:rsid w:val="009E1FD9"/>
    <w:rsid w:val="009E2086"/>
    <w:rsid w:val="009E20C4"/>
    <w:rsid w:val="009E2128"/>
    <w:rsid w:val="009E2159"/>
    <w:rsid w:val="009E2247"/>
    <w:rsid w:val="009E234F"/>
    <w:rsid w:val="009E237D"/>
    <w:rsid w:val="009E239F"/>
    <w:rsid w:val="009E2448"/>
    <w:rsid w:val="009E2496"/>
    <w:rsid w:val="009E24DF"/>
    <w:rsid w:val="009E28C6"/>
    <w:rsid w:val="009E28CC"/>
    <w:rsid w:val="009E2AD3"/>
    <w:rsid w:val="009E2E58"/>
    <w:rsid w:val="009E2EF6"/>
    <w:rsid w:val="009E2FF6"/>
    <w:rsid w:val="009E30F8"/>
    <w:rsid w:val="009E3341"/>
    <w:rsid w:val="009E35F1"/>
    <w:rsid w:val="009E365B"/>
    <w:rsid w:val="009E36CE"/>
    <w:rsid w:val="009E373F"/>
    <w:rsid w:val="009E396E"/>
    <w:rsid w:val="009E39A4"/>
    <w:rsid w:val="009E3A37"/>
    <w:rsid w:val="009E3ABC"/>
    <w:rsid w:val="009E3B3B"/>
    <w:rsid w:val="009E3C6A"/>
    <w:rsid w:val="009E3C8B"/>
    <w:rsid w:val="009E3E16"/>
    <w:rsid w:val="009E3E8A"/>
    <w:rsid w:val="009E4129"/>
    <w:rsid w:val="009E413A"/>
    <w:rsid w:val="009E4312"/>
    <w:rsid w:val="009E43FD"/>
    <w:rsid w:val="009E4420"/>
    <w:rsid w:val="009E4481"/>
    <w:rsid w:val="009E4657"/>
    <w:rsid w:val="009E46F5"/>
    <w:rsid w:val="009E47E5"/>
    <w:rsid w:val="009E47FD"/>
    <w:rsid w:val="009E48D7"/>
    <w:rsid w:val="009E48FD"/>
    <w:rsid w:val="009E4B66"/>
    <w:rsid w:val="009E4C3B"/>
    <w:rsid w:val="009E4E02"/>
    <w:rsid w:val="009E4E5B"/>
    <w:rsid w:val="009E4E5F"/>
    <w:rsid w:val="009E521E"/>
    <w:rsid w:val="009E52F7"/>
    <w:rsid w:val="009E5364"/>
    <w:rsid w:val="009E54F6"/>
    <w:rsid w:val="009E5519"/>
    <w:rsid w:val="009E5586"/>
    <w:rsid w:val="009E55B7"/>
    <w:rsid w:val="009E5633"/>
    <w:rsid w:val="009E573B"/>
    <w:rsid w:val="009E5766"/>
    <w:rsid w:val="009E5A98"/>
    <w:rsid w:val="009E5B46"/>
    <w:rsid w:val="009E5B7C"/>
    <w:rsid w:val="009E5C64"/>
    <w:rsid w:val="009E5D0A"/>
    <w:rsid w:val="009E5EAE"/>
    <w:rsid w:val="009E5EB9"/>
    <w:rsid w:val="009E5ECC"/>
    <w:rsid w:val="009E5EF8"/>
    <w:rsid w:val="009E5F94"/>
    <w:rsid w:val="009E6078"/>
    <w:rsid w:val="009E6097"/>
    <w:rsid w:val="009E60E3"/>
    <w:rsid w:val="009E61B5"/>
    <w:rsid w:val="009E61CB"/>
    <w:rsid w:val="009E64A0"/>
    <w:rsid w:val="009E6513"/>
    <w:rsid w:val="009E6569"/>
    <w:rsid w:val="009E65E7"/>
    <w:rsid w:val="009E6688"/>
    <w:rsid w:val="009E66F9"/>
    <w:rsid w:val="009E674A"/>
    <w:rsid w:val="009E67C0"/>
    <w:rsid w:val="009E67FC"/>
    <w:rsid w:val="009E683D"/>
    <w:rsid w:val="009E684C"/>
    <w:rsid w:val="009E68F4"/>
    <w:rsid w:val="009E6B68"/>
    <w:rsid w:val="009E6C12"/>
    <w:rsid w:val="009E6CA7"/>
    <w:rsid w:val="009E6D34"/>
    <w:rsid w:val="009E6D9F"/>
    <w:rsid w:val="009E70DB"/>
    <w:rsid w:val="009E70F1"/>
    <w:rsid w:val="009E722E"/>
    <w:rsid w:val="009E7258"/>
    <w:rsid w:val="009E72ED"/>
    <w:rsid w:val="009E7321"/>
    <w:rsid w:val="009E746F"/>
    <w:rsid w:val="009E757B"/>
    <w:rsid w:val="009E75D5"/>
    <w:rsid w:val="009E75D6"/>
    <w:rsid w:val="009E77E8"/>
    <w:rsid w:val="009E77F9"/>
    <w:rsid w:val="009E7A1E"/>
    <w:rsid w:val="009E7A40"/>
    <w:rsid w:val="009E7C90"/>
    <w:rsid w:val="009E7D81"/>
    <w:rsid w:val="009E7D93"/>
    <w:rsid w:val="009E7E99"/>
    <w:rsid w:val="009E7EA0"/>
    <w:rsid w:val="009E7F3A"/>
    <w:rsid w:val="009F03B2"/>
    <w:rsid w:val="009F0650"/>
    <w:rsid w:val="009F0664"/>
    <w:rsid w:val="009F0833"/>
    <w:rsid w:val="009F0890"/>
    <w:rsid w:val="009F08EB"/>
    <w:rsid w:val="009F097A"/>
    <w:rsid w:val="009F0A33"/>
    <w:rsid w:val="009F0B4F"/>
    <w:rsid w:val="009F0C9D"/>
    <w:rsid w:val="009F0CF4"/>
    <w:rsid w:val="009F0D7A"/>
    <w:rsid w:val="009F0E05"/>
    <w:rsid w:val="009F0E1A"/>
    <w:rsid w:val="009F0E2F"/>
    <w:rsid w:val="009F0E49"/>
    <w:rsid w:val="009F0E9B"/>
    <w:rsid w:val="009F10BD"/>
    <w:rsid w:val="009F117F"/>
    <w:rsid w:val="009F11A9"/>
    <w:rsid w:val="009F1215"/>
    <w:rsid w:val="009F1399"/>
    <w:rsid w:val="009F1447"/>
    <w:rsid w:val="009F146F"/>
    <w:rsid w:val="009F1508"/>
    <w:rsid w:val="009F1523"/>
    <w:rsid w:val="009F17EF"/>
    <w:rsid w:val="009F1817"/>
    <w:rsid w:val="009F1862"/>
    <w:rsid w:val="009F1A24"/>
    <w:rsid w:val="009F1A83"/>
    <w:rsid w:val="009F1BDA"/>
    <w:rsid w:val="009F1E8B"/>
    <w:rsid w:val="009F1F6F"/>
    <w:rsid w:val="009F20E0"/>
    <w:rsid w:val="009F22A3"/>
    <w:rsid w:val="009F22BF"/>
    <w:rsid w:val="009F23CA"/>
    <w:rsid w:val="009F2468"/>
    <w:rsid w:val="009F252C"/>
    <w:rsid w:val="009F253A"/>
    <w:rsid w:val="009F288D"/>
    <w:rsid w:val="009F28DC"/>
    <w:rsid w:val="009F2970"/>
    <w:rsid w:val="009F2B30"/>
    <w:rsid w:val="009F2BE6"/>
    <w:rsid w:val="009F2C28"/>
    <w:rsid w:val="009F2D4F"/>
    <w:rsid w:val="009F2D50"/>
    <w:rsid w:val="009F2D8D"/>
    <w:rsid w:val="009F3106"/>
    <w:rsid w:val="009F31EB"/>
    <w:rsid w:val="009F3280"/>
    <w:rsid w:val="009F353E"/>
    <w:rsid w:val="009F36FE"/>
    <w:rsid w:val="009F3848"/>
    <w:rsid w:val="009F3948"/>
    <w:rsid w:val="009F3A25"/>
    <w:rsid w:val="009F3A34"/>
    <w:rsid w:val="009F3A71"/>
    <w:rsid w:val="009F3B6B"/>
    <w:rsid w:val="009F3C75"/>
    <w:rsid w:val="009F3D9E"/>
    <w:rsid w:val="009F3E0D"/>
    <w:rsid w:val="009F3E17"/>
    <w:rsid w:val="009F3E29"/>
    <w:rsid w:val="009F3EF4"/>
    <w:rsid w:val="009F3F19"/>
    <w:rsid w:val="009F3F59"/>
    <w:rsid w:val="009F410A"/>
    <w:rsid w:val="009F41C6"/>
    <w:rsid w:val="009F433A"/>
    <w:rsid w:val="009F440D"/>
    <w:rsid w:val="009F44FB"/>
    <w:rsid w:val="009F4635"/>
    <w:rsid w:val="009F46AC"/>
    <w:rsid w:val="009F477C"/>
    <w:rsid w:val="009F48AA"/>
    <w:rsid w:val="009F4990"/>
    <w:rsid w:val="009F4A2D"/>
    <w:rsid w:val="009F4C42"/>
    <w:rsid w:val="009F4D22"/>
    <w:rsid w:val="009F503A"/>
    <w:rsid w:val="009F5067"/>
    <w:rsid w:val="009F5110"/>
    <w:rsid w:val="009F525E"/>
    <w:rsid w:val="009F5386"/>
    <w:rsid w:val="009F53E4"/>
    <w:rsid w:val="009F53ED"/>
    <w:rsid w:val="009F5577"/>
    <w:rsid w:val="009F557E"/>
    <w:rsid w:val="009F56DA"/>
    <w:rsid w:val="009F5736"/>
    <w:rsid w:val="009F5792"/>
    <w:rsid w:val="009F5A12"/>
    <w:rsid w:val="009F5B84"/>
    <w:rsid w:val="009F5C09"/>
    <w:rsid w:val="009F5E02"/>
    <w:rsid w:val="009F5E21"/>
    <w:rsid w:val="009F6057"/>
    <w:rsid w:val="009F6161"/>
    <w:rsid w:val="009F6198"/>
    <w:rsid w:val="009F61E4"/>
    <w:rsid w:val="009F6390"/>
    <w:rsid w:val="009F6624"/>
    <w:rsid w:val="009F6842"/>
    <w:rsid w:val="009F698F"/>
    <w:rsid w:val="009F6AF2"/>
    <w:rsid w:val="009F6B33"/>
    <w:rsid w:val="009F6B9B"/>
    <w:rsid w:val="009F6BA4"/>
    <w:rsid w:val="009F6CC0"/>
    <w:rsid w:val="009F6CFA"/>
    <w:rsid w:val="009F6F2D"/>
    <w:rsid w:val="009F6F88"/>
    <w:rsid w:val="009F71E0"/>
    <w:rsid w:val="009F727B"/>
    <w:rsid w:val="009F73FB"/>
    <w:rsid w:val="009F7433"/>
    <w:rsid w:val="009F7786"/>
    <w:rsid w:val="009F7794"/>
    <w:rsid w:val="009F786F"/>
    <w:rsid w:val="009F7A35"/>
    <w:rsid w:val="009F7ABE"/>
    <w:rsid w:val="009F7B2C"/>
    <w:rsid w:val="009F7BFC"/>
    <w:rsid w:val="009F7D31"/>
    <w:rsid w:val="009F7D88"/>
    <w:rsid w:val="009F7E62"/>
    <w:rsid w:val="009F7FD9"/>
    <w:rsid w:val="009F7FF8"/>
    <w:rsid w:val="00A00373"/>
    <w:rsid w:val="00A0037E"/>
    <w:rsid w:val="00A0046C"/>
    <w:rsid w:val="00A00622"/>
    <w:rsid w:val="00A0089E"/>
    <w:rsid w:val="00A00A16"/>
    <w:rsid w:val="00A00A68"/>
    <w:rsid w:val="00A00A8B"/>
    <w:rsid w:val="00A00C40"/>
    <w:rsid w:val="00A00DAE"/>
    <w:rsid w:val="00A00E14"/>
    <w:rsid w:val="00A010A9"/>
    <w:rsid w:val="00A01303"/>
    <w:rsid w:val="00A013B3"/>
    <w:rsid w:val="00A014D9"/>
    <w:rsid w:val="00A01573"/>
    <w:rsid w:val="00A015F6"/>
    <w:rsid w:val="00A0168A"/>
    <w:rsid w:val="00A01696"/>
    <w:rsid w:val="00A01726"/>
    <w:rsid w:val="00A0189C"/>
    <w:rsid w:val="00A018DE"/>
    <w:rsid w:val="00A01987"/>
    <w:rsid w:val="00A019AB"/>
    <w:rsid w:val="00A019F0"/>
    <w:rsid w:val="00A01E4C"/>
    <w:rsid w:val="00A01EC1"/>
    <w:rsid w:val="00A01ED0"/>
    <w:rsid w:val="00A01F09"/>
    <w:rsid w:val="00A0203D"/>
    <w:rsid w:val="00A021A3"/>
    <w:rsid w:val="00A021E6"/>
    <w:rsid w:val="00A023B0"/>
    <w:rsid w:val="00A023BA"/>
    <w:rsid w:val="00A025B6"/>
    <w:rsid w:val="00A02616"/>
    <w:rsid w:val="00A02740"/>
    <w:rsid w:val="00A027FD"/>
    <w:rsid w:val="00A02828"/>
    <w:rsid w:val="00A0282E"/>
    <w:rsid w:val="00A0290D"/>
    <w:rsid w:val="00A02995"/>
    <w:rsid w:val="00A02B54"/>
    <w:rsid w:val="00A02B5F"/>
    <w:rsid w:val="00A02B66"/>
    <w:rsid w:val="00A02B8E"/>
    <w:rsid w:val="00A02C16"/>
    <w:rsid w:val="00A02C4F"/>
    <w:rsid w:val="00A02D7E"/>
    <w:rsid w:val="00A02E1C"/>
    <w:rsid w:val="00A030E5"/>
    <w:rsid w:val="00A0328D"/>
    <w:rsid w:val="00A03549"/>
    <w:rsid w:val="00A0368C"/>
    <w:rsid w:val="00A0395E"/>
    <w:rsid w:val="00A03963"/>
    <w:rsid w:val="00A03A8C"/>
    <w:rsid w:val="00A03AC4"/>
    <w:rsid w:val="00A03B98"/>
    <w:rsid w:val="00A03CA5"/>
    <w:rsid w:val="00A03DC7"/>
    <w:rsid w:val="00A03FC4"/>
    <w:rsid w:val="00A040D9"/>
    <w:rsid w:val="00A043FF"/>
    <w:rsid w:val="00A045EB"/>
    <w:rsid w:val="00A046A7"/>
    <w:rsid w:val="00A04A09"/>
    <w:rsid w:val="00A04A8D"/>
    <w:rsid w:val="00A04AA3"/>
    <w:rsid w:val="00A04AAC"/>
    <w:rsid w:val="00A04B18"/>
    <w:rsid w:val="00A04BAB"/>
    <w:rsid w:val="00A04BD9"/>
    <w:rsid w:val="00A04E9A"/>
    <w:rsid w:val="00A04EAC"/>
    <w:rsid w:val="00A05020"/>
    <w:rsid w:val="00A05108"/>
    <w:rsid w:val="00A0518E"/>
    <w:rsid w:val="00A05220"/>
    <w:rsid w:val="00A05274"/>
    <w:rsid w:val="00A057F5"/>
    <w:rsid w:val="00A05821"/>
    <w:rsid w:val="00A05998"/>
    <w:rsid w:val="00A05A57"/>
    <w:rsid w:val="00A05AEC"/>
    <w:rsid w:val="00A05C9D"/>
    <w:rsid w:val="00A05CA0"/>
    <w:rsid w:val="00A05D1D"/>
    <w:rsid w:val="00A05D6C"/>
    <w:rsid w:val="00A05E8D"/>
    <w:rsid w:val="00A05EA2"/>
    <w:rsid w:val="00A05EF8"/>
    <w:rsid w:val="00A05FB2"/>
    <w:rsid w:val="00A05FDD"/>
    <w:rsid w:val="00A060CB"/>
    <w:rsid w:val="00A0616F"/>
    <w:rsid w:val="00A06209"/>
    <w:rsid w:val="00A062B5"/>
    <w:rsid w:val="00A0639C"/>
    <w:rsid w:val="00A0642E"/>
    <w:rsid w:val="00A0645E"/>
    <w:rsid w:val="00A06487"/>
    <w:rsid w:val="00A06501"/>
    <w:rsid w:val="00A066C2"/>
    <w:rsid w:val="00A066C3"/>
    <w:rsid w:val="00A066FB"/>
    <w:rsid w:val="00A06764"/>
    <w:rsid w:val="00A067AA"/>
    <w:rsid w:val="00A067D3"/>
    <w:rsid w:val="00A06988"/>
    <w:rsid w:val="00A06ADB"/>
    <w:rsid w:val="00A06B85"/>
    <w:rsid w:val="00A06E56"/>
    <w:rsid w:val="00A06F58"/>
    <w:rsid w:val="00A071D7"/>
    <w:rsid w:val="00A072B4"/>
    <w:rsid w:val="00A0741B"/>
    <w:rsid w:val="00A07431"/>
    <w:rsid w:val="00A074C3"/>
    <w:rsid w:val="00A075AF"/>
    <w:rsid w:val="00A075F3"/>
    <w:rsid w:val="00A07605"/>
    <w:rsid w:val="00A0764E"/>
    <w:rsid w:val="00A076CC"/>
    <w:rsid w:val="00A07849"/>
    <w:rsid w:val="00A0790C"/>
    <w:rsid w:val="00A079CB"/>
    <w:rsid w:val="00A079F8"/>
    <w:rsid w:val="00A07B5B"/>
    <w:rsid w:val="00A07BA8"/>
    <w:rsid w:val="00A07BFB"/>
    <w:rsid w:val="00A07CE7"/>
    <w:rsid w:val="00A07D52"/>
    <w:rsid w:val="00A07D91"/>
    <w:rsid w:val="00A07E7D"/>
    <w:rsid w:val="00A10026"/>
    <w:rsid w:val="00A10047"/>
    <w:rsid w:val="00A1015F"/>
    <w:rsid w:val="00A10366"/>
    <w:rsid w:val="00A10392"/>
    <w:rsid w:val="00A103CA"/>
    <w:rsid w:val="00A10512"/>
    <w:rsid w:val="00A10574"/>
    <w:rsid w:val="00A106A2"/>
    <w:rsid w:val="00A108B6"/>
    <w:rsid w:val="00A10915"/>
    <w:rsid w:val="00A10AA3"/>
    <w:rsid w:val="00A10AD3"/>
    <w:rsid w:val="00A10BD1"/>
    <w:rsid w:val="00A10C22"/>
    <w:rsid w:val="00A10CC8"/>
    <w:rsid w:val="00A10DBF"/>
    <w:rsid w:val="00A10DFF"/>
    <w:rsid w:val="00A10E50"/>
    <w:rsid w:val="00A10F53"/>
    <w:rsid w:val="00A10F8E"/>
    <w:rsid w:val="00A10FDB"/>
    <w:rsid w:val="00A1104F"/>
    <w:rsid w:val="00A1115A"/>
    <w:rsid w:val="00A11164"/>
    <w:rsid w:val="00A111B3"/>
    <w:rsid w:val="00A111D2"/>
    <w:rsid w:val="00A112C2"/>
    <w:rsid w:val="00A112D8"/>
    <w:rsid w:val="00A11314"/>
    <w:rsid w:val="00A11416"/>
    <w:rsid w:val="00A11430"/>
    <w:rsid w:val="00A1144C"/>
    <w:rsid w:val="00A11479"/>
    <w:rsid w:val="00A11553"/>
    <w:rsid w:val="00A1159B"/>
    <w:rsid w:val="00A1165C"/>
    <w:rsid w:val="00A11705"/>
    <w:rsid w:val="00A11725"/>
    <w:rsid w:val="00A1176E"/>
    <w:rsid w:val="00A1178E"/>
    <w:rsid w:val="00A11803"/>
    <w:rsid w:val="00A1184C"/>
    <w:rsid w:val="00A11917"/>
    <w:rsid w:val="00A119AE"/>
    <w:rsid w:val="00A119B1"/>
    <w:rsid w:val="00A11B4B"/>
    <w:rsid w:val="00A11BF4"/>
    <w:rsid w:val="00A11C33"/>
    <w:rsid w:val="00A11FB2"/>
    <w:rsid w:val="00A1202E"/>
    <w:rsid w:val="00A1208E"/>
    <w:rsid w:val="00A1211F"/>
    <w:rsid w:val="00A12128"/>
    <w:rsid w:val="00A1225A"/>
    <w:rsid w:val="00A12363"/>
    <w:rsid w:val="00A12394"/>
    <w:rsid w:val="00A125D6"/>
    <w:rsid w:val="00A12739"/>
    <w:rsid w:val="00A127F7"/>
    <w:rsid w:val="00A12B15"/>
    <w:rsid w:val="00A12B93"/>
    <w:rsid w:val="00A12B97"/>
    <w:rsid w:val="00A12BA9"/>
    <w:rsid w:val="00A12C8F"/>
    <w:rsid w:val="00A12D87"/>
    <w:rsid w:val="00A12F02"/>
    <w:rsid w:val="00A12F8C"/>
    <w:rsid w:val="00A13074"/>
    <w:rsid w:val="00A13121"/>
    <w:rsid w:val="00A13375"/>
    <w:rsid w:val="00A13378"/>
    <w:rsid w:val="00A136B9"/>
    <w:rsid w:val="00A13713"/>
    <w:rsid w:val="00A1372C"/>
    <w:rsid w:val="00A13737"/>
    <w:rsid w:val="00A137B1"/>
    <w:rsid w:val="00A13918"/>
    <w:rsid w:val="00A13A95"/>
    <w:rsid w:val="00A13B36"/>
    <w:rsid w:val="00A13BD1"/>
    <w:rsid w:val="00A13DF9"/>
    <w:rsid w:val="00A13F4E"/>
    <w:rsid w:val="00A13FB5"/>
    <w:rsid w:val="00A140A6"/>
    <w:rsid w:val="00A14110"/>
    <w:rsid w:val="00A144C2"/>
    <w:rsid w:val="00A14719"/>
    <w:rsid w:val="00A14726"/>
    <w:rsid w:val="00A14820"/>
    <w:rsid w:val="00A149D6"/>
    <w:rsid w:val="00A14AD5"/>
    <w:rsid w:val="00A14B12"/>
    <w:rsid w:val="00A14C62"/>
    <w:rsid w:val="00A14D30"/>
    <w:rsid w:val="00A14E2C"/>
    <w:rsid w:val="00A14E53"/>
    <w:rsid w:val="00A14E97"/>
    <w:rsid w:val="00A14EA6"/>
    <w:rsid w:val="00A14EC4"/>
    <w:rsid w:val="00A14FEF"/>
    <w:rsid w:val="00A150A3"/>
    <w:rsid w:val="00A151F1"/>
    <w:rsid w:val="00A1521F"/>
    <w:rsid w:val="00A152C4"/>
    <w:rsid w:val="00A15382"/>
    <w:rsid w:val="00A1547B"/>
    <w:rsid w:val="00A15579"/>
    <w:rsid w:val="00A15580"/>
    <w:rsid w:val="00A155A3"/>
    <w:rsid w:val="00A157C0"/>
    <w:rsid w:val="00A15824"/>
    <w:rsid w:val="00A1591C"/>
    <w:rsid w:val="00A159F3"/>
    <w:rsid w:val="00A15A35"/>
    <w:rsid w:val="00A15B44"/>
    <w:rsid w:val="00A15C39"/>
    <w:rsid w:val="00A15F17"/>
    <w:rsid w:val="00A1608C"/>
    <w:rsid w:val="00A1618E"/>
    <w:rsid w:val="00A161A1"/>
    <w:rsid w:val="00A161C1"/>
    <w:rsid w:val="00A16267"/>
    <w:rsid w:val="00A1640A"/>
    <w:rsid w:val="00A16449"/>
    <w:rsid w:val="00A16450"/>
    <w:rsid w:val="00A16490"/>
    <w:rsid w:val="00A165BA"/>
    <w:rsid w:val="00A16662"/>
    <w:rsid w:val="00A169AD"/>
    <w:rsid w:val="00A16A06"/>
    <w:rsid w:val="00A16C05"/>
    <w:rsid w:val="00A16CFA"/>
    <w:rsid w:val="00A16EC2"/>
    <w:rsid w:val="00A16F69"/>
    <w:rsid w:val="00A17098"/>
    <w:rsid w:val="00A17175"/>
    <w:rsid w:val="00A171D4"/>
    <w:rsid w:val="00A173AB"/>
    <w:rsid w:val="00A17417"/>
    <w:rsid w:val="00A1750F"/>
    <w:rsid w:val="00A17690"/>
    <w:rsid w:val="00A176AA"/>
    <w:rsid w:val="00A178C8"/>
    <w:rsid w:val="00A17982"/>
    <w:rsid w:val="00A179BD"/>
    <w:rsid w:val="00A17B63"/>
    <w:rsid w:val="00A17B8B"/>
    <w:rsid w:val="00A17E5B"/>
    <w:rsid w:val="00A17EE0"/>
    <w:rsid w:val="00A17EEC"/>
    <w:rsid w:val="00A17FC5"/>
    <w:rsid w:val="00A20087"/>
    <w:rsid w:val="00A2019E"/>
    <w:rsid w:val="00A20279"/>
    <w:rsid w:val="00A20415"/>
    <w:rsid w:val="00A2043A"/>
    <w:rsid w:val="00A20451"/>
    <w:rsid w:val="00A204F4"/>
    <w:rsid w:val="00A20658"/>
    <w:rsid w:val="00A2067E"/>
    <w:rsid w:val="00A2074D"/>
    <w:rsid w:val="00A20814"/>
    <w:rsid w:val="00A2083C"/>
    <w:rsid w:val="00A20880"/>
    <w:rsid w:val="00A20955"/>
    <w:rsid w:val="00A20B38"/>
    <w:rsid w:val="00A20B4A"/>
    <w:rsid w:val="00A20BA2"/>
    <w:rsid w:val="00A20BAC"/>
    <w:rsid w:val="00A20BC2"/>
    <w:rsid w:val="00A20BF5"/>
    <w:rsid w:val="00A20CDB"/>
    <w:rsid w:val="00A20F86"/>
    <w:rsid w:val="00A210D4"/>
    <w:rsid w:val="00A2116E"/>
    <w:rsid w:val="00A21329"/>
    <w:rsid w:val="00A213E7"/>
    <w:rsid w:val="00A214D7"/>
    <w:rsid w:val="00A216C4"/>
    <w:rsid w:val="00A21718"/>
    <w:rsid w:val="00A21778"/>
    <w:rsid w:val="00A21803"/>
    <w:rsid w:val="00A218BE"/>
    <w:rsid w:val="00A21945"/>
    <w:rsid w:val="00A21B8D"/>
    <w:rsid w:val="00A21BE6"/>
    <w:rsid w:val="00A21BFE"/>
    <w:rsid w:val="00A21C2D"/>
    <w:rsid w:val="00A21C59"/>
    <w:rsid w:val="00A21CE9"/>
    <w:rsid w:val="00A21D6B"/>
    <w:rsid w:val="00A21DD8"/>
    <w:rsid w:val="00A21F2F"/>
    <w:rsid w:val="00A21F3E"/>
    <w:rsid w:val="00A2202E"/>
    <w:rsid w:val="00A22107"/>
    <w:rsid w:val="00A223B9"/>
    <w:rsid w:val="00A223C8"/>
    <w:rsid w:val="00A22402"/>
    <w:rsid w:val="00A22412"/>
    <w:rsid w:val="00A2248D"/>
    <w:rsid w:val="00A224C2"/>
    <w:rsid w:val="00A225D9"/>
    <w:rsid w:val="00A228B0"/>
    <w:rsid w:val="00A22975"/>
    <w:rsid w:val="00A22B8D"/>
    <w:rsid w:val="00A22B90"/>
    <w:rsid w:val="00A22E77"/>
    <w:rsid w:val="00A22EE5"/>
    <w:rsid w:val="00A22EFC"/>
    <w:rsid w:val="00A23204"/>
    <w:rsid w:val="00A23239"/>
    <w:rsid w:val="00A23317"/>
    <w:rsid w:val="00A233D4"/>
    <w:rsid w:val="00A2341B"/>
    <w:rsid w:val="00A23544"/>
    <w:rsid w:val="00A2369E"/>
    <w:rsid w:val="00A2377F"/>
    <w:rsid w:val="00A237B2"/>
    <w:rsid w:val="00A2381F"/>
    <w:rsid w:val="00A238FA"/>
    <w:rsid w:val="00A239E7"/>
    <w:rsid w:val="00A23AB4"/>
    <w:rsid w:val="00A23B05"/>
    <w:rsid w:val="00A23DB1"/>
    <w:rsid w:val="00A23E3E"/>
    <w:rsid w:val="00A240A5"/>
    <w:rsid w:val="00A24106"/>
    <w:rsid w:val="00A2414E"/>
    <w:rsid w:val="00A241BC"/>
    <w:rsid w:val="00A2428D"/>
    <w:rsid w:val="00A24496"/>
    <w:rsid w:val="00A244B2"/>
    <w:rsid w:val="00A24505"/>
    <w:rsid w:val="00A24690"/>
    <w:rsid w:val="00A246CB"/>
    <w:rsid w:val="00A246EC"/>
    <w:rsid w:val="00A248E7"/>
    <w:rsid w:val="00A2494C"/>
    <w:rsid w:val="00A24A17"/>
    <w:rsid w:val="00A24C53"/>
    <w:rsid w:val="00A24C97"/>
    <w:rsid w:val="00A24D62"/>
    <w:rsid w:val="00A24DB6"/>
    <w:rsid w:val="00A24DC8"/>
    <w:rsid w:val="00A24E16"/>
    <w:rsid w:val="00A24E78"/>
    <w:rsid w:val="00A24F6E"/>
    <w:rsid w:val="00A24FA3"/>
    <w:rsid w:val="00A2519B"/>
    <w:rsid w:val="00A251AE"/>
    <w:rsid w:val="00A25247"/>
    <w:rsid w:val="00A25447"/>
    <w:rsid w:val="00A254E0"/>
    <w:rsid w:val="00A254F4"/>
    <w:rsid w:val="00A257A2"/>
    <w:rsid w:val="00A25836"/>
    <w:rsid w:val="00A25B09"/>
    <w:rsid w:val="00A25D9C"/>
    <w:rsid w:val="00A25DF9"/>
    <w:rsid w:val="00A25E1A"/>
    <w:rsid w:val="00A25F0B"/>
    <w:rsid w:val="00A25FFA"/>
    <w:rsid w:val="00A26278"/>
    <w:rsid w:val="00A262E9"/>
    <w:rsid w:val="00A26389"/>
    <w:rsid w:val="00A2638E"/>
    <w:rsid w:val="00A2639A"/>
    <w:rsid w:val="00A263BF"/>
    <w:rsid w:val="00A26412"/>
    <w:rsid w:val="00A26460"/>
    <w:rsid w:val="00A264F9"/>
    <w:rsid w:val="00A26559"/>
    <w:rsid w:val="00A26592"/>
    <w:rsid w:val="00A265D9"/>
    <w:rsid w:val="00A267A4"/>
    <w:rsid w:val="00A267AE"/>
    <w:rsid w:val="00A267DF"/>
    <w:rsid w:val="00A26885"/>
    <w:rsid w:val="00A268A8"/>
    <w:rsid w:val="00A26969"/>
    <w:rsid w:val="00A26A64"/>
    <w:rsid w:val="00A26AD3"/>
    <w:rsid w:val="00A26AF3"/>
    <w:rsid w:val="00A26D7C"/>
    <w:rsid w:val="00A26DA7"/>
    <w:rsid w:val="00A26E0A"/>
    <w:rsid w:val="00A26E68"/>
    <w:rsid w:val="00A26F91"/>
    <w:rsid w:val="00A26FA2"/>
    <w:rsid w:val="00A27034"/>
    <w:rsid w:val="00A2703A"/>
    <w:rsid w:val="00A270A2"/>
    <w:rsid w:val="00A270B8"/>
    <w:rsid w:val="00A271B4"/>
    <w:rsid w:val="00A271D9"/>
    <w:rsid w:val="00A272C1"/>
    <w:rsid w:val="00A2730A"/>
    <w:rsid w:val="00A27311"/>
    <w:rsid w:val="00A2736A"/>
    <w:rsid w:val="00A2742F"/>
    <w:rsid w:val="00A2744F"/>
    <w:rsid w:val="00A2748E"/>
    <w:rsid w:val="00A274DF"/>
    <w:rsid w:val="00A2754C"/>
    <w:rsid w:val="00A2756C"/>
    <w:rsid w:val="00A27773"/>
    <w:rsid w:val="00A277EB"/>
    <w:rsid w:val="00A2787D"/>
    <w:rsid w:val="00A27999"/>
    <w:rsid w:val="00A27B22"/>
    <w:rsid w:val="00A27B29"/>
    <w:rsid w:val="00A27BC7"/>
    <w:rsid w:val="00A27C7C"/>
    <w:rsid w:val="00A27E2C"/>
    <w:rsid w:val="00A27E73"/>
    <w:rsid w:val="00A27F8F"/>
    <w:rsid w:val="00A27FF8"/>
    <w:rsid w:val="00A3005F"/>
    <w:rsid w:val="00A300E4"/>
    <w:rsid w:val="00A3017E"/>
    <w:rsid w:val="00A3020F"/>
    <w:rsid w:val="00A3037B"/>
    <w:rsid w:val="00A3038C"/>
    <w:rsid w:val="00A303B8"/>
    <w:rsid w:val="00A3042B"/>
    <w:rsid w:val="00A30559"/>
    <w:rsid w:val="00A30642"/>
    <w:rsid w:val="00A306AF"/>
    <w:rsid w:val="00A308CA"/>
    <w:rsid w:val="00A30B09"/>
    <w:rsid w:val="00A30B7D"/>
    <w:rsid w:val="00A30DF6"/>
    <w:rsid w:val="00A30EFC"/>
    <w:rsid w:val="00A30FE5"/>
    <w:rsid w:val="00A31027"/>
    <w:rsid w:val="00A31078"/>
    <w:rsid w:val="00A3118A"/>
    <w:rsid w:val="00A3122C"/>
    <w:rsid w:val="00A31242"/>
    <w:rsid w:val="00A312F6"/>
    <w:rsid w:val="00A314D3"/>
    <w:rsid w:val="00A314EA"/>
    <w:rsid w:val="00A3158A"/>
    <w:rsid w:val="00A31658"/>
    <w:rsid w:val="00A31774"/>
    <w:rsid w:val="00A31884"/>
    <w:rsid w:val="00A318AE"/>
    <w:rsid w:val="00A31991"/>
    <w:rsid w:val="00A319C4"/>
    <w:rsid w:val="00A31A69"/>
    <w:rsid w:val="00A31A6E"/>
    <w:rsid w:val="00A31B99"/>
    <w:rsid w:val="00A31E28"/>
    <w:rsid w:val="00A31F57"/>
    <w:rsid w:val="00A32008"/>
    <w:rsid w:val="00A32025"/>
    <w:rsid w:val="00A321D1"/>
    <w:rsid w:val="00A321F2"/>
    <w:rsid w:val="00A3223F"/>
    <w:rsid w:val="00A32306"/>
    <w:rsid w:val="00A3242F"/>
    <w:rsid w:val="00A32508"/>
    <w:rsid w:val="00A32592"/>
    <w:rsid w:val="00A32702"/>
    <w:rsid w:val="00A3275A"/>
    <w:rsid w:val="00A32961"/>
    <w:rsid w:val="00A329D3"/>
    <w:rsid w:val="00A32C15"/>
    <w:rsid w:val="00A32C36"/>
    <w:rsid w:val="00A32C6A"/>
    <w:rsid w:val="00A32C91"/>
    <w:rsid w:val="00A32D67"/>
    <w:rsid w:val="00A32DB2"/>
    <w:rsid w:val="00A32E55"/>
    <w:rsid w:val="00A32F31"/>
    <w:rsid w:val="00A32F98"/>
    <w:rsid w:val="00A33018"/>
    <w:rsid w:val="00A33067"/>
    <w:rsid w:val="00A33152"/>
    <w:rsid w:val="00A331A7"/>
    <w:rsid w:val="00A332AD"/>
    <w:rsid w:val="00A332C0"/>
    <w:rsid w:val="00A333DD"/>
    <w:rsid w:val="00A33519"/>
    <w:rsid w:val="00A33583"/>
    <w:rsid w:val="00A335F9"/>
    <w:rsid w:val="00A33619"/>
    <w:rsid w:val="00A336FE"/>
    <w:rsid w:val="00A338D3"/>
    <w:rsid w:val="00A33902"/>
    <w:rsid w:val="00A339A4"/>
    <w:rsid w:val="00A33A5D"/>
    <w:rsid w:val="00A33DFE"/>
    <w:rsid w:val="00A33E2D"/>
    <w:rsid w:val="00A33E46"/>
    <w:rsid w:val="00A33FEB"/>
    <w:rsid w:val="00A34063"/>
    <w:rsid w:val="00A340CA"/>
    <w:rsid w:val="00A34163"/>
    <w:rsid w:val="00A34185"/>
    <w:rsid w:val="00A3421D"/>
    <w:rsid w:val="00A3421E"/>
    <w:rsid w:val="00A345FF"/>
    <w:rsid w:val="00A34677"/>
    <w:rsid w:val="00A346C5"/>
    <w:rsid w:val="00A346EA"/>
    <w:rsid w:val="00A34B2F"/>
    <w:rsid w:val="00A34B75"/>
    <w:rsid w:val="00A34BB6"/>
    <w:rsid w:val="00A34BD5"/>
    <w:rsid w:val="00A34C24"/>
    <w:rsid w:val="00A34CD1"/>
    <w:rsid w:val="00A34D83"/>
    <w:rsid w:val="00A34DDF"/>
    <w:rsid w:val="00A34E3F"/>
    <w:rsid w:val="00A34F31"/>
    <w:rsid w:val="00A34F84"/>
    <w:rsid w:val="00A35203"/>
    <w:rsid w:val="00A35257"/>
    <w:rsid w:val="00A352B6"/>
    <w:rsid w:val="00A3535B"/>
    <w:rsid w:val="00A35778"/>
    <w:rsid w:val="00A357C0"/>
    <w:rsid w:val="00A357F2"/>
    <w:rsid w:val="00A358B7"/>
    <w:rsid w:val="00A359D6"/>
    <w:rsid w:val="00A35B2F"/>
    <w:rsid w:val="00A35C8E"/>
    <w:rsid w:val="00A35DFB"/>
    <w:rsid w:val="00A35EDB"/>
    <w:rsid w:val="00A360D4"/>
    <w:rsid w:val="00A360E5"/>
    <w:rsid w:val="00A36132"/>
    <w:rsid w:val="00A361C3"/>
    <w:rsid w:val="00A36418"/>
    <w:rsid w:val="00A36471"/>
    <w:rsid w:val="00A3647C"/>
    <w:rsid w:val="00A3648D"/>
    <w:rsid w:val="00A364F3"/>
    <w:rsid w:val="00A364F6"/>
    <w:rsid w:val="00A366D7"/>
    <w:rsid w:val="00A36749"/>
    <w:rsid w:val="00A36782"/>
    <w:rsid w:val="00A367A8"/>
    <w:rsid w:val="00A36823"/>
    <w:rsid w:val="00A369C4"/>
    <w:rsid w:val="00A369F8"/>
    <w:rsid w:val="00A36A30"/>
    <w:rsid w:val="00A36C87"/>
    <w:rsid w:val="00A36CF2"/>
    <w:rsid w:val="00A36E5E"/>
    <w:rsid w:val="00A36EEB"/>
    <w:rsid w:val="00A36F2B"/>
    <w:rsid w:val="00A37036"/>
    <w:rsid w:val="00A3704B"/>
    <w:rsid w:val="00A371BF"/>
    <w:rsid w:val="00A37215"/>
    <w:rsid w:val="00A37373"/>
    <w:rsid w:val="00A373DE"/>
    <w:rsid w:val="00A37435"/>
    <w:rsid w:val="00A37641"/>
    <w:rsid w:val="00A37878"/>
    <w:rsid w:val="00A379F4"/>
    <w:rsid w:val="00A37A73"/>
    <w:rsid w:val="00A37C51"/>
    <w:rsid w:val="00A37F73"/>
    <w:rsid w:val="00A40184"/>
    <w:rsid w:val="00A4018F"/>
    <w:rsid w:val="00A40263"/>
    <w:rsid w:val="00A402A1"/>
    <w:rsid w:val="00A40456"/>
    <w:rsid w:val="00A40468"/>
    <w:rsid w:val="00A4057B"/>
    <w:rsid w:val="00A40684"/>
    <w:rsid w:val="00A4069A"/>
    <w:rsid w:val="00A40725"/>
    <w:rsid w:val="00A40903"/>
    <w:rsid w:val="00A40B52"/>
    <w:rsid w:val="00A40C61"/>
    <w:rsid w:val="00A40DCC"/>
    <w:rsid w:val="00A40E2F"/>
    <w:rsid w:val="00A40EA1"/>
    <w:rsid w:val="00A40EAD"/>
    <w:rsid w:val="00A40F02"/>
    <w:rsid w:val="00A411FA"/>
    <w:rsid w:val="00A41270"/>
    <w:rsid w:val="00A4136A"/>
    <w:rsid w:val="00A41516"/>
    <w:rsid w:val="00A415FE"/>
    <w:rsid w:val="00A41766"/>
    <w:rsid w:val="00A41B50"/>
    <w:rsid w:val="00A41C27"/>
    <w:rsid w:val="00A41EB6"/>
    <w:rsid w:val="00A41EB9"/>
    <w:rsid w:val="00A4215C"/>
    <w:rsid w:val="00A42172"/>
    <w:rsid w:val="00A42341"/>
    <w:rsid w:val="00A4239E"/>
    <w:rsid w:val="00A423F9"/>
    <w:rsid w:val="00A424B0"/>
    <w:rsid w:val="00A4250D"/>
    <w:rsid w:val="00A425B1"/>
    <w:rsid w:val="00A425CB"/>
    <w:rsid w:val="00A42767"/>
    <w:rsid w:val="00A429B4"/>
    <w:rsid w:val="00A42B6A"/>
    <w:rsid w:val="00A42BE9"/>
    <w:rsid w:val="00A42CC5"/>
    <w:rsid w:val="00A42CD6"/>
    <w:rsid w:val="00A42CF4"/>
    <w:rsid w:val="00A42DBC"/>
    <w:rsid w:val="00A42F27"/>
    <w:rsid w:val="00A42F79"/>
    <w:rsid w:val="00A42FD3"/>
    <w:rsid w:val="00A43056"/>
    <w:rsid w:val="00A43075"/>
    <w:rsid w:val="00A430FD"/>
    <w:rsid w:val="00A431F7"/>
    <w:rsid w:val="00A4338B"/>
    <w:rsid w:val="00A433AC"/>
    <w:rsid w:val="00A43452"/>
    <w:rsid w:val="00A434C1"/>
    <w:rsid w:val="00A435CF"/>
    <w:rsid w:val="00A435ED"/>
    <w:rsid w:val="00A43662"/>
    <w:rsid w:val="00A43807"/>
    <w:rsid w:val="00A438F6"/>
    <w:rsid w:val="00A439AF"/>
    <w:rsid w:val="00A43A66"/>
    <w:rsid w:val="00A43AC7"/>
    <w:rsid w:val="00A43AF5"/>
    <w:rsid w:val="00A43BB0"/>
    <w:rsid w:val="00A43BBB"/>
    <w:rsid w:val="00A43D17"/>
    <w:rsid w:val="00A43D73"/>
    <w:rsid w:val="00A43DA2"/>
    <w:rsid w:val="00A43DD6"/>
    <w:rsid w:val="00A43DF3"/>
    <w:rsid w:val="00A43E46"/>
    <w:rsid w:val="00A43EB5"/>
    <w:rsid w:val="00A43EB8"/>
    <w:rsid w:val="00A44065"/>
    <w:rsid w:val="00A440FF"/>
    <w:rsid w:val="00A4413F"/>
    <w:rsid w:val="00A444DD"/>
    <w:rsid w:val="00A444F3"/>
    <w:rsid w:val="00A445FD"/>
    <w:rsid w:val="00A44605"/>
    <w:rsid w:val="00A447CB"/>
    <w:rsid w:val="00A4484C"/>
    <w:rsid w:val="00A449D9"/>
    <w:rsid w:val="00A44A50"/>
    <w:rsid w:val="00A44AB5"/>
    <w:rsid w:val="00A44AD1"/>
    <w:rsid w:val="00A44C62"/>
    <w:rsid w:val="00A44CA9"/>
    <w:rsid w:val="00A44E52"/>
    <w:rsid w:val="00A44EC1"/>
    <w:rsid w:val="00A44F59"/>
    <w:rsid w:val="00A450D2"/>
    <w:rsid w:val="00A452F7"/>
    <w:rsid w:val="00A4539D"/>
    <w:rsid w:val="00A454B3"/>
    <w:rsid w:val="00A454D8"/>
    <w:rsid w:val="00A454DD"/>
    <w:rsid w:val="00A45519"/>
    <w:rsid w:val="00A455B5"/>
    <w:rsid w:val="00A45602"/>
    <w:rsid w:val="00A45627"/>
    <w:rsid w:val="00A458E9"/>
    <w:rsid w:val="00A459C6"/>
    <w:rsid w:val="00A45A0D"/>
    <w:rsid w:val="00A45A53"/>
    <w:rsid w:val="00A45B1E"/>
    <w:rsid w:val="00A45C35"/>
    <w:rsid w:val="00A45C9E"/>
    <w:rsid w:val="00A45CFE"/>
    <w:rsid w:val="00A45D3A"/>
    <w:rsid w:val="00A45D71"/>
    <w:rsid w:val="00A45D76"/>
    <w:rsid w:val="00A45E52"/>
    <w:rsid w:val="00A46077"/>
    <w:rsid w:val="00A460F0"/>
    <w:rsid w:val="00A46116"/>
    <w:rsid w:val="00A46154"/>
    <w:rsid w:val="00A46231"/>
    <w:rsid w:val="00A462F2"/>
    <w:rsid w:val="00A464A9"/>
    <w:rsid w:val="00A464C1"/>
    <w:rsid w:val="00A46583"/>
    <w:rsid w:val="00A465C7"/>
    <w:rsid w:val="00A465DF"/>
    <w:rsid w:val="00A46652"/>
    <w:rsid w:val="00A4665D"/>
    <w:rsid w:val="00A4667C"/>
    <w:rsid w:val="00A466B6"/>
    <w:rsid w:val="00A467F7"/>
    <w:rsid w:val="00A46952"/>
    <w:rsid w:val="00A46A56"/>
    <w:rsid w:val="00A46B40"/>
    <w:rsid w:val="00A46CA3"/>
    <w:rsid w:val="00A46D15"/>
    <w:rsid w:val="00A46D50"/>
    <w:rsid w:val="00A46F4F"/>
    <w:rsid w:val="00A46F5E"/>
    <w:rsid w:val="00A470D7"/>
    <w:rsid w:val="00A4713D"/>
    <w:rsid w:val="00A4723A"/>
    <w:rsid w:val="00A47285"/>
    <w:rsid w:val="00A4735C"/>
    <w:rsid w:val="00A47483"/>
    <w:rsid w:val="00A474D6"/>
    <w:rsid w:val="00A474DC"/>
    <w:rsid w:val="00A4758A"/>
    <w:rsid w:val="00A475F5"/>
    <w:rsid w:val="00A47642"/>
    <w:rsid w:val="00A476EE"/>
    <w:rsid w:val="00A4783B"/>
    <w:rsid w:val="00A47856"/>
    <w:rsid w:val="00A47A34"/>
    <w:rsid w:val="00A47ACB"/>
    <w:rsid w:val="00A47AE1"/>
    <w:rsid w:val="00A47B76"/>
    <w:rsid w:val="00A47C7A"/>
    <w:rsid w:val="00A47DAD"/>
    <w:rsid w:val="00A47E54"/>
    <w:rsid w:val="00A500DE"/>
    <w:rsid w:val="00A500E5"/>
    <w:rsid w:val="00A50134"/>
    <w:rsid w:val="00A501A1"/>
    <w:rsid w:val="00A50397"/>
    <w:rsid w:val="00A50459"/>
    <w:rsid w:val="00A5051E"/>
    <w:rsid w:val="00A5064A"/>
    <w:rsid w:val="00A507AD"/>
    <w:rsid w:val="00A50A4F"/>
    <w:rsid w:val="00A50B2E"/>
    <w:rsid w:val="00A50C26"/>
    <w:rsid w:val="00A50D42"/>
    <w:rsid w:val="00A50D7B"/>
    <w:rsid w:val="00A50D80"/>
    <w:rsid w:val="00A50E4C"/>
    <w:rsid w:val="00A50F0E"/>
    <w:rsid w:val="00A50FA9"/>
    <w:rsid w:val="00A51177"/>
    <w:rsid w:val="00A51189"/>
    <w:rsid w:val="00A512B9"/>
    <w:rsid w:val="00A5134F"/>
    <w:rsid w:val="00A516BE"/>
    <w:rsid w:val="00A516DB"/>
    <w:rsid w:val="00A51742"/>
    <w:rsid w:val="00A517C9"/>
    <w:rsid w:val="00A518F3"/>
    <w:rsid w:val="00A51A21"/>
    <w:rsid w:val="00A51C85"/>
    <w:rsid w:val="00A51CEB"/>
    <w:rsid w:val="00A51D50"/>
    <w:rsid w:val="00A51D6F"/>
    <w:rsid w:val="00A51DA5"/>
    <w:rsid w:val="00A51DE7"/>
    <w:rsid w:val="00A51E1D"/>
    <w:rsid w:val="00A52040"/>
    <w:rsid w:val="00A52252"/>
    <w:rsid w:val="00A52268"/>
    <w:rsid w:val="00A522E1"/>
    <w:rsid w:val="00A5233F"/>
    <w:rsid w:val="00A523CC"/>
    <w:rsid w:val="00A52466"/>
    <w:rsid w:val="00A52502"/>
    <w:rsid w:val="00A52A73"/>
    <w:rsid w:val="00A52AE4"/>
    <w:rsid w:val="00A52D89"/>
    <w:rsid w:val="00A52DF2"/>
    <w:rsid w:val="00A52E33"/>
    <w:rsid w:val="00A5303B"/>
    <w:rsid w:val="00A5315E"/>
    <w:rsid w:val="00A5318B"/>
    <w:rsid w:val="00A531A4"/>
    <w:rsid w:val="00A531BF"/>
    <w:rsid w:val="00A5321E"/>
    <w:rsid w:val="00A5323B"/>
    <w:rsid w:val="00A5332F"/>
    <w:rsid w:val="00A5338B"/>
    <w:rsid w:val="00A533B4"/>
    <w:rsid w:val="00A534FD"/>
    <w:rsid w:val="00A53598"/>
    <w:rsid w:val="00A535C6"/>
    <w:rsid w:val="00A5392A"/>
    <w:rsid w:val="00A53A0F"/>
    <w:rsid w:val="00A53D18"/>
    <w:rsid w:val="00A53E19"/>
    <w:rsid w:val="00A53E7E"/>
    <w:rsid w:val="00A53F02"/>
    <w:rsid w:val="00A53F7F"/>
    <w:rsid w:val="00A53FE0"/>
    <w:rsid w:val="00A54134"/>
    <w:rsid w:val="00A5415E"/>
    <w:rsid w:val="00A5442A"/>
    <w:rsid w:val="00A54549"/>
    <w:rsid w:val="00A5456C"/>
    <w:rsid w:val="00A5456F"/>
    <w:rsid w:val="00A54610"/>
    <w:rsid w:val="00A548C3"/>
    <w:rsid w:val="00A54937"/>
    <w:rsid w:val="00A54AAF"/>
    <w:rsid w:val="00A54BAF"/>
    <w:rsid w:val="00A54BD6"/>
    <w:rsid w:val="00A54C08"/>
    <w:rsid w:val="00A54D0B"/>
    <w:rsid w:val="00A54D94"/>
    <w:rsid w:val="00A54DC3"/>
    <w:rsid w:val="00A54E8A"/>
    <w:rsid w:val="00A54F79"/>
    <w:rsid w:val="00A54FB4"/>
    <w:rsid w:val="00A550A0"/>
    <w:rsid w:val="00A55193"/>
    <w:rsid w:val="00A552BD"/>
    <w:rsid w:val="00A55406"/>
    <w:rsid w:val="00A55535"/>
    <w:rsid w:val="00A5555E"/>
    <w:rsid w:val="00A556D2"/>
    <w:rsid w:val="00A55841"/>
    <w:rsid w:val="00A55942"/>
    <w:rsid w:val="00A55A12"/>
    <w:rsid w:val="00A55AF6"/>
    <w:rsid w:val="00A55B1E"/>
    <w:rsid w:val="00A55B75"/>
    <w:rsid w:val="00A55C0E"/>
    <w:rsid w:val="00A55DD6"/>
    <w:rsid w:val="00A55E25"/>
    <w:rsid w:val="00A55EE3"/>
    <w:rsid w:val="00A56090"/>
    <w:rsid w:val="00A560FD"/>
    <w:rsid w:val="00A560FF"/>
    <w:rsid w:val="00A5624D"/>
    <w:rsid w:val="00A562DA"/>
    <w:rsid w:val="00A5638B"/>
    <w:rsid w:val="00A563AF"/>
    <w:rsid w:val="00A563B6"/>
    <w:rsid w:val="00A563E8"/>
    <w:rsid w:val="00A56426"/>
    <w:rsid w:val="00A56592"/>
    <w:rsid w:val="00A5660F"/>
    <w:rsid w:val="00A5665E"/>
    <w:rsid w:val="00A56831"/>
    <w:rsid w:val="00A568AF"/>
    <w:rsid w:val="00A56A86"/>
    <w:rsid w:val="00A56BFD"/>
    <w:rsid w:val="00A56D1B"/>
    <w:rsid w:val="00A56DAF"/>
    <w:rsid w:val="00A56DE0"/>
    <w:rsid w:val="00A56E12"/>
    <w:rsid w:val="00A56E60"/>
    <w:rsid w:val="00A56F59"/>
    <w:rsid w:val="00A56FAC"/>
    <w:rsid w:val="00A570CE"/>
    <w:rsid w:val="00A57675"/>
    <w:rsid w:val="00A5774B"/>
    <w:rsid w:val="00A5777B"/>
    <w:rsid w:val="00A5783C"/>
    <w:rsid w:val="00A579E7"/>
    <w:rsid w:val="00A57B52"/>
    <w:rsid w:val="00A57C7D"/>
    <w:rsid w:val="00A57DAD"/>
    <w:rsid w:val="00A57DE9"/>
    <w:rsid w:val="00A57DF6"/>
    <w:rsid w:val="00A57E59"/>
    <w:rsid w:val="00A57EB3"/>
    <w:rsid w:val="00A57F29"/>
    <w:rsid w:val="00A6027E"/>
    <w:rsid w:val="00A6029B"/>
    <w:rsid w:val="00A602FD"/>
    <w:rsid w:val="00A603DE"/>
    <w:rsid w:val="00A60492"/>
    <w:rsid w:val="00A60896"/>
    <w:rsid w:val="00A60899"/>
    <w:rsid w:val="00A6095A"/>
    <w:rsid w:val="00A60986"/>
    <w:rsid w:val="00A609BE"/>
    <w:rsid w:val="00A60A21"/>
    <w:rsid w:val="00A60AB6"/>
    <w:rsid w:val="00A60B3F"/>
    <w:rsid w:val="00A60B81"/>
    <w:rsid w:val="00A60BAA"/>
    <w:rsid w:val="00A60DCC"/>
    <w:rsid w:val="00A60E41"/>
    <w:rsid w:val="00A60F90"/>
    <w:rsid w:val="00A6109D"/>
    <w:rsid w:val="00A61163"/>
    <w:rsid w:val="00A612D2"/>
    <w:rsid w:val="00A614D8"/>
    <w:rsid w:val="00A6158C"/>
    <w:rsid w:val="00A6168F"/>
    <w:rsid w:val="00A616F0"/>
    <w:rsid w:val="00A61973"/>
    <w:rsid w:val="00A61989"/>
    <w:rsid w:val="00A61C6A"/>
    <w:rsid w:val="00A61CF8"/>
    <w:rsid w:val="00A61D1E"/>
    <w:rsid w:val="00A61D74"/>
    <w:rsid w:val="00A61DFA"/>
    <w:rsid w:val="00A62112"/>
    <w:rsid w:val="00A62118"/>
    <w:rsid w:val="00A62149"/>
    <w:rsid w:val="00A62179"/>
    <w:rsid w:val="00A621EC"/>
    <w:rsid w:val="00A622B6"/>
    <w:rsid w:val="00A62343"/>
    <w:rsid w:val="00A6237D"/>
    <w:rsid w:val="00A62424"/>
    <w:rsid w:val="00A626AB"/>
    <w:rsid w:val="00A6280C"/>
    <w:rsid w:val="00A62BAD"/>
    <w:rsid w:val="00A62BFB"/>
    <w:rsid w:val="00A62CCB"/>
    <w:rsid w:val="00A62D3A"/>
    <w:rsid w:val="00A62D4C"/>
    <w:rsid w:val="00A62E7B"/>
    <w:rsid w:val="00A6303E"/>
    <w:rsid w:val="00A6310F"/>
    <w:rsid w:val="00A6322C"/>
    <w:rsid w:val="00A632C5"/>
    <w:rsid w:val="00A63451"/>
    <w:rsid w:val="00A636AF"/>
    <w:rsid w:val="00A636EF"/>
    <w:rsid w:val="00A6372D"/>
    <w:rsid w:val="00A63884"/>
    <w:rsid w:val="00A63902"/>
    <w:rsid w:val="00A63932"/>
    <w:rsid w:val="00A639F2"/>
    <w:rsid w:val="00A63AB8"/>
    <w:rsid w:val="00A63B8C"/>
    <w:rsid w:val="00A63C18"/>
    <w:rsid w:val="00A63C51"/>
    <w:rsid w:val="00A63C71"/>
    <w:rsid w:val="00A63E60"/>
    <w:rsid w:val="00A63F93"/>
    <w:rsid w:val="00A64063"/>
    <w:rsid w:val="00A64072"/>
    <w:rsid w:val="00A640C7"/>
    <w:rsid w:val="00A64224"/>
    <w:rsid w:val="00A6447C"/>
    <w:rsid w:val="00A64688"/>
    <w:rsid w:val="00A646C5"/>
    <w:rsid w:val="00A64721"/>
    <w:rsid w:val="00A648ED"/>
    <w:rsid w:val="00A649DD"/>
    <w:rsid w:val="00A64A4F"/>
    <w:rsid w:val="00A64A70"/>
    <w:rsid w:val="00A64B04"/>
    <w:rsid w:val="00A64B6D"/>
    <w:rsid w:val="00A64BC1"/>
    <w:rsid w:val="00A64C4C"/>
    <w:rsid w:val="00A64CAA"/>
    <w:rsid w:val="00A64FA7"/>
    <w:rsid w:val="00A64FBF"/>
    <w:rsid w:val="00A650B2"/>
    <w:rsid w:val="00A651E6"/>
    <w:rsid w:val="00A65279"/>
    <w:rsid w:val="00A65404"/>
    <w:rsid w:val="00A6575F"/>
    <w:rsid w:val="00A65854"/>
    <w:rsid w:val="00A65898"/>
    <w:rsid w:val="00A658BE"/>
    <w:rsid w:val="00A65914"/>
    <w:rsid w:val="00A6592D"/>
    <w:rsid w:val="00A65AFC"/>
    <w:rsid w:val="00A65B1F"/>
    <w:rsid w:val="00A65BB8"/>
    <w:rsid w:val="00A65BE6"/>
    <w:rsid w:val="00A65C4E"/>
    <w:rsid w:val="00A65D50"/>
    <w:rsid w:val="00A65E0E"/>
    <w:rsid w:val="00A65EB3"/>
    <w:rsid w:val="00A65F14"/>
    <w:rsid w:val="00A65F37"/>
    <w:rsid w:val="00A65F45"/>
    <w:rsid w:val="00A66011"/>
    <w:rsid w:val="00A66028"/>
    <w:rsid w:val="00A66049"/>
    <w:rsid w:val="00A66149"/>
    <w:rsid w:val="00A6616C"/>
    <w:rsid w:val="00A662DC"/>
    <w:rsid w:val="00A6631E"/>
    <w:rsid w:val="00A66380"/>
    <w:rsid w:val="00A66390"/>
    <w:rsid w:val="00A663C6"/>
    <w:rsid w:val="00A66561"/>
    <w:rsid w:val="00A66626"/>
    <w:rsid w:val="00A66692"/>
    <w:rsid w:val="00A66B7F"/>
    <w:rsid w:val="00A66D9A"/>
    <w:rsid w:val="00A66FF9"/>
    <w:rsid w:val="00A67221"/>
    <w:rsid w:val="00A6741B"/>
    <w:rsid w:val="00A6747C"/>
    <w:rsid w:val="00A674B1"/>
    <w:rsid w:val="00A674BF"/>
    <w:rsid w:val="00A674C2"/>
    <w:rsid w:val="00A6766C"/>
    <w:rsid w:val="00A67673"/>
    <w:rsid w:val="00A67724"/>
    <w:rsid w:val="00A67735"/>
    <w:rsid w:val="00A6775A"/>
    <w:rsid w:val="00A677C5"/>
    <w:rsid w:val="00A67807"/>
    <w:rsid w:val="00A67958"/>
    <w:rsid w:val="00A67B08"/>
    <w:rsid w:val="00A67BA9"/>
    <w:rsid w:val="00A67C31"/>
    <w:rsid w:val="00A67CD2"/>
    <w:rsid w:val="00A67F98"/>
    <w:rsid w:val="00A67FE3"/>
    <w:rsid w:val="00A7005E"/>
    <w:rsid w:val="00A70122"/>
    <w:rsid w:val="00A701B7"/>
    <w:rsid w:val="00A703BC"/>
    <w:rsid w:val="00A70646"/>
    <w:rsid w:val="00A707D8"/>
    <w:rsid w:val="00A70868"/>
    <w:rsid w:val="00A70923"/>
    <w:rsid w:val="00A709F8"/>
    <w:rsid w:val="00A70A30"/>
    <w:rsid w:val="00A70D51"/>
    <w:rsid w:val="00A70D58"/>
    <w:rsid w:val="00A70E63"/>
    <w:rsid w:val="00A70E8C"/>
    <w:rsid w:val="00A70ECA"/>
    <w:rsid w:val="00A70EE4"/>
    <w:rsid w:val="00A71168"/>
    <w:rsid w:val="00A71349"/>
    <w:rsid w:val="00A7134A"/>
    <w:rsid w:val="00A7136B"/>
    <w:rsid w:val="00A7158B"/>
    <w:rsid w:val="00A71596"/>
    <w:rsid w:val="00A71836"/>
    <w:rsid w:val="00A71902"/>
    <w:rsid w:val="00A719A0"/>
    <w:rsid w:val="00A719C9"/>
    <w:rsid w:val="00A71F96"/>
    <w:rsid w:val="00A71FFB"/>
    <w:rsid w:val="00A7200F"/>
    <w:rsid w:val="00A72086"/>
    <w:rsid w:val="00A7209C"/>
    <w:rsid w:val="00A720C9"/>
    <w:rsid w:val="00A722EC"/>
    <w:rsid w:val="00A72320"/>
    <w:rsid w:val="00A72365"/>
    <w:rsid w:val="00A72382"/>
    <w:rsid w:val="00A724CD"/>
    <w:rsid w:val="00A7252A"/>
    <w:rsid w:val="00A72580"/>
    <w:rsid w:val="00A72853"/>
    <w:rsid w:val="00A72A06"/>
    <w:rsid w:val="00A72D71"/>
    <w:rsid w:val="00A72FCC"/>
    <w:rsid w:val="00A7319F"/>
    <w:rsid w:val="00A731D6"/>
    <w:rsid w:val="00A731FA"/>
    <w:rsid w:val="00A7320F"/>
    <w:rsid w:val="00A73313"/>
    <w:rsid w:val="00A73367"/>
    <w:rsid w:val="00A7338B"/>
    <w:rsid w:val="00A734D9"/>
    <w:rsid w:val="00A735DC"/>
    <w:rsid w:val="00A73650"/>
    <w:rsid w:val="00A73699"/>
    <w:rsid w:val="00A73823"/>
    <w:rsid w:val="00A7382A"/>
    <w:rsid w:val="00A73947"/>
    <w:rsid w:val="00A739A5"/>
    <w:rsid w:val="00A73CEA"/>
    <w:rsid w:val="00A73CEC"/>
    <w:rsid w:val="00A73D72"/>
    <w:rsid w:val="00A73EAD"/>
    <w:rsid w:val="00A73F8F"/>
    <w:rsid w:val="00A740E3"/>
    <w:rsid w:val="00A740F7"/>
    <w:rsid w:val="00A74223"/>
    <w:rsid w:val="00A74226"/>
    <w:rsid w:val="00A742CD"/>
    <w:rsid w:val="00A7437F"/>
    <w:rsid w:val="00A7457F"/>
    <w:rsid w:val="00A74732"/>
    <w:rsid w:val="00A7479D"/>
    <w:rsid w:val="00A747E1"/>
    <w:rsid w:val="00A747FD"/>
    <w:rsid w:val="00A7485B"/>
    <w:rsid w:val="00A74A48"/>
    <w:rsid w:val="00A74B91"/>
    <w:rsid w:val="00A74C55"/>
    <w:rsid w:val="00A74C58"/>
    <w:rsid w:val="00A74C9F"/>
    <w:rsid w:val="00A74D34"/>
    <w:rsid w:val="00A74D6C"/>
    <w:rsid w:val="00A74DD5"/>
    <w:rsid w:val="00A74E07"/>
    <w:rsid w:val="00A75030"/>
    <w:rsid w:val="00A751B0"/>
    <w:rsid w:val="00A751D0"/>
    <w:rsid w:val="00A7524A"/>
    <w:rsid w:val="00A752FF"/>
    <w:rsid w:val="00A7532D"/>
    <w:rsid w:val="00A754CF"/>
    <w:rsid w:val="00A7561F"/>
    <w:rsid w:val="00A75723"/>
    <w:rsid w:val="00A757B0"/>
    <w:rsid w:val="00A758B5"/>
    <w:rsid w:val="00A75BBF"/>
    <w:rsid w:val="00A75E0F"/>
    <w:rsid w:val="00A75F10"/>
    <w:rsid w:val="00A75FD5"/>
    <w:rsid w:val="00A7623C"/>
    <w:rsid w:val="00A7631D"/>
    <w:rsid w:val="00A764D0"/>
    <w:rsid w:val="00A76561"/>
    <w:rsid w:val="00A76855"/>
    <w:rsid w:val="00A76860"/>
    <w:rsid w:val="00A768A1"/>
    <w:rsid w:val="00A7693D"/>
    <w:rsid w:val="00A76BCD"/>
    <w:rsid w:val="00A76CB9"/>
    <w:rsid w:val="00A76D4D"/>
    <w:rsid w:val="00A76E2B"/>
    <w:rsid w:val="00A76E49"/>
    <w:rsid w:val="00A76F39"/>
    <w:rsid w:val="00A770F9"/>
    <w:rsid w:val="00A771DB"/>
    <w:rsid w:val="00A77222"/>
    <w:rsid w:val="00A77350"/>
    <w:rsid w:val="00A77379"/>
    <w:rsid w:val="00A773E4"/>
    <w:rsid w:val="00A77438"/>
    <w:rsid w:val="00A775F6"/>
    <w:rsid w:val="00A776A4"/>
    <w:rsid w:val="00A777B4"/>
    <w:rsid w:val="00A777DC"/>
    <w:rsid w:val="00A7784D"/>
    <w:rsid w:val="00A77939"/>
    <w:rsid w:val="00A779E9"/>
    <w:rsid w:val="00A77F3D"/>
    <w:rsid w:val="00A77F73"/>
    <w:rsid w:val="00A77FB7"/>
    <w:rsid w:val="00A80074"/>
    <w:rsid w:val="00A80236"/>
    <w:rsid w:val="00A803AF"/>
    <w:rsid w:val="00A8049D"/>
    <w:rsid w:val="00A804F3"/>
    <w:rsid w:val="00A805AF"/>
    <w:rsid w:val="00A80676"/>
    <w:rsid w:val="00A8080B"/>
    <w:rsid w:val="00A80819"/>
    <w:rsid w:val="00A808EE"/>
    <w:rsid w:val="00A80C96"/>
    <w:rsid w:val="00A80C9A"/>
    <w:rsid w:val="00A80CC1"/>
    <w:rsid w:val="00A80CE0"/>
    <w:rsid w:val="00A80DAD"/>
    <w:rsid w:val="00A80E4D"/>
    <w:rsid w:val="00A80F25"/>
    <w:rsid w:val="00A80F7C"/>
    <w:rsid w:val="00A810B7"/>
    <w:rsid w:val="00A811BF"/>
    <w:rsid w:val="00A81241"/>
    <w:rsid w:val="00A81259"/>
    <w:rsid w:val="00A81270"/>
    <w:rsid w:val="00A812C9"/>
    <w:rsid w:val="00A81351"/>
    <w:rsid w:val="00A81418"/>
    <w:rsid w:val="00A81680"/>
    <w:rsid w:val="00A817FA"/>
    <w:rsid w:val="00A81861"/>
    <w:rsid w:val="00A8191F"/>
    <w:rsid w:val="00A8199C"/>
    <w:rsid w:val="00A81AD6"/>
    <w:rsid w:val="00A81B97"/>
    <w:rsid w:val="00A81CBA"/>
    <w:rsid w:val="00A81DDA"/>
    <w:rsid w:val="00A81E70"/>
    <w:rsid w:val="00A81F60"/>
    <w:rsid w:val="00A81FA1"/>
    <w:rsid w:val="00A81FDD"/>
    <w:rsid w:val="00A81FF5"/>
    <w:rsid w:val="00A8224D"/>
    <w:rsid w:val="00A822C2"/>
    <w:rsid w:val="00A82374"/>
    <w:rsid w:val="00A824EB"/>
    <w:rsid w:val="00A82604"/>
    <w:rsid w:val="00A8277D"/>
    <w:rsid w:val="00A827D2"/>
    <w:rsid w:val="00A8291C"/>
    <w:rsid w:val="00A8294A"/>
    <w:rsid w:val="00A82990"/>
    <w:rsid w:val="00A82AAF"/>
    <w:rsid w:val="00A82B0B"/>
    <w:rsid w:val="00A82B8B"/>
    <w:rsid w:val="00A82C53"/>
    <w:rsid w:val="00A8303E"/>
    <w:rsid w:val="00A830A8"/>
    <w:rsid w:val="00A83124"/>
    <w:rsid w:val="00A8327D"/>
    <w:rsid w:val="00A83283"/>
    <w:rsid w:val="00A832CF"/>
    <w:rsid w:val="00A832E7"/>
    <w:rsid w:val="00A83383"/>
    <w:rsid w:val="00A833A4"/>
    <w:rsid w:val="00A83452"/>
    <w:rsid w:val="00A83495"/>
    <w:rsid w:val="00A8353A"/>
    <w:rsid w:val="00A838A0"/>
    <w:rsid w:val="00A83B30"/>
    <w:rsid w:val="00A83B65"/>
    <w:rsid w:val="00A83BE5"/>
    <w:rsid w:val="00A83C15"/>
    <w:rsid w:val="00A83C7B"/>
    <w:rsid w:val="00A83CC8"/>
    <w:rsid w:val="00A83CF7"/>
    <w:rsid w:val="00A83D09"/>
    <w:rsid w:val="00A83EFB"/>
    <w:rsid w:val="00A83F18"/>
    <w:rsid w:val="00A83FED"/>
    <w:rsid w:val="00A840E7"/>
    <w:rsid w:val="00A84122"/>
    <w:rsid w:val="00A84183"/>
    <w:rsid w:val="00A84191"/>
    <w:rsid w:val="00A8420B"/>
    <w:rsid w:val="00A84268"/>
    <w:rsid w:val="00A84376"/>
    <w:rsid w:val="00A843B1"/>
    <w:rsid w:val="00A8458E"/>
    <w:rsid w:val="00A8458F"/>
    <w:rsid w:val="00A845CE"/>
    <w:rsid w:val="00A845D0"/>
    <w:rsid w:val="00A8470F"/>
    <w:rsid w:val="00A848F4"/>
    <w:rsid w:val="00A84937"/>
    <w:rsid w:val="00A8493F"/>
    <w:rsid w:val="00A84974"/>
    <w:rsid w:val="00A849A9"/>
    <w:rsid w:val="00A84BB5"/>
    <w:rsid w:val="00A84BD8"/>
    <w:rsid w:val="00A84C7D"/>
    <w:rsid w:val="00A84DA9"/>
    <w:rsid w:val="00A84E55"/>
    <w:rsid w:val="00A84E72"/>
    <w:rsid w:val="00A84EA5"/>
    <w:rsid w:val="00A85259"/>
    <w:rsid w:val="00A8525F"/>
    <w:rsid w:val="00A852F2"/>
    <w:rsid w:val="00A8531D"/>
    <w:rsid w:val="00A853E2"/>
    <w:rsid w:val="00A85455"/>
    <w:rsid w:val="00A8562B"/>
    <w:rsid w:val="00A85781"/>
    <w:rsid w:val="00A857EA"/>
    <w:rsid w:val="00A858B4"/>
    <w:rsid w:val="00A8598C"/>
    <w:rsid w:val="00A859B9"/>
    <w:rsid w:val="00A85ED8"/>
    <w:rsid w:val="00A86025"/>
    <w:rsid w:val="00A86055"/>
    <w:rsid w:val="00A86059"/>
    <w:rsid w:val="00A8605E"/>
    <w:rsid w:val="00A8617F"/>
    <w:rsid w:val="00A8619A"/>
    <w:rsid w:val="00A86315"/>
    <w:rsid w:val="00A8637E"/>
    <w:rsid w:val="00A86388"/>
    <w:rsid w:val="00A86478"/>
    <w:rsid w:val="00A8651A"/>
    <w:rsid w:val="00A8660B"/>
    <w:rsid w:val="00A8661B"/>
    <w:rsid w:val="00A866A1"/>
    <w:rsid w:val="00A868FC"/>
    <w:rsid w:val="00A8694B"/>
    <w:rsid w:val="00A86B61"/>
    <w:rsid w:val="00A86B7C"/>
    <w:rsid w:val="00A86BD9"/>
    <w:rsid w:val="00A86BFF"/>
    <w:rsid w:val="00A86CE0"/>
    <w:rsid w:val="00A86D25"/>
    <w:rsid w:val="00A86EF8"/>
    <w:rsid w:val="00A86FD9"/>
    <w:rsid w:val="00A8707B"/>
    <w:rsid w:val="00A870F4"/>
    <w:rsid w:val="00A8718F"/>
    <w:rsid w:val="00A871F4"/>
    <w:rsid w:val="00A872C0"/>
    <w:rsid w:val="00A87311"/>
    <w:rsid w:val="00A87393"/>
    <w:rsid w:val="00A8742C"/>
    <w:rsid w:val="00A8747E"/>
    <w:rsid w:val="00A8770D"/>
    <w:rsid w:val="00A877E9"/>
    <w:rsid w:val="00A8783C"/>
    <w:rsid w:val="00A87A94"/>
    <w:rsid w:val="00A87C64"/>
    <w:rsid w:val="00A87CD1"/>
    <w:rsid w:val="00A87DD6"/>
    <w:rsid w:val="00A87EC7"/>
    <w:rsid w:val="00A87EFE"/>
    <w:rsid w:val="00A87FF4"/>
    <w:rsid w:val="00A90401"/>
    <w:rsid w:val="00A9049A"/>
    <w:rsid w:val="00A904AE"/>
    <w:rsid w:val="00A904B5"/>
    <w:rsid w:val="00A90508"/>
    <w:rsid w:val="00A906DC"/>
    <w:rsid w:val="00A90789"/>
    <w:rsid w:val="00A907D5"/>
    <w:rsid w:val="00A9085F"/>
    <w:rsid w:val="00A90861"/>
    <w:rsid w:val="00A908CC"/>
    <w:rsid w:val="00A90A07"/>
    <w:rsid w:val="00A90A39"/>
    <w:rsid w:val="00A90A50"/>
    <w:rsid w:val="00A90A59"/>
    <w:rsid w:val="00A90B79"/>
    <w:rsid w:val="00A90BDF"/>
    <w:rsid w:val="00A90C21"/>
    <w:rsid w:val="00A90E06"/>
    <w:rsid w:val="00A90E7D"/>
    <w:rsid w:val="00A90F25"/>
    <w:rsid w:val="00A90F63"/>
    <w:rsid w:val="00A91003"/>
    <w:rsid w:val="00A911A0"/>
    <w:rsid w:val="00A91321"/>
    <w:rsid w:val="00A91602"/>
    <w:rsid w:val="00A9175E"/>
    <w:rsid w:val="00A91921"/>
    <w:rsid w:val="00A91A52"/>
    <w:rsid w:val="00A91A60"/>
    <w:rsid w:val="00A91BF0"/>
    <w:rsid w:val="00A91C09"/>
    <w:rsid w:val="00A91E47"/>
    <w:rsid w:val="00A91E8E"/>
    <w:rsid w:val="00A91F71"/>
    <w:rsid w:val="00A91FF4"/>
    <w:rsid w:val="00A921E3"/>
    <w:rsid w:val="00A9220C"/>
    <w:rsid w:val="00A92240"/>
    <w:rsid w:val="00A92260"/>
    <w:rsid w:val="00A92263"/>
    <w:rsid w:val="00A923C7"/>
    <w:rsid w:val="00A92476"/>
    <w:rsid w:val="00A924D5"/>
    <w:rsid w:val="00A9264A"/>
    <w:rsid w:val="00A927B6"/>
    <w:rsid w:val="00A92829"/>
    <w:rsid w:val="00A92890"/>
    <w:rsid w:val="00A928FB"/>
    <w:rsid w:val="00A92961"/>
    <w:rsid w:val="00A92998"/>
    <w:rsid w:val="00A92A7E"/>
    <w:rsid w:val="00A92ACC"/>
    <w:rsid w:val="00A92ADD"/>
    <w:rsid w:val="00A92C1D"/>
    <w:rsid w:val="00A92CFF"/>
    <w:rsid w:val="00A92D66"/>
    <w:rsid w:val="00A93017"/>
    <w:rsid w:val="00A9305C"/>
    <w:rsid w:val="00A930EC"/>
    <w:rsid w:val="00A93112"/>
    <w:rsid w:val="00A93193"/>
    <w:rsid w:val="00A9332D"/>
    <w:rsid w:val="00A93375"/>
    <w:rsid w:val="00A933D2"/>
    <w:rsid w:val="00A93400"/>
    <w:rsid w:val="00A936BC"/>
    <w:rsid w:val="00A9380D"/>
    <w:rsid w:val="00A93974"/>
    <w:rsid w:val="00A93989"/>
    <w:rsid w:val="00A93A4D"/>
    <w:rsid w:val="00A93A8F"/>
    <w:rsid w:val="00A93BA7"/>
    <w:rsid w:val="00A93C4D"/>
    <w:rsid w:val="00A93E3B"/>
    <w:rsid w:val="00A93E81"/>
    <w:rsid w:val="00A94253"/>
    <w:rsid w:val="00A9427E"/>
    <w:rsid w:val="00A9429F"/>
    <w:rsid w:val="00A94337"/>
    <w:rsid w:val="00A94423"/>
    <w:rsid w:val="00A9448E"/>
    <w:rsid w:val="00A945C8"/>
    <w:rsid w:val="00A9476C"/>
    <w:rsid w:val="00A94920"/>
    <w:rsid w:val="00A94972"/>
    <w:rsid w:val="00A94A6F"/>
    <w:rsid w:val="00A94AC3"/>
    <w:rsid w:val="00A94B21"/>
    <w:rsid w:val="00A94BC9"/>
    <w:rsid w:val="00A94BD3"/>
    <w:rsid w:val="00A94CA2"/>
    <w:rsid w:val="00A94D20"/>
    <w:rsid w:val="00A94D46"/>
    <w:rsid w:val="00A94DEA"/>
    <w:rsid w:val="00A94E18"/>
    <w:rsid w:val="00A94F65"/>
    <w:rsid w:val="00A94F8B"/>
    <w:rsid w:val="00A94FBD"/>
    <w:rsid w:val="00A9501E"/>
    <w:rsid w:val="00A95070"/>
    <w:rsid w:val="00A950C9"/>
    <w:rsid w:val="00A95189"/>
    <w:rsid w:val="00A95407"/>
    <w:rsid w:val="00A95415"/>
    <w:rsid w:val="00A95476"/>
    <w:rsid w:val="00A95608"/>
    <w:rsid w:val="00A9560D"/>
    <w:rsid w:val="00A9565D"/>
    <w:rsid w:val="00A95700"/>
    <w:rsid w:val="00A95788"/>
    <w:rsid w:val="00A95ACE"/>
    <w:rsid w:val="00A95B4E"/>
    <w:rsid w:val="00A95D0F"/>
    <w:rsid w:val="00A95DB9"/>
    <w:rsid w:val="00A95EAA"/>
    <w:rsid w:val="00A9604F"/>
    <w:rsid w:val="00A96111"/>
    <w:rsid w:val="00A96353"/>
    <w:rsid w:val="00A96436"/>
    <w:rsid w:val="00A96494"/>
    <w:rsid w:val="00A96586"/>
    <w:rsid w:val="00A965CA"/>
    <w:rsid w:val="00A965DD"/>
    <w:rsid w:val="00A96627"/>
    <w:rsid w:val="00A9676F"/>
    <w:rsid w:val="00A9684B"/>
    <w:rsid w:val="00A969D7"/>
    <w:rsid w:val="00A96AD1"/>
    <w:rsid w:val="00A96BF6"/>
    <w:rsid w:val="00A96C06"/>
    <w:rsid w:val="00A96DB2"/>
    <w:rsid w:val="00A96DF4"/>
    <w:rsid w:val="00A96E3C"/>
    <w:rsid w:val="00A96F4B"/>
    <w:rsid w:val="00A971AA"/>
    <w:rsid w:val="00A97204"/>
    <w:rsid w:val="00A972DB"/>
    <w:rsid w:val="00A973C9"/>
    <w:rsid w:val="00A97523"/>
    <w:rsid w:val="00A9752B"/>
    <w:rsid w:val="00A97558"/>
    <w:rsid w:val="00A97593"/>
    <w:rsid w:val="00A97680"/>
    <w:rsid w:val="00A97694"/>
    <w:rsid w:val="00A97703"/>
    <w:rsid w:val="00A97763"/>
    <w:rsid w:val="00A978E8"/>
    <w:rsid w:val="00A9795A"/>
    <w:rsid w:val="00A979D9"/>
    <w:rsid w:val="00A97B88"/>
    <w:rsid w:val="00A97BA5"/>
    <w:rsid w:val="00A97BE9"/>
    <w:rsid w:val="00A97D08"/>
    <w:rsid w:val="00A97E62"/>
    <w:rsid w:val="00AA010C"/>
    <w:rsid w:val="00AA015C"/>
    <w:rsid w:val="00AA01D3"/>
    <w:rsid w:val="00AA01D9"/>
    <w:rsid w:val="00AA0283"/>
    <w:rsid w:val="00AA02D0"/>
    <w:rsid w:val="00AA03B4"/>
    <w:rsid w:val="00AA0400"/>
    <w:rsid w:val="00AA0524"/>
    <w:rsid w:val="00AA07B6"/>
    <w:rsid w:val="00AA0864"/>
    <w:rsid w:val="00AA08BB"/>
    <w:rsid w:val="00AA0903"/>
    <w:rsid w:val="00AA09C3"/>
    <w:rsid w:val="00AA0D2A"/>
    <w:rsid w:val="00AA0D30"/>
    <w:rsid w:val="00AA0EF8"/>
    <w:rsid w:val="00AA0F49"/>
    <w:rsid w:val="00AA1004"/>
    <w:rsid w:val="00AA126D"/>
    <w:rsid w:val="00AA134B"/>
    <w:rsid w:val="00AA1470"/>
    <w:rsid w:val="00AA151B"/>
    <w:rsid w:val="00AA1763"/>
    <w:rsid w:val="00AA17A1"/>
    <w:rsid w:val="00AA1811"/>
    <w:rsid w:val="00AA1816"/>
    <w:rsid w:val="00AA1900"/>
    <w:rsid w:val="00AA1940"/>
    <w:rsid w:val="00AA19E7"/>
    <w:rsid w:val="00AA1A67"/>
    <w:rsid w:val="00AA1AAF"/>
    <w:rsid w:val="00AA1AD9"/>
    <w:rsid w:val="00AA1F35"/>
    <w:rsid w:val="00AA229A"/>
    <w:rsid w:val="00AA2340"/>
    <w:rsid w:val="00AA23FC"/>
    <w:rsid w:val="00AA2461"/>
    <w:rsid w:val="00AA2462"/>
    <w:rsid w:val="00AA2469"/>
    <w:rsid w:val="00AA2484"/>
    <w:rsid w:val="00AA248A"/>
    <w:rsid w:val="00AA24AC"/>
    <w:rsid w:val="00AA2582"/>
    <w:rsid w:val="00AA260B"/>
    <w:rsid w:val="00AA272E"/>
    <w:rsid w:val="00AA2865"/>
    <w:rsid w:val="00AA28F7"/>
    <w:rsid w:val="00AA29EC"/>
    <w:rsid w:val="00AA2A49"/>
    <w:rsid w:val="00AA2BFF"/>
    <w:rsid w:val="00AA2D0F"/>
    <w:rsid w:val="00AA2DA3"/>
    <w:rsid w:val="00AA2F51"/>
    <w:rsid w:val="00AA2FA0"/>
    <w:rsid w:val="00AA3078"/>
    <w:rsid w:val="00AA31D5"/>
    <w:rsid w:val="00AA3278"/>
    <w:rsid w:val="00AA32A6"/>
    <w:rsid w:val="00AA335C"/>
    <w:rsid w:val="00AA338B"/>
    <w:rsid w:val="00AA352B"/>
    <w:rsid w:val="00AA3660"/>
    <w:rsid w:val="00AA3800"/>
    <w:rsid w:val="00AA3912"/>
    <w:rsid w:val="00AA397A"/>
    <w:rsid w:val="00AA3A45"/>
    <w:rsid w:val="00AA3A9B"/>
    <w:rsid w:val="00AA3B54"/>
    <w:rsid w:val="00AA3BF1"/>
    <w:rsid w:val="00AA3C3C"/>
    <w:rsid w:val="00AA3DE4"/>
    <w:rsid w:val="00AA3DF8"/>
    <w:rsid w:val="00AA3FE0"/>
    <w:rsid w:val="00AA3FE7"/>
    <w:rsid w:val="00AA405B"/>
    <w:rsid w:val="00AA4198"/>
    <w:rsid w:val="00AA41A2"/>
    <w:rsid w:val="00AA43C7"/>
    <w:rsid w:val="00AA449A"/>
    <w:rsid w:val="00AA44A1"/>
    <w:rsid w:val="00AA44DD"/>
    <w:rsid w:val="00AA454E"/>
    <w:rsid w:val="00AA455A"/>
    <w:rsid w:val="00AA4707"/>
    <w:rsid w:val="00AA48F8"/>
    <w:rsid w:val="00AA4A6B"/>
    <w:rsid w:val="00AA4D98"/>
    <w:rsid w:val="00AA4DC4"/>
    <w:rsid w:val="00AA4EE5"/>
    <w:rsid w:val="00AA4F4B"/>
    <w:rsid w:val="00AA4F75"/>
    <w:rsid w:val="00AA4FA4"/>
    <w:rsid w:val="00AA5059"/>
    <w:rsid w:val="00AA5237"/>
    <w:rsid w:val="00AA529C"/>
    <w:rsid w:val="00AA52F2"/>
    <w:rsid w:val="00AA5391"/>
    <w:rsid w:val="00AA5410"/>
    <w:rsid w:val="00AA546C"/>
    <w:rsid w:val="00AA562B"/>
    <w:rsid w:val="00AA5657"/>
    <w:rsid w:val="00AA577D"/>
    <w:rsid w:val="00AA5794"/>
    <w:rsid w:val="00AA57B0"/>
    <w:rsid w:val="00AA5988"/>
    <w:rsid w:val="00AA59F7"/>
    <w:rsid w:val="00AA5A45"/>
    <w:rsid w:val="00AA5ACC"/>
    <w:rsid w:val="00AA5B16"/>
    <w:rsid w:val="00AA5B5A"/>
    <w:rsid w:val="00AA5BF7"/>
    <w:rsid w:val="00AA5D46"/>
    <w:rsid w:val="00AA5EB7"/>
    <w:rsid w:val="00AA5F0D"/>
    <w:rsid w:val="00AA5F43"/>
    <w:rsid w:val="00AA5F62"/>
    <w:rsid w:val="00AA5FD9"/>
    <w:rsid w:val="00AA63C4"/>
    <w:rsid w:val="00AA6457"/>
    <w:rsid w:val="00AA69A9"/>
    <w:rsid w:val="00AA69C1"/>
    <w:rsid w:val="00AA69ED"/>
    <w:rsid w:val="00AA69F5"/>
    <w:rsid w:val="00AA6A20"/>
    <w:rsid w:val="00AA6C51"/>
    <w:rsid w:val="00AA6C5C"/>
    <w:rsid w:val="00AA6DB3"/>
    <w:rsid w:val="00AA7158"/>
    <w:rsid w:val="00AA71F2"/>
    <w:rsid w:val="00AA728C"/>
    <w:rsid w:val="00AA7356"/>
    <w:rsid w:val="00AA739C"/>
    <w:rsid w:val="00AA739D"/>
    <w:rsid w:val="00AA76AC"/>
    <w:rsid w:val="00AA790D"/>
    <w:rsid w:val="00AA79C2"/>
    <w:rsid w:val="00AA7A24"/>
    <w:rsid w:val="00AA7A46"/>
    <w:rsid w:val="00AA7A60"/>
    <w:rsid w:val="00AA7B93"/>
    <w:rsid w:val="00AA7BD2"/>
    <w:rsid w:val="00AA7CF7"/>
    <w:rsid w:val="00AB019C"/>
    <w:rsid w:val="00AB0249"/>
    <w:rsid w:val="00AB0278"/>
    <w:rsid w:val="00AB044F"/>
    <w:rsid w:val="00AB063B"/>
    <w:rsid w:val="00AB0644"/>
    <w:rsid w:val="00AB0673"/>
    <w:rsid w:val="00AB06C7"/>
    <w:rsid w:val="00AB0719"/>
    <w:rsid w:val="00AB074A"/>
    <w:rsid w:val="00AB0780"/>
    <w:rsid w:val="00AB0893"/>
    <w:rsid w:val="00AB08BC"/>
    <w:rsid w:val="00AB09A9"/>
    <w:rsid w:val="00AB0A6D"/>
    <w:rsid w:val="00AB0E4D"/>
    <w:rsid w:val="00AB0E75"/>
    <w:rsid w:val="00AB0ED0"/>
    <w:rsid w:val="00AB0F3F"/>
    <w:rsid w:val="00AB0FD0"/>
    <w:rsid w:val="00AB109B"/>
    <w:rsid w:val="00AB111B"/>
    <w:rsid w:val="00AB1161"/>
    <w:rsid w:val="00AB1225"/>
    <w:rsid w:val="00AB1372"/>
    <w:rsid w:val="00AB1426"/>
    <w:rsid w:val="00AB1586"/>
    <w:rsid w:val="00AB15A1"/>
    <w:rsid w:val="00AB15BA"/>
    <w:rsid w:val="00AB163A"/>
    <w:rsid w:val="00AB16B7"/>
    <w:rsid w:val="00AB19CF"/>
    <w:rsid w:val="00AB19F8"/>
    <w:rsid w:val="00AB1AA6"/>
    <w:rsid w:val="00AB1C22"/>
    <w:rsid w:val="00AB1ED4"/>
    <w:rsid w:val="00AB20FE"/>
    <w:rsid w:val="00AB21C6"/>
    <w:rsid w:val="00AB2217"/>
    <w:rsid w:val="00AB236E"/>
    <w:rsid w:val="00AB23E7"/>
    <w:rsid w:val="00AB241A"/>
    <w:rsid w:val="00AB2522"/>
    <w:rsid w:val="00AB2691"/>
    <w:rsid w:val="00AB26BE"/>
    <w:rsid w:val="00AB282B"/>
    <w:rsid w:val="00AB2841"/>
    <w:rsid w:val="00AB2950"/>
    <w:rsid w:val="00AB2AAF"/>
    <w:rsid w:val="00AB2BC6"/>
    <w:rsid w:val="00AB2C50"/>
    <w:rsid w:val="00AB2EC1"/>
    <w:rsid w:val="00AB2EC4"/>
    <w:rsid w:val="00AB3336"/>
    <w:rsid w:val="00AB3428"/>
    <w:rsid w:val="00AB343A"/>
    <w:rsid w:val="00AB34AF"/>
    <w:rsid w:val="00AB3533"/>
    <w:rsid w:val="00AB358C"/>
    <w:rsid w:val="00AB35B4"/>
    <w:rsid w:val="00AB369E"/>
    <w:rsid w:val="00AB3748"/>
    <w:rsid w:val="00AB379B"/>
    <w:rsid w:val="00AB37C6"/>
    <w:rsid w:val="00AB37C9"/>
    <w:rsid w:val="00AB3900"/>
    <w:rsid w:val="00AB39B4"/>
    <w:rsid w:val="00AB3A32"/>
    <w:rsid w:val="00AB3B86"/>
    <w:rsid w:val="00AB3BC0"/>
    <w:rsid w:val="00AB3C12"/>
    <w:rsid w:val="00AB3C5B"/>
    <w:rsid w:val="00AB3CC3"/>
    <w:rsid w:val="00AB3D50"/>
    <w:rsid w:val="00AB3DA8"/>
    <w:rsid w:val="00AB3E7F"/>
    <w:rsid w:val="00AB4209"/>
    <w:rsid w:val="00AB4387"/>
    <w:rsid w:val="00AB4467"/>
    <w:rsid w:val="00AB449C"/>
    <w:rsid w:val="00AB4523"/>
    <w:rsid w:val="00AB45F2"/>
    <w:rsid w:val="00AB46FB"/>
    <w:rsid w:val="00AB4734"/>
    <w:rsid w:val="00AB480F"/>
    <w:rsid w:val="00AB48A8"/>
    <w:rsid w:val="00AB4967"/>
    <w:rsid w:val="00AB49E4"/>
    <w:rsid w:val="00AB4A14"/>
    <w:rsid w:val="00AB4AA4"/>
    <w:rsid w:val="00AB4AB9"/>
    <w:rsid w:val="00AB4B4C"/>
    <w:rsid w:val="00AB4B99"/>
    <w:rsid w:val="00AB4C05"/>
    <w:rsid w:val="00AB4C2E"/>
    <w:rsid w:val="00AB4C32"/>
    <w:rsid w:val="00AB4E66"/>
    <w:rsid w:val="00AB4F65"/>
    <w:rsid w:val="00AB4F94"/>
    <w:rsid w:val="00AB4FD7"/>
    <w:rsid w:val="00AB50B1"/>
    <w:rsid w:val="00AB51F6"/>
    <w:rsid w:val="00AB52EB"/>
    <w:rsid w:val="00AB5425"/>
    <w:rsid w:val="00AB565C"/>
    <w:rsid w:val="00AB56F2"/>
    <w:rsid w:val="00AB57B3"/>
    <w:rsid w:val="00AB57BB"/>
    <w:rsid w:val="00AB5892"/>
    <w:rsid w:val="00AB58C9"/>
    <w:rsid w:val="00AB58F1"/>
    <w:rsid w:val="00AB594A"/>
    <w:rsid w:val="00AB594F"/>
    <w:rsid w:val="00AB5970"/>
    <w:rsid w:val="00AB5B73"/>
    <w:rsid w:val="00AB5C94"/>
    <w:rsid w:val="00AB5DC7"/>
    <w:rsid w:val="00AB5E33"/>
    <w:rsid w:val="00AB5E9A"/>
    <w:rsid w:val="00AB5F24"/>
    <w:rsid w:val="00AB5F8F"/>
    <w:rsid w:val="00AB61B8"/>
    <w:rsid w:val="00AB61C0"/>
    <w:rsid w:val="00AB63B3"/>
    <w:rsid w:val="00AB6476"/>
    <w:rsid w:val="00AB6498"/>
    <w:rsid w:val="00AB650C"/>
    <w:rsid w:val="00AB651F"/>
    <w:rsid w:val="00AB6564"/>
    <w:rsid w:val="00AB661E"/>
    <w:rsid w:val="00AB6701"/>
    <w:rsid w:val="00AB6967"/>
    <w:rsid w:val="00AB6B15"/>
    <w:rsid w:val="00AB6D7B"/>
    <w:rsid w:val="00AB6F40"/>
    <w:rsid w:val="00AB6F7D"/>
    <w:rsid w:val="00AB705D"/>
    <w:rsid w:val="00AB70AB"/>
    <w:rsid w:val="00AB70D3"/>
    <w:rsid w:val="00AB717D"/>
    <w:rsid w:val="00AB72EC"/>
    <w:rsid w:val="00AB73B0"/>
    <w:rsid w:val="00AB73EA"/>
    <w:rsid w:val="00AB744D"/>
    <w:rsid w:val="00AB75BB"/>
    <w:rsid w:val="00AB7621"/>
    <w:rsid w:val="00AB772D"/>
    <w:rsid w:val="00AB776D"/>
    <w:rsid w:val="00AB791D"/>
    <w:rsid w:val="00AB7963"/>
    <w:rsid w:val="00AB79F0"/>
    <w:rsid w:val="00AB79F2"/>
    <w:rsid w:val="00AB79F8"/>
    <w:rsid w:val="00AB7B0A"/>
    <w:rsid w:val="00AB7B8C"/>
    <w:rsid w:val="00AB7BCB"/>
    <w:rsid w:val="00AB7BD7"/>
    <w:rsid w:val="00AB7CA9"/>
    <w:rsid w:val="00AB7CBB"/>
    <w:rsid w:val="00AB7CF7"/>
    <w:rsid w:val="00AB7D4B"/>
    <w:rsid w:val="00AB7E21"/>
    <w:rsid w:val="00AB7ECD"/>
    <w:rsid w:val="00AB7F7B"/>
    <w:rsid w:val="00AC0138"/>
    <w:rsid w:val="00AC01CE"/>
    <w:rsid w:val="00AC01FE"/>
    <w:rsid w:val="00AC02C5"/>
    <w:rsid w:val="00AC02D2"/>
    <w:rsid w:val="00AC0340"/>
    <w:rsid w:val="00AC0418"/>
    <w:rsid w:val="00AC044A"/>
    <w:rsid w:val="00AC057C"/>
    <w:rsid w:val="00AC05AE"/>
    <w:rsid w:val="00AC0778"/>
    <w:rsid w:val="00AC0894"/>
    <w:rsid w:val="00AC0B75"/>
    <w:rsid w:val="00AC0C37"/>
    <w:rsid w:val="00AC0CC0"/>
    <w:rsid w:val="00AC0D29"/>
    <w:rsid w:val="00AC0D46"/>
    <w:rsid w:val="00AC0EE4"/>
    <w:rsid w:val="00AC105B"/>
    <w:rsid w:val="00AC110C"/>
    <w:rsid w:val="00AC116C"/>
    <w:rsid w:val="00AC124F"/>
    <w:rsid w:val="00AC1601"/>
    <w:rsid w:val="00AC1607"/>
    <w:rsid w:val="00AC16E2"/>
    <w:rsid w:val="00AC1883"/>
    <w:rsid w:val="00AC1891"/>
    <w:rsid w:val="00AC194E"/>
    <w:rsid w:val="00AC1AF8"/>
    <w:rsid w:val="00AC1B2F"/>
    <w:rsid w:val="00AC1CA7"/>
    <w:rsid w:val="00AC1D35"/>
    <w:rsid w:val="00AC1FAF"/>
    <w:rsid w:val="00AC2124"/>
    <w:rsid w:val="00AC2164"/>
    <w:rsid w:val="00AC21A1"/>
    <w:rsid w:val="00AC228F"/>
    <w:rsid w:val="00AC2293"/>
    <w:rsid w:val="00AC2296"/>
    <w:rsid w:val="00AC238D"/>
    <w:rsid w:val="00AC2448"/>
    <w:rsid w:val="00AC24B5"/>
    <w:rsid w:val="00AC2509"/>
    <w:rsid w:val="00AC29C5"/>
    <w:rsid w:val="00AC2A39"/>
    <w:rsid w:val="00AC2B0B"/>
    <w:rsid w:val="00AC2C9B"/>
    <w:rsid w:val="00AC2CF4"/>
    <w:rsid w:val="00AC2F1F"/>
    <w:rsid w:val="00AC2F32"/>
    <w:rsid w:val="00AC3024"/>
    <w:rsid w:val="00AC3061"/>
    <w:rsid w:val="00AC3274"/>
    <w:rsid w:val="00AC32A7"/>
    <w:rsid w:val="00AC3359"/>
    <w:rsid w:val="00AC36B8"/>
    <w:rsid w:val="00AC37DA"/>
    <w:rsid w:val="00AC3906"/>
    <w:rsid w:val="00AC3A8F"/>
    <w:rsid w:val="00AC3AB6"/>
    <w:rsid w:val="00AC3BB7"/>
    <w:rsid w:val="00AC3D76"/>
    <w:rsid w:val="00AC41F6"/>
    <w:rsid w:val="00AC43E6"/>
    <w:rsid w:val="00AC44EA"/>
    <w:rsid w:val="00AC459E"/>
    <w:rsid w:val="00AC4642"/>
    <w:rsid w:val="00AC4658"/>
    <w:rsid w:val="00AC466F"/>
    <w:rsid w:val="00AC47B3"/>
    <w:rsid w:val="00AC48F7"/>
    <w:rsid w:val="00AC4964"/>
    <w:rsid w:val="00AC4A9A"/>
    <w:rsid w:val="00AC4B9A"/>
    <w:rsid w:val="00AC4C5B"/>
    <w:rsid w:val="00AC4CDD"/>
    <w:rsid w:val="00AC4D1F"/>
    <w:rsid w:val="00AC4DC1"/>
    <w:rsid w:val="00AC4DC4"/>
    <w:rsid w:val="00AC4E59"/>
    <w:rsid w:val="00AC4F60"/>
    <w:rsid w:val="00AC4FA0"/>
    <w:rsid w:val="00AC5052"/>
    <w:rsid w:val="00AC507F"/>
    <w:rsid w:val="00AC50AD"/>
    <w:rsid w:val="00AC5157"/>
    <w:rsid w:val="00AC51BA"/>
    <w:rsid w:val="00AC5200"/>
    <w:rsid w:val="00AC527B"/>
    <w:rsid w:val="00AC529C"/>
    <w:rsid w:val="00AC540D"/>
    <w:rsid w:val="00AC5413"/>
    <w:rsid w:val="00AC562A"/>
    <w:rsid w:val="00AC5734"/>
    <w:rsid w:val="00AC5760"/>
    <w:rsid w:val="00AC581B"/>
    <w:rsid w:val="00AC5821"/>
    <w:rsid w:val="00AC58E3"/>
    <w:rsid w:val="00AC593F"/>
    <w:rsid w:val="00AC5996"/>
    <w:rsid w:val="00AC5A4F"/>
    <w:rsid w:val="00AC5A77"/>
    <w:rsid w:val="00AC5B5B"/>
    <w:rsid w:val="00AC5CD4"/>
    <w:rsid w:val="00AC5D4F"/>
    <w:rsid w:val="00AC5F1E"/>
    <w:rsid w:val="00AC5FFF"/>
    <w:rsid w:val="00AC6009"/>
    <w:rsid w:val="00AC6051"/>
    <w:rsid w:val="00AC6098"/>
    <w:rsid w:val="00AC60D5"/>
    <w:rsid w:val="00AC6174"/>
    <w:rsid w:val="00AC6188"/>
    <w:rsid w:val="00AC62C4"/>
    <w:rsid w:val="00AC62CE"/>
    <w:rsid w:val="00AC645A"/>
    <w:rsid w:val="00AC6583"/>
    <w:rsid w:val="00AC65CB"/>
    <w:rsid w:val="00AC6672"/>
    <w:rsid w:val="00AC6724"/>
    <w:rsid w:val="00AC687B"/>
    <w:rsid w:val="00AC69E1"/>
    <w:rsid w:val="00AC6A7A"/>
    <w:rsid w:val="00AC6ACC"/>
    <w:rsid w:val="00AC6BA9"/>
    <w:rsid w:val="00AC6C38"/>
    <w:rsid w:val="00AC6C39"/>
    <w:rsid w:val="00AC6D15"/>
    <w:rsid w:val="00AC6D33"/>
    <w:rsid w:val="00AC6EEA"/>
    <w:rsid w:val="00AC6F73"/>
    <w:rsid w:val="00AC6F74"/>
    <w:rsid w:val="00AC6F7D"/>
    <w:rsid w:val="00AC70A7"/>
    <w:rsid w:val="00AC720A"/>
    <w:rsid w:val="00AC72A0"/>
    <w:rsid w:val="00AC73D1"/>
    <w:rsid w:val="00AC760B"/>
    <w:rsid w:val="00AC76F6"/>
    <w:rsid w:val="00AC7848"/>
    <w:rsid w:val="00AC78F2"/>
    <w:rsid w:val="00AC7B7A"/>
    <w:rsid w:val="00AC7BB2"/>
    <w:rsid w:val="00AC7D74"/>
    <w:rsid w:val="00AD00EA"/>
    <w:rsid w:val="00AD014B"/>
    <w:rsid w:val="00AD0254"/>
    <w:rsid w:val="00AD0267"/>
    <w:rsid w:val="00AD02BF"/>
    <w:rsid w:val="00AD0478"/>
    <w:rsid w:val="00AD0482"/>
    <w:rsid w:val="00AD04F9"/>
    <w:rsid w:val="00AD0566"/>
    <w:rsid w:val="00AD05B1"/>
    <w:rsid w:val="00AD061D"/>
    <w:rsid w:val="00AD06FD"/>
    <w:rsid w:val="00AD0752"/>
    <w:rsid w:val="00AD07C8"/>
    <w:rsid w:val="00AD0881"/>
    <w:rsid w:val="00AD0887"/>
    <w:rsid w:val="00AD0895"/>
    <w:rsid w:val="00AD09B3"/>
    <w:rsid w:val="00AD09C9"/>
    <w:rsid w:val="00AD09FE"/>
    <w:rsid w:val="00AD0A16"/>
    <w:rsid w:val="00AD0DBC"/>
    <w:rsid w:val="00AD0E20"/>
    <w:rsid w:val="00AD1069"/>
    <w:rsid w:val="00AD109F"/>
    <w:rsid w:val="00AD12D2"/>
    <w:rsid w:val="00AD1437"/>
    <w:rsid w:val="00AD14D7"/>
    <w:rsid w:val="00AD1568"/>
    <w:rsid w:val="00AD1577"/>
    <w:rsid w:val="00AD1611"/>
    <w:rsid w:val="00AD1650"/>
    <w:rsid w:val="00AD16F8"/>
    <w:rsid w:val="00AD175D"/>
    <w:rsid w:val="00AD176C"/>
    <w:rsid w:val="00AD18EC"/>
    <w:rsid w:val="00AD1948"/>
    <w:rsid w:val="00AD1A29"/>
    <w:rsid w:val="00AD1A96"/>
    <w:rsid w:val="00AD1B03"/>
    <w:rsid w:val="00AD1BB9"/>
    <w:rsid w:val="00AD1C35"/>
    <w:rsid w:val="00AD1D0D"/>
    <w:rsid w:val="00AD1D4A"/>
    <w:rsid w:val="00AD1D94"/>
    <w:rsid w:val="00AD1F9E"/>
    <w:rsid w:val="00AD20EB"/>
    <w:rsid w:val="00AD21DA"/>
    <w:rsid w:val="00AD21F4"/>
    <w:rsid w:val="00AD2292"/>
    <w:rsid w:val="00AD22F5"/>
    <w:rsid w:val="00AD23C5"/>
    <w:rsid w:val="00AD2404"/>
    <w:rsid w:val="00AD24B1"/>
    <w:rsid w:val="00AD258A"/>
    <w:rsid w:val="00AD2689"/>
    <w:rsid w:val="00AD28A6"/>
    <w:rsid w:val="00AD28C3"/>
    <w:rsid w:val="00AD296A"/>
    <w:rsid w:val="00AD2A00"/>
    <w:rsid w:val="00AD2A9B"/>
    <w:rsid w:val="00AD2ADB"/>
    <w:rsid w:val="00AD2E6F"/>
    <w:rsid w:val="00AD2EFF"/>
    <w:rsid w:val="00AD2F93"/>
    <w:rsid w:val="00AD309A"/>
    <w:rsid w:val="00AD30D7"/>
    <w:rsid w:val="00AD30E8"/>
    <w:rsid w:val="00AD34A8"/>
    <w:rsid w:val="00AD35D0"/>
    <w:rsid w:val="00AD360C"/>
    <w:rsid w:val="00AD3698"/>
    <w:rsid w:val="00AD36A5"/>
    <w:rsid w:val="00AD37ED"/>
    <w:rsid w:val="00AD385B"/>
    <w:rsid w:val="00AD3A19"/>
    <w:rsid w:val="00AD3A88"/>
    <w:rsid w:val="00AD3BA4"/>
    <w:rsid w:val="00AD3C85"/>
    <w:rsid w:val="00AD3D33"/>
    <w:rsid w:val="00AD3D89"/>
    <w:rsid w:val="00AD3EB0"/>
    <w:rsid w:val="00AD3EC6"/>
    <w:rsid w:val="00AD3EEC"/>
    <w:rsid w:val="00AD3EEF"/>
    <w:rsid w:val="00AD3FBD"/>
    <w:rsid w:val="00AD40F6"/>
    <w:rsid w:val="00AD41F7"/>
    <w:rsid w:val="00AD42B6"/>
    <w:rsid w:val="00AD43DB"/>
    <w:rsid w:val="00AD44A8"/>
    <w:rsid w:val="00AD461E"/>
    <w:rsid w:val="00AD465D"/>
    <w:rsid w:val="00AD469E"/>
    <w:rsid w:val="00AD46EA"/>
    <w:rsid w:val="00AD47D1"/>
    <w:rsid w:val="00AD4882"/>
    <w:rsid w:val="00AD48CD"/>
    <w:rsid w:val="00AD48D5"/>
    <w:rsid w:val="00AD48DE"/>
    <w:rsid w:val="00AD497C"/>
    <w:rsid w:val="00AD4AAB"/>
    <w:rsid w:val="00AD4B3C"/>
    <w:rsid w:val="00AD4B66"/>
    <w:rsid w:val="00AD4BCB"/>
    <w:rsid w:val="00AD4D0C"/>
    <w:rsid w:val="00AD4E2E"/>
    <w:rsid w:val="00AD4ED8"/>
    <w:rsid w:val="00AD4EE7"/>
    <w:rsid w:val="00AD4F77"/>
    <w:rsid w:val="00AD503E"/>
    <w:rsid w:val="00AD504A"/>
    <w:rsid w:val="00AD5058"/>
    <w:rsid w:val="00AD51DF"/>
    <w:rsid w:val="00AD52C4"/>
    <w:rsid w:val="00AD536F"/>
    <w:rsid w:val="00AD547E"/>
    <w:rsid w:val="00AD54E3"/>
    <w:rsid w:val="00AD57B9"/>
    <w:rsid w:val="00AD581F"/>
    <w:rsid w:val="00AD58C7"/>
    <w:rsid w:val="00AD591D"/>
    <w:rsid w:val="00AD5B2D"/>
    <w:rsid w:val="00AD5B92"/>
    <w:rsid w:val="00AD5C5A"/>
    <w:rsid w:val="00AD5E3B"/>
    <w:rsid w:val="00AD5E3F"/>
    <w:rsid w:val="00AD5E7F"/>
    <w:rsid w:val="00AD5EA4"/>
    <w:rsid w:val="00AD5EEE"/>
    <w:rsid w:val="00AD5EF2"/>
    <w:rsid w:val="00AD5F05"/>
    <w:rsid w:val="00AD5F09"/>
    <w:rsid w:val="00AD5F4A"/>
    <w:rsid w:val="00AD5F5C"/>
    <w:rsid w:val="00AD5FD5"/>
    <w:rsid w:val="00AD6015"/>
    <w:rsid w:val="00AD608E"/>
    <w:rsid w:val="00AD60EA"/>
    <w:rsid w:val="00AD6111"/>
    <w:rsid w:val="00AD61CD"/>
    <w:rsid w:val="00AD627F"/>
    <w:rsid w:val="00AD62AE"/>
    <w:rsid w:val="00AD6550"/>
    <w:rsid w:val="00AD65F6"/>
    <w:rsid w:val="00AD674B"/>
    <w:rsid w:val="00AD67B6"/>
    <w:rsid w:val="00AD67D4"/>
    <w:rsid w:val="00AD687B"/>
    <w:rsid w:val="00AD6918"/>
    <w:rsid w:val="00AD6A12"/>
    <w:rsid w:val="00AD6B8F"/>
    <w:rsid w:val="00AD6BFB"/>
    <w:rsid w:val="00AD6C30"/>
    <w:rsid w:val="00AD6CCE"/>
    <w:rsid w:val="00AD6DA4"/>
    <w:rsid w:val="00AD6DF9"/>
    <w:rsid w:val="00AD6FF1"/>
    <w:rsid w:val="00AD7096"/>
    <w:rsid w:val="00AD7265"/>
    <w:rsid w:val="00AD72AA"/>
    <w:rsid w:val="00AD7321"/>
    <w:rsid w:val="00AD7352"/>
    <w:rsid w:val="00AD73A7"/>
    <w:rsid w:val="00AD73ED"/>
    <w:rsid w:val="00AD74F9"/>
    <w:rsid w:val="00AD750C"/>
    <w:rsid w:val="00AD754B"/>
    <w:rsid w:val="00AD77A7"/>
    <w:rsid w:val="00AD77C9"/>
    <w:rsid w:val="00AD781C"/>
    <w:rsid w:val="00AD782A"/>
    <w:rsid w:val="00AD78D8"/>
    <w:rsid w:val="00AD7A39"/>
    <w:rsid w:val="00AD7A3C"/>
    <w:rsid w:val="00AD7AD5"/>
    <w:rsid w:val="00AD7BCE"/>
    <w:rsid w:val="00AD7C4B"/>
    <w:rsid w:val="00AD7D01"/>
    <w:rsid w:val="00AD7D0D"/>
    <w:rsid w:val="00AD7DB5"/>
    <w:rsid w:val="00AD7E14"/>
    <w:rsid w:val="00AD7E1C"/>
    <w:rsid w:val="00AD7EC8"/>
    <w:rsid w:val="00AD7F80"/>
    <w:rsid w:val="00AE0055"/>
    <w:rsid w:val="00AE00A1"/>
    <w:rsid w:val="00AE00C8"/>
    <w:rsid w:val="00AE0154"/>
    <w:rsid w:val="00AE016A"/>
    <w:rsid w:val="00AE0191"/>
    <w:rsid w:val="00AE01BC"/>
    <w:rsid w:val="00AE02EB"/>
    <w:rsid w:val="00AE071C"/>
    <w:rsid w:val="00AE0753"/>
    <w:rsid w:val="00AE0866"/>
    <w:rsid w:val="00AE08D9"/>
    <w:rsid w:val="00AE0979"/>
    <w:rsid w:val="00AE09DE"/>
    <w:rsid w:val="00AE0B1B"/>
    <w:rsid w:val="00AE0CAA"/>
    <w:rsid w:val="00AE0CB6"/>
    <w:rsid w:val="00AE0D1C"/>
    <w:rsid w:val="00AE1097"/>
    <w:rsid w:val="00AE1167"/>
    <w:rsid w:val="00AE11B3"/>
    <w:rsid w:val="00AE11CA"/>
    <w:rsid w:val="00AE1204"/>
    <w:rsid w:val="00AE1464"/>
    <w:rsid w:val="00AE14F1"/>
    <w:rsid w:val="00AE152B"/>
    <w:rsid w:val="00AE1799"/>
    <w:rsid w:val="00AE17BA"/>
    <w:rsid w:val="00AE17C2"/>
    <w:rsid w:val="00AE17CF"/>
    <w:rsid w:val="00AE1803"/>
    <w:rsid w:val="00AE183B"/>
    <w:rsid w:val="00AE1897"/>
    <w:rsid w:val="00AE1990"/>
    <w:rsid w:val="00AE1A11"/>
    <w:rsid w:val="00AE1A5E"/>
    <w:rsid w:val="00AE1AAD"/>
    <w:rsid w:val="00AE1BE6"/>
    <w:rsid w:val="00AE1CB8"/>
    <w:rsid w:val="00AE1D80"/>
    <w:rsid w:val="00AE1EBD"/>
    <w:rsid w:val="00AE1FEE"/>
    <w:rsid w:val="00AE213C"/>
    <w:rsid w:val="00AE2170"/>
    <w:rsid w:val="00AE2187"/>
    <w:rsid w:val="00AE2323"/>
    <w:rsid w:val="00AE23BA"/>
    <w:rsid w:val="00AE2480"/>
    <w:rsid w:val="00AE24E7"/>
    <w:rsid w:val="00AE24FC"/>
    <w:rsid w:val="00AE2722"/>
    <w:rsid w:val="00AE2754"/>
    <w:rsid w:val="00AE2836"/>
    <w:rsid w:val="00AE294C"/>
    <w:rsid w:val="00AE29F9"/>
    <w:rsid w:val="00AE2A7C"/>
    <w:rsid w:val="00AE2A9A"/>
    <w:rsid w:val="00AE2B25"/>
    <w:rsid w:val="00AE2B6C"/>
    <w:rsid w:val="00AE2BAD"/>
    <w:rsid w:val="00AE2DF5"/>
    <w:rsid w:val="00AE314D"/>
    <w:rsid w:val="00AE31F1"/>
    <w:rsid w:val="00AE329D"/>
    <w:rsid w:val="00AE32AA"/>
    <w:rsid w:val="00AE331A"/>
    <w:rsid w:val="00AE34AD"/>
    <w:rsid w:val="00AE34C2"/>
    <w:rsid w:val="00AE36F9"/>
    <w:rsid w:val="00AE36FB"/>
    <w:rsid w:val="00AE3883"/>
    <w:rsid w:val="00AE38C0"/>
    <w:rsid w:val="00AE39DF"/>
    <w:rsid w:val="00AE3BAD"/>
    <w:rsid w:val="00AE3C6D"/>
    <w:rsid w:val="00AE4039"/>
    <w:rsid w:val="00AE4068"/>
    <w:rsid w:val="00AE4104"/>
    <w:rsid w:val="00AE4161"/>
    <w:rsid w:val="00AE4175"/>
    <w:rsid w:val="00AE4274"/>
    <w:rsid w:val="00AE4278"/>
    <w:rsid w:val="00AE42CD"/>
    <w:rsid w:val="00AE4331"/>
    <w:rsid w:val="00AE4359"/>
    <w:rsid w:val="00AE43A4"/>
    <w:rsid w:val="00AE453A"/>
    <w:rsid w:val="00AE4544"/>
    <w:rsid w:val="00AE45AB"/>
    <w:rsid w:val="00AE465C"/>
    <w:rsid w:val="00AE46BF"/>
    <w:rsid w:val="00AE490D"/>
    <w:rsid w:val="00AE4A9E"/>
    <w:rsid w:val="00AE4EE2"/>
    <w:rsid w:val="00AE4EFA"/>
    <w:rsid w:val="00AE4F33"/>
    <w:rsid w:val="00AE4FF0"/>
    <w:rsid w:val="00AE509C"/>
    <w:rsid w:val="00AE50C3"/>
    <w:rsid w:val="00AE517B"/>
    <w:rsid w:val="00AE5190"/>
    <w:rsid w:val="00AE5267"/>
    <w:rsid w:val="00AE52AB"/>
    <w:rsid w:val="00AE53C9"/>
    <w:rsid w:val="00AE53CB"/>
    <w:rsid w:val="00AE556A"/>
    <w:rsid w:val="00AE55E0"/>
    <w:rsid w:val="00AE5628"/>
    <w:rsid w:val="00AE572D"/>
    <w:rsid w:val="00AE5762"/>
    <w:rsid w:val="00AE589D"/>
    <w:rsid w:val="00AE59DD"/>
    <w:rsid w:val="00AE5B2A"/>
    <w:rsid w:val="00AE5EA7"/>
    <w:rsid w:val="00AE5F3F"/>
    <w:rsid w:val="00AE5FAF"/>
    <w:rsid w:val="00AE5FE6"/>
    <w:rsid w:val="00AE614D"/>
    <w:rsid w:val="00AE61F2"/>
    <w:rsid w:val="00AE62A1"/>
    <w:rsid w:val="00AE64D9"/>
    <w:rsid w:val="00AE64E3"/>
    <w:rsid w:val="00AE6511"/>
    <w:rsid w:val="00AE65CD"/>
    <w:rsid w:val="00AE6607"/>
    <w:rsid w:val="00AE678B"/>
    <w:rsid w:val="00AE693A"/>
    <w:rsid w:val="00AE6A76"/>
    <w:rsid w:val="00AE6AAB"/>
    <w:rsid w:val="00AE6B4A"/>
    <w:rsid w:val="00AE6C79"/>
    <w:rsid w:val="00AE6D2D"/>
    <w:rsid w:val="00AE6F5D"/>
    <w:rsid w:val="00AE6FEF"/>
    <w:rsid w:val="00AE725C"/>
    <w:rsid w:val="00AE7288"/>
    <w:rsid w:val="00AE73F2"/>
    <w:rsid w:val="00AE7419"/>
    <w:rsid w:val="00AE770F"/>
    <w:rsid w:val="00AE77D9"/>
    <w:rsid w:val="00AE7849"/>
    <w:rsid w:val="00AE78DC"/>
    <w:rsid w:val="00AE7950"/>
    <w:rsid w:val="00AE7977"/>
    <w:rsid w:val="00AE79F0"/>
    <w:rsid w:val="00AE7BE9"/>
    <w:rsid w:val="00AE7C03"/>
    <w:rsid w:val="00AE7CC3"/>
    <w:rsid w:val="00AE7EBA"/>
    <w:rsid w:val="00AE7FB6"/>
    <w:rsid w:val="00AE7FC6"/>
    <w:rsid w:val="00AF0089"/>
    <w:rsid w:val="00AF031F"/>
    <w:rsid w:val="00AF03BC"/>
    <w:rsid w:val="00AF041B"/>
    <w:rsid w:val="00AF0564"/>
    <w:rsid w:val="00AF05B3"/>
    <w:rsid w:val="00AF06B6"/>
    <w:rsid w:val="00AF0730"/>
    <w:rsid w:val="00AF0867"/>
    <w:rsid w:val="00AF0869"/>
    <w:rsid w:val="00AF08F6"/>
    <w:rsid w:val="00AF0A70"/>
    <w:rsid w:val="00AF0B8A"/>
    <w:rsid w:val="00AF0BC4"/>
    <w:rsid w:val="00AF0C0C"/>
    <w:rsid w:val="00AF0CE9"/>
    <w:rsid w:val="00AF0E6A"/>
    <w:rsid w:val="00AF0F32"/>
    <w:rsid w:val="00AF10E3"/>
    <w:rsid w:val="00AF1410"/>
    <w:rsid w:val="00AF14FF"/>
    <w:rsid w:val="00AF1579"/>
    <w:rsid w:val="00AF163F"/>
    <w:rsid w:val="00AF1671"/>
    <w:rsid w:val="00AF1677"/>
    <w:rsid w:val="00AF16CF"/>
    <w:rsid w:val="00AF1850"/>
    <w:rsid w:val="00AF187D"/>
    <w:rsid w:val="00AF19FA"/>
    <w:rsid w:val="00AF1A3D"/>
    <w:rsid w:val="00AF1B7B"/>
    <w:rsid w:val="00AF1C67"/>
    <w:rsid w:val="00AF1CC5"/>
    <w:rsid w:val="00AF1D67"/>
    <w:rsid w:val="00AF1F01"/>
    <w:rsid w:val="00AF1F10"/>
    <w:rsid w:val="00AF1FCA"/>
    <w:rsid w:val="00AF242C"/>
    <w:rsid w:val="00AF2640"/>
    <w:rsid w:val="00AF2729"/>
    <w:rsid w:val="00AF27BD"/>
    <w:rsid w:val="00AF28A2"/>
    <w:rsid w:val="00AF297C"/>
    <w:rsid w:val="00AF299D"/>
    <w:rsid w:val="00AF29BD"/>
    <w:rsid w:val="00AF2C25"/>
    <w:rsid w:val="00AF2C3A"/>
    <w:rsid w:val="00AF2CF8"/>
    <w:rsid w:val="00AF2EAB"/>
    <w:rsid w:val="00AF2ED7"/>
    <w:rsid w:val="00AF2F1A"/>
    <w:rsid w:val="00AF3014"/>
    <w:rsid w:val="00AF3121"/>
    <w:rsid w:val="00AF3195"/>
    <w:rsid w:val="00AF3262"/>
    <w:rsid w:val="00AF356A"/>
    <w:rsid w:val="00AF35DB"/>
    <w:rsid w:val="00AF373A"/>
    <w:rsid w:val="00AF374E"/>
    <w:rsid w:val="00AF3759"/>
    <w:rsid w:val="00AF3781"/>
    <w:rsid w:val="00AF3C77"/>
    <w:rsid w:val="00AF3CFE"/>
    <w:rsid w:val="00AF3D39"/>
    <w:rsid w:val="00AF3D9D"/>
    <w:rsid w:val="00AF3E3A"/>
    <w:rsid w:val="00AF3EED"/>
    <w:rsid w:val="00AF3F8C"/>
    <w:rsid w:val="00AF3FF3"/>
    <w:rsid w:val="00AF40C9"/>
    <w:rsid w:val="00AF4391"/>
    <w:rsid w:val="00AF44D4"/>
    <w:rsid w:val="00AF4519"/>
    <w:rsid w:val="00AF4586"/>
    <w:rsid w:val="00AF470C"/>
    <w:rsid w:val="00AF4790"/>
    <w:rsid w:val="00AF4844"/>
    <w:rsid w:val="00AF485F"/>
    <w:rsid w:val="00AF497B"/>
    <w:rsid w:val="00AF499E"/>
    <w:rsid w:val="00AF49F9"/>
    <w:rsid w:val="00AF4D49"/>
    <w:rsid w:val="00AF4EF4"/>
    <w:rsid w:val="00AF4F21"/>
    <w:rsid w:val="00AF5000"/>
    <w:rsid w:val="00AF5694"/>
    <w:rsid w:val="00AF575C"/>
    <w:rsid w:val="00AF5965"/>
    <w:rsid w:val="00AF5985"/>
    <w:rsid w:val="00AF5A09"/>
    <w:rsid w:val="00AF5A77"/>
    <w:rsid w:val="00AF5CC7"/>
    <w:rsid w:val="00AF5CCA"/>
    <w:rsid w:val="00AF5DBA"/>
    <w:rsid w:val="00AF5E0A"/>
    <w:rsid w:val="00AF5E38"/>
    <w:rsid w:val="00AF5F42"/>
    <w:rsid w:val="00AF5FC5"/>
    <w:rsid w:val="00AF5FDE"/>
    <w:rsid w:val="00AF6054"/>
    <w:rsid w:val="00AF6127"/>
    <w:rsid w:val="00AF6129"/>
    <w:rsid w:val="00AF6245"/>
    <w:rsid w:val="00AF62A4"/>
    <w:rsid w:val="00AF6350"/>
    <w:rsid w:val="00AF6530"/>
    <w:rsid w:val="00AF65C3"/>
    <w:rsid w:val="00AF65FD"/>
    <w:rsid w:val="00AF66D7"/>
    <w:rsid w:val="00AF681E"/>
    <w:rsid w:val="00AF69AF"/>
    <w:rsid w:val="00AF6A4C"/>
    <w:rsid w:val="00AF6A93"/>
    <w:rsid w:val="00AF6C0F"/>
    <w:rsid w:val="00AF6CA0"/>
    <w:rsid w:val="00AF6CF9"/>
    <w:rsid w:val="00AF6E05"/>
    <w:rsid w:val="00AF6F5C"/>
    <w:rsid w:val="00AF6F6D"/>
    <w:rsid w:val="00AF6FBC"/>
    <w:rsid w:val="00AF70FE"/>
    <w:rsid w:val="00AF722C"/>
    <w:rsid w:val="00AF725D"/>
    <w:rsid w:val="00AF73D4"/>
    <w:rsid w:val="00AF746C"/>
    <w:rsid w:val="00AF75A0"/>
    <w:rsid w:val="00AF76AB"/>
    <w:rsid w:val="00AF77DA"/>
    <w:rsid w:val="00AF783D"/>
    <w:rsid w:val="00AF78D1"/>
    <w:rsid w:val="00AF79DA"/>
    <w:rsid w:val="00AF7B4F"/>
    <w:rsid w:val="00AF7C22"/>
    <w:rsid w:val="00AF7E27"/>
    <w:rsid w:val="00AF7FB9"/>
    <w:rsid w:val="00AF7FD8"/>
    <w:rsid w:val="00AF7FEE"/>
    <w:rsid w:val="00AFB073"/>
    <w:rsid w:val="00B000A1"/>
    <w:rsid w:val="00B00179"/>
    <w:rsid w:val="00B003F1"/>
    <w:rsid w:val="00B00465"/>
    <w:rsid w:val="00B00467"/>
    <w:rsid w:val="00B004C4"/>
    <w:rsid w:val="00B004D4"/>
    <w:rsid w:val="00B005DB"/>
    <w:rsid w:val="00B005E4"/>
    <w:rsid w:val="00B0072F"/>
    <w:rsid w:val="00B00882"/>
    <w:rsid w:val="00B008CC"/>
    <w:rsid w:val="00B009A7"/>
    <w:rsid w:val="00B00BCA"/>
    <w:rsid w:val="00B00BD2"/>
    <w:rsid w:val="00B00C52"/>
    <w:rsid w:val="00B00EB7"/>
    <w:rsid w:val="00B00EDE"/>
    <w:rsid w:val="00B00F2B"/>
    <w:rsid w:val="00B00F50"/>
    <w:rsid w:val="00B00F91"/>
    <w:rsid w:val="00B01087"/>
    <w:rsid w:val="00B01095"/>
    <w:rsid w:val="00B010DE"/>
    <w:rsid w:val="00B01171"/>
    <w:rsid w:val="00B01396"/>
    <w:rsid w:val="00B015AF"/>
    <w:rsid w:val="00B01621"/>
    <w:rsid w:val="00B0165F"/>
    <w:rsid w:val="00B0179B"/>
    <w:rsid w:val="00B0192C"/>
    <w:rsid w:val="00B019FE"/>
    <w:rsid w:val="00B01A2D"/>
    <w:rsid w:val="00B01C0D"/>
    <w:rsid w:val="00B01CF6"/>
    <w:rsid w:val="00B01EC0"/>
    <w:rsid w:val="00B01F6E"/>
    <w:rsid w:val="00B02183"/>
    <w:rsid w:val="00B02200"/>
    <w:rsid w:val="00B022B4"/>
    <w:rsid w:val="00B022F4"/>
    <w:rsid w:val="00B023F8"/>
    <w:rsid w:val="00B023FA"/>
    <w:rsid w:val="00B02422"/>
    <w:rsid w:val="00B02471"/>
    <w:rsid w:val="00B02532"/>
    <w:rsid w:val="00B0271B"/>
    <w:rsid w:val="00B02883"/>
    <w:rsid w:val="00B02A77"/>
    <w:rsid w:val="00B02AF5"/>
    <w:rsid w:val="00B02C7F"/>
    <w:rsid w:val="00B02CC5"/>
    <w:rsid w:val="00B02D1B"/>
    <w:rsid w:val="00B02D2C"/>
    <w:rsid w:val="00B02EAD"/>
    <w:rsid w:val="00B02FBC"/>
    <w:rsid w:val="00B031A4"/>
    <w:rsid w:val="00B031E4"/>
    <w:rsid w:val="00B032CF"/>
    <w:rsid w:val="00B033BD"/>
    <w:rsid w:val="00B03511"/>
    <w:rsid w:val="00B03521"/>
    <w:rsid w:val="00B0356F"/>
    <w:rsid w:val="00B035CA"/>
    <w:rsid w:val="00B03839"/>
    <w:rsid w:val="00B03BF8"/>
    <w:rsid w:val="00B03CEF"/>
    <w:rsid w:val="00B03E47"/>
    <w:rsid w:val="00B03E9B"/>
    <w:rsid w:val="00B03F6C"/>
    <w:rsid w:val="00B03F77"/>
    <w:rsid w:val="00B041E2"/>
    <w:rsid w:val="00B04221"/>
    <w:rsid w:val="00B04244"/>
    <w:rsid w:val="00B042D6"/>
    <w:rsid w:val="00B042DF"/>
    <w:rsid w:val="00B043CE"/>
    <w:rsid w:val="00B044B7"/>
    <w:rsid w:val="00B04514"/>
    <w:rsid w:val="00B046EF"/>
    <w:rsid w:val="00B047C2"/>
    <w:rsid w:val="00B048E0"/>
    <w:rsid w:val="00B049DC"/>
    <w:rsid w:val="00B04A7A"/>
    <w:rsid w:val="00B04B75"/>
    <w:rsid w:val="00B04B83"/>
    <w:rsid w:val="00B04CB1"/>
    <w:rsid w:val="00B04D21"/>
    <w:rsid w:val="00B04D63"/>
    <w:rsid w:val="00B04E33"/>
    <w:rsid w:val="00B04EAE"/>
    <w:rsid w:val="00B04EBD"/>
    <w:rsid w:val="00B04F66"/>
    <w:rsid w:val="00B05036"/>
    <w:rsid w:val="00B050B4"/>
    <w:rsid w:val="00B051AC"/>
    <w:rsid w:val="00B0528E"/>
    <w:rsid w:val="00B052BF"/>
    <w:rsid w:val="00B052FA"/>
    <w:rsid w:val="00B05396"/>
    <w:rsid w:val="00B054CF"/>
    <w:rsid w:val="00B0558D"/>
    <w:rsid w:val="00B05635"/>
    <w:rsid w:val="00B056E9"/>
    <w:rsid w:val="00B0580C"/>
    <w:rsid w:val="00B058A2"/>
    <w:rsid w:val="00B05918"/>
    <w:rsid w:val="00B05946"/>
    <w:rsid w:val="00B059C0"/>
    <w:rsid w:val="00B05A6C"/>
    <w:rsid w:val="00B05B46"/>
    <w:rsid w:val="00B05B55"/>
    <w:rsid w:val="00B05C26"/>
    <w:rsid w:val="00B05C2B"/>
    <w:rsid w:val="00B05E79"/>
    <w:rsid w:val="00B05F00"/>
    <w:rsid w:val="00B05F63"/>
    <w:rsid w:val="00B05FFC"/>
    <w:rsid w:val="00B0607D"/>
    <w:rsid w:val="00B06095"/>
    <w:rsid w:val="00B06197"/>
    <w:rsid w:val="00B06216"/>
    <w:rsid w:val="00B062FF"/>
    <w:rsid w:val="00B0634B"/>
    <w:rsid w:val="00B0646E"/>
    <w:rsid w:val="00B065F4"/>
    <w:rsid w:val="00B0663A"/>
    <w:rsid w:val="00B0666A"/>
    <w:rsid w:val="00B0669B"/>
    <w:rsid w:val="00B06755"/>
    <w:rsid w:val="00B0676C"/>
    <w:rsid w:val="00B068A1"/>
    <w:rsid w:val="00B06A25"/>
    <w:rsid w:val="00B06A4B"/>
    <w:rsid w:val="00B06C2C"/>
    <w:rsid w:val="00B06C72"/>
    <w:rsid w:val="00B06E2F"/>
    <w:rsid w:val="00B06E51"/>
    <w:rsid w:val="00B06EDD"/>
    <w:rsid w:val="00B06F23"/>
    <w:rsid w:val="00B0720B"/>
    <w:rsid w:val="00B0722C"/>
    <w:rsid w:val="00B074B5"/>
    <w:rsid w:val="00B074C5"/>
    <w:rsid w:val="00B07565"/>
    <w:rsid w:val="00B07620"/>
    <w:rsid w:val="00B076F1"/>
    <w:rsid w:val="00B07866"/>
    <w:rsid w:val="00B078D5"/>
    <w:rsid w:val="00B078DF"/>
    <w:rsid w:val="00B079C1"/>
    <w:rsid w:val="00B07B9E"/>
    <w:rsid w:val="00B07C60"/>
    <w:rsid w:val="00B07E26"/>
    <w:rsid w:val="00B07EC5"/>
    <w:rsid w:val="00B0E0DE"/>
    <w:rsid w:val="00B101BF"/>
    <w:rsid w:val="00B1023D"/>
    <w:rsid w:val="00B10404"/>
    <w:rsid w:val="00B10439"/>
    <w:rsid w:val="00B10468"/>
    <w:rsid w:val="00B104DE"/>
    <w:rsid w:val="00B1056E"/>
    <w:rsid w:val="00B10581"/>
    <w:rsid w:val="00B105E3"/>
    <w:rsid w:val="00B10789"/>
    <w:rsid w:val="00B107C7"/>
    <w:rsid w:val="00B108CC"/>
    <w:rsid w:val="00B10935"/>
    <w:rsid w:val="00B10965"/>
    <w:rsid w:val="00B10C28"/>
    <w:rsid w:val="00B10E48"/>
    <w:rsid w:val="00B10ECC"/>
    <w:rsid w:val="00B10EFB"/>
    <w:rsid w:val="00B10F4B"/>
    <w:rsid w:val="00B10FE3"/>
    <w:rsid w:val="00B1116D"/>
    <w:rsid w:val="00B111F8"/>
    <w:rsid w:val="00B11399"/>
    <w:rsid w:val="00B11421"/>
    <w:rsid w:val="00B11573"/>
    <w:rsid w:val="00B11579"/>
    <w:rsid w:val="00B11703"/>
    <w:rsid w:val="00B11774"/>
    <w:rsid w:val="00B118F1"/>
    <w:rsid w:val="00B118FC"/>
    <w:rsid w:val="00B11A72"/>
    <w:rsid w:val="00B11B29"/>
    <w:rsid w:val="00B11B75"/>
    <w:rsid w:val="00B11B93"/>
    <w:rsid w:val="00B11EAF"/>
    <w:rsid w:val="00B11FF5"/>
    <w:rsid w:val="00B120C2"/>
    <w:rsid w:val="00B12111"/>
    <w:rsid w:val="00B12113"/>
    <w:rsid w:val="00B12177"/>
    <w:rsid w:val="00B1228F"/>
    <w:rsid w:val="00B12337"/>
    <w:rsid w:val="00B12367"/>
    <w:rsid w:val="00B12409"/>
    <w:rsid w:val="00B124F4"/>
    <w:rsid w:val="00B126E3"/>
    <w:rsid w:val="00B1275E"/>
    <w:rsid w:val="00B1279F"/>
    <w:rsid w:val="00B1280E"/>
    <w:rsid w:val="00B12936"/>
    <w:rsid w:val="00B12F84"/>
    <w:rsid w:val="00B12F9D"/>
    <w:rsid w:val="00B12FA6"/>
    <w:rsid w:val="00B13097"/>
    <w:rsid w:val="00B130B0"/>
    <w:rsid w:val="00B130F1"/>
    <w:rsid w:val="00B1314F"/>
    <w:rsid w:val="00B1319B"/>
    <w:rsid w:val="00B131B0"/>
    <w:rsid w:val="00B131D4"/>
    <w:rsid w:val="00B13249"/>
    <w:rsid w:val="00B13290"/>
    <w:rsid w:val="00B1336C"/>
    <w:rsid w:val="00B133E4"/>
    <w:rsid w:val="00B13448"/>
    <w:rsid w:val="00B134BC"/>
    <w:rsid w:val="00B1371E"/>
    <w:rsid w:val="00B137A5"/>
    <w:rsid w:val="00B13899"/>
    <w:rsid w:val="00B13B48"/>
    <w:rsid w:val="00B13B56"/>
    <w:rsid w:val="00B13BB4"/>
    <w:rsid w:val="00B13C1F"/>
    <w:rsid w:val="00B13C86"/>
    <w:rsid w:val="00B13DD2"/>
    <w:rsid w:val="00B1417A"/>
    <w:rsid w:val="00B14333"/>
    <w:rsid w:val="00B1442A"/>
    <w:rsid w:val="00B14515"/>
    <w:rsid w:val="00B1464F"/>
    <w:rsid w:val="00B1481F"/>
    <w:rsid w:val="00B1493A"/>
    <w:rsid w:val="00B149D3"/>
    <w:rsid w:val="00B14D49"/>
    <w:rsid w:val="00B14D72"/>
    <w:rsid w:val="00B14DAD"/>
    <w:rsid w:val="00B151CF"/>
    <w:rsid w:val="00B15246"/>
    <w:rsid w:val="00B15384"/>
    <w:rsid w:val="00B15450"/>
    <w:rsid w:val="00B154F4"/>
    <w:rsid w:val="00B15513"/>
    <w:rsid w:val="00B15564"/>
    <w:rsid w:val="00B155BB"/>
    <w:rsid w:val="00B15791"/>
    <w:rsid w:val="00B157CE"/>
    <w:rsid w:val="00B15969"/>
    <w:rsid w:val="00B15A40"/>
    <w:rsid w:val="00B15AB7"/>
    <w:rsid w:val="00B15AB8"/>
    <w:rsid w:val="00B15AC7"/>
    <w:rsid w:val="00B15B5E"/>
    <w:rsid w:val="00B15D4A"/>
    <w:rsid w:val="00B15D6C"/>
    <w:rsid w:val="00B15DC1"/>
    <w:rsid w:val="00B15DC3"/>
    <w:rsid w:val="00B15E3F"/>
    <w:rsid w:val="00B15F68"/>
    <w:rsid w:val="00B1604C"/>
    <w:rsid w:val="00B16240"/>
    <w:rsid w:val="00B16457"/>
    <w:rsid w:val="00B164AD"/>
    <w:rsid w:val="00B164D0"/>
    <w:rsid w:val="00B1655C"/>
    <w:rsid w:val="00B165FA"/>
    <w:rsid w:val="00B16698"/>
    <w:rsid w:val="00B166FB"/>
    <w:rsid w:val="00B167FE"/>
    <w:rsid w:val="00B169A1"/>
    <w:rsid w:val="00B169F8"/>
    <w:rsid w:val="00B16A19"/>
    <w:rsid w:val="00B16B68"/>
    <w:rsid w:val="00B16B90"/>
    <w:rsid w:val="00B16D66"/>
    <w:rsid w:val="00B16F1C"/>
    <w:rsid w:val="00B16FCE"/>
    <w:rsid w:val="00B172E7"/>
    <w:rsid w:val="00B174CA"/>
    <w:rsid w:val="00B174D7"/>
    <w:rsid w:val="00B176AC"/>
    <w:rsid w:val="00B176EB"/>
    <w:rsid w:val="00B177AD"/>
    <w:rsid w:val="00B17878"/>
    <w:rsid w:val="00B1789D"/>
    <w:rsid w:val="00B17A64"/>
    <w:rsid w:val="00B17CB9"/>
    <w:rsid w:val="00B17CD2"/>
    <w:rsid w:val="00B17DDC"/>
    <w:rsid w:val="00B17E25"/>
    <w:rsid w:val="00B17E9E"/>
    <w:rsid w:val="00B201DF"/>
    <w:rsid w:val="00B204A0"/>
    <w:rsid w:val="00B20566"/>
    <w:rsid w:val="00B207BF"/>
    <w:rsid w:val="00B209DB"/>
    <w:rsid w:val="00B20AAD"/>
    <w:rsid w:val="00B20CA5"/>
    <w:rsid w:val="00B20CD1"/>
    <w:rsid w:val="00B21201"/>
    <w:rsid w:val="00B21296"/>
    <w:rsid w:val="00B21410"/>
    <w:rsid w:val="00B2154F"/>
    <w:rsid w:val="00B215A9"/>
    <w:rsid w:val="00B215D0"/>
    <w:rsid w:val="00B21681"/>
    <w:rsid w:val="00B21892"/>
    <w:rsid w:val="00B21A9E"/>
    <w:rsid w:val="00B21ADD"/>
    <w:rsid w:val="00B21BB4"/>
    <w:rsid w:val="00B21E2B"/>
    <w:rsid w:val="00B21E72"/>
    <w:rsid w:val="00B21E7C"/>
    <w:rsid w:val="00B21EA5"/>
    <w:rsid w:val="00B21F04"/>
    <w:rsid w:val="00B21FA4"/>
    <w:rsid w:val="00B21FA5"/>
    <w:rsid w:val="00B21FE8"/>
    <w:rsid w:val="00B22074"/>
    <w:rsid w:val="00B220C7"/>
    <w:rsid w:val="00B221EE"/>
    <w:rsid w:val="00B22202"/>
    <w:rsid w:val="00B22383"/>
    <w:rsid w:val="00B22388"/>
    <w:rsid w:val="00B226E4"/>
    <w:rsid w:val="00B228D3"/>
    <w:rsid w:val="00B2292D"/>
    <w:rsid w:val="00B22B43"/>
    <w:rsid w:val="00B22BAF"/>
    <w:rsid w:val="00B22C21"/>
    <w:rsid w:val="00B22D64"/>
    <w:rsid w:val="00B22FAB"/>
    <w:rsid w:val="00B230CA"/>
    <w:rsid w:val="00B230DD"/>
    <w:rsid w:val="00B231E3"/>
    <w:rsid w:val="00B23290"/>
    <w:rsid w:val="00B232D6"/>
    <w:rsid w:val="00B23304"/>
    <w:rsid w:val="00B2349B"/>
    <w:rsid w:val="00B234DA"/>
    <w:rsid w:val="00B236DB"/>
    <w:rsid w:val="00B23721"/>
    <w:rsid w:val="00B2385B"/>
    <w:rsid w:val="00B23906"/>
    <w:rsid w:val="00B2397B"/>
    <w:rsid w:val="00B23C34"/>
    <w:rsid w:val="00B23C93"/>
    <w:rsid w:val="00B23CB9"/>
    <w:rsid w:val="00B23D0E"/>
    <w:rsid w:val="00B23D7E"/>
    <w:rsid w:val="00B23EE3"/>
    <w:rsid w:val="00B23F31"/>
    <w:rsid w:val="00B23F92"/>
    <w:rsid w:val="00B24100"/>
    <w:rsid w:val="00B24134"/>
    <w:rsid w:val="00B241AD"/>
    <w:rsid w:val="00B2427C"/>
    <w:rsid w:val="00B24524"/>
    <w:rsid w:val="00B24664"/>
    <w:rsid w:val="00B246B3"/>
    <w:rsid w:val="00B246EB"/>
    <w:rsid w:val="00B2475C"/>
    <w:rsid w:val="00B247AD"/>
    <w:rsid w:val="00B247E1"/>
    <w:rsid w:val="00B2487E"/>
    <w:rsid w:val="00B24929"/>
    <w:rsid w:val="00B24C45"/>
    <w:rsid w:val="00B24E1A"/>
    <w:rsid w:val="00B25047"/>
    <w:rsid w:val="00B250F3"/>
    <w:rsid w:val="00B2516E"/>
    <w:rsid w:val="00B251B6"/>
    <w:rsid w:val="00B25208"/>
    <w:rsid w:val="00B25395"/>
    <w:rsid w:val="00B25472"/>
    <w:rsid w:val="00B254D6"/>
    <w:rsid w:val="00B254DF"/>
    <w:rsid w:val="00B25506"/>
    <w:rsid w:val="00B25531"/>
    <w:rsid w:val="00B255D0"/>
    <w:rsid w:val="00B25780"/>
    <w:rsid w:val="00B2592F"/>
    <w:rsid w:val="00B2595B"/>
    <w:rsid w:val="00B2596A"/>
    <w:rsid w:val="00B259A2"/>
    <w:rsid w:val="00B25B0B"/>
    <w:rsid w:val="00B25D05"/>
    <w:rsid w:val="00B25F95"/>
    <w:rsid w:val="00B2630C"/>
    <w:rsid w:val="00B26370"/>
    <w:rsid w:val="00B263F0"/>
    <w:rsid w:val="00B2657D"/>
    <w:rsid w:val="00B265A1"/>
    <w:rsid w:val="00B265A5"/>
    <w:rsid w:val="00B26622"/>
    <w:rsid w:val="00B26669"/>
    <w:rsid w:val="00B267F0"/>
    <w:rsid w:val="00B267F2"/>
    <w:rsid w:val="00B26884"/>
    <w:rsid w:val="00B2688F"/>
    <w:rsid w:val="00B26ADE"/>
    <w:rsid w:val="00B26CF5"/>
    <w:rsid w:val="00B26D24"/>
    <w:rsid w:val="00B26D8A"/>
    <w:rsid w:val="00B26DB3"/>
    <w:rsid w:val="00B26E70"/>
    <w:rsid w:val="00B26EB3"/>
    <w:rsid w:val="00B270F0"/>
    <w:rsid w:val="00B27105"/>
    <w:rsid w:val="00B27186"/>
    <w:rsid w:val="00B271CF"/>
    <w:rsid w:val="00B27298"/>
    <w:rsid w:val="00B273D4"/>
    <w:rsid w:val="00B274B9"/>
    <w:rsid w:val="00B274C4"/>
    <w:rsid w:val="00B27512"/>
    <w:rsid w:val="00B27519"/>
    <w:rsid w:val="00B27574"/>
    <w:rsid w:val="00B276A6"/>
    <w:rsid w:val="00B276B4"/>
    <w:rsid w:val="00B27739"/>
    <w:rsid w:val="00B27890"/>
    <w:rsid w:val="00B27903"/>
    <w:rsid w:val="00B27918"/>
    <w:rsid w:val="00B27A1F"/>
    <w:rsid w:val="00B27D93"/>
    <w:rsid w:val="00B27EB9"/>
    <w:rsid w:val="00B27F94"/>
    <w:rsid w:val="00B30063"/>
    <w:rsid w:val="00B300F7"/>
    <w:rsid w:val="00B3019D"/>
    <w:rsid w:val="00B301FA"/>
    <w:rsid w:val="00B303F6"/>
    <w:rsid w:val="00B30403"/>
    <w:rsid w:val="00B3048C"/>
    <w:rsid w:val="00B30502"/>
    <w:rsid w:val="00B30527"/>
    <w:rsid w:val="00B30663"/>
    <w:rsid w:val="00B30678"/>
    <w:rsid w:val="00B3079F"/>
    <w:rsid w:val="00B307B7"/>
    <w:rsid w:val="00B30885"/>
    <w:rsid w:val="00B308B7"/>
    <w:rsid w:val="00B308D5"/>
    <w:rsid w:val="00B30918"/>
    <w:rsid w:val="00B30925"/>
    <w:rsid w:val="00B30985"/>
    <w:rsid w:val="00B30A08"/>
    <w:rsid w:val="00B30A50"/>
    <w:rsid w:val="00B30BC4"/>
    <w:rsid w:val="00B30CD5"/>
    <w:rsid w:val="00B30F9C"/>
    <w:rsid w:val="00B30FA4"/>
    <w:rsid w:val="00B30FC7"/>
    <w:rsid w:val="00B31031"/>
    <w:rsid w:val="00B31144"/>
    <w:rsid w:val="00B312A8"/>
    <w:rsid w:val="00B313D8"/>
    <w:rsid w:val="00B31460"/>
    <w:rsid w:val="00B316B0"/>
    <w:rsid w:val="00B31747"/>
    <w:rsid w:val="00B31766"/>
    <w:rsid w:val="00B3180A"/>
    <w:rsid w:val="00B3182B"/>
    <w:rsid w:val="00B31A94"/>
    <w:rsid w:val="00B31B6B"/>
    <w:rsid w:val="00B31F20"/>
    <w:rsid w:val="00B32051"/>
    <w:rsid w:val="00B32194"/>
    <w:rsid w:val="00B32223"/>
    <w:rsid w:val="00B3229D"/>
    <w:rsid w:val="00B32324"/>
    <w:rsid w:val="00B32420"/>
    <w:rsid w:val="00B324BF"/>
    <w:rsid w:val="00B3268A"/>
    <w:rsid w:val="00B326B1"/>
    <w:rsid w:val="00B327E2"/>
    <w:rsid w:val="00B32851"/>
    <w:rsid w:val="00B32A1A"/>
    <w:rsid w:val="00B32A4A"/>
    <w:rsid w:val="00B32AD8"/>
    <w:rsid w:val="00B32C69"/>
    <w:rsid w:val="00B32DA1"/>
    <w:rsid w:val="00B32E60"/>
    <w:rsid w:val="00B32E68"/>
    <w:rsid w:val="00B32EA5"/>
    <w:rsid w:val="00B32F31"/>
    <w:rsid w:val="00B33070"/>
    <w:rsid w:val="00B331A9"/>
    <w:rsid w:val="00B331CD"/>
    <w:rsid w:val="00B3334F"/>
    <w:rsid w:val="00B3339B"/>
    <w:rsid w:val="00B33452"/>
    <w:rsid w:val="00B33693"/>
    <w:rsid w:val="00B336A6"/>
    <w:rsid w:val="00B33706"/>
    <w:rsid w:val="00B337B9"/>
    <w:rsid w:val="00B33822"/>
    <w:rsid w:val="00B339DB"/>
    <w:rsid w:val="00B33A6C"/>
    <w:rsid w:val="00B33A91"/>
    <w:rsid w:val="00B33BD8"/>
    <w:rsid w:val="00B33C40"/>
    <w:rsid w:val="00B33D9C"/>
    <w:rsid w:val="00B33E55"/>
    <w:rsid w:val="00B33F77"/>
    <w:rsid w:val="00B3416C"/>
    <w:rsid w:val="00B3420E"/>
    <w:rsid w:val="00B34241"/>
    <w:rsid w:val="00B342BB"/>
    <w:rsid w:val="00B34533"/>
    <w:rsid w:val="00B34545"/>
    <w:rsid w:val="00B3459F"/>
    <w:rsid w:val="00B345B2"/>
    <w:rsid w:val="00B34660"/>
    <w:rsid w:val="00B346B6"/>
    <w:rsid w:val="00B347B6"/>
    <w:rsid w:val="00B347BD"/>
    <w:rsid w:val="00B34A5F"/>
    <w:rsid w:val="00B34B49"/>
    <w:rsid w:val="00B34B8C"/>
    <w:rsid w:val="00B34BB7"/>
    <w:rsid w:val="00B34C19"/>
    <w:rsid w:val="00B34D5F"/>
    <w:rsid w:val="00B34E63"/>
    <w:rsid w:val="00B34F01"/>
    <w:rsid w:val="00B34F0E"/>
    <w:rsid w:val="00B34F61"/>
    <w:rsid w:val="00B35305"/>
    <w:rsid w:val="00B3530F"/>
    <w:rsid w:val="00B35463"/>
    <w:rsid w:val="00B3549D"/>
    <w:rsid w:val="00B3565F"/>
    <w:rsid w:val="00B35693"/>
    <w:rsid w:val="00B35760"/>
    <w:rsid w:val="00B35843"/>
    <w:rsid w:val="00B35CA7"/>
    <w:rsid w:val="00B35CC1"/>
    <w:rsid w:val="00B35E3F"/>
    <w:rsid w:val="00B35F80"/>
    <w:rsid w:val="00B36028"/>
    <w:rsid w:val="00B36078"/>
    <w:rsid w:val="00B3610F"/>
    <w:rsid w:val="00B3616D"/>
    <w:rsid w:val="00B3618D"/>
    <w:rsid w:val="00B3656B"/>
    <w:rsid w:val="00B36629"/>
    <w:rsid w:val="00B366CF"/>
    <w:rsid w:val="00B36819"/>
    <w:rsid w:val="00B3681B"/>
    <w:rsid w:val="00B36940"/>
    <w:rsid w:val="00B36DE4"/>
    <w:rsid w:val="00B36FDC"/>
    <w:rsid w:val="00B3700C"/>
    <w:rsid w:val="00B3715A"/>
    <w:rsid w:val="00B3718F"/>
    <w:rsid w:val="00B3730A"/>
    <w:rsid w:val="00B37359"/>
    <w:rsid w:val="00B37406"/>
    <w:rsid w:val="00B37433"/>
    <w:rsid w:val="00B375BD"/>
    <w:rsid w:val="00B37677"/>
    <w:rsid w:val="00B3775D"/>
    <w:rsid w:val="00B37854"/>
    <w:rsid w:val="00B37879"/>
    <w:rsid w:val="00B37929"/>
    <w:rsid w:val="00B37B12"/>
    <w:rsid w:val="00B37BA1"/>
    <w:rsid w:val="00B37BE9"/>
    <w:rsid w:val="00B37D19"/>
    <w:rsid w:val="00B37EAD"/>
    <w:rsid w:val="00B37F71"/>
    <w:rsid w:val="00B37F9D"/>
    <w:rsid w:val="00B40064"/>
    <w:rsid w:val="00B4008E"/>
    <w:rsid w:val="00B400B9"/>
    <w:rsid w:val="00B40207"/>
    <w:rsid w:val="00B4022D"/>
    <w:rsid w:val="00B4040A"/>
    <w:rsid w:val="00B40420"/>
    <w:rsid w:val="00B404BB"/>
    <w:rsid w:val="00B405D9"/>
    <w:rsid w:val="00B405F7"/>
    <w:rsid w:val="00B4060F"/>
    <w:rsid w:val="00B406A3"/>
    <w:rsid w:val="00B40747"/>
    <w:rsid w:val="00B407BE"/>
    <w:rsid w:val="00B407DD"/>
    <w:rsid w:val="00B4092C"/>
    <w:rsid w:val="00B40A66"/>
    <w:rsid w:val="00B40DA1"/>
    <w:rsid w:val="00B40E13"/>
    <w:rsid w:val="00B40F3F"/>
    <w:rsid w:val="00B40F57"/>
    <w:rsid w:val="00B40FB0"/>
    <w:rsid w:val="00B40FC9"/>
    <w:rsid w:val="00B41295"/>
    <w:rsid w:val="00B41324"/>
    <w:rsid w:val="00B41562"/>
    <w:rsid w:val="00B415D8"/>
    <w:rsid w:val="00B416D1"/>
    <w:rsid w:val="00B416F9"/>
    <w:rsid w:val="00B41738"/>
    <w:rsid w:val="00B41940"/>
    <w:rsid w:val="00B419D1"/>
    <w:rsid w:val="00B41A00"/>
    <w:rsid w:val="00B41BB7"/>
    <w:rsid w:val="00B41CC4"/>
    <w:rsid w:val="00B41DC5"/>
    <w:rsid w:val="00B41E86"/>
    <w:rsid w:val="00B41F3F"/>
    <w:rsid w:val="00B41F6B"/>
    <w:rsid w:val="00B420AC"/>
    <w:rsid w:val="00B42169"/>
    <w:rsid w:val="00B421A6"/>
    <w:rsid w:val="00B42291"/>
    <w:rsid w:val="00B4235F"/>
    <w:rsid w:val="00B4245C"/>
    <w:rsid w:val="00B42460"/>
    <w:rsid w:val="00B426A1"/>
    <w:rsid w:val="00B42882"/>
    <w:rsid w:val="00B42964"/>
    <w:rsid w:val="00B42A98"/>
    <w:rsid w:val="00B42C6F"/>
    <w:rsid w:val="00B42D45"/>
    <w:rsid w:val="00B42D65"/>
    <w:rsid w:val="00B42F18"/>
    <w:rsid w:val="00B42FB4"/>
    <w:rsid w:val="00B430B3"/>
    <w:rsid w:val="00B43314"/>
    <w:rsid w:val="00B43344"/>
    <w:rsid w:val="00B433EB"/>
    <w:rsid w:val="00B43419"/>
    <w:rsid w:val="00B4358D"/>
    <w:rsid w:val="00B436B6"/>
    <w:rsid w:val="00B43873"/>
    <w:rsid w:val="00B43884"/>
    <w:rsid w:val="00B438B7"/>
    <w:rsid w:val="00B438D9"/>
    <w:rsid w:val="00B43A5F"/>
    <w:rsid w:val="00B43B92"/>
    <w:rsid w:val="00B43D80"/>
    <w:rsid w:val="00B43DFB"/>
    <w:rsid w:val="00B43EFA"/>
    <w:rsid w:val="00B43FE2"/>
    <w:rsid w:val="00B4426A"/>
    <w:rsid w:val="00B442EA"/>
    <w:rsid w:val="00B44362"/>
    <w:rsid w:val="00B443F4"/>
    <w:rsid w:val="00B444B5"/>
    <w:rsid w:val="00B4454D"/>
    <w:rsid w:val="00B446CD"/>
    <w:rsid w:val="00B44902"/>
    <w:rsid w:val="00B4490D"/>
    <w:rsid w:val="00B4493E"/>
    <w:rsid w:val="00B44A73"/>
    <w:rsid w:val="00B44B14"/>
    <w:rsid w:val="00B44C23"/>
    <w:rsid w:val="00B44C37"/>
    <w:rsid w:val="00B44D03"/>
    <w:rsid w:val="00B44D18"/>
    <w:rsid w:val="00B44D3B"/>
    <w:rsid w:val="00B44D56"/>
    <w:rsid w:val="00B44D6C"/>
    <w:rsid w:val="00B44DBE"/>
    <w:rsid w:val="00B44E8A"/>
    <w:rsid w:val="00B44EFF"/>
    <w:rsid w:val="00B4510E"/>
    <w:rsid w:val="00B4513F"/>
    <w:rsid w:val="00B4519B"/>
    <w:rsid w:val="00B451E9"/>
    <w:rsid w:val="00B4529D"/>
    <w:rsid w:val="00B452A0"/>
    <w:rsid w:val="00B45404"/>
    <w:rsid w:val="00B4546D"/>
    <w:rsid w:val="00B4557D"/>
    <w:rsid w:val="00B4569B"/>
    <w:rsid w:val="00B4573F"/>
    <w:rsid w:val="00B45787"/>
    <w:rsid w:val="00B45791"/>
    <w:rsid w:val="00B45843"/>
    <w:rsid w:val="00B458F9"/>
    <w:rsid w:val="00B45B49"/>
    <w:rsid w:val="00B45BB3"/>
    <w:rsid w:val="00B45C3A"/>
    <w:rsid w:val="00B45D0F"/>
    <w:rsid w:val="00B45F86"/>
    <w:rsid w:val="00B46078"/>
    <w:rsid w:val="00B460C9"/>
    <w:rsid w:val="00B460F9"/>
    <w:rsid w:val="00B46148"/>
    <w:rsid w:val="00B462A2"/>
    <w:rsid w:val="00B46387"/>
    <w:rsid w:val="00B463B2"/>
    <w:rsid w:val="00B464F2"/>
    <w:rsid w:val="00B4653B"/>
    <w:rsid w:val="00B46548"/>
    <w:rsid w:val="00B46549"/>
    <w:rsid w:val="00B465EF"/>
    <w:rsid w:val="00B46770"/>
    <w:rsid w:val="00B46829"/>
    <w:rsid w:val="00B46A76"/>
    <w:rsid w:val="00B46AE1"/>
    <w:rsid w:val="00B46B41"/>
    <w:rsid w:val="00B46B95"/>
    <w:rsid w:val="00B46C24"/>
    <w:rsid w:val="00B46CD6"/>
    <w:rsid w:val="00B46D54"/>
    <w:rsid w:val="00B46E68"/>
    <w:rsid w:val="00B46E6B"/>
    <w:rsid w:val="00B46F4C"/>
    <w:rsid w:val="00B46FEA"/>
    <w:rsid w:val="00B47115"/>
    <w:rsid w:val="00B471D7"/>
    <w:rsid w:val="00B472BD"/>
    <w:rsid w:val="00B472FE"/>
    <w:rsid w:val="00B474E0"/>
    <w:rsid w:val="00B4772D"/>
    <w:rsid w:val="00B4780C"/>
    <w:rsid w:val="00B47936"/>
    <w:rsid w:val="00B47A81"/>
    <w:rsid w:val="00B47C1F"/>
    <w:rsid w:val="00B47C2F"/>
    <w:rsid w:val="00B47D5A"/>
    <w:rsid w:val="00B47D8D"/>
    <w:rsid w:val="00B47F29"/>
    <w:rsid w:val="00B50011"/>
    <w:rsid w:val="00B50274"/>
    <w:rsid w:val="00B5042B"/>
    <w:rsid w:val="00B50466"/>
    <w:rsid w:val="00B504BD"/>
    <w:rsid w:val="00B504C6"/>
    <w:rsid w:val="00B504EB"/>
    <w:rsid w:val="00B50638"/>
    <w:rsid w:val="00B50730"/>
    <w:rsid w:val="00B507DC"/>
    <w:rsid w:val="00B508A6"/>
    <w:rsid w:val="00B508D4"/>
    <w:rsid w:val="00B509D9"/>
    <w:rsid w:val="00B50A44"/>
    <w:rsid w:val="00B50AAC"/>
    <w:rsid w:val="00B50B07"/>
    <w:rsid w:val="00B50B41"/>
    <w:rsid w:val="00B50B96"/>
    <w:rsid w:val="00B50BDF"/>
    <w:rsid w:val="00B50C44"/>
    <w:rsid w:val="00B50D3E"/>
    <w:rsid w:val="00B5107D"/>
    <w:rsid w:val="00B510CF"/>
    <w:rsid w:val="00B512A5"/>
    <w:rsid w:val="00B5136F"/>
    <w:rsid w:val="00B516FC"/>
    <w:rsid w:val="00B51790"/>
    <w:rsid w:val="00B518DE"/>
    <w:rsid w:val="00B5196A"/>
    <w:rsid w:val="00B51996"/>
    <w:rsid w:val="00B51BE4"/>
    <w:rsid w:val="00B51C5B"/>
    <w:rsid w:val="00B51D0B"/>
    <w:rsid w:val="00B51EAF"/>
    <w:rsid w:val="00B51F29"/>
    <w:rsid w:val="00B52023"/>
    <w:rsid w:val="00B520A2"/>
    <w:rsid w:val="00B5211E"/>
    <w:rsid w:val="00B521A8"/>
    <w:rsid w:val="00B521FE"/>
    <w:rsid w:val="00B5224B"/>
    <w:rsid w:val="00B52388"/>
    <w:rsid w:val="00B523C7"/>
    <w:rsid w:val="00B524D1"/>
    <w:rsid w:val="00B52523"/>
    <w:rsid w:val="00B525EB"/>
    <w:rsid w:val="00B52635"/>
    <w:rsid w:val="00B52665"/>
    <w:rsid w:val="00B52669"/>
    <w:rsid w:val="00B52798"/>
    <w:rsid w:val="00B527BF"/>
    <w:rsid w:val="00B52825"/>
    <w:rsid w:val="00B5290F"/>
    <w:rsid w:val="00B529B3"/>
    <w:rsid w:val="00B52A8C"/>
    <w:rsid w:val="00B52B4A"/>
    <w:rsid w:val="00B52B57"/>
    <w:rsid w:val="00B52B5A"/>
    <w:rsid w:val="00B52C41"/>
    <w:rsid w:val="00B52C5A"/>
    <w:rsid w:val="00B52C92"/>
    <w:rsid w:val="00B52D36"/>
    <w:rsid w:val="00B52D48"/>
    <w:rsid w:val="00B52D74"/>
    <w:rsid w:val="00B52E94"/>
    <w:rsid w:val="00B52EE8"/>
    <w:rsid w:val="00B52F3E"/>
    <w:rsid w:val="00B52FEE"/>
    <w:rsid w:val="00B53004"/>
    <w:rsid w:val="00B530A1"/>
    <w:rsid w:val="00B53136"/>
    <w:rsid w:val="00B533BE"/>
    <w:rsid w:val="00B5346B"/>
    <w:rsid w:val="00B534B9"/>
    <w:rsid w:val="00B5375A"/>
    <w:rsid w:val="00B539D9"/>
    <w:rsid w:val="00B53A62"/>
    <w:rsid w:val="00B53A75"/>
    <w:rsid w:val="00B53AAE"/>
    <w:rsid w:val="00B53C35"/>
    <w:rsid w:val="00B53C54"/>
    <w:rsid w:val="00B53CA1"/>
    <w:rsid w:val="00B53D52"/>
    <w:rsid w:val="00B53DD8"/>
    <w:rsid w:val="00B53E50"/>
    <w:rsid w:val="00B5406B"/>
    <w:rsid w:val="00B5429C"/>
    <w:rsid w:val="00B54369"/>
    <w:rsid w:val="00B5439D"/>
    <w:rsid w:val="00B545A7"/>
    <w:rsid w:val="00B54633"/>
    <w:rsid w:val="00B549A4"/>
    <w:rsid w:val="00B54A4F"/>
    <w:rsid w:val="00B54B7A"/>
    <w:rsid w:val="00B54D5A"/>
    <w:rsid w:val="00B54D6A"/>
    <w:rsid w:val="00B54DFF"/>
    <w:rsid w:val="00B54F18"/>
    <w:rsid w:val="00B54F45"/>
    <w:rsid w:val="00B55054"/>
    <w:rsid w:val="00B550C2"/>
    <w:rsid w:val="00B55256"/>
    <w:rsid w:val="00B5531C"/>
    <w:rsid w:val="00B5535F"/>
    <w:rsid w:val="00B553C8"/>
    <w:rsid w:val="00B55524"/>
    <w:rsid w:val="00B5570D"/>
    <w:rsid w:val="00B557A5"/>
    <w:rsid w:val="00B558AD"/>
    <w:rsid w:val="00B558C2"/>
    <w:rsid w:val="00B558E4"/>
    <w:rsid w:val="00B55976"/>
    <w:rsid w:val="00B55B2D"/>
    <w:rsid w:val="00B55C92"/>
    <w:rsid w:val="00B55EC8"/>
    <w:rsid w:val="00B55EE6"/>
    <w:rsid w:val="00B55FCF"/>
    <w:rsid w:val="00B56032"/>
    <w:rsid w:val="00B56214"/>
    <w:rsid w:val="00B56238"/>
    <w:rsid w:val="00B562E5"/>
    <w:rsid w:val="00B56366"/>
    <w:rsid w:val="00B5658F"/>
    <w:rsid w:val="00B5676B"/>
    <w:rsid w:val="00B56794"/>
    <w:rsid w:val="00B567BA"/>
    <w:rsid w:val="00B5680D"/>
    <w:rsid w:val="00B56868"/>
    <w:rsid w:val="00B56906"/>
    <w:rsid w:val="00B569B5"/>
    <w:rsid w:val="00B56AF9"/>
    <w:rsid w:val="00B56B5D"/>
    <w:rsid w:val="00B56BE6"/>
    <w:rsid w:val="00B56C07"/>
    <w:rsid w:val="00B56C8F"/>
    <w:rsid w:val="00B56D26"/>
    <w:rsid w:val="00B56DAA"/>
    <w:rsid w:val="00B56F12"/>
    <w:rsid w:val="00B57090"/>
    <w:rsid w:val="00B5715E"/>
    <w:rsid w:val="00B5728C"/>
    <w:rsid w:val="00B572F8"/>
    <w:rsid w:val="00B57459"/>
    <w:rsid w:val="00B574DF"/>
    <w:rsid w:val="00B57526"/>
    <w:rsid w:val="00B575BF"/>
    <w:rsid w:val="00B577B0"/>
    <w:rsid w:val="00B577E1"/>
    <w:rsid w:val="00B5795A"/>
    <w:rsid w:val="00B57AE8"/>
    <w:rsid w:val="00B57B04"/>
    <w:rsid w:val="00B57DA7"/>
    <w:rsid w:val="00B57DFB"/>
    <w:rsid w:val="00B60095"/>
    <w:rsid w:val="00B60313"/>
    <w:rsid w:val="00B6045F"/>
    <w:rsid w:val="00B605A7"/>
    <w:rsid w:val="00B606EC"/>
    <w:rsid w:val="00B606F1"/>
    <w:rsid w:val="00B607A7"/>
    <w:rsid w:val="00B6080D"/>
    <w:rsid w:val="00B608EB"/>
    <w:rsid w:val="00B60A06"/>
    <w:rsid w:val="00B60B9A"/>
    <w:rsid w:val="00B60C24"/>
    <w:rsid w:val="00B60CF5"/>
    <w:rsid w:val="00B60DDE"/>
    <w:rsid w:val="00B610A2"/>
    <w:rsid w:val="00B612D3"/>
    <w:rsid w:val="00B612E0"/>
    <w:rsid w:val="00B612EA"/>
    <w:rsid w:val="00B61407"/>
    <w:rsid w:val="00B615F7"/>
    <w:rsid w:val="00B61647"/>
    <w:rsid w:val="00B617FA"/>
    <w:rsid w:val="00B618FA"/>
    <w:rsid w:val="00B61917"/>
    <w:rsid w:val="00B61987"/>
    <w:rsid w:val="00B619FB"/>
    <w:rsid w:val="00B61A9B"/>
    <w:rsid w:val="00B61BDF"/>
    <w:rsid w:val="00B61C66"/>
    <w:rsid w:val="00B61CFF"/>
    <w:rsid w:val="00B61D30"/>
    <w:rsid w:val="00B61D85"/>
    <w:rsid w:val="00B61E74"/>
    <w:rsid w:val="00B61EF1"/>
    <w:rsid w:val="00B61FAA"/>
    <w:rsid w:val="00B6210F"/>
    <w:rsid w:val="00B6215E"/>
    <w:rsid w:val="00B622E2"/>
    <w:rsid w:val="00B62409"/>
    <w:rsid w:val="00B625A0"/>
    <w:rsid w:val="00B62604"/>
    <w:rsid w:val="00B62709"/>
    <w:rsid w:val="00B627D8"/>
    <w:rsid w:val="00B628E3"/>
    <w:rsid w:val="00B628F5"/>
    <w:rsid w:val="00B62902"/>
    <w:rsid w:val="00B62953"/>
    <w:rsid w:val="00B62A35"/>
    <w:rsid w:val="00B62A3F"/>
    <w:rsid w:val="00B62C28"/>
    <w:rsid w:val="00B62D01"/>
    <w:rsid w:val="00B62D09"/>
    <w:rsid w:val="00B62DF2"/>
    <w:rsid w:val="00B62E13"/>
    <w:rsid w:val="00B62E8D"/>
    <w:rsid w:val="00B62EA4"/>
    <w:rsid w:val="00B62EAB"/>
    <w:rsid w:val="00B62EAC"/>
    <w:rsid w:val="00B62EC2"/>
    <w:rsid w:val="00B62F1A"/>
    <w:rsid w:val="00B62F51"/>
    <w:rsid w:val="00B632D5"/>
    <w:rsid w:val="00B633A9"/>
    <w:rsid w:val="00B633F3"/>
    <w:rsid w:val="00B633F8"/>
    <w:rsid w:val="00B63672"/>
    <w:rsid w:val="00B637F0"/>
    <w:rsid w:val="00B638B0"/>
    <w:rsid w:val="00B638DD"/>
    <w:rsid w:val="00B638DE"/>
    <w:rsid w:val="00B63907"/>
    <w:rsid w:val="00B63A51"/>
    <w:rsid w:val="00B63D10"/>
    <w:rsid w:val="00B63D1A"/>
    <w:rsid w:val="00B63D4E"/>
    <w:rsid w:val="00B63D7E"/>
    <w:rsid w:val="00B63DD7"/>
    <w:rsid w:val="00B63FB0"/>
    <w:rsid w:val="00B64202"/>
    <w:rsid w:val="00B64297"/>
    <w:rsid w:val="00B64317"/>
    <w:rsid w:val="00B643AF"/>
    <w:rsid w:val="00B643FC"/>
    <w:rsid w:val="00B64435"/>
    <w:rsid w:val="00B645B3"/>
    <w:rsid w:val="00B64775"/>
    <w:rsid w:val="00B6477E"/>
    <w:rsid w:val="00B647E7"/>
    <w:rsid w:val="00B647F6"/>
    <w:rsid w:val="00B648BE"/>
    <w:rsid w:val="00B6490A"/>
    <w:rsid w:val="00B64B20"/>
    <w:rsid w:val="00B64B9A"/>
    <w:rsid w:val="00B64C72"/>
    <w:rsid w:val="00B64DD4"/>
    <w:rsid w:val="00B64E47"/>
    <w:rsid w:val="00B64E94"/>
    <w:rsid w:val="00B64EE3"/>
    <w:rsid w:val="00B64F9A"/>
    <w:rsid w:val="00B64FDE"/>
    <w:rsid w:val="00B65084"/>
    <w:rsid w:val="00B651AB"/>
    <w:rsid w:val="00B652F5"/>
    <w:rsid w:val="00B6536D"/>
    <w:rsid w:val="00B65577"/>
    <w:rsid w:val="00B6578F"/>
    <w:rsid w:val="00B657DC"/>
    <w:rsid w:val="00B65867"/>
    <w:rsid w:val="00B65A85"/>
    <w:rsid w:val="00B65B86"/>
    <w:rsid w:val="00B65C2F"/>
    <w:rsid w:val="00B65CBA"/>
    <w:rsid w:val="00B65D4D"/>
    <w:rsid w:val="00B65D82"/>
    <w:rsid w:val="00B65D90"/>
    <w:rsid w:val="00B65E1C"/>
    <w:rsid w:val="00B65E92"/>
    <w:rsid w:val="00B65EB8"/>
    <w:rsid w:val="00B65F0B"/>
    <w:rsid w:val="00B65F62"/>
    <w:rsid w:val="00B65FF2"/>
    <w:rsid w:val="00B65FF6"/>
    <w:rsid w:val="00B660CE"/>
    <w:rsid w:val="00B660DF"/>
    <w:rsid w:val="00B66122"/>
    <w:rsid w:val="00B662CB"/>
    <w:rsid w:val="00B66328"/>
    <w:rsid w:val="00B664F5"/>
    <w:rsid w:val="00B666E5"/>
    <w:rsid w:val="00B66777"/>
    <w:rsid w:val="00B66851"/>
    <w:rsid w:val="00B66A87"/>
    <w:rsid w:val="00B66C34"/>
    <w:rsid w:val="00B66C46"/>
    <w:rsid w:val="00B66C78"/>
    <w:rsid w:val="00B66CA9"/>
    <w:rsid w:val="00B66F4E"/>
    <w:rsid w:val="00B66F50"/>
    <w:rsid w:val="00B66F94"/>
    <w:rsid w:val="00B66FD5"/>
    <w:rsid w:val="00B672BE"/>
    <w:rsid w:val="00B6756E"/>
    <w:rsid w:val="00B67581"/>
    <w:rsid w:val="00B67862"/>
    <w:rsid w:val="00B678F2"/>
    <w:rsid w:val="00B679A8"/>
    <w:rsid w:val="00B67A0E"/>
    <w:rsid w:val="00B67A44"/>
    <w:rsid w:val="00B67A4E"/>
    <w:rsid w:val="00B67A58"/>
    <w:rsid w:val="00B67B2E"/>
    <w:rsid w:val="00B67B6C"/>
    <w:rsid w:val="00B67CB6"/>
    <w:rsid w:val="00B67DA0"/>
    <w:rsid w:val="00B67DD7"/>
    <w:rsid w:val="00B67E23"/>
    <w:rsid w:val="00B67E2B"/>
    <w:rsid w:val="00B67E34"/>
    <w:rsid w:val="00B67F1A"/>
    <w:rsid w:val="00B67FD0"/>
    <w:rsid w:val="00B7000C"/>
    <w:rsid w:val="00B7006A"/>
    <w:rsid w:val="00B70143"/>
    <w:rsid w:val="00B70233"/>
    <w:rsid w:val="00B70368"/>
    <w:rsid w:val="00B7036E"/>
    <w:rsid w:val="00B70389"/>
    <w:rsid w:val="00B70563"/>
    <w:rsid w:val="00B70574"/>
    <w:rsid w:val="00B708C9"/>
    <w:rsid w:val="00B709AF"/>
    <w:rsid w:val="00B70B50"/>
    <w:rsid w:val="00B70C89"/>
    <w:rsid w:val="00B70CC3"/>
    <w:rsid w:val="00B70CF5"/>
    <w:rsid w:val="00B70EFA"/>
    <w:rsid w:val="00B710C9"/>
    <w:rsid w:val="00B711C8"/>
    <w:rsid w:val="00B7122A"/>
    <w:rsid w:val="00B712D0"/>
    <w:rsid w:val="00B7137A"/>
    <w:rsid w:val="00B7141B"/>
    <w:rsid w:val="00B716F4"/>
    <w:rsid w:val="00B71761"/>
    <w:rsid w:val="00B7187B"/>
    <w:rsid w:val="00B71AB0"/>
    <w:rsid w:val="00B71B0C"/>
    <w:rsid w:val="00B71B2F"/>
    <w:rsid w:val="00B71DBA"/>
    <w:rsid w:val="00B71E6E"/>
    <w:rsid w:val="00B71ECF"/>
    <w:rsid w:val="00B71F32"/>
    <w:rsid w:val="00B71F6B"/>
    <w:rsid w:val="00B720B6"/>
    <w:rsid w:val="00B720CF"/>
    <w:rsid w:val="00B720FE"/>
    <w:rsid w:val="00B723C3"/>
    <w:rsid w:val="00B7254C"/>
    <w:rsid w:val="00B72587"/>
    <w:rsid w:val="00B725A1"/>
    <w:rsid w:val="00B725C3"/>
    <w:rsid w:val="00B72647"/>
    <w:rsid w:val="00B72687"/>
    <w:rsid w:val="00B72754"/>
    <w:rsid w:val="00B729D7"/>
    <w:rsid w:val="00B72A10"/>
    <w:rsid w:val="00B72AE2"/>
    <w:rsid w:val="00B72C84"/>
    <w:rsid w:val="00B72EFB"/>
    <w:rsid w:val="00B72F14"/>
    <w:rsid w:val="00B72FAA"/>
    <w:rsid w:val="00B72FB6"/>
    <w:rsid w:val="00B73293"/>
    <w:rsid w:val="00B7330E"/>
    <w:rsid w:val="00B73793"/>
    <w:rsid w:val="00B7396D"/>
    <w:rsid w:val="00B73A9D"/>
    <w:rsid w:val="00B73AB4"/>
    <w:rsid w:val="00B73AFA"/>
    <w:rsid w:val="00B73B4E"/>
    <w:rsid w:val="00B73B60"/>
    <w:rsid w:val="00B73B97"/>
    <w:rsid w:val="00B73BB1"/>
    <w:rsid w:val="00B73F25"/>
    <w:rsid w:val="00B74240"/>
    <w:rsid w:val="00B74261"/>
    <w:rsid w:val="00B742F3"/>
    <w:rsid w:val="00B74307"/>
    <w:rsid w:val="00B7444B"/>
    <w:rsid w:val="00B74540"/>
    <w:rsid w:val="00B745C6"/>
    <w:rsid w:val="00B746CB"/>
    <w:rsid w:val="00B74769"/>
    <w:rsid w:val="00B747C2"/>
    <w:rsid w:val="00B748A1"/>
    <w:rsid w:val="00B74934"/>
    <w:rsid w:val="00B749B1"/>
    <w:rsid w:val="00B74A13"/>
    <w:rsid w:val="00B74A1B"/>
    <w:rsid w:val="00B74C71"/>
    <w:rsid w:val="00B74D81"/>
    <w:rsid w:val="00B74F7C"/>
    <w:rsid w:val="00B74FF8"/>
    <w:rsid w:val="00B750AA"/>
    <w:rsid w:val="00B751F6"/>
    <w:rsid w:val="00B75280"/>
    <w:rsid w:val="00B752B4"/>
    <w:rsid w:val="00B7550D"/>
    <w:rsid w:val="00B75546"/>
    <w:rsid w:val="00B756C6"/>
    <w:rsid w:val="00B756E9"/>
    <w:rsid w:val="00B757E5"/>
    <w:rsid w:val="00B7587B"/>
    <w:rsid w:val="00B7589D"/>
    <w:rsid w:val="00B75911"/>
    <w:rsid w:val="00B7593B"/>
    <w:rsid w:val="00B75A5B"/>
    <w:rsid w:val="00B75B08"/>
    <w:rsid w:val="00B75B52"/>
    <w:rsid w:val="00B75BED"/>
    <w:rsid w:val="00B75C2D"/>
    <w:rsid w:val="00B75DEA"/>
    <w:rsid w:val="00B75EDD"/>
    <w:rsid w:val="00B760B9"/>
    <w:rsid w:val="00B760D7"/>
    <w:rsid w:val="00B76295"/>
    <w:rsid w:val="00B762B4"/>
    <w:rsid w:val="00B76389"/>
    <w:rsid w:val="00B763BE"/>
    <w:rsid w:val="00B7641A"/>
    <w:rsid w:val="00B76436"/>
    <w:rsid w:val="00B76786"/>
    <w:rsid w:val="00B769D9"/>
    <w:rsid w:val="00B76A17"/>
    <w:rsid w:val="00B76AE5"/>
    <w:rsid w:val="00B76BAE"/>
    <w:rsid w:val="00B76BEE"/>
    <w:rsid w:val="00B76CB7"/>
    <w:rsid w:val="00B76E23"/>
    <w:rsid w:val="00B76E8C"/>
    <w:rsid w:val="00B76F1C"/>
    <w:rsid w:val="00B77136"/>
    <w:rsid w:val="00B773BF"/>
    <w:rsid w:val="00B773CE"/>
    <w:rsid w:val="00B7747B"/>
    <w:rsid w:val="00B774BB"/>
    <w:rsid w:val="00B77522"/>
    <w:rsid w:val="00B77529"/>
    <w:rsid w:val="00B775E3"/>
    <w:rsid w:val="00B77641"/>
    <w:rsid w:val="00B7765A"/>
    <w:rsid w:val="00B776D4"/>
    <w:rsid w:val="00B77828"/>
    <w:rsid w:val="00B779C2"/>
    <w:rsid w:val="00B779DB"/>
    <w:rsid w:val="00B77A1F"/>
    <w:rsid w:val="00B77A23"/>
    <w:rsid w:val="00B77C6A"/>
    <w:rsid w:val="00B77CD7"/>
    <w:rsid w:val="00B77E5C"/>
    <w:rsid w:val="00B77E83"/>
    <w:rsid w:val="00B77EA6"/>
    <w:rsid w:val="00B77ED8"/>
    <w:rsid w:val="00B77F07"/>
    <w:rsid w:val="00B77F10"/>
    <w:rsid w:val="00B77FA5"/>
    <w:rsid w:val="00B77FE9"/>
    <w:rsid w:val="00B77FF0"/>
    <w:rsid w:val="00B8003A"/>
    <w:rsid w:val="00B80058"/>
    <w:rsid w:val="00B80065"/>
    <w:rsid w:val="00B800F2"/>
    <w:rsid w:val="00B8017E"/>
    <w:rsid w:val="00B8026F"/>
    <w:rsid w:val="00B80331"/>
    <w:rsid w:val="00B803EE"/>
    <w:rsid w:val="00B804C2"/>
    <w:rsid w:val="00B80607"/>
    <w:rsid w:val="00B80661"/>
    <w:rsid w:val="00B80687"/>
    <w:rsid w:val="00B80751"/>
    <w:rsid w:val="00B80752"/>
    <w:rsid w:val="00B80763"/>
    <w:rsid w:val="00B80919"/>
    <w:rsid w:val="00B8093C"/>
    <w:rsid w:val="00B80A21"/>
    <w:rsid w:val="00B80B2D"/>
    <w:rsid w:val="00B80C5D"/>
    <w:rsid w:val="00B80D24"/>
    <w:rsid w:val="00B80F4D"/>
    <w:rsid w:val="00B8124A"/>
    <w:rsid w:val="00B812E8"/>
    <w:rsid w:val="00B8161A"/>
    <w:rsid w:val="00B81667"/>
    <w:rsid w:val="00B816FD"/>
    <w:rsid w:val="00B81798"/>
    <w:rsid w:val="00B817C3"/>
    <w:rsid w:val="00B817FF"/>
    <w:rsid w:val="00B8198D"/>
    <w:rsid w:val="00B819E7"/>
    <w:rsid w:val="00B819F9"/>
    <w:rsid w:val="00B81A03"/>
    <w:rsid w:val="00B81A24"/>
    <w:rsid w:val="00B81D5C"/>
    <w:rsid w:val="00B81E2F"/>
    <w:rsid w:val="00B81E78"/>
    <w:rsid w:val="00B81F38"/>
    <w:rsid w:val="00B81F8F"/>
    <w:rsid w:val="00B81FA0"/>
    <w:rsid w:val="00B8210A"/>
    <w:rsid w:val="00B8215E"/>
    <w:rsid w:val="00B82160"/>
    <w:rsid w:val="00B822DD"/>
    <w:rsid w:val="00B8230E"/>
    <w:rsid w:val="00B82553"/>
    <w:rsid w:val="00B82799"/>
    <w:rsid w:val="00B82819"/>
    <w:rsid w:val="00B82854"/>
    <w:rsid w:val="00B82892"/>
    <w:rsid w:val="00B82916"/>
    <w:rsid w:val="00B829D4"/>
    <w:rsid w:val="00B82BDE"/>
    <w:rsid w:val="00B82D75"/>
    <w:rsid w:val="00B82E29"/>
    <w:rsid w:val="00B83174"/>
    <w:rsid w:val="00B8317D"/>
    <w:rsid w:val="00B83257"/>
    <w:rsid w:val="00B834C3"/>
    <w:rsid w:val="00B836D4"/>
    <w:rsid w:val="00B836E1"/>
    <w:rsid w:val="00B8376A"/>
    <w:rsid w:val="00B8377A"/>
    <w:rsid w:val="00B83795"/>
    <w:rsid w:val="00B83889"/>
    <w:rsid w:val="00B839CC"/>
    <w:rsid w:val="00B839DA"/>
    <w:rsid w:val="00B83B49"/>
    <w:rsid w:val="00B83B62"/>
    <w:rsid w:val="00B83DE4"/>
    <w:rsid w:val="00B83E07"/>
    <w:rsid w:val="00B83E4D"/>
    <w:rsid w:val="00B83F3E"/>
    <w:rsid w:val="00B83FCD"/>
    <w:rsid w:val="00B84010"/>
    <w:rsid w:val="00B84097"/>
    <w:rsid w:val="00B840A8"/>
    <w:rsid w:val="00B842B0"/>
    <w:rsid w:val="00B8461D"/>
    <w:rsid w:val="00B846C0"/>
    <w:rsid w:val="00B84710"/>
    <w:rsid w:val="00B84988"/>
    <w:rsid w:val="00B84AD5"/>
    <w:rsid w:val="00B84D30"/>
    <w:rsid w:val="00B84DD4"/>
    <w:rsid w:val="00B84F13"/>
    <w:rsid w:val="00B84F2C"/>
    <w:rsid w:val="00B84F43"/>
    <w:rsid w:val="00B84FA8"/>
    <w:rsid w:val="00B84FCE"/>
    <w:rsid w:val="00B85031"/>
    <w:rsid w:val="00B850C8"/>
    <w:rsid w:val="00B8512B"/>
    <w:rsid w:val="00B8512F"/>
    <w:rsid w:val="00B851A8"/>
    <w:rsid w:val="00B852CE"/>
    <w:rsid w:val="00B852DD"/>
    <w:rsid w:val="00B8535F"/>
    <w:rsid w:val="00B853A6"/>
    <w:rsid w:val="00B853D4"/>
    <w:rsid w:val="00B8544C"/>
    <w:rsid w:val="00B8548E"/>
    <w:rsid w:val="00B8552D"/>
    <w:rsid w:val="00B85551"/>
    <w:rsid w:val="00B8561B"/>
    <w:rsid w:val="00B856D4"/>
    <w:rsid w:val="00B856F5"/>
    <w:rsid w:val="00B85743"/>
    <w:rsid w:val="00B85777"/>
    <w:rsid w:val="00B858EE"/>
    <w:rsid w:val="00B859CB"/>
    <w:rsid w:val="00B85A68"/>
    <w:rsid w:val="00B85A6F"/>
    <w:rsid w:val="00B85B9C"/>
    <w:rsid w:val="00B85C84"/>
    <w:rsid w:val="00B85E45"/>
    <w:rsid w:val="00B85EA7"/>
    <w:rsid w:val="00B8603F"/>
    <w:rsid w:val="00B86049"/>
    <w:rsid w:val="00B86093"/>
    <w:rsid w:val="00B86101"/>
    <w:rsid w:val="00B8622F"/>
    <w:rsid w:val="00B86367"/>
    <w:rsid w:val="00B86375"/>
    <w:rsid w:val="00B86478"/>
    <w:rsid w:val="00B864F3"/>
    <w:rsid w:val="00B86596"/>
    <w:rsid w:val="00B865AE"/>
    <w:rsid w:val="00B86650"/>
    <w:rsid w:val="00B86667"/>
    <w:rsid w:val="00B866A0"/>
    <w:rsid w:val="00B8676A"/>
    <w:rsid w:val="00B86846"/>
    <w:rsid w:val="00B86AB3"/>
    <w:rsid w:val="00B86ABB"/>
    <w:rsid w:val="00B86B12"/>
    <w:rsid w:val="00B86C04"/>
    <w:rsid w:val="00B86D2A"/>
    <w:rsid w:val="00B86E4A"/>
    <w:rsid w:val="00B86E7C"/>
    <w:rsid w:val="00B86E98"/>
    <w:rsid w:val="00B86ECC"/>
    <w:rsid w:val="00B86ED6"/>
    <w:rsid w:val="00B86EE1"/>
    <w:rsid w:val="00B87057"/>
    <w:rsid w:val="00B8719B"/>
    <w:rsid w:val="00B87307"/>
    <w:rsid w:val="00B874B5"/>
    <w:rsid w:val="00B8755D"/>
    <w:rsid w:val="00B87635"/>
    <w:rsid w:val="00B876A8"/>
    <w:rsid w:val="00B876CF"/>
    <w:rsid w:val="00B876D0"/>
    <w:rsid w:val="00B8774B"/>
    <w:rsid w:val="00B877E9"/>
    <w:rsid w:val="00B8786A"/>
    <w:rsid w:val="00B87895"/>
    <w:rsid w:val="00B878CD"/>
    <w:rsid w:val="00B879F2"/>
    <w:rsid w:val="00B87A77"/>
    <w:rsid w:val="00B87B7E"/>
    <w:rsid w:val="00B87B9C"/>
    <w:rsid w:val="00B87E80"/>
    <w:rsid w:val="00B90107"/>
    <w:rsid w:val="00B901C0"/>
    <w:rsid w:val="00B9022C"/>
    <w:rsid w:val="00B9023C"/>
    <w:rsid w:val="00B90342"/>
    <w:rsid w:val="00B90418"/>
    <w:rsid w:val="00B90475"/>
    <w:rsid w:val="00B904B1"/>
    <w:rsid w:val="00B90535"/>
    <w:rsid w:val="00B907A6"/>
    <w:rsid w:val="00B90B46"/>
    <w:rsid w:val="00B90B80"/>
    <w:rsid w:val="00B90D85"/>
    <w:rsid w:val="00B90E2D"/>
    <w:rsid w:val="00B90F13"/>
    <w:rsid w:val="00B91032"/>
    <w:rsid w:val="00B9109E"/>
    <w:rsid w:val="00B91146"/>
    <w:rsid w:val="00B91289"/>
    <w:rsid w:val="00B913C3"/>
    <w:rsid w:val="00B91720"/>
    <w:rsid w:val="00B91751"/>
    <w:rsid w:val="00B9198C"/>
    <w:rsid w:val="00B91996"/>
    <w:rsid w:val="00B91B9C"/>
    <w:rsid w:val="00B91C02"/>
    <w:rsid w:val="00B91C4E"/>
    <w:rsid w:val="00B91CB1"/>
    <w:rsid w:val="00B91CDC"/>
    <w:rsid w:val="00B91CFA"/>
    <w:rsid w:val="00B91FA6"/>
    <w:rsid w:val="00B92007"/>
    <w:rsid w:val="00B920FA"/>
    <w:rsid w:val="00B92199"/>
    <w:rsid w:val="00B921AF"/>
    <w:rsid w:val="00B921CF"/>
    <w:rsid w:val="00B921D4"/>
    <w:rsid w:val="00B923FF"/>
    <w:rsid w:val="00B9249B"/>
    <w:rsid w:val="00B925DD"/>
    <w:rsid w:val="00B92777"/>
    <w:rsid w:val="00B9279E"/>
    <w:rsid w:val="00B9291A"/>
    <w:rsid w:val="00B92934"/>
    <w:rsid w:val="00B929BC"/>
    <w:rsid w:val="00B92C56"/>
    <w:rsid w:val="00B92CCD"/>
    <w:rsid w:val="00B92CCE"/>
    <w:rsid w:val="00B92DD7"/>
    <w:rsid w:val="00B92E14"/>
    <w:rsid w:val="00B92EF0"/>
    <w:rsid w:val="00B9313F"/>
    <w:rsid w:val="00B93375"/>
    <w:rsid w:val="00B933E4"/>
    <w:rsid w:val="00B93455"/>
    <w:rsid w:val="00B934F2"/>
    <w:rsid w:val="00B9365F"/>
    <w:rsid w:val="00B9372A"/>
    <w:rsid w:val="00B93748"/>
    <w:rsid w:val="00B937F0"/>
    <w:rsid w:val="00B937FF"/>
    <w:rsid w:val="00B9387A"/>
    <w:rsid w:val="00B93926"/>
    <w:rsid w:val="00B93934"/>
    <w:rsid w:val="00B93A40"/>
    <w:rsid w:val="00B93AEB"/>
    <w:rsid w:val="00B93C7B"/>
    <w:rsid w:val="00B93CD0"/>
    <w:rsid w:val="00B93DC7"/>
    <w:rsid w:val="00B93E68"/>
    <w:rsid w:val="00B93EC7"/>
    <w:rsid w:val="00B940C2"/>
    <w:rsid w:val="00B94146"/>
    <w:rsid w:val="00B94175"/>
    <w:rsid w:val="00B941A9"/>
    <w:rsid w:val="00B941DF"/>
    <w:rsid w:val="00B9420B"/>
    <w:rsid w:val="00B94234"/>
    <w:rsid w:val="00B9429B"/>
    <w:rsid w:val="00B94313"/>
    <w:rsid w:val="00B94467"/>
    <w:rsid w:val="00B94691"/>
    <w:rsid w:val="00B94749"/>
    <w:rsid w:val="00B947BB"/>
    <w:rsid w:val="00B94869"/>
    <w:rsid w:val="00B948D3"/>
    <w:rsid w:val="00B94C0A"/>
    <w:rsid w:val="00B94C5E"/>
    <w:rsid w:val="00B94DC2"/>
    <w:rsid w:val="00B94DD8"/>
    <w:rsid w:val="00B94E26"/>
    <w:rsid w:val="00B94E2A"/>
    <w:rsid w:val="00B94E4E"/>
    <w:rsid w:val="00B94E95"/>
    <w:rsid w:val="00B94EEF"/>
    <w:rsid w:val="00B94F91"/>
    <w:rsid w:val="00B94FDC"/>
    <w:rsid w:val="00B95015"/>
    <w:rsid w:val="00B9506C"/>
    <w:rsid w:val="00B9516F"/>
    <w:rsid w:val="00B95342"/>
    <w:rsid w:val="00B9536C"/>
    <w:rsid w:val="00B95682"/>
    <w:rsid w:val="00B9578C"/>
    <w:rsid w:val="00B957B5"/>
    <w:rsid w:val="00B957CF"/>
    <w:rsid w:val="00B95914"/>
    <w:rsid w:val="00B95A46"/>
    <w:rsid w:val="00B95A91"/>
    <w:rsid w:val="00B95C72"/>
    <w:rsid w:val="00B95C8B"/>
    <w:rsid w:val="00B95CF2"/>
    <w:rsid w:val="00B95E1C"/>
    <w:rsid w:val="00B95E27"/>
    <w:rsid w:val="00B9608B"/>
    <w:rsid w:val="00B960FD"/>
    <w:rsid w:val="00B961E2"/>
    <w:rsid w:val="00B96274"/>
    <w:rsid w:val="00B9629E"/>
    <w:rsid w:val="00B96464"/>
    <w:rsid w:val="00B96493"/>
    <w:rsid w:val="00B9654F"/>
    <w:rsid w:val="00B9655F"/>
    <w:rsid w:val="00B9659F"/>
    <w:rsid w:val="00B965FD"/>
    <w:rsid w:val="00B9662B"/>
    <w:rsid w:val="00B96657"/>
    <w:rsid w:val="00B966E7"/>
    <w:rsid w:val="00B9678C"/>
    <w:rsid w:val="00B969AE"/>
    <w:rsid w:val="00B96A26"/>
    <w:rsid w:val="00B96AB9"/>
    <w:rsid w:val="00B96B17"/>
    <w:rsid w:val="00B96B2B"/>
    <w:rsid w:val="00B96C65"/>
    <w:rsid w:val="00B96DF6"/>
    <w:rsid w:val="00B96E4F"/>
    <w:rsid w:val="00B96E65"/>
    <w:rsid w:val="00B96E70"/>
    <w:rsid w:val="00B96F3A"/>
    <w:rsid w:val="00B97061"/>
    <w:rsid w:val="00B97101"/>
    <w:rsid w:val="00B9729C"/>
    <w:rsid w:val="00B972C7"/>
    <w:rsid w:val="00B97384"/>
    <w:rsid w:val="00B97602"/>
    <w:rsid w:val="00B976E9"/>
    <w:rsid w:val="00B97722"/>
    <w:rsid w:val="00B977D5"/>
    <w:rsid w:val="00B977DB"/>
    <w:rsid w:val="00B97885"/>
    <w:rsid w:val="00B978EA"/>
    <w:rsid w:val="00B979ED"/>
    <w:rsid w:val="00B979FF"/>
    <w:rsid w:val="00B97B66"/>
    <w:rsid w:val="00B97BA5"/>
    <w:rsid w:val="00B97BDF"/>
    <w:rsid w:val="00B97C91"/>
    <w:rsid w:val="00B97EC4"/>
    <w:rsid w:val="00BA004C"/>
    <w:rsid w:val="00BA00A5"/>
    <w:rsid w:val="00BA0112"/>
    <w:rsid w:val="00BA01D1"/>
    <w:rsid w:val="00BA01D9"/>
    <w:rsid w:val="00BA024B"/>
    <w:rsid w:val="00BA0296"/>
    <w:rsid w:val="00BA02C8"/>
    <w:rsid w:val="00BA0305"/>
    <w:rsid w:val="00BA049B"/>
    <w:rsid w:val="00BA0738"/>
    <w:rsid w:val="00BA0838"/>
    <w:rsid w:val="00BA085F"/>
    <w:rsid w:val="00BA0916"/>
    <w:rsid w:val="00BA093E"/>
    <w:rsid w:val="00BA0A01"/>
    <w:rsid w:val="00BA0B1A"/>
    <w:rsid w:val="00BA0B2D"/>
    <w:rsid w:val="00BA0B5D"/>
    <w:rsid w:val="00BA0D1C"/>
    <w:rsid w:val="00BA0E25"/>
    <w:rsid w:val="00BA10CD"/>
    <w:rsid w:val="00BA1162"/>
    <w:rsid w:val="00BA11B8"/>
    <w:rsid w:val="00BA11F0"/>
    <w:rsid w:val="00BA13E4"/>
    <w:rsid w:val="00BA1550"/>
    <w:rsid w:val="00BA1612"/>
    <w:rsid w:val="00BA1822"/>
    <w:rsid w:val="00BA18C8"/>
    <w:rsid w:val="00BA1A51"/>
    <w:rsid w:val="00BA1C2E"/>
    <w:rsid w:val="00BA1C89"/>
    <w:rsid w:val="00BA1CE8"/>
    <w:rsid w:val="00BA1D8F"/>
    <w:rsid w:val="00BA1E64"/>
    <w:rsid w:val="00BA1E6B"/>
    <w:rsid w:val="00BA1ECC"/>
    <w:rsid w:val="00BA1FFB"/>
    <w:rsid w:val="00BA2172"/>
    <w:rsid w:val="00BA21AF"/>
    <w:rsid w:val="00BA21C0"/>
    <w:rsid w:val="00BA2212"/>
    <w:rsid w:val="00BA2416"/>
    <w:rsid w:val="00BA2521"/>
    <w:rsid w:val="00BA2592"/>
    <w:rsid w:val="00BA2594"/>
    <w:rsid w:val="00BA25C0"/>
    <w:rsid w:val="00BA25E2"/>
    <w:rsid w:val="00BA264F"/>
    <w:rsid w:val="00BA26A1"/>
    <w:rsid w:val="00BA26B8"/>
    <w:rsid w:val="00BA286A"/>
    <w:rsid w:val="00BA2AC5"/>
    <w:rsid w:val="00BA2B3F"/>
    <w:rsid w:val="00BA2C1A"/>
    <w:rsid w:val="00BA2C1B"/>
    <w:rsid w:val="00BA2CC8"/>
    <w:rsid w:val="00BA2F0E"/>
    <w:rsid w:val="00BA2F91"/>
    <w:rsid w:val="00BA3061"/>
    <w:rsid w:val="00BA3185"/>
    <w:rsid w:val="00BA31F3"/>
    <w:rsid w:val="00BA32A1"/>
    <w:rsid w:val="00BA32C9"/>
    <w:rsid w:val="00BA3507"/>
    <w:rsid w:val="00BA35BB"/>
    <w:rsid w:val="00BA35C3"/>
    <w:rsid w:val="00BA3662"/>
    <w:rsid w:val="00BA3767"/>
    <w:rsid w:val="00BA3786"/>
    <w:rsid w:val="00BA3963"/>
    <w:rsid w:val="00BA39C0"/>
    <w:rsid w:val="00BA39F7"/>
    <w:rsid w:val="00BA3AFA"/>
    <w:rsid w:val="00BA3B83"/>
    <w:rsid w:val="00BA3C3C"/>
    <w:rsid w:val="00BA3D16"/>
    <w:rsid w:val="00BA3EE4"/>
    <w:rsid w:val="00BA4077"/>
    <w:rsid w:val="00BA420E"/>
    <w:rsid w:val="00BA4487"/>
    <w:rsid w:val="00BA44DC"/>
    <w:rsid w:val="00BA44F0"/>
    <w:rsid w:val="00BA45BB"/>
    <w:rsid w:val="00BA45E5"/>
    <w:rsid w:val="00BA4703"/>
    <w:rsid w:val="00BA4723"/>
    <w:rsid w:val="00BA48EE"/>
    <w:rsid w:val="00BA49F9"/>
    <w:rsid w:val="00BA4BF6"/>
    <w:rsid w:val="00BA4CAB"/>
    <w:rsid w:val="00BA4D7A"/>
    <w:rsid w:val="00BA4E45"/>
    <w:rsid w:val="00BA4FC3"/>
    <w:rsid w:val="00BA5095"/>
    <w:rsid w:val="00BA50FB"/>
    <w:rsid w:val="00BA513C"/>
    <w:rsid w:val="00BA519F"/>
    <w:rsid w:val="00BA5306"/>
    <w:rsid w:val="00BA5313"/>
    <w:rsid w:val="00BA5417"/>
    <w:rsid w:val="00BA5439"/>
    <w:rsid w:val="00BA5443"/>
    <w:rsid w:val="00BA54B9"/>
    <w:rsid w:val="00BA5663"/>
    <w:rsid w:val="00BA5671"/>
    <w:rsid w:val="00BA575E"/>
    <w:rsid w:val="00BA577B"/>
    <w:rsid w:val="00BA59FB"/>
    <w:rsid w:val="00BA5AD1"/>
    <w:rsid w:val="00BA5BAA"/>
    <w:rsid w:val="00BA5CCA"/>
    <w:rsid w:val="00BA5D2C"/>
    <w:rsid w:val="00BA5DDB"/>
    <w:rsid w:val="00BA5E93"/>
    <w:rsid w:val="00BA602F"/>
    <w:rsid w:val="00BA616C"/>
    <w:rsid w:val="00BA6318"/>
    <w:rsid w:val="00BA6452"/>
    <w:rsid w:val="00BA64C4"/>
    <w:rsid w:val="00BA6565"/>
    <w:rsid w:val="00BA6699"/>
    <w:rsid w:val="00BA669F"/>
    <w:rsid w:val="00BA6736"/>
    <w:rsid w:val="00BA67EA"/>
    <w:rsid w:val="00BA6B30"/>
    <w:rsid w:val="00BA6CE3"/>
    <w:rsid w:val="00BA6D15"/>
    <w:rsid w:val="00BA6DCD"/>
    <w:rsid w:val="00BA6EA9"/>
    <w:rsid w:val="00BA6F9E"/>
    <w:rsid w:val="00BA7322"/>
    <w:rsid w:val="00BA732B"/>
    <w:rsid w:val="00BA7507"/>
    <w:rsid w:val="00BA7582"/>
    <w:rsid w:val="00BA76DC"/>
    <w:rsid w:val="00BA7971"/>
    <w:rsid w:val="00BA79B3"/>
    <w:rsid w:val="00BA7D2C"/>
    <w:rsid w:val="00BA7F89"/>
    <w:rsid w:val="00BB0023"/>
    <w:rsid w:val="00BB00DC"/>
    <w:rsid w:val="00BB01A9"/>
    <w:rsid w:val="00BB02F3"/>
    <w:rsid w:val="00BB0443"/>
    <w:rsid w:val="00BB052E"/>
    <w:rsid w:val="00BB0585"/>
    <w:rsid w:val="00BB05C7"/>
    <w:rsid w:val="00BB0939"/>
    <w:rsid w:val="00BB0A29"/>
    <w:rsid w:val="00BB0B39"/>
    <w:rsid w:val="00BB0B72"/>
    <w:rsid w:val="00BB0C6B"/>
    <w:rsid w:val="00BB0F0B"/>
    <w:rsid w:val="00BB101F"/>
    <w:rsid w:val="00BB1098"/>
    <w:rsid w:val="00BB117A"/>
    <w:rsid w:val="00BB11D5"/>
    <w:rsid w:val="00BB1210"/>
    <w:rsid w:val="00BB1311"/>
    <w:rsid w:val="00BB1340"/>
    <w:rsid w:val="00BB135A"/>
    <w:rsid w:val="00BB14A3"/>
    <w:rsid w:val="00BB15B2"/>
    <w:rsid w:val="00BB1647"/>
    <w:rsid w:val="00BB16F3"/>
    <w:rsid w:val="00BB18AC"/>
    <w:rsid w:val="00BB1A02"/>
    <w:rsid w:val="00BB1BB6"/>
    <w:rsid w:val="00BB1C0F"/>
    <w:rsid w:val="00BB1C59"/>
    <w:rsid w:val="00BB1CC6"/>
    <w:rsid w:val="00BB1D51"/>
    <w:rsid w:val="00BB1DAE"/>
    <w:rsid w:val="00BB1E37"/>
    <w:rsid w:val="00BB2190"/>
    <w:rsid w:val="00BB2194"/>
    <w:rsid w:val="00BB220F"/>
    <w:rsid w:val="00BB2326"/>
    <w:rsid w:val="00BB236B"/>
    <w:rsid w:val="00BB2498"/>
    <w:rsid w:val="00BB25F6"/>
    <w:rsid w:val="00BB2701"/>
    <w:rsid w:val="00BB2773"/>
    <w:rsid w:val="00BB27A1"/>
    <w:rsid w:val="00BB2862"/>
    <w:rsid w:val="00BB298C"/>
    <w:rsid w:val="00BB298E"/>
    <w:rsid w:val="00BB2A04"/>
    <w:rsid w:val="00BB2BB3"/>
    <w:rsid w:val="00BB2BC0"/>
    <w:rsid w:val="00BB2BD5"/>
    <w:rsid w:val="00BB2C93"/>
    <w:rsid w:val="00BB2C9A"/>
    <w:rsid w:val="00BB2CDA"/>
    <w:rsid w:val="00BB2D77"/>
    <w:rsid w:val="00BB2E52"/>
    <w:rsid w:val="00BB3254"/>
    <w:rsid w:val="00BB3272"/>
    <w:rsid w:val="00BB327C"/>
    <w:rsid w:val="00BB328A"/>
    <w:rsid w:val="00BB32D9"/>
    <w:rsid w:val="00BB32E1"/>
    <w:rsid w:val="00BB336A"/>
    <w:rsid w:val="00BB3381"/>
    <w:rsid w:val="00BB33B1"/>
    <w:rsid w:val="00BB346C"/>
    <w:rsid w:val="00BB3625"/>
    <w:rsid w:val="00BB363B"/>
    <w:rsid w:val="00BB367A"/>
    <w:rsid w:val="00BB367C"/>
    <w:rsid w:val="00BB38E0"/>
    <w:rsid w:val="00BB3936"/>
    <w:rsid w:val="00BB3AFE"/>
    <w:rsid w:val="00BB3C82"/>
    <w:rsid w:val="00BB3C83"/>
    <w:rsid w:val="00BB3EBA"/>
    <w:rsid w:val="00BB3F15"/>
    <w:rsid w:val="00BB3FDF"/>
    <w:rsid w:val="00BB400F"/>
    <w:rsid w:val="00BB4056"/>
    <w:rsid w:val="00BB4097"/>
    <w:rsid w:val="00BB4118"/>
    <w:rsid w:val="00BB42C6"/>
    <w:rsid w:val="00BB4347"/>
    <w:rsid w:val="00BB47FE"/>
    <w:rsid w:val="00BB487C"/>
    <w:rsid w:val="00BB48E5"/>
    <w:rsid w:val="00BB4A8E"/>
    <w:rsid w:val="00BB4C51"/>
    <w:rsid w:val="00BB4C97"/>
    <w:rsid w:val="00BB4E80"/>
    <w:rsid w:val="00BB4F93"/>
    <w:rsid w:val="00BB50F1"/>
    <w:rsid w:val="00BB514D"/>
    <w:rsid w:val="00BB5384"/>
    <w:rsid w:val="00BB53CD"/>
    <w:rsid w:val="00BB54E8"/>
    <w:rsid w:val="00BB553F"/>
    <w:rsid w:val="00BB55AA"/>
    <w:rsid w:val="00BB5705"/>
    <w:rsid w:val="00BB5778"/>
    <w:rsid w:val="00BB5839"/>
    <w:rsid w:val="00BB5929"/>
    <w:rsid w:val="00BB596B"/>
    <w:rsid w:val="00BB59B5"/>
    <w:rsid w:val="00BB5AFE"/>
    <w:rsid w:val="00BB5C45"/>
    <w:rsid w:val="00BB5DC7"/>
    <w:rsid w:val="00BB6431"/>
    <w:rsid w:val="00BB64E9"/>
    <w:rsid w:val="00BB654F"/>
    <w:rsid w:val="00BB65ED"/>
    <w:rsid w:val="00BB6620"/>
    <w:rsid w:val="00BB66F1"/>
    <w:rsid w:val="00BB67B3"/>
    <w:rsid w:val="00BB6894"/>
    <w:rsid w:val="00BB6A8F"/>
    <w:rsid w:val="00BB6CA1"/>
    <w:rsid w:val="00BB6CC5"/>
    <w:rsid w:val="00BB6CFA"/>
    <w:rsid w:val="00BB6D14"/>
    <w:rsid w:val="00BB6E91"/>
    <w:rsid w:val="00BB71BC"/>
    <w:rsid w:val="00BB7252"/>
    <w:rsid w:val="00BB74E3"/>
    <w:rsid w:val="00BB7557"/>
    <w:rsid w:val="00BB75AC"/>
    <w:rsid w:val="00BB787B"/>
    <w:rsid w:val="00BB789A"/>
    <w:rsid w:val="00BB78E4"/>
    <w:rsid w:val="00BB79CA"/>
    <w:rsid w:val="00BB79E6"/>
    <w:rsid w:val="00BB7A21"/>
    <w:rsid w:val="00BB7AF0"/>
    <w:rsid w:val="00BB7B73"/>
    <w:rsid w:val="00BB7B92"/>
    <w:rsid w:val="00BB7C7F"/>
    <w:rsid w:val="00BB7DCE"/>
    <w:rsid w:val="00BB7FE1"/>
    <w:rsid w:val="00BC0019"/>
    <w:rsid w:val="00BC001F"/>
    <w:rsid w:val="00BC0026"/>
    <w:rsid w:val="00BC011B"/>
    <w:rsid w:val="00BC031C"/>
    <w:rsid w:val="00BC04B0"/>
    <w:rsid w:val="00BC04DE"/>
    <w:rsid w:val="00BC05E4"/>
    <w:rsid w:val="00BC0760"/>
    <w:rsid w:val="00BC08A7"/>
    <w:rsid w:val="00BC0A77"/>
    <w:rsid w:val="00BC0D75"/>
    <w:rsid w:val="00BC0D88"/>
    <w:rsid w:val="00BC0EBD"/>
    <w:rsid w:val="00BC0F2E"/>
    <w:rsid w:val="00BC0FEA"/>
    <w:rsid w:val="00BC104B"/>
    <w:rsid w:val="00BC1057"/>
    <w:rsid w:val="00BC1087"/>
    <w:rsid w:val="00BC1464"/>
    <w:rsid w:val="00BC1479"/>
    <w:rsid w:val="00BC14B1"/>
    <w:rsid w:val="00BC15DE"/>
    <w:rsid w:val="00BC16B2"/>
    <w:rsid w:val="00BC1747"/>
    <w:rsid w:val="00BC17C8"/>
    <w:rsid w:val="00BC18AC"/>
    <w:rsid w:val="00BC18B4"/>
    <w:rsid w:val="00BC193C"/>
    <w:rsid w:val="00BC195F"/>
    <w:rsid w:val="00BC19E5"/>
    <w:rsid w:val="00BC1B15"/>
    <w:rsid w:val="00BC1CD1"/>
    <w:rsid w:val="00BC1DF3"/>
    <w:rsid w:val="00BC1EE9"/>
    <w:rsid w:val="00BC1F4E"/>
    <w:rsid w:val="00BC1F6C"/>
    <w:rsid w:val="00BC1F8C"/>
    <w:rsid w:val="00BC20C5"/>
    <w:rsid w:val="00BC2175"/>
    <w:rsid w:val="00BC220B"/>
    <w:rsid w:val="00BC2297"/>
    <w:rsid w:val="00BC2318"/>
    <w:rsid w:val="00BC23AF"/>
    <w:rsid w:val="00BC240E"/>
    <w:rsid w:val="00BC2685"/>
    <w:rsid w:val="00BC296A"/>
    <w:rsid w:val="00BC2994"/>
    <w:rsid w:val="00BC2B27"/>
    <w:rsid w:val="00BC2B7D"/>
    <w:rsid w:val="00BC2C10"/>
    <w:rsid w:val="00BC2C6F"/>
    <w:rsid w:val="00BC2CFE"/>
    <w:rsid w:val="00BC2D44"/>
    <w:rsid w:val="00BC306A"/>
    <w:rsid w:val="00BC31C6"/>
    <w:rsid w:val="00BC3217"/>
    <w:rsid w:val="00BC32B6"/>
    <w:rsid w:val="00BC32DF"/>
    <w:rsid w:val="00BC369C"/>
    <w:rsid w:val="00BC36D7"/>
    <w:rsid w:val="00BC37A3"/>
    <w:rsid w:val="00BC3808"/>
    <w:rsid w:val="00BC3865"/>
    <w:rsid w:val="00BC38A3"/>
    <w:rsid w:val="00BC397D"/>
    <w:rsid w:val="00BC3B5F"/>
    <w:rsid w:val="00BC3B91"/>
    <w:rsid w:val="00BC4024"/>
    <w:rsid w:val="00BC4377"/>
    <w:rsid w:val="00BC437F"/>
    <w:rsid w:val="00BC43D4"/>
    <w:rsid w:val="00BC46D9"/>
    <w:rsid w:val="00BC4737"/>
    <w:rsid w:val="00BC47AF"/>
    <w:rsid w:val="00BC47F9"/>
    <w:rsid w:val="00BC4972"/>
    <w:rsid w:val="00BC49ED"/>
    <w:rsid w:val="00BC4AD3"/>
    <w:rsid w:val="00BC4B19"/>
    <w:rsid w:val="00BC4CA0"/>
    <w:rsid w:val="00BC4EBC"/>
    <w:rsid w:val="00BC4F92"/>
    <w:rsid w:val="00BC5005"/>
    <w:rsid w:val="00BC540B"/>
    <w:rsid w:val="00BC5645"/>
    <w:rsid w:val="00BC5699"/>
    <w:rsid w:val="00BC56B8"/>
    <w:rsid w:val="00BC5755"/>
    <w:rsid w:val="00BC5882"/>
    <w:rsid w:val="00BC58CB"/>
    <w:rsid w:val="00BC5910"/>
    <w:rsid w:val="00BC5924"/>
    <w:rsid w:val="00BC5A7F"/>
    <w:rsid w:val="00BC5BA2"/>
    <w:rsid w:val="00BC5C22"/>
    <w:rsid w:val="00BC5C59"/>
    <w:rsid w:val="00BC5CCA"/>
    <w:rsid w:val="00BC5DD7"/>
    <w:rsid w:val="00BC5E2A"/>
    <w:rsid w:val="00BC5E66"/>
    <w:rsid w:val="00BC5F9C"/>
    <w:rsid w:val="00BC62E5"/>
    <w:rsid w:val="00BC663F"/>
    <w:rsid w:val="00BC66C4"/>
    <w:rsid w:val="00BC678E"/>
    <w:rsid w:val="00BC6815"/>
    <w:rsid w:val="00BC6853"/>
    <w:rsid w:val="00BC6864"/>
    <w:rsid w:val="00BC6897"/>
    <w:rsid w:val="00BC69D0"/>
    <w:rsid w:val="00BC6C3C"/>
    <w:rsid w:val="00BC6C69"/>
    <w:rsid w:val="00BC6E00"/>
    <w:rsid w:val="00BC6EDD"/>
    <w:rsid w:val="00BC6F2F"/>
    <w:rsid w:val="00BC720A"/>
    <w:rsid w:val="00BC7296"/>
    <w:rsid w:val="00BC72F8"/>
    <w:rsid w:val="00BC7423"/>
    <w:rsid w:val="00BC7430"/>
    <w:rsid w:val="00BC750B"/>
    <w:rsid w:val="00BC790D"/>
    <w:rsid w:val="00BC79DF"/>
    <w:rsid w:val="00BC7B94"/>
    <w:rsid w:val="00BC7BBC"/>
    <w:rsid w:val="00BC7D2D"/>
    <w:rsid w:val="00BC7DA8"/>
    <w:rsid w:val="00BC7F0B"/>
    <w:rsid w:val="00BC7F3D"/>
    <w:rsid w:val="00BC7F3E"/>
    <w:rsid w:val="00BC7FC8"/>
    <w:rsid w:val="00BD0018"/>
    <w:rsid w:val="00BD01D8"/>
    <w:rsid w:val="00BD0207"/>
    <w:rsid w:val="00BD024F"/>
    <w:rsid w:val="00BD0264"/>
    <w:rsid w:val="00BD02EB"/>
    <w:rsid w:val="00BD03F4"/>
    <w:rsid w:val="00BD0440"/>
    <w:rsid w:val="00BD05AF"/>
    <w:rsid w:val="00BD05F4"/>
    <w:rsid w:val="00BD06A0"/>
    <w:rsid w:val="00BD072B"/>
    <w:rsid w:val="00BD07B1"/>
    <w:rsid w:val="00BD07B7"/>
    <w:rsid w:val="00BD086E"/>
    <w:rsid w:val="00BD094F"/>
    <w:rsid w:val="00BD0987"/>
    <w:rsid w:val="00BD09A6"/>
    <w:rsid w:val="00BD0A00"/>
    <w:rsid w:val="00BD0A18"/>
    <w:rsid w:val="00BD0B33"/>
    <w:rsid w:val="00BD0CCF"/>
    <w:rsid w:val="00BD0FA8"/>
    <w:rsid w:val="00BD1096"/>
    <w:rsid w:val="00BD10C5"/>
    <w:rsid w:val="00BD11FC"/>
    <w:rsid w:val="00BD14FC"/>
    <w:rsid w:val="00BD1503"/>
    <w:rsid w:val="00BD15B4"/>
    <w:rsid w:val="00BD1633"/>
    <w:rsid w:val="00BD16E2"/>
    <w:rsid w:val="00BD1786"/>
    <w:rsid w:val="00BD1802"/>
    <w:rsid w:val="00BD1A38"/>
    <w:rsid w:val="00BD1BF3"/>
    <w:rsid w:val="00BD1C3A"/>
    <w:rsid w:val="00BD1CBE"/>
    <w:rsid w:val="00BD20B9"/>
    <w:rsid w:val="00BD21B3"/>
    <w:rsid w:val="00BD22E1"/>
    <w:rsid w:val="00BD2553"/>
    <w:rsid w:val="00BD25E7"/>
    <w:rsid w:val="00BD2608"/>
    <w:rsid w:val="00BD26F1"/>
    <w:rsid w:val="00BD2780"/>
    <w:rsid w:val="00BD27CC"/>
    <w:rsid w:val="00BD27F2"/>
    <w:rsid w:val="00BD2869"/>
    <w:rsid w:val="00BD2895"/>
    <w:rsid w:val="00BD28B4"/>
    <w:rsid w:val="00BD28DC"/>
    <w:rsid w:val="00BD291D"/>
    <w:rsid w:val="00BD2A3C"/>
    <w:rsid w:val="00BD2B6F"/>
    <w:rsid w:val="00BD2B8D"/>
    <w:rsid w:val="00BD2BA1"/>
    <w:rsid w:val="00BD2BB5"/>
    <w:rsid w:val="00BD2C7E"/>
    <w:rsid w:val="00BD2D2C"/>
    <w:rsid w:val="00BD2D8D"/>
    <w:rsid w:val="00BD2E3D"/>
    <w:rsid w:val="00BD2E45"/>
    <w:rsid w:val="00BD2ECE"/>
    <w:rsid w:val="00BD30FB"/>
    <w:rsid w:val="00BD3355"/>
    <w:rsid w:val="00BD33D4"/>
    <w:rsid w:val="00BD34C9"/>
    <w:rsid w:val="00BD3548"/>
    <w:rsid w:val="00BD3624"/>
    <w:rsid w:val="00BD39F1"/>
    <w:rsid w:val="00BD3E54"/>
    <w:rsid w:val="00BD3E91"/>
    <w:rsid w:val="00BD3F81"/>
    <w:rsid w:val="00BD4002"/>
    <w:rsid w:val="00BD409D"/>
    <w:rsid w:val="00BD40B1"/>
    <w:rsid w:val="00BD4201"/>
    <w:rsid w:val="00BD4211"/>
    <w:rsid w:val="00BD426C"/>
    <w:rsid w:val="00BD42F0"/>
    <w:rsid w:val="00BD4384"/>
    <w:rsid w:val="00BD449E"/>
    <w:rsid w:val="00BD44F3"/>
    <w:rsid w:val="00BD45B6"/>
    <w:rsid w:val="00BD45E7"/>
    <w:rsid w:val="00BD4610"/>
    <w:rsid w:val="00BD46D3"/>
    <w:rsid w:val="00BD4878"/>
    <w:rsid w:val="00BD48F1"/>
    <w:rsid w:val="00BD4991"/>
    <w:rsid w:val="00BD4A29"/>
    <w:rsid w:val="00BD4A98"/>
    <w:rsid w:val="00BD4B31"/>
    <w:rsid w:val="00BD4CDB"/>
    <w:rsid w:val="00BD4D74"/>
    <w:rsid w:val="00BD4DBA"/>
    <w:rsid w:val="00BD4E84"/>
    <w:rsid w:val="00BD4ED7"/>
    <w:rsid w:val="00BD5044"/>
    <w:rsid w:val="00BD517C"/>
    <w:rsid w:val="00BD51A2"/>
    <w:rsid w:val="00BD520B"/>
    <w:rsid w:val="00BD5396"/>
    <w:rsid w:val="00BD53B8"/>
    <w:rsid w:val="00BD53DE"/>
    <w:rsid w:val="00BD5516"/>
    <w:rsid w:val="00BD5580"/>
    <w:rsid w:val="00BD558A"/>
    <w:rsid w:val="00BD55B9"/>
    <w:rsid w:val="00BD5629"/>
    <w:rsid w:val="00BD5637"/>
    <w:rsid w:val="00BD5740"/>
    <w:rsid w:val="00BD5846"/>
    <w:rsid w:val="00BD5A17"/>
    <w:rsid w:val="00BD5B9A"/>
    <w:rsid w:val="00BD5BA3"/>
    <w:rsid w:val="00BD5DF1"/>
    <w:rsid w:val="00BD5FF1"/>
    <w:rsid w:val="00BD620C"/>
    <w:rsid w:val="00BD6252"/>
    <w:rsid w:val="00BD62BD"/>
    <w:rsid w:val="00BD62CB"/>
    <w:rsid w:val="00BD6530"/>
    <w:rsid w:val="00BD6569"/>
    <w:rsid w:val="00BD68BB"/>
    <w:rsid w:val="00BD69F6"/>
    <w:rsid w:val="00BD6B0B"/>
    <w:rsid w:val="00BD6BEF"/>
    <w:rsid w:val="00BD6EA6"/>
    <w:rsid w:val="00BD7233"/>
    <w:rsid w:val="00BD72E2"/>
    <w:rsid w:val="00BD756E"/>
    <w:rsid w:val="00BD769B"/>
    <w:rsid w:val="00BD76EC"/>
    <w:rsid w:val="00BD7896"/>
    <w:rsid w:val="00BD79F0"/>
    <w:rsid w:val="00BD7B0C"/>
    <w:rsid w:val="00BD7D47"/>
    <w:rsid w:val="00BD7D6C"/>
    <w:rsid w:val="00BD7DC3"/>
    <w:rsid w:val="00BD7DC5"/>
    <w:rsid w:val="00BD7DDE"/>
    <w:rsid w:val="00BD82DF"/>
    <w:rsid w:val="00BE04A7"/>
    <w:rsid w:val="00BE0511"/>
    <w:rsid w:val="00BE067C"/>
    <w:rsid w:val="00BE07DA"/>
    <w:rsid w:val="00BE096E"/>
    <w:rsid w:val="00BE099A"/>
    <w:rsid w:val="00BE0A5D"/>
    <w:rsid w:val="00BE0B62"/>
    <w:rsid w:val="00BE0CEA"/>
    <w:rsid w:val="00BE0FDE"/>
    <w:rsid w:val="00BE12B7"/>
    <w:rsid w:val="00BE130A"/>
    <w:rsid w:val="00BE1319"/>
    <w:rsid w:val="00BE141E"/>
    <w:rsid w:val="00BE1493"/>
    <w:rsid w:val="00BE152C"/>
    <w:rsid w:val="00BE15E7"/>
    <w:rsid w:val="00BE16E5"/>
    <w:rsid w:val="00BE1830"/>
    <w:rsid w:val="00BE18C3"/>
    <w:rsid w:val="00BE19A1"/>
    <w:rsid w:val="00BE1A03"/>
    <w:rsid w:val="00BE1AA3"/>
    <w:rsid w:val="00BE1AB0"/>
    <w:rsid w:val="00BE1BDC"/>
    <w:rsid w:val="00BE1C3C"/>
    <w:rsid w:val="00BE1C93"/>
    <w:rsid w:val="00BE1D01"/>
    <w:rsid w:val="00BE1D86"/>
    <w:rsid w:val="00BE1EFB"/>
    <w:rsid w:val="00BE1F90"/>
    <w:rsid w:val="00BE1FED"/>
    <w:rsid w:val="00BE1FF4"/>
    <w:rsid w:val="00BE203C"/>
    <w:rsid w:val="00BE2048"/>
    <w:rsid w:val="00BE2182"/>
    <w:rsid w:val="00BE2234"/>
    <w:rsid w:val="00BE239F"/>
    <w:rsid w:val="00BE2499"/>
    <w:rsid w:val="00BE25C3"/>
    <w:rsid w:val="00BE26F5"/>
    <w:rsid w:val="00BE2721"/>
    <w:rsid w:val="00BE28EB"/>
    <w:rsid w:val="00BE298C"/>
    <w:rsid w:val="00BE2BE4"/>
    <w:rsid w:val="00BE2C70"/>
    <w:rsid w:val="00BE2E00"/>
    <w:rsid w:val="00BE2E46"/>
    <w:rsid w:val="00BE2E4C"/>
    <w:rsid w:val="00BE2E7E"/>
    <w:rsid w:val="00BE2F4B"/>
    <w:rsid w:val="00BE3180"/>
    <w:rsid w:val="00BE3184"/>
    <w:rsid w:val="00BE31A4"/>
    <w:rsid w:val="00BE3252"/>
    <w:rsid w:val="00BE32A5"/>
    <w:rsid w:val="00BE335B"/>
    <w:rsid w:val="00BE33DB"/>
    <w:rsid w:val="00BE3475"/>
    <w:rsid w:val="00BE349E"/>
    <w:rsid w:val="00BE359E"/>
    <w:rsid w:val="00BE3714"/>
    <w:rsid w:val="00BE3906"/>
    <w:rsid w:val="00BE39FE"/>
    <w:rsid w:val="00BE3A5C"/>
    <w:rsid w:val="00BE3BA7"/>
    <w:rsid w:val="00BE3BB8"/>
    <w:rsid w:val="00BE3BDC"/>
    <w:rsid w:val="00BE3C6A"/>
    <w:rsid w:val="00BE3F0D"/>
    <w:rsid w:val="00BE3F55"/>
    <w:rsid w:val="00BE41E0"/>
    <w:rsid w:val="00BE4267"/>
    <w:rsid w:val="00BE431B"/>
    <w:rsid w:val="00BE4474"/>
    <w:rsid w:val="00BE453C"/>
    <w:rsid w:val="00BE45AA"/>
    <w:rsid w:val="00BE4625"/>
    <w:rsid w:val="00BE465C"/>
    <w:rsid w:val="00BE4666"/>
    <w:rsid w:val="00BE4725"/>
    <w:rsid w:val="00BE47BF"/>
    <w:rsid w:val="00BE47C5"/>
    <w:rsid w:val="00BE4844"/>
    <w:rsid w:val="00BE48D2"/>
    <w:rsid w:val="00BE49F4"/>
    <w:rsid w:val="00BE4D22"/>
    <w:rsid w:val="00BE4F85"/>
    <w:rsid w:val="00BE5279"/>
    <w:rsid w:val="00BE531A"/>
    <w:rsid w:val="00BE5374"/>
    <w:rsid w:val="00BE543E"/>
    <w:rsid w:val="00BE5467"/>
    <w:rsid w:val="00BE551E"/>
    <w:rsid w:val="00BE554E"/>
    <w:rsid w:val="00BE55A3"/>
    <w:rsid w:val="00BE5639"/>
    <w:rsid w:val="00BE570E"/>
    <w:rsid w:val="00BE57A0"/>
    <w:rsid w:val="00BE5931"/>
    <w:rsid w:val="00BE593A"/>
    <w:rsid w:val="00BE5A08"/>
    <w:rsid w:val="00BE5A81"/>
    <w:rsid w:val="00BE5AE6"/>
    <w:rsid w:val="00BE5C20"/>
    <w:rsid w:val="00BE5EBD"/>
    <w:rsid w:val="00BE5F2D"/>
    <w:rsid w:val="00BE6038"/>
    <w:rsid w:val="00BE6058"/>
    <w:rsid w:val="00BE61A8"/>
    <w:rsid w:val="00BE6276"/>
    <w:rsid w:val="00BE627A"/>
    <w:rsid w:val="00BE6450"/>
    <w:rsid w:val="00BE647B"/>
    <w:rsid w:val="00BE6494"/>
    <w:rsid w:val="00BE6591"/>
    <w:rsid w:val="00BE65A1"/>
    <w:rsid w:val="00BE65C9"/>
    <w:rsid w:val="00BE69B2"/>
    <w:rsid w:val="00BE6A03"/>
    <w:rsid w:val="00BE6A55"/>
    <w:rsid w:val="00BE6B71"/>
    <w:rsid w:val="00BE6C20"/>
    <w:rsid w:val="00BE6CE8"/>
    <w:rsid w:val="00BE6DAE"/>
    <w:rsid w:val="00BE6DF3"/>
    <w:rsid w:val="00BE6E7D"/>
    <w:rsid w:val="00BE6F9C"/>
    <w:rsid w:val="00BE7065"/>
    <w:rsid w:val="00BE7202"/>
    <w:rsid w:val="00BE720B"/>
    <w:rsid w:val="00BE73DC"/>
    <w:rsid w:val="00BE7580"/>
    <w:rsid w:val="00BE75B6"/>
    <w:rsid w:val="00BE776B"/>
    <w:rsid w:val="00BE78BD"/>
    <w:rsid w:val="00BE78CF"/>
    <w:rsid w:val="00BE7951"/>
    <w:rsid w:val="00BE7A21"/>
    <w:rsid w:val="00BE7A7B"/>
    <w:rsid w:val="00BE7AC1"/>
    <w:rsid w:val="00BE7B0D"/>
    <w:rsid w:val="00BE7C33"/>
    <w:rsid w:val="00BE7D36"/>
    <w:rsid w:val="00BE7D8D"/>
    <w:rsid w:val="00BE7EE1"/>
    <w:rsid w:val="00BF00C1"/>
    <w:rsid w:val="00BF01F9"/>
    <w:rsid w:val="00BF0396"/>
    <w:rsid w:val="00BF03EB"/>
    <w:rsid w:val="00BF042B"/>
    <w:rsid w:val="00BF0793"/>
    <w:rsid w:val="00BF093D"/>
    <w:rsid w:val="00BF0A0E"/>
    <w:rsid w:val="00BF0AF7"/>
    <w:rsid w:val="00BF0C4D"/>
    <w:rsid w:val="00BF0DD0"/>
    <w:rsid w:val="00BF0E9D"/>
    <w:rsid w:val="00BF0FF3"/>
    <w:rsid w:val="00BF1026"/>
    <w:rsid w:val="00BF112C"/>
    <w:rsid w:val="00BF1208"/>
    <w:rsid w:val="00BF14FE"/>
    <w:rsid w:val="00BF16A8"/>
    <w:rsid w:val="00BF1778"/>
    <w:rsid w:val="00BF189E"/>
    <w:rsid w:val="00BF191E"/>
    <w:rsid w:val="00BF198E"/>
    <w:rsid w:val="00BF1B1B"/>
    <w:rsid w:val="00BF1B1D"/>
    <w:rsid w:val="00BF1C3E"/>
    <w:rsid w:val="00BF1C52"/>
    <w:rsid w:val="00BF1C85"/>
    <w:rsid w:val="00BF1CD1"/>
    <w:rsid w:val="00BF1E9C"/>
    <w:rsid w:val="00BF1EAD"/>
    <w:rsid w:val="00BF1ECB"/>
    <w:rsid w:val="00BF1EEE"/>
    <w:rsid w:val="00BF1F26"/>
    <w:rsid w:val="00BF1F4A"/>
    <w:rsid w:val="00BF2273"/>
    <w:rsid w:val="00BF2310"/>
    <w:rsid w:val="00BF2550"/>
    <w:rsid w:val="00BF2585"/>
    <w:rsid w:val="00BF25A1"/>
    <w:rsid w:val="00BF260D"/>
    <w:rsid w:val="00BF2917"/>
    <w:rsid w:val="00BF2982"/>
    <w:rsid w:val="00BF2CFA"/>
    <w:rsid w:val="00BF2EC9"/>
    <w:rsid w:val="00BF3001"/>
    <w:rsid w:val="00BF3077"/>
    <w:rsid w:val="00BF3239"/>
    <w:rsid w:val="00BF3327"/>
    <w:rsid w:val="00BF33AA"/>
    <w:rsid w:val="00BF3495"/>
    <w:rsid w:val="00BF35FA"/>
    <w:rsid w:val="00BF37EB"/>
    <w:rsid w:val="00BF3942"/>
    <w:rsid w:val="00BF3A68"/>
    <w:rsid w:val="00BF3AF7"/>
    <w:rsid w:val="00BF3CAE"/>
    <w:rsid w:val="00BF3DDA"/>
    <w:rsid w:val="00BF3FBC"/>
    <w:rsid w:val="00BF4012"/>
    <w:rsid w:val="00BF4069"/>
    <w:rsid w:val="00BF4099"/>
    <w:rsid w:val="00BF40CF"/>
    <w:rsid w:val="00BF4282"/>
    <w:rsid w:val="00BF434C"/>
    <w:rsid w:val="00BF4447"/>
    <w:rsid w:val="00BF444F"/>
    <w:rsid w:val="00BF4485"/>
    <w:rsid w:val="00BF4640"/>
    <w:rsid w:val="00BF46EA"/>
    <w:rsid w:val="00BF47B6"/>
    <w:rsid w:val="00BF4B2A"/>
    <w:rsid w:val="00BF4B2E"/>
    <w:rsid w:val="00BF4B96"/>
    <w:rsid w:val="00BF4C0A"/>
    <w:rsid w:val="00BF4CEF"/>
    <w:rsid w:val="00BF4FCD"/>
    <w:rsid w:val="00BF5098"/>
    <w:rsid w:val="00BF545A"/>
    <w:rsid w:val="00BF54AC"/>
    <w:rsid w:val="00BF55C4"/>
    <w:rsid w:val="00BF55D2"/>
    <w:rsid w:val="00BF55DD"/>
    <w:rsid w:val="00BF5A23"/>
    <w:rsid w:val="00BF5C2F"/>
    <w:rsid w:val="00BF5C5B"/>
    <w:rsid w:val="00BF5E39"/>
    <w:rsid w:val="00BF5FCF"/>
    <w:rsid w:val="00BF63B2"/>
    <w:rsid w:val="00BF63DB"/>
    <w:rsid w:val="00BF6467"/>
    <w:rsid w:val="00BF66BE"/>
    <w:rsid w:val="00BF6789"/>
    <w:rsid w:val="00BF6862"/>
    <w:rsid w:val="00BF6977"/>
    <w:rsid w:val="00BF6A5D"/>
    <w:rsid w:val="00BF6BB5"/>
    <w:rsid w:val="00BF6CA8"/>
    <w:rsid w:val="00BF6DC8"/>
    <w:rsid w:val="00BF6E24"/>
    <w:rsid w:val="00BF6E49"/>
    <w:rsid w:val="00BF6F4D"/>
    <w:rsid w:val="00BF6FF4"/>
    <w:rsid w:val="00BF72F2"/>
    <w:rsid w:val="00BF730A"/>
    <w:rsid w:val="00BF75A5"/>
    <w:rsid w:val="00BF76CE"/>
    <w:rsid w:val="00BF76EF"/>
    <w:rsid w:val="00BF7716"/>
    <w:rsid w:val="00BF7828"/>
    <w:rsid w:val="00BF7844"/>
    <w:rsid w:val="00BF7957"/>
    <w:rsid w:val="00BF7A09"/>
    <w:rsid w:val="00BF7A21"/>
    <w:rsid w:val="00BF7A76"/>
    <w:rsid w:val="00BF7C54"/>
    <w:rsid w:val="00BF7CC3"/>
    <w:rsid w:val="00BF7EFC"/>
    <w:rsid w:val="00C0001D"/>
    <w:rsid w:val="00C001D1"/>
    <w:rsid w:val="00C001F6"/>
    <w:rsid w:val="00C002C4"/>
    <w:rsid w:val="00C00478"/>
    <w:rsid w:val="00C005EA"/>
    <w:rsid w:val="00C00668"/>
    <w:rsid w:val="00C0068F"/>
    <w:rsid w:val="00C006C2"/>
    <w:rsid w:val="00C00709"/>
    <w:rsid w:val="00C007D5"/>
    <w:rsid w:val="00C009E8"/>
    <w:rsid w:val="00C00B6D"/>
    <w:rsid w:val="00C00C2D"/>
    <w:rsid w:val="00C00D20"/>
    <w:rsid w:val="00C00E07"/>
    <w:rsid w:val="00C0116F"/>
    <w:rsid w:val="00C01218"/>
    <w:rsid w:val="00C0127E"/>
    <w:rsid w:val="00C012CE"/>
    <w:rsid w:val="00C014A5"/>
    <w:rsid w:val="00C01510"/>
    <w:rsid w:val="00C01511"/>
    <w:rsid w:val="00C01554"/>
    <w:rsid w:val="00C01627"/>
    <w:rsid w:val="00C016CF"/>
    <w:rsid w:val="00C01791"/>
    <w:rsid w:val="00C01887"/>
    <w:rsid w:val="00C01D0B"/>
    <w:rsid w:val="00C01D1D"/>
    <w:rsid w:val="00C01D36"/>
    <w:rsid w:val="00C01D5F"/>
    <w:rsid w:val="00C01D7F"/>
    <w:rsid w:val="00C01DF2"/>
    <w:rsid w:val="00C01FBD"/>
    <w:rsid w:val="00C02186"/>
    <w:rsid w:val="00C0223D"/>
    <w:rsid w:val="00C023B3"/>
    <w:rsid w:val="00C023D1"/>
    <w:rsid w:val="00C02442"/>
    <w:rsid w:val="00C02487"/>
    <w:rsid w:val="00C02500"/>
    <w:rsid w:val="00C0285C"/>
    <w:rsid w:val="00C02931"/>
    <w:rsid w:val="00C0295C"/>
    <w:rsid w:val="00C0298E"/>
    <w:rsid w:val="00C02B34"/>
    <w:rsid w:val="00C02B69"/>
    <w:rsid w:val="00C02B80"/>
    <w:rsid w:val="00C02BC3"/>
    <w:rsid w:val="00C02DF7"/>
    <w:rsid w:val="00C02E28"/>
    <w:rsid w:val="00C02E2A"/>
    <w:rsid w:val="00C02EB9"/>
    <w:rsid w:val="00C02F67"/>
    <w:rsid w:val="00C02FED"/>
    <w:rsid w:val="00C030FC"/>
    <w:rsid w:val="00C03272"/>
    <w:rsid w:val="00C032AC"/>
    <w:rsid w:val="00C032DD"/>
    <w:rsid w:val="00C03305"/>
    <w:rsid w:val="00C03387"/>
    <w:rsid w:val="00C0345A"/>
    <w:rsid w:val="00C03511"/>
    <w:rsid w:val="00C036AF"/>
    <w:rsid w:val="00C036CF"/>
    <w:rsid w:val="00C0373C"/>
    <w:rsid w:val="00C037AE"/>
    <w:rsid w:val="00C0383A"/>
    <w:rsid w:val="00C03915"/>
    <w:rsid w:val="00C03A48"/>
    <w:rsid w:val="00C03B2F"/>
    <w:rsid w:val="00C03B6E"/>
    <w:rsid w:val="00C03B90"/>
    <w:rsid w:val="00C03C51"/>
    <w:rsid w:val="00C03CA9"/>
    <w:rsid w:val="00C03DE4"/>
    <w:rsid w:val="00C03E7F"/>
    <w:rsid w:val="00C03EB0"/>
    <w:rsid w:val="00C03FBE"/>
    <w:rsid w:val="00C0413F"/>
    <w:rsid w:val="00C04146"/>
    <w:rsid w:val="00C04320"/>
    <w:rsid w:val="00C0437A"/>
    <w:rsid w:val="00C0448D"/>
    <w:rsid w:val="00C044F5"/>
    <w:rsid w:val="00C045C4"/>
    <w:rsid w:val="00C0460F"/>
    <w:rsid w:val="00C04733"/>
    <w:rsid w:val="00C04815"/>
    <w:rsid w:val="00C04879"/>
    <w:rsid w:val="00C0488A"/>
    <w:rsid w:val="00C0499E"/>
    <w:rsid w:val="00C04A30"/>
    <w:rsid w:val="00C04B90"/>
    <w:rsid w:val="00C04C3A"/>
    <w:rsid w:val="00C04E79"/>
    <w:rsid w:val="00C04F92"/>
    <w:rsid w:val="00C0500B"/>
    <w:rsid w:val="00C05194"/>
    <w:rsid w:val="00C0525D"/>
    <w:rsid w:val="00C05372"/>
    <w:rsid w:val="00C05390"/>
    <w:rsid w:val="00C05404"/>
    <w:rsid w:val="00C054B1"/>
    <w:rsid w:val="00C05516"/>
    <w:rsid w:val="00C0560A"/>
    <w:rsid w:val="00C05673"/>
    <w:rsid w:val="00C05700"/>
    <w:rsid w:val="00C0575C"/>
    <w:rsid w:val="00C05780"/>
    <w:rsid w:val="00C0593D"/>
    <w:rsid w:val="00C05A24"/>
    <w:rsid w:val="00C05AF4"/>
    <w:rsid w:val="00C05AFF"/>
    <w:rsid w:val="00C05DC4"/>
    <w:rsid w:val="00C05DE3"/>
    <w:rsid w:val="00C05E13"/>
    <w:rsid w:val="00C05F96"/>
    <w:rsid w:val="00C0602C"/>
    <w:rsid w:val="00C0621E"/>
    <w:rsid w:val="00C0623C"/>
    <w:rsid w:val="00C062D1"/>
    <w:rsid w:val="00C0633F"/>
    <w:rsid w:val="00C0635B"/>
    <w:rsid w:val="00C0667E"/>
    <w:rsid w:val="00C06895"/>
    <w:rsid w:val="00C068F1"/>
    <w:rsid w:val="00C06946"/>
    <w:rsid w:val="00C06CBF"/>
    <w:rsid w:val="00C06D6A"/>
    <w:rsid w:val="00C06EB8"/>
    <w:rsid w:val="00C06EFF"/>
    <w:rsid w:val="00C06F98"/>
    <w:rsid w:val="00C07097"/>
    <w:rsid w:val="00C07107"/>
    <w:rsid w:val="00C071B4"/>
    <w:rsid w:val="00C07232"/>
    <w:rsid w:val="00C07272"/>
    <w:rsid w:val="00C07370"/>
    <w:rsid w:val="00C0747A"/>
    <w:rsid w:val="00C074BD"/>
    <w:rsid w:val="00C074CD"/>
    <w:rsid w:val="00C076E0"/>
    <w:rsid w:val="00C07941"/>
    <w:rsid w:val="00C07B66"/>
    <w:rsid w:val="00C07B8C"/>
    <w:rsid w:val="00C07C1F"/>
    <w:rsid w:val="00C07C53"/>
    <w:rsid w:val="00C07D1D"/>
    <w:rsid w:val="00C07DE2"/>
    <w:rsid w:val="00C07F85"/>
    <w:rsid w:val="00C07FDE"/>
    <w:rsid w:val="00C10293"/>
    <w:rsid w:val="00C1046A"/>
    <w:rsid w:val="00C10533"/>
    <w:rsid w:val="00C105CB"/>
    <w:rsid w:val="00C10619"/>
    <w:rsid w:val="00C1061B"/>
    <w:rsid w:val="00C107C3"/>
    <w:rsid w:val="00C1092C"/>
    <w:rsid w:val="00C1099C"/>
    <w:rsid w:val="00C10A23"/>
    <w:rsid w:val="00C10B43"/>
    <w:rsid w:val="00C10BCE"/>
    <w:rsid w:val="00C10EA1"/>
    <w:rsid w:val="00C10FCF"/>
    <w:rsid w:val="00C1110F"/>
    <w:rsid w:val="00C111AA"/>
    <w:rsid w:val="00C111FC"/>
    <w:rsid w:val="00C1124D"/>
    <w:rsid w:val="00C11290"/>
    <w:rsid w:val="00C114E9"/>
    <w:rsid w:val="00C11565"/>
    <w:rsid w:val="00C11587"/>
    <w:rsid w:val="00C115F5"/>
    <w:rsid w:val="00C116F6"/>
    <w:rsid w:val="00C11901"/>
    <w:rsid w:val="00C11A32"/>
    <w:rsid w:val="00C11C0E"/>
    <w:rsid w:val="00C11C65"/>
    <w:rsid w:val="00C11DC0"/>
    <w:rsid w:val="00C11E32"/>
    <w:rsid w:val="00C1201C"/>
    <w:rsid w:val="00C12077"/>
    <w:rsid w:val="00C1215A"/>
    <w:rsid w:val="00C12194"/>
    <w:rsid w:val="00C12337"/>
    <w:rsid w:val="00C1252D"/>
    <w:rsid w:val="00C12583"/>
    <w:rsid w:val="00C125DF"/>
    <w:rsid w:val="00C12682"/>
    <w:rsid w:val="00C126F4"/>
    <w:rsid w:val="00C12772"/>
    <w:rsid w:val="00C127D1"/>
    <w:rsid w:val="00C12838"/>
    <w:rsid w:val="00C12C59"/>
    <w:rsid w:val="00C12F46"/>
    <w:rsid w:val="00C12F61"/>
    <w:rsid w:val="00C132CB"/>
    <w:rsid w:val="00C13520"/>
    <w:rsid w:val="00C1385F"/>
    <w:rsid w:val="00C13A1F"/>
    <w:rsid w:val="00C13C66"/>
    <w:rsid w:val="00C13D6D"/>
    <w:rsid w:val="00C13D9E"/>
    <w:rsid w:val="00C13E1A"/>
    <w:rsid w:val="00C13EE1"/>
    <w:rsid w:val="00C13FAB"/>
    <w:rsid w:val="00C1405C"/>
    <w:rsid w:val="00C140D4"/>
    <w:rsid w:val="00C140EC"/>
    <w:rsid w:val="00C14168"/>
    <w:rsid w:val="00C142EB"/>
    <w:rsid w:val="00C14347"/>
    <w:rsid w:val="00C1441B"/>
    <w:rsid w:val="00C1442E"/>
    <w:rsid w:val="00C1446D"/>
    <w:rsid w:val="00C1446F"/>
    <w:rsid w:val="00C1453A"/>
    <w:rsid w:val="00C14737"/>
    <w:rsid w:val="00C1487B"/>
    <w:rsid w:val="00C14953"/>
    <w:rsid w:val="00C14A63"/>
    <w:rsid w:val="00C14AA3"/>
    <w:rsid w:val="00C14AFB"/>
    <w:rsid w:val="00C14C9C"/>
    <w:rsid w:val="00C14D47"/>
    <w:rsid w:val="00C14D9A"/>
    <w:rsid w:val="00C14E14"/>
    <w:rsid w:val="00C14ECB"/>
    <w:rsid w:val="00C14F9B"/>
    <w:rsid w:val="00C14FAB"/>
    <w:rsid w:val="00C150B6"/>
    <w:rsid w:val="00C1514D"/>
    <w:rsid w:val="00C15175"/>
    <w:rsid w:val="00C15293"/>
    <w:rsid w:val="00C15361"/>
    <w:rsid w:val="00C15412"/>
    <w:rsid w:val="00C1544B"/>
    <w:rsid w:val="00C154B1"/>
    <w:rsid w:val="00C1570C"/>
    <w:rsid w:val="00C157C1"/>
    <w:rsid w:val="00C15966"/>
    <w:rsid w:val="00C1599B"/>
    <w:rsid w:val="00C15A9C"/>
    <w:rsid w:val="00C15ABA"/>
    <w:rsid w:val="00C15B89"/>
    <w:rsid w:val="00C15DCD"/>
    <w:rsid w:val="00C15E36"/>
    <w:rsid w:val="00C15F25"/>
    <w:rsid w:val="00C15F42"/>
    <w:rsid w:val="00C15FCA"/>
    <w:rsid w:val="00C160A2"/>
    <w:rsid w:val="00C1610B"/>
    <w:rsid w:val="00C1611D"/>
    <w:rsid w:val="00C16268"/>
    <w:rsid w:val="00C16379"/>
    <w:rsid w:val="00C163E2"/>
    <w:rsid w:val="00C164F0"/>
    <w:rsid w:val="00C1657F"/>
    <w:rsid w:val="00C1664D"/>
    <w:rsid w:val="00C1669B"/>
    <w:rsid w:val="00C166A3"/>
    <w:rsid w:val="00C16742"/>
    <w:rsid w:val="00C16776"/>
    <w:rsid w:val="00C167BB"/>
    <w:rsid w:val="00C167D4"/>
    <w:rsid w:val="00C16839"/>
    <w:rsid w:val="00C16A18"/>
    <w:rsid w:val="00C16B1E"/>
    <w:rsid w:val="00C16B99"/>
    <w:rsid w:val="00C16C46"/>
    <w:rsid w:val="00C16C9A"/>
    <w:rsid w:val="00C16E6A"/>
    <w:rsid w:val="00C16EE8"/>
    <w:rsid w:val="00C1709B"/>
    <w:rsid w:val="00C1710B"/>
    <w:rsid w:val="00C173A0"/>
    <w:rsid w:val="00C1751D"/>
    <w:rsid w:val="00C17563"/>
    <w:rsid w:val="00C175E4"/>
    <w:rsid w:val="00C176FD"/>
    <w:rsid w:val="00C1775F"/>
    <w:rsid w:val="00C17859"/>
    <w:rsid w:val="00C17867"/>
    <w:rsid w:val="00C179B0"/>
    <w:rsid w:val="00C17AA9"/>
    <w:rsid w:val="00C17B65"/>
    <w:rsid w:val="00C17F2B"/>
    <w:rsid w:val="00C17FC6"/>
    <w:rsid w:val="00C20005"/>
    <w:rsid w:val="00C2014D"/>
    <w:rsid w:val="00C20253"/>
    <w:rsid w:val="00C2036A"/>
    <w:rsid w:val="00C203B5"/>
    <w:rsid w:val="00C203BA"/>
    <w:rsid w:val="00C206F1"/>
    <w:rsid w:val="00C20710"/>
    <w:rsid w:val="00C208DA"/>
    <w:rsid w:val="00C2097C"/>
    <w:rsid w:val="00C20AAE"/>
    <w:rsid w:val="00C20AB2"/>
    <w:rsid w:val="00C20B4D"/>
    <w:rsid w:val="00C20BDE"/>
    <w:rsid w:val="00C20C45"/>
    <w:rsid w:val="00C20D8A"/>
    <w:rsid w:val="00C20DFD"/>
    <w:rsid w:val="00C20EB7"/>
    <w:rsid w:val="00C20F6C"/>
    <w:rsid w:val="00C21138"/>
    <w:rsid w:val="00C21148"/>
    <w:rsid w:val="00C21189"/>
    <w:rsid w:val="00C21236"/>
    <w:rsid w:val="00C2149B"/>
    <w:rsid w:val="00C215B3"/>
    <w:rsid w:val="00C215EC"/>
    <w:rsid w:val="00C2162A"/>
    <w:rsid w:val="00C2167B"/>
    <w:rsid w:val="00C216B6"/>
    <w:rsid w:val="00C21765"/>
    <w:rsid w:val="00C217E8"/>
    <w:rsid w:val="00C2186F"/>
    <w:rsid w:val="00C21871"/>
    <w:rsid w:val="00C218F0"/>
    <w:rsid w:val="00C21B79"/>
    <w:rsid w:val="00C21C3D"/>
    <w:rsid w:val="00C21D30"/>
    <w:rsid w:val="00C21E63"/>
    <w:rsid w:val="00C21E72"/>
    <w:rsid w:val="00C21EAE"/>
    <w:rsid w:val="00C21F19"/>
    <w:rsid w:val="00C22047"/>
    <w:rsid w:val="00C2204E"/>
    <w:rsid w:val="00C22076"/>
    <w:rsid w:val="00C22175"/>
    <w:rsid w:val="00C221A9"/>
    <w:rsid w:val="00C22439"/>
    <w:rsid w:val="00C224B0"/>
    <w:rsid w:val="00C224BF"/>
    <w:rsid w:val="00C224D0"/>
    <w:rsid w:val="00C225C7"/>
    <w:rsid w:val="00C225DF"/>
    <w:rsid w:val="00C227EA"/>
    <w:rsid w:val="00C228C5"/>
    <w:rsid w:val="00C228E7"/>
    <w:rsid w:val="00C22A78"/>
    <w:rsid w:val="00C22A90"/>
    <w:rsid w:val="00C22C47"/>
    <w:rsid w:val="00C22D48"/>
    <w:rsid w:val="00C22DDD"/>
    <w:rsid w:val="00C22E33"/>
    <w:rsid w:val="00C22E77"/>
    <w:rsid w:val="00C22FDD"/>
    <w:rsid w:val="00C23111"/>
    <w:rsid w:val="00C23128"/>
    <w:rsid w:val="00C231E0"/>
    <w:rsid w:val="00C23243"/>
    <w:rsid w:val="00C23296"/>
    <w:rsid w:val="00C232BF"/>
    <w:rsid w:val="00C232E0"/>
    <w:rsid w:val="00C23368"/>
    <w:rsid w:val="00C233CA"/>
    <w:rsid w:val="00C233E8"/>
    <w:rsid w:val="00C234B7"/>
    <w:rsid w:val="00C23623"/>
    <w:rsid w:val="00C2362C"/>
    <w:rsid w:val="00C2368B"/>
    <w:rsid w:val="00C23853"/>
    <w:rsid w:val="00C23895"/>
    <w:rsid w:val="00C2392B"/>
    <w:rsid w:val="00C23A03"/>
    <w:rsid w:val="00C23E26"/>
    <w:rsid w:val="00C23E31"/>
    <w:rsid w:val="00C23E6C"/>
    <w:rsid w:val="00C23E71"/>
    <w:rsid w:val="00C23E93"/>
    <w:rsid w:val="00C24037"/>
    <w:rsid w:val="00C24065"/>
    <w:rsid w:val="00C2407B"/>
    <w:rsid w:val="00C240AB"/>
    <w:rsid w:val="00C240DF"/>
    <w:rsid w:val="00C243E5"/>
    <w:rsid w:val="00C24456"/>
    <w:rsid w:val="00C2448E"/>
    <w:rsid w:val="00C2459C"/>
    <w:rsid w:val="00C246AF"/>
    <w:rsid w:val="00C246FA"/>
    <w:rsid w:val="00C2476B"/>
    <w:rsid w:val="00C24837"/>
    <w:rsid w:val="00C24890"/>
    <w:rsid w:val="00C24A8B"/>
    <w:rsid w:val="00C24B5E"/>
    <w:rsid w:val="00C24C9F"/>
    <w:rsid w:val="00C24DBE"/>
    <w:rsid w:val="00C24DC2"/>
    <w:rsid w:val="00C24E30"/>
    <w:rsid w:val="00C24E5B"/>
    <w:rsid w:val="00C24F15"/>
    <w:rsid w:val="00C25030"/>
    <w:rsid w:val="00C250F1"/>
    <w:rsid w:val="00C25229"/>
    <w:rsid w:val="00C2534F"/>
    <w:rsid w:val="00C25390"/>
    <w:rsid w:val="00C253A4"/>
    <w:rsid w:val="00C2542C"/>
    <w:rsid w:val="00C255B5"/>
    <w:rsid w:val="00C256F9"/>
    <w:rsid w:val="00C2598E"/>
    <w:rsid w:val="00C259F5"/>
    <w:rsid w:val="00C25A37"/>
    <w:rsid w:val="00C25B85"/>
    <w:rsid w:val="00C25BB5"/>
    <w:rsid w:val="00C25C47"/>
    <w:rsid w:val="00C25CA5"/>
    <w:rsid w:val="00C25D7D"/>
    <w:rsid w:val="00C25D8E"/>
    <w:rsid w:val="00C25DFF"/>
    <w:rsid w:val="00C25FA0"/>
    <w:rsid w:val="00C26181"/>
    <w:rsid w:val="00C263E9"/>
    <w:rsid w:val="00C26412"/>
    <w:rsid w:val="00C26544"/>
    <w:rsid w:val="00C2659E"/>
    <w:rsid w:val="00C2660A"/>
    <w:rsid w:val="00C266CF"/>
    <w:rsid w:val="00C266F5"/>
    <w:rsid w:val="00C26750"/>
    <w:rsid w:val="00C26771"/>
    <w:rsid w:val="00C26A3C"/>
    <w:rsid w:val="00C26B08"/>
    <w:rsid w:val="00C26B3A"/>
    <w:rsid w:val="00C26C32"/>
    <w:rsid w:val="00C26D49"/>
    <w:rsid w:val="00C26E2F"/>
    <w:rsid w:val="00C26F25"/>
    <w:rsid w:val="00C270B3"/>
    <w:rsid w:val="00C271C0"/>
    <w:rsid w:val="00C27262"/>
    <w:rsid w:val="00C273EE"/>
    <w:rsid w:val="00C2742F"/>
    <w:rsid w:val="00C27468"/>
    <w:rsid w:val="00C27524"/>
    <w:rsid w:val="00C275E7"/>
    <w:rsid w:val="00C27759"/>
    <w:rsid w:val="00C27A7E"/>
    <w:rsid w:val="00C27AB0"/>
    <w:rsid w:val="00C27AC1"/>
    <w:rsid w:val="00C27E9B"/>
    <w:rsid w:val="00C30058"/>
    <w:rsid w:val="00C30209"/>
    <w:rsid w:val="00C30218"/>
    <w:rsid w:val="00C3022B"/>
    <w:rsid w:val="00C303F1"/>
    <w:rsid w:val="00C307C9"/>
    <w:rsid w:val="00C309DA"/>
    <w:rsid w:val="00C30A38"/>
    <w:rsid w:val="00C30AA1"/>
    <w:rsid w:val="00C30B2E"/>
    <w:rsid w:val="00C30BAC"/>
    <w:rsid w:val="00C30DEC"/>
    <w:rsid w:val="00C30E4F"/>
    <w:rsid w:val="00C30F24"/>
    <w:rsid w:val="00C30F31"/>
    <w:rsid w:val="00C30F35"/>
    <w:rsid w:val="00C30FAF"/>
    <w:rsid w:val="00C30FCE"/>
    <w:rsid w:val="00C31210"/>
    <w:rsid w:val="00C312CB"/>
    <w:rsid w:val="00C31329"/>
    <w:rsid w:val="00C3144B"/>
    <w:rsid w:val="00C31477"/>
    <w:rsid w:val="00C315DF"/>
    <w:rsid w:val="00C31673"/>
    <w:rsid w:val="00C31697"/>
    <w:rsid w:val="00C316D8"/>
    <w:rsid w:val="00C316EC"/>
    <w:rsid w:val="00C317A2"/>
    <w:rsid w:val="00C3182C"/>
    <w:rsid w:val="00C318AF"/>
    <w:rsid w:val="00C318E8"/>
    <w:rsid w:val="00C319CD"/>
    <w:rsid w:val="00C31A66"/>
    <w:rsid w:val="00C31B29"/>
    <w:rsid w:val="00C31B50"/>
    <w:rsid w:val="00C31B5A"/>
    <w:rsid w:val="00C31B86"/>
    <w:rsid w:val="00C31C8E"/>
    <w:rsid w:val="00C31D38"/>
    <w:rsid w:val="00C31E39"/>
    <w:rsid w:val="00C31E4D"/>
    <w:rsid w:val="00C31F33"/>
    <w:rsid w:val="00C31FAD"/>
    <w:rsid w:val="00C31FD2"/>
    <w:rsid w:val="00C31FE8"/>
    <w:rsid w:val="00C32077"/>
    <w:rsid w:val="00C3209E"/>
    <w:rsid w:val="00C320EB"/>
    <w:rsid w:val="00C32285"/>
    <w:rsid w:val="00C323AB"/>
    <w:rsid w:val="00C3260C"/>
    <w:rsid w:val="00C3275E"/>
    <w:rsid w:val="00C327F8"/>
    <w:rsid w:val="00C327FF"/>
    <w:rsid w:val="00C3298E"/>
    <w:rsid w:val="00C32CB6"/>
    <w:rsid w:val="00C32CE3"/>
    <w:rsid w:val="00C32ECE"/>
    <w:rsid w:val="00C32EFA"/>
    <w:rsid w:val="00C32FD1"/>
    <w:rsid w:val="00C330DF"/>
    <w:rsid w:val="00C331E0"/>
    <w:rsid w:val="00C33278"/>
    <w:rsid w:val="00C3328E"/>
    <w:rsid w:val="00C33493"/>
    <w:rsid w:val="00C334A1"/>
    <w:rsid w:val="00C3350B"/>
    <w:rsid w:val="00C33550"/>
    <w:rsid w:val="00C335B8"/>
    <w:rsid w:val="00C336AB"/>
    <w:rsid w:val="00C33811"/>
    <w:rsid w:val="00C3383F"/>
    <w:rsid w:val="00C33903"/>
    <w:rsid w:val="00C33921"/>
    <w:rsid w:val="00C33A52"/>
    <w:rsid w:val="00C33AD5"/>
    <w:rsid w:val="00C33BC1"/>
    <w:rsid w:val="00C33C78"/>
    <w:rsid w:val="00C33DF5"/>
    <w:rsid w:val="00C33F1F"/>
    <w:rsid w:val="00C34046"/>
    <w:rsid w:val="00C341DA"/>
    <w:rsid w:val="00C341F9"/>
    <w:rsid w:val="00C343F5"/>
    <w:rsid w:val="00C343FB"/>
    <w:rsid w:val="00C343FC"/>
    <w:rsid w:val="00C344A2"/>
    <w:rsid w:val="00C344AC"/>
    <w:rsid w:val="00C344C0"/>
    <w:rsid w:val="00C345A2"/>
    <w:rsid w:val="00C347F6"/>
    <w:rsid w:val="00C3482A"/>
    <w:rsid w:val="00C34858"/>
    <w:rsid w:val="00C34A11"/>
    <w:rsid w:val="00C34A6C"/>
    <w:rsid w:val="00C34B4A"/>
    <w:rsid w:val="00C34B95"/>
    <w:rsid w:val="00C34C28"/>
    <w:rsid w:val="00C34CB5"/>
    <w:rsid w:val="00C34D9C"/>
    <w:rsid w:val="00C34DCE"/>
    <w:rsid w:val="00C34E02"/>
    <w:rsid w:val="00C34F80"/>
    <w:rsid w:val="00C350F5"/>
    <w:rsid w:val="00C351FF"/>
    <w:rsid w:val="00C3520B"/>
    <w:rsid w:val="00C35253"/>
    <w:rsid w:val="00C35414"/>
    <w:rsid w:val="00C3541A"/>
    <w:rsid w:val="00C35426"/>
    <w:rsid w:val="00C3549D"/>
    <w:rsid w:val="00C357CA"/>
    <w:rsid w:val="00C35868"/>
    <w:rsid w:val="00C358B2"/>
    <w:rsid w:val="00C35901"/>
    <w:rsid w:val="00C35911"/>
    <w:rsid w:val="00C35F05"/>
    <w:rsid w:val="00C35F35"/>
    <w:rsid w:val="00C35FB5"/>
    <w:rsid w:val="00C36067"/>
    <w:rsid w:val="00C36157"/>
    <w:rsid w:val="00C361E3"/>
    <w:rsid w:val="00C3630E"/>
    <w:rsid w:val="00C36330"/>
    <w:rsid w:val="00C363C7"/>
    <w:rsid w:val="00C36463"/>
    <w:rsid w:val="00C3646F"/>
    <w:rsid w:val="00C364C4"/>
    <w:rsid w:val="00C364F6"/>
    <w:rsid w:val="00C364F8"/>
    <w:rsid w:val="00C3651F"/>
    <w:rsid w:val="00C36633"/>
    <w:rsid w:val="00C366A9"/>
    <w:rsid w:val="00C366FC"/>
    <w:rsid w:val="00C369CB"/>
    <w:rsid w:val="00C369DB"/>
    <w:rsid w:val="00C36A64"/>
    <w:rsid w:val="00C36DA6"/>
    <w:rsid w:val="00C36DFC"/>
    <w:rsid w:val="00C36E34"/>
    <w:rsid w:val="00C36E67"/>
    <w:rsid w:val="00C36E9D"/>
    <w:rsid w:val="00C36E9F"/>
    <w:rsid w:val="00C36F12"/>
    <w:rsid w:val="00C37047"/>
    <w:rsid w:val="00C370B1"/>
    <w:rsid w:val="00C370C3"/>
    <w:rsid w:val="00C37105"/>
    <w:rsid w:val="00C371E4"/>
    <w:rsid w:val="00C372D6"/>
    <w:rsid w:val="00C3733A"/>
    <w:rsid w:val="00C3734F"/>
    <w:rsid w:val="00C373F5"/>
    <w:rsid w:val="00C374C1"/>
    <w:rsid w:val="00C375A2"/>
    <w:rsid w:val="00C375B2"/>
    <w:rsid w:val="00C375E0"/>
    <w:rsid w:val="00C375EF"/>
    <w:rsid w:val="00C37646"/>
    <w:rsid w:val="00C37728"/>
    <w:rsid w:val="00C377E5"/>
    <w:rsid w:val="00C37982"/>
    <w:rsid w:val="00C37987"/>
    <w:rsid w:val="00C37BC0"/>
    <w:rsid w:val="00C37C86"/>
    <w:rsid w:val="00C37D17"/>
    <w:rsid w:val="00C37D81"/>
    <w:rsid w:val="00C37D9E"/>
    <w:rsid w:val="00C40491"/>
    <w:rsid w:val="00C40590"/>
    <w:rsid w:val="00C40658"/>
    <w:rsid w:val="00C4067A"/>
    <w:rsid w:val="00C406B3"/>
    <w:rsid w:val="00C4074A"/>
    <w:rsid w:val="00C407C0"/>
    <w:rsid w:val="00C408DF"/>
    <w:rsid w:val="00C40A3D"/>
    <w:rsid w:val="00C40BD1"/>
    <w:rsid w:val="00C40BF2"/>
    <w:rsid w:val="00C40C41"/>
    <w:rsid w:val="00C40CC0"/>
    <w:rsid w:val="00C40E05"/>
    <w:rsid w:val="00C40E0F"/>
    <w:rsid w:val="00C40E72"/>
    <w:rsid w:val="00C40F57"/>
    <w:rsid w:val="00C41050"/>
    <w:rsid w:val="00C41171"/>
    <w:rsid w:val="00C4117A"/>
    <w:rsid w:val="00C41209"/>
    <w:rsid w:val="00C412B1"/>
    <w:rsid w:val="00C4183C"/>
    <w:rsid w:val="00C418B7"/>
    <w:rsid w:val="00C41952"/>
    <w:rsid w:val="00C41B45"/>
    <w:rsid w:val="00C41CED"/>
    <w:rsid w:val="00C41F1D"/>
    <w:rsid w:val="00C41FA0"/>
    <w:rsid w:val="00C42040"/>
    <w:rsid w:val="00C4223A"/>
    <w:rsid w:val="00C42391"/>
    <w:rsid w:val="00C426DF"/>
    <w:rsid w:val="00C4279C"/>
    <w:rsid w:val="00C4291E"/>
    <w:rsid w:val="00C42A6C"/>
    <w:rsid w:val="00C42AB0"/>
    <w:rsid w:val="00C42C1B"/>
    <w:rsid w:val="00C42D61"/>
    <w:rsid w:val="00C42D7A"/>
    <w:rsid w:val="00C42D82"/>
    <w:rsid w:val="00C42EAD"/>
    <w:rsid w:val="00C431D7"/>
    <w:rsid w:val="00C432E2"/>
    <w:rsid w:val="00C4332F"/>
    <w:rsid w:val="00C434E0"/>
    <w:rsid w:val="00C43546"/>
    <w:rsid w:val="00C4359C"/>
    <w:rsid w:val="00C435C0"/>
    <w:rsid w:val="00C43693"/>
    <w:rsid w:val="00C4378C"/>
    <w:rsid w:val="00C437EE"/>
    <w:rsid w:val="00C437F1"/>
    <w:rsid w:val="00C43829"/>
    <w:rsid w:val="00C43885"/>
    <w:rsid w:val="00C43924"/>
    <w:rsid w:val="00C43A0B"/>
    <w:rsid w:val="00C43AB8"/>
    <w:rsid w:val="00C43B34"/>
    <w:rsid w:val="00C43B9E"/>
    <w:rsid w:val="00C43BE0"/>
    <w:rsid w:val="00C43CF1"/>
    <w:rsid w:val="00C43D26"/>
    <w:rsid w:val="00C43D9A"/>
    <w:rsid w:val="00C43F16"/>
    <w:rsid w:val="00C44008"/>
    <w:rsid w:val="00C44101"/>
    <w:rsid w:val="00C44252"/>
    <w:rsid w:val="00C44361"/>
    <w:rsid w:val="00C4436C"/>
    <w:rsid w:val="00C445A1"/>
    <w:rsid w:val="00C4469E"/>
    <w:rsid w:val="00C447E2"/>
    <w:rsid w:val="00C447EC"/>
    <w:rsid w:val="00C44862"/>
    <w:rsid w:val="00C44A48"/>
    <w:rsid w:val="00C44A4A"/>
    <w:rsid w:val="00C44A4B"/>
    <w:rsid w:val="00C44A8B"/>
    <w:rsid w:val="00C44ADA"/>
    <w:rsid w:val="00C44C60"/>
    <w:rsid w:val="00C44C8E"/>
    <w:rsid w:val="00C44CE3"/>
    <w:rsid w:val="00C44CFB"/>
    <w:rsid w:val="00C44DA8"/>
    <w:rsid w:val="00C44E61"/>
    <w:rsid w:val="00C44F8B"/>
    <w:rsid w:val="00C44FC0"/>
    <w:rsid w:val="00C451D3"/>
    <w:rsid w:val="00C4523E"/>
    <w:rsid w:val="00C4528F"/>
    <w:rsid w:val="00C45317"/>
    <w:rsid w:val="00C45332"/>
    <w:rsid w:val="00C45344"/>
    <w:rsid w:val="00C4538D"/>
    <w:rsid w:val="00C454D5"/>
    <w:rsid w:val="00C4552D"/>
    <w:rsid w:val="00C45632"/>
    <w:rsid w:val="00C4566B"/>
    <w:rsid w:val="00C456D4"/>
    <w:rsid w:val="00C4571D"/>
    <w:rsid w:val="00C45804"/>
    <w:rsid w:val="00C4581E"/>
    <w:rsid w:val="00C45967"/>
    <w:rsid w:val="00C45B21"/>
    <w:rsid w:val="00C45D93"/>
    <w:rsid w:val="00C45E11"/>
    <w:rsid w:val="00C45FE9"/>
    <w:rsid w:val="00C46045"/>
    <w:rsid w:val="00C460C5"/>
    <w:rsid w:val="00C461B2"/>
    <w:rsid w:val="00C461B3"/>
    <w:rsid w:val="00C4629D"/>
    <w:rsid w:val="00C46706"/>
    <w:rsid w:val="00C4681F"/>
    <w:rsid w:val="00C46952"/>
    <w:rsid w:val="00C46A0F"/>
    <w:rsid w:val="00C46B6C"/>
    <w:rsid w:val="00C46CAA"/>
    <w:rsid w:val="00C46D53"/>
    <w:rsid w:val="00C46D94"/>
    <w:rsid w:val="00C46E17"/>
    <w:rsid w:val="00C46EF3"/>
    <w:rsid w:val="00C46F3B"/>
    <w:rsid w:val="00C46F88"/>
    <w:rsid w:val="00C46FB2"/>
    <w:rsid w:val="00C46FE6"/>
    <w:rsid w:val="00C47104"/>
    <w:rsid w:val="00C47156"/>
    <w:rsid w:val="00C472CB"/>
    <w:rsid w:val="00C472D6"/>
    <w:rsid w:val="00C4739E"/>
    <w:rsid w:val="00C473F6"/>
    <w:rsid w:val="00C47497"/>
    <w:rsid w:val="00C47504"/>
    <w:rsid w:val="00C4767A"/>
    <w:rsid w:val="00C47770"/>
    <w:rsid w:val="00C47854"/>
    <w:rsid w:val="00C478EF"/>
    <w:rsid w:val="00C47910"/>
    <w:rsid w:val="00C47923"/>
    <w:rsid w:val="00C47930"/>
    <w:rsid w:val="00C47B0B"/>
    <w:rsid w:val="00C47B60"/>
    <w:rsid w:val="00C47BC7"/>
    <w:rsid w:val="00C47C6D"/>
    <w:rsid w:val="00C47C8E"/>
    <w:rsid w:val="00C47CC7"/>
    <w:rsid w:val="00C47D3C"/>
    <w:rsid w:val="00C47D50"/>
    <w:rsid w:val="00C47E28"/>
    <w:rsid w:val="00C47FD7"/>
    <w:rsid w:val="00C50011"/>
    <w:rsid w:val="00C50154"/>
    <w:rsid w:val="00C50448"/>
    <w:rsid w:val="00C504A7"/>
    <w:rsid w:val="00C504C8"/>
    <w:rsid w:val="00C5068A"/>
    <w:rsid w:val="00C50752"/>
    <w:rsid w:val="00C507D6"/>
    <w:rsid w:val="00C50989"/>
    <w:rsid w:val="00C509F3"/>
    <w:rsid w:val="00C50AA5"/>
    <w:rsid w:val="00C50AAA"/>
    <w:rsid w:val="00C50AE3"/>
    <w:rsid w:val="00C50B29"/>
    <w:rsid w:val="00C50C27"/>
    <w:rsid w:val="00C50C3F"/>
    <w:rsid w:val="00C50E82"/>
    <w:rsid w:val="00C50EAB"/>
    <w:rsid w:val="00C50EF4"/>
    <w:rsid w:val="00C50FDB"/>
    <w:rsid w:val="00C51087"/>
    <w:rsid w:val="00C51144"/>
    <w:rsid w:val="00C511BE"/>
    <w:rsid w:val="00C511D2"/>
    <w:rsid w:val="00C51207"/>
    <w:rsid w:val="00C51393"/>
    <w:rsid w:val="00C51464"/>
    <w:rsid w:val="00C5149C"/>
    <w:rsid w:val="00C514B5"/>
    <w:rsid w:val="00C514DC"/>
    <w:rsid w:val="00C5150E"/>
    <w:rsid w:val="00C51587"/>
    <w:rsid w:val="00C515B7"/>
    <w:rsid w:val="00C51711"/>
    <w:rsid w:val="00C5188A"/>
    <w:rsid w:val="00C51930"/>
    <w:rsid w:val="00C51BD0"/>
    <w:rsid w:val="00C51E92"/>
    <w:rsid w:val="00C51EE0"/>
    <w:rsid w:val="00C51F5B"/>
    <w:rsid w:val="00C52081"/>
    <w:rsid w:val="00C52177"/>
    <w:rsid w:val="00C522CD"/>
    <w:rsid w:val="00C52319"/>
    <w:rsid w:val="00C523B2"/>
    <w:rsid w:val="00C52569"/>
    <w:rsid w:val="00C525B3"/>
    <w:rsid w:val="00C525E1"/>
    <w:rsid w:val="00C5274E"/>
    <w:rsid w:val="00C5279D"/>
    <w:rsid w:val="00C527AB"/>
    <w:rsid w:val="00C52820"/>
    <w:rsid w:val="00C528F4"/>
    <w:rsid w:val="00C52A28"/>
    <w:rsid w:val="00C52B2F"/>
    <w:rsid w:val="00C52B8D"/>
    <w:rsid w:val="00C52D71"/>
    <w:rsid w:val="00C52D91"/>
    <w:rsid w:val="00C52F2D"/>
    <w:rsid w:val="00C52F38"/>
    <w:rsid w:val="00C52FD1"/>
    <w:rsid w:val="00C53042"/>
    <w:rsid w:val="00C5308B"/>
    <w:rsid w:val="00C5308D"/>
    <w:rsid w:val="00C53229"/>
    <w:rsid w:val="00C53268"/>
    <w:rsid w:val="00C5341A"/>
    <w:rsid w:val="00C53426"/>
    <w:rsid w:val="00C5344F"/>
    <w:rsid w:val="00C5358B"/>
    <w:rsid w:val="00C5359B"/>
    <w:rsid w:val="00C535F1"/>
    <w:rsid w:val="00C536DE"/>
    <w:rsid w:val="00C536E4"/>
    <w:rsid w:val="00C537D3"/>
    <w:rsid w:val="00C537E4"/>
    <w:rsid w:val="00C5384B"/>
    <w:rsid w:val="00C53894"/>
    <w:rsid w:val="00C538F4"/>
    <w:rsid w:val="00C5393C"/>
    <w:rsid w:val="00C53AE9"/>
    <w:rsid w:val="00C53AF7"/>
    <w:rsid w:val="00C53B7C"/>
    <w:rsid w:val="00C53C0C"/>
    <w:rsid w:val="00C53C27"/>
    <w:rsid w:val="00C53D8D"/>
    <w:rsid w:val="00C53DAE"/>
    <w:rsid w:val="00C53DDC"/>
    <w:rsid w:val="00C53E09"/>
    <w:rsid w:val="00C53EF8"/>
    <w:rsid w:val="00C53F19"/>
    <w:rsid w:val="00C5409A"/>
    <w:rsid w:val="00C54514"/>
    <w:rsid w:val="00C547B1"/>
    <w:rsid w:val="00C5487E"/>
    <w:rsid w:val="00C54BAD"/>
    <w:rsid w:val="00C54DBB"/>
    <w:rsid w:val="00C54E31"/>
    <w:rsid w:val="00C55224"/>
    <w:rsid w:val="00C5535F"/>
    <w:rsid w:val="00C553B2"/>
    <w:rsid w:val="00C553FE"/>
    <w:rsid w:val="00C554B5"/>
    <w:rsid w:val="00C55569"/>
    <w:rsid w:val="00C556B0"/>
    <w:rsid w:val="00C55864"/>
    <w:rsid w:val="00C559DA"/>
    <w:rsid w:val="00C55A03"/>
    <w:rsid w:val="00C55A66"/>
    <w:rsid w:val="00C55AC6"/>
    <w:rsid w:val="00C55B1E"/>
    <w:rsid w:val="00C55B57"/>
    <w:rsid w:val="00C55CA4"/>
    <w:rsid w:val="00C55D41"/>
    <w:rsid w:val="00C55E70"/>
    <w:rsid w:val="00C55E89"/>
    <w:rsid w:val="00C56076"/>
    <w:rsid w:val="00C5611A"/>
    <w:rsid w:val="00C5622C"/>
    <w:rsid w:val="00C56390"/>
    <w:rsid w:val="00C564A8"/>
    <w:rsid w:val="00C564DB"/>
    <w:rsid w:val="00C564F7"/>
    <w:rsid w:val="00C56504"/>
    <w:rsid w:val="00C56505"/>
    <w:rsid w:val="00C56573"/>
    <w:rsid w:val="00C565AB"/>
    <w:rsid w:val="00C565E0"/>
    <w:rsid w:val="00C565F7"/>
    <w:rsid w:val="00C56725"/>
    <w:rsid w:val="00C5691F"/>
    <w:rsid w:val="00C56AD8"/>
    <w:rsid w:val="00C56B8E"/>
    <w:rsid w:val="00C56C17"/>
    <w:rsid w:val="00C56C84"/>
    <w:rsid w:val="00C56D1A"/>
    <w:rsid w:val="00C56DB3"/>
    <w:rsid w:val="00C56E2D"/>
    <w:rsid w:val="00C56E37"/>
    <w:rsid w:val="00C56EC4"/>
    <w:rsid w:val="00C56EF2"/>
    <w:rsid w:val="00C56F61"/>
    <w:rsid w:val="00C570A6"/>
    <w:rsid w:val="00C570D7"/>
    <w:rsid w:val="00C57171"/>
    <w:rsid w:val="00C571A3"/>
    <w:rsid w:val="00C571D8"/>
    <w:rsid w:val="00C57200"/>
    <w:rsid w:val="00C5738F"/>
    <w:rsid w:val="00C573E2"/>
    <w:rsid w:val="00C573E3"/>
    <w:rsid w:val="00C573F1"/>
    <w:rsid w:val="00C5760F"/>
    <w:rsid w:val="00C576CF"/>
    <w:rsid w:val="00C57744"/>
    <w:rsid w:val="00C57784"/>
    <w:rsid w:val="00C577B6"/>
    <w:rsid w:val="00C577C6"/>
    <w:rsid w:val="00C577FB"/>
    <w:rsid w:val="00C57898"/>
    <w:rsid w:val="00C578B7"/>
    <w:rsid w:val="00C578CF"/>
    <w:rsid w:val="00C578E3"/>
    <w:rsid w:val="00C57987"/>
    <w:rsid w:val="00C579F3"/>
    <w:rsid w:val="00C57A5B"/>
    <w:rsid w:val="00C57ACD"/>
    <w:rsid w:val="00C57AFE"/>
    <w:rsid w:val="00C57BE5"/>
    <w:rsid w:val="00C57EB8"/>
    <w:rsid w:val="00C600B3"/>
    <w:rsid w:val="00C60152"/>
    <w:rsid w:val="00C60382"/>
    <w:rsid w:val="00C60400"/>
    <w:rsid w:val="00C60547"/>
    <w:rsid w:val="00C6056A"/>
    <w:rsid w:val="00C60667"/>
    <w:rsid w:val="00C60849"/>
    <w:rsid w:val="00C608A5"/>
    <w:rsid w:val="00C609C6"/>
    <w:rsid w:val="00C60AF6"/>
    <w:rsid w:val="00C60C53"/>
    <w:rsid w:val="00C60DCD"/>
    <w:rsid w:val="00C60F6A"/>
    <w:rsid w:val="00C610AA"/>
    <w:rsid w:val="00C6113A"/>
    <w:rsid w:val="00C61209"/>
    <w:rsid w:val="00C61464"/>
    <w:rsid w:val="00C61510"/>
    <w:rsid w:val="00C61750"/>
    <w:rsid w:val="00C61781"/>
    <w:rsid w:val="00C61AE0"/>
    <w:rsid w:val="00C61BD9"/>
    <w:rsid w:val="00C61BF4"/>
    <w:rsid w:val="00C61CBD"/>
    <w:rsid w:val="00C61CCD"/>
    <w:rsid w:val="00C61D36"/>
    <w:rsid w:val="00C61FCC"/>
    <w:rsid w:val="00C6204A"/>
    <w:rsid w:val="00C623A5"/>
    <w:rsid w:val="00C623D1"/>
    <w:rsid w:val="00C624A0"/>
    <w:rsid w:val="00C6262A"/>
    <w:rsid w:val="00C6263A"/>
    <w:rsid w:val="00C626B6"/>
    <w:rsid w:val="00C62705"/>
    <w:rsid w:val="00C62743"/>
    <w:rsid w:val="00C62BA5"/>
    <w:rsid w:val="00C62BF8"/>
    <w:rsid w:val="00C62C64"/>
    <w:rsid w:val="00C62CDB"/>
    <w:rsid w:val="00C62D03"/>
    <w:rsid w:val="00C62EFD"/>
    <w:rsid w:val="00C62F02"/>
    <w:rsid w:val="00C62F7F"/>
    <w:rsid w:val="00C6301A"/>
    <w:rsid w:val="00C6308B"/>
    <w:rsid w:val="00C63129"/>
    <w:rsid w:val="00C6315D"/>
    <w:rsid w:val="00C6321E"/>
    <w:rsid w:val="00C633C3"/>
    <w:rsid w:val="00C6353F"/>
    <w:rsid w:val="00C635FE"/>
    <w:rsid w:val="00C6364D"/>
    <w:rsid w:val="00C63680"/>
    <w:rsid w:val="00C636C1"/>
    <w:rsid w:val="00C637B7"/>
    <w:rsid w:val="00C637CD"/>
    <w:rsid w:val="00C637D3"/>
    <w:rsid w:val="00C638BE"/>
    <w:rsid w:val="00C638CC"/>
    <w:rsid w:val="00C63A36"/>
    <w:rsid w:val="00C63A5B"/>
    <w:rsid w:val="00C63A62"/>
    <w:rsid w:val="00C63BBB"/>
    <w:rsid w:val="00C63D45"/>
    <w:rsid w:val="00C63D73"/>
    <w:rsid w:val="00C63DAC"/>
    <w:rsid w:val="00C63DD8"/>
    <w:rsid w:val="00C63DF7"/>
    <w:rsid w:val="00C63EA5"/>
    <w:rsid w:val="00C63F0F"/>
    <w:rsid w:val="00C63F50"/>
    <w:rsid w:val="00C64007"/>
    <w:rsid w:val="00C641CC"/>
    <w:rsid w:val="00C641EC"/>
    <w:rsid w:val="00C64228"/>
    <w:rsid w:val="00C642A2"/>
    <w:rsid w:val="00C642B4"/>
    <w:rsid w:val="00C6437E"/>
    <w:rsid w:val="00C64410"/>
    <w:rsid w:val="00C64433"/>
    <w:rsid w:val="00C64609"/>
    <w:rsid w:val="00C64725"/>
    <w:rsid w:val="00C64903"/>
    <w:rsid w:val="00C64B36"/>
    <w:rsid w:val="00C64E59"/>
    <w:rsid w:val="00C64FD6"/>
    <w:rsid w:val="00C65011"/>
    <w:rsid w:val="00C650D3"/>
    <w:rsid w:val="00C65184"/>
    <w:rsid w:val="00C6544C"/>
    <w:rsid w:val="00C65475"/>
    <w:rsid w:val="00C6549F"/>
    <w:rsid w:val="00C65647"/>
    <w:rsid w:val="00C6576E"/>
    <w:rsid w:val="00C6591F"/>
    <w:rsid w:val="00C65A75"/>
    <w:rsid w:val="00C65A80"/>
    <w:rsid w:val="00C65B84"/>
    <w:rsid w:val="00C65BD5"/>
    <w:rsid w:val="00C65F85"/>
    <w:rsid w:val="00C65F8E"/>
    <w:rsid w:val="00C65FEA"/>
    <w:rsid w:val="00C66121"/>
    <w:rsid w:val="00C6614F"/>
    <w:rsid w:val="00C66378"/>
    <w:rsid w:val="00C663E9"/>
    <w:rsid w:val="00C6642B"/>
    <w:rsid w:val="00C6656B"/>
    <w:rsid w:val="00C66676"/>
    <w:rsid w:val="00C666E0"/>
    <w:rsid w:val="00C667C5"/>
    <w:rsid w:val="00C6684B"/>
    <w:rsid w:val="00C669AB"/>
    <w:rsid w:val="00C669CE"/>
    <w:rsid w:val="00C66ADC"/>
    <w:rsid w:val="00C66ADD"/>
    <w:rsid w:val="00C66AED"/>
    <w:rsid w:val="00C66AF4"/>
    <w:rsid w:val="00C66C1D"/>
    <w:rsid w:val="00C66FCF"/>
    <w:rsid w:val="00C67059"/>
    <w:rsid w:val="00C670A5"/>
    <w:rsid w:val="00C67180"/>
    <w:rsid w:val="00C67206"/>
    <w:rsid w:val="00C67314"/>
    <w:rsid w:val="00C674E5"/>
    <w:rsid w:val="00C67579"/>
    <w:rsid w:val="00C67604"/>
    <w:rsid w:val="00C6769F"/>
    <w:rsid w:val="00C676AB"/>
    <w:rsid w:val="00C67773"/>
    <w:rsid w:val="00C6780E"/>
    <w:rsid w:val="00C678E8"/>
    <w:rsid w:val="00C6793E"/>
    <w:rsid w:val="00C679A6"/>
    <w:rsid w:val="00C679DF"/>
    <w:rsid w:val="00C67AF1"/>
    <w:rsid w:val="00C67BE0"/>
    <w:rsid w:val="00C67BFD"/>
    <w:rsid w:val="00C67C75"/>
    <w:rsid w:val="00C67CD2"/>
    <w:rsid w:val="00C67E8E"/>
    <w:rsid w:val="00C67EBA"/>
    <w:rsid w:val="00C67F36"/>
    <w:rsid w:val="00C67FFB"/>
    <w:rsid w:val="00C70209"/>
    <w:rsid w:val="00C7025E"/>
    <w:rsid w:val="00C70317"/>
    <w:rsid w:val="00C70368"/>
    <w:rsid w:val="00C703D1"/>
    <w:rsid w:val="00C703E2"/>
    <w:rsid w:val="00C704B5"/>
    <w:rsid w:val="00C7053B"/>
    <w:rsid w:val="00C706F6"/>
    <w:rsid w:val="00C706FC"/>
    <w:rsid w:val="00C70849"/>
    <w:rsid w:val="00C708E2"/>
    <w:rsid w:val="00C709B7"/>
    <w:rsid w:val="00C70B78"/>
    <w:rsid w:val="00C70C11"/>
    <w:rsid w:val="00C70D1D"/>
    <w:rsid w:val="00C70DC0"/>
    <w:rsid w:val="00C70FAC"/>
    <w:rsid w:val="00C71081"/>
    <w:rsid w:val="00C71088"/>
    <w:rsid w:val="00C710FD"/>
    <w:rsid w:val="00C7112B"/>
    <w:rsid w:val="00C71444"/>
    <w:rsid w:val="00C7157F"/>
    <w:rsid w:val="00C715DB"/>
    <w:rsid w:val="00C715E6"/>
    <w:rsid w:val="00C715FB"/>
    <w:rsid w:val="00C71894"/>
    <w:rsid w:val="00C719DC"/>
    <w:rsid w:val="00C71A67"/>
    <w:rsid w:val="00C71D0D"/>
    <w:rsid w:val="00C71D23"/>
    <w:rsid w:val="00C71D98"/>
    <w:rsid w:val="00C71FEE"/>
    <w:rsid w:val="00C72108"/>
    <w:rsid w:val="00C72177"/>
    <w:rsid w:val="00C7220C"/>
    <w:rsid w:val="00C72606"/>
    <w:rsid w:val="00C72630"/>
    <w:rsid w:val="00C72753"/>
    <w:rsid w:val="00C72758"/>
    <w:rsid w:val="00C72816"/>
    <w:rsid w:val="00C728DA"/>
    <w:rsid w:val="00C72983"/>
    <w:rsid w:val="00C72A2E"/>
    <w:rsid w:val="00C72AAA"/>
    <w:rsid w:val="00C72F96"/>
    <w:rsid w:val="00C72FE4"/>
    <w:rsid w:val="00C7336F"/>
    <w:rsid w:val="00C733D4"/>
    <w:rsid w:val="00C734A3"/>
    <w:rsid w:val="00C735A1"/>
    <w:rsid w:val="00C735F8"/>
    <w:rsid w:val="00C7380F"/>
    <w:rsid w:val="00C7386F"/>
    <w:rsid w:val="00C739B8"/>
    <w:rsid w:val="00C73B5F"/>
    <w:rsid w:val="00C73C08"/>
    <w:rsid w:val="00C73C18"/>
    <w:rsid w:val="00C73C3E"/>
    <w:rsid w:val="00C73D1D"/>
    <w:rsid w:val="00C73D2A"/>
    <w:rsid w:val="00C73DB9"/>
    <w:rsid w:val="00C73FC1"/>
    <w:rsid w:val="00C740AC"/>
    <w:rsid w:val="00C741B8"/>
    <w:rsid w:val="00C74225"/>
    <w:rsid w:val="00C742E9"/>
    <w:rsid w:val="00C74348"/>
    <w:rsid w:val="00C743CC"/>
    <w:rsid w:val="00C74478"/>
    <w:rsid w:val="00C74545"/>
    <w:rsid w:val="00C746FE"/>
    <w:rsid w:val="00C7470E"/>
    <w:rsid w:val="00C74759"/>
    <w:rsid w:val="00C7488F"/>
    <w:rsid w:val="00C74B8C"/>
    <w:rsid w:val="00C74BAC"/>
    <w:rsid w:val="00C74E15"/>
    <w:rsid w:val="00C74E6E"/>
    <w:rsid w:val="00C74F11"/>
    <w:rsid w:val="00C74FF6"/>
    <w:rsid w:val="00C75015"/>
    <w:rsid w:val="00C75158"/>
    <w:rsid w:val="00C7530D"/>
    <w:rsid w:val="00C753C1"/>
    <w:rsid w:val="00C755D1"/>
    <w:rsid w:val="00C75792"/>
    <w:rsid w:val="00C758EE"/>
    <w:rsid w:val="00C75928"/>
    <w:rsid w:val="00C75B59"/>
    <w:rsid w:val="00C75CAD"/>
    <w:rsid w:val="00C75E0A"/>
    <w:rsid w:val="00C75EBF"/>
    <w:rsid w:val="00C75F26"/>
    <w:rsid w:val="00C75FF4"/>
    <w:rsid w:val="00C76092"/>
    <w:rsid w:val="00C76104"/>
    <w:rsid w:val="00C7626A"/>
    <w:rsid w:val="00C764C3"/>
    <w:rsid w:val="00C7650F"/>
    <w:rsid w:val="00C7659D"/>
    <w:rsid w:val="00C766AA"/>
    <w:rsid w:val="00C766CC"/>
    <w:rsid w:val="00C766F8"/>
    <w:rsid w:val="00C76706"/>
    <w:rsid w:val="00C76A5A"/>
    <w:rsid w:val="00C76A71"/>
    <w:rsid w:val="00C76A8C"/>
    <w:rsid w:val="00C76B8D"/>
    <w:rsid w:val="00C76C0C"/>
    <w:rsid w:val="00C76D39"/>
    <w:rsid w:val="00C76E71"/>
    <w:rsid w:val="00C76F0D"/>
    <w:rsid w:val="00C77074"/>
    <w:rsid w:val="00C770B5"/>
    <w:rsid w:val="00C7713E"/>
    <w:rsid w:val="00C771E3"/>
    <w:rsid w:val="00C77212"/>
    <w:rsid w:val="00C77266"/>
    <w:rsid w:val="00C77278"/>
    <w:rsid w:val="00C772C5"/>
    <w:rsid w:val="00C77543"/>
    <w:rsid w:val="00C77557"/>
    <w:rsid w:val="00C77573"/>
    <w:rsid w:val="00C77593"/>
    <w:rsid w:val="00C77624"/>
    <w:rsid w:val="00C776AB"/>
    <w:rsid w:val="00C77799"/>
    <w:rsid w:val="00C7783D"/>
    <w:rsid w:val="00C779EC"/>
    <w:rsid w:val="00C77A14"/>
    <w:rsid w:val="00C77AF0"/>
    <w:rsid w:val="00C77B0C"/>
    <w:rsid w:val="00C77D3D"/>
    <w:rsid w:val="00C77D91"/>
    <w:rsid w:val="00C77FC2"/>
    <w:rsid w:val="00C8009B"/>
    <w:rsid w:val="00C800E0"/>
    <w:rsid w:val="00C800FD"/>
    <w:rsid w:val="00C8041F"/>
    <w:rsid w:val="00C804D4"/>
    <w:rsid w:val="00C8057D"/>
    <w:rsid w:val="00C806D6"/>
    <w:rsid w:val="00C808B4"/>
    <w:rsid w:val="00C80CC0"/>
    <w:rsid w:val="00C80D37"/>
    <w:rsid w:val="00C80E0D"/>
    <w:rsid w:val="00C80E47"/>
    <w:rsid w:val="00C80E96"/>
    <w:rsid w:val="00C80F58"/>
    <w:rsid w:val="00C80FA2"/>
    <w:rsid w:val="00C80FAE"/>
    <w:rsid w:val="00C8109A"/>
    <w:rsid w:val="00C81113"/>
    <w:rsid w:val="00C812D4"/>
    <w:rsid w:val="00C8139D"/>
    <w:rsid w:val="00C8152E"/>
    <w:rsid w:val="00C81588"/>
    <w:rsid w:val="00C818DF"/>
    <w:rsid w:val="00C8192D"/>
    <w:rsid w:val="00C81932"/>
    <w:rsid w:val="00C8193F"/>
    <w:rsid w:val="00C81D28"/>
    <w:rsid w:val="00C81D2A"/>
    <w:rsid w:val="00C81E2D"/>
    <w:rsid w:val="00C81F03"/>
    <w:rsid w:val="00C81FE7"/>
    <w:rsid w:val="00C8217F"/>
    <w:rsid w:val="00C82264"/>
    <w:rsid w:val="00C8226D"/>
    <w:rsid w:val="00C8227C"/>
    <w:rsid w:val="00C8230A"/>
    <w:rsid w:val="00C823E1"/>
    <w:rsid w:val="00C823F6"/>
    <w:rsid w:val="00C824CC"/>
    <w:rsid w:val="00C8268F"/>
    <w:rsid w:val="00C82789"/>
    <w:rsid w:val="00C82820"/>
    <w:rsid w:val="00C829EE"/>
    <w:rsid w:val="00C82BDB"/>
    <w:rsid w:val="00C82BE7"/>
    <w:rsid w:val="00C82CEA"/>
    <w:rsid w:val="00C82E88"/>
    <w:rsid w:val="00C830FD"/>
    <w:rsid w:val="00C8318B"/>
    <w:rsid w:val="00C831A0"/>
    <w:rsid w:val="00C831D8"/>
    <w:rsid w:val="00C83428"/>
    <w:rsid w:val="00C83535"/>
    <w:rsid w:val="00C8355C"/>
    <w:rsid w:val="00C83696"/>
    <w:rsid w:val="00C8375F"/>
    <w:rsid w:val="00C837F4"/>
    <w:rsid w:val="00C83961"/>
    <w:rsid w:val="00C83A18"/>
    <w:rsid w:val="00C83A79"/>
    <w:rsid w:val="00C83AC0"/>
    <w:rsid w:val="00C83AF0"/>
    <w:rsid w:val="00C83B6E"/>
    <w:rsid w:val="00C83BA3"/>
    <w:rsid w:val="00C83BF1"/>
    <w:rsid w:val="00C83C79"/>
    <w:rsid w:val="00C83D03"/>
    <w:rsid w:val="00C83D84"/>
    <w:rsid w:val="00C83DB1"/>
    <w:rsid w:val="00C83E10"/>
    <w:rsid w:val="00C83F7A"/>
    <w:rsid w:val="00C83FCC"/>
    <w:rsid w:val="00C84124"/>
    <w:rsid w:val="00C84132"/>
    <w:rsid w:val="00C84597"/>
    <w:rsid w:val="00C845A9"/>
    <w:rsid w:val="00C847B2"/>
    <w:rsid w:val="00C848DA"/>
    <w:rsid w:val="00C84998"/>
    <w:rsid w:val="00C849A8"/>
    <w:rsid w:val="00C84A2F"/>
    <w:rsid w:val="00C84AF5"/>
    <w:rsid w:val="00C84BD3"/>
    <w:rsid w:val="00C84E2E"/>
    <w:rsid w:val="00C84FE8"/>
    <w:rsid w:val="00C85032"/>
    <w:rsid w:val="00C85061"/>
    <w:rsid w:val="00C8519F"/>
    <w:rsid w:val="00C853B7"/>
    <w:rsid w:val="00C85635"/>
    <w:rsid w:val="00C85840"/>
    <w:rsid w:val="00C8587B"/>
    <w:rsid w:val="00C859BA"/>
    <w:rsid w:val="00C85B92"/>
    <w:rsid w:val="00C85EDF"/>
    <w:rsid w:val="00C85FDA"/>
    <w:rsid w:val="00C86088"/>
    <w:rsid w:val="00C860A2"/>
    <w:rsid w:val="00C861BE"/>
    <w:rsid w:val="00C862BF"/>
    <w:rsid w:val="00C8636B"/>
    <w:rsid w:val="00C865E4"/>
    <w:rsid w:val="00C86A1D"/>
    <w:rsid w:val="00C86B1D"/>
    <w:rsid w:val="00C86B5A"/>
    <w:rsid w:val="00C86CF7"/>
    <w:rsid w:val="00C86EA3"/>
    <w:rsid w:val="00C86FC1"/>
    <w:rsid w:val="00C87296"/>
    <w:rsid w:val="00C8729C"/>
    <w:rsid w:val="00C87436"/>
    <w:rsid w:val="00C874DE"/>
    <w:rsid w:val="00C874EC"/>
    <w:rsid w:val="00C876DA"/>
    <w:rsid w:val="00C876F9"/>
    <w:rsid w:val="00C877ED"/>
    <w:rsid w:val="00C8785C"/>
    <w:rsid w:val="00C87922"/>
    <w:rsid w:val="00C87943"/>
    <w:rsid w:val="00C87A1C"/>
    <w:rsid w:val="00C87A50"/>
    <w:rsid w:val="00C87B9C"/>
    <w:rsid w:val="00C87CC4"/>
    <w:rsid w:val="00C87D1C"/>
    <w:rsid w:val="00C902C7"/>
    <w:rsid w:val="00C902DA"/>
    <w:rsid w:val="00C90357"/>
    <w:rsid w:val="00C90459"/>
    <w:rsid w:val="00C9060F"/>
    <w:rsid w:val="00C90769"/>
    <w:rsid w:val="00C90975"/>
    <w:rsid w:val="00C90B19"/>
    <w:rsid w:val="00C90C2F"/>
    <w:rsid w:val="00C90C6A"/>
    <w:rsid w:val="00C90EE3"/>
    <w:rsid w:val="00C90FCF"/>
    <w:rsid w:val="00C91055"/>
    <w:rsid w:val="00C9106A"/>
    <w:rsid w:val="00C91272"/>
    <w:rsid w:val="00C912C0"/>
    <w:rsid w:val="00C913B3"/>
    <w:rsid w:val="00C913CC"/>
    <w:rsid w:val="00C91485"/>
    <w:rsid w:val="00C915CD"/>
    <w:rsid w:val="00C91651"/>
    <w:rsid w:val="00C916C0"/>
    <w:rsid w:val="00C917A4"/>
    <w:rsid w:val="00C918E6"/>
    <w:rsid w:val="00C9199D"/>
    <w:rsid w:val="00C91C56"/>
    <w:rsid w:val="00C91CBB"/>
    <w:rsid w:val="00C91D75"/>
    <w:rsid w:val="00C91DC1"/>
    <w:rsid w:val="00C91DC5"/>
    <w:rsid w:val="00C91E5D"/>
    <w:rsid w:val="00C91E95"/>
    <w:rsid w:val="00C91EDB"/>
    <w:rsid w:val="00C91F51"/>
    <w:rsid w:val="00C92011"/>
    <w:rsid w:val="00C92148"/>
    <w:rsid w:val="00C9228B"/>
    <w:rsid w:val="00C922A2"/>
    <w:rsid w:val="00C92318"/>
    <w:rsid w:val="00C92404"/>
    <w:rsid w:val="00C924CF"/>
    <w:rsid w:val="00C92576"/>
    <w:rsid w:val="00C925C7"/>
    <w:rsid w:val="00C9277E"/>
    <w:rsid w:val="00C92784"/>
    <w:rsid w:val="00C927A0"/>
    <w:rsid w:val="00C927A9"/>
    <w:rsid w:val="00C9290D"/>
    <w:rsid w:val="00C92939"/>
    <w:rsid w:val="00C92A0A"/>
    <w:rsid w:val="00C92A1A"/>
    <w:rsid w:val="00C92A79"/>
    <w:rsid w:val="00C92BF3"/>
    <w:rsid w:val="00C92C25"/>
    <w:rsid w:val="00C92CDB"/>
    <w:rsid w:val="00C92DE5"/>
    <w:rsid w:val="00C92F34"/>
    <w:rsid w:val="00C9302E"/>
    <w:rsid w:val="00C930E3"/>
    <w:rsid w:val="00C9334C"/>
    <w:rsid w:val="00C933DA"/>
    <w:rsid w:val="00C93494"/>
    <w:rsid w:val="00C934E5"/>
    <w:rsid w:val="00C93536"/>
    <w:rsid w:val="00C9361D"/>
    <w:rsid w:val="00C93633"/>
    <w:rsid w:val="00C936FD"/>
    <w:rsid w:val="00C938F3"/>
    <w:rsid w:val="00C939B2"/>
    <w:rsid w:val="00C93A2C"/>
    <w:rsid w:val="00C93A31"/>
    <w:rsid w:val="00C93A44"/>
    <w:rsid w:val="00C93C38"/>
    <w:rsid w:val="00C93C7E"/>
    <w:rsid w:val="00C93E7D"/>
    <w:rsid w:val="00C940A7"/>
    <w:rsid w:val="00C942F9"/>
    <w:rsid w:val="00C9446C"/>
    <w:rsid w:val="00C9472B"/>
    <w:rsid w:val="00C9476B"/>
    <w:rsid w:val="00C947AE"/>
    <w:rsid w:val="00C94942"/>
    <w:rsid w:val="00C94A78"/>
    <w:rsid w:val="00C94AD1"/>
    <w:rsid w:val="00C94AE9"/>
    <w:rsid w:val="00C94D5E"/>
    <w:rsid w:val="00C94DE8"/>
    <w:rsid w:val="00C94EE0"/>
    <w:rsid w:val="00C94FEE"/>
    <w:rsid w:val="00C951A2"/>
    <w:rsid w:val="00C951B4"/>
    <w:rsid w:val="00C951DF"/>
    <w:rsid w:val="00C95335"/>
    <w:rsid w:val="00C9536E"/>
    <w:rsid w:val="00C9549C"/>
    <w:rsid w:val="00C954B8"/>
    <w:rsid w:val="00C958CA"/>
    <w:rsid w:val="00C9598A"/>
    <w:rsid w:val="00C95B88"/>
    <w:rsid w:val="00C95BB1"/>
    <w:rsid w:val="00C95BCE"/>
    <w:rsid w:val="00C95C3D"/>
    <w:rsid w:val="00C95CF0"/>
    <w:rsid w:val="00C95D2C"/>
    <w:rsid w:val="00C95D84"/>
    <w:rsid w:val="00C95E26"/>
    <w:rsid w:val="00C95EED"/>
    <w:rsid w:val="00C95F7F"/>
    <w:rsid w:val="00C95FB0"/>
    <w:rsid w:val="00C960CE"/>
    <w:rsid w:val="00C96383"/>
    <w:rsid w:val="00C963AF"/>
    <w:rsid w:val="00C96560"/>
    <w:rsid w:val="00C965F0"/>
    <w:rsid w:val="00C96611"/>
    <w:rsid w:val="00C96618"/>
    <w:rsid w:val="00C96705"/>
    <w:rsid w:val="00C96869"/>
    <w:rsid w:val="00C968B6"/>
    <w:rsid w:val="00C9694A"/>
    <w:rsid w:val="00C96A3D"/>
    <w:rsid w:val="00C96DE6"/>
    <w:rsid w:val="00C96DF2"/>
    <w:rsid w:val="00C96F54"/>
    <w:rsid w:val="00C96F59"/>
    <w:rsid w:val="00C9709E"/>
    <w:rsid w:val="00C971E6"/>
    <w:rsid w:val="00C972AC"/>
    <w:rsid w:val="00C9750C"/>
    <w:rsid w:val="00C97586"/>
    <w:rsid w:val="00C975EC"/>
    <w:rsid w:val="00C976D1"/>
    <w:rsid w:val="00C97A38"/>
    <w:rsid w:val="00C97A51"/>
    <w:rsid w:val="00C97B54"/>
    <w:rsid w:val="00C97B71"/>
    <w:rsid w:val="00C97B8F"/>
    <w:rsid w:val="00C97C2F"/>
    <w:rsid w:val="00C97C5E"/>
    <w:rsid w:val="00C97C7B"/>
    <w:rsid w:val="00C97CEE"/>
    <w:rsid w:val="00C97D55"/>
    <w:rsid w:val="00C97D66"/>
    <w:rsid w:val="00C97E2A"/>
    <w:rsid w:val="00C97E59"/>
    <w:rsid w:val="00C97FC9"/>
    <w:rsid w:val="00CA014D"/>
    <w:rsid w:val="00CA024C"/>
    <w:rsid w:val="00CA0290"/>
    <w:rsid w:val="00CA0544"/>
    <w:rsid w:val="00CA0A7A"/>
    <w:rsid w:val="00CA0AFA"/>
    <w:rsid w:val="00CA0B65"/>
    <w:rsid w:val="00CA0B92"/>
    <w:rsid w:val="00CA0BD1"/>
    <w:rsid w:val="00CA0C3F"/>
    <w:rsid w:val="00CA0D59"/>
    <w:rsid w:val="00CA0DB3"/>
    <w:rsid w:val="00CA0EC1"/>
    <w:rsid w:val="00CA0FA2"/>
    <w:rsid w:val="00CA1270"/>
    <w:rsid w:val="00CA1298"/>
    <w:rsid w:val="00CA13B3"/>
    <w:rsid w:val="00CA15E4"/>
    <w:rsid w:val="00CA1647"/>
    <w:rsid w:val="00CA16CD"/>
    <w:rsid w:val="00CA1852"/>
    <w:rsid w:val="00CA1930"/>
    <w:rsid w:val="00CA1BC4"/>
    <w:rsid w:val="00CA2295"/>
    <w:rsid w:val="00CA2414"/>
    <w:rsid w:val="00CA265D"/>
    <w:rsid w:val="00CA26EA"/>
    <w:rsid w:val="00CA28EF"/>
    <w:rsid w:val="00CA294D"/>
    <w:rsid w:val="00CA2B03"/>
    <w:rsid w:val="00CA2BE4"/>
    <w:rsid w:val="00CA2D25"/>
    <w:rsid w:val="00CA2DA6"/>
    <w:rsid w:val="00CA2E3F"/>
    <w:rsid w:val="00CA2F6E"/>
    <w:rsid w:val="00CA2FB2"/>
    <w:rsid w:val="00CA2FB7"/>
    <w:rsid w:val="00CA2FB8"/>
    <w:rsid w:val="00CA3205"/>
    <w:rsid w:val="00CA340F"/>
    <w:rsid w:val="00CA3731"/>
    <w:rsid w:val="00CA3996"/>
    <w:rsid w:val="00CA3B22"/>
    <w:rsid w:val="00CA3B62"/>
    <w:rsid w:val="00CA3C14"/>
    <w:rsid w:val="00CA3C27"/>
    <w:rsid w:val="00CA3C49"/>
    <w:rsid w:val="00CA3C7A"/>
    <w:rsid w:val="00CA3D3A"/>
    <w:rsid w:val="00CA3D85"/>
    <w:rsid w:val="00CA3EA1"/>
    <w:rsid w:val="00CA3FEE"/>
    <w:rsid w:val="00CA42C0"/>
    <w:rsid w:val="00CA42D6"/>
    <w:rsid w:val="00CA44B2"/>
    <w:rsid w:val="00CA44D1"/>
    <w:rsid w:val="00CA45F4"/>
    <w:rsid w:val="00CA46D9"/>
    <w:rsid w:val="00CA47DF"/>
    <w:rsid w:val="00CA4836"/>
    <w:rsid w:val="00CA4885"/>
    <w:rsid w:val="00CA4AF2"/>
    <w:rsid w:val="00CA4B0B"/>
    <w:rsid w:val="00CA4B61"/>
    <w:rsid w:val="00CA4C30"/>
    <w:rsid w:val="00CA4C55"/>
    <w:rsid w:val="00CA4CF6"/>
    <w:rsid w:val="00CA4CFD"/>
    <w:rsid w:val="00CA4DE6"/>
    <w:rsid w:val="00CA4DF2"/>
    <w:rsid w:val="00CA4E45"/>
    <w:rsid w:val="00CA4E82"/>
    <w:rsid w:val="00CA5013"/>
    <w:rsid w:val="00CA5089"/>
    <w:rsid w:val="00CA5225"/>
    <w:rsid w:val="00CA5228"/>
    <w:rsid w:val="00CA5258"/>
    <w:rsid w:val="00CA528A"/>
    <w:rsid w:val="00CA5350"/>
    <w:rsid w:val="00CA5497"/>
    <w:rsid w:val="00CA549B"/>
    <w:rsid w:val="00CA5656"/>
    <w:rsid w:val="00CA57DD"/>
    <w:rsid w:val="00CA5894"/>
    <w:rsid w:val="00CA5897"/>
    <w:rsid w:val="00CA597A"/>
    <w:rsid w:val="00CA59B3"/>
    <w:rsid w:val="00CA5A77"/>
    <w:rsid w:val="00CA5A98"/>
    <w:rsid w:val="00CA5B04"/>
    <w:rsid w:val="00CA5BAF"/>
    <w:rsid w:val="00CA5BF7"/>
    <w:rsid w:val="00CA5BF8"/>
    <w:rsid w:val="00CA5C0A"/>
    <w:rsid w:val="00CA5C5D"/>
    <w:rsid w:val="00CA5C7D"/>
    <w:rsid w:val="00CA5F3E"/>
    <w:rsid w:val="00CA5F67"/>
    <w:rsid w:val="00CA5FAE"/>
    <w:rsid w:val="00CA5FC2"/>
    <w:rsid w:val="00CA6013"/>
    <w:rsid w:val="00CA601E"/>
    <w:rsid w:val="00CA6099"/>
    <w:rsid w:val="00CA60DD"/>
    <w:rsid w:val="00CA623A"/>
    <w:rsid w:val="00CA62EA"/>
    <w:rsid w:val="00CA6333"/>
    <w:rsid w:val="00CA63D8"/>
    <w:rsid w:val="00CA659E"/>
    <w:rsid w:val="00CA65AF"/>
    <w:rsid w:val="00CA65D8"/>
    <w:rsid w:val="00CA65E4"/>
    <w:rsid w:val="00CA6695"/>
    <w:rsid w:val="00CA66A6"/>
    <w:rsid w:val="00CA66F0"/>
    <w:rsid w:val="00CA6879"/>
    <w:rsid w:val="00CA6883"/>
    <w:rsid w:val="00CA6941"/>
    <w:rsid w:val="00CA6ADD"/>
    <w:rsid w:val="00CA6B02"/>
    <w:rsid w:val="00CA6D29"/>
    <w:rsid w:val="00CA6D72"/>
    <w:rsid w:val="00CA6F6F"/>
    <w:rsid w:val="00CA70C0"/>
    <w:rsid w:val="00CA7130"/>
    <w:rsid w:val="00CA7358"/>
    <w:rsid w:val="00CA7396"/>
    <w:rsid w:val="00CA746A"/>
    <w:rsid w:val="00CA74E5"/>
    <w:rsid w:val="00CA75BB"/>
    <w:rsid w:val="00CA75D4"/>
    <w:rsid w:val="00CA76E9"/>
    <w:rsid w:val="00CA78F5"/>
    <w:rsid w:val="00CA7AE6"/>
    <w:rsid w:val="00CA7BB6"/>
    <w:rsid w:val="00CA7C71"/>
    <w:rsid w:val="00CA7C7A"/>
    <w:rsid w:val="00CA7D48"/>
    <w:rsid w:val="00CB00B7"/>
    <w:rsid w:val="00CB00DF"/>
    <w:rsid w:val="00CB065F"/>
    <w:rsid w:val="00CB0719"/>
    <w:rsid w:val="00CB0810"/>
    <w:rsid w:val="00CB08CD"/>
    <w:rsid w:val="00CB0B6C"/>
    <w:rsid w:val="00CB0BAA"/>
    <w:rsid w:val="00CB0D6C"/>
    <w:rsid w:val="00CB0D9C"/>
    <w:rsid w:val="00CB0FBE"/>
    <w:rsid w:val="00CB0FEC"/>
    <w:rsid w:val="00CB146B"/>
    <w:rsid w:val="00CB14B8"/>
    <w:rsid w:val="00CB1526"/>
    <w:rsid w:val="00CB1567"/>
    <w:rsid w:val="00CB158E"/>
    <w:rsid w:val="00CB1594"/>
    <w:rsid w:val="00CB15E9"/>
    <w:rsid w:val="00CB186B"/>
    <w:rsid w:val="00CB1A31"/>
    <w:rsid w:val="00CB1AC4"/>
    <w:rsid w:val="00CB1B0D"/>
    <w:rsid w:val="00CB1BC8"/>
    <w:rsid w:val="00CB203F"/>
    <w:rsid w:val="00CB20CB"/>
    <w:rsid w:val="00CB2263"/>
    <w:rsid w:val="00CB22AE"/>
    <w:rsid w:val="00CB22EB"/>
    <w:rsid w:val="00CB2315"/>
    <w:rsid w:val="00CB2383"/>
    <w:rsid w:val="00CB2463"/>
    <w:rsid w:val="00CB24B6"/>
    <w:rsid w:val="00CB2730"/>
    <w:rsid w:val="00CB28EE"/>
    <w:rsid w:val="00CB28FA"/>
    <w:rsid w:val="00CB2980"/>
    <w:rsid w:val="00CB2A8F"/>
    <w:rsid w:val="00CB2B64"/>
    <w:rsid w:val="00CB2B66"/>
    <w:rsid w:val="00CB2BD5"/>
    <w:rsid w:val="00CB2C2D"/>
    <w:rsid w:val="00CB2CDB"/>
    <w:rsid w:val="00CB2D3D"/>
    <w:rsid w:val="00CB2D3E"/>
    <w:rsid w:val="00CB2D7E"/>
    <w:rsid w:val="00CB3028"/>
    <w:rsid w:val="00CB3181"/>
    <w:rsid w:val="00CB339D"/>
    <w:rsid w:val="00CB3407"/>
    <w:rsid w:val="00CB395F"/>
    <w:rsid w:val="00CB39AD"/>
    <w:rsid w:val="00CB3A87"/>
    <w:rsid w:val="00CB3A89"/>
    <w:rsid w:val="00CB3AF3"/>
    <w:rsid w:val="00CB3CD1"/>
    <w:rsid w:val="00CB3E86"/>
    <w:rsid w:val="00CB4060"/>
    <w:rsid w:val="00CB40D0"/>
    <w:rsid w:val="00CB420D"/>
    <w:rsid w:val="00CB421B"/>
    <w:rsid w:val="00CB4249"/>
    <w:rsid w:val="00CB4251"/>
    <w:rsid w:val="00CB437C"/>
    <w:rsid w:val="00CB445A"/>
    <w:rsid w:val="00CB44F4"/>
    <w:rsid w:val="00CB4644"/>
    <w:rsid w:val="00CB46EC"/>
    <w:rsid w:val="00CB4842"/>
    <w:rsid w:val="00CB48B3"/>
    <w:rsid w:val="00CB48ED"/>
    <w:rsid w:val="00CB4998"/>
    <w:rsid w:val="00CB49E6"/>
    <w:rsid w:val="00CB4AC8"/>
    <w:rsid w:val="00CB4D01"/>
    <w:rsid w:val="00CB4D2D"/>
    <w:rsid w:val="00CB4DDC"/>
    <w:rsid w:val="00CB4E4D"/>
    <w:rsid w:val="00CB4F8F"/>
    <w:rsid w:val="00CB4FE2"/>
    <w:rsid w:val="00CB50DE"/>
    <w:rsid w:val="00CB5123"/>
    <w:rsid w:val="00CB519B"/>
    <w:rsid w:val="00CB51C4"/>
    <w:rsid w:val="00CB51F6"/>
    <w:rsid w:val="00CB51F9"/>
    <w:rsid w:val="00CB53EB"/>
    <w:rsid w:val="00CB5429"/>
    <w:rsid w:val="00CB5444"/>
    <w:rsid w:val="00CB549D"/>
    <w:rsid w:val="00CB5524"/>
    <w:rsid w:val="00CB579D"/>
    <w:rsid w:val="00CB5ADC"/>
    <w:rsid w:val="00CB5B85"/>
    <w:rsid w:val="00CB5BDF"/>
    <w:rsid w:val="00CB5C55"/>
    <w:rsid w:val="00CB5C90"/>
    <w:rsid w:val="00CB5D7A"/>
    <w:rsid w:val="00CB5D9B"/>
    <w:rsid w:val="00CB5DE3"/>
    <w:rsid w:val="00CB5EA0"/>
    <w:rsid w:val="00CB5F43"/>
    <w:rsid w:val="00CB5F79"/>
    <w:rsid w:val="00CB5F7C"/>
    <w:rsid w:val="00CB6071"/>
    <w:rsid w:val="00CB62BE"/>
    <w:rsid w:val="00CB633B"/>
    <w:rsid w:val="00CB6460"/>
    <w:rsid w:val="00CB64BE"/>
    <w:rsid w:val="00CB65FF"/>
    <w:rsid w:val="00CB66EA"/>
    <w:rsid w:val="00CB6703"/>
    <w:rsid w:val="00CB67D3"/>
    <w:rsid w:val="00CB67D6"/>
    <w:rsid w:val="00CB69AF"/>
    <w:rsid w:val="00CB69F0"/>
    <w:rsid w:val="00CB6ACE"/>
    <w:rsid w:val="00CB6B1C"/>
    <w:rsid w:val="00CB6C3E"/>
    <w:rsid w:val="00CB6C86"/>
    <w:rsid w:val="00CB6CA7"/>
    <w:rsid w:val="00CB6D46"/>
    <w:rsid w:val="00CB6EA6"/>
    <w:rsid w:val="00CB70D3"/>
    <w:rsid w:val="00CB71AB"/>
    <w:rsid w:val="00CB7309"/>
    <w:rsid w:val="00CB7312"/>
    <w:rsid w:val="00CB73CA"/>
    <w:rsid w:val="00CB73E4"/>
    <w:rsid w:val="00CB73F9"/>
    <w:rsid w:val="00CB7419"/>
    <w:rsid w:val="00CB7451"/>
    <w:rsid w:val="00CB745C"/>
    <w:rsid w:val="00CB7515"/>
    <w:rsid w:val="00CB755E"/>
    <w:rsid w:val="00CB7735"/>
    <w:rsid w:val="00CB7744"/>
    <w:rsid w:val="00CB775B"/>
    <w:rsid w:val="00CB7976"/>
    <w:rsid w:val="00CB7A4F"/>
    <w:rsid w:val="00CB7A59"/>
    <w:rsid w:val="00CB7AB2"/>
    <w:rsid w:val="00CB7BA4"/>
    <w:rsid w:val="00CB7BB8"/>
    <w:rsid w:val="00CB7CFC"/>
    <w:rsid w:val="00CB7DC0"/>
    <w:rsid w:val="00CB7F1B"/>
    <w:rsid w:val="00CC007E"/>
    <w:rsid w:val="00CC0141"/>
    <w:rsid w:val="00CC0257"/>
    <w:rsid w:val="00CC0336"/>
    <w:rsid w:val="00CC0389"/>
    <w:rsid w:val="00CC04D7"/>
    <w:rsid w:val="00CC083C"/>
    <w:rsid w:val="00CC0913"/>
    <w:rsid w:val="00CC0984"/>
    <w:rsid w:val="00CC09C5"/>
    <w:rsid w:val="00CC0B97"/>
    <w:rsid w:val="00CC0CA0"/>
    <w:rsid w:val="00CC0E00"/>
    <w:rsid w:val="00CC0FA3"/>
    <w:rsid w:val="00CC10E7"/>
    <w:rsid w:val="00CC10F7"/>
    <w:rsid w:val="00CC1255"/>
    <w:rsid w:val="00CC12BF"/>
    <w:rsid w:val="00CC14E4"/>
    <w:rsid w:val="00CC1562"/>
    <w:rsid w:val="00CC1611"/>
    <w:rsid w:val="00CC18D6"/>
    <w:rsid w:val="00CC19F8"/>
    <w:rsid w:val="00CC1A39"/>
    <w:rsid w:val="00CC1A59"/>
    <w:rsid w:val="00CC1A5C"/>
    <w:rsid w:val="00CC1AF5"/>
    <w:rsid w:val="00CC1D1A"/>
    <w:rsid w:val="00CC1D70"/>
    <w:rsid w:val="00CC1E61"/>
    <w:rsid w:val="00CC1E87"/>
    <w:rsid w:val="00CC202E"/>
    <w:rsid w:val="00CC204B"/>
    <w:rsid w:val="00CC20D5"/>
    <w:rsid w:val="00CC211E"/>
    <w:rsid w:val="00CC2140"/>
    <w:rsid w:val="00CC2158"/>
    <w:rsid w:val="00CC2186"/>
    <w:rsid w:val="00CC21A5"/>
    <w:rsid w:val="00CC220D"/>
    <w:rsid w:val="00CC22BF"/>
    <w:rsid w:val="00CC231F"/>
    <w:rsid w:val="00CC23C4"/>
    <w:rsid w:val="00CC2582"/>
    <w:rsid w:val="00CC2684"/>
    <w:rsid w:val="00CC2844"/>
    <w:rsid w:val="00CC28BD"/>
    <w:rsid w:val="00CC2981"/>
    <w:rsid w:val="00CC2A05"/>
    <w:rsid w:val="00CC2BC0"/>
    <w:rsid w:val="00CC2C33"/>
    <w:rsid w:val="00CC2F17"/>
    <w:rsid w:val="00CC2FF3"/>
    <w:rsid w:val="00CC2FF8"/>
    <w:rsid w:val="00CC3087"/>
    <w:rsid w:val="00CC317D"/>
    <w:rsid w:val="00CC3191"/>
    <w:rsid w:val="00CC320F"/>
    <w:rsid w:val="00CC324D"/>
    <w:rsid w:val="00CC3263"/>
    <w:rsid w:val="00CC33FE"/>
    <w:rsid w:val="00CC36B1"/>
    <w:rsid w:val="00CC36DE"/>
    <w:rsid w:val="00CC39D1"/>
    <w:rsid w:val="00CC3A29"/>
    <w:rsid w:val="00CC3A6F"/>
    <w:rsid w:val="00CC3BB1"/>
    <w:rsid w:val="00CC3BE1"/>
    <w:rsid w:val="00CC3C82"/>
    <w:rsid w:val="00CC3D60"/>
    <w:rsid w:val="00CC3DE2"/>
    <w:rsid w:val="00CC3DFD"/>
    <w:rsid w:val="00CC3EDF"/>
    <w:rsid w:val="00CC3EEA"/>
    <w:rsid w:val="00CC3F73"/>
    <w:rsid w:val="00CC4001"/>
    <w:rsid w:val="00CC400B"/>
    <w:rsid w:val="00CC40E4"/>
    <w:rsid w:val="00CC40F9"/>
    <w:rsid w:val="00CC41B3"/>
    <w:rsid w:val="00CC440F"/>
    <w:rsid w:val="00CC4438"/>
    <w:rsid w:val="00CC4481"/>
    <w:rsid w:val="00CC451C"/>
    <w:rsid w:val="00CC4621"/>
    <w:rsid w:val="00CC4825"/>
    <w:rsid w:val="00CC4871"/>
    <w:rsid w:val="00CC48B0"/>
    <w:rsid w:val="00CC4B10"/>
    <w:rsid w:val="00CC4E24"/>
    <w:rsid w:val="00CC5009"/>
    <w:rsid w:val="00CC5043"/>
    <w:rsid w:val="00CC51B6"/>
    <w:rsid w:val="00CC5239"/>
    <w:rsid w:val="00CC52B5"/>
    <w:rsid w:val="00CC5352"/>
    <w:rsid w:val="00CC53BC"/>
    <w:rsid w:val="00CC53D2"/>
    <w:rsid w:val="00CC53D8"/>
    <w:rsid w:val="00CC53E6"/>
    <w:rsid w:val="00CC53E9"/>
    <w:rsid w:val="00CC56EC"/>
    <w:rsid w:val="00CC5754"/>
    <w:rsid w:val="00CC580E"/>
    <w:rsid w:val="00CC5999"/>
    <w:rsid w:val="00CC59AB"/>
    <w:rsid w:val="00CC5A5F"/>
    <w:rsid w:val="00CC5D5E"/>
    <w:rsid w:val="00CC5E47"/>
    <w:rsid w:val="00CC5EBE"/>
    <w:rsid w:val="00CC5F0D"/>
    <w:rsid w:val="00CC6012"/>
    <w:rsid w:val="00CC60E6"/>
    <w:rsid w:val="00CC610D"/>
    <w:rsid w:val="00CC61A2"/>
    <w:rsid w:val="00CC6222"/>
    <w:rsid w:val="00CC622B"/>
    <w:rsid w:val="00CC6260"/>
    <w:rsid w:val="00CC62ED"/>
    <w:rsid w:val="00CC633B"/>
    <w:rsid w:val="00CC6391"/>
    <w:rsid w:val="00CC63C7"/>
    <w:rsid w:val="00CC647D"/>
    <w:rsid w:val="00CC65F7"/>
    <w:rsid w:val="00CC6764"/>
    <w:rsid w:val="00CC67DA"/>
    <w:rsid w:val="00CC6864"/>
    <w:rsid w:val="00CC6868"/>
    <w:rsid w:val="00CC6871"/>
    <w:rsid w:val="00CC68AC"/>
    <w:rsid w:val="00CC68B6"/>
    <w:rsid w:val="00CC6A19"/>
    <w:rsid w:val="00CC6A3D"/>
    <w:rsid w:val="00CC6A8D"/>
    <w:rsid w:val="00CC6ACE"/>
    <w:rsid w:val="00CC6B8E"/>
    <w:rsid w:val="00CC6D92"/>
    <w:rsid w:val="00CC6ECA"/>
    <w:rsid w:val="00CC7020"/>
    <w:rsid w:val="00CC7123"/>
    <w:rsid w:val="00CC716A"/>
    <w:rsid w:val="00CC723A"/>
    <w:rsid w:val="00CC72AB"/>
    <w:rsid w:val="00CC7315"/>
    <w:rsid w:val="00CC734F"/>
    <w:rsid w:val="00CC7387"/>
    <w:rsid w:val="00CC740A"/>
    <w:rsid w:val="00CC7432"/>
    <w:rsid w:val="00CC7433"/>
    <w:rsid w:val="00CC75FC"/>
    <w:rsid w:val="00CC762A"/>
    <w:rsid w:val="00CC7839"/>
    <w:rsid w:val="00CC7911"/>
    <w:rsid w:val="00CC7D1E"/>
    <w:rsid w:val="00CC7D8F"/>
    <w:rsid w:val="00CC7DE8"/>
    <w:rsid w:val="00CC7E36"/>
    <w:rsid w:val="00CC7E73"/>
    <w:rsid w:val="00CC7F45"/>
    <w:rsid w:val="00CD016A"/>
    <w:rsid w:val="00CD01D8"/>
    <w:rsid w:val="00CD02DC"/>
    <w:rsid w:val="00CD0427"/>
    <w:rsid w:val="00CD043F"/>
    <w:rsid w:val="00CD048D"/>
    <w:rsid w:val="00CD051C"/>
    <w:rsid w:val="00CD0577"/>
    <w:rsid w:val="00CD05AC"/>
    <w:rsid w:val="00CD067E"/>
    <w:rsid w:val="00CD06DD"/>
    <w:rsid w:val="00CD0726"/>
    <w:rsid w:val="00CD086F"/>
    <w:rsid w:val="00CD0899"/>
    <w:rsid w:val="00CD0983"/>
    <w:rsid w:val="00CD0AA1"/>
    <w:rsid w:val="00CD0ACB"/>
    <w:rsid w:val="00CD0B8C"/>
    <w:rsid w:val="00CD0C59"/>
    <w:rsid w:val="00CD0CA0"/>
    <w:rsid w:val="00CD0CC4"/>
    <w:rsid w:val="00CD0CC9"/>
    <w:rsid w:val="00CD0E31"/>
    <w:rsid w:val="00CD0F1C"/>
    <w:rsid w:val="00CD0FB1"/>
    <w:rsid w:val="00CD0FDB"/>
    <w:rsid w:val="00CD10B7"/>
    <w:rsid w:val="00CD1338"/>
    <w:rsid w:val="00CD1369"/>
    <w:rsid w:val="00CD1387"/>
    <w:rsid w:val="00CD13A3"/>
    <w:rsid w:val="00CD1404"/>
    <w:rsid w:val="00CD140D"/>
    <w:rsid w:val="00CD14F1"/>
    <w:rsid w:val="00CD19E3"/>
    <w:rsid w:val="00CD1A6F"/>
    <w:rsid w:val="00CD1A70"/>
    <w:rsid w:val="00CD1B4E"/>
    <w:rsid w:val="00CD1D36"/>
    <w:rsid w:val="00CD1F21"/>
    <w:rsid w:val="00CD2007"/>
    <w:rsid w:val="00CD20B8"/>
    <w:rsid w:val="00CD22A0"/>
    <w:rsid w:val="00CD23BE"/>
    <w:rsid w:val="00CD240C"/>
    <w:rsid w:val="00CD24A0"/>
    <w:rsid w:val="00CD2547"/>
    <w:rsid w:val="00CD25AC"/>
    <w:rsid w:val="00CD268E"/>
    <w:rsid w:val="00CD27F9"/>
    <w:rsid w:val="00CD28DE"/>
    <w:rsid w:val="00CD2A12"/>
    <w:rsid w:val="00CD2AC9"/>
    <w:rsid w:val="00CD2AD3"/>
    <w:rsid w:val="00CD2CBA"/>
    <w:rsid w:val="00CD2DF1"/>
    <w:rsid w:val="00CD2F46"/>
    <w:rsid w:val="00CD2FB0"/>
    <w:rsid w:val="00CD3014"/>
    <w:rsid w:val="00CD30C1"/>
    <w:rsid w:val="00CD30EB"/>
    <w:rsid w:val="00CD3126"/>
    <w:rsid w:val="00CD3252"/>
    <w:rsid w:val="00CD3365"/>
    <w:rsid w:val="00CD34D2"/>
    <w:rsid w:val="00CD3542"/>
    <w:rsid w:val="00CD3589"/>
    <w:rsid w:val="00CD3691"/>
    <w:rsid w:val="00CD36A8"/>
    <w:rsid w:val="00CD377A"/>
    <w:rsid w:val="00CD386C"/>
    <w:rsid w:val="00CD395E"/>
    <w:rsid w:val="00CD3A76"/>
    <w:rsid w:val="00CD3BC7"/>
    <w:rsid w:val="00CD3C6C"/>
    <w:rsid w:val="00CD3D01"/>
    <w:rsid w:val="00CD3D52"/>
    <w:rsid w:val="00CD3D75"/>
    <w:rsid w:val="00CD3E95"/>
    <w:rsid w:val="00CD3EB3"/>
    <w:rsid w:val="00CD3EDA"/>
    <w:rsid w:val="00CD3EEA"/>
    <w:rsid w:val="00CD3F00"/>
    <w:rsid w:val="00CD3F23"/>
    <w:rsid w:val="00CD3F4A"/>
    <w:rsid w:val="00CD3F60"/>
    <w:rsid w:val="00CD4083"/>
    <w:rsid w:val="00CD41DC"/>
    <w:rsid w:val="00CD42E0"/>
    <w:rsid w:val="00CD444E"/>
    <w:rsid w:val="00CD44DE"/>
    <w:rsid w:val="00CD4528"/>
    <w:rsid w:val="00CD4539"/>
    <w:rsid w:val="00CD4542"/>
    <w:rsid w:val="00CD4771"/>
    <w:rsid w:val="00CD47EF"/>
    <w:rsid w:val="00CD4950"/>
    <w:rsid w:val="00CD4A30"/>
    <w:rsid w:val="00CD4A31"/>
    <w:rsid w:val="00CD4A42"/>
    <w:rsid w:val="00CD4B25"/>
    <w:rsid w:val="00CD4BCE"/>
    <w:rsid w:val="00CD4C11"/>
    <w:rsid w:val="00CD4C8C"/>
    <w:rsid w:val="00CD4D01"/>
    <w:rsid w:val="00CD4E1F"/>
    <w:rsid w:val="00CD4FE1"/>
    <w:rsid w:val="00CD51A5"/>
    <w:rsid w:val="00CD536C"/>
    <w:rsid w:val="00CD53B0"/>
    <w:rsid w:val="00CD53E9"/>
    <w:rsid w:val="00CD5579"/>
    <w:rsid w:val="00CD557E"/>
    <w:rsid w:val="00CD566D"/>
    <w:rsid w:val="00CD5854"/>
    <w:rsid w:val="00CD5ACC"/>
    <w:rsid w:val="00CD5B0F"/>
    <w:rsid w:val="00CD5B51"/>
    <w:rsid w:val="00CD5BBA"/>
    <w:rsid w:val="00CD5DD7"/>
    <w:rsid w:val="00CD5DE6"/>
    <w:rsid w:val="00CD6445"/>
    <w:rsid w:val="00CD6454"/>
    <w:rsid w:val="00CD67D3"/>
    <w:rsid w:val="00CD67E2"/>
    <w:rsid w:val="00CD6807"/>
    <w:rsid w:val="00CD6A9F"/>
    <w:rsid w:val="00CD6AC0"/>
    <w:rsid w:val="00CD6C06"/>
    <w:rsid w:val="00CD6D80"/>
    <w:rsid w:val="00CD6F43"/>
    <w:rsid w:val="00CD71F4"/>
    <w:rsid w:val="00CD7380"/>
    <w:rsid w:val="00CD7642"/>
    <w:rsid w:val="00CD76C2"/>
    <w:rsid w:val="00CD77AD"/>
    <w:rsid w:val="00CD77CC"/>
    <w:rsid w:val="00CD77F1"/>
    <w:rsid w:val="00CD796C"/>
    <w:rsid w:val="00CD7AAB"/>
    <w:rsid w:val="00CD7B80"/>
    <w:rsid w:val="00CD7D6F"/>
    <w:rsid w:val="00CD7E5D"/>
    <w:rsid w:val="00CD7ECF"/>
    <w:rsid w:val="00CD7F81"/>
    <w:rsid w:val="00CD7FAD"/>
    <w:rsid w:val="00CE0074"/>
    <w:rsid w:val="00CE00D0"/>
    <w:rsid w:val="00CE016D"/>
    <w:rsid w:val="00CE0218"/>
    <w:rsid w:val="00CE0356"/>
    <w:rsid w:val="00CE040E"/>
    <w:rsid w:val="00CE04F0"/>
    <w:rsid w:val="00CE0505"/>
    <w:rsid w:val="00CE059E"/>
    <w:rsid w:val="00CE0659"/>
    <w:rsid w:val="00CE0699"/>
    <w:rsid w:val="00CE0742"/>
    <w:rsid w:val="00CE077E"/>
    <w:rsid w:val="00CE07EB"/>
    <w:rsid w:val="00CE08AA"/>
    <w:rsid w:val="00CE0A00"/>
    <w:rsid w:val="00CE0A54"/>
    <w:rsid w:val="00CE0A7B"/>
    <w:rsid w:val="00CE0B91"/>
    <w:rsid w:val="00CE0F79"/>
    <w:rsid w:val="00CE10CE"/>
    <w:rsid w:val="00CE134C"/>
    <w:rsid w:val="00CE13DB"/>
    <w:rsid w:val="00CE158F"/>
    <w:rsid w:val="00CE15AC"/>
    <w:rsid w:val="00CE1705"/>
    <w:rsid w:val="00CE1710"/>
    <w:rsid w:val="00CE171A"/>
    <w:rsid w:val="00CE174C"/>
    <w:rsid w:val="00CE185E"/>
    <w:rsid w:val="00CE1958"/>
    <w:rsid w:val="00CE19A5"/>
    <w:rsid w:val="00CE1D23"/>
    <w:rsid w:val="00CE1DE2"/>
    <w:rsid w:val="00CE1DF7"/>
    <w:rsid w:val="00CE1F0C"/>
    <w:rsid w:val="00CE1F90"/>
    <w:rsid w:val="00CE206A"/>
    <w:rsid w:val="00CE2094"/>
    <w:rsid w:val="00CE2096"/>
    <w:rsid w:val="00CE2162"/>
    <w:rsid w:val="00CE227B"/>
    <w:rsid w:val="00CE237D"/>
    <w:rsid w:val="00CE23AA"/>
    <w:rsid w:val="00CE2448"/>
    <w:rsid w:val="00CE24C8"/>
    <w:rsid w:val="00CE2688"/>
    <w:rsid w:val="00CE27D1"/>
    <w:rsid w:val="00CE27D8"/>
    <w:rsid w:val="00CE288D"/>
    <w:rsid w:val="00CE28E3"/>
    <w:rsid w:val="00CE2B39"/>
    <w:rsid w:val="00CE2C4B"/>
    <w:rsid w:val="00CE2C59"/>
    <w:rsid w:val="00CE2C91"/>
    <w:rsid w:val="00CE2D4A"/>
    <w:rsid w:val="00CE2EB5"/>
    <w:rsid w:val="00CE3049"/>
    <w:rsid w:val="00CE3059"/>
    <w:rsid w:val="00CE3243"/>
    <w:rsid w:val="00CE344A"/>
    <w:rsid w:val="00CE351B"/>
    <w:rsid w:val="00CE3548"/>
    <w:rsid w:val="00CE3616"/>
    <w:rsid w:val="00CE3643"/>
    <w:rsid w:val="00CE3740"/>
    <w:rsid w:val="00CE37B7"/>
    <w:rsid w:val="00CE386E"/>
    <w:rsid w:val="00CE3ABE"/>
    <w:rsid w:val="00CE3ADC"/>
    <w:rsid w:val="00CE3ADF"/>
    <w:rsid w:val="00CE3BF4"/>
    <w:rsid w:val="00CE3C0D"/>
    <w:rsid w:val="00CE3CEA"/>
    <w:rsid w:val="00CE3D64"/>
    <w:rsid w:val="00CE3F46"/>
    <w:rsid w:val="00CE4019"/>
    <w:rsid w:val="00CE4127"/>
    <w:rsid w:val="00CE41E9"/>
    <w:rsid w:val="00CE4233"/>
    <w:rsid w:val="00CE4242"/>
    <w:rsid w:val="00CE4338"/>
    <w:rsid w:val="00CE4742"/>
    <w:rsid w:val="00CE4749"/>
    <w:rsid w:val="00CE4989"/>
    <w:rsid w:val="00CE49A9"/>
    <w:rsid w:val="00CE49AB"/>
    <w:rsid w:val="00CE4BAD"/>
    <w:rsid w:val="00CE4BCF"/>
    <w:rsid w:val="00CE4BE3"/>
    <w:rsid w:val="00CE4E40"/>
    <w:rsid w:val="00CE4EC7"/>
    <w:rsid w:val="00CE4EDA"/>
    <w:rsid w:val="00CE4FA1"/>
    <w:rsid w:val="00CE50C8"/>
    <w:rsid w:val="00CE50D5"/>
    <w:rsid w:val="00CE54D6"/>
    <w:rsid w:val="00CE561D"/>
    <w:rsid w:val="00CE56A2"/>
    <w:rsid w:val="00CE56B1"/>
    <w:rsid w:val="00CE5717"/>
    <w:rsid w:val="00CE5766"/>
    <w:rsid w:val="00CE59D4"/>
    <w:rsid w:val="00CE5A81"/>
    <w:rsid w:val="00CE5B73"/>
    <w:rsid w:val="00CE5D03"/>
    <w:rsid w:val="00CE5D51"/>
    <w:rsid w:val="00CE5DC3"/>
    <w:rsid w:val="00CE5E29"/>
    <w:rsid w:val="00CE5F52"/>
    <w:rsid w:val="00CE5F60"/>
    <w:rsid w:val="00CE6076"/>
    <w:rsid w:val="00CE60EE"/>
    <w:rsid w:val="00CE6175"/>
    <w:rsid w:val="00CE61B6"/>
    <w:rsid w:val="00CE61FA"/>
    <w:rsid w:val="00CE628F"/>
    <w:rsid w:val="00CE62AC"/>
    <w:rsid w:val="00CE6392"/>
    <w:rsid w:val="00CE6468"/>
    <w:rsid w:val="00CE6493"/>
    <w:rsid w:val="00CE66BF"/>
    <w:rsid w:val="00CE66C5"/>
    <w:rsid w:val="00CE673A"/>
    <w:rsid w:val="00CE67CF"/>
    <w:rsid w:val="00CE6939"/>
    <w:rsid w:val="00CE6946"/>
    <w:rsid w:val="00CE6A35"/>
    <w:rsid w:val="00CE6A73"/>
    <w:rsid w:val="00CE6AD4"/>
    <w:rsid w:val="00CE6BDF"/>
    <w:rsid w:val="00CE6C31"/>
    <w:rsid w:val="00CE6C59"/>
    <w:rsid w:val="00CE6CD0"/>
    <w:rsid w:val="00CE6EA2"/>
    <w:rsid w:val="00CE706A"/>
    <w:rsid w:val="00CE70A8"/>
    <w:rsid w:val="00CE70C5"/>
    <w:rsid w:val="00CE7135"/>
    <w:rsid w:val="00CE7520"/>
    <w:rsid w:val="00CE7522"/>
    <w:rsid w:val="00CE75E6"/>
    <w:rsid w:val="00CE7665"/>
    <w:rsid w:val="00CE76B9"/>
    <w:rsid w:val="00CE770B"/>
    <w:rsid w:val="00CE7897"/>
    <w:rsid w:val="00CE79FE"/>
    <w:rsid w:val="00CE7B2C"/>
    <w:rsid w:val="00CE7B39"/>
    <w:rsid w:val="00CE7B5A"/>
    <w:rsid w:val="00CE7B72"/>
    <w:rsid w:val="00CE7BF3"/>
    <w:rsid w:val="00CE7C18"/>
    <w:rsid w:val="00CE7C87"/>
    <w:rsid w:val="00CE7D4A"/>
    <w:rsid w:val="00CE7E85"/>
    <w:rsid w:val="00CE7ED7"/>
    <w:rsid w:val="00CF0060"/>
    <w:rsid w:val="00CF02BB"/>
    <w:rsid w:val="00CF0383"/>
    <w:rsid w:val="00CF03EF"/>
    <w:rsid w:val="00CF04D8"/>
    <w:rsid w:val="00CF061B"/>
    <w:rsid w:val="00CF0646"/>
    <w:rsid w:val="00CF0726"/>
    <w:rsid w:val="00CF079F"/>
    <w:rsid w:val="00CF0AFC"/>
    <w:rsid w:val="00CF0E11"/>
    <w:rsid w:val="00CF1027"/>
    <w:rsid w:val="00CF12A2"/>
    <w:rsid w:val="00CF12C2"/>
    <w:rsid w:val="00CF1300"/>
    <w:rsid w:val="00CF14B8"/>
    <w:rsid w:val="00CF14EA"/>
    <w:rsid w:val="00CF15AA"/>
    <w:rsid w:val="00CF1623"/>
    <w:rsid w:val="00CF180F"/>
    <w:rsid w:val="00CF1A2D"/>
    <w:rsid w:val="00CF1C04"/>
    <w:rsid w:val="00CF1C1B"/>
    <w:rsid w:val="00CF1CB0"/>
    <w:rsid w:val="00CF1D3F"/>
    <w:rsid w:val="00CF1D90"/>
    <w:rsid w:val="00CF1E74"/>
    <w:rsid w:val="00CF1F56"/>
    <w:rsid w:val="00CF2019"/>
    <w:rsid w:val="00CF20CF"/>
    <w:rsid w:val="00CF2118"/>
    <w:rsid w:val="00CF211E"/>
    <w:rsid w:val="00CF2269"/>
    <w:rsid w:val="00CF22C8"/>
    <w:rsid w:val="00CF233D"/>
    <w:rsid w:val="00CF25A9"/>
    <w:rsid w:val="00CF2689"/>
    <w:rsid w:val="00CF27ED"/>
    <w:rsid w:val="00CF283B"/>
    <w:rsid w:val="00CF28E2"/>
    <w:rsid w:val="00CF2913"/>
    <w:rsid w:val="00CF2970"/>
    <w:rsid w:val="00CF2B29"/>
    <w:rsid w:val="00CF2B38"/>
    <w:rsid w:val="00CF2B47"/>
    <w:rsid w:val="00CF2B95"/>
    <w:rsid w:val="00CF2D1D"/>
    <w:rsid w:val="00CF30B1"/>
    <w:rsid w:val="00CF32B5"/>
    <w:rsid w:val="00CF32E7"/>
    <w:rsid w:val="00CF33A1"/>
    <w:rsid w:val="00CF33E8"/>
    <w:rsid w:val="00CF3425"/>
    <w:rsid w:val="00CF34C1"/>
    <w:rsid w:val="00CF35FD"/>
    <w:rsid w:val="00CF37B0"/>
    <w:rsid w:val="00CF37E7"/>
    <w:rsid w:val="00CF3879"/>
    <w:rsid w:val="00CF3968"/>
    <w:rsid w:val="00CF3A18"/>
    <w:rsid w:val="00CF3A28"/>
    <w:rsid w:val="00CF3BA2"/>
    <w:rsid w:val="00CF3BC7"/>
    <w:rsid w:val="00CF3C8C"/>
    <w:rsid w:val="00CF3F38"/>
    <w:rsid w:val="00CF3F94"/>
    <w:rsid w:val="00CF3FCE"/>
    <w:rsid w:val="00CF4086"/>
    <w:rsid w:val="00CF4220"/>
    <w:rsid w:val="00CF432A"/>
    <w:rsid w:val="00CF439F"/>
    <w:rsid w:val="00CF443E"/>
    <w:rsid w:val="00CF4615"/>
    <w:rsid w:val="00CF4718"/>
    <w:rsid w:val="00CF490D"/>
    <w:rsid w:val="00CF4A4A"/>
    <w:rsid w:val="00CF4ADA"/>
    <w:rsid w:val="00CF4B27"/>
    <w:rsid w:val="00CF4BEE"/>
    <w:rsid w:val="00CF4EE6"/>
    <w:rsid w:val="00CF4FC0"/>
    <w:rsid w:val="00CF5040"/>
    <w:rsid w:val="00CF512C"/>
    <w:rsid w:val="00CF5153"/>
    <w:rsid w:val="00CF52DB"/>
    <w:rsid w:val="00CF54ED"/>
    <w:rsid w:val="00CF554F"/>
    <w:rsid w:val="00CF55D9"/>
    <w:rsid w:val="00CF5658"/>
    <w:rsid w:val="00CF56F7"/>
    <w:rsid w:val="00CF574B"/>
    <w:rsid w:val="00CF5778"/>
    <w:rsid w:val="00CF57F9"/>
    <w:rsid w:val="00CF5989"/>
    <w:rsid w:val="00CF5993"/>
    <w:rsid w:val="00CF59F0"/>
    <w:rsid w:val="00CF5AF3"/>
    <w:rsid w:val="00CF5CC2"/>
    <w:rsid w:val="00CF5CF4"/>
    <w:rsid w:val="00CF5D26"/>
    <w:rsid w:val="00CF5E04"/>
    <w:rsid w:val="00CF5F43"/>
    <w:rsid w:val="00CF5FA3"/>
    <w:rsid w:val="00CF61E7"/>
    <w:rsid w:val="00CF623A"/>
    <w:rsid w:val="00CF6259"/>
    <w:rsid w:val="00CF62C9"/>
    <w:rsid w:val="00CF6715"/>
    <w:rsid w:val="00CF688A"/>
    <w:rsid w:val="00CF688D"/>
    <w:rsid w:val="00CF68A4"/>
    <w:rsid w:val="00CF6915"/>
    <w:rsid w:val="00CF6A24"/>
    <w:rsid w:val="00CF6B28"/>
    <w:rsid w:val="00CF6EA1"/>
    <w:rsid w:val="00CF6EBE"/>
    <w:rsid w:val="00CF6EC7"/>
    <w:rsid w:val="00CF6F1A"/>
    <w:rsid w:val="00CF7120"/>
    <w:rsid w:val="00CF71B6"/>
    <w:rsid w:val="00CF71CD"/>
    <w:rsid w:val="00CF724C"/>
    <w:rsid w:val="00CF7274"/>
    <w:rsid w:val="00CF7362"/>
    <w:rsid w:val="00CF7412"/>
    <w:rsid w:val="00CF74D8"/>
    <w:rsid w:val="00CF7704"/>
    <w:rsid w:val="00CF779B"/>
    <w:rsid w:val="00CF7914"/>
    <w:rsid w:val="00CF79B1"/>
    <w:rsid w:val="00CF7BC5"/>
    <w:rsid w:val="00CF7D3A"/>
    <w:rsid w:val="00CF7D77"/>
    <w:rsid w:val="00CF7E1A"/>
    <w:rsid w:val="00CF7E80"/>
    <w:rsid w:val="00CF7F68"/>
    <w:rsid w:val="00CF7F7F"/>
    <w:rsid w:val="00D00055"/>
    <w:rsid w:val="00D000EA"/>
    <w:rsid w:val="00D001B4"/>
    <w:rsid w:val="00D001BB"/>
    <w:rsid w:val="00D00221"/>
    <w:rsid w:val="00D00245"/>
    <w:rsid w:val="00D00290"/>
    <w:rsid w:val="00D0036B"/>
    <w:rsid w:val="00D003B7"/>
    <w:rsid w:val="00D00439"/>
    <w:rsid w:val="00D00482"/>
    <w:rsid w:val="00D0054F"/>
    <w:rsid w:val="00D006CF"/>
    <w:rsid w:val="00D00768"/>
    <w:rsid w:val="00D00788"/>
    <w:rsid w:val="00D0085E"/>
    <w:rsid w:val="00D008A0"/>
    <w:rsid w:val="00D00A1D"/>
    <w:rsid w:val="00D00AC6"/>
    <w:rsid w:val="00D00AD5"/>
    <w:rsid w:val="00D00AF0"/>
    <w:rsid w:val="00D00CE1"/>
    <w:rsid w:val="00D00D62"/>
    <w:rsid w:val="00D00DCD"/>
    <w:rsid w:val="00D00DF3"/>
    <w:rsid w:val="00D00E14"/>
    <w:rsid w:val="00D00E36"/>
    <w:rsid w:val="00D0120E"/>
    <w:rsid w:val="00D01212"/>
    <w:rsid w:val="00D0142A"/>
    <w:rsid w:val="00D0145D"/>
    <w:rsid w:val="00D018FD"/>
    <w:rsid w:val="00D01902"/>
    <w:rsid w:val="00D01A17"/>
    <w:rsid w:val="00D01BDF"/>
    <w:rsid w:val="00D01C9B"/>
    <w:rsid w:val="00D01CA6"/>
    <w:rsid w:val="00D01D2C"/>
    <w:rsid w:val="00D0205A"/>
    <w:rsid w:val="00D02089"/>
    <w:rsid w:val="00D02215"/>
    <w:rsid w:val="00D0222C"/>
    <w:rsid w:val="00D0230F"/>
    <w:rsid w:val="00D024B3"/>
    <w:rsid w:val="00D02546"/>
    <w:rsid w:val="00D0257F"/>
    <w:rsid w:val="00D025EE"/>
    <w:rsid w:val="00D02778"/>
    <w:rsid w:val="00D0290D"/>
    <w:rsid w:val="00D029D1"/>
    <w:rsid w:val="00D02B54"/>
    <w:rsid w:val="00D02C3A"/>
    <w:rsid w:val="00D02CBD"/>
    <w:rsid w:val="00D02F12"/>
    <w:rsid w:val="00D02F4F"/>
    <w:rsid w:val="00D03282"/>
    <w:rsid w:val="00D03421"/>
    <w:rsid w:val="00D0344B"/>
    <w:rsid w:val="00D034A1"/>
    <w:rsid w:val="00D034E1"/>
    <w:rsid w:val="00D035C5"/>
    <w:rsid w:val="00D036C3"/>
    <w:rsid w:val="00D0399F"/>
    <w:rsid w:val="00D03B37"/>
    <w:rsid w:val="00D03B4B"/>
    <w:rsid w:val="00D03BFF"/>
    <w:rsid w:val="00D03DCC"/>
    <w:rsid w:val="00D03DF4"/>
    <w:rsid w:val="00D03E28"/>
    <w:rsid w:val="00D03EC6"/>
    <w:rsid w:val="00D0400C"/>
    <w:rsid w:val="00D040AA"/>
    <w:rsid w:val="00D04100"/>
    <w:rsid w:val="00D0415B"/>
    <w:rsid w:val="00D041AC"/>
    <w:rsid w:val="00D0422C"/>
    <w:rsid w:val="00D042B4"/>
    <w:rsid w:val="00D04320"/>
    <w:rsid w:val="00D043BF"/>
    <w:rsid w:val="00D043F5"/>
    <w:rsid w:val="00D044F3"/>
    <w:rsid w:val="00D04505"/>
    <w:rsid w:val="00D045FB"/>
    <w:rsid w:val="00D046C8"/>
    <w:rsid w:val="00D046EB"/>
    <w:rsid w:val="00D046F0"/>
    <w:rsid w:val="00D0471B"/>
    <w:rsid w:val="00D047D7"/>
    <w:rsid w:val="00D047E9"/>
    <w:rsid w:val="00D0481F"/>
    <w:rsid w:val="00D048A2"/>
    <w:rsid w:val="00D048E0"/>
    <w:rsid w:val="00D04A42"/>
    <w:rsid w:val="00D04C5B"/>
    <w:rsid w:val="00D04C82"/>
    <w:rsid w:val="00D04CB3"/>
    <w:rsid w:val="00D0508B"/>
    <w:rsid w:val="00D051D6"/>
    <w:rsid w:val="00D05521"/>
    <w:rsid w:val="00D055BB"/>
    <w:rsid w:val="00D05823"/>
    <w:rsid w:val="00D0594F"/>
    <w:rsid w:val="00D05A9A"/>
    <w:rsid w:val="00D05B68"/>
    <w:rsid w:val="00D05D51"/>
    <w:rsid w:val="00D05FEA"/>
    <w:rsid w:val="00D06164"/>
    <w:rsid w:val="00D06219"/>
    <w:rsid w:val="00D0625C"/>
    <w:rsid w:val="00D06334"/>
    <w:rsid w:val="00D0634E"/>
    <w:rsid w:val="00D06746"/>
    <w:rsid w:val="00D06749"/>
    <w:rsid w:val="00D06844"/>
    <w:rsid w:val="00D06968"/>
    <w:rsid w:val="00D06A52"/>
    <w:rsid w:val="00D06D49"/>
    <w:rsid w:val="00D06DB5"/>
    <w:rsid w:val="00D06ECF"/>
    <w:rsid w:val="00D06FC7"/>
    <w:rsid w:val="00D071AB"/>
    <w:rsid w:val="00D072E7"/>
    <w:rsid w:val="00D0732A"/>
    <w:rsid w:val="00D073F6"/>
    <w:rsid w:val="00D07431"/>
    <w:rsid w:val="00D07449"/>
    <w:rsid w:val="00D075F0"/>
    <w:rsid w:val="00D07728"/>
    <w:rsid w:val="00D07793"/>
    <w:rsid w:val="00D077A0"/>
    <w:rsid w:val="00D07A35"/>
    <w:rsid w:val="00D07A7A"/>
    <w:rsid w:val="00D07ACD"/>
    <w:rsid w:val="00D07B89"/>
    <w:rsid w:val="00D07C2C"/>
    <w:rsid w:val="00D07D3D"/>
    <w:rsid w:val="00D07E18"/>
    <w:rsid w:val="00D07E7C"/>
    <w:rsid w:val="00D07F6E"/>
    <w:rsid w:val="00D07FEB"/>
    <w:rsid w:val="00D10078"/>
    <w:rsid w:val="00D10105"/>
    <w:rsid w:val="00D1013F"/>
    <w:rsid w:val="00D1030C"/>
    <w:rsid w:val="00D1032D"/>
    <w:rsid w:val="00D103F1"/>
    <w:rsid w:val="00D10431"/>
    <w:rsid w:val="00D104DE"/>
    <w:rsid w:val="00D106DA"/>
    <w:rsid w:val="00D1081D"/>
    <w:rsid w:val="00D10834"/>
    <w:rsid w:val="00D1087D"/>
    <w:rsid w:val="00D108D2"/>
    <w:rsid w:val="00D10B8C"/>
    <w:rsid w:val="00D10B8D"/>
    <w:rsid w:val="00D10BAB"/>
    <w:rsid w:val="00D10BD7"/>
    <w:rsid w:val="00D10F9A"/>
    <w:rsid w:val="00D10FDF"/>
    <w:rsid w:val="00D10FE2"/>
    <w:rsid w:val="00D1109F"/>
    <w:rsid w:val="00D11230"/>
    <w:rsid w:val="00D1124D"/>
    <w:rsid w:val="00D11326"/>
    <w:rsid w:val="00D1137D"/>
    <w:rsid w:val="00D113C8"/>
    <w:rsid w:val="00D1140B"/>
    <w:rsid w:val="00D1147E"/>
    <w:rsid w:val="00D116C3"/>
    <w:rsid w:val="00D11760"/>
    <w:rsid w:val="00D117C0"/>
    <w:rsid w:val="00D11AE4"/>
    <w:rsid w:val="00D11C20"/>
    <w:rsid w:val="00D11CA4"/>
    <w:rsid w:val="00D11CAC"/>
    <w:rsid w:val="00D11CAD"/>
    <w:rsid w:val="00D11D63"/>
    <w:rsid w:val="00D11D7C"/>
    <w:rsid w:val="00D11DED"/>
    <w:rsid w:val="00D11EE8"/>
    <w:rsid w:val="00D11EEF"/>
    <w:rsid w:val="00D120AA"/>
    <w:rsid w:val="00D121D8"/>
    <w:rsid w:val="00D1236B"/>
    <w:rsid w:val="00D123D6"/>
    <w:rsid w:val="00D1254B"/>
    <w:rsid w:val="00D1265C"/>
    <w:rsid w:val="00D12886"/>
    <w:rsid w:val="00D128C1"/>
    <w:rsid w:val="00D12982"/>
    <w:rsid w:val="00D12A01"/>
    <w:rsid w:val="00D12A95"/>
    <w:rsid w:val="00D12C23"/>
    <w:rsid w:val="00D12CFE"/>
    <w:rsid w:val="00D12E13"/>
    <w:rsid w:val="00D12E71"/>
    <w:rsid w:val="00D12E8C"/>
    <w:rsid w:val="00D12E93"/>
    <w:rsid w:val="00D12ECF"/>
    <w:rsid w:val="00D1319E"/>
    <w:rsid w:val="00D13204"/>
    <w:rsid w:val="00D1339C"/>
    <w:rsid w:val="00D13430"/>
    <w:rsid w:val="00D13452"/>
    <w:rsid w:val="00D136CB"/>
    <w:rsid w:val="00D13865"/>
    <w:rsid w:val="00D138C5"/>
    <w:rsid w:val="00D139DC"/>
    <w:rsid w:val="00D13A4E"/>
    <w:rsid w:val="00D13A51"/>
    <w:rsid w:val="00D13B54"/>
    <w:rsid w:val="00D13BA8"/>
    <w:rsid w:val="00D13CB6"/>
    <w:rsid w:val="00D13DB9"/>
    <w:rsid w:val="00D13DC1"/>
    <w:rsid w:val="00D13F0B"/>
    <w:rsid w:val="00D13F33"/>
    <w:rsid w:val="00D14059"/>
    <w:rsid w:val="00D141C4"/>
    <w:rsid w:val="00D1422F"/>
    <w:rsid w:val="00D1444B"/>
    <w:rsid w:val="00D14536"/>
    <w:rsid w:val="00D1454F"/>
    <w:rsid w:val="00D146AC"/>
    <w:rsid w:val="00D14718"/>
    <w:rsid w:val="00D1483B"/>
    <w:rsid w:val="00D14888"/>
    <w:rsid w:val="00D148EC"/>
    <w:rsid w:val="00D148F4"/>
    <w:rsid w:val="00D149F8"/>
    <w:rsid w:val="00D14A25"/>
    <w:rsid w:val="00D14AF7"/>
    <w:rsid w:val="00D14B17"/>
    <w:rsid w:val="00D14BEA"/>
    <w:rsid w:val="00D14BF6"/>
    <w:rsid w:val="00D14C4C"/>
    <w:rsid w:val="00D14CC2"/>
    <w:rsid w:val="00D14DF2"/>
    <w:rsid w:val="00D14E59"/>
    <w:rsid w:val="00D14EA0"/>
    <w:rsid w:val="00D14EB2"/>
    <w:rsid w:val="00D14F29"/>
    <w:rsid w:val="00D1503C"/>
    <w:rsid w:val="00D150CE"/>
    <w:rsid w:val="00D15117"/>
    <w:rsid w:val="00D1540D"/>
    <w:rsid w:val="00D155B1"/>
    <w:rsid w:val="00D155DC"/>
    <w:rsid w:val="00D15635"/>
    <w:rsid w:val="00D1576B"/>
    <w:rsid w:val="00D157CF"/>
    <w:rsid w:val="00D15870"/>
    <w:rsid w:val="00D15886"/>
    <w:rsid w:val="00D159CE"/>
    <w:rsid w:val="00D159D1"/>
    <w:rsid w:val="00D15A72"/>
    <w:rsid w:val="00D15ADE"/>
    <w:rsid w:val="00D15B36"/>
    <w:rsid w:val="00D15BCD"/>
    <w:rsid w:val="00D15C79"/>
    <w:rsid w:val="00D15CCB"/>
    <w:rsid w:val="00D15DA9"/>
    <w:rsid w:val="00D15F58"/>
    <w:rsid w:val="00D16160"/>
    <w:rsid w:val="00D16308"/>
    <w:rsid w:val="00D16366"/>
    <w:rsid w:val="00D163DA"/>
    <w:rsid w:val="00D166C4"/>
    <w:rsid w:val="00D166D1"/>
    <w:rsid w:val="00D166F6"/>
    <w:rsid w:val="00D1670B"/>
    <w:rsid w:val="00D16713"/>
    <w:rsid w:val="00D168B8"/>
    <w:rsid w:val="00D1697D"/>
    <w:rsid w:val="00D16A4C"/>
    <w:rsid w:val="00D16C4C"/>
    <w:rsid w:val="00D16C9F"/>
    <w:rsid w:val="00D16CAA"/>
    <w:rsid w:val="00D16F1A"/>
    <w:rsid w:val="00D16F9B"/>
    <w:rsid w:val="00D16FC9"/>
    <w:rsid w:val="00D16FF6"/>
    <w:rsid w:val="00D170D0"/>
    <w:rsid w:val="00D17256"/>
    <w:rsid w:val="00D17299"/>
    <w:rsid w:val="00D173B0"/>
    <w:rsid w:val="00D17448"/>
    <w:rsid w:val="00D1750B"/>
    <w:rsid w:val="00D179D7"/>
    <w:rsid w:val="00D17CB4"/>
    <w:rsid w:val="00D17E2A"/>
    <w:rsid w:val="00D17EB2"/>
    <w:rsid w:val="00D17EE9"/>
    <w:rsid w:val="00D19E42"/>
    <w:rsid w:val="00D20009"/>
    <w:rsid w:val="00D20031"/>
    <w:rsid w:val="00D200C9"/>
    <w:rsid w:val="00D201D9"/>
    <w:rsid w:val="00D203A2"/>
    <w:rsid w:val="00D20469"/>
    <w:rsid w:val="00D204A2"/>
    <w:rsid w:val="00D2052C"/>
    <w:rsid w:val="00D20603"/>
    <w:rsid w:val="00D20727"/>
    <w:rsid w:val="00D20834"/>
    <w:rsid w:val="00D20A4A"/>
    <w:rsid w:val="00D20AA0"/>
    <w:rsid w:val="00D20CA5"/>
    <w:rsid w:val="00D20CC4"/>
    <w:rsid w:val="00D20D1B"/>
    <w:rsid w:val="00D20D77"/>
    <w:rsid w:val="00D20DD0"/>
    <w:rsid w:val="00D20DD3"/>
    <w:rsid w:val="00D20F5A"/>
    <w:rsid w:val="00D20F5B"/>
    <w:rsid w:val="00D20F77"/>
    <w:rsid w:val="00D20FB9"/>
    <w:rsid w:val="00D21032"/>
    <w:rsid w:val="00D210C0"/>
    <w:rsid w:val="00D21199"/>
    <w:rsid w:val="00D211A5"/>
    <w:rsid w:val="00D21309"/>
    <w:rsid w:val="00D2145F"/>
    <w:rsid w:val="00D2146B"/>
    <w:rsid w:val="00D2156C"/>
    <w:rsid w:val="00D215EE"/>
    <w:rsid w:val="00D21615"/>
    <w:rsid w:val="00D21640"/>
    <w:rsid w:val="00D21670"/>
    <w:rsid w:val="00D216B7"/>
    <w:rsid w:val="00D21835"/>
    <w:rsid w:val="00D21865"/>
    <w:rsid w:val="00D219EF"/>
    <w:rsid w:val="00D21B75"/>
    <w:rsid w:val="00D21BF2"/>
    <w:rsid w:val="00D21D33"/>
    <w:rsid w:val="00D21E22"/>
    <w:rsid w:val="00D21E89"/>
    <w:rsid w:val="00D21F59"/>
    <w:rsid w:val="00D21FC4"/>
    <w:rsid w:val="00D224A9"/>
    <w:rsid w:val="00D226C5"/>
    <w:rsid w:val="00D22834"/>
    <w:rsid w:val="00D22851"/>
    <w:rsid w:val="00D22875"/>
    <w:rsid w:val="00D22890"/>
    <w:rsid w:val="00D2289F"/>
    <w:rsid w:val="00D2294D"/>
    <w:rsid w:val="00D22A1E"/>
    <w:rsid w:val="00D22A62"/>
    <w:rsid w:val="00D22A64"/>
    <w:rsid w:val="00D22B0A"/>
    <w:rsid w:val="00D22D55"/>
    <w:rsid w:val="00D22DD8"/>
    <w:rsid w:val="00D22FBE"/>
    <w:rsid w:val="00D23001"/>
    <w:rsid w:val="00D231DA"/>
    <w:rsid w:val="00D23210"/>
    <w:rsid w:val="00D2322A"/>
    <w:rsid w:val="00D2325B"/>
    <w:rsid w:val="00D232DA"/>
    <w:rsid w:val="00D23392"/>
    <w:rsid w:val="00D23418"/>
    <w:rsid w:val="00D23827"/>
    <w:rsid w:val="00D238AC"/>
    <w:rsid w:val="00D238DD"/>
    <w:rsid w:val="00D23924"/>
    <w:rsid w:val="00D23974"/>
    <w:rsid w:val="00D23BFE"/>
    <w:rsid w:val="00D23C25"/>
    <w:rsid w:val="00D23C86"/>
    <w:rsid w:val="00D23CA4"/>
    <w:rsid w:val="00D23D5D"/>
    <w:rsid w:val="00D23F4F"/>
    <w:rsid w:val="00D23FB3"/>
    <w:rsid w:val="00D240D0"/>
    <w:rsid w:val="00D24113"/>
    <w:rsid w:val="00D242C4"/>
    <w:rsid w:val="00D24308"/>
    <w:rsid w:val="00D2436E"/>
    <w:rsid w:val="00D24524"/>
    <w:rsid w:val="00D2454E"/>
    <w:rsid w:val="00D24581"/>
    <w:rsid w:val="00D2470F"/>
    <w:rsid w:val="00D24742"/>
    <w:rsid w:val="00D24884"/>
    <w:rsid w:val="00D24891"/>
    <w:rsid w:val="00D248A9"/>
    <w:rsid w:val="00D248BE"/>
    <w:rsid w:val="00D249BA"/>
    <w:rsid w:val="00D24A46"/>
    <w:rsid w:val="00D24BB1"/>
    <w:rsid w:val="00D24BF2"/>
    <w:rsid w:val="00D24C7C"/>
    <w:rsid w:val="00D24D06"/>
    <w:rsid w:val="00D24D54"/>
    <w:rsid w:val="00D24E52"/>
    <w:rsid w:val="00D24ECC"/>
    <w:rsid w:val="00D24ED7"/>
    <w:rsid w:val="00D24FD2"/>
    <w:rsid w:val="00D2503A"/>
    <w:rsid w:val="00D25143"/>
    <w:rsid w:val="00D25451"/>
    <w:rsid w:val="00D25564"/>
    <w:rsid w:val="00D256B3"/>
    <w:rsid w:val="00D2578B"/>
    <w:rsid w:val="00D257A2"/>
    <w:rsid w:val="00D258E5"/>
    <w:rsid w:val="00D2590D"/>
    <w:rsid w:val="00D2599C"/>
    <w:rsid w:val="00D259D2"/>
    <w:rsid w:val="00D25A9C"/>
    <w:rsid w:val="00D25D25"/>
    <w:rsid w:val="00D25F19"/>
    <w:rsid w:val="00D2612E"/>
    <w:rsid w:val="00D26342"/>
    <w:rsid w:val="00D2636C"/>
    <w:rsid w:val="00D263ED"/>
    <w:rsid w:val="00D26401"/>
    <w:rsid w:val="00D26586"/>
    <w:rsid w:val="00D265BC"/>
    <w:rsid w:val="00D266C9"/>
    <w:rsid w:val="00D267AF"/>
    <w:rsid w:val="00D267B2"/>
    <w:rsid w:val="00D2692D"/>
    <w:rsid w:val="00D269E2"/>
    <w:rsid w:val="00D26AF8"/>
    <w:rsid w:val="00D26D3D"/>
    <w:rsid w:val="00D26D49"/>
    <w:rsid w:val="00D26DFC"/>
    <w:rsid w:val="00D26EBE"/>
    <w:rsid w:val="00D270EC"/>
    <w:rsid w:val="00D2710C"/>
    <w:rsid w:val="00D27302"/>
    <w:rsid w:val="00D2737F"/>
    <w:rsid w:val="00D2742F"/>
    <w:rsid w:val="00D274B4"/>
    <w:rsid w:val="00D27515"/>
    <w:rsid w:val="00D2768E"/>
    <w:rsid w:val="00D276B1"/>
    <w:rsid w:val="00D277C3"/>
    <w:rsid w:val="00D27830"/>
    <w:rsid w:val="00D27953"/>
    <w:rsid w:val="00D2799C"/>
    <w:rsid w:val="00D27CAB"/>
    <w:rsid w:val="00D27CCA"/>
    <w:rsid w:val="00D27D0D"/>
    <w:rsid w:val="00D27E93"/>
    <w:rsid w:val="00D27F2C"/>
    <w:rsid w:val="00D300FF"/>
    <w:rsid w:val="00D3017B"/>
    <w:rsid w:val="00D30270"/>
    <w:rsid w:val="00D30275"/>
    <w:rsid w:val="00D30311"/>
    <w:rsid w:val="00D303AB"/>
    <w:rsid w:val="00D30457"/>
    <w:rsid w:val="00D30537"/>
    <w:rsid w:val="00D3056D"/>
    <w:rsid w:val="00D3066D"/>
    <w:rsid w:val="00D3085A"/>
    <w:rsid w:val="00D30877"/>
    <w:rsid w:val="00D308EB"/>
    <w:rsid w:val="00D30AA2"/>
    <w:rsid w:val="00D30AAE"/>
    <w:rsid w:val="00D30ADC"/>
    <w:rsid w:val="00D30BB3"/>
    <w:rsid w:val="00D30BB8"/>
    <w:rsid w:val="00D30D61"/>
    <w:rsid w:val="00D30DB4"/>
    <w:rsid w:val="00D30E1C"/>
    <w:rsid w:val="00D30E43"/>
    <w:rsid w:val="00D30E52"/>
    <w:rsid w:val="00D30E62"/>
    <w:rsid w:val="00D30E92"/>
    <w:rsid w:val="00D30FBF"/>
    <w:rsid w:val="00D31045"/>
    <w:rsid w:val="00D31192"/>
    <w:rsid w:val="00D3135F"/>
    <w:rsid w:val="00D313B3"/>
    <w:rsid w:val="00D31408"/>
    <w:rsid w:val="00D3142C"/>
    <w:rsid w:val="00D31575"/>
    <w:rsid w:val="00D3164E"/>
    <w:rsid w:val="00D31662"/>
    <w:rsid w:val="00D31685"/>
    <w:rsid w:val="00D3182A"/>
    <w:rsid w:val="00D318AE"/>
    <w:rsid w:val="00D31936"/>
    <w:rsid w:val="00D319FF"/>
    <w:rsid w:val="00D31AC7"/>
    <w:rsid w:val="00D31DDE"/>
    <w:rsid w:val="00D31E61"/>
    <w:rsid w:val="00D31F5F"/>
    <w:rsid w:val="00D32051"/>
    <w:rsid w:val="00D320EC"/>
    <w:rsid w:val="00D32187"/>
    <w:rsid w:val="00D3224A"/>
    <w:rsid w:val="00D322A2"/>
    <w:rsid w:val="00D3232A"/>
    <w:rsid w:val="00D32383"/>
    <w:rsid w:val="00D32448"/>
    <w:rsid w:val="00D32522"/>
    <w:rsid w:val="00D3258B"/>
    <w:rsid w:val="00D325A4"/>
    <w:rsid w:val="00D3261A"/>
    <w:rsid w:val="00D32653"/>
    <w:rsid w:val="00D326A6"/>
    <w:rsid w:val="00D3279A"/>
    <w:rsid w:val="00D3292B"/>
    <w:rsid w:val="00D32A24"/>
    <w:rsid w:val="00D32CA3"/>
    <w:rsid w:val="00D32D75"/>
    <w:rsid w:val="00D32EEE"/>
    <w:rsid w:val="00D32FA4"/>
    <w:rsid w:val="00D331DD"/>
    <w:rsid w:val="00D331F2"/>
    <w:rsid w:val="00D33337"/>
    <w:rsid w:val="00D33523"/>
    <w:rsid w:val="00D335E9"/>
    <w:rsid w:val="00D336AA"/>
    <w:rsid w:val="00D336CC"/>
    <w:rsid w:val="00D33723"/>
    <w:rsid w:val="00D3375A"/>
    <w:rsid w:val="00D3379D"/>
    <w:rsid w:val="00D33873"/>
    <w:rsid w:val="00D338F0"/>
    <w:rsid w:val="00D3397B"/>
    <w:rsid w:val="00D33B55"/>
    <w:rsid w:val="00D33C4C"/>
    <w:rsid w:val="00D33DFA"/>
    <w:rsid w:val="00D33EDF"/>
    <w:rsid w:val="00D33F02"/>
    <w:rsid w:val="00D34040"/>
    <w:rsid w:val="00D3407F"/>
    <w:rsid w:val="00D340D2"/>
    <w:rsid w:val="00D3444F"/>
    <w:rsid w:val="00D3446E"/>
    <w:rsid w:val="00D34533"/>
    <w:rsid w:val="00D348A5"/>
    <w:rsid w:val="00D34A3E"/>
    <w:rsid w:val="00D34A4E"/>
    <w:rsid w:val="00D34AF1"/>
    <w:rsid w:val="00D34BA6"/>
    <w:rsid w:val="00D34BD7"/>
    <w:rsid w:val="00D34C76"/>
    <w:rsid w:val="00D34D25"/>
    <w:rsid w:val="00D34DC4"/>
    <w:rsid w:val="00D34EA9"/>
    <w:rsid w:val="00D35099"/>
    <w:rsid w:val="00D350DE"/>
    <w:rsid w:val="00D354FF"/>
    <w:rsid w:val="00D35584"/>
    <w:rsid w:val="00D3566D"/>
    <w:rsid w:val="00D35688"/>
    <w:rsid w:val="00D358F7"/>
    <w:rsid w:val="00D35B99"/>
    <w:rsid w:val="00D35D80"/>
    <w:rsid w:val="00D35DA8"/>
    <w:rsid w:val="00D35E13"/>
    <w:rsid w:val="00D35EE6"/>
    <w:rsid w:val="00D3618E"/>
    <w:rsid w:val="00D36191"/>
    <w:rsid w:val="00D36311"/>
    <w:rsid w:val="00D36376"/>
    <w:rsid w:val="00D363A9"/>
    <w:rsid w:val="00D364B8"/>
    <w:rsid w:val="00D36786"/>
    <w:rsid w:val="00D36790"/>
    <w:rsid w:val="00D36831"/>
    <w:rsid w:val="00D3684A"/>
    <w:rsid w:val="00D36C6E"/>
    <w:rsid w:val="00D36C97"/>
    <w:rsid w:val="00D36CBF"/>
    <w:rsid w:val="00D36E3B"/>
    <w:rsid w:val="00D36E67"/>
    <w:rsid w:val="00D36E71"/>
    <w:rsid w:val="00D36EA6"/>
    <w:rsid w:val="00D36F39"/>
    <w:rsid w:val="00D36F47"/>
    <w:rsid w:val="00D37063"/>
    <w:rsid w:val="00D370F5"/>
    <w:rsid w:val="00D370F9"/>
    <w:rsid w:val="00D371F7"/>
    <w:rsid w:val="00D3726C"/>
    <w:rsid w:val="00D37417"/>
    <w:rsid w:val="00D37440"/>
    <w:rsid w:val="00D3748E"/>
    <w:rsid w:val="00D3756B"/>
    <w:rsid w:val="00D3757A"/>
    <w:rsid w:val="00D375A3"/>
    <w:rsid w:val="00D37829"/>
    <w:rsid w:val="00D3791B"/>
    <w:rsid w:val="00D3794A"/>
    <w:rsid w:val="00D37B9E"/>
    <w:rsid w:val="00D37BD7"/>
    <w:rsid w:val="00D37C19"/>
    <w:rsid w:val="00D37C2A"/>
    <w:rsid w:val="00D37C44"/>
    <w:rsid w:val="00D37DB7"/>
    <w:rsid w:val="00D37DEA"/>
    <w:rsid w:val="00D37EC8"/>
    <w:rsid w:val="00D37EF5"/>
    <w:rsid w:val="00D37F38"/>
    <w:rsid w:val="00D37F4D"/>
    <w:rsid w:val="00D37F9D"/>
    <w:rsid w:val="00D40004"/>
    <w:rsid w:val="00D4017F"/>
    <w:rsid w:val="00D402EA"/>
    <w:rsid w:val="00D4033B"/>
    <w:rsid w:val="00D40347"/>
    <w:rsid w:val="00D403CA"/>
    <w:rsid w:val="00D40543"/>
    <w:rsid w:val="00D40572"/>
    <w:rsid w:val="00D4058B"/>
    <w:rsid w:val="00D405DF"/>
    <w:rsid w:val="00D4069C"/>
    <w:rsid w:val="00D408B4"/>
    <w:rsid w:val="00D409C7"/>
    <w:rsid w:val="00D40B54"/>
    <w:rsid w:val="00D40F77"/>
    <w:rsid w:val="00D41081"/>
    <w:rsid w:val="00D410DF"/>
    <w:rsid w:val="00D410E8"/>
    <w:rsid w:val="00D41138"/>
    <w:rsid w:val="00D4117B"/>
    <w:rsid w:val="00D4138F"/>
    <w:rsid w:val="00D413F5"/>
    <w:rsid w:val="00D414D6"/>
    <w:rsid w:val="00D4168D"/>
    <w:rsid w:val="00D417DF"/>
    <w:rsid w:val="00D419AA"/>
    <w:rsid w:val="00D419C9"/>
    <w:rsid w:val="00D41AA4"/>
    <w:rsid w:val="00D41BDA"/>
    <w:rsid w:val="00D41CFC"/>
    <w:rsid w:val="00D41E60"/>
    <w:rsid w:val="00D41F1C"/>
    <w:rsid w:val="00D41F38"/>
    <w:rsid w:val="00D4203C"/>
    <w:rsid w:val="00D420CC"/>
    <w:rsid w:val="00D42185"/>
    <w:rsid w:val="00D421B6"/>
    <w:rsid w:val="00D42225"/>
    <w:rsid w:val="00D4225D"/>
    <w:rsid w:val="00D4234C"/>
    <w:rsid w:val="00D4239B"/>
    <w:rsid w:val="00D424B0"/>
    <w:rsid w:val="00D4266C"/>
    <w:rsid w:val="00D426A3"/>
    <w:rsid w:val="00D426F0"/>
    <w:rsid w:val="00D427F3"/>
    <w:rsid w:val="00D428B9"/>
    <w:rsid w:val="00D428E8"/>
    <w:rsid w:val="00D42930"/>
    <w:rsid w:val="00D42996"/>
    <w:rsid w:val="00D42B33"/>
    <w:rsid w:val="00D42C1D"/>
    <w:rsid w:val="00D42CE9"/>
    <w:rsid w:val="00D42EAD"/>
    <w:rsid w:val="00D42F6F"/>
    <w:rsid w:val="00D43180"/>
    <w:rsid w:val="00D4319B"/>
    <w:rsid w:val="00D431B3"/>
    <w:rsid w:val="00D43246"/>
    <w:rsid w:val="00D43518"/>
    <w:rsid w:val="00D43551"/>
    <w:rsid w:val="00D43568"/>
    <w:rsid w:val="00D43581"/>
    <w:rsid w:val="00D436B9"/>
    <w:rsid w:val="00D43AD1"/>
    <w:rsid w:val="00D43AE4"/>
    <w:rsid w:val="00D43C20"/>
    <w:rsid w:val="00D43C41"/>
    <w:rsid w:val="00D43D2A"/>
    <w:rsid w:val="00D43DB5"/>
    <w:rsid w:val="00D43E04"/>
    <w:rsid w:val="00D43E5A"/>
    <w:rsid w:val="00D43EC9"/>
    <w:rsid w:val="00D43EFE"/>
    <w:rsid w:val="00D43F64"/>
    <w:rsid w:val="00D44055"/>
    <w:rsid w:val="00D440B8"/>
    <w:rsid w:val="00D44139"/>
    <w:rsid w:val="00D44246"/>
    <w:rsid w:val="00D44291"/>
    <w:rsid w:val="00D44441"/>
    <w:rsid w:val="00D44445"/>
    <w:rsid w:val="00D4468F"/>
    <w:rsid w:val="00D447ED"/>
    <w:rsid w:val="00D4484A"/>
    <w:rsid w:val="00D4489D"/>
    <w:rsid w:val="00D44992"/>
    <w:rsid w:val="00D44A92"/>
    <w:rsid w:val="00D44B0B"/>
    <w:rsid w:val="00D44BB4"/>
    <w:rsid w:val="00D44BC5"/>
    <w:rsid w:val="00D44C9B"/>
    <w:rsid w:val="00D44D22"/>
    <w:rsid w:val="00D44DFF"/>
    <w:rsid w:val="00D44FA6"/>
    <w:rsid w:val="00D450B4"/>
    <w:rsid w:val="00D45161"/>
    <w:rsid w:val="00D45214"/>
    <w:rsid w:val="00D452E3"/>
    <w:rsid w:val="00D45318"/>
    <w:rsid w:val="00D45373"/>
    <w:rsid w:val="00D453AD"/>
    <w:rsid w:val="00D45473"/>
    <w:rsid w:val="00D45495"/>
    <w:rsid w:val="00D454B6"/>
    <w:rsid w:val="00D4552B"/>
    <w:rsid w:val="00D455C5"/>
    <w:rsid w:val="00D455C7"/>
    <w:rsid w:val="00D45750"/>
    <w:rsid w:val="00D457EA"/>
    <w:rsid w:val="00D45801"/>
    <w:rsid w:val="00D45AD5"/>
    <w:rsid w:val="00D45B81"/>
    <w:rsid w:val="00D45BC2"/>
    <w:rsid w:val="00D45C42"/>
    <w:rsid w:val="00D45CC9"/>
    <w:rsid w:val="00D46112"/>
    <w:rsid w:val="00D46116"/>
    <w:rsid w:val="00D4620B"/>
    <w:rsid w:val="00D46242"/>
    <w:rsid w:val="00D4625C"/>
    <w:rsid w:val="00D46415"/>
    <w:rsid w:val="00D46524"/>
    <w:rsid w:val="00D46740"/>
    <w:rsid w:val="00D467BC"/>
    <w:rsid w:val="00D46842"/>
    <w:rsid w:val="00D4687B"/>
    <w:rsid w:val="00D4689B"/>
    <w:rsid w:val="00D46999"/>
    <w:rsid w:val="00D46B43"/>
    <w:rsid w:val="00D46BD1"/>
    <w:rsid w:val="00D46C0E"/>
    <w:rsid w:val="00D46D78"/>
    <w:rsid w:val="00D470DC"/>
    <w:rsid w:val="00D472A9"/>
    <w:rsid w:val="00D47309"/>
    <w:rsid w:val="00D47512"/>
    <w:rsid w:val="00D475C7"/>
    <w:rsid w:val="00D47662"/>
    <w:rsid w:val="00D47766"/>
    <w:rsid w:val="00D4791A"/>
    <w:rsid w:val="00D47945"/>
    <w:rsid w:val="00D47972"/>
    <w:rsid w:val="00D4798E"/>
    <w:rsid w:val="00D47D17"/>
    <w:rsid w:val="00D47D74"/>
    <w:rsid w:val="00D47DDB"/>
    <w:rsid w:val="00D50037"/>
    <w:rsid w:val="00D500A1"/>
    <w:rsid w:val="00D5012F"/>
    <w:rsid w:val="00D501B5"/>
    <w:rsid w:val="00D501BF"/>
    <w:rsid w:val="00D50239"/>
    <w:rsid w:val="00D5036E"/>
    <w:rsid w:val="00D50372"/>
    <w:rsid w:val="00D503E0"/>
    <w:rsid w:val="00D503F1"/>
    <w:rsid w:val="00D50475"/>
    <w:rsid w:val="00D504C8"/>
    <w:rsid w:val="00D50528"/>
    <w:rsid w:val="00D506CE"/>
    <w:rsid w:val="00D50826"/>
    <w:rsid w:val="00D50848"/>
    <w:rsid w:val="00D50867"/>
    <w:rsid w:val="00D509F7"/>
    <w:rsid w:val="00D50AA0"/>
    <w:rsid w:val="00D50ACF"/>
    <w:rsid w:val="00D50AE2"/>
    <w:rsid w:val="00D50AEA"/>
    <w:rsid w:val="00D50B52"/>
    <w:rsid w:val="00D50C14"/>
    <w:rsid w:val="00D50C99"/>
    <w:rsid w:val="00D50EA7"/>
    <w:rsid w:val="00D50EFE"/>
    <w:rsid w:val="00D50F1C"/>
    <w:rsid w:val="00D50F22"/>
    <w:rsid w:val="00D5104D"/>
    <w:rsid w:val="00D51177"/>
    <w:rsid w:val="00D51195"/>
    <w:rsid w:val="00D511B8"/>
    <w:rsid w:val="00D51257"/>
    <w:rsid w:val="00D513D8"/>
    <w:rsid w:val="00D5154A"/>
    <w:rsid w:val="00D515B6"/>
    <w:rsid w:val="00D515D1"/>
    <w:rsid w:val="00D5160B"/>
    <w:rsid w:val="00D51625"/>
    <w:rsid w:val="00D5163F"/>
    <w:rsid w:val="00D516C0"/>
    <w:rsid w:val="00D517D3"/>
    <w:rsid w:val="00D51A3D"/>
    <w:rsid w:val="00D51ACA"/>
    <w:rsid w:val="00D51D3E"/>
    <w:rsid w:val="00D51D88"/>
    <w:rsid w:val="00D51F7A"/>
    <w:rsid w:val="00D51FD5"/>
    <w:rsid w:val="00D52054"/>
    <w:rsid w:val="00D5211B"/>
    <w:rsid w:val="00D52134"/>
    <w:rsid w:val="00D521E3"/>
    <w:rsid w:val="00D5240E"/>
    <w:rsid w:val="00D524D8"/>
    <w:rsid w:val="00D524F6"/>
    <w:rsid w:val="00D526C2"/>
    <w:rsid w:val="00D5275C"/>
    <w:rsid w:val="00D529C2"/>
    <w:rsid w:val="00D52A30"/>
    <w:rsid w:val="00D52A90"/>
    <w:rsid w:val="00D52AE6"/>
    <w:rsid w:val="00D52B83"/>
    <w:rsid w:val="00D52C32"/>
    <w:rsid w:val="00D52D32"/>
    <w:rsid w:val="00D52D79"/>
    <w:rsid w:val="00D52DAF"/>
    <w:rsid w:val="00D52E54"/>
    <w:rsid w:val="00D52FF5"/>
    <w:rsid w:val="00D53066"/>
    <w:rsid w:val="00D531BF"/>
    <w:rsid w:val="00D53200"/>
    <w:rsid w:val="00D533B1"/>
    <w:rsid w:val="00D533E1"/>
    <w:rsid w:val="00D53450"/>
    <w:rsid w:val="00D534D0"/>
    <w:rsid w:val="00D53679"/>
    <w:rsid w:val="00D53714"/>
    <w:rsid w:val="00D53744"/>
    <w:rsid w:val="00D538C9"/>
    <w:rsid w:val="00D53935"/>
    <w:rsid w:val="00D53936"/>
    <w:rsid w:val="00D53A19"/>
    <w:rsid w:val="00D53A77"/>
    <w:rsid w:val="00D53B88"/>
    <w:rsid w:val="00D53D3A"/>
    <w:rsid w:val="00D53EB9"/>
    <w:rsid w:val="00D53ECF"/>
    <w:rsid w:val="00D53FB8"/>
    <w:rsid w:val="00D54066"/>
    <w:rsid w:val="00D54088"/>
    <w:rsid w:val="00D5412C"/>
    <w:rsid w:val="00D542A1"/>
    <w:rsid w:val="00D54424"/>
    <w:rsid w:val="00D5462B"/>
    <w:rsid w:val="00D54764"/>
    <w:rsid w:val="00D547A6"/>
    <w:rsid w:val="00D5492A"/>
    <w:rsid w:val="00D54989"/>
    <w:rsid w:val="00D5498F"/>
    <w:rsid w:val="00D549C1"/>
    <w:rsid w:val="00D54BBD"/>
    <w:rsid w:val="00D54CCE"/>
    <w:rsid w:val="00D54D2D"/>
    <w:rsid w:val="00D54DBA"/>
    <w:rsid w:val="00D54FCF"/>
    <w:rsid w:val="00D54FE0"/>
    <w:rsid w:val="00D550CF"/>
    <w:rsid w:val="00D5515F"/>
    <w:rsid w:val="00D55238"/>
    <w:rsid w:val="00D5525E"/>
    <w:rsid w:val="00D553BF"/>
    <w:rsid w:val="00D55437"/>
    <w:rsid w:val="00D554A7"/>
    <w:rsid w:val="00D55540"/>
    <w:rsid w:val="00D55706"/>
    <w:rsid w:val="00D55792"/>
    <w:rsid w:val="00D557F9"/>
    <w:rsid w:val="00D5584A"/>
    <w:rsid w:val="00D5586C"/>
    <w:rsid w:val="00D5592C"/>
    <w:rsid w:val="00D55A61"/>
    <w:rsid w:val="00D55A9E"/>
    <w:rsid w:val="00D55B85"/>
    <w:rsid w:val="00D55BB4"/>
    <w:rsid w:val="00D55D6E"/>
    <w:rsid w:val="00D55D81"/>
    <w:rsid w:val="00D55EA5"/>
    <w:rsid w:val="00D55EF1"/>
    <w:rsid w:val="00D55FDB"/>
    <w:rsid w:val="00D56022"/>
    <w:rsid w:val="00D560FA"/>
    <w:rsid w:val="00D56188"/>
    <w:rsid w:val="00D561CF"/>
    <w:rsid w:val="00D56209"/>
    <w:rsid w:val="00D5625F"/>
    <w:rsid w:val="00D5627D"/>
    <w:rsid w:val="00D563EE"/>
    <w:rsid w:val="00D56463"/>
    <w:rsid w:val="00D5671B"/>
    <w:rsid w:val="00D567F5"/>
    <w:rsid w:val="00D56825"/>
    <w:rsid w:val="00D56886"/>
    <w:rsid w:val="00D5693B"/>
    <w:rsid w:val="00D569B7"/>
    <w:rsid w:val="00D56A2B"/>
    <w:rsid w:val="00D56A88"/>
    <w:rsid w:val="00D56D0C"/>
    <w:rsid w:val="00D56DD6"/>
    <w:rsid w:val="00D56DFA"/>
    <w:rsid w:val="00D56E7E"/>
    <w:rsid w:val="00D56FCC"/>
    <w:rsid w:val="00D57004"/>
    <w:rsid w:val="00D5700E"/>
    <w:rsid w:val="00D57016"/>
    <w:rsid w:val="00D5712F"/>
    <w:rsid w:val="00D5726D"/>
    <w:rsid w:val="00D572D8"/>
    <w:rsid w:val="00D57320"/>
    <w:rsid w:val="00D57384"/>
    <w:rsid w:val="00D573B1"/>
    <w:rsid w:val="00D57406"/>
    <w:rsid w:val="00D5741B"/>
    <w:rsid w:val="00D575B6"/>
    <w:rsid w:val="00D5786F"/>
    <w:rsid w:val="00D578C8"/>
    <w:rsid w:val="00D57ADF"/>
    <w:rsid w:val="00D57BB0"/>
    <w:rsid w:val="00D57C49"/>
    <w:rsid w:val="00D57C55"/>
    <w:rsid w:val="00D57C98"/>
    <w:rsid w:val="00D57CD3"/>
    <w:rsid w:val="00D57CD9"/>
    <w:rsid w:val="00D57E0A"/>
    <w:rsid w:val="00D57E84"/>
    <w:rsid w:val="00D57EA0"/>
    <w:rsid w:val="00D57F80"/>
    <w:rsid w:val="00D57FD5"/>
    <w:rsid w:val="00D60092"/>
    <w:rsid w:val="00D60110"/>
    <w:rsid w:val="00D601D3"/>
    <w:rsid w:val="00D6023F"/>
    <w:rsid w:val="00D6063E"/>
    <w:rsid w:val="00D6077F"/>
    <w:rsid w:val="00D60780"/>
    <w:rsid w:val="00D60958"/>
    <w:rsid w:val="00D6095B"/>
    <w:rsid w:val="00D6097E"/>
    <w:rsid w:val="00D6098A"/>
    <w:rsid w:val="00D609BE"/>
    <w:rsid w:val="00D60BC4"/>
    <w:rsid w:val="00D60C04"/>
    <w:rsid w:val="00D60C1E"/>
    <w:rsid w:val="00D60C68"/>
    <w:rsid w:val="00D60D38"/>
    <w:rsid w:val="00D60DD0"/>
    <w:rsid w:val="00D60DDD"/>
    <w:rsid w:val="00D60E1C"/>
    <w:rsid w:val="00D60E22"/>
    <w:rsid w:val="00D60E43"/>
    <w:rsid w:val="00D60E46"/>
    <w:rsid w:val="00D60F3C"/>
    <w:rsid w:val="00D60F82"/>
    <w:rsid w:val="00D60F89"/>
    <w:rsid w:val="00D60FCF"/>
    <w:rsid w:val="00D610A8"/>
    <w:rsid w:val="00D6113D"/>
    <w:rsid w:val="00D61185"/>
    <w:rsid w:val="00D61212"/>
    <w:rsid w:val="00D612D0"/>
    <w:rsid w:val="00D61302"/>
    <w:rsid w:val="00D61422"/>
    <w:rsid w:val="00D6144F"/>
    <w:rsid w:val="00D6160A"/>
    <w:rsid w:val="00D616A0"/>
    <w:rsid w:val="00D61735"/>
    <w:rsid w:val="00D6176C"/>
    <w:rsid w:val="00D618A2"/>
    <w:rsid w:val="00D618EE"/>
    <w:rsid w:val="00D61ADE"/>
    <w:rsid w:val="00D61B4E"/>
    <w:rsid w:val="00D61B95"/>
    <w:rsid w:val="00D61B97"/>
    <w:rsid w:val="00D61BCE"/>
    <w:rsid w:val="00D61BD9"/>
    <w:rsid w:val="00D61CD8"/>
    <w:rsid w:val="00D61DD0"/>
    <w:rsid w:val="00D621C4"/>
    <w:rsid w:val="00D62312"/>
    <w:rsid w:val="00D62394"/>
    <w:rsid w:val="00D62398"/>
    <w:rsid w:val="00D6240A"/>
    <w:rsid w:val="00D62434"/>
    <w:rsid w:val="00D62840"/>
    <w:rsid w:val="00D62873"/>
    <w:rsid w:val="00D628A4"/>
    <w:rsid w:val="00D62A7B"/>
    <w:rsid w:val="00D62A7E"/>
    <w:rsid w:val="00D62AEA"/>
    <w:rsid w:val="00D62CB6"/>
    <w:rsid w:val="00D62F4D"/>
    <w:rsid w:val="00D62FF9"/>
    <w:rsid w:val="00D6311B"/>
    <w:rsid w:val="00D6331E"/>
    <w:rsid w:val="00D634D9"/>
    <w:rsid w:val="00D636A9"/>
    <w:rsid w:val="00D6382A"/>
    <w:rsid w:val="00D639FE"/>
    <w:rsid w:val="00D63BD1"/>
    <w:rsid w:val="00D63BFE"/>
    <w:rsid w:val="00D64059"/>
    <w:rsid w:val="00D64078"/>
    <w:rsid w:val="00D64086"/>
    <w:rsid w:val="00D6408F"/>
    <w:rsid w:val="00D641FF"/>
    <w:rsid w:val="00D642A1"/>
    <w:rsid w:val="00D642E1"/>
    <w:rsid w:val="00D6439C"/>
    <w:rsid w:val="00D64427"/>
    <w:rsid w:val="00D644C9"/>
    <w:rsid w:val="00D646C4"/>
    <w:rsid w:val="00D647F3"/>
    <w:rsid w:val="00D64859"/>
    <w:rsid w:val="00D64E2C"/>
    <w:rsid w:val="00D64FDB"/>
    <w:rsid w:val="00D651B6"/>
    <w:rsid w:val="00D652D9"/>
    <w:rsid w:val="00D65397"/>
    <w:rsid w:val="00D653EF"/>
    <w:rsid w:val="00D65437"/>
    <w:rsid w:val="00D656EF"/>
    <w:rsid w:val="00D65838"/>
    <w:rsid w:val="00D65936"/>
    <w:rsid w:val="00D659ED"/>
    <w:rsid w:val="00D65A04"/>
    <w:rsid w:val="00D65A12"/>
    <w:rsid w:val="00D65C00"/>
    <w:rsid w:val="00D65CD2"/>
    <w:rsid w:val="00D66013"/>
    <w:rsid w:val="00D660BD"/>
    <w:rsid w:val="00D66167"/>
    <w:rsid w:val="00D661A7"/>
    <w:rsid w:val="00D6625F"/>
    <w:rsid w:val="00D6637F"/>
    <w:rsid w:val="00D663B4"/>
    <w:rsid w:val="00D66463"/>
    <w:rsid w:val="00D664A0"/>
    <w:rsid w:val="00D66620"/>
    <w:rsid w:val="00D6684B"/>
    <w:rsid w:val="00D66898"/>
    <w:rsid w:val="00D6693F"/>
    <w:rsid w:val="00D6698A"/>
    <w:rsid w:val="00D669E9"/>
    <w:rsid w:val="00D66B84"/>
    <w:rsid w:val="00D66BD5"/>
    <w:rsid w:val="00D66C29"/>
    <w:rsid w:val="00D66CE4"/>
    <w:rsid w:val="00D66CE9"/>
    <w:rsid w:val="00D66E5D"/>
    <w:rsid w:val="00D66ED2"/>
    <w:rsid w:val="00D66F37"/>
    <w:rsid w:val="00D66FDD"/>
    <w:rsid w:val="00D670A9"/>
    <w:rsid w:val="00D670F6"/>
    <w:rsid w:val="00D67145"/>
    <w:rsid w:val="00D67275"/>
    <w:rsid w:val="00D672C7"/>
    <w:rsid w:val="00D67375"/>
    <w:rsid w:val="00D673A9"/>
    <w:rsid w:val="00D67413"/>
    <w:rsid w:val="00D6751D"/>
    <w:rsid w:val="00D675FE"/>
    <w:rsid w:val="00D67602"/>
    <w:rsid w:val="00D6766B"/>
    <w:rsid w:val="00D67688"/>
    <w:rsid w:val="00D676F1"/>
    <w:rsid w:val="00D677B8"/>
    <w:rsid w:val="00D678C5"/>
    <w:rsid w:val="00D678FF"/>
    <w:rsid w:val="00D67935"/>
    <w:rsid w:val="00D67A2C"/>
    <w:rsid w:val="00D67B85"/>
    <w:rsid w:val="00D67BC6"/>
    <w:rsid w:val="00D67BED"/>
    <w:rsid w:val="00D67D84"/>
    <w:rsid w:val="00D67E65"/>
    <w:rsid w:val="00D67F7C"/>
    <w:rsid w:val="00D67FEC"/>
    <w:rsid w:val="00D7016A"/>
    <w:rsid w:val="00D70255"/>
    <w:rsid w:val="00D702FA"/>
    <w:rsid w:val="00D703E5"/>
    <w:rsid w:val="00D7043F"/>
    <w:rsid w:val="00D70613"/>
    <w:rsid w:val="00D706A5"/>
    <w:rsid w:val="00D70877"/>
    <w:rsid w:val="00D708E5"/>
    <w:rsid w:val="00D7091C"/>
    <w:rsid w:val="00D7096D"/>
    <w:rsid w:val="00D70BC2"/>
    <w:rsid w:val="00D70DDA"/>
    <w:rsid w:val="00D70ED7"/>
    <w:rsid w:val="00D70F5B"/>
    <w:rsid w:val="00D7101E"/>
    <w:rsid w:val="00D7104B"/>
    <w:rsid w:val="00D711CB"/>
    <w:rsid w:val="00D71379"/>
    <w:rsid w:val="00D7149F"/>
    <w:rsid w:val="00D714AC"/>
    <w:rsid w:val="00D7157C"/>
    <w:rsid w:val="00D71C0D"/>
    <w:rsid w:val="00D71DA9"/>
    <w:rsid w:val="00D71FF4"/>
    <w:rsid w:val="00D72088"/>
    <w:rsid w:val="00D72096"/>
    <w:rsid w:val="00D726D1"/>
    <w:rsid w:val="00D726FA"/>
    <w:rsid w:val="00D72743"/>
    <w:rsid w:val="00D72AC1"/>
    <w:rsid w:val="00D72B50"/>
    <w:rsid w:val="00D72B62"/>
    <w:rsid w:val="00D72C1C"/>
    <w:rsid w:val="00D72C83"/>
    <w:rsid w:val="00D72CDE"/>
    <w:rsid w:val="00D72E15"/>
    <w:rsid w:val="00D72E25"/>
    <w:rsid w:val="00D72E8C"/>
    <w:rsid w:val="00D72F6C"/>
    <w:rsid w:val="00D72F6E"/>
    <w:rsid w:val="00D72FC8"/>
    <w:rsid w:val="00D72FD1"/>
    <w:rsid w:val="00D72FF7"/>
    <w:rsid w:val="00D7307A"/>
    <w:rsid w:val="00D731FC"/>
    <w:rsid w:val="00D7336C"/>
    <w:rsid w:val="00D7338F"/>
    <w:rsid w:val="00D733EB"/>
    <w:rsid w:val="00D7341B"/>
    <w:rsid w:val="00D73AD9"/>
    <w:rsid w:val="00D73B70"/>
    <w:rsid w:val="00D73BD7"/>
    <w:rsid w:val="00D73C70"/>
    <w:rsid w:val="00D73DD0"/>
    <w:rsid w:val="00D73E35"/>
    <w:rsid w:val="00D73EB9"/>
    <w:rsid w:val="00D73EE3"/>
    <w:rsid w:val="00D73F62"/>
    <w:rsid w:val="00D7403F"/>
    <w:rsid w:val="00D74173"/>
    <w:rsid w:val="00D741BE"/>
    <w:rsid w:val="00D743B4"/>
    <w:rsid w:val="00D74477"/>
    <w:rsid w:val="00D74561"/>
    <w:rsid w:val="00D745B2"/>
    <w:rsid w:val="00D74707"/>
    <w:rsid w:val="00D74771"/>
    <w:rsid w:val="00D7477B"/>
    <w:rsid w:val="00D747D7"/>
    <w:rsid w:val="00D74835"/>
    <w:rsid w:val="00D74850"/>
    <w:rsid w:val="00D74944"/>
    <w:rsid w:val="00D74B95"/>
    <w:rsid w:val="00D74CD8"/>
    <w:rsid w:val="00D74D0B"/>
    <w:rsid w:val="00D74D79"/>
    <w:rsid w:val="00D74EF5"/>
    <w:rsid w:val="00D74F55"/>
    <w:rsid w:val="00D74FA3"/>
    <w:rsid w:val="00D74FB7"/>
    <w:rsid w:val="00D75181"/>
    <w:rsid w:val="00D75261"/>
    <w:rsid w:val="00D752D8"/>
    <w:rsid w:val="00D75346"/>
    <w:rsid w:val="00D75428"/>
    <w:rsid w:val="00D75741"/>
    <w:rsid w:val="00D75968"/>
    <w:rsid w:val="00D759CB"/>
    <w:rsid w:val="00D75B61"/>
    <w:rsid w:val="00D75D03"/>
    <w:rsid w:val="00D75D4C"/>
    <w:rsid w:val="00D75E7F"/>
    <w:rsid w:val="00D75F8B"/>
    <w:rsid w:val="00D75FCD"/>
    <w:rsid w:val="00D75FFC"/>
    <w:rsid w:val="00D7614C"/>
    <w:rsid w:val="00D7617F"/>
    <w:rsid w:val="00D761C8"/>
    <w:rsid w:val="00D7628C"/>
    <w:rsid w:val="00D762C7"/>
    <w:rsid w:val="00D76322"/>
    <w:rsid w:val="00D76353"/>
    <w:rsid w:val="00D76437"/>
    <w:rsid w:val="00D76748"/>
    <w:rsid w:val="00D7680A"/>
    <w:rsid w:val="00D76833"/>
    <w:rsid w:val="00D76996"/>
    <w:rsid w:val="00D76A28"/>
    <w:rsid w:val="00D76A66"/>
    <w:rsid w:val="00D76E66"/>
    <w:rsid w:val="00D76EF5"/>
    <w:rsid w:val="00D76F2E"/>
    <w:rsid w:val="00D772B8"/>
    <w:rsid w:val="00D773DD"/>
    <w:rsid w:val="00D77419"/>
    <w:rsid w:val="00D774AC"/>
    <w:rsid w:val="00D7754C"/>
    <w:rsid w:val="00D777F2"/>
    <w:rsid w:val="00D7784F"/>
    <w:rsid w:val="00D778A3"/>
    <w:rsid w:val="00D77950"/>
    <w:rsid w:val="00D77A0C"/>
    <w:rsid w:val="00D77F51"/>
    <w:rsid w:val="00D801FF"/>
    <w:rsid w:val="00D802A1"/>
    <w:rsid w:val="00D80694"/>
    <w:rsid w:val="00D80696"/>
    <w:rsid w:val="00D8077D"/>
    <w:rsid w:val="00D80931"/>
    <w:rsid w:val="00D80AD2"/>
    <w:rsid w:val="00D80C29"/>
    <w:rsid w:val="00D80C86"/>
    <w:rsid w:val="00D80F6D"/>
    <w:rsid w:val="00D81016"/>
    <w:rsid w:val="00D8108A"/>
    <w:rsid w:val="00D810A1"/>
    <w:rsid w:val="00D81166"/>
    <w:rsid w:val="00D811D3"/>
    <w:rsid w:val="00D811DD"/>
    <w:rsid w:val="00D812BA"/>
    <w:rsid w:val="00D81400"/>
    <w:rsid w:val="00D81506"/>
    <w:rsid w:val="00D81731"/>
    <w:rsid w:val="00D81786"/>
    <w:rsid w:val="00D81797"/>
    <w:rsid w:val="00D81874"/>
    <w:rsid w:val="00D818C0"/>
    <w:rsid w:val="00D818D4"/>
    <w:rsid w:val="00D818DE"/>
    <w:rsid w:val="00D81B7C"/>
    <w:rsid w:val="00D81ED0"/>
    <w:rsid w:val="00D81EF0"/>
    <w:rsid w:val="00D81F07"/>
    <w:rsid w:val="00D81F0F"/>
    <w:rsid w:val="00D820A0"/>
    <w:rsid w:val="00D822E8"/>
    <w:rsid w:val="00D82361"/>
    <w:rsid w:val="00D82547"/>
    <w:rsid w:val="00D825A5"/>
    <w:rsid w:val="00D82619"/>
    <w:rsid w:val="00D827A0"/>
    <w:rsid w:val="00D827CF"/>
    <w:rsid w:val="00D829B2"/>
    <w:rsid w:val="00D829C8"/>
    <w:rsid w:val="00D82A75"/>
    <w:rsid w:val="00D82B4D"/>
    <w:rsid w:val="00D82BE2"/>
    <w:rsid w:val="00D82C6C"/>
    <w:rsid w:val="00D82D1A"/>
    <w:rsid w:val="00D82D55"/>
    <w:rsid w:val="00D82D74"/>
    <w:rsid w:val="00D82E48"/>
    <w:rsid w:val="00D82E81"/>
    <w:rsid w:val="00D82EA0"/>
    <w:rsid w:val="00D82F66"/>
    <w:rsid w:val="00D830A1"/>
    <w:rsid w:val="00D830B3"/>
    <w:rsid w:val="00D8316D"/>
    <w:rsid w:val="00D83299"/>
    <w:rsid w:val="00D8329E"/>
    <w:rsid w:val="00D835B6"/>
    <w:rsid w:val="00D835C8"/>
    <w:rsid w:val="00D83669"/>
    <w:rsid w:val="00D8372B"/>
    <w:rsid w:val="00D8378B"/>
    <w:rsid w:val="00D837E1"/>
    <w:rsid w:val="00D8382F"/>
    <w:rsid w:val="00D8388D"/>
    <w:rsid w:val="00D83928"/>
    <w:rsid w:val="00D83B51"/>
    <w:rsid w:val="00D83B9A"/>
    <w:rsid w:val="00D83C02"/>
    <w:rsid w:val="00D83E44"/>
    <w:rsid w:val="00D83E50"/>
    <w:rsid w:val="00D83EDC"/>
    <w:rsid w:val="00D83F92"/>
    <w:rsid w:val="00D84004"/>
    <w:rsid w:val="00D84084"/>
    <w:rsid w:val="00D840B4"/>
    <w:rsid w:val="00D840ED"/>
    <w:rsid w:val="00D840F4"/>
    <w:rsid w:val="00D84223"/>
    <w:rsid w:val="00D8439B"/>
    <w:rsid w:val="00D84439"/>
    <w:rsid w:val="00D84555"/>
    <w:rsid w:val="00D84698"/>
    <w:rsid w:val="00D84794"/>
    <w:rsid w:val="00D84856"/>
    <w:rsid w:val="00D84A18"/>
    <w:rsid w:val="00D84BA5"/>
    <w:rsid w:val="00D84BE4"/>
    <w:rsid w:val="00D84C37"/>
    <w:rsid w:val="00D84CB6"/>
    <w:rsid w:val="00D84D07"/>
    <w:rsid w:val="00D84DFF"/>
    <w:rsid w:val="00D84E5A"/>
    <w:rsid w:val="00D84EAB"/>
    <w:rsid w:val="00D84ECA"/>
    <w:rsid w:val="00D85073"/>
    <w:rsid w:val="00D85103"/>
    <w:rsid w:val="00D851E4"/>
    <w:rsid w:val="00D8523A"/>
    <w:rsid w:val="00D85242"/>
    <w:rsid w:val="00D8525E"/>
    <w:rsid w:val="00D853A7"/>
    <w:rsid w:val="00D853FC"/>
    <w:rsid w:val="00D85613"/>
    <w:rsid w:val="00D856C1"/>
    <w:rsid w:val="00D8574D"/>
    <w:rsid w:val="00D8578F"/>
    <w:rsid w:val="00D857C8"/>
    <w:rsid w:val="00D8586A"/>
    <w:rsid w:val="00D859BE"/>
    <w:rsid w:val="00D859D1"/>
    <w:rsid w:val="00D85BBF"/>
    <w:rsid w:val="00D85E67"/>
    <w:rsid w:val="00D85E9E"/>
    <w:rsid w:val="00D85FA3"/>
    <w:rsid w:val="00D8610D"/>
    <w:rsid w:val="00D8616C"/>
    <w:rsid w:val="00D8638D"/>
    <w:rsid w:val="00D863C8"/>
    <w:rsid w:val="00D86518"/>
    <w:rsid w:val="00D86559"/>
    <w:rsid w:val="00D865FD"/>
    <w:rsid w:val="00D867E4"/>
    <w:rsid w:val="00D867F2"/>
    <w:rsid w:val="00D868E9"/>
    <w:rsid w:val="00D868F7"/>
    <w:rsid w:val="00D86A34"/>
    <w:rsid w:val="00D86CB0"/>
    <w:rsid w:val="00D86CB5"/>
    <w:rsid w:val="00D86DA4"/>
    <w:rsid w:val="00D86EDB"/>
    <w:rsid w:val="00D86FAD"/>
    <w:rsid w:val="00D8744A"/>
    <w:rsid w:val="00D876AC"/>
    <w:rsid w:val="00D876B3"/>
    <w:rsid w:val="00D8771D"/>
    <w:rsid w:val="00D878CC"/>
    <w:rsid w:val="00D879AC"/>
    <w:rsid w:val="00D87AB4"/>
    <w:rsid w:val="00D87BFF"/>
    <w:rsid w:val="00D87C1E"/>
    <w:rsid w:val="00D87D08"/>
    <w:rsid w:val="00D87D13"/>
    <w:rsid w:val="00D87E49"/>
    <w:rsid w:val="00D87FDF"/>
    <w:rsid w:val="00D90070"/>
    <w:rsid w:val="00D900B6"/>
    <w:rsid w:val="00D9041B"/>
    <w:rsid w:val="00D9044D"/>
    <w:rsid w:val="00D9051A"/>
    <w:rsid w:val="00D90576"/>
    <w:rsid w:val="00D905DB"/>
    <w:rsid w:val="00D90752"/>
    <w:rsid w:val="00D907C2"/>
    <w:rsid w:val="00D9089E"/>
    <w:rsid w:val="00D908A1"/>
    <w:rsid w:val="00D90930"/>
    <w:rsid w:val="00D909E5"/>
    <w:rsid w:val="00D90B0E"/>
    <w:rsid w:val="00D90C2C"/>
    <w:rsid w:val="00D90D6E"/>
    <w:rsid w:val="00D90DBB"/>
    <w:rsid w:val="00D90EF3"/>
    <w:rsid w:val="00D9100B"/>
    <w:rsid w:val="00D9100D"/>
    <w:rsid w:val="00D91155"/>
    <w:rsid w:val="00D91405"/>
    <w:rsid w:val="00D9141D"/>
    <w:rsid w:val="00D91486"/>
    <w:rsid w:val="00D918D0"/>
    <w:rsid w:val="00D9192B"/>
    <w:rsid w:val="00D9194E"/>
    <w:rsid w:val="00D9198A"/>
    <w:rsid w:val="00D91A23"/>
    <w:rsid w:val="00D91A71"/>
    <w:rsid w:val="00D91BA4"/>
    <w:rsid w:val="00D91DD6"/>
    <w:rsid w:val="00D91F91"/>
    <w:rsid w:val="00D9210A"/>
    <w:rsid w:val="00D9220F"/>
    <w:rsid w:val="00D922E2"/>
    <w:rsid w:val="00D923AC"/>
    <w:rsid w:val="00D924BB"/>
    <w:rsid w:val="00D9274E"/>
    <w:rsid w:val="00D9288C"/>
    <w:rsid w:val="00D92B5B"/>
    <w:rsid w:val="00D92CE2"/>
    <w:rsid w:val="00D92D16"/>
    <w:rsid w:val="00D92DA3"/>
    <w:rsid w:val="00D92E7E"/>
    <w:rsid w:val="00D93006"/>
    <w:rsid w:val="00D93163"/>
    <w:rsid w:val="00D93318"/>
    <w:rsid w:val="00D934EA"/>
    <w:rsid w:val="00D93599"/>
    <w:rsid w:val="00D93638"/>
    <w:rsid w:val="00D937C8"/>
    <w:rsid w:val="00D937FB"/>
    <w:rsid w:val="00D93984"/>
    <w:rsid w:val="00D93AFC"/>
    <w:rsid w:val="00D93D8D"/>
    <w:rsid w:val="00D93E51"/>
    <w:rsid w:val="00D93EA7"/>
    <w:rsid w:val="00D93EB4"/>
    <w:rsid w:val="00D93F5E"/>
    <w:rsid w:val="00D93FC8"/>
    <w:rsid w:val="00D9400A"/>
    <w:rsid w:val="00D94076"/>
    <w:rsid w:val="00D9410E"/>
    <w:rsid w:val="00D9416F"/>
    <w:rsid w:val="00D941DB"/>
    <w:rsid w:val="00D9421C"/>
    <w:rsid w:val="00D942AC"/>
    <w:rsid w:val="00D942CB"/>
    <w:rsid w:val="00D94387"/>
    <w:rsid w:val="00D943F7"/>
    <w:rsid w:val="00D943FE"/>
    <w:rsid w:val="00D9442D"/>
    <w:rsid w:val="00D9447E"/>
    <w:rsid w:val="00D9463F"/>
    <w:rsid w:val="00D9467C"/>
    <w:rsid w:val="00D946C9"/>
    <w:rsid w:val="00D946FA"/>
    <w:rsid w:val="00D947DD"/>
    <w:rsid w:val="00D94868"/>
    <w:rsid w:val="00D948B6"/>
    <w:rsid w:val="00D9494D"/>
    <w:rsid w:val="00D94CF3"/>
    <w:rsid w:val="00D94EFE"/>
    <w:rsid w:val="00D9500F"/>
    <w:rsid w:val="00D95071"/>
    <w:rsid w:val="00D95085"/>
    <w:rsid w:val="00D950C7"/>
    <w:rsid w:val="00D9526B"/>
    <w:rsid w:val="00D9528E"/>
    <w:rsid w:val="00D95295"/>
    <w:rsid w:val="00D95298"/>
    <w:rsid w:val="00D95402"/>
    <w:rsid w:val="00D9577D"/>
    <w:rsid w:val="00D957E2"/>
    <w:rsid w:val="00D958CE"/>
    <w:rsid w:val="00D95A18"/>
    <w:rsid w:val="00D95A3E"/>
    <w:rsid w:val="00D95B65"/>
    <w:rsid w:val="00D95BAE"/>
    <w:rsid w:val="00D95C61"/>
    <w:rsid w:val="00D95C84"/>
    <w:rsid w:val="00D95D58"/>
    <w:rsid w:val="00D960BA"/>
    <w:rsid w:val="00D96257"/>
    <w:rsid w:val="00D962D7"/>
    <w:rsid w:val="00D96689"/>
    <w:rsid w:val="00D966DB"/>
    <w:rsid w:val="00D96768"/>
    <w:rsid w:val="00D967A8"/>
    <w:rsid w:val="00D968ED"/>
    <w:rsid w:val="00D96922"/>
    <w:rsid w:val="00D96966"/>
    <w:rsid w:val="00D9696C"/>
    <w:rsid w:val="00D969F3"/>
    <w:rsid w:val="00D96A84"/>
    <w:rsid w:val="00D96BF7"/>
    <w:rsid w:val="00D96C63"/>
    <w:rsid w:val="00D96D22"/>
    <w:rsid w:val="00D9703A"/>
    <w:rsid w:val="00D97122"/>
    <w:rsid w:val="00D971DA"/>
    <w:rsid w:val="00D97657"/>
    <w:rsid w:val="00D9778D"/>
    <w:rsid w:val="00D97795"/>
    <w:rsid w:val="00D979AF"/>
    <w:rsid w:val="00D97A7C"/>
    <w:rsid w:val="00D97A92"/>
    <w:rsid w:val="00D97A9E"/>
    <w:rsid w:val="00D97C8A"/>
    <w:rsid w:val="00D97CD4"/>
    <w:rsid w:val="00D97DAE"/>
    <w:rsid w:val="00D97FF4"/>
    <w:rsid w:val="00DA0031"/>
    <w:rsid w:val="00DA01E4"/>
    <w:rsid w:val="00DA024E"/>
    <w:rsid w:val="00DA027F"/>
    <w:rsid w:val="00DA030F"/>
    <w:rsid w:val="00DA0410"/>
    <w:rsid w:val="00DA043B"/>
    <w:rsid w:val="00DA0518"/>
    <w:rsid w:val="00DA058E"/>
    <w:rsid w:val="00DA05CC"/>
    <w:rsid w:val="00DA064C"/>
    <w:rsid w:val="00DA0760"/>
    <w:rsid w:val="00DA0784"/>
    <w:rsid w:val="00DA07D5"/>
    <w:rsid w:val="00DA0952"/>
    <w:rsid w:val="00DA0966"/>
    <w:rsid w:val="00DA097E"/>
    <w:rsid w:val="00DA098C"/>
    <w:rsid w:val="00DA0A0B"/>
    <w:rsid w:val="00DA0A10"/>
    <w:rsid w:val="00DA0B40"/>
    <w:rsid w:val="00DA0B41"/>
    <w:rsid w:val="00DA0D0E"/>
    <w:rsid w:val="00DA0EC5"/>
    <w:rsid w:val="00DA0EF8"/>
    <w:rsid w:val="00DA0F0E"/>
    <w:rsid w:val="00DA0F26"/>
    <w:rsid w:val="00DA0FB4"/>
    <w:rsid w:val="00DA117B"/>
    <w:rsid w:val="00DA119F"/>
    <w:rsid w:val="00DA1240"/>
    <w:rsid w:val="00DA1252"/>
    <w:rsid w:val="00DA13AA"/>
    <w:rsid w:val="00DA161A"/>
    <w:rsid w:val="00DA167C"/>
    <w:rsid w:val="00DA173A"/>
    <w:rsid w:val="00DA1783"/>
    <w:rsid w:val="00DA17F2"/>
    <w:rsid w:val="00DA1DA4"/>
    <w:rsid w:val="00DA1E80"/>
    <w:rsid w:val="00DA1F87"/>
    <w:rsid w:val="00DA2145"/>
    <w:rsid w:val="00DA21E7"/>
    <w:rsid w:val="00DA2291"/>
    <w:rsid w:val="00DA23D1"/>
    <w:rsid w:val="00DA23D8"/>
    <w:rsid w:val="00DA24CD"/>
    <w:rsid w:val="00DA255E"/>
    <w:rsid w:val="00DA2575"/>
    <w:rsid w:val="00DA25A5"/>
    <w:rsid w:val="00DA25E8"/>
    <w:rsid w:val="00DA270F"/>
    <w:rsid w:val="00DA274C"/>
    <w:rsid w:val="00DA2751"/>
    <w:rsid w:val="00DA27C4"/>
    <w:rsid w:val="00DA2ACA"/>
    <w:rsid w:val="00DA2B00"/>
    <w:rsid w:val="00DA2B11"/>
    <w:rsid w:val="00DA2C19"/>
    <w:rsid w:val="00DA2D44"/>
    <w:rsid w:val="00DA2D9C"/>
    <w:rsid w:val="00DA2EBE"/>
    <w:rsid w:val="00DA2EEF"/>
    <w:rsid w:val="00DA2F5D"/>
    <w:rsid w:val="00DA2FC9"/>
    <w:rsid w:val="00DA303C"/>
    <w:rsid w:val="00DA3097"/>
    <w:rsid w:val="00DA3111"/>
    <w:rsid w:val="00DA3246"/>
    <w:rsid w:val="00DA32AA"/>
    <w:rsid w:val="00DA32C7"/>
    <w:rsid w:val="00DA35AF"/>
    <w:rsid w:val="00DA35E3"/>
    <w:rsid w:val="00DA3602"/>
    <w:rsid w:val="00DA36CC"/>
    <w:rsid w:val="00DA3706"/>
    <w:rsid w:val="00DA37EC"/>
    <w:rsid w:val="00DA3867"/>
    <w:rsid w:val="00DA394C"/>
    <w:rsid w:val="00DA39EB"/>
    <w:rsid w:val="00DA3A89"/>
    <w:rsid w:val="00DA3A94"/>
    <w:rsid w:val="00DA3AB2"/>
    <w:rsid w:val="00DA3C0B"/>
    <w:rsid w:val="00DA3D19"/>
    <w:rsid w:val="00DA3D4C"/>
    <w:rsid w:val="00DA4148"/>
    <w:rsid w:val="00DA42C7"/>
    <w:rsid w:val="00DA43DF"/>
    <w:rsid w:val="00DA43E0"/>
    <w:rsid w:val="00DA44F0"/>
    <w:rsid w:val="00DA454D"/>
    <w:rsid w:val="00DA4642"/>
    <w:rsid w:val="00DA46B8"/>
    <w:rsid w:val="00DA46C0"/>
    <w:rsid w:val="00DA48A3"/>
    <w:rsid w:val="00DA4961"/>
    <w:rsid w:val="00DA49D8"/>
    <w:rsid w:val="00DA4A14"/>
    <w:rsid w:val="00DA4AD5"/>
    <w:rsid w:val="00DA4B29"/>
    <w:rsid w:val="00DA4C06"/>
    <w:rsid w:val="00DA4C84"/>
    <w:rsid w:val="00DA4CB2"/>
    <w:rsid w:val="00DA4CC1"/>
    <w:rsid w:val="00DA4D99"/>
    <w:rsid w:val="00DA4DA5"/>
    <w:rsid w:val="00DA4E1B"/>
    <w:rsid w:val="00DA5051"/>
    <w:rsid w:val="00DA512C"/>
    <w:rsid w:val="00DA5159"/>
    <w:rsid w:val="00DA5213"/>
    <w:rsid w:val="00DA546A"/>
    <w:rsid w:val="00DA547A"/>
    <w:rsid w:val="00DA552A"/>
    <w:rsid w:val="00DA5567"/>
    <w:rsid w:val="00DA55C1"/>
    <w:rsid w:val="00DA55C4"/>
    <w:rsid w:val="00DA593F"/>
    <w:rsid w:val="00DA5AB8"/>
    <w:rsid w:val="00DA5AE2"/>
    <w:rsid w:val="00DA5BE2"/>
    <w:rsid w:val="00DA5DF8"/>
    <w:rsid w:val="00DA5E4D"/>
    <w:rsid w:val="00DA60A7"/>
    <w:rsid w:val="00DA62E6"/>
    <w:rsid w:val="00DA6317"/>
    <w:rsid w:val="00DA6392"/>
    <w:rsid w:val="00DA63A6"/>
    <w:rsid w:val="00DA641E"/>
    <w:rsid w:val="00DA6439"/>
    <w:rsid w:val="00DA652D"/>
    <w:rsid w:val="00DA65C5"/>
    <w:rsid w:val="00DA66B0"/>
    <w:rsid w:val="00DA674E"/>
    <w:rsid w:val="00DA6765"/>
    <w:rsid w:val="00DA6783"/>
    <w:rsid w:val="00DA67BA"/>
    <w:rsid w:val="00DA6866"/>
    <w:rsid w:val="00DA6903"/>
    <w:rsid w:val="00DA6935"/>
    <w:rsid w:val="00DA6A38"/>
    <w:rsid w:val="00DA6B6D"/>
    <w:rsid w:val="00DA6C12"/>
    <w:rsid w:val="00DA6D29"/>
    <w:rsid w:val="00DA6DEA"/>
    <w:rsid w:val="00DA6E85"/>
    <w:rsid w:val="00DA6E90"/>
    <w:rsid w:val="00DA6FF4"/>
    <w:rsid w:val="00DA704A"/>
    <w:rsid w:val="00DA708B"/>
    <w:rsid w:val="00DA70F0"/>
    <w:rsid w:val="00DA725A"/>
    <w:rsid w:val="00DA72D9"/>
    <w:rsid w:val="00DA73A4"/>
    <w:rsid w:val="00DA74EF"/>
    <w:rsid w:val="00DA76C0"/>
    <w:rsid w:val="00DA7843"/>
    <w:rsid w:val="00DA78F4"/>
    <w:rsid w:val="00DA7AE2"/>
    <w:rsid w:val="00DA7C07"/>
    <w:rsid w:val="00DA7C11"/>
    <w:rsid w:val="00DA7D0C"/>
    <w:rsid w:val="00DB003C"/>
    <w:rsid w:val="00DB0152"/>
    <w:rsid w:val="00DB019B"/>
    <w:rsid w:val="00DB026E"/>
    <w:rsid w:val="00DB0400"/>
    <w:rsid w:val="00DB056A"/>
    <w:rsid w:val="00DB05AB"/>
    <w:rsid w:val="00DB0A56"/>
    <w:rsid w:val="00DB0BB4"/>
    <w:rsid w:val="00DB0BE8"/>
    <w:rsid w:val="00DB0C00"/>
    <w:rsid w:val="00DB0C9E"/>
    <w:rsid w:val="00DB0D5B"/>
    <w:rsid w:val="00DB0E7F"/>
    <w:rsid w:val="00DB0E83"/>
    <w:rsid w:val="00DB0EAE"/>
    <w:rsid w:val="00DB0FF9"/>
    <w:rsid w:val="00DB1064"/>
    <w:rsid w:val="00DB1094"/>
    <w:rsid w:val="00DB1176"/>
    <w:rsid w:val="00DB11F3"/>
    <w:rsid w:val="00DB12DB"/>
    <w:rsid w:val="00DB1497"/>
    <w:rsid w:val="00DB165B"/>
    <w:rsid w:val="00DB18BD"/>
    <w:rsid w:val="00DB18D9"/>
    <w:rsid w:val="00DB18F0"/>
    <w:rsid w:val="00DB1A0F"/>
    <w:rsid w:val="00DB1A36"/>
    <w:rsid w:val="00DB1A63"/>
    <w:rsid w:val="00DB1C8E"/>
    <w:rsid w:val="00DB1E48"/>
    <w:rsid w:val="00DB1E91"/>
    <w:rsid w:val="00DB1E99"/>
    <w:rsid w:val="00DB1EB4"/>
    <w:rsid w:val="00DB1F77"/>
    <w:rsid w:val="00DB202D"/>
    <w:rsid w:val="00DB211B"/>
    <w:rsid w:val="00DB223F"/>
    <w:rsid w:val="00DB2251"/>
    <w:rsid w:val="00DB22C4"/>
    <w:rsid w:val="00DB2425"/>
    <w:rsid w:val="00DB2462"/>
    <w:rsid w:val="00DB25E6"/>
    <w:rsid w:val="00DB26A0"/>
    <w:rsid w:val="00DB276B"/>
    <w:rsid w:val="00DB2792"/>
    <w:rsid w:val="00DB2A24"/>
    <w:rsid w:val="00DB2AA4"/>
    <w:rsid w:val="00DB2AD4"/>
    <w:rsid w:val="00DB2B6C"/>
    <w:rsid w:val="00DB2C08"/>
    <w:rsid w:val="00DB2C32"/>
    <w:rsid w:val="00DB2D10"/>
    <w:rsid w:val="00DB2E06"/>
    <w:rsid w:val="00DB30A8"/>
    <w:rsid w:val="00DB341C"/>
    <w:rsid w:val="00DB3741"/>
    <w:rsid w:val="00DB376C"/>
    <w:rsid w:val="00DB3818"/>
    <w:rsid w:val="00DB3842"/>
    <w:rsid w:val="00DB3858"/>
    <w:rsid w:val="00DB3899"/>
    <w:rsid w:val="00DB3948"/>
    <w:rsid w:val="00DB3964"/>
    <w:rsid w:val="00DB3A47"/>
    <w:rsid w:val="00DB3B87"/>
    <w:rsid w:val="00DB3B9F"/>
    <w:rsid w:val="00DB3C13"/>
    <w:rsid w:val="00DB3CA9"/>
    <w:rsid w:val="00DB4141"/>
    <w:rsid w:val="00DB4410"/>
    <w:rsid w:val="00DB4467"/>
    <w:rsid w:val="00DB44C5"/>
    <w:rsid w:val="00DB4570"/>
    <w:rsid w:val="00DB462B"/>
    <w:rsid w:val="00DB4746"/>
    <w:rsid w:val="00DB47C4"/>
    <w:rsid w:val="00DB484E"/>
    <w:rsid w:val="00DB485B"/>
    <w:rsid w:val="00DB4884"/>
    <w:rsid w:val="00DB49BF"/>
    <w:rsid w:val="00DB4B66"/>
    <w:rsid w:val="00DB4BF4"/>
    <w:rsid w:val="00DB4CCA"/>
    <w:rsid w:val="00DB4D6A"/>
    <w:rsid w:val="00DB4DF4"/>
    <w:rsid w:val="00DB4E3E"/>
    <w:rsid w:val="00DB4E55"/>
    <w:rsid w:val="00DB5117"/>
    <w:rsid w:val="00DB5188"/>
    <w:rsid w:val="00DB51D1"/>
    <w:rsid w:val="00DB5498"/>
    <w:rsid w:val="00DB55DF"/>
    <w:rsid w:val="00DB55F9"/>
    <w:rsid w:val="00DB5991"/>
    <w:rsid w:val="00DB5AB6"/>
    <w:rsid w:val="00DB5D80"/>
    <w:rsid w:val="00DB5E1A"/>
    <w:rsid w:val="00DB5F64"/>
    <w:rsid w:val="00DB5FBD"/>
    <w:rsid w:val="00DB6031"/>
    <w:rsid w:val="00DB603B"/>
    <w:rsid w:val="00DB6213"/>
    <w:rsid w:val="00DB6254"/>
    <w:rsid w:val="00DB6566"/>
    <w:rsid w:val="00DB664A"/>
    <w:rsid w:val="00DB664D"/>
    <w:rsid w:val="00DB6712"/>
    <w:rsid w:val="00DB679B"/>
    <w:rsid w:val="00DB682C"/>
    <w:rsid w:val="00DB6858"/>
    <w:rsid w:val="00DB6A57"/>
    <w:rsid w:val="00DB6AA8"/>
    <w:rsid w:val="00DB6B3A"/>
    <w:rsid w:val="00DB6BBC"/>
    <w:rsid w:val="00DB6BF3"/>
    <w:rsid w:val="00DB6C11"/>
    <w:rsid w:val="00DB6E3D"/>
    <w:rsid w:val="00DB6E86"/>
    <w:rsid w:val="00DB6FF5"/>
    <w:rsid w:val="00DB708C"/>
    <w:rsid w:val="00DB71C5"/>
    <w:rsid w:val="00DB7463"/>
    <w:rsid w:val="00DB74D9"/>
    <w:rsid w:val="00DB7630"/>
    <w:rsid w:val="00DB7712"/>
    <w:rsid w:val="00DB7741"/>
    <w:rsid w:val="00DB7819"/>
    <w:rsid w:val="00DB7977"/>
    <w:rsid w:val="00DB7A10"/>
    <w:rsid w:val="00DB7BD3"/>
    <w:rsid w:val="00DB7C99"/>
    <w:rsid w:val="00DB7CF8"/>
    <w:rsid w:val="00DB7F27"/>
    <w:rsid w:val="00DB7F65"/>
    <w:rsid w:val="00DB7FCD"/>
    <w:rsid w:val="00DC0110"/>
    <w:rsid w:val="00DC0130"/>
    <w:rsid w:val="00DC0214"/>
    <w:rsid w:val="00DC0215"/>
    <w:rsid w:val="00DC0277"/>
    <w:rsid w:val="00DC0315"/>
    <w:rsid w:val="00DC03B3"/>
    <w:rsid w:val="00DC03EB"/>
    <w:rsid w:val="00DC050F"/>
    <w:rsid w:val="00DC0654"/>
    <w:rsid w:val="00DC0746"/>
    <w:rsid w:val="00DC07A2"/>
    <w:rsid w:val="00DC07D6"/>
    <w:rsid w:val="00DC07D7"/>
    <w:rsid w:val="00DC07E0"/>
    <w:rsid w:val="00DC088C"/>
    <w:rsid w:val="00DC0943"/>
    <w:rsid w:val="00DC0A0D"/>
    <w:rsid w:val="00DC0D8A"/>
    <w:rsid w:val="00DC0F14"/>
    <w:rsid w:val="00DC0F5E"/>
    <w:rsid w:val="00DC0FF2"/>
    <w:rsid w:val="00DC102A"/>
    <w:rsid w:val="00DC1138"/>
    <w:rsid w:val="00DC1226"/>
    <w:rsid w:val="00DC1278"/>
    <w:rsid w:val="00DC1315"/>
    <w:rsid w:val="00DC1339"/>
    <w:rsid w:val="00DC14AF"/>
    <w:rsid w:val="00DC1539"/>
    <w:rsid w:val="00DC1565"/>
    <w:rsid w:val="00DC15D4"/>
    <w:rsid w:val="00DC15EE"/>
    <w:rsid w:val="00DC1627"/>
    <w:rsid w:val="00DC16ED"/>
    <w:rsid w:val="00DC1720"/>
    <w:rsid w:val="00DC179C"/>
    <w:rsid w:val="00DC188C"/>
    <w:rsid w:val="00DC1ABD"/>
    <w:rsid w:val="00DC1AED"/>
    <w:rsid w:val="00DC1B8B"/>
    <w:rsid w:val="00DC1C5C"/>
    <w:rsid w:val="00DC1CBA"/>
    <w:rsid w:val="00DC1D00"/>
    <w:rsid w:val="00DC1E30"/>
    <w:rsid w:val="00DC1E37"/>
    <w:rsid w:val="00DC1E94"/>
    <w:rsid w:val="00DC1EB5"/>
    <w:rsid w:val="00DC1F36"/>
    <w:rsid w:val="00DC2089"/>
    <w:rsid w:val="00DC231D"/>
    <w:rsid w:val="00DC2398"/>
    <w:rsid w:val="00DC245D"/>
    <w:rsid w:val="00DC2671"/>
    <w:rsid w:val="00DC2704"/>
    <w:rsid w:val="00DC2752"/>
    <w:rsid w:val="00DC28B5"/>
    <w:rsid w:val="00DC29C4"/>
    <w:rsid w:val="00DC29EF"/>
    <w:rsid w:val="00DC2A1B"/>
    <w:rsid w:val="00DC2C73"/>
    <w:rsid w:val="00DC2C88"/>
    <w:rsid w:val="00DC2CE0"/>
    <w:rsid w:val="00DC2E3B"/>
    <w:rsid w:val="00DC330D"/>
    <w:rsid w:val="00DC3541"/>
    <w:rsid w:val="00DC3633"/>
    <w:rsid w:val="00DC3636"/>
    <w:rsid w:val="00DC3659"/>
    <w:rsid w:val="00DC36BA"/>
    <w:rsid w:val="00DC3711"/>
    <w:rsid w:val="00DC382F"/>
    <w:rsid w:val="00DC387A"/>
    <w:rsid w:val="00DC3A16"/>
    <w:rsid w:val="00DC3B59"/>
    <w:rsid w:val="00DC3CD2"/>
    <w:rsid w:val="00DC3D7E"/>
    <w:rsid w:val="00DC3E17"/>
    <w:rsid w:val="00DC3E19"/>
    <w:rsid w:val="00DC3E4E"/>
    <w:rsid w:val="00DC3F39"/>
    <w:rsid w:val="00DC4108"/>
    <w:rsid w:val="00DC42CC"/>
    <w:rsid w:val="00DC439B"/>
    <w:rsid w:val="00DC442B"/>
    <w:rsid w:val="00DC443D"/>
    <w:rsid w:val="00DC444B"/>
    <w:rsid w:val="00DC4523"/>
    <w:rsid w:val="00DC487C"/>
    <w:rsid w:val="00DC4913"/>
    <w:rsid w:val="00DC493D"/>
    <w:rsid w:val="00DC49C6"/>
    <w:rsid w:val="00DC4AA7"/>
    <w:rsid w:val="00DC4B31"/>
    <w:rsid w:val="00DC4C50"/>
    <w:rsid w:val="00DC4D63"/>
    <w:rsid w:val="00DC4E84"/>
    <w:rsid w:val="00DC4EC7"/>
    <w:rsid w:val="00DC4F44"/>
    <w:rsid w:val="00DC4F64"/>
    <w:rsid w:val="00DC50C5"/>
    <w:rsid w:val="00DC52C0"/>
    <w:rsid w:val="00DC5327"/>
    <w:rsid w:val="00DC5395"/>
    <w:rsid w:val="00DC557C"/>
    <w:rsid w:val="00DC582C"/>
    <w:rsid w:val="00DC5BDD"/>
    <w:rsid w:val="00DC5C41"/>
    <w:rsid w:val="00DC5DD9"/>
    <w:rsid w:val="00DC5F50"/>
    <w:rsid w:val="00DC5FBF"/>
    <w:rsid w:val="00DC6085"/>
    <w:rsid w:val="00DC612C"/>
    <w:rsid w:val="00DC61C0"/>
    <w:rsid w:val="00DC61C6"/>
    <w:rsid w:val="00DC6203"/>
    <w:rsid w:val="00DC620B"/>
    <w:rsid w:val="00DC6362"/>
    <w:rsid w:val="00DC636B"/>
    <w:rsid w:val="00DC644F"/>
    <w:rsid w:val="00DC64A7"/>
    <w:rsid w:val="00DC657D"/>
    <w:rsid w:val="00DC6596"/>
    <w:rsid w:val="00DC673A"/>
    <w:rsid w:val="00DC67A0"/>
    <w:rsid w:val="00DC68F0"/>
    <w:rsid w:val="00DC69BB"/>
    <w:rsid w:val="00DC6B7F"/>
    <w:rsid w:val="00DC6BA7"/>
    <w:rsid w:val="00DC6BF2"/>
    <w:rsid w:val="00DC6C4F"/>
    <w:rsid w:val="00DC6C84"/>
    <w:rsid w:val="00DC6CFB"/>
    <w:rsid w:val="00DC6F7A"/>
    <w:rsid w:val="00DC7025"/>
    <w:rsid w:val="00DC7054"/>
    <w:rsid w:val="00DC709E"/>
    <w:rsid w:val="00DC7133"/>
    <w:rsid w:val="00DC717F"/>
    <w:rsid w:val="00DC71D3"/>
    <w:rsid w:val="00DC71F2"/>
    <w:rsid w:val="00DC7283"/>
    <w:rsid w:val="00DC7369"/>
    <w:rsid w:val="00DC73A5"/>
    <w:rsid w:val="00DC73C8"/>
    <w:rsid w:val="00DC744E"/>
    <w:rsid w:val="00DC74DB"/>
    <w:rsid w:val="00DC7521"/>
    <w:rsid w:val="00DC7649"/>
    <w:rsid w:val="00DC77C4"/>
    <w:rsid w:val="00DC7895"/>
    <w:rsid w:val="00DC7987"/>
    <w:rsid w:val="00DC79DD"/>
    <w:rsid w:val="00DC7A6D"/>
    <w:rsid w:val="00DC7BCE"/>
    <w:rsid w:val="00DC7ED5"/>
    <w:rsid w:val="00DD0048"/>
    <w:rsid w:val="00DD0073"/>
    <w:rsid w:val="00DD0136"/>
    <w:rsid w:val="00DD02A7"/>
    <w:rsid w:val="00DD02FB"/>
    <w:rsid w:val="00DD0333"/>
    <w:rsid w:val="00DD03DA"/>
    <w:rsid w:val="00DD03FD"/>
    <w:rsid w:val="00DD0609"/>
    <w:rsid w:val="00DD072B"/>
    <w:rsid w:val="00DD0798"/>
    <w:rsid w:val="00DD07A7"/>
    <w:rsid w:val="00DD08B2"/>
    <w:rsid w:val="00DD0953"/>
    <w:rsid w:val="00DD099F"/>
    <w:rsid w:val="00DD0A29"/>
    <w:rsid w:val="00DD0AD0"/>
    <w:rsid w:val="00DD0B95"/>
    <w:rsid w:val="00DD0C25"/>
    <w:rsid w:val="00DD0C5E"/>
    <w:rsid w:val="00DD0E61"/>
    <w:rsid w:val="00DD0FBB"/>
    <w:rsid w:val="00DD1006"/>
    <w:rsid w:val="00DD1119"/>
    <w:rsid w:val="00DD1158"/>
    <w:rsid w:val="00DD12DB"/>
    <w:rsid w:val="00DD1311"/>
    <w:rsid w:val="00DD138A"/>
    <w:rsid w:val="00DD1723"/>
    <w:rsid w:val="00DD173D"/>
    <w:rsid w:val="00DD17D5"/>
    <w:rsid w:val="00DD1A50"/>
    <w:rsid w:val="00DD1A95"/>
    <w:rsid w:val="00DD1B71"/>
    <w:rsid w:val="00DD1B91"/>
    <w:rsid w:val="00DD1D4B"/>
    <w:rsid w:val="00DD1EC3"/>
    <w:rsid w:val="00DD1F04"/>
    <w:rsid w:val="00DD21F1"/>
    <w:rsid w:val="00DD22C2"/>
    <w:rsid w:val="00DD25BA"/>
    <w:rsid w:val="00DD26B2"/>
    <w:rsid w:val="00DD27BE"/>
    <w:rsid w:val="00DD27C6"/>
    <w:rsid w:val="00DD2880"/>
    <w:rsid w:val="00DD2A86"/>
    <w:rsid w:val="00DD2B62"/>
    <w:rsid w:val="00DD2BD8"/>
    <w:rsid w:val="00DD2C81"/>
    <w:rsid w:val="00DD2CD7"/>
    <w:rsid w:val="00DD2D15"/>
    <w:rsid w:val="00DD2DF2"/>
    <w:rsid w:val="00DD2E26"/>
    <w:rsid w:val="00DD2F4E"/>
    <w:rsid w:val="00DD2F63"/>
    <w:rsid w:val="00DD2FD9"/>
    <w:rsid w:val="00DD3025"/>
    <w:rsid w:val="00DD306D"/>
    <w:rsid w:val="00DD31D3"/>
    <w:rsid w:val="00DD32AA"/>
    <w:rsid w:val="00DD32D6"/>
    <w:rsid w:val="00DD32EA"/>
    <w:rsid w:val="00DD32EC"/>
    <w:rsid w:val="00DD3387"/>
    <w:rsid w:val="00DD3503"/>
    <w:rsid w:val="00DD3524"/>
    <w:rsid w:val="00DD3537"/>
    <w:rsid w:val="00DD3705"/>
    <w:rsid w:val="00DD3A63"/>
    <w:rsid w:val="00DD3A7E"/>
    <w:rsid w:val="00DD3A92"/>
    <w:rsid w:val="00DD3A93"/>
    <w:rsid w:val="00DD3B07"/>
    <w:rsid w:val="00DD3DB3"/>
    <w:rsid w:val="00DD3DC4"/>
    <w:rsid w:val="00DD3DE6"/>
    <w:rsid w:val="00DD3EF7"/>
    <w:rsid w:val="00DD3F5D"/>
    <w:rsid w:val="00DD419C"/>
    <w:rsid w:val="00DD437F"/>
    <w:rsid w:val="00DD4467"/>
    <w:rsid w:val="00DD4537"/>
    <w:rsid w:val="00DD456D"/>
    <w:rsid w:val="00DD45A3"/>
    <w:rsid w:val="00DD481F"/>
    <w:rsid w:val="00DD493E"/>
    <w:rsid w:val="00DD49BA"/>
    <w:rsid w:val="00DD49C2"/>
    <w:rsid w:val="00DD4C99"/>
    <w:rsid w:val="00DD4F55"/>
    <w:rsid w:val="00DD4FD7"/>
    <w:rsid w:val="00DD5297"/>
    <w:rsid w:val="00DD534D"/>
    <w:rsid w:val="00DD53F8"/>
    <w:rsid w:val="00DD550D"/>
    <w:rsid w:val="00DD5588"/>
    <w:rsid w:val="00DD5793"/>
    <w:rsid w:val="00DD581C"/>
    <w:rsid w:val="00DD5925"/>
    <w:rsid w:val="00DD59C8"/>
    <w:rsid w:val="00DD5A24"/>
    <w:rsid w:val="00DD5A4E"/>
    <w:rsid w:val="00DD5A74"/>
    <w:rsid w:val="00DD5A7C"/>
    <w:rsid w:val="00DD5A93"/>
    <w:rsid w:val="00DD5B1D"/>
    <w:rsid w:val="00DD5C16"/>
    <w:rsid w:val="00DD5E18"/>
    <w:rsid w:val="00DD5EBE"/>
    <w:rsid w:val="00DD5FFD"/>
    <w:rsid w:val="00DD620E"/>
    <w:rsid w:val="00DD62F4"/>
    <w:rsid w:val="00DD6321"/>
    <w:rsid w:val="00DD6399"/>
    <w:rsid w:val="00DD64AA"/>
    <w:rsid w:val="00DD652B"/>
    <w:rsid w:val="00DD69A4"/>
    <w:rsid w:val="00DD69F7"/>
    <w:rsid w:val="00DD6A70"/>
    <w:rsid w:val="00DD6BFC"/>
    <w:rsid w:val="00DD6C18"/>
    <w:rsid w:val="00DD6C78"/>
    <w:rsid w:val="00DD6E4E"/>
    <w:rsid w:val="00DD70A0"/>
    <w:rsid w:val="00DD71C4"/>
    <w:rsid w:val="00DD734E"/>
    <w:rsid w:val="00DD7492"/>
    <w:rsid w:val="00DD76BE"/>
    <w:rsid w:val="00DD76DB"/>
    <w:rsid w:val="00DD783A"/>
    <w:rsid w:val="00DD7BD8"/>
    <w:rsid w:val="00DD7BDD"/>
    <w:rsid w:val="00DD7C01"/>
    <w:rsid w:val="00DD7CFE"/>
    <w:rsid w:val="00DD7DC7"/>
    <w:rsid w:val="00DD7DFC"/>
    <w:rsid w:val="00DD7ECA"/>
    <w:rsid w:val="00DD7F60"/>
    <w:rsid w:val="00DD7F81"/>
    <w:rsid w:val="00DE0334"/>
    <w:rsid w:val="00DE04E4"/>
    <w:rsid w:val="00DE0580"/>
    <w:rsid w:val="00DE0623"/>
    <w:rsid w:val="00DE063D"/>
    <w:rsid w:val="00DE066E"/>
    <w:rsid w:val="00DE07D1"/>
    <w:rsid w:val="00DE08E8"/>
    <w:rsid w:val="00DE0A16"/>
    <w:rsid w:val="00DE0A90"/>
    <w:rsid w:val="00DE0C45"/>
    <w:rsid w:val="00DE0E73"/>
    <w:rsid w:val="00DE0F26"/>
    <w:rsid w:val="00DE1033"/>
    <w:rsid w:val="00DE11C1"/>
    <w:rsid w:val="00DE1346"/>
    <w:rsid w:val="00DE13E3"/>
    <w:rsid w:val="00DE1482"/>
    <w:rsid w:val="00DE1496"/>
    <w:rsid w:val="00DE1620"/>
    <w:rsid w:val="00DE1800"/>
    <w:rsid w:val="00DE1932"/>
    <w:rsid w:val="00DE19DA"/>
    <w:rsid w:val="00DE1A23"/>
    <w:rsid w:val="00DE1ADB"/>
    <w:rsid w:val="00DE1C25"/>
    <w:rsid w:val="00DE1DA5"/>
    <w:rsid w:val="00DE1DA8"/>
    <w:rsid w:val="00DE1DB6"/>
    <w:rsid w:val="00DE1DBB"/>
    <w:rsid w:val="00DE1DD6"/>
    <w:rsid w:val="00DE1ED9"/>
    <w:rsid w:val="00DE1FAF"/>
    <w:rsid w:val="00DE2099"/>
    <w:rsid w:val="00DE20D8"/>
    <w:rsid w:val="00DE20F2"/>
    <w:rsid w:val="00DE22FF"/>
    <w:rsid w:val="00DE23A7"/>
    <w:rsid w:val="00DE23E0"/>
    <w:rsid w:val="00DE2496"/>
    <w:rsid w:val="00DE24B1"/>
    <w:rsid w:val="00DE24F9"/>
    <w:rsid w:val="00DE25D8"/>
    <w:rsid w:val="00DE2608"/>
    <w:rsid w:val="00DE26D5"/>
    <w:rsid w:val="00DE26DB"/>
    <w:rsid w:val="00DE2800"/>
    <w:rsid w:val="00DE281A"/>
    <w:rsid w:val="00DE291F"/>
    <w:rsid w:val="00DE2A71"/>
    <w:rsid w:val="00DE2B27"/>
    <w:rsid w:val="00DE2B43"/>
    <w:rsid w:val="00DE2C89"/>
    <w:rsid w:val="00DE2D56"/>
    <w:rsid w:val="00DE2D91"/>
    <w:rsid w:val="00DE2DEF"/>
    <w:rsid w:val="00DE2E73"/>
    <w:rsid w:val="00DE2F31"/>
    <w:rsid w:val="00DE302A"/>
    <w:rsid w:val="00DE31A6"/>
    <w:rsid w:val="00DE3358"/>
    <w:rsid w:val="00DE3503"/>
    <w:rsid w:val="00DE35DD"/>
    <w:rsid w:val="00DE3835"/>
    <w:rsid w:val="00DE388B"/>
    <w:rsid w:val="00DE3DE1"/>
    <w:rsid w:val="00DE3E73"/>
    <w:rsid w:val="00DE3E82"/>
    <w:rsid w:val="00DE3E93"/>
    <w:rsid w:val="00DE3F5D"/>
    <w:rsid w:val="00DE3F8D"/>
    <w:rsid w:val="00DE3FF6"/>
    <w:rsid w:val="00DE3FFD"/>
    <w:rsid w:val="00DE4073"/>
    <w:rsid w:val="00DE426F"/>
    <w:rsid w:val="00DE42B6"/>
    <w:rsid w:val="00DE4370"/>
    <w:rsid w:val="00DE43C7"/>
    <w:rsid w:val="00DE442A"/>
    <w:rsid w:val="00DE4514"/>
    <w:rsid w:val="00DE470B"/>
    <w:rsid w:val="00DE471C"/>
    <w:rsid w:val="00DE472E"/>
    <w:rsid w:val="00DE4749"/>
    <w:rsid w:val="00DE48EE"/>
    <w:rsid w:val="00DE490E"/>
    <w:rsid w:val="00DE4A12"/>
    <w:rsid w:val="00DE4B02"/>
    <w:rsid w:val="00DE4B15"/>
    <w:rsid w:val="00DE4B51"/>
    <w:rsid w:val="00DE4B7C"/>
    <w:rsid w:val="00DE4D44"/>
    <w:rsid w:val="00DE5075"/>
    <w:rsid w:val="00DE5081"/>
    <w:rsid w:val="00DE509A"/>
    <w:rsid w:val="00DE515D"/>
    <w:rsid w:val="00DE51C3"/>
    <w:rsid w:val="00DE552A"/>
    <w:rsid w:val="00DE554D"/>
    <w:rsid w:val="00DE5575"/>
    <w:rsid w:val="00DE579E"/>
    <w:rsid w:val="00DE5862"/>
    <w:rsid w:val="00DE589C"/>
    <w:rsid w:val="00DE5AD7"/>
    <w:rsid w:val="00DE5C3F"/>
    <w:rsid w:val="00DE5E6F"/>
    <w:rsid w:val="00DE5EDC"/>
    <w:rsid w:val="00DE5FEC"/>
    <w:rsid w:val="00DE60F8"/>
    <w:rsid w:val="00DE6206"/>
    <w:rsid w:val="00DE6253"/>
    <w:rsid w:val="00DE6390"/>
    <w:rsid w:val="00DE6672"/>
    <w:rsid w:val="00DE66B8"/>
    <w:rsid w:val="00DE66BB"/>
    <w:rsid w:val="00DE66D8"/>
    <w:rsid w:val="00DE679F"/>
    <w:rsid w:val="00DE6850"/>
    <w:rsid w:val="00DE687A"/>
    <w:rsid w:val="00DE688B"/>
    <w:rsid w:val="00DE68EA"/>
    <w:rsid w:val="00DE69EC"/>
    <w:rsid w:val="00DE69EE"/>
    <w:rsid w:val="00DE6A28"/>
    <w:rsid w:val="00DE6A9C"/>
    <w:rsid w:val="00DE6ADD"/>
    <w:rsid w:val="00DE6C0D"/>
    <w:rsid w:val="00DE6CA6"/>
    <w:rsid w:val="00DE6D1D"/>
    <w:rsid w:val="00DE6E94"/>
    <w:rsid w:val="00DE7099"/>
    <w:rsid w:val="00DE70A2"/>
    <w:rsid w:val="00DE70B0"/>
    <w:rsid w:val="00DE70F4"/>
    <w:rsid w:val="00DE7112"/>
    <w:rsid w:val="00DE72E0"/>
    <w:rsid w:val="00DE7395"/>
    <w:rsid w:val="00DE73C5"/>
    <w:rsid w:val="00DE768E"/>
    <w:rsid w:val="00DE7767"/>
    <w:rsid w:val="00DE77B9"/>
    <w:rsid w:val="00DE78BC"/>
    <w:rsid w:val="00DE791C"/>
    <w:rsid w:val="00DE793E"/>
    <w:rsid w:val="00DE79A0"/>
    <w:rsid w:val="00DE7A1D"/>
    <w:rsid w:val="00DE7AC7"/>
    <w:rsid w:val="00DE7B28"/>
    <w:rsid w:val="00DE7B8E"/>
    <w:rsid w:val="00DE7BFF"/>
    <w:rsid w:val="00DE7D8D"/>
    <w:rsid w:val="00DE7E43"/>
    <w:rsid w:val="00DE7F2F"/>
    <w:rsid w:val="00DF00C1"/>
    <w:rsid w:val="00DF00ED"/>
    <w:rsid w:val="00DF0168"/>
    <w:rsid w:val="00DF02E9"/>
    <w:rsid w:val="00DF035C"/>
    <w:rsid w:val="00DF056A"/>
    <w:rsid w:val="00DF05AD"/>
    <w:rsid w:val="00DF0724"/>
    <w:rsid w:val="00DF0762"/>
    <w:rsid w:val="00DF08D2"/>
    <w:rsid w:val="00DF08D7"/>
    <w:rsid w:val="00DF08F9"/>
    <w:rsid w:val="00DF09EB"/>
    <w:rsid w:val="00DF0B9F"/>
    <w:rsid w:val="00DF0BC5"/>
    <w:rsid w:val="00DF0BF7"/>
    <w:rsid w:val="00DF0C43"/>
    <w:rsid w:val="00DF0D40"/>
    <w:rsid w:val="00DF0DD8"/>
    <w:rsid w:val="00DF0F9E"/>
    <w:rsid w:val="00DF0FAA"/>
    <w:rsid w:val="00DF1014"/>
    <w:rsid w:val="00DF1055"/>
    <w:rsid w:val="00DF1120"/>
    <w:rsid w:val="00DF1177"/>
    <w:rsid w:val="00DF11A9"/>
    <w:rsid w:val="00DF13F3"/>
    <w:rsid w:val="00DF1475"/>
    <w:rsid w:val="00DF14D1"/>
    <w:rsid w:val="00DF150F"/>
    <w:rsid w:val="00DF1514"/>
    <w:rsid w:val="00DF1694"/>
    <w:rsid w:val="00DF16F2"/>
    <w:rsid w:val="00DF1725"/>
    <w:rsid w:val="00DF1AD8"/>
    <w:rsid w:val="00DF1BA2"/>
    <w:rsid w:val="00DF1BE7"/>
    <w:rsid w:val="00DF1BFB"/>
    <w:rsid w:val="00DF1F9B"/>
    <w:rsid w:val="00DF21B3"/>
    <w:rsid w:val="00DF224C"/>
    <w:rsid w:val="00DF23E3"/>
    <w:rsid w:val="00DF255F"/>
    <w:rsid w:val="00DF25A4"/>
    <w:rsid w:val="00DF27DC"/>
    <w:rsid w:val="00DF2954"/>
    <w:rsid w:val="00DF29FA"/>
    <w:rsid w:val="00DF2A19"/>
    <w:rsid w:val="00DF2A20"/>
    <w:rsid w:val="00DF2B95"/>
    <w:rsid w:val="00DF2BC7"/>
    <w:rsid w:val="00DF2D62"/>
    <w:rsid w:val="00DF2DB6"/>
    <w:rsid w:val="00DF2E3A"/>
    <w:rsid w:val="00DF2F0A"/>
    <w:rsid w:val="00DF2FFF"/>
    <w:rsid w:val="00DF300E"/>
    <w:rsid w:val="00DF30A3"/>
    <w:rsid w:val="00DF311C"/>
    <w:rsid w:val="00DF3166"/>
    <w:rsid w:val="00DF341B"/>
    <w:rsid w:val="00DF34AE"/>
    <w:rsid w:val="00DF35A9"/>
    <w:rsid w:val="00DF35B8"/>
    <w:rsid w:val="00DF3640"/>
    <w:rsid w:val="00DF36F6"/>
    <w:rsid w:val="00DF37EA"/>
    <w:rsid w:val="00DF3802"/>
    <w:rsid w:val="00DF3832"/>
    <w:rsid w:val="00DF38A0"/>
    <w:rsid w:val="00DF3990"/>
    <w:rsid w:val="00DF39E9"/>
    <w:rsid w:val="00DF3A1B"/>
    <w:rsid w:val="00DF3AF4"/>
    <w:rsid w:val="00DF3B63"/>
    <w:rsid w:val="00DF3D91"/>
    <w:rsid w:val="00DF3FD6"/>
    <w:rsid w:val="00DF40BE"/>
    <w:rsid w:val="00DF431B"/>
    <w:rsid w:val="00DF4686"/>
    <w:rsid w:val="00DF476D"/>
    <w:rsid w:val="00DF47C1"/>
    <w:rsid w:val="00DF482B"/>
    <w:rsid w:val="00DF48C6"/>
    <w:rsid w:val="00DF49D5"/>
    <w:rsid w:val="00DF4A0B"/>
    <w:rsid w:val="00DF4A14"/>
    <w:rsid w:val="00DF4A51"/>
    <w:rsid w:val="00DF4CF8"/>
    <w:rsid w:val="00DF4D7B"/>
    <w:rsid w:val="00DF4FA2"/>
    <w:rsid w:val="00DF5060"/>
    <w:rsid w:val="00DF507B"/>
    <w:rsid w:val="00DF5188"/>
    <w:rsid w:val="00DF51D1"/>
    <w:rsid w:val="00DF53AB"/>
    <w:rsid w:val="00DF54B7"/>
    <w:rsid w:val="00DF56FF"/>
    <w:rsid w:val="00DF5841"/>
    <w:rsid w:val="00DF5AB6"/>
    <w:rsid w:val="00DF5B4C"/>
    <w:rsid w:val="00DF5B7C"/>
    <w:rsid w:val="00DF5BBD"/>
    <w:rsid w:val="00DF5E3D"/>
    <w:rsid w:val="00DF5E85"/>
    <w:rsid w:val="00DF5EA2"/>
    <w:rsid w:val="00DF5F79"/>
    <w:rsid w:val="00DF5FD8"/>
    <w:rsid w:val="00DF60C8"/>
    <w:rsid w:val="00DF620D"/>
    <w:rsid w:val="00DF636F"/>
    <w:rsid w:val="00DF638A"/>
    <w:rsid w:val="00DF63A3"/>
    <w:rsid w:val="00DF63AA"/>
    <w:rsid w:val="00DF6484"/>
    <w:rsid w:val="00DF66FD"/>
    <w:rsid w:val="00DF67A7"/>
    <w:rsid w:val="00DF67D1"/>
    <w:rsid w:val="00DF67DF"/>
    <w:rsid w:val="00DF6883"/>
    <w:rsid w:val="00DF68D4"/>
    <w:rsid w:val="00DF694B"/>
    <w:rsid w:val="00DF6A1C"/>
    <w:rsid w:val="00DF6A43"/>
    <w:rsid w:val="00DF6B27"/>
    <w:rsid w:val="00DF6D63"/>
    <w:rsid w:val="00DF6DDC"/>
    <w:rsid w:val="00DF6E1F"/>
    <w:rsid w:val="00DF6ECE"/>
    <w:rsid w:val="00DF6ED3"/>
    <w:rsid w:val="00DF70C5"/>
    <w:rsid w:val="00DF7285"/>
    <w:rsid w:val="00DF72E8"/>
    <w:rsid w:val="00DF7312"/>
    <w:rsid w:val="00DF7386"/>
    <w:rsid w:val="00DF74B7"/>
    <w:rsid w:val="00DF74D9"/>
    <w:rsid w:val="00DF75FE"/>
    <w:rsid w:val="00DF76DD"/>
    <w:rsid w:val="00DF76FD"/>
    <w:rsid w:val="00DF7736"/>
    <w:rsid w:val="00DF77D9"/>
    <w:rsid w:val="00DF77F7"/>
    <w:rsid w:val="00DF787B"/>
    <w:rsid w:val="00DF78A8"/>
    <w:rsid w:val="00DF791F"/>
    <w:rsid w:val="00DF7923"/>
    <w:rsid w:val="00DF7952"/>
    <w:rsid w:val="00DF7975"/>
    <w:rsid w:val="00DF79B9"/>
    <w:rsid w:val="00DF79C7"/>
    <w:rsid w:val="00DF7B66"/>
    <w:rsid w:val="00DF7BAB"/>
    <w:rsid w:val="00DF7C8A"/>
    <w:rsid w:val="00DF7CF2"/>
    <w:rsid w:val="00DF7E5B"/>
    <w:rsid w:val="00E00084"/>
    <w:rsid w:val="00E000DA"/>
    <w:rsid w:val="00E00154"/>
    <w:rsid w:val="00E0015A"/>
    <w:rsid w:val="00E001A0"/>
    <w:rsid w:val="00E00384"/>
    <w:rsid w:val="00E00626"/>
    <w:rsid w:val="00E006F4"/>
    <w:rsid w:val="00E008F1"/>
    <w:rsid w:val="00E00965"/>
    <w:rsid w:val="00E009B7"/>
    <w:rsid w:val="00E00AB9"/>
    <w:rsid w:val="00E00B26"/>
    <w:rsid w:val="00E00C6E"/>
    <w:rsid w:val="00E00E86"/>
    <w:rsid w:val="00E00F84"/>
    <w:rsid w:val="00E00FC9"/>
    <w:rsid w:val="00E01169"/>
    <w:rsid w:val="00E0135A"/>
    <w:rsid w:val="00E01456"/>
    <w:rsid w:val="00E01484"/>
    <w:rsid w:val="00E014A5"/>
    <w:rsid w:val="00E01568"/>
    <w:rsid w:val="00E0158B"/>
    <w:rsid w:val="00E01686"/>
    <w:rsid w:val="00E01787"/>
    <w:rsid w:val="00E01926"/>
    <w:rsid w:val="00E01982"/>
    <w:rsid w:val="00E01DCC"/>
    <w:rsid w:val="00E01E7E"/>
    <w:rsid w:val="00E01FDA"/>
    <w:rsid w:val="00E02185"/>
    <w:rsid w:val="00E0219C"/>
    <w:rsid w:val="00E02205"/>
    <w:rsid w:val="00E0223B"/>
    <w:rsid w:val="00E022BA"/>
    <w:rsid w:val="00E0233B"/>
    <w:rsid w:val="00E025DE"/>
    <w:rsid w:val="00E026DF"/>
    <w:rsid w:val="00E026F4"/>
    <w:rsid w:val="00E02893"/>
    <w:rsid w:val="00E029F9"/>
    <w:rsid w:val="00E02A47"/>
    <w:rsid w:val="00E02A4E"/>
    <w:rsid w:val="00E02A83"/>
    <w:rsid w:val="00E02B8C"/>
    <w:rsid w:val="00E02B98"/>
    <w:rsid w:val="00E02C44"/>
    <w:rsid w:val="00E02E43"/>
    <w:rsid w:val="00E02EDC"/>
    <w:rsid w:val="00E03048"/>
    <w:rsid w:val="00E030DB"/>
    <w:rsid w:val="00E03129"/>
    <w:rsid w:val="00E0312D"/>
    <w:rsid w:val="00E0328E"/>
    <w:rsid w:val="00E03360"/>
    <w:rsid w:val="00E034EE"/>
    <w:rsid w:val="00E034F0"/>
    <w:rsid w:val="00E0360B"/>
    <w:rsid w:val="00E036B4"/>
    <w:rsid w:val="00E038D2"/>
    <w:rsid w:val="00E03917"/>
    <w:rsid w:val="00E03A0C"/>
    <w:rsid w:val="00E03A0E"/>
    <w:rsid w:val="00E03A58"/>
    <w:rsid w:val="00E03A59"/>
    <w:rsid w:val="00E03A96"/>
    <w:rsid w:val="00E03AA3"/>
    <w:rsid w:val="00E03BF6"/>
    <w:rsid w:val="00E03BF8"/>
    <w:rsid w:val="00E03CB2"/>
    <w:rsid w:val="00E03D53"/>
    <w:rsid w:val="00E03D71"/>
    <w:rsid w:val="00E042F2"/>
    <w:rsid w:val="00E04651"/>
    <w:rsid w:val="00E04659"/>
    <w:rsid w:val="00E04801"/>
    <w:rsid w:val="00E04875"/>
    <w:rsid w:val="00E049FB"/>
    <w:rsid w:val="00E04BCA"/>
    <w:rsid w:val="00E04BF7"/>
    <w:rsid w:val="00E04C1F"/>
    <w:rsid w:val="00E04E6B"/>
    <w:rsid w:val="00E04F72"/>
    <w:rsid w:val="00E050EB"/>
    <w:rsid w:val="00E05133"/>
    <w:rsid w:val="00E05159"/>
    <w:rsid w:val="00E051A3"/>
    <w:rsid w:val="00E05337"/>
    <w:rsid w:val="00E05752"/>
    <w:rsid w:val="00E057EC"/>
    <w:rsid w:val="00E058DD"/>
    <w:rsid w:val="00E05B13"/>
    <w:rsid w:val="00E05BAF"/>
    <w:rsid w:val="00E05C96"/>
    <w:rsid w:val="00E05D56"/>
    <w:rsid w:val="00E05D77"/>
    <w:rsid w:val="00E05D87"/>
    <w:rsid w:val="00E05F19"/>
    <w:rsid w:val="00E05FBC"/>
    <w:rsid w:val="00E060B5"/>
    <w:rsid w:val="00E06112"/>
    <w:rsid w:val="00E0611F"/>
    <w:rsid w:val="00E061FB"/>
    <w:rsid w:val="00E06287"/>
    <w:rsid w:val="00E063DE"/>
    <w:rsid w:val="00E063F2"/>
    <w:rsid w:val="00E06577"/>
    <w:rsid w:val="00E0659B"/>
    <w:rsid w:val="00E065EB"/>
    <w:rsid w:val="00E06843"/>
    <w:rsid w:val="00E06959"/>
    <w:rsid w:val="00E06991"/>
    <w:rsid w:val="00E069E5"/>
    <w:rsid w:val="00E06B14"/>
    <w:rsid w:val="00E06BB7"/>
    <w:rsid w:val="00E06D54"/>
    <w:rsid w:val="00E06E50"/>
    <w:rsid w:val="00E06F17"/>
    <w:rsid w:val="00E074C2"/>
    <w:rsid w:val="00E075BD"/>
    <w:rsid w:val="00E07751"/>
    <w:rsid w:val="00E079B8"/>
    <w:rsid w:val="00E07B19"/>
    <w:rsid w:val="00E07B41"/>
    <w:rsid w:val="00E07B61"/>
    <w:rsid w:val="00E07BF0"/>
    <w:rsid w:val="00E07BF3"/>
    <w:rsid w:val="00E07C0C"/>
    <w:rsid w:val="00E07E42"/>
    <w:rsid w:val="00E07E62"/>
    <w:rsid w:val="00E07E6C"/>
    <w:rsid w:val="00E07E77"/>
    <w:rsid w:val="00E10359"/>
    <w:rsid w:val="00E10466"/>
    <w:rsid w:val="00E1054D"/>
    <w:rsid w:val="00E10564"/>
    <w:rsid w:val="00E105A9"/>
    <w:rsid w:val="00E1071E"/>
    <w:rsid w:val="00E107F8"/>
    <w:rsid w:val="00E1089B"/>
    <w:rsid w:val="00E10956"/>
    <w:rsid w:val="00E10AB8"/>
    <w:rsid w:val="00E10EC2"/>
    <w:rsid w:val="00E11167"/>
    <w:rsid w:val="00E11360"/>
    <w:rsid w:val="00E11400"/>
    <w:rsid w:val="00E11457"/>
    <w:rsid w:val="00E11482"/>
    <w:rsid w:val="00E115DC"/>
    <w:rsid w:val="00E115DF"/>
    <w:rsid w:val="00E11714"/>
    <w:rsid w:val="00E1194C"/>
    <w:rsid w:val="00E119E2"/>
    <w:rsid w:val="00E119E9"/>
    <w:rsid w:val="00E11C29"/>
    <w:rsid w:val="00E11C2A"/>
    <w:rsid w:val="00E11EC8"/>
    <w:rsid w:val="00E11F3C"/>
    <w:rsid w:val="00E12060"/>
    <w:rsid w:val="00E120AA"/>
    <w:rsid w:val="00E1227A"/>
    <w:rsid w:val="00E12300"/>
    <w:rsid w:val="00E12427"/>
    <w:rsid w:val="00E124A4"/>
    <w:rsid w:val="00E1263C"/>
    <w:rsid w:val="00E12674"/>
    <w:rsid w:val="00E12766"/>
    <w:rsid w:val="00E127A4"/>
    <w:rsid w:val="00E12863"/>
    <w:rsid w:val="00E1289D"/>
    <w:rsid w:val="00E12A01"/>
    <w:rsid w:val="00E12B00"/>
    <w:rsid w:val="00E12CFE"/>
    <w:rsid w:val="00E12D0B"/>
    <w:rsid w:val="00E12D61"/>
    <w:rsid w:val="00E12D87"/>
    <w:rsid w:val="00E12DA6"/>
    <w:rsid w:val="00E12E97"/>
    <w:rsid w:val="00E12EC0"/>
    <w:rsid w:val="00E12ED9"/>
    <w:rsid w:val="00E12EE2"/>
    <w:rsid w:val="00E12FCC"/>
    <w:rsid w:val="00E131A6"/>
    <w:rsid w:val="00E132E2"/>
    <w:rsid w:val="00E1334E"/>
    <w:rsid w:val="00E13373"/>
    <w:rsid w:val="00E133B6"/>
    <w:rsid w:val="00E1341E"/>
    <w:rsid w:val="00E13458"/>
    <w:rsid w:val="00E1347D"/>
    <w:rsid w:val="00E13509"/>
    <w:rsid w:val="00E13545"/>
    <w:rsid w:val="00E13564"/>
    <w:rsid w:val="00E13CFE"/>
    <w:rsid w:val="00E13DDD"/>
    <w:rsid w:val="00E13E09"/>
    <w:rsid w:val="00E13E1D"/>
    <w:rsid w:val="00E141FC"/>
    <w:rsid w:val="00E14206"/>
    <w:rsid w:val="00E14432"/>
    <w:rsid w:val="00E1454F"/>
    <w:rsid w:val="00E145EA"/>
    <w:rsid w:val="00E1466C"/>
    <w:rsid w:val="00E1469F"/>
    <w:rsid w:val="00E14718"/>
    <w:rsid w:val="00E1471A"/>
    <w:rsid w:val="00E14739"/>
    <w:rsid w:val="00E14870"/>
    <w:rsid w:val="00E1493A"/>
    <w:rsid w:val="00E149A4"/>
    <w:rsid w:val="00E149EC"/>
    <w:rsid w:val="00E149F6"/>
    <w:rsid w:val="00E14A0B"/>
    <w:rsid w:val="00E14A79"/>
    <w:rsid w:val="00E14C96"/>
    <w:rsid w:val="00E14CA7"/>
    <w:rsid w:val="00E14CA8"/>
    <w:rsid w:val="00E14E44"/>
    <w:rsid w:val="00E15056"/>
    <w:rsid w:val="00E15187"/>
    <w:rsid w:val="00E15200"/>
    <w:rsid w:val="00E153C9"/>
    <w:rsid w:val="00E15439"/>
    <w:rsid w:val="00E15562"/>
    <w:rsid w:val="00E1566B"/>
    <w:rsid w:val="00E1567F"/>
    <w:rsid w:val="00E1574F"/>
    <w:rsid w:val="00E157B5"/>
    <w:rsid w:val="00E157DF"/>
    <w:rsid w:val="00E15806"/>
    <w:rsid w:val="00E15822"/>
    <w:rsid w:val="00E158F1"/>
    <w:rsid w:val="00E15A8D"/>
    <w:rsid w:val="00E15C4A"/>
    <w:rsid w:val="00E15D8C"/>
    <w:rsid w:val="00E15DB1"/>
    <w:rsid w:val="00E15DC4"/>
    <w:rsid w:val="00E15F2D"/>
    <w:rsid w:val="00E160C8"/>
    <w:rsid w:val="00E161C4"/>
    <w:rsid w:val="00E1621B"/>
    <w:rsid w:val="00E1640F"/>
    <w:rsid w:val="00E1644E"/>
    <w:rsid w:val="00E1661D"/>
    <w:rsid w:val="00E167F5"/>
    <w:rsid w:val="00E16885"/>
    <w:rsid w:val="00E169D8"/>
    <w:rsid w:val="00E16AC7"/>
    <w:rsid w:val="00E16C5D"/>
    <w:rsid w:val="00E16CDE"/>
    <w:rsid w:val="00E16E81"/>
    <w:rsid w:val="00E16FF7"/>
    <w:rsid w:val="00E17162"/>
    <w:rsid w:val="00E17470"/>
    <w:rsid w:val="00E17552"/>
    <w:rsid w:val="00E17568"/>
    <w:rsid w:val="00E175DD"/>
    <w:rsid w:val="00E17656"/>
    <w:rsid w:val="00E17714"/>
    <w:rsid w:val="00E17896"/>
    <w:rsid w:val="00E178A9"/>
    <w:rsid w:val="00E17963"/>
    <w:rsid w:val="00E17B83"/>
    <w:rsid w:val="00E17D10"/>
    <w:rsid w:val="00E17D8D"/>
    <w:rsid w:val="00E17DAB"/>
    <w:rsid w:val="00E17EE9"/>
    <w:rsid w:val="00E20164"/>
    <w:rsid w:val="00E201EA"/>
    <w:rsid w:val="00E20217"/>
    <w:rsid w:val="00E20457"/>
    <w:rsid w:val="00E204A4"/>
    <w:rsid w:val="00E20506"/>
    <w:rsid w:val="00E2053D"/>
    <w:rsid w:val="00E2064D"/>
    <w:rsid w:val="00E206CD"/>
    <w:rsid w:val="00E20743"/>
    <w:rsid w:val="00E20766"/>
    <w:rsid w:val="00E207EA"/>
    <w:rsid w:val="00E20912"/>
    <w:rsid w:val="00E209C7"/>
    <w:rsid w:val="00E20A77"/>
    <w:rsid w:val="00E20AF8"/>
    <w:rsid w:val="00E20BE1"/>
    <w:rsid w:val="00E20F3F"/>
    <w:rsid w:val="00E20FE2"/>
    <w:rsid w:val="00E2116B"/>
    <w:rsid w:val="00E2120D"/>
    <w:rsid w:val="00E21222"/>
    <w:rsid w:val="00E212A3"/>
    <w:rsid w:val="00E21361"/>
    <w:rsid w:val="00E21573"/>
    <w:rsid w:val="00E2159F"/>
    <w:rsid w:val="00E2163B"/>
    <w:rsid w:val="00E21675"/>
    <w:rsid w:val="00E21685"/>
    <w:rsid w:val="00E2172C"/>
    <w:rsid w:val="00E217E5"/>
    <w:rsid w:val="00E21963"/>
    <w:rsid w:val="00E2196A"/>
    <w:rsid w:val="00E21A15"/>
    <w:rsid w:val="00E21A1F"/>
    <w:rsid w:val="00E21B03"/>
    <w:rsid w:val="00E21B92"/>
    <w:rsid w:val="00E21C92"/>
    <w:rsid w:val="00E21D2D"/>
    <w:rsid w:val="00E21E1F"/>
    <w:rsid w:val="00E21ED7"/>
    <w:rsid w:val="00E21EF8"/>
    <w:rsid w:val="00E21F77"/>
    <w:rsid w:val="00E2206C"/>
    <w:rsid w:val="00E22107"/>
    <w:rsid w:val="00E221FE"/>
    <w:rsid w:val="00E2239D"/>
    <w:rsid w:val="00E223F9"/>
    <w:rsid w:val="00E22445"/>
    <w:rsid w:val="00E2246C"/>
    <w:rsid w:val="00E225A5"/>
    <w:rsid w:val="00E2267F"/>
    <w:rsid w:val="00E2268B"/>
    <w:rsid w:val="00E227A7"/>
    <w:rsid w:val="00E2282A"/>
    <w:rsid w:val="00E229AE"/>
    <w:rsid w:val="00E22A5E"/>
    <w:rsid w:val="00E22BB9"/>
    <w:rsid w:val="00E22BEB"/>
    <w:rsid w:val="00E22CAC"/>
    <w:rsid w:val="00E22CDA"/>
    <w:rsid w:val="00E22EDC"/>
    <w:rsid w:val="00E22EF5"/>
    <w:rsid w:val="00E22F8D"/>
    <w:rsid w:val="00E23249"/>
    <w:rsid w:val="00E23270"/>
    <w:rsid w:val="00E2328C"/>
    <w:rsid w:val="00E23297"/>
    <w:rsid w:val="00E2338A"/>
    <w:rsid w:val="00E235D5"/>
    <w:rsid w:val="00E23819"/>
    <w:rsid w:val="00E23840"/>
    <w:rsid w:val="00E23A03"/>
    <w:rsid w:val="00E23A75"/>
    <w:rsid w:val="00E23D26"/>
    <w:rsid w:val="00E23DE9"/>
    <w:rsid w:val="00E23E33"/>
    <w:rsid w:val="00E23F00"/>
    <w:rsid w:val="00E240FF"/>
    <w:rsid w:val="00E241F3"/>
    <w:rsid w:val="00E2431B"/>
    <w:rsid w:val="00E2457B"/>
    <w:rsid w:val="00E24637"/>
    <w:rsid w:val="00E246F8"/>
    <w:rsid w:val="00E2489E"/>
    <w:rsid w:val="00E2494F"/>
    <w:rsid w:val="00E249EE"/>
    <w:rsid w:val="00E24A51"/>
    <w:rsid w:val="00E24AF9"/>
    <w:rsid w:val="00E24B88"/>
    <w:rsid w:val="00E24C43"/>
    <w:rsid w:val="00E24C66"/>
    <w:rsid w:val="00E24E8C"/>
    <w:rsid w:val="00E24ECB"/>
    <w:rsid w:val="00E24FC1"/>
    <w:rsid w:val="00E25032"/>
    <w:rsid w:val="00E25330"/>
    <w:rsid w:val="00E253B3"/>
    <w:rsid w:val="00E25416"/>
    <w:rsid w:val="00E25551"/>
    <w:rsid w:val="00E255D9"/>
    <w:rsid w:val="00E25656"/>
    <w:rsid w:val="00E25781"/>
    <w:rsid w:val="00E257FA"/>
    <w:rsid w:val="00E25856"/>
    <w:rsid w:val="00E2588F"/>
    <w:rsid w:val="00E25908"/>
    <w:rsid w:val="00E259D2"/>
    <w:rsid w:val="00E25A0F"/>
    <w:rsid w:val="00E25A69"/>
    <w:rsid w:val="00E25ADB"/>
    <w:rsid w:val="00E25AEC"/>
    <w:rsid w:val="00E25B2B"/>
    <w:rsid w:val="00E25BAC"/>
    <w:rsid w:val="00E25CC5"/>
    <w:rsid w:val="00E260A3"/>
    <w:rsid w:val="00E2613B"/>
    <w:rsid w:val="00E26176"/>
    <w:rsid w:val="00E26455"/>
    <w:rsid w:val="00E2645E"/>
    <w:rsid w:val="00E26491"/>
    <w:rsid w:val="00E264CA"/>
    <w:rsid w:val="00E264E0"/>
    <w:rsid w:val="00E2677F"/>
    <w:rsid w:val="00E26838"/>
    <w:rsid w:val="00E26889"/>
    <w:rsid w:val="00E269ED"/>
    <w:rsid w:val="00E26B23"/>
    <w:rsid w:val="00E26BD7"/>
    <w:rsid w:val="00E26D15"/>
    <w:rsid w:val="00E26FEF"/>
    <w:rsid w:val="00E270D3"/>
    <w:rsid w:val="00E27145"/>
    <w:rsid w:val="00E273C3"/>
    <w:rsid w:val="00E27466"/>
    <w:rsid w:val="00E275A9"/>
    <w:rsid w:val="00E276F1"/>
    <w:rsid w:val="00E277C0"/>
    <w:rsid w:val="00E27933"/>
    <w:rsid w:val="00E2793A"/>
    <w:rsid w:val="00E2793F"/>
    <w:rsid w:val="00E27A0F"/>
    <w:rsid w:val="00E27B05"/>
    <w:rsid w:val="00E27B60"/>
    <w:rsid w:val="00E27BFF"/>
    <w:rsid w:val="00E27DDB"/>
    <w:rsid w:val="00E27E08"/>
    <w:rsid w:val="00E27EF7"/>
    <w:rsid w:val="00E27FC4"/>
    <w:rsid w:val="00E30028"/>
    <w:rsid w:val="00E300C6"/>
    <w:rsid w:val="00E300F0"/>
    <w:rsid w:val="00E30387"/>
    <w:rsid w:val="00E303E0"/>
    <w:rsid w:val="00E306B7"/>
    <w:rsid w:val="00E30A12"/>
    <w:rsid w:val="00E30A92"/>
    <w:rsid w:val="00E30B36"/>
    <w:rsid w:val="00E30BBB"/>
    <w:rsid w:val="00E30D23"/>
    <w:rsid w:val="00E31053"/>
    <w:rsid w:val="00E31060"/>
    <w:rsid w:val="00E31125"/>
    <w:rsid w:val="00E31315"/>
    <w:rsid w:val="00E31702"/>
    <w:rsid w:val="00E3171D"/>
    <w:rsid w:val="00E31860"/>
    <w:rsid w:val="00E318BD"/>
    <w:rsid w:val="00E31A49"/>
    <w:rsid w:val="00E31A70"/>
    <w:rsid w:val="00E31B03"/>
    <w:rsid w:val="00E31B70"/>
    <w:rsid w:val="00E31B75"/>
    <w:rsid w:val="00E31C7A"/>
    <w:rsid w:val="00E31CA2"/>
    <w:rsid w:val="00E31D71"/>
    <w:rsid w:val="00E31D87"/>
    <w:rsid w:val="00E31F9D"/>
    <w:rsid w:val="00E321C3"/>
    <w:rsid w:val="00E321E2"/>
    <w:rsid w:val="00E3228D"/>
    <w:rsid w:val="00E322D0"/>
    <w:rsid w:val="00E3242E"/>
    <w:rsid w:val="00E3267F"/>
    <w:rsid w:val="00E326BE"/>
    <w:rsid w:val="00E3274F"/>
    <w:rsid w:val="00E32883"/>
    <w:rsid w:val="00E32C10"/>
    <w:rsid w:val="00E32CB2"/>
    <w:rsid w:val="00E32DB1"/>
    <w:rsid w:val="00E32DEA"/>
    <w:rsid w:val="00E32E75"/>
    <w:rsid w:val="00E32E98"/>
    <w:rsid w:val="00E32F13"/>
    <w:rsid w:val="00E32F24"/>
    <w:rsid w:val="00E330C9"/>
    <w:rsid w:val="00E330D7"/>
    <w:rsid w:val="00E33127"/>
    <w:rsid w:val="00E33136"/>
    <w:rsid w:val="00E33153"/>
    <w:rsid w:val="00E3329B"/>
    <w:rsid w:val="00E3330E"/>
    <w:rsid w:val="00E3334D"/>
    <w:rsid w:val="00E3342F"/>
    <w:rsid w:val="00E334C9"/>
    <w:rsid w:val="00E3351F"/>
    <w:rsid w:val="00E336A1"/>
    <w:rsid w:val="00E3376C"/>
    <w:rsid w:val="00E33807"/>
    <w:rsid w:val="00E3382E"/>
    <w:rsid w:val="00E33992"/>
    <w:rsid w:val="00E339C0"/>
    <w:rsid w:val="00E33A28"/>
    <w:rsid w:val="00E33B85"/>
    <w:rsid w:val="00E33C48"/>
    <w:rsid w:val="00E33D33"/>
    <w:rsid w:val="00E33E04"/>
    <w:rsid w:val="00E33E09"/>
    <w:rsid w:val="00E34278"/>
    <w:rsid w:val="00E34394"/>
    <w:rsid w:val="00E34452"/>
    <w:rsid w:val="00E344DD"/>
    <w:rsid w:val="00E3457A"/>
    <w:rsid w:val="00E345DA"/>
    <w:rsid w:val="00E34705"/>
    <w:rsid w:val="00E3486F"/>
    <w:rsid w:val="00E348DF"/>
    <w:rsid w:val="00E348EF"/>
    <w:rsid w:val="00E3497B"/>
    <w:rsid w:val="00E349D1"/>
    <w:rsid w:val="00E34A06"/>
    <w:rsid w:val="00E34B15"/>
    <w:rsid w:val="00E34B35"/>
    <w:rsid w:val="00E34CE1"/>
    <w:rsid w:val="00E34D09"/>
    <w:rsid w:val="00E34DE2"/>
    <w:rsid w:val="00E34EBE"/>
    <w:rsid w:val="00E34FA9"/>
    <w:rsid w:val="00E35001"/>
    <w:rsid w:val="00E35079"/>
    <w:rsid w:val="00E35180"/>
    <w:rsid w:val="00E35378"/>
    <w:rsid w:val="00E353BE"/>
    <w:rsid w:val="00E3542B"/>
    <w:rsid w:val="00E35440"/>
    <w:rsid w:val="00E35496"/>
    <w:rsid w:val="00E35517"/>
    <w:rsid w:val="00E35787"/>
    <w:rsid w:val="00E357A6"/>
    <w:rsid w:val="00E358AD"/>
    <w:rsid w:val="00E358F2"/>
    <w:rsid w:val="00E359EC"/>
    <w:rsid w:val="00E35A20"/>
    <w:rsid w:val="00E35A63"/>
    <w:rsid w:val="00E35AFD"/>
    <w:rsid w:val="00E35C80"/>
    <w:rsid w:val="00E35C90"/>
    <w:rsid w:val="00E35CF6"/>
    <w:rsid w:val="00E35D33"/>
    <w:rsid w:val="00E35D70"/>
    <w:rsid w:val="00E35EB1"/>
    <w:rsid w:val="00E35FD2"/>
    <w:rsid w:val="00E35FFD"/>
    <w:rsid w:val="00E3605C"/>
    <w:rsid w:val="00E360AA"/>
    <w:rsid w:val="00E360AB"/>
    <w:rsid w:val="00E361C4"/>
    <w:rsid w:val="00E3623F"/>
    <w:rsid w:val="00E363FC"/>
    <w:rsid w:val="00E366A2"/>
    <w:rsid w:val="00E36729"/>
    <w:rsid w:val="00E36835"/>
    <w:rsid w:val="00E369FC"/>
    <w:rsid w:val="00E36BCC"/>
    <w:rsid w:val="00E36C47"/>
    <w:rsid w:val="00E36D18"/>
    <w:rsid w:val="00E36D84"/>
    <w:rsid w:val="00E36DDA"/>
    <w:rsid w:val="00E36E46"/>
    <w:rsid w:val="00E36E7C"/>
    <w:rsid w:val="00E36F0D"/>
    <w:rsid w:val="00E36FF4"/>
    <w:rsid w:val="00E37077"/>
    <w:rsid w:val="00E370CF"/>
    <w:rsid w:val="00E3711C"/>
    <w:rsid w:val="00E37145"/>
    <w:rsid w:val="00E371F0"/>
    <w:rsid w:val="00E371FB"/>
    <w:rsid w:val="00E3725A"/>
    <w:rsid w:val="00E37344"/>
    <w:rsid w:val="00E37461"/>
    <w:rsid w:val="00E3781E"/>
    <w:rsid w:val="00E37AF7"/>
    <w:rsid w:val="00E37B05"/>
    <w:rsid w:val="00E37BE3"/>
    <w:rsid w:val="00E37C10"/>
    <w:rsid w:val="00E37D68"/>
    <w:rsid w:val="00E37DEC"/>
    <w:rsid w:val="00E37DF8"/>
    <w:rsid w:val="00E37ECC"/>
    <w:rsid w:val="00E40048"/>
    <w:rsid w:val="00E40085"/>
    <w:rsid w:val="00E4017C"/>
    <w:rsid w:val="00E401BD"/>
    <w:rsid w:val="00E40232"/>
    <w:rsid w:val="00E4048B"/>
    <w:rsid w:val="00E404C7"/>
    <w:rsid w:val="00E4069E"/>
    <w:rsid w:val="00E40841"/>
    <w:rsid w:val="00E40999"/>
    <w:rsid w:val="00E40B30"/>
    <w:rsid w:val="00E40B4E"/>
    <w:rsid w:val="00E40BCB"/>
    <w:rsid w:val="00E40C7F"/>
    <w:rsid w:val="00E40D1C"/>
    <w:rsid w:val="00E40D54"/>
    <w:rsid w:val="00E40DAE"/>
    <w:rsid w:val="00E40DE1"/>
    <w:rsid w:val="00E40DEF"/>
    <w:rsid w:val="00E40DF8"/>
    <w:rsid w:val="00E40E09"/>
    <w:rsid w:val="00E40ED6"/>
    <w:rsid w:val="00E40F01"/>
    <w:rsid w:val="00E40F48"/>
    <w:rsid w:val="00E40F62"/>
    <w:rsid w:val="00E40FE4"/>
    <w:rsid w:val="00E411D7"/>
    <w:rsid w:val="00E4132F"/>
    <w:rsid w:val="00E413E6"/>
    <w:rsid w:val="00E41591"/>
    <w:rsid w:val="00E415BF"/>
    <w:rsid w:val="00E41617"/>
    <w:rsid w:val="00E4168A"/>
    <w:rsid w:val="00E416AF"/>
    <w:rsid w:val="00E41748"/>
    <w:rsid w:val="00E418C8"/>
    <w:rsid w:val="00E41948"/>
    <w:rsid w:val="00E41988"/>
    <w:rsid w:val="00E41A5E"/>
    <w:rsid w:val="00E41B18"/>
    <w:rsid w:val="00E41BD4"/>
    <w:rsid w:val="00E41BF0"/>
    <w:rsid w:val="00E41C28"/>
    <w:rsid w:val="00E41D44"/>
    <w:rsid w:val="00E41DD0"/>
    <w:rsid w:val="00E41EA7"/>
    <w:rsid w:val="00E421A2"/>
    <w:rsid w:val="00E421A9"/>
    <w:rsid w:val="00E4258A"/>
    <w:rsid w:val="00E4261D"/>
    <w:rsid w:val="00E42715"/>
    <w:rsid w:val="00E4273A"/>
    <w:rsid w:val="00E427DB"/>
    <w:rsid w:val="00E42801"/>
    <w:rsid w:val="00E428EE"/>
    <w:rsid w:val="00E42956"/>
    <w:rsid w:val="00E4296B"/>
    <w:rsid w:val="00E429C0"/>
    <w:rsid w:val="00E42B23"/>
    <w:rsid w:val="00E42C23"/>
    <w:rsid w:val="00E42C7C"/>
    <w:rsid w:val="00E42D17"/>
    <w:rsid w:val="00E42D5D"/>
    <w:rsid w:val="00E42DEB"/>
    <w:rsid w:val="00E42F44"/>
    <w:rsid w:val="00E43110"/>
    <w:rsid w:val="00E4321F"/>
    <w:rsid w:val="00E43249"/>
    <w:rsid w:val="00E432C9"/>
    <w:rsid w:val="00E4333C"/>
    <w:rsid w:val="00E43485"/>
    <w:rsid w:val="00E434EC"/>
    <w:rsid w:val="00E43564"/>
    <w:rsid w:val="00E436A2"/>
    <w:rsid w:val="00E4395E"/>
    <w:rsid w:val="00E43B9A"/>
    <w:rsid w:val="00E43BE0"/>
    <w:rsid w:val="00E43BED"/>
    <w:rsid w:val="00E43C0A"/>
    <w:rsid w:val="00E43CED"/>
    <w:rsid w:val="00E43DBC"/>
    <w:rsid w:val="00E43F98"/>
    <w:rsid w:val="00E4433D"/>
    <w:rsid w:val="00E4447D"/>
    <w:rsid w:val="00E444BD"/>
    <w:rsid w:val="00E44661"/>
    <w:rsid w:val="00E44729"/>
    <w:rsid w:val="00E4475D"/>
    <w:rsid w:val="00E448D2"/>
    <w:rsid w:val="00E44925"/>
    <w:rsid w:val="00E449FD"/>
    <w:rsid w:val="00E44AA9"/>
    <w:rsid w:val="00E44C80"/>
    <w:rsid w:val="00E44CA5"/>
    <w:rsid w:val="00E44CFC"/>
    <w:rsid w:val="00E44EBC"/>
    <w:rsid w:val="00E44EE3"/>
    <w:rsid w:val="00E44F17"/>
    <w:rsid w:val="00E44F1A"/>
    <w:rsid w:val="00E44F54"/>
    <w:rsid w:val="00E44FFC"/>
    <w:rsid w:val="00E45166"/>
    <w:rsid w:val="00E45324"/>
    <w:rsid w:val="00E45473"/>
    <w:rsid w:val="00E455B0"/>
    <w:rsid w:val="00E455EF"/>
    <w:rsid w:val="00E4561E"/>
    <w:rsid w:val="00E45632"/>
    <w:rsid w:val="00E456FC"/>
    <w:rsid w:val="00E458D8"/>
    <w:rsid w:val="00E458E5"/>
    <w:rsid w:val="00E45AC5"/>
    <w:rsid w:val="00E45B68"/>
    <w:rsid w:val="00E45BA5"/>
    <w:rsid w:val="00E45BB6"/>
    <w:rsid w:val="00E45E6B"/>
    <w:rsid w:val="00E45F03"/>
    <w:rsid w:val="00E45F43"/>
    <w:rsid w:val="00E461D1"/>
    <w:rsid w:val="00E46250"/>
    <w:rsid w:val="00E46284"/>
    <w:rsid w:val="00E46296"/>
    <w:rsid w:val="00E4629F"/>
    <w:rsid w:val="00E4634A"/>
    <w:rsid w:val="00E4637F"/>
    <w:rsid w:val="00E463A1"/>
    <w:rsid w:val="00E46438"/>
    <w:rsid w:val="00E46531"/>
    <w:rsid w:val="00E465B0"/>
    <w:rsid w:val="00E46735"/>
    <w:rsid w:val="00E46853"/>
    <w:rsid w:val="00E468FF"/>
    <w:rsid w:val="00E46B45"/>
    <w:rsid w:val="00E46BF0"/>
    <w:rsid w:val="00E46DA7"/>
    <w:rsid w:val="00E46EA8"/>
    <w:rsid w:val="00E46F56"/>
    <w:rsid w:val="00E46FDE"/>
    <w:rsid w:val="00E4704D"/>
    <w:rsid w:val="00E47068"/>
    <w:rsid w:val="00E4711A"/>
    <w:rsid w:val="00E472B3"/>
    <w:rsid w:val="00E473BA"/>
    <w:rsid w:val="00E474C5"/>
    <w:rsid w:val="00E47551"/>
    <w:rsid w:val="00E4763A"/>
    <w:rsid w:val="00E47666"/>
    <w:rsid w:val="00E476C7"/>
    <w:rsid w:val="00E4774D"/>
    <w:rsid w:val="00E4792D"/>
    <w:rsid w:val="00E47AF1"/>
    <w:rsid w:val="00E47BB9"/>
    <w:rsid w:val="00E47D3C"/>
    <w:rsid w:val="00E47ECE"/>
    <w:rsid w:val="00E47F2D"/>
    <w:rsid w:val="00E47F79"/>
    <w:rsid w:val="00E50088"/>
    <w:rsid w:val="00E501A9"/>
    <w:rsid w:val="00E5036B"/>
    <w:rsid w:val="00E50474"/>
    <w:rsid w:val="00E50517"/>
    <w:rsid w:val="00E505BD"/>
    <w:rsid w:val="00E50853"/>
    <w:rsid w:val="00E50BA4"/>
    <w:rsid w:val="00E50BBA"/>
    <w:rsid w:val="00E50C7C"/>
    <w:rsid w:val="00E50D23"/>
    <w:rsid w:val="00E50D3B"/>
    <w:rsid w:val="00E50D40"/>
    <w:rsid w:val="00E50D73"/>
    <w:rsid w:val="00E50DC2"/>
    <w:rsid w:val="00E50E88"/>
    <w:rsid w:val="00E51006"/>
    <w:rsid w:val="00E51079"/>
    <w:rsid w:val="00E5119D"/>
    <w:rsid w:val="00E51236"/>
    <w:rsid w:val="00E512CE"/>
    <w:rsid w:val="00E512E8"/>
    <w:rsid w:val="00E5136E"/>
    <w:rsid w:val="00E5140B"/>
    <w:rsid w:val="00E5152C"/>
    <w:rsid w:val="00E516F1"/>
    <w:rsid w:val="00E518A7"/>
    <w:rsid w:val="00E519F0"/>
    <w:rsid w:val="00E51D47"/>
    <w:rsid w:val="00E51D66"/>
    <w:rsid w:val="00E51D8D"/>
    <w:rsid w:val="00E52222"/>
    <w:rsid w:val="00E522A4"/>
    <w:rsid w:val="00E52387"/>
    <w:rsid w:val="00E5259D"/>
    <w:rsid w:val="00E525C3"/>
    <w:rsid w:val="00E526AC"/>
    <w:rsid w:val="00E526CE"/>
    <w:rsid w:val="00E52701"/>
    <w:rsid w:val="00E5279E"/>
    <w:rsid w:val="00E528CE"/>
    <w:rsid w:val="00E5293F"/>
    <w:rsid w:val="00E5294A"/>
    <w:rsid w:val="00E529F5"/>
    <w:rsid w:val="00E52AD1"/>
    <w:rsid w:val="00E52B1A"/>
    <w:rsid w:val="00E52C18"/>
    <w:rsid w:val="00E52F0E"/>
    <w:rsid w:val="00E52F73"/>
    <w:rsid w:val="00E5302A"/>
    <w:rsid w:val="00E530E6"/>
    <w:rsid w:val="00E530EF"/>
    <w:rsid w:val="00E53188"/>
    <w:rsid w:val="00E53286"/>
    <w:rsid w:val="00E5356B"/>
    <w:rsid w:val="00E535C4"/>
    <w:rsid w:val="00E539EC"/>
    <w:rsid w:val="00E53AB0"/>
    <w:rsid w:val="00E53E00"/>
    <w:rsid w:val="00E53E3D"/>
    <w:rsid w:val="00E53EC6"/>
    <w:rsid w:val="00E5403A"/>
    <w:rsid w:val="00E540D8"/>
    <w:rsid w:val="00E540FB"/>
    <w:rsid w:val="00E54155"/>
    <w:rsid w:val="00E54221"/>
    <w:rsid w:val="00E54483"/>
    <w:rsid w:val="00E54679"/>
    <w:rsid w:val="00E5468B"/>
    <w:rsid w:val="00E54716"/>
    <w:rsid w:val="00E54824"/>
    <w:rsid w:val="00E54C6E"/>
    <w:rsid w:val="00E54D9F"/>
    <w:rsid w:val="00E54DA3"/>
    <w:rsid w:val="00E54E19"/>
    <w:rsid w:val="00E54EB0"/>
    <w:rsid w:val="00E55006"/>
    <w:rsid w:val="00E5501D"/>
    <w:rsid w:val="00E55062"/>
    <w:rsid w:val="00E550E2"/>
    <w:rsid w:val="00E55130"/>
    <w:rsid w:val="00E5515B"/>
    <w:rsid w:val="00E55233"/>
    <w:rsid w:val="00E55256"/>
    <w:rsid w:val="00E55479"/>
    <w:rsid w:val="00E554B7"/>
    <w:rsid w:val="00E555DE"/>
    <w:rsid w:val="00E55733"/>
    <w:rsid w:val="00E558F3"/>
    <w:rsid w:val="00E559A9"/>
    <w:rsid w:val="00E55A23"/>
    <w:rsid w:val="00E55BE2"/>
    <w:rsid w:val="00E55C5C"/>
    <w:rsid w:val="00E55D98"/>
    <w:rsid w:val="00E55E19"/>
    <w:rsid w:val="00E55FD6"/>
    <w:rsid w:val="00E56329"/>
    <w:rsid w:val="00E5633B"/>
    <w:rsid w:val="00E56444"/>
    <w:rsid w:val="00E56458"/>
    <w:rsid w:val="00E56461"/>
    <w:rsid w:val="00E564DB"/>
    <w:rsid w:val="00E5650A"/>
    <w:rsid w:val="00E56749"/>
    <w:rsid w:val="00E567FD"/>
    <w:rsid w:val="00E56822"/>
    <w:rsid w:val="00E568BE"/>
    <w:rsid w:val="00E56A26"/>
    <w:rsid w:val="00E56B6B"/>
    <w:rsid w:val="00E56C67"/>
    <w:rsid w:val="00E56C78"/>
    <w:rsid w:val="00E56F28"/>
    <w:rsid w:val="00E56FC4"/>
    <w:rsid w:val="00E5708F"/>
    <w:rsid w:val="00E571C7"/>
    <w:rsid w:val="00E571F1"/>
    <w:rsid w:val="00E5722C"/>
    <w:rsid w:val="00E5724C"/>
    <w:rsid w:val="00E572D7"/>
    <w:rsid w:val="00E5731E"/>
    <w:rsid w:val="00E573CD"/>
    <w:rsid w:val="00E574C0"/>
    <w:rsid w:val="00E574D2"/>
    <w:rsid w:val="00E574EC"/>
    <w:rsid w:val="00E575AB"/>
    <w:rsid w:val="00E57671"/>
    <w:rsid w:val="00E577B8"/>
    <w:rsid w:val="00E57835"/>
    <w:rsid w:val="00E578EB"/>
    <w:rsid w:val="00E57926"/>
    <w:rsid w:val="00E5799C"/>
    <w:rsid w:val="00E57AF1"/>
    <w:rsid w:val="00E57B71"/>
    <w:rsid w:val="00E57BC5"/>
    <w:rsid w:val="00E57D14"/>
    <w:rsid w:val="00E57DD7"/>
    <w:rsid w:val="00E57F9C"/>
    <w:rsid w:val="00E60153"/>
    <w:rsid w:val="00E6018E"/>
    <w:rsid w:val="00E601DA"/>
    <w:rsid w:val="00E601DE"/>
    <w:rsid w:val="00E60279"/>
    <w:rsid w:val="00E60428"/>
    <w:rsid w:val="00E60506"/>
    <w:rsid w:val="00E6062B"/>
    <w:rsid w:val="00E60692"/>
    <w:rsid w:val="00E60909"/>
    <w:rsid w:val="00E60943"/>
    <w:rsid w:val="00E60984"/>
    <w:rsid w:val="00E60A86"/>
    <w:rsid w:val="00E60B2E"/>
    <w:rsid w:val="00E60C04"/>
    <w:rsid w:val="00E60D96"/>
    <w:rsid w:val="00E60E31"/>
    <w:rsid w:val="00E60F5A"/>
    <w:rsid w:val="00E61028"/>
    <w:rsid w:val="00E610CF"/>
    <w:rsid w:val="00E610FE"/>
    <w:rsid w:val="00E611F8"/>
    <w:rsid w:val="00E6131B"/>
    <w:rsid w:val="00E6151B"/>
    <w:rsid w:val="00E615F9"/>
    <w:rsid w:val="00E61619"/>
    <w:rsid w:val="00E61840"/>
    <w:rsid w:val="00E6193C"/>
    <w:rsid w:val="00E61A81"/>
    <w:rsid w:val="00E61A88"/>
    <w:rsid w:val="00E61AA2"/>
    <w:rsid w:val="00E61AC5"/>
    <w:rsid w:val="00E61B9E"/>
    <w:rsid w:val="00E61BFF"/>
    <w:rsid w:val="00E61C11"/>
    <w:rsid w:val="00E61E9E"/>
    <w:rsid w:val="00E61EBB"/>
    <w:rsid w:val="00E61ED8"/>
    <w:rsid w:val="00E61EEF"/>
    <w:rsid w:val="00E61F28"/>
    <w:rsid w:val="00E61FA7"/>
    <w:rsid w:val="00E61FC7"/>
    <w:rsid w:val="00E6208A"/>
    <w:rsid w:val="00E624F9"/>
    <w:rsid w:val="00E6252A"/>
    <w:rsid w:val="00E62701"/>
    <w:rsid w:val="00E6272B"/>
    <w:rsid w:val="00E62803"/>
    <w:rsid w:val="00E62870"/>
    <w:rsid w:val="00E62872"/>
    <w:rsid w:val="00E62898"/>
    <w:rsid w:val="00E62BAE"/>
    <w:rsid w:val="00E62BC2"/>
    <w:rsid w:val="00E62C4D"/>
    <w:rsid w:val="00E62C62"/>
    <w:rsid w:val="00E62CAC"/>
    <w:rsid w:val="00E62CDE"/>
    <w:rsid w:val="00E62D68"/>
    <w:rsid w:val="00E62DAE"/>
    <w:rsid w:val="00E62E18"/>
    <w:rsid w:val="00E631D5"/>
    <w:rsid w:val="00E631DD"/>
    <w:rsid w:val="00E63461"/>
    <w:rsid w:val="00E634FC"/>
    <w:rsid w:val="00E6350F"/>
    <w:rsid w:val="00E637C6"/>
    <w:rsid w:val="00E63828"/>
    <w:rsid w:val="00E63996"/>
    <w:rsid w:val="00E63A49"/>
    <w:rsid w:val="00E63C6A"/>
    <w:rsid w:val="00E63CFE"/>
    <w:rsid w:val="00E63D89"/>
    <w:rsid w:val="00E63DAA"/>
    <w:rsid w:val="00E63F77"/>
    <w:rsid w:val="00E63F79"/>
    <w:rsid w:val="00E6403C"/>
    <w:rsid w:val="00E6434C"/>
    <w:rsid w:val="00E6468A"/>
    <w:rsid w:val="00E64711"/>
    <w:rsid w:val="00E648A7"/>
    <w:rsid w:val="00E648D8"/>
    <w:rsid w:val="00E64931"/>
    <w:rsid w:val="00E64944"/>
    <w:rsid w:val="00E6497D"/>
    <w:rsid w:val="00E649D7"/>
    <w:rsid w:val="00E64BC4"/>
    <w:rsid w:val="00E64BC5"/>
    <w:rsid w:val="00E64C40"/>
    <w:rsid w:val="00E64C61"/>
    <w:rsid w:val="00E64DA2"/>
    <w:rsid w:val="00E64E12"/>
    <w:rsid w:val="00E64F1D"/>
    <w:rsid w:val="00E64FD5"/>
    <w:rsid w:val="00E650FD"/>
    <w:rsid w:val="00E651E9"/>
    <w:rsid w:val="00E65253"/>
    <w:rsid w:val="00E6529E"/>
    <w:rsid w:val="00E653C3"/>
    <w:rsid w:val="00E654BD"/>
    <w:rsid w:val="00E65539"/>
    <w:rsid w:val="00E65782"/>
    <w:rsid w:val="00E65D51"/>
    <w:rsid w:val="00E65D95"/>
    <w:rsid w:val="00E65DE8"/>
    <w:rsid w:val="00E65F1E"/>
    <w:rsid w:val="00E66122"/>
    <w:rsid w:val="00E6631A"/>
    <w:rsid w:val="00E66329"/>
    <w:rsid w:val="00E66428"/>
    <w:rsid w:val="00E66770"/>
    <w:rsid w:val="00E6687B"/>
    <w:rsid w:val="00E6695D"/>
    <w:rsid w:val="00E66A3A"/>
    <w:rsid w:val="00E66AC6"/>
    <w:rsid w:val="00E66C2B"/>
    <w:rsid w:val="00E66E00"/>
    <w:rsid w:val="00E66E9C"/>
    <w:rsid w:val="00E67051"/>
    <w:rsid w:val="00E670A2"/>
    <w:rsid w:val="00E67278"/>
    <w:rsid w:val="00E67317"/>
    <w:rsid w:val="00E6731E"/>
    <w:rsid w:val="00E6743C"/>
    <w:rsid w:val="00E674DA"/>
    <w:rsid w:val="00E6756C"/>
    <w:rsid w:val="00E6760D"/>
    <w:rsid w:val="00E6762D"/>
    <w:rsid w:val="00E6765A"/>
    <w:rsid w:val="00E676AE"/>
    <w:rsid w:val="00E676DB"/>
    <w:rsid w:val="00E676FE"/>
    <w:rsid w:val="00E67858"/>
    <w:rsid w:val="00E6796F"/>
    <w:rsid w:val="00E67B13"/>
    <w:rsid w:val="00E67B38"/>
    <w:rsid w:val="00E67C0E"/>
    <w:rsid w:val="00E67D39"/>
    <w:rsid w:val="00E67D41"/>
    <w:rsid w:val="00E700C3"/>
    <w:rsid w:val="00E701B9"/>
    <w:rsid w:val="00E70287"/>
    <w:rsid w:val="00E7058D"/>
    <w:rsid w:val="00E706D2"/>
    <w:rsid w:val="00E708DF"/>
    <w:rsid w:val="00E70AD1"/>
    <w:rsid w:val="00E70AD5"/>
    <w:rsid w:val="00E70B50"/>
    <w:rsid w:val="00E70B7D"/>
    <w:rsid w:val="00E70B9D"/>
    <w:rsid w:val="00E70D6D"/>
    <w:rsid w:val="00E70F3F"/>
    <w:rsid w:val="00E7101A"/>
    <w:rsid w:val="00E71148"/>
    <w:rsid w:val="00E711D9"/>
    <w:rsid w:val="00E7125F"/>
    <w:rsid w:val="00E7142D"/>
    <w:rsid w:val="00E714F6"/>
    <w:rsid w:val="00E71531"/>
    <w:rsid w:val="00E7163B"/>
    <w:rsid w:val="00E7169F"/>
    <w:rsid w:val="00E716B7"/>
    <w:rsid w:val="00E7183F"/>
    <w:rsid w:val="00E71992"/>
    <w:rsid w:val="00E71AE2"/>
    <w:rsid w:val="00E71C3D"/>
    <w:rsid w:val="00E71C86"/>
    <w:rsid w:val="00E71C8B"/>
    <w:rsid w:val="00E71E79"/>
    <w:rsid w:val="00E71E92"/>
    <w:rsid w:val="00E7206D"/>
    <w:rsid w:val="00E720B5"/>
    <w:rsid w:val="00E7221D"/>
    <w:rsid w:val="00E72275"/>
    <w:rsid w:val="00E7229A"/>
    <w:rsid w:val="00E7241A"/>
    <w:rsid w:val="00E72428"/>
    <w:rsid w:val="00E7246F"/>
    <w:rsid w:val="00E72494"/>
    <w:rsid w:val="00E724DF"/>
    <w:rsid w:val="00E7258A"/>
    <w:rsid w:val="00E725FC"/>
    <w:rsid w:val="00E727A5"/>
    <w:rsid w:val="00E728E9"/>
    <w:rsid w:val="00E72904"/>
    <w:rsid w:val="00E72AE9"/>
    <w:rsid w:val="00E72AFE"/>
    <w:rsid w:val="00E72C08"/>
    <w:rsid w:val="00E72C35"/>
    <w:rsid w:val="00E72D00"/>
    <w:rsid w:val="00E72F09"/>
    <w:rsid w:val="00E72F0B"/>
    <w:rsid w:val="00E72F88"/>
    <w:rsid w:val="00E73113"/>
    <w:rsid w:val="00E7327E"/>
    <w:rsid w:val="00E73286"/>
    <w:rsid w:val="00E734EC"/>
    <w:rsid w:val="00E735F9"/>
    <w:rsid w:val="00E73683"/>
    <w:rsid w:val="00E7377A"/>
    <w:rsid w:val="00E73956"/>
    <w:rsid w:val="00E73A5A"/>
    <w:rsid w:val="00E73B3B"/>
    <w:rsid w:val="00E73B3D"/>
    <w:rsid w:val="00E73BD2"/>
    <w:rsid w:val="00E73BF0"/>
    <w:rsid w:val="00E73C64"/>
    <w:rsid w:val="00E73C70"/>
    <w:rsid w:val="00E73C7F"/>
    <w:rsid w:val="00E73CA4"/>
    <w:rsid w:val="00E73D8A"/>
    <w:rsid w:val="00E73DC7"/>
    <w:rsid w:val="00E73ECA"/>
    <w:rsid w:val="00E73FFF"/>
    <w:rsid w:val="00E74004"/>
    <w:rsid w:val="00E741B9"/>
    <w:rsid w:val="00E741F5"/>
    <w:rsid w:val="00E74570"/>
    <w:rsid w:val="00E745DE"/>
    <w:rsid w:val="00E74640"/>
    <w:rsid w:val="00E74761"/>
    <w:rsid w:val="00E7484B"/>
    <w:rsid w:val="00E748C0"/>
    <w:rsid w:val="00E749BA"/>
    <w:rsid w:val="00E74AC1"/>
    <w:rsid w:val="00E74B06"/>
    <w:rsid w:val="00E74CE8"/>
    <w:rsid w:val="00E74E10"/>
    <w:rsid w:val="00E74ECC"/>
    <w:rsid w:val="00E74F9B"/>
    <w:rsid w:val="00E74FB7"/>
    <w:rsid w:val="00E75183"/>
    <w:rsid w:val="00E751EC"/>
    <w:rsid w:val="00E751ED"/>
    <w:rsid w:val="00E755A6"/>
    <w:rsid w:val="00E75733"/>
    <w:rsid w:val="00E758BD"/>
    <w:rsid w:val="00E75B2B"/>
    <w:rsid w:val="00E75B77"/>
    <w:rsid w:val="00E75BF0"/>
    <w:rsid w:val="00E75C14"/>
    <w:rsid w:val="00E75D6E"/>
    <w:rsid w:val="00E75DF3"/>
    <w:rsid w:val="00E75E44"/>
    <w:rsid w:val="00E75FCF"/>
    <w:rsid w:val="00E76026"/>
    <w:rsid w:val="00E76076"/>
    <w:rsid w:val="00E7615F"/>
    <w:rsid w:val="00E761CA"/>
    <w:rsid w:val="00E7623B"/>
    <w:rsid w:val="00E7632A"/>
    <w:rsid w:val="00E7641B"/>
    <w:rsid w:val="00E76433"/>
    <w:rsid w:val="00E764EC"/>
    <w:rsid w:val="00E76775"/>
    <w:rsid w:val="00E767AC"/>
    <w:rsid w:val="00E767C8"/>
    <w:rsid w:val="00E76815"/>
    <w:rsid w:val="00E76934"/>
    <w:rsid w:val="00E76AE0"/>
    <w:rsid w:val="00E76C34"/>
    <w:rsid w:val="00E76D6D"/>
    <w:rsid w:val="00E76E24"/>
    <w:rsid w:val="00E76E3D"/>
    <w:rsid w:val="00E76F21"/>
    <w:rsid w:val="00E77017"/>
    <w:rsid w:val="00E77073"/>
    <w:rsid w:val="00E7735A"/>
    <w:rsid w:val="00E7758B"/>
    <w:rsid w:val="00E77599"/>
    <w:rsid w:val="00E775FF"/>
    <w:rsid w:val="00E7763A"/>
    <w:rsid w:val="00E776D9"/>
    <w:rsid w:val="00E77745"/>
    <w:rsid w:val="00E77760"/>
    <w:rsid w:val="00E777AF"/>
    <w:rsid w:val="00E779C0"/>
    <w:rsid w:val="00E779EF"/>
    <w:rsid w:val="00E77A66"/>
    <w:rsid w:val="00E77AA1"/>
    <w:rsid w:val="00E77C78"/>
    <w:rsid w:val="00E77D1E"/>
    <w:rsid w:val="00E77D2A"/>
    <w:rsid w:val="00E77DD9"/>
    <w:rsid w:val="00E77E96"/>
    <w:rsid w:val="00E77F8A"/>
    <w:rsid w:val="00E77FF9"/>
    <w:rsid w:val="00E800A5"/>
    <w:rsid w:val="00E8019E"/>
    <w:rsid w:val="00E801F0"/>
    <w:rsid w:val="00E80260"/>
    <w:rsid w:val="00E80373"/>
    <w:rsid w:val="00E80603"/>
    <w:rsid w:val="00E80626"/>
    <w:rsid w:val="00E807A5"/>
    <w:rsid w:val="00E807BD"/>
    <w:rsid w:val="00E808CD"/>
    <w:rsid w:val="00E8092C"/>
    <w:rsid w:val="00E80A66"/>
    <w:rsid w:val="00E80A71"/>
    <w:rsid w:val="00E80ABA"/>
    <w:rsid w:val="00E80CFA"/>
    <w:rsid w:val="00E80EA4"/>
    <w:rsid w:val="00E80EAF"/>
    <w:rsid w:val="00E80EE8"/>
    <w:rsid w:val="00E80F3D"/>
    <w:rsid w:val="00E810D8"/>
    <w:rsid w:val="00E810EF"/>
    <w:rsid w:val="00E81134"/>
    <w:rsid w:val="00E81277"/>
    <w:rsid w:val="00E813AE"/>
    <w:rsid w:val="00E81559"/>
    <w:rsid w:val="00E8156C"/>
    <w:rsid w:val="00E81770"/>
    <w:rsid w:val="00E81781"/>
    <w:rsid w:val="00E817C3"/>
    <w:rsid w:val="00E81860"/>
    <w:rsid w:val="00E81866"/>
    <w:rsid w:val="00E81930"/>
    <w:rsid w:val="00E81A87"/>
    <w:rsid w:val="00E81B59"/>
    <w:rsid w:val="00E81EE2"/>
    <w:rsid w:val="00E81F68"/>
    <w:rsid w:val="00E81FA7"/>
    <w:rsid w:val="00E82214"/>
    <w:rsid w:val="00E8238F"/>
    <w:rsid w:val="00E823E7"/>
    <w:rsid w:val="00E8248B"/>
    <w:rsid w:val="00E824DC"/>
    <w:rsid w:val="00E825FC"/>
    <w:rsid w:val="00E82602"/>
    <w:rsid w:val="00E826E2"/>
    <w:rsid w:val="00E827D4"/>
    <w:rsid w:val="00E82B8E"/>
    <w:rsid w:val="00E82C3E"/>
    <w:rsid w:val="00E82C7B"/>
    <w:rsid w:val="00E82CE7"/>
    <w:rsid w:val="00E82D20"/>
    <w:rsid w:val="00E82D9C"/>
    <w:rsid w:val="00E82DE4"/>
    <w:rsid w:val="00E82E98"/>
    <w:rsid w:val="00E83089"/>
    <w:rsid w:val="00E830ED"/>
    <w:rsid w:val="00E830F2"/>
    <w:rsid w:val="00E8315A"/>
    <w:rsid w:val="00E8318B"/>
    <w:rsid w:val="00E832AE"/>
    <w:rsid w:val="00E83389"/>
    <w:rsid w:val="00E83390"/>
    <w:rsid w:val="00E8346C"/>
    <w:rsid w:val="00E83498"/>
    <w:rsid w:val="00E835BC"/>
    <w:rsid w:val="00E835EF"/>
    <w:rsid w:val="00E83817"/>
    <w:rsid w:val="00E8388E"/>
    <w:rsid w:val="00E838A6"/>
    <w:rsid w:val="00E838BD"/>
    <w:rsid w:val="00E83948"/>
    <w:rsid w:val="00E83A15"/>
    <w:rsid w:val="00E83A4A"/>
    <w:rsid w:val="00E83CF9"/>
    <w:rsid w:val="00E83CFF"/>
    <w:rsid w:val="00E83D4C"/>
    <w:rsid w:val="00E83DC6"/>
    <w:rsid w:val="00E83FAE"/>
    <w:rsid w:val="00E83FD0"/>
    <w:rsid w:val="00E84088"/>
    <w:rsid w:val="00E8410B"/>
    <w:rsid w:val="00E842B6"/>
    <w:rsid w:val="00E842BC"/>
    <w:rsid w:val="00E84478"/>
    <w:rsid w:val="00E8447B"/>
    <w:rsid w:val="00E844F0"/>
    <w:rsid w:val="00E84537"/>
    <w:rsid w:val="00E845AC"/>
    <w:rsid w:val="00E84632"/>
    <w:rsid w:val="00E847B4"/>
    <w:rsid w:val="00E847C6"/>
    <w:rsid w:val="00E848AE"/>
    <w:rsid w:val="00E8493C"/>
    <w:rsid w:val="00E849BF"/>
    <w:rsid w:val="00E84AFB"/>
    <w:rsid w:val="00E84B1B"/>
    <w:rsid w:val="00E84F15"/>
    <w:rsid w:val="00E84F8D"/>
    <w:rsid w:val="00E84FC6"/>
    <w:rsid w:val="00E85010"/>
    <w:rsid w:val="00E85074"/>
    <w:rsid w:val="00E85294"/>
    <w:rsid w:val="00E85327"/>
    <w:rsid w:val="00E8533F"/>
    <w:rsid w:val="00E85592"/>
    <w:rsid w:val="00E85597"/>
    <w:rsid w:val="00E8559D"/>
    <w:rsid w:val="00E855DD"/>
    <w:rsid w:val="00E85691"/>
    <w:rsid w:val="00E856C1"/>
    <w:rsid w:val="00E85A85"/>
    <w:rsid w:val="00E85B03"/>
    <w:rsid w:val="00E85BD2"/>
    <w:rsid w:val="00E85BF7"/>
    <w:rsid w:val="00E85C59"/>
    <w:rsid w:val="00E85C7D"/>
    <w:rsid w:val="00E85E0F"/>
    <w:rsid w:val="00E85EA7"/>
    <w:rsid w:val="00E85EB5"/>
    <w:rsid w:val="00E85F10"/>
    <w:rsid w:val="00E85F60"/>
    <w:rsid w:val="00E86038"/>
    <w:rsid w:val="00E86069"/>
    <w:rsid w:val="00E8611B"/>
    <w:rsid w:val="00E861B6"/>
    <w:rsid w:val="00E86308"/>
    <w:rsid w:val="00E86335"/>
    <w:rsid w:val="00E86354"/>
    <w:rsid w:val="00E86435"/>
    <w:rsid w:val="00E8648A"/>
    <w:rsid w:val="00E864CC"/>
    <w:rsid w:val="00E864E8"/>
    <w:rsid w:val="00E8651A"/>
    <w:rsid w:val="00E865FB"/>
    <w:rsid w:val="00E8665A"/>
    <w:rsid w:val="00E8665E"/>
    <w:rsid w:val="00E866CF"/>
    <w:rsid w:val="00E86810"/>
    <w:rsid w:val="00E86AED"/>
    <w:rsid w:val="00E86B79"/>
    <w:rsid w:val="00E86C1E"/>
    <w:rsid w:val="00E86D05"/>
    <w:rsid w:val="00E86E2C"/>
    <w:rsid w:val="00E86F7C"/>
    <w:rsid w:val="00E86FA0"/>
    <w:rsid w:val="00E87004"/>
    <w:rsid w:val="00E8709E"/>
    <w:rsid w:val="00E87269"/>
    <w:rsid w:val="00E872F0"/>
    <w:rsid w:val="00E87394"/>
    <w:rsid w:val="00E873F5"/>
    <w:rsid w:val="00E87484"/>
    <w:rsid w:val="00E874FD"/>
    <w:rsid w:val="00E87557"/>
    <w:rsid w:val="00E87800"/>
    <w:rsid w:val="00E87959"/>
    <w:rsid w:val="00E87A35"/>
    <w:rsid w:val="00E87ABF"/>
    <w:rsid w:val="00E87B19"/>
    <w:rsid w:val="00E87B80"/>
    <w:rsid w:val="00E87CD9"/>
    <w:rsid w:val="00E87F7B"/>
    <w:rsid w:val="00E87F7C"/>
    <w:rsid w:val="00E87F85"/>
    <w:rsid w:val="00E87F96"/>
    <w:rsid w:val="00E8C4DF"/>
    <w:rsid w:val="00E90129"/>
    <w:rsid w:val="00E90160"/>
    <w:rsid w:val="00E90357"/>
    <w:rsid w:val="00E9045C"/>
    <w:rsid w:val="00E905DC"/>
    <w:rsid w:val="00E9062D"/>
    <w:rsid w:val="00E907EF"/>
    <w:rsid w:val="00E90826"/>
    <w:rsid w:val="00E90846"/>
    <w:rsid w:val="00E90890"/>
    <w:rsid w:val="00E90942"/>
    <w:rsid w:val="00E90B1E"/>
    <w:rsid w:val="00E90BE1"/>
    <w:rsid w:val="00E90C13"/>
    <w:rsid w:val="00E90CD4"/>
    <w:rsid w:val="00E90EC3"/>
    <w:rsid w:val="00E90ECB"/>
    <w:rsid w:val="00E90FA7"/>
    <w:rsid w:val="00E910C9"/>
    <w:rsid w:val="00E910D5"/>
    <w:rsid w:val="00E9128C"/>
    <w:rsid w:val="00E912AC"/>
    <w:rsid w:val="00E9132B"/>
    <w:rsid w:val="00E91474"/>
    <w:rsid w:val="00E91553"/>
    <w:rsid w:val="00E9168C"/>
    <w:rsid w:val="00E91727"/>
    <w:rsid w:val="00E9177B"/>
    <w:rsid w:val="00E91813"/>
    <w:rsid w:val="00E9184D"/>
    <w:rsid w:val="00E91D81"/>
    <w:rsid w:val="00E91E11"/>
    <w:rsid w:val="00E91E5D"/>
    <w:rsid w:val="00E91F44"/>
    <w:rsid w:val="00E91F8D"/>
    <w:rsid w:val="00E921F6"/>
    <w:rsid w:val="00E922AE"/>
    <w:rsid w:val="00E92448"/>
    <w:rsid w:val="00E9253D"/>
    <w:rsid w:val="00E9260B"/>
    <w:rsid w:val="00E92685"/>
    <w:rsid w:val="00E9284D"/>
    <w:rsid w:val="00E92968"/>
    <w:rsid w:val="00E92974"/>
    <w:rsid w:val="00E92CA0"/>
    <w:rsid w:val="00E92CF6"/>
    <w:rsid w:val="00E92E21"/>
    <w:rsid w:val="00E92F0C"/>
    <w:rsid w:val="00E92F98"/>
    <w:rsid w:val="00E9306D"/>
    <w:rsid w:val="00E930D3"/>
    <w:rsid w:val="00E931EB"/>
    <w:rsid w:val="00E9331D"/>
    <w:rsid w:val="00E9358B"/>
    <w:rsid w:val="00E936C6"/>
    <w:rsid w:val="00E93700"/>
    <w:rsid w:val="00E937A5"/>
    <w:rsid w:val="00E938A7"/>
    <w:rsid w:val="00E93982"/>
    <w:rsid w:val="00E939B8"/>
    <w:rsid w:val="00E939FC"/>
    <w:rsid w:val="00E93A45"/>
    <w:rsid w:val="00E93A85"/>
    <w:rsid w:val="00E93A86"/>
    <w:rsid w:val="00E93E30"/>
    <w:rsid w:val="00E93E4D"/>
    <w:rsid w:val="00E93F3C"/>
    <w:rsid w:val="00E94032"/>
    <w:rsid w:val="00E94041"/>
    <w:rsid w:val="00E940D6"/>
    <w:rsid w:val="00E94262"/>
    <w:rsid w:val="00E942E7"/>
    <w:rsid w:val="00E943DE"/>
    <w:rsid w:val="00E94433"/>
    <w:rsid w:val="00E9449B"/>
    <w:rsid w:val="00E945C6"/>
    <w:rsid w:val="00E946CE"/>
    <w:rsid w:val="00E947A0"/>
    <w:rsid w:val="00E94944"/>
    <w:rsid w:val="00E94985"/>
    <w:rsid w:val="00E94B4D"/>
    <w:rsid w:val="00E94BD3"/>
    <w:rsid w:val="00E94CE4"/>
    <w:rsid w:val="00E94EAB"/>
    <w:rsid w:val="00E94F38"/>
    <w:rsid w:val="00E94F4D"/>
    <w:rsid w:val="00E95003"/>
    <w:rsid w:val="00E95044"/>
    <w:rsid w:val="00E95322"/>
    <w:rsid w:val="00E95434"/>
    <w:rsid w:val="00E95490"/>
    <w:rsid w:val="00E954D9"/>
    <w:rsid w:val="00E956EE"/>
    <w:rsid w:val="00E956F2"/>
    <w:rsid w:val="00E95A4E"/>
    <w:rsid w:val="00E95D3C"/>
    <w:rsid w:val="00E95DD5"/>
    <w:rsid w:val="00E95DD7"/>
    <w:rsid w:val="00E95E0A"/>
    <w:rsid w:val="00E95F0B"/>
    <w:rsid w:val="00E95FF5"/>
    <w:rsid w:val="00E96036"/>
    <w:rsid w:val="00E9618A"/>
    <w:rsid w:val="00E962EA"/>
    <w:rsid w:val="00E96336"/>
    <w:rsid w:val="00E96411"/>
    <w:rsid w:val="00E96480"/>
    <w:rsid w:val="00E9666F"/>
    <w:rsid w:val="00E966DE"/>
    <w:rsid w:val="00E96715"/>
    <w:rsid w:val="00E967BE"/>
    <w:rsid w:val="00E967C5"/>
    <w:rsid w:val="00E968C1"/>
    <w:rsid w:val="00E96B02"/>
    <w:rsid w:val="00E96C1E"/>
    <w:rsid w:val="00E96CC6"/>
    <w:rsid w:val="00E96D18"/>
    <w:rsid w:val="00E96DAA"/>
    <w:rsid w:val="00E96EC2"/>
    <w:rsid w:val="00E96F7C"/>
    <w:rsid w:val="00E97053"/>
    <w:rsid w:val="00E97161"/>
    <w:rsid w:val="00E9719A"/>
    <w:rsid w:val="00E971E9"/>
    <w:rsid w:val="00E971F6"/>
    <w:rsid w:val="00E97517"/>
    <w:rsid w:val="00E976C6"/>
    <w:rsid w:val="00E978CF"/>
    <w:rsid w:val="00E9796D"/>
    <w:rsid w:val="00E979D7"/>
    <w:rsid w:val="00E97B5A"/>
    <w:rsid w:val="00E97B66"/>
    <w:rsid w:val="00E97BAF"/>
    <w:rsid w:val="00E97E24"/>
    <w:rsid w:val="00E97F03"/>
    <w:rsid w:val="00E97F87"/>
    <w:rsid w:val="00E9EFAA"/>
    <w:rsid w:val="00EA0090"/>
    <w:rsid w:val="00EA00D6"/>
    <w:rsid w:val="00EA0179"/>
    <w:rsid w:val="00EA025B"/>
    <w:rsid w:val="00EA0311"/>
    <w:rsid w:val="00EA0341"/>
    <w:rsid w:val="00EA0415"/>
    <w:rsid w:val="00EA0427"/>
    <w:rsid w:val="00EA049A"/>
    <w:rsid w:val="00EA057B"/>
    <w:rsid w:val="00EA0586"/>
    <w:rsid w:val="00EA061E"/>
    <w:rsid w:val="00EA0649"/>
    <w:rsid w:val="00EA06A6"/>
    <w:rsid w:val="00EA075E"/>
    <w:rsid w:val="00EA07C9"/>
    <w:rsid w:val="00EA0806"/>
    <w:rsid w:val="00EA08CB"/>
    <w:rsid w:val="00EA08CC"/>
    <w:rsid w:val="00EA09B7"/>
    <w:rsid w:val="00EA0B67"/>
    <w:rsid w:val="00EA0BB0"/>
    <w:rsid w:val="00EA0BB7"/>
    <w:rsid w:val="00EA0CAE"/>
    <w:rsid w:val="00EA0CEB"/>
    <w:rsid w:val="00EA0DA4"/>
    <w:rsid w:val="00EA0DAD"/>
    <w:rsid w:val="00EA0E54"/>
    <w:rsid w:val="00EA0E77"/>
    <w:rsid w:val="00EA1162"/>
    <w:rsid w:val="00EA117F"/>
    <w:rsid w:val="00EA124F"/>
    <w:rsid w:val="00EA13B2"/>
    <w:rsid w:val="00EA1479"/>
    <w:rsid w:val="00EA155D"/>
    <w:rsid w:val="00EA1769"/>
    <w:rsid w:val="00EA1888"/>
    <w:rsid w:val="00EA1A1B"/>
    <w:rsid w:val="00EA1AB4"/>
    <w:rsid w:val="00EA1B79"/>
    <w:rsid w:val="00EA1BD7"/>
    <w:rsid w:val="00EA1E00"/>
    <w:rsid w:val="00EA1E81"/>
    <w:rsid w:val="00EA1EE5"/>
    <w:rsid w:val="00EA1F6F"/>
    <w:rsid w:val="00EA1FBA"/>
    <w:rsid w:val="00EA20C0"/>
    <w:rsid w:val="00EA22D6"/>
    <w:rsid w:val="00EA2347"/>
    <w:rsid w:val="00EA2446"/>
    <w:rsid w:val="00EA2476"/>
    <w:rsid w:val="00EA2554"/>
    <w:rsid w:val="00EA2562"/>
    <w:rsid w:val="00EA2595"/>
    <w:rsid w:val="00EA2604"/>
    <w:rsid w:val="00EA2696"/>
    <w:rsid w:val="00EA2704"/>
    <w:rsid w:val="00EA28F8"/>
    <w:rsid w:val="00EA2C58"/>
    <w:rsid w:val="00EA2D36"/>
    <w:rsid w:val="00EA2FB9"/>
    <w:rsid w:val="00EA2FF1"/>
    <w:rsid w:val="00EA306F"/>
    <w:rsid w:val="00EA307C"/>
    <w:rsid w:val="00EA30FB"/>
    <w:rsid w:val="00EA3200"/>
    <w:rsid w:val="00EA32D3"/>
    <w:rsid w:val="00EA3304"/>
    <w:rsid w:val="00EA33D5"/>
    <w:rsid w:val="00EA3429"/>
    <w:rsid w:val="00EA3620"/>
    <w:rsid w:val="00EA366B"/>
    <w:rsid w:val="00EA3671"/>
    <w:rsid w:val="00EA37D6"/>
    <w:rsid w:val="00EA38BA"/>
    <w:rsid w:val="00EA393A"/>
    <w:rsid w:val="00EA3AF7"/>
    <w:rsid w:val="00EA3BE6"/>
    <w:rsid w:val="00EA3CA3"/>
    <w:rsid w:val="00EA3D1E"/>
    <w:rsid w:val="00EA3D6B"/>
    <w:rsid w:val="00EA4093"/>
    <w:rsid w:val="00EA4099"/>
    <w:rsid w:val="00EA4211"/>
    <w:rsid w:val="00EA4255"/>
    <w:rsid w:val="00EA431F"/>
    <w:rsid w:val="00EA43BA"/>
    <w:rsid w:val="00EA465B"/>
    <w:rsid w:val="00EA468A"/>
    <w:rsid w:val="00EA4763"/>
    <w:rsid w:val="00EA4784"/>
    <w:rsid w:val="00EA47BF"/>
    <w:rsid w:val="00EA47C1"/>
    <w:rsid w:val="00EA4AF5"/>
    <w:rsid w:val="00EA4B18"/>
    <w:rsid w:val="00EA4C49"/>
    <w:rsid w:val="00EA4E43"/>
    <w:rsid w:val="00EA4E7F"/>
    <w:rsid w:val="00EA4EDA"/>
    <w:rsid w:val="00EA4F65"/>
    <w:rsid w:val="00EA4F87"/>
    <w:rsid w:val="00EA5026"/>
    <w:rsid w:val="00EA517D"/>
    <w:rsid w:val="00EA5268"/>
    <w:rsid w:val="00EA52EF"/>
    <w:rsid w:val="00EA5739"/>
    <w:rsid w:val="00EA5868"/>
    <w:rsid w:val="00EA593D"/>
    <w:rsid w:val="00EA598A"/>
    <w:rsid w:val="00EA59CB"/>
    <w:rsid w:val="00EA5A72"/>
    <w:rsid w:val="00EA5AF5"/>
    <w:rsid w:val="00EA5B02"/>
    <w:rsid w:val="00EA5B68"/>
    <w:rsid w:val="00EA5B6E"/>
    <w:rsid w:val="00EA5E1E"/>
    <w:rsid w:val="00EA60AE"/>
    <w:rsid w:val="00EA6165"/>
    <w:rsid w:val="00EA61CF"/>
    <w:rsid w:val="00EA62FD"/>
    <w:rsid w:val="00EA6364"/>
    <w:rsid w:val="00EA638C"/>
    <w:rsid w:val="00EA63B6"/>
    <w:rsid w:val="00EA63F8"/>
    <w:rsid w:val="00EA641B"/>
    <w:rsid w:val="00EA65AB"/>
    <w:rsid w:val="00EA6604"/>
    <w:rsid w:val="00EA6691"/>
    <w:rsid w:val="00EA687B"/>
    <w:rsid w:val="00EA68A2"/>
    <w:rsid w:val="00EA68EF"/>
    <w:rsid w:val="00EA694F"/>
    <w:rsid w:val="00EA6A12"/>
    <w:rsid w:val="00EA6A5D"/>
    <w:rsid w:val="00EA6ADC"/>
    <w:rsid w:val="00EA6E53"/>
    <w:rsid w:val="00EA6E9E"/>
    <w:rsid w:val="00EA6F2B"/>
    <w:rsid w:val="00EA6F56"/>
    <w:rsid w:val="00EA6F97"/>
    <w:rsid w:val="00EA70BC"/>
    <w:rsid w:val="00EA7116"/>
    <w:rsid w:val="00EA7130"/>
    <w:rsid w:val="00EA7135"/>
    <w:rsid w:val="00EA7177"/>
    <w:rsid w:val="00EA719B"/>
    <w:rsid w:val="00EA71B7"/>
    <w:rsid w:val="00EA71E6"/>
    <w:rsid w:val="00EA7383"/>
    <w:rsid w:val="00EA73DC"/>
    <w:rsid w:val="00EA7540"/>
    <w:rsid w:val="00EA7554"/>
    <w:rsid w:val="00EA75FF"/>
    <w:rsid w:val="00EA7687"/>
    <w:rsid w:val="00EA77C0"/>
    <w:rsid w:val="00EA7847"/>
    <w:rsid w:val="00EA7851"/>
    <w:rsid w:val="00EA7969"/>
    <w:rsid w:val="00EA7996"/>
    <w:rsid w:val="00EA7A14"/>
    <w:rsid w:val="00EA7A16"/>
    <w:rsid w:val="00EA7C0D"/>
    <w:rsid w:val="00EA7C7F"/>
    <w:rsid w:val="00EA7DFB"/>
    <w:rsid w:val="00EA7ECA"/>
    <w:rsid w:val="00EA7EE7"/>
    <w:rsid w:val="00EB0053"/>
    <w:rsid w:val="00EB0198"/>
    <w:rsid w:val="00EB020D"/>
    <w:rsid w:val="00EB0578"/>
    <w:rsid w:val="00EB06EE"/>
    <w:rsid w:val="00EB0757"/>
    <w:rsid w:val="00EB08AF"/>
    <w:rsid w:val="00EB08B3"/>
    <w:rsid w:val="00EB0A2E"/>
    <w:rsid w:val="00EB0B93"/>
    <w:rsid w:val="00EB0BA1"/>
    <w:rsid w:val="00EB0C4B"/>
    <w:rsid w:val="00EB0C9F"/>
    <w:rsid w:val="00EB0D97"/>
    <w:rsid w:val="00EB0DEA"/>
    <w:rsid w:val="00EB0F30"/>
    <w:rsid w:val="00EB1165"/>
    <w:rsid w:val="00EB1350"/>
    <w:rsid w:val="00EB1372"/>
    <w:rsid w:val="00EB1513"/>
    <w:rsid w:val="00EB1695"/>
    <w:rsid w:val="00EB16BA"/>
    <w:rsid w:val="00EB178C"/>
    <w:rsid w:val="00EB17F7"/>
    <w:rsid w:val="00EB186C"/>
    <w:rsid w:val="00EB18D8"/>
    <w:rsid w:val="00EB18EC"/>
    <w:rsid w:val="00EB19AD"/>
    <w:rsid w:val="00EB19C1"/>
    <w:rsid w:val="00EB1A14"/>
    <w:rsid w:val="00EB1A50"/>
    <w:rsid w:val="00EB1AB8"/>
    <w:rsid w:val="00EB1CCF"/>
    <w:rsid w:val="00EB1CF6"/>
    <w:rsid w:val="00EB1D9D"/>
    <w:rsid w:val="00EB1D9E"/>
    <w:rsid w:val="00EB1E9A"/>
    <w:rsid w:val="00EB1EB6"/>
    <w:rsid w:val="00EB1F63"/>
    <w:rsid w:val="00EB1FDC"/>
    <w:rsid w:val="00EB20A7"/>
    <w:rsid w:val="00EB2149"/>
    <w:rsid w:val="00EB2185"/>
    <w:rsid w:val="00EB2369"/>
    <w:rsid w:val="00EB23E0"/>
    <w:rsid w:val="00EB2584"/>
    <w:rsid w:val="00EB258D"/>
    <w:rsid w:val="00EB265B"/>
    <w:rsid w:val="00EB26D9"/>
    <w:rsid w:val="00EB2797"/>
    <w:rsid w:val="00EB27BC"/>
    <w:rsid w:val="00EB2824"/>
    <w:rsid w:val="00EB2853"/>
    <w:rsid w:val="00EB2924"/>
    <w:rsid w:val="00EB29DA"/>
    <w:rsid w:val="00EB2A03"/>
    <w:rsid w:val="00EB2CE1"/>
    <w:rsid w:val="00EB2DA6"/>
    <w:rsid w:val="00EB2E66"/>
    <w:rsid w:val="00EB2F3B"/>
    <w:rsid w:val="00EB308F"/>
    <w:rsid w:val="00EB31AC"/>
    <w:rsid w:val="00EB31B2"/>
    <w:rsid w:val="00EB31F1"/>
    <w:rsid w:val="00EB32CC"/>
    <w:rsid w:val="00EB33DD"/>
    <w:rsid w:val="00EB34E6"/>
    <w:rsid w:val="00EB362C"/>
    <w:rsid w:val="00EB3641"/>
    <w:rsid w:val="00EB36C1"/>
    <w:rsid w:val="00EB37BA"/>
    <w:rsid w:val="00EB37DF"/>
    <w:rsid w:val="00EB37EC"/>
    <w:rsid w:val="00EB38C3"/>
    <w:rsid w:val="00EB3918"/>
    <w:rsid w:val="00EB3978"/>
    <w:rsid w:val="00EB3AB4"/>
    <w:rsid w:val="00EB3AC3"/>
    <w:rsid w:val="00EB3BE8"/>
    <w:rsid w:val="00EB3C36"/>
    <w:rsid w:val="00EB41B4"/>
    <w:rsid w:val="00EB42BC"/>
    <w:rsid w:val="00EB43A7"/>
    <w:rsid w:val="00EB4488"/>
    <w:rsid w:val="00EB44AB"/>
    <w:rsid w:val="00EB4647"/>
    <w:rsid w:val="00EB48B7"/>
    <w:rsid w:val="00EB49FE"/>
    <w:rsid w:val="00EB4A39"/>
    <w:rsid w:val="00EB4A94"/>
    <w:rsid w:val="00EB4BAF"/>
    <w:rsid w:val="00EB4C3C"/>
    <w:rsid w:val="00EB4C90"/>
    <w:rsid w:val="00EB4DD2"/>
    <w:rsid w:val="00EB4E16"/>
    <w:rsid w:val="00EB4F0C"/>
    <w:rsid w:val="00EB4F20"/>
    <w:rsid w:val="00EB4FFA"/>
    <w:rsid w:val="00EB5131"/>
    <w:rsid w:val="00EB52EF"/>
    <w:rsid w:val="00EB5310"/>
    <w:rsid w:val="00EB533C"/>
    <w:rsid w:val="00EB539E"/>
    <w:rsid w:val="00EB53FE"/>
    <w:rsid w:val="00EB55C5"/>
    <w:rsid w:val="00EB58A3"/>
    <w:rsid w:val="00EB59DD"/>
    <w:rsid w:val="00EB5C7E"/>
    <w:rsid w:val="00EB5D2D"/>
    <w:rsid w:val="00EB5D91"/>
    <w:rsid w:val="00EB5E6A"/>
    <w:rsid w:val="00EB5F4B"/>
    <w:rsid w:val="00EB5FAD"/>
    <w:rsid w:val="00EB6078"/>
    <w:rsid w:val="00EB611C"/>
    <w:rsid w:val="00EB61D2"/>
    <w:rsid w:val="00EB6288"/>
    <w:rsid w:val="00EB6357"/>
    <w:rsid w:val="00EB64AA"/>
    <w:rsid w:val="00EB65B7"/>
    <w:rsid w:val="00EB6974"/>
    <w:rsid w:val="00EB6A32"/>
    <w:rsid w:val="00EB6BA6"/>
    <w:rsid w:val="00EB6BD9"/>
    <w:rsid w:val="00EB6CA9"/>
    <w:rsid w:val="00EB6CCE"/>
    <w:rsid w:val="00EB6D72"/>
    <w:rsid w:val="00EB6EAD"/>
    <w:rsid w:val="00EB6F53"/>
    <w:rsid w:val="00EB6FD8"/>
    <w:rsid w:val="00EB7008"/>
    <w:rsid w:val="00EB7081"/>
    <w:rsid w:val="00EB7273"/>
    <w:rsid w:val="00EB73F1"/>
    <w:rsid w:val="00EB741D"/>
    <w:rsid w:val="00EB745A"/>
    <w:rsid w:val="00EB7550"/>
    <w:rsid w:val="00EB774A"/>
    <w:rsid w:val="00EB775D"/>
    <w:rsid w:val="00EB7C8C"/>
    <w:rsid w:val="00EB7FCA"/>
    <w:rsid w:val="00EC01D2"/>
    <w:rsid w:val="00EC0338"/>
    <w:rsid w:val="00EC0380"/>
    <w:rsid w:val="00EC04DF"/>
    <w:rsid w:val="00EC058C"/>
    <w:rsid w:val="00EC069E"/>
    <w:rsid w:val="00EC0766"/>
    <w:rsid w:val="00EC08B5"/>
    <w:rsid w:val="00EC0AAC"/>
    <w:rsid w:val="00EC0D58"/>
    <w:rsid w:val="00EC0D62"/>
    <w:rsid w:val="00EC1068"/>
    <w:rsid w:val="00EC108C"/>
    <w:rsid w:val="00EC109E"/>
    <w:rsid w:val="00EC11C8"/>
    <w:rsid w:val="00EC1255"/>
    <w:rsid w:val="00EC13D5"/>
    <w:rsid w:val="00EC1473"/>
    <w:rsid w:val="00EC1492"/>
    <w:rsid w:val="00EC14B7"/>
    <w:rsid w:val="00EC151F"/>
    <w:rsid w:val="00EC1580"/>
    <w:rsid w:val="00EC1675"/>
    <w:rsid w:val="00EC18DF"/>
    <w:rsid w:val="00EC1AFD"/>
    <w:rsid w:val="00EC1C24"/>
    <w:rsid w:val="00EC1C5A"/>
    <w:rsid w:val="00EC1F5A"/>
    <w:rsid w:val="00EC20E8"/>
    <w:rsid w:val="00EC217C"/>
    <w:rsid w:val="00EC2182"/>
    <w:rsid w:val="00EC2204"/>
    <w:rsid w:val="00EC22B0"/>
    <w:rsid w:val="00EC2327"/>
    <w:rsid w:val="00EC2382"/>
    <w:rsid w:val="00EC23B0"/>
    <w:rsid w:val="00EC2481"/>
    <w:rsid w:val="00EC24CC"/>
    <w:rsid w:val="00EC2704"/>
    <w:rsid w:val="00EC27F8"/>
    <w:rsid w:val="00EC2806"/>
    <w:rsid w:val="00EC2892"/>
    <w:rsid w:val="00EC28AB"/>
    <w:rsid w:val="00EC2949"/>
    <w:rsid w:val="00EC2C1A"/>
    <w:rsid w:val="00EC2C1D"/>
    <w:rsid w:val="00EC2CFC"/>
    <w:rsid w:val="00EC2DB7"/>
    <w:rsid w:val="00EC2EE5"/>
    <w:rsid w:val="00EC31FA"/>
    <w:rsid w:val="00EC32F3"/>
    <w:rsid w:val="00EC33A0"/>
    <w:rsid w:val="00EC33BD"/>
    <w:rsid w:val="00EC3536"/>
    <w:rsid w:val="00EC357D"/>
    <w:rsid w:val="00EC35B1"/>
    <w:rsid w:val="00EC36C6"/>
    <w:rsid w:val="00EC36D4"/>
    <w:rsid w:val="00EC36E8"/>
    <w:rsid w:val="00EC370E"/>
    <w:rsid w:val="00EC3908"/>
    <w:rsid w:val="00EC3910"/>
    <w:rsid w:val="00EC3C82"/>
    <w:rsid w:val="00EC3C87"/>
    <w:rsid w:val="00EC3D13"/>
    <w:rsid w:val="00EC3D1E"/>
    <w:rsid w:val="00EC3D80"/>
    <w:rsid w:val="00EC3DDD"/>
    <w:rsid w:val="00EC3DFA"/>
    <w:rsid w:val="00EC3E36"/>
    <w:rsid w:val="00EC3E42"/>
    <w:rsid w:val="00EC3E9D"/>
    <w:rsid w:val="00EC3EF5"/>
    <w:rsid w:val="00EC406A"/>
    <w:rsid w:val="00EC4199"/>
    <w:rsid w:val="00EC427A"/>
    <w:rsid w:val="00EC42B3"/>
    <w:rsid w:val="00EC42D5"/>
    <w:rsid w:val="00EC431A"/>
    <w:rsid w:val="00EC43A2"/>
    <w:rsid w:val="00EC4465"/>
    <w:rsid w:val="00EC45C1"/>
    <w:rsid w:val="00EC461E"/>
    <w:rsid w:val="00EC4629"/>
    <w:rsid w:val="00EC47A2"/>
    <w:rsid w:val="00EC4836"/>
    <w:rsid w:val="00EC487A"/>
    <w:rsid w:val="00EC4890"/>
    <w:rsid w:val="00EC4C8C"/>
    <w:rsid w:val="00EC4CAB"/>
    <w:rsid w:val="00EC4DF3"/>
    <w:rsid w:val="00EC4E2E"/>
    <w:rsid w:val="00EC4F52"/>
    <w:rsid w:val="00EC4FFF"/>
    <w:rsid w:val="00EC503E"/>
    <w:rsid w:val="00EC5052"/>
    <w:rsid w:val="00EC5059"/>
    <w:rsid w:val="00EC5088"/>
    <w:rsid w:val="00EC508B"/>
    <w:rsid w:val="00EC50B5"/>
    <w:rsid w:val="00EC5402"/>
    <w:rsid w:val="00EC5701"/>
    <w:rsid w:val="00EC57FC"/>
    <w:rsid w:val="00EC5802"/>
    <w:rsid w:val="00EC582F"/>
    <w:rsid w:val="00EC5A11"/>
    <w:rsid w:val="00EC5BB6"/>
    <w:rsid w:val="00EC5BCD"/>
    <w:rsid w:val="00EC5C6D"/>
    <w:rsid w:val="00EC5D29"/>
    <w:rsid w:val="00EC5D70"/>
    <w:rsid w:val="00EC5DFD"/>
    <w:rsid w:val="00EC5E07"/>
    <w:rsid w:val="00EC5E52"/>
    <w:rsid w:val="00EC5F43"/>
    <w:rsid w:val="00EC5F58"/>
    <w:rsid w:val="00EC5F94"/>
    <w:rsid w:val="00EC5FE2"/>
    <w:rsid w:val="00EC6092"/>
    <w:rsid w:val="00EC60F5"/>
    <w:rsid w:val="00EC62ED"/>
    <w:rsid w:val="00EC62F1"/>
    <w:rsid w:val="00EC6343"/>
    <w:rsid w:val="00EC63B2"/>
    <w:rsid w:val="00EC6487"/>
    <w:rsid w:val="00EC6513"/>
    <w:rsid w:val="00EC66A6"/>
    <w:rsid w:val="00EC66CB"/>
    <w:rsid w:val="00EC67D8"/>
    <w:rsid w:val="00EC68F0"/>
    <w:rsid w:val="00EC691B"/>
    <w:rsid w:val="00EC6991"/>
    <w:rsid w:val="00EC6CF9"/>
    <w:rsid w:val="00EC7061"/>
    <w:rsid w:val="00EC714F"/>
    <w:rsid w:val="00EC7163"/>
    <w:rsid w:val="00EC7187"/>
    <w:rsid w:val="00EC7188"/>
    <w:rsid w:val="00EC74C4"/>
    <w:rsid w:val="00EC763B"/>
    <w:rsid w:val="00EC7737"/>
    <w:rsid w:val="00EC78AD"/>
    <w:rsid w:val="00EC7909"/>
    <w:rsid w:val="00EC79DA"/>
    <w:rsid w:val="00EC7AE2"/>
    <w:rsid w:val="00EC7AE5"/>
    <w:rsid w:val="00EC7B03"/>
    <w:rsid w:val="00EC7D7C"/>
    <w:rsid w:val="00EC7E56"/>
    <w:rsid w:val="00EC7E9B"/>
    <w:rsid w:val="00EC7EC8"/>
    <w:rsid w:val="00EC7EDD"/>
    <w:rsid w:val="00EC7F2B"/>
    <w:rsid w:val="00ED01CC"/>
    <w:rsid w:val="00ED021F"/>
    <w:rsid w:val="00ED0238"/>
    <w:rsid w:val="00ED0270"/>
    <w:rsid w:val="00ED0541"/>
    <w:rsid w:val="00ED07A1"/>
    <w:rsid w:val="00ED0A5E"/>
    <w:rsid w:val="00ED0B3F"/>
    <w:rsid w:val="00ED0D0D"/>
    <w:rsid w:val="00ED0DCB"/>
    <w:rsid w:val="00ED0E6C"/>
    <w:rsid w:val="00ED11D6"/>
    <w:rsid w:val="00ED11D7"/>
    <w:rsid w:val="00ED1350"/>
    <w:rsid w:val="00ED13AE"/>
    <w:rsid w:val="00ED1556"/>
    <w:rsid w:val="00ED15FC"/>
    <w:rsid w:val="00ED172F"/>
    <w:rsid w:val="00ED180D"/>
    <w:rsid w:val="00ED1A41"/>
    <w:rsid w:val="00ED1AD5"/>
    <w:rsid w:val="00ED1B9C"/>
    <w:rsid w:val="00ED1BB6"/>
    <w:rsid w:val="00ED1D87"/>
    <w:rsid w:val="00ED1D90"/>
    <w:rsid w:val="00ED1D9C"/>
    <w:rsid w:val="00ED1DEE"/>
    <w:rsid w:val="00ED1F93"/>
    <w:rsid w:val="00ED1FC3"/>
    <w:rsid w:val="00ED2005"/>
    <w:rsid w:val="00ED2132"/>
    <w:rsid w:val="00ED2214"/>
    <w:rsid w:val="00ED225D"/>
    <w:rsid w:val="00ED228E"/>
    <w:rsid w:val="00ED22DB"/>
    <w:rsid w:val="00ED2371"/>
    <w:rsid w:val="00ED23F1"/>
    <w:rsid w:val="00ED23FD"/>
    <w:rsid w:val="00ED244C"/>
    <w:rsid w:val="00ED2545"/>
    <w:rsid w:val="00ED25A1"/>
    <w:rsid w:val="00ED272B"/>
    <w:rsid w:val="00ED27E9"/>
    <w:rsid w:val="00ED2861"/>
    <w:rsid w:val="00ED28DD"/>
    <w:rsid w:val="00ED28E3"/>
    <w:rsid w:val="00ED2912"/>
    <w:rsid w:val="00ED2961"/>
    <w:rsid w:val="00ED296C"/>
    <w:rsid w:val="00ED2970"/>
    <w:rsid w:val="00ED2990"/>
    <w:rsid w:val="00ED29C6"/>
    <w:rsid w:val="00ED2B1F"/>
    <w:rsid w:val="00ED2C71"/>
    <w:rsid w:val="00ED2C87"/>
    <w:rsid w:val="00ED2CAA"/>
    <w:rsid w:val="00ED2CFD"/>
    <w:rsid w:val="00ED2DD0"/>
    <w:rsid w:val="00ED2DF3"/>
    <w:rsid w:val="00ED2E9B"/>
    <w:rsid w:val="00ED3012"/>
    <w:rsid w:val="00ED310A"/>
    <w:rsid w:val="00ED31B2"/>
    <w:rsid w:val="00ED3208"/>
    <w:rsid w:val="00ED32F9"/>
    <w:rsid w:val="00ED3365"/>
    <w:rsid w:val="00ED3520"/>
    <w:rsid w:val="00ED353F"/>
    <w:rsid w:val="00ED35DC"/>
    <w:rsid w:val="00ED37C0"/>
    <w:rsid w:val="00ED3925"/>
    <w:rsid w:val="00ED39A1"/>
    <w:rsid w:val="00ED3AA1"/>
    <w:rsid w:val="00ED3AE9"/>
    <w:rsid w:val="00ED3B03"/>
    <w:rsid w:val="00ED3CC2"/>
    <w:rsid w:val="00ED3D43"/>
    <w:rsid w:val="00ED3DFD"/>
    <w:rsid w:val="00ED3E95"/>
    <w:rsid w:val="00ED3FD1"/>
    <w:rsid w:val="00ED41E6"/>
    <w:rsid w:val="00ED4257"/>
    <w:rsid w:val="00ED4385"/>
    <w:rsid w:val="00ED43B9"/>
    <w:rsid w:val="00ED4489"/>
    <w:rsid w:val="00ED48A7"/>
    <w:rsid w:val="00ED48B9"/>
    <w:rsid w:val="00ED4D4D"/>
    <w:rsid w:val="00ED4F01"/>
    <w:rsid w:val="00ED5284"/>
    <w:rsid w:val="00ED52F0"/>
    <w:rsid w:val="00ED5301"/>
    <w:rsid w:val="00ED5376"/>
    <w:rsid w:val="00ED552E"/>
    <w:rsid w:val="00ED5632"/>
    <w:rsid w:val="00ED578C"/>
    <w:rsid w:val="00ED57CB"/>
    <w:rsid w:val="00ED5991"/>
    <w:rsid w:val="00ED59D7"/>
    <w:rsid w:val="00ED5C7C"/>
    <w:rsid w:val="00ED5E38"/>
    <w:rsid w:val="00ED5E52"/>
    <w:rsid w:val="00ED602D"/>
    <w:rsid w:val="00ED6039"/>
    <w:rsid w:val="00ED611B"/>
    <w:rsid w:val="00ED61B6"/>
    <w:rsid w:val="00ED6263"/>
    <w:rsid w:val="00ED63F2"/>
    <w:rsid w:val="00ED6413"/>
    <w:rsid w:val="00ED6415"/>
    <w:rsid w:val="00ED6438"/>
    <w:rsid w:val="00ED6543"/>
    <w:rsid w:val="00ED65FD"/>
    <w:rsid w:val="00ED6993"/>
    <w:rsid w:val="00ED69EA"/>
    <w:rsid w:val="00ED6B2C"/>
    <w:rsid w:val="00ED6C85"/>
    <w:rsid w:val="00ED6CC7"/>
    <w:rsid w:val="00ED6D5D"/>
    <w:rsid w:val="00ED6DA6"/>
    <w:rsid w:val="00ED6DB0"/>
    <w:rsid w:val="00ED6DC5"/>
    <w:rsid w:val="00ED6DD0"/>
    <w:rsid w:val="00ED6FEC"/>
    <w:rsid w:val="00ED701D"/>
    <w:rsid w:val="00ED7195"/>
    <w:rsid w:val="00ED7245"/>
    <w:rsid w:val="00ED7364"/>
    <w:rsid w:val="00ED736E"/>
    <w:rsid w:val="00ED7388"/>
    <w:rsid w:val="00ED73B7"/>
    <w:rsid w:val="00ED7624"/>
    <w:rsid w:val="00ED7723"/>
    <w:rsid w:val="00ED77C6"/>
    <w:rsid w:val="00ED78B0"/>
    <w:rsid w:val="00ED78C7"/>
    <w:rsid w:val="00ED78EA"/>
    <w:rsid w:val="00ED7A7E"/>
    <w:rsid w:val="00ED7B2C"/>
    <w:rsid w:val="00ED7C3F"/>
    <w:rsid w:val="00ED7D17"/>
    <w:rsid w:val="00ED7D5B"/>
    <w:rsid w:val="00ED7D8E"/>
    <w:rsid w:val="00ED7E94"/>
    <w:rsid w:val="00ED7F96"/>
    <w:rsid w:val="00EE00EF"/>
    <w:rsid w:val="00EE010A"/>
    <w:rsid w:val="00EE02D3"/>
    <w:rsid w:val="00EE02ED"/>
    <w:rsid w:val="00EE068E"/>
    <w:rsid w:val="00EE0856"/>
    <w:rsid w:val="00EE09D3"/>
    <w:rsid w:val="00EE0A9C"/>
    <w:rsid w:val="00EE0B92"/>
    <w:rsid w:val="00EE0BC9"/>
    <w:rsid w:val="00EE0BF6"/>
    <w:rsid w:val="00EE0C5B"/>
    <w:rsid w:val="00EE0DA6"/>
    <w:rsid w:val="00EE0E3D"/>
    <w:rsid w:val="00EE0E6E"/>
    <w:rsid w:val="00EE0ECA"/>
    <w:rsid w:val="00EE0FE9"/>
    <w:rsid w:val="00EE10AF"/>
    <w:rsid w:val="00EE1114"/>
    <w:rsid w:val="00EE12F9"/>
    <w:rsid w:val="00EE155A"/>
    <w:rsid w:val="00EE170C"/>
    <w:rsid w:val="00EE174B"/>
    <w:rsid w:val="00EE17A5"/>
    <w:rsid w:val="00EE180C"/>
    <w:rsid w:val="00EE187E"/>
    <w:rsid w:val="00EE18AF"/>
    <w:rsid w:val="00EE1952"/>
    <w:rsid w:val="00EE1A7D"/>
    <w:rsid w:val="00EE1AAE"/>
    <w:rsid w:val="00EE1B76"/>
    <w:rsid w:val="00EE1CC4"/>
    <w:rsid w:val="00EE1DE7"/>
    <w:rsid w:val="00EE1E24"/>
    <w:rsid w:val="00EE1EA8"/>
    <w:rsid w:val="00EE1EAD"/>
    <w:rsid w:val="00EE1EBC"/>
    <w:rsid w:val="00EE1F9C"/>
    <w:rsid w:val="00EE2120"/>
    <w:rsid w:val="00EE218B"/>
    <w:rsid w:val="00EE21A6"/>
    <w:rsid w:val="00EE2343"/>
    <w:rsid w:val="00EE2624"/>
    <w:rsid w:val="00EE268B"/>
    <w:rsid w:val="00EE27FA"/>
    <w:rsid w:val="00EE28EF"/>
    <w:rsid w:val="00EE2902"/>
    <w:rsid w:val="00EE2927"/>
    <w:rsid w:val="00EE2933"/>
    <w:rsid w:val="00EE2985"/>
    <w:rsid w:val="00EE2C40"/>
    <w:rsid w:val="00EE2D52"/>
    <w:rsid w:val="00EE2E40"/>
    <w:rsid w:val="00EE2E84"/>
    <w:rsid w:val="00EE2ED4"/>
    <w:rsid w:val="00EE2F1C"/>
    <w:rsid w:val="00EE2FD1"/>
    <w:rsid w:val="00EE3291"/>
    <w:rsid w:val="00EE32CD"/>
    <w:rsid w:val="00EE330E"/>
    <w:rsid w:val="00EE3336"/>
    <w:rsid w:val="00EE3454"/>
    <w:rsid w:val="00EE3571"/>
    <w:rsid w:val="00EE3687"/>
    <w:rsid w:val="00EE36F8"/>
    <w:rsid w:val="00EE3794"/>
    <w:rsid w:val="00EE3859"/>
    <w:rsid w:val="00EE3942"/>
    <w:rsid w:val="00EE39B6"/>
    <w:rsid w:val="00EE39BA"/>
    <w:rsid w:val="00EE39C2"/>
    <w:rsid w:val="00EE3A56"/>
    <w:rsid w:val="00EE3A8F"/>
    <w:rsid w:val="00EE3D23"/>
    <w:rsid w:val="00EE3D96"/>
    <w:rsid w:val="00EE3DF6"/>
    <w:rsid w:val="00EE3E0A"/>
    <w:rsid w:val="00EE3EFB"/>
    <w:rsid w:val="00EE3F59"/>
    <w:rsid w:val="00EE3FFB"/>
    <w:rsid w:val="00EE4006"/>
    <w:rsid w:val="00EE40F2"/>
    <w:rsid w:val="00EE4137"/>
    <w:rsid w:val="00EE4280"/>
    <w:rsid w:val="00EE4294"/>
    <w:rsid w:val="00EE42A0"/>
    <w:rsid w:val="00EE4388"/>
    <w:rsid w:val="00EE43E7"/>
    <w:rsid w:val="00EE4446"/>
    <w:rsid w:val="00EE4490"/>
    <w:rsid w:val="00EE451D"/>
    <w:rsid w:val="00EE47CB"/>
    <w:rsid w:val="00EE49A5"/>
    <w:rsid w:val="00EE4A68"/>
    <w:rsid w:val="00EE4ABA"/>
    <w:rsid w:val="00EE4AE4"/>
    <w:rsid w:val="00EE4B9D"/>
    <w:rsid w:val="00EE4EEF"/>
    <w:rsid w:val="00EE4F20"/>
    <w:rsid w:val="00EE4F3E"/>
    <w:rsid w:val="00EE4F7E"/>
    <w:rsid w:val="00EE4FD1"/>
    <w:rsid w:val="00EE5055"/>
    <w:rsid w:val="00EE50CA"/>
    <w:rsid w:val="00EE5234"/>
    <w:rsid w:val="00EE5259"/>
    <w:rsid w:val="00EE52AD"/>
    <w:rsid w:val="00EE52F4"/>
    <w:rsid w:val="00EE532B"/>
    <w:rsid w:val="00EE5384"/>
    <w:rsid w:val="00EE54F4"/>
    <w:rsid w:val="00EE57B4"/>
    <w:rsid w:val="00EE58A7"/>
    <w:rsid w:val="00EE5A4D"/>
    <w:rsid w:val="00EE5B90"/>
    <w:rsid w:val="00EE5D6B"/>
    <w:rsid w:val="00EE5DB3"/>
    <w:rsid w:val="00EE5E01"/>
    <w:rsid w:val="00EE5EBF"/>
    <w:rsid w:val="00EE61DE"/>
    <w:rsid w:val="00EE6264"/>
    <w:rsid w:val="00EE6480"/>
    <w:rsid w:val="00EE64FB"/>
    <w:rsid w:val="00EE654E"/>
    <w:rsid w:val="00EE6684"/>
    <w:rsid w:val="00EE67EA"/>
    <w:rsid w:val="00EE6804"/>
    <w:rsid w:val="00EE6832"/>
    <w:rsid w:val="00EE68A9"/>
    <w:rsid w:val="00EE6907"/>
    <w:rsid w:val="00EE6953"/>
    <w:rsid w:val="00EE6962"/>
    <w:rsid w:val="00EE69C1"/>
    <w:rsid w:val="00EE6A39"/>
    <w:rsid w:val="00EE6C70"/>
    <w:rsid w:val="00EE6C7C"/>
    <w:rsid w:val="00EE6D02"/>
    <w:rsid w:val="00EE6DDE"/>
    <w:rsid w:val="00EE6EDE"/>
    <w:rsid w:val="00EE6F29"/>
    <w:rsid w:val="00EE6F39"/>
    <w:rsid w:val="00EE7033"/>
    <w:rsid w:val="00EE7396"/>
    <w:rsid w:val="00EE73B4"/>
    <w:rsid w:val="00EE740D"/>
    <w:rsid w:val="00EE74A2"/>
    <w:rsid w:val="00EE75AB"/>
    <w:rsid w:val="00EE763D"/>
    <w:rsid w:val="00EE76CA"/>
    <w:rsid w:val="00EE775A"/>
    <w:rsid w:val="00EE7773"/>
    <w:rsid w:val="00EE7804"/>
    <w:rsid w:val="00EE7C1D"/>
    <w:rsid w:val="00EE7C70"/>
    <w:rsid w:val="00EE7C78"/>
    <w:rsid w:val="00EE7F22"/>
    <w:rsid w:val="00EF005B"/>
    <w:rsid w:val="00EF014C"/>
    <w:rsid w:val="00EF024D"/>
    <w:rsid w:val="00EF0273"/>
    <w:rsid w:val="00EF051D"/>
    <w:rsid w:val="00EF082C"/>
    <w:rsid w:val="00EF085E"/>
    <w:rsid w:val="00EF0A3A"/>
    <w:rsid w:val="00EF0B3A"/>
    <w:rsid w:val="00EF0E0F"/>
    <w:rsid w:val="00EF0ED1"/>
    <w:rsid w:val="00EF1526"/>
    <w:rsid w:val="00EF154D"/>
    <w:rsid w:val="00EF1692"/>
    <w:rsid w:val="00EF16E1"/>
    <w:rsid w:val="00EF1731"/>
    <w:rsid w:val="00EF1755"/>
    <w:rsid w:val="00EF183A"/>
    <w:rsid w:val="00EF1912"/>
    <w:rsid w:val="00EF1922"/>
    <w:rsid w:val="00EF198F"/>
    <w:rsid w:val="00EF1AAF"/>
    <w:rsid w:val="00EF1B0F"/>
    <w:rsid w:val="00EF1B2A"/>
    <w:rsid w:val="00EF1C22"/>
    <w:rsid w:val="00EF1C7B"/>
    <w:rsid w:val="00EF1D27"/>
    <w:rsid w:val="00EF1EBB"/>
    <w:rsid w:val="00EF2056"/>
    <w:rsid w:val="00EF226C"/>
    <w:rsid w:val="00EF22FA"/>
    <w:rsid w:val="00EF2468"/>
    <w:rsid w:val="00EF2477"/>
    <w:rsid w:val="00EF2578"/>
    <w:rsid w:val="00EF2A89"/>
    <w:rsid w:val="00EF2B4B"/>
    <w:rsid w:val="00EF2C03"/>
    <w:rsid w:val="00EF2C2E"/>
    <w:rsid w:val="00EF2C53"/>
    <w:rsid w:val="00EF2D07"/>
    <w:rsid w:val="00EF2DF5"/>
    <w:rsid w:val="00EF2FD7"/>
    <w:rsid w:val="00EF30F6"/>
    <w:rsid w:val="00EF318B"/>
    <w:rsid w:val="00EF359C"/>
    <w:rsid w:val="00EF3629"/>
    <w:rsid w:val="00EF3633"/>
    <w:rsid w:val="00EF378F"/>
    <w:rsid w:val="00EF37BD"/>
    <w:rsid w:val="00EF37D7"/>
    <w:rsid w:val="00EF3876"/>
    <w:rsid w:val="00EF39C7"/>
    <w:rsid w:val="00EF39FB"/>
    <w:rsid w:val="00EF3A64"/>
    <w:rsid w:val="00EF3B4B"/>
    <w:rsid w:val="00EF3C2B"/>
    <w:rsid w:val="00EF3C66"/>
    <w:rsid w:val="00EF3CD5"/>
    <w:rsid w:val="00EF3D58"/>
    <w:rsid w:val="00EF3E83"/>
    <w:rsid w:val="00EF3E96"/>
    <w:rsid w:val="00EF3F8B"/>
    <w:rsid w:val="00EF4371"/>
    <w:rsid w:val="00EF438A"/>
    <w:rsid w:val="00EF44C0"/>
    <w:rsid w:val="00EF4594"/>
    <w:rsid w:val="00EF467C"/>
    <w:rsid w:val="00EF4965"/>
    <w:rsid w:val="00EF4CB9"/>
    <w:rsid w:val="00EF4E86"/>
    <w:rsid w:val="00EF4FE8"/>
    <w:rsid w:val="00EF50EE"/>
    <w:rsid w:val="00EF5187"/>
    <w:rsid w:val="00EF529D"/>
    <w:rsid w:val="00EF5317"/>
    <w:rsid w:val="00EF558D"/>
    <w:rsid w:val="00EF55AC"/>
    <w:rsid w:val="00EF5671"/>
    <w:rsid w:val="00EF56B3"/>
    <w:rsid w:val="00EF57B2"/>
    <w:rsid w:val="00EF5AAB"/>
    <w:rsid w:val="00EF5B48"/>
    <w:rsid w:val="00EF5BD4"/>
    <w:rsid w:val="00EF5C37"/>
    <w:rsid w:val="00EF5D73"/>
    <w:rsid w:val="00EF5EF3"/>
    <w:rsid w:val="00EF5FBC"/>
    <w:rsid w:val="00EF61B5"/>
    <w:rsid w:val="00EF62B4"/>
    <w:rsid w:val="00EF62D8"/>
    <w:rsid w:val="00EF6315"/>
    <w:rsid w:val="00EF6322"/>
    <w:rsid w:val="00EF6378"/>
    <w:rsid w:val="00EF63BD"/>
    <w:rsid w:val="00EF65F8"/>
    <w:rsid w:val="00EF6636"/>
    <w:rsid w:val="00EF6707"/>
    <w:rsid w:val="00EF6747"/>
    <w:rsid w:val="00EF6875"/>
    <w:rsid w:val="00EF6938"/>
    <w:rsid w:val="00EF6A05"/>
    <w:rsid w:val="00EF6A15"/>
    <w:rsid w:val="00EF6A66"/>
    <w:rsid w:val="00EF6B7C"/>
    <w:rsid w:val="00EF6F66"/>
    <w:rsid w:val="00EF6FE6"/>
    <w:rsid w:val="00EF700D"/>
    <w:rsid w:val="00EF701D"/>
    <w:rsid w:val="00EF7063"/>
    <w:rsid w:val="00EF7084"/>
    <w:rsid w:val="00EF7152"/>
    <w:rsid w:val="00EF7172"/>
    <w:rsid w:val="00EF71C7"/>
    <w:rsid w:val="00EF7247"/>
    <w:rsid w:val="00EF72FB"/>
    <w:rsid w:val="00EF73BD"/>
    <w:rsid w:val="00EF7419"/>
    <w:rsid w:val="00EF74E5"/>
    <w:rsid w:val="00EF7699"/>
    <w:rsid w:val="00EF76FE"/>
    <w:rsid w:val="00EF7702"/>
    <w:rsid w:val="00EF772F"/>
    <w:rsid w:val="00EF773A"/>
    <w:rsid w:val="00EF77FD"/>
    <w:rsid w:val="00EF7AF2"/>
    <w:rsid w:val="00EF7B42"/>
    <w:rsid w:val="00EF7B8B"/>
    <w:rsid w:val="00EF7BD3"/>
    <w:rsid w:val="00EF7BF0"/>
    <w:rsid w:val="00EF7C4D"/>
    <w:rsid w:val="00EF7CBF"/>
    <w:rsid w:val="00EF7D55"/>
    <w:rsid w:val="00EF7E0C"/>
    <w:rsid w:val="00EF7E37"/>
    <w:rsid w:val="00EF7ECA"/>
    <w:rsid w:val="00F00068"/>
    <w:rsid w:val="00F0028C"/>
    <w:rsid w:val="00F00313"/>
    <w:rsid w:val="00F0038E"/>
    <w:rsid w:val="00F00435"/>
    <w:rsid w:val="00F0053F"/>
    <w:rsid w:val="00F005E3"/>
    <w:rsid w:val="00F0061E"/>
    <w:rsid w:val="00F00944"/>
    <w:rsid w:val="00F00BE4"/>
    <w:rsid w:val="00F00BFC"/>
    <w:rsid w:val="00F00CE4"/>
    <w:rsid w:val="00F00E61"/>
    <w:rsid w:val="00F00EC8"/>
    <w:rsid w:val="00F00ED5"/>
    <w:rsid w:val="00F00F10"/>
    <w:rsid w:val="00F00FB5"/>
    <w:rsid w:val="00F01029"/>
    <w:rsid w:val="00F010CD"/>
    <w:rsid w:val="00F0116B"/>
    <w:rsid w:val="00F011ED"/>
    <w:rsid w:val="00F0129F"/>
    <w:rsid w:val="00F012BF"/>
    <w:rsid w:val="00F01429"/>
    <w:rsid w:val="00F014CF"/>
    <w:rsid w:val="00F01553"/>
    <w:rsid w:val="00F0177F"/>
    <w:rsid w:val="00F01899"/>
    <w:rsid w:val="00F01980"/>
    <w:rsid w:val="00F019CF"/>
    <w:rsid w:val="00F01A37"/>
    <w:rsid w:val="00F01A4C"/>
    <w:rsid w:val="00F01B38"/>
    <w:rsid w:val="00F01E1B"/>
    <w:rsid w:val="00F01E41"/>
    <w:rsid w:val="00F01ED7"/>
    <w:rsid w:val="00F02003"/>
    <w:rsid w:val="00F0202C"/>
    <w:rsid w:val="00F02197"/>
    <w:rsid w:val="00F021CB"/>
    <w:rsid w:val="00F022E5"/>
    <w:rsid w:val="00F023D3"/>
    <w:rsid w:val="00F02636"/>
    <w:rsid w:val="00F02710"/>
    <w:rsid w:val="00F027E0"/>
    <w:rsid w:val="00F0288F"/>
    <w:rsid w:val="00F02A90"/>
    <w:rsid w:val="00F02AE0"/>
    <w:rsid w:val="00F02D9C"/>
    <w:rsid w:val="00F030AF"/>
    <w:rsid w:val="00F03109"/>
    <w:rsid w:val="00F03469"/>
    <w:rsid w:val="00F03493"/>
    <w:rsid w:val="00F03533"/>
    <w:rsid w:val="00F03656"/>
    <w:rsid w:val="00F0369F"/>
    <w:rsid w:val="00F03740"/>
    <w:rsid w:val="00F03788"/>
    <w:rsid w:val="00F039C8"/>
    <w:rsid w:val="00F03A2D"/>
    <w:rsid w:val="00F03B39"/>
    <w:rsid w:val="00F03B5D"/>
    <w:rsid w:val="00F03B9D"/>
    <w:rsid w:val="00F03C54"/>
    <w:rsid w:val="00F03C9B"/>
    <w:rsid w:val="00F03DCF"/>
    <w:rsid w:val="00F03F76"/>
    <w:rsid w:val="00F04052"/>
    <w:rsid w:val="00F040F6"/>
    <w:rsid w:val="00F0419B"/>
    <w:rsid w:val="00F041C2"/>
    <w:rsid w:val="00F041C7"/>
    <w:rsid w:val="00F042B5"/>
    <w:rsid w:val="00F042DA"/>
    <w:rsid w:val="00F04449"/>
    <w:rsid w:val="00F0444D"/>
    <w:rsid w:val="00F044AE"/>
    <w:rsid w:val="00F044D8"/>
    <w:rsid w:val="00F0465C"/>
    <w:rsid w:val="00F046EE"/>
    <w:rsid w:val="00F046F1"/>
    <w:rsid w:val="00F048E6"/>
    <w:rsid w:val="00F0491A"/>
    <w:rsid w:val="00F04955"/>
    <w:rsid w:val="00F049D5"/>
    <w:rsid w:val="00F04A20"/>
    <w:rsid w:val="00F04A6E"/>
    <w:rsid w:val="00F04BAF"/>
    <w:rsid w:val="00F04C9C"/>
    <w:rsid w:val="00F04E38"/>
    <w:rsid w:val="00F04E49"/>
    <w:rsid w:val="00F04E6F"/>
    <w:rsid w:val="00F04FED"/>
    <w:rsid w:val="00F04FEE"/>
    <w:rsid w:val="00F0518B"/>
    <w:rsid w:val="00F052B1"/>
    <w:rsid w:val="00F052C2"/>
    <w:rsid w:val="00F052C9"/>
    <w:rsid w:val="00F05443"/>
    <w:rsid w:val="00F055DC"/>
    <w:rsid w:val="00F055E5"/>
    <w:rsid w:val="00F055ED"/>
    <w:rsid w:val="00F05628"/>
    <w:rsid w:val="00F0583E"/>
    <w:rsid w:val="00F058F7"/>
    <w:rsid w:val="00F05C54"/>
    <w:rsid w:val="00F05D75"/>
    <w:rsid w:val="00F05D9D"/>
    <w:rsid w:val="00F05E39"/>
    <w:rsid w:val="00F05E55"/>
    <w:rsid w:val="00F05EC1"/>
    <w:rsid w:val="00F05ED2"/>
    <w:rsid w:val="00F06002"/>
    <w:rsid w:val="00F061F9"/>
    <w:rsid w:val="00F0632E"/>
    <w:rsid w:val="00F06449"/>
    <w:rsid w:val="00F064AA"/>
    <w:rsid w:val="00F06569"/>
    <w:rsid w:val="00F06612"/>
    <w:rsid w:val="00F06673"/>
    <w:rsid w:val="00F0668A"/>
    <w:rsid w:val="00F067E7"/>
    <w:rsid w:val="00F06961"/>
    <w:rsid w:val="00F069BD"/>
    <w:rsid w:val="00F06A06"/>
    <w:rsid w:val="00F06B21"/>
    <w:rsid w:val="00F06BC8"/>
    <w:rsid w:val="00F06C65"/>
    <w:rsid w:val="00F06E27"/>
    <w:rsid w:val="00F06F41"/>
    <w:rsid w:val="00F07068"/>
    <w:rsid w:val="00F070C8"/>
    <w:rsid w:val="00F07128"/>
    <w:rsid w:val="00F07359"/>
    <w:rsid w:val="00F0756D"/>
    <w:rsid w:val="00F076D2"/>
    <w:rsid w:val="00F077B8"/>
    <w:rsid w:val="00F07929"/>
    <w:rsid w:val="00F07A00"/>
    <w:rsid w:val="00F07C53"/>
    <w:rsid w:val="00F07D5D"/>
    <w:rsid w:val="00F07EF8"/>
    <w:rsid w:val="00F07F6E"/>
    <w:rsid w:val="00F07FC5"/>
    <w:rsid w:val="00F100FA"/>
    <w:rsid w:val="00F10299"/>
    <w:rsid w:val="00F102F3"/>
    <w:rsid w:val="00F103C9"/>
    <w:rsid w:val="00F1066F"/>
    <w:rsid w:val="00F10685"/>
    <w:rsid w:val="00F10709"/>
    <w:rsid w:val="00F107CD"/>
    <w:rsid w:val="00F107CE"/>
    <w:rsid w:val="00F107DA"/>
    <w:rsid w:val="00F10876"/>
    <w:rsid w:val="00F108F2"/>
    <w:rsid w:val="00F109DA"/>
    <w:rsid w:val="00F10A2D"/>
    <w:rsid w:val="00F10B06"/>
    <w:rsid w:val="00F10E1D"/>
    <w:rsid w:val="00F10FC9"/>
    <w:rsid w:val="00F1125D"/>
    <w:rsid w:val="00F112B5"/>
    <w:rsid w:val="00F112D4"/>
    <w:rsid w:val="00F11411"/>
    <w:rsid w:val="00F11479"/>
    <w:rsid w:val="00F11498"/>
    <w:rsid w:val="00F11561"/>
    <w:rsid w:val="00F11627"/>
    <w:rsid w:val="00F1162A"/>
    <w:rsid w:val="00F116C2"/>
    <w:rsid w:val="00F116C9"/>
    <w:rsid w:val="00F117A9"/>
    <w:rsid w:val="00F11819"/>
    <w:rsid w:val="00F119EE"/>
    <w:rsid w:val="00F11A90"/>
    <w:rsid w:val="00F11A94"/>
    <w:rsid w:val="00F11B09"/>
    <w:rsid w:val="00F11B8B"/>
    <w:rsid w:val="00F11BA2"/>
    <w:rsid w:val="00F11C5A"/>
    <w:rsid w:val="00F11CF9"/>
    <w:rsid w:val="00F11E6E"/>
    <w:rsid w:val="00F11E81"/>
    <w:rsid w:val="00F11EF8"/>
    <w:rsid w:val="00F11F29"/>
    <w:rsid w:val="00F120A6"/>
    <w:rsid w:val="00F1233E"/>
    <w:rsid w:val="00F12342"/>
    <w:rsid w:val="00F1239B"/>
    <w:rsid w:val="00F123CB"/>
    <w:rsid w:val="00F12658"/>
    <w:rsid w:val="00F127C8"/>
    <w:rsid w:val="00F12E06"/>
    <w:rsid w:val="00F12EBD"/>
    <w:rsid w:val="00F13010"/>
    <w:rsid w:val="00F130E6"/>
    <w:rsid w:val="00F13135"/>
    <w:rsid w:val="00F13180"/>
    <w:rsid w:val="00F1330F"/>
    <w:rsid w:val="00F1346A"/>
    <w:rsid w:val="00F1347B"/>
    <w:rsid w:val="00F136EF"/>
    <w:rsid w:val="00F1371D"/>
    <w:rsid w:val="00F13752"/>
    <w:rsid w:val="00F137BC"/>
    <w:rsid w:val="00F1389A"/>
    <w:rsid w:val="00F138A4"/>
    <w:rsid w:val="00F13927"/>
    <w:rsid w:val="00F13A15"/>
    <w:rsid w:val="00F13B91"/>
    <w:rsid w:val="00F13C09"/>
    <w:rsid w:val="00F13C4E"/>
    <w:rsid w:val="00F13E2F"/>
    <w:rsid w:val="00F140CF"/>
    <w:rsid w:val="00F1415F"/>
    <w:rsid w:val="00F14201"/>
    <w:rsid w:val="00F1432E"/>
    <w:rsid w:val="00F143BD"/>
    <w:rsid w:val="00F1440D"/>
    <w:rsid w:val="00F1441D"/>
    <w:rsid w:val="00F1450D"/>
    <w:rsid w:val="00F1451F"/>
    <w:rsid w:val="00F14757"/>
    <w:rsid w:val="00F147D4"/>
    <w:rsid w:val="00F147EF"/>
    <w:rsid w:val="00F14840"/>
    <w:rsid w:val="00F148E5"/>
    <w:rsid w:val="00F149B4"/>
    <w:rsid w:val="00F149FC"/>
    <w:rsid w:val="00F14AA0"/>
    <w:rsid w:val="00F14AAC"/>
    <w:rsid w:val="00F14AD6"/>
    <w:rsid w:val="00F14B60"/>
    <w:rsid w:val="00F14C82"/>
    <w:rsid w:val="00F14CF1"/>
    <w:rsid w:val="00F14D0A"/>
    <w:rsid w:val="00F14F56"/>
    <w:rsid w:val="00F15004"/>
    <w:rsid w:val="00F1508C"/>
    <w:rsid w:val="00F150C8"/>
    <w:rsid w:val="00F15103"/>
    <w:rsid w:val="00F15147"/>
    <w:rsid w:val="00F151E7"/>
    <w:rsid w:val="00F151F1"/>
    <w:rsid w:val="00F1530F"/>
    <w:rsid w:val="00F15346"/>
    <w:rsid w:val="00F15379"/>
    <w:rsid w:val="00F1540E"/>
    <w:rsid w:val="00F15432"/>
    <w:rsid w:val="00F15453"/>
    <w:rsid w:val="00F1545E"/>
    <w:rsid w:val="00F1578E"/>
    <w:rsid w:val="00F15861"/>
    <w:rsid w:val="00F1598A"/>
    <w:rsid w:val="00F15A03"/>
    <w:rsid w:val="00F15A3F"/>
    <w:rsid w:val="00F15A9A"/>
    <w:rsid w:val="00F15AB5"/>
    <w:rsid w:val="00F15B05"/>
    <w:rsid w:val="00F15B68"/>
    <w:rsid w:val="00F15BDD"/>
    <w:rsid w:val="00F15C2A"/>
    <w:rsid w:val="00F15CAB"/>
    <w:rsid w:val="00F15D6C"/>
    <w:rsid w:val="00F15EBB"/>
    <w:rsid w:val="00F15ED0"/>
    <w:rsid w:val="00F1609E"/>
    <w:rsid w:val="00F16199"/>
    <w:rsid w:val="00F161AF"/>
    <w:rsid w:val="00F16276"/>
    <w:rsid w:val="00F164D1"/>
    <w:rsid w:val="00F16553"/>
    <w:rsid w:val="00F1658B"/>
    <w:rsid w:val="00F165A2"/>
    <w:rsid w:val="00F165F3"/>
    <w:rsid w:val="00F165FF"/>
    <w:rsid w:val="00F166C5"/>
    <w:rsid w:val="00F16878"/>
    <w:rsid w:val="00F1692A"/>
    <w:rsid w:val="00F16AAD"/>
    <w:rsid w:val="00F16AFA"/>
    <w:rsid w:val="00F16D0F"/>
    <w:rsid w:val="00F16D27"/>
    <w:rsid w:val="00F16FD3"/>
    <w:rsid w:val="00F170EE"/>
    <w:rsid w:val="00F1712F"/>
    <w:rsid w:val="00F171F4"/>
    <w:rsid w:val="00F17245"/>
    <w:rsid w:val="00F1747A"/>
    <w:rsid w:val="00F175C1"/>
    <w:rsid w:val="00F17626"/>
    <w:rsid w:val="00F176BB"/>
    <w:rsid w:val="00F17829"/>
    <w:rsid w:val="00F17838"/>
    <w:rsid w:val="00F17884"/>
    <w:rsid w:val="00F17896"/>
    <w:rsid w:val="00F17994"/>
    <w:rsid w:val="00F17B3B"/>
    <w:rsid w:val="00F17F14"/>
    <w:rsid w:val="00F17F4E"/>
    <w:rsid w:val="00F2001A"/>
    <w:rsid w:val="00F202EE"/>
    <w:rsid w:val="00F20487"/>
    <w:rsid w:val="00F204EF"/>
    <w:rsid w:val="00F20514"/>
    <w:rsid w:val="00F20697"/>
    <w:rsid w:val="00F20763"/>
    <w:rsid w:val="00F20819"/>
    <w:rsid w:val="00F20A50"/>
    <w:rsid w:val="00F20AE8"/>
    <w:rsid w:val="00F20B26"/>
    <w:rsid w:val="00F20C34"/>
    <w:rsid w:val="00F20CC2"/>
    <w:rsid w:val="00F20DBA"/>
    <w:rsid w:val="00F20E82"/>
    <w:rsid w:val="00F20E89"/>
    <w:rsid w:val="00F20E91"/>
    <w:rsid w:val="00F20F12"/>
    <w:rsid w:val="00F20FD3"/>
    <w:rsid w:val="00F210FB"/>
    <w:rsid w:val="00F21197"/>
    <w:rsid w:val="00F211BB"/>
    <w:rsid w:val="00F21298"/>
    <w:rsid w:val="00F2133F"/>
    <w:rsid w:val="00F21438"/>
    <w:rsid w:val="00F214E5"/>
    <w:rsid w:val="00F21575"/>
    <w:rsid w:val="00F216D9"/>
    <w:rsid w:val="00F217C7"/>
    <w:rsid w:val="00F2185A"/>
    <w:rsid w:val="00F2194B"/>
    <w:rsid w:val="00F21B2B"/>
    <w:rsid w:val="00F21C6E"/>
    <w:rsid w:val="00F21D2E"/>
    <w:rsid w:val="00F21E11"/>
    <w:rsid w:val="00F21E6D"/>
    <w:rsid w:val="00F21F60"/>
    <w:rsid w:val="00F2205A"/>
    <w:rsid w:val="00F22162"/>
    <w:rsid w:val="00F221CA"/>
    <w:rsid w:val="00F221D9"/>
    <w:rsid w:val="00F2229D"/>
    <w:rsid w:val="00F223B5"/>
    <w:rsid w:val="00F22405"/>
    <w:rsid w:val="00F224F7"/>
    <w:rsid w:val="00F22512"/>
    <w:rsid w:val="00F2255D"/>
    <w:rsid w:val="00F2261A"/>
    <w:rsid w:val="00F2271E"/>
    <w:rsid w:val="00F227C8"/>
    <w:rsid w:val="00F2283D"/>
    <w:rsid w:val="00F2288E"/>
    <w:rsid w:val="00F22935"/>
    <w:rsid w:val="00F229B4"/>
    <w:rsid w:val="00F229D1"/>
    <w:rsid w:val="00F229DB"/>
    <w:rsid w:val="00F22A8E"/>
    <w:rsid w:val="00F22ABE"/>
    <w:rsid w:val="00F22AE2"/>
    <w:rsid w:val="00F22D65"/>
    <w:rsid w:val="00F22E08"/>
    <w:rsid w:val="00F22E18"/>
    <w:rsid w:val="00F22F1D"/>
    <w:rsid w:val="00F22F50"/>
    <w:rsid w:val="00F230FE"/>
    <w:rsid w:val="00F231FD"/>
    <w:rsid w:val="00F23218"/>
    <w:rsid w:val="00F233AB"/>
    <w:rsid w:val="00F233F0"/>
    <w:rsid w:val="00F2376F"/>
    <w:rsid w:val="00F237E7"/>
    <w:rsid w:val="00F238FB"/>
    <w:rsid w:val="00F239E1"/>
    <w:rsid w:val="00F23C46"/>
    <w:rsid w:val="00F23CB7"/>
    <w:rsid w:val="00F23CC7"/>
    <w:rsid w:val="00F23F74"/>
    <w:rsid w:val="00F240F2"/>
    <w:rsid w:val="00F24119"/>
    <w:rsid w:val="00F242A7"/>
    <w:rsid w:val="00F2435A"/>
    <w:rsid w:val="00F24370"/>
    <w:rsid w:val="00F2439C"/>
    <w:rsid w:val="00F244C9"/>
    <w:rsid w:val="00F24556"/>
    <w:rsid w:val="00F246E2"/>
    <w:rsid w:val="00F24745"/>
    <w:rsid w:val="00F248E7"/>
    <w:rsid w:val="00F24901"/>
    <w:rsid w:val="00F24916"/>
    <w:rsid w:val="00F24AD7"/>
    <w:rsid w:val="00F24D4D"/>
    <w:rsid w:val="00F24F37"/>
    <w:rsid w:val="00F25038"/>
    <w:rsid w:val="00F2511D"/>
    <w:rsid w:val="00F25391"/>
    <w:rsid w:val="00F2546A"/>
    <w:rsid w:val="00F2551C"/>
    <w:rsid w:val="00F25576"/>
    <w:rsid w:val="00F255A1"/>
    <w:rsid w:val="00F25720"/>
    <w:rsid w:val="00F257B5"/>
    <w:rsid w:val="00F25820"/>
    <w:rsid w:val="00F25A74"/>
    <w:rsid w:val="00F25CAE"/>
    <w:rsid w:val="00F25E00"/>
    <w:rsid w:val="00F25E10"/>
    <w:rsid w:val="00F25F09"/>
    <w:rsid w:val="00F25F74"/>
    <w:rsid w:val="00F2605A"/>
    <w:rsid w:val="00F260B6"/>
    <w:rsid w:val="00F26252"/>
    <w:rsid w:val="00F2629B"/>
    <w:rsid w:val="00F262B2"/>
    <w:rsid w:val="00F263DA"/>
    <w:rsid w:val="00F26510"/>
    <w:rsid w:val="00F2651F"/>
    <w:rsid w:val="00F26574"/>
    <w:rsid w:val="00F266E0"/>
    <w:rsid w:val="00F26891"/>
    <w:rsid w:val="00F26A73"/>
    <w:rsid w:val="00F26A99"/>
    <w:rsid w:val="00F26ACE"/>
    <w:rsid w:val="00F26AE3"/>
    <w:rsid w:val="00F26AE6"/>
    <w:rsid w:val="00F26AF4"/>
    <w:rsid w:val="00F26C4F"/>
    <w:rsid w:val="00F26C97"/>
    <w:rsid w:val="00F26D18"/>
    <w:rsid w:val="00F26D64"/>
    <w:rsid w:val="00F2707D"/>
    <w:rsid w:val="00F27137"/>
    <w:rsid w:val="00F271D4"/>
    <w:rsid w:val="00F2720E"/>
    <w:rsid w:val="00F2729D"/>
    <w:rsid w:val="00F272A4"/>
    <w:rsid w:val="00F272F1"/>
    <w:rsid w:val="00F27438"/>
    <w:rsid w:val="00F274BC"/>
    <w:rsid w:val="00F2766F"/>
    <w:rsid w:val="00F276A6"/>
    <w:rsid w:val="00F276DA"/>
    <w:rsid w:val="00F27702"/>
    <w:rsid w:val="00F2776D"/>
    <w:rsid w:val="00F278E9"/>
    <w:rsid w:val="00F278FF"/>
    <w:rsid w:val="00F279B6"/>
    <w:rsid w:val="00F279C9"/>
    <w:rsid w:val="00F27B35"/>
    <w:rsid w:val="00F27B7D"/>
    <w:rsid w:val="00F27BC1"/>
    <w:rsid w:val="00F27BC2"/>
    <w:rsid w:val="00F30070"/>
    <w:rsid w:val="00F3007C"/>
    <w:rsid w:val="00F300D4"/>
    <w:rsid w:val="00F30116"/>
    <w:rsid w:val="00F30136"/>
    <w:rsid w:val="00F301A8"/>
    <w:rsid w:val="00F303DD"/>
    <w:rsid w:val="00F306BE"/>
    <w:rsid w:val="00F306E5"/>
    <w:rsid w:val="00F3077E"/>
    <w:rsid w:val="00F30868"/>
    <w:rsid w:val="00F3099A"/>
    <w:rsid w:val="00F30A54"/>
    <w:rsid w:val="00F30B5B"/>
    <w:rsid w:val="00F30B92"/>
    <w:rsid w:val="00F30B9B"/>
    <w:rsid w:val="00F30BE4"/>
    <w:rsid w:val="00F30C1B"/>
    <w:rsid w:val="00F30C32"/>
    <w:rsid w:val="00F30C3E"/>
    <w:rsid w:val="00F30E32"/>
    <w:rsid w:val="00F30E47"/>
    <w:rsid w:val="00F30F13"/>
    <w:rsid w:val="00F30FAB"/>
    <w:rsid w:val="00F311F3"/>
    <w:rsid w:val="00F313B9"/>
    <w:rsid w:val="00F3155D"/>
    <w:rsid w:val="00F315A3"/>
    <w:rsid w:val="00F31684"/>
    <w:rsid w:val="00F318AA"/>
    <w:rsid w:val="00F3191E"/>
    <w:rsid w:val="00F3196D"/>
    <w:rsid w:val="00F319A9"/>
    <w:rsid w:val="00F31A15"/>
    <w:rsid w:val="00F31A59"/>
    <w:rsid w:val="00F31AD0"/>
    <w:rsid w:val="00F31B45"/>
    <w:rsid w:val="00F31C99"/>
    <w:rsid w:val="00F31E91"/>
    <w:rsid w:val="00F3202E"/>
    <w:rsid w:val="00F321C3"/>
    <w:rsid w:val="00F322EC"/>
    <w:rsid w:val="00F323DE"/>
    <w:rsid w:val="00F32443"/>
    <w:rsid w:val="00F32508"/>
    <w:rsid w:val="00F3262B"/>
    <w:rsid w:val="00F32810"/>
    <w:rsid w:val="00F32834"/>
    <w:rsid w:val="00F3288C"/>
    <w:rsid w:val="00F32A74"/>
    <w:rsid w:val="00F32BE8"/>
    <w:rsid w:val="00F32C9E"/>
    <w:rsid w:val="00F32EC1"/>
    <w:rsid w:val="00F33047"/>
    <w:rsid w:val="00F330EB"/>
    <w:rsid w:val="00F331A7"/>
    <w:rsid w:val="00F33234"/>
    <w:rsid w:val="00F33354"/>
    <w:rsid w:val="00F33411"/>
    <w:rsid w:val="00F33571"/>
    <w:rsid w:val="00F33637"/>
    <w:rsid w:val="00F3378F"/>
    <w:rsid w:val="00F3389D"/>
    <w:rsid w:val="00F338C7"/>
    <w:rsid w:val="00F339E4"/>
    <w:rsid w:val="00F33AFB"/>
    <w:rsid w:val="00F33DFB"/>
    <w:rsid w:val="00F33FF1"/>
    <w:rsid w:val="00F3406D"/>
    <w:rsid w:val="00F34254"/>
    <w:rsid w:val="00F343B2"/>
    <w:rsid w:val="00F344A1"/>
    <w:rsid w:val="00F3456C"/>
    <w:rsid w:val="00F346BD"/>
    <w:rsid w:val="00F346E6"/>
    <w:rsid w:val="00F347A5"/>
    <w:rsid w:val="00F34802"/>
    <w:rsid w:val="00F34A8C"/>
    <w:rsid w:val="00F34A96"/>
    <w:rsid w:val="00F34A9E"/>
    <w:rsid w:val="00F34C5E"/>
    <w:rsid w:val="00F34CD4"/>
    <w:rsid w:val="00F34F42"/>
    <w:rsid w:val="00F34F8C"/>
    <w:rsid w:val="00F35045"/>
    <w:rsid w:val="00F351E4"/>
    <w:rsid w:val="00F351E5"/>
    <w:rsid w:val="00F35244"/>
    <w:rsid w:val="00F35306"/>
    <w:rsid w:val="00F3547F"/>
    <w:rsid w:val="00F3559E"/>
    <w:rsid w:val="00F355EF"/>
    <w:rsid w:val="00F356AA"/>
    <w:rsid w:val="00F35867"/>
    <w:rsid w:val="00F359CF"/>
    <w:rsid w:val="00F35B55"/>
    <w:rsid w:val="00F35B74"/>
    <w:rsid w:val="00F35D33"/>
    <w:rsid w:val="00F35D96"/>
    <w:rsid w:val="00F35DF4"/>
    <w:rsid w:val="00F35E2F"/>
    <w:rsid w:val="00F35E50"/>
    <w:rsid w:val="00F35ED1"/>
    <w:rsid w:val="00F35F2C"/>
    <w:rsid w:val="00F35F66"/>
    <w:rsid w:val="00F35F72"/>
    <w:rsid w:val="00F35FFF"/>
    <w:rsid w:val="00F3603B"/>
    <w:rsid w:val="00F362CA"/>
    <w:rsid w:val="00F362CF"/>
    <w:rsid w:val="00F362FD"/>
    <w:rsid w:val="00F363B4"/>
    <w:rsid w:val="00F36400"/>
    <w:rsid w:val="00F36594"/>
    <w:rsid w:val="00F365AE"/>
    <w:rsid w:val="00F365DA"/>
    <w:rsid w:val="00F3662A"/>
    <w:rsid w:val="00F367B4"/>
    <w:rsid w:val="00F367E2"/>
    <w:rsid w:val="00F36864"/>
    <w:rsid w:val="00F36B09"/>
    <w:rsid w:val="00F36CD4"/>
    <w:rsid w:val="00F36FC9"/>
    <w:rsid w:val="00F36FDC"/>
    <w:rsid w:val="00F372B6"/>
    <w:rsid w:val="00F3731F"/>
    <w:rsid w:val="00F374B6"/>
    <w:rsid w:val="00F37638"/>
    <w:rsid w:val="00F376DC"/>
    <w:rsid w:val="00F3775B"/>
    <w:rsid w:val="00F377C2"/>
    <w:rsid w:val="00F3785F"/>
    <w:rsid w:val="00F378A7"/>
    <w:rsid w:val="00F37930"/>
    <w:rsid w:val="00F3795A"/>
    <w:rsid w:val="00F379AB"/>
    <w:rsid w:val="00F37BE3"/>
    <w:rsid w:val="00F37C53"/>
    <w:rsid w:val="00F37EB1"/>
    <w:rsid w:val="00F37EFB"/>
    <w:rsid w:val="00F37F1F"/>
    <w:rsid w:val="00F400DC"/>
    <w:rsid w:val="00F4017D"/>
    <w:rsid w:val="00F402DE"/>
    <w:rsid w:val="00F40631"/>
    <w:rsid w:val="00F4064D"/>
    <w:rsid w:val="00F40663"/>
    <w:rsid w:val="00F40731"/>
    <w:rsid w:val="00F407D6"/>
    <w:rsid w:val="00F40864"/>
    <w:rsid w:val="00F4098D"/>
    <w:rsid w:val="00F40998"/>
    <w:rsid w:val="00F409DC"/>
    <w:rsid w:val="00F40A9C"/>
    <w:rsid w:val="00F40BEE"/>
    <w:rsid w:val="00F40C33"/>
    <w:rsid w:val="00F40F15"/>
    <w:rsid w:val="00F40F47"/>
    <w:rsid w:val="00F4119F"/>
    <w:rsid w:val="00F411B9"/>
    <w:rsid w:val="00F4127F"/>
    <w:rsid w:val="00F41307"/>
    <w:rsid w:val="00F41351"/>
    <w:rsid w:val="00F4139D"/>
    <w:rsid w:val="00F4157E"/>
    <w:rsid w:val="00F415E4"/>
    <w:rsid w:val="00F416DD"/>
    <w:rsid w:val="00F416ED"/>
    <w:rsid w:val="00F417E1"/>
    <w:rsid w:val="00F41AA2"/>
    <w:rsid w:val="00F41C01"/>
    <w:rsid w:val="00F41C17"/>
    <w:rsid w:val="00F41CE8"/>
    <w:rsid w:val="00F41D43"/>
    <w:rsid w:val="00F41DBF"/>
    <w:rsid w:val="00F41E84"/>
    <w:rsid w:val="00F4216D"/>
    <w:rsid w:val="00F421D6"/>
    <w:rsid w:val="00F422B7"/>
    <w:rsid w:val="00F423F1"/>
    <w:rsid w:val="00F423F3"/>
    <w:rsid w:val="00F4243C"/>
    <w:rsid w:val="00F4243D"/>
    <w:rsid w:val="00F42486"/>
    <w:rsid w:val="00F424DF"/>
    <w:rsid w:val="00F42580"/>
    <w:rsid w:val="00F42612"/>
    <w:rsid w:val="00F42687"/>
    <w:rsid w:val="00F4268C"/>
    <w:rsid w:val="00F4274F"/>
    <w:rsid w:val="00F4288E"/>
    <w:rsid w:val="00F42909"/>
    <w:rsid w:val="00F42AB4"/>
    <w:rsid w:val="00F42C3C"/>
    <w:rsid w:val="00F42DD1"/>
    <w:rsid w:val="00F42E08"/>
    <w:rsid w:val="00F42FA9"/>
    <w:rsid w:val="00F4306F"/>
    <w:rsid w:val="00F43152"/>
    <w:rsid w:val="00F4328B"/>
    <w:rsid w:val="00F432EF"/>
    <w:rsid w:val="00F43320"/>
    <w:rsid w:val="00F43398"/>
    <w:rsid w:val="00F43523"/>
    <w:rsid w:val="00F43545"/>
    <w:rsid w:val="00F43618"/>
    <w:rsid w:val="00F43664"/>
    <w:rsid w:val="00F43849"/>
    <w:rsid w:val="00F43865"/>
    <w:rsid w:val="00F43902"/>
    <w:rsid w:val="00F43B48"/>
    <w:rsid w:val="00F43B91"/>
    <w:rsid w:val="00F43CD0"/>
    <w:rsid w:val="00F43F2E"/>
    <w:rsid w:val="00F43F4A"/>
    <w:rsid w:val="00F43FAC"/>
    <w:rsid w:val="00F4409D"/>
    <w:rsid w:val="00F44126"/>
    <w:rsid w:val="00F441A3"/>
    <w:rsid w:val="00F44214"/>
    <w:rsid w:val="00F442BF"/>
    <w:rsid w:val="00F443E4"/>
    <w:rsid w:val="00F44403"/>
    <w:rsid w:val="00F444CD"/>
    <w:rsid w:val="00F445EE"/>
    <w:rsid w:val="00F445F4"/>
    <w:rsid w:val="00F4467E"/>
    <w:rsid w:val="00F4469D"/>
    <w:rsid w:val="00F44895"/>
    <w:rsid w:val="00F449A8"/>
    <w:rsid w:val="00F449FA"/>
    <w:rsid w:val="00F44A4D"/>
    <w:rsid w:val="00F44AA9"/>
    <w:rsid w:val="00F44B44"/>
    <w:rsid w:val="00F44BA3"/>
    <w:rsid w:val="00F44CA0"/>
    <w:rsid w:val="00F44CD0"/>
    <w:rsid w:val="00F44F37"/>
    <w:rsid w:val="00F44FDE"/>
    <w:rsid w:val="00F4500E"/>
    <w:rsid w:val="00F450E4"/>
    <w:rsid w:val="00F45203"/>
    <w:rsid w:val="00F452BE"/>
    <w:rsid w:val="00F4532B"/>
    <w:rsid w:val="00F45415"/>
    <w:rsid w:val="00F45898"/>
    <w:rsid w:val="00F45921"/>
    <w:rsid w:val="00F45A9A"/>
    <w:rsid w:val="00F45ACF"/>
    <w:rsid w:val="00F45ADE"/>
    <w:rsid w:val="00F45B95"/>
    <w:rsid w:val="00F45C04"/>
    <w:rsid w:val="00F45CF2"/>
    <w:rsid w:val="00F45E0A"/>
    <w:rsid w:val="00F45E0D"/>
    <w:rsid w:val="00F45E98"/>
    <w:rsid w:val="00F45EB1"/>
    <w:rsid w:val="00F460E0"/>
    <w:rsid w:val="00F460E4"/>
    <w:rsid w:val="00F46116"/>
    <w:rsid w:val="00F462CA"/>
    <w:rsid w:val="00F46480"/>
    <w:rsid w:val="00F46488"/>
    <w:rsid w:val="00F46600"/>
    <w:rsid w:val="00F4669B"/>
    <w:rsid w:val="00F46839"/>
    <w:rsid w:val="00F468F8"/>
    <w:rsid w:val="00F46ACE"/>
    <w:rsid w:val="00F46AD4"/>
    <w:rsid w:val="00F46C08"/>
    <w:rsid w:val="00F46C37"/>
    <w:rsid w:val="00F46F29"/>
    <w:rsid w:val="00F470D3"/>
    <w:rsid w:val="00F47282"/>
    <w:rsid w:val="00F47379"/>
    <w:rsid w:val="00F47448"/>
    <w:rsid w:val="00F47537"/>
    <w:rsid w:val="00F4757C"/>
    <w:rsid w:val="00F47811"/>
    <w:rsid w:val="00F4781A"/>
    <w:rsid w:val="00F47A01"/>
    <w:rsid w:val="00F47AE1"/>
    <w:rsid w:val="00F47BA9"/>
    <w:rsid w:val="00F47BFB"/>
    <w:rsid w:val="00F47C83"/>
    <w:rsid w:val="00F47E45"/>
    <w:rsid w:val="00F47F1A"/>
    <w:rsid w:val="00F47F79"/>
    <w:rsid w:val="00F50024"/>
    <w:rsid w:val="00F5002B"/>
    <w:rsid w:val="00F500C5"/>
    <w:rsid w:val="00F502AA"/>
    <w:rsid w:val="00F50310"/>
    <w:rsid w:val="00F50585"/>
    <w:rsid w:val="00F5069B"/>
    <w:rsid w:val="00F5087B"/>
    <w:rsid w:val="00F50D0B"/>
    <w:rsid w:val="00F50D40"/>
    <w:rsid w:val="00F50DA0"/>
    <w:rsid w:val="00F50DC1"/>
    <w:rsid w:val="00F50EA4"/>
    <w:rsid w:val="00F50F3F"/>
    <w:rsid w:val="00F50F4D"/>
    <w:rsid w:val="00F51018"/>
    <w:rsid w:val="00F51145"/>
    <w:rsid w:val="00F51480"/>
    <w:rsid w:val="00F514D1"/>
    <w:rsid w:val="00F51511"/>
    <w:rsid w:val="00F51514"/>
    <w:rsid w:val="00F51555"/>
    <w:rsid w:val="00F51697"/>
    <w:rsid w:val="00F516E3"/>
    <w:rsid w:val="00F5181E"/>
    <w:rsid w:val="00F51860"/>
    <w:rsid w:val="00F51A46"/>
    <w:rsid w:val="00F51B28"/>
    <w:rsid w:val="00F51B29"/>
    <w:rsid w:val="00F51B2A"/>
    <w:rsid w:val="00F51B95"/>
    <w:rsid w:val="00F51D65"/>
    <w:rsid w:val="00F51EC5"/>
    <w:rsid w:val="00F51EFB"/>
    <w:rsid w:val="00F51F16"/>
    <w:rsid w:val="00F51F27"/>
    <w:rsid w:val="00F52150"/>
    <w:rsid w:val="00F52200"/>
    <w:rsid w:val="00F5227C"/>
    <w:rsid w:val="00F52313"/>
    <w:rsid w:val="00F524D6"/>
    <w:rsid w:val="00F524D8"/>
    <w:rsid w:val="00F52660"/>
    <w:rsid w:val="00F526A8"/>
    <w:rsid w:val="00F52960"/>
    <w:rsid w:val="00F52A8A"/>
    <w:rsid w:val="00F52ACC"/>
    <w:rsid w:val="00F52C9F"/>
    <w:rsid w:val="00F52D85"/>
    <w:rsid w:val="00F52ED1"/>
    <w:rsid w:val="00F52F2A"/>
    <w:rsid w:val="00F5304F"/>
    <w:rsid w:val="00F53181"/>
    <w:rsid w:val="00F531F3"/>
    <w:rsid w:val="00F53223"/>
    <w:rsid w:val="00F532C7"/>
    <w:rsid w:val="00F532F8"/>
    <w:rsid w:val="00F53324"/>
    <w:rsid w:val="00F5337D"/>
    <w:rsid w:val="00F5355E"/>
    <w:rsid w:val="00F535BD"/>
    <w:rsid w:val="00F5361D"/>
    <w:rsid w:val="00F5370F"/>
    <w:rsid w:val="00F537BA"/>
    <w:rsid w:val="00F53877"/>
    <w:rsid w:val="00F539D5"/>
    <w:rsid w:val="00F53AD8"/>
    <w:rsid w:val="00F53BC9"/>
    <w:rsid w:val="00F53DCA"/>
    <w:rsid w:val="00F53E14"/>
    <w:rsid w:val="00F53E6D"/>
    <w:rsid w:val="00F53ECF"/>
    <w:rsid w:val="00F53EDB"/>
    <w:rsid w:val="00F54045"/>
    <w:rsid w:val="00F54107"/>
    <w:rsid w:val="00F54128"/>
    <w:rsid w:val="00F5422B"/>
    <w:rsid w:val="00F5423F"/>
    <w:rsid w:val="00F54465"/>
    <w:rsid w:val="00F545BD"/>
    <w:rsid w:val="00F546A0"/>
    <w:rsid w:val="00F546DD"/>
    <w:rsid w:val="00F5475A"/>
    <w:rsid w:val="00F54823"/>
    <w:rsid w:val="00F54832"/>
    <w:rsid w:val="00F54873"/>
    <w:rsid w:val="00F548A6"/>
    <w:rsid w:val="00F54B5D"/>
    <w:rsid w:val="00F54B7C"/>
    <w:rsid w:val="00F54C32"/>
    <w:rsid w:val="00F54D39"/>
    <w:rsid w:val="00F54E94"/>
    <w:rsid w:val="00F54F26"/>
    <w:rsid w:val="00F54F3F"/>
    <w:rsid w:val="00F54F88"/>
    <w:rsid w:val="00F550D1"/>
    <w:rsid w:val="00F55108"/>
    <w:rsid w:val="00F5515E"/>
    <w:rsid w:val="00F5530D"/>
    <w:rsid w:val="00F5536F"/>
    <w:rsid w:val="00F5537E"/>
    <w:rsid w:val="00F554B5"/>
    <w:rsid w:val="00F554F2"/>
    <w:rsid w:val="00F555DF"/>
    <w:rsid w:val="00F558FC"/>
    <w:rsid w:val="00F559B6"/>
    <w:rsid w:val="00F55BA1"/>
    <w:rsid w:val="00F55BB4"/>
    <w:rsid w:val="00F55C06"/>
    <w:rsid w:val="00F55C56"/>
    <w:rsid w:val="00F55C6B"/>
    <w:rsid w:val="00F55D0A"/>
    <w:rsid w:val="00F55D19"/>
    <w:rsid w:val="00F55D72"/>
    <w:rsid w:val="00F55DF2"/>
    <w:rsid w:val="00F55F82"/>
    <w:rsid w:val="00F55F92"/>
    <w:rsid w:val="00F56020"/>
    <w:rsid w:val="00F56066"/>
    <w:rsid w:val="00F56106"/>
    <w:rsid w:val="00F562B0"/>
    <w:rsid w:val="00F562BE"/>
    <w:rsid w:val="00F5631D"/>
    <w:rsid w:val="00F564E7"/>
    <w:rsid w:val="00F565A8"/>
    <w:rsid w:val="00F565D8"/>
    <w:rsid w:val="00F567BA"/>
    <w:rsid w:val="00F568A4"/>
    <w:rsid w:val="00F569C2"/>
    <w:rsid w:val="00F56AFE"/>
    <w:rsid w:val="00F56C69"/>
    <w:rsid w:val="00F56CF5"/>
    <w:rsid w:val="00F56CF9"/>
    <w:rsid w:val="00F56D6A"/>
    <w:rsid w:val="00F56DD4"/>
    <w:rsid w:val="00F56F87"/>
    <w:rsid w:val="00F57062"/>
    <w:rsid w:val="00F57201"/>
    <w:rsid w:val="00F57376"/>
    <w:rsid w:val="00F57531"/>
    <w:rsid w:val="00F57563"/>
    <w:rsid w:val="00F575B2"/>
    <w:rsid w:val="00F5764F"/>
    <w:rsid w:val="00F5769E"/>
    <w:rsid w:val="00F57885"/>
    <w:rsid w:val="00F579C9"/>
    <w:rsid w:val="00F57A36"/>
    <w:rsid w:val="00F57B60"/>
    <w:rsid w:val="00F57C91"/>
    <w:rsid w:val="00F57D42"/>
    <w:rsid w:val="00F57DE9"/>
    <w:rsid w:val="00F57E1A"/>
    <w:rsid w:val="00F57EA6"/>
    <w:rsid w:val="00F57EDC"/>
    <w:rsid w:val="00F600A9"/>
    <w:rsid w:val="00F60298"/>
    <w:rsid w:val="00F602FA"/>
    <w:rsid w:val="00F603C2"/>
    <w:rsid w:val="00F60457"/>
    <w:rsid w:val="00F6053F"/>
    <w:rsid w:val="00F60691"/>
    <w:rsid w:val="00F6070B"/>
    <w:rsid w:val="00F60754"/>
    <w:rsid w:val="00F607D9"/>
    <w:rsid w:val="00F607FC"/>
    <w:rsid w:val="00F6095C"/>
    <w:rsid w:val="00F6099A"/>
    <w:rsid w:val="00F60DAD"/>
    <w:rsid w:val="00F60EEC"/>
    <w:rsid w:val="00F60FA2"/>
    <w:rsid w:val="00F61041"/>
    <w:rsid w:val="00F61093"/>
    <w:rsid w:val="00F61244"/>
    <w:rsid w:val="00F613ED"/>
    <w:rsid w:val="00F61527"/>
    <w:rsid w:val="00F6154E"/>
    <w:rsid w:val="00F617AD"/>
    <w:rsid w:val="00F617B6"/>
    <w:rsid w:val="00F619D7"/>
    <w:rsid w:val="00F61A9E"/>
    <w:rsid w:val="00F61DDF"/>
    <w:rsid w:val="00F61E83"/>
    <w:rsid w:val="00F61F58"/>
    <w:rsid w:val="00F61FD3"/>
    <w:rsid w:val="00F62117"/>
    <w:rsid w:val="00F62146"/>
    <w:rsid w:val="00F6240B"/>
    <w:rsid w:val="00F62514"/>
    <w:rsid w:val="00F6287E"/>
    <w:rsid w:val="00F628A4"/>
    <w:rsid w:val="00F62981"/>
    <w:rsid w:val="00F62AC9"/>
    <w:rsid w:val="00F62C4D"/>
    <w:rsid w:val="00F62CA7"/>
    <w:rsid w:val="00F62D45"/>
    <w:rsid w:val="00F62E62"/>
    <w:rsid w:val="00F62FA9"/>
    <w:rsid w:val="00F6312C"/>
    <w:rsid w:val="00F63291"/>
    <w:rsid w:val="00F632BB"/>
    <w:rsid w:val="00F632ED"/>
    <w:rsid w:val="00F6342C"/>
    <w:rsid w:val="00F635ED"/>
    <w:rsid w:val="00F6364A"/>
    <w:rsid w:val="00F636C1"/>
    <w:rsid w:val="00F6387C"/>
    <w:rsid w:val="00F63936"/>
    <w:rsid w:val="00F639E3"/>
    <w:rsid w:val="00F63A7C"/>
    <w:rsid w:val="00F63BAC"/>
    <w:rsid w:val="00F63C12"/>
    <w:rsid w:val="00F63C84"/>
    <w:rsid w:val="00F63D11"/>
    <w:rsid w:val="00F63E47"/>
    <w:rsid w:val="00F63E4E"/>
    <w:rsid w:val="00F63F4F"/>
    <w:rsid w:val="00F640C3"/>
    <w:rsid w:val="00F641D5"/>
    <w:rsid w:val="00F64207"/>
    <w:rsid w:val="00F64376"/>
    <w:rsid w:val="00F6442A"/>
    <w:rsid w:val="00F644C1"/>
    <w:rsid w:val="00F644C8"/>
    <w:rsid w:val="00F644DC"/>
    <w:rsid w:val="00F6460D"/>
    <w:rsid w:val="00F6462A"/>
    <w:rsid w:val="00F6473A"/>
    <w:rsid w:val="00F64798"/>
    <w:rsid w:val="00F647A3"/>
    <w:rsid w:val="00F64838"/>
    <w:rsid w:val="00F64839"/>
    <w:rsid w:val="00F64BAC"/>
    <w:rsid w:val="00F64C9D"/>
    <w:rsid w:val="00F64E86"/>
    <w:rsid w:val="00F64F6C"/>
    <w:rsid w:val="00F64F8F"/>
    <w:rsid w:val="00F65375"/>
    <w:rsid w:val="00F6550F"/>
    <w:rsid w:val="00F65516"/>
    <w:rsid w:val="00F655FD"/>
    <w:rsid w:val="00F656AC"/>
    <w:rsid w:val="00F6571D"/>
    <w:rsid w:val="00F65735"/>
    <w:rsid w:val="00F65772"/>
    <w:rsid w:val="00F6598E"/>
    <w:rsid w:val="00F65A3E"/>
    <w:rsid w:val="00F65A5C"/>
    <w:rsid w:val="00F65B56"/>
    <w:rsid w:val="00F65E70"/>
    <w:rsid w:val="00F65EAF"/>
    <w:rsid w:val="00F65EB5"/>
    <w:rsid w:val="00F6611A"/>
    <w:rsid w:val="00F66144"/>
    <w:rsid w:val="00F66200"/>
    <w:rsid w:val="00F6623A"/>
    <w:rsid w:val="00F6636A"/>
    <w:rsid w:val="00F66403"/>
    <w:rsid w:val="00F665C3"/>
    <w:rsid w:val="00F666BC"/>
    <w:rsid w:val="00F666C8"/>
    <w:rsid w:val="00F667C1"/>
    <w:rsid w:val="00F667C7"/>
    <w:rsid w:val="00F668B8"/>
    <w:rsid w:val="00F66BEF"/>
    <w:rsid w:val="00F66C1B"/>
    <w:rsid w:val="00F66DD1"/>
    <w:rsid w:val="00F66E9A"/>
    <w:rsid w:val="00F66EC9"/>
    <w:rsid w:val="00F66F99"/>
    <w:rsid w:val="00F66FB7"/>
    <w:rsid w:val="00F66FC6"/>
    <w:rsid w:val="00F67042"/>
    <w:rsid w:val="00F670F4"/>
    <w:rsid w:val="00F6713F"/>
    <w:rsid w:val="00F6727C"/>
    <w:rsid w:val="00F6730E"/>
    <w:rsid w:val="00F6753A"/>
    <w:rsid w:val="00F675C7"/>
    <w:rsid w:val="00F675F4"/>
    <w:rsid w:val="00F6767F"/>
    <w:rsid w:val="00F677A5"/>
    <w:rsid w:val="00F677C3"/>
    <w:rsid w:val="00F67976"/>
    <w:rsid w:val="00F67B2D"/>
    <w:rsid w:val="00F67D0A"/>
    <w:rsid w:val="00F67D1A"/>
    <w:rsid w:val="00F67E5E"/>
    <w:rsid w:val="00F67F8E"/>
    <w:rsid w:val="00F700A1"/>
    <w:rsid w:val="00F700D8"/>
    <w:rsid w:val="00F701FD"/>
    <w:rsid w:val="00F70485"/>
    <w:rsid w:val="00F704EA"/>
    <w:rsid w:val="00F70556"/>
    <w:rsid w:val="00F70566"/>
    <w:rsid w:val="00F70654"/>
    <w:rsid w:val="00F707FF"/>
    <w:rsid w:val="00F70816"/>
    <w:rsid w:val="00F70819"/>
    <w:rsid w:val="00F708AA"/>
    <w:rsid w:val="00F708AF"/>
    <w:rsid w:val="00F709C7"/>
    <w:rsid w:val="00F70C5F"/>
    <w:rsid w:val="00F70C96"/>
    <w:rsid w:val="00F70CF9"/>
    <w:rsid w:val="00F70D23"/>
    <w:rsid w:val="00F70D5B"/>
    <w:rsid w:val="00F70F29"/>
    <w:rsid w:val="00F70F99"/>
    <w:rsid w:val="00F7108A"/>
    <w:rsid w:val="00F71314"/>
    <w:rsid w:val="00F71329"/>
    <w:rsid w:val="00F7136D"/>
    <w:rsid w:val="00F713EB"/>
    <w:rsid w:val="00F7144D"/>
    <w:rsid w:val="00F71528"/>
    <w:rsid w:val="00F7152C"/>
    <w:rsid w:val="00F71595"/>
    <w:rsid w:val="00F7193F"/>
    <w:rsid w:val="00F7198B"/>
    <w:rsid w:val="00F71A9B"/>
    <w:rsid w:val="00F71A9C"/>
    <w:rsid w:val="00F71B13"/>
    <w:rsid w:val="00F71C2C"/>
    <w:rsid w:val="00F71C4E"/>
    <w:rsid w:val="00F71EDB"/>
    <w:rsid w:val="00F71F77"/>
    <w:rsid w:val="00F71FEB"/>
    <w:rsid w:val="00F72035"/>
    <w:rsid w:val="00F72100"/>
    <w:rsid w:val="00F72224"/>
    <w:rsid w:val="00F723DF"/>
    <w:rsid w:val="00F723F9"/>
    <w:rsid w:val="00F72477"/>
    <w:rsid w:val="00F7261F"/>
    <w:rsid w:val="00F7277E"/>
    <w:rsid w:val="00F72A6F"/>
    <w:rsid w:val="00F72B30"/>
    <w:rsid w:val="00F72B7C"/>
    <w:rsid w:val="00F72CC2"/>
    <w:rsid w:val="00F72CFE"/>
    <w:rsid w:val="00F72DBB"/>
    <w:rsid w:val="00F72EBE"/>
    <w:rsid w:val="00F72F0E"/>
    <w:rsid w:val="00F73025"/>
    <w:rsid w:val="00F73087"/>
    <w:rsid w:val="00F730FE"/>
    <w:rsid w:val="00F73168"/>
    <w:rsid w:val="00F73207"/>
    <w:rsid w:val="00F734B3"/>
    <w:rsid w:val="00F734F5"/>
    <w:rsid w:val="00F73540"/>
    <w:rsid w:val="00F73544"/>
    <w:rsid w:val="00F735E6"/>
    <w:rsid w:val="00F7374E"/>
    <w:rsid w:val="00F73805"/>
    <w:rsid w:val="00F738C9"/>
    <w:rsid w:val="00F7393F"/>
    <w:rsid w:val="00F7395A"/>
    <w:rsid w:val="00F73A42"/>
    <w:rsid w:val="00F73ADD"/>
    <w:rsid w:val="00F73B81"/>
    <w:rsid w:val="00F73C64"/>
    <w:rsid w:val="00F73C66"/>
    <w:rsid w:val="00F73C81"/>
    <w:rsid w:val="00F73CEA"/>
    <w:rsid w:val="00F73D3A"/>
    <w:rsid w:val="00F73E19"/>
    <w:rsid w:val="00F73E9B"/>
    <w:rsid w:val="00F73EFB"/>
    <w:rsid w:val="00F73F14"/>
    <w:rsid w:val="00F741F7"/>
    <w:rsid w:val="00F74229"/>
    <w:rsid w:val="00F74233"/>
    <w:rsid w:val="00F74253"/>
    <w:rsid w:val="00F74260"/>
    <w:rsid w:val="00F7434D"/>
    <w:rsid w:val="00F74548"/>
    <w:rsid w:val="00F7466E"/>
    <w:rsid w:val="00F74759"/>
    <w:rsid w:val="00F74763"/>
    <w:rsid w:val="00F7483C"/>
    <w:rsid w:val="00F74886"/>
    <w:rsid w:val="00F74AB5"/>
    <w:rsid w:val="00F74B02"/>
    <w:rsid w:val="00F74B51"/>
    <w:rsid w:val="00F74C3D"/>
    <w:rsid w:val="00F74C7B"/>
    <w:rsid w:val="00F74E62"/>
    <w:rsid w:val="00F75083"/>
    <w:rsid w:val="00F7531E"/>
    <w:rsid w:val="00F753D4"/>
    <w:rsid w:val="00F75434"/>
    <w:rsid w:val="00F75570"/>
    <w:rsid w:val="00F75595"/>
    <w:rsid w:val="00F7569D"/>
    <w:rsid w:val="00F75719"/>
    <w:rsid w:val="00F75821"/>
    <w:rsid w:val="00F759DF"/>
    <w:rsid w:val="00F75A49"/>
    <w:rsid w:val="00F75A70"/>
    <w:rsid w:val="00F75BE9"/>
    <w:rsid w:val="00F75C22"/>
    <w:rsid w:val="00F75D10"/>
    <w:rsid w:val="00F75EDC"/>
    <w:rsid w:val="00F760AB"/>
    <w:rsid w:val="00F76137"/>
    <w:rsid w:val="00F76170"/>
    <w:rsid w:val="00F763AD"/>
    <w:rsid w:val="00F763B8"/>
    <w:rsid w:val="00F764B7"/>
    <w:rsid w:val="00F765C6"/>
    <w:rsid w:val="00F76674"/>
    <w:rsid w:val="00F766BE"/>
    <w:rsid w:val="00F767F5"/>
    <w:rsid w:val="00F769FD"/>
    <w:rsid w:val="00F76A88"/>
    <w:rsid w:val="00F76AED"/>
    <w:rsid w:val="00F76C9E"/>
    <w:rsid w:val="00F76DC2"/>
    <w:rsid w:val="00F771F9"/>
    <w:rsid w:val="00F7720D"/>
    <w:rsid w:val="00F772CD"/>
    <w:rsid w:val="00F772EF"/>
    <w:rsid w:val="00F773DB"/>
    <w:rsid w:val="00F77535"/>
    <w:rsid w:val="00F77544"/>
    <w:rsid w:val="00F77548"/>
    <w:rsid w:val="00F776F0"/>
    <w:rsid w:val="00F7780B"/>
    <w:rsid w:val="00F778B4"/>
    <w:rsid w:val="00F77B18"/>
    <w:rsid w:val="00F77D33"/>
    <w:rsid w:val="00F77D43"/>
    <w:rsid w:val="00F77D6D"/>
    <w:rsid w:val="00F77E4D"/>
    <w:rsid w:val="00F77E95"/>
    <w:rsid w:val="00F77F08"/>
    <w:rsid w:val="00F77F60"/>
    <w:rsid w:val="00F8009E"/>
    <w:rsid w:val="00F800C2"/>
    <w:rsid w:val="00F8012D"/>
    <w:rsid w:val="00F8017F"/>
    <w:rsid w:val="00F80442"/>
    <w:rsid w:val="00F809BF"/>
    <w:rsid w:val="00F809C1"/>
    <w:rsid w:val="00F80AB5"/>
    <w:rsid w:val="00F80BB9"/>
    <w:rsid w:val="00F80C60"/>
    <w:rsid w:val="00F80CB7"/>
    <w:rsid w:val="00F80DC5"/>
    <w:rsid w:val="00F80E18"/>
    <w:rsid w:val="00F80E2E"/>
    <w:rsid w:val="00F80E3E"/>
    <w:rsid w:val="00F80E68"/>
    <w:rsid w:val="00F80F33"/>
    <w:rsid w:val="00F80FB4"/>
    <w:rsid w:val="00F81048"/>
    <w:rsid w:val="00F81111"/>
    <w:rsid w:val="00F81207"/>
    <w:rsid w:val="00F81272"/>
    <w:rsid w:val="00F812A3"/>
    <w:rsid w:val="00F81326"/>
    <w:rsid w:val="00F81362"/>
    <w:rsid w:val="00F81377"/>
    <w:rsid w:val="00F8149B"/>
    <w:rsid w:val="00F814F9"/>
    <w:rsid w:val="00F8176F"/>
    <w:rsid w:val="00F81811"/>
    <w:rsid w:val="00F818D7"/>
    <w:rsid w:val="00F81959"/>
    <w:rsid w:val="00F81A80"/>
    <w:rsid w:val="00F81A93"/>
    <w:rsid w:val="00F81AAE"/>
    <w:rsid w:val="00F81AE4"/>
    <w:rsid w:val="00F81F97"/>
    <w:rsid w:val="00F82100"/>
    <w:rsid w:val="00F821AF"/>
    <w:rsid w:val="00F8221F"/>
    <w:rsid w:val="00F82250"/>
    <w:rsid w:val="00F822EB"/>
    <w:rsid w:val="00F82318"/>
    <w:rsid w:val="00F82328"/>
    <w:rsid w:val="00F826CE"/>
    <w:rsid w:val="00F826DD"/>
    <w:rsid w:val="00F827AF"/>
    <w:rsid w:val="00F827B4"/>
    <w:rsid w:val="00F82893"/>
    <w:rsid w:val="00F8295A"/>
    <w:rsid w:val="00F829ED"/>
    <w:rsid w:val="00F82B68"/>
    <w:rsid w:val="00F82BD9"/>
    <w:rsid w:val="00F82C5D"/>
    <w:rsid w:val="00F82C60"/>
    <w:rsid w:val="00F82E17"/>
    <w:rsid w:val="00F82EB1"/>
    <w:rsid w:val="00F82F4C"/>
    <w:rsid w:val="00F82F70"/>
    <w:rsid w:val="00F82F73"/>
    <w:rsid w:val="00F82FAC"/>
    <w:rsid w:val="00F82FF9"/>
    <w:rsid w:val="00F82FFC"/>
    <w:rsid w:val="00F8308C"/>
    <w:rsid w:val="00F83153"/>
    <w:rsid w:val="00F831A9"/>
    <w:rsid w:val="00F831FE"/>
    <w:rsid w:val="00F832D1"/>
    <w:rsid w:val="00F832FD"/>
    <w:rsid w:val="00F833A7"/>
    <w:rsid w:val="00F8377B"/>
    <w:rsid w:val="00F83868"/>
    <w:rsid w:val="00F83910"/>
    <w:rsid w:val="00F83A56"/>
    <w:rsid w:val="00F83C29"/>
    <w:rsid w:val="00F83C98"/>
    <w:rsid w:val="00F83CDB"/>
    <w:rsid w:val="00F83E48"/>
    <w:rsid w:val="00F83E66"/>
    <w:rsid w:val="00F83E70"/>
    <w:rsid w:val="00F84112"/>
    <w:rsid w:val="00F8419E"/>
    <w:rsid w:val="00F841C2"/>
    <w:rsid w:val="00F84270"/>
    <w:rsid w:val="00F84301"/>
    <w:rsid w:val="00F843E3"/>
    <w:rsid w:val="00F84478"/>
    <w:rsid w:val="00F8459D"/>
    <w:rsid w:val="00F845D2"/>
    <w:rsid w:val="00F84920"/>
    <w:rsid w:val="00F8496A"/>
    <w:rsid w:val="00F84976"/>
    <w:rsid w:val="00F8498F"/>
    <w:rsid w:val="00F84B9A"/>
    <w:rsid w:val="00F84E10"/>
    <w:rsid w:val="00F84E36"/>
    <w:rsid w:val="00F84EEE"/>
    <w:rsid w:val="00F84F0E"/>
    <w:rsid w:val="00F85117"/>
    <w:rsid w:val="00F85307"/>
    <w:rsid w:val="00F853BE"/>
    <w:rsid w:val="00F854EE"/>
    <w:rsid w:val="00F855B8"/>
    <w:rsid w:val="00F858A1"/>
    <w:rsid w:val="00F85A2F"/>
    <w:rsid w:val="00F85AD8"/>
    <w:rsid w:val="00F85B7C"/>
    <w:rsid w:val="00F85B8D"/>
    <w:rsid w:val="00F85C05"/>
    <w:rsid w:val="00F85D08"/>
    <w:rsid w:val="00F85D62"/>
    <w:rsid w:val="00F85D7E"/>
    <w:rsid w:val="00F85E4F"/>
    <w:rsid w:val="00F86003"/>
    <w:rsid w:val="00F86055"/>
    <w:rsid w:val="00F861EF"/>
    <w:rsid w:val="00F86256"/>
    <w:rsid w:val="00F862DF"/>
    <w:rsid w:val="00F86461"/>
    <w:rsid w:val="00F866F7"/>
    <w:rsid w:val="00F86B3D"/>
    <w:rsid w:val="00F86C18"/>
    <w:rsid w:val="00F86C9B"/>
    <w:rsid w:val="00F86DB1"/>
    <w:rsid w:val="00F87010"/>
    <w:rsid w:val="00F870F0"/>
    <w:rsid w:val="00F87160"/>
    <w:rsid w:val="00F871E1"/>
    <w:rsid w:val="00F872C2"/>
    <w:rsid w:val="00F872F8"/>
    <w:rsid w:val="00F87300"/>
    <w:rsid w:val="00F87345"/>
    <w:rsid w:val="00F87484"/>
    <w:rsid w:val="00F87635"/>
    <w:rsid w:val="00F87959"/>
    <w:rsid w:val="00F8797D"/>
    <w:rsid w:val="00F87A3D"/>
    <w:rsid w:val="00F87A5A"/>
    <w:rsid w:val="00F87B2B"/>
    <w:rsid w:val="00F87B2C"/>
    <w:rsid w:val="00F87F98"/>
    <w:rsid w:val="00F90121"/>
    <w:rsid w:val="00F901CC"/>
    <w:rsid w:val="00F90242"/>
    <w:rsid w:val="00F90291"/>
    <w:rsid w:val="00F904BB"/>
    <w:rsid w:val="00F904D6"/>
    <w:rsid w:val="00F90536"/>
    <w:rsid w:val="00F9057A"/>
    <w:rsid w:val="00F90750"/>
    <w:rsid w:val="00F909EA"/>
    <w:rsid w:val="00F90B41"/>
    <w:rsid w:val="00F90B5A"/>
    <w:rsid w:val="00F90C86"/>
    <w:rsid w:val="00F90D0A"/>
    <w:rsid w:val="00F90E9D"/>
    <w:rsid w:val="00F90EC0"/>
    <w:rsid w:val="00F90F6A"/>
    <w:rsid w:val="00F90F9B"/>
    <w:rsid w:val="00F911C5"/>
    <w:rsid w:val="00F91353"/>
    <w:rsid w:val="00F91563"/>
    <w:rsid w:val="00F91618"/>
    <w:rsid w:val="00F91665"/>
    <w:rsid w:val="00F91725"/>
    <w:rsid w:val="00F91956"/>
    <w:rsid w:val="00F91A6B"/>
    <w:rsid w:val="00F91AE6"/>
    <w:rsid w:val="00F91BED"/>
    <w:rsid w:val="00F91C7D"/>
    <w:rsid w:val="00F91C7F"/>
    <w:rsid w:val="00F91D68"/>
    <w:rsid w:val="00F91DCA"/>
    <w:rsid w:val="00F91F21"/>
    <w:rsid w:val="00F91F9E"/>
    <w:rsid w:val="00F920C1"/>
    <w:rsid w:val="00F920DE"/>
    <w:rsid w:val="00F92133"/>
    <w:rsid w:val="00F92273"/>
    <w:rsid w:val="00F92338"/>
    <w:rsid w:val="00F923FA"/>
    <w:rsid w:val="00F92670"/>
    <w:rsid w:val="00F926BA"/>
    <w:rsid w:val="00F927BC"/>
    <w:rsid w:val="00F927D2"/>
    <w:rsid w:val="00F92835"/>
    <w:rsid w:val="00F92902"/>
    <w:rsid w:val="00F92A45"/>
    <w:rsid w:val="00F92A9A"/>
    <w:rsid w:val="00F92AF0"/>
    <w:rsid w:val="00F92B84"/>
    <w:rsid w:val="00F92C4B"/>
    <w:rsid w:val="00F92D75"/>
    <w:rsid w:val="00F92E33"/>
    <w:rsid w:val="00F92FA9"/>
    <w:rsid w:val="00F92FCA"/>
    <w:rsid w:val="00F9313B"/>
    <w:rsid w:val="00F93204"/>
    <w:rsid w:val="00F93261"/>
    <w:rsid w:val="00F93347"/>
    <w:rsid w:val="00F93350"/>
    <w:rsid w:val="00F93548"/>
    <w:rsid w:val="00F935A0"/>
    <w:rsid w:val="00F93664"/>
    <w:rsid w:val="00F93710"/>
    <w:rsid w:val="00F93715"/>
    <w:rsid w:val="00F93774"/>
    <w:rsid w:val="00F9387D"/>
    <w:rsid w:val="00F93A9D"/>
    <w:rsid w:val="00F93AA9"/>
    <w:rsid w:val="00F93AFE"/>
    <w:rsid w:val="00F93C78"/>
    <w:rsid w:val="00F93D15"/>
    <w:rsid w:val="00F93DAE"/>
    <w:rsid w:val="00F93E0A"/>
    <w:rsid w:val="00F93EB8"/>
    <w:rsid w:val="00F94355"/>
    <w:rsid w:val="00F94473"/>
    <w:rsid w:val="00F94477"/>
    <w:rsid w:val="00F9451C"/>
    <w:rsid w:val="00F9456D"/>
    <w:rsid w:val="00F9475F"/>
    <w:rsid w:val="00F9476A"/>
    <w:rsid w:val="00F9491D"/>
    <w:rsid w:val="00F94AE7"/>
    <w:rsid w:val="00F94B19"/>
    <w:rsid w:val="00F94B31"/>
    <w:rsid w:val="00F94B64"/>
    <w:rsid w:val="00F94BED"/>
    <w:rsid w:val="00F94C64"/>
    <w:rsid w:val="00F94CFA"/>
    <w:rsid w:val="00F94E52"/>
    <w:rsid w:val="00F9503F"/>
    <w:rsid w:val="00F950B2"/>
    <w:rsid w:val="00F950B4"/>
    <w:rsid w:val="00F95425"/>
    <w:rsid w:val="00F95496"/>
    <w:rsid w:val="00F9549E"/>
    <w:rsid w:val="00F95698"/>
    <w:rsid w:val="00F95796"/>
    <w:rsid w:val="00F95939"/>
    <w:rsid w:val="00F95980"/>
    <w:rsid w:val="00F95BF5"/>
    <w:rsid w:val="00F95C47"/>
    <w:rsid w:val="00F95DAE"/>
    <w:rsid w:val="00F95F13"/>
    <w:rsid w:val="00F95F53"/>
    <w:rsid w:val="00F95FE8"/>
    <w:rsid w:val="00F96346"/>
    <w:rsid w:val="00F963E1"/>
    <w:rsid w:val="00F96516"/>
    <w:rsid w:val="00F9657A"/>
    <w:rsid w:val="00F96627"/>
    <w:rsid w:val="00F96670"/>
    <w:rsid w:val="00F96676"/>
    <w:rsid w:val="00F96797"/>
    <w:rsid w:val="00F9684A"/>
    <w:rsid w:val="00F96855"/>
    <w:rsid w:val="00F968D5"/>
    <w:rsid w:val="00F96914"/>
    <w:rsid w:val="00F96990"/>
    <w:rsid w:val="00F969D4"/>
    <w:rsid w:val="00F96AB4"/>
    <w:rsid w:val="00F96B25"/>
    <w:rsid w:val="00F96BA3"/>
    <w:rsid w:val="00F96BF6"/>
    <w:rsid w:val="00F96F2F"/>
    <w:rsid w:val="00F9703A"/>
    <w:rsid w:val="00F97131"/>
    <w:rsid w:val="00F97551"/>
    <w:rsid w:val="00F9759B"/>
    <w:rsid w:val="00F975CB"/>
    <w:rsid w:val="00F97736"/>
    <w:rsid w:val="00F97756"/>
    <w:rsid w:val="00F977DE"/>
    <w:rsid w:val="00F9784C"/>
    <w:rsid w:val="00F978DE"/>
    <w:rsid w:val="00F9796A"/>
    <w:rsid w:val="00F97A34"/>
    <w:rsid w:val="00F97A5B"/>
    <w:rsid w:val="00F97A6F"/>
    <w:rsid w:val="00F97B3A"/>
    <w:rsid w:val="00F97B41"/>
    <w:rsid w:val="00F97BF2"/>
    <w:rsid w:val="00F97E3C"/>
    <w:rsid w:val="00F97F7E"/>
    <w:rsid w:val="00F97FE2"/>
    <w:rsid w:val="00FA0181"/>
    <w:rsid w:val="00FA01CC"/>
    <w:rsid w:val="00FA04E9"/>
    <w:rsid w:val="00FA07C2"/>
    <w:rsid w:val="00FA0825"/>
    <w:rsid w:val="00FA08AD"/>
    <w:rsid w:val="00FA0903"/>
    <w:rsid w:val="00FA0985"/>
    <w:rsid w:val="00FA0BE4"/>
    <w:rsid w:val="00FA0CC1"/>
    <w:rsid w:val="00FA0CFE"/>
    <w:rsid w:val="00FA0E0D"/>
    <w:rsid w:val="00FA0EC3"/>
    <w:rsid w:val="00FA0EDD"/>
    <w:rsid w:val="00FA0F55"/>
    <w:rsid w:val="00FA0F5E"/>
    <w:rsid w:val="00FA10F2"/>
    <w:rsid w:val="00FA11C8"/>
    <w:rsid w:val="00FA13E0"/>
    <w:rsid w:val="00FA1539"/>
    <w:rsid w:val="00FA15BB"/>
    <w:rsid w:val="00FA1745"/>
    <w:rsid w:val="00FA178F"/>
    <w:rsid w:val="00FA1B95"/>
    <w:rsid w:val="00FA1BBF"/>
    <w:rsid w:val="00FA1BFF"/>
    <w:rsid w:val="00FA1C05"/>
    <w:rsid w:val="00FA1C1E"/>
    <w:rsid w:val="00FA1CF5"/>
    <w:rsid w:val="00FA1E32"/>
    <w:rsid w:val="00FA1E4E"/>
    <w:rsid w:val="00FA1E8A"/>
    <w:rsid w:val="00FA1EA3"/>
    <w:rsid w:val="00FA1ED6"/>
    <w:rsid w:val="00FA1FDA"/>
    <w:rsid w:val="00FA1FF1"/>
    <w:rsid w:val="00FA2008"/>
    <w:rsid w:val="00FA2049"/>
    <w:rsid w:val="00FA2192"/>
    <w:rsid w:val="00FA2456"/>
    <w:rsid w:val="00FA2561"/>
    <w:rsid w:val="00FA27E0"/>
    <w:rsid w:val="00FA27EE"/>
    <w:rsid w:val="00FA283C"/>
    <w:rsid w:val="00FA28CB"/>
    <w:rsid w:val="00FA2C31"/>
    <w:rsid w:val="00FA2CF5"/>
    <w:rsid w:val="00FA2D51"/>
    <w:rsid w:val="00FA2D6F"/>
    <w:rsid w:val="00FA2E58"/>
    <w:rsid w:val="00FA2E5C"/>
    <w:rsid w:val="00FA2ECA"/>
    <w:rsid w:val="00FA2ECC"/>
    <w:rsid w:val="00FA2F27"/>
    <w:rsid w:val="00FA2FA8"/>
    <w:rsid w:val="00FA2FD7"/>
    <w:rsid w:val="00FA3062"/>
    <w:rsid w:val="00FA30B3"/>
    <w:rsid w:val="00FA30C2"/>
    <w:rsid w:val="00FA3155"/>
    <w:rsid w:val="00FA31D9"/>
    <w:rsid w:val="00FA3291"/>
    <w:rsid w:val="00FA3299"/>
    <w:rsid w:val="00FA32AE"/>
    <w:rsid w:val="00FA33DF"/>
    <w:rsid w:val="00FA3432"/>
    <w:rsid w:val="00FA34D5"/>
    <w:rsid w:val="00FA359A"/>
    <w:rsid w:val="00FA362A"/>
    <w:rsid w:val="00FA36FB"/>
    <w:rsid w:val="00FA378C"/>
    <w:rsid w:val="00FA37A6"/>
    <w:rsid w:val="00FA386A"/>
    <w:rsid w:val="00FA38C7"/>
    <w:rsid w:val="00FA38F0"/>
    <w:rsid w:val="00FA3913"/>
    <w:rsid w:val="00FA3A30"/>
    <w:rsid w:val="00FA3B0C"/>
    <w:rsid w:val="00FA3D54"/>
    <w:rsid w:val="00FA3D83"/>
    <w:rsid w:val="00FA3D8F"/>
    <w:rsid w:val="00FA3DF7"/>
    <w:rsid w:val="00FA4050"/>
    <w:rsid w:val="00FA4109"/>
    <w:rsid w:val="00FA4150"/>
    <w:rsid w:val="00FA41BF"/>
    <w:rsid w:val="00FA42AB"/>
    <w:rsid w:val="00FA43CB"/>
    <w:rsid w:val="00FA449D"/>
    <w:rsid w:val="00FA45D5"/>
    <w:rsid w:val="00FA47CD"/>
    <w:rsid w:val="00FA4854"/>
    <w:rsid w:val="00FA4911"/>
    <w:rsid w:val="00FA49FD"/>
    <w:rsid w:val="00FA4BE6"/>
    <w:rsid w:val="00FA4C18"/>
    <w:rsid w:val="00FA4C71"/>
    <w:rsid w:val="00FA4D30"/>
    <w:rsid w:val="00FA4DC9"/>
    <w:rsid w:val="00FA4E17"/>
    <w:rsid w:val="00FA4EA0"/>
    <w:rsid w:val="00FA4EA8"/>
    <w:rsid w:val="00FA4F2C"/>
    <w:rsid w:val="00FA5030"/>
    <w:rsid w:val="00FA50E2"/>
    <w:rsid w:val="00FA50E6"/>
    <w:rsid w:val="00FA50FB"/>
    <w:rsid w:val="00FA5120"/>
    <w:rsid w:val="00FA5124"/>
    <w:rsid w:val="00FA5174"/>
    <w:rsid w:val="00FA5248"/>
    <w:rsid w:val="00FA5448"/>
    <w:rsid w:val="00FA569B"/>
    <w:rsid w:val="00FA56EC"/>
    <w:rsid w:val="00FA5766"/>
    <w:rsid w:val="00FA595F"/>
    <w:rsid w:val="00FA5A0D"/>
    <w:rsid w:val="00FA5AF7"/>
    <w:rsid w:val="00FA5B09"/>
    <w:rsid w:val="00FA5C57"/>
    <w:rsid w:val="00FA5CA8"/>
    <w:rsid w:val="00FA5FEF"/>
    <w:rsid w:val="00FA6053"/>
    <w:rsid w:val="00FA6184"/>
    <w:rsid w:val="00FA621B"/>
    <w:rsid w:val="00FA63AB"/>
    <w:rsid w:val="00FA647C"/>
    <w:rsid w:val="00FA66ED"/>
    <w:rsid w:val="00FA671F"/>
    <w:rsid w:val="00FA675F"/>
    <w:rsid w:val="00FA67D2"/>
    <w:rsid w:val="00FA68A9"/>
    <w:rsid w:val="00FA6AA8"/>
    <w:rsid w:val="00FA6CB7"/>
    <w:rsid w:val="00FA6CF2"/>
    <w:rsid w:val="00FA6DB2"/>
    <w:rsid w:val="00FA6F8F"/>
    <w:rsid w:val="00FA70CD"/>
    <w:rsid w:val="00FA70F9"/>
    <w:rsid w:val="00FA7105"/>
    <w:rsid w:val="00FA713A"/>
    <w:rsid w:val="00FA7238"/>
    <w:rsid w:val="00FA74B6"/>
    <w:rsid w:val="00FA74CF"/>
    <w:rsid w:val="00FA7706"/>
    <w:rsid w:val="00FA773B"/>
    <w:rsid w:val="00FA7752"/>
    <w:rsid w:val="00FA77B6"/>
    <w:rsid w:val="00FA7878"/>
    <w:rsid w:val="00FA7898"/>
    <w:rsid w:val="00FA79D6"/>
    <w:rsid w:val="00FA79D7"/>
    <w:rsid w:val="00FA7C68"/>
    <w:rsid w:val="00FA7D56"/>
    <w:rsid w:val="00FA7D7D"/>
    <w:rsid w:val="00FA7E11"/>
    <w:rsid w:val="00FA7EB7"/>
    <w:rsid w:val="00FA7F0A"/>
    <w:rsid w:val="00FB0049"/>
    <w:rsid w:val="00FB00E1"/>
    <w:rsid w:val="00FB0130"/>
    <w:rsid w:val="00FB0405"/>
    <w:rsid w:val="00FB0410"/>
    <w:rsid w:val="00FB044B"/>
    <w:rsid w:val="00FB0450"/>
    <w:rsid w:val="00FB06C4"/>
    <w:rsid w:val="00FB077B"/>
    <w:rsid w:val="00FB0805"/>
    <w:rsid w:val="00FB0830"/>
    <w:rsid w:val="00FB0A2A"/>
    <w:rsid w:val="00FB0AF9"/>
    <w:rsid w:val="00FB0B93"/>
    <w:rsid w:val="00FB0C7C"/>
    <w:rsid w:val="00FB0C7F"/>
    <w:rsid w:val="00FB0EA0"/>
    <w:rsid w:val="00FB0EED"/>
    <w:rsid w:val="00FB0F02"/>
    <w:rsid w:val="00FB0F03"/>
    <w:rsid w:val="00FB0F73"/>
    <w:rsid w:val="00FB1026"/>
    <w:rsid w:val="00FB10B1"/>
    <w:rsid w:val="00FB11C0"/>
    <w:rsid w:val="00FB1232"/>
    <w:rsid w:val="00FB1238"/>
    <w:rsid w:val="00FB1286"/>
    <w:rsid w:val="00FB12BB"/>
    <w:rsid w:val="00FB1392"/>
    <w:rsid w:val="00FB13AA"/>
    <w:rsid w:val="00FB13EE"/>
    <w:rsid w:val="00FB167F"/>
    <w:rsid w:val="00FB176F"/>
    <w:rsid w:val="00FB19A2"/>
    <w:rsid w:val="00FB19D8"/>
    <w:rsid w:val="00FB1A5E"/>
    <w:rsid w:val="00FB1BE1"/>
    <w:rsid w:val="00FB1C9A"/>
    <w:rsid w:val="00FB1DDF"/>
    <w:rsid w:val="00FB1E28"/>
    <w:rsid w:val="00FB1F07"/>
    <w:rsid w:val="00FB2011"/>
    <w:rsid w:val="00FB20EA"/>
    <w:rsid w:val="00FB243A"/>
    <w:rsid w:val="00FB25BC"/>
    <w:rsid w:val="00FB2808"/>
    <w:rsid w:val="00FB28B3"/>
    <w:rsid w:val="00FB28CD"/>
    <w:rsid w:val="00FB2949"/>
    <w:rsid w:val="00FB2AB5"/>
    <w:rsid w:val="00FB2C33"/>
    <w:rsid w:val="00FB2D26"/>
    <w:rsid w:val="00FB2F96"/>
    <w:rsid w:val="00FB2FA8"/>
    <w:rsid w:val="00FB2FC9"/>
    <w:rsid w:val="00FB30F0"/>
    <w:rsid w:val="00FB324E"/>
    <w:rsid w:val="00FB32E0"/>
    <w:rsid w:val="00FB356E"/>
    <w:rsid w:val="00FB37E2"/>
    <w:rsid w:val="00FB39A8"/>
    <w:rsid w:val="00FB3A5E"/>
    <w:rsid w:val="00FB3AE2"/>
    <w:rsid w:val="00FB3AE3"/>
    <w:rsid w:val="00FB3BB6"/>
    <w:rsid w:val="00FB3C01"/>
    <w:rsid w:val="00FB3C47"/>
    <w:rsid w:val="00FB3D15"/>
    <w:rsid w:val="00FB3D4C"/>
    <w:rsid w:val="00FB3EF1"/>
    <w:rsid w:val="00FB4052"/>
    <w:rsid w:val="00FB40DD"/>
    <w:rsid w:val="00FB4153"/>
    <w:rsid w:val="00FB41F9"/>
    <w:rsid w:val="00FB436E"/>
    <w:rsid w:val="00FB43CF"/>
    <w:rsid w:val="00FB451E"/>
    <w:rsid w:val="00FB4539"/>
    <w:rsid w:val="00FB4587"/>
    <w:rsid w:val="00FB45D9"/>
    <w:rsid w:val="00FB45ED"/>
    <w:rsid w:val="00FB46DD"/>
    <w:rsid w:val="00FB471A"/>
    <w:rsid w:val="00FB47BA"/>
    <w:rsid w:val="00FB4875"/>
    <w:rsid w:val="00FB49FF"/>
    <w:rsid w:val="00FB4A85"/>
    <w:rsid w:val="00FB4B64"/>
    <w:rsid w:val="00FB4D9E"/>
    <w:rsid w:val="00FB4E4B"/>
    <w:rsid w:val="00FB5015"/>
    <w:rsid w:val="00FB50BA"/>
    <w:rsid w:val="00FB5225"/>
    <w:rsid w:val="00FB544B"/>
    <w:rsid w:val="00FB5472"/>
    <w:rsid w:val="00FB563D"/>
    <w:rsid w:val="00FB567C"/>
    <w:rsid w:val="00FB56CB"/>
    <w:rsid w:val="00FB57AB"/>
    <w:rsid w:val="00FB5899"/>
    <w:rsid w:val="00FB5939"/>
    <w:rsid w:val="00FB594D"/>
    <w:rsid w:val="00FB59E7"/>
    <w:rsid w:val="00FB5A08"/>
    <w:rsid w:val="00FB5A77"/>
    <w:rsid w:val="00FB5B53"/>
    <w:rsid w:val="00FB5BD1"/>
    <w:rsid w:val="00FB5C2E"/>
    <w:rsid w:val="00FB5CB0"/>
    <w:rsid w:val="00FB5DB5"/>
    <w:rsid w:val="00FB5EFB"/>
    <w:rsid w:val="00FB60A3"/>
    <w:rsid w:val="00FB620D"/>
    <w:rsid w:val="00FB62EB"/>
    <w:rsid w:val="00FB658F"/>
    <w:rsid w:val="00FB65CA"/>
    <w:rsid w:val="00FB66C9"/>
    <w:rsid w:val="00FB67CD"/>
    <w:rsid w:val="00FB6AB1"/>
    <w:rsid w:val="00FB6AB7"/>
    <w:rsid w:val="00FB6BE1"/>
    <w:rsid w:val="00FB6BF3"/>
    <w:rsid w:val="00FB6CBE"/>
    <w:rsid w:val="00FB6DAA"/>
    <w:rsid w:val="00FB6DAE"/>
    <w:rsid w:val="00FB6F67"/>
    <w:rsid w:val="00FB6FA2"/>
    <w:rsid w:val="00FB704A"/>
    <w:rsid w:val="00FB7151"/>
    <w:rsid w:val="00FB7375"/>
    <w:rsid w:val="00FB7451"/>
    <w:rsid w:val="00FB7473"/>
    <w:rsid w:val="00FB7486"/>
    <w:rsid w:val="00FB7527"/>
    <w:rsid w:val="00FB76FF"/>
    <w:rsid w:val="00FB7766"/>
    <w:rsid w:val="00FB7904"/>
    <w:rsid w:val="00FB7946"/>
    <w:rsid w:val="00FB7C0D"/>
    <w:rsid w:val="00FB7D8B"/>
    <w:rsid w:val="00FB7DA5"/>
    <w:rsid w:val="00FB7E1C"/>
    <w:rsid w:val="00FB7E27"/>
    <w:rsid w:val="00FC0061"/>
    <w:rsid w:val="00FC00E0"/>
    <w:rsid w:val="00FC010F"/>
    <w:rsid w:val="00FC01B2"/>
    <w:rsid w:val="00FC025A"/>
    <w:rsid w:val="00FC04BA"/>
    <w:rsid w:val="00FC04D9"/>
    <w:rsid w:val="00FC0710"/>
    <w:rsid w:val="00FC07B2"/>
    <w:rsid w:val="00FC0805"/>
    <w:rsid w:val="00FC0867"/>
    <w:rsid w:val="00FC09FF"/>
    <w:rsid w:val="00FC0AD7"/>
    <w:rsid w:val="00FC0BDC"/>
    <w:rsid w:val="00FC0CE5"/>
    <w:rsid w:val="00FC0DD9"/>
    <w:rsid w:val="00FC0FF0"/>
    <w:rsid w:val="00FC1007"/>
    <w:rsid w:val="00FC10DE"/>
    <w:rsid w:val="00FC1179"/>
    <w:rsid w:val="00FC126B"/>
    <w:rsid w:val="00FC12F2"/>
    <w:rsid w:val="00FC1354"/>
    <w:rsid w:val="00FC1392"/>
    <w:rsid w:val="00FC1394"/>
    <w:rsid w:val="00FC15AE"/>
    <w:rsid w:val="00FC15FF"/>
    <w:rsid w:val="00FC1883"/>
    <w:rsid w:val="00FC18DF"/>
    <w:rsid w:val="00FC1957"/>
    <w:rsid w:val="00FC1987"/>
    <w:rsid w:val="00FC19FF"/>
    <w:rsid w:val="00FC1A03"/>
    <w:rsid w:val="00FC1A0C"/>
    <w:rsid w:val="00FC1B09"/>
    <w:rsid w:val="00FC1B6A"/>
    <w:rsid w:val="00FC1BE8"/>
    <w:rsid w:val="00FC1C29"/>
    <w:rsid w:val="00FC1CB3"/>
    <w:rsid w:val="00FC1D8E"/>
    <w:rsid w:val="00FC1DBA"/>
    <w:rsid w:val="00FC1EFB"/>
    <w:rsid w:val="00FC1FDC"/>
    <w:rsid w:val="00FC2003"/>
    <w:rsid w:val="00FC21DC"/>
    <w:rsid w:val="00FC2226"/>
    <w:rsid w:val="00FC2273"/>
    <w:rsid w:val="00FC2315"/>
    <w:rsid w:val="00FC24D6"/>
    <w:rsid w:val="00FC255F"/>
    <w:rsid w:val="00FC25A6"/>
    <w:rsid w:val="00FC26BE"/>
    <w:rsid w:val="00FC27D2"/>
    <w:rsid w:val="00FC298F"/>
    <w:rsid w:val="00FC2B3C"/>
    <w:rsid w:val="00FC2C72"/>
    <w:rsid w:val="00FC2CA5"/>
    <w:rsid w:val="00FC2D5F"/>
    <w:rsid w:val="00FC2FF8"/>
    <w:rsid w:val="00FC3096"/>
    <w:rsid w:val="00FC31C9"/>
    <w:rsid w:val="00FC3215"/>
    <w:rsid w:val="00FC328D"/>
    <w:rsid w:val="00FC32CE"/>
    <w:rsid w:val="00FC3303"/>
    <w:rsid w:val="00FC3707"/>
    <w:rsid w:val="00FC3893"/>
    <w:rsid w:val="00FC3929"/>
    <w:rsid w:val="00FC39FC"/>
    <w:rsid w:val="00FC3BE2"/>
    <w:rsid w:val="00FC3C3D"/>
    <w:rsid w:val="00FC3C41"/>
    <w:rsid w:val="00FC3C5D"/>
    <w:rsid w:val="00FC3C69"/>
    <w:rsid w:val="00FC3D8D"/>
    <w:rsid w:val="00FC3DE2"/>
    <w:rsid w:val="00FC3E02"/>
    <w:rsid w:val="00FC3E55"/>
    <w:rsid w:val="00FC3E61"/>
    <w:rsid w:val="00FC411D"/>
    <w:rsid w:val="00FC418E"/>
    <w:rsid w:val="00FC41AE"/>
    <w:rsid w:val="00FC4251"/>
    <w:rsid w:val="00FC44E4"/>
    <w:rsid w:val="00FC44E7"/>
    <w:rsid w:val="00FC4509"/>
    <w:rsid w:val="00FC4540"/>
    <w:rsid w:val="00FC45D6"/>
    <w:rsid w:val="00FC47BF"/>
    <w:rsid w:val="00FC483E"/>
    <w:rsid w:val="00FC4926"/>
    <w:rsid w:val="00FC4AA8"/>
    <w:rsid w:val="00FC4B01"/>
    <w:rsid w:val="00FC4E50"/>
    <w:rsid w:val="00FC4EBD"/>
    <w:rsid w:val="00FC51FA"/>
    <w:rsid w:val="00FC5257"/>
    <w:rsid w:val="00FC5271"/>
    <w:rsid w:val="00FC5545"/>
    <w:rsid w:val="00FC5554"/>
    <w:rsid w:val="00FC55CE"/>
    <w:rsid w:val="00FC5603"/>
    <w:rsid w:val="00FC5627"/>
    <w:rsid w:val="00FC569F"/>
    <w:rsid w:val="00FC56CA"/>
    <w:rsid w:val="00FC574D"/>
    <w:rsid w:val="00FC578B"/>
    <w:rsid w:val="00FC5A1A"/>
    <w:rsid w:val="00FC5A65"/>
    <w:rsid w:val="00FC5BF5"/>
    <w:rsid w:val="00FC5CED"/>
    <w:rsid w:val="00FC5E0C"/>
    <w:rsid w:val="00FC5F3A"/>
    <w:rsid w:val="00FC5F9C"/>
    <w:rsid w:val="00FC5FA5"/>
    <w:rsid w:val="00FC607E"/>
    <w:rsid w:val="00FC60D9"/>
    <w:rsid w:val="00FC614F"/>
    <w:rsid w:val="00FC62B5"/>
    <w:rsid w:val="00FC6307"/>
    <w:rsid w:val="00FC632D"/>
    <w:rsid w:val="00FC635B"/>
    <w:rsid w:val="00FC63B1"/>
    <w:rsid w:val="00FC63F6"/>
    <w:rsid w:val="00FC644B"/>
    <w:rsid w:val="00FC6466"/>
    <w:rsid w:val="00FC65A6"/>
    <w:rsid w:val="00FC66F7"/>
    <w:rsid w:val="00FC6833"/>
    <w:rsid w:val="00FC68AE"/>
    <w:rsid w:val="00FC6B80"/>
    <w:rsid w:val="00FC6CEB"/>
    <w:rsid w:val="00FC6F2C"/>
    <w:rsid w:val="00FC6FE7"/>
    <w:rsid w:val="00FC726D"/>
    <w:rsid w:val="00FC72FA"/>
    <w:rsid w:val="00FC734D"/>
    <w:rsid w:val="00FC753B"/>
    <w:rsid w:val="00FC75C8"/>
    <w:rsid w:val="00FC761B"/>
    <w:rsid w:val="00FC7784"/>
    <w:rsid w:val="00FC778C"/>
    <w:rsid w:val="00FC787F"/>
    <w:rsid w:val="00FC7940"/>
    <w:rsid w:val="00FC796E"/>
    <w:rsid w:val="00FC7AE4"/>
    <w:rsid w:val="00FC7BA6"/>
    <w:rsid w:val="00FC7C9E"/>
    <w:rsid w:val="00FD017F"/>
    <w:rsid w:val="00FD01FB"/>
    <w:rsid w:val="00FD021A"/>
    <w:rsid w:val="00FD0452"/>
    <w:rsid w:val="00FD0456"/>
    <w:rsid w:val="00FD05C6"/>
    <w:rsid w:val="00FD0723"/>
    <w:rsid w:val="00FD0745"/>
    <w:rsid w:val="00FD082D"/>
    <w:rsid w:val="00FD0857"/>
    <w:rsid w:val="00FD0884"/>
    <w:rsid w:val="00FD09B4"/>
    <w:rsid w:val="00FD0A2E"/>
    <w:rsid w:val="00FD0B28"/>
    <w:rsid w:val="00FD0CAB"/>
    <w:rsid w:val="00FD0CD7"/>
    <w:rsid w:val="00FD0DB4"/>
    <w:rsid w:val="00FD0E5C"/>
    <w:rsid w:val="00FD0E6B"/>
    <w:rsid w:val="00FD11EE"/>
    <w:rsid w:val="00FD1236"/>
    <w:rsid w:val="00FD12D5"/>
    <w:rsid w:val="00FD13A8"/>
    <w:rsid w:val="00FD13E7"/>
    <w:rsid w:val="00FD1478"/>
    <w:rsid w:val="00FD1508"/>
    <w:rsid w:val="00FD1536"/>
    <w:rsid w:val="00FD158A"/>
    <w:rsid w:val="00FD1646"/>
    <w:rsid w:val="00FD1658"/>
    <w:rsid w:val="00FD1758"/>
    <w:rsid w:val="00FD17BA"/>
    <w:rsid w:val="00FD1810"/>
    <w:rsid w:val="00FD1967"/>
    <w:rsid w:val="00FD1A7C"/>
    <w:rsid w:val="00FD1ABB"/>
    <w:rsid w:val="00FD1BAF"/>
    <w:rsid w:val="00FD1C46"/>
    <w:rsid w:val="00FD1CE9"/>
    <w:rsid w:val="00FD1CFE"/>
    <w:rsid w:val="00FD1D10"/>
    <w:rsid w:val="00FD1DDF"/>
    <w:rsid w:val="00FD20EC"/>
    <w:rsid w:val="00FD2162"/>
    <w:rsid w:val="00FD2295"/>
    <w:rsid w:val="00FD22C9"/>
    <w:rsid w:val="00FD22E2"/>
    <w:rsid w:val="00FD22E8"/>
    <w:rsid w:val="00FD2300"/>
    <w:rsid w:val="00FD2371"/>
    <w:rsid w:val="00FD2569"/>
    <w:rsid w:val="00FD2599"/>
    <w:rsid w:val="00FD26B7"/>
    <w:rsid w:val="00FD27CA"/>
    <w:rsid w:val="00FD281F"/>
    <w:rsid w:val="00FD28D4"/>
    <w:rsid w:val="00FD2A21"/>
    <w:rsid w:val="00FD2A46"/>
    <w:rsid w:val="00FD2C8B"/>
    <w:rsid w:val="00FD2C94"/>
    <w:rsid w:val="00FD2C9D"/>
    <w:rsid w:val="00FD2CBD"/>
    <w:rsid w:val="00FD2D0A"/>
    <w:rsid w:val="00FD2D35"/>
    <w:rsid w:val="00FD2D3F"/>
    <w:rsid w:val="00FD2D9A"/>
    <w:rsid w:val="00FD2E52"/>
    <w:rsid w:val="00FD2F31"/>
    <w:rsid w:val="00FD2F42"/>
    <w:rsid w:val="00FD2F74"/>
    <w:rsid w:val="00FD2FA7"/>
    <w:rsid w:val="00FD2FF9"/>
    <w:rsid w:val="00FD3102"/>
    <w:rsid w:val="00FD3164"/>
    <w:rsid w:val="00FD32BE"/>
    <w:rsid w:val="00FD32E9"/>
    <w:rsid w:val="00FD3498"/>
    <w:rsid w:val="00FD36B9"/>
    <w:rsid w:val="00FD36D7"/>
    <w:rsid w:val="00FD3796"/>
    <w:rsid w:val="00FD379D"/>
    <w:rsid w:val="00FD3818"/>
    <w:rsid w:val="00FD39AB"/>
    <w:rsid w:val="00FD39B6"/>
    <w:rsid w:val="00FD3AA4"/>
    <w:rsid w:val="00FD3B94"/>
    <w:rsid w:val="00FD3F00"/>
    <w:rsid w:val="00FD3F73"/>
    <w:rsid w:val="00FD3FF4"/>
    <w:rsid w:val="00FD406A"/>
    <w:rsid w:val="00FD40B1"/>
    <w:rsid w:val="00FD40DD"/>
    <w:rsid w:val="00FD4247"/>
    <w:rsid w:val="00FD426C"/>
    <w:rsid w:val="00FD43B3"/>
    <w:rsid w:val="00FD43D9"/>
    <w:rsid w:val="00FD4786"/>
    <w:rsid w:val="00FD48D7"/>
    <w:rsid w:val="00FD4A7F"/>
    <w:rsid w:val="00FD4E78"/>
    <w:rsid w:val="00FD4FC0"/>
    <w:rsid w:val="00FD51B5"/>
    <w:rsid w:val="00FD51FF"/>
    <w:rsid w:val="00FD5273"/>
    <w:rsid w:val="00FD5276"/>
    <w:rsid w:val="00FD531A"/>
    <w:rsid w:val="00FD5348"/>
    <w:rsid w:val="00FD5353"/>
    <w:rsid w:val="00FD54B3"/>
    <w:rsid w:val="00FD553F"/>
    <w:rsid w:val="00FD5632"/>
    <w:rsid w:val="00FD57E4"/>
    <w:rsid w:val="00FD59FC"/>
    <w:rsid w:val="00FD5B5C"/>
    <w:rsid w:val="00FD5BF0"/>
    <w:rsid w:val="00FD5CFA"/>
    <w:rsid w:val="00FD5E0E"/>
    <w:rsid w:val="00FD5EC1"/>
    <w:rsid w:val="00FD5F01"/>
    <w:rsid w:val="00FD6019"/>
    <w:rsid w:val="00FD606F"/>
    <w:rsid w:val="00FD60B3"/>
    <w:rsid w:val="00FD60BA"/>
    <w:rsid w:val="00FD60C5"/>
    <w:rsid w:val="00FD614E"/>
    <w:rsid w:val="00FD61A7"/>
    <w:rsid w:val="00FD6295"/>
    <w:rsid w:val="00FD6306"/>
    <w:rsid w:val="00FD6427"/>
    <w:rsid w:val="00FD6468"/>
    <w:rsid w:val="00FD65C5"/>
    <w:rsid w:val="00FD65F6"/>
    <w:rsid w:val="00FD66D4"/>
    <w:rsid w:val="00FD6768"/>
    <w:rsid w:val="00FD6795"/>
    <w:rsid w:val="00FD67BB"/>
    <w:rsid w:val="00FD6863"/>
    <w:rsid w:val="00FD68A1"/>
    <w:rsid w:val="00FD69DA"/>
    <w:rsid w:val="00FD6A3E"/>
    <w:rsid w:val="00FD6AE0"/>
    <w:rsid w:val="00FD6B6E"/>
    <w:rsid w:val="00FD6BBB"/>
    <w:rsid w:val="00FD6D18"/>
    <w:rsid w:val="00FD7102"/>
    <w:rsid w:val="00FD711D"/>
    <w:rsid w:val="00FD7131"/>
    <w:rsid w:val="00FD724C"/>
    <w:rsid w:val="00FD726A"/>
    <w:rsid w:val="00FD73D4"/>
    <w:rsid w:val="00FD754F"/>
    <w:rsid w:val="00FD755E"/>
    <w:rsid w:val="00FD760B"/>
    <w:rsid w:val="00FD77A8"/>
    <w:rsid w:val="00FD77C1"/>
    <w:rsid w:val="00FD7978"/>
    <w:rsid w:val="00FD7A20"/>
    <w:rsid w:val="00FD7A3A"/>
    <w:rsid w:val="00FD7B01"/>
    <w:rsid w:val="00FD7B60"/>
    <w:rsid w:val="00FD7BB6"/>
    <w:rsid w:val="00FD7D24"/>
    <w:rsid w:val="00FD7D7D"/>
    <w:rsid w:val="00FE0005"/>
    <w:rsid w:val="00FE0114"/>
    <w:rsid w:val="00FE0116"/>
    <w:rsid w:val="00FE0118"/>
    <w:rsid w:val="00FE026C"/>
    <w:rsid w:val="00FE02F5"/>
    <w:rsid w:val="00FE052B"/>
    <w:rsid w:val="00FE0702"/>
    <w:rsid w:val="00FE08DE"/>
    <w:rsid w:val="00FE0A32"/>
    <w:rsid w:val="00FE0DDB"/>
    <w:rsid w:val="00FE0EDF"/>
    <w:rsid w:val="00FE0FB6"/>
    <w:rsid w:val="00FE1118"/>
    <w:rsid w:val="00FE1174"/>
    <w:rsid w:val="00FE1363"/>
    <w:rsid w:val="00FE13A3"/>
    <w:rsid w:val="00FE144F"/>
    <w:rsid w:val="00FE1495"/>
    <w:rsid w:val="00FE153B"/>
    <w:rsid w:val="00FE1540"/>
    <w:rsid w:val="00FE1635"/>
    <w:rsid w:val="00FE17F1"/>
    <w:rsid w:val="00FE1B79"/>
    <w:rsid w:val="00FE1EC6"/>
    <w:rsid w:val="00FE1F0D"/>
    <w:rsid w:val="00FE2153"/>
    <w:rsid w:val="00FE2197"/>
    <w:rsid w:val="00FE225F"/>
    <w:rsid w:val="00FE2276"/>
    <w:rsid w:val="00FE22DE"/>
    <w:rsid w:val="00FE22E0"/>
    <w:rsid w:val="00FE239D"/>
    <w:rsid w:val="00FE24EB"/>
    <w:rsid w:val="00FE25F3"/>
    <w:rsid w:val="00FE2782"/>
    <w:rsid w:val="00FE29AF"/>
    <w:rsid w:val="00FE2AB5"/>
    <w:rsid w:val="00FE2BBC"/>
    <w:rsid w:val="00FE2CE2"/>
    <w:rsid w:val="00FE2EC2"/>
    <w:rsid w:val="00FE2F62"/>
    <w:rsid w:val="00FE3053"/>
    <w:rsid w:val="00FE30C9"/>
    <w:rsid w:val="00FE318F"/>
    <w:rsid w:val="00FE31FC"/>
    <w:rsid w:val="00FE3474"/>
    <w:rsid w:val="00FE34D5"/>
    <w:rsid w:val="00FE34DA"/>
    <w:rsid w:val="00FE366C"/>
    <w:rsid w:val="00FE372C"/>
    <w:rsid w:val="00FE3756"/>
    <w:rsid w:val="00FE376A"/>
    <w:rsid w:val="00FE391F"/>
    <w:rsid w:val="00FE3A60"/>
    <w:rsid w:val="00FE3A80"/>
    <w:rsid w:val="00FE3ABE"/>
    <w:rsid w:val="00FE3C9E"/>
    <w:rsid w:val="00FE3E54"/>
    <w:rsid w:val="00FE3EE2"/>
    <w:rsid w:val="00FE3FC0"/>
    <w:rsid w:val="00FE40A2"/>
    <w:rsid w:val="00FE40DD"/>
    <w:rsid w:val="00FE40E5"/>
    <w:rsid w:val="00FE4105"/>
    <w:rsid w:val="00FE4107"/>
    <w:rsid w:val="00FE419E"/>
    <w:rsid w:val="00FE41C8"/>
    <w:rsid w:val="00FE428B"/>
    <w:rsid w:val="00FE4306"/>
    <w:rsid w:val="00FE4440"/>
    <w:rsid w:val="00FE4491"/>
    <w:rsid w:val="00FE465C"/>
    <w:rsid w:val="00FE465F"/>
    <w:rsid w:val="00FE4739"/>
    <w:rsid w:val="00FE473F"/>
    <w:rsid w:val="00FE475F"/>
    <w:rsid w:val="00FE4858"/>
    <w:rsid w:val="00FE49C6"/>
    <w:rsid w:val="00FE4B03"/>
    <w:rsid w:val="00FE4BFF"/>
    <w:rsid w:val="00FE4D65"/>
    <w:rsid w:val="00FE4DB2"/>
    <w:rsid w:val="00FE4E0F"/>
    <w:rsid w:val="00FE4E99"/>
    <w:rsid w:val="00FE4FF0"/>
    <w:rsid w:val="00FE508B"/>
    <w:rsid w:val="00FE553B"/>
    <w:rsid w:val="00FE5582"/>
    <w:rsid w:val="00FE578A"/>
    <w:rsid w:val="00FE57DF"/>
    <w:rsid w:val="00FE5800"/>
    <w:rsid w:val="00FE59AE"/>
    <w:rsid w:val="00FE5B9C"/>
    <w:rsid w:val="00FE5BF6"/>
    <w:rsid w:val="00FE5CDA"/>
    <w:rsid w:val="00FE5D29"/>
    <w:rsid w:val="00FE5E26"/>
    <w:rsid w:val="00FE5E7B"/>
    <w:rsid w:val="00FE5F47"/>
    <w:rsid w:val="00FE5FB1"/>
    <w:rsid w:val="00FE602F"/>
    <w:rsid w:val="00FE6059"/>
    <w:rsid w:val="00FE60A5"/>
    <w:rsid w:val="00FE6118"/>
    <w:rsid w:val="00FE6181"/>
    <w:rsid w:val="00FE62B1"/>
    <w:rsid w:val="00FE663D"/>
    <w:rsid w:val="00FE67C7"/>
    <w:rsid w:val="00FE681D"/>
    <w:rsid w:val="00FE6858"/>
    <w:rsid w:val="00FE687A"/>
    <w:rsid w:val="00FE6A55"/>
    <w:rsid w:val="00FE6B7E"/>
    <w:rsid w:val="00FE6BE6"/>
    <w:rsid w:val="00FE6C82"/>
    <w:rsid w:val="00FE6DC0"/>
    <w:rsid w:val="00FE6DCD"/>
    <w:rsid w:val="00FE6F73"/>
    <w:rsid w:val="00FE72CD"/>
    <w:rsid w:val="00FE74DF"/>
    <w:rsid w:val="00FE77CF"/>
    <w:rsid w:val="00FE7883"/>
    <w:rsid w:val="00FE79A5"/>
    <w:rsid w:val="00FE79FE"/>
    <w:rsid w:val="00FE7A15"/>
    <w:rsid w:val="00FE7B7A"/>
    <w:rsid w:val="00FE7C33"/>
    <w:rsid w:val="00FE7D3A"/>
    <w:rsid w:val="00FE7EAA"/>
    <w:rsid w:val="00FE7F5B"/>
    <w:rsid w:val="00FE7F7F"/>
    <w:rsid w:val="00FF000D"/>
    <w:rsid w:val="00FF0225"/>
    <w:rsid w:val="00FF0258"/>
    <w:rsid w:val="00FF0331"/>
    <w:rsid w:val="00FF045C"/>
    <w:rsid w:val="00FF05D8"/>
    <w:rsid w:val="00FF0601"/>
    <w:rsid w:val="00FF0741"/>
    <w:rsid w:val="00FF077F"/>
    <w:rsid w:val="00FF0A01"/>
    <w:rsid w:val="00FF0A40"/>
    <w:rsid w:val="00FF0ACA"/>
    <w:rsid w:val="00FF0B12"/>
    <w:rsid w:val="00FF0CC9"/>
    <w:rsid w:val="00FF0D13"/>
    <w:rsid w:val="00FF0DB7"/>
    <w:rsid w:val="00FF0DBD"/>
    <w:rsid w:val="00FF0DEA"/>
    <w:rsid w:val="00FF0E42"/>
    <w:rsid w:val="00FF0FDC"/>
    <w:rsid w:val="00FF10E4"/>
    <w:rsid w:val="00FF136B"/>
    <w:rsid w:val="00FF13AC"/>
    <w:rsid w:val="00FF13B8"/>
    <w:rsid w:val="00FF1419"/>
    <w:rsid w:val="00FF1482"/>
    <w:rsid w:val="00FF14F5"/>
    <w:rsid w:val="00FF1586"/>
    <w:rsid w:val="00FF159D"/>
    <w:rsid w:val="00FF173E"/>
    <w:rsid w:val="00FF176C"/>
    <w:rsid w:val="00FF179E"/>
    <w:rsid w:val="00FF17B2"/>
    <w:rsid w:val="00FF18D4"/>
    <w:rsid w:val="00FF1AFF"/>
    <w:rsid w:val="00FF1B78"/>
    <w:rsid w:val="00FF1ED2"/>
    <w:rsid w:val="00FF1FA2"/>
    <w:rsid w:val="00FF20D8"/>
    <w:rsid w:val="00FF2100"/>
    <w:rsid w:val="00FF21A3"/>
    <w:rsid w:val="00FF21AD"/>
    <w:rsid w:val="00FF2238"/>
    <w:rsid w:val="00FF2246"/>
    <w:rsid w:val="00FF2386"/>
    <w:rsid w:val="00FF243C"/>
    <w:rsid w:val="00FF25F8"/>
    <w:rsid w:val="00FF26B6"/>
    <w:rsid w:val="00FF2767"/>
    <w:rsid w:val="00FF2787"/>
    <w:rsid w:val="00FF284C"/>
    <w:rsid w:val="00FF28ED"/>
    <w:rsid w:val="00FF29F2"/>
    <w:rsid w:val="00FF2B61"/>
    <w:rsid w:val="00FF2C1B"/>
    <w:rsid w:val="00FF2C26"/>
    <w:rsid w:val="00FF2DB6"/>
    <w:rsid w:val="00FF2DE0"/>
    <w:rsid w:val="00FF30C8"/>
    <w:rsid w:val="00FF30DC"/>
    <w:rsid w:val="00FF323D"/>
    <w:rsid w:val="00FF3257"/>
    <w:rsid w:val="00FF34AF"/>
    <w:rsid w:val="00FF3588"/>
    <w:rsid w:val="00FF35F2"/>
    <w:rsid w:val="00FF3760"/>
    <w:rsid w:val="00FF3870"/>
    <w:rsid w:val="00FF3A07"/>
    <w:rsid w:val="00FF3AAD"/>
    <w:rsid w:val="00FF3ADE"/>
    <w:rsid w:val="00FF3BCF"/>
    <w:rsid w:val="00FF3D91"/>
    <w:rsid w:val="00FF3DC4"/>
    <w:rsid w:val="00FF3FBD"/>
    <w:rsid w:val="00FF3FEA"/>
    <w:rsid w:val="00FF4018"/>
    <w:rsid w:val="00FF4020"/>
    <w:rsid w:val="00FF4200"/>
    <w:rsid w:val="00FF4248"/>
    <w:rsid w:val="00FF42A6"/>
    <w:rsid w:val="00FF44B2"/>
    <w:rsid w:val="00FF4706"/>
    <w:rsid w:val="00FF482D"/>
    <w:rsid w:val="00FF48F8"/>
    <w:rsid w:val="00FF4908"/>
    <w:rsid w:val="00FF4C68"/>
    <w:rsid w:val="00FF4C81"/>
    <w:rsid w:val="00FF4DBD"/>
    <w:rsid w:val="00FF5014"/>
    <w:rsid w:val="00FF501D"/>
    <w:rsid w:val="00FF529B"/>
    <w:rsid w:val="00FF5330"/>
    <w:rsid w:val="00FF54B3"/>
    <w:rsid w:val="00FF5527"/>
    <w:rsid w:val="00FF55C1"/>
    <w:rsid w:val="00FF561D"/>
    <w:rsid w:val="00FF562D"/>
    <w:rsid w:val="00FF5738"/>
    <w:rsid w:val="00FF57E7"/>
    <w:rsid w:val="00FF5A3A"/>
    <w:rsid w:val="00FF5B41"/>
    <w:rsid w:val="00FF5BDB"/>
    <w:rsid w:val="00FF5D84"/>
    <w:rsid w:val="00FF5E4D"/>
    <w:rsid w:val="00FF5F9B"/>
    <w:rsid w:val="00FF5FB9"/>
    <w:rsid w:val="00FF60FE"/>
    <w:rsid w:val="00FF644B"/>
    <w:rsid w:val="00FF6481"/>
    <w:rsid w:val="00FF655B"/>
    <w:rsid w:val="00FF65A6"/>
    <w:rsid w:val="00FF6645"/>
    <w:rsid w:val="00FF678E"/>
    <w:rsid w:val="00FF67D3"/>
    <w:rsid w:val="00FF6831"/>
    <w:rsid w:val="00FF694F"/>
    <w:rsid w:val="00FF6983"/>
    <w:rsid w:val="00FF6987"/>
    <w:rsid w:val="00FF6998"/>
    <w:rsid w:val="00FF6A4D"/>
    <w:rsid w:val="00FF6A92"/>
    <w:rsid w:val="00FF6C6F"/>
    <w:rsid w:val="00FF6DDD"/>
    <w:rsid w:val="00FF6E81"/>
    <w:rsid w:val="00FF6E89"/>
    <w:rsid w:val="00FF7232"/>
    <w:rsid w:val="00FF7262"/>
    <w:rsid w:val="00FF72FA"/>
    <w:rsid w:val="00FF748B"/>
    <w:rsid w:val="00FF75B1"/>
    <w:rsid w:val="00FF77DF"/>
    <w:rsid w:val="00FF78DF"/>
    <w:rsid w:val="00FF793E"/>
    <w:rsid w:val="00FF79F9"/>
    <w:rsid w:val="00FF7AFF"/>
    <w:rsid w:val="00FF7B53"/>
    <w:rsid w:val="00FF7C9D"/>
    <w:rsid w:val="00FF7CA3"/>
    <w:rsid w:val="00FF7CBB"/>
    <w:rsid w:val="00FF7CE1"/>
    <w:rsid w:val="00FF7EA8"/>
    <w:rsid w:val="00FF7FF6"/>
    <w:rsid w:val="0109F57B"/>
    <w:rsid w:val="010E9B4A"/>
    <w:rsid w:val="010ED2AF"/>
    <w:rsid w:val="01183EA2"/>
    <w:rsid w:val="011B8639"/>
    <w:rsid w:val="011C0F13"/>
    <w:rsid w:val="011E0A93"/>
    <w:rsid w:val="011FDC95"/>
    <w:rsid w:val="01214F20"/>
    <w:rsid w:val="01251DA0"/>
    <w:rsid w:val="012CF0C1"/>
    <w:rsid w:val="012D8A72"/>
    <w:rsid w:val="013279B6"/>
    <w:rsid w:val="01328741"/>
    <w:rsid w:val="0133E763"/>
    <w:rsid w:val="01361246"/>
    <w:rsid w:val="013B1503"/>
    <w:rsid w:val="014044D0"/>
    <w:rsid w:val="014CEE97"/>
    <w:rsid w:val="015E23DF"/>
    <w:rsid w:val="0165B5FA"/>
    <w:rsid w:val="016CBF5B"/>
    <w:rsid w:val="016D0559"/>
    <w:rsid w:val="01749337"/>
    <w:rsid w:val="01755A4E"/>
    <w:rsid w:val="01773D63"/>
    <w:rsid w:val="0179487F"/>
    <w:rsid w:val="0183A03A"/>
    <w:rsid w:val="0185D71F"/>
    <w:rsid w:val="01873521"/>
    <w:rsid w:val="018A8E2D"/>
    <w:rsid w:val="018BE56E"/>
    <w:rsid w:val="0192A28C"/>
    <w:rsid w:val="0198F0BB"/>
    <w:rsid w:val="01A00EC5"/>
    <w:rsid w:val="01A20ACD"/>
    <w:rsid w:val="01A74F85"/>
    <w:rsid w:val="01AA5CED"/>
    <w:rsid w:val="01AA818B"/>
    <w:rsid w:val="01AF2347"/>
    <w:rsid w:val="01BD3B9E"/>
    <w:rsid w:val="01C04DF7"/>
    <w:rsid w:val="01C0EE9C"/>
    <w:rsid w:val="01C5C5C9"/>
    <w:rsid w:val="01D27859"/>
    <w:rsid w:val="01D55660"/>
    <w:rsid w:val="01E1FB21"/>
    <w:rsid w:val="01E25A17"/>
    <w:rsid w:val="01F074F7"/>
    <w:rsid w:val="01FA0D59"/>
    <w:rsid w:val="01FB643D"/>
    <w:rsid w:val="020295A9"/>
    <w:rsid w:val="0203CA21"/>
    <w:rsid w:val="020402F1"/>
    <w:rsid w:val="0205581E"/>
    <w:rsid w:val="02088331"/>
    <w:rsid w:val="021153FF"/>
    <w:rsid w:val="0215A535"/>
    <w:rsid w:val="0215E9DD"/>
    <w:rsid w:val="0223902A"/>
    <w:rsid w:val="0225A89D"/>
    <w:rsid w:val="022FC804"/>
    <w:rsid w:val="0236BAD8"/>
    <w:rsid w:val="0237BF80"/>
    <w:rsid w:val="023A2A0E"/>
    <w:rsid w:val="024012BF"/>
    <w:rsid w:val="0249B2D9"/>
    <w:rsid w:val="024CF00D"/>
    <w:rsid w:val="02513027"/>
    <w:rsid w:val="0252ED3F"/>
    <w:rsid w:val="026006A1"/>
    <w:rsid w:val="026602FF"/>
    <w:rsid w:val="02675512"/>
    <w:rsid w:val="02747670"/>
    <w:rsid w:val="0279BD4F"/>
    <w:rsid w:val="027C2C36"/>
    <w:rsid w:val="02849C54"/>
    <w:rsid w:val="0288048C"/>
    <w:rsid w:val="028AE5F0"/>
    <w:rsid w:val="028C8D30"/>
    <w:rsid w:val="029BA090"/>
    <w:rsid w:val="029E794B"/>
    <w:rsid w:val="029FBFF8"/>
    <w:rsid w:val="02ACFAF1"/>
    <w:rsid w:val="02B0501C"/>
    <w:rsid w:val="02BBC4C8"/>
    <w:rsid w:val="02C29CFB"/>
    <w:rsid w:val="02C3C693"/>
    <w:rsid w:val="02C59553"/>
    <w:rsid w:val="02CEB9C5"/>
    <w:rsid w:val="02D1FF96"/>
    <w:rsid w:val="02D3BE97"/>
    <w:rsid w:val="02D4A9FD"/>
    <w:rsid w:val="02D8AB5F"/>
    <w:rsid w:val="02F2A02E"/>
    <w:rsid w:val="02F4A631"/>
    <w:rsid w:val="02F690D2"/>
    <w:rsid w:val="02FB9067"/>
    <w:rsid w:val="02FECC29"/>
    <w:rsid w:val="03007654"/>
    <w:rsid w:val="0305FE33"/>
    <w:rsid w:val="03060C30"/>
    <w:rsid w:val="03091C15"/>
    <w:rsid w:val="030E1314"/>
    <w:rsid w:val="0314E2A7"/>
    <w:rsid w:val="0316898F"/>
    <w:rsid w:val="03296CF0"/>
    <w:rsid w:val="032D32D4"/>
    <w:rsid w:val="032DC25B"/>
    <w:rsid w:val="03314A89"/>
    <w:rsid w:val="0333A1B5"/>
    <w:rsid w:val="034702A1"/>
    <w:rsid w:val="034CB0E6"/>
    <w:rsid w:val="034D5C1F"/>
    <w:rsid w:val="034D9B8E"/>
    <w:rsid w:val="03503A18"/>
    <w:rsid w:val="0352D00D"/>
    <w:rsid w:val="035B4581"/>
    <w:rsid w:val="03605BDE"/>
    <w:rsid w:val="0362EF1D"/>
    <w:rsid w:val="03689D31"/>
    <w:rsid w:val="0369AFE3"/>
    <w:rsid w:val="036A014F"/>
    <w:rsid w:val="0372893E"/>
    <w:rsid w:val="037651AE"/>
    <w:rsid w:val="03798281"/>
    <w:rsid w:val="037CA1CB"/>
    <w:rsid w:val="037FF938"/>
    <w:rsid w:val="0383C54D"/>
    <w:rsid w:val="03858703"/>
    <w:rsid w:val="0388EE93"/>
    <w:rsid w:val="038AA7D3"/>
    <w:rsid w:val="038AF5C2"/>
    <w:rsid w:val="038DC98C"/>
    <w:rsid w:val="039634E9"/>
    <w:rsid w:val="039835BE"/>
    <w:rsid w:val="039FA970"/>
    <w:rsid w:val="03ABFB2A"/>
    <w:rsid w:val="03B9D2E6"/>
    <w:rsid w:val="03BF86EA"/>
    <w:rsid w:val="03C029F9"/>
    <w:rsid w:val="03C610A1"/>
    <w:rsid w:val="03C78772"/>
    <w:rsid w:val="03C7B0FF"/>
    <w:rsid w:val="03C99976"/>
    <w:rsid w:val="03D01D3C"/>
    <w:rsid w:val="03D05CF4"/>
    <w:rsid w:val="03D3E53E"/>
    <w:rsid w:val="03D633F2"/>
    <w:rsid w:val="03D6F389"/>
    <w:rsid w:val="03D89B43"/>
    <w:rsid w:val="03D90948"/>
    <w:rsid w:val="03DCA1C4"/>
    <w:rsid w:val="03E033FF"/>
    <w:rsid w:val="03E06D96"/>
    <w:rsid w:val="03E1995F"/>
    <w:rsid w:val="03E39FCB"/>
    <w:rsid w:val="03F3C6D7"/>
    <w:rsid w:val="03F7D549"/>
    <w:rsid w:val="04002BD4"/>
    <w:rsid w:val="04107A34"/>
    <w:rsid w:val="04157C16"/>
    <w:rsid w:val="04162E94"/>
    <w:rsid w:val="0417D489"/>
    <w:rsid w:val="041B7964"/>
    <w:rsid w:val="041B86FC"/>
    <w:rsid w:val="04256678"/>
    <w:rsid w:val="042B6242"/>
    <w:rsid w:val="0430290A"/>
    <w:rsid w:val="043055A9"/>
    <w:rsid w:val="04350B8D"/>
    <w:rsid w:val="043B992F"/>
    <w:rsid w:val="043D086E"/>
    <w:rsid w:val="0447E838"/>
    <w:rsid w:val="0452A426"/>
    <w:rsid w:val="0458117E"/>
    <w:rsid w:val="045DED1A"/>
    <w:rsid w:val="0466DD86"/>
    <w:rsid w:val="046C6173"/>
    <w:rsid w:val="04776BC2"/>
    <w:rsid w:val="047D8999"/>
    <w:rsid w:val="047D9CE3"/>
    <w:rsid w:val="04877C19"/>
    <w:rsid w:val="048A4AEB"/>
    <w:rsid w:val="04903D22"/>
    <w:rsid w:val="049D2B2B"/>
    <w:rsid w:val="04A92D40"/>
    <w:rsid w:val="04AAFD75"/>
    <w:rsid w:val="04B40F9A"/>
    <w:rsid w:val="04B48B2F"/>
    <w:rsid w:val="04B6D4C8"/>
    <w:rsid w:val="04B9316A"/>
    <w:rsid w:val="04BC3E77"/>
    <w:rsid w:val="04CC08AA"/>
    <w:rsid w:val="04CCE03C"/>
    <w:rsid w:val="04D70CDF"/>
    <w:rsid w:val="04E09248"/>
    <w:rsid w:val="04EA5A4E"/>
    <w:rsid w:val="04ED5177"/>
    <w:rsid w:val="04EDCCB7"/>
    <w:rsid w:val="04F5F4A8"/>
    <w:rsid w:val="04F786A5"/>
    <w:rsid w:val="04F7A3FA"/>
    <w:rsid w:val="04FD40D3"/>
    <w:rsid w:val="0508CF3B"/>
    <w:rsid w:val="05155832"/>
    <w:rsid w:val="0520632B"/>
    <w:rsid w:val="0523E08D"/>
    <w:rsid w:val="052B00ED"/>
    <w:rsid w:val="052F5805"/>
    <w:rsid w:val="05331D47"/>
    <w:rsid w:val="05389254"/>
    <w:rsid w:val="053C5934"/>
    <w:rsid w:val="053DFEFB"/>
    <w:rsid w:val="053E346C"/>
    <w:rsid w:val="05405565"/>
    <w:rsid w:val="0540605E"/>
    <w:rsid w:val="054AE8F8"/>
    <w:rsid w:val="05531642"/>
    <w:rsid w:val="05548590"/>
    <w:rsid w:val="0554A84C"/>
    <w:rsid w:val="0556B865"/>
    <w:rsid w:val="05584A16"/>
    <w:rsid w:val="05586F16"/>
    <w:rsid w:val="055974B6"/>
    <w:rsid w:val="055A41F6"/>
    <w:rsid w:val="055ACB97"/>
    <w:rsid w:val="0564080A"/>
    <w:rsid w:val="056AFD0D"/>
    <w:rsid w:val="056D65A9"/>
    <w:rsid w:val="056FC51E"/>
    <w:rsid w:val="0573B116"/>
    <w:rsid w:val="057477DF"/>
    <w:rsid w:val="057C588E"/>
    <w:rsid w:val="0583073A"/>
    <w:rsid w:val="0584D009"/>
    <w:rsid w:val="0587DF2F"/>
    <w:rsid w:val="058D11E0"/>
    <w:rsid w:val="058DCA0D"/>
    <w:rsid w:val="0594A506"/>
    <w:rsid w:val="05992033"/>
    <w:rsid w:val="059C1825"/>
    <w:rsid w:val="059F23A9"/>
    <w:rsid w:val="05A039B7"/>
    <w:rsid w:val="05A086F4"/>
    <w:rsid w:val="05A29123"/>
    <w:rsid w:val="05A8BB24"/>
    <w:rsid w:val="05AA3742"/>
    <w:rsid w:val="05AFDC37"/>
    <w:rsid w:val="05B082C4"/>
    <w:rsid w:val="05B69518"/>
    <w:rsid w:val="05BB8307"/>
    <w:rsid w:val="05BF42BB"/>
    <w:rsid w:val="05C3FB2E"/>
    <w:rsid w:val="05D0BF71"/>
    <w:rsid w:val="05D1706A"/>
    <w:rsid w:val="05D40616"/>
    <w:rsid w:val="05D63A3B"/>
    <w:rsid w:val="05E17BD2"/>
    <w:rsid w:val="05E21777"/>
    <w:rsid w:val="05EB9E87"/>
    <w:rsid w:val="0603A8CA"/>
    <w:rsid w:val="060FBE4B"/>
    <w:rsid w:val="06132845"/>
    <w:rsid w:val="06135622"/>
    <w:rsid w:val="06161C7C"/>
    <w:rsid w:val="061A0FAC"/>
    <w:rsid w:val="061D556A"/>
    <w:rsid w:val="062BCF50"/>
    <w:rsid w:val="062DDEC3"/>
    <w:rsid w:val="06338AF6"/>
    <w:rsid w:val="0633F2D2"/>
    <w:rsid w:val="063AFEB9"/>
    <w:rsid w:val="063D5807"/>
    <w:rsid w:val="0645EA7A"/>
    <w:rsid w:val="064C39FE"/>
    <w:rsid w:val="06526990"/>
    <w:rsid w:val="0655583D"/>
    <w:rsid w:val="0657BC5A"/>
    <w:rsid w:val="0665A0C1"/>
    <w:rsid w:val="066E8015"/>
    <w:rsid w:val="06700A96"/>
    <w:rsid w:val="0670B591"/>
    <w:rsid w:val="06764DC2"/>
    <w:rsid w:val="068BDCB8"/>
    <w:rsid w:val="068CB7CB"/>
    <w:rsid w:val="068F0883"/>
    <w:rsid w:val="069AB00F"/>
    <w:rsid w:val="069E0FEA"/>
    <w:rsid w:val="06A20C9A"/>
    <w:rsid w:val="06A25A38"/>
    <w:rsid w:val="06A61A3B"/>
    <w:rsid w:val="06B31106"/>
    <w:rsid w:val="06B35A38"/>
    <w:rsid w:val="06B37749"/>
    <w:rsid w:val="06BA9FDD"/>
    <w:rsid w:val="06C536EA"/>
    <w:rsid w:val="06C7F901"/>
    <w:rsid w:val="06D29DD3"/>
    <w:rsid w:val="06DFE935"/>
    <w:rsid w:val="06E2C220"/>
    <w:rsid w:val="06E33933"/>
    <w:rsid w:val="06E4B08B"/>
    <w:rsid w:val="06E50374"/>
    <w:rsid w:val="06E51775"/>
    <w:rsid w:val="06E64EA4"/>
    <w:rsid w:val="06F37F92"/>
    <w:rsid w:val="06F9CD25"/>
    <w:rsid w:val="06FA66A3"/>
    <w:rsid w:val="06FF36F5"/>
    <w:rsid w:val="0702BEFD"/>
    <w:rsid w:val="071016B7"/>
    <w:rsid w:val="0725D3E4"/>
    <w:rsid w:val="0726CDBC"/>
    <w:rsid w:val="073C03E1"/>
    <w:rsid w:val="073E870A"/>
    <w:rsid w:val="07425188"/>
    <w:rsid w:val="074274F9"/>
    <w:rsid w:val="0743A357"/>
    <w:rsid w:val="0747C332"/>
    <w:rsid w:val="074B3AF5"/>
    <w:rsid w:val="07592642"/>
    <w:rsid w:val="075C1FE7"/>
    <w:rsid w:val="075F9EA0"/>
    <w:rsid w:val="07628A9B"/>
    <w:rsid w:val="07633C71"/>
    <w:rsid w:val="07644C2F"/>
    <w:rsid w:val="07675938"/>
    <w:rsid w:val="076C707F"/>
    <w:rsid w:val="076D96DB"/>
    <w:rsid w:val="077A7EA6"/>
    <w:rsid w:val="078D154C"/>
    <w:rsid w:val="07A14409"/>
    <w:rsid w:val="07AD6CFD"/>
    <w:rsid w:val="07C02978"/>
    <w:rsid w:val="07C5C131"/>
    <w:rsid w:val="07C93E24"/>
    <w:rsid w:val="07CEB110"/>
    <w:rsid w:val="07D72615"/>
    <w:rsid w:val="07DE207D"/>
    <w:rsid w:val="07E0DE56"/>
    <w:rsid w:val="07E3DC71"/>
    <w:rsid w:val="07F3D42E"/>
    <w:rsid w:val="07F847BE"/>
    <w:rsid w:val="07FC440F"/>
    <w:rsid w:val="07FD4FE5"/>
    <w:rsid w:val="08005CA7"/>
    <w:rsid w:val="0801D649"/>
    <w:rsid w:val="08032E53"/>
    <w:rsid w:val="0806CC03"/>
    <w:rsid w:val="080910CD"/>
    <w:rsid w:val="080E7705"/>
    <w:rsid w:val="08175C85"/>
    <w:rsid w:val="0821D52B"/>
    <w:rsid w:val="08220A4A"/>
    <w:rsid w:val="0822E26D"/>
    <w:rsid w:val="08266CB4"/>
    <w:rsid w:val="0829E6C8"/>
    <w:rsid w:val="082CB6C0"/>
    <w:rsid w:val="083AD4EA"/>
    <w:rsid w:val="083AE492"/>
    <w:rsid w:val="083B2CBF"/>
    <w:rsid w:val="0840E75B"/>
    <w:rsid w:val="0848FE11"/>
    <w:rsid w:val="084BF9E8"/>
    <w:rsid w:val="084C55B5"/>
    <w:rsid w:val="08501AA1"/>
    <w:rsid w:val="08548045"/>
    <w:rsid w:val="0854CCFE"/>
    <w:rsid w:val="08654301"/>
    <w:rsid w:val="086D7B3D"/>
    <w:rsid w:val="0870877F"/>
    <w:rsid w:val="0898B71F"/>
    <w:rsid w:val="089A59E6"/>
    <w:rsid w:val="089DF1BA"/>
    <w:rsid w:val="089FA40B"/>
    <w:rsid w:val="08A6C444"/>
    <w:rsid w:val="08AF27B0"/>
    <w:rsid w:val="08B0C7D4"/>
    <w:rsid w:val="08B79027"/>
    <w:rsid w:val="08B796C9"/>
    <w:rsid w:val="08BFE611"/>
    <w:rsid w:val="08C4CEF2"/>
    <w:rsid w:val="08D86FB8"/>
    <w:rsid w:val="08E1A649"/>
    <w:rsid w:val="08EF28FB"/>
    <w:rsid w:val="08FEEF49"/>
    <w:rsid w:val="09022532"/>
    <w:rsid w:val="09045BA1"/>
    <w:rsid w:val="0904817A"/>
    <w:rsid w:val="0906005B"/>
    <w:rsid w:val="090668D0"/>
    <w:rsid w:val="090A30FB"/>
    <w:rsid w:val="090C825A"/>
    <w:rsid w:val="09190C29"/>
    <w:rsid w:val="091A0E6E"/>
    <w:rsid w:val="092068C0"/>
    <w:rsid w:val="092286A2"/>
    <w:rsid w:val="09360A99"/>
    <w:rsid w:val="093B1A6D"/>
    <w:rsid w:val="093B7DEF"/>
    <w:rsid w:val="093C084D"/>
    <w:rsid w:val="093F4B81"/>
    <w:rsid w:val="094CEC0A"/>
    <w:rsid w:val="09523FA3"/>
    <w:rsid w:val="095371D2"/>
    <w:rsid w:val="09559EC7"/>
    <w:rsid w:val="09567E56"/>
    <w:rsid w:val="095BDCC3"/>
    <w:rsid w:val="09609B3B"/>
    <w:rsid w:val="0961B545"/>
    <w:rsid w:val="09624761"/>
    <w:rsid w:val="0963221A"/>
    <w:rsid w:val="0967AEB3"/>
    <w:rsid w:val="096D2EBF"/>
    <w:rsid w:val="09730803"/>
    <w:rsid w:val="09735C2C"/>
    <w:rsid w:val="09741E9B"/>
    <w:rsid w:val="097C0AFA"/>
    <w:rsid w:val="097D5054"/>
    <w:rsid w:val="097F21DB"/>
    <w:rsid w:val="0984DE28"/>
    <w:rsid w:val="0985F8B9"/>
    <w:rsid w:val="098EEF78"/>
    <w:rsid w:val="098FA2C6"/>
    <w:rsid w:val="09934895"/>
    <w:rsid w:val="0998C88F"/>
    <w:rsid w:val="09A168A2"/>
    <w:rsid w:val="09A802FB"/>
    <w:rsid w:val="09A81E00"/>
    <w:rsid w:val="09ADB2BE"/>
    <w:rsid w:val="09AFB799"/>
    <w:rsid w:val="09B6475E"/>
    <w:rsid w:val="09B6FB76"/>
    <w:rsid w:val="09B8F257"/>
    <w:rsid w:val="09BBBFAC"/>
    <w:rsid w:val="09BF9FD9"/>
    <w:rsid w:val="09BFCAED"/>
    <w:rsid w:val="09CD6CF8"/>
    <w:rsid w:val="09CEDC83"/>
    <w:rsid w:val="09DD26B9"/>
    <w:rsid w:val="09EC405B"/>
    <w:rsid w:val="09F0C743"/>
    <w:rsid w:val="09F35692"/>
    <w:rsid w:val="09F4EC98"/>
    <w:rsid w:val="09F7E31A"/>
    <w:rsid w:val="09F85E49"/>
    <w:rsid w:val="0A08A81F"/>
    <w:rsid w:val="0A090597"/>
    <w:rsid w:val="0A0F5671"/>
    <w:rsid w:val="0A118627"/>
    <w:rsid w:val="0A1B1A45"/>
    <w:rsid w:val="0A1D53C0"/>
    <w:rsid w:val="0A2170DF"/>
    <w:rsid w:val="0A2A6185"/>
    <w:rsid w:val="0A2DAEAF"/>
    <w:rsid w:val="0A2EA724"/>
    <w:rsid w:val="0A337670"/>
    <w:rsid w:val="0A36D304"/>
    <w:rsid w:val="0A409B71"/>
    <w:rsid w:val="0A4E0C8C"/>
    <w:rsid w:val="0A54AC79"/>
    <w:rsid w:val="0A575832"/>
    <w:rsid w:val="0A57D4EA"/>
    <w:rsid w:val="0A58524D"/>
    <w:rsid w:val="0A591F26"/>
    <w:rsid w:val="0A5D2195"/>
    <w:rsid w:val="0A619A01"/>
    <w:rsid w:val="0A659825"/>
    <w:rsid w:val="0A65FCBA"/>
    <w:rsid w:val="0A6CE23F"/>
    <w:rsid w:val="0A6F31B3"/>
    <w:rsid w:val="0A72A569"/>
    <w:rsid w:val="0A75B0F4"/>
    <w:rsid w:val="0A7A6CE4"/>
    <w:rsid w:val="0A8011E5"/>
    <w:rsid w:val="0A87B2D6"/>
    <w:rsid w:val="0A8A44B7"/>
    <w:rsid w:val="0A8DCD9A"/>
    <w:rsid w:val="0A8FD28C"/>
    <w:rsid w:val="0A9015CF"/>
    <w:rsid w:val="0A95EAB1"/>
    <w:rsid w:val="0A9C7C04"/>
    <w:rsid w:val="0A9F7467"/>
    <w:rsid w:val="0AA2E23E"/>
    <w:rsid w:val="0AB1C5E9"/>
    <w:rsid w:val="0AB22540"/>
    <w:rsid w:val="0AB80CC1"/>
    <w:rsid w:val="0AB8CABB"/>
    <w:rsid w:val="0AB9782D"/>
    <w:rsid w:val="0ABAF7D2"/>
    <w:rsid w:val="0ABCC848"/>
    <w:rsid w:val="0AC03C03"/>
    <w:rsid w:val="0AC43029"/>
    <w:rsid w:val="0AC63C37"/>
    <w:rsid w:val="0ACCDE21"/>
    <w:rsid w:val="0ACD3D4C"/>
    <w:rsid w:val="0ACF06BC"/>
    <w:rsid w:val="0AD18041"/>
    <w:rsid w:val="0AD1B17D"/>
    <w:rsid w:val="0AD3E7D2"/>
    <w:rsid w:val="0AD746D0"/>
    <w:rsid w:val="0ADEB0E2"/>
    <w:rsid w:val="0AE1C8EE"/>
    <w:rsid w:val="0AE39B7A"/>
    <w:rsid w:val="0AE4F1E7"/>
    <w:rsid w:val="0AE52477"/>
    <w:rsid w:val="0AE658FA"/>
    <w:rsid w:val="0AE65969"/>
    <w:rsid w:val="0AFE5760"/>
    <w:rsid w:val="0B01DFF5"/>
    <w:rsid w:val="0B08CA02"/>
    <w:rsid w:val="0B0E37CD"/>
    <w:rsid w:val="0B0F91FF"/>
    <w:rsid w:val="0B14F9F8"/>
    <w:rsid w:val="0B2B1E28"/>
    <w:rsid w:val="0B3754A4"/>
    <w:rsid w:val="0B3F608D"/>
    <w:rsid w:val="0B44FE35"/>
    <w:rsid w:val="0B482D6F"/>
    <w:rsid w:val="0B488724"/>
    <w:rsid w:val="0B4D308D"/>
    <w:rsid w:val="0B54A83F"/>
    <w:rsid w:val="0B5AEF9E"/>
    <w:rsid w:val="0B60455C"/>
    <w:rsid w:val="0B738065"/>
    <w:rsid w:val="0B73DE5E"/>
    <w:rsid w:val="0B758EDD"/>
    <w:rsid w:val="0B772E38"/>
    <w:rsid w:val="0B798572"/>
    <w:rsid w:val="0B91BB1D"/>
    <w:rsid w:val="0B9273EC"/>
    <w:rsid w:val="0B97A325"/>
    <w:rsid w:val="0B9D322D"/>
    <w:rsid w:val="0B9D4A1A"/>
    <w:rsid w:val="0BAA9DCA"/>
    <w:rsid w:val="0BB462D7"/>
    <w:rsid w:val="0BB521C8"/>
    <w:rsid w:val="0BB7497C"/>
    <w:rsid w:val="0BBBDCA8"/>
    <w:rsid w:val="0BD45E72"/>
    <w:rsid w:val="0BD91E6A"/>
    <w:rsid w:val="0BDD1AFC"/>
    <w:rsid w:val="0BDE25E9"/>
    <w:rsid w:val="0BE53741"/>
    <w:rsid w:val="0BE566D8"/>
    <w:rsid w:val="0BE83A1C"/>
    <w:rsid w:val="0BF2AB53"/>
    <w:rsid w:val="0BF4EBB1"/>
    <w:rsid w:val="0BF9AB89"/>
    <w:rsid w:val="0BFFB509"/>
    <w:rsid w:val="0C002045"/>
    <w:rsid w:val="0C0B965A"/>
    <w:rsid w:val="0C0EBEE8"/>
    <w:rsid w:val="0C17F8F9"/>
    <w:rsid w:val="0C1A91DD"/>
    <w:rsid w:val="0C1B4E3D"/>
    <w:rsid w:val="0C1B53F6"/>
    <w:rsid w:val="0C24ED4B"/>
    <w:rsid w:val="0C296245"/>
    <w:rsid w:val="0C32ECA2"/>
    <w:rsid w:val="0C3DD74B"/>
    <w:rsid w:val="0C3F5495"/>
    <w:rsid w:val="0C5A0C1A"/>
    <w:rsid w:val="0C5D2BBF"/>
    <w:rsid w:val="0C693FE0"/>
    <w:rsid w:val="0C69505B"/>
    <w:rsid w:val="0C6B2EA0"/>
    <w:rsid w:val="0C6C2EE4"/>
    <w:rsid w:val="0C6D7FF0"/>
    <w:rsid w:val="0C6EEABF"/>
    <w:rsid w:val="0C777FD6"/>
    <w:rsid w:val="0C7E5814"/>
    <w:rsid w:val="0C8193BF"/>
    <w:rsid w:val="0C896CB5"/>
    <w:rsid w:val="0C8B23A2"/>
    <w:rsid w:val="0C8FFF77"/>
    <w:rsid w:val="0C909A48"/>
    <w:rsid w:val="0C95400F"/>
    <w:rsid w:val="0CA146EB"/>
    <w:rsid w:val="0CA4713B"/>
    <w:rsid w:val="0CAB27BB"/>
    <w:rsid w:val="0CAF2ED4"/>
    <w:rsid w:val="0CB90F85"/>
    <w:rsid w:val="0CBD0F2B"/>
    <w:rsid w:val="0CBD7A75"/>
    <w:rsid w:val="0CC1D3A4"/>
    <w:rsid w:val="0CC4444C"/>
    <w:rsid w:val="0CCA20AA"/>
    <w:rsid w:val="0CCD55A4"/>
    <w:rsid w:val="0CD07DCE"/>
    <w:rsid w:val="0CD600E0"/>
    <w:rsid w:val="0CD9091E"/>
    <w:rsid w:val="0CDA8C72"/>
    <w:rsid w:val="0CDD5D15"/>
    <w:rsid w:val="0CE311D5"/>
    <w:rsid w:val="0CE7E9C4"/>
    <w:rsid w:val="0CE8618A"/>
    <w:rsid w:val="0CF21210"/>
    <w:rsid w:val="0CF63EE8"/>
    <w:rsid w:val="0CFEEBC5"/>
    <w:rsid w:val="0D0EDF7E"/>
    <w:rsid w:val="0D175C00"/>
    <w:rsid w:val="0D1DF22F"/>
    <w:rsid w:val="0D227D37"/>
    <w:rsid w:val="0D30C21B"/>
    <w:rsid w:val="0D34DFC4"/>
    <w:rsid w:val="0D36032C"/>
    <w:rsid w:val="0D39DA17"/>
    <w:rsid w:val="0D3CCA66"/>
    <w:rsid w:val="0D49D0F6"/>
    <w:rsid w:val="0D4BE182"/>
    <w:rsid w:val="0D4DA843"/>
    <w:rsid w:val="0D554A81"/>
    <w:rsid w:val="0D59C0EC"/>
    <w:rsid w:val="0D5CA395"/>
    <w:rsid w:val="0D5F1979"/>
    <w:rsid w:val="0D5FE343"/>
    <w:rsid w:val="0D5FF945"/>
    <w:rsid w:val="0D62D3D9"/>
    <w:rsid w:val="0D71DBB5"/>
    <w:rsid w:val="0D72BF11"/>
    <w:rsid w:val="0D7492A5"/>
    <w:rsid w:val="0D74C7A3"/>
    <w:rsid w:val="0D75830B"/>
    <w:rsid w:val="0D7633C4"/>
    <w:rsid w:val="0D7D4095"/>
    <w:rsid w:val="0D7DFC9E"/>
    <w:rsid w:val="0D7E9FCB"/>
    <w:rsid w:val="0D8C6F50"/>
    <w:rsid w:val="0D8DD192"/>
    <w:rsid w:val="0D9071D2"/>
    <w:rsid w:val="0DA0AF7D"/>
    <w:rsid w:val="0DA49AC7"/>
    <w:rsid w:val="0DA8D151"/>
    <w:rsid w:val="0DAB6E57"/>
    <w:rsid w:val="0DAB833B"/>
    <w:rsid w:val="0DAD5A87"/>
    <w:rsid w:val="0DB33649"/>
    <w:rsid w:val="0DB7093A"/>
    <w:rsid w:val="0DBBBECD"/>
    <w:rsid w:val="0DBD9D9E"/>
    <w:rsid w:val="0DBEBD48"/>
    <w:rsid w:val="0DCEA889"/>
    <w:rsid w:val="0DCECDD2"/>
    <w:rsid w:val="0DD71515"/>
    <w:rsid w:val="0DDA0FA8"/>
    <w:rsid w:val="0DDB0570"/>
    <w:rsid w:val="0DDD2AE7"/>
    <w:rsid w:val="0DDF5606"/>
    <w:rsid w:val="0DE2A6B0"/>
    <w:rsid w:val="0DE2DD23"/>
    <w:rsid w:val="0DE30976"/>
    <w:rsid w:val="0DE6F60B"/>
    <w:rsid w:val="0DE8DF29"/>
    <w:rsid w:val="0DE9CE15"/>
    <w:rsid w:val="0DEA89FE"/>
    <w:rsid w:val="0DEAD47B"/>
    <w:rsid w:val="0DEB172B"/>
    <w:rsid w:val="0DF86E3A"/>
    <w:rsid w:val="0DF97943"/>
    <w:rsid w:val="0DFA7361"/>
    <w:rsid w:val="0E07FA37"/>
    <w:rsid w:val="0E12A479"/>
    <w:rsid w:val="0E18B573"/>
    <w:rsid w:val="0E2672AB"/>
    <w:rsid w:val="0E26C2BF"/>
    <w:rsid w:val="0E2CB09C"/>
    <w:rsid w:val="0E2E632C"/>
    <w:rsid w:val="0E31ABC4"/>
    <w:rsid w:val="0E31ABD0"/>
    <w:rsid w:val="0E39A561"/>
    <w:rsid w:val="0E43E4C5"/>
    <w:rsid w:val="0E474B02"/>
    <w:rsid w:val="0E5216DA"/>
    <w:rsid w:val="0E56686E"/>
    <w:rsid w:val="0E5A4F66"/>
    <w:rsid w:val="0E62C62B"/>
    <w:rsid w:val="0E633E0C"/>
    <w:rsid w:val="0E6DB45C"/>
    <w:rsid w:val="0E6DD2F2"/>
    <w:rsid w:val="0E6F1728"/>
    <w:rsid w:val="0E76E41D"/>
    <w:rsid w:val="0E7A2E2B"/>
    <w:rsid w:val="0E82AB16"/>
    <w:rsid w:val="0E8C23C7"/>
    <w:rsid w:val="0E9196AF"/>
    <w:rsid w:val="0E9810EB"/>
    <w:rsid w:val="0E9D293E"/>
    <w:rsid w:val="0E9DBA71"/>
    <w:rsid w:val="0EA355C2"/>
    <w:rsid w:val="0EA668FA"/>
    <w:rsid w:val="0EB2A04D"/>
    <w:rsid w:val="0EC1AA99"/>
    <w:rsid w:val="0EC2DB86"/>
    <w:rsid w:val="0EC6FDBE"/>
    <w:rsid w:val="0EC8FC88"/>
    <w:rsid w:val="0ECFA4EA"/>
    <w:rsid w:val="0ECFB037"/>
    <w:rsid w:val="0ED0C2CB"/>
    <w:rsid w:val="0ED2C323"/>
    <w:rsid w:val="0EE285F5"/>
    <w:rsid w:val="0EF1ED66"/>
    <w:rsid w:val="0EF414FB"/>
    <w:rsid w:val="0EFA9777"/>
    <w:rsid w:val="0F037150"/>
    <w:rsid w:val="0F11D85D"/>
    <w:rsid w:val="0F1A3C9A"/>
    <w:rsid w:val="0F360749"/>
    <w:rsid w:val="0F4105B5"/>
    <w:rsid w:val="0F457372"/>
    <w:rsid w:val="0F462BA9"/>
    <w:rsid w:val="0F4E783E"/>
    <w:rsid w:val="0F5069C8"/>
    <w:rsid w:val="0F5433AB"/>
    <w:rsid w:val="0F554D23"/>
    <w:rsid w:val="0F6613B2"/>
    <w:rsid w:val="0F6DB689"/>
    <w:rsid w:val="0F6E96ED"/>
    <w:rsid w:val="0F6EEEF3"/>
    <w:rsid w:val="0F73FE0E"/>
    <w:rsid w:val="0F7CB78A"/>
    <w:rsid w:val="0F7FAE30"/>
    <w:rsid w:val="0F83E699"/>
    <w:rsid w:val="0F856E2F"/>
    <w:rsid w:val="0F875E14"/>
    <w:rsid w:val="0F91E3D9"/>
    <w:rsid w:val="0F9B4467"/>
    <w:rsid w:val="0FA31CB4"/>
    <w:rsid w:val="0FA3566A"/>
    <w:rsid w:val="0FAF956B"/>
    <w:rsid w:val="0FB4D3A2"/>
    <w:rsid w:val="0FB807AD"/>
    <w:rsid w:val="0FB97D5F"/>
    <w:rsid w:val="0FBB6F88"/>
    <w:rsid w:val="0FC24E5F"/>
    <w:rsid w:val="0FC49125"/>
    <w:rsid w:val="0FC8B7B4"/>
    <w:rsid w:val="0FCE30BF"/>
    <w:rsid w:val="0FCF2F01"/>
    <w:rsid w:val="0FD3ABAA"/>
    <w:rsid w:val="0FD48227"/>
    <w:rsid w:val="0FD58D71"/>
    <w:rsid w:val="0FD6E111"/>
    <w:rsid w:val="0FD7D269"/>
    <w:rsid w:val="0FDCC490"/>
    <w:rsid w:val="0FDD35B1"/>
    <w:rsid w:val="0FE56E0D"/>
    <w:rsid w:val="0FE8ABFD"/>
    <w:rsid w:val="0FEF3063"/>
    <w:rsid w:val="0FF16759"/>
    <w:rsid w:val="0FFE1A12"/>
    <w:rsid w:val="0FFF5A62"/>
    <w:rsid w:val="10073DFD"/>
    <w:rsid w:val="100A9D78"/>
    <w:rsid w:val="101DD76F"/>
    <w:rsid w:val="10265C26"/>
    <w:rsid w:val="1028A498"/>
    <w:rsid w:val="1030DCCD"/>
    <w:rsid w:val="1033FDFF"/>
    <w:rsid w:val="10362088"/>
    <w:rsid w:val="10368328"/>
    <w:rsid w:val="1042CCB7"/>
    <w:rsid w:val="1046911E"/>
    <w:rsid w:val="1049AE72"/>
    <w:rsid w:val="104A3434"/>
    <w:rsid w:val="1057C6E1"/>
    <w:rsid w:val="105892B2"/>
    <w:rsid w:val="10590841"/>
    <w:rsid w:val="105AD5D4"/>
    <w:rsid w:val="105D792F"/>
    <w:rsid w:val="105F9F36"/>
    <w:rsid w:val="106DAD44"/>
    <w:rsid w:val="107547A7"/>
    <w:rsid w:val="107557A5"/>
    <w:rsid w:val="108004C2"/>
    <w:rsid w:val="10860038"/>
    <w:rsid w:val="10909EC2"/>
    <w:rsid w:val="1092FF5F"/>
    <w:rsid w:val="1095DFCA"/>
    <w:rsid w:val="10A11E03"/>
    <w:rsid w:val="10A4243B"/>
    <w:rsid w:val="10A7814B"/>
    <w:rsid w:val="10B23E48"/>
    <w:rsid w:val="10BB3FDD"/>
    <w:rsid w:val="10CE36BD"/>
    <w:rsid w:val="10D56B16"/>
    <w:rsid w:val="10D81D1D"/>
    <w:rsid w:val="10DB15F4"/>
    <w:rsid w:val="10E4BAEF"/>
    <w:rsid w:val="10EB6975"/>
    <w:rsid w:val="10ED3FC7"/>
    <w:rsid w:val="10F293B0"/>
    <w:rsid w:val="10FAC009"/>
    <w:rsid w:val="10FCD0C8"/>
    <w:rsid w:val="110AAC87"/>
    <w:rsid w:val="110AD148"/>
    <w:rsid w:val="111BFC2D"/>
    <w:rsid w:val="111E562E"/>
    <w:rsid w:val="1123F924"/>
    <w:rsid w:val="1128868F"/>
    <w:rsid w:val="112B9CEC"/>
    <w:rsid w:val="1133AC17"/>
    <w:rsid w:val="11348986"/>
    <w:rsid w:val="11384EFD"/>
    <w:rsid w:val="113BB04D"/>
    <w:rsid w:val="114FED0A"/>
    <w:rsid w:val="1151E443"/>
    <w:rsid w:val="1156604A"/>
    <w:rsid w:val="115B1BCE"/>
    <w:rsid w:val="1160D499"/>
    <w:rsid w:val="1164011C"/>
    <w:rsid w:val="116788D3"/>
    <w:rsid w:val="116789D7"/>
    <w:rsid w:val="116D93D8"/>
    <w:rsid w:val="117108B8"/>
    <w:rsid w:val="1175A07F"/>
    <w:rsid w:val="1178BE85"/>
    <w:rsid w:val="117ADE33"/>
    <w:rsid w:val="117B9378"/>
    <w:rsid w:val="11856557"/>
    <w:rsid w:val="118E1CAE"/>
    <w:rsid w:val="118E84A8"/>
    <w:rsid w:val="11938D64"/>
    <w:rsid w:val="119C1A08"/>
    <w:rsid w:val="11A3AB52"/>
    <w:rsid w:val="11A5A2EB"/>
    <w:rsid w:val="11AA655C"/>
    <w:rsid w:val="11B660B4"/>
    <w:rsid w:val="11B7D2FB"/>
    <w:rsid w:val="11B94D62"/>
    <w:rsid w:val="11C1572E"/>
    <w:rsid w:val="11CA2CC6"/>
    <w:rsid w:val="11CB5D29"/>
    <w:rsid w:val="11CDD78A"/>
    <w:rsid w:val="11D0FA72"/>
    <w:rsid w:val="11D5E2EE"/>
    <w:rsid w:val="11DAB288"/>
    <w:rsid w:val="11E1502E"/>
    <w:rsid w:val="11E3C9A1"/>
    <w:rsid w:val="11EAC478"/>
    <w:rsid w:val="11F081CB"/>
    <w:rsid w:val="11F3DC3B"/>
    <w:rsid w:val="11F41CDB"/>
    <w:rsid w:val="11F57F9A"/>
    <w:rsid w:val="11FCE6CA"/>
    <w:rsid w:val="12011665"/>
    <w:rsid w:val="1205A786"/>
    <w:rsid w:val="120838BB"/>
    <w:rsid w:val="120CCC33"/>
    <w:rsid w:val="120DD2C9"/>
    <w:rsid w:val="12106FE8"/>
    <w:rsid w:val="1211B58E"/>
    <w:rsid w:val="12201E8E"/>
    <w:rsid w:val="122C4B73"/>
    <w:rsid w:val="12307D99"/>
    <w:rsid w:val="123286EA"/>
    <w:rsid w:val="123BBF3B"/>
    <w:rsid w:val="1240C8A8"/>
    <w:rsid w:val="1241A065"/>
    <w:rsid w:val="12478B8C"/>
    <w:rsid w:val="12484B18"/>
    <w:rsid w:val="124C1CEF"/>
    <w:rsid w:val="12533A02"/>
    <w:rsid w:val="1256AA41"/>
    <w:rsid w:val="125ED2CD"/>
    <w:rsid w:val="12617D0D"/>
    <w:rsid w:val="1263B276"/>
    <w:rsid w:val="126A9EAB"/>
    <w:rsid w:val="127AD30A"/>
    <w:rsid w:val="127F6B07"/>
    <w:rsid w:val="128ABDD7"/>
    <w:rsid w:val="128EA8ED"/>
    <w:rsid w:val="1291C2FB"/>
    <w:rsid w:val="12925B8E"/>
    <w:rsid w:val="12942CDA"/>
    <w:rsid w:val="12988CA2"/>
    <w:rsid w:val="129CE183"/>
    <w:rsid w:val="12A12FA5"/>
    <w:rsid w:val="12A2CF73"/>
    <w:rsid w:val="12A5D754"/>
    <w:rsid w:val="12A7140E"/>
    <w:rsid w:val="12A9A9A7"/>
    <w:rsid w:val="12AF08CC"/>
    <w:rsid w:val="12B2BD42"/>
    <w:rsid w:val="12B78A49"/>
    <w:rsid w:val="12B85DDA"/>
    <w:rsid w:val="12BB64C2"/>
    <w:rsid w:val="12D37915"/>
    <w:rsid w:val="12D4D2B7"/>
    <w:rsid w:val="12D78D57"/>
    <w:rsid w:val="12DA8172"/>
    <w:rsid w:val="12E1C3B2"/>
    <w:rsid w:val="12E36898"/>
    <w:rsid w:val="12F6910E"/>
    <w:rsid w:val="12F966FD"/>
    <w:rsid w:val="12FE848F"/>
    <w:rsid w:val="13023CD5"/>
    <w:rsid w:val="1306BBFD"/>
    <w:rsid w:val="1307C0B5"/>
    <w:rsid w:val="130D9EF2"/>
    <w:rsid w:val="1312BFFC"/>
    <w:rsid w:val="131B7EDD"/>
    <w:rsid w:val="131E985D"/>
    <w:rsid w:val="1324F39F"/>
    <w:rsid w:val="1328E184"/>
    <w:rsid w:val="13294A70"/>
    <w:rsid w:val="1331B73B"/>
    <w:rsid w:val="1332A072"/>
    <w:rsid w:val="13377947"/>
    <w:rsid w:val="133F9339"/>
    <w:rsid w:val="13412B93"/>
    <w:rsid w:val="134C39C4"/>
    <w:rsid w:val="134D4320"/>
    <w:rsid w:val="1355FD85"/>
    <w:rsid w:val="13568FCF"/>
    <w:rsid w:val="135C6C47"/>
    <w:rsid w:val="1361E410"/>
    <w:rsid w:val="13646BBF"/>
    <w:rsid w:val="136F4F10"/>
    <w:rsid w:val="1372B7C1"/>
    <w:rsid w:val="137AE89A"/>
    <w:rsid w:val="138615D1"/>
    <w:rsid w:val="138BF118"/>
    <w:rsid w:val="138F950A"/>
    <w:rsid w:val="138FCA7C"/>
    <w:rsid w:val="1399AD5F"/>
    <w:rsid w:val="139A1068"/>
    <w:rsid w:val="139DECD1"/>
    <w:rsid w:val="13A01C64"/>
    <w:rsid w:val="13A102C9"/>
    <w:rsid w:val="13A356F4"/>
    <w:rsid w:val="13A4C7D6"/>
    <w:rsid w:val="13AE76DB"/>
    <w:rsid w:val="13AEDF8B"/>
    <w:rsid w:val="13C1D47A"/>
    <w:rsid w:val="13C3738E"/>
    <w:rsid w:val="13DB5B52"/>
    <w:rsid w:val="13DD8D34"/>
    <w:rsid w:val="13DE6FDD"/>
    <w:rsid w:val="13EB1456"/>
    <w:rsid w:val="13EED3F5"/>
    <w:rsid w:val="13F5D2A4"/>
    <w:rsid w:val="13F6E461"/>
    <w:rsid w:val="13FF7F21"/>
    <w:rsid w:val="1400CA90"/>
    <w:rsid w:val="1411712D"/>
    <w:rsid w:val="1413543E"/>
    <w:rsid w:val="14155A40"/>
    <w:rsid w:val="14164581"/>
    <w:rsid w:val="14165A3D"/>
    <w:rsid w:val="14185CFD"/>
    <w:rsid w:val="142B93E8"/>
    <w:rsid w:val="142D0D5E"/>
    <w:rsid w:val="142E136F"/>
    <w:rsid w:val="14316C93"/>
    <w:rsid w:val="14340153"/>
    <w:rsid w:val="1436FD84"/>
    <w:rsid w:val="143BBD95"/>
    <w:rsid w:val="143E9543"/>
    <w:rsid w:val="143F968F"/>
    <w:rsid w:val="144244B8"/>
    <w:rsid w:val="14598A2D"/>
    <w:rsid w:val="145C99B4"/>
    <w:rsid w:val="14754696"/>
    <w:rsid w:val="14766E74"/>
    <w:rsid w:val="148A0CE5"/>
    <w:rsid w:val="148AD07A"/>
    <w:rsid w:val="148B3ABA"/>
    <w:rsid w:val="148D85DF"/>
    <w:rsid w:val="148F77EB"/>
    <w:rsid w:val="14984076"/>
    <w:rsid w:val="14AFD278"/>
    <w:rsid w:val="14B09741"/>
    <w:rsid w:val="14BF9FE2"/>
    <w:rsid w:val="14C1392F"/>
    <w:rsid w:val="14C16ECC"/>
    <w:rsid w:val="14C8D0F7"/>
    <w:rsid w:val="14D86A29"/>
    <w:rsid w:val="14DB0233"/>
    <w:rsid w:val="14DEC7E0"/>
    <w:rsid w:val="14E017A6"/>
    <w:rsid w:val="14E1C610"/>
    <w:rsid w:val="14E4D390"/>
    <w:rsid w:val="14E578B5"/>
    <w:rsid w:val="14E84E77"/>
    <w:rsid w:val="14F1ACD2"/>
    <w:rsid w:val="14F5775F"/>
    <w:rsid w:val="1500CBA1"/>
    <w:rsid w:val="15082172"/>
    <w:rsid w:val="150E823A"/>
    <w:rsid w:val="151D1261"/>
    <w:rsid w:val="1531F68D"/>
    <w:rsid w:val="15321A37"/>
    <w:rsid w:val="1535A955"/>
    <w:rsid w:val="15374A9A"/>
    <w:rsid w:val="1538DF5D"/>
    <w:rsid w:val="154000F3"/>
    <w:rsid w:val="15423AF1"/>
    <w:rsid w:val="154263F5"/>
    <w:rsid w:val="15464133"/>
    <w:rsid w:val="154AC44D"/>
    <w:rsid w:val="154BCF87"/>
    <w:rsid w:val="154C81E5"/>
    <w:rsid w:val="155297C7"/>
    <w:rsid w:val="1553A115"/>
    <w:rsid w:val="1553BF4A"/>
    <w:rsid w:val="155E318B"/>
    <w:rsid w:val="155F6A1E"/>
    <w:rsid w:val="15677681"/>
    <w:rsid w:val="1569F958"/>
    <w:rsid w:val="156C3376"/>
    <w:rsid w:val="1573422C"/>
    <w:rsid w:val="1574921D"/>
    <w:rsid w:val="1579246D"/>
    <w:rsid w:val="157A274B"/>
    <w:rsid w:val="1584013C"/>
    <w:rsid w:val="158683CB"/>
    <w:rsid w:val="158687DC"/>
    <w:rsid w:val="158C9AE5"/>
    <w:rsid w:val="159832D4"/>
    <w:rsid w:val="15993077"/>
    <w:rsid w:val="159A3479"/>
    <w:rsid w:val="159EF13C"/>
    <w:rsid w:val="15A591B6"/>
    <w:rsid w:val="15ACC63E"/>
    <w:rsid w:val="15B2BC42"/>
    <w:rsid w:val="15B9B160"/>
    <w:rsid w:val="15C89676"/>
    <w:rsid w:val="15CC250E"/>
    <w:rsid w:val="15D52E3A"/>
    <w:rsid w:val="15D8A96E"/>
    <w:rsid w:val="15F41A36"/>
    <w:rsid w:val="15F6B1EE"/>
    <w:rsid w:val="15FBAD93"/>
    <w:rsid w:val="16035580"/>
    <w:rsid w:val="16044904"/>
    <w:rsid w:val="16089266"/>
    <w:rsid w:val="160ED516"/>
    <w:rsid w:val="160FCCB1"/>
    <w:rsid w:val="1620006E"/>
    <w:rsid w:val="1620D5DB"/>
    <w:rsid w:val="1629BD62"/>
    <w:rsid w:val="163233F0"/>
    <w:rsid w:val="163F0553"/>
    <w:rsid w:val="16433773"/>
    <w:rsid w:val="164397EA"/>
    <w:rsid w:val="1644E0FD"/>
    <w:rsid w:val="164A5AC3"/>
    <w:rsid w:val="164C4A13"/>
    <w:rsid w:val="164CE937"/>
    <w:rsid w:val="165051BF"/>
    <w:rsid w:val="1651ABF2"/>
    <w:rsid w:val="1657D3F8"/>
    <w:rsid w:val="16581DFA"/>
    <w:rsid w:val="165948F5"/>
    <w:rsid w:val="1662B96F"/>
    <w:rsid w:val="166BFE27"/>
    <w:rsid w:val="166F2623"/>
    <w:rsid w:val="16722E0E"/>
    <w:rsid w:val="167BB669"/>
    <w:rsid w:val="1682C818"/>
    <w:rsid w:val="16837230"/>
    <w:rsid w:val="1684F523"/>
    <w:rsid w:val="168CE2E8"/>
    <w:rsid w:val="168FFAEC"/>
    <w:rsid w:val="16A5281E"/>
    <w:rsid w:val="16AAF5FE"/>
    <w:rsid w:val="16B25D99"/>
    <w:rsid w:val="16B6B848"/>
    <w:rsid w:val="16C0243C"/>
    <w:rsid w:val="16C428F0"/>
    <w:rsid w:val="16C99470"/>
    <w:rsid w:val="16C9A140"/>
    <w:rsid w:val="16D1910C"/>
    <w:rsid w:val="16D38BEB"/>
    <w:rsid w:val="16E7EEA2"/>
    <w:rsid w:val="16EC7C49"/>
    <w:rsid w:val="16F1D004"/>
    <w:rsid w:val="16F44704"/>
    <w:rsid w:val="16F7EC90"/>
    <w:rsid w:val="16FA410A"/>
    <w:rsid w:val="16FA8C28"/>
    <w:rsid w:val="16FD2C52"/>
    <w:rsid w:val="1701FB09"/>
    <w:rsid w:val="170787F4"/>
    <w:rsid w:val="171407A7"/>
    <w:rsid w:val="17147CD5"/>
    <w:rsid w:val="171A1F6B"/>
    <w:rsid w:val="171A9FF3"/>
    <w:rsid w:val="172141CC"/>
    <w:rsid w:val="1726E561"/>
    <w:rsid w:val="172772DE"/>
    <w:rsid w:val="17318AA7"/>
    <w:rsid w:val="1731FC1D"/>
    <w:rsid w:val="1732D65D"/>
    <w:rsid w:val="173EB2D9"/>
    <w:rsid w:val="174F599A"/>
    <w:rsid w:val="175DF9D4"/>
    <w:rsid w:val="175EC8A5"/>
    <w:rsid w:val="175F135F"/>
    <w:rsid w:val="1767F65A"/>
    <w:rsid w:val="1769804A"/>
    <w:rsid w:val="176FFA87"/>
    <w:rsid w:val="1779DCB1"/>
    <w:rsid w:val="177C3215"/>
    <w:rsid w:val="17881D6F"/>
    <w:rsid w:val="17886D32"/>
    <w:rsid w:val="178DF791"/>
    <w:rsid w:val="1791D075"/>
    <w:rsid w:val="17981AEE"/>
    <w:rsid w:val="17ADCDD3"/>
    <w:rsid w:val="17AFC68A"/>
    <w:rsid w:val="17AFF8CE"/>
    <w:rsid w:val="17B86669"/>
    <w:rsid w:val="17C40873"/>
    <w:rsid w:val="17C91750"/>
    <w:rsid w:val="17CC1E30"/>
    <w:rsid w:val="17D043D3"/>
    <w:rsid w:val="17D04751"/>
    <w:rsid w:val="17D3585D"/>
    <w:rsid w:val="17D4F630"/>
    <w:rsid w:val="17DEB18E"/>
    <w:rsid w:val="17E24604"/>
    <w:rsid w:val="17E4B990"/>
    <w:rsid w:val="17E766EC"/>
    <w:rsid w:val="17EA4311"/>
    <w:rsid w:val="17EE0A30"/>
    <w:rsid w:val="17FCF7AA"/>
    <w:rsid w:val="18009BD2"/>
    <w:rsid w:val="1809EF7E"/>
    <w:rsid w:val="180A0706"/>
    <w:rsid w:val="1811D497"/>
    <w:rsid w:val="18178F12"/>
    <w:rsid w:val="1818380C"/>
    <w:rsid w:val="181CD7A0"/>
    <w:rsid w:val="18210820"/>
    <w:rsid w:val="1830805B"/>
    <w:rsid w:val="18324998"/>
    <w:rsid w:val="18341853"/>
    <w:rsid w:val="183D6262"/>
    <w:rsid w:val="1842EEF6"/>
    <w:rsid w:val="18485F25"/>
    <w:rsid w:val="184C7B04"/>
    <w:rsid w:val="184E046E"/>
    <w:rsid w:val="18513C33"/>
    <w:rsid w:val="185244C7"/>
    <w:rsid w:val="1860F5CB"/>
    <w:rsid w:val="1865F948"/>
    <w:rsid w:val="186A5D7F"/>
    <w:rsid w:val="186B44A3"/>
    <w:rsid w:val="186FBC83"/>
    <w:rsid w:val="1870D3AB"/>
    <w:rsid w:val="1875AB62"/>
    <w:rsid w:val="187E96B1"/>
    <w:rsid w:val="188350E4"/>
    <w:rsid w:val="1888AF0F"/>
    <w:rsid w:val="188DCE18"/>
    <w:rsid w:val="188FF320"/>
    <w:rsid w:val="1893F574"/>
    <w:rsid w:val="1896A02B"/>
    <w:rsid w:val="189D6B5C"/>
    <w:rsid w:val="18A0FB70"/>
    <w:rsid w:val="18A1A209"/>
    <w:rsid w:val="18A394B8"/>
    <w:rsid w:val="18A476AF"/>
    <w:rsid w:val="18A4B8BE"/>
    <w:rsid w:val="18B191E9"/>
    <w:rsid w:val="18B58645"/>
    <w:rsid w:val="18B7962C"/>
    <w:rsid w:val="18B82DCD"/>
    <w:rsid w:val="18BBF6B1"/>
    <w:rsid w:val="18C469C0"/>
    <w:rsid w:val="18CC4300"/>
    <w:rsid w:val="18CF20B7"/>
    <w:rsid w:val="18DD71D1"/>
    <w:rsid w:val="18DFAA54"/>
    <w:rsid w:val="18E942A6"/>
    <w:rsid w:val="18EFFB8D"/>
    <w:rsid w:val="18F25B7D"/>
    <w:rsid w:val="18F7942F"/>
    <w:rsid w:val="1900E924"/>
    <w:rsid w:val="1908500C"/>
    <w:rsid w:val="190A1FCC"/>
    <w:rsid w:val="190BB69E"/>
    <w:rsid w:val="190DE6B5"/>
    <w:rsid w:val="190F2120"/>
    <w:rsid w:val="191A1EB1"/>
    <w:rsid w:val="191F9BEF"/>
    <w:rsid w:val="1921F4D3"/>
    <w:rsid w:val="192AD34D"/>
    <w:rsid w:val="1934DAB6"/>
    <w:rsid w:val="1944E1F9"/>
    <w:rsid w:val="19495262"/>
    <w:rsid w:val="194A53F2"/>
    <w:rsid w:val="194BAE01"/>
    <w:rsid w:val="194D541B"/>
    <w:rsid w:val="194F6412"/>
    <w:rsid w:val="195830CF"/>
    <w:rsid w:val="1958A4E0"/>
    <w:rsid w:val="195EA9DF"/>
    <w:rsid w:val="19621E70"/>
    <w:rsid w:val="196DE976"/>
    <w:rsid w:val="197123A1"/>
    <w:rsid w:val="19721D0E"/>
    <w:rsid w:val="197B612D"/>
    <w:rsid w:val="197C92DA"/>
    <w:rsid w:val="1981A507"/>
    <w:rsid w:val="198860B7"/>
    <w:rsid w:val="198C8A5D"/>
    <w:rsid w:val="199E6B7B"/>
    <w:rsid w:val="199FDADE"/>
    <w:rsid w:val="19A3C2B1"/>
    <w:rsid w:val="19A695A1"/>
    <w:rsid w:val="19AB8C05"/>
    <w:rsid w:val="19AEE4B3"/>
    <w:rsid w:val="19B2503E"/>
    <w:rsid w:val="19BD9164"/>
    <w:rsid w:val="19C87E68"/>
    <w:rsid w:val="19D4E7A2"/>
    <w:rsid w:val="19D67B83"/>
    <w:rsid w:val="19D704D4"/>
    <w:rsid w:val="19D79213"/>
    <w:rsid w:val="19E37C94"/>
    <w:rsid w:val="19E3B519"/>
    <w:rsid w:val="19E45EA7"/>
    <w:rsid w:val="19E5825F"/>
    <w:rsid w:val="19F52FA6"/>
    <w:rsid w:val="1A06B109"/>
    <w:rsid w:val="1A06F93A"/>
    <w:rsid w:val="1A0B0DA9"/>
    <w:rsid w:val="1A0B4BC5"/>
    <w:rsid w:val="1A11BBB0"/>
    <w:rsid w:val="1A13C30F"/>
    <w:rsid w:val="1A161CD3"/>
    <w:rsid w:val="1A1D6B6F"/>
    <w:rsid w:val="1A20F9F4"/>
    <w:rsid w:val="1A244A6F"/>
    <w:rsid w:val="1A24F536"/>
    <w:rsid w:val="1A285159"/>
    <w:rsid w:val="1A28EDB6"/>
    <w:rsid w:val="1A29436B"/>
    <w:rsid w:val="1A295F97"/>
    <w:rsid w:val="1A2AD53D"/>
    <w:rsid w:val="1A3891B7"/>
    <w:rsid w:val="1A4ABBEF"/>
    <w:rsid w:val="1A4CF3B5"/>
    <w:rsid w:val="1A4F7586"/>
    <w:rsid w:val="1A53ADA7"/>
    <w:rsid w:val="1A5749B8"/>
    <w:rsid w:val="1A57BA3A"/>
    <w:rsid w:val="1A599F07"/>
    <w:rsid w:val="1A5B51FF"/>
    <w:rsid w:val="1A5CA18B"/>
    <w:rsid w:val="1A611609"/>
    <w:rsid w:val="1A614C1E"/>
    <w:rsid w:val="1A62C706"/>
    <w:rsid w:val="1A6E71C1"/>
    <w:rsid w:val="1A721613"/>
    <w:rsid w:val="1A7EBB23"/>
    <w:rsid w:val="1A863F90"/>
    <w:rsid w:val="1A91694A"/>
    <w:rsid w:val="1A921DFA"/>
    <w:rsid w:val="1A944C93"/>
    <w:rsid w:val="1A96736B"/>
    <w:rsid w:val="1A9E21A8"/>
    <w:rsid w:val="1AAA07F8"/>
    <w:rsid w:val="1AAB343E"/>
    <w:rsid w:val="1AB793C6"/>
    <w:rsid w:val="1ABB1848"/>
    <w:rsid w:val="1ABF3DDE"/>
    <w:rsid w:val="1AC0F707"/>
    <w:rsid w:val="1AC54968"/>
    <w:rsid w:val="1AC812B9"/>
    <w:rsid w:val="1ACD8270"/>
    <w:rsid w:val="1AD581F0"/>
    <w:rsid w:val="1ADD1D2A"/>
    <w:rsid w:val="1ADEB57B"/>
    <w:rsid w:val="1AE1837A"/>
    <w:rsid w:val="1AE75BDC"/>
    <w:rsid w:val="1AF19BA6"/>
    <w:rsid w:val="1AF5D2D7"/>
    <w:rsid w:val="1AF7092C"/>
    <w:rsid w:val="1AFE5EF9"/>
    <w:rsid w:val="1B011BC4"/>
    <w:rsid w:val="1B0303EA"/>
    <w:rsid w:val="1B030B3E"/>
    <w:rsid w:val="1B1746B8"/>
    <w:rsid w:val="1B178383"/>
    <w:rsid w:val="1B2B0A38"/>
    <w:rsid w:val="1B2BC779"/>
    <w:rsid w:val="1B2F7953"/>
    <w:rsid w:val="1B319E80"/>
    <w:rsid w:val="1B333A70"/>
    <w:rsid w:val="1B358E67"/>
    <w:rsid w:val="1B38FF12"/>
    <w:rsid w:val="1B3C5B27"/>
    <w:rsid w:val="1B54236D"/>
    <w:rsid w:val="1B546971"/>
    <w:rsid w:val="1B55E0C3"/>
    <w:rsid w:val="1B55F3D8"/>
    <w:rsid w:val="1B61DB69"/>
    <w:rsid w:val="1B66835F"/>
    <w:rsid w:val="1B685908"/>
    <w:rsid w:val="1B6FFCC1"/>
    <w:rsid w:val="1B784439"/>
    <w:rsid w:val="1B7C9527"/>
    <w:rsid w:val="1B82226E"/>
    <w:rsid w:val="1B82AB78"/>
    <w:rsid w:val="1B82EC10"/>
    <w:rsid w:val="1B8347AC"/>
    <w:rsid w:val="1B837E21"/>
    <w:rsid w:val="1B846580"/>
    <w:rsid w:val="1B85FADE"/>
    <w:rsid w:val="1B86D76A"/>
    <w:rsid w:val="1B878913"/>
    <w:rsid w:val="1B8898F8"/>
    <w:rsid w:val="1B8A217C"/>
    <w:rsid w:val="1B8CABD7"/>
    <w:rsid w:val="1B8FBBFF"/>
    <w:rsid w:val="1BA14CD4"/>
    <w:rsid w:val="1BAD6BD4"/>
    <w:rsid w:val="1BB14390"/>
    <w:rsid w:val="1BB22DCF"/>
    <w:rsid w:val="1BB30AE7"/>
    <w:rsid w:val="1BB6EDFA"/>
    <w:rsid w:val="1BB72F1A"/>
    <w:rsid w:val="1BBBF115"/>
    <w:rsid w:val="1BBD84BA"/>
    <w:rsid w:val="1BC05355"/>
    <w:rsid w:val="1BC154F7"/>
    <w:rsid w:val="1BC16F3B"/>
    <w:rsid w:val="1BC627FA"/>
    <w:rsid w:val="1BCF558F"/>
    <w:rsid w:val="1BD26EA9"/>
    <w:rsid w:val="1BD42C2F"/>
    <w:rsid w:val="1BD857A2"/>
    <w:rsid w:val="1BE1BD30"/>
    <w:rsid w:val="1BE4D95A"/>
    <w:rsid w:val="1BE54258"/>
    <w:rsid w:val="1BE56C87"/>
    <w:rsid w:val="1BEAE7E4"/>
    <w:rsid w:val="1BEDAC49"/>
    <w:rsid w:val="1BF16EA8"/>
    <w:rsid w:val="1BF8BEF2"/>
    <w:rsid w:val="1BFF6D3E"/>
    <w:rsid w:val="1C000A40"/>
    <w:rsid w:val="1C01FD47"/>
    <w:rsid w:val="1C049BF9"/>
    <w:rsid w:val="1C05808A"/>
    <w:rsid w:val="1C06A453"/>
    <w:rsid w:val="1C08E8AC"/>
    <w:rsid w:val="1C0BDDB3"/>
    <w:rsid w:val="1C0FE020"/>
    <w:rsid w:val="1C11F52E"/>
    <w:rsid w:val="1C1349F6"/>
    <w:rsid w:val="1C254B3D"/>
    <w:rsid w:val="1C2765EC"/>
    <w:rsid w:val="1C2922D8"/>
    <w:rsid w:val="1C33A1A7"/>
    <w:rsid w:val="1C35678E"/>
    <w:rsid w:val="1C36F11C"/>
    <w:rsid w:val="1C390454"/>
    <w:rsid w:val="1C40E37D"/>
    <w:rsid w:val="1C487BBE"/>
    <w:rsid w:val="1C48D081"/>
    <w:rsid w:val="1C4A5108"/>
    <w:rsid w:val="1C536C01"/>
    <w:rsid w:val="1C572B9E"/>
    <w:rsid w:val="1C57F779"/>
    <w:rsid w:val="1C6093F2"/>
    <w:rsid w:val="1C611154"/>
    <w:rsid w:val="1C61B8DD"/>
    <w:rsid w:val="1C6260B4"/>
    <w:rsid w:val="1C635D19"/>
    <w:rsid w:val="1C6AC088"/>
    <w:rsid w:val="1C7C9950"/>
    <w:rsid w:val="1C83E74C"/>
    <w:rsid w:val="1C8F66C2"/>
    <w:rsid w:val="1C92ACB5"/>
    <w:rsid w:val="1C92E5EC"/>
    <w:rsid w:val="1C94FEFB"/>
    <w:rsid w:val="1C960D4F"/>
    <w:rsid w:val="1C978736"/>
    <w:rsid w:val="1CA46037"/>
    <w:rsid w:val="1CB18BC0"/>
    <w:rsid w:val="1CBF44D6"/>
    <w:rsid w:val="1CC216D0"/>
    <w:rsid w:val="1CC6DFB4"/>
    <w:rsid w:val="1CC9FC68"/>
    <w:rsid w:val="1CCAB15F"/>
    <w:rsid w:val="1CCAEDBB"/>
    <w:rsid w:val="1CCB7CFC"/>
    <w:rsid w:val="1CCBE270"/>
    <w:rsid w:val="1CD21D7B"/>
    <w:rsid w:val="1CD48CB9"/>
    <w:rsid w:val="1CDACD88"/>
    <w:rsid w:val="1CDFFA1A"/>
    <w:rsid w:val="1CE44616"/>
    <w:rsid w:val="1CE6E23C"/>
    <w:rsid w:val="1CEC36D1"/>
    <w:rsid w:val="1CED108D"/>
    <w:rsid w:val="1CEDD6A7"/>
    <w:rsid w:val="1CEEB90D"/>
    <w:rsid w:val="1CF27B08"/>
    <w:rsid w:val="1CF4DC6A"/>
    <w:rsid w:val="1CF58750"/>
    <w:rsid w:val="1CF95BDF"/>
    <w:rsid w:val="1CFCC996"/>
    <w:rsid w:val="1D06A38A"/>
    <w:rsid w:val="1D159F45"/>
    <w:rsid w:val="1D1C1F92"/>
    <w:rsid w:val="1D243BE9"/>
    <w:rsid w:val="1D2CECF3"/>
    <w:rsid w:val="1D2F7B81"/>
    <w:rsid w:val="1D318BE5"/>
    <w:rsid w:val="1D3B05AA"/>
    <w:rsid w:val="1D3F1FA6"/>
    <w:rsid w:val="1D3FE092"/>
    <w:rsid w:val="1D47A105"/>
    <w:rsid w:val="1D4B162B"/>
    <w:rsid w:val="1D516C4E"/>
    <w:rsid w:val="1D58F66B"/>
    <w:rsid w:val="1D5BB6E6"/>
    <w:rsid w:val="1D6C879C"/>
    <w:rsid w:val="1D706CD1"/>
    <w:rsid w:val="1D76B1A5"/>
    <w:rsid w:val="1D76C579"/>
    <w:rsid w:val="1D774473"/>
    <w:rsid w:val="1D786B8D"/>
    <w:rsid w:val="1D7B4003"/>
    <w:rsid w:val="1D7C1246"/>
    <w:rsid w:val="1D7DB468"/>
    <w:rsid w:val="1D882DA3"/>
    <w:rsid w:val="1D8BC5BE"/>
    <w:rsid w:val="1D92BA47"/>
    <w:rsid w:val="1D9310C2"/>
    <w:rsid w:val="1D96755D"/>
    <w:rsid w:val="1DA0F79C"/>
    <w:rsid w:val="1DA3D111"/>
    <w:rsid w:val="1DA86978"/>
    <w:rsid w:val="1DA9D942"/>
    <w:rsid w:val="1DAEE225"/>
    <w:rsid w:val="1DB1788D"/>
    <w:rsid w:val="1DC8EBEC"/>
    <w:rsid w:val="1DCC821C"/>
    <w:rsid w:val="1DCD96AE"/>
    <w:rsid w:val="1DD0F757"/>
    <w:rsid w:val="1DD1F80B"/>
    <w:rsid w:val="1DDA9883"/>
    <w:rsid w:val="1DE44E80"/>
    <w:rsid w:val="1DF87AC7"/>
    <w:rsid w:val="1DFA4042"/>
    <w:rsid w:val="1E01C5C2"/>
    <w:rsid w:val="1E05A878"/>
    <w:rsid w:val="1E08D395"/>
    <w:rsid w:val="1E0AC490"/>
    <w:rsid w:val="1E1B1648"/>
    <w:rsid w:val="1E287251"/>
    <w:rsid w:val="1E29106D"/>
    <w:rsid w:val="1E2E6FA6"/>
    <w:rsid w:val="1E325C85"/>
    <w:rsid w:val="1E396C5B"/>
    <w:rsid w:val="1E3BB144"/>
    <w:rsid w:val="1E3E5D5E"/>
    <w:rsid w:val="1E43E8AF"/>
    <w:rsid w:val="1E4CBE88"/>
    <w:rsid w:val="1E4F7D34"/>
    <w:rsid w:val="1E502ED7"/>
    <w:rsid w:val="1E59FD0D"/>
    <w:rsid w:val="1E5EC50A"/>
    <w:rsid w:val="1E6486AD"/>
    <w:rsid w:val="1E688A16"/>
    <w:rsid w:val="1E6E306F"/>
    <w:rsid w:val="1E723A09"/>
    <w:rsid w:val="1E72442C"/>
    <w:rsid w:val="1E741028"/>
    <w:rsid w:val="1E83D8DC"/>
    <w:rsid w:val="1E8447A9"/>
    <w:rsid w:val="1E8477F9"/>
    <w:rsid w:val="1E84B245"/>
    <w:rsid w:val="1E931B0D"/>
    <w:rsid w:val="1EA3C71C"/>
    <w:rsid w:val="1EA880C2"/>
    <w:rsid w:val="1EAD783D"/>
    <w:rsid w:val="1EAF81A4"/>
    <w:rsid w:val="1EC04675"/>
    <w:rsid w:val="1ECDB49F"/>
    <w:rsid w:val="1ED59265"/>
    <w:rsid w:val="1ED61F32"/>
    <w:rsid w:val="1EDA8DA7"/>
    <w:rsid w:val="1EE06611"/>
    <w:rsid w:val="1EE1D89C"/>
    <w:rsid w:val="1EE30BD1"/>
    <w:rsid w:val="1EE3B5A8"/>
    <w:rsid w:val="1EEA1B9D"/>
    <w:rsid w:val="1EF17CC1"/>
    <w:rsid w:val="1EF6D46D"/>
    <w:rsid w:val="1EF7DC10"/>
    <w:rsid w:val="1EF7DFD6"/>
    <w:rsid w:val="1EF883C6"/>
    <w:rsid w:val="1EF8BFEF"/>
    <w:rsid w:val="1F02AB74"/>
    <w:rsid w:val="1F02C1EB"/>
    <w:rsid w:val="1F0638CB"/>
    <w:rsid w:val="1F066DE4"/>
    <w:rsid w:val="1F07E713"/>
    <w:rsid w:val="1F0CD50E"/>
    <w:rsid w:val="1F16FCFC"/>
    <w:rsid w:val="1F1ADECB"/>
    <w:rsid w:val="1F1B36E6"/>
    <w:rsid w:val="1F2092AB"/>
    <w:rsid w:val="1F23FA1B"/>
    <w:rsid w:val="1F30BB5D"/>
    <w:rsid w:val="1F33AC41"/>
    <w:rsid w:val="1F415858"/>
    <w:rsid w:val="1F482E85"/>
    <w:rsid w:val="1F4EA45B"/>
    <w:rsid w:val="1F5CEB10"/>
    <w:rsid w:val="1F608A63"/>
    <w:rsid w:val="1F71080C"/>
    <w:rsid w:val="1F739739"/>
    <w:rsid w:val="1F7A5B03"/>
    <w:rsid w:val="1F84AAE5"/>
    <w:rsid w:val="1F8A9EC8"/>
    <w:rsid w:val="1F8C3D6D"/>
    <w:rsid w:val="1F95E808"/>
    <w:rsid w:val="1F96F0C4"/>
    <w:rsid w:val="1FA3B34B"/>
    <w:rsid w:val="1FBA7874"/>
    <w:rsid w:val="1FBD80F8"/>
    <w:rsid w:val="1FBDF8A4"/>
    <w:rsid w:val="1FCBA626"/>
    <w:rsid w:val="1FD74801"/>
    <w:rsid w:val="1FDA1AAC"/>
    <w:rsid w:val="1FDA90C5"/>
    <w:rsid w:val="1FDD329D"/>
    <w:rsid w:val="1FE0A313"/>
    <w:rsid w:val="1FE46916"/>
    <w:rsid w:val="1FE73385"/>
    <w:rsid w:val="1FF16495"/>
    <w:rsid w:val="1FF1BE2B"/>
    <w:rsid w:val="20047A56"/>
    <w:rsid w:val="200E4C6D"/>
    <w:rsid w:val="201A6B3F"/>
    <w:rsid w:val="202273CF"/>
    <w:rsid w:val="20281221"/>
    <w:rsid w:val="202A182E"/>
    <w:rsid w:val="202D40CA"/>
    <w:rsid w:val="2033E0CD"/>
    <w:rsid w:val="203C051A"/>
    <w:rsid w:val="203F562A"/>
    <w:rsid w:val="20413157"/>
    <w:rsid w:val="204EDAF6"/>
    <w:rsid w:val="2054477B"/>
    <w:rsid w:val="20586AF5"/>
    <w:rsid w:val="205CA34C"/>
    <w:rsid w:val="205FEC23"/>
    <w:rsid w:val="20661656"/>
    <w:rsid w:val="2066F807"/>
    <w:rsid w:val="206C9A66"/>
    <w:rsid w:val="206FD00F"/>
    <w:rsid w:val="2072C011"/>
    <w:rsid w:val="2079CF68"/>
    <w:rsid w:val="207F3358"/>
    <w:rsid w:val="20858620"/>
    <w:rsid w:val="208D1311"/>
    <w:rsid w:val="208EBB3F"/>
    <w:rsid w:val="20956CC2"/>
    <w:rsid w:val="209EAA3D"/>
    <w:rsid w:val="209F440A"/>
    <w:rsid w:val="20A767F0"/>
    <w:rsid w:val="20A8EC6D"/>
    <w:rsid w:val="20AAE436"/>
    <w:rsid w:val="20C287B8"/>
    <w:rsid w:val="20CAE924"/>
    <w:rsid w:val="20D88A69"/>
    <w:rsid w:val="20DA4EE3"/>
    <w:rsid w:val="20DC77CB"/>
    <w:rsid w:val="20E01A3A"/>
    <w:rsid w:val="20E201FC"/>
    <w:rsid w:val="20E552F7"/>
    <w:rsid w:val="20EAEA77"/>
    <w:rsid w:val="20EC962B"/>
    <w:rsid w:val="20EF35BE"/>
    <w:rsid w:val="20F45699"/>
    <w:rsid w:val="20F57D0D"/>
    <w:rsid w:val="20F7D7D3"/>
    <w:rsid w:val="20F99C49"/>
    <w:rsid w:val="20FCB2E7"/>
    <w:rsid w:val="20FE8F33"/>
    <w:rsid w:val="2101D3B4"/>
    <w:rsid w:val="21037CF3"/>
    <w:rsid w:val="210492E6"/>
    <w:rsid w:val="21060516"/>
    <w:rsid w:val="21112FED"/>
    <w:rsid w:val="21122459"/>
    <w:rsid w:val="211902EB"/>
    <w:rsid w:val="2119D799"/>
    <w:rsid w:val="211AC856"/>
    <w:rsid w:val="211B093F"/>
    <w:rsid w:val="211C1367"/>
    <w:rsid w:val="21289373"/>
    <w:rsid w:val="212AE0C1"/>
    <w:rsid w:val="212C2309"/>
    <w:rsid w:val="2134BB8A"/>
    <w:rsid w:val="2135A131"/>
    <w:rsid w:val="21363D21"/>
    <w:rsid w:val="213E706E"/>
    <w:rsid w:val="2141E599"/>
    <w:rsid w:val="2142368A"/>
    <w:rsid w:val="2144C6CD"/>
    <w:rsid w:val="215317E8"/>
    <w:rsid w:val="2159A192"/>
    <w:rsid w:val="215FD23E"/>
    <w:rsid w:val="216AC579"/>
    <w:rsid w:val="216E5A40"/>
    <w:rsid w:val="2176B576"/>
    <w:rsid w:val="217C961F"/>
    <w:rsid w:val="21820F96"/>
    <w:rsid w:val="2185D580"/>
    <w:rsid w:val="2190DB7E"/>
    <w:rsid w:val="2192679D"/>
    <w:rsid w:val="2192A740"/>
    <w:rsid w:val="219885B9"/>
    <w:rsid w:val="219BC906"/>
    <w:rsid w:val="21A89300"/>
    <w:rsid w:val="21A9BB0E"/>
    <w:rsid w:val="21AC8CC2"/>
    <w:rsid w:val="21AF9376"/>
    <w:rsid w:val="21B31EE0"/>
    <w:rsid w:val="21C3F41B"/>
    <w:rsid w:val="21C4F340"/>
    <w:rsid w:val="21C82F8A"/>
    <w:rsid w:val="21CD8275"/>
    <w:rsid w:val="21CF8FD2"/>
    <w:rsid w:val="21D80F0E"/>
    <w:rsid w:val="21D8C6E7"/>
    <w:rsid w:val="21E19EC9"/>
    <w:rsid w:val="21E5E5F8"/>
    <w:rsid w:val="21F3C906"/>
    <w:rsid w:val="21F893B6"/>
    <w:rsid w:val="21F8E114"/>
    <w:rsid w:val="21FBC0F4"/>
    <w:rsid w:val="22088D11"/>
    <w:rsid w:val="22196879"/>
    <w:rsid w:val="221A3E3F"/>
    <w:rsid w:val="221FB33F"/>
    <w:rsid w:val="222FC29C"/>
    <w:rsid w:val="22316017"/>
    <w:rsid w:val="2232D88D"/>
    <w:rsid w:val="2234FAAE"/>
    <w:rsid w:val="2235FFFE"/>
    <w:rsid w:val="2236F5A6"/>
    <w:rsid w:val="22398697"/>
    <w:rsid w:val="223B4FCD"/>
    <w:rsid w:val="2243FAF8"/>
    <w:rsid w:val="22445F22"/>
    <w:rsid w:val="22478262"/>
    <w:rsid w:val="224CA1D0"/>
    <w:rsid w:val="22516ECD"/>
    <w:rsid w:val="2251C160"/>
    <w:rsid w:val="225373F0"/>
    <w:rsid w:val="22562030"/>
    <w:rsid w:val="2259C575"/>
    <w:rsid w:val="225F03CF"/>
    <w:rsid w:val="225F657D"/>
    <w:rsid w:val="225FDDAF"/>
    <w:rsid w:val="226EE8E2"/>
    <w:rsid w:val="2282DEC9"/>
    <w:rsid w:val="228D321E"/>
    <w:rsid w:val="228F77EF"/>
    <w:rsid w:val="2298AD80"/>
    <w:rsid w:val="2298C297"/>
    <w:rsid w:val="229BE741"/>
    <w:rsid w:val="22A15165"/>
    <w:rsid w:val="22ABF239"/>
    <w:rsid w:val="22B126E0"/>
    <w:rsid w:val="22B1E5C9"/>
    <w:rsid w:val="22B40166"/>
    <w:rsid w:val="22BD6E3E"/>
    <w:rsid w:val="22C36CE9"/>
    <w:rsid w:val="22C9299E"/>
    <w:rsid w:val="22CC8EED"/>
    <w:rsid w:val="22CCEC45"/>
    <w:rsid w:val="22CED804"/>
    <w:rsid w:val="22D643BF"/>
    <w:rsid w:val="22EDEFEE"/>
    <w:rsid w:val="22F25BA6"/>
    <w:rsid w:val="22FFB0C2"/>
    <w:rsid w:val="23076919"/>
    <w:rsid w:val="2310005C"/>
    <w:rsid w:val="231485B0"/>
    <w:rsid w:val="231B8945"/>
    <w:rsid w:val="23207190"/>
    <w:rsid w:val="23214D9B"/>
    <w:rsid w:val="23220612"/>
    <w:rsid w:val="2326B7EC"/>
    <w:rsid w:val="23295A06"/>
    <w:rsid w:val="233318E4"/>
    <w:rsid w:val="23345A64"/>
    <w:rsid w:val="2335B9A0"/>
    <w:rsid w:val="23366246"/>
    <w:rsid w:val="23370FD3"/>
    <w:rsid w:val="23464429"/>
    <w:rsid w:val="2346DA27"/>
    <w:rsid w:val="234749D9"/>
    <w:rsid w:val="23498F3D"/>
    <w:rsid w:val="23621788"/>
    <w:rsid w:val="23627B52"/>
    <w:rsid w:val="2364ADAE"/>
    <w:rsid w:val="2368C79D"/>
    <w:rsid w:val="236C060E"/>
    <w:rsid w:val="236F54F5"/>
    <w:rsid w:val="236FF947"/>
    <w:rsid w:val="23712454"/>
    <w:rsid w:val="23740220"/>
    <w:rsid w:val="2376CECE"/>
    <w:rsid w:val="237AA6CD"/>
    <w:rsid w:val="237BEBC3"/>
    <w:rsid w:val="2388795B"/>
    <w:rsid w:val="238F3C31"/>
    <w:rsid w:val="23937B61"/>
    <w:rsid w:val="23944854"/>
    <w:rsid w:val="239D3F48"/>
    <w:rsid w:val="23AA3AE6"/>
    <w:rsid w:val="23AC2E47"/>
    <w:rsid w:val="23C34551"/>
    <w:rsid w:val="23C36F44"/>
    <w:rsid w:val="23C98B04"/>
    <w:rsid w:val="23C9B6B9"/>
    <w:rsid w:val="23C9DCF0"/>
    <w:rsid w:val="23D11B64"/>
    <w:rsid w:val="23DCDD2D"/>
    <w:rsid w:val="23DE02BC"/>
    <w:rsid w:val="23E1DEFF"/>
    <w:rsid w:val="23E436EC"/>
    <w:rsid w:val="23EC7C4E"/>
    <w:rsid w:val="23F8BB0E"/>
    <w:rsid w:val="23FF4F0A"/>
    <w:rsid w:val="2401AEA8"/>
    <w:rsid w:val="2404FD79"/>
    <w:rsid w:val="240B2BA2"/>
    <w:rsid w:val="24129DE6"/>
    <w:rsid w:val="2421B198"/>
    <w:rsid w:val="2424240B"/>
    <w:rsid w:val="242813ED"/>
    <w:rsid w:val="24304321"/>
    <w:rsid w:val="24304B2D"/>
    <w:rsid w:val="2434A0D8"/>
    <w:rsid w:val="24370BF1"/>
    <w:rsid w:val="243B18C6"/>
    <w:rsid w:val="243D206F"/>
    <w:rsid w:val="24467B2F"/>
    <w:rsid w:val="24479EE0"/>
    <w:rsid w:val="2447C201"/>
    <w:rsid w:val="2450BB05"/>
    <w:rsid w:val="2451D888"/>
    <w:rsid w:val="24541931"/>
    <w:rsid w:val="2454A3A2"/>
    <w:rsid w:val="245E760E"/>
    <w:rsid w:val="245EC089"/>
    <w:rsid w:val="246C9FB9"/>
    <w:rsid w:val="246F59E9"/>
    <w:rsid w:val="24705398"/>
    <w:rsid w:val="2470FA41"/>
    <w:rsid w:val="247626A7"/>
    <w:rsid w:val="247BF0B9"/>
    <w:rsid w:val="2480A407"/>
    <w:rsid w:val="2487D141"/>
    <w:rsid w:val="24896B15"/>
    <w:rsid w:val="248FD7F9"/>
    <w:rsid w:val="2498EEBC"/>
    <w:rsid w:val="24A4C4DE"/>
    <w:rsid w:val="24A6C772"/>
    <w:rsid w:val="24A7DEF4"/>
    <w:rsid w:val="24AA152C"/>
    <w:rsid w:val="24ADD7E4"/>
    <w:rsid w:val="24B24CC9"/>
    <w:rsid w:val="24B6D37F"/>
    <w:rsid w:val="24BE70AB"/>
    <w:rsid w:val="24BED513"/>
    <w:rsid w:val="24C0445F"/>
    <w:rsid w:val="24C0A5A2"/>
    <w:rsid w:val="24CBDBDF"/>
    <w:rsid w:val="24CF9540"/>
    <w:rsid w:val="24D4D50E"/>
    <w:rsid w:val="24D9F16D"/>
    <w:rsid w:val="24EA3902"/>
    <w:rsid w:val="24EBBA1B"/>
    <w:rsid w:val="24F3B487"/>
    <w:rsid w:val="24F87346"/>
    <w:rsid w:val="24FA7768"/>
    <w:rsid w:val="24FAFD75"/>
    <w:rsid w:val="24FC7326"/>
    <w:rsid w:val="24FCF3C2"/>
    <w:rsid w:val="25024114"/>
    <w:rsid w:val="250476D2"/>
    <w:rsid w:val="2505DDA4"/>
    <w:rsid w:val="250B9BB9"/>
    <w:rsid w:val="250F65C4"/>
    <w:rsid w:val="2510E378"/>
    <w:rsid w:val="25123A19"/>
    <w:rsid w:val="251B5C9B"/>
    <w:rsid w:val="251F103C"/>
    <w:rsid w:val="251F3554"/>
    <w:rsid w:val="252AB30C"/>
    <w:rsid w:val="252C9423"/>
    <w:rsid w:val="2530ECFA"/>
    <w:rsid w:val="25383863"/>
    <w:rsid w:val="25399ADF"/>
    <w:rsid w:val="253F6A1B"/>
    <w:rsid w:val="2541FD57"/>
    <w:rsid w:val="2543BEDE"/>
    <w:rsid w:val="25440460"/>
    <w:rsid w:val="254FF059"/>
    <w:rsid w:val="25566F9C"/>
    <w:rsid w:val="2557D092"/>
    <w:rsid w:val="255AB144"/>
    <w:rsid w:val="255CFAB5"/>
    <w:rsid w:val="255E6696"/>
    <w:rsid w:val="256AD5D4"/>
    <w:rsid w:val="2570E718"/>
    <w:rsid w:val="2577ECC9"/>
    <w:rsid w:val="257D5A90"/>
    <w:rsid w:val="258004D3"/>
    <w:rsid w:val="258029CE"/>
    <w:rsid w:val="258515B3"/>
    <w:rsid w:val="2585E343"/>
    <w:rsid w:val="2589B466"/>
    <w:rsid w:val="258BC3C6"/>
    <w:rsid w:val="259006AD"/>
    <w:rsid w:val="25912E7D"/>
    <w:rsid w:val="2592C8BA"/>
    <w:rsid w:val="259310D9"/>
    <w:rsid w:val="25A41F6F"/>
    <w:rsid w:val="25AA2440"/>
    <w:rsid w:val="25AB421A"/>
    <w:rsid w:val="25B2FA4A"/>
    <w:rsid w:val="25B3A1EE"/>
    <w:rsid w:val="25B4736B"/>
    <w:rsid w:val="25C2644A"/>
    <w:rsid w:val="25C3CDD7"/>
    <w:rsid w:val="25CFF253"/>
    <w:rsid w:val="25D69A80"/>
    <w:rsid w:val="25D76C56"/>
    <w:rsid w:val="25DB2B7C"/>
    <w:rsid w:val="25E96A32"/>
    <w:rsid w:val="25EBF8DA"/>
    <w:rsid w:val="25EED4AE"/>
    <w:rsid w:val="25FA0FAE"/>
    <w:rsid w:val="25FE2AA9"/>
    <w:rsid w:val="25FF2EB5"/>
    <w:rsid w:val="260059D4"/>
    <w:rsid w:val="26097589"/>
    <w:rsid w:val="260D3F73"/>
    <w:rsid w:val="2610C7EC"/>
    <w:rsid w:val="261205EA"/>
    <w:rsid w:val="2619C8FC"/>
    <w:rsid w:val="261D1D1D"/>
    <w:rsid w:val="26224D27"/>
    <w:rsid w:val="2624DEDA"/>
    <w:rsid w:val="262EA847"/>
    <w:rsid w:val="262F8FC4"/>
    <w:rsid w:val="262FF80C"/>
    <w:rsid w:val="2630E6D4"/>
    <w:rsid w:val="263149D5"/>
    <w:rsid w:val="26336632"/>
    <w:rsid w:val="2633F83A"/>
    <w:rsid w:val="26374D08"/>
    <w:rsid w:val="263802C6"/>
    <w:rsid w:val="263F9B60"/>
    <w:rsid w:val="2647ECFA"/>
    <w:rsid w:val="264893DC"/>
    <w:rsid w:val="26494037"/>
    <w:rsid w:val="264EA744"/>
    <w:rsid w:val="26518551"/>
    <w:rsid w:val="2651C63C"/>
    <w:rsid w:val="265E3A32"/>
    <w:rsid w:val="2660AE3B"/>
    <w:rsid w:val="267AA1CA"/>
    <w:rsid w:val="267D70AA"/>
    <w:rsid w:val="267FFE64"/>
    <w:rsid w:val="2685B0A5"/>
    <w:rsid w:val="269436B3"/>
    <w:rsid w:val="2695EFCF"/>
    <w:rsid w:val="269731C5"/>
    <w:rsid w:val="26976CCC"/>
    <w:rsid w:val="269869BF"/>
    <w:rsid w:val="269C7D16"/>
    <w:rsid w:val="26A281D4"/>
    <w:rsid w:val="26AB7567"/>
    <w:rsid w:val="26ADD9E0"/>
    <w:rsid w:val="26AE4A58"/>
    <w:rsid w:val="26B0841A"/>
    <w:rsid w:val="26B303F8"/>
    <w:rsid w:val="26B89049"/>
    <w:rsid w:val="26BE9839"/>
    <w:rsid w:val="26C17C22"/>
    <w:rsid w:val="26C4EB56"/>
    <w:rsid w:val="26D134AA"/>
    <w:rsid w:val="26D97A69"/>
    <w:rsid w:val="26DAEE74"/>
    <w:rsid w:val="26DCA343"/>
    <w:rsid w:val="26DE34A5"/>
    <w:rsid w:val="26E288F0"/>
    <w:rsid w:val="26E30065"/>
    <w:rsid w:val="26E3DE13"/>
    <w:rsid w:val="26E57A49"/>
    <w:rsid w:val="26E57FF8"/>
    <w:rsid w:val="26FB434A"/>
    <w:rsid w:val="26FBF66F"/>
    <w:rsid w:val="27028AC5"/>
    <w:rsid w:val="2704AC06"/>
    <w:rsid w:val="2707A252"/>
    <w:rsid w:val="27088D32"/>
    <w:rsid w:val="27145D26"/>
    <w:rsid w:val="271670F1"/>
    <w:rsid w:val="2718FB1E"/>
    <w:rsid w:val="271B0F02"/>
    <w:rsid w:val="27261E78"/>
    <w:rsid w:val="272DA29B"/>
    <w:rsid w:val="272F01B5"/>
    <w:rsid w:val="27310C76"/>
    <w:rsid w:val="2739BCCD"/>
    <w:rsid w:val="273C122B"/>
    <w:rsid w:val="273ED543"/>
    <w:rsid w:val="274679C3"/>
    <w:rsid w:val="274AEC2E"/>
    <w:rsid w:val="274BF599"/>
    <w:rsid w:val="275078B7"/>
    <w:rsid w:val="27524610"/>
    <w:rsid w:val="2760A604"/>
    <w:rsid w:val="27639674"/>
    <w:rsid w:val="2768E75C"/>
    <w:rsid w:val="276A3D8F"/>
    <w:rsid w:val="276DB35B"/>
    <w:rsid w:val="277022FF"/>
    <w:rsid w:val="277B0DDB"/>
    <w:rsid w:val="27812311"/>
    <w:rsid w:val="2790547D"/>
    <w:rsid w:val="2790E461"/>
    <w:rsid w:val="279770E7"/>
    <w:rsid w:val="279AB5AE"/>
    <w:rsid w:val="279CC24E"/>
    <w:rsid w:val="279E5B1C"/>
    <w:rsid w:val="279E68D3"/>
    <w:rsid w:val="27A5CB62"/>
    <w:rsid w:val="27AEACFE"/>
    <w:rsid w:val="27BF2A03"/>
    <w:rsid w:val="27C2AA52"/>
    <w:rsid w:val="27CDFD32"/>
    <w:rsid w:val="27D21F14"/>
    <w:rsid w:val="27D40FC5"/>
    <w:rsid w:val="27D473E2"/>
    <w:rsid w:val="27D6CC22"/>
    <w:rsid w:val="27DB2DE4"/>
    <w:rsid w:val="27DBBF09"/>
    <w:rsid w:val="27E20317"/>
    <w:rsid w:val="27E59F4A"/>
    <w:rsid w:val="27E5CDF3"/>
    <w:rsid w:val="27EA0527"/>
    <w:rsid w:val="27EF360B"/>
    <w:rsid w:val="27F38DC6"/>
    <w:rsid w:val="27F5DCA5"/>
    <w:rsid w:val="27F9E794"/>
    <w:rsid w:val="280116DA"/>
    <w:rsid w:val="280B96AD"/>
    <w:rsid w:val="2812B226"/>
    <w:rsid w:val="2816C25A"/>
    <w:rsid w:val="2817256F"/>
    <w:rsid w:val="281B6706"/>
    <w:rsid w:val="282517FF"/>
    <w:rsid w:val="2828E3E5"/>
    <w:rsid w:val="282E9AC6"/>
    <w:rsid w:val="2834C36F"/>
    <w:rsid w:val="28361A30"/>
    <w:rsid w:val="28365B0B"/>
    <w:rsid w:val="2845EB36"/>
    <w:rsid w:val="2847DF1C"/>
    <w:rsid w:val="28576BCD"/>
    <w:rsid w:val="285EFF97"/>
    <w:rsid w:val="28618759"/>
    <w:rsid w:val="28636942"/>
    <w:rsid w:val="286E47C5"/>
    <w:rsid w:val="286F8B32"/>
    <w:rsid w:val="287199E1"/>
    <w:rsid w:val="2874D2BA"/>
    <w:rsid w:val="287BF352"/>
    <w:rsid w:val="2884C869"/>
    <w:rsid w:val="28868B74"/>
    <w:rsid w:val="28868C3D"/>
    <w:rsid w:val="2887E719"/>
    <w:rsid w:val="288E8E08"/>
    <w:rsid w:val="2894E379"/>
    <w:rsid w:val="2898B808"/>
    <w:rsid w:val="28B0080B"/>
    <w:rsid w:val="28B7F062"/>
    <w:rsid w:val="28BDFEA6"/>
    <w:rsid w:val="28BE1CEE"/>
    <w:rsid w:val="28C2FA65"/>
    <w:rsid w:val="28C51D34"/>
    <w:rsid w:val="28C84036"/>
    <w:rsid w:val="28C8CE58"/>
    <w:rsid w:val="28C93086"/>
    <w:rsid w:val="28C9870B"/>
    <w:rsid w:val="28CE391F"/>
    <w:rsid w:val="28CF4337"/>
    <w:rsid w:val="28D2B2B5"/>
    <w:rsid w:val="28D3D40A"/>
    <w:rsid w:val="28E18CD5"/>
    <w:rsid w:val="28EF1DA5"/>
    <w:rsid w:val="28F2DD68"/>
    <w:rsid w:val="28F43F4E"/>
    <w:rsid w:val="28F92CE8"/>
    <w:rsid w:val="28FBD12F"/>
    <w:rsid w:val="2900A86F"/>
    <w:rsid w:val="2909BA84"/>
    <w:rsid w:val="29100BE4"/>
    <w:rsid w:val="2918FCA2"/>
    <w:rsid w:val="2929B993"/>
    <w:rsid w:val="292FFC10"/>
    <w:rsid w:val="29335C4B"/>
    <w:rsid w:val="2939446E"/>
    <w:rsid w:val="2940C017"/>
    <w:rsid w:val="2946DE6B"/>
    <w:rsid w:val="294B286D"/>
    <w:rsid w:val="294D309A"/>
    <w:rsid w:val="294EBAB0"/>
    <w:rsid w:val="2959713B"/>
    <w:rsid w:val="295D3218"/>
    <w:rsid w:val="295D66B6"/>
    <w:rsid w:val="295F7057"/>
    <w:rsid w:val="29610B93"/>
    <w:rsid w:val="2966E18F"/>
    <w:rsid w:val="296C15F3"/>
    <w:rsid w:val="296CDC83"/>
    <w:rsid w:val="297E7D5D"/>
    <w:rsid w:val="2980EB1B"/>
    <w:rsid w:val="298389E5"/>
    <w:rsid w:val="298455E4"/>
    <w:rsid w:val="29856914"/>
    <w:rsid w:val="2989E953"/>
    <w:rsid w:val="298A52B1"/>
    <w:rsid w:val="2998518F"/>
    <w:rsid w:val="299AE1E5"/>
    <w:rsid w:val="299C8469"/>
    <w:rsid w:val="299D15DB"/>
    <w:rsid w:val="299E059F"/>
    <w:rsid w:val="299E4B15"/>
    <w:rsid w:val="29A7255A"/>
    <w:rsid w:val="29AEFD1D"/>
    <w:rsid w:val="29B09CC6"/>
    <w:rsid w:val="29B3252E"/>
    <w:rsid w:val="29B48160"/>
    <w:rsid w:val="29B584D6"/>
    <w:rsid w:val="29C64D9C"/>
    <w:rsid w:val="29C6FFF4"/>
    <w:rsid w:val="29CF6ECF"/>
    <w:rsid w:val="29D0FB06"/>
    <w:rsid w:val="29D22436"/>
    <w:rsid w:val="29D9F359"/>
    <w:rsid w:val="29E22A18"/>
    <w:rsid w:val="29E3CBFF"/>
    <w:rsid w:val="29EAEEDB"/>
    <w:rsid w:val="29EDC013"/>
    <w:rsid w:val="29EE1AA7"/>
    <w:rsid w:val="29EEB55E"/>
    <w:rsid w:val="29F44B13"/>
    <w:rsid w:val="29F7A6B6"/>
    <w:rsid w:val="29F7C12A"/>
    <w:rsid w:val="29FB22DA"/>
    <w:rsid w:val="29FF6461"/>
    <w:rsid w:val="29FF912E"/>
    <w:rsid w:val="2A002DA3"/>
    <w:rsid w:val="2A013297"/>
    <w:rsid w:val="2A0261EE"/>
    <w:rsid w:val="2A0822AB"/>
    <w:rsid w:val="2A0CA076"/>
    <w:rsid w:val="2A21AF80"/>
    <w:rsid w:val="2A32235F"/>
    <w:rsid w:val="2A334BED"/>
    <w:rsid w:val="2A340E88"/>
    <w:rsid w:val="2A397FF0"/>
    <w:rsid w:val="2A47D752"/>
    <w:rsid w:val="2A4C17D4"/>
    <w:rsid w:val="2A577DBD"/>
    <w:rsid w:val="2A646B7B"/>
    <w:rsid w:val="2A6746D7"/>
    <w:rsid w:val="2A7187BF"/>
    <w:rsid w:val="2A72C19F"/>
    <w:rsid w:val="2A7C07C0"/>
    <w:rsid w:val="2A7EE9A8"/>
    <w:rsid w:val="2A82903F"/>
    <w:rsid w:val="2A840596"/>
    <w:rsid w:val="2A8A9E17"/>
    <w:rsid w:val="2A91924F"/>
    <w:rsid w:val="2A92E63D"/>
    <w:rsid w:val="2A9833DF"/>
    <w:rsid w:val="2A995A43"/>
    <w:rsid w:val="2AA4718D"/>
    <w:rsid w:val="2AA7E08A"/>
    <w:rsid w:val="2AAC80F2"/>
    <w:rsid w:val="2AB3669F"/>
    <w:rsid w:val="2AB401F9"/>
    <w:rsid w:val="2ABFCCAB"/>
    <w:rsid w:val="2AC6F675"/>
    <w:rsid w:val="2AC7CB16"/>
    <w:rsid w:val="2AD414ED"/>
    <w:rsid w:val="2AD9B5CF"/>
    <w:rsid w:val="2ADDED25"/>
    <w:rsid w:val="2AF04ACB"/>
    <w:rsid w:val="2AF11FC2"/>
    <w:rsid w:val="2AF13DB4"/>
    <w:rsid w:val="2AF4D03D"/>
    <w:rsid w:val="2B061395"/>
    <w:rsid w:val="2B0672EC"/>
    <w:rsid w:val="2B0BD2D7"/>
    <w:rsid w:val="2B14035A"/>
    <w:rsid w:val="2B14B741"/>
    <w:rsid w:val="2B14F702"/>
    <w:rsid w:val="2B17973D"/>
    <w:rsid w:val="2B1CA186"/>
    <w:rsid w:val="2B20B11E"/>
    <w:rsid w:val="2B2C6377"/>
    <w:rsid w:val="2B2D1970"/>
    <w:rsid w:val="2B2F1A51"/>
    <w:rsid w:val="2B38504C"/>
    <w:rsid w:val="2B38E884"/>
    <w:rsid w:val="2B39F7DD"/>
    <w:rsid w:val="2B3E7891"/>
    <w:rsid w:val="2B4000DF"/>
    <w:rsid w:val="2B4551DD"/>
    <w:rsid w:val="2B4C19B2"/>
    <w:rsid w:val="2B505C7F"/>
    <w:rsid w:val="2B58009D"/>
    <w:rsid w:val="2B58AB90"/>
    <w:rsid w:val="2B5FCD74"/>
    <w:rsid w:val="2B71C109"/>
    <w:rsid w:val="2B725237"/>
    <w:rsid w:val="2B7A7FD1"/>
    <w:rsid w:val="2B7CE3CD"/>
    <w:rsid w:val="2B80B324"/>
    <w:rsid w:val="2B80B330"/>
    <w:rsid w:val="2B815EA1"/>
    <w:rsid w:val="2B874A63"/>
    <w:rsid w:val="2B8A7C04"/>
    <w:rsid w:val="2B92BC3E"/>
    <w:rsid w:val="2B991541"/>
    <w:rsid w:val="2B9E8110"/>
    <w:rsid w:val="2BA38FB2"/>
    <w:rsid w:val="2BA666FB"/>
    <w:rsid w:val="2BA7261E"/>
    <w:rsid w:val="2BAC154C"/>
    <w:rsid w:val="2BACDFBA"/>
    <w:rsid w:val="2BBBA5AE"/>
    <w:rsid w:val="2BC4F5E9"/>
    <w:rsid w:val="2BC4FFC9"/>
    <w:rsid w:val="2BCBAD26"/>
    <w:rsid w:val="2BE4F6CF"/>
    <w:rsid w:val="2BE7C20F"/>
    <w:rsid w:val="2BED68AD"/>
    <w:rsid w:val="2BF04E7D"/>
    <w:rsid w:val="2BF18095"/>
    <w:rsid w:val="2BFD1CDE"/>
    <w:rsid w:val="2C00F4B0"/>
    <w:rsid w:val="2C02C7E6"/>
    <w:rsid w:val="2C04C02F"/>
    <w:rsid w:val="2C04F5B0"/>
    <w:rsid w:val="2C13AF21"/>
    <w:rsid w:val="2C13C2F8"/>
    <w:rsid w:val="2C30A820"/>
    <w:rsid w:val="2C336B9E"/>
    <w:rsid w:val="2C35E688"/>
    <w:rsid w:val="2C423675"/>
    <w:rsid w:val="2C44C357"/>
    <w:rsid w:val="2C45D46D"/>
    <w:rsid w:val="2C4CCCDF"/>
    <w:rsid w:val="2C5BD515"/>
    <w:rsid w:val="2C61D5C4"/>
    <w:rsid w:val="2C69049D"/>
    <w:rsid w:val="2C70D099"/>
    <w:rsid w:val="2C72B7D0"/>
    <w:rsid w:val="2C7321D1"/>
    <w:rsid w:val="2C7518D1"/>
    <w:rsid w:val="2C7A62CD"/>
    <w:rsid w:val="2C7BD3D5"/>
    <w:rsid w:val="2C8406F2"/>
    <w:rsid w:val="2C851283"/>
    <w:rsid w:val="2C858EF0"/>
    <w:rsid w:val="2C876553"/>
    <w:rsid w:val="2C88A2E5"/>
    <w:rsid w:val="2C8BACE1"/>
    <w:rsid w:val="2C8BCDE3"/>
    <w:rsid w:val="2C8F844C"/>
    <w:rsid w:val="2CA85931"/>
    <w:rsid w:val="2CA96F9B"/>
    <w:rsid w:val="2CB2AB21"/>
    <w:rsid w:val="2CCB2C86"/>
    <w:rsid w:val="2CD0E19F"/>
    <w:rsid w:val="2CD1DA58"/>
    <w:rsid w:val="2CD2F559"/>
    <w:rsid w:val="2CD31395"/>
    <w:rsid w:val="2CD6303E"/>
    <w:rsid w:val="2CD7BF0D"/>
    <w:rsid w:val="2CDE0236"/>
    <w:rsid w:val="2CDE9510"/>
    <w:rsid w:val="2CE18326"/>
    <w:rsid w:val="2CE1EED7"/>
    <w:rsid w:val="2CE21CB0"/>
    <w:rsid w:val="2CE35045"/>
    <w:rsid w:val="2CE7834C"/>
    <w:rsid w:val="2CE8F56A"/>
    <w:rsid w:val="2CEE2B83"/>
    <w:rsid w:val="2CF289A3"/>
    <w:rsid w:val="2CF5676B"/>
    <w:rsid w:val="2D0B8F92"/>
    <w:rsid w:val="2D0E78E2"/>
    <w:rsid w:val="2D184404"/>
    <w:rsid w:val="2D20A024"/>
    <w:rsid w:val="2D22DCD4"/>
    <w:rsid w:val="2D23ABA7"/>
    <w:rsid w:val="2D2FAC64"/>
    <w:rsid w:val="2D307E04"/>
    <w:rsid w:val="2D403515"/>
    <w:rsid w:val="2D45C3F7"/>
    <w:rsid w:val="2D4AF335"/>
    <w:rsid w:val="2D4B863B"/>
    <w:rsid w:val="2D4E2BE2"/>
    <w:rsid w:val="2D51D6A7"/>
    <w:rsid w:val="2D576F4A"/>
    <w:rsid w:val="2D5BAB7D"/>
    <w:rsid w:val="2D67224F"/>
    <w:rsid w:val="2D67C4AF"/>
    <w:rsid w:val="2D6B467B"/>
    <w:rsid w:val="2D6E62F5"/>
    <w:rsid w:val="2D72F2C5"/>
    <w:rsid w:val="2D8955A2"/>
    <w:rsid w:val="2D8D2412"/>
    <w:rsid w:val="2D8FA612"/>
    <w:rsid w:val="2D92182C"/>
    <w:rsid w:val="2D9608F0"/>
    <w:rsid w:val="2D9B3436"/>
    <w:rsid w:val="2D9DDB1D"/>
    <w:rsid w:val="2DA0B410"/>
    <w:rsid w:val="2DA23621"/>
    <w:rsid w:val="2DACC14E"/>
    <w:rsid w:val="2DB331E3"/>
    <w:rsid w:val="2DB34545"/>
    <w:rsid w:val="2DB7A12A"/>
    <w:rsid w:val="2DBC21FF"/>
    <w:rsid w:val="2DC50DB2"/>
    <w:rsid w:val="2DC7BA77"/>
    <w:rsid w:val="2DCA2285"/>
    <w:rsid w:val="2DCAE3C9"/>
    <w:rsid w:val="2DCF8F1A"/>
    <w:rsid w:val="2DDB65F0"/>
    <w:rsid w:val="2DDE4131"/>
    <w:rsid w:val="2DE5535E"/>
    <w:rsid w:val="2DE82535"/>
    <w:rsid w:val="2DEA7076"/>
    <w:rsid w:val="2DEEC0E0"/>
    <w:rsid w:val="2DF39E37"/>
    <w:rsid w:val="2DF9F15F"/>
    <w:rsid w:val="2DFC8441"/>
    <w:rsid w:val="2E020D5F"/>
    <w:rsid w:val="2E0928E0"/>
    <w:rsid w:val="2E0E5FF6"/>
    <w:rsid w:val="2E10B9D6"/>
    <w:rsid w:val="2E14D035"/>
    <w:rsid w:val="2E154AC5"/>
    <w:rsid w:val="2E1594CE"/>
    <w:rsid w:val="2E16D4DB"/>
    <w:rsid w:val="2E18DCE0"/>
    <w:rsid w:val="2E206579"/>
    <w:rsid w:val="2E250E23"/>
    <w:rsid w:val="2E2579A0"/>
    <w:rsid w:val="2E2A250D"/>
    <w:rsid w:val="2E2A517F"/>
    <w:rsid w:val="2E322C18"/>
    <w:rsid w:val="2E341CAF"/>
    <w:rsid w:val="2E48A61F"/>
    <w:rsid w:val="2E4E4FBA"/>
    <w:rsid w:val="2E52BB0F"/>
    <w:rsid w:val="2E5E1CF8"/>
    <w:rsid w:val="2E5E3F4B"/>
    <w:rsid w:val="2E605566"/>
    <w:rsid w:val="2E65F6CD"/>
    <w:rsid w:val="2E6BC7D6"/>
    <w:rsid w:val="2E77E6E6"/>
    <w:rsid w:val="2E79A79C"/>
    <w:rsid w:val="2E7D7F62"/>
    <w:rsid w:val="2E7F99FA"/>
    <w:rsid w:val="2E82FF5F"/>
    <w:rsid w:val="2E84C01A"/>
    <w:rsid w:val="2E878996"/>
    <w:rsid w:val="2E9BE33A"/>
    <w:rsid w:val="2E9F0A05"/>
    <w:rsid w:val="2EA01CE8"/>
    <w:rsid w:val="2EA4D0D2"/>
    <w:rsid w:val="2EA75110"/>
    <w:rsid w:val="2EABB079"/>
    <w:rsid w:val="2EAC94D8"/>
    <w:rsid w:val="2EACC1D4"/>
    <w:rsid w:val="2EB07CB3"/>
    <w:rsid w:val="2EC1F90D"/>
    <w:rsid w:val="2EC51BD9"/>
    <w:rsid w:val="2EC558E8"/>
    <w:rsid w:val="2EC92918"/>
    <w:rsid w:val="2ECC198E"/>
    <w:rsid w:val="2ECD537B"/>
    <w:rsid w:val="2ECDB2A6"/>
    <w:rsid w:val="2ECEC7EC"/>
    <w:rsid w:val="2ED3CBFA"/>
    <w:rsid w:val="2ED54581"/>
    <w:rsid w:val="2EE10A52"/>
    <w:rsid w:val="2EEDC642"/>
    <w:rsid w:val="2EF7BA7A"/>
    <w:rsid w:val="2EF8E0CD"/>
    <w:rsid w:val="2EFDD76E"/>
    <w:rsid w:val="2F03E9AA"/>
    <w:rsid w:val="2F0F32C5"/>
    <w:rsid w:val="2F111782"/>
    <w:rsid w:val="2F1276A6"/>
    <w:rsid w:val="2F1A11B7"/>
    <w:rsid w:val="2F1B520F"/>
    <w:rsid w:val="2F1FF216"/>
    <w:rsid w:val="2F205F4D"/>
    <w:rsid w:val="2F2D7126"/>
    <w:rsid w:val="2F3801F6"/>
    <w:rsid w:val="2F387DF8"/>
    <w:rsid w:val="2F38854B"/>
    <w:rsid w:val="2F3ACC1D"/>
    <w:rsid w:val="2F3C3553"/>
    <w:rsid w:val="2F3F0FD9"/>
    <w:rsid w:val="2F43AE5B"/>
    <w:rsid w:val="2F55F6E2"/>
    <w:rsid w:val="2F5BACE0"/>
    <w:rsid w:val="2F63D536"/>
    <w:rsid w:val="2F692166"/>
    <w:rsid w:val="2F699A02"/>
    <w:rsid w:val="2F73E8C6"/>
    <w:rsid w:val="2F76104D"/>
    <w:rsid w:val="2F7EB809"/>
    <w:rsid w:val="2F8C13C2"/>
    <w:rsid w:val="2F8DF6AA"/>
    <w:rsid w:val="2F9BA07B"/>
    <w:rsid w:val="2F9C8418"/>
    <w:rsid w:val="2F9F0C91"/>
    <w:rsid w:val="2FA25458"/>
    <w:rsid w:val="2FA3CBDA"/>
    <w:rsid w:val="2FABF3EA"/>
    <w:rsid w:val="2FACF8FF"/>
    <w:rsid w:val="2FADC620"/>
    <w:rsid w:val="2FAFBA74"/>
    <w:rsid w:val="2FB0A5F5"/>
    <w:rsid w:val="2FB1EEB4"/>
    <w:rsid w:val="2FBABD58"/>
    <w:rsid w:val="2FC139CC"/>
    <w:rsid w:val="2FC20027"/>
    <w:rsid w:val="2FC44AE4"/>
    <w:rsid w:val="2FC75A81"/>
    <w:rsid w:val="2FD3D801"/>
    <w:rsid w:val="2FE17B10"/>
    <w:rsid w:val="2FE20251"/>
    <w:rsid w:val="2FE2233B"/>
    <w:rsid w:val="2FEC7466"/>
    <w:rsid w:val="2FEFCCAD"/>
    <w:rsid w:val="2FF3FE6A"/>
    <w:rsid w:val="3001A776"/>
    <w:rsid w:val="30041E41"/>
    <w:rsid w:val="30043D11"/>
    <w:rsid w:val="3008573A"/>
    <w:rsid w:val="3008D610"/>
    <w:rsid w:val="3008EE68"/>
    <w:rsid w:val="300B8104"/>
    <w:rsid w:val="30137FBB"/>
    <w:rsid w:val="3014E8EE"/>
    <w:rsid w:val="301749B9"/>
    <w:rsid w:val="30180606"/>
    <w:rsid w:val="301A0BB9"/>
    <w:rsid w:val="301F7588"/>
    <w:rsid w:val="3020B03F"/>
    <w:rsid w:val="302F961E"/>
    <w:rsid w:val="3030238C"/>
    <w:rsid w:val="303354A2"/>
    <w:rsid w:val="3037442A"/>
    <w:rsid w:val="303F8FF5"/>
    <w:rsid w:val="304F5FC9"/>
    <w:rsid w:val="305034AE"/>
    <w:rsid w:val="30510A8B"/>
    <w:rsid w:val="30541D17"/>
    <w:rsid w:val="305420F2"/>
    <w:rsid w:val="305706C8"/>
    <w:rsid w:val="305A5417"/>
    <w:rsid w:val="305BADF8"/>
    <w:rsid w:val="305F956E"/>
    <w:rsid w:val="30605754"/>
    <w:rsid w:val="306CE87A"/>
    <w:rsid w:val="3070B373"/>
    <w:rsid w:val="30720EE8"/>
    <w:rsid w:val="30780E30"/>
    <w:rsid w:val="30788315"/>
    <w:rsid w:val="307A66B1"/>
    <w:rsid w:val="308211CC"/>
    <w:rsid w:val="30844281"/>
    <w:rsid w:val="30876640"/>
    <w:rsid w:val="3089B573"/>
    <w:rsid w:val="308F4517"/>
    <w:rsid w:val="309023BC"/>
    <w:rsid w:val="30985014"/>
    <w:rsid w:val="309B4613"/>
    <w:rsid w:val="309E4E4A"/>
    <w:rsid w:val="30A42A02"/>
    <w:rsid w:val="30A633E7"/>
    <w:rsid w:val="30B08559"/>
    <w:rsid w:val="30B3A5AA"/>
    <w:rsid w:val="30B988CC"/>
    <w:rsid w:val="30B9FD90"/>
    <w:rsid w:val="30BFEEF4"/>
    <w:rsid w:val="30C6918B"/>
    <w:rsid w:val="30C958F2"/>
    <w:rsid w:val="30CAA475"/>
    <w:rsid w:val="30DAA923"/>
    <w:rsid w:val="30DB8F27"/>
    <w:rsid w:val="30DC9F7F"/>
    <w:rsid w:val="30DE81C6"/>
    <w:rsid w:val="30E1A320"/>
    <w:rsid w:val="30E4AD00"/>
    <w:rsid w:val="30E89E29"/>
    <w:rsid w:val="30F98884"/>
    <w:rsid w:val="30F9E681"/>
    <w:rsid w:val="30FD4720"/>
    <w:rsid w:val="310702EA"/>
    <w:rsid w:val="310C6D48"/>
    <w:rsid w:val="311013BC"/>
    <w:rsid w:val="31141552"/>
    <w:rsid w:val="311BD23E"/>
    <w:rsid w:val="311CF8A8"/>
    <w:rsid w:val="31257D3A"/>
    <w:rsid w:val="31293212"/>
    <w:rsid w:val="3129C102"/>
    <w:rsid w:val="313150C3"/>
    <w:rsid w:val="31432C92"/>
    <w:rsid w:val="314B1BAA"/>
    <w:rsid w:val="314DED06"/>
    <w:rsid w:val="3156F5C8"/>
    <w:rsid w:val="316943BE"/>
    <w:rsid w:val="31805B16"/>
    <w:rsid w:val="3182C242"/>
    <w:rsid w:val="3183C74E"/>
    <w:rsid w:val="3185DD1B"/>
    <w:rsid w:val="319C2F4E"/>
    <w:rsid w:val="319F04D8"/>
    <w:rsid w:val="31A6988A"/>
    <w:rsid w:val="31A94705"/>
    <w:rsid w:val="31A96773"/>
    <w:rsid w:val="31A96B8B"/>
    <w:rsid w:val="31B56C0D"/>
    <w:rsid w:val="31B6213E"/>
    <w:rsid w:val="31CCAB4E"/>
    <w:rsid w:val="31D1ACFE"/>
    <w:rsid w:val="31D8FAF0"/>
    <w:rsid w:val="31DCF1FE"/>
    <w:rsid w:val="31E1F51C"/>
    <w:rsid w:val="31E8024F"/>
    <w:rsid w:val="31EAECEF"/>
    <w:rsid w:val="31F4FFFF"/>
    <w:rsid w:val="31F65AC4"/>
    <w:rsid w:val="31F6D58F"/>
    <w:rsid w:val="3201168A"/>
    <w:rsid w:val="32064467"/>
    <w:rsid w:val="320667EB"/>
    <w:rsid w:val="320F2325"/>
    <w:rsid w:val="320FAD01"/>
    <w:rsid w:val="32180E0E"/>
    <w:rsid w:val="3218A255"/>
    <w:rsid w:val="3219AE9C"/>
    <w:rsid w:val="3219FD62"/>
    <w:rsid w:val="321A658A"/>
    <w:rsid w:val="322311D1"/>
    <w:rsid w:val="322420CE"/>
    <w:rsid w:val="3227A730"/>
    <w:rsid w:val="3229099E"/>
    <w:rsid w:val="322ADE27"/>
    <w:rsid w:val="322F1385"/>
    <w:rsid w:val="32301207"/>
    <w:rsid w:val="32311B59"/>
    <w:rsid w:val="323979D5"/>
    <w:rsid w:val="3240064B"/>
    <w:rsid w:val="32430CE3"/>
    <w:rsid w:val="32461011"/>
    <w:rsid w:val="32474CF4"/>
    <w:rsid w:val="325016E9"/>
    <w:rsid w:val="3252E9FD"/>
    <w:rsid w:val="32575A2A"/>
    <w:rsid w:val="325FC35F"/>
    <w:rsid w:val="32654EF4"/>
    <w:rsid w:val="326AD526"/>
    <w:rsid w:val="326AF210"/>
    <w:rsid w:val="326B42D1"/>
    <w:rsid w:val="326BE7A4"/>
    <w:rsid w:val="326D05BD"/>
    <w:rsid w:val="326D443B"/>
    <w:rsid w:val="326DEE72"/>
    <w:rsid w:val="3273C7AD"/>
    <w:rsid w:val="327D2B15"/>
    <w:rsid w:val="3282BC87"/>
    <w:rsid w:val="3288BB2C"/>
    <w:rsid w:val="3289513D"/>
    <w:rsid w:val="3289DD2D"/>
    <w:rsid w:val="328D4D5B"/>
    <w:rsid w:val="3296106C"/>
    <w:rsid w:val="329B4C64"/>
    <w:rsid w:val="32A1CD29"/>
    <w:rsid w:val="32A48DF3"/>
    <w:rsid w:val="32A4B82B"/>
    <w:rsid w:val="32A794CD"/>
    <w:rsid w:val="32AFC30A"/>
    <w:rsid w:val="32B5DF6E"/>
    <w:rsid w:val="32B74028"/>
    <w:rsid w:val="32B8598F"/>
    <w:rsid w:val="32B8A1C5"/>
    <w:rsid w:val="32BCBADB"/>
    <w:rsid w:val="32C4476B"/>
    <w:rsid w:val="32DBEDB6"/>
    <w:rsid w:val="32E30C8B"/>
    <w:rsid w:val="32ECAE52"/>
    <w:rsid w:val="32EFC969"/>
    <w:rsid w:val="32F956CB"/>
    <w:rsid w:val="33008DD2"/>
    <w:rsid w:val="3300D0F5"/>
    <w:rsid w:val="3301E7A0"/>
    <w:rsid w:val="3303C89F"/>
    <w:rsid w:val="33084B0A"/>
    <w:rsid w:val="33103618"/>
    <w:rsid w:val="331256FE"/>
    <w:rsid w:val="3319AB68"/>
    <w:rsid w:val="332623F8"/>
    <w:rsid w:val="332AFF6E"/>
    <w:rsid w:val="33331C2C"/>
    <w:rsid w:val="333B931E"/>
    <w:rsid w:val="333CED27"/>
    <w:rsid w:val="334397D6"/>
    <w:rsid w:val="33476D97"/>
    <w:rsid w:val="3348157B"/>
    <w:rsid w:val="334CC07A"/>
    <w:rsid w:val="33511FBE"/>
    <w:rsid w:val="335636AB"/>
    <w:rsid w:val="33574994"/>
    <w:rsid w:val="335D0584"/>
    <w:rsid w:val="3360853D"/>
    <w:rsid w:val="3364D10B"/>
    <w:rsid w:val="336BCE83"/>
    <w:rsid w:val="336D815B"/>
    <w:rsid w:val="3374F6D5"/>
    <w:rsid w:val="337DDF36"/>
    <w:rsid w:val="337EFDDE"/>
    <w:rsid w:val="338767B1"/>
    <w:rsid w:val="33893388"/>
    <w:rsid w:val="33896845"/>
    <w:rsid w:val="3395551D"/>
    <w:rsid w:val="33A19479"/>
    <w:rsid w:val="33A75F8C"/>
    <w:rsid w:val="33A7F1CD"/>
    <w:rsid w:val="33B23013"/>
    <w:rsid w:val="33B85D3D"/>
    <w:rsid w:val="33BA1CEB"/>
    <w:rsid w:val="33BAEE25"/>
    <w:rsid w:val="33BE3044"/>
    <w:rsid w:val="33D5D4D1"/>
    <w:rsid w:val="33DD4163"/>
    <w:rsid w:val="33E3A158"/>
    <w:rsid w:val="33E5D8EF"/>
    <w:rsid w:val="33F0BB73"/>
    <w:rsid w:val="33F35DB0"/>
    <w:rsid w:val="33F36888"/>
    <w:rsid w:val="33F43091"/>
    <w:rsid w:val="33F6D3A5"/>
    <w:rsid w:val="34028E94"/>
    <w:rsid w:val="34070C3D"/>
    <w:rsid w:val="3407606B"/>
    <w:rsid w:val="340A0639"/>
    <w:rsid w:val="340EC363"/>
    <w:rsid w:val="34148F63"/>
    <w:rsid w:val="341696AC"/>
    <w:rsid w:val="34217C38"/>
    <w:rsid w:val="34221C04"/>
    <w:rsid w:val="3429DB97"/>
    <w:rsid w:val="342DB1B1"/>
    <w:rsid w:val="342F8505"/>
    <w:rsid w:val="343B5DBA"/>
    <w:rsid w:val="343BBB84"/>
    <w:rsid w:val="344153FD"/>
    <w:rsid w:val="344B5510"/>
    <w:rsid w:val="344BC872"/>
    <w:rsid w:val="3452E39B"/>
    <w:rsid w:val="34553C07"/>
    <w:rsid w:val="34677C07"/>
    <w:rsid w:val="346CF994"/>
    <w:rsid w:val="3470ADD2"/>
    <w:rsid w:val="34727FF3"/>
    <w:rsid w:val="34789DA5"/>
    <w:rsid w:val="347944A6"/>
    <w:rsid w:val="347F7214"/>
    <w:rsid w:val="3483A636"/>
    <w:rsid w:val="348612A8"/>
    <w:rsid w:val="3489E0FA"/>
    <w:rsid w:val="348CBD8F"/>
    <w:rsid w:val="349BEC22"/>
    <w:rsid w:val="349DBBEC"/>
    <w:rsid w:val="34A3C740"/>
    <w:rsid w:val="34A4CD20"/>
    <w:rsid w:val="34A59E83"/>
    <w:rsid w:val="34A657B1"/>
    <w:rsid w:val="34A7E48B"/>
    <w:rsid w:val="34AFD694"/>
    <w:rsid w:val="34B356E2"/>
    <w:rsid w:val="34BB0104"/>
    <w:rsid w:val="34BBDDAE"/>
    <w:rsid w:val="34CA1BF1"/>
    <w:rsid w:val="34CBABF3"/>
    <w:rsid w:val="34DAF5CC"/>
    <w:rsid w:val="34DB9AFF"/>
    <w:rsid w:val="34E36A72"/>
    <w:rsid w:val="34E78E55"/>
    <w:rsid w:val="34E9231F"/>
    <w:rsid w:val="34F2F98A"/>
    <w:rsid w:val="34FBB676"/>
    <w:rsid w:val="34FC1102"/>
    <w:rsid w:val="3503BACB"/>
    <w:rsid w:val="35069E07"/>
    <w:rsid w:val="350A8F39"/>
    <w:rsid w:val="350EAEDF"/>
    <w:rsid w:val="3522CC11"/>
    <w:rsid w:val="35294F4F"/>
    <w:rsid w:val="3530AEA3"/>
    <w:rsid w:val="3532E5C2"/>
    <w:rsid w:val="3539429E"/>
    <w:rsid w:val="353B6A8A"/>
    <w:rsid w:val="353BB05B"/>
    <w:rsid w:val="353C2E12"/>
    <w:rsid w:val="353CC124"/>
    <w:rsid w:val="354440F1"/>
    <w:rsid w:val="354E58F7"/>
    <w:rsid w:val="354FED22"/>
    <w:rsid w:val="35583085"/>
    <w:rsid w:val="355B988F"/>
    <w:rsid w:val="3560E908"/>
    <w:rsid w:val="35620A0E"/>
    <w:rsid w:val="356A4E64"/>
    <w:rsid w:val="356F96B7"/>
    <w:rsid w:val="3578E3D6"/>
    <w:rsid w:val="3585F62E"/>
    <w:rsid w:val="3589B5EF"/>
    <w:rsid w:val="358B062A"/>
    <w:rsid w:val="358BA63C"/>
    <w:rsid w:val="358D5B13"/>
    <w:rsid w:val="35979D2A"/>
    <w:rsid w:val="35AAD788"/>
    <w:rsid w:val="35AFA5CE"/>
    <w:rsid w:val="35AFCFD7"/>
    <w:rsid w:val="35B5DB93"/>
    <w:rsid w:val="35C0CDEC"/>
    <w:rsid w:val="35CE8341"/>
    <w:rsid w:val="35E008B8"/>
    <w:rsid w:val="35E64712"/>
    <w:rsid w:val="35F00255"/>
    <w:rsid w:val="35F0F306"/>
    <w:rsid w:val="35F35047"/>
    <w:rsid w:val="35F4EA85"/>
    <w:rsid w:val="35FA522C"/>
    <w:rsid w:val="35FAE1D0"/>
    <w:rsid w:val="35FD055C"/>
    <w:rsid w:val="35FDF9BF"/>
    <w:rsid w:val="360182F5"/>
    <w:rsid w:val="3602B08A"/>
    <w:rsid w:val="36052CEB"/>
    <w:rsid w:val="3606B836"/>
    <w:rsid w:val="3607DF76"/>
    <w:rsid w:val="3615FAE7"/>
    <w:rsid w:val="3617B153"/>
    <w:rsid w:val="362DE645"/>
    <w:rsid w:val="363855DB"/>
    <w:rsid w:val="363ECD10"/>
    <w:rsid w:val="363F5025"/>
    <w:rsid w:val="36439A18"/>
    <w:rsid w:val="364BA94E"/>
    <w:rsid w:val="364DB7FC"/>
    <w:rsid w:val="364FA857"/>
    <w:rsid w:val="36541D55"/>
    <w:rsid w:val="366118DD"/>
    <w:rsid w:val="36627F73"/>
    <w:rsid w:val="3669FEE4"/>
    <w:rsid w:val="367363A7"/>
    <w:rsid w:val="3676B4E0"/>
    <w:rsid w:val="36AC293E"/>
    <w:rsid w:val="36B3D2B8"/>
    <w:rsid w:val="36B6767C"/>
    <w:rsid w:val="36BDA4A9"/>
    <w:rsid w:val="36CA7CDD"/>
    <w:rsid w:val="36CD1ED1"/>
    <w:rsid w:val="36CEB788"/>
    <w:rsid w:val="36D23BE8"/>
    <w:rsid w:val="36D2D9E1"/>
    <w:rsid w:val="36F76DFD"/>
    <w:rsid w:val="36FBA6A0"/>
    <w:rsid w:val="3700762D"/>
    <w:rsid w:val="3706EC9F"/>
    <w:rsid w:val="370F31A2"/>
    <w:rsid w:val="371070AF"/>
    <w:rsid w:val="37125AF2"/>
    <w:rsid w:val="3714FF19"/>
    <w:rsid w:val="3716311D"/>
    <w:rsid w:val="3724C13A"/>
    <w:rsid w:val="37255052"/>
    <w:rsid w:val="372913AA"/>
    <w:rsid w:val="37291AD8"/>
    <w:rsid w:val="372C723D"/>
    <w:rsid w:val="373910B6"/>
    <w:rsid w:val="373994FF"/>
    <w:rsid w:val="373D8619"/>
    <w:rsid w:val="373EB984"/>
    <w:rsid w:val="37409704"/>
    <w:rsid w:val="374C9C5D"/>
    <w:rsid w:val="375038DC"/>
    <w:rsid w:val="3750639B"/>
    <w:rsid w:val="375A444C"/>
    <w:rsid w:val="375CB90E"/>
    <w:rsid w:val="376D2E85"/>
    <w:rsid w:val="377562D1"/>
    <w:rsid w:val="377F6F2B"/>
    <w:rsid w:val="378641E4"/>
    <w:rsid w:val="37933CD3"/>
    <w:rsid w:val="37940F99"/>
    <w:rsid w:val="379A39F3"/>
    <w:rsid w:val="37A34969"/>
    <w:rsid w:val="37AAF21C"/>
    <w:rsid w:val="37AC3930"/>
    <w:rsid w:val="37AF6B74"/>
    <w:rsid w:val="37B4B2E5"/>
    <w:rsid w:val="37BC60A5"/>
    <w:rsid w:val="37BDE414"/>
    <w:rsid w:val="37C182BC"/>
    <w:rsid w:val="37C4AAD6"/>
    <w:rsid w:val="37C8DE00"/>
    <w:rsid w:val="37E14BC2"/>
    <w:rsid w:val="37F15640"/>
    <w:rsid w:val="37F40FE2"/>
    <w:rsid w:val="37F525D5"/>
    <w:rsid w:val="37F8C404"/>
    <w:rsid w:val="380D4621"/>
    <w:rsid w:val="380E4243"/>
    <w:rsid w:val="380E9364"/>
    <w:rsid w:val="380F6F5C"/>
    <w:rsid w:val="3814DF83"/>
    <w:rsid w:val="381648EE"/>
    <w:rsid w:val="381CE510"/>
    <w:rsid w:val="382DDA78"/>
    <w:rsid w:val="38367730"/>
    <w:rsid w:val="383F7C6A"/>
    <w:rsid w:val="384243DD"/>
    <w:rsid w:val="3844F71B"/>
    <w:rsid w:val="384518AB"/>
    <w:rsid w:val="38462BDE"/>
    <w:rsid w:val="384BB2CB"/>
    <w:rsid w:val="384FAAA2"/>
    <w:rsid w:val="3852CC42"/>
    <w:rsid w:val="38532F4E"/>
    <w:rsid w:val="385390FA"/>
    <w:rsid w:val="385F6C9F"/>
    <w:rsid w:val="386ABB90"/>
    <w:rsid w:val="386F40F5"/>
    <w:rsid w:val="38728E2D"/>
    <w:rsid w:val="3876FF60"/>
    <w:rsid w:val="387B7FF0"/>
    <w:rsid w:val="38802DF2"/>
    <w:rsid w:val="38828F19"/>
    <w:rsid w:val="388FD7C0"/>
    <w:rsid w:val="38972AF8"/>
    <w:rsid w:val="38A0CCF7"/>
    <w:rsid w:val="38A5D2AD"/>
    <w:rsid w:val="38A8A8C1"/>
    <w:rsid w:val="38AAC9A1"/>
    <w:rsid w:val="38AF13D7"/>
    <w:rsid w:val="38B1F1AE"/>
    <w:rsid w:val="38B6E16D"/>
    <w:rsid w:val="38C19310"/>
    <w:rsid w:val="38CF23F2"/>
    <w:rsid w:val="38D87D5D"/>
    <w:rsid w:val="38DBD51C"/>
    <w:rsid w:val="38E0074A"/>
    <w:rsid w:val="38EAC56B"/>
    <w:rsid w:val="38EF5065"/>
    <w:rsid w:val="38F23A3F"/>
    <w:rsid w:val="38F6C1DB"/>
    <w:rsid w:val="39077406"/>
    <w:rsid w:val="39106249"/>
    <w:rsid w:val="3910861F"/>
    <w:rsid w:val="3911AA3E"/>
    <w:rsid w:val="39164301"/>
    <w:rsid w:val="391684E3"/>
    <w:rsid w:val="3919FC15"/>
    <w:rsid w:val="391E338D"/>
    <w:rsid w:val="391EC479"/>
    <w:rsid w:val="392130A5"/>
    <w:rsid w:val="392A94DE"/>
    <w:rsid w:val="392DF236"/>
    <w:rsid w:val="393611D5"/>
    <w:rsid w:val="393FCA30"/>
    <w:rsid w:val="394302D4"/>
    <w:rsid w:val="3945CEB7"/>
    <w:rsid w:val="3945FB26"/>
    <w:rsid w:val="394BA1C0"/>
    <w:rsid w:val="394E6AE8"/>
    <w:rsid w:val="3950DDCC"/>
    <w:rsid w:val="395A8B73"/>
    <w:rsid w:val="395C6DFF"/>
    <w:rsid w:val="39632E2D"/>
    <w:rsid w:val="396668A5"/>
    <w:rsid w:val="396960B5"/>
    <w:rsid w:val="396D7B23"/>
    <w:rsid w:val="396E37B4"/>
    <w:rsid w:val="3971ED79"/>
    <w:rsid w:val="3973AE6A"/>
    <w:rsid w:val="3983485E"/>
    <w:rsid w:val="3983F732"/>
    <w:rsid w:val="3985A862"/>
    <w:rsid w:val="3986CAF0"/>
    <w:rsid w:val="39965371"/>
    <w:rsid w:val="399B1475"/>
    <w:rsid w:val="399D85B3"/>
    <w:rsid w:val="39A04B25"/>
    <w:rsid w:val="39A1D863"/>
    <w:rsid w:val="39A37EE1"/>
    <w:rsid w:val="39AEDEE8"/>
    <w:rsid w:val="39B01A01"/>
    <w:rsid w:val="39B1CCE9"/>
    <w:rsid w:val="39B3E5E5"/>
    <w:rsid w:val="39BB971B"/>
    <w:rsid w:val="39C0438A"/>
    <w:rsid w:val="39C0C6EE"/>
    <w:rsid w:val="39CA5C6A"/>
    <w:rsid w:val="39CEC31A"/>
    <w:rsid w:val="39CFB93B"/>
    <w:rsid w:val="39D67D76"/>
    <w:rsid w:val="39D9622B"/>
    <w:rsid w:val="39DC5C1A"/>
    <w:rsid w:val="39DC8AC3"/>
    <w:rsid w:val="39DCB132"/>
    <w:rsid w:val="39E491AD"/>
    <w:rsid w:val="39E8BB27"/>
    <w:rsid w:val="39EC7827"/>
    <w:rsid w:val="39F28AA3"/>
    <w:rsid w:val="39F31B4D"/>
    <w:rsid w:val="39F322F1"/>
    <w:rsid w:val="39F78A0E"/>
    <w:rsid w:val="39FF1655"/>
    <w:rsid w:val="3A017883"/>
    <w:rsid w:val="3A05C5BE"/>
    <w:rsid w:val="3A166D4F"/>
    <w:rsid w:val="3A1C71D0"/>
    <w:rsid w:val="3A22DF4D"/>
    <w:rsid w:val="3A238492"/>
    <w:rsid w:val="3A238BA3"/>
    <w:rsid w:val="3A2445CE"/>
    <w:rsid w:val="3A2A29B8"/>
    <w:rsid w:val="3A2D887B"/>
    <w:rsid w:val="3A3229B5"/>
    <w:rsid w:val="3A3C5F23"/>
    <w:rsid w:val="3A3F80D9"/>
    <w:rsid w:val="3A581B4A"/>
    <w:rsid w:val="3A686BA2"/>
    <w:rsid w:val="3A697D72"/>
    <w:rsid w:val="3A6A1B88"/>
    <w:rsid w:val="3A6F2443"/>
    <w:rsid w:val="3A73DEC7"/>
    <w:rsid w:val="3A756110"/>
    <w:rsid w:val="3A7C88C1"/>
    <w:rsid w:val="3A893C56"/>
    <w:rsid w:val="3A953807"/>
    <w:rsid w:val="3A975F21"/>
    <w:rsid w:val="3A9E0104"/>
    <w:rsid w:val="3AA451DB"/>
    <w:rsid w:val="3AADE510"/>
    <w:rsid w:val="3AB2F0ED"/>
    <w:rsid w:val="3AB2FC8E"/>
    <w:rsid w:val="3AB8D77F"/>
    <w:rsid w:val="3ABA7D17"/>
    <w:rsid w:val="3ABB8623"/>
    <w:rsid w:val="3AD309D3"/>
    <w:rsid w:val="3ADAD7A5"/>
    <w:rsid w:val="3AE21C41"/>
    <w:rsid w:val="3AE94B8D"/>
    <w:rsid w:val="3AEED4B7"/>
    <w:rsid w:val="3AF23982"/>
    <w:rsid w:val="3AFF730A"/>
    <w:rsid w:val="3B00887D"/>
    <w:rsid w:val="3B012766"/>
    <w:rsid w:val="3B0F0EEC"/>
    <w:rsid w:val="3B104837"/>
    <w:rsid w:val="3B1400BB"/>
    <w:rsid w:val="3B145EC3"/>
    <w:rsid w:val="3B16A443"/>
    <w:rsid w:val="3B175621"/>
    <w:rsid w:val="3B1CF9FF"/>
    <w:rsid w:val="3B22C5EF"/>
    <w:rsid w:val="3B27CA51"/>
    <w:rsid w:val="3B303038"/>
    <w:rsid w:val="3B333BFD"/>
    <w:rsid w:val="3B33EAB6"/>
    <w:rsid w:val="3B3CE2DD"/>
    <w:rsid w:val="3B4243DB"/>
    <w:rsid w:val="3B42A260"/>
    <w:rsid w:val="3B45E20E"/>
    <w:rsid w:val="3B45E52D"/>
    <w:rsid w:val="3B4809AE"/>
    <w:rsid w:val="3B4B0E9B"/>
    <w:rsid w:val="3B4B5412"/>
    <w:rsid w:val="3B4F141A"/>
    <w:rsid w:val="3B4F4006"/>
    <w:rsid w:val="3B4F6E08"/>
    <w:rsid w:val="3B5623A6"/>
    <w:rsid w:val="3B594C46"/>
    <w:rsid w:val="3B695965"/>
    <w:rsid w:val="3B6D77AB"/>
    <w:rsid w:val="3B7663B0"/>
    <w:rsid w:val="3B79F8A0"/>
    <w:rsid w:val="3B8DA377"/>
    <w:rsid w:val="3B98B100"/>
    <w:rsid w:val="3BA02FD8"/>
    <w:rsid w:val="3BA438A6"/>
    <w:rsid w:val="3BA5ED4A"/>
    <w:rsid w:val="3BA73E68"/>
    <w:rsid w:val="3BAFD648"/>
    <w:rsid w:val="3BB5B3D7"/>
    <w:rsid w:val="3BC2D08E"/>
    <w:rsid w:val="3BCA7942"/>
    <w:rsid w:val="3BCE0582"/>
    <w:rsid w:val="3BCF606E"/>
    <w:rsid w:val="3BD26F39"/>
    <w:rsid w:val="3BD28E1B"/>
    <w:rsid w:val="3BD6A00E"/>
    <w:rsid w:val="3BD9E211"/>
    <w:rsid w:val="3BDBD439"/>
    <w:rsid w:val="3BE23314"/>
    <w:rsid w:val="3BE50036"/>
    <w:rsid w:val="3BF03F04"/>
    <w:rsid w:val="3BF4B180"/>
    <w:rsid w:val="3BF4C227"/>
    <w:rsid w:val="3BF77B92"/>
    <w:rsid w:val="3BF9547A"/>
    <w:rsid w:val="3BFAF3A8"/>
    <w:rsid w:val="3BFE0CCC"/>
    <w:rsid w:val="3C03E241"/>
    <w:rsid w:val="3C06408E"/>
    <w:rsid w:val="3C072EBD"/>
    <w:rsid w:val="3C13034D"/>
    <w:rsid w:val="3C1C3531"/>
    <w:rsid w:val="3C1EC92E"/>
    <w:rsid w:val="3C203F9E"/>
    <w:rsid w:val="3C266F96"/>
    <w:rsid w:val="3C344A75"/>
    <w:rsid w:val="3C39F207"/>
    <w:rsid w:val="3C3DBBA5"/>
    <w:rsid w:val="3C3DD460"/>
    <w:rsid w:val="3C4033DF"/>
    <w:rsid w:val="3C4592FD"/>
    <w:rsid w:val="3C45EDEA"/>
    <w:rsid w:val="3C489F79"/>
    <w:rsid w:val="3C56F85F"/>
    <w:rsid w:val="3C609548"/>
    <w:rsid w:val="3C6366E6"/>
    <w:rsid w:val="3C63BE9E"/>
    <w:rsid w:val="3C6EC0B3"/>
    <w:rsid w:val="3C6F392B"/>
    <w:rsid w:val="3C81B22F"/>
    <w:rsid w:val="3C81C87B"/>
    <w:rsid w:val="3C89DD56"/>
    <w:rsid w:val="3C903B32"/>
    <w:rsid w:val="3C96EB7F"/>
    <w:rsid w:val="3C9C7C62"/>
    <w:rsid w:val="3CB28AAB"/>
    <w:rsid w:val="3CB34201"/>
    <w:rsid w:val="3CBE52FE"/>
    <w:rsid w:val="3CC0B716"/>
    <w:rsid w:val="3CC77F4B"/>
    <w:rsid w:val="3CC97047"/>
    <w:rsid w:val="3CCDFCDA"/>
    <w:rsid w:val="3CDCF4CC"/>
    <w:rsid w:val="3CEA68CE"/>
    <w:rsid w:val="3CEC01E6"/>
    <w:rsid w:val="3CEC5711"/>
    <w:rsid w:val="3CF11BBF"/>
    <w:rsid w:val="3CF1491E"/>
    <w:rsid w:val="3CF43128"/>
    <w:rsid w:val="3CF99934"/>
    <w:rsid w:val="3CFEC439"/>
    <w:rsid w:val="3D055FAD"/>
    <w:rsid w:val="3D09D5FA"/>
    <w:rsid w:val="3D0DE755"/>
    <w:rsid w:val="3D1864CB"/>
    <w:rsid w:val="3D1BE517"/>
    <w:rsid w:val="3D1C707F"/>
    <w:rsid w:val="3D1DBBBC"/>
    <w:rsid w:val="3D2610B9"/>
    <w:rsid w:val="3D273245"/>
    <w:rsid w:val="3D2B807D"/>
    <w:rsid w:val="3D2F6BEC"/>
    <w:rsid w:val="3D3FCFF2"/>
    <w:rsid w:val="3D42BEAF"/>
    <w:rsid w:val="3D42FC50"/>
    <w:rsid w:val="3D444C2F"/>
    <w:rsid w:val="3D543045"/>
    <w:rsid w:val="3D543AC5"/>
    <w:rsid w:val="3D5719E9"/>
    <w:rsid w:val="3D5F4F53"/>
    <w:rsid w:val="3D623FD8"/>
    <w:rsid w:val="3D65759C"/>
    <w:rsid w:val="3D663B57"/>
    <w:rsid w:val="3D72788A"/>
    <w:rsid w:val="3D7681AA"/>
    <w:rsid w:val="3D83B294"/>
    <w:rsid w:val="3D8806E1"/>
    <w:rsid w:val="3D89D492"/>
    <w:rsid w:val="3D8CE525"/>
    <w:rsid w:val="3D8F5124"/>
    <w:rsid w:val="3D953E21"/>
    <w:rsid w:val="3D977E57"/>
    <w:rsid w:val="3D9EF23D"/>
    <w:rsid w:val="3DA0910C"/>
    <w:rsid w:val="3DA1DFA3"/>
    <w:rsid w:val="3DA8223F"/>
    <w:rsid w:val="3DA84777"/>
    <w:rsid w:val="3DB06425"/>
    <w:rsid w:val="3DBB6B7F"/>
    <w:rsid w:val="3DBCFDF2"/>
    <w:rsid w:val="3DCC5021"/>
    <w:rsid w:val="3DCD8286"/>
    <w:rsid w:val="3DCF728F"/>
    <w:rsid w:val="3DD0F236"/>
    <w:rsid w:val="3DD2290C"/>
    <w:rsid w:val="3DD4BE8F"/>
    <w:rsid w:val="3DDA0429"/>
    <w:rsid w:val="3DE386D1"/>
    <w:rsid w:val="3DEE29B1"/>
    <w:rsid w:val="3DF13E48"/>
    <w:rsid w:val="3DF2BC61"/>
    <w:rsid w:val="3DF97C0B"/>
    <w:rsid w:val="3E06758B"/>
    <w:rsid w:val="3E0A3F7F"/>
    <w:rsid w:val="3E0B7A17"/>
    <w:rsid w:val="3E0D3639"/>
    <w:rsid w:val="3E0EB056"/>
    <w:rsid w:val="3E10BD28"/>
    <w:rsid w:val="3E17106C"/>
    <w:rsid w:val="3E18EDEF"/>
    <w:rsid w:val="3E18F8F4"/>
    <w:rsid w:val="3E19A2B5"/>
    <w:rsid w:val="3E20CBE2"/>
    <w:rsid w:val="3E273F8B"/>
    <w:rsid w:val="3E2F2667"/>
    <w:rsid w:val="3E33CD20"/>
    <w:rsid w:val="3E3D3067"/>
    <w:rsid w:val="3E3EA842"/>
    <w:rsid w:val="3E469EF5"/>
    <w:rsid w:val="3E4EAFDF"/>
    <w:rsid w:val="3E542247"/>
    <w:rsid w:val="3E565C80"/>
    <w:rsid w:val="3E5C3349"/>
    <w:rsid w:val="3E5CECA1"/>
    <w:rsid w:val="3E5DDC9B"/>
    <w:rsid w:val="3E6395D4"/>
    <w:rsid w:val="3E666A14"/>
    <w:rsid w:val="3E67BD29"/>
    <w:rsid w:val="3E67DA56"/>
    <w:rsid w:val="3E69FBEE"/>
    <w:rsid w:val="3E6BBAA8"/>
    <w:rsid w:val="3E6C3EB3"/>
    <w:rsid w:val="3E6EB683"/>
    <w:rsid w:val="3E72CE86"/>
    <w:rsid w:val="3E72E22E"/>
    <w:rsid w:val="3E7BFC79"/>
    <w:rsid w:val="3E8FC8C0"/>
    <w:rsid w:val="3E9C277B"/>
    <w:rsid w:val="3E9D56CA"/>
    <w:rsid w:val="3EA121F4"/>
    <w:rsid w:val="3EA8BB7C"/>
    <w:rsid w:val="3EB48D2E"/>
    <w:rsid w:val="3EBBB6FD"/>
    <w:rsid w:val="3EBC5C14"/>
    <w:rsid w:val="3EC00E44"/>
    <w:rsid w:val="3EC344E7"/>
    <w:rsid w:val="3EC415BE"/>
    <w:rsid w:val="3EC96062"/>
    <w:rsid w:val="3ECDB750"/>
    <w:rsid w:val="3ED04547"/>
    <w:rsid w:val="3ED0E7D1"/>
    <w:rsid w:val="3ED7E561"/>
    <w:rsid w:val="3EDE1BEF"/>
    <w:rsid w:val="3EE3345B"/>
    <w:rsid w:val="3EEEF4E4"/>
    <w:rsid w:val="3EF62732"/>
    <w:rsid w:val="3F00D47A"/>
    <w:rsid w:val="3F0759F4"/>
    <w:rsid w:val="3F0AF481"/>
    <w:rsid w:val="3F0E65F9"/>
    <w:rsid w:val="3F150D3C"/>
    <w:rsid w:val="3F160618"/>
    <w:rsid w:val="3F16DD87"/>
    <w:rsid w:val="3F1B5BF4"/>
    <w:rsid w:val="3F1CF0AE"/>
    <w:rsid w:val="3F2CBFF5"/>
    <w:rsid w:val="3F2E501B"/>
    <w:rsid w:val="3F2E7782"/>
    <w:rsid w:val="3F319BC0"/>
    <w:rsid w:val="3F33A70C"/>
    <w:rsid w:val="3F366E35"/>
    <w:rsid w:val="3F49CF8A"/>
    <w:rsid w:val="3F4B3676"/>
    <w:rsid w:val="3F538605"/>
    <w:rsid w:val="3F59AA21"/>
    <w:rsid w:val="3F5D0578"/>
    <w:rsid w:val="3F5D167F"/>
    <w:rsid w:val="3F64C818"/>
    <w:rsid w:val="3F66FE92"/>
    <w:rsid w:val="3F6B34F3"/>
    <w:rsid w:val="3F7362DD"/>
    <w:rsid w:val="3F797AFB"/>
    <w:rsid w:val="3F7D023D"/>
    <w:rsid w:val="3F80DD37"/>
    <w:rsid w:val="3F83C683"/>
    <w:rsid w:val="3F8C0021"/>
    <w:rsid w:val="3F8D2813"/>
    <w:rsid w:val="3F9281F5"/>
    <w:rsid w:val="3F96B200"/>
    <w:rsid w:val="3FA0DA1C"/>
    <w:rsid w:val="3FA273A4"/>
    <w:rsid w:val="3FAC7351"/>
    <w:rsid w:val="3FBCB03B"/>
    <w:rsid w:val="3FBE1CA1"/>
    <w:rsid w:val="3FCD951D"/>
    <w:rsid w:val="3FCFE3FF"/>
    <w:rsid w:val="3FD3964C"/>
    <w:rsid w:val="3FDAA417"/>
    <w:rsid w:val="3FDC3294"/>
    <w:rsid w:val="3FE994F7"/>
    <w:rsid w:val="3FEF0EE5"/>
    <w:rsid w:val="3FF16596"/>
    <w:rsid w:val="3FF2D8A2"/>
    <w:rsid w:val="3FFDA009"/>
    <w:rsid w:val="400105E5"/>
    <w:rsid w:val="4001268F"/>
    <w:rsid w:val="4002ABFF"/>
    <w:rsid w:val="400514D6"/>
    <w:rsid w:val="400530C2"/>
    <w:rsid w:val="4006688E"/>
    <w:rsid w:val="400C33E0"/>
    <w:rsid w:val="400D0C5C"/>
    <w:rsid w:val="4011A610"/>
    <w:rsid w:val="4013550E"/>
    <w:rsid w:val="40153437"/>
    <w:rsid w:val="401B6166"/>
    <w:rsid w:val="401CE72D"/>
    <w:rsid w:val="40228A01"/>
    <w:rsid w:val="402518EC"/>
    <w:rsid w:val="402922D6"/>
    <w:rsid w:val="402DE904"/>
    <w:rsid w:val="40306757"/>
    <w:rsid w:val="4030FC73"/>
    <w:rsid w:val="4034667A"/>
    <w:rsid w:val="4034B99E"/>
    <w:rsid w:val="403B69AC"/>
    <w:rsid w:val="4045A39F"/>
    <w:rsid w:val="4047CC93"/>
    <w:rsid w:val="404CB916"/>
    <w:rsid w:val="405B15CD"/>
    <w:rsid w:val="405C2073"/>
    <w:rsid w:val="405C26E5"/>
    <w:rsid w:val="4065EF96"/>
    <w:rsid w:val="40743A85"/>
    <w:rsid w:val="4077C80C"/>
    <w:rsid w:val="40879C77"/>
    <w:rsid w:val="4091D3B1"/>
    <w:rsid w:val="4091E8D3"/>
    <w:rsid w:val="4093D062"/>
    <w:rsid w:val="4094548E"/>
    <w:rsid w:val="409529F7"/>
    <w:rsid w:val="409AF2C8"/>
    <w:rsid w:val="409EAE0F"/>
    <w:rsid w:val="40AE1E8A"/>
    <w:rsid w:val="40AFC3C4"/>
    <w:rsid w:val="40B0FFD5"/>
    <w:rsid w:val="40C0FF47"/>
    <w:rsid w:val="40C9D704"/>
    <w:rsid w:val="40D46F28"/>
    <w:rsid w:val="40DB01F3"/>
    <w:rsid w:val="40DC8C3B"/>
    <w:rsid w:val="40E07B23"/>
    <w:rsid w:val="40E6DF2E"/>
    <w:rsid w:val="40EA3A7C"/>
    <w:rsid w:val="40ED1604"/>
    <w:rsid w:val="40ED626D"/>
    <w:rsid w:val="40EE7FB3"/>
    <w:rsid w:val="40FC25FD"/>
    <w:rsid w:val="40FDCFEB"/>
    <w:rsid w:val="41055171"/>
    <w:rsid w:val="41056353"/>
    <w:rsid w:val="4107E563"/>
    <w:rsid w:val="410AC262"/>
    <w:rsid w:val="410B9AD7"/>
    <w:rsid w:val="410DAD92"/>
    <w:rsid w:val="410FC67E"/>
    <w:rsid w:val="4111717D"/>
    <w:rsid w:val="41124DB1"/>
    <w:rsid w:val="41183CB1"/>
    <w:rsid w:val="411B4455"/>
    <w:rsid w:val="411B895A"/>
    <w:rsid w:val="412157AE"/>
    <w:rsid w:val="4123EA6B"/>
    <w:rsid w:val="41279624"/>
    <w:rsid w:val="4129679B"/>
    <w:rsid w:val="412D3202"/>
    <w:rsid w:val="4131576F"/>
    <w:rsid w:val="4139D8B2"/>
    <w:rsid w:val="414265C6"/>
    <w:rsid w:val="414ABA3A"/>
    <w:rsid w:val="414B07B9"/>
    <w:rsid w:val="41515A1B"/>
    <w:rsid w:val="41538E6C"/>
    <w:rsid w:val="41595871"/>
    <w:rsid w:val="415EB65A"/>
    <w:rsid w:val="416142EB"/>
    <w:rsid w:val="41615955"/>
    <w:rsid w:val="416A4B2A"/>
    <w:rsid w:val="416B4A73"/>
    <w:rsid w:val="416CED00"/>
    <w:rsid w:val="4176D7B4"/>
    <w:rsid w:val="41782D09"/>
    <w:rsid w:val="41787090"/>
    <w:rsid w:val="417B8E2D"/>
    <w:rsid w:val="4184FFDC"/>
    <w:rsid w:val="418D9BD3"/>
    <w:rsid w:val="418FD30D"/>
    <w:rsid w:val="419336B1"/>
    <w:rsid w:val="419408F6"/>
    <w:rsid w:val="419AFFC2"/>
    <w:rsid w:val="41A53684"/>
    <w:rsid w:val="41A7BC25"/>
    <w:rsid w:val="41A99DDB"/>
    <w:rsid w:val="41AAD279"/>
    <w:rsid w:val="41B0919C"/>
    <w:rsid w:val="41B6E30F"/>
    <w:rsid w:val="41B8E9F9"/>
    <w:rsid w:val="41C0F0EA"/>
    <w:rsid w:val="41C59E9A"/>
    <w:rsid w:val="41CC7054"/>
    <w:rsid w:val="41D3A565"/>
    <w:rsid w:val="41D4648D"/>
    <w:rsid w:val="41DA4BCA"/>
    <w:rsid w:val="41DF0767"/>
    <w:rsid w:val="41E05095"/>
    <w:rsid w:val="41E437D5"/>
    <w:rsid w:val="41E576AE"/>
    <w:rsid w:val="41E70AF3"/>
    <w:rsid w:val="41F3729E"/>
    <w:rsid w:val="41F615C1"/>
    <w:rsid w:val="41F9AC13"/>
    <w:rsid w:val="41FF8B1A"/>
    <w:rsid w:val="4202D1F6"/>
    <w:rsid w:val="4205D0CB"/>
    <w:rsid w:val="4206F357"/>
    <w:rsid w:val="42088EED"/>
    <w:rsid w:val="4209DDD2"/>
    <w:rsid w:val="4210BB8E"/>
    <w:rsid w:val="42134443"/>
    <w:rsid w:val="42151CB5"/>
    <w:rsid w:val="4216F102"/>
    <w:rsid w:val="42186076"/>
    <w:rsid w:val="4224933B"/>
    <w:rsid w:val="42270A5E"/>
    <w:rsid w:val="422CACD9"/>
    <w:rsid w:val="4236CD80"/>
    <w:rsid w:val="4239CA6F"/>
    <w:rsid w:val="42403AB6"/>
    <w:rsid w:val="424B8CD3"/>
    <w:rsid w:val="4257360C"/>
    <w:rsid w:val="42600677"/>
    <w:rsid w:val="42645FE1"/>
    <w:rsid w:val="426B1681"/>
    <w:rsid w:val="426DFE46"/>
    <w:rsid w:val="4273A818"/>
    <w:rsid w:val="42821BB0"/>
    <w:rsid w:val="428579F4"/>
    <w:rsid w:val="4285CEEB"/>
    <w:rsid w:val="428827A0"/>
    <w:rsid w:val="42894BA5"/>
    <w:rsid w:val="4289E281"/>
    <w:rsid w:val="429631D6"/>
    <w:rsid w:val="42A4C000"/>
    <w:rsid w:val="42A76700"/>
    <w:rsid w:val="42A8AD03"/>
    <w:rsid w:val="42B244CB"/>
    <w:rsid w:val="42B31C24"/>
    <w:rsid w:val="42B3FA81"/>
    <w:rsid w:val="42B64888"/>
    <w:rsid w:val="42C177D3"/>
    <w:rsid w:val="42C71E39"/>
    <w:rsid w:val="42C89C30"/>
    <w:rsid w:val="42CB6DBE"/>
    <w:rsid w:val="42D5D3B8"/>
    <w:rsid w:val="42D76284"/>
    <w:rsid w:val="42D95128"/>
    <w:rsid w:val="42DD2A56"/>
    <w:rsid w:val="42DD7662"/>
    <w:rsid w:val="42DE0DFF"/>
    <w:rsid w:val="42E2CF5B"/>
    <w:rsid w:val="42E2D614"/>
    <w:rsid w:val="42E35C62"/>
    <w:rsid w:val="42F4A347"/>
    <w:rsid w:val="42F5088A"/>
    <w:rsid w:val="42FCB022"/>
    <w:rsid w:val="4301C6FE"/>
    <w:rsid w:val="430A558B"/>
    <w:rsid w:val="43122ED9"/>
    <w:rsid w:val="43140F4A"/>
    <w:rsid w:val="4316EE99"/>
    <w:rsid w:val="432283FE"/>
    <w:rsid w:val="432D5CB3"/>
    <w:rsid w:val="432D683A"/>
    <w:rsid w:val="4331C248"/>
    <w:rsid w:val="43366DC0"/>
    <w:rsid w:val="433D34E9"/>
    <w:rsid w:val="43402D1B"/>
    <w:rsid w:val="4342D680"/>
    <w:rsid w:val="434EB89E"/>
    <w:rsid w:val="435C1A41"/>
    <w:rsid w:val="435FB061"/>
    <w:rsid w:val="4361A754"/>
    <w:rsid w:val="43696D2B"/>
    <w:rsid w:val="4373C4A0"/>
    <w:rsid w:val="43755B3C"/>
    <w:rsid w:val="437B1FB0"/>
    <w:rsid w:val="437E9345"/>
    <w:rsid w:val="438119D0"/>
    <w:rsid w:val="4382F5AA"/>
    <w:rsid w:val="43858709"/>
    <w:rsid w:val="43A2FAE0"/>
    <w:rsid w:val="43AC3679"/>
    <w:rsid w:val="43AC58DD"/>
    <w:rsid w:val="43AF3D83"/>
    <w:rsid w:val="43B6991C"/>
    <w:rsid w:val="43BAEDD1"/>
    <w:rsid w:val="43BAFE4F"/>
    <w:rsid w:val="43BB2F04"/>
    <w:rsid w:val="43CCF91D"/>
    <w:rsid w:val="43D7C293"/>
    <w:rsid w:val="44020D16"/>
    <w:rsid w:val="440A7D61"/>
    <w:rsid w:val="440A92FD"/>
    <w:rsid w:val="441759A2"/>
    <w:rsid w:val="44195F4A"/>
    <w:rsid w:val="441FB171"/>
    <w:rsid w:val="44283ECD"/>
    <w:rsid w:val="442A0BDE"/>
    <w:rsid w:val="442C4FA8"/>
    <w:rsid w:val="442D2466"/>
    <w:rsid w:val="44310D57"/>
    <w:rsid w:val="443AC50E"/>
    <w:rsid w:val="443DE7E5"/>
    <w:rsid w:val="443FDED9"/>
    <w:rsid w:val="44486F1A"/>
    <w:rsid w:val="44486F48"/>
    <w:rsid w:val="44496BC0"/>
    <w:rsid w:val="4452ABA5"/>
    <w:rsid w:val="445A9274"/>
    <w:rsid w:val="446894D0"/>
    <w:rsid w:val="4471BE43"/>
    <w:rsid w:val="4474B809"/>
    <w:rsid w:val="447D738D"/>
    <w:rsid w:val="447DD462"/>
    <w:rsid w:val="447F6933"/>
    <w:rsid w:val="448452CD"/>
    <w:rsid w:val="44873798"/>
    <w:rsid w:val="44888FED"/>
    <w:rsid w:val="4491D6DC"/>
    <w:rsid w:val="4494C886"/>
    <w:rsid w:val="44961D4C"/>
    <w:rsid w:val="449C9FE8"/>
    <w:rsid w:val="449F3FEC"/>
    <w:rsid w:val="44AA63F9"/>
    <w:rsid w:val="44AB81B0"/>
    <w:rsid w:val="44AF411D"/>
    <w:rsid w:val="44B5814F"/>
    <w:rsid w:val="44B96CDD"/>
    <w:rsid w:val="44BD76AF"/>
    <w:rsid w:val="44C56A7D"/>
    <w:rsid w:val="44C690A0"/>
    <w:rsid w:val="44CAD1BB"/>
    <w:rsid w:val="44D31A6D"/>
    <w:rsid w:val="44DA14CA"/>
    <w:rsid w:val="44E7665F"/>
    <w:rsid w:val="44ED9D93"/>
    <w:rsid w:val="44F54A38"/>
    <w:rsid w:val="450373B0"/>
    <w:rsid w:val="4503A3C2"/>
    <w:rsid w:val="4509CB32"/>
    <w:rsid w:val="450AB797"/>
    <w:rsid w:val="450C3816"/>
    <w:rsid w:val="451C9207"/>
    <w:rsid w:val="45229333"/>
    <w:rsid w:val="4526A11F"/>
    <w:rsid w:val="452D14A0"/>
    <w:rsid w:val="452DD5FF"/>
    <w:rsid w:val="4533D298"/>
    <w:rsid w:val="4538AAF9"/>
    <w:rsid w:val="4538CC8A"/>
    <w:rsid w:val="453BE72F"/>
    <w:rsid w:val="45411B48"/>
    <w:rsid w:val="45443DB4"/>
    <w:rsid w:val="45473064"/>
    <w:rsid w:val="454D4EB6"/>
    <w:rsid w:val="454D7250"/>
    <w:rsid w:val="454DF0E7"/>
    <w:rsid w:val="4556CECF"/>
    <w:rsid w:val="455866BF"/>
    <w:rsid w:val="45659BC4"/>
    <w:rsid w:val="45666D92"/>
    <w:rsid w:val="456D0041"/>
    <w:rsid w:val="456DAF78"/>
    <w:rsid w:val="456FA977"/>
    <w:rsid w:val="45711D73"/>
    <w:rsid w:val="457BB1AD"/>
    <w:rsid w:val="457DD818"/>
    <w:rsid w:val="457FBBC9"/>
    <w:rsid w:val="4587E7CC"/>
    <w:rsid w:val="458D134C"/>
    <w:rsid w:val="458F856A"/>
    <w:rsid w:val="459109ED"/>
    <w:rsid w:val="4592FBAD"/>
    <w:rsid w:val="4593895B"/>
    <w:rsid w:val="45977F9D"/>
    <w:rsid w:val="45A7C61D"/>
    <w:rsid w:val="45A914AA"/>
    <w:rsid w:val="45AC6823"/>
    <w:rsid w:val="45B9BFBB"/>
    <w:rsid w:val="45BAF729"/>
    <w:rsid w:val="45C04F15"/>
    <w:rsid w:val="45C351A3"/>
    <w:rsid w:val="45C866BF"/>
    <w:rsid w:val="45CB432F"/>
    <w:rsid w:val="45D63526"/>
    <w:rsid w:val="45DAF68E"/>
    <w:rsid w:val="45E0F8DF"/>
    <w:rsid w:val="45E74480"/>
    <w:rsid w:val="45ED50B4"/>
    <w:rsid w:val="45F34DFF"/>
    <w:rsid w:val="45F48A9E"/>
    <w:rsid w:val="45F8187F"/>
    <w:rsid w:val="45FC4D1E"/>
    <w:rsid w:val="4601A661"/>
    <w:rsid w:val="4617D554"/>
    <w:rsid w:val="46197D5E"/>
    <w:rsid w:val="461BAAD7"/>
    <w:rsid w:val="46208018"/>
    <w:rsid w:val="4621437E"/>
    <w:rsid w:val="46278523"/>
    <w:rsid w:val="462B88E6"/>
    <w:rsid w:val="46365544"/>
    <w:rsid w:val="46380E73"/>
    <w:rsid w:val="4639A35F"/>
    <w:rsid w:val="463CD270"/>
    <w:rsid w:val="463E543C"/>
    <w:rsid w:val="46430945"/>
    <w:rsid w:val="4647EE75"/>
    <w:rsid w:val="464EE3D5"/>
    <w:rsid w:val="465ED506"/>
    <w:rsid w:val="46619209"/>
    <w:rsid w:val="466B9D5B"/>
    <w:rsid w:val="46722F12"/>
    <w:rsid w:val="4678E825"/>
    <w:rsid w:val="467AB2DD"/>
    <w:rsid w:val="46825D81"/>
    <w:rsid w:val="46851DF5"/>
    <w:rsid w:val="468E163A"/>
    <w:rsid w:val="46912D8D"/>
    <w:rsid w:val="469A8B35"/>
    <w:rsid w:val="469E78B6"/>
    <w:rsid w:val="46A8D21F"/>
    <w:rsid w:val="46A8D49B"/>
    <w:rsid w:val="46AE5512"/>
    <w:rsid w:val="46B1E641"/>
    <w:rsid w:val="46B78672"/>
    <w:rsid w:val="46BD69EB"/>
    <w:rsid w:val="46C56601"/>
    <w:rsid w:val="46C70EEB"/>
    <w:rsid w:val="46C9B17D"/>
    <w:rsid w:val="46C9CEDA"/>
    <w:rsid w:val="46CDB315"/>
    <w:rsid w:val="46CE95E7"/>
    <w:rsid w:val="46D0A7B0"/>
    <w:rsid w:val="46D2F2DF"/>
    <w:rsid w:val="46D55095"/>
    <w:rsid w:val="46D55CE5"/>
    <w:rsid w:val="46DA0695"/>
    <w:rsid w:val="46E064CC"/>
    <w:rsid w:val="46E2D88F"/>
    <w:rsid w:val="46E57833"/>
    <w:rsid w:val="46E8EB24"/>
    <w:rsid w:val="46ECCA6F"/>
    <w:rsid w:val="46F2006D"/>
    <w:rsid w:val="46F631A4"/>
    <w:rsid w:val="46FB6550"/>
    <w:rsid w:val="46FD62FD"/>
    <w:rsid w:val="47006E3F"/>
    <w:rsid w:val="470FC5E7"/>
    <w:rsid w:val="47166298"/>
    <w:rsid w:val="47265415"/>
    <w:rsid w:val="4728ADB2"/>
    <w:rsid w:val="47302545"/>
    <w:rsid w:val="47380A85"/>
    <w:rsid w:val="4738D894"/>
    <w:rsid w:val="473C146F"/>
    <w:rsid w:val="473E0059"/>
    <w:rsid w:val="4741AE25"/>
    <w:rsid w:val="47458D0B"/>
    <w:rsid w:val="47459A0D"/>
    <w:rsid w:val="474CD188"/>
    <w:rsid w:val="47514DD0"/>
    <w:rsid w:val="475246DF"/>
    <w:rsid w:val="47575EC4"/>
    <w:rsid w:val="47599499"/>
    <w:rsid w:val="475CD900"/>
    <w:rsid w:val="476218E0"/>
    <w:rsid w:val="4762E4DB"/>
    <w:rsid w:val="4766489E"/>
    <w:rsid w:val="4768309E"/>
    <w:rsid w:val="476F1DB9"/>
    <w:rsid w:val="4775F6AF"/>
    <w:rsid w:val="477D911D"/>
    <w:rsid w:val="4781E2E1"/>
    <w:rsid w:val="478461DC"/>
    <w:rsid w:val="47863CE4"/>
    <w:rsid w:val="4787F551"/>
    <w:rsid w:val="478E48CE"/>
    <w:rsid w:val="47901749"/>
    <w:rsid w:val="4793DA99"/>
    <w:rsid w:val="47963C6A"/>
    <w:rsid w:val="47A54320"/>
    <w:rsid w:val="47ABFEB9"/>
    <w:rsid w:val="47C65F03"/>
    <w:rsid w:val="47C7EC00"/>
    <w:rsid w:val="47CA8048"/>
    <w:rsid w:val="47CBDC38"/>
    <w:rsid w:val="47CDDE50"/>
    <w:rsid w:val="47D0E2F5"/>
    <w:rsid w:val="47DE74F6"/>
    <w:rsid w:val="47E5EC00"/>
    <w:rsid w:val="47EC6737"/>
    <w:rsid w:val="47EE6ADE"/>
    <w:rsid w:val="4802389D"/>
    <w:rsid w:val="480A49F2"/>
    <w:rsid w:val="480AF37C"/>
    <w:rsid w:val="480CB225"/>
    <w:rsid w:val="480FC047"/>
    <w:rsid w:val="48136D67"/>
    <w:rsid w:val="481560C7"/>
    <w:rsid w:val="48171E37"/>
    <w:rsid w:val="4819DCB3"/>
    <w:rsid w:val="481A1D29"/>
    <w:rsid w:val="48217BE8"/>
    <w:rsid w:val="482AB979"/>
    <w:rsid w:val="482C3FDC"/>
    <w:rsid w:val="484523EA"/>
    <w:rsid w:val="48460D43"/>
    <w:rsid w:val="484CDB7D"/>
    <w:rsid w:val="4857C3F6"/>
    <w:rsid w:val="485C4DD6"/>
    <w:rsid w:val="486F2C1D"/>
    <w:rsid w:val="4876D6A0"/>
    <w:rsid w:val="4876E43C"/>
    <w:rsid w:val="48779C61"/>
    <w:rsid w:val="487B686E"/>
    <w:rsid w:val="487CA638"/>
    <w:rsid w:val="488F5DFE"/>
    <w:rsid w:val="48986E74"/>
    <w:rsid w:val="489C8ADE"/>
    <w:rsid w:val="489CCD00"/>
    <w:rsid w:val="48A3F794"/>
    <w:rsid w:val="48AF10CD"/>
    <w:rsid w:val="48B75519"/>
    <w:rsid w:val="48B9C609"/>
    <w:rsid w:val="48BAF77B"/>
    <w:rsid w:val="48C4947B"/>
    <w:rsid w:val="48C6BF09"/>
    <w:rsid w:val="48E06005"/>
    <w:rsid w:val="48E1F29D"/>
    <w:rsid w:val="48E7D3B7"/>
    <w:rsid w:val="48EECE80"/>
    <w:rsid w:val="48F4702C"/>
    <w:rsid w:val="48FD4856"/>
    <w:rsid w:val="4900C394"/>
    <w:rsid w:val="4905FFF6"/>
    <w:rsid w:val="49071E6F"/>
    <w:rsid w:val="491853E9"/>
    <w:rsid w:val="492272A0"/>
    <w:rsid w:val="49248E93"/>
    <w:rsid w:val="49349647"/>
    <w:rsid w:val="4938031D"/>
    <w:rsid w:val="49396896"/>
    <w:rsid w:val="493DD00C"/>
    <w:rsid w:val="4940B99A"/>
    <w:rsid w:val="49412207"/>
    <w:rsid w:val="494BE6A3"/>
    <w:rsid w:val="494D0F70"/>
    <w:rsid w:val="4953DAEB"/>
    <w:rsid w:val="495D8138"/>
    <w:rsid w:val="495EE7FA"/>
    <w:rsid w:val="49693056"/>
    <w:rsid w:val="496A3366"/>
    <w:rsid w:val="4974A279"/>
    <w:rsid w:val="497663E6"/>
    <w:rsid w:val="497B4B4C"/>
    <w:rsid w:val="49833B17"/>
    <w:rsid w:val="498FB5AA"/>
    <w:rsid w:val="4995A725"/>
    <w:rsid w:val="499B7D0D"/>
    <w:rsid w:val="499C17AF"/>
    <w:rsid w:val="499FC8F1"/>
    <w:rsid w:val="49A508F0"/>
    <w:rsid w:val="49AB6AFE"/>
    <w:rsid w:val="49B439F5"/>
    <w:rsid w:val="49B97B14"/>
    <w:rsid w:val="49B9D709"/>
    <w:rsid w:val="49BA19DC"/>
    <w:rsid w:val="49BE91F2"/>
    <w:rsid w:val="49BF387A"/>
    <w:rsid w:val="49BF7F7C"/>
    <w:rsid w:val="49BF982A"/>
    <w:rsid w:val="49C3E95A"/>
    <w:rsid w:val="49C6EF6F"/>
    <w:rsid w:val="49C8E16E"/>
    <w:rsid w:val="49CAA26D"/>
    <w:rsid w:val="49CAF19D"/>
    <w:rsid w:val="49D6DE43"/>
    <w:rsid w:val="49E09E9C"/>
    <w:rsid w:val="49E34870"/>
    <w:rsid w:val="49E7E192"/>
    <w:rsid w:val="49F1485D"/>
    <w:rsid w:val="49F5AB54"/>
    <w:rsid w:val="49F74731"/>
    <w:rsid w:val="49FF4400"/>
    <w:rsid w:val="4A0079B7"/>
    <w:rsid w:val="4A05813D"/>
    <w:rsid w:val="4A061D39"/>
    <w:rsid w:val="4A0AF7ED"/>
    <w:rsid w:val="4A0F480B"/>
    <w:rsid w:val="4A1126C8"/>
    <w:rsid w:val="4A136888"/>
    <w:rsid w:val="4A1697B3"/>
    <w:rsid w:val="4A1CAC37"/>
    <w:rsid w:val="4A29AF48"/>
    <w:rsid w:val="4A2C8B81"/>
    <w:rsid w:val="4A3363EC"/>
    <w:rsid w:val="4A3518E3"/>
    <w:rsid w:val="4A366FD2"/>
    <w:rsid w:val="4A403AD6"/>
    <w:rsid w:val="4A42634A"/>
    <w:rsid w:val="4A4F76F2"/>
    <w:rsid w:val="4A52759F"/>
    <w:rsid w:val="4A544310"/>
    <w:rsid w:val="4A55A4FE"/>
    <w:rsid w:val="4A591F06"/>
    <w:rsid w:val="4A5C8A6C"/>
    <w:rsid w:val="4A5EC1D1"/>
    <w:rsid w:val="4A644ED3"/>
    <w:rsid w:val="4A67D09E"/>
    <w:rsid w:val="4A6B6BBB"/>
    <w:rsid w:val="4A6C0051"/>
    <w:rsid w:val="4A78BCC2"/>
    <w:rsid w:val="4A7AD393"/>
    <w:rsid w:val="4A8DE917"/>
    <w:rsid w:val="4A9663EF"/>
    <w:rsid w:val="4A9678B1"/>
    <w:rsid w:val="4A98BDE3"/>
    <w:rsid w:val="4A9F883D"/>
    <w:rsid w:val="4AB456A0"/>
    <w:rsid w:val="4AB5349D"/>
    <w:rsid w:val="4AB5ABD0"/>
    <w:rsid w:val="4AB6FB79"/>
    <w:rsid w:val="4AB7B715"/>
    <w:rsid w:val="4ABB59B0"/>
    <w:rsid w:val="4ABBD9AA"/>
    <w:rsid w:val="4AC3CC46"/>
    <w:rsid w:val="4AC56B16"/>
    <w:rsid w:val="4ACB8570"/>
    <w:rsid w:val="4ACE3963"/>
    <w:rsid w:val="4AD04F99"/>
    <w:rsid w:val="4AD2E360"/>
    <w:rsid w:val="4AD6959A"/>
    <w:rsid w:val="4AE1AF00"/>
    <w:rsid w:val="4AE29DC1"/>
    <w:rsid w:val="4AE401CE"/>
    <w:rsid w:val="4AEE38F1"/>
    <w:rsid w:val="4AEEFE79"/>
    <w:rsid w:val="4AF2E1D3"/>
    <w:rsid w:val="4AFE4845"/>
    <w:rsid w:val="4B01B559"/>
    <w:rsid w:val="4B036AFB"/>
    <w:rsid w:val="4B0C7BBA"/>
    <w:rsid w:val="4B1089DF"/>
    <w:rsid w:val="4B109689"/>
    <w:rsid w:val="4B1162BC"/>
    <w:rsid w:val="4B1C01A4"/>
    <w:rsid w:val="4B2DBD57"/>
    <w:rsid w:val="4B36594A"/>
    <w:rsid w:val="4B36F01F"/>
    <w:rsid w:val="4B4346B7"/>
    <w:rsid w:val="4B46BF3E"/>
    <w:rsid w:val="4B49A1AE"/>
    <w:rsid w:val="4B49AF53"/>
    <w:rsid w:val="4B4BFF04"/>
    <w:rsid w:val="4B519790"/>
    <w:rsid w:val="4B5203A4"/>
    <w:rsid w:val="4B520756"/>
    <w:rsid w:val="4B521BBB"/>
    <w:rsid w:val="4B525193"/>
    <w:rsid w:val="4B5369C3"/>
    <w:rsid w:val="4B556AC5"/>
    <w:rsid w:val="4B56AFE3"/>
    <w:rsid w:val="4B59E434"/>
    <w:rsid w:val="4B5B650F"/>
    <w:rsid w:val="4B5C2B27"/>
    <w:rsid w:val="4B638513"/>
    <w:rsid w:val="4B695D2D"/>
    <w:rsid w:val="4B69CA85"/>
    <w:rsid w:val="4B719445"/>
    <w:rsid w:val="4B78D854"/>
    <w:rsid w:val="4B79F404"/>
    <w:rsid w:val="4B7A49E4"/>
    <w:rsid w:val="4B7DB76F"/>
    <w:rsid w:val="4B7E5BAF"/>
    <w:rsid w:val="4B7F645A"/>
    <w:rsid w:val="4B81ED10"/>
    <w:rsid w:val="4B8329CD"/>
    <w:rsid w:val="4B8CE188"/>
    <w:rsid w:val="4B8DA0C6"/>
    <w:rsid w:val="4B98359F"/>
    <w:rsid w:val="4B9C9173"/>
    <w:rsid w:val="4B9EACD8"/>
    <w:rsid w:val="4BA01BB1"/>
    <w:rsid w:val="4BA0BD71"/>
    <w:rsid w:val="4BACC76A"/>
    <w:rsid w:val="4BAD2E66"/>
    <w:rsid w:val="4BB91119"/>
    <w:rsid w:val="4BBAA5FD"/>
    <w:rsid w:val="4BC02D63"/>
    <w:rsid w:val="4BD1B490"/>
    <w:rsid w:val="4BD2AFF1"/>
    <w:rsid w:val="4BD39B27"/>
    <w:rsid w:val="4BD5C204"/>
    <w:rsid w:val="4BD84431"/>
    <w:rsid w:val="4BD84679"/>
    <w:rsid w:val="4BDB2117"/>
    <w:rsid w:val="4BDC36A2"/>
    <w:rsid w:val="4BDDF1D7"/>
    <w:rsid w:val="4BDEA835"/>
    <w:rsid w:val="4BE8585F"/>
    <w:rsid w:val="4BEC1E43"/>
    <w:rsid w:val="4BF10822"/>
    <w:rsid w:val="4BF30AB0"/>
    <w:rsid w:val="4BFA134D"/>
    <w:rsid w:val="4BFB8019"/>
    <w:rsid w:val="4BFC345A"/>
    <w:rsid w:val="4BFD5E28"/>
    <w:rsid w:val="4BFD762E"/>
    <w:rsid w:val="4C029F5F"/>
    <w:rsid w:val="4C07F318"/>
    <w:rsid w:val="4C0A000A"/>
    <w:rsid w:val="4C0D6ECA"/>
    <w:rsid w:val="4C13E81F"/>
    <w:rsid w:val="4C17483B"/>
    <w:rsid w:val="4C1A2C6F"/>
    <w:rsid w:val="4C1C65D6"/>
    <w:rsid w:val="4C27665A"/>
    <w:rsid w:val="4C2C5B66"/>
    <w:rsid w:val="4C3286B4"/>
    <w:rsid w:val="4C42567E"/>
    <w:rsid w:val="4C4294B5"/>
    <w:rsid w:val="4C4415F6"/>
    <w:rsid w:val="4C4D6C70"/>
    <w:rsid w:val="4C4E0E60"/>
    <w:rsid w:val="4C5BB7B5"/>
    <w:rsid w:val="4C5C8D2B"/>
    <w:rsid w:val="4C5FE0D8"/>
    <w:rsid w:val="4C62C33A"/>
    <w:rsid w:val="4C6D42F5"/>
    <w:rsid w:val="4C6ECC54"/>
    <w:rsid w:val="4C76449C"/>
    <w:rsid w:val="4C76A6AB"/>
    <w:rsid w:val="4C7A1859"/>
    <w:rsid w:val="4C7B5A5C"/>
    <w:rsid w:val="4C7E174C"/>
    <w:rsid w:val="4C805E02"/>
    <w:rsid w:val="4C80F84D"/>
    <w:rsid w:val="4C8383D3"/>
    <w:rsid w:val="4C880FD5"/>
    <w:rsid w:val="4C8B915B"/>
    <w:rsid w:val="4C8C400F"/>
    <w:rsid w:val="4C918611"/>
    <w:rsid w:val="4C9898A0"/>
    <w:rsid w:val="4C997998"/>
    <w:rsid w:val="4C9A9129"/>
    <w:rsid w:val="4C9E0D35"/>
    <w:rsid w:val="4CABB9FA"/>
    <w:rsid w:val="4CACBCA6"/>
    <w:rsid w:val="4CAF06F3"/>
    <w:rsid w:val="4CAF1F21"/>
    <w:rsid w:val="4CB37BBD"/>
    <w:rsid w:val="4CBB92E1"/>
    <w:rsid w:val="4CC2A943"/>
    <w:rsid w:val="4CC2DD05"/>
    <w:rsid w:val="4CC884E3"/>
    <w:rsid w:val="4CC9E48B"/>
    <w:rsid w:val="4CCD42E4"/>
    <w:rsid w:val="4CCDA8D4"/>
    <w:rsid w:val="4CD5D9DC"/>
    <w:rsid w:val="4CDF81B2"/>
    <w:rsid w:val="4CDFD8A5"/>
    <w:rsid w:val="4CF7BD39"/>
    <w:rsid w:val="4CF8DEF0"/>
    <w:rsid w:val="4CFE800F"/>
    <w:rsid w:val="4D1307E6"/>
    <w:rsid w:val="4D1C2B82"/>
    <w:rsid w:val="4D1FC03A"/>
    <w:rsid w:val="4D21C977"/>
    <w:rsid w:val="4D285AE4"/>
    <w:rsid w:val="4D2EEB5A"/>
    <w:rsid w:val="4D2EEE8B"/>
    <w:rsid w:val="4D303A89"/>
    <w:rsid w:val="4D3141CD"/>
    <w:rsid w:val="4D418614"/>
    <w:rsid w:val="4D45CD13"/>
    <w:rsid w:val="4D4A64DB"/>
    <w:rsid w:val="4D4FA77D"/>
    <w:rsid w:val="4D537763"/>
    <w:rsid w:val="4D53BB7D"/>
    <w:rsid w:val="4D5AC12B"/>
    <w:rsid w:val="4D6328C2"/>
    <w:rsid w:val="4D632EF0"/>
    <w:rsid w:val="4D656866"/>
    <w:rsid w:val="4D67C1ED"/>
    <w:rsid w:val="4D7134FE"/>
    <w:rsid w:val="4D719F07"/>
    <w:rsid w:val="4D75CCBC"/>
    <w:rsid w:val="4D79DAB7"/>
    <w:rsid w:val="4D7F9C01"/>
    <w:rsid w:val="4D80BC67"/>
    <w:rsid w:val="4D817A2B"/>
    <w:rsid w:val="4D85B22C"/>
    <w:rsid w:val="4D88E32A"/>
    <w:rsid w:val="4D8B8E2B"/>
    <w:rsid w:val="4D8E0629"/>
    <w:rsid w:val="4D8E1B32"/>
    <w:rsid w:val="4D9DF2DF"/>
    <w:rsid w:val="4D9EAF0E"/>
    <w:rsid w:val="4DA7E621"/>
    <w:rsid w:val="4DB0AC0A"/>
    <w:rsid w:val="4DB5D078"/>
    <w:rsid w:val="4DB713F9"/>
    <w:rsid w:val="4DBBCC1A"/>
    <w:rsid w:val="4DC4DA33"/>
    <w:rsid w:val="4DC62499"/>
    <w:rsid w:val="4DD0E669"/>
    <w:rsid w:val="4DD2DC25"/>
    <w:rsid w:val="4DD38B7A"/>
    <w:rsid w:val="4DD7E207"/>
    <w:rsid w:val="4DD9170B"/>
    <w:rsid w:val="4DD91B80"/>
    <w:rsid w:val="4DDFB1A4"/>
    <w:rsid w:val="4DE05FE5"/>
    <w:rsid w:val="4DF91727"/>
    <w:rsid w:val="4DF9B822"/>
    <w:rsid w:val="4E0284AC"/>
    <w:rsid w:val="4E03DFC0"/>
    <w:rsid w:val="4E06E5D8"/>
    <w:rsid w:val="4E077125"/>
    <w:rsid w:val="4E07E5F6"/>
    <w:rsid w:val="4E097B60"/>
    <w:rsid w:val="4E0CC1C4"/>
    <w:rsid w:val="4E0FBEBB"/>
    <w:rsid w:val="4E101694"/>
    <w:rsid w:val="4E1525F1"/>
    <w:rsid w:val="4E19600E"/>
    <w:rsid w:val="4E19A589"/>
    <w:rsid w:val="4E22DD34"/>
    <w:rsid w:val="4E288907"/>
    <w:rsid w:val="4E28FFC7"/>
    <w:rsid w:val="4E302DC3"/>
    <w:rsid w:val="4E36CE87"/>
    <w:rsid w:val="4E38A558"/>
    <w:rsid w:val="4E481C1A"/>
    <w:rsid w:val="4E51C132"/>
    <w:rsid w:val="4E55ED58"/>
    <w:rsid w:val="4E578831"/>
    <w:rsid w:val="4E59AE68"/>
    <w:rsid w:val="4E5FC14B"/>
    <w:rsid w:val="4E707382"/>
    <w:rsid w:val="4E7901A4"/>
    <w:rsid w:val="4E7DAB68"/>
    <w:rsid w:val="4E80938D"/>
    <w:rsid w:val="4E82026D"/>
    <w:rsid w:val="4E8A1527"/>
    <w:rsid w:val="4E8BEB1D"/>
    <w:rsid w:val="4EA49EF5"/>
    <w:rsid w:val="4EC26061"/>
    <w:rsid w:val="4EC41DB2"/>
    <w:rsid w:val="4EC6553C"/>
    <w:rsid w:val="4EC7BF63"/>
    <w:rsid w:val="4EC8AA9D"/>
    <w:rsid w:val="4ECBD06F"/>
    <w:rsid w:val="4ECCF534"/>
    <w:rsid w:val="4ECFB46C"/>
    <w:rsid w:val="4ED6FEBC"/>
    <w:rsid w:val="4EDD7FA8"/>
    <w:rsid w:val="4EE19678"/>
    <w:rsid w:val="4EE5C557"/>
    <w:rsid w:val="4EEB6949"/>
    <w:rsid w:val="4EED2DCF"/>
    <w:rsid w:val="4EF01B12"/>
    <w:rsid w:val="4EF64E98"/>
    <w:rsid w:val="4EF6C555"/>
    <w:rsid w:val="4EF70E9F"/>
    <w:rsid w:val="4EFFC669"/>
    <w:rsid w:val="4F01607E"/>
    <w:rsid w:val="4F0C9D90"/>
    <w:rsid w:val="4F0E65D0"/>
    <w:rsid w:val="4F1535AD"/>
    <w:rsid w:val="4F1D3218"/>
    <w:rsid w:val="4F201018"/>
    <w:rsid w:val="4F23B8F5"/>
    <w:rsid w:val="4F268B8C"/>
    <w:rsid w:val="4F2C5C24"/>
    <w:rsid w:val="4F3010E2"/>
    <w:rsid w:val="4F33FA88"/>
    <w:rsid w:val="4F5D6A25"/>
    <w:rsid w:val="4F662C7B"/>
    <w:rsid w:val="4F6963A8"/>
    <w:rsid w:val="4F6AF2EC"/>
    <w:rsid w:val="4F6C026A"/>
    <w:rsid w:val="4F72C6FF"/>
    <w:rsid w:val="4F74CF79"/>
    <w:rsid w:val="4F79F157"/>
    <w:rsid w:val="4F8D291A"/>
    <w:rsid w:val="4F8F3D51"/>
    <w:rsid w:val="4F8F8176"/>
    <w:rsid w:val="4F96552B"/>
    <w:rsid w:val="4F998100"/>
    <w:rsid w:val="4F9ECAE1"/>
    <w:rsid w:val="4FB59867"/>
    <w:rsid w:val="4FB745F7"/>
    <w:rsid w:val="4FB7EE0D"/>
    <w:rsid w:val="4FC2C287"/>
    <w:rsid w:val="4FC44165"/>
    <w:rsid w:val="4FCDE59C"/>
    <w:rsid w:val="4FD311DE"/>
    <w:rsid w:val="4FD6A23A"/>
    <w:rsid w:val="4FDC3EAD"/>
    <w:rsid w:val="4FDC617F"/>
    <w:rsid w:val="4FDE8BC5"/>
    <w:rsid w:val="4FDF7E81"/>
    <w:rsid w:val="4FE0535D"/>
    <w:rsid w:val="4FE1C753"/>
    <w:rsid w:val="4FE7DADD"/>
    <w:rsid w:val="4FEC6CD9"/>
    <w:rsid w:val="4FF1E181"/>
    <w:rsid w:val="4FF7BC2D"/>
    <w:rsid w:val="4FFB313C"/>
    <w:rsid w:val="5003DE0F"/>
    <w:rsid w:val="50048FEA"/>
    <w:rsid w:val="5006F69A"/>
    <w:rsid w:val="500853C0"/>
    <w:rsid w:val="50107634"/>
    <w:rsid w:val="5010A929"/>
    <w:rsid w:val="5012BBBF"/>
    <w:rsid w:val="50130EAC"/>
    <w:rsid w:val="5022666C"/>
    <w:rsid w:val="5025B964"/>
    <w:rsid w:val="502B691B"/>
    <w:rsid w:val="502E202C"/>
    <w:rsid w:val="5030D1A2"/>
    <w:rsid w:val="5038A1B7"/>
    <w:rsid w:val="5048AEDC"/>
    <w:rsid w:val="5048C9CF"/>
    <w:rsid w:val="504B57AD"/>
    <w:rsid w:val="504FF102"/>
    <w:rsid w:val="5051DED4"/>
    <w:rsid w:val="5054AC9E"/>
    <w:rsid w:val="505A363F"/>
    <w:rsid w:val="50685835"/>
    <w:rsid w:val="50724039"/>
    <w:rsid w:val="5077F299"/>
    <w:rsid w:val="507CC597"/>
    <w:rsid w:val="508268E6"/>
    <w:rsid w:val="508706FD"/>
    <w:rsid w:val="5088DF81"/>
    <w:rsid w:val="50898CDD"/>
    <w:rsid w:val="508A4560"/>
    <w:rsid w:val="508C1AFE"/>
    <w:rsid w:val="5096936D"/>
    <w:rsid w:val="50978D91"/>
    <w:rsid w:val="509C9B60"/>
    <w:rsid w:val="50A4F981"/>
    <w:rsid w:val="50B993D2"/>
    <w:rsid w:val="50BBB51D"/>
    <w:rsid w:val="50BBFCBE"/>
    <w:rsid w:val="50C31E76"/>
    <w:rsid w:val="50CBBAF2"/>
    <w:rsid w:val="50CDAE75"/>
    <w:rsid w:val="50CE653D"/>
    <w:rsid w:val="50CE82FC"/>
    <w:rsid w:val="50D02D24"/>
    <w:rsid w:val="50D34A7E"/>
    <w:rsid w:val="50D46061"/>
    <w:rsid w:val="50D5D99D"/>
    <w:rsid w:val="50D846F8"/>
    <w:rsid w:val="50E212E9"/>
    <w:rsid w:val="50E8328A"/>
    <w:rsid w:val="50EAC020"/>
    <w:rsid w:val="50F04306"/>
    <w:rsid w:val="50F8D9DC"/>
    <w:rsid w:val="50F9D658"/>
    <w:rsid w:val="50FA27E1"/>
    <w:rsid w:val="510294A4"/>
    <w:rsid w:val="5107B1FD"/>
    <w:rsid w:val="510D7B4C"/>
    <w:rsid w:val="510F447B"/>
    <w:rsid w:val="5116F286"/>
    <w:rsid w:val="51195CC9"/>
    <w:rsid w:val="5128D6B9"/>
    <w:rsid w:val="512D4EB5"/>
    <w:rsid w:val="513069F0"/>
    <w:rsid w:val="51361EA9"/>
    <w:rsid w:val="51366F63"/>
    <w:rsid w:val="5136BD95"/>
    <w:rsid w:val="513752F6"/>
    <w:rsid w:val="513D6681"/>
    <w:rsid w:val="513F1BAE"/>
    <w:rsid w:val="51469CAF"/>
    <w:rsid w:val="514AC47B"/>
    <w:rsid w:val="514C7F2E"/>
    <w:rsid w:val="514E6598"/>
    <w:rsid w:val="51559E5E"/>
    <w:rsid w:val="51563C23"/>
    <w:rsid w:val="5156403F"/>
    <w:rsid w:val="515B115A"/>
    <w:rsid w:val="515D6A7C"/>
    <w:rsid w:val="515D79FA"/>
    <w:rsid w:val="51617532"/>
    <w:rsid w:val="5166666E"/>
    <w:rsid w:val="51678DEA"/>
    <w:rsid w:val="516C9DBF"/>
    <w:rsid w:val="51756210"/>
    <w:rsid w:val="5178D785"/>
    <w:rsid w:val="517AA6C8"/>
    <w:rsid w:val="517F7F0F"/>
    <w:rsid w:val="51808632"/>
    <w:rsid w:val="5187E5C6"/>
    <w:rsid w:val="5189AF58"/>
    <w:rsid w:val="518A23F7"/>
    <w:rsid w:val="518A99D4"/>
    <w:rsid w:val="518BC8E9"/>
    <w:rsid w:val="51986D5B"/>
    <w:rsid w:val="519AE31C"/>
    <w:rsid w:val="519DF490"/>
    <w:rsid w:val="51A73495"/>
    <w:rsid w:val="51B431E1"/>
    <w:rsid w:val="51B4F0D8"/>
    <w:rsid w:val="51B66611"/>
    <w:rsid w:val="51BB3B05"/>
    <w:rsid w:val="51C136EA"/>
    <w:rsid w:val="51C3C321"/>
    <w:rsid w:val="51C6293F"/>
    <w:rsid w:val="51C93DF7"/>
    <w:rsid w:val="51CA9E7E"/>
    <w:rsid w:val="51CFD097"/>
    <w:rsid w:val="51E6F03D"/>
    <w:rsid w:val="51E710BB"/>
    <w:rsid w:val="51F17F46"/>
    <w:rsid w:val="51F41958"/>
    <w:rsid w:val="51F83FF0"/>
    <w:rsid w:val="51F90005"/>
    <w:rsid w:val="5203598B"/>
    <w:rsid w:val="520A51D1"/>
    <w:rsid w:val="520C795E"/>
    <w:rsid w:val="520E5BE4"/>
    <w:rsid w:val="520FEA17"/>
    <w:rsid w:val="52213E3E"/>
    <w:rsid w:val="522BE1D4"/>
    <w:rsid w:val="52343B03"/>
    <w:rsid w:val="5236E7CB"/>
    <w:rsid w:val="523ED112"/>
    <w:rsid w:val="524431FE"/>
    <w:rsid w:val="524B1BC0"/>
    <w:rsid w:val="524E733D"/>
    <w:rsid w:val="52529F1F"/>
    <w:rsid w:val="52551820"/>
    <w:rsid w:val="525E03F4"/>
    <w:rsid w:val="5263E31D"/>
    <w:rsid w:val="52648543"/>
    <w:rsid w:val="526C7035"/>
    <w:rsid w:val="526DFD79"/>
    <w:rsid w:val="52722841"/>
    <w:rsid w:val="52787E1B"/>
    <w:rsid w:val="527C4906"/>
    <w:rsid w:val="527E0D6F"/>
    <w:rsid w:val="527EB890"/>
    <w:rsid w:val="527F5DBB"/>
    <w:rsid w:val="528A07DF"/>
    <w:rsid w:val="528D0960"/>
    <w:rsid w:val="528FD868"/>
    <w:rsid w:val="529DC8B8"/>
    <w:rsid w:val="529E091D"/>
    <w:rsid w:val="52A8CBF7"/>
    <w:rsid w:val="52A8E4BE"/>
    <w:rsid w:val="52AF52A8"/>
    <w:rsid w:val="52BDCB3D"/>
    <w:rsid w:val="52C1E60F"/>
    <w:rsid w:val="52C47B49"/>
    <w:rsid w:val="52C52F8F"/>
    <w:rsid w:val="52C73D29"/>
    <w:rsid w:val="52CC3158"/>
    <w:rsid w:val="52CCA0EC"/>
    <w:rsid w:val="52D1E291"/>
    <w:rsid w:val="52D2B102"/>
    <w:rsid w:val="52D47B2D"/>
    <w:rsid w:val="52DA56B8"/>
    <w:rsid w:val="52DF967F"/>
    <w:rsid w:val="52E01E78"/>
    <w:rsid w:val="52E027C7"/>
    <w:rsid w:val="52E087B9"/>
    <w:rsid w:val="52E28971"/>
    <w:rsid w:val="52E7FFE9"/>
    <w:rsid w:val="52E9EEFC"/>
    <w:rsid w:val="52EB42FD"/>
    <w:rsid w:val="52EF778C"/>
    <w:rsid w:val="52F0EE3F"/>
    <w:rsid w:val="52FFCA6C"/>
    <w:rsid w:val="5302ECD0"/>
    <w:rsid w:val="5303557F"/>
    <w:rsid w:val="53071E0B"/>
    <w:rsid w:val="530D4667"/>
    <w:rsid w:val="530F090B"/>
    <w:rsid w:val="530FF7F0"/>
    <w:rsid w:val="53192FC8"/>
    <w:rsid w:val="532EBACF"/>
    <w:rsid w:val="53311A99"/>
    <w:rsid w:val="5338961A"/>
    <w:rsid w:val="533A8314"/>
    <w:rsid w:val="533EC3CF"/>
    <w:rsid w:val="53401D99"/>
    <w:rsid w:val="53430579"/>
    <w:rsid w:val="5343C7F0"/>
    <w:rsid w:val="53491088"/>
    <w:rsid w:val="5349FEF1"/>
    <w:rsid w:val="534D11EA"/>
    <w:rsid w:val="5362FF52"/>
    <w:rsid w:val="5367F8E5"/>
    <w:rsid w:val="536EA1A3"/>
    <w:rsid w:val="5370555C"/>
    <w:rsid w:val="5385F8C9"/>
    <w:rsid w:val="538BC7E5"/>
    <w:rsid w:val="5391EFF8"/>
    <w:rsid w:val="539468D5"/>
    <w:rsid w:val="53979D45"/>
    <w:rsid w:val="5397BEC5"/>
    <w:rsid w:val="5399C04A"/>
    <w:rsid w:val="5399DC57"/>
    <w:rsid w:val="539F1F71"/>
    <w:rsid w:val="53A04662"/>
    <w:rsid w:val="53AD9805"/>
    <w:rsid w:val="53B08579"/>
    <w:rsid w:val="53B91C82"/>
    <w:rsid w:val="53BA5EC2"/>
    <w:rsid w:val="53BAA147"/>
    <w:rsid w:val="53C2F8FC"/>
    <w:rsid w:val="53C8B99F"/>
    <w:rsid w:val="53CDBD50"/>
    <w:rsid w:val="53D3C93C"/>
    <w:rsid w:val="53D411E5"/>
    <w:rsid w:val="53D8351C"/>
    <w:rsid w:val="53D9A41D"/>
    <w:rsid w:val="53DBCCC8"/>
    <w:rsid w:val="53DD70CF"/>
    <w:rsid w:val="53DF4A2E"/>
    <w:rsid w:val="53E3AA6A"/>
    <w:rsid w:val="53EAA703"/>
    <w:rsid w:val="53F57AF6"/>
    <w:rsid w:val="53F6C78A"/>
    <w:rsid w:val="53F75048"/>
    <w:rsid w:val="53FA1066"/>
    <w:rsid w:val="540287B4"/>
    <w:rsid w:val="5406C91B"/>
    <w:rsid w:val="540AB87C"/>
    <w:rsid w:val="540B28E1"/>
    <w:rsid w:val="540E65FF"/>
    <w:rsid w:val="540FC1DC"/>
    <w:rsid w:val="54127744"/>
    <w:rsid w:val="54177BA2"/>
    <w:rsid w:val="5417E4FB"/>
    <w:rsid w:val="541ADD04"/>
    <w:rsid w:val="541F52C9"/>
    <w:rsid w:val="54216715"/>
    <w:rsid w:val="5426916A"/>
    <w:rsid w:val="542EF274"/>
    <w:rsid w:val="543024D8"/>
    <w:rsid w:val="54483852"/>
    <w:rsid w:val="544ADC9B"/>
    <w:rsid w:val="544D2BF2"/>
    <w:rsid w:val="544FB12B"/>
    <w:rsid w:val="54559585"/>
    <w:rsid w:val="545C2EC7"/>
    <w:rsid w:val="546391C9"/>
    <w:rsid w:val="5465DB45"/>
    <w:rsid w:val="546605EE"/>
    <w:rsid w:val="54671E76"/>
    <w:rsid w:val="5472AFE4"/>
    <w:rsid w:val="5473CC3C"/>
    <w:rsid w:val="5474610A"/>
    <w:rsid w:val="547487E2"/>
    <w:rsid w:val="54749C2C"/>
    <w:rsid w:val="54791260"/>
    <w:rsid w:val="547F1527"/>
    <w:rsid w:val="5485B9D1"/>
    <w:rsid w:val="548FAE9E"/>
    <w:rsid w:val="549A7929"/>
    <w:rsid w:val="549B1B50"/>
    <w:rsid w:val="549ED9C1"/>
    <w:rsid w:val="54A9D915"/>
    <w:rsid w:val="54AB0441"/>
    <w:rsid w:val="54AD7BD4"/>
    <w:rsid w:val="54B89128"/>
    <w:rsid w:val="54B8B1D3"/>
    <w:rsid w:val="54BA2E07"/>
    <w:rsid w:val="54BE47B7"/>
    <w:rsid w:val="54C119FE"/>
    <w:rsid w:val="54C7870F"/>
    <w:rsid w:val="54C97083"/>
    <w:rsid w:val="54CB068A"/>
    <w:rsid w:val="54CB93E0"/>
    <w:rsid w:val="54DC95C2"/>
    <w:rsid w:val="54DF8146"/>
    <w:rsid w:val="54E9A5EB"/>
    <w:rsid w:val="54EE7647"/>
    <w:rsid w:val="54F38105"/>
    <w:rsid w:val="54F5E0EF"/>
    <w:rsid w:val="54FC6CA4"/>
    <w:rsid w:val="550124F0"/>
    <w:rsid w:val="5507BE09"/>
    <w:rsid w:val="550D5337"/>
    <w:rsid w:val="5513B06D"/>
    <w:rsid w:val="551911E2"/>
    <w:rsid w:val="55214063"/>
    <w:rsid w:val="552268D6"/>
    <w:rsid w:val="552D042B"/>
    <w:rsid w:val="552FEA1E"/>
    <w:rsid w:val="55310BB8"/>
    <w:rsid w:val="55367092"/>
    <w:rsid w:val="5543A182"/>
    <w:rsid w:val="55463845"/>
    <w:rsid w:val="5547AAD5"/>
    <w:rsid w:val="5552CB11"/>
    <w:rsid w:val="5556F513"/>
    <w:rsid w:val="556A5EA3"/>
    <w:rsid w:val="556B373E"/>
    <w:rsid w:val="556F0096"/>
    <w:rsid w:val="556FA82A"/>
    <w:rsid w:val="5571F6AB"/>
    <w:rsid w:val="5571F9B7"/>
    <w:rsid w:val="55770607"/>
    <w:rsid w:val="55804533"/>
    <w:rsid w:val="558A1C25"/>
    <w:rsid w:val="5594744A"/>
    <w:rsid w:val="5597CA15"/>
    <w:rsid w:val="559BF626"/>
    <w:rsid w:val="55A0CA66"/>
    <w:rsid w:val="55A71E9E"/>
    <w:rsid w:val="55AEE070"/>
    <w:rsid w:val="55B27F5E"/>
    <w:rsid w:val="55B3C340"/>
    <w:rsid w:val="55B52E7F"/>
    <w:rsid w:val="55B97B50"/>
    <w:rsid w:val="55BDA327"/>
    <w:rsid w:val="55C35037"/>
    <w:rsid w:val="55C68A7B"/>
    <w:rsid w:val="55C8FAD7"/>
    <w:rsid w:val="55CC3410"/>
    <w:rsid w:val="55DACB9D"/>
    <w:rsid w:val="55E4CEB0"/>
    <w:rsid w:val="55EC3769"/>
    <w:rsid w:val="55F0D828"/>
    <w:rsid w:val="55F10EE0"/>
    <w:rsid w:val="55F205B1"/>
    <w:rsid w:val="56008CF4"/>
    <w:rsid w:val="560226A8"/>
    <w:rsid w:val="560537E9"/>
    <w:rsid w:val="5605A9C5"/>
    <w:rsid w:val="5606A9B2"/>
    <w:rsid w:val="560905B2"/>
    <w:rsid w:val="560A25F0"/>
    <w:rsid w:val="560B635D"/>
    <w:rsid w:val="5611EAFA"/>
    <w:rsid w:val="561FE786"/>
    <w:rsid w:val="56378E3C"/>
    <w:rsid w:val="563FC172"/>
    <w:rsid w:val="563FF3BE"/>
    <w:rsid w:val="564298E5"/>
    <w:rsid w:val="564708B1"/>
    <w:rsid w:val="5656EE92"/>
    <w:rsid w:val="56584F34"/>
    <w:rsid w:val="565DAA64"/>
    <w:rsid w:val="565F6CB3"/>
    <w:rsid w:val="56641ACE"/>
    <w:rsid w:val="566C91A7"/>
    <w:rsid w:val="5672AF37"/>
    <w:rsid w:val="56732D45"/>
    <w:rsid w:val="567D06F6"/>
    <w:rsid w:val="5683D444"/>
    <w:rsid w:val="568F093B"/>
    <w:rsid w:val="568F7EC3"/>
    <w:rsid w:val="568FC13E"/>
    <w:rsid w:val="569C348F"/>
    <w:rsid w:val="569CBA04"/>
    <w:rsid w:val="56A44236"/>
    <w:rsid w:val="56A4A561"/>
    <w:rsid w:val="56A7AAFA"/>
    <w:rsid w:val="56AB1FED"/>
    <w:rsid w:val="56AB3AC6"/>
    <w:rsid w:val="56ACA98C"/>
    <w:rsid w:val="56AF3C4D"/>
    <w:rsid w:val="56B3C121"/>
    <w:rsid w:val="56B98D0E"/>
    <w:rsid w:val="56C39C4B"/>
    <w:rsid w:val="56C3AE82"/>
    <w:rsid w:val="56C40AD7"/>
    <w:rsid w:val="56C78DF9"/>
    <w:rsid w:val="56CA9320"/>
    <w:rsid w:val="56CDBA43"/>
    <w:rsid w:val="56DD3C8D"/>
    <w:rsid w:val="56DD57B1"/>
    <w:rsid w:val="56E79BBE"/>
    <w:rsid w:val="56EB02F1"/>
    <w:rsid w:val="56ECD92D"/>
    <w:rsid w:val="56EFDF97"/>
    <w:rsid w:val="56F320EE"/>
    <w:rsid w:val="56F38EA3"/>
    <w:rsid w:val="56F5B9FC"/>
    <w:rsid w:val="56F877CB"/>
    <w:rsid w:val="57012343"/>
    <w:rsid w:val="57033144"/>
    <w:rsid w:val="570583BC"/>
    <w:rsid w:val="570D16E7"/>
    <w:rsid w:val="570D35A1"/>
    <w:rsid w:val="5713C640"/>
    <w:rsid w:val="571653EC"/>
    <w:rsid w:val="5717C78D"/>
    <w:rsid w:val="571B1B4D"/>
    <w:rsid w:val="571CC257"/>
    <w:rsid w:val="572229E0"/>
    <w:rsid w:val="5728D4DC"/>
    <w:rsid w:val="572BDADE"/>
    <w:rsid w:val="57304E9D"/>
    <w:rsid w:val="5732CDAA"/>
    <w:rsid w:val="5734ECC4"/>
    <w:rsid w:val="57352CDA"/>
    <w:rsid w:val="57392859"/>
    <w:rsid w:val="573AAFB2"/>
    <w:rsid w:val="574C903B"/>
    <w:rsid w:val="575D23AB"/>
    <w:rsid w:val="575F70C4"/>
    <w:rsid w:val="576057A4"/>
    <w:rsid w:val="5768E9C1"/>
    <w:rsid w:val="576CE931"/>
    <w:rsid w:val="5770415B"/>
    <w:rsid w:val="5770BF26"/>
    <w:rsid w:val="57717376"/>
    <w:rsid w:val="5777C4DE"/>
    <w:rsid w:val="577CE7CD"/>
    <w:rsid w:val="577E13FE"/>
    <w:rsid w:val="5785472B"/>
    <w:rsid w:val="578D6783"/>
    <w:rsid w:val="5792DCAD"/>
    <w:rsid w:val="5793E5FB"/>
    <w:rsid w:val="57A53BDB"/>
    <w:rsid w:val="57A70286"/>
    <w:rsid w:val="57A84374"/>
    <w:rsid w:val="57B26A45"/>
    <w:rsid w:val="57B27DB9"/>
    <w:rsid w:val="57B35013"/>
    <w:rsid w:val="57B5AD52"/>
    <w:rsid w:val="57BAE107"/>
    <w:rsid w:val="57BE55E0"/>
    <w:rsid w:val="57C5F981"/>
    <w:rsid w:val="57CA8F08"/>
    <w:rsid w:val="57D0DAC5"/>
    <w:rsid w:val="57D8A5EC"/>
    <w:rsid w:val="57D91A35"/>
    <w:rsid w:val="57DCC285"/>
    <w:rsid w:val="57DEAB6F"/>
    <w:rsid w:val="57E3EA1C"/>
    <w:rsid w:val="57E48137"/>
    <w:rsid w:val="57E9650F"/>
    <w:rsid w:val="57EBCD0B"/>
    <w:rsid w:val="57ED10E3"/>
    <w:rsid w:val="57EFAC09"/>
    <w:rsid w:val="57F28655"/>
    <w:rsid w:val="57F642BD"/>
    <w:rsid w:val="57F8D9C9"/>
    <w:rsid w:val="5800EC27"/>
    <w:rsid w:val="5802D35B"/>
    <w:rsid w:val="5808AAA7"/>
    <w:rsid w:val="58097629"/>
    <w:rsid w:val="580B5B98"/>
    <w:rsid w:val="580DD6BC"/>
    <w:rsid w:val="5810ACAD"/>
    <w:rsid w:val="58135FED"/>
    <w:rsid w:val="581BEAA3"/>
    <w:rsid w:val="58278ABB"/>
    <w:rsid w:val="582E2DAC"/>
    <w:rsid w:val="5832DECD"/>
    <w:rsid w:val="5836973F"/>
    <w:rsid w:val="5838FB30"/>
    <w:rsid w:val="583A7C89"/>
    <w:rsid w:val="583B34CD"/>
    <w:rsid w:val="584068B0"/>
    <w:rsid w:val="58407AB3"/>
    <w:rsid w:val="5841EFB3"/>
    <w:rsid w:val="584626EC"/>
    <w:rsid w:val="58467422"/>
    <w:rsid w:val="5849B6CD"/>
    <w:rsid w:val="584D142C"/>
    <w:rsid w:val="585CB3C5"/>
    <w:rsid w:val="586BCA4F"/>
    <w:rsid w:val="58707F08"/>
    <w:rsid w:val="5872BEA7"/>
    <w:rsid w:val="587AB992"/>
    <w:rsid w:val="587AF943"/>
    <w:rsid w:val="587BA231"/>
    <w:rsid w:val="5884D5BD"/>
    <w:rsid w:val="5887E632"/>
    <w:rsid w:val="588F7FFB"/>
    <w:rsid w:val="588FD94D"/>
    <w:rsid w:val="58933624"/>
    <w:rsid w:val="589A7E64"/>
    <w:rsid w:val="58A4D68A"/>
    <w:rsid w:val="58B198D9"/>
    <w:rsid w:val="58B27359"/>
    <w:rsid w:val="58BDBD70"/>
    <w:rsid w:val="58BDDFBD"/>
    <w:rsid w:val="58C084FF"/>
    <w:rsid w:val="58D1F741"/>
    <w:rsid w:val="58D322FD"/>
    <w:rsid w:val="58DBB0C8"/>
    <w:rsid w:val="58E2D48C"/>
    <w:rsid w:val="58E4DADC"/>
    <w:rsid w:val="58EC72BC"/>
    <w:rsid w:val="58F0EA4F"/>
    <w:rsid w:val="58F1CC1A"/>
    <w:rsid w:val="58F44B2E"/>
    <w:rsid w:val="58F594E9"/>
    <w:rsid w:val="58FEE98B"/>
    <w:rsid w:val="58FF30FD"/>
    <w:rsid w:val="58FFC937"/>
    <w:rsid w:val="59099BE8"/>
    <w:rsid w:val="590A154D"/>
    <w:rsid w:val="590A3A18"/>
    <w:rsid w:val="590B33C6"/>
    <w:rsid w:val="590F23AF"/>
    <w:rsid w:val="590FD94E"/>
    <w:rsid w:val="59102463"/>
    <w:rsid w:val="5919A98E"/>
    <w:rsid w:val="591F1407"/>
    <w:rsid w:val="5927B075"/>
    <w:rsid w:val="59352A0B"/>
    <w:rsid w:val="59364E95"/>
    <w:rsid w:val="593770E9"/>
    <w:rsid w:val="5946AC4E"/>
    <w:rsid w:val="594772A0"/>
    <w:rsid w:val="594B792B"/>
    <w:rsid w:val="5951123B"/>
    <w:rsid w:val="595414A1"/>
    <w:rsid w:val="595DB5BF"/>
    <w:rsid w:val="5965044D"/>
    <w:rsid w:val="596C5C22"/>
    <w:rsid w:val="596DC454"/>
    <w:rsid w:val="596E0A89"/>
    <w:rsid w:val="5970A3A1"/>
    <w:rsid w:val="5972EC36"/>
    <w:rsid w:val="5978886C"/>
    <w:rsid w:val="59894F49"/>
    <w:rsid w:val="598D953E"/>
    <w:rsid w:val="5993AA1D"/>
    <w:rsid w:val="599BA265"/>
    <w:rsid w:val="599CA91A"/>
    <w:rsid w:val="599CC997"/>
    <w:rsid w:val="599D3680"/>
    <w:rsid w:val="59A043AC"/>
    <w:rsid w:val="59A2BAD8"/>
    <w:rsid w:val="59AFBDDF"/>
    <w:rsid w:val="59B55F81"/>
    <w:rsid w:val="59C5E8BA"/>
    <w:rsid w:val="59CBFEA0"/>
    <w:rsid w:val="59CDA362"/>
    <w:rsid w:val="59CDDA78"/>
    <w:rsid w:val="59D6B4AB"/>
    <w:rsid w:val="59D6BC1C"/>
    <w:rsid w:val="59D7B5B5"/>
    <w:rsid w:val="59DBF7CB"/>
    <w:rsid w:val="59E3B16A"/>
    <w:rsid w:val="59E5FB00"/>
    <w:rsid w:val="59E6BEA0"/>
    <w:rsid w:val="59EF2328"/>
    <w:rsid w:val="59F186EC"/>
    <w:rsid w:val="59F877B7"/>
    <w:rsid w:val="59F8B6E1"/>
    <w:rsid w:val="59F9545C"/>
    <w:rsid w:val="59F9A930"/>
    <w:rsid w:val="59FBE075"/>
    <w:rsid w:val="5A022142"/>
    <w:rsid w:val="5A061E01"/>
    <w:rsid w:val="5A0B6E7C"/>
    <w:rsid w:val="5A154058"/>
    <w:rsid w:val="5A18AED1"/>
    <w:rsid w:val="5A1A005D"/>
    <w:rsid w:val="5A22C1B0"/>
    <w:rsid w:val="5A2E3A21"/>
    <w:rsid w:val="5A2FF192"/>
    <w:rsid w:val="5A331CA2"/>
    <w:rsid w:val="5A385EC8"/>
    <w:rsid w:val="5A3BA7AE"/>
    <w:rsid w:val="5A40C6B2"/>
    <w:rsid w:val="5A5AF4CB"/>
    <w:rsid w:val="5A5BD29C"/>
    <w:rsid w:val="5A61E85E"/>
    <w:rsid w:val="5A67BD86"/>
    <w:rsid w:val="5A72BF97"/>
    <w:rsid w:val="5A73C250"/>
    <w:rsid w:val="5A745389"/>
    <w:rsid w:val="5A770F2A"/>
    <w:rsid w:val="5A7AA900"/>
    <w:rsid w:val="5A7CF810"/>
    <w:rsid w:val="5A830A34"/>
    <w:rsid w:val="5A871254"/>
    <w:rsid w:val="5A8771F4"/>
    <w:rsid w:val="5A8850A3"/>
    <w:rsid w:val="5A8DB724"/>
    <w:rsid w:val="5A8E3993"/>
    <w:rsid w:val="5A92936E"/>
    <w:rsid w:val="5A93CEB7"/>
    <w:rsid w:val="5A96A559"/>
    <w:rsid w:val="5A9BE9F7"/>
    <w:rsid w:val="5A9D9AA7"/>
    <w:rsid w:val="5AAD6E5D"/>
    <w:rsid w:val="5AC18700"/>
    <w:rsid w:val="5AC60E2E"/>
    <w:rsid w:val="5AC6B45D"/>
    <w:rsid w:val="5AC78DC9"/>
    <w:rsid w:val="5AC8B6F9"/>
    <w:rsid w:val="5AD49A56"/>
    <w:rsid w:val="5AE13A05"/>
    <w:rsid w:val="5AE2610F"/>
    <w:rsid w:val="5AE79431"/>
    <w:rsid w:val="5AEB68DD"/>
    <w:rsid w:val="5AEE53DF"/>
    <w:rsid w:val="5AEE7216"/>
    <w:rsid w:val="5AF2A2FE"/>
    <w:rsid w:val="5AF3A0AA"/>
    <w:rsid w:val="5B030664"/>
    <w:rsid w:val="5B0C6015"/>
    <w:rsid w:val="5B11F6B0"/>
    <w:rsid w:val="5B13A28A"/>
    <w:rsid w:val="5B143FDF"/>
    <w:rsid w:val="5B1D4C07"/>
    <w:rsid w:val="5B236A62"/>
    <w:rsid w:val="5B27CAF7"/>
    <w:rsid w:val="5B2EFA04"/>
    <w:rsid w:val="5B3153D0"/>
    <w:rsid w:val="5B31EE69"/>
    <w:rsid w:val="5B334478"/>
    <w:rsid w:val="5B3A1FB2"/>
    <w:rsid w:val="5B3ADC1E"/>
    <w:rsid w:val="5B3F862F"/>
    <w:rsid w:val="5B598000"/>
    <w:rsid w:val="5B63E3D6"/>
    <w:rsid w:val="5B691AF4"/>
    <w:rsid w:val="5B6C756C"/>
    <w:rsid w:val="5B6DB12E"/>
    <w:rsid w:val="5B6F2ED8"/>
    <w:rsid w:val="5B792197"/>
    <w:rsid w:val="5B80A6DC"/>
    <w:rsid w:val="5B80CB78"/>
    <w:rsid w:val="5B84EF1C"/>
    <w:rsid w:val="5B8FAF41"/>
    <w:rsid w:val="5B9A935A"/>
    <w:rsid w:val="5B9E18F0"/>
    <w:rsid w:val="5BA45D05"/>
    <w:rsid w:val="5BA52E97"/>
    <w:rsid w:val="5BAEC60E"/>
    <w:rsid w:val="5BB200B0"/>
    <w:rsid w:val="5BB7EF11"/>
    <w:rsid w:val="5BBA98A3"/>
    <w:rsid w:val="5BC6F62A"/>
    <w:rsid w:val="5BC8142F"/>
    <w:rsid w:val="5BD3FC06"/>
    <w:rsid w:val="5BDA5F20"/>
    <w:rsid w:val="5BDC7D47"/>
    <w:rsid w:val="5BEB6792"/>
    <w:rsid w:val="5BEF0F49"/>
    <w:rsid w:val="5BF7F5AF"/>
    <w:rsid w:val="5BF83B9D"/>
    <w:rsid w:val="5BF870AE"/>
    <w:rsid w:val="5BFBBFE8"/>
    <w:rsid w:val="5C004BE2"/>
    <w:rsid w:val="5C08E9ED"/>
    <w:rsid w:val="5C0D09DD"/>
    <w:rsid w:val="5C105B64"/>
    <w:rsid w:val="5C113345"/>
    <w:rsid w:val="5C129DE5"/>
    <w:rsid w:val="5C17AB24"/>
    <w:rsid w:val="5C1D1F19"/>
    <w:rsid w:val="5C1F00D0"/>
    <w:rsid w:val="5C20F1DA"/>
    <w:rsid w:val="5C229FA8"/>
    <w:rsid w:val="5C2FB3EA"/>
    <w:rsid w:val="5C31B155"/>
    <w:rsid w:val="5C3DC1AB"/>
    <w:rsid w:val="5C3F1EF7"/>
    <w:rsid w:val="5C44D521"/>
    <w:rsid w:val="5C4E91C1"/>
    <w:rsid w:val="5C502C6F"/>
    <w:rsid w:val="5C56F48C"/>
    <w:rsid w:val="5C5F167E"/>
    <w:rsid w:val="5C660F1C"/>
    <w:rsid w:val="5C68FB59"/>
    <w:rsid w:val="5C693D58"/>
    <w:rsid w:val="5C714D21"/>
    <w:rsid w:val="5C71F6D2"/>
    <w:rsid w:val="5C735885"/>
    <w:rsid w:val="5C7496BB"/>
    <w:rsid w:val="5C759EB9"/>
    <w:rsid w:val="5C79A437"/>
    <w:rsid w:val="5C7A31A5"/>
    <w:rsid w:val="5C7A9806"/>
    <w:rsid w:val="5C7D51FD"/>
    <w:rsid w:val="5C832CE4"/>
    <w:rsid w:val="5C97BF70"/>
    <w:rsid w:val="5C984E4B"/>
    <w:rsid w:val="5C98703E"/>
    <w:rsid w:val="5C9903DF"/>
    <w:rsid w:val="5CA00C79"/>
    <w:rsid w:val="5CA0F451"/>
    <w:rsid w:val="5CA29DE1"/>
    <w:rsid w:val="5CA50D5C"/>
    <w:rsid w:val="5CAC85D6"/>
    <w:rsid w:val="5CB0CBE8"/>
    <w:rsid w:val="5CB723B2"/>
    <w:rsid w:val="5CC087C4"/>
    <w:rsid w:val="5CCCA04B"/>
    <w:rsid w:val="5CCF84E6"/>
    <w:rsid w:val="5CCFCB13"/>
    <w:rsid w:val="5CD57D5F"/>
    <w:rsid w:val="5CE0FAF8"/>
    <w:rsid w:val="5CEA140C"/>
    <w:rsid w:val="5CEBC623"/>
    <w:rsid w:val="5CFC87B9"/>
    <w:rsid w:val="5CFED869"/>
    <w:rsid w:val="5D05BB6C"/>
    <w:rsid w:val="5D0B9540"/>
    <w:rsid w:val="5D0E6606"/>
    <w:rsid w:val="5D11C8F1"/>
    <w:rsid w:val="5D12D63B"/>
    <w:rsid w:val="5D13D1BA"/>
    <w:rsid w:val="5D1D5DFD"/>
    <w:rsid w:val="5D267C1D"/>
    <w:rsid w:val="5D26F738"/>
    <w:rsid w:val="5D33AB92"/>
    <w:rsid w:val="5D3DAF4C"/>
    <w:rsid w:val="5D4414D2"/>
    <w:rsid w:val="5D46A796"/>
    <w:rsid w:val="5D48B74D"/>
    <w:rsid w:val="5D4A0F86"/>
    <w:rsid w:val="5D4B7663"/>
    <w:rsid w:val="5D5168B3"/>
    <w:rsid w:val="5D5338EF"/>
    <w:rsid w:val="5D534CA5"/>
    <w:rsid w:val="5D53B84A"/>
    <w:rsid w:val="5D541E5A"/>
    <w:rsid w:val="5D5E4C0E"/>
    <w:rsid w:val="5D603933"/>
    <w:rsid w:val="5D612D93"/>
    <w:rsid w:val="5D619068"/>
    <w:rsid w:val="5D6377DA"/>
    <w:rsid w:val="5D63D623"/>
    <w:rsid w:val="5D67793C"/>
    <w:rsid w:val="5D6AC6F2"/>
    <w:rsid w:val="5D6B7FA7"/>
    <w:rsid w:val="5D6E16B3"/>
    <w:rsid w:val="5D6F14D8"/>
    <w:rsid w:val="5D7A8EBA"/>
    <w:rsid w:val="5D8B3019"/>
    <w:rsid w:val="5D8E2607"/>
    <w:rsid w:val="5D8E7EEA"/>
    <w:rsid w:val="5D913CD9"/>
    <w:rsid w:val="5D923AD5"/>
    <w:rsid w:val="5D9A1EE7"/>
    <w:rsid w:val="5D9ADF24"/>
    <w:rsid w:val="5D9EB8E7"/>
    <w:rsid w:val="5DA040D1"/>
    <w:rsid w:val="5DAE039C"/>
    <w:rsid w:val="5DBD241E"/>
    <w:rsid w:val="5DC5517B"/>
    <w:rsid w:val="5DD12C78"/>
    <w:rsid w:val="5DD6C401"/>
    <w:rsid w:val="5DDE32BE"/>
    <w:rsid w:val="5DE72E33"/>
    <w:rsid w:val="5DEFBE15"/>
    <w:rsid w:val="5DF171F8"/>
    <w:rsid w:val="5DF1809E"/>
    <w:rsid w:val="5DFDE40D"/>
    <w:rsid w:val="5E00CD1D"/>
    <w:rsid w:val="5E041661"/>
    <w:rsid w:val="5E056300"/>
    <w:rsid w:val="5E0981F5"/>
    <w:rsid w:val="5E182B22"/>
    <w:rsid w:val="5E1A4758"/>
    <w:rsid w:val="5E1F9DDF"/>
    <w:rsid w:val="5E2108B7"/>
    <w:rsid w:val="5E257986"/>
    <w:rsid w:val="5E2A1A61"/>
    <w:rsid w:val="5E2B6F62"/>
    <w:rsid w:val="5E2BE0A4"/>
    <w:rsid w:val="5E31FCC1"/>
    <w:rsid w:val="5E343745"/>
    <w:rsid w:val="5E35D533"/>
    <w:rsid w:val="5E3727B3"/>
    <w:rsid w:val="5E3DD9E4"/>
    <w:rsid w:val="5E3E3C7B"/>
    <w:rsid w:val="5E3F2B92"/>
    <w:rsid w:val="5E417F86"/>
    <w:rsid w:val="5E429794"/>
    <w:rsid w:val="5E4969B8"/>
    <w:rsid w:val="5E4A3C60"/>
    <w:rsid w:val="5E4C5F29"/>
    <w:rsid w:val="5E4CDED9"/>
    <w:rsid w:val="5E4ED3F4"/>
    <w:rsid w:val="5E51E828"/>
    <w:rsid w:val="5E554858"/>
    <w:rsid w:val="5E597EB7"/>
    <w:rsid w:val="5E5A23DF"/>
    <w:rsid w:val="5E5EC047"/>
    <w:rsid w:val="5E5FC533"/>
    <w:rsid w:val="5E612271"/>
    <w:rsid w:val="5E64E03B"/>
    <w:rsid w:val="5E66847F"/>
    <w:rsid w:val="5E67074B"/>
    <w:rsid w:val="5E70ECFB"/>
    <w:rsid w:val="5E832D72"/>
    <w:rsid w:val="5E843AEE"/>
    <w:rsid w:val="5E89100E"/>
    <w:rsid w:val="5E908150"/>
    <w:rsid w:val="5E9186ED"/>
    <w:rsid w:val="5EAB983A"/>
    <w:rsid w:val="5EABE64C"/>
    <w:rsid w:val="5EAD61A5"/>
    <w:rsid w:val="5EB064FA"/>
    <w:rsid w:val="5EB478E3"/>
    <w:rsid w:val="5EB81442"/>
    <w:rsid w:val="5EBD5E56"/>
    <w:rsid w:val="5EC03CD9"/>
    <w:rsid w:val="5ECE6E5A"/>
    <w:rsid w:val="5ECFB049"/>
    <w:rsid w:val="5ED04E72"/>
    <w:rsid w:val="5ED0E777"/>
    <w:rsid w:val="5ED48EE0"/>
    <w:rsid w:val="5ED97BA6"/>
    <w:rsid w:val="5EDAE12F"/>
    <w:rsid w:val="5EDD510B"/>
    <w:rsid w:val="5EE70171"/>
    <w:rsid w:val="5EE78215"/>
    <w:rsid w:val="5EE88FCB"/>
    <w:rsid w:val="5EF6E64B"/>
    <w:rsid w:val="5EFAC3D0"/>
    <w:rsid w:val="5F068A51"/>
    <w:rsid w:val="5F071B46"/>
    <w:rsid w:val="5F0725EF"/>
    <w:rsid w:val="5F08173E"/>
    <w:rsid w:val="5F1E0178"/>
    <w:rsid w:val="5F1F38A8"/>
    <w:rsid w:val="5F200BC9"/>
    <w:rsid w:val="5F234356"/>
    <w:rsid w:val="5F2906CC"/>
    <w:rsid w:val="5F30FE39"/>
    <w:rsid w:val="5F31D403"/>
    <w:rsid w:val="5F36A60E"/>
    <w:rsid w:val="5F4C7C66"/>
    <w:rsid w:val="5F4CC13A"/>
    <w:rsid w:val="5F4E29B0"/>
    <w:rsid w:val="5F52514E"/>
    <w:rsid w:val="5F5354EF"/>
    <w:rsid w:val="5F53E6F2"/>
    <w:rsid w:val="5F5B817E"/>
    <w:rsid w:val="5F6061AA"/>
    <w:rsid w:val="5F622551"/>
    <w:rsid w:val="5F639376"/>
    <w:rsid w:val="5F64D269"/>
    <w:rsid w:val="5F6B8F8A"/>
    <w:rsid w:val="5F72D35C"/>
    <w:rsid w:val="5F7B8E97"/>
    <w:rsid w:val="5F822938"/>
    <w:rsid w:val="5F83C419"/>
    <w:rsid w:val="5F844DAE"/>
    <w:rsid w:val="5F883996"/>
    <w:rsid w:val="5F89670A"/>
    <w:rsid w:val="5F8DFC44"/>
    <w:rsid w:val="5F8E9BCD"/>
    <w:rsid w:val="5F99310B"/>
    <w:rsid w:val="5F9BA25D"/>
    <w:rsid w:val="5FA23208"/>
    <w:rsid w:val="5FA79830"/>
    <w:rsid w:val="5FAA38F9"/>
    <w:rsid w:val="5FAA9D0A"/>
    <w:rsid w:val="5FAED12C"/>
    <w:rsid w:val="5FB58A26"/>
    <w:rsid w:val="5FC04B3E"/>
    <w:rsid w:val="5FC84B65"/>
    <w:rsid w:val="5FC887AD"/>
    <w:rsid w:val="5FC8D73A"/>
    <w:rsid w:val="5FD0EE99"/>
    <w:rsid w:val="5FD28FE8"/>
    <w:rsid w:val="5FD2CBC3"/>
    <w:rsid w:val="5FD4CD44"/>
    <w:rsid w:val="5FD9ACFD"/>
    <w:rsid w:val="5FDFBDB7"/>
    <w:rsid w:val="5FE07898"/>
    <w:rsid w:val="5FE723C0"/>
    <w:rsid w:val="5FEA2B35"/>
    <w:rsid w:val="5FEC7462"/>
    <w:rsid w:val="5FECDF61"/>
    <w:rsid w:val="5FF218A4"/>
    <w:rsid w:val="5FFAAE71"/>
    <w:rsid w:val="60073B27"/>
    <w:rsid w:val="600973E6"/>
    <w:rsid w:val="6009878F"/>
    <w:rsid w:val="6009EFC6"/>
    <w:rsid w:val="600F1A6A"/>
    <w:rsid w:val="600F6846"/>
    <w:rsid w:val="6011A901"/>
    <w:rsid w:val="60158895"/>
    <w:rsid w:val="601B4608"/>
    <w:rsid w:val="601BFC82"/>
    <w:rsid w:val="60208044"/>
    <w:rsid w:val="6024B293"/>
    <w:rsid w:val="6026E559"/>
    <w:rsid w:val="6026E84E"/>
    <w:rsid w:val="603CC752"/>
    <w:rsid w:val="60424E07"/>
    <w:rsid w:val="6046DA3E"/>
    <w:rsid w:val="604D16A3"/>
    <w:rsid w:val="604F1C6D"/>
    <w:rsid w:val="604F93A0"/>
    <w:rsid w:val="6052601A"/>
    <w:rsid w:val="6052702C"/>
    <w:rsid w:val="6053586E"/>
    <w:rsid w:val="605C6BC3"/>
    <w:rsid w:val="605CC08D"/>
    <w:rsid w:val="6072D56F"/>
    <w:rsid w:val="6076D94D"/>
    <w:rsid w:val="607C3E43"/>
    <w:rsid w:val="6081191D"/>
    <w:rsid w:val="6082BF1C"/>
    <w:rsid w:val="6090F77D"/>
    <w:rsid w:val="609602B9"/>
    <w:rsid w:val="609C15E8"/>
    <w:rsid w:val="609EAB38"/>
    <w:rsid w:val="60A0F1CD"/>
    <w:rsid w:val="60A22192"/>
    <w:rsid w:val="60A4AF73"/>
    <w:rsid w:val="60AC5771"/>
    <w:rsid w:val="60ACC35A"/>
    <w:rsid w:val="60AD7AC5"/>
    <w:rsid w:val="60BA2EB9"/>
    <w:rsid w:val="60BAF046"/>
    <w:rsid w:val="60C4254D"/>
    <w:rsid w:val="60C7136F"/>
    <w:rsid w:val="60D0B407"/>
    <w:rsid w:val="60D1BA78"/>
    <w:rsid w:val="60D3BC55"/>
    <w:rsid w:val="60D4F882"/>
    <w:rsid w:val="60D7F61A"/>
    <w:rsid w:val="60D8238A"/>
    <w:rsid w:val="60D8737C"/>
    <w:rsid w:val="60E393F6"/>
    <w:rsid w:val="60E50F00"/>
    <w:rsid w:val="60ED6A0C"/>
    <w:rsid w:val="60F4A697"/>
    <w:rsid w:val="60F4F811"/>
    <w:rsid w:val="60F9EFA7"/>
    <w:rsid w:val="60FD8CA7"/>
    <w:rsid w:val="6106EE81"/>
    <w:rsid w:val="6107C8FE"/>
    <w:rsid w:val="610FAF28"/>
    <w:rsid w:val="6114031A"/>
    <w:rsid w:val="6117E5C0"/>
    <w:rsid w:val="611A3799"/>
    <w:rsid w:val="611C6410"/>
    <w:rsid w:val="6124F987"/>
    <w:rsid w:val="6126D254"/>
    <w:rsid w:val="6126E326"/>
    <w:rsid w:val="6134E2E8"/>
    <w:rsid w:val="613B6A5C"/>
    <w:rsid w:val="614907DC"/>
    <w:rsid w:val="614B0C6B"/>
    <w:rsid w:val="615247A8"/>
    <w:rsid w:val="6156B363"/>
    <w:rsid w:val="6160B8DE"/>
    <w:rsid w:val="616643F8"/>
    <w:rsid w:val="6167362B"/>
    <w:rsid w:val="616CA0C6"/>
    <w:rsid w:val="6176AAE3"/>
    <w:rsid w:val="617DCB41"/>
    <w:rsid w:val="617FC02A"/>
    <w:rsid w:val="61892FF5"/>
    <w:rsid w:val="6195C4D8"/>
    <w:rsid w:val="61A9B755"/>
    <w:rsid w:val="61AD3A47"/>
    <w:rsid w:val="61B1DE2F"/>
    <w:rsid w:val="61C207B3"/>
    <w:rsid w:val="61C62F79"/>
    <w:rsid w:val="61C7347A"/>
    <w:rsid w:val="61C9493E"/>
    <w:rsid w:val="61CB46A2"/>
    <w:rsid w:val="61D5C210"/>
    <w:rsid w:val="61DD4FA0"/>
    <w:rsid w:val="61EA59D1"/>
    <w:rsid w:val="61EC06CC"/>
    <w:rsid w:val="61EEC8B7"/>
    <w:rsid w:val="61F14C82"/>
    <w:rsid w:val="61F84BC2"/>
    <w:rsid w:val="61FCA012"/>
    <w:rsid w:val="62006CD8"/>
    <w:rsid w:val="6205B9CF"/>
    <w:rsid w:val="6214F138"/>
    <w:rsid w:val="6222CE22"/>
    <w:rsid w:val="6229DAB8"/>
    <w:rsid w:val="62361B43"/>
    <w:rsid w:val="623AA1CC"/>
    <w:rsid w:val="623F96C5"/>
    <w:rsid w:val="623FD2CB"/>
    <w:rsid w:val="624C9B44"/>
    <w:rsid w:val="62589B14"/>
    <w:rsid w:val="625ED686"/>
    <w:rsid w:val="62605B20"/>
    <w:rsid w:val="6264A3DF"/>
    <w:rsid w:val="627BAD30"/>
    <w:rsid w:val="6281F99B"/>
    <w:rsid w:val="628C8BA6"/>
    <w:rsid w:val="62973AD9"/>
    <w:rsid w:val="62993EC1"/>
    <w:rsid w:val="6299862D"/>
    <w:rsid w:val="629E77BC"/>
    <w:rsid w:val="62A0E95E"/>
    <w:rsid w:val="62A43F34"/>
    <w:rsid w:val="62ABCDEF"/>
    <w:rsid w:val="62AC8AD8"/>
    <w:rsid w:val="62B1904C"/>
    <w:rsid w:val="62B676A3"/>
    <w:rsid w:val="62C1B1FD"/>
    <w:rsid w:val="62C22914"/>
    <w:rsid w:val="62C2E2A1"/>
    <w:rsid w:val="62C6B8A4"/>
    <w:rsid w:val="62CB7EC7"/>
    <w:rsid w:val="62CBF411"/>
    <w:rsid w:val="62CE621C"/>
    <w:rsid w:val="62D8E9D3"/>
    <w:rsid w:val="62D8EB2A"/>
    <w:rsid w:val="62E38B6D"/>
    <w:rsid w:val="62EA8340"/>
    <w:rsid w:val="62FC156E"/>
    <w:rsid w:val="62FDABF3"/>
    <w:rsid w:val="6303D03B"/>
    <w:rsid w:val="6303E183"/>
    <w:rsid w:val="630CBA7C"/>
    <w:rsid w:val="630E5136"/>
    <w:rsid w:val="6319E17F"/>
    <w:rsid w:val="632666C7"/>
    <w:rsid w:val="63274357"/>
    <w:rsid w:val="6328ADA4"/>
    <w:rsid w:val="632F636B"/>
    <w:rsid w:val="6330C8AE"/>
    <w:rsid w:val="63352ECE"/>
    <w:rsid w:val="633BA084"/>
    <w:rsid w:val="633FD54F"/>
    <w:rsid w:val="63409F23"/>
    <w:rsid w:val="634A58FB"/>
    <w:rsid w:val="6350C80A"/>
    <w:rsid w:val="6359451D"/>
    <w:rsid w:val="636554C3"/>
    <w:rsid w:val="636EC832"/>
    <w:rsid w:val="63701141"/>
    <w:rsid w:val="63706210"/>
    <w:rsid w:val="6382A12E"/>
    <w:rsid w:val="6383AE95"/>
    <w:rsid w:val="63861E7F"/>
    <w:rsid w:val="638D0840"/>
    <w:rsid w:val="638DD5FA"/>
    <w:rsid w:val="638F521E"/>
    <w:rsid w:val="63927022"/>
    <w:rsid w:val="6394D639"/>
    <w:rsid w:val="63998853"/>
    <w:rsid w:val="639B8B89"/>
    <w:rsid w:val="63A1D452"/>
    <w:rsid w:val="63A9E4E5"/>
    <w:rsid w:val="63AAF68A"/>
    <w:rsid w:val="63AC9B17"/>
    <w:rsid w:val="63B49624"/>
    <w:rsid w:val="63B59C59"/>
    <w:rsid w:val="63B6644E"/>
    <w:rsid w:val="63B9A10E"/>
    <w:rsid w:val="63B9E85E"/>
    <w:rsid w:val="63C068C6"/>
    <w:rsid w:val="63C708EE"/>
    <w:rsid w:val="63D158C3"/>
    <w:rsid w:val="63D186A9"/>
    <w:rsid w:val="63D7DDB2"/>
    <w:rsid w:val="63D83519"/>
    <w:rsid w:val="63E3BF18"/>
    <w:rsid w:val="63E3D15E"/>
    <w:rsid w:val="63E815E5"/>
    <w:rsid w:val="63E952FD"/>
    <w:rsid w:val="63E97FEF"/>
    <w:rsid w:val="63EDFE56"/>
    <w:rsid w:val="63EF6B84"/>
    <w:rsid w:val="63EFA857"/>
    <w:rsid w:val="63FC4423"/>
    <w:rsid w:val="63FEFC7A"/>
    <w:rsid w:val="6403CAD9"/>
    <w:rsid w:val="6405CC74"/>
    <w:rsid w:val="6411C4F0"/>
    <w:rsid w:val="64150CC8"/>
    <w:rsid w:val="641F0C55"/>
    <w:rsid w:val="6423393E"/>
    <w:rsid w:val="642E1A23"/>
    <w:rsid w:val="6433A455"/>
    <w:rsid w:val="643548B5"/>
    <w:rsid w:val="6443056E"/>
    <w:rsid w:val="64475485"/>
    <w:rsid w:val="644E9728"/>
    <w:rsid w:val="6451D487"/>
    <w:rsid w:val="6454A824"/>
    <w:rsid w:val="645826B6"/>
    <w:rsid w:val="64611C19"/>
    <w:rsid w:val="646AADA2"/>
    <w:rsid w:val="6471F577"/>
    <w:rsid w:val="64735B33"/>
    <w:rsid w:val="64763E07"/>
    <w:rsid w:val="6483B37B"/>
    <w:rsid w:val="64873C9D"/>
    <w:rsid w:val="648837A4"/>
    <w:rsid w:val="6491B522"/>
    <w:rsid w:val="64946EE2"/>
    <w:rsid w:val="64995DBA"/>
    <w:rsid w:val="64A38299"/>
    <w:rsid w:val="64A45FBB"/>
    <w:rsid w:val="64A63C5D"/>
    <w:rsid w:val="64AC2A42"/>
    <w:rsid w:val="64ACCDF0"/>
    <w:rsid w:val="64B09563"/>
    <w:rsid w:val="64BCCC3E"/>
    <w:rsid w:val="64CC5333"/>
    <w:rsid w:val="64D1FBB0"/>
    <w:rsid w:val="64D849CC"/>
    <w:rsid w:val="64D860E1"/>
    <w:rsid w:val="64E2D2E0"/>
    <w:rsid w:val="64E99256"/>
    <w:rsid w:val="64EA726D"/>
    <w:rsid w:val="64F18207"/>
    <w:rsid w:val="64F18A22"/>
    <w:rsid w:val="64F2CC0F"/>
    <w:rsid w:val="64FD2B1F"/>
    <w:rsid w:val="650AF7D3"/>
    <w:rsid w:val="650D28B5"/>
    <w:rsid w:val="6511101D"/>
    <w:rsid w:val="6519DBEB"/>
    <w:rsid w:val="651BAFE6"/>
    <w:rsid w:val="651F4B06"/>
    <w:rsid w:val="6520838C"/>
    <w:rsid w:val="6520CB73"/>
    <w:rsid w:val="65216C3C"/>
    <w:rsid w:val="6522CACC"/>
    <w:rsid w:val="65253D1B"/>
    <w:rsid w:val="65367598"/>
    <w:rsid w:val="653E7A49"/>
    <w:rsid w:val="653F0C6A"/>
    <w:rsid w:val="654594B8"/>
    <w:rsid w:val="6547AD4C"/>
    <w:rsid w:val="654870BC"/>
    <w:rsid w:val="654C342F"/>
    <w:rsid w:val="654F6C10"/>
    <w:rsid w:val="6551ADE4"/>
    <w:rsid w:val="6560BD49"/>
    <w:rsid w:val="65615319"/>
    <w:rsid w:val="6561E633"/>
    <w:rsid w:val="656E407B"/>
    <w:rsid w:val="65710123"/>
    <w:rsid w:val="65750A4A"/>
    <w:rsid w:val="6576B383"/>
    <w:rsid w:val="657B8CA4"/>
    <w:rsid w:val="65839137"/>
    <w:rsid w:val="659445D9"/>
    <w:rsid w:val="65A339B4"/>
    <w:rsid w:val="65A50716"/>
    <w:rsid w:val="65A78C41"/>
    <w:rsid w:val="65B4E8A6"/>
    <w:rsid w:val="65B825E7"/>
    <w:rsid w:val="65B9C10C"/>
    <w:rsid w:val="65CD1C1B"/>
    <w:rsid w:val="65D2304B"/>
    <w:rsid w:val="65D611FE"/>
    <w:rsid w:val="65DA42E8"/>
    <w:rsid w:val="65DC6602"/>
    <w:rsid w:val="65DE7181"/>
    <w:rsid w:val="65E0463F"/>
    <w:rsid w:val="65E8D096"/>
    <w:rsid w:val="65E94668"/>
    <w:rsid w:val="65EA3579"/>
    <w:rsid w:val="65EB8ECF"/>
    <w:rsid w:val="65EE9421"/>
    <w:rsid w:val="65EEE37C"/>
    <w:rsid w:val="65F372E3"/>
    <w:rsid w:val="65F67F10"/>
    <w:rsid w:val="6609BA55"/>
    <w:rsid w:val="661A14DC"/>
    <w:rsid w:val="661F87E2"/>
    <w:rsid w:val="6622376C"/>
    <w:rsid w:val="66264C59"/>
    <w:rsid w:val="662A6AA3"/>
    <w:rsid w:val="662D03C4"/>
    <w:rsid w:val="663679F1"/>
    <w:rsid w:val="6636880F"/>
    <w:rsid w:val="663EC137"/>
    <w:rsid w:val="6641053B"/>
    <w:rsid w:val="66434291"/>
    <w:rsid w:val="664481F3"/>
    <w:rsid w:val="664768D4"/>
    <w:rsid w:val="66480961"/>
    <w:rsid w:val="6649AF32"/>
    <w:rsid w:val="664E0D2B"/>
    <w:rsid w:val="6650A376"/>
    <w:rsid w:val="6652568E"/>
    <w:rsid w:val="665693CE"/>
    <w:rsid w:val="665961B6"/>
    <w:rsid w:val="665EBEB5"/>
    <w:rsid w:val="66671001"/>
    <w:rsid w:val="666D7E12"/>
    <w:rsid w:val="666F20FE"/>
    <w:rsid w:val="666F6B8F"/>
    <w:rsid w:val="667BCF95"/>
    <w:rsid w:val="667E2ED0"/>
    <w:rsid w:val="66828F4F"/>
    <w:rsid w:val="6684EB9A"/>
    <w:rsid w:val="66867602"/>
    <w:rsid w:val="66875D8F"/>
    <w:rsid w:val="66947A93"/>
    <w:rsid w:val="6699DFCA"/>
    <w:rsid w:val="66A41967"/>
    <w:rsid w:val="66A965B2"/>
    <w:rsid w:val="66B369BF"/>
    <w:rsid w:val="66B64D9C"/>
    <w:rsid w:val="66BB4479"/>
    <w:rsid w:val="66BCE3F0"/>
    <w:rsid w:val="66C62F47"/>
    <w:rsid w:val="66CC1B15"/>
    <w:rsid w:val="66CEC27B"/>
    <w:rsid w:val="66D41228"/>
    <w:rsid w:val="66D991E7"/>
    <w:rsid w:val="66DA8C9A"/>
    <w:rsid w:val="66DB99C2"/>
    <w:rsid w:val="66DC7011"/>
    <w:rsid w:val="66DCF5C0"/>
    <w:rsid w:val="66E16AE3"/>
    <w:rsid w:val="66E8E518"/>
    <w:rsid w:val="66ECCF21"/>
    <w:rsid w:val="66EEBFD0"/>
    <w:rsid w:val="66EEF96B"/>
    <w:rsid w:val="6702D972"/>
    <w:rsid w:val="67121D57"/>
    <w:rsid w:val="6715864B"/>
    <w:rsid w:val="672A166B"/>
    <w:rsid w:val="672F19F4"/>
    <w:rsid w:val="673570FF"/>
    <w:rsid w:val="6740C2FF"/>
    <w:rsid w:val="6743A062"/>
    <w:rsid w:val="6749285E"/>
    <w:rsid w:val="674C2BFC"/>
    <w:rsid w:val="67509BA1"/>
    <w:rsid w:val="6751E81D"/>
    <w:rsid w:val="6759E11A"/>
    <w:rsid w:val="675A1109"/>
    <w:rsid w:val="675C19CB"/>
    <w:rsid w:val="67646213"/>
    <w:rsid w:val="677457BA"/>
    <w:rsid w:val="677518E0"/>
    <w:rsid w:val="677B1BE7"/>
    <w:rsid w:val="67867533"/>
    <w:rsid w:val="67915947"/>
    <w:rsid w:val="6799CCB4"/>
    <w:rsid w:val="67A01F68"/>
    <w:rsid w:val="67AAFF4A"/>
    <w:rsid w:val="67AC5F5E"/>
    <w:rsid w:val="67B426E6"/>
    <w:rsid w:val="67B62015"/>
    <w:rsid w:val="67BA470E"/>
    <w:rsid w:val="67BDE762"/>
    <w:rsid w:val="67C100D7"/>
    <w:rsid w:val="67C1B385"/>
    <w:rsid w:val="67C3C7BC"/>
    <w:rsid w:val="67C7BD99"/>
    <w:rsid w:val="67CCC4BF"/>
    <w:rsid w:val="67D2722D"/>
    <w:rsid w:val="67D48F6D"/>
    <w:rsid w:val="67D67A6A"/>
    <w:rsid w:val="67D68971"/>
    <w:rsid w:val="67D6AF22"/>
    <w:rsid w:val="67DEDDEA"/>
    <w:rsid w:val="67E0D4E4"/>
    <w:rsid w:val="67EA5DAE"/>
    <w:rsid w:val="67EDFE42"/>
    <w:rsid w:val="67F716C6"/>
    <w:rsid w:val="67F9EBC3"/>
    <w:rsid w:val="67FB8133"/>
    <w:rsid w:val="6808DC71"/>
    <w:rsid w:val="680C6BDB"/>
    <w:rsid w:val="680DF9B1"/>
    <w:rsid w:val="680F9931"/>
    <w:rsid w:val="68199EE9"/>
    <w:rsid w:val="6819A40C"/>
    <w:rsid w:val="681CDDB5"/>
    <w:rsid w:val="681D5AED"/>
    <w:rsid w:val="6824B21A"/>
    <w:rsid w:val="68263DCA"/>
    <w:rsid w:val="6829E1CD"/>
    <w:rsid w:val="682DCB0D"/>
    <w:rsid w:val="682E4919"/>
    <w:rsid w:val="682F52CA"/>
    <w:rsid w:val="6833F21D"/>
    <w:rsid w:val="683A42E6"/>
    <w:rsid w:val="683B4F90"/>
    <w:rsid w:val="684038B4"/>
    <w:rsid w:val="6842E888"/>
    <w:rsid w:val="684720E4"/>
    <w:rsid w:val="684764C9"/>
    <w:rsid w:val="68495287"/>
    <w:rsid w:val="684A5454"/>
    <w:rsid w:val="68500129"/>
    <w:rsid w:val="6853363D"/>
    <w:rsid w:val="685832E0"/>
    <w:rsid w:val="6858517E"/>
    <w:rsid w:val="685C174A"/>
    <w:rsid w:val="6862F412"/>
    <w:rsid w:val="6866328D"/>
    <w:rsid w:val="686E4D76"/>
    <w:rsid w:val="6871823C"/>
    <w:rsid w:val="687DB37E"/>
    <w:rsid w:val="687F953C"/>
    <w:rsid w:val="68820294"/>
    <w:rsid w:val="68827434"/>
    <w:rsid w:val="6882E07E"/>
    <w:rsid w:val="68878609"/>
    <w:rsid w:val="688C05DD"/>
    <w:rsid w:val="6896F52A"/>
    <w:rsid w:val="68970C21"/>
    <w:rsid w:val="689EA214"/>
    <w:rsid w:val="68A234EB"/>
    <w:rsid w:val="68AEFA35"/>
    <w:rsid w:val="68AF98D7"/>
    <w:rsid w:val="68B4E5B6"/>
    <w:rsid w:val="68BF72C7"/>
    <w:rsid w:val="68C71B1C"/>
    <w:rsid w:val="68C7FF3B"/>
    <w:rsid w:val="68D01941"/>
    <w:rsid w:val="68D44782"/>
    <w:rsid w:val="68D88C89"/>
    <w:rsid w:val="68D89896"/>
    <w:rsid w:val="68E1D9DD"/>
    <w:rsid w:val="68E301AA"/>
    <w:rsid w:val="68E4C51F"/>
    <w:rsid w:val="68E88A04"/>
    <w:rsid w:val="68EA3D84"/>
    <w:rsid w:val="68EC5FB9"/>
    <w:rsid w:val="68F6879B"/>
    <w:rsid w:val="68F8F4E8"/>
    <w:rsid w:val="69011454"/>
    <w:rsid w:val="6906CDCA"/>
    <w:rsid w:val="6907B6C0"/>
    <w:rsid w:val="690F31FA"/>
    <w:rsid w:val="6910EC2E"/>
    <w:rsid w:val="6913D468"/>
    <w:rsid w:val="6917851C"/>
    <w:rsid w:val="691D2D86"/>
    <w:rsid w:val="691E26C0"/>
    <w:rsid w:val="69206079"/>
    <w:rsid w:val="69243029"/>
    <w:rsid w:val="6924851E"/>
    <w:rsid w:val="692EF5BC"/>
    <w:rsid w:val="6933354A"/>
    <w:rsid w:val="693A0114"/>
    <w:rsid w:val="693B4595"/>
    <w:rsid w:val="693C464E"/>
    <w:rsid w:val="693D8CF4"/>
    <w:rsid w:val="69433A2B"/>
    <w:rsid w:val="6947710D"/>
    <w:rsid w:val="694D7FB6"/>
    <w:rsid w:val="695C497A"/>
    <w:rsid w:val="695E2034"/>
    <w:rsid w:val="6960D2C7"/>
    <w:rsid w:val="69675E3C"/>
    <w:rsid w:val="69681E2A"/>
    <w:rsid w:val="69816A4B"/>
    <w:rsid w:val="69824E35"/>
    <w:rsid w:val="6982B851"/>
    <w:rsid w:val="698342DF"/>
    <w:rsid w:val="699F16B3"/>
    <w:rsid w:val="69A0AC58"/>
    <w:rsid w:val="69AC957B"/>
    <w:rsid w:val="69ADC3EA"/>
    <w:rsid w:val="69B131AF"/>
    <w:rsid w:val="69B3A829"/>
    <w:rsid w:val="69B5DE19"/>
    <w:rsid w:val="69BFA4B5"/>
    <w:rsid w:val="69C3EB36"/>
    <w:rsid w:val="69C4943E"/>
    <w:rsid w:val="69CB4331"/>
    <w:rsid w:val="69D115AE"/>
    <w:rsid w:val="69E229C3"/>
    <w:rsid w:val="69EA3267"/>
    <w:rsid w:val="69F6A508"/>
    <w:rsid w:val="69F75115"/>
    <w:rsid w:val="69F7D6FA"/>
    <w:rsid w:val="69F8A44B"/>
    <w:rsid w:val="6A00F3A5"/>
    <w:rsid w:val="6A01B600"/>
    <w:rsid w:val="6A050977"/>
    <w:rsid w:val="6A0DC140"/>
    <w:rsid w:val="6A0DD88F"/>
    <w:rsid w:val="6A13CCDF"/>
    <w:rsid w:val="6A1C2EF0"/>
    <w:rsid w:val="6A206D3A"/>
    <w:rsid w:val="6A2B69D9"/>
    <w:rsid w:val="6A2C1FDA"/>
    <w:rsid w:val="6A2D1620"/>
    <w:rsid w:val="6A2EC000"/>
    <w:rsid w:val="6A301B5C"/>
    <w:rsid w:val="6A342D57"/>
    <w:rsid w:val="6A3F17F2"/>
    <w:rsid w:val="6A41B1BB"/>
    <w:rsid w:val="6A4241A8"/>
    <w:rsid w:val="6A454ABF"/>
    <w:rsid w:val="6A46B083"/>
    <w:rsid w:val="6A46DBA1"/>
    <w:rsid w:val="6A47BAE5"/>
    <w:rsid w:val="6A483AC9"/>
    <w:rsid w:val="6A4B508F"/>
    <w:rsid w:val="6A4D9992"/>
    <w:rsid w:val="6A4DD66E"/>
    <w:rsid w:val="6A4EC2B8"/>
    <w:rsid w:val="6A5B7A5A"/>
    <w:rsid w:val="6A5DE98B"/>
    <w:rsid w:val="6A5E13A9"/>
    <w:rsid w:val="6A5F6A5B"/>
    <w:rsid w:val="6A61B8CE"/>
    <w:rsid w:val="6A639AA2"/>
    <w:rsid w:val="6A676DA0"/>
    <w:rsid w:val="6A72DC7C"/>
    <w:rsid w:val="6A77167C"/>
    <w:rsid w:val="6A7E7836"/>
    <w:rsid w:val="6A811C32"/>
    <w:rsid w:val="6A886A83"/>
    <w:rsid w:val="6A8B287E"/>
    <w:rsid w:val="6A8EBABE"/>
    <w:rsid w:val="6A93714D"/>
    <w:rsid w:val="6A93C875"/>
    <w:rsid w:val="6A9A0CB4"/>
    <w:rsid w:val="6AA35852"/>
    <w:rsid w:val="6AADD206"/>
    <w:rsid w:val="6AAFACFA"/>
    <w:rsid w:val="6AAFEAA1"/>
    <w:rsid w:val="6ABB4AA3"/>
    <w:rsid w:val="6ABB96A8"/>
    <w:rsid w:val="6AC691CB"/>
    <w:rsid w:val="6AD46FF4"/>
    <w:rsid w:val="6AD4BE03"/>
    <w:rsid w:val="6AD51EA3"/>
    <w:rsid w:val="6AF641D9"/>
    <w:rsid w:val="6B0058F4"/>
    <w:rsid w:val="6B093D03"/>
    <w:rsid w:val="6B135FA9"/>
    <w:rsid w:val="6B1FB88E"/>
    <w:rsid w:val="6B21412E"/>
    <w:rsid w:val="6B2336B8"/>
    <w:rsid w:val="6B310BF0"/>
    <w:rsid w:val="6B426261"/>
    <w:rsid w:val="6B43AE4E"/>
    <w:rsid w:val="6B43BF31"/>
    <w:rsid w:val="6B445D3D"/>
    <w:rsid w:val="6B4A9387"/>
    <w:rsid w:val="6B4EAE61"/>
    <w:rsid w:val="6B572838"/>
    <w:rsid w:val="6B6D31E9"/>
    <w:rsid w:val="6B6F4B42"/>
    <w:rsid w:val="6B724D6B"/>
    <w:rsid w:val="6B7F0C26"/>
    <w:rsid w:val="6B7F8B71"/>
    <w:rsid w:val="6B8B2367"/>
    <w:rsid w:val="6B8B608B"/>
    <w:rsid w:val="6B8D777F"/>
    <w:rsid w:val="6B8EDB8F"/>
    <w:rsid w:val="6B925708"/>
    <w:rsid w:val="6BA20A35"/>
    <w:rsid w:val="6BAB347F"/>
    <w:rsid w:val="6BB88E48"/>
    <w:rsid w:val="6BBBB772"/>
    <w:rsid w:val="6BBC0ACB"/>
    <w:rsid w:val="6BBFCE69"/>
    <w:rsid w:val="6BC84D09"/>
    <w:rsid w:val="6BD54730"/>
    <w:rsid w:val="6BD9CB6A"/>
    <w:rsid w:val="6BE715E8"/>
    <w:rsid w:val="6BFA9EF9"/>
    <w:rsid w:val="6C009D43"/>
    <w:rsid w:val="6C06D1E9"/>
    <w:rsid w:val="6C08B0B6"/>
    <w:rsid w:val="6C11CAF4"/>
    <w:rsid w:val="6C142211"/>
    <w:rsid w:val="6C195EE7"/>
    <w:rsid w:val="6C1F96D9"/>
    <w:rsid w:val="6C1FB11B"/>
    <w:rsid w:val="6C2337C0"/>
    <w:rsid w:val="6C2D2CBB"/>
    <w:rsid w:val="6C2D76B3"/>
    <w:rsid w:val="6C2D9285"/>
    <w:rsid w:val="6C371564"/>
    <w:rsid w:val="6C38C518"/>
    <w:rsid w:val="6C3917CF"/>
    <w:rsid w:val="6C3E7F23"/>
    <w:rsid w:val="6C3EDFF7"/>
    <w:rsid w:val="6C422006"/>
    <w:rsid w:val="6C467C0E"/>
    <w:rsid w:val="6C4815B8"/>
    <w:rsid w:val="6C4869B5"/>
    <w:rsid w:val="6C491293"/>
    <w:rsid w:val="6C55452D"/>
    <w:rsid w:val="6C58355D"/>
    <w:rsid w:val="6C58A7C0"/>
    <w:rsid w:val="6C5B6248"/>
    <w:rsid w:val="6C61399A"/>
    <w:rsid w:val="6C65ED3B"/>
    <w:rsid w:val="6C6675F0"/>
    <w:rsid w:val="6C685491"/>
    <w:rsid w:val="6C6CB9DB"/>
    <w:rsid w:val="6C71D376"/>
    <w:rsid w:val="6C75055B"/>
    <w:rsid w:val="6C786BE6"/>
    <w:rsid w:val="6C86A7F7"/>
    <w:rsid w:val="6C898F6C"/>
    <w:rsid w:val="6C8D300B"/>
    <w:rsid w:val="6C9564F5"/>
    <w:rsid w:val="6C96895B"/>
    <w:rsid w:val="6CA53B79"/>
    <w:rsid w:val="6CA96143"/>
    <w:rsid w:val="6CAE0CED"/>
    <w:rsid w:val="6CB83C03"/>
    <w:rsid w:val="6CBE7BED"/>
    <w:rsid w:val="6CC519BB"/>
    <w:rsid w:val="6CC720EB"/>
    <w:rsid w:val="6CCA7071"/>
    <w:rsid w:val="6CCF3F4E"/>
    <w:rsid w:val="6CD7C687"/>
    <w:rsid w:val="6CD9D763"/>
    <w:rsid w:val="6CDA4DC2"/>
    <w:rsid w:val="6CDA5843"/>
    <w:rsid w:val="6CDEE2A9"/>
    <w:rsid w:val="6CE3F30F"/>
    <w:rsid w:val="6CE4BBC5"/>
    <w:rsid w:val="6CE4F33A"/>
    <w:rsid w:val="6CEA5A7F"/>
    <w:rsid w:val="6CEB587F"/>
    <w:rsid w:val="6CEBD855"/>
    <w:rsid w:val="6CEF1E39"/>
    <w:rsid w:val="6CF12A55"/>
    <w:rsid w:val="6CF27881"/>
    <w:rsid w:val="6CF7936E"/>
    <w:rsid w:val="6CFAB160"/>
    <w:rsid w:val="6D03C614"/>
    <w:rsid w:val="6D0965A7"/>
    <w:rsid w:val="6D0A6F21"/>
    <w:rsid w:val="6D0CA9F4"/>
    <w:rsid w:val="6D0E55BC"/>
    <w:rsid w:val="6D0E739C"/>
    <w:rsid w:val="6D0EC864"/>
    <w:rsid w:val="6D11042A"/>
    <w:rsid w:val="6D17580A"/>
    <w:rsid w:val="6D23F7F1"/>
    <w:rsid w:val="6D24839E"/>
    <w:rsid w:val="6D2820FC"/>
    <w:rsid w:val="6D418960"/>
    <w:rsid w:val="6D42B032"/>
    <w:rsid w:val="6D42C34E"/>
    <w:rsid w:val="6D471137"/>
    <w:rsid w:val="6D482E31"/>
    <w:rsid w:val="6D488F4A"/>
    <w:rsid w:val="6D4FBE0E"/>
    <w:rsid w:val="6D5EDCE4"/>
    <w:rsid w:val="6D5FF6E9"/>
    <w:rsid w:val="6D61335D"/>
    <w:rsid w:val="6D61CE83"/>
    <w:rsid w:val="6D62F0CF"/>
    <w:rsid w:val="6D6F40BF"/>
    <w:rsid w:val="6D761929"/>
    <w:rsid w:val="6D7B4134"/>
    <w:rsid w:val="6D7C5D1E"/>
    <w:rsid w:val="6D8DDF3C"/>
    <w:rsid w:val="6D92E5EC"/>
    <w:rsid w:val="6D93DDE9"/>
    <w:rsid w:val="6D968E70"/>
    <w:rsid w:val="6DAD518D"/>
    <w:rsid w:val="6DB8356A"/>
    <w:rsid w:val="6DBA7E70"/>
    <w:rsid w:val="6DD1F3D4"/>
    <w:rsid w:val="6DD7022B"/>
    <w:rsid w:val="6DD867DC"/>
    <w:rsid w:val="6DDB47C5"/>
    <w:rsid w:val="6DDC5B36"/>
    <w:rsid w:val="6DEEBBC5"/>
    <w:rsid w:val="6DF66E7E"/>
    <w:rsid w:val="6DFFF365"/>
    <w:rsid w:val="6E062753"/>
    <w:rsid w:val="6E0DA2D0"/>
    <w:rsid w:val="6E16773B"/>
    <w:rsid w:val="6E175345"/>
    <w:rsid w:val="6E183413"/>
    <w:rsid w:val="6E215787"/>
    <w:rsid w:val="6E2D842F"/>
    <w:rsid w:val="6E37F5A0"/>
    <w:rsid w:val="6E40FD88"/>
    <w:rsid w:val="6E44F49E"/>
    <w:rsid w:val="6E4600E2"/>
    <w:rsid w:val="6E4604B7"/>
    <w:rsid w:val="6E48FA3A"/>
    <w:rsid w:val="6E4BA91F"/>
    <w:rsid w:val="6E51AEF3"/>
    <w:rsid w:val="6E553426"/>
    <w:rsid w:val="6E561D56"/>
    <w:rsid w:val="6E57AFEE"/>
    <w:rsid w:val="6E60D512"/>
    <w:rsid w:val="6E61F599"/>
    <w:rsid w:val="6E682008"/>
    <w:rsid w:val="6E6923CF"/>
    <w:rsid w:val="6E6E03C6"/>
    <w:rsid w:val="6E77AF62"/>
    <w:rsid w:val="6E78690F"/>
    <w:rsid w:val="6E7B841B"/>
    <w:rsid w:val="6E7CF678"/>
    <w:rsid w:val="6E99BAC1"/>
    <w:rsid w:val="6E99F30C"/>
    <w:rsid w:val="6E9EE72C"/>
    <w:rsid w:val="6EA10D7A"/>
    <w:rsid w:val="6EADCF7E"/>
    <w:rsid w:val="6EAEDC7E"/>
    <w:rsid w:val="6EB21B43"/>
    <w:rsid w:val="6EB39D74"/>
    <w:rsid w:val="6EB6BBFA"/>
    <w:rsid w:val="6EB7831D"/>
    <w:rsid w:val="6EBDEA67"/>
    <w:rsid w:val="6EC50073"/>
    <w:rsid w:val="6ECF6589"/>
    <w:rsid w:val="6ED1EB78"/>
    <w:rsid w:val="6ED39314"/>
    <w:rsid w:val="6ED39FEC"/>
    <w:rsid w:val="6ED452D7"/>
    <w:rsid w:val="6EE08837"/>
    <w:rsid w:val="6EE7610D"/>
    <w:rsid w:val="6EE8744B"/>
    <w:rsid w:val="6EE930E6"/>
    <w:rsid w:val="6EEB266D"/>
    <w:rsid w:val="6EFAA081"/>
    <w:rsid w:val="6F00E560"/>
    <w:rsid w:val="6F02544C"/>
    <w:rsid w:val="6F03EA00"/>
    <w:rsid w:val="6F08EDC2"/>
    <w:rsid w:val="6F1534C3"/>
    <w:rsid w:val="6F156CC3"/>
    <w:rsid w:val="6F1997E6"/>
    <w:rsid w:val="6F20A198"/>
    <w:rsid w:val="6F20ACAB"/>
    <w:rsid w:val="6F210934"/>
    <w:rsid w:val="6F26F4BF"/>
    <w:rsid w:val="6F37BA6B"/>
    <w:rsid w:val="6F3F4FB3"/>
    <w:rsid w:val="6F400696"/>
    <w:rsid w:val="6F409C0F"/>
    <w:rsid w:val="6F4A0FA6"/>
    <w:rsid w:val="6F4B5EC3"/>
    <w:rsid w:val="6F4D4778"/>
    <w:rsid w:val="6F544ACE"/>
    <w:rsid w:val="6F5FB53A"/>
    <w:rsid w:val="6F5FE55C"/>
    <w:rsid w:val="6F63307B"/>
    <w:rsid w:val="6F65C348"/>
    <w:rsid w:val="6F703AC3"/>
    <w:rsid w:val="6F72DD6D"/>
    <w:rsid w:val="6F747B5A"/>
    <w:rsid w:val="6F7AFCE1"/>
    <w:rsid w:val="6F7FC557"/>
    <w:rsid w:val="6F829754"/>
    <w:rsid w:val="6F83001F"/>
    <w:rsid w:val="6F896779"/>
    <w:rsid w:val="6F8B3FC2"/>
    <w:rsid w:val="6F8F01B1"/>
    <w:rsid w:val="6F946160"/>
    <w:rsid w:val="6FA6931E"/>
    <w:rsid w:val="6FAA4BE0"/>
    <w:rsid w:val="6FAB9959"/>
    <w:rsid w:val="6FB2CD1F"/>
    <w:rsid w:val="6FB5C7C9"/>
    <w:rsid w:val="6FB88A19"/>
    <w:rsid w:val="6FC2E99A"/>
    <w:rsid w:val="6FC52DA8"/>
    <w:rsid w:val="6FC8DB69"/>
    <w:rsid w:val="6FCCC9A9"/>
    <w:rsid w:val="6FD8C42C"/>
    <w:rsid w:val="6FD8D400"/>
    <w:rsid w:val="6FE0BC7D"/>
    <w:rsid w:val="6FE0CE83"/>
    <w:rsid w:val="6FE978CE"/>
    <w:rsid w:val="6FF38282"/>
    <w:rsid w:val="6FF70641"/>
    <w:rsid w:val="70017AF1"/>
    <w:rsid w:val="7008434C"/>
    <w:rsid w:val="70097EAE"/>
    <w:rsid w:val="700B7251"/>
    <w:rsid w:val="700BD442"/>
    <w:rsid w:val="7016CE34"/>
    <w:rsid w:val="701CBC53"/>
    <w:rsid w:val="701F742D"/>
    <w:rsid w:val="7023336A"/>
    <w:rsid w:val="70241D19"/>
    <w:rsid w:val="7026923D"/>
    <w:rsid w:val="7030C913"/>
    <w:rsid w:val="703713D0"/>
    <w:rsid w:val="7047CFCE"/>
    <w:rsid w:val="70497534"/>
    <w:rsid w:val="704D9202"/>
    <w:rsid w:val="7056CC1B"/>
    <w:rsid w:val="7059DDA8"/>
    <w:rsid w:val="705DF943"/>
    <w:rsid w:val="705F32CE"/>
    <w:rsid w:val="70616CD8"/>
    <w:rsid w:val="70648EB8"/>
    <w:rsid w:val="706DAE9D"/>
    <w:rsid w:val="7082972F"/>
    <w:rsid w:val="70837C6F"/>
    <w:rsid w:val="70959011"/>
    <w:rsid w:val="7095E7DA"/>
    <w:rsid w:val="70967C00"/>
    <w:rsid w:val="709BE23A"/>
    <w:rsid w:val="709DB9F5"/>
    <w:rsid w:val="70A00E33"/>
    <w:rsid w:val="70A7349D"/>
    <w:rsid w:val="70A7D826"/>
    <w:rsid w:val="70ABB0DA"/>
    <w:rsid w:val="70CB96F9"/>
    <w:rsid w:val="70D0A951"/>
    <w:rsid w:val="70D1A272"/>
    <w:rsid w:val="70DDC7DB"/>
    <w:rsid w:val="70EF5453"/>
    <w:rsid w:val="70F66D11"/>
    <w:rsid w:val="70FC615E"/>
    <w:rsid w:val="70FE380B"/>
    <w:rsid w:val="70FFF392"/>
    <w:rsid w:val="71089423"/>
    <w:rsid w:val="710BC301"/>
    <w:rsid w:val="711F3A72"/>
    <w:rsid w:val="71240A92"/>
    <w:rsid w:val="7125E5DD"/>
    <w:rsid w:val="712A3312"/>
    <w:rsid w:val="713D8BA2"/>
    <w:rsid w:val="714B21B4"/>
    <w:rsid w:val="714D5A7E"/>
    <w:rsid w:val="714F2891"/>
    <w:rsid w:val="714F661C"/>
    <w:rsid w:val="7155736C"/>
    <w:rsid w:val="7159A45D"/>
    <w:rsid w:val="71671520"/>
    <w:rsid w:val="7167A86D"/>
    <w:rsid w:val="716AFCAA"/>
    <w:rsid w:val="716D9F34"/>
    <w:rsid w:val="716E7C22"/>
    <w:rsid w:val="71710578"/>
    <w:rsid w:val="71742EED"/>
    <w:rsid w:val="7185C328"/>
    <w:rsid w:val="7186EBE1"/>
    <w:rsid w:val="7194703F"/>
    <w:rsid w:val="7194D73B"/>
    <w:rsid w:val="7194EC84"/>
    <w:rsid w:val="719B2684"/>
    <w:rsid w:val="719D2826"/>
    <w:rsid w:val="71A57951"/>
    <w:rsid w:val="71ABE9A8"/>
    <w:rsid w:val="71B6A261"/>
    <w:rsid w:val="71BC5997"/>
    <w:rsid w:val="71C165CE"/>
    <w:rsid w:val="71C9CE68"/>
    <w:rsid w:val="71CA8C78"/>
    <w:rsid w:val="71CE6D02"/>
    <w:rsid w:val="71CF72A2"/>
    <w:rsid w:val="71D810C4"/>
    <w:rsid w:val="71D983CA"/>
    <w:rsid w:val="71DCE994"/>
    <w:rsid w:val="71DF0EDF"/>
    <w:rsid w:val="71E1D448"/>
    <w:rsid w:val="71E24E1B"/>
    <w:rsid w:val="71E37893"/>
    <w:rsid w:val="71E5043E"/>
    <w:rsid w:val="71EB4E90"/>
    <w:rsid w:val="71EDE75D"/>
    <w:rsid w:val="71EF158B"/>
    <w:rsid w:val="71F20201"/>
    <w:rsid w:val="71FE5C3D"/>
    <w:rsid w:val="720ADC0A"/>
    <w:rsid w:val="720ADEA8"/>
    <w:rsid w:val="7211B27B"/>
    <w:rsid w:val="721421B5"/>
    <w:rsid w:val="72172AAC"/>
    <w:rsid w:val="721AA7D8"/>
    <w:rsid w:val="721DCE56"/>
    <w:rsid w:val="721EA650"/>
    <w:rsid w:val="7222CEC3"/>
    <w:rsid w:val="72249243"/>
    <w:rsid w:val="723E64E2"/>
    <w:rsid w:val="7242E8EA"/>
    <w:rsid w:val="724F288A"/>
    <w:rsid w:val="7250D71E"/>
    <w:rsid w:val="7252A7F3"/>
    <w:rsid w:val="725DD657"/>
    <w:rsid w:val="726495CF"/>
    <w:rsid w:val="72672FDD"/>
    <w:rsid w:val="726F436F"/>
    <w:rsid w:val="72775FF8"/>
    <w:rsid w:val="72798371"/>
    <w:rsid w:val="72821098"/>
    <w:rsid w:val="72867DF2"/>
    <w:rsid w:val="7287E143"/>
    <w:rsid w:val="7292524F"/>
    <w:rsid w:val="72A5AA3D"/>
    <w:rsid w:val="72A6B729"/>
    <w:rsid w:val="72A723B5"/>
    <w:rsid w:val="72A7533B"/>
    <w:rsid w:val="72A8FAF9"/>
    <w:rsid w:val="72B3D5B3"/>
    <w:rsid w:val="72BA9540"/>
    <w:rsid w:val="72C517E3"/>
    <w:rsid w:val="72CAEF91"/>
    <w:rsid w:val="72D2A293"/>
    <w:rsid w:val="72DC17FE"/>
    <w:rsid w:val="72DEA7F3"/>
    <w:rsid w:val="72E0B895"/>
    <w:rsid w:val="72E33FFF"/>
    <w:rsid w:val="72E54D24"/>
    <w:rsid w:val="72E5D673"/>
    <w:rsid w:val="72EFA525"/>
    <w:rsid w:val="72F32432"/>
    <w:rsid w:val="72F39C77"/>
    <w:rsid w:val="72F5CA95"/>
    <w:rsid w:val="73027333"/>
    <w:rsid w:val="7304B48A"/>
    <w:rsid w:val="730FACA0"/>
    <w:rsid w:val="73159321"/>
    <w:rsid w:val="731B0F1D"/>
    <w:rsid w:val="731DF63F"/>
    <w:rsid w:val="731FFE0B"/>
    <w:rsid w:val="732055DF"/>
    <w:rsid w:val="7321A951"/>
    <w:rsid w:val="7325E9A8"/>
    <w:rsid w:val="733183DF"/>
    <w:rsid w:val="7332255A"/>
    <w:rsid w:val="733943A1"/>
    <w:rsid w:val="733FEAB8"/>
    <w:rsid w:val="73450487"/>
    <w:rsid w:val="734B0E0F"/>
    <w:rsid w:val="73556638"/>
    <w:rsid w:val="7358F93F"/>
    <w:rsid w:val="7360CA13"/>
    <w:rsid w:val="736384F7"/>
    <w:rsid w:val="73732D19"/>
    <w:rsid w:val="7375E2D2"/>
    <w:rsid w:val="737DEE81"/>
    <w:rsid w:val="7384772E"/>
    <w:rsid w:val="73896CA1"/>
    <w:rsid w:val="738A7AF0"/>
    <w:rsid w:val="73919443"/>
    <w:rsid w:val="73945DD1"/>
    <w:rsid w:val="73953D45"/>
    <w:rsid w:val="7396C3CD"/>
    <w:rsid w:val="7398F90D"/>
    <w:rsid w:val="73997393"/>
    <w:rsid w:val="73A20722"/>
    <w:rsid w:val="73A4DBF6"/>
    <w:rsid w:val="73B0284F"/>
    <w:rsid w:val="73B3449A"/>
    <w:rsid w:val="73B7EAA6"/>
    <w:rsid w:val="73B80691"/>
    <w:rsid w:val="73BA45DA"/>
    <w:rsid w:val="73C6782A"/>
    <w:rsid w:val="73CF685A"/>
    <w:rsid w:val="73D1A81A"/>
    <w:rsid w:val="73D24B39"/>
    <w:rsid w:val="73D2A474"/>
    <w:rsid w:val="73D68A70"/>
    <w:rsid w:val="73E2D408"/>
    <w:rsid w:val="73E90704"/>
    <w:rsid w:val="73E9288B"/>
    <w:rsid w:val="73F406CE"/>
    <w:rsid w:val="73F63FEE"/>
    <w:rsid w:val="740D723C"/>
    <w:rsid w:val="741196DB"/>
    <w:rsid w:val="74185EC9"/>
    <w:rsid w:val="741C331A"/>
    <w:rsid w:val="7424B302"/>
    <w:rsid w:val="7427C9CB"/>
    <w:rsid w:val="74300CCE"/>
    <w:rsid w:val="7433AAF7"/>
    <w:rsid w:val="7445D47F"/>
    <w:rsid w:val="7446FF45"/>
    <w:rsid w:val="744D9912"/>
    <w:rsid w:val="744E5DB1"/>
    <w:rsid w:val="74510C06"/>
    <w:rsid w:val="745254CA"/>
    <w:rsid w:val="7460F6D1"/>
    <w:rsid w:val="74700D54"/>
    <w:rsid w:val="747DD98C"/>
    <w:rsid w:val="7481DAAB"/>
    <w:rsid w:val="7482C329"/>
    <w:rsid w:val="74869923"/>
    <w:rsid w:val="74875777"/>
    <w:rsid w:val="7488020F"/>
    <w:rsid w:val="74902E99"/>
    <w:rsid w:val="74906884"/>
    <w:rsid w:val="7493D879"/>
    <w:rsid w:val="7494887E"/>
    <w:rsid w:val="749A2474"/>
    <w:rsid w:val="74A1DB11"/>
    <w:rsid w:val="74A86238"/>
    <w:rsid w:val="74A8A9DA"/>
    <w:rsid w:val="74A9CC0D"/>
    <w:rsid w:val="74AB7C80"/>
    <w:rsid w:val="74B1E6F5"/>
    <w:rsid w:val="74B31BB7"/>
    <w:rsid w:val="74B6B652"/>
    <w:rsid w:val="74BD4170"/>
    <w:rsid w:val="74C1A501"/>
    <w:rsid w:val="74C7ED82"/>
    <w:rsid w:val="74C98CCE"/>
    <w:rsid w:val="74D0EE3D"/>
    <w:rsid w:val="74D1A6C6"/>
    <w:rsid w:val="74D77B12"/>
    <w:rsid w:val="74DBAF69"/>
    <w:rsid w:val="74E1B476"/>
    <w:rsid w:val="74EA524B"/>
    <w:rsid w:val="74EAA554"/>
    <w:rsid w:val="74EB8A36"/>
    <w:rsid w:val="74F607C9"/>
    <w:rsid w:val="74F91FE0"/>
    <w:rsid w:val="74FC701F"/>
    <w:rsid w:val="74FCB2A2"/>
    <w:rsid w:val="75082FD5"/>
    <w:rsid w:val="750A0FBB"/>
    <w:rsid w:val="750BBEE5"/>
    <w:rsid w:val="750E658B"/>
    <w:rsid w:val="7510A2E3"/>
    <w:rsid w:val="7510C288"/>
    <w:rsid w:val="75199459"/>
    <w:rsid w:val="75211017"/>
    <w:rsid w:val="75263864"/>
    <w:rsid w:val="7530BBA4"/>
    <w:rsid w:val="753216D6"/>
    <w:rsid w:val="753384A5"/>
    <w:rsid w:val="753D59F0"/>
    <w:rsid w:val="7545523B"/>
    <w:rsid w:val="754937F4"/>
    <w:rsid w:val="754A6BE2"/>
    <w:rsid w:val="754BE1F8"/>
    <w:rsid w:val="754C6DA4"/>
    <w:rsid w:val="754CFB41"/>
    <w:rsid w:val="754DF011"/>
    <w:rsid w:val="7556594E"/>
    <w:rsid w:val="7559CB38"/>
    <w:rsid w:val="75614DBF"/>
    <w:rsid w:val="7565433F"/>
    <w:rsid w:val="75681865"/>
    <w:rsid w:val="756A519D"/>
    <w:rsid w:val="7576ABCD"/>
    <w:rsid w:val="757A18F0"/>
    <w:rsid w:val="757EA868"/>
    <w:rsid w:val="757F9818"/>
    <w:rsid w:val="7580335D"/>
    <w:rsid w:val="7581B73D"/>
    <w:rsid w:val="75869B2D"/>
    <w:rsid w:val="75892C70"/>
    <w:rsid w:val="758A4F07"/>
    <w:rsid w:val="758A9837"/>
    <w:rsid w:val="758B7586"/>
    <w:rsid w:val="758F4B66"/>
    <w:rsid w:val="7592A8DB"/>
    <w:rsid w:val="75953348"/>
    <w:rsid w:val="75A57A7A"/>
    <w:rsid w:val="75A65D87"/>
    <w:rsid w:val="75B1942A"/>
    <w:rsid w:val="75B3D95C"/>
    <w:rsid w:val="75BCE945"/>
    <w:rsid w:val="75CAF5B0"/>
    <w:rsid w:val="75CD444D"/>
    <w:rsid w:val="75D87999"/>
    <w:rsid w:val="75D941F7"/>
    <w:rsid w:val="75DBADDA"/>
    <w:rsid w:val="75DBFA61"/>
    <w:rsid w:val="75DC6B8E"/>
    <w:rsid w:val="75E3FE98"/>
    <w:rsid w:val="75EA98F8"/>
    <w:rsid w:val="75EB7D07"/>
    <w:rsid w:val="75EC2584"/>
    <w:rsid w:val="75ED305C"/>
    <w:rsid w:val="75F4E498"/>
    <w:rsid w:val="75F787CF"/>
    <w:rsid w:val="75FA00DF"/>
    <w:rsid w:val="76008C07"/>
    <w:rsid w:val="76028320"/>
    <w:rsid w:val="76039905"/>
    <w:rsid w:val="7606F56F"/>
    <w:rsid w:val="760B2BBB"/>
    <w:rsid w:val="7612DB59"/>
    <w:rsid w:val="761A837A"/>
    <w:rsid w:val="76230941"/>
    <w:rsid w:val="762B708D"/>
    <w:rsid w:val="762D6478"/>
    <w:rsid w:val="7630C037"/>
    <w:rsid w:val="76352DD7"/>
    <w:rsid w:val="763E32A6"/>
    <w:rsid w:val="7641B88D"/>
    <w:rsid w:val="76471ADC"/>
    <w:rsid w:val="7649294E"/>
    <w:rsid w:val="764A678C"/>
    <w:rsid w:val="764C8533"/>
    <w:rsid w:val="765E9D9E"/>
    <w:rsid w:val="765EC403"/>
    <w:rsid w:val="76607078"/>
    <w:rsid w:val="7662E4D4"/>
    <w:rsid w:val="7669AB60"/>
    <w:rsid w:val="7669D004"/>
    <w:rsid w:val="766B384F"/>
    <w:rsid w:val="766F6E6E"/>
    <w:rsid w:val="7673AF45"/>
    <w:rsid w:val="76753D50"/>
    <w:rsid w:val="76761BE1"/>
    <w:rsid w:val="76794E38"/>
    <w:rsid w:val="767F0B57"/>
    <w:rsid w:val="76889179"/>
    <w:rsid w:val="768A36BB"/>
    <w:rsid w:val="769283EA"/>
    <w:rsid w:val="769452C4"/>
    <w:rsid w:val="769D971F"/>
    <w:rsid w:val="76A2E5DF"/>
    <w:rsid w:val="76A92748"/>
    <w:rsid w:val="76AA0C70"/>
    <w:rsid w:val="76AA9840"/>
    <w:rsid w:val="76B28329"/>
    <w:rsid w:val="76B442EF"/>
    <w:rsid w:val="76B6BD8F"/>
    <w:rsid w:val="76B9BD6E"/>
    <w:rsid w:val="76BCF89D"/>
    <w:rsid w:val="76BD1F81"/>
    <w:rsid w:val="76C31EA2"/>
    <w:rsid w:val="76C3EA95"/>
    <w:rsid w:val="76C5724B"/>
    <w:rsid w:val="76CA790F"/>
    <w:rsid w:val="76CBAA97"/>
    <w:rsid w:val="76CCC356"/>
    <w:rsid w:val="76D1AD92"/>
    <w:rsid w:val="76D20AA8"/>
    <w:rsid w:val="76D33E16"/>
    <w:rsid w:val="76D58E7C"/>
    <w:rsid w:val="76E2264B"/>
    <w:rsid w:val="76E68A86"/>
    <w:rsid w:val="76E93C43"/>
    <w:rsid w:val="76E9D3D0"/>
    <w:rsid w:val="76ECBE90"/>
    <w:rsid w:val="76F2ECB6"/>
    <w:rsid w:val="76F3736D"/>
    <w:rsid w:val="76FA86C1"/>
    <w:rsid w:val="76FC19DF"/>
    <w:rsid w:val="76FC7945"/>
    <w:rsid w:val="76FDED95"/>
    <w:rsid w:val="77080B0D"/>
    <w:rsid w:val="770D67B1"/>
    <w:rsid w:val="770E39B2"/>
    <w:rsid w:val="771C86F8"/>
    <w:rsid w:val="772699EE"/>
    <w:rsid w:val="773550EC"/>
    <w:rsid w:val="773CBBEF"/>
    <w:rsid w:val="7740674E"/>
    <w:rsid w:val="77473536"/>
    <w:rsid w:val="7748BD4D"/>
    <w:rsid w:val="774BE0B7"/>
    <w:rsid w:val="7750DD3D"/>
    <w:rsid w:val="77532027"/>
    <w:rsid w:val="77543B74"/>
    <w:rsid w:val="7762BB35"/>
    <w:rsid w:val="7769D85F"/>
    <w:rsid w:val="776EEB95"/>
    <w:rsid w:val="776F38F0"/>
    <w:rsid w:val="776F8B51"/>
    <w:rsid w:val="77704712"/>
    <w:rsid w:val="7774E29E"/>
    <w:rsid w:val="77764052"/>
    <w:rsid w:val="77769BE7"/>
    <w:rsid w:val="77817D37"/>
    <w:rsid w:val="7788CF18"/>
    <w:rsid w:val="7795AE58"/>
    <w:rsid w:val="7796F41D"/>
    <w:rsid w:val="77991CE0"/>
    <w:rsid w:val="77A511CA"/>
    <w:rsid w:val="77B881AE"/>
    <w:rsid w:val="77C7199B"/>
    <w:rsid w:val="77C918AE"/>
    <w:rsid w:val="77CC95B0"/>
    <w:rsid w:val="77D11AAB"/>
    <w:rsid w:val="77DD338A"/>
    <w:rsid w:val="77E091AC"/>
    <w:rsid w:val="77E4384C"/>
    <w:rsid w:val="77E582CA"/>
    <w:rsid w:val="77E9ADF7"/>
    <w:rsid w:val="77EE024E"/>
    <w:rsid w:val="77EF97A9"/>
    <w:rsid w:val="77F32869"/>
    <w:rsid w:val="77F39464"/>
    <w:rsid w:val="77F3C535"/>
    <w:rsid w:val="77F4BD94"/>
    <w:rsid w:val="77F5FF23"/>
    <w:rsid w:val="77FD2B82"/>
    <w:rsid w:val="7801C27D"/>
    <w:rsid w:val="780487D7"/>
    <w:rsid w:val="780774C0"/>
    <w:rsid w:val="78086AC2"/>
    <w:rsid w:val="780A65F8"/>
    <w:rsid w:val="780F1D70"/>
    <w:rsid w:val="781114B0"/>
    <w:rsid w:val="7812CBF3"/>
    <w:rsid w:val="7818A2F4"/>
    <w:rsid w:val="781F27C8"/>
    <w:rsid w:val="7828A0B2"/>
    <w:rsid w:val="782A9CFE"/>
    <w:rsid w:val="782E529E"/>
    <w:rsid w:val="783A8FBA"/>
    <w:rsid w:val="783E7A29"/>
    <w:rsid w:val="78430999"/>
    <w:rsid w:val="7854C5C8"/>
    <w:rsid w:val="7857837C"/>
    <w:rsid w:val="786360E2"/>
    <w:rsid w:val="7868431A"/>
    <w:rsid w:val="786DD9A9"/>
    <w:rsid w:val="786DDB7D"/>
    <w:rsid w:val="787085AD"/>
    <w:rsid w:val="7871D51F"/>
    <w:rsid w:val="78721F86"/>
    <w:rsid w:val="787390BC"/>
    <w:rsid w:val="787F2947"/>
    <w:rsid w:val="78832960"/>
    <w:rsid w:val="788B960A"/>
    <w:rsid w:val="788ED14C"/>
    <w:rsid w:val="7892021E"/>
    <w:rsid w:val="78985E63"/>
    <w:rsid w:val="78995AEC"/>
    <w:rsid w:val="78A021EF"/>
    <w:rsid w:val="78AA34B0"/>
    <w:rsid w:val="78B86918"/>
    <w:rsid w:val="78C37508"/>
    <w:rsid w:val="78C8A04B"/>
    <w:rsid w:val="78CBE72B"/>
    <w:rsid w:val="78D024F0"/>
    <w:rsid w:val="78D17F1E"/>
    <w:rsid w:val="78D3C091"/>
    <w:rsid w:val="78D6A07A"/>
    <w:rsid w:val="78DEFDD3"/>
    <w:rsid w:val="78DFED0A"/>
    <w:rsid w:val="78E27B61"/>
    <w:rsid w:val="78E96BA9"/>
    <w:rsid w:val="78E9B220"/>
    <w:rsid w:val="78F468C1"/>
    <w:rsid w:val="78FDE918"/>
    <w:rsid w:val="78FE8012"/>
    <w:rsid w:val="7903865C"/>
    <w:rsid w:val="7905EBA5"/>
    <w:rsid w:val="791A31E8"/>
    <w:rsid w:val="791B19C0"/>
    <w:rsid w:val="7922D7CD"/>
    <w:rsid w:val="792531B5"/>
    <w:rsid w:val="7927C939"/>
    <w:rsid w:val="7929A0E5"/>
    <w:rsid w:val="79328DB5"/>
    <w:rsid w:val="7933C702"/>
    <w:rsid w:val="7939D2EA"/>
    <w:rsid w:val="7943538E"/>
    <w:rsid w:val="7945FCAA"/>
    <w:rsid w:val="7947135C"/>
    <w:rsid w:val="79478C65"/>
    <w:rsid w:val="7950557B"/>
    <w:rsid w:val="7951DDD9"/>
    <w:rsid w:val="79538C22"/>
    <w:rsid w:val="79545E15"/>
    <w:rsid w:val="7955080E"/>
    <w:rsid w:val="79575A47"/>
    <w:rsid w:val="795D094C"/>
    <w:rsid w:val="7964B9DA"/>
    <w:rsid w:val="79654EC0"/>
    <w:rsid w:val="79697FF9"/>
    <w:rsid w:val="7970D5DC"/>
    <w:rsid w:val="79713E56"/>
    <w:rsid w:val="797177F1"/>
    <w:rsid w:val="79774912"/>
    <w:rsid w:val="7979E06A"/>
    <w:rsid w:val="797A6D66"/>
    <w:rsid w:val="797CE16D"/>
    <w:rsid w:val="798109F3"/>
    <w:rsid w:val="79818EAD"/>
    <w:rsid w:val="79862163"/>
    <w:rsid w:val="7988A9CD"/>
    <w:rsid w:val="798AE772"/>
    <w:rsid w:val="7990928F"/>
    <w:rsid w:val="799D8EEA"/>
    <w:rsid w:val="799E43EF"/>
    <w:rsid w:val="799F08BD"/>
    <w:rsid w:val="79A63370"/>
    <w:rsid w:val="79AD587E"/>
    <w:rsid w:val="79AE62FA"/>
    <w:rsid w:val="79B2B87F"/>
    <w:rsid w:val="79BAAB73"/>
    <w:rsid w:val="79BED870"/>
    <w:rsid w:val="79D38A8D"/>
    <w:rsid w:val="79D3A040"/>
    <w:rsid w:val="79DA04DD"/>
    <w:rsid w:val="79DADF04"/>
    <w:rsid w:val="79DCB3F6"/>
    <w:rsid w:val="79E22C94"/>
    <w:rsid w:val="79E86F9C"/>
    <w:rsid w:val="79F0EBCC"/>
    <w:rsid w:val="79F13521"/>
    <w:rsid w:val="79F15347"/>
    <w:rsid w:val="7A078D11"/>
    <w:rsid w:val="7A1279F9"/>
    <w:rsid w:val="7A21B061"/>
    <w:rsid w:val="7A237602"/>
    <w:rsid w:val="7A27EA30"/>
    <w:rsid w:val="7A2B5B7C"/>
    <w:rsid w:val="7A2B9AAA"/>
    <w:rsid w:val="7A423896"/>
    <w:rsid w:val="7A44E0CC"/>
    <w:rsid w:val="7A451511"/>
    <w:rsid w:val="7A49E18C"/>
    <w:rsid w:val="7A4A333C"/>
    <w:rsid w:val="7A51C39F"/>
    <w:rsid w:val="7A5FA186"/>
    <w:rsid w:val="7A5FE0B9"/>
    <w:rsid w:val="7A622130"/>
    <w:rsid w:val="7A630B06"/>
    <w:rsid w:val="7A6F3D14"/>
    <w:rsid w:val="7A7EC309"/>
    <w:rsid w:val="7A7FE84A"/>
    <w:rsid w:val="7A861593"/>
    <w:rsid w:val="7A8746A7"/>
    <w:rsid w:val="7A8CAB5D"/>
    <w:rsid w:val="7A8EC7D5"/>
    <w:rsid w:val="7A8FDBA8"/>
    <w:rsid w:val="7A918132"/>
    <w:rsid w:val="7A91A3FB"/>
    <w:rsid w:val="7A9843D6"/>
    <w:rsid w:val="7AA1844B"/>
    <w:rsid w:val="7AA391BC"/>
    <w:rsid w:val="7AA8FB15"/>
    <w:rsid w:val="7AAD6CCE"/>
    <w:rsid w:val="7AB39A08"/>
    <w:rsid w:val="7AB43BD8"/>
    <w:rsid w:val="7AB47AEA"/>
    <w:rsid w:val="7AB73524"/>
    <w:rsid w:val="7ACB4AA0"/>
    <w:rsid w:val="7ACFD2D6"/>
    <w:rsid w:val="7AD7FAA2"/>
    <w:rsid w:val="7AD8DBEF"/>
    <w:rsid w:val="7AD98549"/>
    <w:rsid w:val="7ADA16C2"/>
    <w:rsid w:val="7ADA6BBB"/>
    <w:rsid w:val="7ADE50BD"/>
    <w:rsid w:val="7ADE8BE1"/>
    <w:rsid w:val="7AE7207E"/>
    <w:rsid w:val="7AE9842E"/>
    <w:rsid w:val="7AE9C97E"/>
    <w:rsid w:val="7AECC94C"/>
    <w:rsid w:val="7AEEB0B0"/>
    <w:rsid w:val="7AF2B309"/>
    <w:rsid w:val="7AF426A5"/>
    <w:rsid w:val="7AF9D824"/>
    <w:rsid w:val="7AFD9726"/>
    <w:rsid w:val="7B003E04"/>
    <w:rsid w:val="7B018AE6"/>
    <w:rsid w:val="7B06D1B8"/>
    <w:rsid w:val="7B12133B"/>
    <w:rsid w:val="7B16AEFD"/>
    <w:rsid w:val="7B296F8F"/>
    <w:rsid w:val="7B34E50B"/>
    <w:rsid w:val="7B35241F"/>
    <w:rsid w:val="7B35CFFF"/>
    <w:rsid w:val="7B3817F0"/>
    <w:rsid w:val="7B385EBD"/>
    <w:rsid w:val="7B3B8722"/>
    <w:rsid w:val="7B432271"/>
    <w:rsid w:val="7B45D5C9"/>
    <w:rsid w:val="7B4DFC90"/>
    <w:rsid w:val="7B4E74A9"/>
    <w:rsid w:val="7B4F2C19"/>
    <w:rsid w:val="7B50D710"/>
    <w:rsid w:val="7B5290E5"/>
    <w:rsid w:val="7B547B66"/>
    <w:rsid w:val="7B5A3ED3"/>
    <w:rsid w:val="7B5BA521"/>
    <w:rsid w:val="7B5F4353"/>
    <w:rsid w:val="7B60212F"/>
    <w:rsid w:val="7B64B29D"/>
    <w:rsid w:val="7B64E7D3"/>
    <w:rsid w:val="7B64E82E"/>
    <w:rsid w:val="7B65B4D8"/>
    <w:rsid w:val="7B6B070F"/>
    <w:rsid w:val="7B6BFE65"/>
    <w:rsid w:val="7B71250C"/>
    <w:rsid w:val="7B766195"/>
    <w:rsid w:val="7B783910"/>
    <w:rsid w:val="7B7C2DEA"/>
    <w:rsid w:val="7B8D4340"/>
    <w:rsid w:val="7B914246"/>
    <w:rsid w:val="7B933F62"/>
    <w:rsid w:val="7B938BEC"/>
    <w:rsid w:val="7B94AC34"/>
    <w:rsid w:val="7BA9CE86"/>
    <w:rsid w:val="7BAA1240"/>
    <w:rsid w:val="7BB5DAC3"/>
    <w:rsid w:val="7BB89C01"/>
    <w:rsid w:val="7BBD581D"/>
    <w:rsid w:val="7BBF9011"/>
    <w:rsid w:val="7BC272E8"/>
    <w:rsid w:val="7BC402D1"/>
    <w:rsid w:val="7BC88904"/>
    <w:rsid w:val="7BCCC4CA"/>
    <w:rsid w:val="7BCF8C44"/>
    <w:rsid w:val="7BD4644F"/>
    <w:rsid w:val="7BD58355"/>
    <w:rsid w:val="7BE76654"/>
    <w:rsid w:val="7BE78BD2"/>
    <w:rsid w:val="7BE7DF59"/>
    <w:rsid w:val="7BE8182D"/>
    <w:rsid w:val="7BE83F62"/>
    <w:rsid w:val="7BF6F948"/>
    <w:rsid w:val="7BFCE226"/>
    <w:rsid w:val="7BFEA981"/>
    <w:rsid w:val="7C00C9E5"/>
    <w:rsid w:val="7C01C085"/>
    <w:rsid w:val="7C0D0445"/>
    <w:rsid w:val="7C131C5C"/>
    <w:rsid w:val="7C1B2312"/>
    <w:rsid w:val="7C1FEF5C"/>
    <w:rsid w:val="7C20C105"/>
    <w:rsid w:val="7C254003"/>
    <w:rsid w:val="7C2AC9E7"/>
    <w:rsid w:val="7C2D22A1"/>
    <w:rsid w:val="7C374086"/>
    <w:rsid w:val="7C39DBDB"/>
    <w:rsid w:val="7C491BE7"/>
    <w:rsid w:val="7C4C2A0E"/>
    <w:rsid w:val="7C4C4DD3"/>
    <w:rsid w:val="7C4C7604"/>
    <w:rsid w:val="7C5362C1"/>
    <w:rsid w:val="7C5434A3"/>
    <w:rsid w:val="7C5AA887"/>
    <w:rsid w:val="7C5FA304"/>
    <w:rsid w:val="7C662DE6"/>
    <w:rsid w:val="7C6794FA"/>
    <w:rsid w:val="7C6D8B5F"/>
    <w:rsid w:val="7C6E3C99"/>
    <w:rsid w:val="7C7806B6"/>
    <w:rsid w:val="7C7C2149"/>
    <w:rsid w:val="7C8335CE"/>
    <w:rsid w:val="7C84DBEA"/>
    <w:rsid w:val="7C884233"/>
    <w:rsid w:val="7C89477D"/>
    <w:rsid w:val="7C950D91"/>
    <w:rsid w:val="7C9F06BF"/>
    <w:rsid w:val="7C9FA0E0"/>
    <w:rsid w:val="7CA2BCF2"/>
    <w:rsid w:val="7CA54FDA"/>
    <w:rsid w:val="7CA5E52E"/>
    <w:rsid w:val="7CA90ACD"/>
    <w:rsid w:val="7CB47810"/>
    <w:rsid w:val="7CB79D40"/>
    <w:rsid w:val="7CBC2EB2"/>
    <w:rsid w:val="7CBDD9F5"/>
    <w:rsid w:val="7CC674AE"/>
    <w:rsid w:val="7CC6F502"/>
    <w:rsid w:val="7CC923A2"/>
    <w:rsid w:val="7CC955D3"/>
    <w:rsid w:val="7CD5DA1C"/>
    <w:rsid w:val="7CD91A80"/>
    <w:rsid w:val="7CDA1713"/>
    <w:rsid w:val="7CDEACC0"/>
    <w:rsid w:val="7CE008DB"/>
    <w:rsid w:val="7CEA7A4E"/>
    <w:rsid w:val="7CEF0128"/>
    <w:rsid w:val="7CF4B4FB"/>
    <w:rsid w:val="7CFE2364"/>
    <w:rsid w:val="7CFF031A"/>
    <w:rsid w:val="7D06CD94"/>
    <w:rsid w:val="7D07E2CA"/>
    <w:rsid w:val="7D0C2F04"/>
    <w:rsid w:val="7D0F095D"/>
    <w:rsid w:val="7D189055"/>
    <w:rsid w:val="7D1D1007"/>
    <w:rsid w:val="7D1D5753"/>
    <w:rsid w:val="7D269DF4"/>
    <w:rsid w:val="7D2E53CB"/>
    <w:rsid w:val="7D325D48"/>
    <w:rsid w:val="7D36DCDF"/>
    <w:rsid w:val="7D372AA7"/>
    <w:rsid w:val="7D39A099"/>
    <w:rsid w:val="7D3A3E86"/>
    <w:rsid w:val="7D3B49E8"/>
    <w:rsid w:val="7D3F091C"/>
    <w:rsid w:val="7D4D8EF6"/>
    <w:rsid w:val="7D53C3D9"/>
    <w:rsid w:val="7D569BCE"/>
    <w:rsid w:val="7D648AE4"/>
    <w:rsid w:val="7D6499CF"/>
    <w:rsid w:val="7D661F66"/>
    <w:rsid w:val="7D6991BB"/>
    <w:rsid w:val="7D6BA13F"/>
    <w:rsid w:val="7D82A858"/>
    <w:rsid w:val="7D8AEB21"/>
    <w:rsid w:val="7D8F898A"/>
    <w:rsid w:val="7D9277FA"/>
    <w:rsid w:val="7D9DA700"/>
    <w:rsid w:val="7DA0C128"/>
    <w:rsid w:val="7DA0DD2D"/>
    <w:rsid w:val="7DA3123B"/>
    <w:rsid w:val="7DA538F3"/>
    <w:rsid w:val="7DC340C3"/>
    <w:rsid w:val="7DC70A36"/>
    <w:rsid w:val="7DCF945B"/>
    <w:rsid w:val="7DD59959"/>
    <w:rsid w:val="7DD5DC8A"/>
    <w:rsid w:val="7DD827A5"/>
    <w:rsid w:val="7DD8E799"/>
    <w:rsid w:val="7DDF45E5"/>
    <w:rsid w:val="7DE16CFA"/>
    <w:rsid w:val="7DEA5E01"/>
    <w:rsid w:val="7DED81B6"/>
    <w:rsid w:val="7DFF151D"/>
    <w:rsid w:val="7E110C34"/>
    <w:rsid w:val="7E1B85A8"/>
    <w:rsid w:val="7E1BD3AE"/>
    <w:rsid w:val="7E1D821A"/>
    <w:rsid w:val="7E2183DD"/>
    <w:rsid w:val="7E21ACB7"/>
    <w:rsid w:val="7E236F18"/>
    <w:rsid w:val="7E2795AC"/>
    <w:rsid w:val="7E2DA59D"/>
    <w:rsid w:val="7E33C205"/>
    <w:rsid w:val="7E3556F1"/>
    <w:rsid w:val="7E3DF6B4"/>
    <w:rsid w:val="7E429053"/>
    <w:rsid w:val="7E45796D"/>
    <w:rsid w:val="7E463B06"/>
    <w:rsid w:val="7E464128"/>
    <w:rsid w:val="7E4DDF88"/>
    <w:rsid w:val="7E519464"/>
    <w:rsid w:val="7E521F3D"/>
    <w:rsid w:val="7E5C95FF"/>
    <w:rsid w:val="7E5FBAC6"/>
    <w:rsid w:val="7E6247FE"/>
    <w:rsid w:val="7E62DDBB"/>
    <w:rsid w:val="7E68A6E1"/>
    <w:rsid w:val="7E6A6564"/>
    <w:rsid w:val="7E6D03F3"/>
    <w:rsid w:val="7E6F573F"/>
    <w:rsid w:val="7E7CAA39"/>
    <w:rsid w:val="7E82B829"/>
    <w:rsid w:val="7E8572A4"/>
    <w:rsid w:val="7E8912C6"/>
    <w:rsid w:val="7E8EFD32"/>
    <w:rsid w:val="7E91BA71"/>
    <w:rsid w:val="7E950571"/>
    <w:rsid w:val="7EA04EFA"/>
    <w:rsid w:val="7EA1D752"/>
    <w:rsid w:val="7EA76490"/>
    <w:rsid w:val="7EC0D3F0"/>
    <w:rsid w:val="7EC39C0B"/>
    <w:rsid w:val="7ECD3517"/>
    <w:rsid w:val="7ECF127B"/>
    <w:rsid w:val="7ECF8574"/>
    <w:rsid w:val="7ED0C7D7"/>
    <w:rsid w:val="7EDD4861"/>
    <w:rsid w:val="7EE74E15"/>
    <w:rsid w:val="7EED2633"/>
    <w:rsid w:val="7EED9B27"/>
    <w:rsid w:val="7EEEC356"/>
    <w:rsid w:val="7EF20E80"/>
    <w:rsid w:val="7EF6E929"/>
    <w:rsid w:val="7EFB356D"/>
    <w:rsid w:val="7F047EBF"/>
    <w:rsid w:val="7F04A13D"/>
    <w:rsid w:val="7F0785BF"/>
    <w:rsid w:val="7F185AD1"/>
    <w:rsid w:val="7F2B8D3A"/>
    <w:rsid w:val="7F36ADF5"/>
    <w:rsid w:val="7F4193DE"/>
    <w:rsid w:val="7F4999C3"/>
    <w:rsid w:val="7F4B4AF9"/>
    <w:rsid w:val="7F52A251"/>
    <w:rsid w:val="7F55B4A9"/>
    <w:rsid w:val="7F59239D"/>
    <w:rsid w:val="7F593FB3"/>
    <w:rsid w:val="7F5A45D2"/>
    <w:rsid w:val="7F5B5BB5"/>
    <w:rsid w:val="7F63DDA2"/>
    <w:rsid w:val="7F6659CD"/>
    <w:rsid w:val="7F6824EE"/>
    <w:rsid w:val="7F6E982E"/>
    <w:rsid w:val="7F6FF072"/>
    <w:rsid w:val="7F7C7D2D"/>
    <w:rsid w:val="7F7E1C38"/>
    <w:rsid w:val="7F837506"/>
    <w:rsid w:val="7F839F62"/>
    <w:rsid w:val="7F85CB4D"/>
    <w:rsid w:val="7F8C1757"/>
    <w:rsid w:val="7F8F78AB"/>
    <w:rsid w:val="7F903E19"/>
    <w:rsid w:val="7F95AEEC"/>
    <w:rsid w:val="7F95F5F1"/>
    <w:rsid w:val="7F98BFEB"/>
    <w:rsid w:val="7F99778C"/>
    <w:rsid w:val="7F9ED18F"/>
    <w:rsid w:val="7FA2E963"/>
    <w:rsid w:val="7FA6BED4"/>
    <w:rsid w:val="7FAD0635"/>
    <w:rsid w:val="7FBF1384"/>
    <w:rsid w:val="7FC30B26"/>
    <w:rsid w:val="7FC4C3A3"/>
    <w:rsid w:val="7FC68E6A"/>
    <w:rsid w:val="7FC97566"/>
    <w:rsid w:val="7FCABC94"/>
    <w:rsid w:val="7FDE3E91"/>
    <w:rsid w:val="7FDFCFFD"/>
    <w:rsid w:val="7FF0A467"/>
    <w:rsid w:val="7FF26E48"/>
    <w:rsid w:val="7FF4DCF6"/>
    <w:rsid w:val="7FF9757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D5"/>
    <w:pPr>
      <w:spacing w:before="120"/>
    </w:pPr>
    <w:rPr>
      <w:rFonts w:ascii="Franklin Gothic Book" w:hAnsi="Franklin Gothic Book"/>
    </w:rPr>
  </w:style>
  <w:style w:type="paragraph" w:styleId="Heading1">
    <w:name w:val="heading 1"/>
    <w:basedOn w:val="Normal"/>
    <w:next w:val="Normal"/>
    <w:link w:val="Heading1Char"/>
    <w:uiPriority w:val="9"/>
    <w:qFormat/>
    <w:rsid w:val="5605A9C5"/>
    <w:pPr>
      <w:keepNext/>
      <w:keepLines/>
      <w:numPr>
        <w:numId w:val="1"/>
      </w:numPr>
      <w:spacing w:before="600" w:after="480" w:line="240" w:lineRule="auto"/>
      <w:outlineLvl w:val="0"/>
    </w:pPr>
    <w:rPr>
      <w:rFonts w:ascii="Franklin Gothic Medium" w:eastAsiaTheme="majorEastAsia" w:hAnsi="Franklin Gothic Medium" w:cstheme="majorBidi"/>
      <w:sz w:val="44"/>
      <w:szCs w:val="44"/>
    </w:rPr>
  </w:style>
  <w:style w:type="paragraph" w:styleId="Heading2">
    <w:name w:val="heading 2"/>
    <w:basedOn w:val="Normal"/>
    <w:next w:val="Normal"/>
    <w:link w:val="Heading2Char"/>
    <w:uiPriority w:val="9"/>
    <w:unhideWhenUsed/>
    <w:qFormat/>
    <w:rsid w:val="5605A9C5"/>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32"/>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EA3D6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5605A9C5"/>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5605A9C5"/>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00C86EA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C86EA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5605A9C5"/>
    <w:pPr>
      <w:spacing w:after="240" w:line="240" w:lineRule="auto"/>
    </w:pPr>
    <w:rPr>
      <w:rFonts w:ascii="Calibri" w:eastAsia="Times New Roman" w:hAnsi="Calibri" w:cs="Times New Roman"/>
      <w:color w:val="000000" w:themeColor="text1"/>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themeColor="text1"/>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44"/>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32"/>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ingLiU-ExtB" w:hAnsi="MingLiU-ExtB"/>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CMA Table Template,MSD Table Grid,HTAtableplain,PBAC table,Dossier table,Summary Table,PHE Table Grid,Lash Style Table,Section 3- footnotes,Table Grid nm,HealthConsult,Source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5605A9C5"/>
  </w:style>
  <w:style w:type="paragraph" w:customStyle="1" w:styleId="1ExplanatoryText">
    <w:name w:val="1ExplanatoryText"/>
    <w:basedOn w:val="Normal"/>
    <w:qFormat/>
    <w:rsid w:val="5605A9C5"/>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uiPriority w:val="39"/>
    <w:unhideWhenUsed/>
    <w:rsid w:val="5605A9C5"/>
    <w:pPr>
      <w:tabs>
        <w:tab w:val="left" w:pos="1100"/>
        <w:tab w:val="left" w:pos="1531"/>
        <w:tab w:val="right" w:leader="dot" w:pos="9010"/>
      </w:tabs>
      <w:spacing w:after="100" w:line="240" w:lineRule="auto"/>
    </w:pPr>
    <w:rPr>
      <w:rFonts w:asciiTheme="minorHAnsi" w:hAnsiTheme="minorHAnsi"/>
      <w:b/>
      <w:bCs/>
    </w:rPr>
  </w:style>
  <w:style w:type="paragraph" w:styleId="TOC2">
    <w:name w:val="toc 2"/>
    <w:basedOn w:val="Normal"/>
    <w:next w:val="Normal"/>
    <w:uiPriority w:val="39"/>
    <w:unhideWhenUsed/>
    <w:rsid w:val="5605A9C5"/>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uiPriority w:val="39"/>
    <w:unhideWhenUsed/>
    <w:rsid w:val="5605A9C5"/>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uiPriority w:val="39"/>
    <w:unhideWhenUsed/>
    <w:rsid w:val="5605A9C5"/>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uiPriority w:val="39"/>
    <w:unhideWhenUsed/>
    <w:rsid w:val="5605A9C5"/>
    <w:pPr>
      <w:spacing w:after="100"/>
      <w:ind w:left="660"/>
    </w:pPr>
    <w:rPr>
      <w:rFonts w:asciiTheme="minorHAnsi" w:eastAsiaTheme="minorEastAsia" w:hAnsiTheme="minorHAnsi"/>
      <w:lang w:eastAsia="en-AU"/>
    </w:rPr>
  </w:style>
  <w:style w:type="paragraph" w:styleId="TOC5">
    <w:name w:val="toc 5"/>
    <w:basedOn w:val="Normal"/>
    <w:next w:val="Normal"/>
    <w:uiPriority w:val="39"/>
    <w:unhideWhenUsed/>
    <w:rsid w:val="5605A9C5"/>
    <w:pPr>
      <w:spacing w:after="100"/>
      <w:ind w:left="880"/>
    </w:pPr>
    <w:rPr>
      <w:rFonts w:asciiTheme="minorHAnsi" w:eastAsiaTheme="minorEastAsia" w:hAnsiTheme="minorHAnsi"/>
      <w:lang w:eastAsia="en-AU"/>
    </w:rPr>
  </w:style>
  <w:style w:type="paragraph" w:styleId="TOC6">
    <w:name w:val="toc 6"/>
    <w:basedOn w:val="Normal"/>
    <w:next w:val="Normal"/>
    <w:uiPriority w:val="39"/>
    <w:unhideWhenUsed/>
    <w:rsid w:val="5605A9C5"/>
    <w:pPr>
      <w:spacing w:after="100"/>
      <w:ind w:left="1100"/>
    </w:pPr>
    <w:rPr>
      <w:rFonts w:asciiTheme="minorHAnsi" w:eastAsiaTheme="minorEastAsia" w:hAnsiTheme="minorHAnsi"/>
      <w:lang w:eastAsia="en-AU"/>
    </w:rPr>
  </w:style>
  <w:style w:type="paragraph" w:styleId="TOC7">
    <w:name w:val="toc 7"/>
    <w:basedOn w:val="Normal"/>
    <w:next w:val="Normal"/>
    <w:uiPriority w:val="39"/>
    <w:unhideWhenUsed/>
    <w:rsid w:val="5605A9C5"/>
    <w:pPr>
      <w:spacing w:after="100"/>
      <w:ind w:left="1320"/>
    </w:pPr>
    <w:rPr>
      <w:rFonts w:asciiTheme="minorHAnsi" w:eastAsiaTheme="minorEastAsia" w:hAnsiTheme="minorHAnsi"/>
      <w:lang w:eastAsia="en-AU"/>
    </w:rPr>
  </w:style>
  <w:style w:type="paragraph" w:styleId="TOC8">
    <w:name w:val="toc 8"/>
    <w:basedOn w:val="Normal"/>
    <w:next w:val="Normal"/>
    <w:uiPriority w:val="39"/>
    <w:unhideWhenUsed/>
    <w:rsid w:val="5605A9C5"/>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5605A9C5"/>
    <w:pPr>
      <w:widowControl w:val="0"/>
      <w:spacing w:after="120" w:line="240" w:lineRule="auto"/>
      <w:contextualSpacing/>
    </w:pPr>
    <w:rPr>
      <w:rFonts w:ascii="Arial Narrow" w:eastAsia="Times New Roman" w:hAnsi="Arial Narrow" w:cs="Arial"/>
      <w:sz w:val="18"/>
      <w:szCs w:val="18"/>
    </w:rPr>
  </w:style>
  <w:style w:type="character" w:customStyle="1" w:styleId="TablenotesChar">
    <w:name w:val="Tablenotes Char"/>
    <w:basedOn w:val="DefaultParagraphFont"/>
    <w:link w:val="Tablenotes"/>
    <w:rsid w:val="00242F4E"/>
    <w:rPr>
      <w:rFonts w:ascii="Arial Narrow" w:eastAsia="Times New Roman" w:hAnsi="Arial Narrow" w:cs="Arial"/>
      <w:sz w:val="18"/>
      <w:szCs w:val="18"/>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2"/>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3"/>
      </w:numPr>
    </w:pPr>
  </w:style>
  <w:style w:type="paragraph" w:customStyle="1" w:styleId="2-SectionHeading">
    <w:name w:val="2-Section Heading"/>
    <w:qFormat/>
    <w:rsid w:val="005131D3"/>
    <w:pPr>
      <w:keepNext/>
      <w:numPr>
        <w:numId w:val="4"/>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4"/>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5605A9C5"/>
    <w:pPr>
      <w:spacing w:after="120" w:line="240" w:lineRule="auto"/>
    </w:pPr>
    <w:rPr>
      <w:rFonts w:ascii="Franklin Gothic Medium" w:hAnsi="Franklin Gothic Medium"/>
      <w:sz w:val="21"/>
      <w:szCs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5"/>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18"/>
    </w:rPr>
  </w:style>
  <w:style w:type="paragraph" w:customStyle="1" w:styleId="TableFooter">
    <w:name w:val="Table Footer"/>
    <w:basedOn w:val="Normal"/>
    <w:link w:val="TableFooterChar"/>
    <w:qFormat/>
    <w:rsid w:val="5605A9C5"/>
    <w:pPr>
      <w:widowControl w:val="0"/>
      <w:spacing w:after="240" w:line="240" w:lineRule="auto"/>
      <w:contextualSpacing/>
      <w:jc w:val="both"/>
    </w:pPr>
    <w:rPr>
      <w:rFonts w:ascii="Arial Narrow" w:eastAsia="Times New Roman" w:hAnsi="Arial Narrow" w:cs="Arial"/>
      <w:sz w:val="18"/>
      <w:szCs w:val="18"/>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MingLiU-ExtB" w:hAnsi="MingLiU-ExtB"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MingLiU-ExtB" w:hAnsi="MingLiU-ExtB"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MingLiU-ExtB" w:hAnsi="MingLiU-ExtB"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5605A9C5"/>
    <w:pPr>
      <w:spacing w:after="0" w:line="240" w:lineRule="auto"/>
    </w:pPr>
    <w:rPr>
      <w:rFonts w:asciiTheme="minorHAnsi" w:hAnsiTheme="minorHAnsi"/>
      <w:sz w:val="18"/>
      <w:szCs w:val="18"/>
    </w:rPr>
  </w:style>
  <w:style w:type="character" w:customStyle="1" w:styleId="FootnoteTextChar">
    <w:name w:val="Footnote Text Char"/>
    <w:basedOn w:val="DefaultParagraphFont"/>
    <w:link w:val="FootnoteText"/>
    <w:uiPriority w:val="99"/>
    <w:rsid w:val="00804632"/>
    <w:rPr>
      <w:sz w:val="18"/>
      <w:szCs w:val="18"/>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5605A9C5"/>
    <w:pPr>
      <w:spacing w:afterAutospacing="1"/>
      <w:jc w:val="both"/>
    </w:pPr>
    <w:rPr>
      <w:rFonts w:ascii="Arial Narrow" w:eastAsia="Times New Roman" w:hAnsi="Arial Narrow" w:cs="Tahoma"/>
      <w:b/>
      <w:bCs/>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6"/>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7"/>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8"/>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D13865"/>
    <w:rPr>
      <w:color w:val="605E5C"/>
      <w:shd w:val="clear" w:color="auto" w:fill="E1DFDD"/>
    </w:rPr>
  </w:style>
  <w:style w:type="character" w:customStyle="1" w:styleId="UnresolvedMention3">
    <w:name w:val="Unresolved Mention3"/>
    <w:basedOn w:val="DefaultParagraphFont"/>
    <w:uiPriority w:val="99"/>
    <w:semiHidden/>
    <w:unhideWhenUsed/>
    <w:rsid w:val="00F872F8"/>
    <w:rPr>
      <w:color w:val="605E5C"/>
      <w:shd w:val="clear" w:color="auto" w:fill="E1DFDD"/>
    </w:rPr>
  </w:style>
  <w:style w:type="paragraph" w:customStyle="1" w:styleId="Heading10">
    <w:name w:val="Heading1"/>
    <w:rsid w:val="00F872F8"/>
    <w:pPr>
      <w:spacing w:after="200" w:line="240" w:lineRule="auto"/>
    </w:pPr>
    <w:rPr>
      <w:rFonts w:ascii="Calibri" w:eastAsia="Calibri" w:hAnsi="Calibri" w:cs="Calibri"/>
      <w:b/>
      <w:bCs/>
      <w:color w:val="000000"/>
      <w:sz w:val="36"/>
      <w:szCs w:val="36"/>
      <w:u w:color="000000"/>
      <w:lang w:val="en-US" w:eastAsia="en-AU"/>
    </w:rPr>
  </w:style>
  <w:style w:type="paragraph" w:customStyle="1" w:styleId="Default">
    <w:name w:val="Default"/>
    <w:rsid w:val="00F872F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5605A9C5"/>
    <w:pPr>
      <w:spacing w:beforeAutospacing="1" w:afterAutospacing="1" w:line="240" w:lineRule="auto"/>
    </w:pPr>
    <w:rPr>
      <w:rFonts w:ascii="Times New Roman" w:eastAsia="Times New Roman" w:hAnsi="Times New Roman" w:cs="Times New Roman"/>
      <w:sz w:val="24"/>
      <w:szCs w:val="24"/>
      <w:lang w:eastAsia="en-AU"/>
    </w:rPr>
  </w:style>
  <w:style w:type="table" w:styleId="GridTable1Light">
    <w:name w:val="Grid Table 1 Light"/>
    <w:basedOn w:val="TableNormal"/>
    <w:uiPriority w:val="46"/>
    <w:rsid w:val="00051F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EA3D6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A771C"/>
    <w:rPr>
      <w:rFonts w:asciiTheme="majorHAnsi" w:eastAsiaTheme="majorEastAsia" w:hAnsiTheme="majorHAnsi" w:cstheme="majorBidi"/>
      <w:color w:val="1F4D78"/>
    </w:rPr>
  </w:style>
  <w:style w:type="character" w:styleId="PlaceholderText">
    <w:name w:val="Placeholder Text"/>
    <w:basedOn w:val="DefaultParagraphFont"/>
    <w:uiPriority w:val="99"/>
    <w:semiHidden/>
    <w:rsid w:val="00C94FEE"/>
    <w:rPr>
      <w:color w:val="666666"/>
    </w:rPr>
  </w:style>
  <w:style w:type="character" w:styleId="Mention">
    <w:name w:val="Mention"/>
    <w:basedOn w:val="DefaultParagraphFont"/>
    <w:uiPriority w:val="99"/>
    <w:unhideWhenUsed/>
    <w:rsid w:val="006A49F2"/>
    <w:rPr>
      <w:color w:val="2B579A"/>
      <w:shd w:val="clear" w:color="auto" w:fill="E1DFDD"/>
    </w:rPr>
  </w:style>
  <w:style w:type="character" w:customStyle="1" w:styleId="Heading7Char">
    <w:name w:val="Heading 7 Char"/>
    <w:basedOn w:val="DefaultParagraphFont"/>
    <w:link w:val="Heading7"/>
    <w:uiPriority w:val="9"/>
    <w:rsid w:val="00905140"/>
    <w:rPr>
      <w:rFonts w:asciiTheme="majorHAnsi" w:eastAsiaTheme="majorEastAsia" w:hAnsiTheme="majorHAnsi" w:cstheme="majorBidi"/>
      <w:i/>
      <w:iCs/>
      <w:color w:val="1F4D78"/>
    </w:rPr>
  </w:style>
  <w:style w:type="character" w:customStyle="1" w:styleId="Heading8Char">
    <w:name w:val="Heading 8 Char"/>
    <w:basedOn w:val="DefaultParagraphFont"/>
    <w:link w:val="Heading8"/>
    <w:uiPriority w:val="9"/>
    <w:rsid w:val="00C86EA3"/>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C86EA3"/>
    <w:rPr>
      <w:rFonts w:asciiTheme="majorHAnsi" w:eastAsiaTheme="majorEastAsia" w:hAnsiTheme="majorHAnsi" w:cstheme="majorBidi"/>
      <w:i/>
      <w:iCs/>
      <w:color w:val="272727"/>
      <w:sz w:val="21"/>
      <w:szCs w:val="21"/>
    </w:rPr>
  </w:style>
  <w:style w:type="paragraph" w:styleId="Quote">
    <w:name w:val="Quote"/>
    <w:basedOn w:val="Normal"/>
    <w:next w:val="Normal"/>
    <w:link w:val="QuoteChar"/>
    <w:uiPriority w:val="29"/>
    <w:qFormat/>
    <w:rsid w:val="00C86EA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86EA3"/>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qFormat/>
    <w:rsid w:val="00C86EA3"/>
    <w:pP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6EA3"/>
    <w:rPr>
      <w:rFonts w:ascii="Franklin Gothic Book" w:hAnsi="Franklin Gothic Book"/>
      <w:i/>
      <w:iCs/>
      <w:color w:val="5B9BD5" w:themeColor="accent1"/>
    </w:rPr>
  </w:style>
  <w:style w:type="paragraph" w:styleId="EndnoteText">
    <w:name w:val="endnote text"/>
    <w:basedOn w:val="Normal"/>
    <w:link w:val="EndnoteTextChar"/>
    <w:uiPriority w:val="99"/>
    <w:semiHidden/>
    <w:unhideWhenUsed/>
    <w:rsid w:val="00C86E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6EA3"/>
    <w:rPr>
      <w:rFonts w:ascii="Franklin Gothic Book" w:hAnsi="Franklin Gothic Book"/>
      <w:sz w:val="20"/>
      <w:szCs w:val="20"/>
    </w:rPr>
  </w:style>
  <w:style w:type="paragraph" w:customStyle="1" w:styleId="MainBodySectionHeading-numbered">
    <w:name w:val="Main Body Section Heading - numbered"/>
    <w:basedOn w:val="Heading2"/>
    <w:rsid w:val="00C86EA3"/>
    <w:pPr>
      <w:keepLines w:val="0"/>
      <w:numPr>
        <w:ilvl w:val="0"/>
        <w:numId w:val="0"/>
      </w:numPr>
      <w:tabs>
        <w:tab w:val="left" w:pos="1134"/>
      </w:tabs>
      <w:spacing w:before="240" w:after="160" w:line="259" w:lineRule="auto"/>
      <w:ind w:left="720" w:hanging="360"/>
    </w:pPr>
    <w:rPr>
      <w:rFonts w:ascii="Calibri" w:eastAsia="Times New Roman" w:hAnsi="Calibri" w:cs="Tahoma"/>
      <w:b/>
      <w:smallCaps/>
      <w:color w:val="auto"/>
      <w:sz w:val="28"/>
      <w:szCs w:val="22"/>
      <w:lang w:eastAsia="en-AU"/>
    </w:rPr>
  </w:style>
  <w:style w:type="table" w:customStyle="1" w:styleId="TableGrid3">
    <w:name w:val="Table Grid3"/>
    <w:basedOn w:val="TableNormal"/>
    <w:next w:val="TableGrid"/>
    <w:uiPriority w:val="39"/>
    <w:rsid w:val="00C86EA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86EA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04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97F7E"/>
    <w:rPr>
      <w:rFonts w:ascii="Segoe UI" w:hAnsi="Segoe UI" w:cs="Segoe UI" w:hint="default"/>
      <w:sz w:val="18"/>
      <w:szCs w:val="18"/>
    </w:rPr>
  </w:style>
  <w:style w:type="paragraph" w:styleId="Bibliography">
    <w:name w:val="Bibliography"/>
    <w:basedOn w:val="Normal"/>
    <w:next w:val="Normal"/>
    <w:uiPriority w:val="37"/>
    <w:semiHidden/>
    <w:unhideWhenUsed/>
    <w:rsid w:val="00A67807"/>
  </w:style>
  <w:style w:type="paragraph" w:styleId="BlockText">
    <w:name w:val="Block Text"/>
    <w:basedOn w:val="Normal"/>
    <w:uiPriority w:val="99"/>
    <w:semiHidden/>
    <w:unhideWhenUsed/>
    <w:rsid w:val="00A6780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unhideWhenUsed/>
    <w:rsid w:val="00A67807"/>
    <w:pPr>
      <w:spacing w:after="120"/>
    </w:pPr>
  </w:style>
  <w:style w:type="character" w:customStyle="1" w:styleId="BodyTextChar">
    <w:name w:val="Body Text Char"/>
    <w:basedOn w:val="DefaultParagraphFont"/>
    <w:link w:val="BodyText"/>
    <w:uiPriority w:val="99"/>
    <w:rsid w:val="00A67807"/>
    <w:rPr>
      <w:rFonts w:ascii="Franklin Gothic Book" w:hAnsi="Franklin Gothic Book"/>
    </w:rPr>
  </w:style>
  <w:style w:type="paragraph" w:styleId="BodyText2">
    <w:name w:val="Body Text 2"/>
    <w:basedOn w:val="Normal"/>
    <w:link w:val="BodyText2Char"/>
    <w:uiPriority w:val="99"/>
    <w:semiHidden/>
    <w:unhideWhenUsed/>
    <w:rsid w:val="00A67807"/>
    <w:pPr>
      <w:spacing w:after="120" w:line="480" w:lineRule="auto"/>
    </w:pPr>
  </w:style>
  <w:style w:type="character" w:customStyle="1" w:styleId="BodyText2Char">
    <w:name w:val="Body Text 2 Char"/>
    <w:basedOn w:val="DefaultParagraphFont"/>
    <w:link w:val="BodyText2"/>
    <w:uiPriority w:val="99"/>
    <w:semiHidden/>
    <w:rsid w:val="00A67807"/>
    <w:rPr>
      <w:rFonts w:ascii="Franklin Gothic Book" w:hAnsi="Franklin Gothic Book"/>
    </w:rPr>
  </w:style>
  <w:style w:type="paragraph" w:styleId="BodyText3">
    <w:name w:val="Body Text 3"/>
    <w:basedOn w:val="Normal"/>
    <w:link w:val="BodyText3Char"/>
    <w:uiPriority w:val="99"/>
    <w:semiHidden/>
    <w:unhideWhenUsed/>
    <w:rsid w:val="00A67807"/>
    <w:pPr>
      <w:spacing w:after="120"/>
    </w:pPr>
    <w:rPr>
      <w:sz w:val="16"/>
      <w:szCs w:val="16"/>
    </w:rPr>
  </w:style>
  <w:style w:type="character" w:customStyle="1" w:styleId="BodyText3Char">
    <w:name w:val="Body Text 3 Char"/>
    <w:basedOn w:val="DefaultParagraphFont"/>
    <w:link w:val="BodyText3"/>
    <w:uiPriority w:val="99"/>
    <w:semiHidden/>
    <w:rsid w:val="00A67807"/>
    <w:rPr>
      <w:rFonts w:ascii="Franklin Gothic Book" w:hAnsi="Franklin Gothic Book"/>
      <w:sz w:val="16"/>
      <w:szCs w:val="16"/>
    </w:rPr>
  </w:style>
  <w:style w:type="paragraph" w:styleId="BodyTextFirstIndent">
    <w:name w:val="Body Text First Indent"/>
    <w:basedOn w:val="BodyText"/>
    <w:link w:val="BodyTextFirstIndentChar"/>
    <w:uiPriority w:val="99"/>
    <w:semiHidden/>
    <w:unhideWhenUsed/>
    <w:rsid w:val="00A67807"/>
    <w:pPr>
      <w:spacing w:after="160"/>
      <w:ind w:firstLine="360"/>
    </w:pPr>
  </w:style>
  <w:style w:type="character" w:customStyle="1" w:styleId="BodyTextFirstIndentChar">
    <w:name w:val="Body Text First Indent Char"/>
    <w:basedOn w:val="BodyTextChar"/>
    <w:link w:val="BodyTextFirstIndent"/>
    <w:uiPriority w:val="99"/>
    <w:semiHidden/>
    <w:rsid w:val="00A67807"/>
    <w:rPr>
      <w:rFonts w:ascii="Franklin Gothic Book" w:hAnsi="Franklin Gothic Book"/>
    </w:rPr>
  </w:style>
  <w:style w:type="paragraph" w:styleId="BodyTextIndent">
    <w:name w:val="Body Text Indent"/>
    <w:basedOn w:val="Normal"/>
    <w:link w:val="BodyTextIndentChar"/>
    <w:uiPriority w:val="99"/>
    <w:semiHidden/>
    <w:unhideWhenUsed/>
    <w:rsid w:val="00A67807"/>
    <w:pPr>
      <w:spacing w:after="120"/>
      <w:ind w:left="360"/>
    </w:pPr>
  </w:style>
  <w:style w:type="character" w:customStyle="1" w:styleId="BodyTextIndentChar">
    <w:name w:val="Body Text Indent Char"/>
    <w:basedOn w:val="DefaultParagraphFont"/>
    <w:link w:val="BodyTextIndent"/>
    <w:uiPriority w:val="99"/>
    <w:semiHidden/>
    <w:rsid w:val="00A67807"/>
    <w:rPr>
      <w:rFonts w:ascii="Franklin Gothic Book" w:hAnsi="Franklin Gothic Book"/>
    </w:rPr>
  </w:style>
  <w:style w:type="paragraph" w:styleId="BodyTextFirstIndent2">
    <w:name w:val="Body Text First Indent 2"/>
    <w:basedOn w:val="BodyTextIndent"/>
    <w:link w:val="BodyTextFirstIndent2Char"/>
    <w:uiPriority w:val="99"/>
    <w:semiHidden/>
    <w:unhideWhenUsed/>
    <w:rsid w:val="00A67807"/>
    <w:pPr>
      <w:spacing w:after="160"/>
      <w:ind w:firstLine="360"/>
    </w:pPr>
  </w:style>
  <w:style w:type="character" w:customStyle="1" w:styleId="BodyTextFirstIndent2Char">
    <w:name w:val="Body Text First Indent 2 Char"/>
    <w:basedOn w:val="BodyTextIndentChar"/>
    <w:link w:val="BodyTextFirstIndent2"/>
    <w:uiPriority w:val="99"/>
    <w:semiHidden/>
    <w:rsid w:val="00A67807"/>
    <w:rPr>
      <w:rFonts w:ascii="Franklin Gothic Book" w:hAnsi="Franklin Gothic Book"/>
    </w:rPr>
  </w:style>
  <w:style w:type="paragraph" w:styleId="BodyTextIndent2">
    <w:name w:val="Body Text Indent 2"/>
    <w:basedOn w:val="Normal"/>
    <w:link w:val="BodyTextIndent2Char"/>
    <w:uiPriority w:val="99"/>
    <w:semiHidden/>
    <w:unhideWhenUsed/>
    <w:rsid w:val="00A67807"/>
    <w:pPr>
      <w:spacing w:after="120" w:line="480" w:lineRule="auto"/>
      <w:ind w:left="360"/>
    </w:pPr>
  </w:style>
  <w:style w:type="character" w:customStyle="1" w:styleId="BodyTextIndent2Char">
    <w:name w:val="Body Text Indent 2 Char"/>
    <w:basedOn w:val="DefaultParagraphFont"/>
    <w:link w:val="BodyTextIndent2"/>
    <w:uiPriority w:val="99"/>
    <w:semiHidden/>
    <w:rsid w:val="00A67807"/>
    <w:rPr>
      <w:rFonts w:ascii="Franklin Gothic Book" w:hAnsi="Franklin Gothic Book"/>
    </w:rPr>
  </w:style>
  <w:style w:type="paragraph" w:styleId="BodyTextIndent3">
    <w:name w:val="Body Text Indent 3"/>
    <w:basedOn w:val="Normal"/>
    <w:link w:val="BodyTextIndent3Char"/>
    <w:uiPriority w:val="99"/>
    <w:semiHidden/>
    <w:unhideWhenUsed/>
    <w:rsid w:val="00A6780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67807"/>
    <w:rPr>
      <w:rFonts w:ascii="Franklin Gothic Book" w:hAnsi="Franklin Gothic Book"/>
      <w:sz w:val="16"/>
      <w:szCs w:val="16"/>
    </w:rPr>
  </w:style>
  <w:style w:type="paragraph" w:styleId="Closing">
    <w:name w:val="Closing"/>
    <w:basedOn w:val="Normal"/>
    <w:link w:val="ClosingChar"/>
    <w:uiPriority w:val="99"/>
    <w:semiHidden/>
    <w:unhideWhenUsed/>
    <w:rsid w:val="00A67807"/>
    <w:pPr>
      <w:spacing w:before="0" w:after="0" w:line="240" w:lineRule="auto"/>
      <w:ind w:left="4320"/>
    </w:pPr>
  </w:style>
  <w:style w:type="character" w:customStyle="1" w:styleId="ClosingChar">
    <w:name w:val="Closing Char"/>
    <w:basedOn w:val="DefaultParagraphFont"/>
    <w:link w:val="Closing"/>
    <w:uiPriority w:val="99"/>
    <w:semiHidden/>
    <w:rsid w:val="00A67807"/>
    <w:rPr>
      <w:rFonts w:ascii="Franklin Gothic Book" w:hAnsi="Franklin Gothic Book"/>
    </w:rPr>
  </w:style>
  <w:style w:type="paragraph" w:styleId="DocumentMap">
    <w:name w:val="Document Map"/>
    <w:basedOn w:val="Normal"/>
    <w:link w:val="DocumentMapChar"/>
    <w:uiPriority w:val="99"/>
    <w:semiHidden/>
    <w:unhideWhenUsed/>
    <w:rsid w:val="00A6780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67807"/>
    <w:rPr>
      <w:rFonts w:ascii="Segoe UI" w:hAnsi="Segoe UI" w:cs="Segoe UI"/>
      <w:sz w:val="16"/>
      <w:szCs w:val="16"/>
    </w:rPr>
  </w:style>
  <w:style w:type="paragraph" w:styleId="E-mailSignature">
    <w:name w:val="E-mail Signature"/>
    <w:basedOn w:val="Normal"/>
    <w:link w:val="E-mailSignatureChar"/>
    <w:uiPriority w:val="99"/>
    <w:semiHidden/>
    <w:unhideWhenUsed/>
    <w:rsid w:val="00A67807"/>
    <w:pPr>
      <w:spacing w:before="0" w:after="0" w:line="240" w:lineRule="auto"/>
    </w:pPr>
  </w:style>
  <w:style w:type="character" w:customStyle="1" w:styleId="E-mailSignatureChar">
    <w:name w:val="E-mail Signature Char"/>
    <w:basedOn w:val="DefaultParagraphFont"/>
    <w:link w:val="E-mailSignature"/>
    <w:uiPriority w:val="99"/>
    <w:semiHidden/>
    <w:rsid w:val="00A67807"/>
    <w:rPr>
      <w:rFonts w:ascii="Franklin Gothic Book" w:hAnsi="Franklin Gothic Book"/>
    </w:rPr>
  </w:style>
  <w:style w:type="paragraph" w:styleId="EnvelopeAddress">
    <w:name w:val="envelope address"/>
    <w:basedOn w:val="Normal"/>
    <w:uiPriority w:val="99"/>
    <w:semiHidden/>
    <w:unhideWhenUsed/>
    <w:rsid w:val="00A67807"/>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7807"/>
    <w:pPr>
      <w:spacing w:before="0"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A67807"/>
    <w:pPr>
      <w:spacing w:before="0" w:after="0" w:line="240" w:lineRule="auto"/>
    </w:pPr>
    <w:rPr>
      <w:i/>
      <w:iCs/>
    </w:rPr>
  </w:style>
  <w:style w:type="character" w:customStyle="1" w:styleId="HTMLAddressChar">
    <w:name w:val="HTML Address Char"/>
    <w:basedOn w:val="DefaultParagraphFont"/>
    <w:link w:val="HTMLAddress"/>
    <w:uiPriority w:val="99"/>
    <w:semiHidden/>
    <w:rsid w:val="00A67807"/>
    <w:rPr>
      <w:rFonts w:ascii="Franklin Gothic Book" w:hAnsi="Franklin Gothic Book"/>
      <w:i/>
      <w:iCs/>
    </w:rPr>
  </w:style>
  <w:style w:type="paragraph" w:styleId="HTMLPreformatted">
    <w:name w:val="HTML Preformatted"/>
    <w:basedOn w:val="Normal"/>
    <w:link w:val="HTMLPreformattedChar"/>
    <w:uiPriority w:val="99"/>
    <w:semiHidden/>
    <w:unhideWhenUsed/>
    <w:rsid w:val="00A6780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67807"/>
    <w:rPr>
      <w:rFonts w:ascii="Consolas" w:hAnsi="Consolas"/>
      <w:sz w:val="20"/>
      <w:szCs w:val="20"/>
    </w:rPr>
  </w:style>
  <w:style w:type="paragraph" w:styleId="Index1">
    <w:name w:val="index 1"/>
    <w:basedOn w:val="Normal"/>
    <w:next w:val="Normal"/>
    <w:autoRedefine/>
    <w:uiPriority w:val="99"/>
    <w:semiHidden/>
    <w:unhideWhenUsed/>
    <w:rsid w:val="00A67807"/>
    <w:pPr>
      <w:spacing w:before="0" w:after="0" w:line="240" w:lineRule="auto"/>
      <w:ind w:left="220" w:hanging="220"/>
    </w:pPr>
  </w:style>
  <w:style w:type="paragraph" w:styleId="Index2">
    <w:name w:val="index 2"/>
    <w:basedOn w:val="Normal"/>
    <w:next w:val="Normal"/>
    <w:autoRedefine/>
    <w:uiPriority w:val="99"/>
    <w:semiHidden/>
    <w:unhideWhenUsed/>
    <w:rsid w:val="00A67807"/>
    <w:pPr>
      <w:spacing w:before="0" w:after="0" w:line="240" w:lineRule="auto"/>
      <w:ind w:left="440" w:hanging="220"/>
    </w:pPr>
  </w:style>
  <w:style w:type="paragraph" w:styleId="Index3">
    <w:name w:val="index 3"/>
    <w:basedOn w:val="Normal"/>
    <w:next w:val="Normal"/>
    <w:autoRedefine/>
    <w:uiPriority w:val="99"/>
    <w:semiHidden/>
    <w:unhideWhenUsed/>
    <w:rsid w:val="00A67807"/>
    <w:pPr>
      <w:spacing w:before="0" w:after="0" w:line="240" w:lineRule="auto"/>
      <w:ind w:left="660" w:hanging="220"/>
    </w:pPr>
  </w:style>
  <w:style w:type="paragraph" w:styleId="Index4">
    <w:name w:val="index 4"/>
    <w:basedOn w:val="Normal"/>
    <w:next w:val="Normal"/>
    <w:autoRedefine/>
    <w:uiPriority w:val="99"/>
    <w:semiHidden/>
    <w:unhideWhenUsed/>
    <w:rsid w:val="00A67807"/>
    <w:pPr>
      <w:spacing w:before="0" w:after="0" w:line="240" w:lineRule="auto"/>
      <w:ind w:left="880" w:hanging="220"/>
    </w:pPr>
  </w:style>
  <w:style w:type="paragraph" w:styleId="Index5">
    <w:name w:val="index 5"/>
    <w:basedOn w:val="Normal"/>
    <w:next w:val="Normal"/>
    <w:autoRedefine/>
    <w:uiPriority w:val="99"/>
    <w:semiHidden/>
    <w:unhideWhenUsed/>
    <w:rsid w:val="00A67807"/>
    <w:pPr>
      <w:spacing w:before="0" w:after="0" w:line="240" w:lineRule="auto"/>
      <w:ind w:left="1100" w:hanging="220"/>
    </w:pPr>
  </w:style>
  <w:style w:type="paragraph" w:styleId="Index6">
    <w:name w:val="index 6"/>
    <w:basedOn w:val="Normal"/>
    <w:next w:val="Normal"/>
    <w:autoRedefine/>
    <w:uiPriority w:val="99"/>
    <w:semiHidden/>
    <w:unhideWhenUsed/>
    <w:rsid w:val="00A67807"/>
    <w:pPr>
      <w:spacing w:before="0" w:after="0" w:line="240" w:lineRule="auto"/>
      <w:ind w:left="1320" w:hanging="220"/>
    </w:pPr>
  </w:style>
  <w:style w:type="paragraph" w:styleId="Index7">
    <w:name w:val="index 7"/>
    <w:basedOn w:val="Normal"/>
    <w:next w:val="Normal"/>
    <w:autoRedefine/>
    <w:uiPriority w:val="99"/>
    <w:semiHidden/>
    <w:unhideWhenUsed/>
    <w:rsid w:val="00A67807"/>
    <w:pPr>
      <w:spacing w:before="0" w:after="0" w:line="240" w:lineRule="auto"/>
      <w:ind w:left="1540" w:hanging="220"/>
    </w:pPr>
  </w:style>
  <w:style w:type="paragraph" w:styleId="Index8">
    <w:name w:val="index 8"/>
    <w:basedOn w:val="Normal"/>
    <w:next w:val="Normal"/>
    <w:autoRedefine/>
    <w:uiPriority w:val="99"/>
    <w:semiHidden/>
    <w:unhideWhenUsed/>
    <w:rsid w:val="00A67807"/>
    <w:pPr>
      <w:spacing w:before="0" w:after="0" w:line="240" w:lineRule="auto"/>
      <w:ind w:left="1760" w:hanging="220"/>
    </w:pPr>
  </w:style>
  <w:style w:type="paragraph" w:styleId="Index9">
    <w:name w:val="index 9"/>
    <w:basedOn w:val="Normal"/>
    <w:next w:val="Normal"/>
    <w:autoRedefine/>
    <w:uiPriority w:val="99"/>
    <w:semiHidden/>
    <w:unhideWhenUsed/>
    <w:rsid w:val="00A67807"/>
    <w:pPr>
      <w:spacing w:before="0" w:after="0" w:line="240" w:lineRule="auto"/>
      <w:ind w:left="1980" w:hanging="220"/>
    </w:pPr>
  </w:style>
  <w:style w:type="paragraph" w:styleId="IndexHeading">
    <w:name w:val="index heading"/>
    <w:basedOn w:val="Normal"/>
    <w:next w:val="Index1"/>
    <w:uiPriority w:val="99"/>
    <w:semiHidden/>
    <w:unhideWhenUsed/>
    <w:rsid w:val="00A67807"/>
    <w:rPr>
      <w:rFonts w:asciiTheme="majorHAnsi" w:eastAsiaTheme="majorEastAsia" w:hAnsiTheme="majorHAnsi" w:cstheme="majorBidi"/>
      <w:b/>
      <w:bCs/>
    </w:rPr>
  </w:style>
  <w:style w:type="paragraph" w:styleId="List">
    <w:name w:val="List"/>
    <w:basedOn w:val="Normal"/>
    <w:uiPriority w:val="99"/>
    <w:semiHidden/>
    <w:unhideWhenUsed/>
    <w:rsid w:val="00A67807"/>
    <w:pPr>
      <w:ind w:left="360" w:hanging="360"/>
      <w:contextualSpacing/>
    </w:pPr>
  </w:style>
  <w:style w:type="paragraph" w:styleId="List2">
    <w:name w:val="List 2"/>
    <w:basedOn w:val="Normal"/>
    <w:uiPriority w:val="99"/>
    <w:semiHidden/>
    <w:unhideWhenUsed/>
    <w:rsid w:val="00A67807"/>
    <w:pPr>
      <w:ind w:left="720" w:hanging="360"/>
      <w:contextualSpacing/>
    </w:pPr>
  </w:style>
  <w:style w:type="paragraph" w:styleId="List3">
    <w:name w:val="List 3"/>
    <w:basedOn w:val="Normal"/>
    <w:uiPriority w:val="99"/>
    <w:semiHidden/>
    <w:unhideWhenUsed/>
    <w:rsid w:val="00A67807"/>
    <w:pPr>
      <w:ind w:left="1080" w:hanging="360"/>
      <w:contextualSpacing/>
    </w:pPr>
  </w:style>
  <w:style w:type="paragraph" w:styleId="List4">
    <w:name w:val="List 4"/>
    <w:basedOn w:val="Normal"/>
    <w:uiPriority w:val="99"/>
    <w:semiHidden/>
    <w:unhideWhenUsed/>
    <w:rsid w:val="00A67807"/>
    <w:pPr>
      <w:ind w:left="1440" w:hanging="360"/>
      <w:contextualSpacing/>
    </w:pPr>
  </w:style>
  <w:style w:type="paragraph" w:styleId="List5">
    <w:name w:val="List 5"/>
    <w:basedOn w:val="Normal"/>
    <w:uiPriority w:val="99"/>
    <w:semiHidden/>
    <w:unhideWhenUsed/>
    <w:rsid w:val="00A67807"/>
    <w:pPr>
      <w:ind w:left="1800" w:hanging="360"/>
      <w:contextualSpacing/>
    </w:pPr>
  </w:style>
  <w:style w:type="paragraph" w:styleId="ListBullet">
    <w:name w:val="List Bullet"/>
    <w:basedOn w:val="Normal"/>
    <w:uiPriority w:val="99"/>
    <w:semiHidden/>
    <w:unhideWhenUsed/>
    <w:rsid w:val="00A67807"/>
    <w:pPr>
      <w:numPr>
        <w:numId w:val="18"/>
      </w:numPr>
      <w:contextualSpacing/>
    </w:pPr>
  </w:style>
  <w:style w:type="paragraph" w:styleId="ListBullet2">
    <w:name w:val="List Bullet 2"/>
    <w:basedOn w:val="Normal"/>
    <w:uiPriority w:val="99"/>
    <w:semiHidden/>
    <w:unhideWhenUsed/>
    <w:rsid w:val="00A67807"/>
    <w:pPr>
      <w:numPr>
        <w:numId w:val="19"/>
      </w:numPr>
      <w:contextualSpacing/>
    </w:pPr>
  </w:style>
  <w:style w:type="paragraph" w:styleId="ListBullet3">
    <w:name w:val="List Bullet 3"/>
    <w:basedOn w:val="Normal"/>
    <w:uiPriority w:val="99"/>
    <w:semiHidden/>
    <w:unhideWhenUsed/>
    <w:rsid w:val="00A67807"/>
    <w:pPr>
      <w:numPr>
        <w:numId w:val="20"/>
      </w:numPr>
      <w:contextualSpacing/>
    </w:pPr>
  </w:style>
  <w:style w:type="paragraph" w:styleId="ListBullet4">
    <w:name w:val="List Bullet 4"/>
    <w:basedOn w:val="Normal"/>
    <w:uiPriority w:val="99"/>
    <w:semiHidden/>
    <w:unhideWhenUsed/>
    <w:rsid w:val="00A67807"/>
    <w:pPr>
      <w:numPr>
        <w:numId w:val="21"/>
      </w:numPr>
      <w:contextualSpacing/>
    </w:pPr>
  </w:style>
  <w:style w:type="paragraph" w:styleId="ListBullet5">
    <w:name w:val="List Bullet 5"/>
    <w:basedOn w:val="Normal"/>
    <w:uiPriority w:val="99"/>
    <w:semiHidden/>
    <w:unhideWhenUsed/>
    <w:rsid w:val="00A67807"/>
    <w:pPr>
      <w:numPr>
        <w:numId w:val="22"/>
      </w:numPr>
      <w:contextualSpacing/>
    </w:pPr>
  </w:style>
  <w:style w:type="paragraph" w:styleId="ListContinue">
    <w:name w:val="List Continue"/>
    <w:basedOn w:val="Normal"/>
    <w:uiPriority w:val="99"/>
    <w:semiHidden/>
    <w:unhideWhenUsed/>
    <w:rsid w:val="00A67807"/>
    <w:pPr>
      <w:spacing w:after="120"/>
      <w:ind w:left="360"/>
      <w:contextualSpacing/>
    </w:pPr>
  </w:style>
  <w:style w:type="paragraph" w:styleId="ListContinue2">
    <w:name w:val="List Continue 2"/>
    <w:basedOn w:val="Normal"/>
    <w:uiPriority w:val="99"/>
    <w:semiHidden/>
    <w:unhideWhenUsed/>
    <w:rsid w:val="00A67807"/>
    <w:pPr>
      <w:spacing w:after="120"/>
      <w:ind w:left="720"/>
      <w:contextualSpacing/>
    </w:pPr>
  </w:style>
  <w:style w:type="paragraph" w:styleId="ListContinue3">
    <w:name w:val="List Continue 3"/>
    <w:basedOn w:val="Normal"/>
    <w:uiPriority w:val="99"/>
    <w:semiHidden/>
    <w:unhideWhenUsed/>
    <w:rsid w:val="00A67807"/>
    <w:pPr>
      <w:spacing w:after="120"/>
      <w:ind w:left="1080"/>
      <w:contextualSpacing/>
    </w:pPr>
  </w:style>
  <w:style w:type="paragraph" w:styleId="ListContinue4">
    <w:name w:val="List Continue 4"/>
    <w:basedOn w:val="Normal"/>
    <w:uiPriority w:val="99"/>
    <w:semiHidden/>
    <w:unhideWhenUsed/>
    <w:rsid w:val="00A67807"/>
    <w:pPr>
      <w:spacing w:after="120"/>
      <w:ind w:left="1440"/>
      <w:contextualSpacing/>
    </w:pPr>
  </w:style>
  <w:style w:type="paragraph" w:styleId="ListContinue5">
    <w:name w:val="List Continue 5"/>
    <w:basedOn w:val="Normal"/>
    <w:uiPriority w:val="99"/>
    <w:semiHidden/>
    <w:unhideWhenUsed/>
    <w:rsid w:val="00A67807"/>
    <w:pPr>
      <w:spacing w:after="120"/>
      <w:ind w:left="1800"/>
      <w:contextualSpacing/>
    </w:pPr>
  </w:style>
  <w:style w:type="paragraph" w:styleId="ListNumber">
    <w:name w:val="List Number"/>
    <w:basedOn w:val="Normal"/>
    <w:uiPriority w:val="99"/>
    <w:semiHidden/>
    <w:unhideWhenUsed/>
    <w:rsid w:val="00A67807"/>
    <w:pPr>
      <w:numPr>
        <w:numId w:val="23"/>
      </w:numPr>
      <w:contextualSpacing/>
    </w:pPr>
  </w:style>
  <w:style w:type="paragraph" w:styleId="ListNumber2">
    <w:name w:val="List Number 2"/>
    <w:basedOn w:val="Normal"/>
    <w:uiPriority w:val="99"/>
    <w:semiHidden/>
    <w:unhideWhenUsed/>
    <w:rsid w:val="00A67807"/>
    <w:pPr>
      <w:numPr>
        <w:numId w:val="24"/>
      </w:numPr>
      <w:contextualSpacing/>
    </w:pPr>
  </w:style>
  <w:style w:type="paragraph" w:styleId="ListNumber3">
    <w:name w:val="List Number 3"/>
    <w:basedOn w:val="Normal"/>
    <w:uiPriority w:val="99"/>
    <w:semiHidden/>
    <w:unhideWhenUsed/>
    <w:rsid w:val="00A67807"/>
    <w:pPr>
      <w:numPr>
        <w:numId w:val="25"/>
      </w:numPr>
      <w:contextualSpacing/>
    </w:pPr>
  </w:style>
  <w:style w:type="paragraph" w:styleId="ListNumber4">
    <w:name w:val="List Number 4"/>
    <w:basedOn w:val="Normal"/>
    <w:uiPriority w:val="99"/>
    <w:semiHidden/>
    <w:unhideWhenUsed/>
    <w:rsid w:val="00A67807"/>
    <w:pPr>
      <w:numPr>
        <w:numId w:val="26"/>
      </w:numPr>
      <w:contextualSpacing/>
    </w:pPr>
  </w:style>
  <w:style w:type="paragraph" w:styleId="ListNumber5">
    <w:name w:val="List Number 5"/>
    <w:basedOn w:val="Normal"/>
    <w:uiPriority w:val="99"/>
    <w:semiHidden/>
    <w:unhideWhenUsed/>
    <w:rsid w:val="00A67807"/>
    <w:pPr>
      <w:numPr>
        <w:numId w:val="27"/>
      </w:numPr>
      <w:contextualSpacing/>
    </w:pPr>
  </w:style>
  <w:style w:type="paragraph" w:styleId="MacroText">
    <w:name w:val="macro"/>
    <w:link w:val="MacroTextChar"/>
    <w:uiPriority w:val="99"/>
    <w:semiHidden/>
    <w:unhideWhenUsed/>
    <w:rsid w:val="00A67807"/>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z w:val="20"/>
      <w:szCs w:val="20"/>
    </w:rPr>
  </w:style>
  <w:style w:type="character" w:customStyle="1" w:styleId="MacroTextChar">
    <w:name w:val="Macro Text Char"/>
    <w:basedOn w:val="DefaultParagraphFont"/>
    <w:link w:val="MacroText"/>
    <w:uiPriority w:val="99"/>
    <w:semiHidden/>
    <w:rsid w:val="00A67807"/>
    <w:rPr>
      <w:rFonts w:ascii="Consolas" w:hAnsi="Consolas"/>
      <w:sz w:val="20"/>
      <w:szCs w:val="20"/>
    </w:rPr>
  </w:style>
  <w:style w:type="paragraph" w:styleId="MessageHeader">
    <w:name w:val="Message Header"/>
    <w:basedOn w:val="Normal"/>
    <w:link w:val="MessageHeaderChar"/>
    <w:uiPriority w:val="99"/>
    <w:semiHidden/>
    <w:unhideWhenUsed/>
    <w:rsid w:val="00A6780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7807"/>
    <w:rPr>
      <w:rFonts w:asciiTheme="majorHAnsi" w:eastAsiaTheme="majorEastAsia" w:hAnsiTheme="majorHAnsi" w:cstheme="majorBidi"/>
      <w:sz w:val="24"/>
      <w:szCs w:val="24"/>
      <w:shd w:val="pct20" w:color="auto" w:fill="auto"/>
    </w:rPr>
  </w:style>
  <w:style w:type="paragraph" w:styleId="NoSpacing">
    <w:name w:val="No Spacing"/>
    <w:uiPriority w:val="1"/>
    <w:qFormat/>
    <w:rsid w:val="00A67807"/>
    <w:pPr>
      <w:spacing w:after="0" w:line="240" w:lineRule="auto"/>
    </w:pPr>
    <w:rPr>
      <w:rFonts w:ascii="Franklin Gothic Book" w:hAnsi="Franklin Gothic Book"/>
    </w:rPr>
  </w:style>
  <w:style w:type="paragraph" w:styleId="NormalIndent">
    <w:name w:val="Normal Indent"/>
    <w:basedOn w:val="Normal"/>
    <w:uiPriority w:val="99"/>
    <w:semiHidden/>
    <w:unhideWhenUsed/>
    <w:rsid w:val="00A67807"/>
    <w:pPr>
      <w:ind w:left="720"/>
    </w:pPr>
  </w:style>
  <w:style w:type="paragraph" w:styleId="NoteHeading">
    <w:name w:val="Note Heading"/>
    <w:basedOn w:val="Normal"/>
    <w:next w:val="Normal"/>
    <w:link w:val="NoteHeadingChar"/>
    <w:uiPriority w:val="99"/>
    <w:semiHidden/>
    <w:unhideWhenUsed/>
    <w:rsid w:val="00A67807"/>
    <w:pPr>
      <w:spacing w:before="0" w:after="0" w:line="240" w:lineRule="auto"/>
    </w:pPr>
  </w:style>
  <w:style w:type="character" w:customStyle="1" w:styleId="NoteHeadingChar">
    <w:name w:val="Note Heading Char"/>
    <w:basedOn w:val="DefaultParagraphFont"/>
    <w:link w:val="NoteHeading"/>
    <w:uiPriority w:val="99"/>
    <w:semiHidden/>
    <w:rsid w:val="00A67807"/>
    <w:rPr>
      <w:rFonts w:ascii="Franklin Gothic Book" w:hAnsi="Franklin Gothic Book"/>
    </w:rPr>
  </w:style>
  <w:style w:type="paragraph" w:styleId="PlainText">
    <w:name w:val="Plain Text"/>
    <w:basedOn w:val="Normal"/>
    <w:link w:val="PlainTextChar"/>
    <w:uiPriority w:val="99"/>
    <w:semiHidden/>
    <w:unhideWhenUsed/>
    <w:rsid w:val="00A6780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67807"/>
    <w:rPr>
      <w:rFonts w:ascii="Consolas" w:hAnsi="Consolas"/>
      <w:sz w:val="21"/>
      <w:szCs w:val="21"/>
    </w:rPr>
  </w:style>
  <w:style w:type="paragraph" w:styleId="Salutation">
    <w:name w:val="Salutation"/>
    <w:basedOn w:val="Normal"/>
    <w:next w:val="Normal"/>
    <w:link w:val="SalutationChar"/>
    <w:uiPriority w:val="99"/>
    <w:semiHidden/>
    <w:unhideWhenUsed/>
    <w:rsid w:val="00A67807"/>
  </w:style>
  <w:style w:type="character" w:customStyle="1" w:styleId="SalutationChar">
    <w:name w:val="Salutation Char"/>
    <w:basedOn w:val="DefaultParagraphFont"/>
    <w:link w:val="Salutation"/>
    <w:uiPriority w:val="99"/>
    <w:semiHidden/>
    <w:rsid w:val="00A67807"/>
    <w:rPr>
      <w:rFonts w:ascii="Franklin Gothic Book" w:hAnsi="Franklin Gothic Book"/>
    </w:rPr>
  </w:style>
  <w:style w:type="paragraph" w:styleId="Signature">
    <w:name w:val="Signature"/>
    <w:basedOn w:val="Normal"/>
    <w:link w:val="SignatureChar"/>
    <w:uiPriority w:val="99"/>
    <w:semiHidden/>
    <w:unhideWhenUsed/>
    <w:rsid w:val="00A67807"/>
    <w:pPr>
      <w:spacing w:before="0" w:after="0" w:line="240" w:lineRule="auto"/>
      <w:ind w:left="4320"/>
    </w:pPr>
  </w:style>
  <w:style w:type="character" w:customStyle="1" w:styleId="SignatureChar">
    <w:name w:val="Signature Char"/>
    <w:basedOn w:val="DefaultParagraphFont"/>
    <w:link w:val="Signature"/>
    <w:uiPriority w:val="99"/>
    <w:semiHidden/>
    <w:rsid w:val="00A67807"/>
    <w:rPr>
      <w:rFonts w:ascii="Franklin Gothic Book" w:hAnsi="Franklin Gothic Book"/>
    </w:rPr>
  </w:style>
  <w:style w:type="paragraph" w:styleId="TableofAuthorities">
    <w:name w:val="table of authorities"/>
    <w:basedOn w:val="Normal"/>
    <w:next w:val="Normal"/>
    <w:uiPriority w:val="99"/>
    <w:semiHidden/>
    <w:unhideWhenUsed/>
    <w:rsid w:val="00A67807"/>
    <w:pPr>
      <w:spacing w:after="0"/>
      <w:ind w:left="220" w:hanging="220"/>
    </w:pPr>
  </w:style>
  <w:style w:type="paragraph" w:styleId="TableofFigures">
    <w:name w:val="table of figures"/>
    <w:basedOn w:val="Normal"/>
    <w:next w:val="Normal"/>
    <w:uiPriority w:val="99"/>
    <w:semiHidden/>
    <w:unhideWhenUsed/>
    <w:rsid w:val="00A67807"/>
    <w:pPr>
      <w:spacing w:after="0"/>
    </w:pPr>
  </w:style>
  <w:style w:type="paragraph" w:styleId="TOAHeading">
    <w:name w:val="toa heading"/>
    <w:basedOn w:val="Normal"/>
    <w:next w:val="Normal"/>
    <w:uiPriority w:val="99"/>
    <w:semiHidden/>
    <w:unhideWhenUsed/>
    <w:rsid w:val="00A67807"/>
    <w:rPr>
      <w:rFonts w:asciiTheme="majorHAnsi" w:eastAsiaTheme="majorEastAsia" w:hAnsiTheme="majorHAnsi" w:cstheme="majorBidi"/>
      <w:b/>
      <w:bCs/>
      <w:sz w:val="24"/>
      <w:szCs w:val="24"/>
    </w:rPr>
  </w:style>
  <w:style w:type="character" w:customStyle="1" w:styleId="wacimagecontainer">
    <w:name w:val="wacimagecontainer"/>
    <w:basedOn w:val="DefaultParagraphFont"/>
    <w:rsid w:val="00A67807"/>
  </w:style>
  <w:style w:type="character" w:customStyle="1" w:styleId="normaltextrun">
    <w:name w:val="normaltextrun"/>
    <w:basedOn w:val="DefaultParagraphFont"/>
    <w:rsid w:val="00A67807"/>
  </w:style>
  <w:style w:type="character" w:customStyle="1" w:styleId="eop">
    <w:name w:val="eop"/>
    <w:basedOn w:val="DefaultParagraphFont"/>
    <w:rsid w:val="00A67807"/>
  </w:style>
  <w:style w:type="paragraph" w:customStyle="1" w:styleId="paragraph">
    <w:name w:val="paragraph"/>
    <w:basedOn w:val="Normal"/>
    <w:rsid w:val="00A678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b-2">
    <w:name w:val="pb-2"/>
    <w:basedOn w:val="Normal"/>
    <w:rsid w:val="009843E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issue-underline">
    <w:name w:val="issue-underline"/>
    <w:basedOn w:val="DefaultParagraphFont"/>
    <w:rsid w:val="009843EC"/>
  </w:style>
  <w:style w:type="paragraph" w:customStyle="1" w:styleId="EndNoteBibliographyTitle">
    <w:name w:val="EndNote Bibliography Title"/>
    <w:basedOn w:val="Normal"/>
    <w:link w:val="EndNoteBibliographyTitleChar"/>
    <w:rsid w:val="00D7016A"/>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7016A"/>
    <w:rPr>
      <w:rFonts w:ascii="Franklin Gothic Book" w:hAnsi="Franklin Gothic Book"/>
      <w:noProof/>
      <w:lang w:val="en-US"/>
    </w:rPr>
  </w:style>
  <w:style w:type="paragraph" w:customStyle="1" w:styleId="EndNoteBibliography">
    <w:name w:val="EndNote Bibliography"/>
    <w:basedOn w:val="Normal"/>
    <w:link w:val="EndNoteBibliographyChar"/>
    <w:rsid w:val="00D7016A"/>
    <w:pPr>
      <w:spacing w:line="240" w:lineRule="auto"/>
    </w:pPr>
    <w:rPr>
      <w:noProof/>
      <w:lang w:val="en-US"/>
    </w:rPr>
  </w:style>
  <w:style w:type="character" w:customStyle="1" w:styleId="EndNoteBibliographyChar">
    <w:name w:val="EndNote Bibliography Char"/>
    <w:basedOn w:val="DefaultParagraphFont"/>
    <w:link w:val="EndNoteBibliography"/>
    <w:rsid w:val="00D7016A"/>
    <w:rPr>
      <w:rFonts w:ascii="Franklin Gothic Book" w:hAnsi="Franklin Gothic Book"/>
      <w:noProof/>
      <w:lang w:val="en-US"/>
    </w:rPr>
  </w:style>
  <w:style w:type="numbering" w:customStyle="1" w:styleId="CurrentList1">
    <w:name w:val="Current List1"/>
    <w:uiPriority w:val="99"/>
    <w:rsid w:val="00AE4068"/>
    <w:pPr>
      <w:numPr>
        <w:numId w:val="33"/>
      </w:numPr>
    </w:pPr>
  </w:style>
  <w:style w:type="paragraph" w:customStyle="1" w:styleId="BulletBeforeDash">
    <w:name w:val="BulletBeforeDash"/>
    <w:basedOn w:val="Normal"/>
    <w:rsid w:val="00142B86"/>
    <w:pPr>
      <w:numPr>
        <w:numId w:val="34"/>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142B86"/>
    <w:pPr>
      <w:numPr>
        <w:numId w:val="3"/>
      </w:numPr>
      <w:spacing w:before="0" w:after="24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142B86"/>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142B86"/>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142B86"/>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142B86"/>
    <w:pPr>
      <w:numPr>
        <w:numId w:val="36"/>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oxDash">
    <w:name w:val="BoxDash"/>
    <w:basedOn w:val="BoxBullet"/>
    <w:rsid w:val="00142B86"/>
    <w:pPr>
      <w:numPr>
        <w:numId w:val="35"/>
      </w:numPr>
    </w:pPr>
  </w:style>
  <w:style w:type="table" w:customStyle="1" w:styleId="ASDTable1">
    <w:name w:val="ASD Table1"/>
    <w:basedOn w:val="TableNormal"/>
    <w:next w:val="TableGrid"/>
    <w:uiPriority w:val="39"/>
    <w:rsid w:val="005D5A5A"/>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FA283C"/>
    <w:pPr>
      <w:numPr>
        <w:numId w:val="39"/>
      </w:numPr>
    </w:pPr>
  </w:style>
  <w:style w:type="paragraph" w:customStyle="1" w:styleId="InstructionalText0">
    <w:name w:val="Instructional Text"/>
    <w:basedOn w:val="MSACESParagraph"/>
    <w:link w:val="InstructionalTextChar0"/>
    <w:uiPriority w:val="3"/>
    <w:qFormat/>
    <w:rsid w:val="00FA283C"/>
    <w:pPr>
      <w:jc w:val="both"/>
    </w:pPr>
    <w:rPr>
      <w:rFonts w:asciiTheme="minorHAnsi" w:hAnsiTheme="minorHAnsi" w:cstheme="minorHAnsi"/>
      <w:color w:val="3366FF"/>
    </w:rPr>
  </w:style>
  <w:style w:type="character" w:customStyle="1" w:styleId="InstructionalTextChar0">
    <w:name w:val="Instructional Text Char"/>
    <w:basedOn w:val="DefaultParagraphFont"/>
    <w:link w:val="InstructionalText0"/>
    <w:uiPriority w:val="3"/>
    <w:rsid w:val="00FA283C"/>
    <w:rPr>
      <w:rFonts w:cstheme="minorHAnsi"/>
      <w:color w:val="3366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774">
      <w:bodyDiv w:val="1"/>
      <w:marLeft w:val="0"/>
      <w:marRight w:val="0"/>
      <w:marTop w:val="0"/>
      <w:marBottom w:val="0"/>
      <w:divBdr>
        <w:top w:val="none" w:sz="0" w:space="0" w:color="auto"/>
        <w:left w:val="none" w:sz="0" w:space="0" w:color="auto"/>
        <w:bottom w:val="none" w:sz="0" w:space="0" w:color="auto"/>
        <w:right w:val="none" w:sz="0" w:space="0" w:color="auto"/>
      </w:divBdr>
    </w:div>
    <w:div w:id="14160931">
      <w:bodyDiv w:val="1"/>
      <w:marLeft w:val="0"/>
      <w:marRight w:val="0"/>
      <w:marTop w:val="0"/>
      <w:marBottom w:val="0"/>
      <w:divBdr>
        <w:top w:val="none" w:sz="0" w:space="0" w:color="auto"/>
        <w:left w:val="none" w:sz="0" w:space="0" w:color="auto"/>
        <w:bottom w:val="none" w:sz="0" w:space="0" w:color="auto"/>
        <w:right w:val="none" w:sz="0" w:space="0" w:color="auto"/>
      </w:divBdr>
      <w:divsChild>
        <w:div w:id="1098015641">
          <w:marLeft w:val="0"/>
          <w:marRight w:val="0"/>
          <w:marTop w:val="0"/>
          <w:marBottom w:val="0"/>
          <w:divBdr>
            <w:top w:val="none" w:sz="0" w:space="0" w:color="auto"/>
            <w:left w:val="none" w:sz="0" w:space="0" w:color="auto"/>
            <w:bottom w:val="none" w:sz="0" w:space="0" w:color="auto"/>
            <w:right w:val="none" w:sz="0" w:space="0" w:color="auto"/>
          </w:divBdr>
          <w:divsChild>
            <w:div w:id="295839565">
              <w:marLeft w:val="0"/>
              <w:marRight w:val="0"/>
              <w:marTop w:val="0"/>
              <w:marBottom w:val="0"/>
              <w:divBdr>
                <w:top w:val="none" w:sz="0" w:space="0" w:color="auto"/>
                <w:left w:val="none" w:sz="0" w:space="0" w:color="auto"/>
                <w:bottom w:val="none" w:sz="0" w:space="0" w:color="auto"/>
                <w:right w:val="none" w:sz="0" w:space="0" w:color="auto"/>
              </w:divBdr>
              <w:divsChild>
                <w:div w:id="397285418">
                  <w:marLeft w:val="0"/>
                  <w:marRight w:val="0"/>
                  <w:marTop w:val="0"/>
                  <w:marBottom w:val="0"/>
                  <w:divBdr>
                    <w:top w:val="none" w:sz="0" w:space="0" w:color="auto"/>
                    <w:left w:val="none" w:sz="0" w:space="0" w:color="auto"/>
                    <w:bottom w:val="none" w:sz="0" w:space="0" w:color="auto"/>
                    <w:right w:val="none" w:sz="0" w:space="0" w:color="auto"/>
                  </w:divBdr>
                  <w:divsChild>
                    <w:div w:id="899289567">
                      <w:marLeft w:val="0"/>
                      <w:marRight w:val="0"/>
                      <w:marTop w:val="0"/>
                      <w:marBottom w:val="0"/>
                      <w:divBdr>
                        <w:top w:val="none" w:sz="0" w:space="0" w:color="auto"/>
                        <w:left w:val="none" w:sz="0" w:space="0" w:color="auto"/>
                        <w:bottom w:val="none" w:sz="0" w:space="0" w:color="auto"/>
                        <w:right w:val="none" w:sz="0" w:space="0" w:color="auto"/>
                      </w:divBdr>
                      <w:divsChild>
                        <w:div w:id="148596851">
                          <w:marLeft w:val="0"/>
                          <w:marRight w:val="0"/>
                          <w:marTop w:val="0"/>
                          <w:marBottom w:val="0"/>
                          <w:divBdr>
                            <w:top w:val="none" w:sz="0" w:space="0" w:color="auto"/>
                            <w:left w:val="none" w:sz="0" w:space="0" w:color="auto"/>
                            <w:bottom w:val="none" w:sz="0" w:space="0" w:color="auto"/>
                            <w:right w:val="none" w:sz="0" w:space="0" w:color="auto"/>
                          </w:divBdr>
                          <w:divsChild>
                            <w:div w:id="505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037">
      <w:bodyDiv w:val="1"/>
      <w:marLeft w:val="0"/>
      <w:marRight w:val="0"/>
      <w:marTop w:val="0"/>
      <w:marBottom w:val="0"/>
      <w:divBdr>
        <w:top w:val="none" w:sz="0" w:space="0" w:color="auto"/>
        <w:left w:val="none" w:sz="0" w:space="0" w:color="auto"/>
        <w:bottom w:val="none" w:sz="0" w:space="0" w:color="auto"/>
        <w:right w:val="none" w:sz="0" w:space="0" w:color="auto"/>
      </w:divBdr>
    </w:div>
    <w:div w:id="22168776">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29578536">
      <w:bodyDiv w:val="1"/>
      <w:marLeft w:val="0"/>
      <w:marRight w:val="0"/>
      <w:marTop w:val="0"/>
      <w:marBottom w:val="0"/>
      <w:divBdr>
        <w:top w:val="none" w:sz="0" w:space="0" w:color="auto"/>
        <w:left w:val="none" w:sz="0" w:space="0" w:color="auto"/>
        <w:bottom w:val="none" w:sz="0" w:space="0" w:color="auto"/>
        <w:right w:val="none" w:sz="0" w:space="0" w:color="auto"/>
      </w:divBdr>
    </w:div>
    <w:div w:id="55856745">
      <w:bodyDiv w:val="1"/>
      <w:marLeft w:val="0"/>
      <w:marRight w:val="0"/>
      <w:marTop w:val="0"/>
      <w:marBottom w:val="0"/>
      <w:divBdr>
        <w:top w:val="none" w:sz="0" w:space="0" w:color="auto"/>
        <w:left w:val="none" w:sz="0" w:space="0" w:color="auto"/>
        <w:bottom w:val="none" w:sz="0" w:space="0" w:color="auto"/>
        <w:right w:val="none" w:sz="0" w:space="0" w:color="auto"/>
      </w:divBdr>
    </w:div>
    <w:div w:id="65346148">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82533716">
      <w:bodyDiv w:val="1"/>
      <w:marLeft w:val="0"/>
      <w:marRight w:val="0"/>
      <w:marTop w:val="0"/>
      <w:marBottom w:val="0"/>
      <w:divBdr>
        <w:top w:val="none" w:sz="0" w:space="0" w:color="auto"/>
        <w:left w:val="none" w:sz="0" w:space="0" w:color="auto"/>
        <w:bottom w:val="none" w:sz="0" w:space="0" w:color="auto"/>
        <w:right w:val="none" w:sz="0" w:space="0" w:color="auto"/>
      </w:divBdr>
    </w:div>
    <w:div w:id="110249998">
      <w:bodyDiv w:val="1"/>
      <w:marLeft w:val="0"/>
      <w:marRight w:val="0"/>
      <w:marTop w:val="0"/>
      <w:marBottom w:val="0"/>
      <w:divBdr>
        <w:top w:val="none" w:sz="0" w:space="0" w:color="auto"/>
        <w:left w:val="none" w:sz="0" w:space="0" w:color="auto"/>
        <w:bottom w:val="none" w:sz="0" w:space="0" w:color="auto"/>
        <w:right w:val="none" w:sz="0" w:space="0" w:color="auto"/>
      </w:divBdr>
      <w:divsChild>
        <w:div w:id="450251564">
          <w:marLeft w:val="0"/>
          <w:marRight w:val="0"/>
          <w:marTop w:val="0"/>
          <w:marBottom w:val="0"/>
          <w:divBdr>
            <w:top w:val="none" w:sz="0" w:space="0" w:color="auto"/>
            <w:left w:val="none" w:sz="0" w:space="0" w:color="auto"/>
            <w:bottom w:val="none" w:sz="0" w:space="0" w:color="auto"/>
            <w:right w:val="none" w:sz="0" w:space="0" w:color="auto"/>
          </w:divBdr>
          <w:divsChild>
            <w:div w:id="1109399868">
              <w:marLeft w:val="0"/>
              <w:marRight w:val="0"/>
              <w:marTop w:val="0"/>
              <w:marBottom w:val="0"/>
              <w:divBdr>
                <w:top w:val="none" w:sz="0" w:space="0" w:color="auto"/>
                <w:left w:val="none" w:sz="0" w:space="0" w:color="auto"/>
                <w:bottom w:val="none" w:sz="0" w:space="0" w:color="auto"/>
                <w:right w:val="none" w:sz="0" w:space="0" w:color="auto"/>
              </w:divBdr>
              <w:divsChild>
                <w:div w:id="1755857973">
                  <w:marLeft w:val="0"/>
                  <w:marRight w:val="0"/>
                  <w:marTop w:val="0"/>
                  <w:marBottom w:val="0"/>
                  <w:divBdr>
                    <w:top w:val="none" w:sz="0" w:space="0" w:color="auto"/>
                    <w:left w:val="none" w:sz="0" w:space="0" w:color="auto"/>
                    <w:bottom w:val="none" w:sz="0" w:space="0" w:color="auto"/>
                    <w:right w:val="none" w:sz="0" w:space="0" w:color="auto"/>
                  </w:divBdr>
                  <w:divsChild>
                    <w:div w:id="2080706941">
                      <w:marLeft w:val="0"/>
                      <w:marRight w:val="0"/>
                      <w:marTop w:val="0"/>
                      <w:marBottom w:val="0"/>
                      <w:divBdr>
                        <w:top w:val="none" w:sz="0" w:space="0" w:color="auto"/>
                        <w:left w:val="none" w:sz="0" w:space="0" w:color="auto"/>
                        <w:bottom w:val="none" w:sz="0" w:space="0" w:color="auto"/>
                        <w:right w:val="none" w:sz="0" w:space="0" w:color="auto"/>
                      </w:divBdr>
                      <w:divsChild>
                        <w:div w:id="1803692488">
                          <w:marLeft w:val="0"/>
                          <w:marRight w:val="0"/>
                          <w:marTop w:val="0"/>
                          <w:marBottom w:val="0"/>
                          <w:divBdr>
                            <w:top w:val="none" w:sz="0" w:space="0" w:color="auto"/>
                            <w:left w:val="none" w:sz="0" w:space="0" w:color="auto"/>
                            <w:bottom w:val="none" w:sz="0" w:space="0" w:color="auto"/>
                            <w:right w:val="none" w:sz="0" w:space="0" w:color="auto"/>
                          </w:divBdr>
                          <w:divsChild>
                            <w:div w:id="379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42616">
      <w:bodyDiv w:val="1"/>
      <w:marLeft w:val="0"/>
      <w:marRight w:val="0"/>
      <w:marTop w:val="0"/>
      <w:marBottom w:val="0"/>
      <w:divBdr>
        <w:top w:val="none" w:sz="0" w:space="0" w:color="auto"/>
        <w:left w:val="none" w:sz="0" w:space="0" w:color="auto"/>
        <w:bottom w:val="none" w:sz="0" w:space="0" w:color="auto"/>
        <w:right w:val="none" w:sz="0" w:space="0" w:color="auto"/>
      </w:divBdr>
    </w:div>
    <w:div w:id="119614866">
      <w:bodyDiv w:val="1"/>
      <w:marLeft w:val="0"/>
      <w:marRight w:val="0"/>
      <w:marTop w:val="0"/>
      <w:marBottom w:val="0"/>
      <w:divBdr>
        <w:top w:val="none" w:sz="0" w:space="0" w:color="auto"/>
        <w:left w:val="none" w:sz="0" w:space="0" w:color="auto"/>
        <w:bottom w:val="none" w:sz="0" w:space="0" w:color="auto"/>
        <w:right w:val="none" w:sz="0" w:space="0" w:color="auto"/>
      </w:divBdr>
    </w:div>
    <w:div w:id="145242268">
      <w:bodyDiv w:val="1"/>
      <w:marLeft w:val="0"/>
      <w:marRight w:val="0"/>
      <w:marTop w:val="0"/>
      <w:marBottom w:val="0"/>
      <w:divBdr>
        <w:top w:val="none" w:sz="0" w:space="0" w:color="auto"/>
        <w:left w:val="none" w:sz="0" w:space="0" w:color="auto"/>
        <w:bottom w:val="none" w:sz="0" w:space="0" w:color="auto"/>
        <w:right w:val="none" w:sz="0" w:space="0" w:color="auto"/>
      </w:divBdr>
    </w:div>
    <w:div w:id="169151238">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1596490">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08346146">
      <w:bodyDiv w:val="1"/>
      <w:marLeft w:val="0"/>
      <w:marRight w:val="0"/>
      <w:marTop w:val="0"/>
      <w:marBottom w:val="0"/>
      <w:divBdr>
        <w:top w:val="none" w:sz="0" w:space="0" w:color="auto"/>
        <w:left w:val="none" w:sz="0" w:space="0" w:color="auto"/>
        <w:bottom w:val="none" w:sz="0" w:space="0" w:color="auto"/>
        <w:right w:val="none" w:sz="0" w:space="0" w:color="auto"/>
      </w:divBdr>
      <w:divsChild>
        <w:div w:id="2127847911">
          <w:marLeft w:val="0"/>
          <w:marRight w:val="0"/>
          <w:marTop w:val="0"/>
          <w:marBottom w:val="0"/>
          <w:divBdr>
            <w:top w:val="none" w:sz="0" w:space="0" w:color="auto"/>
            <w:left w:val="none" w:sz="0" w:space="0" w:color="auto"/>
            <w:bottom w:val="none" w:sz="0" w:space="0" w:color="auto"/>
            <w:right w:val="none" w:sz="0" w:space="0" w:color="auto"/>
          </w:divBdr>
          <w:divsChild>
            <w:div w:id="756678679">
              <w:marLeft w:val="0"/>
              <w:marRight w:val="0"/>
              <w:marTop w:val="0"/>
              <w:marBottom w:val="0"/>
              <w:divBdr>
                <w:top w:val="none" w:sz="0" w:space="0" w:color="auto"/>
                <w:left w:val="none" w:sz="0" w:space="0" w:color="auto"/>
                <w:bottom w:val="none" w:sz="0" w:space="0" w:color="auto"/>
                <w:right w:val="none" w:sz="0" w:space="0" w:color="auto"/>
              </w:divBdr>
              <w:divsChild>
                <w:div w:id="1823420797">
                  <w:marLeft w:val="0"/>
                  <w:marRight w:val="0"/>
                  <w:marTop w:val="0"/>
                  <w:marBottom w:val="0"/>
                  <w:divBdr>
                    <w:top w:val="none" w:sz="0" w:space="0" w:color="auto"/>
                    <w:left w:val="none" w:sz="0" w:space="0" w:color="auto"/>
                    <w:bottom w:val="none" w:sz="0" w:space="0" w:color="auto"/>
                    <w:right w:val="none" w:sz="0" w:space="0" w:color="auto"/>
                  </w:divBdr>
                  <w:divsChild>
                    <w:div w:id="181012326">
                      <w:marLeft w:val="0"/>
                      <w:marRight w:val="0"/>
                      <w:marTop w:val="0"/>
                      <w:marBottom w:val="0"/>
                      <w:divBdr>
                        <w:top w:val="none" w:sz="0" w:space="0" w:color="auto"/>
                        <w:left w:val="none" w:sz="0" w:space="0" w:color="auto"/>
                        <w:bottom w:val="none" w:sz="0" w:space="0" w:color="auto"/>
                        <w:right w:val="none" w:sz="0" w:space="0" w:color="auto"/>
                      </w:divBdr>
                      <w:divsChild>
                        <w:div w:id="1765344753">
                          <w:marLeft w:val="0"/>
                          <w:marRight w:val="0"/>
                          <w:marTop w:val="0"/>
                          <w:marBottom w:val="0"/>
                          <w:divBdr>
                            <w:top w:val="none" w:sz="0" w:space="0" w:color="auto"/>
                            <w:left w:val="none" w:sz="0" w:space="0" w:color="auto"/>
                            <w:bottom w:val="none" w:sz="0" w:space="0" w:color="auto"/>
                            <w:right w:val="none" w:sz="0" w:space="0" w:color="auto"/>
                          </w:divBdr>
                          <w:divsChild>
                            <w:div w:id="12049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122145">
      <w:bodyDiv w:val="1"/>
      <w:marLeft w:val="0"/>
      <w:marRight w:val="0"/>
      <w:marTop w:val="0"/>
      <w:marBottom w:val="0"/>
      <w:divBdr>
        <w:top w:val="none" w:sz="0" w:space="0" w:color="auto"/>
        <w:left w:val="none" w:sz="0" w:space="0" w:color="auto"/>
        <w:bottom w:val="none" w:sz="0" w:space="0" w:color="auto"/>
        <w:right w:val="none" w:sz="0" w:space="0" w:color="auto"/>
      </w:divBdr>
    </w:div>
    <w:div w:id="230576631">
      <w:bodyDiv w:val="1"/>
      <w:marLeft w:val="0"/>
      <w:marRight w:val="0"/>
      <w:marTop w:val="0"/>
      <w:marBottom w:val="0"/>
      <w:divBdr>
        <w:top w:val="none" w:sz="0" w:space="0" w:color="auto"/>
        <w:left w:val="none" w:sz="0" w:space="0" w:color="auto"/>
        <w:bottom w:val="none" w:sz="0" w:space="0" w:color="auto"/>
        <w:right w:val="none" w:sz="0" w:space="0" w:color="auto"/>
      </w:divBdr>
      <w:divsChild>
        <w:div w:id="887381536">
          <w:marLeft w:val="0"/>
          <w:marRight w:val="0"/>
          <w:marTop w:val="0"/>
          <w:marBottom w:val="0"/>
          <w:divBdr>
            <w:top w:val="none" w:sz="0" w:space="0" w:color="auto"/>
            <w:left w:val="none" w:sz="0" w:space="0" w:color="auto"/>
            <w:bottom w:val="none" w:sz="0" w:space="0" w:color="auto"/>
            <w:right w:val="none" w:sz="0" w:space="0" w:color="auto"/>
          </w:divBdr>
          <w:divsChild>
            <w:div w:id="2319686">
              <w:marLeft w:val="0"/>
              <w:marRight w:val="0"/>
              <w:marTop w:val="0"/>
              <w:marBottom w:val="0"/>
              <w:divBdr>
                <w:top w:val="none" w:sz="0" w:space="0" w:color="auto"/>
                <w:left w:val="none" w:sz="0" w:space="0" w:color="auto"/>
                <w:bottom w:val="none" w:sz="0" w:space="0" w:color="auto"/>
                <w:right w:val="none" w:sz="0" w:space="0" w:color="auto"/>
              </w:divBdr>
            </w:div>
            <w:div w:id="278803935">
              <w:marLeft w:val="0"/>
              <w:marRight w:val="0"/>
              <w:marTop w:val="0"/>
              <w:marBottom w:val="0"/>
              <w:divBdr>
                <w:top w:val="none" w:sz="0" w:space="0" w:color="auto"/>
                <w:left w:val="none" w:sz="0" w:space="0" w:color="auto"/>
                <w:bottom w:val="none" w:sz="0" w:space="0" w:color="auto"/>
                <w:right w:val="none" w:sz="0" w:space="0" w:color="auto"/>
              </w:divBdr>
            </w:div>
            <w:div w:id="413430916">
              <w:marLeft w:val="0"/>
              <w:marRight w:val="0"/>
              <w:marTop w:val="0"/>
              <w:marBottom w:val="0"/>
              <w:divBdr>
                <w:top w:val="none" w:sz="0" w:space="0" w:color="auto"/>
                <w:left w:val="none" w:sz="0" w:space="0" w:color="auto"/>
                <w:bottom w:val="none" w:sz="0" w:space="0" w:color="auto"/>
                <w:right w:val="none" w:sz="0" w:space="0" w:color="auto"/>
              </w:divBdr>
            </w:div>
            <w:div w:id="590047622">
              <w:marLeft w:val="0"/>
              <w:marRight w:val="0"/>
              <w:marTop w:val="0"/>
              <w:marBottom w:val="0"/>
              <w:divBdr>
                <w:top w:val="none" w:sz="0" w:space="0" w:color="auto"/>
                <w:left w:val="none" w:sz="0" w:space="0" w:color="auto"/>
                <w:bottom w:val="none" w:sz="0" w:space="0" w:color="auto"/>
                <w:right w:val="none" w:sz="0" w:space="0" w:color="auto"/>
              </w:divBdr>
            </w:div>
            <w:div w:id="824127544">
              <w:marLeft w:val="0"/>
              <w:marRight w:val="0"/>
              <w:marTop w:val="0"/>
              <w:marBottom w:val="0"/>
              <w:divBdr>
                <w:top w:val="none" w:sz="0" w:space="0" w:color="auto"/>
                <w:left w:val="none" w:sz="0" w:space="0" w:color="auto"/>
                <w:bottom w:val="none" w:sz="0" w:space="0" w:color="auto"/>
                <w:right w:val="none" w:sz="0" w:space="0" w:color="auto"/>
              </w:divBdr>
            </w:div>
            <w:div w:id="968976798">
              <w:marLeft w:val="0"/>
              <w:marRight w:val="0"/>
              <w:marTop w:val="0"/>
              <w:marBottom w:val="0"/>
              <w:divBdr>
                <w:top w:val="none" w:sz="0" w:space="0" w:color="auto"/>
                <w:left w:val="none" w:sz="0" w:space="0" w:color="auto"/>
                <w:bottom w:val="none" w:sz="0" w:space="0" w:color="auto"/>
                <w:right w:val="none" w:sz="0" w:space="0" w:color="auto"/>
              </w:divBdr>
            </w:div>
            <w:div w:id="1025057867">
              <w:marLeft w:val="0"/>
              <w:marRight w:val="0"/>
              <w:marTop w:val="0"/>
              <w:marBottom w:val="0"/>
              <w:divBdr>
                <w:top w:val="none" w:sz="0" w:space="0" w:color="auto"/>
                <w:left w:val="none" w:sz="0" w:space="0" w:color="auto"/>
                <w:bottom w:val="none" w:sz="0" w:space="0" w:color="auto"/>
                <w:right w:val="none" w:sz="0" w:space="0" w:color="auto"/>
              </w:divBdr>
            </w:div>
            <w:div w:id="1059786349">
              <w:marLeft w:val="0"/>
              <w:marRight w:val="0"/>
              <w:marTop w:val="0"/>
              <w:marBottom w:val="0"/>
              <w:divBdr>
                <w:top w:val="none" w:sz="0" w:space="0" w:color="auto"/>
                <w:left w:val="none" w:sz="0" w:space="0" w:color="auto"/>
                <w:bottom w:val="none" w:sz="0" w:space="0" w:color="auto"/>
                <w:right w:val="none" w:sz="0" w:space="0" w:color="auto"/>
              </w:divBdr>
            </w:div>
            <w:div w:id="1172329753">
              <w:marLeft w:val="0"/>
              <w:marRight w:val="0"/>
              <w:marTop w:val="0"/>
              <w:marBottom w:val="0"/>
              <w:divBdr>
                <w:top w:val="none" w:sz="0" w:space="0" w:color="auto"/>
                <w:left w:val="none" w:sz="0" w:space="0" w:color="auto"/>
                <w:bottom w:val="none" w:sz="0" w:space="0" w:color="auto"/>
                <w:right w:val="none" w:sz="0" w:space="0" w:color="auto"/>
              </w:divBdr>
            </w:div>
            <w:div w:id="1250576261">
              <w:marLeft w:val="0"/>
              <w:marRight w:val="0"/>
              <w:marTop w:val="0"/>
              <w:marBottom w:val="0"/>
              <w:divBdr>
                <w:top w:val="none" w:sz="0" w:space="0" w:color="auto"/>
                <w:left w:val="none" w:sz="0" w:space="0" w:color="auto"/>
                <w:bottom w:val="none" w:sz="0" w:space="0" w:color="auto"/>
                <w:right w:val="none" w:sz="0" w:space="0" w:color="auto"/>
              </w:divBdr>
            </w:div>
            <w:div w:id="1353265974">
              <w:marLeft w:val="0"/>
              <w:marRight w:val="0"/>
              <w:marTop w:val="0"/>
              <w:marBottom w:val="0"/>
              <w:divBdr>
                <w:top w:val="none" w:sz="0" w:space="0" w:color="auto"/>
                <w:left w:val="none" w:sz="0" w:space="0" w:color="auto"/>
                <w:bottom w:val="none" w:sz="0" w:space="0" w:color="auto"/>
                <w:right w:val="none" w:sz="0" w:space="0" w:color="auto"/>
              </w:divBdr>
            </w:div>
            <w:div w:id="1434937537">
              <w:marLeft w:val="0"/>
              <w:marRight w:val="0"/>
              <w:marTop w:val="0"/>
              <w:marBottom w:val="0"/>
              <w:divBdr>
                <w:top w:val="none" w:sz="0" w:space="0" w:color="auto"/>
                <w:left w:val="none" w:sz="0" w:space="0" w:color="auto"/>
                <w:bottom w:val="none" w:sz="0" w:space="0" w:color="auto"/>
                <w:right w:val="none" w:sz="0" w:space="0" w:color="auto"/>
              </w:divBdr>
            </w:div>
            <w:div w:id="1662081682">
              <w:marLeft w:val="0"/>
              <w:marRight w:val="0"/>
              <w:marTop w:val="0"/>
              <w:marBottom w:val="0"/>
              <w:divBdr>
                <w:top w:val="none" w:sz="0" w:space="0" w:color="auto"/>
                <w:left w:val="none" w:sz="0" w:space="0" w:color="auto"/>
                <w:bottom w:val="none" w:sz="0" w:space="0" w:color="auto"/>
                <w:right w:val="none" w:sz="0" w:space="0" w:color="auto"/>
              </w:divBdr>
            </w:div>
            <w:div w:id="1662460724">
              <w:marLeft w:val="0"/>
              <w:marRight w:val="0"/>
              <w:marTop w:val="0"/>
              <w:marBottom w:val="0"/>
              <w:divBdr>
                <w:top w:val="none" w:sz="0" w:space="0" w:color="auto"/>
                <w:left w:val="none" w:sz="0" w:space="0" w:color="auto"/>
                <w:bottom w:val="none" w:sz="0" w:space="0" w:color="auto"/>
                <w:right w:val="none" w:sz="0" w:space="0" w:color="auto"/>
              </w:divBdr>
            </w:div>
            <w:div w:id="1714378762">
              <w:marLeft w:val="0"/>
              <w:marRight w:val="0"/>
              <w:marTop w:val="0"/>
              <w:marBottom w:val="0"/>
              <w:divBdr>
                <w:top w:val="none" w:sz="0" w:space="0" w:color="auto"/>
                <w:left w:val="none" w:sz="0" w:space="0" w:color="auto"/>
                <w:bottom w:val="none" w:sz="0" w:space="0" w:color="auto"/>
                <w:right w:val="none" w:sz="0" w:space="0" w:color="auto"/>
              </w:divBdr>
            </w:div>
            <w:div w:id="1754663244">
              <w:marLeft w:val="0"/>
              <w:marRight w:val="0"/>
              <w:marTop w:val="0"/>
              <w:marBottom w:val="0"/>
              <w:divBdr>
                <w:top w:val="none" w:sz="0" w:space="0" w:color="auto"/>
                <w:left w:val="none" w:sz="0" w:space="0" w:color="auto"/>
                <w:bottom w:val="none" w:sz="0" w:space="0" w:color="auto"/>
                <w:right w:val="none" w:sz="0" w:space="0" w:color="auto"/>
              </w:divBdr>
            </w:div>
            <w:div w:id="1960256614">
              <w:marLeft w:val="0"/>
              <w:marRight w:val="0"/>
              <w:marTop w:val="0"/>
              <w:marBottom w:val="0"/>
              <w:divBdr>
                <w:top w:val="none" w:sz="0" w:space="0" w:color="auto"/>
                <w:left w:val="none" w:sz="0" w:space="0" w:color="auto"/>
                <w:bottom w:val="none" w:sz="0" w:space="0" w:color="auto"/>
                <w:right w:val="none" w:sz="0" w:space="0" w:color="auto"/>
              </w:divBdr>
            </w:div>
            <w:div w:id="2040231391">
              <w:marLeft w:val="0"/>
              <w:marRight w:val="0"/>
              <w:marTop w:val="0"/>
              <w:marBottom w:val="0"/>
              <w:divBdr>
                <w:top w:val="none" w:sz="0" w:space="0" w:color="auto"/>
                <w:left w:val="none" w:sz="0" w:space="0" w:color="auto"/>
                <w:bottom w:val="none" w:sz="0" w:space="0" w:color="auto"/>
                <w:right w:val="none" w:sz="0" w:space="0" w:color="auto"/>
              </w:divBdr>
            </w:div>
          </w:divsChild>
        </w:div>
        <w:div w:id="2061594163">
          <w:marLeft w:val="0"/>
          <w:marRight w:val="0"/>
          <w:marTop w:val="0"/>
          <w:marBottom w:val="0"/>
          <w:divBdr>
            <w:top w:val="none" w:sz="0" w:space="0" w:color="auto"/>
            <w:left w:val="none" w:sz="0" w:space="0" w:color="auto"/>
            <w:bottom w:val="none" w:sz="0" w:space="0" w:color="auto"/>
            <w:right w:val="none" w:sz="0" w:space="0" w:color="auto"/>
          </w:divBdr>
          <w:divsChild>
            <w:div w:id="57438303">
              <w:marLeft w:val="0"/>
              <w:marRight w:val="0"/>
              <w:marTop w:val="0"/>
              <w:marBottom w:val="0"/>
              <w:divBdr>
                <w:top w:val="none" w:sz="0" w:space="0" w:color="auto"/>
                <w:left w:val="none" w:sz="0" w:space="0" w:color="auto"/>
                <w:bottom w:val="none" w:sz="0" w:space="0" w:color="auto"/>
                <w:right w:val="none" w:sz="0" w:space="0" w:color="auto"/>
              </w:divBdr>
            </w:div>
            <w:div w:id="246041986">
              <w:marLeft w:val="0"/>
              <w:marRight w:val="0"/>
              <w:marTop w:val="0"/>
              <w:marBottom w:val="0"/>
              <w:divBdr>
                <w:top w:val="none" w:sz="0" w:space="0" w:color="auto"/>
                <w:left w:val="none" w:sz="0" w:space="0" w:color="auto"/>
                <w:bottom w:val="none" w:sz="0" w:space="0" w:color="auto"/>
                <w:right w:val="none" w:sz="0" w:space="0" w:color="auto"/>
              </w:divBdr>
            </w:div>
            <w:div w:id="323318450">
              <w:marLeft w:val="0"/>
              <w:marRight w:val="0"/>
              <w:marTop w:val="0"/>
              <w:marBottom w:val="0"/>
              <w:divBdr>
                <w:top w:val="none" w:sz="0" w:space="0" w:color="auto"/>
                <w:left w:val="none" w:sz="0" w:space="0" w:color="auto"/>
                <w:bottom w:val="none" w:sz="0" w:space="0" w:color="auto"/>
                <w:right w:val="none" w:sz="0" w:space="0" w:color="auto"/>
              </w:divBdr>
            </w:div>
            <w:div w:id="420877168">
              <w:marLeft w:val="0"/>
              <w:marRight w:val="0"/>
              <w:marTop w:val="0"/>
              <w:marBottom w:val="0"/>
              <w:divBdr>
                <w:top w:val="none" w:sz="0" w:space="0" w:color="auto"/>
                <w:left w:val="none" w:sz="0" w:space="0" w:color="auto"/>
                <w:bottom w:val="none" w:sz="0" w:space="0" w:color="auto"/>
                <w:right w:val="none" w:sz="0" w:space="0" w:color="auto"/>
              </w:divBdr>
            </w:div>
            <w:div w:id="472063421">
              <w:marLeft w:val="0"/>
              <w:marRight w:val="0"/>
              <w:marTop w:val="0"/>
              <w:marBottom w:val="0"/>
              <w:divBdr>
                <w:top w:val="none" w:sz="0" w:space="0" w:color="auto"/>
                <w:left w:val="none" w:sz="0" w:space="0" w:color="auto"/>
                <w:bottom w:val="none" w:sz="0" w:space="0" w:color="auto"/>
                <w:right w:val="none" w:sz="0" w:space="0" w:color="auto"/>
              </w:divBdr>
            </w:div>
            <w:div w:id="686250527">
              <w:marLeft w:val="0"/>
              <w:marRight w:val="0"/>
              <w:marTop w:val="0"/>
              <w:marBottom w:val="0"/>
              <w:divBdr>
                <w:top w:val="none" w:sz="0" w:space="0" w:color="auto"/>
                <w:left w:val="none" w:sz="0" w:space="0" w:color="auto"/>
                <w:bottom w:val="none" w:sz="0" w:space="0" w:color="auto"/>
                <w:right w:val="none" w:sz="0" w:space="0" w:color="auto"/>
              </w:divBdr>
            </w:div>
            <w:div w:id="821192858">
              <w:marLeft w:val="0"/>
              <w:marRight w:val="0"/>
              <w:marTop w:val="0"/>
              <w:marBottom w:val="0"/>
              <w:divBdr>
                <w:top w:val="none" w:sz="0" w:space="0" w:color="auto"/>
                <w:left w:val="none" w:sz="0" w:space="0" w:color="auto"/>
                <w:bottom w:val="none" w:sz="0" w:space="0" w:color="auto"/>
                <w:right w:val="none" w:sz="0" w:space="0" w:color="auto"/>
              </w:divBdr>
            </w:div>
            <w:div w:id="917595351">
              <w:marLeft w:val="0"/>
              <w:marRight w:val="0"/>
              <w:marTop w:val="0"/>
              <w:marBottom w:val="0"/>
              <w:divBdr>
                <w:top w:val="none" w:sz="0" w:space="0" w:color="auto"/>
                <w:left w:val="none" w:sz="0" w:space="0" w:color="auto"/>
                <w:bottom w:val="none" w:sz="0" w:space="0" w:color="auto"/>
                <w:right w:val="none" w:sz="0" w:space="0" w:color="auto"/>
              </w:divBdr>
            </w:div>
            <w:div w:id="995650055">
              <w:marLeft w:val="0"/>
              <w:marRight w:val="0"/>
              <w:marTop w:val="0"/>
              <w:marBottom w:val="0"/>
              <w:divBdr>
                <w:top w:val="none" w:sz="0" w:space="0" w:color="auto"/>
                <w:left w:val="none" w:sz="0" w:space="0" w:color="auto"/>
                <w:bottom w:val="none" w:sz="0" w:space="0" w:color="auto"/>
                <w:right w:val="none" w:sz="0" w:space="0" w:color="auto"/>
              </w:divBdr>
            </w:div>
            <w:div w:id="1072046592">
              <w:marLeft w:val="0"/>
              <w:marRight w:val="0"/>
              <w:marTop w:val="0"/>
              <w:marBottom w:val="0"/>
              <w:divBdr>
                <w:top w:val="none" w:sz="0" w:space="0" w:color="auto"/>
                <w:left w:val="none" w:sz="0" w:space="0" w:color="auto"/>
                <w:bottom w:val="none" w:sz="0" w:space="0" w:color="auto"/>
                <w:right w:val="none" w:sz="0" w:space="0" w:color="auto"/>
              </w:divBdr>
            </w:div>
            <w:div w:id="1229271526">
              <w:marLeft w:val="0"/>
              <w:marRight w:val="0"/>
              <w:marTop w:val="0"/>
              <w:marBottom w:val="0"/>
              <w:divBdr>
                <w:top w:val="none" w:sz="0" w:space="0" w:color="auto"/>
                <w:left w:val="none" w:sz="0" w:space="0" w:color="auto"/>
                <w:bottom w:val="none" w:sz="0" w:space="0" w:color="auto"/>
                <w:right w:val="none" w:sz="0" w:space="0" w:color="auto"/>
              </w:divBdr>
            </w:div>
            <w:div w:id="1436362656">
              <w:marLeft w:val="0"/>
              <w:marRight w:val="0"/>
              <w:marTop w:val="0"/>
              <w:marBottom w:val="0"/>
              <w:divBdr>
                <w:top w:val="none" w:sz="0" w:space="0" w:color="auto"/>
                <w:left w:val="none" w:sz="0" w:space="0" w:color="auto"/>
                <w:bottom w:val="none" w:sz="0" w:space="0" w:color="auto"/>
                <w:right w:val="none" w:sz="0" w:space="0" w:color="auto"/>
              </w:divBdr>
            </w:div>
            <w:div w:id="1743289868">
              <w:marLeft w:val="0"/>
              <w:marRight w:val="0"/>
              <w:marTop w:val="0"/>
              <w:marBottom w:val="0"/>
              <w:divBdr>
                <w:top w:val="none" w:sz="0" w:space="0" w:color="auto"/>
                <w:left w:val="none" w:sz="0" w:space="0" w:color="auto"/>
                <w:bottom w:val="none" w:sz="0" w:space="0" w:color="auto"/>
                <w:right w:val="none" w:sz="0" w:space="0" w:color="auto"/>
              </w:divBdr>
            </w:div>
            <w:div w:id="1849707510">
              <w:marLeft w:val="0"/>
              <w:marRight w:val="0"/>
              <w:marTop w:val="0"/>
              <w:marBottom w:val="0"/>
              <w:divBdr>
                <w:top w:val="none" w:sz="0" w:space="0" w:color="auto"/>
                <w:left w:val="none" w:sz="0" w:space="0" w:color="auto"/>
                <w:bottom w:val="none" w:sz="0" w:space="0" w:color="auto"/>
                <w:right w:val="none" w:sz="0" w:space="0" w:color="auto"/>
              </w:divBdr>
            </w:div>
            <w:div w:id="207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705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48780832">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92447880">
      <w:bodyDiv w:val="1"/>
      <w:marLeft w:val="0"/>
      <w:marRight w:val="0"/>
      <w:marTop w:val="0"/>
      <w:marBottom w:val="0"/>
      <w:divBdr>
        <w:top w:val="none" w:sz="0" w:space="0" w:color="auto"/>
        <w:left w:val="none" w:sz="0" w:space="0" w:color="auto"/>
        <w:bottom w:val="none" w:sz="0" w:space="0" w:color="auto"/>
        <w:right w:val="none" w:sz="0" w:space="0" w:color="auto"/>
      </w:divBdr>
      <w:divsChild>
        <w:div w:id="207883865">
          <w:marLeft w:val="0"/>
          <w:marRight w:val="0"/>
          <w:marTop w:val="0"/>
          <w:marBottom w:val="0"/>
          <w:divBdr>
            <w:top w:val="none" w:sz="0" w:space="0" w:color="auto"/>
            <w:left w:val="none" w:sz="0" w:space="0" w:color="auto"/>
            <w:bottom w:val="none" w:sz="0" w:space="0" w:color="auto"/>
            <w:right w:val="none" w:sz="0" w:space="0" w:color="auto"/>
          </w:divBdr>
          <w:divsChild>
            <w:div w:id="2503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6197">
      <w:bodyDiv w:val="1"/>
      <w:marLeft w:val="0"/>
      <w:marRight w:val="0"/>
      <w:marTop w:val="0"/>
      <w:marBottom w:val="0"/>
      <w:divBdr>
        <w:top w:val="none" w:sz="0" w:space="0" w:color="auto"/>
        <w:left w:val="none" w:sz="0" w:space="0" w:color="auto"/>
        <w:bottom w:val="none" w:sz="0" w:space="0" w:color="auto"/>
        <w:right w:val="none" w:sz="0" w:space="0" w:color="auto"/>
      </w:divBdr>
    </w:div>
    <w:div w:id="309602951">
      <w:bodyDiv w:val="1"/>
      <w:marLeft w:val="0"/>
      <w:marRight w:val="0"/>
      <w:marTop w:val="0"/>
      <w:marBottom w:val="0"/>
      <w:divBdr>
        <w:top w:val="none" w:sz="0" w:space="0" w:color="auto"/>
        <w:left w:val="none" w:sz="0" w:space="0" w:color="auto"/>
        <w:bottom w:val="none" w:sz="0" w:space="0" w:color="auto"/>
        <w:right w:val="none" w:sz="0" w:space="0" w:color="auto"/>
      </w:divBdr>
    </w:div>
    <w:div w:id="331567476">
      <w:bodyDiv w:val="1"/>
      <w:marLeft w:val="0"/>
      <w:marRight w:val="0"/>
      <w:marTop w:val="0"/>
      <w:marBottom w:val="0"/>
      <w:divBdr>
        <w:top w:val="none" w:sz="0" w:space="0" w:color="auto"/>
        <w:left w:val="none" w:sz="0" w:space="0" w:color="auto"/>
        <w:bottom w:val="none" w:sz="0" w:space="0" w:color="auto"/>
        <w:right w:val="none" w:sz="0" w:space="0" w:color="auto"/>
      </w:divBdr>
    </w:div>
    <w:div w:id="341981312">
      <w:bodyDiv w:val="1"/>
      <w:marLeft w:val="0"/>
      <w:marRight w:val="0"/>
      <w:marTop w:val="0"/>
      <w:marBottom w:val="0"/>
      <w:divBdr>
        <w:top w:val="none" w:sz="0" w:space="0" w:color="auto"/>
        <w:left w:val="none" w:sz="0" w:space="0" w:color="auto"/>
        <w:bottom w:val="none" w:sz="0" w:space="0" w:color="auto"/>
        <w:right w:val="none" w:sz="0" w:space="0" w:color="auto"/>
      </w:divBdr>
    </w:div>
    <w:div w:id="343164822">
      <w:bodyDiv w:val="1"/>
      <w:marLeft w:val="0"/>
      <w:marRight w:val="0"/>
      <w:marTop w:val="0"/>
      <w:marBottom w:val="0"/>
      <w:divBdr>
        <w:top w:val="none" w:sz="0" w:space="0" w:color="auto"/>
        <w:left w:val="none" w:sz="0" w:space="0" w:color="auto"/>
        <w:bottom w:val="none" w:sz="0" w:space="0" w:color="auto"/>
        <w:right w:val="none" w:sz="0" w:space="0" w:color="auto"/>
      </w:divBdr>
    </w:div>
    <w:div w:id="351995824">
      <w:bodyDiv w:val="1"/>
      <w:marLeft w:val="0"/>
      <w:marRight w:val="0"/>
      <w:marTop w:val="0"/>
      <w:marBottom w:val="0"/>
      <w:divBdr>
        <w:top w:val="none" w:sz="0" w:space="0" w:color="auto"/>
        <w:left w:val="none" w:sz="0" w:space="0" w:color="auto"/>
        <w:bottom w:val="none" w:sz="0" w:space="0" w:color="auto"/>
        <w:right w:val="none" w:sz="0" w:space="0" w:color="auto"/>
      </w:divBdr>
    </w:div>
    <w:div w:id="357969943">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39671197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38">
          <w:marLeft w:val="0"/>
          <w:marRight w:val="0"/>
          <w:marTop w:val="0"/>
          <w:marBottom w:val="0"/>
          <w:divBdr>
            <w:top w:val="none" w:sz="0" w:space="0" w:color="auto"/>
            <w:left w:val="none" w:sz="0" w:space="0" w:color="auto"/>
            <w:bottom w:val="none" w:sz="0" w:space="0" w:color="auto"/>
            <w:right w:val="none" w:sz="0" w:space="0" w:color="auto"/>
          </w:divBdr>
          <w:divsChild>
            <w:div w:id="1087769993">
              <w:marLeft w:val="0"/>
              <w:marRight w:val="0"/>
              <w:marTop w:val="0"/>
              <w:marBottom w:val="0"/>
              <w:divBdr>
                <w:top w:val="none" w:sz="0" w:space="0" w:color="auto"/>
                <w:left w:val="none" w:sz="0" w:space="0" w:color="auto"/>
                <w:bottom w:val="none" w:sz="0" w:space="0" w:color="auto"/>
                <w:right w:val="none" w:sz="0" w:space="0" w:color="auto"/>
              </w:divBdr>
              <w:divsChild>
                <w:div w:id="957952782">
                  <w:marLeft w:val="0"/>
                  <w:marRight w:val="0"/>
                  <w:marTop w:val="0"/>
                  <w:marBottom w:val="0"/>
                  <w:divBdr>
                    <w:top w:val="none" w:sz="0" w:space="0" w:color="auto"/>
                    <w:left w:val="none" w:sz="0" w:space="0" w:color="auto"/>
                    <w:bottom w:val="none" w:sz="0" w:space="0" w:color="auto"/>
                    <w:right w:val="none" w:sz="0" w:space="0" w:color="auto"/>
                  </w:divBdr>
                  <w:divsChild>
                    <w:div w:id="693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0874777">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2265896">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1216011">
      <w:bodyDiv w:val="1"/>
      <w:marLeft w:val="0"/>
      <w:marRight w:val="0"/>
      <w:marTop w:val="0"/>
      <w:marBottom w:val="0"/>
      <w:divBdr>
        <w:top w:val="none" w:sz="0" w:space="0" w:color="auto"/>
        <w:left w:val="none" w:sz="0" w:space="0" w:color="auto"/>
        <w:bottom w:val="none" w:sz="0" w:space="0" w:color="auto"/>
        <w:right w:val="none" w:sz="0" w:space="0" w:color="auto"/>
      </w:divBdr>
    </w:div>
    <w:div w:id="468518034">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37620487">
      <w:bodyDiv w:val="1"/>
      <w:marLeft w:val="0"/>
      <w:marRight w:val="0"/>
      <w:marTop w:val="0"/>
      <w:marBottom w:val="0"/>
      <w:divBdr>
        <w:top w:val="none" w:sz="0" w:space="0" w:color="auto"/>
        <w:left w:val="none" w:sz="0" w:space="0" w:color="auto"/>
        <w:bottom w:val="none" w:sz="0" w:space="0" w:color="auto"/>
        <w:right w:val="none" w:sz="0" w:space="0" w:color="auto"/>
      </w:divBdr>
    </w:div>
    <w:div w:id="537820862">
      <w:bodyDiv w:val="1"/>
      <w:marLeft w:val="0"/>
      <w:marRight w:val="0"/>
      <w:marTop w:val="0"/>
      <w:marBottom w:val="0"/>
      <w:divBdr>
        <w:top w:val="none" w:sz="0" w:space="0" w:color="auto"/>
        <w:left w:val="none" w:sz="0" w:space="0" w:color="auto"/>
        <w:bottom w:val="none" w:sz="0" w:space="0" w:color="auto"/>
        <w:right w:val="none" w:sz="0" w:space="0" w:color="auto"/>
      </w:divBdr>
    </w:div>
    <w:div w:id="541594893">
      <w:bodyDiv w:val="1"/>
      <w:marLeft w:val="0"/>
      <w:marRight w:val="0"/>
      <w:marTop w:val="0"/>
      <w:marBottom w:val="0"/>
      <w:divBdr>
        <w:top w:val="none" w:sz="0" w:space="0" w:color="auto"/>
        <w:left w:val="none" w:sz="0" w:space="0" w:color="auto"/>
        <w:bottom w:val="none" w:sz="0" w:space="0" w:color="auto"/>
        <w:right w:val="none" w:sz="0" w:space="0" w:color="auto"/>
      </w:divBdr>
    </w:div>
    <w:div w:id="545409185">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48877901">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59559141">
      <w:bodyDiv w:val="1"/>
      <w:marLeft w:val="0"/>
      <w:marRight w:val="0"/>
      <w:marTop w:val="0"/>
      <w:marBottom w:val="0"/>
      <w:divBdr>
        <w:top w:val="none" w:sz="0" w:space="0" w:color="auto"/>
        <w:left w:val="none" w:sz="0" w:space="0" w:color="auto"/>
        <w:bottom w:val="none" w:sz="0" w:space="0" w:color="auto"/>
        <w:right w:val="none" w:sz="0" w:space="0" w:color="auto"/>
      </w:divBdr>
    </w:div>
    <w:div w:id="564072901">
      <w:bodyDiv w:val="1"/>
      <w:marLeft w:val="0"/>
      <w:marRight w:val="0"/>
      <w:marTop w:val="0"/>
      <w:marBottom w:val="0"/>
      <w:divBdr>
        <w:top w:val="none" w:sz="0" w:space="0" w:color="auto"/>
        <w:left w:val="none" w:sz="0" w:space="0" w:color="auto"/>
        <w:bottom w:val="none" w:sz="0" w:space="0" w:color="auto"/>
        <w:right w:val="none" w:sz="0" w:space="0" w:color="auto"/>
      </w:divBdr>
    </w:div>
    <w:div w:id="568078950">
      <w:bodyDiv w:val="1"/>
      <w:marLeft w:val="0"/>
      <w:marRight w:val="0"/>
      <w:marTop w:val="0"/>
      <w:marBottom w:val="0"/>
      <w:divBdr>
        <w:top w:val="none" w:sz="0" w:space="0" w:color="auto"/>
        <w:left w:val="none" w:sz="0" w:space="0" w:color="auto"/>
        <w:bottom w:val="none" w:sz="0" w:space="0" w:color="auto"/>
        <w:right w:val="none" w:sz="0" w:space="0" w:color="auto"/>
      </w:divBdr>
    </w:div>
    <w:div w:id="572743732">
      <w:bodyDiv w:val="1"/>
      <w:marLeft w:val="0"/>
      <w:marRight w:val="0"/>
      <w:marTop w:val="0"/>
      <w:marBottom w:val="0"/>
      <w:divBdr>
        <w:top w:val="none" w:sz="0" w:space="0" w:color="auto"/>
        <w:left w:val="none" w:sz="0" w:space="0" w:color="auto"/>
        <w:bottom w:val="none" w:sz="0" w:space="0" w:color="auto"/>
        <w:right w:val="none" w:sz="0" w:space="0" w:color="auto"/>
      </w:divBdr>
    </w:div>
    <w:div w:id="600142211">
      <w:bodyDiv w:val="1"/>
      <w:marLeft w:val="0"/>
      <w:marRight w:val="0"/>
      <w:marTop w:val="0"/>
      <w:marBottom w:val="0"/>
      <w:divBdr>
        <w:top w:val="none" w:sz="0" w:space="0" w:color="auto"/>
        <w:left w:val="none" w:sz="0" w:space="0" w:color="auto"/>
        <w:bottom w:val="none" w:sz="0" w:space="0" w:color="auto"/>
        <w:right w:val="none" w:sz="0" w:space="0" w:color="auto"/>
      </w:divBdr>
    </w:div>
    <w:div w:id="601569050">
      <w:bodyDiv w:val="1"/>
      <w:marLeft w:val="0"/>
      <w:marRight w:val="0"/>
      <w:marTop w:val="0"/>
      <w:marBottom w:val="0"/>
      <w:divBdr>
        <w:top w:val="none" w:sz="0" w:space="0" w:color="auto"/>
        <w:left w:val="none" w:sz="0" w:space="0" w:color="auto"/>
        <w:bottom w:val="none" w:sz="0" w:space="0" w:color="auto"/>
        <w:right w:val="none" w:sz="0" w:space="0" w:color="auto"/>
      </w:divBdr>
      <w:divsChild>
        <w:div w:id="1477604314">
          <w:marLeft w:val="0"/>
          <w:marRight w:val="0"/>
          <w:marTop w:val="0"/>
          <w:marBottom w:val="0"/>
          <w:divBdr>
            <w:top w:val="none" w:sz="0" w:space="0" w:color="auto"/>
            <w:left w:val="none" w:sz="0" w:space="0" w:color="auto"/>
            <w:bottom w:val="none" w:sz="0" w:space="0" w:color="auto"/>
            <w:right w:val="none" w:sz="0" w:space="0" w:color="auto"/>
          </w:divBdr>
          <w:divsChild>
            <w:div w:id="1324311464">
              <w:marLeft w:val="0"/>
              <w:marRight w:val="0"/>
              <w:marTop w:val="0"/>
              <w:marBottom w:val="0"/>
              <w:divBdr>
                <w:top w:val="none" w:sz="0" w:space="0" w:color="auto"/>
                <w:left w:val="none" w:sz="0" w:space="0" w:color="auto"/>
                <w:bottom w:val="none" w:sz="0" w:space="0" w:color="auto"/>
                <w:right w:val="none" w:sz="0" w:space="0" w:color="auto"/>
              </w:divBdr>
              <w:divsChild>
                <w:div w:id="1419249656">
                  <w:marLeft w:val="0"/>
                  <w:marRight w:val="0"/>
                  <w:marTop w:val="0"/>
                  <w:marBottom w:val="0"/>
                  <w:divBdr>
                    <w:top w:val="none" w:sz="0" w:space="0" w:color="auto"/>
                    <w:left w:val="none" w:sz="0" w:space="0" w:color="auto"/>
                    <w:bottom w:val="none" w:sz="0" w:space="0" w:color="auto"/>
                    <w:right w:val="none" w:sz="0" w:space="0" w:color="auto"/>
                  </w:divBdr>
                  <w:divsChild>
                    <w:div w:id="1904216233">
                      <w:marLeft w:val="0"/>
                      <w:marRight w:val="0"/>
                      <w:marTop w:val="0"/>
                      <w:marBottom w:val="0"/>
                      <w:divBdr>
                        <w:top w:val="none" w:sz="0" w:space="0" w:color="auto"/>
                        <w:left w:val="none" w:sz="0" w:space="0" w:color="auto"/>
                        <w:bottom w:val="none" w:sz="0" w:space="0" w:color="auto"/>
                        <w:right w:val="none" w:sz="0" w:space="0" w:color="auto"/>
                      </w:divBdr>
                      <w:divsChild>
                        <w:div w:id="159732818">
                          <w:marLeft w:val="0"/>
                          <w:marRight w:val="0"/>
                          <w:marTop w:val="0"/>
                          <w:marBottom w:val="0"/>
                          <w:divBdr>
                            <w:top w:val="none" w:sz="0" w:space="0" w:color="auto"/>
                            <w:left w:val="none" w:sz="0" w:space="0" w:color="auto"/>
                            <w:bottom w:val="none" w:sz="0" w:space="0" w:color="auto"/>
                            <w:right w:val="none" w:sz="0" w:space="0" w:color="auto"/>
                          </w:divBdr>
                          <w:divsChild>
                            <w:div w:id="12912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45729">
      <w:bodyDiv w:val="1"/>
      <w:marLeft w:val="0"/>
      <w:marRight w:val="0"/>
      <w:marTop w:val="0"/>
      <w:marBottom w:val="0"/>
      <w:divBdr>
        <w:top w:val="none" w:sz="0" w:space="0" w:color="auto"/>
        <w:left w:val="none" w:sz="0" w:space="0" w:color="auto"/>
        <w:bottom w:val="none" w:sz="0" w:space="0" w:color="auto"/>
        <w:right w:val="none" w:sz="0" w:space="0" w:color="auto"/>
      </w:divBdr>
    </w:div>
    <w:div w:id="617565389">
      <w:bodyDiv w:val="1"/>
      <w:marLeft w:val="0"/>
      <w:marRight w:val="0"/>
      <w:marTop w:val="0"/>
      <w:marBottom w:val="0"/>
      <w:divBdr>
        <w:top w:val="none" w:sz="0" w:space="0" w:color="auto"/>
        <w:left w:val="none" w:sz="0" w:space="0" w:color="auto"/>
        <w:bottom w:val="none" w:sz="0" w:space="0" w:color="auto"/>
        <w:right w:val="none" w:sz="0" w:space="0" w:color="auto"/>
      </w:divBdr>
      <w:divsChild>
        <w:div w:id="1034383092">
          <w:marLeft w:val="0"/>
          <w:marRight w:val="0"/>
          <w:marTop w:val="0"/>
          <w:marBottom w:val="0"/>
          <w:divBdr>
            <w:top w:val="none" w:sz="0" w:space="0" w:color="auto"/>
            <w:left w:val="none" w:sz="0" w:space="0" w:color="auto"/>
            <w:bottom w:val="none" w:sz="0" w:space="0" w:color="auto"/>
            <w:right w:val="none" w:sz="0" w:space="0" w:color="auto"/>
          </w:divBdr>
          <w:divsChild>
            <w:div w:id="1557860671">
              <w:marLeft w:val="0"/>
              <w:marRight w:val="0"/>
              <w:marTop w:val="0"/>
              <w:marBottom w:val="0"/>
              <w:divBdr>
                <w:top w:val="none" w:sz="0" w:space="0" w:color="auto"/>
                <w:left w:val="none" w:sz="0" w:space="0" w:color="auto"/>
                <w:bottom w:val="none" w:sz="0" w:space="0" w:color="auto"/>
                <w:right w:val="none" w:sz="0" w:space="0" w:color="auto"/>
              </w:divBdr>
              <w:divsChild>
                <w:div w:id="696321117">
                  <w:marLeft w:val="0"/>
                  <w:marRight w:val="0"/>
                  <w:marTop w:val="0"/>
                  <w:marBottom w:val="0"/>
                  <w:divBdr>
                    <w:top w:val="none" w:sz="0" w:space="0" w:color="auto"/>
                    <w:left w:val="none" w:sz="0" w:space="0" w:color="auto"/>
                    <w:bottom w:val="none" w:sz="0" w:space="0" w:color="auto"/>
                    <w:right w:val="none" w:sz="0" w:space="0" w:color="auto"/>
                  </w:divBdr>
                  <w:divsChild>
                    <w:div w:id="1246458432">
                      <w:marLeft w:val="0"/>
                      <w:marRight w:val="0"/>
                      <w:marTop w:val="0"/>
                      <w:marBottom w:val="0"/>
                      <w:divBdr>
                        <w:top w:val="none" w:sz="0" w:space="0" w:color="auto"/>
                        <w:left w:val="none" w:sz="0" w:space="0" w:color="auto"/>
                        <w:bottom w:val="none" w:sz="0" w:space="0" w:color="auto"/>
                        <w:right w:val="none" w:sz="0" w:space="0" w:color="auto"/>
                      </w:divBdr>
                      <w:divsChild>
                        <w:div w:id="1371689234">
                          <w:marLeft w:val="0"/>
                          <w:marRight w:val="0"/>
                          <w:marTop w:val="0"/>
                          <w:marBottom w:val="0"/>
                          <w:divBdr>
                            <w:top w:val="none" w:sz="0" w:space="0" w:color="auto"/>
                            <w:left w:val="none" w:sz="0" w:space="0" w:color="auto"/>
                            <w:bottom w:val="none" w:sz="0" w:space="0" w:color="auto"/>
                            <w:right w:val="none" w:sz="0" w:space="0" w:color="auto"/>
                          </w:divBdr>
                          <w:divsChild>
                            <w:div w:id="4899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67498">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38002106">
      <w:bodyDiv w:val="1"/>
      <w:marLeft w:val="0"/>
      <w:marRight w:val="0"/>
      <w:marTop w:val="0"/>
      <w:marBottom w:val="0"/>
      <w:divBdr>
        <w:top w:val="none" w:sz="0" w:space="0" w:color="auto"/>
        <w:left w:val="none" w:sz="0" w:space="0" w:color="auto"/>
        <w:bottom w:val="none" w:sz="0" w:space="0" w:color="auto"/>
        <w:right w:val="none" w:sz="0" w:space="0" w:color="auto"/>
      </w:divBdr>
    </w:div>
    <w:div w:id="641271088">
      <w:bodyDiv w:val="1"/>
      <w:marLeft w:val="0"/>
      <w:marRight w:val="0"/>
      <w:marTop w:val="0"/>
      <w:marBottom w:val="0"/>
      <w:divBdr>
        <w:top w:val="none" w:sz="0" w:space="0" w:color="auto"/>
        <w:left w:val="none" w:sz="0" w:space="0" w:color="auto"/>
        <w:bottom w:val="none" w:sz="0" w:space="0" w:color="auto"/>
        <w:right w:val="none" w:sz="0" w:space="0" w:color="auto"/>
      </w:divBdr>
    </w:div>
    <w:div w:id="648052652">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9313958">
      <w:bodyDiv w:val="1"/>
      <w:marLeft w:val="0"/>
      <w:marRight w:val="0"/>
      <w:marTop w:val="0"/>
      <w:marBottom w:val="0"/>
      <w:divBdr>
        <w:top w:val="none" w:sz="0" w:space="0" w:color="auto"/>
        <w:left w:val="none" w:sz="0" w:space="0" w:color="auto"/>
        <w:bottom w:val="none" w:sz="0" w:space="0" w:color="auto"/>
        <w:right w:val="none" w:sz="0" w:space="0" w:color="auto"/>
      </w:divBdr>
      <w:divsChild>
        <w:div w:id="970475589">
          <w:marLeft w:val="0"/>
          <w:marRight w:val="0"/>
          <w:marTop w:val="0"/>
          <w:marBottom w:val="0"/>
          <w:divBdr>
            <w:top w:val="none" w:sz="0" w:space="0" w:color="auto"/>
            <w:left w:val="none" w:sz="0" w:space="0" w:color="auto"/>
            <w:bottom w:val="none" w:sz="0" w:space="0" w:color="auto"/>
            <w:right w:val="none" w:sz="0" w:space="0" w:color="auto"/>
          </w:divBdr>
          <w:divsChild>
            <w:div w:id="527763601">
              <w:marLeft w:val="0"/>
              <w:marRight w:val="0"/>
              <w:marTop w:val="0"/>
              <w:marBottom w:val="0"/>
              <w:divBdr>
                <w:top w:val="none" w:sz="0" w:space="0" w:color="auto"/>
                <w:left w:val="none" w:sz="0" w:space="0" w:color="auto"/>
                <w:bottom w:val="none" w:sz="0" w:space="0" w:color="auto"/>
                <w:right w:val="none" w:sz="0" w:space="0" w:color="auto"/>
              </w:divBdr>
              <w:divsChild>
                <w:div w:id="1934311990">
                  <w:marLeft w:val="0"/>
                  <w:marRight w:val="0"/>
                  <w:marTop w:val="0"/>
                  <w:marBottom w:val="0"/>
                  <w:divBdr>
                    <w:top w:val="none" w:sz="0" w:space="0" w:color="auto"/>
                    <w:left w:val="none" w:sz="0" w:space="0" w:color="auto"/>
                    <w:bottom w:val="none" w:sz="0" w:space="0" w:color="auto"/>
                    <w:right w:val="none" w:sz="0" w:space="0" w:color="auto"/>
                  </w:divBdr>
                  <w:divsChild>
                    <w:div w:id="2130929227">
                      <w:marLeft w:val="0"/>
                      <w:marRight w:val="0"/>
                      <w:marTop w:val="0"/>
                      <w:marBottom w:val="0"/>
                      <w:divBdr>
                        <w:top w:val="none" w:sz="0" w:space="0" w:color="auto"/>
                        <w:left w:val="none" w:sz="0" w:space="0" w:color="auto"/>
                        <w:bottom w:val="none" w:sz="0" w:space="0" w:color="auto"/>
                        <w:right w:val="none" w:sz="0" w:space="0" w:color="auto"/>
                      </w:divBdr>
                      <w:divsChild>
                        <w:div w:id="1138692607">
                          <w:marLeft w:val="0"/>
                          <w:marRight w:val="0"/>
                          <w:marTop w:val="0"/>
                          <w:marBottom w:val="0"/>
                          <w:divBdr>
                            <w:top w:val="none" w:sz="0" w:space="0" w:color="auto"/>
                            <w:left w:val="none" w:sz="0" w:space="0" w:color="auto"/>
                            <w:bottom w:val="none" w:sz="0" w:space="0" w:color="auto"/>
                            <w:right w:val="none" w:sz="0" w:space="0" w:color="auto"/>
                          </w:divBdr>
                          <w:divsChild>
                            <w:div w:id="1431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109176">
      <w:bodyDiv w:val="1"/>
      <w:marLeft w:val="0"/>
      <w:marRight w:val="0"/>
      <w:marTop w:val="0"/>
      <w:marBottom w:val="0"/>
      <w:divBdr>
        <w:top w:val="none" w:sz="0" w:space="0" w:color="auto"/>
        <w:left w:val="none" w:sz="0" w:space="0" w:color="auto"/>
        <w:bottom w:val="none" w:sz="0" w:space="0" w:color="auto"/>
        <w:right w:val="none" w:sz="0" w:space="0" w:color="auto"/>
      </w:divBdr>
    </w:div>
    <w:div w:id="693919620">
      <w:bodyDiv w:val="1"/>
      <w:marLeft w:val="0"/>
      <w:marRight w:val="0"/>
      <w:marTop w:val="0"/>
      <w:marBottom w:val="0"/>
      <w:divBdr>
        <w:top w:val="none" w:sz="0" w:space="0" w:color="auto"/>
        <w:left w:val="none" w:sz="0" w:space="0" w:color="auto"/>
        <w:bottom w:val="none" w:sz="0" w:space="0" w:color="auto"/>
        <w:right w:val="none" w:sz="0" w:space="0" w:color="auto"/>
      </w:divBdr>
    </w:div>
    <w:div w:id="708650778">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0928301">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40298740">
      <w:bodyDiv w:val="1"/>
      <w:marLeft w:val="0"/>
      <w:marRight w:val="0"/>
      <w:marTop w:val="0"/>
      <w:marBottom w:val="0"/>
      <w:divBdr>
        <w:top w:val="none" w:sz="0" w:space="0" w:color="auto"/>
        <w:left w:val="none" w:sz="0" w:space="0" w:color="auto"/>
        <w:bottom w:val="none" w:sz="0" w:space="0" w:color="auto"/>
        <w:right w:val="none" w:sz="0" w:space="0" w:color="auto"/>
      </w:divBdr>
    </w:div>
    <w:div w:id="779491433">
      <w:bodyDiv w:val="1"/>
      <w:marLeft w:val="0"/>
      <w:marRight w:val="0"/>
      <w:marTop w:val="0"/>
      <w:marBottom w:val="0"/>
      <w:divBdr>
        <w:top w:val="none" w:sz="0" w:space="0" w:color="auto"/>
        <w:left w:val="none" w:sz="0" w:space="0" w:color="auto"/>
        <w:bottom w:val="none" w:sz="0" w:space="0" w:color="auto"/>
        <w:right w:val="none" w:sz="0" w:space="0" w:color="auto"/>
      </w:divBdr>
    </w:div>
    <w:div w:id="790175854">
      <w:bodyDiv w:val="1"/>
      <w:marLeft w:val="0"/>
      <w:marRight w:val="0"/>
      <w:marTop w:val="0"/>
      <w:marBottom w:val="0"/>
      <w:divBdr>
        <w:top w:val="none" w:sz="0" w:space="0" w:color="auto"/>
        <w:left w:val="none" w:sz="0" w:space="0" w:color="auto"/>
        <w:bottom w:val="none" w:sz="0" w:space="0" w:color="auto"/>
        <w:right w:val="none" w:sz="0" w:space="0" w:color="auto"/>
      </w:divBdr>
    </w:div>
    <w:div w:id="803501812">
      <w:bodyDiv w:val="1"/>
      <w:marLeft w:val="0"/>
      <w:marRight w:val="0"/>
      <w:marTop w:val="0"/>
      <w:marBottom w:val="0"/>
      <w:divBdr>
        <w:top w:val="none" w:sz="0" w:space="0" w:color="auto"/>
        <w:left w:val="none" w:sz="0" w:space="0" w:color="auto"/>
        <w:bottom w:val="none" w:sz="0" w:space="0" w:color="auto"/>
        <w:right w:val="none" w:sz="0" w:space="0" w:color="auto"/>
      </w:divBdr>
    </w:div>
    <w:div w:id="806359123">
      <w:bodyDiv w:val="1"/>
      <w:marLeft w:val="0"/>
      <w:marRight w:val="0"/>
      <w:marTop w:val="0"/>
      <w:marBottom w:val="0"/>
      <w:divBdr>
        <w:top w:val="none" w:sz="0" w:space="0" w:color="auto"/>
        <w:left w:val="none" w:sz="0" w:space="0" w:color="auto"/>
        <w:bottom w:val="none" w:sz="0" w:space="0" w:color="auto"/>
        <w:right w:val="none" w:sz="0" w:space="0" w:color="auto"/>
      </w:divBdr>
    </w:div>
    <w:div w:id="810638473">
      <w:bodyDiv w:val="1"/>
      <w:marLeft w:val="0"/>
      <w:marRight w:val="0"/>
      <w:marTop w:val="0"/>
      <w:marBottom w:val="0"/>
      <w:divBdr>
        <w:top w:val="none" w:sz="0" w:space="0" w:color="auto"/>
        <w:left w:val="none" w:sz="0" w:space="0" w:color="auto"/>
        <w:bottom w:val="none" w:sz="0" w:space="0" w:color="auto"/>
        <w:right w:val="none" w:sz="0" w:space="0" w:color="auto"/>
      </w:divBdr>
      <w:divsChild>
        <w:div w:id="1494368725">
          <w:marLeft w:val="0"/>
          <w:marRight w:val="0"/>
          <w:marTop w:val="0"/>
          <w:marBottom w:val="0"/>
          <w:divBdr>
            <w:top w:val="none" w:sz="0" w:space="0" w:color="auto"/>
            <w:left w:val="none" w:sz="0" w:space="0" w:color="auto"/>
            <w:bottom w:val="none" w:sz="0" w:space="0" w:color="auto"/>
            <w:right w:val="none" w:sz="0" w:space="0" w:color="auto"/>
          </w:divBdr>
          <w:divsChild>
            <w:div w:id="2113470476">
              <w:marLeft w:val="0"/>
              <w:marRight w:val="0"/>
              <w:marTop w:val="0"/>
              <w:marBottom w:val="0"/>
              <w:divBdr>
                <w:top w:val="none" w:sz="0" w:space="0" w:color="auto"/>
                <w:left w:val="none" w:sz="0" w:space="0" w:color="auto"/>
                <w:bottom w:val="none" w:sz="0" w:space="0" w:color="auto"/>
                <w:right w:val="none" w:sz="0" w:space="0" w:color="auto"/>
              </w:divBdr>
              <w:divsChild>
                <w:div w:id="1218320516">
                  <w:marLeft w:val="0"/>
                  <w:marRight w:val="0"/>
                  <w:marTop w:val="0"/>
                  <w:marBottom w:val="0"/>
                  <w:divBdr>
                    <w:top w:val="none" w:sz="0" w:space="0" w:color="auto"/>
                    <w:left w:val="none" w:sz="0" w:space="0" w:color="auto"/>
                    <w:bottom w:val="none" w:sz="0" w:space="0" w:color="auto"/>
                    <w:right w:val="none" w:sz="0" w:space="0" w:color="auto"/>
                  </w:divBdr>
                  <w:divsChild>
                    <w:div w:id="14833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32909903">
      <w:bodyDiv w:val="1"/>
      <w:marLeft w:val="0"/>
      <w:marRight w:val="0"/>
      <w:marTop w:val="0"/>
      <w:marBottom w:val="0"/>
      <w:divBdr>
        <w:top w:val="none" w:sz="0" w:space="0" w:color="auto"/>
        <w:left w:val="none" w:sz="0" w:space="0" w:color="auto"/>
        <w:bottom w:val="none" w:sz="0" w:space="0" w:color="auto"/>
        <w:right w:val="none" w:sz="0" w:space="0" w:color="auto"/>
      </w:divBdr>
      <w:divsChild>
        <w:div w:id="1451780248">
          <w:marLeft w:val="0"/>
          <w:marRight w:val="0"/>
          <w:marTop w:val="0"/>
          <w:marBottom w:val="0"/>
          <w:divBdr>
            <w:top w:val="none" w:sz="0" w:space="0" w:color="auto"/>
            <w:left w:val="none" w:sz="0" w:space="0" w:color="auto"/>
            <w:bottom w:val="none" w:sz="0" w:space="0" w:color="auto"/>
            <w:right w:val="none" w:sz="0" w:space="0" w:color="auto"/>
          </w:divBdr>
          <w:divsChild>
            <w:div w:id="950555209">
              <w:marLeft w:val="0"/>
              <w:marRight w:val="0"/>
              <w:marTop w:val="0"/>
              <w:marBottom w:val="0"/>
              <w:divBdr>
                <w:top w:val="none" w:sz="0" w:space="0" w:color="auto"/>
                <w:left w:val="none" w:sz="0" w:space="0" w:color="auto"/>
                <w:bottom w:val="none" w:sz="0" w:space="0" w:color="auto"/>
                <w:right w:val="none" w:sz="0" w:space="0" w:color="auto"/>
              </w:divBdr>
              <w:divsChild>
                <w:div w:id="1412502444">
                  <w:marLeft w:val="0"/>
                  <w:marRight w:val="0"/>
                  <w:marTop w:val="0"/>
                  <w:marBottom w:val="0"/>
                  <w:divBdr>
                    <w:top w:val="none" w:sz="0" w:space="0" w:color="auto"/>
                    <w:left w:val="none" w:sz="0" w:space="0" w:color="auto"/>
                    <w:bottom w:val="none" w:sz="0" w:space="0" w:color="auto"/>
                    <w:right w:val="none" w:sz="0" w:space="0" w:color="auto"/>
                  </w:divBdr>
                  <w:divsChild>
                    <w:div w:id="6516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293">
      <w:bodyDiv w:val="1"/>
      <w:marLeft w:val="0"/>
      <w:marRight w:val="0"/>
      <w:marTop w:val="0"/>
      <w:marBottom w:val="0"/>
      <w:divBdr>
        <w:top w:val="none" w:sz="0" w:space="0" w:color="auto"/>
        <w:left w:val="none" w:sz="0" w:space="0" w:color="auto"/>
        <w:bottom w:val="none" w:sz="0" w:space="0" w:color="auto"/>
        <w:right w:val="none" w:sz="0" w:space="0" w:color="auto"/>
      </w:divBdr>
      <w:divsChild>
        <w:div w:id="360283816">
          <w:marLeft w:val="0"/>
          <w:marRight w:val="0"/>
          <w:marTop w:val="0"/>
          <w:marBottom w:val="0"/>
          <w:divBdr>
            <w:top w:val="none" w:sz="0" w:space="0" w:color="auto"/>
            <w:left w:val="none" w:sz="0" w:space="0" w:color="auto"/>
            <w:bottom w:val="none" w:sz="0" w:space="0" w:color="auto"/>
            <w:right w:val="none" w:sz="0" w:space="0" w:color="auto"/>
          </w:divBdr>
          <w:divsChild>
            <w:div w:id="350953495">
              <w:marLeft w:val="0"/>
              <w:marRight w:val="0"/>
              <w:marTop w:val="0"/>
              <w:marBottom w:val="0"/>
              <w:divBdr>
                <w:top w:val="none" w:sz="0" w:space="0" w:color="auto"/>
                <w:left w:val="none" w:sz="0" w:space="0" w:color="auto"/>
                <w:bottom w:val="none" w:sz="0" w:space="0" w:color="auto"/>
                <w:right w:val="none" w:sz="0" w:space="0" w:color="auto"/>
              </w:divBdr>
              <w:divsChild>
                <w:div w:id="508105546">
                  <w:marLeft w:val="0"/>
                  <w:marRight w:val="0"/>
                  <w:marTop w:val="0"/>
                  <w:marBottom w:val="0"/>
                  <w:divBdr>
                    <w:top w:val="none" w:sz="0" w:space="0" w:color="auto"/>
                    <w:left w:val="none" w:sz="0" w:space="0" w:color="auto"/>
                    <w:bottom w:val="none" w:sz="0" w:space="0" w:color="auto"/>
                    <w:right w:val="none" w:sz="0" w:space="0" w:color="auto"/>
                  </w:divBdr>
                  <w:divsChild>
                    <w:div w:id="1061946586">
                      <w:marLeft w:val="0"/>
                      <w:marRight w:val="0"/>
                      <w:marTop w:val="0"/>
                      <w:marBottom w:val="0"/>
                      <w:divBdr>
                        <w:top w:val="none" w:sz="0" w:space="0" w:color="auto"/>
                        <w:left w:val="none" w:sz="0" w:space="0" w:color="auto"/>
                        <w:bottom w:val="none" w:sz="0" w:space="0" w:color="auto"/>
                        <w:right w:val="none" w:sz="0" w:space="0" w:color="auto"/>
                      </w:divBdr>
                      <w:divsChild>
                        <w:div w:id="287398483">
                          <w:marLeft w:val="0"/>
                          <w:marRight w:val="0"/>
                          <w:marTop w:val="0"/>
                          <w:marBottom w:val="0"/>
                          <w:divBdr>
                            <w:top w:val="none" w:sz="0" w:space="0" w:color="auto"/>
                            <w:left w:val="none" w:sz="0" w:space="0" w:color="auto"/>
                            <w:bottom w:val="none" w:sz="0" w:space="0" w:color="auto"/>
                            <w:right w:val="none" w:sz="0" w:space="0" w:color="auto"/>
                          </w:divBdr>
                          <w:divsChild>
                            <w:div w:id="16243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62866725">
      <w:bodyDiv w:val="1"/>
      <w:marLeft w:val="0"/>
      <w:marRight w:val="0"/>
      <w:marTop w:val="0"/>
      <w:marBottom w:val="0"/>
      <w:divBdr>
        <w:top w:val="none" w:sz="0" w:space="0" w:color="auto"/>
        <w:left w:val="none" w:sz="0" w:space="0" w:color="auto"/>
        <w:bottom w:val="none" w:sz="0" w:space="0" w:color="auto"/>
        <w:right w:val="none" w:sz="0" w:space="0" w:color="auto"/>
      </w:divBdr>
    </w:div>
    <w:div w:id="870269197">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86257279">
      <w:bodyDiv w:val="1"/>
      <w:marLeft w:val="0"/>
      <w:marRight w:val="0"/>
      <w:marTop w:val="0"/>
      <w:marBottom w:val="0"/>
      <w:divBdr>
        <w:top w:val="none" w:sz="0" w:space="0" w:color="auto"/>
        <w:left w:val="none" w:sz="0" w:space="0" w:color="auto"/>
        <w:bottom w:val="none" w:sz="0" w:space="0" w:color="auto"/>
        <w:right w:val="none" w:sz="0" w:space="0" w:color="auto"/>
      </w:divBdr>
    </w:div>
    <w:div w:id="891115062">
      <w:bodyDiv w:val="1"/>
      <w:marLeft w:val="0"/>
      <w:marRight w:val="0"/>
      <w:marTop w:val="0"/>
      <w:marBottom w:val="0"/>
      <w:divBdr>
        <w:top w:val="none" w:sz="0" w:space="0" w:color="auto"/>
        <w:left w:val="none" w:sz="0" w:space="0" w:color="auto"/>
        <w:bottom w:val="none" w:sz="0" w:space="0" w:color="auto"/>
        <w:right w:val="none" w:sz="0" w:space="0" w:color="auto"/>
      </w:divBdr>
      <w:divsChild>
        <w:div w:id="1719669559">
          <w:marLeft w:val="0"/>
          <w:marRight w:val="0"/>
          <w:marTop w:val="0"/>
          <w:marBottom w:val="0"/>
          <w:divBdr>
            <w:top w:val="none" w:sz="0" w:space="0" w:color="auto"/>
            <w:left w:val="none" w:sz="0" w:space="0" w:color="auto"/>
            <w:bottom w:val="none" w:sz="0" w:space="0" w:color="auto"/>
            <w:right w:val="none" w:sz="0" w:space="0" w:color="auto"/>
          </w:divBdr>
          <w:divsChild>
            <w:div w:id="1304122837">
              <w:marLeft w:val="0"/>
              <w:marRight w:val="0"/>
              <w:marTop w:val="0"/>
              <w:marBottom w:val="0"/>
              <w:divBdr>
                <w:top w:val="none" w:sz="0" w:space="0" w:color="auto"/>
                <w:left w:val="none" w:sz="0" w:space="0" w:color="auto"/>
                <w:bottom w:val="none" w:sz="0" w:space="0" w:color="auto"/>
                <w:right w:val="none" w:sz="0" w:space="0" w:color="auto"/>
              </w:divBdr>
              <w:divsChild>
                <w:div w:id="346251353">
                  <w:marLeft w:val="0"/>
                  <w:marRight w:val="0"/>
                  <w:marTop w:val="0"/>
                  <w:marBottom w:val="0"/>
                  <w:divBdr>
                    <w:top w:val="none" w:sz="0" w:space="0" w:color="auto"/>
                    <w:left w:val="none" w:sz="0" w:space="0" w:color="auto"/>
                    <w:bottom w:val="none" w:sz="0" w:space="0" w:color="auto"/>
                    <w:right w:val="none" w:sz="0" w:space="0" w:color="auto"/>
                  </w:divBdr>
                  <w:divsChild>
                    <w:div w:id="1214460482">
                      <w:marLeft w:val="0"/>
                      <w:marRight w:val="0"/>
                      <w:marTop w:val="0"/>
                      <w:marBottom w:val="0"/>
                      <w:divBdr>
                        <w:top w:val="none" w:sz="0" w:space="0" w:color="auto"/>
                        <w:left w:val="none" w:sz="0" w:space="0" w:color="auto"/>
                        <w:bottom w:val="none" w:sz="0" w:space="0" w:color="auto"/>
                        <w:right w:val="none" w:sz="0" w:space="0" w:color="auto"/>
                      </w:divBdr>
                      <w:divsChild>
                        <w:div w:id="1165247788">
                          <w:marLeft w:val="0"/>
                          <w:marRight w:val="0"/>
                          <w:marTop w:val="0"/>
                          <w:marBottom w:val="0"/>
                          <w:divBdr>
                            <w:top w:val="none" w:sz="0" w:space="0" w:color="auto"/>
                            <w:left w:val="none" w:sz="0" w:space="0" w:color="auto"/>
                            <w:bottom w:val="none" w:sz="0" w:space="0" w:color="auto"/>
                            <w:right w:val="none" w:sz="0" w:space="0" w:color="auto"/>
                          </w:divBdr>
                          <w:divsChild>
                            <w:div w:id="5800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10006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1783324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23227391">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96762695">
      <w:bodyDiv w:val="1"/>
      <w:marLeft w:val="0"/>
      <w:marRight w:val="0"/>
      <w:marTop w:val="0"/>
      <w:marBottom w:val="0"/>
      <w:divBdr>
        <w:top w:val="none" w:sz="0" w:space="0" w:color="auto"/>
        <w:left w:val="none" w:sz="0" w:space="0" w:color="auto"/>
        <w:bottom w:val="none" w:sz="0" w:space="0" w:color="auto"/>
        <w:right w:val="none" w:sz="0" w:space="0" w:color="auto"/>
      </w:divBdr>
    </w:div>
    <w:div w:id="10009339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28142839">
      <w:bodyDiv w:val="1"/>
      <w:marLeft w:val="0"/>
      <w:marRight w:val="0"/>
      <w:marTop w:val="0"/>
      <w:marBottom w:val="0"/>
      <w:divBdr>
        <w:top w:val="none" w:sz="0" w:space="0" w:color="auto"/>
        <w:left w:val="none" w:sz="0" w:space="0" w:color="auto"/>
        <w:bottom w:val="none" w:sz="0" w:space="0" w:color="auto"/>
        <w:right w:val="none" w:sz="0" w:space="0" w:color="auto"/>
      </w:divBdr>
    </w:div>
    <w:div w:id="1029523805">
      <w:bodyDiv w:val="1"/>
      <w:marLeft w:val="0"/>
      <w:marRight w:val="0"/>
      <w:marTop w:val="0"/>
      <w:marBottom w:val="0"/>
      <w:divBdr>
        <w:top w:val="none" w:sz="0" w:space="0" w:color="auto"/>
        <w:left w:val="none" w:sz="0" w:space="0" w:color="auto"/>
        <w:bottom w:val="none" w:sz="0" w:space="0" w:color="auto"/>
        <w:right w:val="none" w:sz="0" w:space="0" w:color="auto"/>
      </w:divBdr>
    </w:div>
    <w:div w:id="1037893812">
      <w:bodyDiv w:val="1"/>
      <w:marLeft w:val="0"/>
      <w:marRight w:val="0"/>
      <w:marTop w:val="0"/>
      <w:marBottom w:val="0"/>
      <w:divBdr>
        <w:top w:val="none" w:sz="0" w:space="0" w:color="auto"/>
        <w:left w:val="none" w:sz="0" w:space="0" w:color="auto"/>
        <w:bottom w:val="none" w:sz="0" w:space="0" w:color="auto"/>
        <w:right w:val="none" w:sz="0" w:space="0" w:color="auto"/>
      </w:divBdr>
      <w:divsChild>
        <w:div w:id="1824927675">
          <w:marLeft w:val="0"/>
          <w:marRight w:val="0"/>
          <w:marTop w:val="0"/>
          <w:marBottom w:val="0"/>
          <w:divBdr>
            <w:top w:val="none" w:sz="0" w:space="0" w:color="auto"/>
            <w:left w:val="none" w:sz="0" w:space="0" w:color="auto"/>
            <w:bottom w:val="none" w:sz="0" w:space="0" w:color="auto"/>
            <w:right w:val="none" w:sz="0" w:space="0" w:color="auto"/>
          </w:divBdr>
          <w:divsChild>
            <w:div w:id="2015646909">
              <w:marLeft w:val="0"/>
              <w:marRight w:val="0"/>
              <w:marTop w:val="0"/>
              <w:marBottom w:val="0"/>
              <w:divBdr>
                <w:top w:val="none" w:sz="0" w:space="0" w:color="auto"/>
                <w:left w:val="none" w:sz="0" w:space="0" w:color="auto"/>
                <w:bottom w:val="none" w:sz="0" w:space="0" w:color="auto"/>
                <w:right w:val="none" w:sz="0" w:space="0" w:color="auto"/>
              </w:divBdr>
              <w:divsChild>
                <w:div w:id="769591473">
                  <w:marLeft w:val="0"/>
                  <w:marRight w:val="0"/>
                  <w:marTop w:val="0"/>
                  <w:marBottom w:val="0"/>
                  <w:divBdr>
                    <w:top w:val="none" w:sz="0" w:space="0" w:color="auto"/>
                    <w:left w:val="none" w:sz="0" w:space="0" w:color="auto"/>
                    <w:bottom w:val="none" w:sz="0" w:space="0" w:color="auto"/>
                    <w:right w:val="none" w:sz="0" w:space="0" w:color="auto"/>
                  </w:divBdr>
                  <w:divsChild>
                    <w:div w:id="1893811910">
                      <w:marLeft w:val="0"/>
                      <w:marRight w:val="0"/>
                      <w:marTop w:val="0"/>
                      <w:marBottom w:val="0"/>
                      <w:divBdr>
                        <w:top w:val="none" w:sz="0" w:space="0" w:color="auto"/>
                        <w:left w:val="none" w:sz="0" w:space="0" w:color="auto"/>
                        <w:bottom w:val="none" w:sz="0" w:space="0" w:color="auto"/>
                        <w:right w:val="none" w:sz="0" w:space="0" w:color="auto"/>
                      </w:divBdr>
                      <w:divsChild>
                        <w:div w:id="84495328">
                          <w:marLeft w:val="0"/>
                          <w:marRight w:val="0"/>
                          <w:marTop w:val="0"/>
                          <w:marBottom w:val="0"/>
                          <w:divBdr>
                            <w:top w:val="none" w:sz="0" w:space="0" w:color="auto"/>
                            <w:left w:val="none" w:sz="0" w:space="0" w:color="auto"/>
                            <w:bottom w:val="none" w:sz="0" w:space="0" w:color="auto"/>
                            <w:right w:val="none" w:sz="0" w:space="0" w:color="auto"/>
                          </w:divBdr>
                          <w:divsChild>
                            <w:div w:id="19876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65173">
      <w:bodyDiv w:val="1"/>
      <w:marLeft w:val="0"/>
      <w:marRight w:val="0"/>
      <w:marTop w:val="0"/>
      <w:marBottom w:val="0"/>
      <w:divBdr>
        <w:top w:val="none" w:sz="0" w:space="0" w:color="auto"/>
        <w:left w:val="none" w:sz="0" w:space="0" w:color="auto"/>
        <w:bottom w:val="none" w:sz="0" w:space="0" w:color="auto"/>
        <w:right w:val="none" w:sz="0" w:space="0" w:color="auto"/>
      </w:divBdr>
    </w:div>
    <w:div w:id="1049692015">
      <w:bodyDiv w:val="1"/>
      <w:marLeft w:val="0"/>
      <w:marRight w:val="0"/>
      <w:marTop w:val="0"/>
      <w:marBottom w:val="0"/>
      <w:divBdr>
        <w:top w:val="none" w:sz="0" w:space="0" w:color="auto"/>
        <w:left w:val="none" w:sz="0" w:space="0" w:color="auto"/>
        <w:bottom w:val="none" w:sz="0" w:space="0" w:color="auto"/>
        <w:right w:val="none" w:sz="0" w:space="0" w:color="auto"/>
      </w:divBdr>
    </w:div>
    <w:div w:id="1055474732">
      <w:bodyDiv w:val="1"/>
      <w:marLeft w:val="0"/>
      <w:marRight w:val="0"/>
      <w:marTop w:val="0"/>
      <w:marBottom w:val="0"/>
      <w:divBdr>
        <w:top w:val="none" w:sz="0" w:space="0" w:color="auto"/>
        <w:left w:val="none" w:sz="0" w:space="0" w:color="auto"/>
        <w:bottom w:val="none" w:sz="0" w:space="0" w:color="auto"/>
        <w:right w:val="none" w:sz="0" w:space="0" w:color="auto"/>
      </w:divBdr>
    </w:div>
    <w:div w:id="1057431552">
      <w:bodyDiv w:val="1"/>
      <w:marLeft w:val="0"/>
      <w:marRight w:val="0"/>
      <w:marTop w:val="0"/>
      <w:marBottom w:val="0"/>
      <w:divBdr>
        <w:top w:val="none" w:sz="0" w:space="0" w:color="auto"/>
        <w:left w:val="none" w:sz="0" w:space="0" w:color="auto"/>
        <w:bottom w:val="none" w:sz="0" w:space="0" w:color="auto"/>
        <w:right w:val="none" w:sz="0" w:space="0" w:color="auto"/>
      </w:divBdr>
    </w:div>
    <w:div w:id="1065496554">
      <w:bodyDiv w:val="1"/>
      <w:marLeft w:val="0"/>
      <w:marRight w:val="0"/>
      <w:marTop w:val="0"/>
      <w:marBottom w:val="0"/>
      <w:divBdr>
        <w:top w:val="none" w:sz="0" w:space="0" w:color="auto"/>
        <w:left w:val="none" w:sz="0" w:space="0" w:color="auto"/>
        <w:bottom w:val="none" w:sz="0" w:space="0" w:color="auto"/>
        <w:right w:val="none" w:sz="0" w:space="0" w:color="auto"/>
      </w:divBdr>
    </w:div>
    <w:div w:id="1066758904">
      <w:bodyDiv w:val="1"/>
      <w:marLeft w:val="0"/>
      <w:marRight w:val="0"/>
      <w:marTop w:val="0"/>
      <w:marBottom w:val="0"/>
      <w:divBdr>
        <w:top w:val="none" w:sz="0" w:space="0" w:color="auto"/>
        <w:left w:val="none" w:sz="0" w:space="0" w:color="auto"/>
        <w:bottom w:val="none" w:sz="0" w:space="0" w:color="auto"/>
        <w:right w:val="none" w:sz="0" w:space="0" w:color="auto"/>
      </w:divBdr>
    </w:div>
    <w:div w:id="1075008584">
      <w:bodyDiv w:val="1"/>
      <w:marLeft w:val="0"/>
      <w:marRight w:val="0"/>
      <w:marTop w:val="0"/>
      <w:marBottom w:val="0"/>
      <w:divBdr>
        <w:top w:val="none" w:sz="0" w:space="0" w:color="auto"/>
        <w:left w:val="none" w:sz="0" w:space="0" w:color="auto"/>
        <w:bottom w:val="none" w:sz="0" w:space="0" w:color="auto"/>
        <w:right w:val="none" w:sz="0" w:space="0" w:color="auto"/>
      </w:divBdr>
    </w:div>
    <w:div w:id="1085146323">
      <w:bodyDiv w:val="1"/>
      <w:marLeft w:val="0"/>
      <w:marRight w:val="0"/>
      <w:marTop w:val="0"/>
      <w:marBottom w:val="0"/>
      <w:divBdr>
        <w:top w:val="none" w:sz="0" w:space="0" w:color="auto"/>
        <w:left w:val="none" w:sz="0" w:space="0" w:color="auto"/>
        <w:bottom w:val="none" w:sz="0" w:space="0" w:color="auto"/>
        <w:right w:val="none" w:sz="0" w:space="0" w:color="auto"/>
      </w:divBdr>
    </w:div>
    <w:div w:id="1091927015">
      <w:bodyDiv w:val="1"/>
      <w:marLeft w:val="0"/>
      <w:marRight w:val="0"/>
      <w:marTop w:val="0"/>
      <w:marBottom w:val="0"/>
      <w:divBdr>
        <w:top w:val="none" w:sz="0" w:space="0" w:color="auto"/>
        <w:left w:val="none" w:sz="0" w:space="0" w:color="auto"/>
        <w:bottom w:val="none" w:sz="0" w:space="0" w:color="auto"/>
        <w:right w:val="none" w:sz="0" w:space="0" w:color="auto"/>
      </w:divBdr>
    </w:div>
    <w:div w:id="1095441609">
      <w:bodyDiv w:val="1"/>
      <w:marLeft w:val="0"/>
      <w:marRight w:val="0"/>
      <w:marTop w:val="0"/>
      <w:marBottom w:val="0"/>
      <w:divBdr>
        <w:top w:val="none" w:sz="0" w:space="0" w:color="auto"/>
        <w:left w:val="none" w:sz="0" w:space="0" w:color="auto"/>
        <w:bottom w:val="none" w:sz="0" w:space="0" w:color="auto"/>
        <w:right w:val="none" w:sz="0" w:space="0" w:color="auto"/>
      </w:divBdr>
      <w:divsChild>
        <w:div w:id="1545604575">
          <w:marLeft w:val="0"/>
          <w:marRight w:val="0"/>
          <w:marTop w:val="0"/>
          <w:marBottom w:val="0"/>
          <w:divBdr>
            <w:top w:val="none" w:sz="0" w:space="0" w:color="auto"/>
            <w:left w:val="none" w:sz="0" w:space="0" w:color="auto"/>
            <w:bottom w:val="none" w:sz="0" w:space="0" w:color="auto"/>
            <w:right w:val="none" w:sz="0" w:space="0" w:color="auto"/>
          </w:divBdr>
          <w:divsChild>
            <w:div w:id="1764255423">
              <w:marLeft w:val="0"/>
              <w:marRight w:val="0"/>
              <w:marTop w:val="0"/>
              <w:marBottom w:val="0"/>
              <w:divBdr>
                <w:top w:val="none" w:sz="0" w:space="0" w:color="auto"/>
                <w:left w:val="none" w:sz="0" w:space="0" w:color="auto"/>
                <w:bottom w:val="none" w:sz="0" w:space="0" w:color="auto"/>
                <w:right w:val="none" w:sz="0" w:space="0" w:color="auto"/>
              </w:divBdr>
              <w:divsChild>
                <w:div w:id="955217808">
                  <w:marLeft w:val="0"/>
                  <w:marRight w:val="0"/>
                  <w:marTop w:val="0"/>
                  <w:marBottom w:val="0"/>
                  <w:divBdr>
                    <w:top w:val="none" w:sz="0" w:space="0" w:color="auto"/>
                    <w:left w:val="none" w:sz="0" w:space="0" w:color="auto"/>
                    <w:bottom w:val="none" w:sz="0" w:space="0" w:color="auto"/>
                    <w:right w:val="none" w:sz="0" w:space="0" w:color="auto"/>
                  </w:divBdr>
                  <w:divsChild>
                    <w:div w:id="422579502">
                      <w:marLeft w:val="0"/>
                      <w:marRight w:val="0"/>
                      <w:marTop w:val="0"/>
                      <w:marBottom w:val="0"/>
                      <w:divBdr>
                        <w:top w:val="none" w:sz="0" w:space="0" w:color="auto"/>
                        <w:left w:val="none" w:sz="0" w:space="0" w:color="auto"/>
                        <w:bottom w:val="none" w:sz="0" w:space="0" w:color="auto"/>
                        <w:right w:val="none" w:sz="0" w:space="0" w:color="auto"/>
                      </w:divBdr>
                      <w:divsChild>
                        <w:div w:id="1495948592">
                          <w:marLeft w:val="0"/>
                          <w:marRight w:val="0"/>
                          <w:marTop w:val="0"/>
                          <w:marBottom w:val="0"/>
                          <w:divBdr>
                            <w:top w:val="none" w:sz="0" w:space="0" w:color="auto"/>
                            <w:left w:val="none" w:sz="0" w:space="0" w:color="auto"/>
                            <w:bottom w:val="none" w:sz="0" w:space="0" w:color="auto"/>
                            <w:right w:val="none" w:sz="0" w:space="0" w:color="auto"/>
                          </w:divBdr>
                          <w:divsChild>
                            <w:div w:id="14281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1877">
      <w:bodyDiv w:val="1"/>
      <w:marLeft w:val="0"/>
      <w:marRight w:val="0"/>
      <w:marTop w:val="0"/>
      <w:marBottom w:val="0"/>
      <w:divBdr>
        <w:top w:val="none" w:sz="0" w:space="0" w:color="auto"/>
        <w:left w:val="none" w:sz="0" w:space="0" w:color="auto"/>
        <w:bottom w:val="none" w:sz="0" w:space="0" w:color="auto"/>
        <w:right w:val="none" w:sz="0" w:space="0" w:color="auto"/>
      </w:divBdr>
      <w:divsChild>
        <w:div w:id="370768553">
          <w:marLeft w:val="0"/>
          <w:marRight w:val="0"/>
          <w:marTop w:val="0"/>
          <w:marBottom w:val="0"/>
          <w:divBdr>
            <w:top w:val="none" w:sz="0" w:space="0" w:color="auto"/>
            <w:left w:val="none" w:sz="0" w:space="0" w:color="auto"/>
            <w:bottom w:val="none" w:sz="0" w:space="0" w:color="auto"/>
            <w:right w:val="none" w:sz="0" w:space="0" w:color="auto"/>
          </w:divBdr>
          <w:divsChild>
            <w:div w:id="970475922">
              <w:marLeft w:val="0"/>
              <w:marRight w:val="0"/>
              <w:marTop w:val="0"/>
              <w:marBottom w:val="0"/>
              <w:divBdr>
                <w:top w:val="none" w:sz="0" w:space="0" w:color="auto"/>
                <w:left w:val="none" w:sz="0" w:space="0" w:color="auto"/>
                <w:bottom w:val="none" w:sz="0" w:space="0" w:color="auto"/>
                <w:right w:val="none" w:sz="0" w:space="0" w:color="auto"/>
              </w:divBdr>
              <w:divsChild>
                <w:div w:id="1259676339">
                  <w:marLeft w:val="0"/>
                  <w:marRight w:val="0"/>
                  <w:marTop w:val="0"/>
                  <w:marBottom w:val="0"/>
                  <w:divBdr>
                    <w:top w:val="none" w:sz="0" w:space="0" w:color="auto"/>
                    <w:left w:val="none" w:sz="0" w:space="0" w:color="auto"/>
                    <w:bottom w:val="none" w:sz="0" w:space="0" w:color="auto"/>
                    <w:right w:val="none" w:sz="0" w:space="0" w:color="auto"/>
                  </w:divBdr>
                  <w:divsChild>
                    <w:div w:id="241917423">
                      <w:marLeft w:val="0"/>
                      <w:marRight w:val="0"/>
                      <w:marTop w:val="0"/>
                      <w:marBottom w:val="0"/>
                      <w:divBdr>
                        <w:top w:val="none" w:sz="0" w:space="0" w:color="auto"/>
                        <w:left w:val="none" w:sz="0" w:space="0" w:color="auto"/>
                        <w:bottom w:val="none" w:sz="0" w:space="0" w:color="auto"/>
                        <w:right w:val="none" w:sz="0" w:space="0" w:color="auto"/>
                      </w:divBdr>
                      <w:divsChild>
                        <w:div w:id="1783301017">
                          <w:marLeft w:val="0"/>
                          <w:marRight w:val="0"/>
                          <w:marTop w:val="0"/>
                          <w:marBottom w:val="0"/>
                          <w:divBdr>
                            <w:top w:val="none" w:sz="0" w:space="0" w:color="auto"/>
                            <w:left w:val="none" w:sz="0" w:space="0" w:color="auto"/>
                            <w:bottom w:val="none" w:sz="0" w:space="0" w:color="auto"/>
                            <w:right w:val="none" w:sz="0" w:space="0" w:color="auto"/>
                          </w:divBdr>
                          <w:divsChild>
                            <w:div w:id="19356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19488279">
      <w:bodyDiv w:val="1"/>
      <w:marLeft w:val="0"/>
      <w:marRight w:val="0"/>
      <w:marTop w:val="0"/>
      <w:marBottom w:val="0"/>
      <w:divBdr>
        <w:top w:val="none" w:sz="0" w:space="0" w:color="auto"/>
        <w:left w:val="none" w:sz="0" w:space="0" w:color="auto"/>
        <w:bottom w:val="none" w:sz="0" w:space="0" w:color="auto"/>
        <w:right w:val="none" w:sz="0" w:space="0" w:color="auto"/>
      </w:divBdr>
      <w:divsChild>
        <w:div w:id="2144888501">
          <w:marLeft w:val="0"/>
          <w:marRight w:val="0"/>
          <w:marTop w:val="0"/>
          <w:marBottom w:val="0"/>
          <w:divBdr>
            <w:top w:val="none" w:sz="0" w:space="0" w:color="auto"/>
            <w:left w:val="none" w:sz="0" w:space="0" w:color="auto"/>
            <w:bottom w:val="none" w:sz="0" w:space="0" w:color="auto"/>
            <w:right w:val="none" w:sz="0" w:space="0" w:color="auto"/>
          </w:divBdr>
          <w:divsChild>
            <w:div w:id="486480671">
              <w:marLeft w:val="0"/>
              <w:marRight w:val="0"/>
              <w:marTop w:val="0"/>
              <w:marBottom w:val="0"/>
              <w:divBdr>
                <w:top w:val="none" w:sz="0" w:space="0" w:color="auto"/>
                <w:left w:val="none" w:sz="0" w:space="0" w:color="auto"/>
                <w:bottom w:val="none" w:sz="0" w:space="0" w:color="auto"/>
                <w:right w:val="none" w:sz="0" w:space="0" w:color="auto"/>
              </w:divBdr>
              <w:divsChild>
                <w:div w:id="1655992238">
                  <w:marLeft w:val="0"/>
                  <w:marRight w:val="0"/>
                  <w:marTop w:val="0"/>
                  <w:marBottom w:val="0"/>
                  <w:divBdr>
                    <w:top w:val="none" w:sz="0" w:space="0" w:color="auto"/>
                    <w:left w:val="none" w:sz="0" w:space="0" w:color="auto"/>
                    <w:bottom w:val="none" w:sz="0" w:space="0" w:color="auto"/>
                    <w:right w:val="none" w:sz="0" w:space="0" w:color="auto"/>
                  </w:divBdr>
                  <w:divsChild>
                    <w:div w:id="331567249">
                      <w:marLeft w:val="0"/>
                      <w:marRight w:val="0"/>
                      <w:marTop w:val="0"/>
                      <w:marBottom w:val="0"/>
                      <w:divBdr>
                        <w:top w:val="none" w:sz="0" w:space="0" w:color="auto"/>
                        <w:left w:val="none" w:sz="0" w:space="0" w:color="auto"/>
                        <w:bottom w:val="none" w:sz="0" w:space="0" w:color="auto"/>
                        <w:right w:val="none" w:sz="0" w:space="0" w:color="auto"/>
                      </w:divBdr>
                      <w:divsChild>
                        <w:div w:id="817497672">
                          <w:marLeft w:val="0"/>
                          <w:marRight w:val="0"/>
                          <w:marTop w:val="0"/>
                          <w:marBottom w:val="0"/>
                          <w:divBdr>
                            <w:top w:val="none" w:sz="0" w:space="0" w:color="auto"/>
                            <w:left w:val="none" w:sz="0" w:space="0" w:color="auto"/>
                            <w:bottom w:val="none" w:sz="0" w:space="0" w:color="auto"/>
                            <w:right w:val="none" w:sz="0" w:space="0" w:color="auto"/>
                          </w:divBdr>
                          <w:divsChild>
                            <w:div w:id="8568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193787">
      <w:bodyDiv w:val="1"/>
      <w:marLeft w:val="0"/>
      <w:marRight w:val="0"/>
      <w:marTop w:val="0"/>
      <w:marBottom w:val="0"/>
      <w:divBdr>
        <w:top w:val="none" w:sz="0" w:space="0" w:color="auto"/>
        <w:left w:val="none" w:sz="0" w:space="0" w:color="auto"/>
        <w:bottom w:val="none" w:sz="0" w:space="0" w:color="auto"/>
        <w:right w:val="none" w:sz="0" w:space="0" w:color="auto"/>
      </w:divBdr>
      <w:divsChild>
        <w:div w:id="1179082540">
          <w:marLeft w:val="0"/>
          <w:marRight w:val="0"/>
          <w:marTop w:val="0"/>
          <w:marBottom w:val="0"/>
          <w:divBdr>
            <w:top w:val="none" w:sz="0" w:space="0" w:color="auto"/>
            <w:left w:val="none" w:sz="0" w:space="0" w:color="auto"/>
            <w:bottom w:val="none" w:sz="0" w:space="0" w:color="auto"/>
            <w:right w:val="none" w:sz="0" w:space="0" w:color="auto"/>
          </w:divBdr>
          <w:divsChild>
            <w:div w:id="2073041393">
              <w:marLeft w:val="0"/>
              <w:marRight w:val="0"/>
              <w:marTop w:val="0"/>
              <w:marBottom w:val="0"/>
              <w:divBdr>
                <w:top w:val="none" w:sz="0" w:space="0" w:color="auto"/>
                <w:left w:val="none" w:sz="0" w:space="0" w:color="auto"/>
                <w:bottom w:val="none" w:sz="0" w:space="0" w:color="auto"/>
                <w:right w:val="none" w:sz="0" w:space="0" w:color="auto"/>
              </w:divBdr>
              <w:divsChild>
                <w:div w:id="415707416">
                  <w:marLeft w:val="0"/>
                  <w:marRight w:val="0"/>
                  <w:marTop w:val="0"/>
                  <w:marBottom w:val="0"/>
                  <w:divBdr>
                    <w:top w:val="none" w:sz="0" w:space="0" w:color="auto"/>
                    <w:left w:val="none" w:sz="0" w:space="0" w:color="auto"/>
                    <w:bottom w:val="none" w:sz="0" w:space="0" w:color="auto"/>
                    <w:right w:val="none" w:sz="0" w:space="0" w:color="auto"/>
                  </w:divBdr>
                  <w:divsChild>
                    <w:div w:id="364674554">
                      <w:marLeft w:val="0"/>
                      <w:marRight w:val="0"/>
                      <w:marTop w:val="0"/>
                      <w:marBottom w:val="0"/>
                      <w:divBdr>
                        <w:top w:val="none" w:sz="0" w:space="0" w:color="auto"/>
                        <w:left w:val="none" w:sz="0" w:space="0" w:color="auto"/>
                        <w:bottom w:val="none" w:sz="0" w:space="0" w:color="auto"/>
                        <w:right w:val="none" w:sz="0" w:space="0" w:color="auto"/>
                      </w:divBdr>
                      <w:divsChild>
                        <w:div w:id="268896504">
                          <w:marLeft w:val="0"/>
                          <w:marRight w:val="0"/>
                          <w:marTop w:val="0"/>
                          <w:marBottom w:val="0"/>
                          <w:divBdr>
                            <w:top w:val="none" w:sz="0" w:space="0" w:color="auto"/>
                            <w:left w:val="none" w:sz="0" w:space="0" w:color="auto"/>
                            <w:bottom w:val="none" w:sz="0" w:space="0" w:color="auto"/>
                            <w:right w:val="none" w:sz="0" w:space="0" w:color="auto"/>
                          </w:divBdr>
                          <w:divsChild>
                            <w:div w:id="8711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348464">
      <w:bodyDiv w:val="1"/>
      <w:marLeft w:val="0"/>
      <w:marRight w:val="0"/>
      <w:marTop w:val="0"/>
      <w:marBottom w:val="0"/>
      <w:divBdr>
        <w:top w:val="none" w:sz="0" w:space="0" w:color="auto"/>
        <w:left w:val="none" w:sz="0" w:space="0" w:color="auto"/>
        <w:bottom w:val="none" w:sz="0" w:space="0" w:color="auto"/>
        <w:right w:val="none" w:sz="0" w:space="0" w:color="auto"/>
      </w:divBdr>
    </w:div>
    <w:div w:id="1131245701">
      <w:bodyDiv w:val="1"/>
      <w:marLeft w:val="0"/>
      <w:marRight w:val="0"/>
      <w:marTop w:val="0"/>
      <w:marBottom w:val="0"/>
      <w:divBdr>
        <w:top w:val="none" w:sz="0" w:space="0" w:color="auto"/>
        <w:left w:val="none" w:sz="0" w:space="0" w:color="auto"/>
        <w:bottom w:val="none" w:sz="0" w:space="0" w:color="auto"/>
        <w:right w:val="none" w:sz="0" w:space="0" w:color="auto"/>
      </w:divBdr>
    </w:div>
    <w:div w:id="1138885112">
      <w:bodyDiv w:val="1"/>
      <w:marLeft w:val="0"/>
      <w:marRight w:val="0"/>
      <w:marTop w:val="0"/>
      <w:marBottom w:val="0"/>
      <w:divBdr>
        <w:top w:val="none" w:sz="0" w:space="0" w:color="auto"/>
        <w:left w:val="none" w:sz="0" w:space="0" w:color="auto"/>
        <w:bottom w:val="none" w:sz="0" w:space="0" w:color="auto"/>
        <w:right w:val="none" w:sz="0" w:space="0" w:color="auto"/>
      </w:divBdr>
      <w:divsChild>
        <w:div w:id="1858153563">
          <w:marLeft w:val="0"/>
          <w:marRight w:val="0"/>
          <w:marTop w:val="0"/>
          <w:marBottom w:val="0"/>
          <w:divBdr>
            <w:top w:val="none" w:sz="0" w:space="0" w:color="auto"/>
            <w:left w:val="none" w:sz="0" w:space="0" w:color="auto"/>
            <w:bottom w:val="none" w:sz="0" w:space="0" w:color="auto"/>
            <w:right w:val="none" w:sz="0" w:space="0" w:color="auto"/>
          </w:divBdr>
          <w:divsChild>
            <w:div w:id="1945308551">
              <w:marLeft w:val="0"/>
              <w:marRight w:val="0"/>
              <w:marTop w:val="0"/>
              <w:marBottom w:val="0"/>
              <w:divBdr>
                <w:top w:val="none" w:sz="0" w:space="0" w:color="auto"/>
                <w:left w:val="none" w:sz="0" w:space="0" w:color="auto"/>
                <w:bottom w:val="none" w:sz="0" w:space="0" w:color="auto"/>
                <w:right w:val="none" w:sz="0" w:space="0" w:color="auto"/>
              </w:divBdr>
              <w:divsChild>
                <w:div w:id="665474777">
                  <w:marLeft w:val="0"/>
                  <w:marRight w:val="0"/>
                  <w:marTop w:val="0"/>
                  <w:marBottom w:val="0"/>
                  <w:divBdr>
                    <w:top w:val="none" w:sz="0" w:space="0" w:color="auto"/>
                    <w:left w:val="none" w:sz="0" w:space="0" w:color="auto"/>
                    <w:bottom w:val="none" w:sz="0" w:space="0" w:color="auto"/>
                    <w:right w:val="none" w:sz="0" w:space="0" w:color="auto"/>
                  </w:divBdr>
                  <w:divsChild>
                    <w:div w:id="547033183">
                      <w:marLeft w:val="0"/>
                      <w:marRight w:val="0"/>
                      <w:marTop w:val="0"/>
                      <w:marBottom w:val="0"/>
                      <w:divBdr>
                        <w:top w:val="none" w:sz="0" w:space="0" w:color="auto"/>
                        <w:left w:val="none" w:sz="0" w:space="0" w:color="auto"/>
                        <w:bottom w:val="none" w:sz="0" w:space="0" w:color="auto"/>
                        <w:right w:val="none" w:sz="0" w:space="0" w:color="auto"/>
                      </w:divBdr>
                      <w:divsChild>
                        <w:div w:id="1187450818">
                          <w:marLeft w:val="0"/>
                          <w:marRight w:val="0"/>
                          <w:marTop w:val="0"/>
                          <w:marBottom w:val="0"/>
                          <w:divBdr>
                            <w:top w:val="none" w:sz="0" w:space="0" w:color="auto"/>
                            <w:left w:val="none" w:sz="0" w:space="0" w:color="auto"/>
                            <w:bottom w:val="none" w:sz="0" w:space="0" w:color="auto"/>
                            <w:right w:val="none" w:sz="0" w:space="0" w:color="auto"/>
                          </w:divBdr>
                          <w:divsChild>
                            <w:div w:id="11859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48746106">
      <w:bodyDiv w:val="1"/>
      <w:marLeft w:val="0"/>
      <w:marRight w:val="0"/>
      <w:marTop w:val="0"/>
      <w:marBottom w:val="0"/>
      <w:divBdr>
        <w:top w:val="none" w:sz="0" w:space="0" w:color="auto"/>
        <w:left w:val="none" w:sz="0" w:space="0" w:color="auto"/>
        <w:bottom w:val="none" w:sz="0" w:space="0" w:color="auto"/>
        <w:right w:val="none" w:sz="0" w:space="0" w:color="auto"/>
      </w:divBdr>
    </w:div>
    <w:div w:id="1167743333">
      <w:bodyDiv w:val="1"/>
      <w:marLeft w:val="0"/>
      <w:marRight w:val="0"/>
      <w:marTop w:val="0"/>
      <w:marBottom w:val="0"/>
      <w:divBdr>
        <w:top w:val="none" w:sz="0" w:space="0" w:color="auto"/>
        <w:left w:val="none" w:sz="0" w:space="0" w:color="auto"/>
        <w:bottom w:val="none" w:sz="0" w:space="0" w:color="auto"/>
        <w:right w:val="none" w:sz="0" w:space="0" w:color="auto"/>
      </w:divBdr>
      <w:divsChild>
        <w:div w:id="996759823">
          <w:marLeft w:val="0"/>
          <w:marRight w:val="0"/>
          <w:marTop w:val="0"/>
          <w:marBottom w:val="0"/>
          <w:divBdr>
            <w:top w:val="none" w:sz="0" w:space="0" w:color="auto"/>
            <w:left w:val="none" w:sz="0" w:space="0" w:color="auto"/>
            <w:bottom w:val="none" w:sz="0" w:space="0" w:color="auto"/>
            <w:right w:val="none" w:sz="0" w:space="0" w:color="auto"/>
          </w:divBdr>
          <w:divsChild>
            <w:div w:id="1218785101">
              <w:marLeft w:val="0"/>
              <w:marRight w:val="0"/>
              <w:marTop w:val="0"/>
              <w:marBottom w:val="0"/>
              <w:divBdr>
                <w:top w:val="none" w:sz="0" w:space="0" w:color="auto"/>
                <w:left w:val="none" w:sz="0" w:space="0" w:color="auto"/>
                <w:bottom w:val="none" w:sz="0" w:space="0" w:color="auto"/>
                <w:right w:val="none" w:sz="0" w:space="0" w:color="auto"/>
              </w:divBdr>
              <w:divsChild>
                <w:div w:id="1891763819">
                  <w:marLeft w:val="0"/>
                  <w:marRight w:val="0"/>
                  <w:marTop w:val="0"/>
                  <w:marBottom w:val="0"/>
                  <w:divBdr>
                    <w:top w:val="none" w:sz="0" w:space="0" w:color="auto"/>
                    <w:left w:val="none" w:sz="0" w:space="0" w:color="auto"/>
                    <w:bottom w:val="none" w:sz="0" w:space="0" w:color="auto"/>
                    <w:right w:val="none" w:sz="0" w:space="0" w:color="auto"/>
                  </w:divBdr>
                  <w:divsChild>
                    <w:div w:id="1413816041">
                      <w:marLeft w:val="0"/>
                      <w:marRight w:val="0"/>
                      <w:marTop w:val="0"/>
                      <w:marBottom w:val="0"/>
                      <w:divBdr>
                        <w:top w:val="none" w:sz="0" w:space="0" w:color="auto"/>
                        <w:left w:val="none" w:sz="0" w:space="0" w:color="auto"/>
                        <w:bottom w:val="none" w:sz="0" w:space="0" w:color="auto"/>
                        <w:right w:val="none" w:sz="0" w:space="0" w:color="auto"/>
                      </w:divBdr>
                      <w:divsChild>
                        <w:div w:id="1641307068">
                          <w:marLeft w:val="0"/>
                          <w:marRight w:val="0"/>
                          <w:marTop w:val="0"/>
                          <w:marBottom w:val="0"/>
                          <w:divBdr>
                            <w:top w:val="none" w:sz="0" w:space="0" w:color="auto"/>
                            <w:left w:val="none" w:sz="0" w:space="0" w:color="auto"/>
                            <w:bottom w:val="none" w:sz="0" w:space="0" w:color="auto"/>
                            <w:right w:val="none" w:sz="0" w:space="0" w:color="auto"/>
                          </w:divBdr>
                          <w:divsChild>
                            <w:div w:id="353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9855590">
      <w:bodyDiv w:val="1"/>
      <w:marLeft w:val="0"/>
      <w:marRight w:val="0"/>
      <w:marTop w:val="0"/>
      <w:marBottom w:val="0"/>
      <w:divBdr>
        <w:top w:val="none" w:sz="0" w:space="0" w:color="auto"/>
        <w:left w:val="none" w:sz="0" w:space="0" w:color="auto"/>
        <w:bottom w:val="none" w:sz="0" w:space="0" w:color="auto"/>
        <w:right w:val="none" w:sz="0" w:space="0" w:color="auto"/>
      </w:divBdr>
    </w:div>
    <w:div w:id="1182355893">
      <w:bodyDiv w:val="1"/>
      <w:marLeft w:val="0"/>
      <w:marRight w:val="0"/>
      <w:marTop w:val="0"/>
      <w:marBottom w:val="0"/>
      <w:divBdr>
        <w:top w:val="none" w:sz="0" w:space="0" w:color="auto"/>
        <w:left w:val="none" w:sz="0" w:space="0" w:color="auto"/>
        <w:bottom w:val="none" w:sz="0" w:space="0" w:color="auto"/>
        <w:right w:val="none" w:sz="0" w:space="0" w:color="auto"/>
      </w:divBdr>
    </w:div>
    <w:div w:id="1182471712">
      <w:bodyDiv w:val="1"/>
      <w:marLeft w:val="0"/>
      <w:marRight w:val="0"/>
      <w:marTop w:val="0"/>
      <w:marBottom w:val="0"/>
      <w:divBdr>
        <w:top w:val="none" w:sz="0" w:space="0" w:color="auto"/>
        <w:left w:val="none" w:sz="0" w:space="0" w:color="auto"/>
        <w:bottom w:val="none" w:sz="0" w:space="0" w:color="auto"/>
        <w:right w:val="none" w:sz="0" w:space="0" w:color="auto"/>
      </w:divBdr>
      <w:divsChild>
        <w:div w:id="629825988">
          <w:marLeft w:val="0"/>
          <w:marRight w:val="0"/>
          <w:marTop w:val="0"/>
          <w:marBottom w:val="0"/>
          <w:divBdr>
            <w:top w:val="none" w:sz="0" w:space="0" w:color="auto"/>
            <w:left w:val="none" w:sz="0" w:space="0" w:color="auto"/>
            <w:bottom w:val="none" w:sz="0" w:space="0" w:color="auto"/>
            <w:right w:val="none" w:sz="0" w:space="0" w:color="auto"/>
          </w:divBdr>
          <w:divsChild>
            <w:div w:id="1234047588">
              <w:marLeft w:val="0"/>
              <w:marRight w:val="0"/>
              <w:marTop w:val="0"/>
              <w:marBottom w:val="0"/>
              <w:divBdr>
                <w:top w:val="none" w:sz="0" w:space="0" w:color="auto"/>
                <w:left w:val="none" w:sz="0" w:space="0" w:color="auto"/>
                <w:bottom w:val="none" w:sz="0" w:space="0" w:color="auto"/>
                <w:right w:val="none" w:sz="0" w:space="0" w:color="auto"/>
              </w:divBdr>
              <w:divsChild>
                <w:div w:id="1934892082">
                  <w:marLeft w:val="0"/>
                  <w:marRight w:val="0"/>
                  <w:marTop w:val="0"/>
                  <w:marBottom w:val="0"/>
                  <w:divBdr>
                    <w:top w:val="none" w:sz="0" w:space="0" w:color="auto"/>
                    <w:left w:val="none" w:sz="0" w:space="0" w:color="auto"/>
                    <w:bottom w:val="none" w:sz="0" w:space="0" w:color="auto"/>
                    <w:right w:val="none" w:sz="0" w:space="0" w:color="auto"/>
                  </w:divBdr>
                  <w:divsChild>
                    <w:div w:id="790317401">
                      <w:marLeft w:val="0"/>
                      <w:marRight w:val="0"/>
                      <w:marTop w:val="0"/>
                      <w:marBottom w:val="0"/>
                      <w:divBdr>
                        <w:top w:val="none" w:sz="0" w:space="0" w:color="auto"/>
                        <w:left w:val="none" w:sz="0" w:space="0" w:color="auto"/>
                        <w:bottom w:val="none" w:sz="0" w:space="0" w:color="auto"/>
                        <w:right w:val="none" w:sz="0" w:space="0" w:color="auto"/>
                      </w:divBdr>
                      <w:divsChild>
                        <w:div w:id="1495025193">
                          <w:marLeft w:val="0"/>
                          <w:marRight w:val="0"/>
                          <w:marTop w:val="0"/>
                          <w:marBottom w:val="0"/>
                          <w:divBdr>
                            <w:top w:val="none" w:sz="0" w:space="0" w:color="auto"/>
                            <w:left w:val="none" w:sz="0" w:space="0" w:color="auto"/>
                            <w:bottom w:val="none" w:sz="0" w:space="0" w:color="auto"/>
                            <w:right w:val="none" w:sz="0" w:space="0" w:color="auto"/>
                          </w:divBdr>
                          <w:divsChild>
                            <w:div w:id="15911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95504">
      <w:bodyDiv w:val="1"/>
      <w:marLeft w:val="0"/>
      <w:marRight w:val="0"/>
      <w:marTop w:val="0"/>
      <w:marBottom w:val="0"/>
      <w:divBdr>
        <w:top w:val="none" w:sz="0" w:space="0" w:color="auto"/>
        <w:left w:val="none" w:sz="0" w:space="0" w:color="auto"/>
        <w:bottom w:val="none" w:sz="0" w:space="0" w:color="auto"/>
        <w:right w:val="none" w:sz="0" w:space="0" w:color="auto"/>
      </w:divBdr>
    </w:div>
    <w:div w:id="1215047735">
      <w:bodyDiv w:val="1"/>
      <w:marLeft w:val="0"/>
      <w:marRight w:val="0"/>
      <w:marTop w:val="0"/>
      <w:marBottom w:val="0"/>
      <w:divBdr>
        <w:top w:val="none" w:sz="0" w:space="0" w:color="auto"/>
        <w:left w:val="none" w:sz="0" w:space="0" w:color="auto"/>
        <w:bottom w:val="none" w:sz="0" w:space="0" w:color="auto"/>
        <w:right w:val="none" w:sz="0" w:space="0" w:color="auto"/>
      </w:divBdr>
    </w:div>
    <w:div w:id="1216165003">
      <w:bodyDiv w:val="1"/>
      <w:marLeft w:val="0"/>
      <w:marRight w:val="0"/>
      <w:marTop w:val="0"/>
      <w:marBottom w:val="0"/>
      <w:divBdr>
        <w:top w:val="none" w:sz="0" w:space="0" w:color="auto"/>
        <w:left w:val="none" w:sz="0" w:space="0" w:color="auto"/>
        <w:bottom w:val="none" w:sz="0" w:space="0" w:color="auto"/>
        <w:right w:val="none" w:sz="0" w:space="0" w:color="auto"/>
      </w:divBdr>
    </w:div>
    <w:div w:id="1218785554">
      <w:bodyDiv w:val="1"/>
      <w:marLeft w:val="0"/>
      <w:marRight w:val="0"/>
      <w:marTop w:val="0"/>
      <w:marBottom w:val="0"/>
      <w:divBdr>
        <w:top w:val="none" w:sz="0" w:space="0" w:color="auto"/>
        <w:left w:val="none" w:sz="0" w:space="0" w:color="auto"/>
        <w:bottom w:val="none" w:sz="0" w:space="0" w:color="auto"/>
        <w:right w:val="none" w:sz="0" w:space="0" w:color="auto"/>
      </w:divBdr>
      <w:divsChild>
        <w:div w:id="168449656">
          <w:marLeft w:val="0"/>
          <w:marRight w:val="0"/>
          <w:marTop w:val="0"/>
          <w:marBottom w:val="0"/>
          <w:divBdr>
            <w:top w:val="none" w:sz="0" w:space="0" w:color="auto"/>
            <w:left w:val="none" w:sz="0" w:space="0" w:color="auto"/>
            <w:bottom w:val="none" w:sz="0" w:space="0" w:color="auto"/>
            <w:right w:val="none" w:sz="0" w:space="0" w:color="auto"/>
          </w:divBdr>
          <w:divsChild>
            <w:div w:id="1550679713">
              <w:marLeft w:val="0"/>
              <w:marRight w:val="0"/>
              <w:marTop w:val="0"/>
              <w:marBottom w:val="0"/>
              <w:divBdr>
                <w:top w:val="none" w:sz="0" w:space="0" w:color="auto"/>
                <w:left w:val="none" w:sz="0" w:space="0" w:color="auto"/>
                <w:bottom w:val="none" w:sz="0" w:space="0" w:color="auto"/>
                <w:right w:val="none" w:sz="0" w:space="0" w:color="auto"/>
              </w:divBdr>
              <w:divsChild>
                <w:div w:id="1117145145">
                  <w:marLeft w:val="0"/>
                  <w:marRight w:val="0"/>
                  <w:marTop w:val="0"/>
                  <w:marBottom w:val="0"/>
                  <w:divBdr>
                    <w:top w:val="none" w:sz="0" w:space="0" w:color="auto"/>
                    <w:left w:val="none" w:sz="0" w:space="0" w:color="auto"/>
                    <w:bottom w:val="none" w:sz="0" w:space="0" w:color="auto"/>
                    <w:right w:val="none" w:sz="0" w:space="0" w:color="auto"/>
                  </w:divBdr>
                  <w:divsChild>
                    <w:div w:id="178085069">
                      <w:marLeft w:val="0"/>
                      <w:marRight w:val="0"/>
                      <w:marTop w:val="0"/>
                      <w:marBottom w:val="0"/>
                      <w:divBdr>
                        <w:top w:val="none" w:sz="0" w:space="0" w:color="auto"/>
                        <w:left w:val="none" w:sz="0" w:space="0" w:color="auto"/>
                        <w:bottom w:val="none" w:sz="0" w:space="0" w:color="auto"/>
                        <w:right w:val="none" w:sz="0" w:space="0" w:color="auto"/>
                      </w:divBdr>
                      <w:divsChild>
                        <w:div w:id="286666909">
                          <w:marLeft w:val="0"/>
                          <w:marRight w:val="0"/>
                          <w:marTop w:val="0"/>
                          <w:marBottom w:val="0"/>
                          <w:divBdr>
                            <w:top w:val="none" w:sz="0" w:space="0" w:color="auto"/>
                            <w:left w:val="none" w:sz="0" w:space="0" w:color="auto"/>
                            <w:bottom w:val="none" w:sz="0" w:space="0" w:color="auto"/>
                            <w:right w:val="none" w:sz="0" w:space="0" w:color="auto"/>
                          </w:divBdr>
                          <w:divsChild>
                            <w:div w:id="19144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75812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29804681">
      <w:bodyDiv w:val="1"/>
      <w:marLeft w:val="0"/>
      <w:marRight w:val="0"/>
      <w:marTop w:val="0"/>
      <w:marBottom w:val="0"/>
      <w:divBdr>
        <w:top w:val="none" w:sz="0" w:space="0" w:color="auto"/>
        <w:left w:val="none" w:sz="0" w:space="0" w:color="auto"/>
        <w:bottom w:val="none" w:sz="0" w:space="0" w:color="auto"/>
        <w:right w:val="none" w:sz="0" w:space="0" w:color="auto"/>
      </w:divBdr>
    </w:div>
    <w:div w:id="1243563154">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5169519">
      <w:bodyDiv w:val="1"/>
      <w:marLeft w:val="0"/>
      <w:marRight w:val="0"/>
      <w:marTop w:val="0"/>
      <w:marBottom w:val="0"/>
      <w:divBdr>
        <w:top w:val="none" w:sz="0" w:space="0" w:color="auto"/>
        <w:left w:val="none" w:sz="0" w:space="0" w:color="auto"/>
        <w:bottom w:val="none" w:sz="0" w:space="0" w:color="auto"/>
        <w:right w:val="none" w:sz="0" w:space="0" w:color="auto"/>
      </w:divBdr>
      <w:divsChild>
        <w:div w:id="190192217">
          <w:marLeft w:val="0"/>
          <w:marRight w:val="0"/>
          <w:marTop w:val="0"/>
          <w:marBottom w:val="0"/>
          <w:divBdr>
            <w:top w:val="none" w:sz="0" w:space="0" w:color="auto"/>
            <w:left w:val="none" w:sz="0" w:space="0" w:color="auto"/>
            <w:bottom w:val="none" w:sz="0" w:space="0" w:color="auto"/>
            <w:right w:val="none" w:sz="0" w:space="0" w:color="auto"/>
          </w:divBdr>
          <w:divsChild>
            <w:div w:id="70737789">
              <w:marLeft w:val="0"/>
              <w:marRight w:val="0"/>
              <w:marTop w:val="0"/>
              <w:marBottom w:val="0"/>
              <w:divBdr>
                <w:top w:val="none" w:sz="0" w:space="0" w:color="auto"/>
                <w:left w:val="none" w:sz="0" w:space="0" w:color="auto"/>
                <w:bottom w:val="none" w:sz="0" w:space="0" w:color="auto"/>
                <w:right w:val="none" w:sz="0" w:space="0" w:color="auto"/>
              </w:divBdr>
            </w:div>
            <w:div w:id="228809426">
              <w:marLeft w:val="0"/>
              <w:marRight w:val="0"/>
              <w:marTop w:val="0"/>
              <w:marBottom w:val="0"/>
              <w:divBdr>
                <w:top w:val="none" w:sz="0" w:space="0" w:color="auto"/>
                <w:left w:val="none" w:sz="0" w:space="0" w:color="auto"/>
                <w:bottom w:val="none" w:sz="0" w:space="0" w:color="auto"/>
                <w:right w:val="none" w:sz="0" w:space="0" w:color="auto"/>
              </w:divBdr>
            </w:div>
            <w:div w:id="238830348">
              <w:marLeft w:val="0"/>
              <w:marRight w:val="0"/>
              <w:marTop w:val="0"/>
              <w:marBottom w:val="0"/>
              <w:divBdr>
                <w:top w:val="none" w:sz="0" w:space="0" w:color="auto"/>
                <w:left w:val="none" w:sz="0" w:space="0" w:color="auto"/>
                <w:bottom w:val="none" w:sz="0" w:space="0" w:color="auto"/>
                <w:right w:val="none" w:sz="0" w:space="0" w:color="auto"/>
              </w:divBdr>
            </w:div>
            <w:div w:id="251428444">
              <w:marLeft w:val="0"/>
              <w:marRight w:val="0"/>
              <w:marTop w:val="0"/>
              <w:marBottom w:val="0"/>
              <w:divBdr>
                <w:top w:val="none" w:sz="0" w:space="0" w:color="auto"/>
                <w:left w:val="none" w:sz="0" w:space="0" w:color="auto"/>
                <w:bottom w:val="none" w:sz="0" w:space="0" w:color="auto"/>
                <w:right w:val="none" w:sz="0" w:space="0" w:color="auto"/>
              </w:divBdr>
            </w:div>
            <w:div w:id="285091009">
              <w:marLeft w:val="0"/>
              <w:marRight w:val="0"/>
              <w:marTop w:val="0"/>
              <w:marBottom w:val="0"/>
              <w:divBdr>
                <w:top w:val="none" w:sz="0" w:space="0" w:color="auto"/>
                <w:left w:val="none" w:sz="0" w:space="0" w:color="auto"/>
                <w:bottom w:val="none" w:sz="0" w:space="0" w:color="auto"/>
                <w:right w:val="none" w:sz="0" w:space="0" w:color="auto"/>
              </w:divBdr>
            </w:div>
            <w:div w:id="289944244">
              <w:marLeft w:val="0"/>
              <w:marRight w:val="0"/>
              <w:marTop w:val="0"/>
              <w:marBottom w:val="0"/>
              <w:divBdr>
                <w:top w:val="none" w:sz="0" w:space="0" w:color="auto"/>
                <w:left w:val="none" w:sz="0" w:space="0" w:color="auto"/>
                <w:bottom w:val="none" w:sz="0" w:space="0" w:color="auto"/>
                <w:right w:val="none" w:sz="0" w:space="0" w:color="auto"/>
              </w:divBdr>
            </w:div>
            <w:div w:id="383144776">
              <w:marLeft w:val="0"/>
              <w:marRight w:val="0"/>
              <w:marTop w:val="0"/>
              <w:marBottom w:val="0"/>
              <w:divBdr>
                <w:top w:val="none" w:sz="0" w:space="0" w:color="auto"/>
                <w:left w:val="none" w:sz="0" w:space="0" w:color="auto"/>
                <w:bottom w:val="none" w:sz="0" w:space="0" w:color="auto"/>
                <w:right w:val="none" w:sz="0" w:space="0" w:color="auto"/>
              </w:divBdr>
            </w:div>
            <w:div w:id="458884056">
              <w:marLeft w:val="0"/>
              <w:marRight w:val="0"/>
              <w:marTop w:val="0"/>
              <w:marBottom w:val="0"/>
              <w:divBdr>
                <w:top w:val="none" w:sz="0" w:space="0" w:color="auto"/>
                <w:left w:val="none" w:sz="0" w:space="0" w:color="auto"/>
                <w:bottom w:val="none" w:sz="0" w:space="0" w:color="auto"/>
                <w:right w:val="none" w:sz="0" w:space="0" w:color="auto"/>
              </w:divBdr>
            </w:div>
            <w:div w:id="557471617">
              <w:marLeft w:val="0"/>
              <w:marRight w:val="0"/>
              <w:marTop w:val="0"/>
              <w:marBottom w:val="0"/>
              <w:divBdr>
                <w:top w:val="none" w:sz="0" w:space="0" w:color="auto"/>
                <w:left w:val="none" w:sz="0" w:space="0" w:color="auto"/>
                <w:bottom w:val="none" w:sz="0" w:space="0" w:color="auto"/>
                <w:right w:val="none" w:sz="0" w:space="0" w:color="auto"/>
              </w:divBdr>
            </w:div>
            <w:div w:id="909509846">
              <w:marLeft w:val="0"/>
              <w:marRight w:val="0"/>
              <w:marTop w:val="0"/>
              <w:marBottom w:val="0"/>
              <w:divBdr>
                <w:top w:val="none" w:sz="0" w:space="0" w:color="auto"/>
                <w:left w:val="none" w:sz="0" w:space="0" w:color="auto"/>
                <w:bottom w:val="none" w:sz="0" w:space="0" w:color="auto"/>
                <w:right w:val="none" w:sz="0" w:space="0" w:color="auto"/>
              </w:divBdr>
            </w:div>
            <w:div w:id="1003438568">
              <w:marLeft w:val="0"/>
              <w:marRight w:val="0"/>
              <w:marTop w:val="0"/>
              <w:marBottom w:val="0"/>
              <w:divBdr>
                <w:top w:val="none" w:sz="0" w:space="0" w:color="auto"/>
                <w:left w:val="none" w:sz="0" w:space="0" w:color="auto"/>
                <w:bottom w:val="none" w:sz="0" w:space="0" w:color="auto"/>
                <w:right w:val="none" w:sz="0" w:space="0" w:color="auto"/>
              </w:divBdr>
            </w:div>
            <w:div w:id="1009143678">
              <w:marLeft w:val="0"/>
              <w:marRight w:val="0"/>
              <w:marTop w:val="0"/>
              <w:marBottom w:val="0"/>
              <w:divBdr>
                <w:top w:val="none" w:sz="0" w:space="0" w:color="auto"/>
                <w:left w:val="none" w:sz="0" w:space="0" w:color="auto"/>
                <w:bottom w:val="none" w:sz="0" w:space="0" w:color="auto"/>
                <w:right w:val="none" w:sz="0" w:space="0" w:color="auto"/>
              </w:divBdr>
            </w:div>
            <w:div w:id="1278105043">
              <w:marLeft w:val="0"/>
              <w:marRight w:val="0"/>
              <w:marTop w:val="0"/>
              <w:marBottom w:val="0"/>
              <w:divBdr>
                <w:top w:val="none" w:sz="0" w:space="0" w:color="auto"/>
                <w:left w:val="none" w:sz="0" w:space="0" w:color="auto"/>
                <w:bottom w:val="none" w:sz="0" w:space="0" w:color="auto"/>
                <w:right w:val="none" w:sz="0" w:space="0" w:color="auto"/>
              </w:divBdr>
            </w:div>
            <w:div w:id="1283267269">
              <w:marLeft w:val="0"/>
              <w:marRight w:val="0"/>
              <w:marTop w:val="0"/>
              <w:marBottom w:val="0"/>
              <w:divBdr>
                <w:top w:val="none" w:sz="0" w:space="0" w:color="auto"/>
                <w:left w:val="none" w:sz="0" w:space="0" w:color="auto"/>
                <w:bottom w:val="none" w:sz="0" w:space="0" w:color="auto"/>
                <w:right w:val="none" w:sz="0" w:space="0" w:color="auto"/>
              </w:divBdr>
            </w:div>
            <w:div w:id="1526094110">
              <w:marLeft w:val="0"/>
              <w:marRight w:val="0"/>
              <w:marTop w:val="0"/>
              <w:marBottom w:val="0"/>
              <w:divBdr>
                <w:top w:val="none" w:sz="0" w:space="0" w:color="auto"/>
                <w:left w:val="none" w:sz="0" w:space="0" w:color="auto"/>
                <w:bottom w:val="none" w:sz="0" w:space="0" w:color="auto"/>
                <w:right w:val="none" w:sz="0" w:space="0" w:color="auto"/>
              </w:divBdr>
            </w:div>
            <w:div w:id="1554002000">
              <w:marLeft w:val="0"/>
              <w:marRight w:val="0"/>
              <w:marTop w:val="0"/>
              <w:marBottom w:val="0"/>
              <w:divBdr>
                <w:top w:val="none" w:sz="0" w:space="0" w:color="auto"/>
                <w:left w:val="none" w:sz="0" w:space="0" w:color="auto"/>
                <w:bottom w:val="none" w:sz="0" w:space="0" w:color="auto"/>
                <w:right w:val="none" w:sz="0" w:space="0" w:color="auto"/>
              </w:divBdr>
            </w:div>
            <w:div w:id="1912960861">
              <w:marLeft w:val="0"/>
              <w:marRight w:val="0"/>
              <w:marTop w:val="0"/>
              <w:marBottom w:val="0"/>
              <w:divBdr>
                <w:top w:val="none" w:sz="0" w:space="0" w:color="auto"/>
                <w:left w:val="none" w:sz="0" w:space="0" w:color="auto"/>
                <w:bottom w:val="none" w:sz="0" w:space="0" w:color="auto"/>
                <w:right w:val="none" w:sz="0" w:space="0" w:color="auto"/>
              </w:divBdr>
            </w:div>
            <w:div w:id="2089573009">
              <w:marLeft w:val="0"/>
              <w:marRight w:val="0"/>
              <w:marTop w:val="0"/>
              <w:marBottom w:val="0"/>
              <w:divBdr>
                <w:top w:val="none" w:sz="0" w:space="0" w:color="auto"/>
                <w:left w:val="none" w:sz="0" w:space="0" w:color="auto"/>
                <w:bottom w:val="none" w:sz="0" w:space="0" w:color="auto"/>
                <w:right w:val="none" w:sz="0" w:space="0" w:color="auto"/>
              </w:divBdr>
            </w:div>
          </w:divsChild>
        </w:div>
        <w:div w:id="214630667">
          <w:marLeft w:val="0"/>
          <w:marRight w:val="0"/>
          <w:marTop w:val="0"/>
          <w:marBottom w:val="0"/>
          <w:divBdr>
            <w:top w:val="none" w:sz="0" w:space="0" w:color="auto"/>
            <w:left w:val="none" w:sz="0" w:space="0" w:color="auto"/>
            <w:bottom w:val="none" w:sz="0" w:space="0" w:color="auto"/>
            <w:right w:val="none" w:sz="0" w:space="0" w:color="auto"/>
          </w:divBdr>
          <w:divsChild>
            <w:div w:id="25952621">
              <w:marLeft w:val="0"/>
              <w:marRight w:val="0"/>
              <w:marTop w:val="0"/>
              <w:marBottom w:val="0"/>
              <w:divBdr>
                <w:top w:val="none" w:sz="0" w:space="0" w:color="auto"/>
                <w:left w:val="none" w:sz="0" w:space="0" w:color="auto"/>
                <w:bottom w:val="none" w:sz="0" w:space="0" w:color="auto"/>
                <w:right w:val="none" w:sz="0" w:space="0" w:color="auto"/>
              </w:divBdr>
            </w:div>
            <w:div w:id="214196855">
              <w:marLeft w:val="0"/>
              <w:marRight w:val="0"/>
              <w:marTop w:val="0"/>
              <w:marBottom w:val="0"/>
              <w:divBdr>
                <w:top w:val="none" w:sz="0" w:space="0" w:color="auto"/>
                <w:left w:val="none" w:sz="0" w:space="0" w:color="auto"/>
                <w:bottom w:val="none" w:sz="0" w:space="0" w:color="auto"/>
                <w:right w:val="none" w:sz="0" w:space="0" w:color="auto"/>
              </w:divBdr>
            </w:div>
            <w:div w:id="599029114">
              <w:marLeft w:val="0"/>
              <w:marRight w:val="0"/>
              <w:marTop w:val="0"/>
              <w:marBottom w:val="0"/>
              <w:divBdr>
                <w:top w:val="none" w:sz="0" w:space="0" w:color="auto"/>
                <w:left w:val="none" w:sz="0" w:space="0" w:color="auto"/>
                <w:bottom w:val="none" w:sz="0" w:space="0" w:color="auto"/>
                <w:right w:val="none" w:sz="0" w:space="0" w:color="auto"/>
              </w:divBdr>
            </w:div>
            <w:div w:id="627660723">
              <w:marLeft w:val="0"/>
              <w:marRight w:val="0"/>
              <w:marTop w:val="0"/>
              <w:marBottom w:val="0"/>
              <w:divBdr>
                <w:top w:val="none" w:sz="0" w:space="0" w:color="auto"/>
                <w:left w:val="none" w:sz="0" w:space="0" w:color="auto"/>
                <w:bottom w:val="none" w:sz="0" w:space="0" w:color="auto"/>
                <w:right w:val="none" w:sz="0" w:space="0" w:color="auto"/>
              </w:divBdr>
            </w:div>
            <w:div w:id="752313261">
              <w:marLeft w:val="0"/>
              <w:marRight w:val="0"/>
              <w:marTop w:val="0"/>
              <w:marBottom w:val="0"/>
              <w:divBdr>
                <w:top w:val="none" w:sz="0" w:space="0" w:color="auto"/>
                <w:left w:val="none" w:sz="0" w:space="0" w:color="auto"/>
                <w:bottom w:val="none" w:sz="0" w:space="0" w:color="auto"/>
                <w:right w:val="none" w:sz="0" w:space="0" w:color="auto"/>
              </w:divBdr>
            </w:div>
            <w:div w:id="842821987">
              <w:marLeft w:val="0"/>
              <w:marRight w:val="0"/>
              <w:marTop w:val="0"/>
              <w:marBottom w:val="0"/>
              <w:divBdr>
                <w:top w:val="none" w:sz="0" w:space="0" w:color="auto"/>
                <w:left w:val="none" w:sz="0" w:space="0" w:color="auto"/>
                <w:bottom w:val="none" w:sz="0" w:space="0" w:color="auto"/>
                <w:right w:val="none" w:sz="0" w:space="0" w:color="auto"/>
              </w:divBdr>
            </w:div>
            <w:div w:id="995065022">
              <w:marLeft w:val="0"/>
              <w:marRight w:val="0"/>
              <w:marTop w:val="0"/>
              <w:marBottom w:val="0"/>
              <w:divBdr>
                <w:top w:val="none" w:sz="0" w:space="0" w:color="auto"/>
                <w:left w:val="none" w:sz="0" w:space="0" w:color="auto"/>
                <w:bottom w:val="none" w:sz="0" w:space="0" w:color="auto"/>
                <w:right w:val="none" w:sz="0" w:space="0" w:color="auto"/>
              </w:divBdr>
            </w:div>
            <w:div w:id="1011449821">
              <w:marLeft w:val="0"/>
              <w:marRight w:val="0"/>
              <w:marTop w:val="0"/>
              <w:marBottom w:val="0"/>
              <w:divBdr>
                <w:top w:val="none" w:sz="0" w:space="0" w:color="auto"/>
                <w:left w:val="none" w:sz="0" w:space="0" w:color="auto"/>
                <w:bottom w:val="none" w:sz="0" w:space="0" w:color="auto"/>
                <w:right w:val="none" w:sz="0" w:space="0" w:color="auto"/>
              </w:divBdr>
            </w:div>
            <w:div w:id="1128091754">
              <w:marLeft w:val="0"/>
              <w:marRight w:val="0"/>
              <w:marTop w:val="0"/>
              <w:marBottom w:val="0"/>
              <w:divBdr>
                <w:top w:val="none" w:sz="0" w:space="0" w:color="auto"/>
                <w:left w:val="none" w:sz="0" w:space="0" w:color="auto"/>
                <w:bottom w:val="none" w:sz="0" w:space="0" w:color="auto"/>
                <w:right w:val="none" w:sz="0" w:space="0" w:color="auto"/>
              </w:divBdr>
            </w:div>
            <w:div w:id="1304121062">
              <w:marLeft w:val="0"/>
              <w:marRight w:val="0"/>
              <w:marTop w:val="0"/>
              <w:marBottom w:val="0"/>
              <w:divBdr>
                <w:top w:val="none" w:sz="0" w:space="0" w:color="auto"/>
                <w:left w:val="none" w:sz="0" w:space="0" w:color="auto"/>
                <w:bottom w:val="none" w:sz="0" w:space="0" w:color="auto"/>
                <w:right w:val="none" w:sz="0" w:space="0" w:color="auto"/>
              </w:divBdr>
            </w:div>
            <w:div w:id="1323042545">
              <w:marLeft w:val="0"/>
              <w:marRight w:val="0"/>
              <w:marTop w:val="0"/>
              <w:marBottom w:val="0"/>
              <w:divBdr>
                <w:top w:val="none" w:sz="0" w:space="0" w:color="auto"/>
                <w:left w:val="none" w:sz="0" w:space="0" w:color="auto"/>
                <w:bottom w:val="none" w:sz="0" w:space="0" w:color="auto"/>
                <w:right w:val="none" w:sz="0" w:space="0" w:color="auto"/>
              </w:divBdr>
            </w:div>
            <w:div w:id="1431664820">
              <w:marLeft w:val="0"/>
              <w:marRight w:val="0"/>
              <w:marTop w:val="0"/>
              <w:marBottom w:val="0"/>
              <w:divBdr>
                <w:top w:val="none" w:sz="0" w:space="0" w:color="auto"/>
                <w:left w:val="none" w:sz="0" w:space="0" w:color="auto"/>
                <w:bottom w:val="none" w:sz="0" w:space="0" w:color="auto"/>
                <w:right w:val="none" w:sz="0" w:space="0" w:color="auto"/>
              </w:divBdr>
            </w:div>
            <w:div w:id="1645313236">
              <w:marLeft w:val="0"/>
              <w:marRight w:val="0"/>
              <w:marTop w:val="0"/>
              <w:marBottom w:val="0"/>
              <w:divBdr>
                <w:top w:val="none" w:sz="0" w:space="0" w:color="auto"/>
                <w:left w:val="none" w:sz="0" w:space="0" w:color="auto"/>
                <w:bottom w:val="none" w:sz="0" w:space="0" w:color="auto"/>
                <w:right w:val="none" w:sz="0" w:space="0" w:color="auto"/>
              </w:divBdr>
            </w:div>
            <w:div w:id="1685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65844378">
      <w:bodyDiv w:val="1"/>
      <w:marLeft w:val="0"/>
      <w:marRight w:val="0"/>
      <w:marTop w:val="0"/>
      <w:marBottom w:val="0"/>
      <w:divBdr>
        <w:top w:val="none" w:sz="0" w:space="0" w:color="auto"/>
        <w:left w:val="none" w:sz="0" w:space="0" w:color="auto"/>
        <w:bottom w:val="none" w:sz="0" w:space="0" w:color="auto"/>
        <w:right w:val="none" w:sz="0" w:space="0" w:color="auto"/>
      </w:divBdr>
    </w:div>
    <w:div w:id="1268583339">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14488040">
      <w:bodyDiv w:val="1"/>
      <w:marLeft w:val="0"/>
      <w:marRight w:val="0"/>
      <w:marTop w:val="0"/>
      <w:marBottom w:val="0"/>
      <w:divBdr>
        <w:top w:val="none" w:sz="0" w:space="0" w:color="auto"/>
        <w:left w:val="none" w:sz="0" w:space="0" w:color="auto"/>
        <w:bottom w:val="none" w:sz="0" w:space="0" w:color="auto"/>
        <w:right w:val="none" w:sz="0" w:space="0" w:color="auto"/>
      </w:divBdr>
      <w:divsChild>
        <w:div w:id="1003242976">
          <w:marLeft w:val="0"/>
          <w:marRight w:val="0"/>
          <w:marTop w:val="0"/>
          <w:marBottom w:val="0"/>
          <w:divBdr>
            <w:top w:val="none" w:sz="0" w:space="0" w:color="auto"/>
            <w:left w:val="none" w:sz="0" w:space="0" w:color="auto"/>
            <w:bottom w:val="none" w:sz="0" w:space="0" w:color="auto"/>
            <w:right w:val="none" w:sz="0" w:space="0" w:color="auto"/>
          </w:divBdr>
          <w:divsChild>
            <w:div w:id="101537566">
              <w:marLeft w:val="0"/>
              <w:marRight w:val="0"/>
              <w:marTop w:val="0"/>
              <w:marBottom w:val="0"/>
              <w:divBdr>
                <w:top w:val="none" w:sz="0" w:space="0" w:color="auto"/>
                <w:left w:val="none" w:sz="0" w:space="0" w:color="auto"/>
                <w:bottom w:val="none" w:sz="0" w:space="0" w:color="auto"/>
                <w:right w:val="none" w:sz="0" w:space="0" w:color="auto"/>
              </w:divBdr>
              <w:divsChild>
                <w:div w:id="37514705">
                  <w:marLeft w:val="0"/>
                  <w:marRight w:val="0"/>
                  <w:marTop w:val="0"/>
                  <w:marBottom w:val="0"/>
                  <w:divBdr>
                    <w:top w:val="none" w:sz="0" w:space="0" w:color="auto"/>
                    <w:left w:val="none" w:sz="0" w:space="0" w:color="auto"/>
                    <w:bottom w:val="none" w:sz="0" w:space="0" w:color="auto"/>
                    <w:right w:val="none" w:sz="0" w:space="0" w:color="auto"/>
                  </w:divBdr>
                  <w:divsChild>
                    <w:div w:id="669866801">
                      <w:marLeft w:val="0"/>
                      <w:marRight w:val="0"/>
                      <w:marTop w:val="0"/>
                      <w:marBottom w:val="0"/>
                      <w:divBdr>
                        <w:top w:val="none" w:sz="0" w:space="0" w:color="auto"/>
                        <w:left w:val="none" w:sz="0" w:space="0" w:color="auto"/>
                        <w:bottom w:val="none" w:sz="0" w:space="0" w:color="auto"/>
                        <w:right w:val="none" w:sz="0" w:space="0" w:color="auto"/>
                      </w:divBdr>
                      <w:divsChild>
                        <w:div w:id="963384062">
                          <w:marLeft w:val="0"/>
                          <w:marRight w:val="0"/>
                          <w:marTop w:val="0"/>
                          <w:marBottom w:val="0"/>
                          <w:divBdr>
                            <w:top w:val="none" w:sz="0" w:space="0" w:color="auto"/>
                            <w:left w:val="none" w:sz="0" w:space="0" w:color="auto"/>
                            <w:bottom w:val="none" w:sz="0" w:space="0" w:color="auto"/>
                            <w:right w:val="none" w:sz="0" w:space="0" w:color="auto"/>
                          </w:divBdr>
                          <w:divsChild>
                            <w:div w:id="4098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1545386">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45208502">
      <w:bodyDiv w:val="1"/>
      <w:marLeft w:val="0"/>
      <w:marRight w:val="0"/>
      <w:marTop w:val="0"/>
      <w:marBottom w:val="0"/>
      <w:divBdr>
        <w:top w:val="none" w:sz="0" w:space="0" w:color="auto"/>
        <w:left w:val="none" w:sz="0" w:space="0" w:color="auto"/>
        <w:bottom w:val="none" w:sz="0" w:space="0" w:color="auto"/>
        <w:right w:val="none" w:sz="0" w:space="0" w:color="auto"/>
      </w:divBdr>
    </w:div>
    <w:div w:id="1355688486">
      <w:bodyDiv w:val="1"/>
      <w:marLeft w:val="0"/>
      <w:marRight w:val="0"/>
      <w:marTop w:val="0"/>
      <w:marBottom w:val="0"/>
      <w:divBdr>
        <w:top w:val="none" w:sz="0" w:space="0" w:color="auto"/>
        <w:left w:val="none" w:sz="0" w:space="0" w:color="auto"/>
        <w:bottom w:val="none" w:sz="0" w:space="0" w:color="auto"/>
        <w:right w:val="none" w:sz="0" w:space="0" w:color="auto"/>
      </w:divBdr>
    </w:div>
    <w:div w:id="1360928643">
      <w:bodyDiv w:val="1"/>
      <w:marLeft w:val="0"/>
      <w:marRight w:val="0"/>
      <w:marTop w:val="0"/>
      <w:marBottom w:val="0"/>
      <w:divBdr>
        <w:top w:val="none" w:sz="0" w:space="0" w:color="auto"/>
        <w:left w:val="none" w:sz="0" w:space="0" w:color="auto"/>
        <w:bottom w:val="none" w:sz="0" w:space="0" w:color="auto"/>
        <w:right w:val="none" w:sz="0" w:space="0" w:color="auto"/>
      </w:divBdr>
      <w:divsChild>
        <w:div w:id="163982291">
          <w:marLeft w:val="0"/>
          <w:marRight w:val="0"/>
          <w:marTop w:val="0"/>
          <w:marBottom w:val="0"/>
          <w:divBdr>
            <w:top w:val="none" w:sz="0" w:space="0" w:color="auto"/>
            <w:left w:val="none" w:sz="0" w:space="0" w:color="auto"/>
            <w:bottom w:val="none" w:sz="0" w:space="0" w:color="auto"/>
            <w:right w:val="none" w:sz="0" w:space="0" w:color="auto"/>
          </w:divBdr>
          <w:divsChild>
            <w:div w:id="446853075">
              <w:marLeft w:val="0"/>
              <w:marRight w:val="0"/>
              <w:marTop w:val="0"/>
              <w:marBottom w:val="0"/>
              <w:divBdr>
                <w:top w:val="none" w:sz="0" w:space="0" w:color="auto"/>
                <w:left w:val="none" w:sz="0" w:space="0" w:color="auto"/>
                <w:bottom w:val="none" w:sz="0" w:space="0" w:color="auto"/>
                <w:right w:val="none" w:sz="0" w:space="0" w:color="auto"/>
              </w:divBdr>
              <w:divsChild>
                <w:div w:id="1406873374">
                  <w:marLeft w:val="0"/>
                  <w:marRight w:val="0"/>
                  <w:marTop w:val="0"/>
                  <w:marBottom w:val="0"/>
                  <w:divBdr>
                    <w:top w:val="none" w:sz="0" w:space="0" w:color="auto"/>
                    <w:left w:val="none" w:sz="0" w:space="0" w:color="auto"/>
                    <w:bottom w:val="none" w:sz="0" w:space="0" w:color="auto"/>
                    <w:right w:val="none" w:sz="0" w:space="0" w:color="auto"/>
                  </w:divBdr>
                  <w:divsChild>
                    <w:div w:id="1128014746">
                      <w:marLeft w:val="0"/>
                      <w:marRight w:val="0"/>
                      <w:marTop w:val="0"/>
                      <w:marBottom w:val="0"/>
                      <w:divBdr>
                        <w:top w:val="none" w:sz="0" w:space="0" w:color="auto"/>
                        <w:left w:val="none" w:sz="0" w:space="0" w:color="auto"/>
                        <w:bottom w:val="none" w:sz="0" w:space="0" w:color="auto"/>
                        <w:right w:val="none" w:sz="0" w:space="0" w:color="auto"/>
                      </w:divBdr>
                      <w:divsChild>
                        <w:div w:id="871190665">
                          <w:marLeft w:val="0"/>
                          <w:marRight w:val="0"/>
                          <w:marTop w:val="0"/>
                          <w:marBottom w:val="0"/>
                          <w:divBdr>
                            <w:top w:val="none" w:sz="0" w:space="0" w:color="auto"/>
                            <w:left w:val="none" w:sz="0" w:space="0" w:color="auto"/>
                            <w:bottom w:val="none" w:sz="0" w:space="0" w:color="auto"/>
                            <w:right w:val="none" w:sz="0" w:space="0" w:color="auto"/>
                          </w:divBdr>
                          <w:divsChild>
                            <w:div w:id="11715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917853">
      <w:bodyDiv w:val="1"/>
      <w:marLeft w:val="0"/>
      <w:marRight w:val="0"/>
      <w:marTop w:val="0"/>
      <w:marBottom w:val="0"/>
      <w:divBdr>
        <w:top w:val="none" w:sz="0" w:space="0" w:color="auto"/>
        <w:left w:val="none" w:sz="0" w:space="0" w:color="auto"/>
        <w:bottom w:val="none" w:sz="0" w:space="0" w:color="auto"/>
        <w:right w:val="none" w:sz="0" w:space="0" w:color="auto"/>
      </w:divBdr>
    </w:div>
    <w:div w:id="1389108369">
      <w:bodyDiv w:val="1"/>
      <w:marLeft w:val="0"/>
      <w:marRight w:val="0"/>
      <w:marTop w:val="0"/>
      <w:marBottom w:val="0"/>
      <w:divBdr>
        <w:top w:val="none" w:sz="0" w:space="0" w:color="auto"/>
        <w:left w:val="none" w:sz="0" w:space="0" w:color="auto"/>
        <w:bottom w:val="none" w:sz="0" w:space="0" w:color="auto"/>
        <w:right w:val="none" w:sz="0" w:space="0" w:color="auto"/>
      </w:divBdr>
    </w:div>
    <w:div w:id="1406368585">
      <w:bodyDiv w:val="1"/>
      <w:marLeft w:val="0"/>
      <w:marRight w:val="0"/>
      <w:marTop w:val="0"/>
      <w:marBottom w:val="0"/>
      <w:divBdr>
        <w:top w:val="none" w:sz="0" w:space="0" w:color="auto"/>
        <w:left w:val="none" w:sz="0" w:space="0" w:color="auto"/>
        <w:bottom w:val="none" w:sz="0" w:space="0" w:color="auto"/>
        <w:right w:val="none" w:sz="0" w:space="0" w:color="auto"/>
      </w:divBdr>
    </w:div>
    <w:div w:id="1410882958">
      <w:bodyDiv w:val="1"/>
      <w:marLeft w:val="0"/>
      <w:marRight w:val="0"/>
      <w:marTop w:val="0"/>
      <w:marBottom w:val="0"/>
      <w:divBdr>
        <w:top w:val="none" w:sz="0" w:space="0" w:color="auto"/>
        <w:left w:val="none" w:sz="0" w:space="0" w:color="auto"/>
        <w:bottom w:val="none" w:sz="0" w:space="0" w:color="auto"/>
        <w:right w:val="none" w:sz="0" w:space="0" w:color="auto"/>
      </w:divBdr>
      <w:divsChild>
        <w:div w:id="22176110">
          <w:marLeft w:val="0"/>
          <w:marRight w:val="0"/>
          <w:marTop w:val="0"/>
          <w:marBottom w:val="0"/>
          <w:divBdr>
            <w:top w:val="none" w:sz="0" w:space="0" w:color="auto"/>
            <w:left w:val="none" w:sz="0" w:space="0" w:color="auto"/>
            <w:bottom w:val="none" w:sz="0" w:space="0" w:color="auto"/>
            <w:right w:val="none" w:sz="0" w:space="0" w:color="auto"/>
          </w:divBdr>
          <w:divsChild>
            <w:div w:id="750079809">
              <w:marLeft w:val="0"/>
              <w:marRight w:val="0"/>
              <w:marTop w:val="0"/>
              <w:marBottom w:val="0"/>
              <w:divBdr>
                <w:top w:val="none" w:sz="0" w:space="0" w:color="auto"/>
                <w:left w:val="none" w:sz="0" w:space="0" w:color="auto"/>
                <w:bottom w:val="none" w:sz="0" w:space="0" w:color="auto"/>
                <w:right w:val="none" w:sz="0" w:space="0" w:color="auto"/>
              </w:divBdr>
              <w:divsChild>
                <w:div w:id="843086524">
                  <w:marLeft w:val="0"/>
                  <w:marRight w:val="0"/>
                  <w:marTop w:val="0"/>
                  <w:marBottom w:val="0"/>
                  <w:divBdr>
                    <w:top w:val="none" w:sz="0" w:space="0" w:color="auto"/>
                    <w:left w:val="none" w:sz="0" w:space="0" w:color="auto"/>
                    <w:bottom w:val="none" w:sz="0" w:space="0" w:color="auto"/>
                    <w:right w:val="none" w:sz="0" w:space="0" w:color="auto"/>
                  </w:divBdr>
                  <w:divsChild>
                    <w:div w:id="15410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8815">
          <w:marLeft w:val="0"/>
          <w:marRight w:val="0"/>
          <w:marTop w:val="0"/>
          <w:marBottom w:val="0"/>
          <w:divBdr>
            <w:top w:val="none" w:sz="0" w:space="0" w:color="auto"/>
            <w:left w:val="none" w:sz="0" w:space="0" w:color="auto"/>
            <w:bottom w:val="none" w:sz="0" w:space="0" w:color="auto"/>
            <w:right w:val="none" w:sz="0" w:space="0" w:color="auto"/>
          </w:divBdr>
          <w:divsChild>
            <w:div w:id="632173905">
              <w:marLeft w:val="0"/>
              <w:marRight w:val="0"/>
              <w:marTop w:val="0"/>
              <w:marBottom w:val="0"/>
              <w:divBdr>
                <w:top w:val="none" w:sz="0" w:space="0" w:color="auto"/>
                <w:left w:val="none" w:sz="0" w:space="0" w:color="auto"/>
                <w:bottom w:val="none" w:sz="0" w:space="0" w:color="auto"/>
                <w:right w:val="none" w:sz="0" w:space="0" w:color="auto"/>
              </w:divBdr>
              <w:divsChild>
                <w:div w:id="2023429619">
                  <w:marLeft w:val="0"/>
                  <w:marRight w:val="0"/>
                  <w:marTop w:val="0"/>
                  <w:marBottom w:val="0"/>
                  <w:divBdr>
                    <w:top w:val="none" w:sz="0" w:space="0" w:color="auto"/>
                    <w:left w:val="none" w:sz="0" w:space="0" w:color="auto"/>
                    <w:bottom w:val="none" w:sz="0" w:space="0" w:color="auto"/>
                    <w:right w:val="none" w:sz="0" w:space="0" w:color="auto"/>
                  </w:divBdr>
                  <w:divsChild>
                    <w:div w:id="2590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6097678">
      <w:bodyDiv w:val="1"/>
      <w:marLeft w:val="0"/>
      <w:marRight w:val="0"/>
      <w:marTop w:val="0"/>
      <w:marBottom w:val="0"/>
      <w:divBdr>
        <w:top w:val="none" w:sz="0" w:space="0" w:color="auto"/>
        <w:left w:val="none" w:sz="0" w:space="0" w:color="auto"/>
        <w:bottom w:val="none" w:sz="0" w:space="0" w:color="auto"/>
        <w:right w:val="none" w:sz="0" w:space="0" w:color="auto"/>
      </w:divBdr>
    </w:div>
    <w:div w:id="1443576376">
      <w:bodyDiv w:val="1"/>
      <w:marLeft w:val="0"/>
      <w:marRight w:val="0"/>
      <w:marTop w:val="0"/>
      <w:marBottom w:val="0"/>
      <w:divBdr>
        <w:top w:val="none" w:sz="0" w:space="0" w:color="auto"/>
        <w:left w:val="none" w:sz="0" w:space="0" w:color="auto"/>
        <w:bottom w:val="none" w:sz="0" w:space="0" w:color="auto"/>
        <w:right w:val="none" w:sz="0" w:space="0" w:color="auto"/>
      </w:divBdr>
    </w:div>
    <w:div w:id="144665828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2574643">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68166405">
      <w:bodyDiv w:val="1"/>
      <w:marLeft w:val="0"/>
      <w:marRight w:val="0"/>
      <w:marTop w:val="0"/>
      <w:marBottom w:val="0"/>
      <w:divBdr>
        <w:top w:val="none" w:sz="0" w:space="0" w:color="auto"/>
        <w:left w:val="none" w:sz="0" w:space="0" w:color="auto"/>
        <w:bottom w:val="none" w:sz="0" w:space="0" w:color="auto"/>
        <w:right w:val="none" w:sz="0" w:space="0" w:color="auto"/>
      </w:divBdr>
    </w:div>
    <w:div w:id="1471748735">
      <w:bodyDiv w:val="1"/>
      <w:marLeft w:val="0"/>
      <w:marRight w:val="0"/>
      <w:marTop w:val="0"/>
      <w:marBottom w:val="0"/>
      <w:divBdr>
        <w:top w:val="none" w:sz="0" w:space="0" w:color="auto"/>
        <w:left w:val="none" w:sz="0" w:space="0" w:color="auto"/>
        <w:bottom w:val="none" w:sz="0" w:space="0" w:color="auto"/>
        <w:right w:val="none" w:sz="0" w:space="0" w:color="auto"/>
      </w:divBdr>
    </w:div>
    <w:div w:id="1472092159">
      <w:bodyDiv w:val="1"/>
      <w:marLeft w:val="0"/>
      <w:marRight w:val="0"/>
      <w:marTop w:val="0"/>
      <w:marBottom w:val="0"/>
      <w:divBdr>
        <w:top w:val="none" w:sz="0" w:space="0" w:color="auto"/>
        <w:left w:val="none" w:sz="0" w:space="0" w:color="auto"/>
        <w:bottom w:val="none" w:sz="0" w:space="0" w:color="auto"/>
        <w:right w:val="none" w:sz="0" w:space="0" w:color="auto"/>
      </w:divBdr>
    </w:div>
    <w:div w:id="1474979924">
      <w:bodyDiv w:val="1"/>
      <w:marLeft w:val="0"/>
      <w:marRight w:val="0"/>
      <w:marTop w:val="0"/>
      <w:marBottom w:val="0"/>
      <w:divBdr>
        <w:top w:val="none" w:sz="0" w:space="0" w:color="auto"/>
        <w:left w:val="none" w:sz="0" w:space="0" w:color="auto"/>
        <w:bottom w:val="none" w:sz="0" w:space="0" w:color="auto"/>
        <w:right w:val="none" w:sz="0" w:space="0" w:color="auto"/>
      </w:divBdr>
    </w:div>
    <w:div w:id="1481776141">
      <w:bodyDiv w:val="1"/>
      <w:marLeft w:val="0"/>
      <w:marRight w:val="0"/>
      <w:marTop w:val="0"/>
      <w:marBottom w:val="0"/>
      <w:divBdr>
        <w:top w:val="none" w:sz="0" w:space="0" w:color="auto"/>
        <w:left w:val="none" w:sz="0" w:space="0" w:color="auto"/>
        <w:bottom w:val="none" w:sz="0" w:space="0" w:color="auto"/>
        <w:right w:val="none" w:sz="0" w:space="0" w:color="auto"/>
      </w:divBdr>
      <w:divsChild>
        <w:div w:id="641420460">
          <w:marLeft w:val="0"/>
          <w:marRight w:val="0"/>
          <w:marTop w:val="0"/>
          <w:marBottom w:val="0"/>
          <w:divBdr>
            <w:top w:val="none" w:sz="0" w:space="0" w:color="auto"/>
            <w:left w:val="none" w:sz="0" w:space="0" w:color="auto"/>
            <w:bottom w:val="none" w:sz="0" w:space="0" w:color="auto"/>
            <w:right w:val="none" w:sz="0" w:space="0" w:color="auto"/>
          </w:divBdr>
          <w:divsChild>
            <w:div w:id="566455617">
              <w:marLeft w:val="0"/>
              <w:marRight w:val="0"/>
              <w:marTop w:val="0"/>
              <w:marBottom w:val="0"/>
              <w:divBdr>
                <w:top w:val="none" w:sz="0" w:space="0" w:color="auto"/>
                <w:left w:val="none" w:sz="0" w:space="0" w:color="auto"/>
                <w:bottom w:val="none" w:sz="0" w:space="0" w:color="auto"/>
                <w:right w:val="none" w:sz="0" w:space="0" w:color="auto"/>
              </w:divBdr>
            </w:div>
            <w:div w:id="670988738">
              <w:marLeft w:val="0"/>
              <w:marRight w:val="0"/>
              <w:marTop w:val="0"/>
              <w:marBottom w:val="0"/>
              <w:divBdr>
                <w:top w:val="none" w:sz="0" w:space="0" w:color="auto"/>
                <w:left w:val="none" w:sz="0" w:space="0" w:color="auto"/>
                <w:bottom w:val="none" w:sz="0" w:space="0" w:color="auto"/>
                <w:right w:val="none" w:sz="0" w:space="0" w:color="auto"/>
              </w:divBdr>
            </w:div>
            <w:div w:id="678504969">
              <w:marLeft w:val="0"/>
              <w:marRight w:val="0"/>
              <w:marTop w:val="0"/>
              <w:marBottom w:val="0"/>
              <w:divBdr>
                <w:top w:val="none" w:sz="0" w:space="0" w:color="auto"/>
                <w:left w:val="none" w:sz="0" w:space="0" w:color="auto"/>
                <w:bottom w:val="none" w:sz="0" w:space="0" w:color="auto"/>
                <w:right w:val="none" w:sz="0" w:space="0" w:color="auto"/>
              </w:divBdr>
            </w:div>
            <w:div w:id="686912213">
              <w:marLeft w:val="0"/>
              <w:marRight w:val="0"/>
              <w:marTop w:val="0"/>
              <w:marBottom w:val="0"/>
              <w:divBdr>
                <w:top w:val="none" w:sz="0" w:space="0" w:color="auto"/>
                <w:left w:val="none" w:sz="0" w:space="0" w:color="auto"/>
                <w:bottom w:val="none" w:sz="0" w:space="0" w:color="auto"/>
                <w:right w:val="none" w:sz="0" w:space="0" w:color="auto"/>
              </w:divBdr>
            </w:div>
            <w:div w:id="696124072">
              <w:marLeft w:val="0"/>
              <w:marRight w:val="0"/>
              <w:marTop w:val="0"/>
              <w:marBottom w:val="0"/>
              <w:divBdr>
                <w:top w:val="none" w:sz="0" w:space="0" w:color="auto"/>
                <w:left w:val="none" w:sz="0" w:space="0" w:color="auto"/>
                <w:bottom w:val="none" w:sz="0" w:space="0" w:color="auto"/>
                <w:right w:val="none" w:sz="0" w:space="0" w:color="auto"/>
              </w:divBdr>
            </w:div>
            <w:div w:id="730615260">
              <w:marLeft w:val="0"/>
              <w:marRight w:val="0"/>
              <w:marTop w:val="0"/>
              <w:marBottom w:val="0"/>
              <w:divBdr>
                <w:top w:val="none" w:sz="0" w:space="0" w:color="auto"/>
                <w:left w:val="none" w:sz="0" w:space="0" w:color="auto"/>
                <w:bottom w:val="none" w:sz="0" w:space="0" w:color="auto"/>
                <w:right w:val="none" w:sz="0" w:space="0" w:color="auto"/>
              </w:divBdr>
            </w:div>
            <w:div w:id="734356426">
              <w:marLeft w:val="0"/>
              <w:marRight w:val="0"/>
              <w:marTop w:val="0"/>
              <w:marBottom w:val="0"/>
              <w:divBdr>
                <w:top w:val="none" w:sz="0" w:space="0" w:color="auto"/>
                <w:left w:val="none" w:sz="0" w:space="0" w:color="auto"/>
                <w:bottom w:val="none" w:sz="0" w:space="0" w:color="auto"/>
                <w:right w:val="none" w:sz="0" w:space="0" w:color="auto"/>
              </w:divBdr>
            </w:div>
            <w:div w:id="1091005657">
              <w:marLeft w:val="0"/>
              <w:marRight w:val="0"/>
              <w:marTop w:val="0"/>
              <w:marBottom w:val="0"/>
              <w:divBdr>
                <w:top w:val="none" w:sz="0" w:space="0" w:color="auto"/>
                <w:left w:val="none" w:sz="0" w:space="0" w:color="auto"/>
                <w:bottom w:val="none" w:sz="0" w:space="0" w:color="auto"/>
                <w:right w:val="none" w:sz="0" w:space="0" w:color="auto"/>
              </w:divBdr>
            </w:div>
            <w:div w:id="1645617198">
              <w:marLeft w:val="0"/>
              <w:marRight w:val="0"/>
              <w:marTop w:val="0"/>
              <w:marBottom w:val="0"/>
              <w:divBdr>
                <w:top w:val="none" w:sz="0" w:space="0" w:color="auto"/>
                <w:left w:val="none" w:sz="0" w:space="0" w:color="auto"/>
                <w:bottom w:val="none" w:sz="0" w:space="0" w:color="auto"/>
                <w:right w:val="none" w:sz="0" w:space="0" w:color="auto"/>
              </w:divBdr>
            </w:div>
            <w:div w:id="1647852594">
              <w:marLeft w:val="0"/>
              <w:marRight w:val="0"/>
              <w:marTop w:val="0"/>
              <w:marBottom w:val="0"/>
              <w:divBdr>
                <w:top w:val="none" w:sz="0" w:space="0" w:color="auto"/>
                <w:left w:val="none" w:sz="0" w:space="0" w:color="auto"/>
                <w:bottom w:val="none" w:sz="0" w:space="0" w:color="auto"/>
                <w:right w:val="none" w:sz="0" w:space="0" w:color="auto"/>
              </w:divBdr>
            </w:div>
            <w:div w:id="1736859197">
              <w:marLeft w:val="0"/>
              <w:marRight w:val="0"/>
              <w:marTop w:val="0"/>
              <w:marBottom w:val="0"/>
              <w:divBdr>
                <w:top w:val="none" w:sz="0" w:space="0" w:color="auto"/>
                <w:left w:val="none" w:sz="0" w:space="0" w:color="auto"/>
                <w:bottom w:val="none" w:sz="0" w:space="0" w:color="auto"/>
                <w:right w:val="none" w:sz="0" w:space="0" w:color="auto"/>
              </w:divBdr>
            </w:div>
            <w:div w:id="1948655827">
              <w:marLeft w:val="0"/>
              <w:marRight w:val="0"/>
              <w:marTop w:val="0"/>
              <w:marBottom w:val="0"/>
              <w:divBdr>
                <w:top w:val="none" w:sz="0" w:space="0" w:color="auto"/>
                <w:left w:val="none" w:sz="0" w:space="0" w:color="auto"/>
                <w:bottom w:val="none" w:sz="0" w:space="0" w:color="auto"/>
                <w:right w:val="none" w:sz="0" w:space="0" w:color="auto"/>
              </w:divBdr>
            </w:div>
            <w:div w:id="2029797586">
              <w:marLeft w:val="0"/>
              <w:marRight w:val="0"/>
              <w:marTop w:val="0"/>
              <w:marBottom w:val="0"/>
              <w:divBdr>
                <w:top w:val="none" w:sz="0" w:space="0" w:color="auto"/>
                <w:left w:val="none" w:sz="0" w:space="0" w:color="auto"/>
                <w:bottom w:val="none" w:sz="0" w:space="0" w:color="auto"/>
                <w:right w:val="none" w:sz="0" w:space="0" w:color="auto"/>
              </w:divBdr>
            </w:div>
            <w:div w:id="2103212318">
              <w:marLeft w:val="0"/>
              <w:marRight w:val="0"/>
              <w:marTop w:val="0"/>
              <w:marBottom w:val="0"/>
              <w:divBdr>
                <w:top w:val="none" w:sz="0" w:space="0" w:color="auto"/>
                <w:left w:val="none" w:sz="0" w:space="0" w:color="auto"/>
                <w:bottom w:val="none" w:sz="0" w:space="0" w:color="auto"/>
                <w:right w:val="none" w:sz="0" w:space="0" w:color="auto"/>
              </w:divBdr>
            </w:div>
            <w:div w:id="2123986271">
              <w:marLeft w:val="0"/>
              <w:marRight w:val="0"/>
              <w:marTop w:val="0"/>
              <w:marBottom w:val="0"/>
              <w:divBdr>
                <w:top w:val="none" w:sz="0" w:space="0" w:color="auto"/>
                <w:left w:val="none" w:sz="0" w:space="0" w:color="auto"/>
                <w:bottom w:val="none" w:sz="0" w:space="0" w:color="auto"/>
                <w:right w:val="none" w:sz="0" w:space="0" w:color="auto"/>
              </w:divBdr>
            </w:div>
          </w:divsChild>
        </w:div>
        <w:div w:id="747574866">
          <w:marLeft w:val="0"/>
          <w:marRight w:val="0"/>
          <w:marTop w:val="0"/>
          <w:marBottom w:val="0"/>
          <w:divBdr>
            <w:top w:val="none" w:sz="0" w:space="0" w:color="auto"/>
            <w:left w:val="none" w:sz="0" w:space="0" w:color="auto"/>
            <w:bottom w:val="none" w:sz="0" w:space="0" w:color="auto"/>
            <w:right w:val="none" w:sz="0" w:space="0" w:color="auto"/>
          </w:divBdr>
          <w:divsChild>
            <w:div w:id="98259788">
              <w:marLeft w:val="0"/>
              <w:marRight w:val="0"/>
              <w:marTop w:val="0"/>
              <w:marBottom w:val="0"/>
              <w:divBdr>
                <w:top w:val="none" w:sz="0" w:space="0" w:color="auto"/>
                <w:left w:val="none" w:sz="0" w:space="0" w:color="auto"/>
                <w:bottom w:val="none" w:sz="0" w:space="0" w:color="auto"/>
                <w:right w:val="none" w:sz="0" w:space="0" w:color="auto"/>
              </w:divBdr>
            </w:div>
            <w:div w:id="165369388">
              <w:marLeft w:val="0"/>
              <w:marRight w:val="0"/>
              <w:marTop w:val="0"/>
              <w:marBottom w:val="0"/>
              <w:divBdr>
                <w:top w:val="none" w:sz="0" w:space="0" w:color="auto"/>
                <w:left w:val="none" w:sz="0" w:space="0" w:color="auto"/>
                <w:bottom w:val="none" w:sz="0" w:space="0" w:color="auto"/>
                <w:right w:val="none" w:sz="0" w:space="0" w:color="auto"/>
              </w:divBdr>
            </w:div>
            <w:div w:id="682974630">
              <w:marLeft w:val="0"/>
              <w:marRight w:val="0"/>
              <w:marTop w:val="0"/>
              <w:marBottom w:val="0"/>
              <w:divBdr>
                <w:top w:val="none" w:sz="0" w:space="0" w:color="auto"/>
                <w:left w:val="none" w:sz="0" w:space="0" w:color="auto"/>
                <w:bottom w:val="none" w:sz="0" w:space="0" w:color="auto"/>
                <w:right w:val="none" w:sz="0" w:space="0" w:color="auto"/>
              </w:divBdr>
            </w:div>
            <w:div w:id="987513740">
              <w:marLeft w:val="0"/>
              <w:marRight w:val="0"/>
              <w:marTop w:val="0"/>
              <w:marBottom w:val="0"/>
              <w:divBdr>
                <w:top w:val="none" w:sz="0" w:space="0" w:color="auto"/>
                <w:left w:val="none" w:sz="0" w:space="0" w:color="auto"/>
                <w:bottom w:val="none" w:sz="0" w:space="0" w:color="auto"/>
                <w:right w:val="none" w:sz="0" w:space="0" w:color="auto"/>
              </w:divBdr>
            </w:div>
            <w:div w:id="1003751154">
              <w:marLeft w:val="0"/>
              <w:marRight w:val="0"/>
              <w:marTop w:val="0"/>
              <w:marBottom w:val="0"/>
              <w:divBdr>
                <w:top w:val="none" w:sz="0" w:space="0" w:color="auto"/>
                <w:left w:val="none" w:sz="0" w:space="0" w:color="auto"/>
                <w:bottom w:val="none" w:sz="0" w:space="0" w:color="auto"/>
                <w:right w:val="none" w:sz="0" w:space="0" w:color="auto"/>
              </w:divBdr>
            </w:div>
            <w:div w:id="1073742648">
              <w:marLeft w:val="0"/>
              <w:marRight w:val="0"/>
              <w:marTop w:val="0"/>
              <w:marBottom w:val="0"/>
              <w:divBdr>
                <w:top w:val="none" w:sz="0" w:space="0" w:color="auto"/>
                <w:left w:val="none" w:sz="0" w:space="0" w:color="auto"/>
                <w:bottom w:val="none" w:sz="0" w:space="0" w:color="auto"/>
                <w:right w:val="none" w:sz="0" w:space="0" w:color="auto"/>
              </w:divBdr>
            </w:div>
            <w:div w:id="1143540491">
              <w:marLeft w:val="0"/>
              <w:marRight w:val="0"/>
              <w:marTop w:val="0"/>
              <w:marBottom w:val="0"/>
              <w:divBdr>
                <w:top w:val="none" w:sz="0" w:space="0" w:color="auto"/>
                <w:left w:val="none" w:sz="0" w:space="0" w:color="auto"/>
                <w:bottom w:val="none" w:sz="0" w:space="0" w:color="auto"/>
                <w:right w:val="none" w:sz="0" w:space="0" w:color="auto"/>
              </w:divBdr>
            </w:div>
            <w:div w:id="1484391376">
              <w:marLeft w:val="0"/>
              <w:marRight w:val="0"/>
              <w:marTop w:val="0"/>
              <w:marBottom w:val="0"/>
              <w:divBdr>
                <w:top w:val="none" w:sz="0" w:space="0" w:color="auto"/>
                <w:left w:val="none" w:sz="0" w:space="0" w:color="auto"/>
                <w:bottom w:val="none" w:sz="0" w:space="0" w:color="auto"/>
                <w:right w:val="none" w:sz="0" w:space="0" w:color="auto"/>
              </w:divBdr>
            </w:div>
            <w:div w:id="1510171576">
              <w:marLeft w:val="0"/>
              <w:marRight w:val="0"/>
              <w:marTop w:val="0"/>
              <w:marBottom w:val="0"/>
              <w:divBdr>
                <w:top w:val="none" w:sz="0" w:space="0" w:color="auto"/>
                <w:left w:val="none" w:sz="0" w:space="0" w:color="auto"/>
                <w:bottom w:val="none" w:sz="0" w:space="0" w:color="auto"/>
                <w:right w:val="none" w:sz="0" w:space="0" w:color="auto"/>
              </w:divBdr>
            </w:div>
            <w:div w:id="1601185331">
              <w:marLeft w:val="0"/>
              <w:marRight w:val="0"/>
              <w:marTop w:val="0"/>
              <w:marBottom w:val="0"/>
              <w:divBdr>
                <w:top w:val="none" w:sz="0" w:space="0" w:color="auto"/>
                <w:left w:val="none" w:sz="0" w:space="0" w:color="auto"/>
                <w:bottom w:val="none" w:sz="0" w:space="0" w:color="auto"/>
                <w:right w:val="none" w:sz="0" w:space="0" w:color="auto"/>
              </w:divBdr>
            </w:div>
            <w:div w:id="1718360097">
              <w:marLeft w:val="0"/>
              <w:marRight w:val="0"/>
              <w:marTop w:val="0"/>
              <w:marBottom w:val="0"/>
              <w:divBdr>
                <w:top w:val="none" w:sz="0" w:space="0" w:color="auto"/>
                <w:left w:val="none" w:sz="0" w:space="0" w:color="auto"/>
                <w:bottom w:val="none" w:sz="0" w:space="0" w:color="auto"/>
                <w:right w:val="none" w:sz="0" w:space="0" w:color="auto"/>
              </w:divBdr>
            </w:div>
            <w:div w:id="1756244823">
              <w:marLeft w:val="0"/>
              <w:marRight w:val="0"/>
              <w:marTop w:val="0"/>
              <w:marBottom w:val="0"/>
              <w:divBdr>
                <w:top w:val="none" w:sz="0" w:space="0" w:color="auto"/>
                <w:left w:val="none" w:sz="0" w:space="0" w:color="auto"/>
                <w:bottom w:val="none" w:sz="0" w:space="0" w:color="auto"/>
                <w:right w:val="none" w:sz="0" w:space="0" w:color="auto"/>
              </w:divBdr>
            </w:div>
            <w:div w:id="1767532293">
              <w:marLeft w:val="0"/>
              <w:marRight w:val="0"/>
              <w:marTop w:val="0"/>
              <w:marBottom w:val="0"/>
              <w:divBdr>
                <w:top w:val="none" w:sz="0" w:space="0" w:color="auto"/>
                <w:left w:val="none" w:sz="0" w:space="0" w:color="auto"/>
                <w:bottom w:val="none" w:sz="0" w:space="0" w:color="auto"/>
                <w:right w:val="none" w:sz="0" w:space="0" w:color="auto"/>
              </w:divBdr>
            </w:div>
            <w:div w:id="1809664932">
              <w:marLeft w:val="0"/>
              <w:marRight w:val="0"/>
              <w:marTop w:val="0"/>
              <w:marBottom w:val="0"/>
              <w:divBdr>
                <w:top w:val="none" w:sz="0" w:space="0" w:color="auto"/>
                <w:left w:val="none" w:sz="0" w:space="0" w:color="auto"/>
                <w:bottom w:val="none" w:sz="0" w:space="0" w:color="auto"/>
                <w:right w:val="none" w:sz="0" w:space="0" w:color="auto"/>
              </w:divBdr>
            </w:div>
            <w:div w:id="1872718869">
              <w:marLeft w:val="0"/>
              <w:marRight w:val="0"/>
              <w:marTop w:val="0"/>
              <w:marBottom w:val="0"/>
              <w:divBdr>
                <w:top w:val="none" w:sz="0" w:space="0" w:color="auto"/>
                <w:left w:val="none" w:sz="0" w:space="0" w:color="auto"/>
                <w:bottom w:val="none" w:sz="0" w:space="0" w:color="auto"/>
                <w:right w:val="none" w:sz="0" w:space="0" w:color="auto"/>
              </w:divBdr>
            </w:div>
            <w:div w:id="1996836397">
              <w:marLeft w:val="0"/>
              <w:marRight w:val="0"/>
              <w:marTop w:val="0"/>
              <w:marBottom w:val="0"/>
              <w:divBdr>
                <w:top w:val="none" w:sz="0" w:space="0" w:color="auto"/>
                <w:left w:val="none" w:sz="0" w:space="0" w:color="auto"/>
                <w:bottom w:val="none" w:sz="0" w:space="0" w:color="auto"/>
                <w:right w:val="none" w:sz="0" w:space="0" w:color="auto"/>
              </w:divBdr>
            </w:div>
            <w:div w:id="2036539004">
              <w:marLeft w:val="0"/>
              <w:marRight w:val="0"/>
              <w:marTop w:val="0"/>
              <w:marBottom w:val="0"/>
              <w:divBdr>
                <w:top w:val="none" w:sz="0" w:space="0" w:color="auto"/>
                <w:left w:val="none" w:sz="0" w:space="0" w:color="auto"/>
                <w:bottom w:val="none" w:sz="0" w:space="0" w:color="auto"/>
                <w:right w:val="none" w:sz="0" w:space="0" w:color="auto"/>
              </w:divBdr>
            </w:div>
            <w:div w:id="20981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6352">
      <w:bodyDiv w:val="1"/>
      <w:marLeft w:val="0"/>
      <w:marRight w:val="0"/>
      <w:marTop w:val="0"/>
      <w:marBottom w:val="0"/>
      <w:divBdr>
        <w:top w:val="none" w:sz="0" w:space="0" w:color="auto"/>
        <w:left w:val="none" w:sz="0" w:space="0" w:color="auto"/>
        <w:bottom w:val="none" w:sz="0" w:space="0" w:color="auto"/>
        <w:right w:val="none" w:sz="0" w:space="0" w:color="auto"/>
      </w:divBdr>
    </w:div>
    <w:div w:id="1509902001">
      <w:bodyDiv w:val="1"/>
      <w:marLeft w:val="0"/>
      <w:marRight w:val="0"/>
      <w:marTop w:val="0"/>
      <w:marBottom w:val="0"/>
      <w:divBdr>
        <w:top w:val="none" w:sz="0" w:space="0" w:color="auto"/>
        <w:left w:val="none" w:sz="0" w:space="0" w:color="auto"/>
        <w:bottom w:val="none" w:sz="0" w:space="0" w:color="auto"/>
        <w:right w:val="none" w:sz="0" w:space="0" w:color="auto"/>
      </w:divBdr>
    </w:div>
    <w:div w:id="1511723041">
      <w:bodyDiv w:val="1"/>
      <w:marLeft w:val="0"/>
      <w:marRight w:val="0"/>
      <w:marTop w:val="0"/>
      <w:marBottom w:val="0"/>
      <w:divBdr>
        <w:top w:val="none" w:sz="0" w:space="0" w:color="auto"/>
        <w:left w:val="none" w:sz="0" w:space="0" w:color="auto"/>
        <w:bottom w:val="none" w:sz="0" w:space="0" w:color="auto"/>
        <w:right w:val="none" w:sz="0" w:space="0" w:color="auto"/>
      </w:divBdr>
    </w:div>
    <w:div w:id="1512912102">
      <w:bodyDiv w:val="1"/>
      <w:marLeft w:val="0"/>
      <w:marRight w:val="0"/>
      <w:marTop w:val="0"/>
      <w:marBottom w:val="0"/>
      <w:divBdr>
        <w:top w:val="none" w:sz="0" w:space="0" w:color="auto"/>
        <w:left w:val="none" w:sz="0" w:space="0" w:color="auto"/>
        <w:bottom w:val="none" w:sz="0" w:space="0" w:color="auto"/>
        <w:right w:val="none" w:sz="0" w:space="0" w:color="auto"/>
      </w:divBdr>
    </w:div>
    <w:div w:id="1527139134">
      <w:bodyDiv w:val="1"/>
      <w:marLeft w:val="0"/>
      <w:marRight w:val="0"/>
      <w:marTop w:val="0"/>
      <w:marBottom w:val="0"/>
      <w:divBdr>
        <w:top w:val="none" w:sz="0" w:space="0" w:color="auto"/>
        <w:left w:val="none" w:sz="0" w:space="0" w:color="auto"/>
        <w:bottom w:val="none" w:sz="0" w:space="0" w:color="auto"/>
        <w:right w:val="none" w:sz="0" w:space="0" w:color="auto"/>
      </w:divBdr>
    </w:div>
    <w:div w:id="1547109036">
      <w:bodyDiv w:val="1"/>
      <w:marLeft w:val="0"/>
      <w:marRight w:val="0"/>
      <w:marTop w:val="0"/>
      <w:marBottom w:val="0"/>
      <w:divBdr>
        <w:top w:val="none" w:sz="0" w:space="0" w:color="auto"/>
        <w:left w:val="none" w:sz="0" w:space="0" w:color="auto"/>
        <w:bottom w:val="none" w:sz="0" w:space="0" w:color="auto"/>
        <w:right w:val="none" w:sz="0" w:space="0" w:color="auto"/>
      </w:divBdr>
    </w:div>
    <w:div w:id="1557938225">
      <w:bodyDiv w:val="1"/>
      <w:marLeft w:val="0"/>
      <w:marRight w:val="0"/>
      <w:marTop w:val="0"/>
      <w:marBottom w:val="0"/>
      <w:divBdr>
        <w:top w:val="none" w:sz="0" w:space="0" w:color="auto"/>
        <w:left w:val="none" w:sz="0" w:space="0" w:color="auto"/>
        <w:bottom w:val="none" w:sz="0" w:space="0" w:color="auto"/>
        <w:right w:val="none" w:sz="0" w:space="0" w:color="auto"/>
      </w:divBdr>
    </w:div>
    <w:div w:id="1575163746">
      <w:bodyDiv w:val="1"/>
      <w:marLeft w:val="0"/>
      <w:marRight w:val="0"/>
      <w:marTop w:val="0"/>
      <w:marBottom w:val="0"/>
      <w:divBdr>
        <w:top w:val="none" w:sz="0" w:space="0" w:color="auto"/>
        <w:left w:val="none" w:sz="0" w:space="0" w:color="auto"/>
        <w:bottom w:val="none" w:sz="0" w:space="0" w:color="auto"/>
        <w:right w:val="none" w:sz="0" w:space="0" w:color="auto"/>
      </w:divBdr>
    </w:div>
    <w:div w:id="1579825737">
      <w:bodyDiv w:val="1"/>
      <w:marLeft w:val="0"/>
      <w:marRight w:val="0"/>
      <w:marTop w:val="0"/>
      <w:marBottom w:val="0"/>
      <w:divBdr>
        <w:top w:val="none" w:sz="0" w:space="0" w:color="auto"/>
        <w:left w:val="none" w:sz="0" w:space="0" w:color="auto"/>
        <w:bottom w:val="none" w:sz="0" w:space="0" w:color="auto"/>
        <w:right w:val="none" w:sz="0" w:space="0" w:color="auto"/>
      </w:divBdr>
    </w:div>
    <w:div w:id="1583103743">
      <w:bodyDiv w:val="1"/>
      <w:marLeft w:val="0"/>
      <w:marRight w:val="0"/>
      <w:marTop w:val="0"/>
      <w:marBottom w:val="0"/>
      <w:divBdr>
        <w:top w:val="none" w:sz="0" w:space="0" w:color="auto"/>
        <w:left w:val="none" w:sz="0" w:space="0" w:color="auto"/>
        <w:bottom w:val="none" w:sz="0" w:space="0" w:color="auto"/>
        <w:right w:val="none" w:sz="0" w:space="0" w:color="auto"/>
      </w:divBdr>
    </w:div>
    <w:div w:id="1586378427">
      <w:bodyDiv w:val="1"/>
      <w:marLeft w:val="0"/>
      <w:marRight w:val="0"/>
      <w:marTop w:val="0"/>
      <w:marBottom w:val="0"/>
      <w:divBdr>
        <w:top w:val="none" w:sz="0" w:space="0" w:color="auto"/>
        <w:left w:val="none" w:sz="0" w:space="0" w:color="auto"/>
        <w:bottom w:val="none" w:sz="0" w:space="0" w:color="auto"/>
        <w:right w:val="none" w:sz="0" w:space="0" w:color="auto"/>
      </w:divBdr>
    </w:div>
    <w:div w:id="1588270416">
      <w:bodyDiv w:val="1"/>
      <w:marLeft w:val="0"/>
      <w:marRight w:val="0"/>
      <w:marTop w:val="0"/>
      <w:marBottom w:val="0"/>
      <w:divBdr>
        <w:top w:val="none" w:sz="0" w:space="0" w:color="auto"/>
        <w:left w:val="none" w:sz="0" w:space="0" w:color="auto"/>
        <w:bottom w:val="none" w:sz="0" w:space="0" w:color="auto"/>
        <w:right w:val="none" w:sz="0" w:space="0" w:color="auto"/>
      </w:divBdr>
      <w:divsChild>
        <w:div w:id="1058044755">
          <w:marLeft w:val="0"/>
          <w:marRight w:val="0"/>
          <w:marTop w:val="0"/>
          <w:marBottom w:val="0"/>
          <w:divBdr>
            <w:top w:val="none" w:sz="0" w:space="0" w:color="auto"/>
            <w:left w:val="none" w:sz="0" w:space="0" w:color="auto"/>
            <w:bottom w:val="none" w:sz="0" w:space="0" w:color="auto"/>
            <w:right w:val="none" w:sz="0" w:space="0" w:color="auto"/>
          </w:divBdr>
          <w:divsChild>
            <w:div w:id="2002387740">
              <w:marLeft w:val="0"/>
              <w:marRight w:val="0"/>
              <w:marTop w:val="0"/>
              <w:marBottom w:val="0"/>
              <w:divBdr>
                <w:top w:val="none" w:sz="0" w:space="0" w:color="auto"/>
                <w:left w:val="none" w:sz="0" w:space="0" w:color="auto"/>
                <w:bottom w:val="none" w:sz="0" w:space="0" w:color="auto"/>
                <w:right w:val="none" w:sz="0" w:space="0" w:color="auto"/>
              </w:divBdr>
              <w:divsChild>
                <w:div w:id="1499342150">
                  <w:marLeft w:val="0"/>
                  <w:marRight w:val="0"/>
                  <w:marTop w:val="0"/>
                  <w:marBottom w:val="0"/>
                  <w:divBdr>
                    <w:top w:val="none" w:sz="0" w:space="0" w:color="auto"/>
                    <w:left w:val="none" w:sz="0" w:space="0" w:color="auto"/>
                    <w:bottom w:val="none" w:sz="0" w:space="0" w:color="auto"/>
                    <w:right w:val="none" w:sz="0" w:space="0" w:color="auto"/>
                  </w:divBdr>
                  <w:divsChild>
                    <w:div w:id="14673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35600569">
      <w:bodyDiv w:val="1"/>
      <w:marLeft w:val="0"/>
      <w:marRight w:val="0"/>
      <w:marTop w:val="0"/>
      <w:marBottom w:val="0"/>
      <w:divBdr>
        <w:top w:val="none" w:sz="0" w:space="0" w:color="auto"/>
        <w:left w:val="none" w:sz="0" w:space="0" w:color="auto"/>
        <w:bottom w:val="none" w:sz="0" w:space="0" w:color="auto"/>
        <w:right w:val="none" w:sz="0" w:space="0" w:color="auto"/>
      </w:divBdr>
      <w:divsChild>
        <w:div w:id="1162307060">
          <w:marLeft w:val="0"/>
          <w:marRight w:val="0"/>
          <w:marTop w:val="0"/>
          <w:marBottom w:val="0"/>
          <w:divBdr>
            <w:top w:val="none" w:sz="0" w:space="0" w:color="auto"/>
            <w:left w:val="none" w:sz="0" w:space="0" w:color="auto"/>
            <w:bottom w:val="none" w:sz="0" w:space="0" w:color="auto"/>
            <w:right w:val="none" w:sz="0" w:space="0" w:color="auto"/>
          </w:divBdr>
          <w:divsChild>
            <w:div w:id="1869565185">
              <w:marLeft w:val="0"/>
              <w:marRight w:val="0"/>
              <w:marTop w:val="0"/>
              <w:marBottom w:val="0"/>
              <w:divBdr>
                <w:top w:val="none" w:sz="0" w:space="0" w:color="auto"/>
                <w:left w:val="none" w:sz="0" w:space="0" w:color="auto"/>
                <w:bottom w:val="none" w:sz="0" w:space="0" w:color="auto"/>
                <w:right w:val="none" w:sz="0" w:space="0" w:color="auto"/>
              </w:divBdr>
              <w:divsChild>
                <w:div w:id="1951741371">
                  <w:marLeft w:val="0"/>
                  <w:marRight w:val="0"/>
                  <w:marTop w:val="0"/>
                  <w:marBottom w:val="0"/>
                  <w:divBdr>
                    <w:top w:val="none" w:sz="0" w:space="0" w:color="auto"/>
                    <w:left w:val="none" w:sz="0" w:space="0" w:color="auto"/>
                    <w:bottom w:val="none" w:sz="0" w:space="0" w:color="auto"/>
                    <w:right w:val="none" w:sz="0" w:space="0" w:color="auto"/>
                  </w:divBdr>
                  <w:divsChild>
                    <w:div w:id="2023819841">
                      <w:marLeft w:val="0"/>
                      <w:marRight w:val="0"/>
                      <w:marTop w:val="0"/>
                      <w:marBottom w:val="0"/>
                      <w:divBdr>
                        <w:top w:val="none" w:sz="0" w:space="0" w:color="auto"/>
                        <w:left w:val="none" w:sz="0" w:space="0" w:color="auto"/>
                        <w:bottom w:val="none" w:sz="0" w:space="0" w:color="auto"/>
                        <w:right w:val="none" w:sz="0" w:space="0" w:color="auto"/>
                      </w:divBdr>
                      <w:divsChild>
                        <w:div w:id="1905025905">
                          <w:marLeft w:val="0"/>
                          <w:marRight w:val="0"/>
                          <w:marTop w:val="0"/>
                          <w:marBottom w:val="0"/>
                          <w:divBdr>
                            <w:top w:val="none" w:sz="0" w:space="0" w:color="auto"/>
                            <w:left w:val="none" w:sz="0" w:space="0" w:color="auto"/>
                            <w:bottom w:val="none" w:sz="0" w:space="0" w:color="auto"/>
                            <w:right w:val="none" w:sz="0" w:space="0" w:color="auto"/>
                          </w:divBdr>
                          <w:divsChild>
                            <w:div w:id="9136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621088">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82195319">
      <w:bodyDiv w:val="1"/>
      <w:marLeft w:val="0"/>
      <w:marRight w:val="0"/>
      <w:marTop w:val="0"/>
      <w:marBottom w:val="0"/>
      <w:divBdr>
        <w:top w:val="none" w:sz="0" w:space="0" w:color="auto"/>
        <w:left w:val="none" w:sz="0" w:space="0" w:color="auto"/>
        <w:bottom w:val="none" w:sz="0" w:space="0" w:color="auto"/>
        <w:right w:val="none" w:sz="0" w:space="0" w:color="auto"/>
      </w:divBdr>
    </w:div>
    <w:div w:id="1683974409">
      <w:bodyDiv w:val="1"/>
      <w:marLeft w:val="0"/>
      <w:marRight w:val="0"/>
      <w:marTop w:val="0"/>
      <w:marBottom w:val="0"/>
      <w:divBdr>
        <w:top w:val="none" w:sz="0" w:space="0" w:color="auto"/>
        <w:left w:val="none" w:sz="0" w:space="0" w:color="auto"/>
        <w:bottom w:val="none" w:sz="0" w:space="0" w:color="auto"/>
        <w:right w:val="none" w:sz="0" w:space="0" w:color="auto"/>
      </w:divBdr>
      <w:divsChild>
        <w:div w:id="273826566">
          <w:marLeft w:val="0"/>
          <w:marRight w:val="0"/>
          <w:marTop w:val="0"/>
          <w:marBottom w:val="0"/>
          <w:divBdr>
            <w:top w:val="none" w:sz="0" w:space="0" w:color="auto"/>
            <w:left w:val="none" w:sz="0" w:space="0" w:color="auto"/>
            <w:bottom w:val="none" w:sz="0" w:space="0" w:color="auto"/>
            <w:right w:val="none" w:sz="0" w:space="0" w:color="auto"/>
          </w:divBdr>
          <w:divsChild>
            <w:div w:id="1794248415">
              <w:marLeft w:val="0"/>
              <w:marRight w:val="0"/>
              <w:marTop w:val="0"/>
              <w:marBottom w:val="0"/>
              <w:divBdr>
                <w:top w:val="none" w:sz="0" w:space="0" w:color="auto"/>
                <w:left w:val="none" w:sz="0" w:space="0" w:color="auto"/>
                <w:bottom w:val="none" w:sz="0" w:space="0" w:color="auto"/>
                <w:right w:val="none" w:sz="0" w:space="0" w:color="auto"/>
              </w:divBdr>
              <w:divsChild>
                <w:div w:id="2010599299">
                  <w:marLeft w:val="0"/>
                  <w:marRight w:val="0"/>
                  <w:marTop w:val="0"/>
                  <w:marBottom w:val="0"/>
                  <w:divBdr>
                    <w:top w:val="none" w:sz="0" w:space="0" w:color="auto"/>
                    <w:left w:val="none" w:sz="0" w:space="0" w:color="auto"/>
                    <w:bottom w:val="none" w:sz="0" w:space="0" w:color="auto"/>
                    <w:right w:val="none" w:sz="0" w:space="0" w:color="auto"/>
                  </w:divBdr>
                  <w:divsChild>
                    <w:div w:id="2096852035">
                      <w:marLeft w:val="0"/>
                      <w:marRight w:val="0"/>
                      <w:marTop w:val="0"/>
                      <w:marBottom w:val="0"/>
                      <w:divBdr>
                        <w:top w:val="none" w:sz="0" w:space="0" w:color="auto"/>
                        <w:left w:val="none" w:sz="0" w:space="0" w:color="auto"/>
                        <w:bottom w:val="none" w:sz="0" w:space="0" w:color="auto"/>
                        <w:right w:val="none" w:sz="0" w:space="0" w:color="auto"/>
                      </w:divBdr>
                      <w:divsChild>
                        <w:div w:id="754934664">
                          <w:marLeft w:val="0"/>
                          <w:marRight w:val="0"/>
                          <w:marTop w:val="0"/>
                          <w:marBottom w:val="0"/>
                          <w:divBdr>
                            <w:top w:val="none" w:sz="0" w:space="0" w:color="auto"/>
                            <w:left w:val="none" w:sz="0" w:space="0" w:color="auto"/>
                            <w:bottom w:val="none" w:sz="0" w:space="0" w:color="auto"/>
                            <w:right w:val="none" w:sz="0" w:space="0" w:color="auto"/>
                          </w:divBdr>
                          <w:divsChild>
                            <w:div w:id="18396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16971">
      <w:bodyDiv w:val="1"/>
      <w:marLeft w:val="0"/>
      <w:marRight w:val="0"/>
      <w:marTop w:val="0"/>
      <w:marBottom w:val="0"/>
      <w:divBdr>
        <w:top w:val="none" w:sz="0" w:space="0" w:color="auto"/>
        <w:left w:val="none" w:sz="0" w:space="0" w:color="auto"/>
        <w:bottom w:val="none" w:sz="0" w:space="0" w:color="auto"/>
        <w:right w:val="none" w:sz="0" w:space="0" w:color="auto"/>
      </w:divBdr>
    </w:div>
    <w:div w:id="1703549867">
      <w:bodyDiv w:val="1"/>
      <w:marLeft w:val="0"/>
      <w:marRight w:val="0"/>
      <w:marTop w:val="0"/>
      <w:marBottom w:val="0"/>
      <w:divBdr>
        <w:top w:val="none" w:sz="0" w:space="0" w:color="auto"/>
        <w:left w:val="none" w:sz="0" w:space="0" w:color="auto"/>
        <w:bottom w:val="none" w:sz="0" w:space="0" w:color="auto"/>
        <w:right w:val="none" w:sz="0" w:space="0" w:color="auto"/>
      </w:divBdr>
    </w:div>
    <w:div w:id="1711148145">
      <w:bodyDiv w:val="1"/>
      <w:marLeft w:val="0"/>
      <w:marRight w:val="0"/>
      <w:marTop w:val="0"/>
      <w:marBottom w:val="0"/>
      <w:divBdr>
        <w:top w:val="none" w:sz="0" w:space="0" w:color="auto"/>
        <w:left w:val="none" w:sz="0" w:space="0" w:color="auto"/>
        <w:bottom w:val="none" w:sz="0" w:space="0" w:color="auto"/>
        <w:right w:val="none" w:sz="0" w:space="0" w:color="auto"/>
      </w:divBdr>
    </w:div>
    <w:div w:id="1728795584">
      <w:bodyDiv w:val="1"/>
      <w:marLeft w:val="0"/>
      <w:marRight w:val="0"/>
      <w:marTop w:val="0"/>
      <w:marBottom w:val="0"/>
      <w:divBdr>
        <w:top w:val="none" w:sz="0" w:space="0" w:color="auto"/>
        <w:left w:val="none" w:sz="0" w:space="0" w:color="auto"/>
        <w:bottom w:val="none" w:sz="0" w:space="0" w:color="auto"/>
        <w:right w:val="none" w:sz="0" w:space="0" w:color="auto"/>
      </w:divBdr>
    </w:div>
    <w:div w:id="1747143306">
      <w:bodyDiv w:val="1"/>
      <w:marLeft w:val="0"/>
      <w:marRight w:val="0"/>
      <w:marTop w:val="0"/>
      <w:marBottom w:val="0"/>
      <w:divBdr>
        <w:top w:val="none" w:sz="0" w:space="0" w:color="auto"/>
        <w:left w:val="none" w:sz="0" w:space="0" w:color="auto"/>
        <w:bottom w:val="none" w:sz="0" w:space="0" w:color="auto"/>
        <w:right w:val="none" w:sz="0" w:space="0" w:color="auto"/>
      </w:divBdr>
    </w:div>
    <w:div w:id="1756783658">
      <w:bodyDiv w:val="1"/>
      <w:marLeft w:val="0"/>
      <w:marRight w:val="0"/>
      <w:marTop w:val="0"/>
      <w:marBottom w:val="0"/>
      <w:divBdr>
        <w:top w:val="none" w:sz="0" w:space="0" w:color="auto"/>
        <w:left w:val="none" w:sz="0" w:space="0" w:color="auto"/>
        <w:bottom w:val="none" w:sz="0" w:space="0" w:color="auto"/>
        <w:right w:val="none" w:sz="0" w:space="0" w:color="auto"/>
      </w:divBdr>
    </w:div>
    <w:div w:id="1759669496">
      <w:bodyDiv w:val="1"/>
      <w:marLeft w:val="0"/>
      <w:marRight w:val="0"/>
      <w:marTop w:val="0"/>
      <w:marBottom w:val="0"/>
      <w:divBdr>
        <w:top w:val="none" w:sz="0" w:space="0" w:color="auto"/>
        <w:left w:val="none" w:sz="0" w:space="0" w:color="auto"/>
        <w:bottom w:val="none" w:sz="0" w:space="0" w:color="auto"/>
        <w:right w:val="none" w:sz="0" w:space="0" w:color="auto"/>
      </w:divBdr>
      <w:divsChild>
        <w:div w:id="767040710">
          <w:marLeft w:val="0"/>
          <w:marRight w:val="0"/>
          <w:marTop w:val="0"/>
          <w:marBottom w:val="0"/>
          <w:divBdr>
            <w:top w:val="none" w:sz="0" w:space="0" w:color="auto"/>
            <w:left w:val="none" w:sz="0" w:space="0" w:color="auto"/>
            <w:bottom w:val="none" w:sz="0" w:space="0" w:color="auto"/>
            <w:right w:val="none" w:sz="0" w:space="0" w:color="auto"/>
          </w:divBdr>
          <w:divsChild>
            <w:div w:id="363095432">
              <w:marLeft w:val="0"/>
              <w:marRight w:val="0"/>
              <w:marTop w:val="0"/>
              <w:marBottom w:val="0"/>
              <w:divBdr>
                <w:top w:val="none" w:sz="0" w:space="0" w:color="auto"/>
                <w:left w:val="none" w:sz="0" w:space="0" w:color="auto"/>
                <w:bottom w:val="none" w:sz="0" w:space="0" w:color="auto"/>
                <w:right w:val="none" w:sz="0" w:space="0" w:color="auto"/>
              </w:divBdr>
              <w:divsChild>
                <w:div w:id="2072843780">
                  <w:marLeft w:val="0"/>
                  <w:marRight w:val="0"/>
                  <w:marTop w:val="0"/>
                  <w:marBottom w:val="0"/>
                  <w:divBdr>
                    <w:top w:val="none" w:sz="0" w:space="0" w:color="auto"/>
                    <w:left w:val="none" w:sz="0" w:space="0" w:color="auto"/>
                    <w:bottom w:val="none" w:sz="0" w:space="0" w:color="auto"/>
                    <w:right w:val="none" w:sz="0" w:space="0" w:color="auto"/>
                  </w:divBdr>
                  <w:divsChild>
                    <w:div w:id="441922080">
                      <w:marLeft w:val="0"/>
                      <w:marRight w:val="0"/>
                      <w:marTop w:val="0"/>
                      <w:marBottom w:val="0"/>
                      <w:divBdr>
                        <w:top w:val="none" w:sz="0" w:space="0" w:color="auto"/>
                        <w:left w:val="none" w:sz="0" w:space="0" w:color="auto"/>
                        <w:bottom w:val="none" w:sz="0" w:space="0" w:color="auto"/>
                        <w:right w:val="none" w:sz="0" w:space="0" w:color="auto"/>
                      </w:divBdr>
                      <w:divsChild>
                        <w:div w:id="473910735">
                          <w:marLeft w:val="0"/>
                          <w:marRight w:val="0"/>
                          <w:marTop w:val="0"/>
                          <w:marBottom w:val="0"/>
                          <w:divBdr>
                            <w:top w:val="none" w:sz="0" w:space="0" w:color="auto"/>
                            <w:left w:val="none" w:sz="0" w:space="0" w:color="auto"/>
                            <w:bottom w:val="none" w:sz="0" w:space="0" w:color="auto"/>
                            <w:right w:val="none" w:sz="0" w:space="0" w:color="auto"/>
                          </w:divBdr>
                          <w:divsChild>
                            <w:div w:id="8316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554131">
      <w:bodyDiv w:val="1"/>
      <w:marLeft w:val="0"/>
      <w:marRight w:val="0"/>
      <w:marTop w:val="0"/>
      <w:marBottom w:val="0"/>
      <w:divBdr>
        <w:top w:val="none" w:sz="0" w:space="0" w:color="auto"/>
        <w:left w:val="none" w:sz="0" w:space="0" w:color="auto"/>
        <w:bottom w:val="none" w:sz="0" w:space="0" w:color="auto"/>
        <w:right w:val="none" w:sz="0" w:space="0" w:color="auto"/>
      </w:divBdr>
      <w:divsChild>
        <w:div w:id="866210908">
          <w:marLeft w:val="0"/>
          <w:marRight w:val="0"/>
          <w:marTop w:val="0"/>
          <w:marBottom w:val="0"/>
          <w:divBdr>
            <w:top w:val="none" w:sz="0" w:space="0" w:color="auto"/>
            <w:left w:val="none" w:sz="0" w:space="0" w:color="auto"/>
            <w:bottom w:val="none" w:sz="0" w:space="0" w:color="auto"/>
            <w:right w:val="none" w:sz="0" w:space="0" w:color="auto"/>
          </w:divBdr>
          <w:divsChild>
            <w:div w:id="229274947">
              <w:marLeft w:val="0"/>
              <w:marRight w:val="0"/>
              <w:marTop w:val="0"/>
              <w:marBottom w:val="0"/>
              <w:divBdr>
                <w:top w:val="none" w:sz="0" w:space="0" w:color="auto"/>
                <w:left w:val="none" w:sz="0" w:space="0" w:color="auto"/>
                <w:bottom w:val="none" w:sz="0" w:space="0" w:color="auto"/>
                <w:right w:val="none" w:sz="0" w:space="0" w:color="auto"/>
              </w:divBdr>
              <w:divsChild>
                <w:div w:id="643004942">
                  <w:marLeft w:val="0"/>
                  <w:marRight w:val="0"/>
                  <w:marTop w:val="0"/>
                  <w:marBottom w:val="0"/>
                  <w:divBdr>
                    <w:top w:val="none" w:sz="0" w:space="0" w:color="auto"/>
                    <w:left w:val="none" w:sz="0" w:space="0" w:color="auto"/>
                    <w:bottom w:val="none" w:sz="0" w:space="0" w:color="auto"/>
                    <w:right w:val="none" w:sz="0" w:space="0" w:color="auto"/>
                  </w:divBdr>
                  <w:divsChild>
                    <w:div w:id="238290245">
                      <w:marLeft w:val="0"/>
                      <w:marRight w:val="0"/>
                      <w:marTop w:val="0"/>
                      <w:marBottom w:val="0"/>
                      <w:divBdr>
                        <w:top w:val="none" w:sz="0" w:space="0" w:color="auto"/>
                        <w:left w:val="none" w:sz="0" w:space="0" w:color="auto"/>
                        <w:bottom w:val="none" w:sz="0" w:space="0" w:color="auto"/>
                        <w:right w:val="none" w:sz="0" w:space="0" w:color="auto"/>
                      </w:divBdr>
                      <w:divsChild>
                        <w:div w:id="1442259700">
                          <w:marLeft w:val="0"/>
                          <w:marRight w:val="0"/>
                          <w:marTop w:val="0"/>
                          <w:marBottom w:val="0"/>
                          <w:divBdr>
                            <w:top w:val="none" w:sz="0" w:space="0" w:color="auto"/>
                            <w:left w:val="none" w:sz="0" w:space="0" w:color="auto"/>
                            <w:bottom w:val="none" w:sz="0" w:space="0" w:color="auto"/>
                            <w:right w:val="none" w:sz="0" w:space="0" w:color="auto"/>
                          </w:divBdr>
                          <w:divsChild>
                            <w:div w:id="1607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01849109">
      <w:bodyDiv w:val="1"/>
      <w:marLeft w:val="0"/>
      <w:marRight w:val="0"/>
      <w:marTop w:val="0"/>
      <w:marBottom w:val="0"/>
      <w:divBdr>
        <w:top w:val="none" w:sz="0" w:space="0" w:color="auto"/>
        <w:left w:val="none" w:sz="0" w:space="0" w:color="auto"/>
        <w:bottom w:val="none" w:sz="0" w:space="0" w:color="auto"/>
        <w:right w:val="none" w:sz="0" w:space="0" w:color="auto"/>
      </w:divBdr>
      <w:divsChild>
        <w:div w:id="1429081285">
          <w:marLeft w:val="0"/>
          <w:marRight w:val="0"/>
          <w:marTop w:val="0"/>
          <w:marBottom w:val="0"/>
          <w:divBdr>
            <w:top w:val="none" w:sz="0" w:space="0" w:color="auto"/>
            <w:left w:val="none" w:sz="0" w:space="0" w:color="auto"/>
            <w:bottom w:val="none" w:sz="0" w:space="0" w:color="auto"/>
            <w:right w:val="none" w:sz="0" w:space="0" w:color="auto"/>
          </w:divBdr>
          <w:divsChild>
            <w:div w:id="1833794607">
              <w:marLeft w:val="0"/>
              <w:marRight w:val="0"/>
              <w:marTop w:val="0"/>
              <w:marBottom w:val="0"/>
              <w:divBdr>
                <w:top w:val="none" w:sz="0" w:space="0" w:color="auto"/>
                <w:left w:val="none" w:sz="0" w:space="0" w:color="auto"/>
                <w:bottom w:val="none" w:sz="0" w:space="0" w:color="auto"/>
                <w:right w:val="none" w:sz="0" w:space="0" w:color="auto"/>
              </w:divBdr>
              <w:divsChild>
                <w:div w:id="816992872">
                  <w:marLeft w:val="0"/>
                  <w:marRight w:val="0"/>
                  <w:marTop w:val="0"/>
                  <w:marBottom w:val="0"/>
                  <w:divBdr>
                    <w:top w:val="none" w:sz="0" w:space="0" w:color="auto"/>
                    <w:left w:val="none" w:sz="0" w:space="0" w:color="auto"/>
                    <w:bottom w:val="none" w:sz="0" w:space="0" w:color="auto"/>
                    <w:right w:val="none" w:sz="0" w:space="0" w:color="auto"/>
                  </w:divBdr>
                  <w:divsChild>
                    <w:div w:id="322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15298431">
      <w:bodyDiv w:val="1"/>
      <w:marLeft w:val="0"/>
      <w:marRight w:val="0"/>
      <w:marTop w:val="0"/>
      <w:marBottom w:val="0"/>
      <w:divBdr>
        <w:top w:val="none" w:sz="0" w:space="0" w:color="auto"/>
        <w:left w:val="none" w:sz="0" w:space="0" w:color="auto"/>
        <w:bottom w:val="none" w:sz="0" w:space="0" w:color="auto"/>
        <w:right w:val="none" w:sz="0" w:space="0" w:color="auto"/>
      </w:divBdr>
    </w:div>
    <w:div w:id="1818036681">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28663506">
      <w:bodyDiv w:val="1"/>
      <w:marLeft w:val="0"/>
      <w:marRight w:val="0"/>
      <w:marTop w:val="0"/>
      <w:marBottom w:val="0"/>
      <w:divBdr>
        <w:top w:val="none" w:sz="0" w:space="0" w:color="auto"/>
        <w:left w:val="none" w:sz="0" w:space="0" w:color="auto"/>
        <w:bottom w:val="none" w:sz="0" w:space="0" w:color="auto"/>
        <w:right w:val="none" w:sz="0" w:space="0" w:color="auto"/>
      </w:divBdr>
    </w:div>
    <w:div w:id="1835104375">
      <w:bodyDiv w:val="1"/>
      <w:marLeft w:val="0"/>
      <w:marRight w:val="0"/>
      <w:marTop w:val="0"/>
      <w:marBottom w:val="0"/>
      <w:divBdr>
        <w:top w:val="none" w:sz="0" w:space="0" w:color="auto"/>
        <w:left w:val="none" w:sz="0" w:space="0" w:color="auto"/>
        <w:bottom w:val="none" w:sz="0" w:space="0" w:color="auto"/>
        <w:right w:val="none" w:sz="0" w:space="0" w:color="auto"/>
      </w:divBdr>
    </w:div>
    <w:div w:id="1837459207">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40195435">
      <w:bodyDiv w:val="1"/>
      <w:marLeft w:val="0"/>
      <w:marRight w:val="0"/>
      <w:marTop w:val="0"/>
      <w:marBottom w:val="0"/>
      <w:divBdr>
        <w:top w:val="none" w:sz="0" w:space="0" w:color="auto"/>
        <w:left w:val="none" w:sz="0" w:space="0" w:color="auto"/>
        <w:bottom w:val="none" w:sz="0" w:space="0" w:color="auto"/>
        <w:right w:val="none" w:sz="0" w:space="0" w:color="auto"/>
      </w:divBdr>
    </w:div>
    <w:div w:id="1842233322">
      <w:bodyDiv w:val="1"/>
      <w:marLeft w:val="0"/>
      <w:marRight w:val="0"/>
      <w:marTop w:val="0"/>
      <w:marBottom w:val="0"/>
      <w:divBdr>
        <w:top w:val="none" w:sz="0" w:space="0" w:color="auto"/>
        <w:left w:val="none" w:sz="0" w:space="0" w:color="auto"/>
        <w:bottom w:val="none" w:sz="0" w:space="0" w:color="auto"/>
        <w:right w:val="none" w:sz="0" w:space="0" w:color="auto"/>
      </w:divBdr>
      <w:divsChild>
        <w:div w:id="1374304139">
          <w:marLeft w:val="0"/>
          <w:marRight w:val="0"/>
          <w:marTop w:val="0"/>
          <w:marBottom w:val="0"/>
          <w:divBdr>
            <w:top w:val="none" w:sz="0" w:space="0" w:color="auto"/>
            <w:left w:val="none" w:sz="0" w:space="0" w:color="auto"/>
            <w:bottom w:val="none" w:sz="0" w:space="0" w:color="auto"/>
            <w:right w:val="none" w:sz="0" w:space="0" w:color="auto"/>
          </w:divBdr>
          <w:divsChild>
            <w:div w:id="1710106796">
              <w:marLeft w:val="0"/>
              <w:marRight w:val="0"/>
              <w:marTop w:val="0"/>
              <w:marBottom w:val="0"/>
              <w:divBdr>
                <w:top w:val="none" w:sz="0" w:space="0" w:color="auto"/>
                <w:left w:val="none" w:sz="0" w:space="0" w:color="auto"/>
                <w:bottom w:val="none" w:sz="0" w:space="0" w:color="auto"/>
                <w:right w:val="none" w:sz="0" w:space="0" w:color="auto"/>
              </w:divBdr>
              <w:divsChild>
                <w:div w:id="1904561590">
                  <w:marLeft w:val="0"/>
                  <w:marRight w:val="0"/>
                  <w:marTop w:val="0"/>
                  <w:marBottom w:val="0"/>
                  <w:divBdr>
                    <w:top w:val="none" w:sz="0" w:space="0" w:color="auto"/>
                    <w:left w:val="none" w:sz="0" w:space="0" w:color="auto"/>
                    <w:bottom w:val="none" w:sz="0" w:space="0" w:color="auto"/>
                    <w:right w:val="none" w:sz="0" w:space="0" w:color="auto"/>
                  </w:divBdr>
                  <w:divsChild>
                    <w:div w:id="36396048">
                      <w:marLeft w:val="0"/>
                      <w:marRight w:val="0"/>
                      <w:marTop w:val="0"/>
                      <w:marBottom w:val="0"/>
                      <w:divBdr>
                        <w:top w:val="none" w:sz="0" w:space="0" w:color="auto"/>
                        <w:left w:val="none" w:sz="0" w:space="0" w:color="auto"/>
                        <w:bottom w:val="none" w:sz="0" w:space="0" w:color="auto"/>
                        <w:right w:val="none" w:sz="0" w:space="0" w:color="auto"/>
                      </w:divBdr>
                      <w:divsChild>
                        <w:div w:id="724959759">
                          <w:marLeft w:val="0"/>
                          <w:marRight w:val="0"/>
                          <w:marTop w:val="0"/>
                          <w:marBottom w:val="0"/>
                          <w:divBdr>
                            <w:top w:val="none" w:sz="0" w:space="0" w:color="auto"/>
                            <w:left w:val="none" w:sz="0" w:space="0" w:color="auto"/>
                            <w:bottom w:val="none" w:sz="0" w:space="0" w:color="auto"/>
                            <w:right w:val="none" w:sz="0" w:space="0" w:color="auto"/>
                          </w:divBdr>
                          <w:divsChild>
                            <w:div w:id="12834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4342">
      <w:bodyDiv w:val="1"/>
      <w:marLeft w:val="0"/>
      <w:marRight w:val="0"/>
      <w:marTop w:val="0"/>
      <w:marBottom w:val="0"/>
      <w:divBdr>
        <w:top w:val="none" w:sz="0" w:space="0" w:color="auto"/>
        <w:left w:val="none" w:sz="0" w:space="0" w:color="auto"/>
        <w:bottom w:val="none" w:sz="0" w:space="0" w:color="auto"/>
        <w:right w:val="none" w:sz="0" w:space="0" w:color="auto"/>
      </w:divBdr>
    </w:div>
    <w:div w:id="1862473071">
      <w:bodyDiv w:val="1"/>
      <w:marLeft w:val="0"/>
      <w:marRight w:val="0"/>
      <w:marTop w:val="0"/>
      <w:marBottom w:val="0"/>
      <w:divBdr>
        <w:top w:val="none" w:sz="0" w:space="0" w:color="auto"/>
        <w:left w:val="none" w:sz="0" w:space="0" w:color="auto"/>
        <w:bottom w:val="none" w:sz="0" w:space="0" w:color="auto"/>
        <w:right w:val="none" w:sz="0" w:space="0" w:color="auto"/>
      </w:divBdr>
    </w:div>
    <w:div w:id="1864127282">
      <w:bodyDiv w:val="1"/>
      <w:marLeft w:val="0"/>
      <w:marRight w:val="0"/>
      <w:marTop w:val="0"/>
      <w:marBottom w:val="0"/>
      <w:divBdr>
        <w:top w:val="none" w:sz="0" w:space="0" w:color="auto"/>
        <w:left w:val="none" w:sz="0" w:space="0" w:color="auto"/>
        <w:bottom w:val="none" w:sz="0" w:space="0" w:color="auto"/>
        <w:right w:val="none" w:sz="0" w:space="0" w:color="auto"/>
      </w:divBdr>
    </w:div>
    <w:div w:id="1872717899">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3730170">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04632563">
      <w:bodyDiv w:val="1"/>
      <w:marLeft w:val="0"/>
      <w:marRight w:val="0"/>
      <w:marTop w:val="0"/>
      <w:marBottom w:val="0"/>
      <w:divBdr>
        <w:top w:val="none" w:sz="0" w:space="0" w:color="auto"/>
        <w:left w:val="none" w:sz="0" w:space="0" w:color="auto"/>
        <w:bottom w:val="none" w:sz="0" w:space="0" w:color="auto"/>
        <w:right w:val="none" w:sz="0" w:space="0" w:color="auto"/>
      </w:divBdr>
      <w:divsChild>
        <w:div w:id="1902131881">
          <w:marLeft w:val="0"/>
          <w:marRight w:val="0"/>
          <w:marTop w:val="0"/>
          <w:marBottom w:val="0"/>
          <w:divBdr>
            <w:top w:val="none" w:sz="0" w:space="0" w:color="auto"/>
            <w:left w:val="none" w:sz="0" w:space="0" w:color="auto"/>
            <w:bottom w:val="none" w:sz="0" w:space="0" w:color="auto"/>
            <w:right w:val="none" w:sz="0" w:space="0" w:color="auto"/>
          </w:divBdr>
          <w:divsChild>
            <w:div w:id="1504469932">
              <w:marLeft w:val="0"/>
              <w:marRight w:val="0"/>
              <w:marTop w:val="0"/>
              <w:marBottom w:val="0"/>
              <w:divBdr>
                <w:top w:val="none" w:sz="0" w:space="0" w:color="auto"/>
                <w:left w:val="none" w:sz="0" w:space="0" w:color="auto"/>
                <w:bottom w:val="none" w:sz="0" w:space="0" w:color="auto"/>
                <w:right w:val="none" w:sz="0" w:space="0" w:color="auto"/>
              </w:divBdr>
              <w:divsChild>
                <w:div w:id="239096953">
                  <w:marLeft w:val="0"/>
                  <w:marRight w:val="0"/>
                  <w:marTop w:val="0"/>
                  <w:marBottom w:val="0"/>
                  <w:divBdr>
                    <w:top w:val="none" w:sz="0" w:space="0" w:color="auto"/>
                    <w:left w:val="none" w:sz="0" w:space="0" w:color="auto"/>
                    <w:bottom w:val="none" w:sz="0" w:space="0" w:color="auto"/>
                    <w:right w:val="none" w:sz="0" w:space="0" w:color="auto"/>
                  </w:divBdr>
                  <w:divsChild>
                    <w:div w:id="1203325651">
                      <w:marLeft w:val="0"/>
                      <w:marRight w:val="0"/>
                      <w:marTop w:val="0"/>
                      <w:marBottom w:val="0"/>
                      <w:divBdr>
                        <w:top w:val="none" w:sz="0" w:space="0" w:color="auto"/>
                        <w:left w:val="none" w:sz="0" w:space="0" w:color="auto"/>
                        <w:bottom w:val="none" w:sz="0" w:space="0" w:color="auto"/>
                        <w:right w:val="none" w:sz="0" w:space="0" w:color="auto"/>
                      </w:divBdr>
                      <w:divsChild>
                        <w:div w:id="2085640557">
                          <w:marLeft w:val="0"/>
                          <w:marRight w:val="0"/>
                          <w:marTop w:val="0"/>
                          <w:marBottom w:val="0"/>
                          <w:divBdr>
                            <w:top w:val="none" w:sz="0" w:space="0" w:color="auto"/>
                            <w:left w:val="none" w:sz="0" w:space="0" w:color="auto"/>
                            <w:bottom w:val="none" w:sz="0" w:space="0" w:color="auto"/>
                            <w:right w:val="none" w:sz="0" w:space="0" w:color="auto"/>
                          </w:divBdr>
                          <w:divsChild>
                            <w:div w:id="6914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415981">
      <w:bodyDiv w:val="1"/>
      <w:marLeft w:val="0"/>
      <w:marRight w:val="0"/>
      <w:marTop w:val="0"/>
      <w:marBottom w:val="0"/>
      <w:divBdr>
        <w:top w:val="none" w:sz="0" w:space="0" w:color="auto"/>
        <w:left w:val="none" w:sz="0" w:space="0" w:color="auto"/>
        <w:bottom w:val="none" w:sz="0" w:space="0" w:color="auto"/>
        <w:right w:val="none" w:sz="0" w:space="0" w:color="auto"/>
      </w:divBdr>
    </w:div>
    <w:div w:id="1913732167">
      <w:bodyDiv w:val="1"/>
      <w:marLeft w:val="0"/>
      <w:marRight w:val="0"/>
      <w:marTop w:val="0"/>
      <w:marBottom w:val="0"/>
      <w:divBdr>
        <w:top w:val="none" w:sz="0" w:space="0" w:color="auto"/>
        <w:left w:val="none" w:sz="0" w:space="0" w:color="auto"/>
        <w:bottom w:val="none" w:sz="0" w:space="0" w:color="auto"/>
        <w:right w:val="none" w:sz="0" w:space="0" w:color="auto"/>
      </w:divBdr>
    </w:div>
    <w:div w:id="1915968976">
      <w:bodyDiv w:val="1"/>
      <w:marLeft w:val="0"/>
      <w:marRight w:val="0"/>
      <w:marTop w:val="0"/>
      <w:marBottom w:val="0"/>
      <w:divBdr>
        <w:top w:val="none" w:sz="0" w:space="0" w:color="auto"/>
        <w:left w:val="none" w:sz="0" w:space="0" w:color="auto"/>
        <w:bottom w:val="none" w:sz="0" w:space="0" w:color="auto"/>
        <w:right w:val="none" w:sz="0" w:space="0" w:color="auto"/>
      </w:divBdr>
    </w:div>
    <w:div w:id="1918175449">
      <w:bodyDiv w:val="1"/>
      <w:marLeft w:val="0"/>
      <w:marRight w:val="0"/>
      <w:marTop w:val="0"/>
      <w:marBottom w:val="0"/>
      <w:divBdr>
        <w:top w:val="none" w:sz="0" w:space="0" w:color="auto"/>
        <w:left w:val="none" w:sz="0" w:space="0" w:color="auto"/>
        <w:bottom w:val="none" w:sz="0" w:space="0" w:color="auto"/>
        <w:right w:val="none" w:sz="0" w:space="0" w:color="auto"/>
      </w:divBdr>
    </w:div>
    <w:div w:id="1920671606">
      <w:bodyDiv w:val="1"/>
      <w:marLeft w:val="0"/>
      <w:marRight w:val="0"/>
      <w:marTop w:val="0"/>
      <w:marBottom w:val="0"/>
      <w:divBdr>
        <w:top w:val="none" w:sz="0" w:space="0" w:color="auto"/>
        <w:left w:val="none" w:sz="0" w:space="0" w:color="auto"/>
        <w:bottom w:val="none" w:sz="0" w:space="0" w:color="auto"/>
        <w:right w:val="none" w:sz="0" w:space="0" w:color="auto"/>
      </w:divBdr>
    </w:div>
    <w:div w:id="1932079851">
      <w:bodyDiv w:val="1"/>
      <w:marLeft w:val="0"/>
      <w:marRight w:val="0"/>
      <w:marTop w:val="0"/>
      <w:marBottom w:val="0"/>
      <w:divBdr>
        <w:top w:val="none" w:sz="0" w:space="0" w:color="auto"/>
        <w:left w:val="none" w:sz="0" w:space="0" w:color="auto"/>
        <w:bottom w:val="none" w:sz="0" w:space="0" w:color="auto"/>
        <w:right w:val="none" w:sz="0" w:space="0" w:color="auto"/>
      </w:divBdr>
    </w:div>
    <w:div w:id="1944453756">
      <w:bodyDiv w:val="1"/>
      <w:marLeft w:val="0"/>
      <w:marRight w:val="0"/>
      <w:marTop w:val="0"/>
      <w:marBottom w:val="0"/>
      <w:divBdr>
        <w:top w:val="none" w:sz="0" w:space="0" w:color="auto"/>
        <w:left w:val="none" w:sz="0" w:space="0" w:color="auto"/>
        <w:bottom w:val="none" w:sz="0" w:space="0" w:color="auto"/>
        <w:right w:val="none" w:sz="0" w:space="0" w:color="auto"/>
      </w:divBdr>
      <w:divsChild>
        <w:div w:id="623342413">
          <w:marLeft w:val="0"/>
          <w:marRight w:val="0"/>
          <w:marTop w:val="0"/>
          <w:marBottom w:val="0"/>
          <w:divBdr>
            <w:top w:val="none" w:sz="0" w:space="0" w:color="auto"/>
            <w:left w:val="none" w:sz="0" w:space="0" w:color="auto"/>
            <w:bottom w:val="none" w:sz="0" w:space="0" w:color="auto"/>
            <w:right w:val="none" w:sz="0" w:space="0" w:color="auto"/>
          </w:divBdr>
          <w:divsChild>
            <w:div w:id="1425154578">
              <w:marLeft w:val="0"/>
              <w:marRight w:val="0"/>
              <w:marTop w:val="0"/>
              <w:marBottom w:val="0"/>
              <w:divBdr>
                <w:top w:val="none" w:sz="0" w:space="0" w:color="auto"/>
                <w:left w:val="none" w:sz="0" w:space="0" w:color="auto"/>
                <w:bottom w:val="none" w:sz="0" w:space="0" w:color="auto"/>
                <w:right w:val="none" w:sz="0" w:space="0" w:color="auto"/>
              </w:divBdr>
              <w:divsChild>
                <w:div w:id="2067683036">
                  <w:marLeft w:val="0"/>
                  <w:marRight w:val="0"/>
                  <w:marTop w:val="0"/>
                  <w:marBottom w:val="0"/>
                  <w:divBdr>
                    <w:top w:val="none" w:sz="0" w:space="0" w:color="auto"/>
                    <w:left w:val="none" w:sz="0" w:space="0" w:color="auto"/>
                    <w:bottom w:val="none" w:sz="0" w:space="0" w:color="auto"/>
                    <w:right w:val="none" w:sz="0" w:space="0" w:color="auto"/>
                  </w:divBdr>
                  <w:divsChild>
                    <w:div w:id="1362634785">
                      <w:marLeft w:val="0"/>
                      <w:marRight w:val="0"/>
                      <w:marTop w:val="0"/>
                      <w:marBottom w:val="0"/>
                      <w:divBdr>
                        <w:top w:val="none" w:sz="0" w:space="0" w:color="auto"/>
                        <w:left w:val="none" w:sz="0" w:space="0" w:color="auto"/>
                        <w:bottom w:val="none" w:sz="0" w:space="0" w:color="auto"/>
                        <w:right w:val="none" w:sz="0" w:space="0" w:color="auto"/>
                      </w:divBdr>
                      <w:divsChild>
                        <w:div w:id="385956964">
                          <w:marLeft w:val="0"/>
                          <w:marRight w:val="0"/>
                          <w:marTop w:val="0"/>
                          <w:marBottom w:val="0"/>
                          <w:divBdr>
                            <w:top w:val="none" w:sz="0" w:space="0" w:color="auto"/>
                            <w:left w:val="none" w:sz="0" w:space="0" w:color="auto"/>
                            <w:bottom w:val="none" w:sz="0" w:space="0" w:color="auto"/>
                            <w:right w:val="none" w:sz="0" w:space="0" w:color="auto"/>
                          </w:divBdr>
                          <w:divsChild>
                            <w:div w:id="5353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078009">
      <w:bodyDiv w:val="1"/>
      <w:marLeft w:val="0"/>
      <w:marRight w:val="0"/>
      <w:marTop w:val="0"/>
      <w:marBottom w:val="0"/>
      <w:divBdr>
        <w:top w:val="none" w:sz="0" w:space="0" w:color="auto"/>
        <w:left w:val="none" w:sz="0" w:space="0" w:color="auto"/>
        <w:bottom w:val="none" w:sz="0" w:space="0" w:color="auto"/>
        <w:right w:val="none" w:sz="0" w:space="0" w:color="auto"/>
      </w:divBdr>
    </w:div>
    <w:div w:id="1948465758">
      <w:bodyDiv w:val="1"/>
      <w:marLeft w:val="0"/>
      <w:marRight w:val="0"/>
      <w:marTop w:val="0"/>
      <w:marBottom w:val="0"/>
      <w:divBdr>
        <w:top w:val="none" w:sz="0" w:space="0" w:color="auto"/>
        <w:left w:val="none" w:sz="0" w:space="0" w:color="auto"/>
        <w:bottom w:val="none" w:sz="0" w:space="0" w:color="auto"/>
        <w:right w:val="none" w:sz="0" w:space="0" w:color="auto"/>
      </w:divBdr>
      <w:divsChild>
        <w:div w:id="936408502">
          <w:marLeft w:val="0"/>
          <w:marRight w:val="0"/>
          <w:marTop w:val="0"/>
          <w:marBottom w:val="0"/>
          <w:divBdr>
            <w:top w:val="none" w:sz="0" w:space="0" w:color="auto"/>
            <w:left w:val="none" w:sz="0" w:space="0" w:color="auto"/>
            <w:bottom w:val="none" w:sz="0" w:space="0" w:color="auto"/>
            <w:right w:val="none" w:sz="0" w:space="0" w:color="auto"/>
          </w:divBdr>
          <w:divsChild>
            <w:div w:id="1354649123">
              <w:marLeft w:val="0"/>
              <w:marRight w:val="0"/>
              <w:marTop w:val="0"/>
              <w:marBottom w:val="0"/>
              <w:divBdr>
                <w:top w:val="none" w:sz="0" w:space="0" w:color="auto"/>
                <w:left w:val="none" w:sz="0" w:space="0" w:color="auto"/>
                <w:bottom w:val="none" w:sz="0" w:space="0" w:color="auto"/>
                <w:right w:val="none" w:sz="0" w:space="0" w:color="auto"/>
              </w:divBdr>
              <w:divsChild>
                <w:div w:id="1641769476">
                  <w:marLeft w:val="0"/>
                  <w:marRight w:val="0"/>
                  <w:marTop w:val="0"/>
                  <w:marBottom w:val="0"/>
                  <w:divBdr>
                    <w:top w:val="none" w:sz="0" w:space="0" w:color="auto"/>
                    <w:left w:val="none" w:sz="0" w:space="0" w:color="auto"/>
                    <w:bottom w:val="none" w:sz="0" w:space="0" w:color="auto"/>
                    <w:right w:val="none" w:sz="0" w:space="0" w:color="auto"/>
                  </w:divBdr>
                  <w:divsChild>
                    <w:div w:id="1031341112">
                      <w:marLeft w:val="0"/>
                      <w:marRight w:val="0"/>
                      <w:marTop w:val="0"/>
                      <w:marBottom w:val="0"/>
                      <w:divBdr>
                        <w:top w:val="none" w:sz="0" w:space="0" w:color="auto"/>
                        <w:left w:val="none" w:sz="0" w:space="0" w:color="auto"/>
                        <w:bottom w:val="none" w:sz="0" w:space="0" w:color="auto"/>
                        <w:right w:val="none" w:sz="0" w:space="0" w:color="auto"/>
                      </w:divBdr>
                      <w:divsChild>
                        <w:div w:id="1671834515">
                          <w:marLeft w:val="0"/>
                          <w:marRight w:val="0"/>
                          <w:marTop w:val="0"/>
                          <w:marBottom w:val="0"/>
                          <w:divBdr>
                            <w:top w:val="none" w:sz="0" w:space="0" w:color="auto"/>
                            <w:left w:val="none" w:sz="0" w:space="0" w:color="auto"/>
                            <w:bottom w:val="none" w:sz="0" w:space="0" w:color="auto"/>
                            <w:right w:val="none" w:sz="0" w:space="0" w:color="auto"/>
                          </w:divBdr>
                          <w:divsChild>
                            <w:div w:id="7615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887541">
      <w:bodyDiv w:val="1"/>
      <w:marLeft w:val="0"/>
      <w:marRight w:val="0"/>
      <w:marTop w:val="0"/>
      <w:marBottom w:val="0"/>
      <w:divBdr>
        <w:top w:val="none" w:sz="0" w:space="0" w:color="auto"/>
        <w:left w:val="none" w:sz="0" w:space="0" w:color="auto"/>
        <w:bottom w:val="none" w:sz="0" w:space="0" w:color="auto"/>
        <w:right w:val="none" w:sz="0" w:space="0" w:color="auto"/>
      </w:divBdr>
      <w:divsChild>
        <w:div w:id="516895704">
          <w:marLeft w:val="0"/>
          <w:marRight w:val="0"/>
          <w:marTop w:val="0"/>
          <w:marBottom w:val="0"/>
          <w:divBdr>
            <w:top w:val="none" w:sz="0" w:space="0" w:color="auto"/>
            <w:left w:val="none" w:sz="0" w:space="0" w:color="auto"/>
            <w:bottom w:val="none" w:sz="0" w:space="0" w:color="auto"/>
            <w:right w:val="none" w:sz="0" w:space="0" w:color="auto"/>
          </w:divBdr>
          <w:divsChild>
            <w:div w:id="1984771013">
              <w:marLeft w:val="0"/>
              <w:marRight w:val="0"/>
              <w:marTop w:val="0"/>
              <w:marBottom w:val="0"/>
              <w:divBdr>
                <w:top w:val="none" w:sz="0" w:space="0" w:color="auto"/>
                <w:left w:val="none" w:sz="0" w:space="0" w:color="auto"/>
                <w:bottom w:val="none" w:sz="0" w:space="0" w:color="auto"/>
                <w:right w:val="none" w:sz="0" w:space="0" w:color="auto"/>
              </w:divBdr>
              <w:divsChild>
                <w:div w:id="1872111638">
                  <w:marLeft w:val="0"/>
                  <w:marRight w:val="0"/>
                  <w:marTop w:val="0"/>
                  <w:marBottom w:val="0"/>
                  <w:divBdr>
                    <w:top w:val="none" w:sz="0" w:space="0" w:color="auto"/>
                    <w:left w:val="none" w:sz="0" w:space="0" w:color="auto"/>
                    <w:bottom w:val="none" w:sz="0" w:space="0" w:color="auto"/>
                    <w:right w:val="none" w:sz="0" w:space="0" w:color="auto"/>
                  </w:divBdr>
                  <w:divsChild>
                    <w:div w:id="1752769635">
                      <w:marLeft w:val="0"/>
                      <w:marRight w:val="0"/>
                      <w:marTop w:val="0"/>
                      <w:marBottom w:val="0"/>
                      <w:divBdr>
                        <w:top w:val="none" w:sz="0" w:space="0" w:color="auto"/>
                        <w:left w:val="none" w:sz="0" w:space="0" w:color="auto"/>
                        <w:bottom w:val="none" w:sz="0" w:space="0" w:color="auto"/>
                        <w:right w:val="none" w:sz="0" w:space="0" w:color="auto"/>
                      </w:divBdr>
                      <w:divsChild>
                        <w:div w:id="381641270">
                          <w:marLeft w:val="0"/>
                          <w:marRight w:val="0"/>
                          <w:marTop w:val="0"/>
                          <w:marBottom w:val="0"/>
                          <w:divBdr>
                            <w:top w:val="none" w:sz="0" w:space="0" w:color="auto"/>
                            <w:left w:val="none" w:sz="0" w:space="0" w:color="auto"/>
                            <w:bottom w:val="none" w:sz="0" w:space="0" w:color="auto"/>
                            <w:right w:val="none" w:sz="0" w:space="0" w:color="auto"/>
                          </w:divBdr>
                          <w:divsChild>
                            <w:div w:id="12297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440279">
      <w:bodyDiv w:val="1"/>
      <w:marLeft w:val="0"/>
      <w:marRight w:val="0"/>
      <w:marTop w:val="0"/>
      <w:marBottom w:val="0"/>
      <w:divBdr>
        <w:top w:val="none" w:sz="0" w:space="0" w:color="auto"/>
        <w:left w:val="none" w:sz="0" w:space="0" w:color="auto"/>
        <w:bottom w:val="none" w:sz="0" w:space="0" w:color="auto"/>
        <w:right w:val="none" w:sz="0" w:space="0" w:color="auto"/>
      </w:divBdr>
      <w:divsChild>
        <w:div w:id="681054536">
          <w:marLeft w:val="0"/>
          <w:marRight w:val="0"/>
          <w:marTop w:val="0"/>
          <w:marBottom w:val="0"/>
          <w:divBdr>
            <w:top w:val="none" w:sz="0" w:space="0" w:color="auto"/>
            <w:left w:val="none" w:sz="0" w:space="0" w:color="auto"/>
            <w:bottom w:val="none" w:sz="0" w:space="0" w:color="auto"/>
            <w:right w:val="none" w:sz="0" w:space="0" w:color="auto"/>
          </w:divBdr>
          <w:divsChild>
            <w:div w:id="1738431405">
              <w:marLeft w:val="0"/>
              <w:marRight w:val="0"/>
              <w:marTop w:val="0"/>
              <w:marBottom w:val="0"/>
              <w:divBdr>
                <w:top w:val="none" w:sz="0" w:space="0" w:color="auto"/>
                <w:left w:val="none" w:sz="0" w:space="0" w:color="auto"/>
                <w:bottom w:val="none" w:sz="0" w:space="0" w:color="auto"/>
                <w:right w:val="none" w:sz="0" w:space="0" w:color="auto"/>
              </w:divBdr>
              <w:divsChild>
                <w:div w:id="1272660839">
                  <w:marLeft w:val="0"/>
                  <w:marRight w:val="0"/>
                  <w:marTop w:val="0"/>
                  <w:marBottom w:val="0"/>
                  <w:divBdr>
                    <w:top w:val="none" w:sz="0" w:space="0" w:color="auto"/>
                    <w:left w:val="none" w:sz="0" w:space="0" w:color="auto"/>
                    <w:bottom w:val="none" w:sz="0" w:space="0" w:color="auto"/>
                    <w:right w:val="none" w:sz="0" w:space="0" w:color="auto"/>
                  </w:divBdr>
                  <w:divsChild>
                    <w:div w:id="462626260">
                      <w:marLeft w:val="0"/>
                      <w:marRight w:val="0"/>
                      <w:marTop w:val="0"/>
                      <w:marBottom w:val="0"/>
                      <w:divBdr>
                        <w:top w:val="none" w:sz="0" w:space="0" w:color="auto"/>
                        <w:left w:val="none" w:sz="0" w:space="0" w:color="auto"/>
                        <w:bottom w:val="none" w:sz="0" w:space="0" w:color="auto"/>
                        <w:right w:val="none" w:sz="0" w:space="0" w:color="auto"/>
                      </w:divBdr>
                      <w:divsChild>
                        <w:div w:id="730691930">
                          <w:marLeft w:val="0"/>
                          <w:marRight w:val="0"/>
                          <w:marTop w:val="0"/>
                          <w:marBottom w:val="0"/>
                          <w:divBdr>
                            <w:top w:val="none" w:sz="0" w:space="0" w:color="auto"/>
                            <w:left w:val="none" w:sz="0" w:space="0" w:color="auto"/>
                            <w:bottom w:val="none" w:sz="0" w:space="0" w:color="auto"/>
                            <w:right w:val="none" w:sz="0" w:space="0" w:color="auto"/>
                          </w:divBdr>
                          <w:divsChild>
                            <w:div w:id="19317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137633">
      <w:bodyDiv w:val="1"/>
      <w:marLeft w:val="0"/>
      <w:marRight w:val="0"/>
      <w:marTop w:val="0"/>
      <w:marBottom w:val="0"/>
      <w:divBdr>
        <w:top w:val="none" w:sz="0" w:space="0" w:color="auto"/>
        <w:left w:val="none" w:sz="0" w:space="0" w:color="auto"/>
        <w:bottom w:val="none" w:sz="0" w:space="0" w:color="auto"/>
        <w:right w:val="none" w:sz="0" w:space="0" w:color="auto"/>
      </w:divBdr>
    </w:div>
    <w:div w:id="1955206595">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70430694">
      <w:bodyDiv w:val="1"/>
      <w:marLeft w:val="0"/>
      <w:marRight w:val="0"/>
      <w:marTop w:val="0"/>
      <w:marBottom w:val="0"/>
      <w:divBdr>
        <w:top w:val="none" w:sz="0" w:space="0" w:color="auto"/>
        <w:left w:val="none" w:sz="0" w:space="0" w:color="auto"/>
        <w:bottom w:val="none" w:sz="0" w:space="0" w:color="auto"/>
        <w:right w:val="none" w:sz="0" w:space="0" w:color="auto"/>
      </w:divBdr>
    </w:div>
    <w:div w:id="1973097854">
      <w:bodyDiv w:val="1"/>
      <w:marLeft w:val="0"/>
      <w:marRight w:val="0"/>
      <w:marTop w:val="0"/>
      <w:marBottom w:val="0"/>
      <w:divBdr>
        <w:top w:val="none" w:sz="0" w:space="0" w:color="auto"/>
        <w:left w:val="none" w:sz="0" w:space="0" w:color="auto"/>
        <w:bottom w:val="none" w:sz="0" w:space="0" w:color="auto"/>
        <w:right w:val="none" w:sz="0" w:space="0" w:color="auto"/>
      </w:divBdr>
      <w:divsChild>
        <w:div w:id="397174494">
          <w:marLeft w:val="0"/>
          <w:marRight w:val="0"/>
          <w:marTop w:val="0"/>
          <w:marBottom w:val="0"/>
          <w:divBdr>
            <w:top w:val="none" w:sz="0" w:space="0" w:color="auto"/>
            <w:left w:val="none" w:sz="0" w:space="0" w:color="auto"/>
            <w:bottom w:val="none" w:sz="0" w:space="0" w:color="auto"/>
            <w:right w:val="none" w:sz="0" w:space="0" w:color="auto"/>
          </w:divBdr>
          <w:divsChild>
            <w:div w:id="784889655">
              <w:marLeft w:val="0"/>
              <w:marRight w:val="0"/>
              <w:marTop w:val="0"/>
              <w:marBottom w:val="0"/>
              <w:divBdr>
                <w:top w:val="none" w:sz="0" w:space="0" w:color="auto"/>
                <w:left w:val="none" w:sz="0" w:space="0" w:color="auto"/>
                <w:bottom w:val="none" w:sz="0" w:space="0" w:color="auto"/>
                <w:right w:val="none" w:sz="0" w:space="0" w:color="auto"/>
              </w:divBdr>
              <w:divsChild>
                <w:div w:id="1183086358">
                  <w:marLeft w:val="0"/>
                  <w:marRight w:val="0"/>
                  <w:marTop w:val="0"/>
                  <w:marBottom w:val="0"/>
                  <w:divBdr>
                    <w:top w:val="none" w:sz="0" w:space="0" w:color="auto"/>
                    <w:left w:val="none" w:sz="0" w:space="0" w:color="auto"/>
                    <w:bottom w:val="none" w:sz="0" w:space="0" w:color="auto"/>
                    <w:right w:val="none" w:sz="0" w:space="0" w:color="auto"/>
                  </w:divBdr>
                  <w:divsChild>
                    <w:div w:id="7466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868431">
      <w:bodyDiv w:val="1"/>
      <w:marLeft w:val="0"/>
      <w:marRight w:val="0"/>
      <w:marTop w:val="0"/>
      <w:marBottom w:val="0"/>
      <w:divBdr>
        <w:top w:val="none" w:sz="0" w:space="0" w:color="auto"/>
        <w:left w:val="none" w:sz="0" w:space="0" w:color="auto"/>
        <w:bottom w:val="none" w:sz="0" w:space="0" w:color="auto"/>
        <w:right w:val="none" w:sz="0" w:space="0" w:color="auto"/>
      </w:divBdr>
    </w:div>
    <w:div w:id="1993021626">
      <w:bodyDiv w:val="1"/>
      <w:marLeft w:val="0"/>
      <w:marRight w:val="0"/>
      <w:marTop w:val="0"/>
      <w:marBottom w:val="0"/>
      <w:divBdr>
        <w:top w:val="none" w:sz="0" w:space="0" w:color="auto"/>
        <w:left w:val="none" w:sz="0" w:space="0" w:color="auto"/>
        <w:bottom w:val="none" w:sz="0" w:space="0" w:color="auto"/>
        <w:right w:val="none" w:sz="0" w:space="0" w:color="auto"/>
      </w:divBdr>
    </w:div>
    <w:div w:id="2010012454">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15375452">
      <w:bodyDiv w:val="1"/>
      <w:marLeft w:val="0"/>
      <w:marRight w:val="0"/>
      <w:marTop w:val="0"/>
      <w:marBottom w:val="0"/>
      <w:divBdr>
        <w:top w:val="none" w:sz="0" w:space="0" w:color="auto"/>
        <w:left w:val="none" w:sz="0" w:space="0" w:color="auto"/>
        <w:bottom w:val="none" w:sz="0" w:space="0" w:color="auto"/>
        <w:right w:val="none" w:sz="0" w:space="0" w:color="auto"/>
      </w:divBdr>
      <w:divsChild>
        <w:div w:id="985669994">
          <w:marLeft w:val="0"/>
          <w:marRight w:val="0"/>
          <w:marTop w:val="0"/>
          <w:marBottom w:val="0"/>
          <w:divBdr>
            <w:top w:val="none" w:sz="0" w:space="0" w:color="auto"/>
            <w:left w:val="none" w:sz="0" w:space="0" w:color="auto"/>
            <w:bottom w:val="none" w:sz="0" w:space="0" w:color="auto"/>
            <w:right w:val="none" w:sz="0" w:space="0" w:color="auto"/>
          </w:divBdr>
          <w:divsChild>
            <w:div w:id="1849636449">
              <w:marLeft w:val="0"/>
              <w:marRight w:val="0"/>
              <w:marTop w:val="0"/>
              <w:marBottom w:val="0"/>
              <w:divBdr>
                <w:top w:val="none" w:sz="0" w:space="0" w:color="auto"/>
                <w:left w:val="none" w:sz="0" w:space="0" w:color="auto"/>
                <w:bottom w:val="none" w:sz="0" w:space="0" w:color="auto"/>
                <w:right w:val="none" w:sz="0" w:space="0" w:color="auto"/>
              </w:divBdr>
              <w:divsChild>
                <w:div w:id="468323895">
                  <w:marLeft w:val="0"/>
                  <w:marRight w:val="0"/>
                  <w:marTop w:val="0"/>
                  <w:marBottom w:val="0"/>
                  <w:divBdr>
                    <w:top w:val="none" w:sz="0" w:space="0" w:color="auto"/>
                    <w:left w:val="none" w:sz="0" w:space="0" w:color="auto"/>
                    <w:bottom w:val="none" w:sz="0" w:space="0" w:color="auto"/>
                    <w:right w:val="none" w:sz="0" w:space="0" w:color="auto"/>
                  </w:divBdr>
                  <w:divsChild>
                    <w:div w:id="1626502183">
                      <w:marLeft w:val="0"/>
                      <w:marRight w:val="0"/>
                      <w:marTop w:val="0"/>
                      <w:marBottom w:val="0"/>
                      <w:divBdr>
                        <w:top w:val="none" w:sz="0" w:space="0" w:color="auto"/>
                        <w:left w:val="none" w:sz="0" w:space="0" w:color="auto"/>
                        <w:bottom w:val="none" w:sz="0" w:space="0" w:color="auto"/>
                        <w:right w:val="none" w:sz="0" w:space="0" w:color="auto"/>
                      </w:divBdr>
                      <w:divsChild>
                        <w:div w:id="1745568088">
                          <w:marLeft w:val="0"/>
                          <w:marRight w:val="0"/>
                          <w:marTop w:val="0"/>
                          <w:marBottom w:val="0"/>
                          <w:divBdr>
                            <w:top w:val="none" w:sz="0" w:space="0" w:color="auto"/>
                            <w:left w:val="none" w:sz="0" w:space="0" w:color="auto"/>
                            <w:bottom w:val="none" w:sz="0" w:space="0" w:color="auto"/>
                            <w:right w:val="none" w:sz="0" w:space="0" w:color="auto"/>
                          </w:divBdr>
                          <w:divsChild>
                            <w:div w:id="576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09188">
      <w:bodyDiv w:val="1"/>
      <w:marLeft w:val="0"/>
      <w:marRight w:val="0"/>
      <w:marTop w:val="0"/>
      <w:marBottom w:val="0"/>
      <w:divBdr>
        <w:top w:val="none" w:sz="0" w:space="0" w:color="auto"/>
        <w:left w:val="none" w:sz="0" w:space="0" w:color="auto"/>
        <w:bottom w:val="none" w:sz="0" w:space="0" w:color="auto"/>
        <w:right w:val="none" w:sz="0" w:space="0" w:color="auto"/>
      </w:divBdr>
      <w:divsChild>
        <w:div w:id="966738198">
          <w:marLeft w:val="0"/>
          <w:marRight w:val="0"/>
          <w:marTop w:val="0"/>
          <w:marBottom w:val="0"/>
          <w:divBdr>
            <w:top w:val="none" w:sz="0" w:space="0" w:color="auto"/>
            <w:left w:val="none" w:sz="0" w:space="0" w:color="auto"/>
            <w:bottom w:val="none" w:sz="0" w:space="0" w:color="auto"/>
            <w:right w:val="none" w:sz="0" w:space="0" w:color="auto"/>
          </w:divBdr>
          <w:divsChild>
            <w:div w:id="1209028872">
              <w:marLeft w:val="0"/>
              <w:marRight w:val="0"/>
              <w:marTop w:val="0"/>
              <w:marBottom w:val="0"/>
              <w:divBdr>
                <w:top w:val="none" w:sz="0" w:space="0" w:color="auto"/>
                <w:left w:val="none" w:sz="0" w:space="0" w:color="auto"/>
                <w:bottom w:val="none" w:sz="0" w:space="0" w:color="auto"/>
                <w:right w:val="none" w:sz="0" w:space="0" w:color="auto"/>
              </w:divBdr>
              <w:divsChild>
                <w:div w:id="218441869">
                  <w:marLeft w:val="0"/>
                  <w:marRight w:val="0"/>
                  <w:marTop w:val="0"/>
                  <w:marBottom w:val="0"/>
                  <w:divBdr>
                    <w:top w:val="none" w:sz="0" w:space="0" w:color="auto"/>
                    <w:left w:val="none" w:sz="0" w:space="0" w:color="auto"/>
                    <w:bottom w:val="none" w:sz="0" w:space="0" w:color="auto"/>
                    <w:right w:val="none" w:sz="0" w:space="0" w:color="auto"/>
                  </w:divBdr>
                  <w:divsChild>
                    <w:div w:id="312881452">
                      <w:marLeft w:val="0"/>
                      <w:marRight w:val="0"/>
                      <w:marTop w:val="0"/>
                      <w:marBottom w:val="0"/>
                      <w:divBdr>
                        <w:top w:val="none" w:sz="0" w:space="0" w:color="auto"/>
                        <w:left w:val="none" w:sz="0" w:space="0" w:color="auto"/>
                        <w:bottom w:val="none" w:sz="0" w:space="0" w:color="auto"/>
                        <w:right w:val="none" w:sz="0" w:space="0" w:color="auto"/>
                      </w:divBdr>
                      <w:divsChild>
                        <w:div w:id="1765178804">
                          <w:marLeft w:val="0"/>
                          <w:marRight w:val="0"/>
                          <w:marTop w:val="0"/>
                          <w:marBottom w:val="0"/>
                          <w:divBdr>
                            <w:top w:val="none" w:sz="0" w:space="0" w:color="auto"/>
                            <w:left w:val="none" w:sz="0" w:space="0" w:color="auto"/>
                            <w:bottom w:val="none" w:sz="0" w:space="0" w:color="auto"/>
                            <w:right w:val="none" w:sz="0" w:space="0" w:color="auto"/>
                          </w:divBdr>
                          <w:divsChild>
                            <w:div w:id="16020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99949">
      <w:bodyDiv w:val="1"/>
      <w:marLeft w:val="0"/>
      <w:marRight w:val="0"/>
      <w:marTop w:val="0"/>
      <w:marBottom w:val="0"/>
      <w:divBdr>
        <w:top w:val="none" w:sz="0" w:space="0" w:color="auto"/>
        <w:left w:val="none" w:sz="0" w:space="0" w:color="auto"/>
        <w:bottom w:val="none" w:sz="0" w:space="0" w:color="auto"/>
        <w:right w:val="none" w:sz="0" w:space="0" w:color="auto"/>
      </w:divBdr>
    </w:div>
    <w:div w:id="2039233609">
      <w:bodyDiv w:val="1"/>
      <w:marLeft w:val="0"/>
      <w:marRight w:val="0"/>
      <w:marTop w:val="0"/>
      <w:marBottom w:val="0"/>
      <w:divBdr>
        <w:top w:val="none" w:sz="0" w:space="0" w:color="auto"/>
        <w:left w:val="none" w:sz="0" w:space="0" w:color="auto"/>
        <w:bottom w:val="none" w:sz="0" w:space="0" w:color="auto"/>
        <w:right w:val="none" w:sz="0" w:space="0" w:color="auto"/>
      </w:divBdr>
    </w:div>
    <w:div w:id="2054111706">
      <w:bodyDiv w:val="1"/>
      <w:marLeft w:val="0"/>
      <w:marRight w:val="0"/>
      <w:marTop w:val="0"/>
      <w:marBottom w:val="0"/>
      <w:divBdr>
        <w:top w:val="none" w:sz="0" w:space="0" w:color="auto"/>
        <w:left w:val="none" w:sz="0" w:space="0" w:color="auto"/>
        <w:bottom w:val="none" w:sz="0" w:space="0" w:color="auto"/>
        <w:right w:val="none" w:sz="0" w:space="0" w:color="auto"/>
      </w:divBdr>
    </w:div>
    <w:div w:id="205750783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92504968">
      <w:bodyDiv w:val="1"/>
      <w:marLeft w:val="0"/>
      <w:marRight w:val="0"/>
      <w:marTop w:val="0"/>
      <w:marBottom w:val="0"/>
      <w:divBdr>
        <w:top w:val="none" w:sz="0" w:space="0" w:color="auto"/>
        <w:left w:val="none" w:sz="0" w:space="0" w:color="auto"/>
        <w:bottom w:val="none" w:sz="0" w:space="0" w:color="auto"/>
        <w:right w:val="none" w:sz="0" w:space="0" w:color="auto"/>
      </w:divBdr>
    </w:div>
    <w:div w:id="2095541183">
      <w:bodyDiv w:val="1"/>
      <w:marLeft w:val="0"/>
      <w:marRight w:val="0"/>
      <w:marTop w:val="0"/>
      <w:marBottom w:val="0"/>
      <w:divBdr>
        <w:top w:val="none" w:sz="0" w:space="0" w:color="auto"/>
        <w:left w:val="none" w:sz="0" w:space="0" w:color="auto"/>
        <w:bottom w:val="none" w:sz="0" w:space="0" w:color="auto"/>
        <w:right w:val="none" w:sz="0" w:space="0" w:color="auto"/>
      </w:divBdr>
    </w:div>
    <w:div w:id="2099054288">
      <w:bodyDiv w:val="1"/>
      <w:marLeft w:val="0"/>
      <w:marRight w:val="0"/>
      <w:marTop w:val="0"/>
      <w:marBottom w:val="0"/>
      <w:divBdr>
        <w:top w:val="none" w:sz="0" w:space="0" w:color="auto"/>
        <w:left w:val="none" w:sz="0" w:space="0" w:color="auto"/>
        <w:bottom w:val="none" w:sz="0" w:space="0" w:color="auto"/>
        <w:right w:val="none" w:sz="0" w:space="0" w:color="auto"/>
      </w:divBdr>
    </w:div>
    <w:div w:id="2103260548">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04959607">
      <w:bodyDiv w:val="1"/>
      <w:marLeft w:val="0"/>
      <w:marRight w:val="0"/>
      <w:marTop w:val="0"/>
      <w:marBottom w:val="0"/>
      <w:divBdr>
        <w:top w:val="none" w:sz="0" w:space="0" w:color="auto"/>
        <w:left w:val="none" w:sz="0" w:space="0" w:color="auto"/>
        <w:bottom w:val="none" w:sz="0" w:space="0" w:color="auto"/>
        <w:right w:val="none" w:sz="0" w:space="0" w:color="auto"/>
      </w:divBdr>
    </w:div>
    <w:div w:id="2130196912">
      <w:bodyDiv w:val="1"/>
      <w:marLeft w:val="0"/>
      <w:marRight w:val="0"/>
      <w:marTop w:val="0"/>
      <w:marBottom w:val="0"/>
      <w:divBdr>
        <w:top w:val="none" w:sz="0" w:space="0" w:color="auto"/>
        <w:left w:val="none" w:sz="0" w:space="0" w:color="auto"/>
        <w:bottom w:val="none" w:sz="0" w:space="0" w:color="auto"/>
        <w:right w:val="none" w:sz="0" w:space="0" w:color="auto"/>
      </w:divBdr>
      <w:divsChild>
        <w:div w:id="1271234525">
          <w:marLeft w:val="0"/>
          <w:marRight w:val="0"/>
          <w:marTop w:val="0"/>
          <w:marBottom w:val="0"/>
          <w:divBdr>
            <w:top w:val="none" w:sz="0" w:space="0" w:color="auto"/>
            <w:left w:val="none" w:sz="0" w:space="0" w:color="auto"/>
            <w:bottom w:val="none" w:sz="0" w:space="0" w:color="auto"/>
            <w:right w:val="none" w:sz="0" w:space="0" w:color="auto"/>
          </w:divBdr>
          <w:divsChild>
            <w:div w:id="1760322185">
              <w:marLeft w:val="0"/>
              <w:marRight w:val="0"/>
              <w:marTop w:val="0"/>
              <w:marBottom w:val="0"/>
              <w:divBdr>
                <w:top w:val="none" w:sz="0" w:space="0" w:color="auto"/>
                <w:left w:val="none" w:sz="0" w:space="0" w:color="auto"/>
                <w:bottom w:val="none" w:sz="0" w:space="0" w:color="auto"/>
                <w:right w:val="none" w:sz="0" w:space="0" w:color="auto"/>
              </w:divBdr>
              <w:divsChild>
                <w:div w:id="401830766">
                  <w:marLeft w:val="0"/>
                  <w:marRight w:val="0"/>
                  <w:marTop w:val="0"/>
                  <w:marBottom w:val="0"/>
                  <w:divBdr>
                    <w:top w:val="none" w:sz="0" w:space="0" w:color="auto"/>
                    <w:left w:val="none" w:sz="0" w:space="0" w:color="auto"/>
                    <w:bottom w:val="none" w:sz="0" w:space="0" w:color="auto"/>
                    <w:right w:val="none" w:sz="0" w:space="0" w:color="auto"/>
                  </w:divBdr>
                  <w:divsChild>
                    <w:div w:id="18468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5710382">
      <w:bodyDiv w:val="1"/>
      <w:marLeft w:val="0"/>
      <w:marRight w:val="0"/>
      <w:marTop w:val="0"/>
      <w:marBottom w:val="0"/>
      <w:divBdr>
        <w:top w:val="none" w:sz="0" w:space="0" w:color="auto"/>
        <w:left w:val="none" w:sz="0" w:space="0" w:color="auto"/>
        <w:bottom w:val="none" w:sz="0" w:space="0" w:color="auto"/>
        <w:right w:val="none" w:sz="0" w:space="0" w:color="auto"/>
      </w:divBdr>
    </w:div>
    <w:div w:id="2144107877">
      <w:bodyDiv w:val="1"/>
      <w:marLeft w:val="0"/>
      <w:marRight w:val="0"/>
      <w:marTop w:val="0"/>
      <w:marBottom w:val="0"/>
      <w:divBdr>
        <w:top w:val="none" w:sz="0" w:space="0" w:color="auto"/>
        <w:left w:val="none" w:sz="0" w:space="0" w:color="auto"/>
        <w:bottom w:val="none" w:sz="0" w:space="0" w:color="auto"/>
        <w:right w:val="none" w:sz="0" w:space="0" w:color="auto"/>
      </w:divBdr>
    </w:div>
    <w:div w:id="21460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msac.gov.au/internet/msac/publishing.nsf/Content/Home-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353.1-public"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msac.gov.au/internet/msac/publishing.nsf/Content/1353-publ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3fe6a9a36f47368fc1700838102d75b8">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1e7cf07b4405444414bd2c3ff46db4be"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3FEEC862-DE60-4118-9756-B20D3C7F2597}">
  <ds:schemaRefs>
    <ds:schemaRef ds:uri="http://schemas.openxmlformats.org/officeDocument/2006/bibliography"/>
  </ds:schemaRefs>
</ds:datastoreItem>
</file>

<file path=customXml/itemProps2.xml><?xml version="1.0" encoding="utf-8"?>
<ds:datastoreItem xmlns:ds="http://schemas.openxmlformats.org/officeDocument/2006/customXml" ds:itemID="{9FFA7F7C-20C5-497C-96B5-E17DC18E25CF}"/>
</file>

<file path=customXml/itemProps3.xml><?xml version="1.0" encoding="utf-8"?>
<ds:datastoreItem xmlns:ds="http://schemas.openxmlformats.org/officeDocument/2006/customXml" ds:itemID="{BD94B3D5-031E-4777-8B70-DD998BF13814}"/>
</file>

<file path=customXml/itemProps4.xml><?xml version="1.0" encoding="utf-8"?>
<ds:datastoreItem xmlns:ds="http://schemas.openxmlformats.org/officeDocument/2006/customXml" ds:itemID="{EA80B130-CFF6-48DE-BD9F-F8C881FD7EFC}"/>
</file>

<file path=docProps/app.xml><?xml version="1.0" encoding="utf-8"?>
<Properties xmlns="http://schemas.openxmlformats.org/officeDocument/2006/extended-properties" xmlns:vt="http://schemas.openxmlformats.org/officeDocument/2006/docPropsVTypes">
  <Template>Normal.dotm</Template>
  <TotalTime>0</TotalTime>
  <Pages>58</Pages>
  <Words>25351</Words>
  <Characters>144506</Characters>
  <Application>Microsoft Office Word</Application>
  <DocSecurity>2</DocSecurity>
  <Lines>1204</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2025-01-29T03:01:00Z</dcterms:created>
  <dcterms:modified xsi:type="dcterms:W3CDTF">2025-01-29T03:01:00Z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ContentBits">
    <vt:lpwstr>0</vt:lpwstr>
  </property>
  <property fmtid="{D5CDD505-2E9C-101B-9397-08002B2CF9AE}" pid="3" name="MediaServiceImageTags">
    <vt:lpwstr/>
  </property>
  <property fmtid="{D5CDD505-2E9C-101B-9397-08002B2CF9AE}" pid="4" name="ContentTypeId">
    <vt:lpwstr>0x0101005E4A37BE997BE34FBB7D5057D341D123</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af0bbcd8-1f44-453b-a8b6-b856934f1300</vt:lpwstr>
  </property>
  <property fmtid="{D5CDD505-2E9C-101B-9397-08002B2CF9AE}" pid="8" name="MSIP_Label_51a6c3db-1667-4f49-995a-8b9973972958_Method">
    <vt:lpwstr>Standard</vt:lpwstr>
  </property>
  <property fmtid="{D5CDD505-2E9C-101B-9397-08002B2CF9AE}" pid="9" name="MSIP_Label_51a6c3db-1667-4f49-995a-8b9973972958_Enabled">
    <vt:lpwstr>true</vt:lpwstr>
  </property>
  <property fmtid="{D5CDD505-2E9C-101B-9397-08002B2CF9AE}" pid="10" name="MSIP_Label_51a6c3db-1667-4f49-995a-8b9973972958_SetDate">
    <vt:lpwstr>2024-04-01T22:53:17Z</vt:lpwstr>
  </property>
</Properties>
</file>