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77D" w14:textId="70E26904" w:rsidR="00133449" w:rsidRPr="0065027C" w:rsidRDefault="0078118F" w:rsidP="00133449">
      <w:pPr>
        <w:pStyle w:val="Title"/>
        <w:spacing w:before="960" w:after="240"/>
        <w:jc w:val="center"/>
        <w:rPr>
          <w:rFonts w:ascii="Segoe UI" w:eastAsiaTheme="minorHAnsi" w:hAnsi="Segoe UI" w:cs="Segoe UI"/>
          <w:b/>
          <w:bCs/>
          <w:lang w:eastAsia="en-US"/>
        </w:rPr>
      </w:pPr>
      <w:bookmarkStart w:id="0" w:name="_Hlk181277161"/>
      <w:r>
        <w:rPr>
          <w:rFonts w:ascii="Segoe UI" w:eastAsiaTheme="minorHAnsi" w:hAnsi="Segoe UI" w:cs="Segoe UI"/>
          <w:b/>
          <w:bCs/>
          <w:lang w:eastAsia="en-US"/>
        </w:rPr>
        <w:t>MSAC</w:t>
      </w:r>
      <w:r w:rsidRPr="0065027C">
        <w:rPr>
          <w:rFonts w:ascii="Segoe UI" w:eastAsiaTheme="minorHAnsi" w:hAnsi="Segoe UI" w:cs="Segoe UI"/>
          <w:b/>
          <w:bCs/>
          <w:lang w:eastAsia="en-US"/>
        </w:rPr>
        <w:t xml:space="preserve"> </w:t>
      </w:r>
      <w:r w:rsidR="00133449" w:rsidRPr="0065027C">
        <w:rPr>
          <w:rFonts w:ascii="Segoe UI" w:eastAsiaTheme="minorHAnsi" w:hAnsi="Segoe UI" w:cs="Segoe UI"/>
          <w:b/>
          <w:bCs/>
          <w:lang w:eastAsia="en-US"/>
        </w:rPr>
        <w:t xml:space="preserve">application </w:t>
      </w:r>
      <w:r>
        <w:rPr>
          <w:rFonts w:ascii="Segoe UI" w:eastAsiaTheme="minorHAnsi" w:hAnsi="Segoe UI" w:cs="Segoe UI"/>
          <w:b/>
          <w:bCs/>
          <w:lang w:eastAsia="en-US"/>
        </w:rPr>
        <w:t>1792</w:t>
      </w:r>
    </w:p>
    <w:p w14:paraId="084637DB" w14:textId="77777777" w:rsidR="00133449" w:rsidRPr="005B57C1" w:rsidRDefault="00133449" w:rsidP="00133449">
      <w:pPr>
        <w:pStyle w:val="Subtitle"/>
        <w:jc w:val="center"/>
        <w:rPr>
          <w:rFonts w:ascii="Segoe UI" w:eastAsiaTheme="minorHAnsi" w:hAnsi="Segoe UI" w:cs="Segoe UI"/>
          <w:b/>
          <w:bCs/>
          <w:color w:val="153D63" w:themeColor="text2" w:themeTint="E6"/>
          <w:sz w:val="48"/>
          <w:szCs w:val="48"/>
          <w:lang w:eastAsia="en-US"/>
        </w:rPr>
      </w:pPr>
      <w:r w:rsidRPr="005B57C1">
        <w:rPr>
          <w:rFonts w:ascii="Segoe UI" w:eastAsiaTheme="minorHAnsi" w:hAnsi="Segoe UI" w:cs="Segoe UI"/>
          <w:b/>
          <w:bCs/>
          <w:color w:val="153D63" w:themeColor="text2" w:themeTint="E6"/>
          <w:sz w:val="48"/>
          <w:szCs w:val="48"/>
          <w:lang w:eastAsia="en-US"/>
        </w:rPr>
        <w:t xml:space="preserve">Immunohistochemistry testing for FGFR2b expression in patients with unresectable locally advanced or metastatic gastric or gastro-oesophageal cancer, to determine eligibility for PBS subsidised </w:t>
      </w:r>
      <w:proofErr w:type="spellStart"/>
      <w:r w:rsidRPr="005B57C1">
        <w:rPr>
          <w:rFonts w:ascii="Segoe UI" w:eastAsiaTheme="minorHAnsi" w:hAnsi="Segoe UI" w:cs="Segoe UI"/>
          <w:b/>
          <w:bCs/>
          <w:color w:val="153D63" w:themeColor="text2" w:themeTint="E6"/>
          <w:sz w:val="48"/>
          <w:szCs w:val="48"/>
          <w:lang w:eastAsia="en-US"/>
        </w:rPr>
        <w:t>bemarituzumab</w:t>
      </w:r>
      <w:proofErr w:type="spellEnd"/>
      <w:r w:rsidRPr="005B57C1">
        <w:rPr>
          <w:rFonts w:ascii="Segoe UI" w:eastAsiaTheme="minorHAnsi" w:hAnsi="Segoe UI" w:cs="Segoe UI"/>
          <w:b/>
          <w:bCs/>
          <w:color w:val="153D63" w:themeColor="text2" w:themeTint="E6"/>
          <w:sz w:val="48"/>
          <w:szCs w:val="48"/>
          <w:lang w:eastAsia="en-US"/>
        </w:rPr>
        <w:t xml:space="preserve"> treatment</w:t>
      </w:r>
    </w:p>
    <w:p w14:paraId="08D98030" w14:textId="77777777" w:rsidR="00133449" w:rsidRPr="0010048D" w:rsidRDefault="00133449" w:rsidP="00133449">
      <w:pPr>
        <w:rPr>
          <w:rFonts w:ascii="Segoe UI" w:eastAsia="Segoe UI" w:hAnsi="Segoe UI" w:cs="Segoe UI"/>
          <w:b/>
          <w:color w:val="000000"/>
          <w:sz w:val="32"/>
        </w:rPr>
      </w:pPr>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HPP200225</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8AE5EE5"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 xml:space="preserve">Immunohistochemistry testing for FGFR2b expression in patients with unresectable locally advanced or metastatic gastric or gastro-oesophageal cancer, to determine eligibility for PBS subsidised </w:t>
      </w:r>
      <w:proofErr w:type="spellStart"/>
      <w:r w:rsidRPr="005B57C1">
        <w:rPr>
          <w:rFonts w:ascii="Segoe UI" w:eastAsia="Segoe UI" w:hAnsi="Segoe UI" w:cs="Segoe UI"/>
          <w:color w:val="000000"/>
        </w:rPr>
        <w:t>bemarituzumab</w:t>
      </w:r>
      <w:proofErr w:type="spellEnd"/>
      <w:r w:rsidRPr="005B57C1">
        <w:rPr>
          <w:rFonts w:ascii="Segoe UI" w:eastAsia="Segoe UI" w:hAnsi="Segoe UI" w:cs="Segoe UI"/>
          <w:color w:val="000000"/>
        </w:rPr>
        <w:t xml:space="preserve"> treatment</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AMGEN AUSTRALIA PTY LIMITED</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31051057428</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Unresectable locally advanced or metastatic gastric or gastro-oesophageal junction cancer that is human epidermal growth factor receptor 2 (HER2) negative and positive for fibroblast growth factor receptor 2b (FGFR2b) overexpression.</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77777777" w:rsidR="00133449" w:rsidRPr="005B57C1" w:rsidRDefault="00133449" w:rsidP="00133449">
      <w:pPr>
        <w:rPr>
          <w:rFonts w:ascii="Segoe UI" w:eastAsia="Segoe UI" w:hAnsi="Segoe UI" w:cs="Segoe UI"/>
          <w:color w:val="000000"/>
        </w:rPr>
      </w:pPr>
      <w:r w:rsidRPr="00DA3592">
        <w:rPr>
          <w:rFonts w:ascii="Segoe UI" w:eastAsia="Segoe UI" w:hAnsi="Segoe UI" w:cs="Segoe UI"/>
          <w:color w:val="000000"/>
        </w:rPr>
        <w:t xml:space="preserve">The submission requests the MBS listing of immunohistochemistry (IHC) testing for the measuring of fibroblast growth factor receptor 2b (FGFR2b) expression in gastric or gastro-oesophageal junction cancer tumours, to determine eligibility for treatment with </w:t>
      </w:r>
      <w:proofErr w:type="spellStart"/>
      <w:r w:rsidRPr="00DA3592">
        <w:rPr>
          <w:rFonts w:ascii="Segoe UI" w:eastAsia="Segoe UI" w:hAnsi="Segoe UI" w:cs="Segoe UI"/>
          <w:color w:val="000000"/>
        </w:rPr>
        <w:t>bemarituzumab</w:t>
      </w:r>
      <w:proofErr w:type="spellEnd"/>
      <w:r w:rsidRPr="00DA3592">
        <w:rPr>
          <w:rFonts w:ascii="Segoe UI" w:eastAsia="Segoe UI" w:hAnsi="Segoe UI" w:cs="Segoe UI"/>
          <w:color w:val="000000"/>
        </w:rPr>
        <w:t xml:space="preserve"> under the PBS.</w:t>
      </w:r>
    </w:p>
    <w:p w14:paraId="6B61DA55" w14:textId="77777777" w:rsidR="00133449" w:rsidRPr="0010048D" w:rsidRDefault="00133449" w:rsidP="00133449">
      <w:pPr>
        <w:pStyle w:val="Heading1"/>
        <w:rPr>
          <w:rFonts w:cs="Segoe UI"/>
        </w:rPr>
      </w:pPr>
      <w:r w:rsidRPr="0010048D">
        <w:rPr>
          <w:rFonts w:cs="Segoe UI"/>
        </w:rPr>
        <w:t>Application contact details</w:t>
      </w:r>
    </w:p>
    <w:p w14:paraId="2401EE2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the applicant, or are you a consultant or lobbyist acting on behalf of the applicant?</w:t>
      </w:r>
    </w:p>
    <w:p w14:paraId="791B4BED" w14:textId="77777777" w:rsidR="00133449" w:rsidRPr="00DA3592" w:rsidRDefault="00133449" w:rsidP="00133449">
      <w:pPr>
        <w:rPr>
          <w:rFonts w:ascii="Segoe UI" w:hAnsi="Segoe UI" w:cs="Segoe UI"/>
        </w:rPr>
      </w:pPr>
      <w:r w:rsidRPr="00DA3592">
        <w:rPr>
          <w:rFonts w:ascii="Segoe UI" w:eastAsia="Segoe UI" w:hAnsi="Segoe UI" w:cs="Segoe UI"/>
          <w:color w:val="000000"/>
        </w:rPr>
        <w:t>Applicant</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Pr="00DA3592" w:rsidRDefault="00133449" w:rsidP="00133449">
      <w:pPr>
        <w:rPr>
          <w:rFonts w:ascii="Segoe UI" w:hAnsi="Segoe UI" w:cs="Segoe UI"/>
        </w:rPr>
      </w:pPr>
      <w:r w:rsidRPr="00DA3592">
        <w:rPr>
          <w:rFonts w:ascii="Segoe UI" w:eastAsia="Segoe UI" w:hAnsi="Segoe UI" w:cs="Segoe UI"/>
          <w:color w:val="000000"/>
        </w:rPr>
        <w:t>Organisation</w:t>
      </w:r>
    </w:p>
    <w:p w14:paraId="3E3352C1" w14:textId="77777777" w:rsidR="00133449" w:rsidRPr="0010048D" w:rsidRDefault="00133449" w:rsidP="00133449">
      <w:pPr>
        <w:pStyle w:val="Heading1"/>
        <w:rPr>
          <w:rFonts w:cs="Segoe UI"/>
        </w:rPr>
      </w:pPr>
      <w:r w:rsidRPr="00E448F0">
        <w:rPr>
          <w:rFonts w:cs="Segoe UI"/>
          <w:color w:val="153D63" w:themeColor="text2" w:themeTint="E6"/>
        </w:rPr>
        <w:lastRenderedPageBreak/>
        <w:t>Application</w:t>
      </w:r>
      <w:r w:rsidRPr="0010048D">
        <w:rPr>
          <w:rFonts w:cs="Segoe UI"/>
        </w:rPr>
        <w:t xml:space="preserve"> details</w:t>
      </w:r>
    </w:p>
    <w:p w14:paraId="51FA98F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Does the implementation of your service or health technology rely on a new listing on the Pharmaceutical Benefits Scheme (PBS) and/or the Prescribed List?</w:t>
      </w:r>
    </w:p>
    <w:p w14:paraId="15CA45CC" w14:textId="77777777" w:rsidR="00133449" w:rsidRPr="009755EC" w:rsidRDefault="00133449" w:rsidP="00133449">
      <w:pPr>
        <w:rPr>
          <w:rFonts w:ascii="Segoe UI" w:hAnsi="Segoe UI" w:cs="Segoe UI"/>
        </w:rPr>
      </w:pPr>
      <w:r w:rsidRPr="009755EC">
        <w:rPr>
          <w:rFonts w:ascii="Segoe UI" w:eastAsia="Segoe UI" w:hAnsi="Segoe UI" w:cs="Segoe UI"/>
          <w:color w:val="000000"/>
        </w:rPr>
        <w:t>Yes</w:t>
      </w:r>
    </w:p>
    <w:p w14:paraId="0BE45A56" w14:textId="0D744111" w:rsidR="00133449" w:rsidRPr="0010048D" w:rsidRDefault="00133449" w:rsidP="00133449">
      <w:pPr>
        <w:rPr>
          <w:rFonts w:ascii="Segoe UI" w:hAnsi="Segoe UI" w:cs="Segoe UI"/>
        </w:rPr>
      </w:pPr>
      <w:r w:rsidRPr="0010048D">
        <w:rPr>
          <w:rFonts w:ascii="Segoe UI" w:eastAsia="Segoe UI" w:hAnsi="Segoe UI" w:cs="Segoe UI"/>
          <w:b/>
          <w:color w:val="000000"/>
        </w:rPr>
        <w:t xml:space="preserve">Which list/schedule will the other health technologies be listed on? </w:t>
      </w:r>
    </w:p>
    <w:p w14:paraId="526A43B2" w14:textId="77777777" w:rsidR="00133449" w:rsidRPr="009755EC" w:rsidRDefault="00133449" w:rsidP="00133449">
      <w:pPr>
        <w:rPr>
          <w:rFonts w:ascii="Segoe UI" w:hAnsi="Segoe UI" w:cs="Segoe UI"/>
        </w:rPr>
      </w:pPr>
      <w:r w:rsidRPr="009755EC">
        <w:rPr>
          <w:rFonts w:ascii="Segoe UI" w:eastAsia="Segoe UI" w:hAnsi="Segoe UI" w:cs="Segoe UI"/>
          <w:color w:val="000000"/>
        </w:rPr>
        <w:t>Pharmaceutical Benefits Scheme</w:t>
      </w:r>
    </w:p>
    <w:p w14:paraId="51B3F52E"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application for a new service or health technology, or an amendment to an existing listed service or health technology?</w:t>
      </w:r>
    </w:p>
    <w:p w14:paraId="7FD1C6AA" w14:textId="77777777" w:rsidR="00133449" w:rsidRPr="009755EC" w:rsidRDefault="00133449" w:rsidP="00133449">
      <w:pPr>
        <w:rPr>
          <w:rFonts w:ascii="Segoe UI" w:eastAsia="Segoe UI" w:hAnsi="Segoe UI" w:cs="Segoe UI"/>
          <w:color w:val="000000"/>
        </w:rPr>
      </w:pPr>
      <w:r w:rsidRPr="009755EC">
        <w:rPr>
          <w:rFonts w:ascii="Segoe UI" w:eastAsia="Segoe UI" w:hAnsi="Segoe UI" w:cs="Segoe UI"/>
          <w:color w:val="000000"/>
        </w:rPr>
        <w:t>New</w:t>
      </w:r>
    </w:p>
    <w:p w14:paraId="0EF8D594" w14:textId="77777777" w:rsidR="00133449" w:rsidRPr="0010048D" w:rsidRDefault="00133449" w:rsidP="00133449">
      <w:pPr>
        <w:pStyle w:val="Heading1"/>
        <w:rPr>
          <w:rFonts w:cs="Segoe UI"/>
        </w:rPr>
      </w:pPr>
      <w:r w:rsidRPr="0010048D">
        <w:rPr>
          <w:rFonts w:cs="Segoe UI"/>
        </w:rPr>
        <w:t>Relevant MBS items</w:t>
      </w:r>
    </w:p>
    <w:p w14:paraId="7B263B0C"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Please select any relevant MBS items.</w:t>
      </w:r>
    </w:p>
    <w:tbl>
      <w:tblPr>
        <w:tblStyle w:val="TableGrid"/>
        <w:tblW w:w="0" w:type="auto"/>
        <w:tblLook w:val="0620" w:firstRow="1" w:lastRow="0" w:firstColumn="0" w:lastColumn="0" w:noHBand="1" w:noVBand="1"/>
      </w:tblPr>
      <w:tblGrid>
        <w:gridCol w:w="4507"/>
        <w:gridCol w:w="4508"/>
      </w:tblGrid>
      <w:tr w:rsidR="00133449" w:rsidRPr="0010048D" w14:paraId="662EA316" w14:textId="77777777" w:rsidTr="0065027C">
        <w:trPr>
          <w:cantSplit/>
          <w:tblHeader/>
        </w:trPr>
        <w:tc>
          <w:tcPr>
            <w:tcW w:w="4507" w:type="dxa"/>
            <w:shd w:val="clear" w:color="auto" w:fill="auto"/>
            <w:tcMar>
              <w:top w:w="113" w:type="dxa"/>
              <w:bottom w:w="113" w:type="dxa"/>
            </w:tcMar>
          </w:tcPr>
          <w:p w14:paraId="04B4229D" w14:textId="77777777" w:rsidR="00133449" w:rsidRPr="0010048D" w:rsidRDefault="00133449" w:rsidP="0065027C">
            <w:pPr>
              <w:rPr>
                <w:rFonts w:ascii="Segoe UI" w:hAnsi="Segoe UI" w:cs="Segoe UI"/>
                <w:b/>
              </w:rPr>
            </w:pPr>
            <w:r w:rsidRPr="0010048D">
              <w:rPr>
                <w:rFonts w:ascii="Segoe UI" w:hAnsi="Segoe UI" w:cs="Segoe UI"/>
                <w:b/>
              </w:rPr>
              <w:t>MBS item number</w:t>
            </w:r>
          </w:p>
        </w:tc>
        <w:tc>
          <w:tcPr>
            <w:tcW w:w="4508" w:type="dxa"/>
            <w:shd w:val="clear" w:color="auto" w:fill="auto"/>
            <w:tcMar>
              <w:top w:w="113" w:type="dxa"/>
              <w:bottom w:w="113" w:type="dxa"/>
            </w:tcMar>
          </w:tcPr>
          <w:p w14:paraId="0DA0A034" w14:textId="77777777" w:rsidR="00133449" w:rsidRPr="0010048D" w:rsidRDefault="00133449" w:rsidP="0065027C">
            <w:pPr>
              <w:rPr>
                <w:rFonts w:ascii="Segoe UI" w:hAnsi="Segoe UI" w:cs="Segoe UI"/>
                <w:b/>
              </w:rPr>
            </w:pPr>
            <w:r w:rsidRPr="0010048D">
              <w:rPr>
                <w:rFonts w:ascii="Segoe UI" w:hAnsi="Segoe UI" w:cs="Segoe UI"/>
                <w:b/>
              </w:rPr>
              <w:t>Selected reason type</w:t>
            </w:r>
          </w:p>
        </w:tc>
      </w:tr>
    </w:tbl>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05E01124"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Investigative</w:t>
      </w:r>
    </w:p>
    <w:p w14:paraId="7FFE36CA" w14:textId="50F64B0F" w:rsidR="00133449" w:rsidRPr="0010048D" w:rsidRDefault="00133449" w:rsidP="00133449">
      <w:pPr>
        <w:rPr>
          <w:rFonts w:ascii="Segoe UI" w:hAnsi="Segoe UI" w:cs="Segoe UI"/>
        </w:rPr>
      </w:pPr>
      <w:r w:rsidRPr="0010048D">
        <w:rPr>
          <w:rFonts w:ascii="Segoe UI" w:eastAsia="Segoe UI" w:hAnsi="Segoe UI" w:cs="Segoe UI"/>
          <w:b/>
          <w:color w:val="000000"/>
        </w:rPr>
        <w:t xml:space="preserve">Please select the type of investigative health technology: </w:t>
      </w:r>
    </w:p>
    <w:p w14:paraId="5688E3BC"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Histopathology and cytology</w:t>
      </w:r>
    </w:p>
    <w:p w14:paraId="16E68CEB" w14:textId="77777777" w:rsidR="00133449" w:rsidRPr="0010048D" w:rsidRDefault="00133449" w:rsidP="00133449">
      <w:pPr>
        <w:pStyle w:val="Heading1"/>
        <w:rPr>
          <w:rFonts w:cs="Segoe UI"/>
        </w:rPr>
      </w:pPr>
      <w:r w:rsidRPr="0010048D">
        <w:rPr>
          <w:rFonts w:cs="Segoe UI"/>
        </w:rPr>
        <w:t>PICO sets</w:t>
      </w:r>
    </w:p>
    <w:p w14:paraId="25B8C5A6" w14:textId="24BE1888" w:rsidR="00133449" w:rsidRPr="0010048D" w:rsidRDefault="00133449" w:rsidP="00133449">
      <w:pPr>
        <w:rPr>
          <w:rFonts w:ascii="Segoe UI" w:hAnsi="Segoe UI" w:cs="Segoe UI"/>
          <w:b/>
          <w:bCs/>
        </w:rPr>
      </w:pPr>
      <w:r w:rsidRPr="0010048D">
        <w:rPr>
          <w:rFonts w:ascii="Segoe UI" w:hAnsi="Segoe UI" w:cs="Segoe UI"/>
          <w:b/>
          <w:bCs/>
        </w:rPr>
        <w:t>Application PICO set:</w:t>
      </w:r>
    </w:p>
    <w:p w14:paraId="70923F99" w14:textId="77777777" w:rsidR="005A460D" w:rsidRPr="000C5B00" w:rsidRDefault="005A460D" w:rsidP="007F2BD0">
      <w:pPr>
        <w:rPr>
          <w:rFonts w:ascii="Segoe UI" w:hAnsi="Segoe UI" w:cs="Segoe UI"/>
          <w:b/>
          <w:bCs/>
          <w:sz w:val="28"/>
          <w:szCs w:val="28"/>
          <w:u w:val="single"/>
        </w:rPr>
      </w:pPr>
      <w:r w:rsidRPr="000C5B00">
        <w:rPr>
          <w:rFonts w:ascii="Segoe UI" w:hAnsi="Segoe UI" w:cs="Segoe UI"/>
          <w:b/>
          <w:bCs/>
          <w:sz w:val="28"/>
          <w:szCs w:val="28"/>
          <w:u w:val="single"/>
        </w:rPr>
        <w:t xml:space="preserve">FGFR2b IHC testing in gastric or gastro-oesophageal junction cancer </w:t>
      </w:r>
    </w:p>
    <w:p w14:paraId="5DA6F296" w14:textId="12377AE1" w:rsidR="005A460D" w:rsidRPr="002E3417" w:rsidRDefault="005A460D" w:rsidP="005A460D">
      <w:pPr>
        <w:rPr>
          <w:rFonts w:ascii="Segoe UI" w:hAnsi="Segoe UI" w:cs="Segoe UI"/>
        </w:rPr>
      </w:pPr>
      <w:r w:rsidRPr="002E3417">
        <w:rPr>
          <w:rFonts w:ascii="Segoe UI" w:hAnsi="Segoe UI" w:cs="Segoe UI"/>
          <w:b/>
          <w:bCs/>
        </w:rPr>
        <w:t>State the purpose(s) of the health technology for this PICO set and provide a rationale:</w:t>
      </w:r>
      <w:r w:rsidRPr="002E3417">
        <w:rPr>
          <w:rFonts w:ascii="Segoe UI" w:hAnsi="Segoe UI" w:cs="Segoe UI"/>
        </w:rPr>
        <w:t xml:space="preserve"> </w:t>
      </w:r>
    </w:p>
    <w:p w14:paraId="7D519A4E" w14:textId="77777777" w:rsidR="005A460D" w:rsidRPr="000C5B00" w:rsidRDefault="005A460D" w:rsidP="005A460D">
      <w:pPr>
        <w:rPr>
          <w:rFonts w:ascii="Segoe UI" w:hAnsi="Segoe UI" w:cs="Segoe UI"/>
          <w:b/>
          <w:bCs/>
        </w:rPr>
      </w:pPr>
      <w:r w:rsidRPr="000C5B00">
        <w:rPr>
          <w:rFonts w:ascii="Segoe UI" w:hAnsi="Segoe UI" w:cs="Segoe UI"/>
          <w:b/>
          <w:bCs/>
        </w:rPr>
        <w:t xml:space="preserve">Purpose category: </w:t>
      </w:r>
    </w:p>
    <w:p w14:paraId="01EB9730" w14:textId="77777777" w:rsidR="00E642C4" w:rsidRPr="000C5B00" w:rsidRDefault="00E642C4" w:rsidP="005A460D">
      <w:pPr>
        <w:rPr>
          <w:rFonts w:ascii="Segoe UI" w:hAnsi="Segoe UI" w:cs="Segoe UI"/>
          <w:b/>
          <w:bCs/>
        </w:rPr>
      </w:pPr>
      <w:r w:rsidRPr="00E642C4">
        <w:rPr>
          <w:rFonts w:ascii="Segoe UI" w:eastAsia="Segoe UI" w:hAnsi="Segoe UI" w:cs="Segoe UI"/>
          <w:color w:val="000000"/>
        </w:rPr>
        <w:t>Predictive</w:t>
      </w:r>
      <w:r w:rsidRPr="000C5B00">
        <w:rPr>
          <w:rFonts w:ascii="Segoe UI" w:hAnsi="Segoe UI" w:cs="Segoe UI"/>
          <w:b/>
          <w:bCs/>
        </w:rPr>
        <w:t xml:space="preserve"> </w:t>
      </w:r>
    </w:p>
    <w:p w14:paraId="27482D72" w14:textId="1197A6ED" w:rsidR="005A460D" w:rsidRPr="000C5B00" w:rsidRDefault="005A460D" w:rsidP="005A460D">
      <w:pPr>
        <w:rPr>
          <w:rFonts w:ascii="Segoe UI" w:hAnsi="Segoe UI" w:cs="Segoe UI"/>
          <w:b/>
          <w:bCs/>
        </w:rPr>
      </w:pPr>
      <w:r w:rsidRPr="000C5B00">
        <w:rPr>
          <w:rFonts w:ascii="Segoe UI" w:hAnsi="Segoe UI" w:cs="Segoe UI"/>
          <w:b/>
          <w:bCs/>
        </w:rPr>
        <w:t xml:space="preserve">Purpose description: </w:t>
      </w:r>
    </w:p>
    <w:p w14:paraId="5A5EAF23" w14:textId="77777777" w:rsidR="00E642C4" w:rsidRPr="0010048D" w:rsidRDefault="00E642C4" w:rsidP="00E642C4">
      <w:pPr>
        <w:rPr>
          <w:rFonts w:ascii="Segoe UI" w:eastAsia="Segoe UI" w:hAnsi="Segoe UI" w:cs="Segoe UI"/>
          <w:color w:val="000000"/>
        </w:rPr>
      </w:pPr>
      <w:r>
        <w:rPr>
          <w:rFonts w:ascii="Segoe UI" w:eastAsia="Segoe UI" w:hAnsi="Segoe UI" w:cs="Segoe UI"/>
          <w:color w:val="000000"/>
        </w:rPr>
        <w:lastRenderedPageBreak/>
        <w:t>To provide predictive information to support selection of a specific therapy or intervention</w:t>
      </w:r>
    </w:p>
    <w:p w14:paraId="65999720" w14:textId="77777777" w:rsidR="005A460D" w:rsidRPr="004B69C0" w:rsidRDefault="005A460D" w:rsidP="005A460D">
      <w:pPr>
        <w:pStyle w:val="Heading2"/>
        <w:rPr>
          <w:rFonts w:ascii="Segoe UI" w:hAnsi="Segoe UI" w:cs="Segoe UI"/>
          <w:b/>
          <w:bCs/>
          <w:sz w:val="32"/>
          <w:szCs w:val="32"/>
        </w:rPr>
      </w:pPr>
      <w:r w:rsidRPr="004B69C0">
        <w:rPr>
          <w:rFonts w:ascii="Segoe UI" w:hAnsi="Segoe UI" w:cs="Segoe UI"/>
          <w:b/>
          <w:bCs/>
          <w:sz w:val="32"/>
          <w:szCs w:val="32"/>
        </w:rPr>
        <w:t>Population</w:t>
      </w:r>
    </w:p>
    <w:p w14:paraId="504790F3" w14:textId="77777777" w:rsidR="005A460D" w:rsidRPr="0010048D" w:rsidRDefault="005A460D" w:rsidP="005A460D">
      <w:pPr>
        <w:rPr>
          <w:rFonts w:ascii="Segoe UI" w:hAnsi="Segoe UI" w:cs="Segoe UI"/>
          <w:b/>
          <w:bCs/>
        </w:rPr>
      </w:pPr>
      <w:r w:rsidRPr="0010048D">
        <w:rPr>
          <w:rFonts w:ascii="Segoe UI" w:hAnsi="Segoe UI" w:cs="Segoe UI"/>
          <w:b/>
          <w:bCs/>
        </w:rPr>
        <w:t>Describe the population in which the proposed health technology is intended to be used:</w:t>
      </w:r>
    </w:p>
    <w:p w14:paraId="64908A73" w14:textId="77777777" w:rsidR="005A460D" w:rsidRPr="00EA413F" w:rsidRDefault="005A460D" w:rsidP="005A460D">
      <w:pPr>
        <w:rPr>
          <w:rFonts w:ascii="Segoe UI" w:hAnsi="Segoe UI" w:cs="Segoe UI"/>
        </w:rPr>
      </w:pPr>
      <w:r>
        <w:rPr>
          <w:rFonts w:ascii="Segoe UI" w:eastAsia="Segoe UI" w:hAnsi="Segoe UI" w:cs="Segoe UI"/>
          <w:color w:val="000000"/>
        </w:rPr>
        <w:t>Adult patients (≥ 18 years of age) with unresectable locally advanced or metastatic gastric or gastro-oesophageal junction adenocarcinoma</w:t>
      </w:r>
    </w:p>
    <w:p w14:paraId="181C4542" w14:textId="77777777" w:rsidR="005A460D" w:rsidRPr="0010048D" w:rsidRDefault="005A460D" w:rsidP="005A460D">
      <w:pPr>
        <w:rPr>
          <w:rFonts w:ascii="Segoe UI" w:hAnsi="Segoe UI" w:cs="Segoe UI"/>
          <w:b/>
          <w:bCs/>
        </w:rPr>
      </w:pPr>
      <w:r w:rsidRPr="0010048D">
        <w:rPr>
          <w:rFonts w:ascii="Segoe UI" w:hAnsi="Segoe UI" w:cs="Segoe UI"/>
          <w:b/>
          <w:bCs/>
        </w:rPr>
        <w:t xml:space="preserve">Select the most applicable </w:t>
      </w:r>
      <w:proofErr w:type="gramStart"/>
      <w:r w:rsidRPr="0010048D">
        <w:rPr>
          <w:rFonts w:ascii="Segoe UI" w:hAnsi="Segoe UI" w:cs="Segoe UI"/>
          <w:b/>
          <w:bCs/>
        </w:rPr>
        <w:t>Medical</w:t>
      </w:r>
      <w:proofErr w:type="gramEnd"/>
      <w:r w:rsidRPr="0010048D">
        <w:rPr>
          <w:rFonts w:ascii="Segoe UI" w:hAnsi="Segoe UI" w:cs="Segoe UI"/>
          <w:b/>
          <w:bCs/>
        </w:rPr>
        <w:t xml:space="preserve"> condition terminology (SNOMED CT):</w:t>
      </w:r>
    </w:p>
    <w:p w14:paraId="0F99A289" w14:textId="77777777" w:rsidR="005A460D" w:rsidRPr="0010048D" w:rsidRDefault="005A460D" w:rsidP="005A460D">
      <w:pPr>
        <w:rPr>
          <w:rFonts w:ascii="Segoe UI" w:eastAsia="Segoe UI" w:hAnsi="Segoe UI" w:cs="Segoe UI"/>
          <w:color w:val="000000"/>
        </w:rPr>
      </w:pPr>
      <w:r>
        <w:rPr>
          <w:rFonts w:ascii="Segoe UI" w:eastAsia="Segoe UI" w:hAnsi="Segoe UI" w:cs="Segoe UI"/>
          <w:color w:val="000000"/>
        </w:rPr>
        <w:t>Late gastric cancer</w:t>
      </w:r>
    </w:p>
    <w:p w14:paraId="13FD2608" w14:textId="77777777" w:rsidR="005A460D" w:rsidRPr="004B69C0" w:rsidRDefault="005A460D" w:rsidP="005A460D">
      <w:pPr>
        <w:pStyle w:val="Heading2"/>
        <w:rPr>
          <w:rFonts w:ascii="Segoe UI" w:hAnsi="Segoe UI" w:cs="Segoe UI"/>
          <w:b/>
          <w:bCs/>
          <w:sz w:val="32"/>
          <w:szCs w:val="32"/>
        </w:rPr>
      </w:pPr>
      <w:r w:rsidRPr="004B69C0">
        <w:rPr>
          <w:rFonts w:ascii="Segoe UI" w:hAnsi="Segoe UI" w:cs="Segoe UI"/>
          <w:b/>
          <w:bCs/>
          <w:sz w:val="32"/>
          <w:szCs w:val="32"/>
        </w:rPr>
        <w:t>Intervention</w:t>
      </w:r>
    </w:p>
    <w:p w14:paraId="71A8C696" w14:textId="77777777" w:rsidR="005A460D" w:rsidRPr="0010048D" w:rsidRDefault="005A460D" w:rsidP="005A460D">
      <w:pPr>
        <w:rPr>
          <w:rFonts w:ascii="Segoe UI" w:hAnsi="Segoe UI" w:cs="Segoe UI"/>
          <w:b/>
          <w:bCs/>
        </w:rPr>
      </w:pPr>
      <w:r w:rsidRPr="0010048D">
        <w:rPr>
          <w:rFonts w:ascii="Segoe UI" w:hAnsi="Segoe UI" w:cs="Segoe UI"/>
          <w:b/>
          <w:bCs/>
        </w:rPr>
        <w:t>Name of the proposed health technology:</w:t>
      </w:r>
    </w:p>
    <w:p w14:paraId="72D765D8" w14:textId="77777777" w:rsidR="005A460D" w:rsidRPr="0010048D" w:rsidRDefault="005A460D" w:rsidP="005A460D">
      <w:pPr>
        <w:rPr>
          <w:rFonts w:ascii="Segoe UI" w:eastAsia="Segoe UI" w:hAnsi="Segoe UI" w:cs="Segoe UI"/>
          <w:color w:val="000000"/>
        </w:rPr>
      </w:pPr>
      <w:r>
        <w:rPr>
          <w:rFonts w:ascii="Segoe UI" w:eastAsia="Segoe UI" w:hAnsi="Segoe UI" w:cs="Segoe UI"/>
          <w:color w:val="000000"/>
        </w:rPr>
        <w:t xml:space="preserve">Immunohistochemistry testing for FGFR2b expression - VENTANA FGFR2b (FPR2-D) </w:t>
      </w:r>
      <w:proofErr w:type="spellStart"/>
      <w:r>
        <w:rPr>
          <w:rFonts w:ascii="Segoe UI" w:eastAsia="Segoe UI" w:hAnsi="Segoe UI" w:cs="Segoe UI"/>
          <w:color w:val="000000"/>
        </w:rPr>
        <w:t>RxDx</w:t>
      </w:r>
      <w:proofErr w:type="spellEnd"/>
      <w:r>
        <w:rPr>
          <w:rFonts w:ascii="Segoe UI" w:eastAsia="Segoe UI" w:hAnsi="Segoe UI" w:cs="Segoe UI"/>
          <w:color w:val="000000"/>
        </w:rPr>
        <w:t xml:space="preserve"> Assay</w:t>
      </w:r>
    </w:p>
    <w:p w14:paraId="4C6B0B53" w14:textId="77777777" w:rsidR="005A460D" w:rsidRPr="004B69C0" w:rsidRDefault="005A460D" w:rsidP="005A460D">
      <w:pPr>
        <w:pStyle w:val="Heading2"/>
        <w:rPr>
          <w:rFonts w:cs="Segoe UI"/>
          <w:b/>
          <w:bCs/>
          <w:sz w:val="32"/>
          <w:szCs w:val="32"/>
        </w:rPr>
      </w:pPr>
      <w:r w:rsidRPr="004B69C0">
        <w:rPr>
          <w:rFonts w:ascii="Segoe UI" w:hAnsi="Segoe UI" w:cs="Segoe UI"/>
          <w:b/>
          <w:bCs/>
          <w:sz w:val="32"/>
          <w:szCs w:val="32"/>
        </w:rPr>
        <w:t>Comparator</w:t>
      </w:r>
    </w:p>
    <w:p w14:paraId="419E52BB" w14:textId="77777777" w:rsidR="005A460D" w:rsidRPr="0010048D" w:rsidRDefault="005A460D" w:rsidP="005A460D">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71D8B921" w14:textId="77777777" w:rsidR="005A460D" w:rsidRPr="0010048D" w:rsidRDefault="005A460D" w:rsidP="005A460D">
      <w:pPr>
        <w:rPr>
          <w:rFonts w:ascii="Segoe UI" w:eastAsia="Segoe UI" w:hAnsi="Segoe UI" w:cs="Segoe UI"/>
          <w:color w:val="000000"/>
        </w:rPr>
      </w:pPr>
      <w:r>
        <w:rPr>
          <w:rFonts w:ascii="Segoe UI" w:eastAsia="Segoe UI" w:hAnsi="Segoe UI" w:cs="Segoe UI"/>
          <w:color w:val="000000"/>
        </w:rPr>
        <w:t>Comparator: No FGFR2b expression testing.</w:t>
      </w:r>
      <w:r>
        <w:rPr>
          <w:rFonts w:ascii="Segoe UI" w:eastAsia="Segoe UI" w:hAnsi="Segoe UI" w:cs="Segoe UI"/>
          <w:color w:val="000000"/>
        </w:rPr>
        <w:br/>
      </w:r>
      <w:r>
        <w:rPr>
          <w:rFonts w:ascii="Segoe UI" w:eastAsia="Segoe UI" w:hAnsi="Segoe UI" w:cs="Segoe UI"/>
          <w:color w:val="000000"/>
        </w:rPr>
        <w:br/>
        <w:t xml:space="preserve">In current practice, treatment allocation in unresectable locally advanced or metastatic gastric or gastro-oesophageal cancer (G/GOJC) is based on HER2 testing, with HER2+ patients receiving chemotherapy +/- trastuzumab and HER2- patients receiving chemotherapy +/- nivolumab. HER2 testing is conducted via an immunohistochemistry (IHC) test and/or an </w:t>
      </w:r>
      <w:proofErr w:type="gramStart"/>
      <w:r>
        <w:rPr>
          <w:rFonts w:ascii="Segoe UI" w:eastAsia="Segoe UI" w:hAnsi="Segoe UI" w:cs="Segoe UI"/>
          <w:color w:val="000000"/>
        </w:rPr>
        <w:t>in situ</w:t>
      </w:r>
      <w:proofErr w:type="gramEnd"/>
      <w:r>
        <w:rPr>
          <w:rFonts w:ascii="Segoe UI" w:eastAsia="Segoe UI" w:hAnsi="Segoe UI" w:cs="Segoe UI"/>
          <w:color w:val="000000"/>
        </w:rPr>
        <w:t xml:space="preserve"> hybridisation (ISH) test. Tumour samples taken from biopsies, initially used for confirming G/GOJC diagnoses, are subsequently used for HER2 biomarker testing.</w:t>
      </w:r>
    </w:p>
    <w:p w14:paraId="22432818" w14:textId="77777777" w:rsidR="005A460D" w:rsidRPr="004B69C0" w:rsidRDefault="005A460D" w:rsidP="005A460D">
      <w:pPr>
        <w:pStyle w:val="Heading2"/>
        <w:rPr>
          <w:rFonts w:ascii="Segoe UI" w:hAnsi="Segoe UI" w:cs="Segoe UI"/>
          <w:b/>
          <w:bCs/>
          <w:sz w:val="32"/>
          <w:szCs w:val="32"/>
        </w:rPr>
      </w:pPr>
      <w:r w:rsidRPr="004B69C0">
        <w:rPr>
          <w:rFonts w:ascii="Segoe UI" w:hAnsi="Segoe UI" w:cs="Segoe UI"/>
          <w:b/>
          <w:bCs/>
          <w:sz w:val="32"/>
          <w:szCs w:val="32"/>
        </w:rPr>
        <w:t>Outcomes</w:t>
      </w:r>
    </w:p>
    <w:p w14:paraId="0565D300" w14:textId="77777777" w:rsidR="005A460D" w:rsidRPr="0010048D" w:rsidRDefault="005A460D" w:rsidP="005A460D">
      <w:pPr>
        <w:rPr>
          <w:rFonts w:ascii="Segoe UI" w:hAnsi="Segoe UI" w:cs="Segoe UI"/>
          <w:b/>
          <w:bCs/>
        </w:rPr>
      </w:pPr>
      <w:r w:rsidRPr="0010048D">
        <w:rPr>
          <w:rFonts w:ascii="Segoe UI" w:hAnsi="Segoe UI" w:cs="Segoe UI"/>
          <w:b/>
          <w:bCs/>
        </w:rPr>
        <w:t xml:space="preserve">Outcome description – please include information about whether a change in patient management, or prognosis, occurs </w:t>
      </w:r>
      <w:proofErr w:type="gramStart"/>
      <w:r w:rsidRPr="0010048D">
        <w:rPr>
          <w:rFonts w:ascii="Segoe UI" w:hAnsi="Segoe UI" w:cs="Segoe UI"/>
          <w:b/>
          <w:bCs/>
        </w:rPr>
        <w:t>as a result of</w:t>
      </w:r>
      <w:proofErr w:type="gramEnd"/>
      <w:r w:rsidRPr="0010048D">
        <w:rPr>
          <w:rFonts w:ascii="Segoe UI" w:hAnsi="Segoe UI" w:cs="Segoe UI"/>
          <w:b/>
          <w:bCs/>
        </w:rPr>
        <w:t xml:space="preserve"> the test information:</w:t>
      </w:r>
    </w:p>
    <w:p w14:paraId="2E5C55E8" w14:textId="0CFFAC4D" w:rsidR="005A460D" w:rsidRPr="0010048D" w:rsidRDefault="005A460D" w:rsidP="005A460D">
      <w:pPr>
        <w:rPr>
          <w:rFonts w:ascii="Segoe UI" w:eastAsia="Segoe UI" w:hAnsi="Segoe UI" w:cs="Segoe UI"/>
          <w:color w:val="000000"/>
        </w:rPr>
      </w:pPr>
      <w:r>
        <w:rPr>
          <w:rFonts w:ascii="Segoe UI" w:eastAsia="Segoe UI" w:hAnsi="Segoe UI" w:cs="Segoe UI"/>
          <w:color w:val="000000"/>
        </w:rPr>
        <w:lastRenderedPageBreak/>
        <w:t xml:space="preserve">The test outcome of FGFR2b testing will impact the management of patients with unresectable locally advanced or metastatic G/GOJC, as FGFR2b overexpression is predictive of response/benefit to </w:t>
      </w:r>
      <w:proofErr w:type="spellStart"/>
      <w:r>
        <w:rPr>
          <w:rFonts w:ascii="Segoe UI" w:eastAsia="Segoe UI" w:hAnsi="Segoe UI" w:cs="Segoe UI"/>
          <w:color w:val="000000"/>
        </w:rPr>
        <w:t>bemarituzumab</w:t>
      </w:r>
      <w:proofErr w:type="spellEnd"/>
      <w:r>
        <w:rPr>
          <w:rFonts w:ascii="Segoe UI" w:eastAsia="Segoe UI" w:hAnsi="Segoe UI" w:cs="Segoe UI"/>
          <w:color w:val="000000"/>
        </w:rPr>
        <w:t xml:space="preserve"> treatment. Under the proposed PBS listing, patients positive for FGFR2b overexpression (FGFR2b+) will be eligible for BEMA+CTX or NIVO+CTX, whereas those negative for FGFR2b overexpression (FGFR2b-) will continue to receive NIVO+CTX. The proposed threshold for a positive result for FGFR2b overexpression is an IHC staining score of 2+ (moderate to strong) or 3+ (strong) in ≥10% tumour cells.</w:t>
      </w:r>
      <w:r>
        <w:rPr>
          <w:rFonts w:ascii="Segoe UI" w:eastAsia="Segoe UI" w:hAnsi="Segoe UI" w:cs="Segoe UI"/>
          <w:color w:val="000000"/>
        </w:rPr>
        <w:br/>
        <w:t>Use of BEMA+CTX in FGFR2b+ patients is expected to improve patient prognosis compared to NIVO+CTX, via improved survival outcomes (PFS and OS), and will impact health harms experienced by patients as a result of differences in their respective safety profiles.</w:t>
      </w:r>
    </w:p>
    <w:p w14:paraId="275873E2" w14:textId="77777777" w:rsidR="005A460D" w:rsidRPr="004B69C0" w:rsidRDefault="005A460D" w:rsidP="005A460D">
      <w:pPr>
        <w:pStyle w:val="Heading2"/>
        <w:rPr>
          <w:rFonts w:ascii="Segoe UI" w:hAnsi="Segoe UI" w:cs="Segoe UI"/>
          <w:b/>
          <w:bCs/>
          <w:sz w:val="32"/>
          <w:szCs w:val="32"/>
        </w:rPr>
      </w:pPr>
      <w:r w:rsidRPr="004B69C0">
        <w:rPr>
          <w:rFonts w:ascii="Segoe UI" w:hAnsi="Segoe UI" w:cs="Segoe UI"/>
          <w:b/>
          <w:bCs/>
          <w:sz w:val="32"/>
          <w:szCs w:val="32"/>
        </w:rPr>
        <w:t>Proposed MBS items</w:t>
      </w:r>
    </w:p>
    <w:p w14:paraId="2B7B151B" w14:textId="77777777" w:rsidR="000A47CF" w:rsidRDefault="000A47CF" w:rsidP="00BC1EAB">
      <w:pPr>
        <w:rPr>
          <w:rFonts w:ascii="Segoe UI" w:hAnsi="Segoe UI" w:cs="Segoe UI"/>
          <w:b/>
        </w:rPr>
      </w:pPr>
      <w:r w:rsidRPr="0010048D">
        <w:rPr>
          <w:rFonts w:ascii="Segoe UI" w:hAnsi="Segoe UI" w:cs="Segoe UI"/>
          <w:b/>
        </w:rPr>
        <w:t>Proposed item:</w:t>
      </w:r>
    </w:p>
    <w:p w14:paraId="2BE56EF9" w14:textId="77777777" w:rsidR="000A47CF" w:rsidRPr="0010048D" w:rsidRDefault="000A47CF" w:rsidP="00BC1EAB">
      <w:pPr>
        <w:rPr>
          <w:rFonts w:ascii="Segoe UI" w:hAnsi="Segoe UI" w:cs="Segoe UI"/>
          <w:bCs/>
        </w:rPr>
      </w:pPr>
      <w:r>
        <w:rPr>
          <w:rFonts w:ascii="Segoe UI" w:hAnsi="Segoe UI" w:cs="Segoe UI"/>
          <w:bCs/>
        </w:rPr>
        <w:t>AAAAA</w:t>
      </w:r>
    </w:p>
    <w:p w14:paraId="56631DC2" w14:textId="38CF6C43" w:rsidR="000A47CF" w:rsidRPr="00DF4463" w:rsidRDefault="000A47CF" w:rsidP="00BC1EAB">
      <w:pPr>
        <w:rPr>
          <w:rFonts w:ascii="Segoe UI" w:hAnsi="Segoe UI" w:cs="Segoe UI"/>
          <w:b/>
        </w:rPr>
      </w:pPr>
      <w:r w:rsidRPr="0010048D">
        <w:rPr>
          <w:rFonts w:ascii="Segoe UI" w:hAnsi="Segoe UI" w:cs="Segoe UI"/>
          <w:b/>
        </w:rPr>
        <w:t>MBS item number (where used as a template for the proposed item):</w:t>
      </w:r>
    </w:p>
    <w:p w14:paraId="33798CC5" w14:textId="77777777" w:rsidR="000A47CF" w:rsidRDefault="000A47CF" w:rsidP="00BC1EAB">
      <w:pPr>
        <w:rPr>
          <w:rFonts w:ascii="Segoe UI" w:hAnsi="Segoe UI" w:cs="Segoe UI"/>
          <w:b/>
        </w:rPr>
      </w:pPr>
      <w:r w:rsidRPr="0010048D">
        <w:rPr>
          <w:rFonts w:ascii="Segoe UI" w:hAnsi="Segoe UI" w:cs="Segoe UI"/>
          <w:b/>
        </w:rPr>
        <w:t>Category number:</w:t>
      </w:r>
    </w:p>
    <w:p w14:paraId="591A2D9E" w14:textId="77777777" w:rsidR="000A47CF" w:rsidRPr="0010048D" w:rsidRDefault="000A47CF" w:rsidP="00BC1EAB">
      <w:pPr>
        <w:rPr>
          <w:rFonts w:ascii="Segoe UI" w:hAnsi="Segoe UI" w:cs="Segoe UI"/>
          <w:bCs/>
        </w:rPr>
      </w:pPr>
      <w:r w:rsidRPr="004D6091">
        <w:rPr>
          <w:rFonts w:ascii="Segoe UI" w:hAnsi="Segoe UI" w:cs="Segoe UI"/>
          <w:bCs/>
        </w:rPr>
        <w:t>PATHOLOGY SERVICES</w:t>
      </w:r>
    </w:p>
    <w:p w14:paraId="5C54EE3F" w14:textId="77777777" w:rsidR="000A47CF" w:rsidRDefault="000A47CF" w:rsidP="00BC1EAB">
      <w:pPr>
        <w:rPr>
          <w:rFonts w:ascii="Segoe UI" w:hAnsi="Segoe UI" w:cs="Segoe UI"/>
          <w:b/>
        </w:rPr>
      </w:pPr>
      <w:r w:rsidRPr="0010048D">
        <w:rPr>
          <w:rFonts w:ascii="Segoe UI" w:hAnsi="Segoe UI" w:cs="Segoe UI"/>
          <w:b/>
        </w:rPr>
        <w:t>Category description:</w:t>
      </w:r>
    </w:p>
    <w:p w14:paraId="4144DDA6" w14:textId="77777777" w:rsidR="000A47CF" w:rsidRPr="0010048D" w:rsidRDefault="000A47CF" w:rsidP="00BC1EAB">
      <w:pPr>
        <w:rPr>
          <w:rFonts w:ascii="Segoe UI" w:hAnsi="Segoe UI" w:cs="Segoe UI"/>
          <w:bCs/>
        </w:rPr>
      </w:pPr>
      <w:r>
        <w:rPr>
          <w:rFonts w:ascii="Segoe UI" w:hAnsi="Segoe UI" w:cs="Segoe UI"/>
          <w:bCs/>
        </w:rPr>
        <w:t>TISSUE PATHOLOGY</w:t>
      </w:r>
    </w:p>
    <w:p w14:paraId="09F7FF53" w14:textId="77777777" w:rsidR="000A47CF" w:rsidRDefault="000A47CF" w:rsidP="00BC1EAB">
      <w:pPr>
        <w:rPr>
          <w:rFonts w:ascii="Segoe UI" w:hAnsi="Segoe UI" w:cs="Segoe UI"/>
          <w:b/>
        </w:rPr>
      </w:pPr>
      <w:r w:rsidRPr="0010048D">
        <w:rPr>
          <w:rFonts w:ascii="Segoe UI" w:hAnsi="Segoe UI" w:cs="Segoe UI"/>
          <w:b/>
        </w:rPr>
        <w:t>Proposed item descriptor:</w:t>
      </w:r>
    </w:p>
    <w:p w14:paraId="0A0ADAB6" w14:textId="77777777" w:rsidR="000A47CF" w:rsidRPr="0010048D" w:rsidRDefault="000A47CF" w:rsidP="00BC1EAB">
      <w:pPr>
        <w:rPr>
          <w:rFonts w:ascii="Segoe UI" w:hAnsi="Segoe UI" w:cs="Segoe UI"/>
          <w:bCs/>
        </w:rPr>
      </w:pPr>
      <w:r>
        <w:rPr>
          <w:rFonts w:ascii="Segoe UI" w:hAnsi="Segoe UI" w:cs="Segoe UI"/>
          <w:bCs/>
        </w:rPr>
        <w:t xml:space="preserve">Immunohistochemical examination of tumour tissue from a patient with locally advanced unresectable or metastatic gastric/gastro-oesophageal junction adenocarcinoma to determine eligibility relating to fibroblast growth factor receptor 2b (FGFR2b) expression for access to treatment with </w:t>
      </w:r>
      <w:proofErr w:type="spellStart"/>
      <w:r>
        <w:rPr>
          <w:rFonts w:ascii="Segoe UI" w:hAnsi="Segoe UI" w:cs="Segoe UI"/>
          <w:bCs/>
        </w:rPr>
        <w:t>bemarituzumab</w:t>
      </w:r>
      <w:proofErr w:type="spellEnd"/>
      <w:r>
        <w:rPr>
          <w:rFonts w:ascii="Segoe UI" w:hAnsi="Segoe UI" w:cs="Segoe UI"/>
          <w:bCs/>
        </w:rPr>
        <w:t xml:space="preserve"> under the Pharmaceutical Benefits Scheme (PBS).</w:t>
      </w:r>
    </w:p>
    <w:p w14:paraId="5D753D80" w14:textId="77777777" w:rsidR="000A47CF" w:rsidRDefault="000A47CF" w:rsidP="00BC1EAB">
      <w:pPr>
        <w:rPr>
          <w:rFonts w:ascii="Segoe UI" w:hAnsi="Segoe UI" w:cs="Segoe UI"/>
          <w:b/>
        </w:rPr>
      </w:pPr>
      <w:r w:rsidRPr="0010048D">
        <w:rPr>
          <w:rFonts w:ascii="Segoe UI" w:hAnsi="Segoe UI" w:cs="Segoe UI"/>
          <w:b/>
        </w:rPr>
        <w:t>Proposed MBS fee:</w:t>
      </w:r>
    </w:p>
    <w:p w14:paraId="75C538FB" w14:textId="77777777" w:rsidR="000A47CF" w:rsidRPr="0010048D" w:rsidRDefault="000A47CF" w:rsidP="00BC1EAB">
      <w:pPr>
        <w:rPr>
          <w:rFonts w:ascii="Segoe UI" w:hAnsi="Segoe UI" w:cs="Segoe UI"/>
          <w:bCs/>
        </w:rPr>
      </w:pPr>
      <w:r>
        <w:rPr>
          <w:rFonts w:ascii="Segoe UI" w:hAnsi="Segoe UI" w:cs="Segoe UI"/>
          <w:bCs/>
        </w:rPr>
        <w:t>$125.00</w:t>
      </w:r>
    </w:p>
    <w:p w14:paraId="2A27DB16" w14:textId="77777777" w:rsidR="000A47CF" w:rsidRDefault="000A47CF" w:rsidP="00BC1EAB">
      <w:pPr>
        <w:rPr>
          <w:rFonts w:ascii="Segoe UI" w:hAnsi="Segoe UI" w:cs="Segoe UI"/>
          <w:b/>
        </w:rPr>
      </w:pPr>
      <w:r w:rsidRPr="0010048D">
        <w:rPr>
          <w:rFonts w:ascii="Segoe UI" w:hAnsi="Segoe UI" w:cs="Segoe UI"/>
          <w:b/>
        </w:rPr>
        <w:t>Indicate the overall cost per patient of providing the proposed health technology:</w:t>
      </w:r>
    </w:p>
    <w:p w14:paraId="560CB607" w14:textId="77777777" w:rsidR="000A47CF" w:rsidRPr="0010048D" w:rsidRDefault="000A47CF" w:rsidP="00BC1EAB">
      <w:pPr>
        <w:rPr>
          <w:rFonts w:ascii="Segoe UI" w:hAnsi="Segoe UI" w:cs="Segoe UI"/>
          <w:bCs/>
        </w:rPr>
      </w:pPr>
      <w:r>
        <w:rPr>
          <w:rFonts w:ascii="Segoe UI" w:hAnsi="Segoe UI" w:cs="Segoe UI"/>
          <w:bCs/>
        </w:rPr>
        <w:t>$125.00</w:t>
      </w:r>
    </w:p>
    <w:p w14:paraId="40B01EFB" w14:textId="77777777" w:rsidR="000A47CF" w:rsidRDefault="000A47CF" w:rsidP="00BC1EAB">
      <w:pPr>
        <w:rPr>
          <w:rFonts w:ascii="Segoe UI" w:hAnsi="Segoe UI" w:cs="Segoe UI"/>
          <w:b/>
        </w:rPr>
      </w:pPr>
      <w:r w:rsidRPr="0010048D">
        <w:rPr>
          <w:rFonts w:ascii="Segoe UI" w:hAnsi="Segoe UI" w:cs="Segoe UI"/>
          <w:b/>
        </w:rPr>
        <w:lastRenderedPageBreak/>
        <w:t>Please specify any anticipated out of pocket expenses:</w:t>
      </w:r>
    </w:p>
    <w:p w14:paraId="3FA1675D" w14:textId="77777777" w:rsidR="000A47CF" w:rsidRPr="0010048D" w:rsidRDefault="000A47CF" w:rsidP="00BC1EAB">
      <w:pPr>
        <w:rPr>
          <w:rFonts w:ascii="Segoe UI" w:hAnsi="Segoe UI" w:cs="Segoe UI"/>
          <w:bCs/>
        </w:rPr>
      </w:pPr>
      <w:r>
        <w:rPr>
          <w:rFonts w:ascii="Segoe UI" w:hAnsi="Segoe UI" w:cs="Segoe UI"/>
          <w:bCs/>
        </w:rPr>
        <w:t>$0.00</w:t>
      </w:r>
    </w:p>
    <w:p w14:paraId="2E072F02" w14:textId="77777777" w:rsidR="000A47CF" w:rsidRDefault="000A47CF" w:rsidP="00BC1EAB">
      <w:pPr>
        <w:rPr>
          <w:rFonts w:ascii="Segoe UI" w:hAnsi="Segoe UI" w:cs="Segoe UI"/>
          <w:b/>
        </w:rPr>
      </w:pPr>
      <w:r w:rsidRPr="0010048D">
        <w:rPr>
          <w:rFonts w:ascii="Segoe UI" w:hAnsi="Segoe UI" w:cs="Segoe UI"/>
          <w:b/>
        </w:rPr>
        <w:t>Provide any further details and explain:</w:t>
      </w:r>
    </w:p>
    <w:p w14:paraId="4CD77B51" w14:textId="2B89676C" w:rsidR="005A460D" w:rsidRPr="000C5B00" w:rsidRDefault="000A47CF" w:rsidP="005A460D">
      <w:pPr>
        <w:rPr>
          <w:rFonts w:ascii="Segoe UI" w:hAnsi="Segoe UI" w:cs="Segoe UI"/>
          <w:bCs/>
        </w:rPr>
      </w:pPr>
      <w:r>
        <w:rPr>
          <w:rFonts w:ascii="Segoe UI" w:hAnsi="Segoe UI" w:cs="Segoe UI"/>
          <w:bCs/>
        </w:rPr>
        <w:t xml:space="preserve">No </w:t>
      </w:r>
      <w:proofErr w:type="gramStart"/>
      <w:r>
        <w:rPr>
          <w:rFonts w:ascii="Segoe UI" w:hAnsi="Segoe UI" w:cs="Segoe UI"/>
          <w:bCs/>
        </w:rPr>
        <w:t>out of pocket</w:t>
      </w:r>
      <w:proofErr w:type="gramEnd"/>
      <w:r>
        <w:rPr>
          <w:rFonts w:ascii="Segoe UI" w:hAnsi="Segoe UI" w:cs="Segoe UI"/>
          <w:bCs/>
        </w:rPr>
        <w:t xml:space="preserve"> costs are expected as the proposed fee is sufficient to cover the cost of the service.</w:t>
      </w:r>
    </w:p>
    <w:p w14:paraId="01A2C046" w14:textId="77777777" w:rsidR="005A460D" w:rsidRPr="0010048D" w:rsidRDefault="005A460D" w:rsidP="005A460D">
      <w:pPr>
        <w:rPr>
          <w:rFonts w:ascii="Segoe UI" w:eastAsia="Segoe UI" w:hAnsi="Segoe UI" w:cs="Segoe UI"/>
          <w:b/>
          <w:color w:val="000000"/>
        </w:rPr>
      </w:pPr>
      <w:r w:rsidRPr="0010048D">
        <w:rPr>
          <w:rFonts w:ascii="Segoe UI" w:eastAsia="Segoe UI" w:hAnsi="Segoe UI" w:cs="Segoe UI"/>
          <w:b/>
          <w:color w:val="000000"/>
        </w:rPr>
        <w:t>How is the technology / service funded at present? (For example: research funding; State-based funding; self-funded by patients; no funding or payments):</w:t>
      </w:r>
    </w:p>
    <w:p w14:paraId="5BB6FBD8" w14:textId="77777777" w:rsidR="005A460D" w:rsidRPr="0010048D" w:rsidRDefault="005A460D" w:rsidP="005A460D">
      <w:pPr>
        <w:rPr>
          <w:rFonts w:ascii="Segoe UI" w:eastAsia="Segoe UI" w:hAnsi="Segoe UI" w:cs="Segoe UI"/>
          <w:color w:val="000000"/>
        </w:rPr>
      </w:pPr>
      <w:r>
        <w:rPr>
          <w:rFonts w:ascii="Segoe UI" w:eastAsia="Segoe UI" w:hAnsi="Segoe UI" w:cs="Segoe UI"/>
          <w:color w:val="000000"/>
        </w:rPr>
        <w:t>FGFR2b testing is not currently funded in Australia</w:t>
      </w:r>
    </w:p>
    <w:p w14:paraId="15E87313" w14:textId="77777777" w:rsidR="005A460D" w:rsidRPr="004B69C0" w:rsidRDefault="005A460D" w:rsidP="005A460D">
      <w:pPr>
        <w:pStyle w:val="Heading2"/>
        <w:rPr>
          <w:rFonts w:ascii="Segoe UI" w:hAnsi="Segoe UI" w:cs="Segoe UI"/>
          <w:b/>
          <w:bCs/>
          <w:sz w:val="32"/>
          <w:szCs w:val="32"/>
        </w:rPr>
      </w:pPr>
      <w:r w:rsidRPr="004B69C0">
        <w:rPr>
          <w:rFonts w:ascii="Segoe UI" w:hAnsi="Segoe UI" w:cs="Segoe UI"/>
          <w:b/>
          <w:bCs/>
          <w:sz w:val="32"/>
          <w:szCs w:val="32"/>
        </w:rPr>
        <w:t>Claims</w:t>
      </w:r>
    </w:p>
    <w:p w14:paraId="11936A89" w14:textId="77777777" w:rsidR="005A460D" w:rsidRPr="0010048D" w:rsidRDefault="005A460D" w:rsidP="005A460D">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5F6AB9F2" w14:textId="77777777" w:rsidR="005A460D" w:rsidRPr="0010048D" w:rsidRDefault="005A460D" w:rsidP="005A460D">
      <w:pPr>
        <w:rPr>
          <w:rFonts w:ascii="Segoe UI" w:eastAsia="Segoe UI" w:hAnsi="Segoe UI" w:cs="Segoe UI"/>
          <w:color w:val="000000"/>
        </w:rPr>
      </w:pPr>
      <w:r>
        <w:rPr>
          <w:rFonts w:ascii="Segoe UI" w:eastAsia="Segoe UI" w:hAnsi="Segoe UI" w:cs="Segoe UI"/>
          <w:color w:val="000000"/>
        </w:rPr>
        <w:t>Superior</w:t>
      </w:r>
    </w:p>
    <w:p w14:paraId="1C6C7140" w14:textId="77777777" w:rsidR="005A460D" w:rsidRPr="0010048D" w:rsidRDefault="005A460D" w:rsidP="005A460D">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07417327" w14:textId="77777777" w:rsidR="005A460D" w:rsidRPr="0010048D" w:rsidRDefault="005A460D" w:rsidP="005A460D">
      <w:pPr>
        <w:rPr>
          <w:rFonts w:ascii="Segoe UI" w:eastAsia="Segoe UI" w:hAnsi="Segoe UI" w:cs="Segoe UI"/>
          <w:color w:val="000000"/>
        </w:rPr>
      </w:pPr>
      <w:r>
        <w:rPr>
          <w:rFonts w:ascii="Segoe UI" w:eastAsia="Segoe UI" w:hAnsi="Segoe UI" w:cs="Segoe UI"/>
          <w:color w:val="000000"/>
        </w:rPr>
        <w:t xml:space="preserve">FGFR2b testing alone will have no impact on health outcomes. However, in combination with </w:t>
      </w:r>
      <w:proofErr w:type="spellStart"/>
      <w:r>
        <w:rPr>
          <w:rFonts w:ascii="Segoe UI" w:eastAsia="Segoe UI" w:hAnsi="Segoe UI" w:cs="Segoe UI"/>
          <w:color w:val="000000"/>
        </w:rPr>
        <w:t>bemarituzumab</w:t>
      </w:r>
      <w:proofErr w:type="spellEnd"/>
      <w:r>
        <w:rPr>
          <w:rFonts w:ascii="Segoe UI" w:eastAsia="Segoe UI" w:hAnsi="Segoe UI" w:cs="Segoe UI"/>
          <w:color w:val="000000"/>
        </w:rPr>
        <w:t xml:space="preserve"> treatment in FGFR2b+ patients, these co-dependent technologies are expected to impact health outcomes in patients with HER2- unresectable locally advanced or metastatic G/GOJC.</w:t>
      </w:r>
      <w:r>
        <w:rPr>
          <w:rFonts w:ascii="Segoe UI" w:eastAsia="Segoe UI" w:hAnsi="Segoe UI" w:cs="Segoe UI"/>
          <w:color w:val="000000"/>
        </w:rPr>
        <w:br/>
      </w:r>
      <w:r>
        <w:rPr>
          <w:rFonts w:ascii="Segoe UI" w:eastAsia="Segoe UI" w:hAnsi="Segoe UI" w:cs="Segoe UI"/>
          <w:color w:val="000000"/>
        </w:rPr>
        <w:br/>
        <w:t xml:space="preserve">In the forthcoming co-dependent (MSAC/PBAC) submission, clinical claims will be based on the indirect comparison of the active Phase 3 FORTITUTE-101 trial (BEMA+CTX vs PBO+CTX) and the Checkmate 649 trial (NIVO+CTX vs PBO+CTX). These clinicals claims are expected to be superior effectiveness and non-inferior safety for the co-dependent technologies of FGFR2b testing and treatment with </w:t>
      </w:r>
      <w:proofErr w:type="spellStart"/>
      <w:r>
        <w:rPr>
          <w:rFonts w:ascii="Segoe UI" w:eastAsia="Segoe UI" w:hAnsi="Segoe UI" w:cs="Segoe UI"/>
          <w:color w:val="000000"/>
        </w:rPr>
        <w:t>bemarituzumab</w:t>
      </w:r>
      <w:proofErr w:type="spellEnd"/>
      <w:r>
        <w:rPr>
          <w:rFonts w:ascii="Segoe UI" w:eastAsia="Segoe UI" w:hAnsi="Segoe UI" w:cs="Segoe UI"/>
          <w:color w:val="000000"/>
        </w:rPr>
        <w:t xml:space="preserve"> (plus chemotherapy) relative to no FGFR2b testing and treatment with nivolumab (plus chemotherapy).</w:t>
      </w:r>
      <w:r>
        <w:rPr>
          <w:rFonts w:ascii="Segoe UI" w:eastAsia="Segoe UI" w:hAnsi="Segoe UI" w:cs="Segoe UI"/>
          <w:color w:val="000000"/>
        </w:rPr>
        <w:br/>
      </w:r>
      <w:r>
        <w:rPr>
          <w:rFonts w:ascii="Segoe UI" w:eastAsia="Segoe UI" w:hAnsi="Segoe UI" w:cs="Segoe UI"/>
          <w:color w:val="000000"/>
        </w:rPr>
        <w:br/>
        <w:t>The expectation of superior effectiveness for BEMA+CTX versus NIVO+CTX is based on the naïve indirect comparison of outcomes from the FIGHT trial and the Checkmate 649 trial, with a 57% reduction in PFS and 48% reduction in OS observed for BEM+CTX vs CTX alone in the ‘</w:t>
      </w:r>
      <w:proofErr w:type="spellStart"/>
      <w:r>
        <w:rPr>
          <w:rFonts w:ascii="Segoe UI" w:eastAsia="Segoe UI" w:hAnsi="Segoe UI" w:cs="Segoe UI"/>
          <w:color w:val="000000"/>
        </w:rPr>
        <w:t>Tumor</w:t>
      </w:r>
      <w:proofErr w:type="spellEnd"/>
      <w:r>
        <w:rPr>
          <w:rFonts w:ascii="Segoe UI" w:eastAsia="Segoe UI" w:hAnsi="Segoe UI" w:cs="Segoe UI"/>
          <w:color w:val="000000"/>
        </w:rPr>
        <w:t xml:space="preserve"> IHC Staining Score of 2+ or 3+ in ≥10% of </w:t>
      </w:r>
      <w:r>
        <w:rPr>
          <w:rFonts w:ascii="Segoe UI" w:eastAsia="Segoe UI" w:hAnsi="Segoe UI" w:cs="Segoe UI"/>
          <w:color w:val="000000"/>
        </w:rPr>
        <w:lastRenderedPageBreak/>
        <w:t>Cells’ subgroup of FIGHT, compared to a 21% reduction in both PFS and OS for NIVO+CTX versus CTX alone in the ‘ITT’ cohort of Checkmate 649.</w:t>
      </w:r>
    </w:p>
    <w:p w14:paraId="74EB5CE8" w14:textId="77777777" w:rsidR="005A460D" w:rsidRPr="004B69C0" w:rsidRDefault="005A460D" w:rsidP="005A460D">
      <w:pPr>
        <w:pStyle w:val="Heading2"/>
        <w:rPr>
          <w:rFonts w:ascii="Segoe UI" w:hAnsi="Segoe UI" w:cs="Segoe UI"/>
          <w:b/>
          <w:bCs/>
          <w:sz w:val="32"/>
          <w:szCs w:val="32"/>
        </w:rPr>
      </w:pPr>
      <w:r w:rsidRPr="004B69C0">
        <w:rPr>
          <w:rFonts w:ascii="Segoe UI" w:hAnsi="Segoe UI" w:cs="Segoe UI"/>
          <w:b/>
          <w:bCs/>
          <w:sz w:val="32"/>
          <w:szCs w:val="32"/>
        </w:rPr>
        <w:t>Estimated utilisation</w:t>
      </w:r>
    </w:p>
    <w:p w14:paraId="045823E6" w14:textId="77777777" w:rsidR="005A460D" w:rsidRPr="0010048D" w:rsidRDefault="005A460D" w:rsidP="005A460D">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4465EC85" w14:textId="77777777" w:rsidR="005A460D" w:rsidRPr="0010048D" w:rsidRDefault="005A460D" w:rsidP="005A460D">
      <w:pPr>
        <w:rPr>
          <w:rFonts w:ascii="Segoe UI" w:eastAsia="Segoe UI" w:hAnsi="Segoe UI" w:cs="Segoe UI"/>
          <w:color w:val="000000"/>
        </w:rPr>
      </w:pPr>
      <w:r>
        <w:rPr>
          <w:rFonts w:ascii="Segoe UI" w:eastAsia="Segoe UI" w:hAnsi="Segoe UI" w:cs="Segoe UI"/>
          <w:color w:val="000000"/>
        </w:rPr>
        <w:t>The incidence of gastric cancer in Australia increased from 2,248 new cases in 2015 to 2,584 new cases in 2024 (AIHW 2024). Based on the extrapolation of these data, it is estimated that 2,669 new cases of gastric cancer will be diagnosed in 2026. The PBAC previously accepted financial estimates for nivolumab in gastric cancer that assumed 84.1% of gastric cancer patients will have adenocarcinoma histology and 75% will be diagnosed with unresectable advanced or metastatic disease (November 2021 nivolumab PSD, Table 14). Based on these assumptions, it is estimated there will be 1,649 incident patients with unresectable advanced or metastatic gastric adenocarcinoma in 2025.</w:t>
      </w:r>
    </w:p>
    <w:p w14:paraId="152F8C7A" w14:textId="77777777" w:rsidR="005A460D" w:rsidRPr="0010048D" w:rsidRDefault="005A460D" w:rsidP="005A460D">
      <w:pPr>
        <w:rPr>
          <w:rFonts w:ascii="Segoe UI" w:eastAsia="Segoe UI" w:hAnsi="Segoe UI" w:cs="Segoe UI"/>
          <w:b/>
          <w:color w:val="000000"/>
        </w:rPr>
      </w:pPr>
      <w:r w:rsidRPr="0010048D">
        <w:rPr>
          <w:rFonts w:ascii="Segoe UI" w:eastAsia="Segoe UI" w:hAnsi="Segoe UI" w:cs="Segoe UI"/>
          <w:b/>
          <w:color w:val="000000"/>
        </w:rPr>
        <w:t>Provide the percentage uptake of the proposed health technology by the proposed population:</w:t>
      </w:r>
    </w:p>
    <w:p w14:paraId="5C2CD5D9" w14:textId="77777777" w:rsidR="005A460D" w:rsidRPr="0010048D" w:rsidRDefault="005A460D" w:rsidP="005A460D">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3F14C225" w14:textId="77777777" w:rsidR="005A460D" w:rsidRPr="0010048D" w:rsidRDefault="005A460D" w:rsidP="005A460D">
      <w:pPr>
        <w:rPr>
          <w:rFonts w:ascii="Segoe UI" w:eastAsia="Segoe UI" w:hAnsi="Segoe UI" w:cs="Segoe UI"/>
          <w:color w:val="000000"/>
        </w:rPr>
      </w:pPr>
      <w:r>
        <w:rPr>
          <w:rFonts w:ascii="Segoe UI" w:eastAsia="Segoe UI" w:hAnsi="Segoe UI" w:cs="Segoe UI"/>
          <w:color w:val="000000"/>
        </w:rPr>
        <w:t>100</w:t>
      </w:r>
    </w:p>
    <w:p w14:paraId="1A68D6E4" w14:textId="77777777" w:rsidR="005A460D" w:rsidRPr="0010048D" w:rsidRDefault="005A460D" w:rsidP="005A460D">
      <w:pPr>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4308AD50" w14:textId="77777777" w:rsidR="005A460D" w:rsidRPr="0010048D" w:rsidRDefault="005A460D" w:rsidP="005A460D">
      <w:pPr>
        <w:rPr>
          <w:rFonts w:ascii="Segoe UI" w:eastAsia="Segoe UI" w:hAnsi="Segoe UI" w:cs="Segoe UI"/>
          <w:color w:val="000000"/>
        </w:rPr>
      </w:pPr>
      <w:r>
        <w:rPr>
          <w:rFonts w:ascii="Segoe UI" w:eastAsia="Segoe UI" w:hAnsi="Segoe UI" w:cs="Segoe UI"/>
          <w:color w:val="000000"/>
        </w:rPr>
        <w:t>100</w:t>
      </w:r>
    </w:p>
    <w:p w14:paraId="3EEDB0A7" w14:textId="77777777" w:rsidR="005A460D" w:rsidRPr="0010048D" w:rsidRDefault="005A460D" w:rsidP="005A460D">
      <w:pPr>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3F9EC14C" w14:textId="77777777" w:rsidR="005A460D" w:rsidRPr="0010048D" w:rsidRDefault="005A460D" w:rsidP="005A460D">
      <w:pPr>
        <w:rPr>
          <w:rFonts w:ascii="Segoe UI" w:eastAsia="Segoe UI" w:hAnsi="Segoe UI" w:cs="Segoe UI"/>
          <w:color w:val="000000"/>
        </w:rPr>
      </w:pPr>
      <w:r>
        <w:rPr>
          <w:rFonts w:ascii="Segoe UI" w:eastAsia="Segoe UI" w:hAnsi="Segoe UI" w:cs="Segoe UI"/>
          <w:color w:val="000000"/>
        </w:rPr>
        <w:t>100</w:t>
      </w:r>
    </w:p>
    <w:p w14:paraId="486A5727" w14:textId="77777777" w:rsidR="005A460D" w:rsidRPr="0010048D" w:rsidRDefault="005A460D" w:rsidP="005A460D">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329E4524" w14:textId="77777777" w:rsidR="005A460D" w:rsidRPr="0010048D" w:rsidRDefault="005A460D" w:rsidP="005A460D">
      <w:pPr>
        <w:rPr>
          <w:rFonts w:ascii="Segoe UI" w:eastAsia="Segoe UI" w:hAnsi="Segoe UI" w:cs="Segoe UI"/>
          <w:color w:val="000000"/>
        </w:rPr>
      </w:pPr>
      <w:r>
        <w:rPr>
          <w:rFonts w:ascii="Segoe UI" w:eastAsia="Segoe UI" w:hAnsi="Segoe UI" w:cs="Segoe UI"/>
          <w:color w:val="000000"/>
        </w:rPr>
        <w:t>100</w:t>
      </w:r>
    </w:p>
    <w:p w14:paraId="7CCF44F9" w14:textId="77777777" w:rsidR="005A460D" w:rsidRPr="0010048D" w:rsidRDefault="005A460D" w:rsidP="005A460D">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36960EED" w14:textId="77777777" w:rsidR="005A460D" w:rsidRPr="0010048D" w:rsidRDefault="005A460D" w:rsidP="005A460D">
      <w:pPr>
        <w:rPr>
          <w:rFonts w:ascii="Segoe UI" w:eastAsia="Segoe UI" w:hAnsi="Segoe UI" w:cs="Segoe UI"/>
          <w:color w:val="000000"/>
        </w:rPr>
      </w:pPr>
      <w:r>
        <w:rPr>
          <w:rFonts w:ascii="Segoe UI" w:eastAsia="Segoe UI" w:hAnsi="Segoe UI" w:cs="Segoe UI"/>
          <w:color w:val="000000"/>
        </w:rPr>
        <w:t>1669</w:t>
      </w:r>
    </w:p>
    <w:p w14:paraId="35C7675A" w14:textId="77777777" w:rsidR="005A460D" w:rsidRPr="0010048D" w:rsidRDefault="005A460D" w:rsidP="005A460D">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3DD4A596" w14:textId="77777777" w:rsidR="005A460D" w:rsidRPr="0010048D" w:rsidRDefault="005A460D" w:rsidP="005A460D">
      <w:pPr>
        <w:rPr>
          <w:rFonts w:ascii="Segoe UI" w:eastAsia="Segoe UI" w:hAnsi="Segoe UI" w:cs="Segoe UI"/>
          <w:color w:val="000000"/>
        </w:rPr>
      </w:pPr>
      <w:r>
        <w:rPr>
          <w:rFonts w:ascii="Segoe UI" w:eastAsia="Segoe UI" w:hAnsi="Segoe UI" w:cs="Segoe UI"/>
          <w:color w:val="000000"/>
        </w:rPr>
        <w:t xml:space="preserve">The estimation of 100% uptake of FGFR2b testing among eligible patients </w:t>
      </w:r>
      <w:proofErr w:type="gramStart"/>
      <w:r>
        <w:rPr>
          <w:rFonts w:ascii="Segoe UI" w:eastAsia="Segoe UI" w:hAnsi="Segoe UI" w:cs="Segoe UI"/>
          <w:color w:val="000000"/>
        </w:rPr>
        <w:t>is based on an assumption</w:t>
      </w:r>
      <w:proofErr w:type="gramEnd"/>
      <w:r>
        <w:rPr>
          <w:rFonts w:ascii="Segoe UI" w:eastAsia="Segoe UI" w:hAnsi="Segoe UI" w:cs="Segoe UI"/>
          <w:color w:val="000000"/>
        </w:rPr>
        <w:t xml:space="preserve"> of superior effectiveness for </w:t>
      </w:r>
      <w:proofErr w:type="spellStart"/>
      <w:r>
        <w:rPr>
          <w:rFonts w:ascii="Segoe UI" w:eastAsia="Segoe UI" w:hAnsi="Segoe UI" w:cs="Segoe UI"/>
          <w:color w:val="000000"/>
        </w:rPr>
        <w:t>bemarituzumab</w:t>
      </w:r>
      <w:proofErr w:type="spellEnd"/>
      <w:r>
        <w:rPr>
          <w:rFonts w:ascii="Segoe UI" w:eastAsia="Segoe UI" w:hAnsi="Segoe UI" w:cs="Segoe UI"/>
          <w:color w:val="000000"/>
        </w:rPr>
        <w:t xml:space="preserve"> (plus chemotherapy) compared to nivolumab (plus chemotherapy) in HER2-/FGFR2b+ patients. Should superior effectiveness be established in the forthcoming co-dependent submission, </w:t>
      </w:r>
      <w:r>
        <w:rPr>
          <w:rFonts w:ascii="Segoe UI" w:eastAsia="Segoe UI" w:hAnsi="Segoe UI" w:cs="Segoe UI"/>
          <w:color w:val="000000"/>
        </w:rPr>
        <w:lastRenderedPageBreak/>
        <w:t xml:space="preserve">then all eligible patients are expected to uptake FGFR2b testing to ensure access to </w:t>
      </w:r>
      <w:proofErr w:type="spellStart"/>
      <w:r>
        <w:rPr>
          <w:rFonts w:ascii="Segoe UI" w:eastAsia="Segoe UI" w:hAnsi="Segoe UI" w:cs="Segoe UI"/>
          <w:color w:val="000000"/>
        </w:rPr>
        <w:t>bemarituzumab</w:t>
      </w:r>
      <w:proofErr w:type="spellEnd"/>
      <w:r>
        <w:rPr>
          <w:rFonts w:ascii="Segoe UI" w:eastAsia="Segoe UI" w:hAnsi="Segoe UI" w:cs="Segoe UI"/>
          <w:color w:val="000000"/>
        </w:rPr>
        <w:t xml:space="preserve"> under the PBS for patients who are HER2- and FGFR2b+. Estimated uptake also reflects the proposed positioning of FGFR2b testing parallel to HER2 testing in G/GOJC.</w:t>
      </w:r>
      <w:r>
        <w:rPr>
          <w:rFonts w:ascii="Segoe UI" w:eastAsia="Segoe UI" w:hAnsi="Segoe UI" w:cs="Segoe UI"/>
          <w:color w:val="000000"/>
        </w:rPr>
        <w:br/>
        <w:t xml:space="preserve">Uptake of </w:t>
      </w:r>
      <w:proofErr w:type="spellStart"/>
      <w:r>
        <w:rPr>
          <w:rFonts w:ascii="Segoe UI" w:eastAsia="Segoe UI" w:hAnsi="Segoe UI" w:cs="Segoe UI"/>
          <w:color w:val="000000"/>
        </w:rPr>
        <w:t>bemarituzumab</w:t>
      </w:r>
      <w:proofErr w:type="spellEnd"/>
      <w:r>
        <w:rPr>
          <w:rFonts w:ascii="Segoe UI" w:eastAsia="Segoe UI" w:hAnsi="Segoe UI" w:cs="Segoe UI"/>
          <w:color w:val="000000"/>
        </w:rPr>
        <w:t xml:space="preserve"> will be estimated in the codependent submission.</w:t>
      </w:r>
    </w:p>
    <w:p w14:paraId="21E146AF" w14:textId="77777777" w:rsidR="005A460D" w:rsidRPr="0010048D" w:rsidRDefault="005A460D" w:rsidP="005A460D">
      <w:pPr>
        <w:rPr>
          <w:rFonts w:ascii="Segoe UI" w:eastAsia="Segoe UI" w:hAnsi="Segoe UI" w:cs="Segoe UI"/>
          <w:b/>
          <w:color w:val="000000"/>
        </w:rPr>
      </w:pPr>
      <w:r w:rsidRPr="0010048D">
        <w:rPr>
          <w:rFonts w:ascii="Segoe UI" w:eastAsia="Segoe UI" w:hAnsi="Segoe UI" w:cs="Segoe UI"/>
          <w:b/>
          <w:color w:val="000000"/>
        </w:rPr>
        <w:t xml:space="preserve">Will the technology be needed more than once per patient? </w:t>
      </w:r>
    </w:p>
    <w:p w14:paraId="50D4F024" w14:textId="77777777" w:rsidR="00045DA9" w:rsidRDefault="005A460D" w:rsidP="00045DA9">
      <w:pPr>
        <w:rPr>
          <w:rFonts w:cs="Segoe UI"/>
        </w:rPr>
      </w:pPr>
      <w:r>
        <w:rPr>
          <w:rFonts w:ascii="Segoe UI" w:eastAsia="Segoe UI" w:hAnsi="Segoe UI" w:cs="Segoe UI"/>
          <w:color w:val="000000"/>
        </w:rPr>
        <w:t>No, once only</w:t>
      </w:r>
    </w:p>
    <w:p w14:paraId="05DFC11F" w14:textId="1BA62B39" w:rsidR="00133449" w:rsidRPr="00045DA9" w:rsidRDefault="00133449" w:rsidP="00045DA9">
      <w:pPr>
        <w:pStyle w:val="Heading1"/>
        <w:rPr>
          <w:rFonts w:cs="Segoe UI"/>
        </w:rPr>
      </w:pPr>
      <w:r w:rsidRPr="0010048D">
        <w:rPr>
          <w:rFonts w:cs="Segoe UI"/>
        </w:rPr>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589A1B32" w14:textId="77777777" w:rsidR="00824EF4" w:rsidRPr="000C5B00" w:rsidRDefault="00824EF4" w:rsidP="0065027C">
      <w:pPr>
        <w:rPr>
          <w:rFonts w:ascii="Segoe UI" w:hAnsi="Segoe UI" w:cs="Segoe UI"/>
          <w:b/>
        </w:rPr>
      </w:pPr>
      <w:r w:rsidRPr="000C5B00">
        <w:rPr>
          <w:rFonts w:ascii="Segoe UI" w:hAnsi="Segoe UI" w:cs="Segoe UI"/>
          <w:b/>
        </w:rPr>
        <w:t>Entity who requests the health technology/service</w:t>
      </w:r>
    </w:p>
    <w:p w14:paraId="7593FED2" w14:textId="77777777" w:rsidR="00824EF4" w:rsidRDefault="00824EF4" w:rsidP="0065027C">
      <w:pPr>
        <w:rPr>
          <w:rFonts w:ascii="Segoe UI" w:hAnsi="Segoe UI" w:cs="Segoe UI"/>
          <w:bCs/>
        </w:rPr>
      </w:pPr>
      <w:r>
        <w:rPr>
          <w:rFonts w:ascii="Segoe UI" w:hAnsi="Segoe UI" w:cs="Segoe UI"/>
          <w:bCs/>
        </w:rPr>
        <w:t>Medical Oncology Group of Australia</w:t>
      </w:r>
    </w:p>
    <w:p w14:paraId="27D5E27D" w14:textId="77777777" w:rsidR="00824EF4" w:rsidRDefault="00824EF4" w:rsidP="0065027C">
      <w:pPr>
        <w:rPr>
          <w:rFonts w:ascii="Segoe UI" w:hAnsi="Segoe UI" w:cs="Segoe UI"/>
          <w:bCs/>
        </w:rPr>
      </w:pPr>
      <w:r>
        <w:rPr>
          <w:rFonts w:ascii="Segoe UI" w:hAnsi="Segoe UI" w:cs="Segoe UI"/>
          <w:bCs/>
        </w:rPr>
        <w:t>Private Cancer Physicians of Australia Limited</w:t>
      </w:r>
    </w:p>
    <w:p w14:paraId="37DD49FF" w14:textId="77777777" w:rsidR="00824EF4" w:rsidRDefault="00824EF4" w:rsidP="0065027C">
      <w:pPr>
        <w:rPr>
          <w:rFonts w:ascii="Segoe UI" w:hAnsi="Segoe UI" w:cs="Segoe UI"/>
          <w:bCs/>
        </w:rPr>
      </w:pPr>
      <w:r>
        <w:rPr>
          <w:rFonts w:ascii="Segoe UI" w:hAnsi="Segoe UI" w:cs="Segoe UI"/>
          <w:bCs/>
        </w:rPr>
        <w:t>Clinical Oncology Society of Australia Limited</w:t>
      </w:r>
    </w:p>
    <w:p w14:paraId="37162639" w14:textId="77777777" w:rsidR="00A860C9" w:rsidRDefault="00A860C9" w:rsidP="00A860C9">
      <w:pPr>
        <w:rPr>
          <w:rFonts w:ascii="Segoe UI" w:hAnsi="Segoe UI" w:cs="Segoe UI"/>
          <w:bCs/>
        </w:rPr>
      </w:pPr>
      <w:r>
        <w:rPr>
          <w:rFonts w:ascii="Segoe UI" w:hAnsi="Segoe UI" w:cs="Segoe UI"/>
          <w:bCs/>
        </w:rPr>
        <w:t>Gastroenterological Society of Australia</w:t>
      </w:r>
    </w:p>
    <w:p w14:paraId="51112563" w14:textId="77777777" w:rsidR="00824EF4" w:rsidRPr="00FB3A5C" w:rsidRDefault="00824EF4" w:rsidP="0065027C">
      <w:pPr>
        <w:rPr>
          <w:rFonts w:ascii="Segoe UI" w:hAnsi="Segoe UI" w:cs="Segoe UI"/>
          <w:b/>
        </w:rPr>
      </w:pPr>
      <w:r w:rsidRPr="00FB3A5C">
        <w:rPr>
          <w:rFonts w:ascii="Segoe UI" w:hAnsi="Segoe UI" w:cs="Segoe UI"/>
          <w:b/>
        </w:rPr>
        <w:t>Entity who may be impacted by the health technology/service</w:t>
      </w:r>
    </w:p>
    <w:p w14:paraId="7A238EB2" w14:textId="77777777" w:rsidR="00824EF4" w:rsidRDefault="00824EF4" w:rsidP="0065027C">
      <w:pPr>
        <w:rPr>
          <w:rFonts w:ascii="Segoe UI" w:hAnsi="Segoe UI" w:cs="Segoe UI"/>
          <w:bCs/>
        </w:rPr>
      </w:pPr>
      <w:r>
        <w:rPr>
          <w:rFonts w:ascii="Segoe UI" w:hAnsi="Segoe UI" w:cs="Segoe UI"/>
          <w:bCs/>
        </w:rPr>
        <w:t>Medical Oncology Group of Australia</w:t>
      </w:r>
    </w:p>
    <w:p w14:paraId="2B0262EE" w14:textId="77777777" w:rsidR="00824EF4" w:rsidRDefault="00824EF4" w:rsidP="0065027C">
      <w:pPr>
        <w:rPr>
          <w:rFonts w:ascii="Segoe UI" w:hAnsi="Segoe UI" w:cs="Segoe UI"/>
          <w:bCs/>
        </w:rPr>
      </w:pPr>
      <w:r>
        <w:rPr>
          <w:rFonts w:ascii="Segoe UI" w:hAnsi="Segoe UI" w:cs="Segoe UI"/>
          <w:bCs/>
        </w:rPr>
        <w:t>Private Cancer Physicians of Australia Limited</w:t>
      </w:r>
    </w:p>
    <w:p w14:paraId="2A726010" w14:textId="77777777" w:rsidR="006C489D" w:rsidRDefault="006C489D" w:rsidP="006C489D">
      <w:pPr>
        <w:rPr>
          <w:rFonts w:ascii="Segoe UI" w:hAnsi="Segoe UI" w:cs="Segoe UI"/>
          <w:bCs/>
        </w:rPr>
      </w:pPr>
      <w:r>
        <w:rPr>
          <w:rFonts w:ascii="Segoe UI" w:hAnsi="Segoe UI" w:cs="Segoe UI"/>
          <w:bCs/>
        </w:rPr>
        <w:t>Gastroenterological Society of Australia</w:t>
      </w:r>
    </w:p>
    <w:p w14:paraId="40654A09" w14:textId="59956222" w:rsidR="006C489D" w:rsidRDefault="006C489D" w:rsidP="0065027C">
      <w:pPr>
        <w:rPr>
          <w:rFonts w:ascii="Segoe UI" w:hAnsi="Segoe UI" w:cs="Segoe UI"/>
          <w:bCs/>
        </w:rPr>
      </w:pPr>
      <w:r w:rsidRPr="00FB3A5C">
        <w:rPr>
          <w:rFonts w:ascii="Segoe UI" w:hAnsi="Segoe UI" w:cs="Segoe UI"/>
          <w:bCs/>
        </w:rPr>
        <w:t>Australasian Gastro-Intestinal Trials Group</w:t>
      </w:r>
    </w:p>
    <w:p w14:paraId="20AA9AFA" w14:textId="35C91DCC" w:rsidR="00553598" w:rsidRDefault="00553598" w:rsidP="0065027C">
      <w:pPr>
        <w:rPr>
          <w:rFonts w:ascii="Segoe UI" w:hAnsi="Segoe UI" w:cs="Segoe UI"/>
          <w:bCs/>
        </w:rPr>
      </w:pPr>
      <w:r w:rsidRPr="00FB3A5C">
        <w:rPr>
          <w:rFonts w:ascii="Segoe UI" w:hAnsi="Segoe UI" w:cs="Segoe UI"/>
          <w:bCs/>
        </w:rPr>
        <w:t>Clinical Oncology Society of Australia Limited</w:t>
      </w:r>
    </w:p>
    <w:p w14:paraId="07535B79" w14:textId="77777777" w:rsidR="003E51C8" w:rsidRPr="00FB3A5C" w:rsidRDefault="003E51C8" w:rsidP="003E51C8">
      <w:pPr>
        <w:rPr>
          <w:rFonts w:ascii="Segoe UI" w:hAnsi="Segoe UI" w:cs="Segoe UI"/>
          <w:b/>
        </w:rPr>
      </w:pPr>
      <w:r w:rsidRPr="00FB3A5C">
        <w:rPr>
          <w:rFonts w:ascii="Segoe UI" w:hAnsi="Segoe UI" w:cs="Segoe UI"/>
          <w:b/>
        </w:rPr>
        <w:t>Entity who provides the health technology/service</w:t>
      </w:r>
    </w:p>
    <w:p w14:paraId="552C1D87" w14:textId="77777777" w:rsidR="00824EF4" w:rsidRDefault="00824EF4" w:rsidP="0065027C">
      <w:pPr>
        <w:rPr>
          <w:rFonts w:ascii="Segoe UI" w:hAnsi="Segoe UI" w:cs="Segoe UI"/>
          <w:bCs/>
        </w:rPr>
      </w:pPr>
      <w:r>
        <w:rPr>
          <w:rFonts w:ascii="Segoe UI" w:hAnsi="Segoe UI" w:cs="Segoe UI"/>
          <w:bCs/>
        </w:rPr>
        <w:t>Royal College of Pathologists of Australasia</w:t>
      </w:r>
    </w:p>
    <w:p w14:paraId="759B384F" w14:textId="79993503" w:rsidR="003E51C8" w:rsidRPr="00FB3A5C" w:rsidRDefault="009D470A" w:rsidP="0065027C">
      <w:pPr>
        <w:rPr>
          <w:rFonts w:ascii="Segoe UI" w:hAnsi="Segoe UI" w:cs="Segoe UI"/>
          <w:b/>
        </w:rPr>
      </w:pPr>
      <w:r w:rsidRPr="00FB3A5C">
        <w:rPr>
          <w:rFonts w:ascii="Segoe UI" w:hAnsi="Segoe UI" w:cs="Segoe UI"/>
          <w:b/>
        </w:rPr>
        <w:t>Patient and consumer advocacy organisations relevant to the proposed service/health technology</w:t>
      </w:r>
    </w:p>
    <w:p w14:paraId="41D9A794" w14:textId="4CBFCFFF" w:rsidR="00824EF4" w:rsidRDefault="00824EF4" w:rsidP="0065027C">
      <w:pPr>
        <w:rPr>
          <w:rFonts w:ascii="Segoe UI" w:hAnsi="Segoe UI" w:cs="Segoe UI"/>
          <w:bCs/>
        </w:rPr>
      </w:pPr>
      <w:r>
        <w:rPr>
          <w:rFonts w:ascii="Segoe UI" w:hAnsi="Segoe UI" w:cs="Segoe UI"/>
          <w:bCs/>
        </w:rPr>
        <w:lastRenderedPageBreak/>
        <w:t>PANCARE Foundation</w:t>
      </w:r>
    </w:p>
    <w:p w14:paraId="093EB7AF" w14:textId="4D59E432" w:rsidR="009D470A" w:rsidRDefault="009D470A" w:rsidP="0065027C">
      <w:pPr>
        <w:rPr>
          <w:rFonts w:ascii="Segoe UI" w:hAnsi="Segoe UI" w:cs="Segoe UI"/>
          <w:bCs/>
        </w:rPr>
      </w:pPr>
      <w:r>
        <w:rPr>
          <w:rFonts w:ascii="Segoe UI" w:hAnsi="Segoe UI" w:cs="Segoe UI"/>
          <w:bCs/>
        </w:rPr>
        <w:t>GI Cancer Institute</w:t>
      </w:r>
    </w:p>
    <w:p w14:paraId="05BE94C6" w14:textId="629DB099" w:rsidR="00133449" w:rsidRPr="0010048D" w:rsidRDefault="00133449" w:rsidP="00713359">
      <w:pPr>
        <w:pStyle w:val="Heading1"/>
        <w:rPr>
          <w:rFonts w:cs="Segoe UI"/>
        </w:rPr>
      </w:pPr>
      <w:r w:rsidRPr="0010048D">
        <w:rPr>
          <w:rFonts w:cs="Segoe UI"/>
        </w:rPr>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Yes</w:t>
      </w:r>
    </w:p>
    <w:p w14:paraId="62BEE89D" w14:textId="0F12AEFD" w:rsidR="00133449" w:rsidRPr="0010048D" w:rsidRDefault="00133449" w:rsidP="00133449">
      <w:pPr>
        <w:rPr>
          <w:rFonts w:ascii="Segoe UI" w:hAnsi="Segoe UI" w:cs="Segoe UI"/>
        </w:rPr>
      </w:pPr>
      <w:r w:rsidRPr="0010048D">
        <w:rPr>
          <w:rFonts w:ascii="Segoe UI" w:eastAsia="Segoe UI" w:hAnsi="Segoe UI" w:cs="Segoe UI"/>
          <w:b/>
          <w:color w:val="000000"/>
        </w:rPr>
        <w:t>Has it been listed or registered or included in the Australian Register of Therapeutic Goods (ARTG) by the Therapeutic Goods Administration (TGA)?</w:t>
      </w:r>
    </w:p>
    <w:p w14:paraId="50EEC45F" w14:textId="77777777" w:rsidR="00133449" w:rsidRPr="007C5FA4" w:rsidRDefault="00133449" w:rsidP="00133449">
      <w:pPr>
        <w:rPr>
          <w:rFonts w:ascii="Segoe UI" w:hAnsi="Segoe UI" w:cs="Segoe UI"/>
        </w:rPr>
      </w:pPr>
      <w:r w:rsidRPr="007C5FA4">
        <w:rPr>
          <w:rFonts w:ascii="Segoe UI" w:eastAsia="Segoe UI" w:hAnsi="Segoe UI" w:cs="Segoe UI"/>
          <w:color w:val="000000"/>
        </w:rPr>
        <w:t>No</w:t>
      </w:r>
    </w:p>
    <w:p w14:paraId="72F05B95"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either a Class III or Active Implantable Medical Device (AIMD) against the TGA regulatory scheme for devices?</w:t>
      </w:r>
    </w:p>
    <w:p w14:paraId="09F652A0" w14:textId="77777777" w:rsidR="00133449" w:rsidRPr="007C5FA4" w:rsidRDefault="00133449" w:rsidP="00133449">
      <w:pPr>
        <w:rPr>
          <w:rFonts w:ascii="Segoe UI" w:hAnsi="Segoe UI" w:cs="Segoe UI"/>
        </w:rPr>
      </w:pPr>
      <w:r w:rsidRPr="007C5FA4">
        <w:rPr>
          <w:rFonts w:ascii="Segoe UI" w:eastAsia="Segoe UI" w:hAnsi="Segoe UI" w:cs="Segoe UI"/>
          <w:color w:val="000000"/>
        </w:rPr>
        <w:t>No</w:t>
      </w:r>
    </w:p>
    <w:p w14:paraId="4FA8464B" w14:textId="77777777" w:rsidR="00133449" w:rsidRPr="0010048D" w:rsidRDefault="00133449" w:rsidP="00133449">
      <w:pPr>
        <w:spacing w:before="240"/>
        <w:rPr>
          <w:rFonts w:ascii="Segoe UI" w:eastAsia="Segoe UI" w:hAnsi="Segoe UI" w:cs="Segoe UI"/>
          <w:b/>
          <w:color w:val="000000"/>
        </w:rPr>
      </w:pPr>
      <w:r w:rsidRPr="0010048D">
        <w:rPr>
          <w:rFonts w:ascii="Segoe UI" w:eastAsia="Segoe UI" w:hAnsi="Segoe UI" w:cs="Segoe UI"/>
          <w:b/>
          <w:color w:val="000000"/>
        </w:rPr>
        <w:t>Is the intended purpose in this application the same as the intended purpose of the ARTG listing(s)?</w:t>
      </w:r>
    </w:p>
    <w:p w14:paraId="0B9D2E55" w14:textId="571ED34C" w:rsidR="00133449" w:rsidRPr="007C5FA4" w:rsidRDefault="00133449" w:rsidP="00133449">
      <w:pPr>
        <w:rPr>
          <w:rFonts w:ascii="Segoe UI" w:eastAsia="Segoe UI" w:hAnsi="Segoe UI" w:cs="Segoe UI"/>
          <w:bCs/>
          <w:color w:val="000000"/>
          <w:sz w:val="22"/>
        </w:rPr>
      </w:pPr>
      <w:r w:rsidRPr="007C5FA4">
        <w:rPr>
          <w:rFonts w:ascii="Segoe UI" w:eastAsia="Segoe UI" w:hAnsi="Segoe UI" w:cs="Segoe UI"/>
          <w:bCs/>
          <w:color w:val="000000"/>
          <w:sz w:val="22"/>
        </w:rPr>
        <w:t>Yes</w:t>
      </w:r>
    </w:p>
    <w:p w14:paraId="2807230F" w14:textId="77777777" w:rsidR="00133449" w:rsidRPr="0010048D" w:rsidRDefault="00133449" w:rsidP="00133449">
      <w:pPr>
        <w:spacing w:before="240"/>
        <w:rPr>
          <w:rFonts w:ascii="Segoe UI" w:hAnsi="Segoe UI" w:cs="Segoe UI"/>
        </w:rPr>
      </w:pPr>
      <w:r w:rsidRPr="0010048D">
        <w:rPr>
          <w:rFonts w:ascii="Segoe UI" w:eastAsia="Segoe UI" w:hAnsi="Segoe UI" w:cs="Segoe UI"/>
          <w:b/>
          <w:color w:val="000000"/>
        </w:rPr>
        <w:t>Is the therapeutic good to be used in the service exempt from the regulatory requirements of the Therapeutic Goods Act 1989?</w:t>
      </w:r>
    </w:p>
    <w:p w14:paraId="34D8C86C" w14:textId="77777777" w:rsidR="00133449" w:rsidRPr="007C5FA4" w:rsidRDefault="00133449" w:rsidP="00133449">
      <w:pPr>
        <w:rPr>
          <w:rFonts w:ascii="Segoe UI" w:eastAsia="Segoe UI" w:hAnsi="Segoe UI" w:cs="Segoe UI"/>
          <w:color w:val="000000"/>
        </w:rPr>
      </w:pPr>
      <w:r w:rsidRPr="007C5FA4">
        <w:rPr>
          <w:rFonts w:ascii="Segoe UI" w:eastAsia="Segoe UI" w:hAnsi="Segoe UI" w:cs="Segoe UI"/>
          <w:color w:val="000000"/>
        </w:rPr>
        <w:t>No</w:t>
      </w:r>
    </w:p>
    <w:p w14:paraId="0BD437C2" w14:textId="2C00E146" w:rsidR="00133449" w:rsidRPr="00D33D07" w:rsidRDefault="00133449" w:rsidP="00D33D07">
      <w:pPr>
        <w:rPr>
          <w:rFonts w:ascii="Segoe UI" w:hAnsi="Segoe UI" w:cs="Segoe UI"/>
        </w:rPr>
      </w:pPr>
      <w:r w:rsidRPr="0010048D">
        <w:rPr>
          <w:rFonts w:ascii="Segoe UI" w:eastAsia="Segoe UI" w:hAnsi="Segoe UI" w:cs="Segoe UI"/>
          <w:b/>
          <w:color w:val="000000"/>
        </w:rPr>
        <w:t>Is the therapeutic good classified by the TGA as for Research Use Only (RUO)?</w:t>
      </w:r>
    </w:p>
    <w:p w14:paraId="676BCB5E" w14:textId="0B879E00" w:rsidR="00133449" w:rsidRPr="007C5FA4" w:rsidRDefault="00D33D07" w:rsidP="00133449">
      <w:pPr>
        <w:rPr>
          <w:rFonts w:ascii="Segoe UI" w:eastAsia="Segoe UI" w:hAnsi="Segoe UI" w:cs="Segoe UI"/>
          <w:color w:val="000000"/>
        </w:rPr>
      </w:pPr>
      <w:r>
        <w:rPr>
          <w:rFonts w:ascii="Segoe UI" w:eastAsia="Segoe UI" w:hAnsi="Segoe UI" w:cs="Segoe UI"/>
          <w:color w:val="000000"/>
        </w:rPr>
        <w:t>Yes</w:t>
      </w:r>
    </w:p>
    <w:p w14:paraId="65D8119A" w14:textId="31D6361D" w:rsidR="00133449" w:rsidRPr="0010048D" w:rsidRDefault="00133449" w:rsidP="00111B42">
      <w:pPr>
        <w:pStyle w:val="Heading1"/>
        <w:rPr>
          <w:rFonts w:cs="Segoe UI"/>
        </w:rPr>
      </w:pPr>
      <w:r w:rsidRPr="0010048D">
        <w:rPr>
          <w:rFonts w:cs="Segoe UI"/>
        </w:rPr>
        <w:t>Codependent details</w:t>
      </w:r>
    </w:p>
    <w:p w14:paraId="2D282DA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Will a submission be made to the Pharmaceutical Benefits Advisory Committee (PBAC)?</w:t>
      </w:r>
    </w:p>
    <w:p w14:paraId="796CC219" w14:textId="77777777" w:rsidR="00133449" w:rsidRPr="007C5FA4" w:rsidRDefault="00133449" w:rsidP="00133449">
      <w:pPr>
        <w:rPr>
          <w:rFonts w:ascii="Segoe UI" w:hAnsi="Segoe UI" w:cs="Segoe UI"/>
        </w:rPr>
      </w:pPr>
      <w:r w:rsidRPr="007C5FA4">
        <w:rPr>
          <w:rFonts w:ascii="Segoe UI" w:eastAsia="Segoe UI" w:hAnsi="Segoe UI" w:cs="Segoe UI"/>
          <w:color w:val="000000"/>
        </w:rPr>
        <w:t>Yes</w:t>
      </w:r>
    </w:p>
    <w:p w14:paraId="5C5F3623"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Please provide a rationale for the </w:t>
      </w:r>
      <w:proofErr w:type="spellStart"/>
      <w:r w:rsidRPr="0010048D">
        <w:rPr>
          <w:rFonts w:ascii="Segoe UI" w:eastAsia="Segoe UI" w:hAnsi="Segoe UI" w:cs="Segoe UI"/>
          <w:b/>
          <w:color w:val="000000"/>
        </w:rPr>
        <w:t>codependency</w:t>
      </w:r>
      <w:proofErr w:type="spellEnd"/>
      <w:r w:rsidRPr="0010048D">
        <w:rPr>
          <w:rFonts w:ascii="Segoe UI" w:eastAsia="Segoe UI" w:hAnsi="Segoe UI" w:cs="Segoe UI"/>
          <w:b/>
          <w:color w:val="000000"/>
        </w:rPr>
        <w:t xml:space="preserve"> and indicate how the proposed PBS restriction would reference the intervention(s) proposed for MSAC consideration:</w:t>
      </w:r>
    </w:p>
    <w:p w14:paraId="4BACBCB3" w14:textId="77777777" w:rsidR="00133449" w:rsidRPr="007C5FA4" w:rsidRDefault="00133449" w:rsidP="00133449">
      <w:pPr>
        <w:rPr>
          <w:rFonts w:ascii="Segoe UI" w:hAnsi="Segoe UI" w:cs="Segoe UI"/>
        </w:rPr>
      </w:pPr>
      <w:r w:rsidRPr="007C5FA4">
        <w:rPr>
          <w:rFonts w:ascii="Segoe UI" w:eastAsia="Segoe UI" w:hAnsi="Segoe UI" w:cs="Segoe UI"/>
          <w:color w:val="000000"/>
        </w:rPr>
        <w:lastRenderedPageBreak/>
        <w:t xml:space="preserve">This application requests MBS funding for the testing of fibroblast growth factor receptor 2b (FGFR2b) expression in patients with unresectable locally advanced or metastatic gastric or gastro-oesophageal junction cancer (G/GOJC), to determine PBS eligibility for </w:t>
      </w:r>
      <w:proofErr w:type="spellStart"/>
      <w:r w:rsidRPr="007C5FA4">
        <w:rPr>
          <w:rFonts w:ascii="Segoe UI" w:eastAsia="Segoe UI" w:hAnsi="Segoe UI" w:cs="Segoe UI"/>
          <w:color w:val="000000"/>
        </w:rPr>
        <w:t>bemarituzumab</w:t>
      </w:r>
      <w:proofErr w:type="spellEnd"/>
      <w:r w:rsidRPr="007C5FA4">
        <w:rPr>
          <w:rFonts w:ascii="Segoe UI" w:eastAsia="Segoe UI" w:hAnsi="Segoe UI" w:cs="Segoe UI"/>
          <w:color w:val="000000"/>
        </w:rPr>
        <w:t xml:space="preserve">. The PBS restriction for </w:t>
      </w:r>
      <w:proofErr w:type="spellStart"/>
      <w:r w:rsidRPr="007C5FA4">
        <w:rPr>
          <w:rFonts w:ascii="Segoe UI" w:eastAsia="Segoe UI" w:hAnsi="Segoe UI" w:cs="Segoe UI"/>
          <w:color w:val="000000"/>
        </w:rPr>
        <w:t>bemarituzumab</w:t>
      </w:r>
      <w:proofErr w:type="spellEnd"/>
      <w:r w:rsidRPr="007C5FA4">
        <w:rPr>
          <w:rFonts w:ascii="Segoe UI" w:eastAsia="Segoe UI" w:hAnsi="Segoe UI" w:cs="Segoe UI"/>
          <w:color w:val="000000"/>
        </w:rPr>
        <w:t xml:space="preserve"> will specify use in patients who test positive for FGFR2b overexpression.</w:t>
      </w:r>
    </w:p>
    <w:bookmarkEnd w:id="0"/>
    <w:p w14:paraId="118D91EB" w14:textId="77777777" w:rsidR="00FB17FD" w:rsidRDefault="00FB17FD"/>
    <w:sectPr w:rsidR="00FB17FD" w:rsidSect="00133449">
      <w:headerReference w:type="default" r:id="rId6"/>
      <w:footerReference w:type="default" r:id="rId7"/>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64AB1" w14:textId="77777777" w:rsidR="00111B42" w:rsidRDefault="00111B42">
      <w:pPr>
        <w:spacing w:after="0" w:line="240" w:lineRule="auto"/>
      </w:pPr>
      <w:r>
        <w:separator/>
      </w:r>
    </w:p>
  </w:endnote>
  <w:endnote w:type="continuationSeparator" w:id="0">
    <w:p w14:paraId="60C57278" w14:textId="77777777" w:rsidR="00111B42" w:rsidRDefault="00111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28947"/>
      <w:docPartObj>
        <w:docPartGallery w:val="Page Numbers (Bottom of Page)"/>
        <w:docPartUnique/>
      </w:docPartObj>
    </w:sdtPr>
    <w:sdtEndPr>
      <w:rPr>
        <w:noProof/>
      </w:rPr>
    </w:sdtEndPr>
    <w:sdtContent>
      <w:p w14:paraId="56932080" w14:textId="77777777" w:rsidR="00FB17FD" w:rsidRDefault="00111B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2B54D" w14:textId="77777777" w:rsidR="00FB17FD" w:rsidRDefault="00FB17FD">
    <w:pPr>
      <w:pStyle w:val="EmptyCellLayoutStyle"/>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3AE88" w14:textId="77777777" w:rsidR="00111B42" w:rsidRDefault="00111B42">
      <w:pPr>
        <w:spacing w:after="0" w:line="240" w:lineRule="auto"/>
      </w:pPr>
      <w:r>
        <w:separator/>
      </w:r>
    </w:p>
  </w:footnote>
  <w:footnote w:type="continuationSeparator" w:id="0">
    <w:p w14:paraId="37940D6D" w14:textId="77777777" w:rsidR="00111B42" w:rsidRDefault="00111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77777777" w:rsidR="00FB17FD" w:rsidRDefault="00111B42">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045DA9"/>
    <w:rsid w:val="000A47CF"/>
    <w:rsid w:val="000B6ADA"/>
    <w:rsid w:val="000C5B00"/>
    <w:rsid w:val="000E4906"/>
    <w:rsid w:val="00111B42"/>
    <w:rsid w:val="00133449"/>
    <w:rsid w:val="001B1A69"/>
    <w:rsid w:val="00265677"/>
    <w:rsid w:val="002E107F"/>
    <w:rsid w:val="002F02CE"/>
    <w:rsid w:val="002F6341"/>
    <w:rsid w:val="003E51C8"/>
    <w:rsid w:val="004449A1"/>
    <w:rsid w:val="004B69C0"/>
    <w:rsid w:val="00553598"/>
    <w:rsid w:val="005A460D"/>
    <w:rsid w:val="00657ECC"/>
    <w:rsid w:val="006C489D"/>
    <w:rsid w:val="00713359"/>
    <w:rsid w:val="00722515"/>
    <w:rsid w:val="007470ED"/>
    <w:rsid w:val="00757266"/>
    <w:rsid w:val="0078118F"/>
    <w:rsid w:val="007D2975"/>
    <w:rsid w:val="007F2BD0"/>
    <w:rsid w:val="00824EF4"/>
    <w:rsid w:val="00826A0C"/>
    <w:rsid w:val="008F2137"/>
    <w:rsid w:val="009260D1"/>
    <w:rsid w:val="009A20F8"/>
    <w:rsid w:val="009A76D6"/>
    <w:rsid w:val="009D470A"/>
    <w:rsid w:val="00A5364D"/>
    <w:rsid w:val="00A860C9"/>
    <w:rsid w:val="00AD1FAF"/>
    <w:rsid w:val="00B119D7"/>
    <w:rsid w:val="00B51712"/>
    <w:rsid w:val="00BC2D0C"/>
    <w:rsid w:val="00BD72C5"/>
    <w:rsid w:val="00D33D07"/>
    <w:rsid w:val="00DC6343"/>
    <w:rsid w:val="00DF4463"/>
    <w:rsid w:val="00E22946"/>
    <w:rsid w:val="00E642C4"/>
    <w:rsid w:val="00EA256A"/>
    <w:rsid w:val="00F87F30"/>
    <w:rsid w:val="00F91B2D"/>
    <w:rsid w:val="00FB17FD"/>
    <w:rsid w:val="00FB3A5C"/>
    <w:rsid w:val="00FD1807"/>
    <w:rsid w:val="00FE6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semiHidden/>
    <w:unhideWhenUsed/>
    <w:qFormat/>
    <w:rsid w:val="005A460D"/>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paragraph" w:styleId="Revision">
    <w:name w:val="Revision"/>
    <w:hidden/>
    <w:uiPriority w:val="99"/>
    <w:semiHidden/>
    <w:rsid w:val="0078118F"/>
    <w:pPr>
      <w:spacing w:after="0" w:line="240" w:lineRule="auto"/>
    </w:pPr>
  </w:style>
  <w:style w:type="character" w:customStyle="1" w:styleId="Heading2Char">
    <w:name w:val="Heading 2 Char"/>
    <w:basedOn w:val="DefaultParagraphFont"/>
    <w:link w:val="Heading2"/>
    <w:uiPriority w:val="9"/>
    <w:semiHidden/>
    <w:rsid w:val="005A460D"/>
    <w:rPr>
      <w:rFonts w:asciiTheme="majorHAnsi" w:eastAsiaTheme="majorEastAsia" w:hAnsiTheme="majorHAnsi" w:cstheme="majorBidi"/>
      <w:color w:val="0F4761" w:themeColor="accent1" w:themeShade="BF"/>
      <w:sz w:val="26"/>
      <w:szCs w:val="26"/>
    </w:rPr>
  </w:style>
  <w:style w:type="paragraph" w:styleId="Header">
    <w:name w:val="header"/>
    <w:basedOn w:val="Normal"/>
    <w:link w:val="HeaderChar"/>
    <w:uiPriority w:val="99"/>
    <w:unhideWhenUsed/>
    <w:rsid w:val="000B6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ADA"/>
  </w:style>
  <w:style w:type="character" w:styleId="CommentReference">
    <w:name w:val="annotation reference"/>
    <w:basedOn w:val="DefaultParagraphFont"/>
    <w:uiPriority w:val="99"/>
    <w:semiHidden/>
    <w:unhideWhenUsed/>
    <w:rsid w:val="002E107F"/>
    <w:rPr>
      <w:sz w:val="16"/>
      <w:szCs w:val="16"/>
    </w:rPr>
  </w:style>
  <w:style w:type="paragraph" w:styleId="CommentText">
    <w:name w:val="annotation text"/>
    <w:basedOn w:val="Normal"/>
    <w:link w:val="CommentTextChar"/>
    <w:uiPriority w:val="99"/>
    <w:unhideWhenUsed/>
    <w:rsid w:val="002E107F"/>
    <w:pPr>
      <w:spacing w:line="240" w:lineRule="auto"/>
    </w:pPr>
    <w:rPr>
      <w:sz w:val="20"/>
      <w:szCs w:val="20"/>
    </w:rPr>
  </w:style>
  <w:style w:type="character" w:customStyle="1" w:styleId="CommentTextChar">
    <w:name w:val="Comment Text Char"/>
    <w:basedOn w:val="DefaultParagraphFont"/>
    <w:link w:val="CommentText"/>
    <w:uiPriority w:val="99"/>
    <w:rsid w:val="002E107F"/>
    <w:rPr>
      <w:sz w:val="20"/>
      <w:szCs w:val="20"/>
    </w:rPr>
  </w:style>
  <w:style w:type="paragraph" w:styleId="CommentSubject">
    <w:name w:val="annotation subject"/>
    <w:basedOn w:val="CommentText"/>
    <w:next w:val="CommentText"/>
    <w:link w:val="CommentSubjectChar"/>
    <w:uiPriority w:val="99"/>
    <w:semiHidden/>
    <w:unhideWhenUsed/>
    <w:rsid w:val="002E107F"/>
    <w:rPr>
      <w:b/>
      <w:bCs/>
    </w:rPr>
  </w:style>
  <w:style w:type="character" w:customStyle="1" w:styleId="CommentSubjectChar">
    <w:name w:val="Comment Subject Char"/>
    <w:basedOn w:val="CommentTextChar"/>
    <w:link w:val="CommentSubject"/>
    <w:uiPriority w:val="99"/>
    <w:semiHidden/>
    <w:rsid w:val="002E10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1703</Words>
  <Characters>10274</Characters>
  <Application>Microsoft Office Word</Application>
  <DocSecurity>0</DocSecurity>
  <Lines>250</Lines>
  <Paragraphs>159</Paragraphs>
  <ScaleCrop>false</ScaleCrop>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2025-01-29T05:22:00Z</dcterms:created>
  <dcterms:modified xsi:type="dcterms:W3CDTF">2025-01-29T05:24:00Z</dcterms:modified>
</cp:coreProperties>
</file>