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4984E410" w:rsidR="00133449" w:rsidRPr="0065027C" w:rsidRDefault="00396B95"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Pr>
          <w:rFonts w:ascii="Segoe UI" w:eastAsiaTheme="minorHAnsi" w:hAnsi="Segoe UI" w:cs="Segoe UI"/>
          <w:b/>
          <w:bCs/>
          <w:lang w:eastAsia="en-US"/>
        </w:rPr>
        <w:t>1790</w:t>
      </w:r>
    </w:p>
    <w:p w14:paraId="084637DB" w14:textId="77777777"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POLE genotyping for the molecular classification of endometrial cancer</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HPP200178</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POLE genotyping for the molecular classification of endometrial cancer</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THE ROYAL COLLEGE OF PATHOLOGISTS OF AUSTRALASIA</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52000173231</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Although the incidence of endometrial carcinoma (EC) is relatively low in Australia compared to other more common cancers, it is the 5th most common cancer in females and the most common gynaecological cancer (95% of diagnosed uterine cancers are endometrial cancers, arising from the inner lining of the uterus).  Incidence of EC has increased over time, and although 5-year survival rates are good (84%), it is still associated with significant morbidity and mortality (1, 2).</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 xml:space="preserve">Molecular characterisation of endometrial malignancies as per diagnostic criteria within the WHO Classification of Female Genital Tumours to establish pathologic risk stratification to guide treatment decisions.  EC should only be classified as </w:t>
      </w:r>
      <w:proofErr w:type="spellStart"/>
      <w:r w:rsidRPr="00DA3592">
        <w:rPr>
          <w:rFonts w:ascii="Segoe UI" w:eastAsia="Segoe UI" w:hAnsi="Segoe UI" w:cs="Segoe UI"/>
          <w:color w:val="000000"/>
        </w:rPr>
        <w:t>POLEmut</w:t>
      </w:r>
      <w:proofErr w:type="spellEnd"/>
      <w:r w:rsidRPr="00DA3592">
        <w:rPr>
          <w:rFonts w:ascii="Segoe UI" w:eastAsia="Segoe UI" w:hAnsi="Segoe UI" w:cs="Segoe UI"/>
          <w:color w:val="000000"/>
        </w:rPr>
        <w:t>, when pathogenic variants of POLE are identified in the exonuclease domain of the POLE gene. The technique used for the mutational analysis of POLE (exons 9, 11, 13, 14) described in the MBS item descriptor should remain agnostic as it is dependent on laboratory expertise and resources. Although Sanger sequencing, polymerase chain reaction (PCR) or next-generation approaches (6, 9) can be used, NGS would be the preferred (gold standard) technique based on sensitivity and lower limit of detection. Although NGS is more expensive, it is cost-effective compared to other methods and would future-proof the item to detect uncommon pathogenic POLE.</w:t>
      </w:r>
    </w:p>
    <w:p w14:paraId="50C1F11C" w14:textId="77777777" w:rsidR="00471AFA" w:rsidRDefault="00471AFA">
      <w:pPr>
        <w:rPr>
          <w:rFonts w:ascii="Segoe UI" w:eastAsia="Segoe UI" w:hAnsi="Segoe UI" w:cs="Segoe UI"/>
          <w:b/>
          <w:color w:val="213E60"/>
          <w:kern w:val="0"/>
          <w:sz w:val="32"/>
          <w:szCs w:val="20"/>
          <w14:ligatures w14:val="none"/>
        </w:rPr>
      </w:pPr>
      <w:r>
        <w:rPr>
          <w:rFonts w:cs="Segoe UI"/>
        </w:rPr>
        <w:br w:type="page"/>
      </w:r>
    </w:p>
    <w:p w14:paraId="6B61DA55" w14:textId="15008A2F" w:rsidR="00133449" w:rsidRPr="0010048D" w:rsidRDefault="00133449" w:rsidP="00133449">
      <w:pPr>
        <w:pStyle w:val="Heading1"/>
        <w:rPr>
          <w:rFonts w:cs="Segoe UI"/>
        </w:rPr>
      </w:pPr>
      <w:r w:rsidRPr="0010048D">
        <w:rPr>
          <w:rFonts w:cs="Segoe UI"/>
        </w:rPr>
        <w:lastRenderedPageBreak/>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THE ROYAL COLLEGE OF PATHOLOGISTS OF AUSTRALASIA</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07026CC2"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select the type of investigative health technology: </w:t>
      </w:r>
    </w:p>
    <w:p w14:paraId="5688E3B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Molecular diagnostic tests</w:t>
      </w:r>
    </w:p>
    <w:p w14:paraId="5C9582FB" w14:textId="0312F2BF"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 xml:space="preserve">Please select the type of molecular diagnostics health technology: </w:t>
      </w:r>
    </w:p>
    <w:p w14:paraId="6ECEAF4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Single gene assay</w:t>
      </w:r>
    </w:p>
    <w:p w14:paraId="64B5E363" w14:textId="77777777" w:rsidR="00094CD9" w:rsidRDefault="00094CD9">
      <w:pPr>
        <w:rPr>
          <w:rFonts w:ascii="Segoe UI" w:eastAsia="Segoe UI" w:hAnsi="Segoe UI" w:cs="Segoe UI"/>
          <w:b/>
          <w:color w:val="213E60"/>
          <w:kern w:val="0"/>
          <w:sz w:val="32"/>
          <w:szCs w:val="20"/>
          <w14:ligatures w14:val="none"/>
        </w:rPr>
      </w:pPr>
      <w:r>
        <w:rPr>
          <w:rFonts w:cs="Segoe UI"/>
        </w:rPr>
        <w:br w:type="page"/>
      </w:r>
    </w:p>
    <w:p w14:paraId="16E68CEB" w14:textId="5E00EDF6" w:rsidR="00133449" w:rsidRPr="0010048D" w:rsidRDefault="00133449" w:rsidP="00133449">
      <w:pPr>
        <w:pStyle w:val="Heading1"/>
        <w:rPr>
          <w:rFonts w:cs="Segoe UI"/>
        </w:rPr>
      </w:pPr>
      <w:r w:rsidRPr="0010048D">
        <w:rPr>
          <w:rFonts w:cs="Segoe UI"/>
        </w:rPr>
        <w:lastRenderedPageBreak/>
        <w:t>PICO sets</w:t>
      </w:r>
    </w:p>
    <w:p w14:paraId="25B8C5A6" w14:textId="77777777" w:rsidR="00133449" w:rsidRDefault="00133449" w:rsidP="00133449">
      <w:pPr>
        <w:rPr>
          <w:rFonts w:ascii="Segoe UI" w:hAnsi="Segoe UI" w:cs="Segoe UI"/>
          <w:b/>
          <w:bCs/>
        </w:rPr>
      </w:pPr>
      <w:r w:rsidRPr="0010048D">
        <w:rPr>
          <w:rFonts w:ascii="Segoe UI" w:hAnsi="Segoe UI" w:cs="Segoe UI"/>
          <w:b/>
          <w:bCs/>
        </w:rPr>
        <w:t>Application PICO sets:</w:t>
      </w:r>
    </w:p>
    <w:p w14:paraId="4694A569" w14:textId="77777777" w:rsidR="00B94577" w:rsidRPr="006C2837" w:rsidRDefault="00B94577" w:rsidP="00325501">
      <w:pPr>
        <w:rPr>
          <w:rFonts w:ascii="Segoe UI" w:hAnsi="Segoe UI" w:cs="Segoe UI"/>
          <w:b/>
          <w:bCs/>
          <w:u w:val="single"/>
        </w:rPr>
      </w:pPr>
      <w:r w:rsidRPr="006C2837">
        <w:rPr>
          <w:rFonts w:ascii="Segoe UI" w:eastAsia="Segoe UI" w:hAnsi="Segoe UI"/>
          <w:b/>
          <w:bCs/>
          <w:color w:val="000000"/>
          <w:sz w:val="22"/>
          <w:u w:val="single"/>
        </w:rPr>
        <w:t>Women with confirmed endometrial cancer undergoing POLE mutational analysis</w:t>
      </w:r>
      <w:r w:rsidRPr="006C2837">
        <w:rPr>
          <w:rFonts w:ascii="Segoe UI" w:hAnsi="Segoe UI" w:cs="Segoe UI"/>
          <w:b/>
          <w:bCs/>
          <w:u w:val="single"/>
        </w:rPr>
        <w:t xml:space="preserve"> </w:t>
      </w:r>
    </w:p>
    <w:p w14:paraId="1DE18BA7" w14:textId="57F072AE" w:rsidR="00325501" w:rsidRDefault="00325501" w:rsidP="00325501">
      <w:pPr>
        <w:rPr>
          <w:rFonts w:ascii="Segoe UI" w:hAnsi="Segoe UI" w:cs="Segoe UI"/>
          <w:i/>
          <w:iCs/>
        </w:rPr>
      </w:pPr>
      <w:r w:rsidRPr="002E3417">
        <w:rPr>
          <w:rFonts w:ascii="Segoe UI" w:hAnsi="Segoe UI" w:cs="Segoe UI"/>
          <w:b/>
          <w:bCs/>
        </w:rPr>
        <w:t>State the purpose(s) of the health technology for this PICO set and provide a rationale:</w:t>
      </w:r>
      <w:r w:rsidRPr="002E3417">
        <w:rPr>
          <w:rFonts w:ascii="Segoe UI" w:hAnsi="Segoe UI" w:cs="Segoe UI"/>
        </w:rPr>
        <w:t xml:space="preserve"> </w:t>
      </w:r>
    </w:p>
    <w:p w14:paraId="025673B1" w14:textId="77777777" w:rsidR="00B94577" w:rsidRPr="0010048D" w:rsidRDefault="00B94577" w:rsidP="00854F3B">
      <w:pPr>
        <w:rPr>
          <w:rFonts w:ascii="Segoe UI" w:hAnsi="Segoe UI" w:cs="Segoe UI"/>
          <w:b/>
          <w:bCs/>
        </w:rPr>
      </w:pPr>
      <w:r w:rsidRPr="0010048D">
        <w:rPr>
          <w:rFonts w:ascii="Segoe UI" w:hAnsi="Segoe UI" w:cs="Segoe UI"/>
          <w:b/>
          <w:bCs/>
        </w:rPr>
        <w:t xml:space="preserve">Purpose category: </w:t>
      </w:r>
    </w:p>
    <w:p w14:paraId="49A0F6A9" w14:textId="77777777" w:rsidR="00B94577" w:rsidRPr="0010048D" w:rsidRDefault="00B94577" w:rsidP="00854F3B">
      <w:pPr>
        <w:rPr>
          <w:rFonts w:ascii="Segoe UI" w:eastAsia="Segoe UI" w:hAnsi="Segoe UI" w:cs="Segoe UI"/>
          <w:color w:val="000000"/>
        </w:rPr>
      </w:pPr>
      <w:r>
        <w:rPr>
          <w:rFonts w:ascii="Segoe UI" w:eastAsia="Segoe UI" w:hAnsi="Segoe UI" w:cs="Segoe UI"/>
          <w:color w:val="000000"/>
        </w:rPr>
        <w:t>Diagnosis / sub-classification</w:t>
      </w:r>
    </w:p>
    <w:p w14:paraId="3F23956D" w14:textId="77777777" w:rsidR="00B94577" w:rsidRPr="0010048D" w:rsidRDefault="00B94577" w:rsidP="00854F3B">
      <w:pPr>
        <w:rPr>
          <w:rFonts w:ascii="Segoe UI" w:hAnsi="Segoe UI" w:cs="Segoe UI"/>
          <w:b/>
          <w:bCs/>
        </w:rPr>
      </w:pPr>
      <w:r w:rsidRPr="0010048D">
        <w:rPr>
          <w:rFonts w:ascii="Segoe UI" w:hAnsi="Segoe UI" w:cs="Segoe UI"/>
          <w:b/>
          <w:bCs/>
        </w:rPr>
        <w:t xml:space="preserve">Purpose description: </w:t>
      </w:r>
    </w:p>
    <w:p w14:paraId="532853E2" w14:textId="77777777" w:rsidR="00B94577" w:rsidRPr="0010048D" w:rsidRDefault="00B94577" w:rsidP="00854F3B">
      <w:pPr>
        <w:rPr>
          <w:rFonts w:ascii="Segoe UI" w:eastAsia="Segoe UI" w:hAnsi="Segoe UI" w:cs="Segoe UI"/>
          <w:color w:val="000000"/>
        </w:rPr>
      </w:pPr>
      <w:r>
        <w:rPr>
          <w:rFonts w:ascii="Segoe UI" w:eastAsia="Segoe UI" w:hAnsi="Segoe UI" w:cs="Segoe UI"/>
          <w:color w:val="000000"/>
        </w:rPr>
        <w:t>To establish a diagnosis or disease (sub)classification in symptomatic or affected patients</w:t>
      </w:r>
    </w:p>
    <w:p w14:paraId="2C98F836" w14:textId="77777777" w:rsidR="00325501" w:rsidRPr="006C2837" w:rsidRDefault="00325501" w:rsidP="00325501">
      <w:pPr>
        <w:pStyle w:val="Heading2"/>
        <w:rPr>
          <w:rFonts w:ascii="Segoe UI" w:hAnsi="Segoe UI" w:cs="Segoe UI"/>
          <w:b/>
          <w:bCs/>
          <w:sz w:val="24"/>
          <w:szCs w:val="24"/>
        </w:rPr>
      </w:pPr>
      <w:r w:rsidRPr="006C2837">
        <w:rPr>
          <w:rFonts w:ascii="Segoe UI" w:hAnsi="Segoe UI" w:cs="Segoe UI"/>
          <w:b/>
          <w:bCs/>
          <w:sz w:val="24"/>
          <w:szCs w:val="24"/>
        </w:rPr>
        <w:t>Population</w:t>
      </w:r>
    </w:p>
    <w:p w14:paraId="03770B8F" w14:textId="77777777" w:rsidR="00325501" w:rsidRPr="0010048D" w:rsidRDefault="00325501" w:rsidP="00325501">
      <w:pPr>
        <w:rPr>
          <w:rFonts w:ascii="Segoe UI" w:hAnsi="Segoe UI" w:cs="Segoe UI"/>
          <w:b/>
          <w:bCs/>
        </w:rPr>
      </w:pPr>
      <w:r w:rsidRPr="0010048D">
        <w:rPr>
          <w:rFonts w:ascii="Segoe UI" w:hAnsi="Segoe UI" w:cs="Segoe UI"/>
          <w:b/>
          <w:bCs/>
        </w:rPr>
        <w:t>Describe the population in which the proposed health technology is intended to be used:</w:t>
      </w:r>
    </w:p>
    <w:p w14:paraId="09031B8F" w14:textId="77777777" w:rsidR="00325501" w:rsidRPr="00EA413F" w:rsidRDefault="00325501" w:rsidP="00325501">
      <w:pPr>
        <w:rPr>
          <w:rFonts w:ascii="Segoe UI" w:hAnsi="Segoe UI" w:cs="Segoe UI"/>
        </w:rPr>
      </w:pPr>
      <w:r>
        <w:rPr>
          <w:rFonts w:ascii="Segoe UI" w:eastAsia="Segoe UI" w:hAnsi="Segoe UI" w:cs="Segoe UI"/>
          <w:color w:val="000000"/>
        </w:rPr>
        <w:t>Uterine cancer is the most common gynaecological cancer diagnosed in Australian women, with 90-95% of these cancers being endometrial cancers, a malignancy arising from the inner epithelial lining of the uterus (Figure 1) (27, 28).</w:t>
      </w:r>
      <w:r>
        <w:rPr>
          <w:rFonts w:ascii="Segoe UI" w:eastAsia="Segoe UI" w:hAnsi="Segoe UI" w:cs="Segoe UI"/>
          <w:color w:val="000000"/>
        </w:rPr>
        <w:br/>
        <w:t>Most patients diagnosed with endometrial cancer are postmenopausal with a median age at diagnosis of 60 years; however, rates of EC are steadily increasing over time, especially in younger, premenopausal women, which may be related to an increase in risk factors including high and rising rates of obesity, and shifts in reproductive trends, including women having fewer children and delaying childbirth until later in life (29). In 2023, the estimated number of women diagnosed with EC in Australia would have been 2,986, equivalent to an age-standardised rate of 21.8 per 100,000 females. Rates of EC increase steadily in women aged &gt;35 years, peaking in the 65–75-year age bracket (Figure 2). Rates of survival are generally extremely good in women with EC, with 84.4% or women surviving 5-years after being diagnosed with EC (95% CI [83.6, 85.2%]) (1, 2).</w:t>
      </w:r>
      <w:r>
        <w:rPr>
          <w:rFonts w:ascii="Segoe UI" w:eastAsia="Segoe UI" w:hAnsi="Segoe UI" w:cs="Segoe UI"/>
          <w:color w:val="000000"/>
        </w:rPr>
        <w:br/>
        <w:t xml:space="preserve">Traditionally, endometrial carcinomas are classified according to histopathological subtypes (Type I and II) and tumour grade (I-III), with Type I (favourable prognosis) primarily composed of grade I or grade II endometrioid adenocarcinomas, and Type II (unfavourable prognosis) including grade III endometrioid adenocarcinomas, serous clear cell, undifferentiated and carcinosarcomas (29, 30).  Although histological classification is useful in determining further surgical and adjuvant </w:t>
      </w:r>
      <w:r>
        <w:rPr>
          <w:rFonts w:ascii="Segoe UI" w:eastAsia="Segoe UI" w:hAnsi="Segoe UI" w:cs="Segoe UI"/>
          <w:color w:val="000000"/>
        </w:rPr>
        <w:lastRenderedPageBreak/>
        <w:t>therapy, decision-making can be complicated by an overlap between the subtype and grade of a tumour as well as interobserver variability in classification. Incorporating molecular classification into the standard histologic classification of EC will precisely define subtypes and guide therapeutic decision-making (29). A diagnostic algorithm may include the use of three immunohistochemical markers (p53, MSH6 and PMS2) as well as mutational analysis of the POLE gene (7). Approximately 7-10% of all ECs have a POLE mutation, characterised by microsatellite stability and a high burden of somatic mutations in the polymerase epsilon DNA (POLE) exonuclease domains (31).</w:t>
      </w:r>
      <w:r>
        <w:rPr>
          <w:rFonts w:ascii="Segoe UI" w:eastAsia="Segoe UI" w:hAnsi="Segoe UI" w:cs="Segoe UI"/>
          <w:color w:val="000000"/>
        </w:rPr>
        <w:br/>
        <w:t xml:space="preserve">Patients who are </w:t>
      </w:r>
      <w:proofErr w:type="spellStart"/>
      <w:r>
        <w:rPr>
          <w:rFonts w:ascii="Segoe UI" w:eastAsia="Segoe UI" w:hAnsi="Segoe UI" w:cs="Segoe UI"/>
          <w:color w:val="000000"/>
        </w:rPr>
        <w:t>POLEmut</w:t>
      </w:r>
      <w:proofErr w:type="spellEnd"/>
      <w:r>
        <w:rPr>
          <w:rFonts w:ascii="Segoe UI" w:eastAsia="Segoe UI" w:hAnsi="Segoe UI" w:cs="Segoe UI"/>
          <w:color w:val="000000"/>
        </w:rPr>
        <w:t xml:space="preserve"> have an excellent prognosis, with comparable recurrence-free and overall survival rates regardless of post-surgical adjuvant therapy (14). Therefore, de-escalation to no adjuvant treatment is recommended for patients with low-risk, stage I-II </w:t>
      </w:r>
      <w:proofErr w:type="spellStart"/>
      <w:r>
        <w:rPr>
          <w:rFonts w:ascii="Segoe UI" w:eastAsia="Segoe UI" w:hAnsi="Segoe UI" w:cs="Segoe UI"/>
          <w:color w:val="000000"/>
        </w:rPr>
        <w:t>POLEmut</w:t>
      </w:r>
      <w:proofErr w:type="spellEnd"/>
      <w:r>
        <w:rPr>
          <w:rFonts w:ascii="Segoe UI" w:eastAsia="Segoe UI" w:hAnsi="Segoe UI" w:cs="Segoe UI"/>
          <w:color w:val="000000"/>
        </w:rPr>
        <w:t xml:space="preserve"> endometrial carcinoma (5, 7, 8). It </w:t>
      </w:r>
      <w:proofErr w:type="gramStart"/>
      <w:r>
        <w:rPr>
          <w:rFonts w:ascii="Segoe UI" w:eastAsia="Segoe UI" w:hAnsi="Segoe UI" w:cs="Segoe UI"/>
          <w:color w:val="000000"/>
        </w:rPr>
        <w:t>is;</w:t>
      </w:r>
      <w:proofErr w:type="gramEnd"/>
      <w:r>
        <w:rPr>
          <w:rFonts w:ascii="Segoe UI" w:eastAsia="Segoe UI" w:hAnsi="Segoe UI" w:cs="Segoe UI"/>
          <w:color w:val="000000"/>
        </w:rPr>
        <w:t xml:space="preserve"> however, recommended that all women with EC undergo risk stratification with POLE mutational analysis regardless of histological classification (11, 32).</w:t>
      </w:r>
    </w:p>
    <w:p w14:paraId="5744EFAD" w14:textId="77777777" w:rsidR="00325501" w:rsidRPr="0010048D" w:rsidRDefault="00325501" w:rsidP="00325501">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0AAB9891" w14:textId="77777777" w:rsidR="00325501" w:rsidRPr="0010048D" w:rsidRDefault="00325501" w:rsidP="00325501">
      <w:pPr>
        <w:rPr>
          <w:rFonts w:ascii="Segoe UI" w:eastAsia="Segoe UI" w:hAnsi="Segoe UI" w:cs="Segoe UI"/>
          <w:color w:val="000000"/>
        </w:rPr>
      </w:pPr>
      <w:r>
        <w:rPr>
          <w:rFonts w:ascii="Segoe UI" w:eastAsia="Segoe UI" w:hAnsi="Segoe UI" w:cs="Segoe UI"/>
          <w:color w:val="000000"/>
        </w:rPr>
        <w:t>Endometrial carcinoma</w:t>
      </w:r>
    </w:p>
    <w:p w14:paraId="7408A88C" w14:textId="77777777" w:rsidR="00325501" w:rsidRPr="007D63CE" w:rsidRDefault="00325501" w:rsidP="00325501">
      <w:pPr>
        <w:pStyle w:val="Heading2"/>
        <w:rPr>
          <w:rFonts w:ascii="Segoe UI" w:hAnsi="Segoe UI" w:cs="Segoe UI"/>
          <w:b/>
          <w:bCs/>
          <w:sz w:val="24"/>
          <w:szCs w:val="24"/>
        </w:rPr>
      </w:pPr>
      <w:r w:rsidRPr="007D63CE">
        <w:rPr>
          <w:rFonts w:ascii="Segoe UI" w:hAnsi="Segoe UI" w:cs="Segoe UI"/>
          <w:b/>
          <w:bCs/>
          <w:sz w:val="24"/>
          <w:szCs w:val="24"/>
        </w:rPr>
        <w:t>Intervention</w:t>
      </w:r>
    </w:p>
    <w:p w14:paraId="0B36F3B4" w14:textId="77777777" w:rsidR="00325501" w:rsidRPr="0010048D" w:rsidRDefault="00325501" w:rsidP="00325501">
      <w:pPr>
        <w:rPr>
          <w:rFonts w:ascii="Segoe UI" w:hAnsi="Segoe UI" w:cs="Segoe UI"/>
          <w:b/>
          <w:bCs/>
        </w:rPr>
      </w:pPr>
      <w:r w:rsidRPr="0010048D">
        <w:rPr>
          <w:rFonts w:ascii="Segoe UI" w:hAnsi="Segoe UI" w:cs="Segoe UI"/>
          <w:b/>
          <w:bCs/>
        </w:rPr>
        <w:t>Name of the proposed health technology:</w:t>
      </w:r>
    </w:p>
    <w:p w14:paraId="56300925" w14:textId="07FF86B7" w:rsidR="00325501" w:rsidRPr="0010048D" w:rsidRDefault="00325501" w:rsidP="00325501">
      <w:pPr>
        <w:rPr>
          <w:rFonts w:ascii="Segoe UI" w:eastAsia="Segoe UI" w:hAnsi="Segoe UI" w:cs="Segoe UI"/>
          <w:color w:val="000000"/>
        </w:rPr>
      </w:pPr>
      <w:r>
        <w:rPr>
          <w:rFonts w:ascii="Segoe UI" w:eastAsia="Segoe UI" w:hAnsi="Segoe UI" w:cs="Segoe UI"/>
          <w:color w:val="000000"/>
        </w:rPr>
        <w:t xml:space="preserve">Molecular characterisation of endometrial malignancies as per WHO diagnostic criteria of Female Genital Tumours </w:t>
      </w:r>
      <w:proofErr w:type="gramStart"/>
      <w:r>
        <w:rPr>
          <w:rFonts w:ascii="Segoe UI" w:eastAsia="Segoe UI" w:hAnsi="Segoe UI" w:cs="Segoe UI"/>
          <w:color w:val="000000"/>
        </w:rPr>
        <w:t>in order to</w:t>
      </w:r>
      <w:proofErr w:type="gramEnd"/>
      <w:r>
        <w:rPr>
          <w:rFonts w:ascii="Segoe UI" w:eastAsia="Segoe UI" w:hAnsi="Segoe UI" w:cs="Segoe UI"/>
          <w:color w:val="000000"/>
        </w:rPr>
        <w:t xml:space="preserve"> establish pathologic risk stratification that can be used to guide treatment decisions. EC should only be classified as </w:t>
      </w:r>
      <w:proofErr w:type="spellStart"/>
      <w:r>
        <w:rPr>
          <w:rFonts w:ascii="Segoe UI" w:eastAsia="Segoe UI" w:hAnsi="Segoe UI" w:cs="Segoe UI"/>
          <w:color w:val="000000"/>
        </w:rPr>
        <w:t>POLEmut</w:t>
      </w:r>
      <w:proofErr w:type="spellEnd"/>
      <w:r>
        <w:rPr>
          <w:rFonts w:ascii="Segoe UI" w:eastAsia="Segoe UI" w:hAnsi="Segoe UI" w:cs="Segoe UI"/>
          <w:color w:val="000000"/>
        </w:rPr>
        <w:t>, when pathogenic variants of POLE are identified in the exonuclease domain of the POLE gene (exons 9, 11, 13, 14) using an agnostic technique</w:t>
      </w:r>
      <w:r w:rsidR="007D63CE">
        <w:rPr>
          <w:rFonts w:ascii="Segoe UI" w:eastAsia="Segoe UI" w:hAnsi="Segoe UI" w:cs="Segoe UI"/>
          <w:color w:val="000000"/>
        </w:rPr>
        <w:t>.</w:t>
      </w:r>
    </w:p>
    <w:p w14:paraId="0BDBB898" w14:textId="77777777" w:rsidR="00325501" w:rsidRPr="007D63CE" w:rsidRDefault="00325501" w:rsidP="00325501">
      <w:pPr>
        <w:pStyle w:val="Heading2"/>
        <w:rPr>
          <w:rFonts w:ascii="Segoe UI" w:hAnsi="Segoe UI" w:cs="Segoe UI"/>
          <w:b/>
          <w:bCs/>
          <w:sz w:val="24"/>
          <w:szCs w:val="24"/>
        </w:rPr>
      </w:pPr>
      <w:r w:rsidRPr="007D63CE">
        <w:rPr>
          <w:rFonts w:ascii="Segoe UI" w:hAnsi="Segoe UI" w:cs="Segoe UI"/>
          <w:b/>
          <w:bCs/>
          <w:sz w:val="24"/>
          <w:szCs w:val="24"/>
        </w:rPr>
        <w:t>Comparator</w:t>
      </w:r>
    </w:p>
    <w:p w14:paraId="07456521" w14:textId="77777777" w:rsidR="00325501" w:rsidRPr="0010048D" w:rsidRDefault="00325501" w:rsidP="00325501">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0C456886" w14:textId="77777777" w:rsidR="00325501" w:rsidRPr="0010048D" w:rsidRDefault="00325501" w:rsidP="00325501">
      <w:pPr>
        <w:rPr>
          <w:rFonts w:ascii="Segoe UI" w:eastAsia="Segoe UI" w:hAnsi="Segoe UI" w:cs="Segoe UI"/>
          <w:color w:val="000000"/>
        </w:rPr>
      </w:pPr>
      <w:r>
        <w:rPr>
          <w:rFonts w:ascii="Segoe UI" w:eastAsia="Segoe UI" w:hAnsi="Segoe UI" w:cs="Segoe UI"/>
          <w:color w:val="000000"/>
        </w:rPr>
        <w:t xml:space="preserve">The nominated comparator is no POLE mutational analysis. Post-surgery, the hysterectomy specimen would undergo MMR, p53 and ER immunohistochemistry, but, in the absence of POLE mutational analysis, de-escalation or escalation of treatment according to mutational analysis would not occur.  Patients would be </w:t>
      </w:r>
      <w:r>
        <w:rPr>
          <w:rFonts w:ascii="Segoe UI" w:eastAsia="Segoe UI" w:hAnsi="Segoe UI" w:cs="Segoe UI"/>
          <w:color w:val="000000"/>
        </w:rPr>
        <w:lastRenderedPageBreak/>
        <w:t xml:space="preserve">treated </w:t>
      </w:r>
      <w:proofErr w:type="gramStart"/>
      <w:r>
        <w:rPr>
          <w:rFonts w:ascii="Segoe UI" w:eastAsia="Segoe UI" w:hAnsi="Segoe UI" w:cs="Segoe UI"/>
          <w:color w:val="000000"/>
        </w:rPr>
        <w:t>on the basis of</w:t>
      </w:r>
      <w:proofErr w:type="gramEnd"/>
      <w:r>
        <w:rPr>
          <w:rFonts w:ascii="Segoe UI" w:eastAsia="Segoe UI" w:hAnsi="Segoe UI" w:cs="Segoe UI"/>
          <w:color w:val="000000"/>
        </w:rPr>
        <w:t xml:space="preserve"> their histological findings alone, which could include observation, radiation, chemotherapy or both.</w:t>
      </w:r>
    </w:p>
    <w:p w14:paraId="5DC7A5BC" w14:textId="77777777" w:rsidR="00325501" w:rsidRPr="007D63CE" w:rsidRDefault="00325501" w:rsidP="00325501">
      <w:pPr>
        <w:pStyle w:val="Heading2"/>
        <w:rPr>
          <w:rFonts w:ascii="Segoe UI" w:hAnsi="Segoe UI" w:cs="Segoe UI"/>
          <w:b/>
          <w:bCs/>
          <w:sz w:val="24"/>
          <w:szCs w:val="24"/>
        </w:rPr>
      </w:pPr>
      <w:r w:rsidRPr="007D63CE">
        <w:rPr>
          <w:rFonts w:ascii="Segoe UI" w:hAnsi="Segoe UI" w:cs="Segoe UI"/>
          <w:b/>
          <w:bCs/>
          <w:sz w:val="24"/>
          <w:szCs w:val="24"/>
        </w:rPr>
        <w:t>Outcomes</w:t>
      </w:r>
    </w:p>
    <w:p w14:paraId="4F2DFAF5" w14:textId="77777777" w:rsidR="00325501" w:rsidRPr="0010048D" w:rsidRDefault="00325501" w:rsidP="00325501">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320164CB" w14:textId="7E94C3D3" w:rsidR="00325501" w:rsidRPr="0010048D" w:rsidRDefault="00325501" w:rsidP="00325501">
      <w:pPr>
        <w:rPr>
          <w:rFonts w:ascii="Segoe UI" w:eastAsia="Segoe UI" w:hAnsi="Segoe UI" w:cs="Segoe UI"/>
          <w:color w:val="000000"/>
        </w:rPr>
      </w:pPr>
      <w:r w:rsidRPr="007D63CE">
        <w:rPr>
          <w:rFonts w:ascii="Segoe UI" w:eastAsia="Segoe UI" w:hAnsi="Segoe UI" w:cs="Segoe UI"/>
          <w:color w:val="000000"/>
          <w:u w:val="single"/>
        </w:rPr>
        <w:t>Safety Outcomes:</w:t>
      </w:r>
      <w:r>
        <w:rPr>
          <w:rFonts w:ascii="Segoe UI" w:eastAsia="Segoe UI" w:hAnsi="Segoe UI" w:cs="Segoe UI"/>
          <w:color w:val="000000"/>
        </w:rPr>
        <w:br/>
        <w:t>Adverse events (AEs) related to POLE testing</w:t>
      </w:r>
      <w:r>
        <w:rPr>
          <w:rFonts w:ascii="Segoe UI" w:eastAsia="Segoe UI" w:hAnsi="Segoe UI" w:cs="Segoe UI"/>
          <w:color w:val="000000"/>
        </w:rPr>
        <w:br/>
        <w:t>AEs from change in patient management (adjuvant therapy verses no adjuvant therapy)</w:t>
      </w:r>
      <w:r>
        <w:rPr>
          <w:rFonts w:ascii="Segoe UI" w:eastAsia="Segoe UI" w:hAnsi="Segoe UI" w:cs="Segoe UI"/>
          <w:color w:val="000000"/>
        </w:rPr>
        <w:br/>
        <w:t>AEs from treatment (if given)</w:t>
      </w:r>
      <w:r>
        <w:rPr>
          <w:rFonts w:ascii="Segoe UI" w:eastAsia="Segoe UI" w:hAnsi="Segoe UI" w:cs="Segoe UI"/>
          <w:color w:val="000000"/>
        </w:rPr>
        <w:br/>
      </w:r>
      <w:r w:rsidRPr="007D63CE">
        <w:rPr>
          <w:rFonts w:ascii="Segoe UI" w:eastAsia="Segoe UI" w:hAnsi="Segoe UI" w:cs="Segoe UI"/>
          <w:color w:val="000000"/>
          <w:u w:val="single"/>
        </w:rPr>
        <w:t>Clinical Effectiveness Outcomes:</w:t>
      </w:r>
      <w:r w:rsidRPr="007D63CE">
        <w:rPr>
          <w:rFonts w:ascii="Segoe UI" w:eastAsia="Segoe UI" w:hAnsi="Segoe UI" w:cs="Segoe UI"/>
          <w:color w:val="000000"/>
          <w:u w:val="single"/>
        </w:rPr>
        <w:br/>
      </w:r>
      <w:r>
        <w:rPr>
          <w:rFonts w:ascii="Segoe UI" w:eastAsia="Segoe UI" w:hAnsi="Segoe UI" w:cs="Segoe UI"/>
          <w:color w:val="000000"/>
        </w:rPr>
        <w:t>Direct evidence:</w:t>
      </w:r>
      <w:r>
        <w:rPr>
          <w:rFonts w:ascii="Segoe UI" w:eastAsia="Segoe UI" w:hAnsi="Segoe UI" w:cs="Segoe UI"/>
          <w:color w:val="000000"/>
        </w:rPr>
        <w:br/>
        <w:t>Change in patient health outcomes: mortality, morbidity, quality of life: Clinical utility: change in patient management/treatment resulting in change in patient outcomes: mortality, morbidity, quality of life: comparing patients who POLE genotyping versus those who did not receive POLE genotyping</w:t>
      </w:r>
      <w:r>
        <w:rPr>
          <w:rFonts w:ascii="Segoe UI" w:eastAsia="Segoe UI" w:hAnsi="Segoe UI" w:cs="Segoe UI"/>
          <w:color w:val="000000"/>
        </w:rPr>
        <w:br/>
        <w:t>Indirect evidence</w:t>
      </w:r>
      <w:r>
        <w:rPr>
          <w:rFonts w:ascii="Segoe UI" w:eastAsia="Segoe UI" w:hAnsi="Segoe UI" w:cs="Segoe UI"/>
          <w:color w:val="000000"/>
        </w:rPr>
        <w:br/>
        <w:t>Clinical utility: change in patient management/treatment resulting in change in patient outcomes: mortality, morbidity, quality of life</w:t>
      </w:r>
      <w:r>
        <w:rPr>
          <w:rFonts w:ascii="Segoe UI" w:eastAsia="Segoe UI" w:hAnsi="Segoe UI" w:cs="Segoe UI"/>
          <w:color w:val="000000"/>
        </w:rPr>
        <w:br/>
        <w:t>Clinical validity: prognostic value: assessment of diagnostic/test accuracy: sensitivity, specificity, number of false positives, number of false negatives, number of inconclusive results</w:t>
      </w:r>
      <w:r>
        <w:rPr>
          <w:rFonts w:ascii="Segoe UI" w:eastAsia="Segoe UI" w:hAnsi="Segoe UI" w:cs="Segoe UI"/>
          <w:color w:val="000000"/>
        </w:rPr>
        <w:br/>
      </w:r>
      <w:r w:rsidRPr="007D63CE">
        <w:rPr>
          <w:rFonts w:ascii="Segoe UI" w:eastAsia="Segoe UI" w:hAnsi="Segoe UI" w:cs="Segoe UI"/>
          <w:color w:val="000000"/>
          <w:u w:val="single"/>
        </w:rPr>
        <w:t>Cost-effectiveness outcomes</w:t>
      </w:r>
      <w:r w:rsidR="007D63CE">
        <w:rPr>
          <w:rFonts w:ascii="Segoe UI" w:eastAsia="Segoe UI" w:hAnsi="Segoe UI" w:cs="Segoe UI"/>
          <w:color w:val="000000"/>
        </w:rPr>
        <w:t>:</w:t>
      </w:r>
      <w:r>
        <w:rPr>
          <w:rFonts w:ascii="Segoe UI" w:eastAsia="Segoe UI" w:hAnsi="Segoe UI" w:cs="Segoe UI"/>
          <w:color w:val="000000"/>
        </w:rPr>
        <w:br/>
        <w:t>Cost per patient with a POLE variant identified.</w:t>
      </w:r>
      <w:r>
        <w:rPr>
          <w:rFonts w:ascii="Segoe UI" w:eastAsia="Segoe UI" w:hAnsi="Segoe UI" w:cs="Segoe UI"/>
          <w:color w:val="000000"/>
        </w:rPr>
        <w:br/>
        <w:t>Cost per patient avoiding adjuvant therapy</w:t>
      </w:r>
      <w:r>
        <w:rPr>
          <w:rFonts w:ascii="Segoe UI" w:eastAsia="Segoe UI" w:hAnsi="Segoe UI" w:cs="Segoe UI"/>
          <w:color w:val="000000"/>
        </w:rPr>
        <w:br/>
        <w:t>Cost per quality-adjusted life year (QALY) gained.</w:t>
      </w:r>
      <w:r>
        <w:rPr>
          <w:rFonts w:ascii="Segoe UI" w:eastAsia="Segoe UI" w:hAnsi="Segoe UI" w:cs="Segoe UI"/>
          <w:color w:val="000000"/>
        </w:rPr>
        <w:br/>
      </w:r>
      <w:r w:rsidRPr="007D63CE">
        <w:rPr>
          <w:rFonts w:ascii="Segoe UI" w:eastAsia="Segoe UI" w:hAnsi="Segoe UI" w:cs="Segoe UI"/>
          <w:color w:val="000000"/>
          <w:u w:val="single"/>
        </w:rPr>
        <w:t>Health system resources:</w:t>
      </w:r>
      <w:r>
        <w:rPr>
          <w:rFonts w:ascii="Segoe UI" w:eastAsia="Segoe UI" w:hAnsi="Segoe UI" w:cs="Segoe UI"/>
          <w:color w:val="000000"/>
        </w:rPr>
        <w:br/>
        <w:t>Cost of molecular testing vs. saving costs of adjuvant therapy</w:t>
      </w:r>
      <w:r>
        <w:rPr>
          <w:rFonts w:ascii="Segoe UI" w:eastAsia="Segoe UI" w:hAnsi="Segoe UI" w:cs="Segoe UI"/>
          <w:color w:val="000000"/>
        </w:rPr>
        <w:br/>
        <w:t>Total Australian Government healthcare costs</w:t>
      </w:r>
      <w:r>
        <w:rPr>
          <w:rFonts w:ascii="Segoe UI" w:eastAsia="Segoe UI" w:hAnsi="Segoe UI" w:cs="Segoe UI"/>
          <w:color w:val="000000"/>
        </w:rPr>
        <w:br/>
      </w:r>
    </w:p>
    <w:p w14:paraId="7A8486C6" w14:textId="77777777" w:rsidR="00325501" w:rsidRPr="007D63CE" w:rsidRDefault="00325501" w:rsidP="00325501">
      <w:pPr>
        <w:pStyle w:val="Heading2"/>
        <w:rPr>
          <w:rFonts w:ascii="Segoe UI" w:hAnsi="Segoe UI" w:cs="Segoe UI"/>
          <w:b/>
          <w:bCs/>
          <w:sz w:val="24"/>
          <w:szCs w:val="24"/>
        </w:rPr>
      </w:pPr>
      <w:r w:rsidRPr="007D63CE">
        <w:rPr>
          <w:rFonts w:ascii="Segoe UI" w:hAnsi="Segoe UI" w:cs="Segoe UI"/>
          <w:b/>
          <w:bCs/>
          <w:sz w:val="24"/>
          <w:szCs w:val="24"/>
        </w:rPr>
        <w:t>Proposed MBS items</w:t>
      </w:r>
    </w:p>
    <w:p w14:paraId="7FB3AC77" w14:textId="77777777" w:rsidR="00BB2A6F" w:rsidRDefault="00BB2A6F" w:rsidP="00854F3B">
      <w:pPr>
        <w:rPr>
          <w:rFonts w:ascii="Segoe UI" w:hAnsi="Segoe UI" w:cs="Segoe UI"/>
          <w:b/>
        </w:rPr>
      </w:pPr>
      <w:r w:rsidRPr="0010048D">
        <w:rPr>
          <w:rFonts w:ascii="Segoe UI" w:hAnsi="Segoe UI" w:cs="Segoe UI"/>
          <w:b/>
        </w:rPr>
        <w:t>Proposed item:</w:t>
      </w:r>
    </w:p>
    <w:p w14:paraId="2AEC5974" w14:textId="77777777" w:rsidR="00BB2A6F" w:rsidRPr="0010048D" w:rsidRDefault="00BB2A6F" w:rsidP="00854F3B">
      <w:pPr>
        <w:rPr>
          <w:rFonts w:ascii="Segoe UI" w:hAnsi="Segoe UI" w:cs="Segoe UI"/>
          <w:bCs/>
        </w:rPr>
      </w:pPr>
      <w:r>
        <w:rPr>
          <w:rFonts w:ascii="Segoe UI" w:hAnsi="Segoe UI" w:cs="Segoe UI"/>
          <w:bCs/>
        </w:rPr>
        <w:t>AAAAA</w:t>
      </w:r>
    </w:p>
    <w:p w14:paraId="4830734F" w14:textId="31876376" w:rsidR="00BB2A6F" w:rsidRDefault="00BB2A6F" w:rsidP="00854F3B">
      <w:pPr>
        <w:rPr>
          <w:rFonts w:ascii="Segoe UI" w:hAnsi="Segoe UI" w:cs="Segoe UI"/>
          <w:b/>
        </w:rPr>
      </w:pPr>
      <w:r w:rsidRPr="0010048D">
        <w:rPr>
          <w:rFonts w:ascii="Segoe UI" w:hAnsi="Segoe UI" w:cs="Segoe UI"/>
          <w:b/>
        </w:rPr>
        <w:t>MBS item number</w:t>
      </w:r>
    </w:p>
    <w:p w14:paraId="05C47213" w14:textId="77777777" w:rsidR="00BB2A6F" w:rsidRPr="0010048D" w:rsidRDefault="00BB2A6F" w:rsidP="00854F3B">
      <w:pPr>
        <w:rPr>
          <w:rFonts w:ascii="Segoe UI" w:hAnsi="Segoe UI" w:cs="Segoe UI"/>
          <w:bCs/>
        </w:rPr>
      </w:pPr>
    </w:p>
    <w:p w14:paraId="5C58E43E" w14:textId="77777777" w:rsidR="00BB2A6F" w:rsidRDefault="00BB2A6F" w:rsidP="00854F3B">
      <w:pPr>
        <w:rPr>
          <w:rFonts w:ascii="Segoe UI" w:hAnsi="Segoe UI" w:cs="Segoe UI"/>
          <w:b/>
        </w:rPr>
      </w:pPr>
      <w:r w:rsidRPr="0010048D">
        <w:rPr>
          <w:rFonts w:ascii="Segoe UI" w:hAnsi="Segoe UI" w:cs="Segoe UI"/>
          <w:b/>
        </w:rPr>
        <w:lastRenderedPageBreak/>
        <w:t>Category number:</w:t>
      </w:r>
    </w:p>
    <w:p w14:paraId="59391835" w14:textId="77777777" w:rsidR="00BB2A6F" w:rsidRPr="0010048D" w:rsidRDefault="00BB2A6F" w:rsidP="00854F3B">
      <w:pPr>
        <w:rPr>
          <w:rFonts w:ascii="Segoe UI" w:hAnsi="Segoe UI" w:cs="Segoe UI"/>
          <w:bCs/>
        </w:rPr>
      </w:pPr>
      <w:r w:rsidRPr="004D6091">
        <w:rPr>
          <w:rFonts w:ascii="Segoe UI" w:hAnsi="Segoe UI" w:cs="Segoe UI"/>
          <w:bCs/>
        </w:rPr>
        <w:t>PATHOLOGY SERVICES</w:t>
      </w:r>
    </w:p>
    <w:p w14:paraId="7E62827D" w14:textId="77777777" w:rsidR="00BB2A6F" w:rsidRDefault="00BB2A6F" w:rsidP="00854F3B">
      <w:pPr>
        <w:rPr>
          <w:rFonts w:ascii="Segoe UI" w:hAnsi="Segoe UI" w:cs="Segoe UI"/>
          <w:b/>
        </w:rPr>
      </w:pPr>
      <w:r w:rsidRPr="0010048D">
        <w:rPr>
          <w:rFonts w:ascii="Segoe UI" w:hAnsi="Segoe UI" w:cs="Segoe UI"/>
          <w:b/>
        </w:rPr>
        <w:t>Category description:</w:t>
      </w:r>
    </w:p>
    <w:p w14:paraId="2435026D" w14:textId="77777777" w:rsidR="00BB2A6F" w:rsidRPr="0010048D" w:rsidRDefault="00BB2A6F" w:rsidP="00854F3B">
      <w:pPr>
        <w:rPr>
          <w:rFonts w:ascii="Segoe UI" w:hAnsi="Segoe UI" w:cs="Segoe UI"/>
          <w:bCs/>
        </w:rPr>
      </w:pPr>
      <w:r>
        <w:rPr>
          <w:rFonts w:ascii="Segoe UI" w:hAnsi="Segoe UI" w:cs="Segoe UI"/>
          <w:bCs/>
        </w:rPr>
        <w:t>GENETICS</w:t>
      </w:r>
    </w:p>
    <w:p w14:paraId="20AAE3BF" w14:textId="77777777" w:rsidR="00BB2A6F" w:rsidRDefault="00BB2A6F" w:rsidP="00854F3B">
      <w:pPr>
        <w:rPr>
          <w:rFonts w:ascii="Segoe UI" w:hAnsi="Segoe UI" w:cs="Segoe UI"/>
          <w:b/>
        </w:rPr>
      </w:pPr>
      <w:r w:rsidRPr="0010048D">
        <w:rPr>
          <w:rFonts w:ascii="Segoe UI" w:hAnsi="Segoe UI" w:cs="Segoe UI"/>
          <w:b/>
        </w:rPr>
        <w:t>Proposed item descriptor:</w:t>
      </w:r>
    </w:p>
    <w:p w14:paraId="56EFC930" w14:textId="77777777" w:rsidR="00BB2A6F" w:rsidRPr="0010048D" w:rsidRDefault="00BB2A6F" w:rsidP="00854F3B">
      <w:pPr>
        <w:rPr>
          <w:rFonts w:ascii="Segoe UI" w:hAnsi="Segoe UI" w:cs="Segoe UI"/>
          <w:bCs/>
        </w:rPr>
      </w:pPr>
      <w:r>
        <w:rPr>
          <w:rFonts w:ascii="Segoe UI" w:hAnsi="Segoe UI" w:cs="Segoe UI"/>
          <w:bCs/>
        </w:rPr>
        <w:t>Characterisation of variants in the exonuclease domain (targeting exons 9, 11 13 and 14 as a minimum) of the POLE gene, requested by a specialist or consultant physician in a patient diagnosed with endometrial carcinoma.</w:t>
      </w:r>
      <w:r>
        <w:rPr>
          <w:rFonts w:ascii="Segoe UI" w:hAnsi="Segoe UI" w:cs="Segoe UI"/>
          <w:bCs/>
        </w:rPr>
        <w:br/>
        <w:t>Applicable once per lifetime</w:t>
      </w:r>
    </w:p>
    <w:p w14:paraId="4806161F" w14:textId="77777777" w:rsidR="00BB2A6F" w:rsidRDefault="00BB2A6F" w:rsidP="00854F3B">
      <w:pPr>
        <w:rPr>
          <w:rFonts w:ascii="Segoe UI" w:hAnsi="Segoe UI" w:cs="Segoe UI"/>
          <w:b/>
        </w:rPr>
      </w:pPr>
      <w:r w:rsidRPr="0010048D">
        <w:rPr>
          <w:rFonts w:ascii="Segoe UI" w:hAnsi="Segoe UI" w:cs="Segoe UI"/>
          <w:b/>
        </w:rPr>
        <w:t>Proposed MBS fee:</w:t>
      </w:r>
    </w:p>
    <w:p w14:paraId="2C8B7B61" w14:textId="77777777" w:rsidR="00BB2A6F" w:rsidRPr="0010048D" w:rsidRDefault="00BB2A6F" w:rsidP="00854F3B">
      <w:pPr>
        <w:rPr>
          <w:rFonts w:ascii="Segoe UI" w:hAnsi="Segoe UI" w:cs="Segoe UI"/>
          <w:bCs/>
        </w:rPr>
      </w:pPr>
      <w:r>
        <w:rPr>
          <w:rFonts w:ascii="Segoe UI" w:hAnsi="Segoe UI" w:cs="Segoe UI"/>
          <w:bCs/>
        </w:rPr>
        <w:t>$550.00</w:t>
      </w:r>
    </w:p>
    <w:p w14:paraId="7E090317" w14:textId="77777777" w:rsidR="00BB2A6F" w:rsidRDefault="00BB2A6F" w:rsidP="00854F3B">
      <w:pPr>
        <w:rPr>
          <w:rFonts w:ascii="Segoe UI" w:hAnsi="Segoe UI" w:cs="Segoe UI"/>
          <w:b/>
        </w:rPr>
      </w:pPr>
      <w:r w:rsidRPr="0010048D">
        <w:rPr>
          <w:rFonts w:ascii="Segoe UI" w:hAnsi="Segoe UI" w:cs="Segoe UI"/>
          <w:b/>
        </w:rPr>
        <w:t>Indicate the overall cost per patient of providing the proposed health technology:</w:t>
      </w:r>
    </w:p>
    <w:p w14:paraId="3AC874CE" w14:textId="77777777" w:rsidR="00BB2A6F" w:rsidRPr="0010048D" w:rsidRDefault="00BB2A6F" w:rsidP="00854F3B">
      <w:pPr>
        <w:rPr>
          <w:rFonts w:ascii="Segoe UI" w:hAnsi="Segoe UI" w:cs="Segoe UI"/>
          <w:bCs/>
        </w:rPr>
      </w:pPr>
      <w:r>
        <w:rPr>
          <w:rFonts w:ascii="Segoe UI" w:hAnsi="Segoe UI" w:cs="Segoe UI"/>
          <w:bCs/>
        </w:rPr>
        <w:t>$550.00</w:t>
      </w:r>
    </w:p>
    <w:p w14:paraId="3735C898" w14:textId="77777777" w:rsidR="00BB2A6F" w:rsidRDefault="00BB2A6F" w:rsidP="00854F3B">
      <w:pPr>
        <w:rPr>
          <w:rFonts w:ascii="Segoe UI" w:hAnsi="Segoe UI" w:cs="Segoe UI"/>
          <w:b/>
        </w:rPr>
      </w:pPr>
      <w:r w:rsidRPr="0010048D">
        <w:rPr>
          <w:rFonts w:ascii="Segoe UI" w:hAnsi="Segoe UI" w:cs="Segoe UI"/>
          <w:b/>
        </w:rPr>
        <w:t>Please specify any anticipated out of pocket expenses:</w:t>
      </w:r>
    </w:p>
    <w:p w14:paraId="255D4D2E" w14:textId="77777777" w:rsidR="00BB2A6F" w:rsidRPr="0010048D" w:rsidRDefault="00BB2A6F" w:rsidP="00854F3B">
      <w:pPr>
        <w:rPr>
          <w:rFonts w:ascii="Segoe UI" w:hAnsi="Segoe UI" w:cs="Segoe UI"/>
          <w:bCs/>
        </w:rPr>
      </w:pPr>
      <w:r>
        <w:rPr>
          <w:rFonts w:ascii="Segoe UI" w:hAnsi="Segoe UI" w:cs="Segoe UI"/>
          <w:bCs/>
        </w:rPr>
        <w:t>$0.00</w:t>
      </w:r>
    </w:p>
    <w:p w14:paraId="0766AF03" w14:textId="77777777" w:rsidR="00BB2A6F" w:rsidRDefault="00BB2A6F" w:rsidP="00854F3B">
      <w:pPr>
        <w:rPr>
          <w:rFonts w:ascii="Segoe UI" w:hAnsi="Segoe UI" w:cs="Segoe UI"/>
          <w:b/>
        </w:rPr>
      </w:pPr>
      <w:r w:rsidRPr="0010048D">
        <w:rPr>
          <w:rFonts w:ascii="Segoe UI" w:hAnsi="Segoe UI" w:cs="Segoe UI"/>
          <w:b/>
        </w:rPr>
        <w:t>Provide any further details and explain:</w:t>
      </w:r>
    </w:p>
    <w:p w14:paraId="0954BCA4" w14:textId="77777777" w:rsidR="00BB2A6F" w:rsidRPr="0010048D" w:rsidRDefault="00BB2A6F" w:rsidP="00854F3B">
      <w:pPr>
        <w:rPr>
          <w:rFonts w:ascii="Segoe UI" w:hAnsi="Segoe UI" w:cs="Segoe UI"/>
          <w:bCs/>
        </w:rPr>
      </w:pPr>
      <w:r>
        <w:rPr>
          <w:rFonts w:ascii="Segoe UI" w:hAnsi="Segoe UI" w:cs="Segoe UI"/>
          <w:bCs/>
        </w:rPr>
        <w:t>Nil</w:t>
      </w:r>
    </w:p>
    <w:p w14:paraId="64D0778F" w14:textId="77777777"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2C87917A" w14:textId="77777777" w:rsidR="00325501" w:rsidRPr="0010048D" w:rsidRDefault="00325501" w:rsidP="00325501">
      <w:pPr>
        <w:rPr>
          <w:rFonts w:ascii="Segoe UI" w:eastAsia="Segoe UI" w:hAnsi="Segoe UI" w:cs="Segoe UI"/>
          <w:color w:val="000000"/>
        </w:rPr>
      </w:pPr>
      <w:r>
        <w:rPr>
          <w:rFonts w:ascii="Segoe UI" w:eastAsia="Segoe UI" w:hAnsi="Segoe UI" w:cs="Segoe UI"/>
          <w:color w:val="000000"/>
        </w:rPr>
        <w:t>Testing is currently funded by state-based funding (if offered) or as an out-of-pocket payment by those informed patients who can afford to pay.</w:t>
      </w:r>
    </w:p>
    <w:p w14:paraId="67E4B7B4" w14:textId="77777777" w:rsidR="00325501" w:rsidRPr="007D63CE" w:rsidRDefault="00325501" w:rsidP="00325501">
      <w:pPr>
        <w:pStyle w:val="Heading2"/>
        <w:rPr>
          <w:rFonts w:ascii="Segoe UI" w:hAnsi="Segoe UI" w:cs="Segoe UI"/>
          <w:b/>
          <w:bCs/>
          <w:sz w:val="24"/>
          <w:szCs w:val="24"/>
        </w:rPr>
      </w:pPr>
      <w:r w:rsidRPr="007D63CE">
        <w:rPr>
          <w:rFonts w:ascii="Segoe UI" w:hAnsi="Segoe UI" w:cs="Segoe UI"/>
          <w:b/>
          <w:bCs/>
          <w:sz w:val="24"/>
          <w:szCs w:val="24"/>
        </w:rPr>
        <w:t>Claims</w:t>
      </w:r>
    </w:p>
    <w:p w14:paraId="4C68720C" w14:textId="77777777"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5DEC0149" w14:textId="77777777" w:rsidR="00325501" w:rsidRPr="0010048D" w:rsidRDefault="00325501" w:rsidP="00325501">
      <w:pPr>
        <w:rPr>
          <w:rFonts w:ascii="Segoe UI" w:eastAsia="Segoe UI" w:hAnsi="Segoe UI" w:cs="Segoe UI"/>
          <w:color w:val="000000"/>
        </w:rPr>
      </w:pPr>
      <w:r>
        <w:rPr>
          <w:rFonts w:ascii="Segoe UI" w:eastAsia="Segoe UI" w:hAnsi="Segoe UI" w:cs="Segoe UI"/>
          <w:color w:val="000000"/>
        </w:rPr>
        <w:t>Superior</w:t>
      </w:r>
    </w:p>
    <w:p w14:paraId="513D392A" w14:textId="77777777" w:rsidR="00F42F6D" w:rsidRDefault="00F42F6D">
      <w:pPr>
        <w:rPr>
          <w:rFonts w:ascii="Segoe UI" w:eastAsia="Segoe UI" w:hAnsi="Segoe UI" w:cs="Segoe UI"/>
          <w:b/>
          <w:color w:val="000000"/>
        </w:rPr>
      </w:pPr>
      <w:r>
        <w:rPr>
          <w:rFonts w:ascii="Segoe UI" w:eastAsia="Segoe UI" w:hAnsi="Segoe UI" w:cs="Segoe UI"/>
          <w:b/>
          <w:color w:val="000000"/>
        </w:rPr>
        <w:br w:type="page"/>
      </w:r>
    </w:p>
    <w:p w14:paraId="41FA3FEF" w14:textId="1B601CCA"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lastRenderedPageBreak/>
        <w:t>Please state what the overall claim is, and provide a rationale:</w:t>
      </w:r>
    </w:p>
    <w:p w14:paraId="38739BAD" w14:textId="01DC49DC" w:rsidR="00325501" w:rsidRPr="0010048D" w:rsidRDefault="00325501" w:rsidP="00325501">
      <w:pPr>
        <w:rPr>
          <w:rFonts w:ascii="Segoe UI" w:eastAsia="Segoe UI" w:hAnsi="Segoe UI" w:cs="Segoe UI"/>
          <w:color w:val="000000"/>
        </w:rPr>
      </w:pPr>
      <w:r>
        <w:rPr>
          <w:rFonts w:ascii="Segoe UI" w:eastAsia="Segoe UI" w:hAnsi="Segoe UI" w:cs="Segoe UI"/>
          <w:color w:val="000000"/>
        </w:rPr>
        <w:t>Given that there is no current MBS item number that covers this testing, this testing is either currently being performed at cost to the referring pathology provider/patient or not being performed. Public funding of these genetic tests would align Australian clinical practice with the established clinical practice guidelines and diagnostic standard of care as stipulated by the revision of the WHO classification of female genital tumours. Access to genetic testing will allow more patients to have a more accurate assessment of the risk of recurrence and the need for adjuvant therapy, resulting in better patient management and improved outcomes.</w:t>
      </w:r>
      <w:r>
        <w:rPr>
          <w:rFonts w:ascii="Segoe UI" w:eastAsia="Segoe UI" w:hAnsi="Segoe UI" w:cs="Segoe UI"/>
          <w:color w:val="000000"/>
        </w:rPr>
        <w:br/>
        <w:t xml:space="preserve">At its August 2019 meeting, MSAC supported genetic tumour testing applications 1526, 1527 and 1528. The PSDs for these applications note that by virtue of their place in the WHO guidelines, the proposed genetic tests have documented clinical utility in these diseases. </w:t>
      </w:r>
      <w:r w:rsidRPr="001B4E28">
        <w:rPr>
          <w:rFonts w:ascii="Segoe UI" w:eastAsia="Segoe UI" w:hAnsi="Segoe UI" w:cs="Segoe UI"/>
          <w:color w:val="000000"/>
        </w:rPr>
        <w:t>MSAC confirmed that it accepts the entry of each test into the WHO guidelines as sufficient demonstration of its diagnostic performance, clinical validity (prognostic value), and clinical utility (resulting in changes to subsequent clinical management), therefore the precedent has been established for MSAC accepting such claims based on WHO guidelines.</w:t>
      </w:r>
      <w:r>
        <w:rPr>
          <w:rFonts w:ascii="Segoe UI" w:eastAsia="Segoe UI" w:hAnsi="Segoe UI" w:cs="Segoe UI"/>
          <w:color w:val="000000"/>
        </w:rPr>
        <w:br/>
        <w:t xml:space="preserve">Recommendations of adjuvant therapy (chemotherapy or radiation therapy) are based on the individual patient's risk of disease recurrence using clinicopathologic factors such as age, stage, grade, </w:t>
      </w:r>
      <w:proofErr w:type="spellStart"/>
      <w:r>
        <w:rPr>
          <w:rFonts w:ascii="Segoe UI" w:eastAsia="Segoe UI" w:hAnsi="Segoe UI" w:cs="Segoe UI"/>
          <w:color w:val="000000"/>
        </w:rPr>
        <w:t>lymphovascular</w:t>
      </w:r>
      <w:proofErr w:type="spellEnd"/>
      <w:r>
        <w:rPr>
          <w:rFonts w:ascii="Segoe UI" w:eastAsia="Segoe UI" w:hAnsi="Segoe UI" w:cs="Segoe UI"/>
          <w:color w:val="000000"/>
        </w:rPr>
        <w:t xml:space="preserve"> invasion, and the presence of molecular variants in, amongst others, the POLE gene (21). By implementing POLE testing in routine diagnostics and omitting adjuvant therapy in EC patients with low-intermediate risk features, overtreatment of a substantial group of patients would be avoided, with a clear impact on the patient's quality of life (19).</w:t>
      </w:r>
    </w:p>
    <w:p w14:paraId="46280C3F" w14:textId="77777777" w:rsidR="00325501" w:rsidRPr="001B4E28" w:rsidRDefault="00325501" w:rsidP="00325501">
      <w:pPr>
        <w:pStyle w:val="Heading2"/>
        <w:rPr>
          <w:rFonts w:ascii="Segoe UI" w:hAnsi="Segoe UI" w:cs="Segoe UI"/>
          <w:b/>
          <w:bCs/>
          <w:sz w:val="24"/>
          <w:szCs w:val="24"/>
        </w:rPr>
      </w:pPr>
      <w:r w:rsidRPr="001B4E28">
        <w:rPr>
          <w:rFonts w:ascii="Segoe UI" w:hAnsi="Segoe UI" w:cs="Segoe UI"/>
          <w:b/>
          <w:bCs/>
          <w:sz w:val="24"/>
          <w:szCs w:val="24"/>
        </w:rPr>
        <w:t>Estimated utilisation</w:t>
      </w:r>
    </w:p>
    <w:p w14:paraId="096AA2E8" w14:textId="77777777"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5AF865D6" w14:textId="7F6E97E0" w:rsidR="00325501" w:rsidRPr="0010048D" w:rsidRDefault="00325501" w:rsidP="00325501">
      <w:pPr>
        <w:rPr>
          <w:rFonts w:ascii="Segoe UI" w:eastAsia="Segoe UI" w:hAnsi="Segoe UI" w:cs="Segoe UI"/>
          <w:color w:val="000000"/>
        </w:rPr>
      </w:pPr>
      <w:r>
        <w:rPr>
          <w:rFonts w:ascii="Segoe UI" w:eastAsia="Segoe UI" w:hAnsi="Segoe UI" w:cs="Segoe UI"/>
          <w:color w:val="000000"/>
        </w:rPr>
        <w:t xml:space="preserve">Some data sources report rates of uterine rather than endometrial cancer, therefore it should be noted that 95% of diagnosed uterine cancers are endometrial cancers, arising from the inner lining of the uterus (27). Although incident rates of uterine cancer are relatively low compared to other cancers, in 2023 it remains the 5th most common cancer in females. Rates of EC have bene reported to be steadily increasing over time, which may be related to an increase in risk factors including high and rising rates of obesity, and shifts in reproductive trends, including women having fewer children and delaying childbirth until later in life. In 2023, it is estimated that 2,986 women would be diagnosed with EC in Australia, equivalent to an age-standardised rate of 21.8 per 100,000 females. Rates of EC increase steadily in </w:t>
      </w:r>
      <w:r>
        <w:rPr>
          <w:rFonts w:ascii="Segoe UI" w:eastAsia="Segoe UI" w:hAnsi="Segoe UI" w:cs="Segoe UI"/>
          <w:color w:val="000000"/>
        </w:rPr>
        <w:lastRenderedPageBreak/>
        <w:t>women aged &gt;35 years, peaking in the 65–75-year age bracket (Figure 5). Rates of survival are extremely good in women with EC, with 84.4% or women surviving 5-years after being diagnosed with EC (95% CI [83.6, 85.2%]) (1, 2).</w:t>
      </w:r>
      <w:r>
        <w:rPr>
          <w:rFonts w:ascii="Segoe UI" w:eastAsia="Segoe UI" w:hAnsi="Segoe UI" w:cs="Segoe UI"/>
          <w:color w:val="000000"/>
        </w:rPr>
        <w:br/>
        <w:t xml:space="preserve">Approximately 7-10% of EC cases are </w:t>
      </w:r>
      <w:proofErr w:type="spellStart"/>
      <w:r>
        <w:rPr>
          <w:rFonts w:ascii="Segoe UI" w:eastAsia="Segoe UI" w:hAnsi="Segoe UI" w:cs="Segoe UI"/>
          <w:color w:val="000000"/>
        </w:rPr>
        <w:t>POLEmut</w:t>
      </w:r>
      <w:proofErr w:type="spellEnd"/>
      <w:r>
        <w:rPr>
          <w:rFonts w:ascii="Segoe UI" w:eastAsia="Segoe UI" w:hAnsi="Segoe UI" w:cs="Segoe UI"/>
          <w:color w:val="000000"/>
        </w:rPr>
        <w:t xml:space="preserve"> (excellent prognosis), with 28% having microsatellite instability (intermediate prognosis), 39% low copy-number (good prognosis) and 26% with high copy number (worst prognosis) (6, 33).</w:t>
      </w:r>
    </w:p>
    <w:p w14:paraId="0667AE7E" w14:textId="77777777"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529DD2E4" w14:textId="77777777"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0BB05ABC" w14:textId="77777777" w:rsidR="00325501" w:rsidRPr="0010048D" w:rsidRDefault="00325501" w:rsidP="00325501">
      <w:pPr>
        <w:rPr>
          <w:rFonts w:ascii="Segoe UI" w:eastAsia="Segoe UI" w:hAnsi="Segoe UI" w:cs="Segoe UI"/>
          <w:color w:val="000000"/>
        </w:rPr>
      </w:pPr>
      <w:r>
        <w:rPr>
          <w:rFonts w:ascii="Segoe UI" w:eastAsia="Segoe UI" w:hAnsi="Segoe UI" w:cs="Segoe UI"/>
          <w:color w:val="000000"/>
        </w:rPr>
        <w:t>100</w:t>
      </w:r>
    </w:p>
    <w:p w14:paraId="079592FA" w14:textId="77777777"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10342889" w14:textId="77777777" w:rsidR="00325501" w:rsidRPr="0010048D" w:rsidRDefault="00325501" w:rsidP="00325501">
      <w:pPr>
        <w:rPr>
          <w:rFonts w:ascii="Segoe UI" w:eastAsia="Segoe UI" w:hAnsi="Segoe UI" w:cs="Segoe UI"/>
          <w:color w:val="000000"/>
        </w:rPr>
      </w:pPr>
      <w:r>
        <w:rPr>
          <w:rFonts w:ascii="Segoe UI" w:eastAsia="Segoe UI" w:hAnsi="Segoe UI" w:cs="Segoe UI"/>
          <w:color w:val="000000"/>
        </w:rPr>
        <w:t>100</w:t>
      </w:r>
    </w:p>
    <w:p w14:paraId="3C03CD96" w14:textId="77777777"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78F2C7B5" w14:textId="77777777" w:rsidR="00325501" w:rsidRPr="0010048D" w:rsidRDefault="00325501" w:rsidP="00325501">
      <w:pPr>
        <w:rPr>
          <w:rFonts w:ascii="Segoe UI" w:eastAsia="Segoe UI" w:hAnsi="Segoe UI" w:cs="Segoe UI"/>
          <w:color w:val="000000"/>
        </w:rPr>
      </w:pPr>
      <w:r>
        <w:rPr>
          <w:rFonts w:ascii="Segoe UI" w:eastAsia="Segoe UI" w:hAnsi="Segoe UI" w:cs="Segoe UI"/>
          <w:color w:val="000000"/>
        </w:rPr>
        <w:t>100</w:t>
      </w:r>
    </w:p>
    <w:p w14:paraId="14E47141" w14:textId="77777777"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1AD97FE4" w14:textId="77777777" w:rsidR="00325501" w:rsidRPr="0010048D" w:rsidRDefault="00325501" w:rsidP="00325501">
      <w:pPr>
        <w:rPr>
          <w:rFonts w:ascii="Segoe UI" w:eastAsia="Segoe UI" w:hAnsi="Segoe UI" w:cs="Segoe UI"/>
          <w:color w:val="000000"/>
        </w:rPr>
      </w:pPr>
      <w:r>
        <w:rPr>
          <w:rFonts w:ascii="Segoe UI" w:eastAsia="Segoe UI" w:hAnsi="Segoe UI" w:cs="Segoe UI"/>
          <w:color w:val="000000"/>
        </w:rPr>
        <w:t>100</w:t>
      </w:r>
    </w:p>
    <w:p w14:paraId="250C06ED" w14:textId="77777777"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5972754F" w14:textId="77777777" w:rsidR="00325501" w:rsidRPr="0010048D" w:rsidRDefault="00325501" w:rsidP="00325501">
      <w:pPr>
        <w:rPr>
          <w:rFonts w:ascii="Segoe UI" w:eastAsia="Segoe UI" w:hAnsi="Segoe UI" w:cs="Segoe UI"/>
          <w:color w:val="000000"/>
        </w:rPr>
      </w:pPr>
      <w:r>
        <w:rPr>
          <w:rFonts w:ascii="Segoe UI" w:eastAsia="Segoe UI" w:hAnsi="Segoe UI" w:cs="Segoe UI"/>
          <w:color w:val="000000"/>
        </w:rPr>
        <w:t>3056</w:t>
      </w:r>
    </w:p>
    <w:p w14:paraId="170B2EEB" w14:textId="77777777"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3AD7E74E" w14:textId="77777777" w:rsidR="00F42F6D" w:rsidRDefault="00325501" w:rsidP="00325501">
      <w:pPr>
        <w:rPr>
          <w:rFonts w:ascii="Segoe UI" w:eastAsia="Segoe UI" w:hAnsi="Segoe UI" w:cs="Segoe UI"/>
          <w:color w:val="000000"/>
        </w:rPr>
      </w:pPr>
      <w:r>
        <w:rPr>
          <w:rFonts w:ascii="Segoe UI" w:eastAsia="Segoe UI" w:hAnsi="Segoe UI" w:cs="Segoe UI"/>
          <w:color w:val="000000"/>
        </w:rPr>
        <w:t>All women with EC confirmed after surgery should undergo POLE mutational analysis. This would equate to approximately 3,056 women being tested in the first year of the proposed medical service. Over the past 3-years in Australia, the number of newly diagnosed endometrial cancer cases has increased by an average of 2.36 percent each year (2).</w:t>
      </w:r>
      <w:r>
        <w:rPr>
          <w:rFonts w:ascii="Segoe UI" w:eastAsia="Segoe UI" w:hAnsi="Segoe UI" w:cs="Segoe UI"/>
          <w:color w:val="000000"/>
        </w:rPr>
        <w:br/>
      </w:r>
    </w:p>
    <w:p w14:paraId="4BBB01FA" w14:textId="0A01CB97" w:rsidR="00F42F6D" w:rsidRPr="00F42F6D" w:rsidRDefault="00325501">
      <w:pPr>
        <w:rPr>
          <w:rFonts w:ascii="Segoe UI" w:eastAsia="Segoe UI" w:hAnsi="Segoe UI" w:cs="Segoe UI"/>
          <w:color w:val="000000"/>
        </w:rPr>
      </w:pPr>
      <w:r>
        <w:rPr>
          <w:rFonts w:ascii="Segoe UI" w:eastAsia="Segoe UI" w:hAnsi="Segoe UI" w:cs="Segoe UI"/>
          <w:color w:val="000000"/>
        </w:rPr>
        <w:t>Therefore:</w:t>
      </w:r>
      <w:r>
        <w:rPr>
          <w:rFonts w:ascii="Segoe UI" w:eastAsia="Segoe UI" w:hAnsi="Segoe UI" w:cs="Segoe UI"/>
          <w:color w:val="000000"/>
        </w:rPr>
        <w:br/>
        <w:t>2023 = 2,986</w:t>
      </w:r>
      <w:r>
        <w:rPr>
          <w:rFonts w:ascii="Segoe UI" w:eastAsia="Segoe UI" w:hAnsi="Segoe UI" w:cs="Segoe UI"/>
          <w:color w:val="000000"/>
        </w:rPr>
        <w:br/>
        <w:t>Expected 2024 = 3,056</w:t>
      </w:r>
      <w:r>
        <w:rPr>
          <w:rFonts w:ascii="Segoe UI" w:eastAsia="Segoe UI" w:hAnsi="Segoe UI" w:cs="Segoe UI"/>
          <w:color w:val="000000"/>
        </w:rPr>
        <w:br/>
        <w:t>Expected 2025 = 3,128</w:t>
      </w:r>
      <w:r>
        <w:rPr>
          <w:rFonts w:ascii="Segoe UI" w:eastAsia="Segoe UI" w:hAnsi="Segoe UI" w:cs="Segoe UI"/>
          <w:color w:val="000000"/>
        </w:rPr>
        <w:br/>
        <w:t>Expected 2026 = 3,202</w:t>
      </w:r>
    </w:p>
    <w:p w14:paraId="4586DA0D" w14:textId="34C6DA8C" w:rsidR="00325501" w:rsidRPr="0010048D" w:rsidRDefault="00325501" w:rsidP="00325501">
      <w:pPr>
        <w:rPr>
          <w:rFonts w:ascii="Segoe UI" w:eastAsia="Segoe UI" w:hAnsi="Segoe UI" w:cs="Segoe UI"/>
          <w:b/>
          <w:color w:val="000000"/>
        </w:rPr>
      </w:pPr>
      <w:r w:rsidRPr="0010048D">
        <w:rPr>
          <w:rFonts w:ascii="Segoe UI" w:eastAsia="Segoe UI" w:hAnsi="Segoe UI" w:cs="Segoe UI"/>
          <w:b/>
          <w:color w:val="000000"/>
        </w:rPr>
        <w:lastRenderedPageBreak/>
        <w:t xml:space="preserve">Will the technology be needed more than once per patient? </w:t>
      </w:r>
    </w:p>
    <w:p w14:paraId="61680C32" w14:textId="77777777" w:rsidR="00325501" w:rsidRPr="0010048D" w:rsidRDefault="00325501" w:rsidP="00325501">
      <w:pPr>
        <w:rPr>
          <w:rFonts w:ascii="Segoe UI" w:eastAsia="Segoe UI" w:hAnsi="Segoe UI" w:cs="Segoe UI"/>
          <w:color w:val="000000"/>
        </w:rPr>
      </w:pPr>
      <w:r>
        <w:rPr>
          <w:rFonts w:ascii="Segoe UI" w:eastAsia="Segoe UI" w:hAnsi="Segoe UI" w:cs="Segoe UI"/>
          <w:color w:val="000000"/>
        </w:rPr>
        <w:t>No, once only</w:t>
      </w:r>
    </w:p>
    <w:p w14:paraId="05DFC11F" w14:textId="77777777"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1F47D480" w14:textId="3FB35981" w:rsidR="00A266E0" w:rsidRPr="001B4E28" w:rsidRDefault="00A266E0" w:rsidP="0065027C">
      <w:pPr>
        <w:rPr>
          <w:rFonts w:ascii="Segoe UI" w:hAnsi="Segoe UI" w:cs="Segoe UI"/>
          <w:b/>
        </w:rPr>
      </w:pPr>
      <w:r w:rsidRPr="001B4E28">
        <w:rPr>
          <w:rFonts w:ascii="Segoe UI" w:hAnsi="Segoe UI" w:cs="Segoe UI"/>
          <w:b/>
        </w:rPr>
        <w:t>Entit</w:t>
      </w:r>
      <w:r w:rsidR="001B4E28">
        <w:rPr>
          <w:rFonts w:ascii="Segoe UI" w:hAnsi="Segoe UI" w:cs="Segoe UI"/>
          <w:b/>
        </w:rPr>
        <w:t>ies</w:t>
      </w:r>
      <w:r w:rsidRPr="001B4E28">
        <w:rPr>
          <w:rFonts w:ascii="Segoe UI" w:hAnsi="Segoe UI" w:cs="Segoe UI"/>
          <w:b/>
        </w:rPr>
        <w:t xml:space="preserve"> who provide the health technology/service</w:t>
      </w:r>
    </w:p>
    <w:p w14:paraId="76442066" w14:textId="77777777" w:rsidR="00A266E0" w:rsidRDefault="00A266E0" w:rsidP="0065027C">
      <w:pPr>
        <w:rPr>
          <w:rFonts w:ascii="Segoe UI" w:hAnsi="Segoe UI" w:cs="Segoe UI"/>
          <w:bCs/>
        </w:rPr>
      </w:pPr>
      <w:r>
        <w:rPr>
          <w:rFonts w:ascii="Segoe UI" w:hAnsi="Segoe UI" w:cs="Segoe UI"/>
          <w:bCs/>
        </w:rPr>
        <w:t>Australian Pathology</w:t>
      </w:r>
    </w:p>
    <w:p w14:paraId="63DCB28F" w14:textId="77777777" w:rsidR="00946ECB" w:rsidRDefault="00946ECB" w:rsidP="00946ECB">
      <w:pPr>
        <w:rPr>
          <w:rFonts w:ascii="Segoe UI" w:hAnsi="Segoe UI" w:cs="Segoe UI"/>
          <w:bCs/>
        </w:rPr>
      </w:pPr>
      <w:r>
        <w:rPr>
          <w:rFonts w:ascii="Segoe UI" w:hAnsi="Segoe UI" w:cs="Segoe UI"/>
          <w:bCs/>
        </w:rPr>
        <w:t>Public Pathology Australia</w:t>
      </w:r>
    </w:p>
    <w:p w14:paraId="49F54467" w14:textId="5E7D7BC2" w:rsidR="002C36D7" w:rsidRPr="001B4E28" w:rsidRDefault="002C36D7" w:rsidP="002C36D7">
      <w:pPr>
        <w:rPr>
          <w:rFonts w:ascii="Segoe UI" w:hAnsi="Segoe UI" w:cs="Segoe UI"/>
          <w:b/>
        </w:rPr>
      </w:pPr>
      <w:r w:rsidRPr="001B4E28">
        <w:rPr>
          <w:rFonts w:ascii="Segoe UI" w:hAnsi="Segoe UI" w:cs="Segoe UI"/>
          <w:b/>
        </w:rPr>
        <w:t>Entit</w:t>
      </w:r>
      <w:r w:rsidR="001B4E28">
        <w:rPr>
          <w:rFonts w:ascii="Segoe UI" w:hAnsi="Segoe UI" w:cs="Segoe UI"/>
          <w:b/>
        </w:rPr>
        <w:t>ies</w:t>
      </w:r>
      <w:r w:rsidRPr="001B4E28">
        <w:rPr>
          <w:rFonts w:ascii="Segoe UI" w:hAnsi="Segoe UI" w:cs="Segoe UI"/>
          <w:b/>
        </w:rPr>
        <w:t xml:space="preserve"> who request the health technology/service</w:t>
      </w:r>
    </w:p>
    <w:p w14:paraId="2CB31648" w14:textId="77777777" w:rsidR="00A266E0" w:rsidRDefault="00A266E0" w:rsidP="0065027C">
      <w:pPr>
        <w:rPr>
          <w:rFonts w:ascii="Segoe UI" w:hAnsi="Segoe UI" w:cs="Segoe UI"/>
          <w:bCs/>
        </w:rPr>
      </w:pPr>
      <w:r>
        <w:rPr>
          <w:rFonts w:ascii="Segoe UI" w:hAnsi="Segoe UI" w:cs="Segoe UI"/>
          <w:bCs/>
        </w:rPr>
        <w:t>The Royal Australian and New Zealand College of Obstetricians and Gynaecologists</w:t>
      </w:r>
    </w:p>
    <w:p w14:paraId="7B2C90F8" w14:textId="77777777" w:rsidR="00A266E0" w:rsidRDefault="00A266E0" w:rsidP="0065027C">
      <w:pPr>
        <w:rPr>
          <w:rFonts w:ascii="Segoe UI" w:hAnsi="Segoe UI" w:cs="Segoe UI"/>
          <w:bCs/>
        </w:rPr>
      </w:pPr>
      <w:r>
        <w:rPr>
          <w:rFonts w:ascii="Segoe UI" w:hAnsi="Segoe UI" w:cs="Segoe UI"/>
          <w:bCs/>
        </w:rPr>
        <w:t>Australia New Zealand Gynaecological Oncology Group</w:t>
      </w:r>
    </w:p>
    <w:p w14:paraId="0168BD6F" w14:textId="77777777" w:rsidR="00A266E0" w:rsidRDefault="00A266E0" w:rsidP="0065027C">
      <w:pPr>
        <w:rPr>
          <w:rFonts w:ascii="Segoe UI" w:hAnsi="Segoe UI" w:cs="Segoe UI"/>
          <w:bCs/>
        </w:rPr>
      </w:pPr>
      <w:r>
        <w:rPr>
          <w:rFonts w:ascii="Segoe UI" w:hAnsi="Segoe UI" w:cs="Segoe UI"/>
          <w:bCs/>
        </w:rPr>
        <w:t>Australian Society of Gynaecologic Oncologists (ASGO)</w:t>
      </w:r>
    </w:p>
    <w:p w14:paraId="7C6FCF14" w14:textId="77777777" w:rsidR="00A266E0" w:rsidRDefault="00A266E0" w:rsidP="0065027C">
      <w:pPr>
        <w:rPr>
          <w:rFonts w:ascii="Segoe UI" w:hAnsi="Segoe UI" w:cs="Segoe UI"/>
          <w:bCs/>
        </w:rPr>
      </w:pPr>
      <w:r>
        <w:rPr>
          <w:rFonts w:ascii="Segoe UI" w:hAnsi="Segoe UI" w:cs="Segoe UI"/>
          <w:bCs/>
        </w:rPr>
        <w:t>RANZCR Faculty of Radiation Oncology</w:t>
      </w:r>
    </w:p>
    <w:p w14:paraId="2D3382D4" w14:textId="256A1E7B" w:rsidR="00A266E0" w:rsidRPr="001B4E28" w:rsidRDefault="008D20D8" w:rsidP="0065027C">
      <w:pPr>
        <w:rPr>
          <w:rFonts w:ascii="Segoe UI" w:hAnsi="Segoe UI" w:cs="Segoe UI"/>
          <w:b/>
        </w:rPr>
      </w:pPr>
      <w:r w:rsidRPr="00854F3B">
        <w:rPr>
          <w:rFonts w:ascii="Segoe UI" w:hAnsi="Segoe UI" w:cs="Segoe UI"/>
          <w:b/>
        </w:rPr>
        <w:t>Entit</w:t>
      </w:r>
      <w:r w:rsidR="001B4E28">
        <w:rPr>
          <w:rFonts w:ascii="Segoe UI" w:hAnsi="Segoe UI" w:cs="Segoe UI"/>
          <w:b/>
        </w:rPr>
        <w:t>ies</w:t>
      </w:r>
      <w:r w:rsidRPr="008D20D8">
        <w:rPr>
          <w:rFonts w:ascii="Segoe UI" w:hAnsi="Segoe UI" w:cs="Segoe UI"/>
          <w:b/>
        </w:rPr>
        <w:t xml:space="preserve"> </w:t>
      </w:r>
      <w:r w:rsidR="00A266E0" w:rsidRPr="001B4E28">
        <w:rPr>
          <w:rFonts w:ascii="Segoe UI" w:hAnsi="Segoe UI" w:cs="Segoe UI"/>
          <w:b/>
        </w:rPr>
        <w:t>relevant to the proposed service/health technology</w:t>
      </w:r>
    </w:p>
    <w:p w14:paraId="1D998FD9" w14:textId="77777777" w:rsidR="00A266E0" w:rsidRDefault="00A266E0" w:rsidP="0065027C">
      <w:pPr>
        <w:rPr>
          <w:rFonts w:ascii="Segoe UI" w:hAnsi="Segoe UI" w:cs="Segoe UI"/>
          <w:bCs/>
        </w:rPr>
      </w:pPr>
      <w:proofErr w:type="spellStart"/>
      <w:r>
        <w:rPr>
          <w:rFonts w:ascii="Segoe UI" w:hAnsi="Segoe UI" w:cs="Segoe UI"/>
          <w:bCs/>
        </w:rPr>
        <w:t>CounterPart</w:t>
      </w:r>
      <w:proofErr w:type="spellEnd"/>
    </w:p>
    <w:p w14:paraId="262A5C61" w14:textId="77777777" w:rsidR="00A266E0" w:rsidRDefault="00A266E0" w:rsidP="0065027C">
      <w:pPr>
        <w:rPr>
          <w:rFonts w:ascii="Segoe UI" w:hAnsi="Segoe UI" w:cs="Segoe UI"/>
          <w:bCs/>
        </w:rPr>
      </w:pPr>
      <w:r>
        <w:rPr>
          <w:rFonts w:ascii="Segoe UI" w:hAnsi="Segoe UI" w:cs="Segoe UI"/>
          <w:bCs/>
        </w:rPr>
        <w:t>Australia New Zealand Gynaecological Oncology Group (ANZGOG)</w:t>
      </w:r>
    </w:p>
    <w:p w14:paraId="036F6552" w14:textId="77777777" w:rsidR="00A266E0" w:rsidRDefault="00A266E0" w:rsidP="0065027C">
      <w:pPr>
        <w:rPr>
          <w:rFonts w:ascii="Segoe UI" w:hAnsi="Segoe UI" w:cs="Segoe UI"/>
          <w:bCs/>
        </w:rPr>
      </w:pPr>
      <w:r>
        <w:rPr>
          <w:rFonts w:ascii="Segoe UI" w:hAnsi="Segoe UI" w:cs="Segoe UI"/>
          <w:bCs/>
        </w:rPr>
        <w:t>Lynch Syndrome Australia</w:t>
      </w:r>
    </w:p>
    <w:p w14:paraId="05BE94C6" w14:textId="502C1386" w:rsidR="00133449" w:rsidRPr="0010048D" w:rsidRDefault="00133449" w:rsidP="00751BF2">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No</w:t>
      </w:r>
    </w:p>
    <w:bookmarkEnd w:id="0"/>
    <w:sectPr w:rsidR="00133449" w:rsidRPr="0010048D" w:rsidSect="00133449">
      <w:headerReference w:type="default" r:id="rId6"/>
      <w:footerReference w:type="default" r:id="rId7"/>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86A72" w14:textId="77777777" w:rsidR="008D20D8" w:rsidRDefault="008D20D8">
      <w:pPr>
        <w:spacing w:after="0" w:line="240" w:lineRule="auto"/>
      </w:pPr>
      <w:r>
        <w:separator/>
      </w:r>
    </w:p>
  </w:endnote>
  <w:endnote w:type="continuationSeparator" w:id="0">
    <w:p w14:paraId="67F269B4" w14:textId="77777777" w:rsidR="008D20D8" w:rsidRDefault="008D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AF5138" w:rsidRDefault="008D20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AF5138" w:rsidRDefault="00AF5138">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F0BE0" w14:textId="77777777" w:rsidR="008D20D8" w:rsidRDefault="008D20D8">
      <w:pPr>
        <w:spacing w:after="0" w:line="240" w:lineRule="auto"/>
      </w:pPr>
      <w:r>
        <w:separator/>
      </w:r>
    </w:p>
  </w:footnote>
  <w:footnote w:type="continuationSeparator" w:id="0">
    <w:p w14:paraId="318AF5CB" w14:textId="77777777" w:rsidR="008D20D8" w:rsidRDefault="008D2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AF5138" w:rsidRDefault="008D20D8">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94CD9"/>
    <w:rsid w:val="00133449"/>
    <w:rsid w:val="001B4E28"/>
    <w:rsid w:val="001C0622"/>
    <w:rsid w:val="002A3B8D"/>
    <w:rsid w:val="002C36D7"/>
    <w:rsid w:val="00325501"/>
    <w:rsid w:val="00396B95"/>
    <w:rsid w:val="00471AFA"/>
    <w:rsid w:val="00511DC4"/>
    <w:rsid w:val="005D51F1"/>
    <w:rsid w:val="006460F4"/>
    <w:rsid w:val="006C2837"/>
    <w:rsid w:val="00734621"/>
    <w:rsid w:val="00751BF2"/>
    <w:rsid w:val="007D63CE"/>
    <w:rsid w:val="00850671"/>
    <w:rsid w:val="008D20D8"/>
    <w:rsid w:val="008F2137"/>
    <w:rsid w:val="00946ECB"/>
    <w:rsid w:val="00A266E0"/>
    <w:rsid w:val="00A3330D"/>
    <w:rsid w:val="00AD1FAF"/>
    <w:rsid w:val="00AF5138"/>
    <w:rsid w:val="00B31F71"/>
    <w:rsid w:val="00B47F54"/>
    <w:rsid w:val="00B94577"/>
    <w:rsid w:val="00BA4E12"/>
    <w:rsid w:val="00BB2A6F"/>
    <w:rsid w:val="00C165D9"/>
    <w:rsid w:val="00CD4C1E"/>
    <w:rsid w:val="00F42F6D"/>
    <w:rsid w:val="00FE5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32550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Revision">
    <w:name w:val="Revision"/>
    <w:hidden/>
    <w:uiPriority w:val="99"/>
    <w:semiHidden/>
    <w:rsid w:val="00396B95"/>
    <w:pPr>
      <w:spacing w:after="0" w:line="240" w:lineRule="auto"/>
    </w:pPr>
  </w:style>
  <w:style w:type="character" w:customStyle="1" w:styleId="Heading2Char">
    <w:name w:val="Heading 2 Char"/>
    <w:basedOn w:val="DefaultParagraphFont"/>
    <w:link w:val="Heading2"/>
    <w:uiPriority w:val="9"/>
    <w:semiHidden/>
    <w:rsid w:val="00325501"/>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uiPriority w:val="99"/>
    <w:unhideWhenUsed/>
    <w:rsid w:val="00B47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2188</Words>
  <Characters>12870</Characters>
  <Application>Microsoft Office Word</Application>
  <DocSecurity>0</DocSecurity>
  <Lines>286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2025-01-29T04:44:00Z</dcterms:created>
  <dcterms:modified xsi:type="dcterms:W3CDTF">2025-01-29T04:50:00Z</dcterms:modified>
</cp:coreProperties>
</file>