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9E97C" w14:textId="77777777" w:rsidR="00AE7DDB" w:rsidRDefault="00AE7DDB" w:rsidP="00046901">
      <w:pPr>
        <w:pStyle w:val="Heading1"/>
        <w:numPr>
          <w:ilvl w:val="0"/>
          <w:numId w:val="0"/>
        </w:numPr>
        <w:pBdr>
          <w:bottom w:val="none" w:sz="0" w:space="0" w:color="auto"/>
        </w:pBdr>
        <w:spacing w:before="0" w:after="360"/>
        <w:jc w:val="center"/>
        <w:rPr>
          <w:rFonts w:ascii="Arial" w:hAnsi="Arial" w:cs="Arial"/>
          <w:b/>
          <w:bCs/>
          <w:color w:val="000080"/>
          <w:sz w:val="36"/>
          <w:szCs w:val="36"/>
        </w:rPr>
      </w:pPr>
      <w:r>
        <w:rPr>
          <w:rFonts w:ascii="Arial" w:hAnsi="Arial" w:cs="Arial"/>
          <w:b/>
          <w:bCs/>
          <w:color w:val="000080"/>
          <w:sz w:val="36"/>
          <w:szCs w:val="36"/>
        </w:rPr>
        <w:t>Medical Services Advisory Committee (MSAC)</w:t>
      </w:r>
      <w:r>
        <w:rPr>
          <w:rFonts w:ascii="Arial" w:hAnsi="Arial" w:cs="Arial"/>
          <w:b/>
          <w:bCs/>
          <w:color w:val="000080"/>
          <w:sz w:val="36"/>
          <w:szCs w:val="36"/>
        </w:rPr>
        <w:br/>
      </w:r>
      <w:r w:rsidRPr="00F76D74">
        <w:rPr>
          <w:rFonts w:ascii="Arial" w:hAnsi="Arial" w:cs="Arial"/>
          <w:b/>
          <w:bCs/>
          <w:color w:val="000080"/>
          <w:sz w:val="36"/>
          <w:szCs w:val="36"/>
        </w:rPr>
        <w:t>Public Summary Document</w:t>
      </w:r>
    </w:p>
    <w:p w14:paraId="0C1E4447" w14:textId="77777777" w:rsidR="007425AC" w:rsidRPr="00ED5B52" w:rsidRDefault="007425AC" w:rsidP="007425AC">
      <w:pPr>
        <w:jc w:val="center"/>
        <w:rPr>
          <w:rFonts w:ascii="Arial" w:hAnsi="Arial" w:cs="Arial"/>
          <w:b/>
          <w:bCs/>
          <w:i/>
          <w:color w:val="000080"/>
          <w:sz w:val="28"/>
          <w:szCs w:val="28"/>
        </w:rPr>
      </w:pPr>
      <w:r w:rsidRPr="0044058B">
        <w:rPr>
          <w:rFonts w:ascii="Arial" w:hAnsi="Arial" w:cs="Arial"/>
          <w:b/>
          <w:bCs/>
          <w:i/>
          <w:color w:val="000080"/>
          <w:sz w:val="28"/>
          <w:szCs w:val="28"/>
        </w:rPr>
        <w:t>Application No</w:t>
      </w:r>
      <w:r w:rsidRPr="00ED5B52">
        <w:rPr>
          <w:rFonts w:ascii="Arial" w:hAnsi="Arial" w:cs="Arial"/>
          <w:b/>
          <w:bCs/>
          <w:i/>
          <w:color w:val="000080"/>
          <w:sz w:val="28"/>
          <w:szCs w:val="28"/>
        </w:rPr>
        <w:t xml:space="preserve">. 1720 – </w:t>
      </w:r>
      <w:r w:rsidRPr="00ED5B52">
        <w:rPr>
          <w:rFonts w:ascii="Arial" w:hAnsi="Arial" w:cs="Arial"/>
          <w:b/>
          <w:bCs/>
          <w:i/>
          <w:iCs/>
          <w:color w:val="000080"/>
          <w:sz w:val="28"/>
          <w:szCs w:val="28"/>
          <w:vertAlign w:val="superscript"/>
        </w:rPr>
        <w:t>68</w:t>
      </w:r>
      <w:r w:rsidRPr="00ED5B52">
        <w:rPr>
          <w:rFonts w:ascii="Arial" w:hAnsi="Arial" w:cs="Arial"/>
          <w:b/>
          <w:bCs/>
          <w:i/>
          <w:color w:val="000080"/>
          <w:sz w:val="28"/>
          <w:szCs w:val="28"/>
        </w:rPr>
        <w:t>Ga PSMA-11 PET/CT imaging for patients who are candidates for PSMA targeted therapy</w:t>
      </w:r>
    </w:p>
    <w:p w14:paraId="002E19BC" w14:textId="77777777" w:rsidR="007425AC" w:rsidRPr="00ED5B52" w:rsidRDefault="007425AC" w:rsidP="00950CFA">
      <w:pPr>
        <w:tabs>
          <w:tab w:val="left" w:pos="3686"/>
        </w:tabs>
        <w:spacing w:before="240" w:line="256" w:lineRule="auto"/>
        <w:rPr>
          <w:rFonts w:ascii="Arial" w:eastAsia="Calibri" w:hAnsi="Arial" w:cs="Arial"/>
          <w:b/>
        </w:rPr>
      </w:pPr>
      <w:r w:rsidRPr="00ED5B52">
        <w:rPr>
          <w:rFonts w:ascii="Arial" w:eastAsia="Calibri" w:hAnsi="Arial" w:cs="Arial"/>
          <w:b/>
        </w:rPr>
        <w:t>Applicant:</w:t>
      </w:r>
      <w:r w:rsidRPr="00ED5B52">
        <w:rPr>
          <w:rFonts w:ascii="Arial" w:eastAsia="Calibri" w:hAnsi="Arial" w:cs="Arial"/>
          <w:b/>
        </w:rPr>
        <w:tab/>
      </w:r>
      <w:proofErr w:type="spellStart"/>
      <w:r w:rsidRPr="00ED5B52">
        <w:rPr>
          <w:rFonts w:ascii="Arial" w:eastAsia="Calibri" w:hAnsi="Arial" w:cs="Arial"/>
          <w:b/>
        </w:rPr>
        <w:t>Telix</w:t>
      </w:r>
      <w:proofErr w:type="spellEnd"/>
      <w:r w:rsidRPr="00ED5B52">
        <w:rPr>
          <w:rFonts w:ascii="Arial" w:eastAsia="Calibri" w:hAnsi="Arial" w:cs="Arial"/>
          <w:b/>
        </w:rPr>
        <w:t xml:space="preserve"> Pharmaceuticals Ltd </w:t>
      </w:r>
    </w:p>
    <w:p w14:paraId="7B904D1A" w14:textId="0F64145F" w:rsidR="00E94E21" w:rsidRPr="00E94E21" w:rsidRDefault="00E94E21" w:rsidP="00D62045">
      <w:pPr>
        <w:spacing w:before="320"/>
        <w:rPr>
          <w:rFonts w:ascii="Arial" w:hAnsi="Arial" w:cs="Arial"/>
          <w:b/>
          <w:bCs/>
        </w:rPr>
      </w:pPr>
      <w:bookmarkStart w:id="0" w:name="_Hlk185416082"/>
      <w:r w:rsidRPr="00D24455">
        <w:rPr>
          <w:rFonts w:ascii="Arial" w:hAnsi="Arial" w:cs="Arial"/>
          <w:b/>
          <w:bCs/>
        </w:rPr>
        <w:t>Date of MSAC Executive consideration: 25 October 2024</w:t>
      </w:r>
    </w:p>
    <w:bookmarkEnd w:id="0"/>
    <w:p w14:paraId="28574165" w14:textId="15B27DC9" w:rsidR="00D62045" w:rsidRDefault="00D62045" w:rsidP="00D24455">
      <w:pPr>
        <w:spacing w:after="240"/>
        <w:rPr>
          <w:rFonts w:ascii="Arial" w:hAnsi="Arial" w:cs="Arial"/>
          <w:b/>
          <w:bCs/>
        </w:rPr>
      </w:pPr>
      <w:r w:rsidRPr="00E65944">
        <w:rPr>
          <w:rFonts w:ascii="Arial" w:hAnsi="Arial" w:cs="Arial"/>
          <w:b/>
          <w:bCs/>
        </w:rPr>
        <w:t xml:space="preserve">Date of </w:t>
      </w:r>
      <w:r w:rsidR="00AE7DDB">
        <w:rPr>
          <w:rFonts w:ascii="Arial" w:hAnsi="Arial" w:cs="Arial"/>
          <w:b/>
          <w:bCs/>
        </w:rPr>
        <w:t>MSAC</w:t>
      </w:r>
      <w:r w:rsidRPr="00E65944">
        <w:rPr>
          <w:rFonts w:ascii="Arial" w:hAnsi="Arial" w:cs="Arial"/>
          <w:b/>
          <w:bCs/>
        </w:rPr>
        <w:t xml:space="preserve"> consideration:</w:t>
      </w:r>
      <w:r w:rsidRPr="00E65944">
        <w:rPr>
          <w:rFonts w:ascii="Arial" w:hAnsi="Arial" w:cs="Arial"/>
          <w:b/>
          <w:bCs/>
        </w:rPr>
        <w:tab/>
      </w:r>
      <w:r w:rsidR="00AE7DDB">
        <w:rPr>
          <w:rFonts w:ascii="Arial" w:hAnsi="Arial" w:cs="Arial"/>
          <w:b/>
          <w:bCs/>
        </w:rPr>
        <w:t>4-5 April</w:t>
      </w:r>
      <w:r w:rsidRPr="00E65944">
        <w:rPr>
          <w:rFonts w:ascii="Arial" w:hAnsi="Arial" w:cs="Arial"/>
          <w:b/>
          <w:bCs/>
        </w:rPr>
        <w:t xml:space="preserve"> 2024</w:t>
      </w:r>
    </w:p>
    <w:p w14:paraId="5291D671" w14:textId="77777777" w:rsidR="00AE7DDB" w:rsidRPr="00415A9B" w:rsidRDefault="00AE7DDB" w:rsidP="00AE7DDB">
      <w:pPr>
        <w:spacing w:after="240"/>
        <w:rPr>
          <w:color w:val="0000FF"/>
          <w:u w:val="single"/>
        </w:rPr>
      </w:pPr>
      <w:r w:rsidRPr="00F715D1">
        <w:t>Context for decision: MSAC makes its advice in accordance wit</w:t>
      </w:r>
      <w:r>
        <w:t>h its Terms of Reference,</w:t>
      </w:r>
      <w:r w:rsidRPr="00F715D1">
        <w:t xml:space="preserve"> </w:t>
      </w:r>
      <w:hyperlink r:id="rId8" w:tooltip="Link to Medical Services Advisory Committee website" w:history="1">
        <w:r w:rsidRPr="00F715D1">
          <w:rPr>
            <w:rStyle w:val="Hyperlink"/>
          </w:rPr>
          <w:t>visit the MSAC website</w:t>
        </w:r>
      </w:hyperlink>
    </w:p>
    <w:p w14:paraId="7EAA7262" w14:textId="77335A16" w:rsidR="00772829" w:rsidRPr="00CE28E3" w:rsidRDefault="00C36633" w:rsidP="00C36633">
      <w:pPr>
        <w:pStyle w:val="Heading2"/>
        <w:numPr>
          <w:ilvl w:val="0"/>
          <w:numId w:val="0"/>
        </w:numPr>
      </w:pPr>
      <w:bookmarkStart w:id="1" w:name="_Toc69491415"/>
      <w:r>
        <w:t>1.</w:t>
      </w:r>
      <w:r>
        <w:tab/>
      </w:r>
      <w:r w:rsidR="00772829" w:rsidRPr="00CE28E3">
        <w:t xml:space="preserve">Purpose </w:t>
      </w:r>
      <w:r w:rsidR="00772829" w:rsidRPr="00CE28E3">
        <w:rPr>
          <w:szCs w:val="32"/>
        </w:rPr>
        <w:t>of</w:t>
      </w:r>
      <w:r w:rsidR="00772829" w:rsidRPr="00CE28E3">
        <w:t xml:space="preserve"> application</w:t>
      </w:r>
      <w:bookmarkEnd w:id="1"/>
    </w:p>
    <w:p w14:paraId="7B9A50BB" w14:textId="067A9624" w:rsidR="00B9269D" w:rsidRDefault="009068F2" w:rsidP="009068F2">
      <w:pPr>
        <w:spacing w:after="240"/>
        <w:rPr>
          <w:iCs/>
        </w:rPr>
      </w:pPr>
      <w:bookmarkStart w:id="2" w:name="_Hlk69734469"/>
      <w:r>
        <w:rPr>
          <w:iCs/>
        </w:rPr>
        <w:t xml:space="preserve">An application </w:t>
      </w:r>
      <w:r w:rsidRPr="009068F2">
        <w:rPr>
          <w:iCs/>
        </w:rPr>
        <w:t xml:space="preserve">requesting Medicare Benefits Schedule (MBS) listing </w:t>
      </w:r>
      <w:r>
        <w:rPr>
          <w:iCs/>
        </w:rPr>
        <w:t xml:space="preserve">of </w:t>
      </w:r>
      <w:r w:rsidRPr="009068F2">
        <w:rPr>
          <w:iCs/>
        </w:rPr>
        <w:t>ILLUCCIX</w:t>
      </w:r>
      <w:r w:rsidRPr="009068F2">
        <w:rPr>
          <w:iCs/>
          <w:vertAlign w:val="superscript"/>
        </w:rPr>
        <w:t>®</w:t>
      </w:r>
      <w:r w:rsidRPr="009068F2">
        <w:rPr>
          <w:iCs/>
        </w:rPr>
        <w:t xml:space="preserve"> Kit (kit for the preparation of gallium-68 (</w:t>
      </w:r>
      <w:r w:rsidRPr="009068F2">
        <w:rPr>
          <w:iCs/>
          <w:vertAlign w:val="superscript"/>
        </w:rPr>
        <w:t>68</w:t>
      </w:r>
      <w:r w:rsidRPr="009068F2">
        <w:rPr>
          <w:iCs/>
        </w:rPr>
        <w:t>Ga) labelled prostate-specific membrane antigen (PSMA)-11 injection) for assessing eligibility of patients diagnosed with metastatic castration-resistant prostate cancer (</w:t>
      </w:r>
      <w:proofErr w:type="spellStart"/>
      <w:r w:rsidRPr="009068F2">
        <w:rPr>
          <w:iCs/>
        </w:rPr>
        <w:t>mCRPC</w:t>
      </w:r>
      <w:proofErr w:type="spellEnd"/>
      <w:r w:rsidRPr="009068F2">
        <w:rPr>
          <w:iCs/>
        </w:rPr>
        <w:t>) to undertake PSMA targeted therapy</w:t>
      </w:r>
      <w:r>
        <w:rPr>
          <w:iCs/>
        </w:rPr>
        <w:t xml:space="preserve"> was received from </w:t>
      </w:r>
      <w:proofErr w:type="spellStart"/>
      <w:r w:rsidRPr="009068F2">
        <w:rPr>
          <w:iCs/>
        </w:rPr>
        <w:t>Telix</w:t>
      </w:r>
      <w:proofErr w:type="spellEnd"/>
      <w:r w:rsidRPr="009068F2">
        <w:rPr>
          <w:iCs/>
        </w:rPr>
        <w:t xml:space="preserve"> </w:t>
      </w:r>
      <w:r>
        <w:rPr>
          <w:iCs/>
        </w:rPr>
        <w:t>P</w:t>
      </w:r>
      <w:r w:rsidRPr="009068F2">
        <w:rPr>
          <w:iCs/>
        </w:rPr>
        <w:t xml:space="preserve">harmaceuticals </w:t>
      </w:r>
      <w:r>
        <w:rPr>
          <w:iCs/>
        </w:rPr>
        <w:t>Ltd by the Department of Health</w:t>
      </w:r>
      <w:r w:rsidR="00175EBE">
        <w:rPr>
          <w:iCs/>
        </w:rPr>
        <w:t xml:space="preserve"> and Aged Care</w:t>
      </w:r>
      <w:r>
        <w:rPr>
          <w:iCs/>
        </w:rPr>
        <w:t>.</w:t>
      </w:r>
    </w:p>
    <w:p w14:paraId="48EB4DEB" w14:textId="57CAD247" w:rsidR="00210247" w:rsidRDefault="00210247" w:rsidP="009068F2">
      <w:pPr>
        <w:spacing w:after="240"/>
      </w:pPr>
      <w:r>
        <w:rPr>
          <w:iCs/>
        </w:rPr>
        <w:t xml:space="preserve">The Commentary noted that </w:t>
      </w:r>
      <w:r w:rsidRPr="00210247">
        <w:rPr>
          <w:iCs/>
        </w:rPr>
        <w:t>the ADAR requested MBS funding for one technology – an investigative test</w:t>
      </w:r>
      <w:r w:rsidR="00B55764">
        <w:rPr>
          <w:iCs/>
        </w:rPr>
        <w:t>,</w:t>
      </w:r>
      <w:r w:rsidRPr="00210247">
        <w:rPr>
          <w:iCs/>
        </w:rPr>
        <w:t xml:space="preserve"> PSMA </w:t>
      </w:r>
      <w:r w:rsidR="00B55764">
        <w:rPr>
          <w:iCs/>
        </w:rPr>
        <w:t>positron emission tomography/</w:t>
      </w:r>
      <w:r w:rsidR="00B55764">
        <w:t>comput</w:t>
      </w:r>
      <w:r w:rsidR="7AA24433">
        <w:t>ed</w:t>
      </w:r>
      <w:r w:rsidR="00B55764">
        <w:rPr>
          <w:iCs/>
        </w:rPr>
        <w:t xml:space="preserve"> tomography </w:t>
      </w:r>
      <w:r w:rsidR="062609A8">
        <w:t>(</w:t>
      </w:r>
      <w:r w:rsidR="00B55764">
        <w:rPr>
          <w:iCs/>
        </w:rPr>
        <w:t xml:space="preserve">PSMA </w:t>
      </w:r>
      <w:r w:rsidRPr="00210247">
        <w:rPr>
          <w:iCs/>
        </w:rPr>
        <w:t xml:space="preserve">PET/CT) and not for the associated therapeutic intervention (PSMA targeted therapy). </w:t>
      </w:r>
      <w:r>
        <w:t xml:space="preserve">Although similar to the request in </w:t>
      </w:r>
      <w:hyperlink r:id="rId9">
        <w:r w:rsidR="00E83DEF" w:rsidRPr="5938DF7F">
          <w:rPr>
            <w:rStyle w:val="Hyperlink"/>
          </w:rPr>
          <w:t>MSAC 1632</w:t>
        </w:r>
      </w:hyperlink>
      <w:r w:rsidR="00E83DEF">
        <w:t xml:space="preserve"> and </w:t>
      </w:r>
      <w:hyperlink r:id="rId10">
        <w:r w:rsidRPr="5938DF7F">
          <w:rPr>
            <w:rStyle w:val="Hyperlink"/>
          </w:rPr>
          <w:t>MSAC 1686</w:t>
        </w:r>
      </w:hyperlink>
      <w:r>
        <w:t>/</w:t>
      </w:r>
      <w:hyperlink r:id="rId11">
        <w:r w:rsidRPr="5938DF7F">
          <w:rPr>
            <w:rStyle w:val="Hyperlink"/>
          </w:rPr>
          <w:t>MSAC 1686.1</w:t>
        </w:r>
      </w:hyperlink>
      <w:r>
        <w:t xml:space="preserve"> with respect to the test, MSAC 1686/1686.1 also requested MBS funding for the therapeutic intervention.</w:t>
      </w:r>
    </w:p>
    <w:p w14:paraId="736EAFD6" w14:textId="3203C612" w:rsidR="00E94E21" w:rsidRPr="00D24455" w:rsidRDefault="00AE7DDB" w:rsidP="00AE7DDB">
      <w:pPr>
        <w:pStyle w:val="Heading2"/>
        <w:numPr>
          <w:ilvl w:val="0"/>
          <w:numId w:val="0"/>
        </w:numPr>
        <w:rPr>
          <w:color w:val="auto"/>
        </w:rPr>
      </w:pPr>
      <w:r w:rsidRPr="00D24455">
        <w:rPr>
          <w:color w:val="auto"/>
        </w:rPr>
        <w:t>2.</w:t>
      </w:r>
      <w:r w:rsidRPr="00D24455">
        <w:rPr>
          <w:color w:val="auto"/>
        </w:rPr>
        <w:tab/>
      </w:r>
      <w:bookmarkStart w:id="3" w:name="_Hlk185416130"/>
      <w:r w:rsidR="00E94E21" w:rsidRPr="00D24455">
        <w:rPr>
          <w:color w:val="auto"/>
        </w:rPr>
        <w:t>MSAC Executive Outcome 25 October 2024</w:t>
      </w:r>
      <w:bookmarkEnd w:id="3"/>
    </w:p>
    <w:p w14:paraId="09FA4488" w14:textId="71BBBF94" w:rsidR="00E94E21" w:rsidRPr="00D24455" w:rsidRDefault="00E94E21" w:rsidP="00FE377D">
      <w:pPr>
        <w:spacing w:after="240"/>
      </w:pPr>
      <w:bookmarkStart w:id="4" w:name="_Hlk185416168"/>
      <w:r w:rsidRPr="00D24455">
        <w:t xml:space="preserve">The MSAC Executive noted the department sought confirmation that Application 1720 had met the conditions made by MSAC at the April 2024 meeting when it deferred the application with a mind to support if it met certain criteria. </w:t>
      </w:r>
    </w:p>
    <w:p w14:paraId="6123C8A8" w14:textId="77777777" w:rsidR="00E94E21" w:rsidRPr="00D24455" w:rsidRDefault="00E94E21" w:rsidP="00FE377D">
      <w:pPr>
        <w:spacing w:after="240"/>
      </w:pPr>
      <w:r w:rsidRPr="00D24455">
        <w:t>Of relevance, MSAC, at its April 2024 meeting, supported application 1686.1 for public funding. This included the listing of two new MBS items for 1) 177Lutetium PSMA imaging scan and therapy(</w:t>
      </w:r>
      <w:proofErr w:type="spellStart"/>
      <w:r w:rsidRPr="00D24455">
        <w:t>i&amp;t</w:t>
      </w:r>
      <w:proofErr w:type="spellEnd"/>
      <w:r w:rsidRPr="00D24455">
        <w:t>) for treatment of progressive metastatic castrate resistant prostate cancer (</w:t>
      </w:r>
      <w:proofErr w:type="spellStart"/>
      <w:r w:rsidRPr="00D24455">
        <w:t>mCRPC</w:t>
      </w:r>
      <w:proofErr w:type="spellEnd"/>
      <w:r w:rsidRPr="00D24455">
        <w:t xml:space="preserve">); and 2) whole body PSMA positron emission tomography/computed tomography (PSMA PET/CT) to identify those eligible for 177Lu PSMA </w:t>
      </w:r>
      <w:proofErr w:type="spellStart"/>
      <w:r w:rsidRPr="00D24455">
        <w:t>i&amp;t</w:t>
      </w:r>
      <w:proofErr w:type="spellEnd"/>
      <w:r w:rsidRPr="00D24455">
        <w:t>. The MSAC Executive noted MSAC supported MBS item descriptors that are agnostic to the type of 177Lu PSMA therapy and that this advice will be considered by Government. The Department advised that the MBS listing of PSMA PET/CT, to identify suitable patients for therapy, is dependent on the MBS listing of the 177Lu therapy.</w:t>
      </w:r>
    </w:p>
    <w:p w14:paraId="34D5CF28" w14:textId="77777777" w:rsidR="00E94E21" w:rsidRPr="00D24455" w:rsidRDefault="00E94E21" w:rsidP="00FE377D">
      <w:pPr>
        <w:spacing w:after="240"/>
      </w:pPr>
      <w:r w:rsidRPr="00D24455">
        <w:t xml:space="preserve">The MSAC Executive noted the applicant for 1720 had provided a proposal on 8 October 2024 that addressed the outstanding matters in MSAC’s advice following the April 2024 MSAC meeting. The proposal included agreement to the use of an agnostic item descriptor for PSMA PET and a fee of $1,300. The applicant confirmed that its ILLUCCIX® Kit has </w:t>
      </w:r>
      <w:r w:rsidRPr="00D24455">
        <w:lastRenderedPageBreak/>
        <w:t xml:space="preserve">received Therapeutic Goods Administration (TGA) approval for “the selection of patients with metastatic prostate cancer in whom lutetium Lu 177 </w:t>
      </w:r>
      <w:proofErr w:type="spellStart"/>
      <w:r w:rsidRPr="00D24455">
        <w:t>vipivotide</w:t>
      </w:r>
      <w:proofErr w:type="spellEnd"/>
      <w:r w:rsidRPr="00D24455">
        <w:t xml:space="preserve"> tetraxetan PSMA-directed therapy is indicated.” The MSAC Executive noted the TGA approved indication defines the type of 177Lu PSMA therapy. The MSAC Executive noted this indication is narrower than the MSAC supported item for PSMA PET which is agnostic to the type of 177Lu PSMA therapy.  </w:t>
      </w:r>
    </w:p>
    <w:p w14:paraId="0978FEF0" w14:textId="77777777" w:rsidR="00E94E21" w:rsidRPr="00D24455" w:rsidRDefault="00E94E21" w:rsidP="00E94E21">
      <w:pPr>
        <w:rPr>
          <w:color w:val="00B050"/>
        </w:rPr>
      </w:pPr>
      <w:r w:rsidRPr="00D24455">
        <w:t>The MSAC Executive confirmed that the applicant’s proposal is consistent with the intent of MSAC’s advice to support the TGA approved test using an agnostic item descriptor consistent with other PSMA PET MBS items. The MSAC Executive advised the outstanding matters MSAC identified to support public funding had been addressed and that no further consideration by the full MSAC would be required.</w:t>
      </w:r>
      <w:bookmarkEnd w:id="4"/>
    </w:p>
    <w:p w14:paraId="49A96164" w14:textId="55D2817F" w:rsidR="00AE7DDB" w:rsidRDefault="00AE7DDB" w:rsidP="00E94E21">
      <w:pPr>
        <w:pStyle w:val="Heading2"/>
        <w:numPr>
          <w:ilvl w:val="0"/>
          <w:numId w:val="0"/>
        </w:numPr>
      </w:pPr>
      <w:r w:rsidRPr="00D24455">
        <w:t>MSAC’s advice to the Minister</w:t>
      </w:r>
      <w:r w:rsidR="00E94E21" w:rsidRPr="00D24455">
        <w:t xml:space="preserve"> </w:t>
      </w:r>
      <w:r w:rsidR="00E94E21" w:rsidRPr="00D24455">
        <w:rPr>
          <w:color w:val="auto"/>
        </w:rPr>
        <w:t>April 2024</w:t>
      </w:r>
    </w:p>
    <w:p w14:paraId="4C57D12D" w14:textId="0E9A83EF" w:rsidR="001C6A9E" w:rsidRPr="002175FF" w:rsidRDefault="00AE7DDB" w:rsidP="002175FF">
      <w:pPr>
        <w:spacing w:after="240"/>
      </w:pPr>
      <w:r w:rsidRPr="00932DE9">
        <w:rPr>
          <w:iCs/>
        </w:rPr>
        <w:t xml:space="preserve">After considering the strength of the available evidence in relation to comparative safety, clinical effectiveness, cost-effectiveness and total cost, </w:t>
      </w:r>
      <w:r w:rsidR="00F65EF2" w:rsidRPr="002175FF">
        <w:t>MSAC deferred its decisio</w:t>
      </w:r>
      <w:r w:rsidR="002175FF" w:rsidRPr="002175FF">
        <w:t>n</w:t>
      </w:r>
      <w:r w:rsidR="002175FF">
        <w:t xml:space="preserve"> </w:t>
      </w:r>
      <w:r w:rsidR="001C6A9E">
        <w:t xml:space="preserve">for public funding of the </w:t>
      </w:r>
      <w:r w:rsidR="001C6A9E" w:rsidRPr="00DA49C0">
        <w:t xml:space="preserve">ILLUCCIX® Kit (kit for the preparation of 68Ga labelled PSMA-11 injection) for assessing eligibility of patients diagnosed with </w:t>
      </w:r>
      <w:proofErr w:type="spellStart"/>
      <w:r w:rsidR="001C6A9E" w:rsidRPr="00DA49C0">
        <w:t>mCRPC</w:t>
      </w:r>
      <w:proofErr w:type="spellEnd"/>
      <w:r w:rsidR="001C6A9E" w:rsidRPr="00DA49C0">
        <w:t xml:space="preserve"> to undertake PSMA targeted therapy</w:t>
      </w:r>
      <w:r w:rsidR="001C6A9E">
        <w:t>.</w:t>
      </w:r>
    </w:p>
    <w:p w14:paraId="6000875C" w14:textId="3F557EC1" w:rsidR="001C6A9E" w:rsidRPr="00FE377D" w:rsidRDefault="001C6A9E" w:rsidP="00FE377D">
      <w:pPr>
        <w:spacing w:after="240"/>
      </w:pPr>
      <w:r w:rsidRPr="00FE377D">
        <w:t>MSAC foreshadowed that it was of a mind to support public funding of the proposed test because it accepted</w:t>
      </w:r>
      <w:r w:rsidR="00FB6AAE" w:rsidRPr="00FE377D">
        <w:t xml:space="preserve"> PSMA </w:t>
      </w:r>
      <w:r w:rsidR="00BE0E36" w:rsidRPr="00FE377D">
        <w:t>targeted therapy to be cost effective and therefore accepted</w:t>
      </w:r>
      <w:r w:rsidRPr="00FE377D">
        <w:t xml:space="preserve"> the clinical need for the test in determining eligibility for PSMA targeted therapy and the evidence of the test’s comparative safety and effectiveness. However, MSAC noted the lack of an update on the Therapeutic Goods Administration (TGA) status regarding the approval of the test for the additional indication of “patients who are candidates for PSMA targeted therapy” as per the current application.</w:t>
      </w:r>
    </w:p>
    <w:p w14:paraId="1D75D422" w14:textId="587C7592" w:rsidR="001C6A9E" w:rsidRPr="00932DE9" w:rsidRDefault="001C6A9E" w:rsidP="001C6A9E">
      <w:pPr>
        <w:spacing w:after="240"/>
        <w:rPr>
          <w:iCs/>
        </w:rPr>
      </w:pPr>
      <w:r>
        <w:t>MSAC expressed remaining concerns about the high and uncertain incremental cost-effectiveness ratio (ICER).</w:t>
      </w:r>
      <w:r w:rsidR="00E270D3">
        <w:t xml:space="preserve"> </w:t>
      </w:r>
      <w:r>
        <w:t xml:space="preserve">MSAC also had concerns about the lack of evidence supporting superior health outcomes </w:t>
      </w:r>
      <w:r w:rsidRPr="00FE181D">
        <w:t>in those identified and treated with PSMA-targeted radioligand therapy using the specific investigative product for 68Ga-PSMA PET/CT compared with other available radiopharmaceutical tracers used for PSMA PET/CT imaging</w:t>
      </w:r>
      <w:r>
        <w:t xml:space="preserve"> that would be necessary to justify the price premium proposed for the radiotracer specific item. Therefore, MSAC considered that it would be of a mind to support public funding of the proposed test conditional on TGA approval </w:t>
      </w:r>
      <w:r w:rsidRPr="00ED445E">
        <w:t>for the additional indication of “patients who are candidates for PSMA targeted therapy”</w:t>
      </w:r>
      <w:r>
        <w:t xml:space="preserve"> and the amendment of the proposed item descriptor to reflect a lower fee of $1</w:t>
      </w:r>
      <w:r w:rsidR="00BC0820">
        <w:t>,</w:t>
      </w:r>
      <w:r>
        <w:t>300 and a radiotracer agnostic item</w:t>
      </w:r>
      <w:r w:rsidR="002E724A">
        <w:t xml:space="preserve"> for PSMA-PET</w:t>
      </w:r>
      <w:r w:rsidR="002175FF">
        <w:t>.</w:t>
      </w:r>
    </w:p>
    <w:tbl>
      <w:tblPr>
        <w:tblStyle w:val="TableGrid"/>
        <w:tblW w:w="0" w:type="auto"/>
        <w:tblLook w:val="04A0" w:firstRow="1" w:lastRow="0" w:firstColumn="1" w:lastColumn="0" w:noHBand="0" w:noVBand="1"/>
        <w:tblDescription w:val="Consumer summary of MSAC consideration"/>
      </w:tblPr>
      <w:tblGrid>
        <w:gridCol w:w="9016"/>
      </w:tblGrid>
      <w:tr w:rsidR="00AE7DDB" w:rsidRPr="00AF46D8" w14:paraId="434420D2" w14:textId="77777777" w:rsidTr="000576C2">
        <w:trPr>
          <w:tblHeader/>
        </w:trPr>
        <w:tc>
          <w:tcPr>
            <w:tcW w:w="9016" w:type="dxa"/>
          </w:tcPr>
          <w:p w14:paraId="55E4BD6F" w14:textId="77777777" w:rsidR="00AE7DDB" w:rsidRPr="00AF46D8" w:rsidRDefault="00AE7DDB" w:rsidP="000576C2">
            <w:pPr>
              <w:pStyle w:val="Heading3"/>
              <w:spacing w:before="120"/>
              <w:ind w:left="720" w:hanging="720"/>
              <w:rPr>
                <w:iCs/>
              </w:rPr>
            </w:pPr>
            <w:r w:rsidRPr="00AF46D8">
              <w:t>Consumer summary</w:t>
            </w:r>
          </w:p>
        </w:tc>
      </w:tr>
      <w:tr w:rsidR="00AE7DDB" w:rsidRPr="00AF46D8" w14:paraId="143DEED6" w14:textId="77777777" w:rsidTr="000576C2">
        <w:tc>
          <w:tcPr>
            <w:tcW w:w="9016" w:type="dxa"/>
          </w:tcPr>
          <w:p w14:paraId="0192B5ED" w14:textId="53C9323A" w:rsidR="00C2190A" w:rsidRDefault="00C2190A" w:rsidP="00FE377D">
            <w:pPr>
              <w:spacing w:after="240"/>
            </w:pPr>
            <w:r w:rsidRPr="00AF46D8">
              <w:t xml:space="preserve">This is an application from </w:t>
            </w:r>
            <w:proofErr w:type="spellStart"/>
            <w:r>
              <w:t>Telix</w:t>
            </w:r>
            <w:proofErr w:type="spellEnd"/>
            <w:r>
              <w:t xml:space="preserve"> Pharmaceuticals</w:t>
            </w:r>
            <w:r w:rsidRPr="00AF46D8">
              <w:t xml:space="preserve"> requesting Medicare Benefits Schedule (MBS) listing of</w:t>
            </w:r>
            <w:r>
              <w:t xml:space="preserve"> the ILLUCCIX</w:t>
            </w:r>
            <w:r w:rsidRPr="00CA5853">
              <w:rPr>
                <w:vertAlign w:val="superscript"/>
              </w:rPr>
              <w:t>®</w:t>
            </w:r>
            <w:r>
              <w:t xml:space="preserve"> kit (kit for the preparation of gallium-68 [</w:t>
            </w:r>
            <w:r w:rsidRPr="002142AE">
              <w:rPr>
                <w:vertAlign w:val="superscript"/>
              </w:rPr>
              <w:t>68</w:t>
            </w:r>
            <w:r>
              <w:t>Ga]-labelled prostate-specific membrane antigen [PSMA]-11 injection) for assessing the eligibility of patients diagnosed with metastatic castration-resistant prostate cancer to undertake PSMA-targeted therapy.</w:t>
            </w:r>
          </w:p>
          <w:p w14:paraId="7459F31A" w14:textId="77777777" w:rsidR="00C2190A" w:rsidRPr="00D21C94" w:rsidRDefault="00C2190A" w:rsidP="00FE377D">
            <w:pPr>
              <w:spacing w:after="240"/>
            </w:pPr>
            <w:r w:rsidRPr="00D21C94">
              <w:lastRenderedPageBreak/>
              <w:t>Metastatic castrat</w:t>
            </w:r>
            <w:r>
              <w:t>ion</w:t>
            </w:r>
            <w:r w:rsidRPr="00D21C94">
              <w:t>-resistant prostate cancer is a type of advanced prostate cancer that has spread to other parts of the body</w:t>
            </w:r>
            <w:r>
              <w:t xml:space="preserve"> and has not responded to hormone therapy</w:t>
            </w:r>
            <w:r w:rsidRPr="00D21C94">
              <w:t>. In Australia, 3,000 men die each year from this cancer.</w:t>
            </w:r>
          </w:p>
          <w:p w14:paraId="39D01A84" w14:textId="597DB540" w:rsidR="00C2190A" w:rsidRDefault="00C2190A" w:rsidP="00FE377D">
            <w:pPr>
              <w:spacing w:after="240"/>
            </w:pPr>
            <w:r w:rsidRPr="00D21C94">
              <w:t xml:space="preserve">Some prostate cancer cells contain a protein called </w:t>
            </w:r>
            <w:r>
              <w:t>p</w:t>
            </w:r>
            <w:r w:rsidRPr="00D21C94">
              <w:t>rostate</w:t>
            </w:r>
            <w:r>
              <w:t>-s</w:t>
            </w:r>
            <w:r w:rsidRPr="00D21C94">
              <w:t xml:space="preserve">pecific </w:t>
            </w:r>
            <w:r>
              <w:t>m</w:t>
            </w:r>
            <w:r w:rsidRPr="00D21C94">
              <w:t xml:space="preserve">embrane </w:t>
            </w:r>
            <w:r>
              <w:t>a</w:t>
            </w:r>
            <w:r w:rsidRPr="00D21C94">
              <w:t xml:space="preserve">ntigen (PSMA), which can be detected by a special type of scan called a </w:t>
            </w:r>
            <w:r>
              <w:t>positron emission tomography (PET)</w:t>
            </w:r>
            <w:r w:rsidRPr="00D21C94">
              <w:t xml:space="preserve"> scan. </w:t>
            </w:r>
            <w:r>
              <w:t xml:space="preserve">This application is for a type of PET scan that uses a radioactive chemical called gallium. The gallium is connected to a special molecule (called a ligand) that targets the PSMA receptor on prostate cancer cells. When the ligand attaches to the PSMA receptor, the PET </w:t>
            </w:r>
            <w:r w:rsidR="00314231">
              <w:t>scan</w:t>
            </w:r>
            <w:r>
              <w:t xml:space="preserve"> can detect the gallium. </w:t>
            </w:r>
            <w:r w:rsidRPr="00D21C94">
              <w:t xml:space="preserve">If </w:t>
            </w:r>
            <w:r>
              <w:t xml:space="preserve">a </w:t>
            </w:r>
            <w:r w:rsidRPr="00D21C94">
              <w:t xml:space="preserve">patient’s prostate cancers cells are found to have high levels of PSMA, they may be eligible for a therapy that targets the </w:t>
            </w:r>
            <w:r w:rsidR="00314231">
              <w:t xml:space="preserve">cancer </w:t>
            </w:r>
            <w:r w:rsidRPr="00D21C94">
              <w:t>cells that contain PSMA</w:t>
            </w:r>
            <w:r>
              <w:t>,</w:t>
            </w:r>
            <w:r w:rsidRPr="00D21C94">
              <w:t xml:space="preserve"> called PSM</w:t>
            </w:r>
            <w:r>
              <w:t>A-</w:t>
            </w:r>
            <w:r w:rsidRPr="00D21C94">
              <w:t>targeted radionuclide therapy.</w:t>
            </w:r>
          </w:p>
          <w:p w14:paraId="7F9618E2" w14:textId="44EF7713" w:rsidR="00C2190A" w:rsidRDefault="00C2190A" w:rsidP="00FE377D">
            <w:pPr>
              <w:spacing w:after="240"/>
            </w:pPr>
            <w:r>
              <w:t xml:space="preserve">This application is for a specific kit for the preparation of the gallium and ligand tracer (called </w:t>
            </w:r>
            <w:r w:rsidRPr="002142AE">
              <w:rPr>
                <w:vertAlign w:val="superscript"/>
              </w:rPr>
              <w:t>68</w:t>
            </w:r>
            <w:r>
              <w:t xml:space="preserve">Ga-PSMA-11), which is the only PSMA </w:t>
            </w:r>
            <w:r w:rsidR="000310DD">
              <w:t>imaging</w:t>
            </w:r>
            <w:r w:rsidR="003B1987">
              <w:t xml:space="preserve"> </w:t>
            </w:r>
            <w:r w:rsidDel="003B1987">
              <w:t>agent</w:t>
            </w:r>
            <w:r>
              <w:t xml:space="preserve"> that has been approved by the Therapeutic Goods Administration (TGA)</w:t>
            </w:r>
            <w:r w:rsidR="00E32F7A">
              <w:t xml:space="preserve"> </w:t>
            </w:r>
            <w:r w:rsidR="00E41B86">
              <w:t>al</w:t>
            </w:r>
            <w:r w:rsidR="00E32F7A">
              <w:t xml:space="preserve">though it is currently only approved for a different </w:t>
            </w:r>
            <w:r w:rsidR="00E41B86">
              <w:t>use</w:t>
            </w:r>
            <w:r w:rsidR="00DB2E52">
              <w:t xml:space="preserve"> to that proposed in this application</w:t>
            </w:r>
            <w:r>
              <w:t xml:space="preserve">. </w:t>
            </w:r>
            <w:r w:rsidR="004E7363" w:rsidRPr="007B4B70">
              <w:t>However,</w:t>
            </w:r>
            <w:r w:rsidR="007B4B70" w:rsidRPr="007B4B70">
              <w:t xml:space="preserve"> the tracer has not yet been approved by the TGA for </w:t>
            </w:r>
            <w:r w:rsidR="00C41EAD">
              <w:t>the use of selecting</w:t>
            </w:r>
            <w:r w:rsidR="007B4B70" w:rsidRPr="007B4B70">
              <w:t xml:space="preserve"> patients for PSMA-targeted therapy, which is the proposed use in this</w:t>
            </w:r>
            <w:r w:rsidR="008E00CE">
              <w:t xml:space="preserve"> application.</w:t>
            </w:r>
          </w:p>
          <w:p w14:paraId="3C459BA0" w14:textId="22969158" w:rsidR="00C2190A" w:rsidRDefault="00C2190A" w:rsidP="00C2190A">
            <w:r w:rsidRPr="00EF2E40">
              <w:t>MSAC acknowledged the clinical need for a test that helps select patients who will most benefit from PSMA-targeted therapy</w:t>
            </w:r>
            <w:r w:rsidR="00EC3259" w:rsidRPr="00EF2E40">
              <w:t xml:space="preserve"> given that MSAC had accepted </w:t>
            </w:r>
            <w:r w:rsidR="00161085" w:rsidRPr="00EF2E40">
              <w:t>PSMA-targeted therapy as cost effective</w:t>
            </w:r>
            <w:r w:rsidRPr="00EF2E40">
              <w:t>. However,</w:t>
            </w:r>
            <w:r w:rsidR="00667C06" w:rsidRPr="00EF2E40">
              <w:t xml:space="preserve"> MSAC noted there were other current PSMA PET MBS items (items 61563 and 61564) with lower fees than those proposed by the applicant</w:t>
            </w:r>
            <w:r w:rsidR="00826C2C" w:rsidRPr="00EF2E40">
              <w:t xml:space="preserve">. In addition </w:t>
            </w:r>
            <w:r w:rsidR="008658AD" w:rsidRPr="00EF2E40">
              <w:t xml:space="preserve">MSAC noted that </w:t>
            </w:r>
            <w:r w:rsidRPr="00EF2E40">
              <w:t xml:space="preserve">an item number covering a test for assessing eligibility for PSMA-targeted therapy was included as part of </w:t>
            </w:r>
            <w:r w:rsidR="00236EC3">
              <w:t xml:space="preserve">another </w:t>
            </w:r>
            <w:r>
              <w:t xml:space="preserve">MSAC application </w:t>
            </w:r>
            <w:r w:rsidR="004704F2">
              <w:t>(</w:t>
            </w:r>
            <w:hyperlink r:id="rId12" w:history="1">
              <w:r w:rsidRPr="0065129C">
                <w:rPr>
                  <w:rStyle w:val="Hyperlink"/>
                </w:rPr>
                <w:t>1686.1</w:t>
              </w:r>
            </w:hyperlink>
            <w:r w:rsidR="004704F2">
              <w:t>)</w:t>
            </w:r>
            <w:r w:rsidR="00C835A6">
              <w:t xml:space="preserve"> and this </w:t>
            </w:r>
            <w:r w:rsidR="001663CC">
              <w:t>item</w:t>
            </w:r>
            <w:r w:rsidR="00C835A6">
              <w:t xml:space="preserve">, which </w:t>
            </w:r>
            <w:r w:rsidR="003216CE">
              <w:t>did not specify the tracer required</w:t>
            </w:r>
            <w:r w:rsidR="00BF56F2">
              <w:t xml:space="preserve">, </w:t>
            </w:r>
            <w:r w:rsidR="00C835A6">
              <w:t xml:space="preserve"> proposed </w:t>
            </w:r>
            <w:r w:rsidR="001663CC">
              <w:t xml:space="preserve">a </w:t>
            </w:r>
            <w:r>
              <w:t>fee</w:t>
            </w:r>
            <w:r w:rsidR="00EA5EB7">
              <w:t xml:space="preserve"> of $1</w:t>
            </w:r>
            <w:r w:rsidR="00BC0820">
              <w:t>,</w:t>
            </w:r>
            <w:r w:rsidR="00EA5EB7">
              <w:t>300</w:t>
            </w:r>
            <w:r w:rsidR="002321EC">
              <w:t>, which</w:t>
            </w:r>
            <w:r>
              <w:t xml:space="preserve"> is </w:t>
            </w:r>
            <w:r w:rsidR="00C835A6">
              <w:t xml:space="preserve">also </w:t>
            </w:r>
            <w:r w:rsidR="002321EC">
              <w:t xml:space="preserve">lower </w:t>
            </w:r>
            <w:r>
              <w:t xml:space="preserve">than </w:t>
            </w:r>
            <w:r w:rsidR="008F4014">
              <w:t>the</w:t>
            </w:r>
            <w:r>
              <w:t xml:space="preserve"> proposed </w:t>
            </w:r>
            <w:r w:rsidR="008F4014">
              <w:t>fee of $1</w:t>
            </w:r>
            <w:r w:rsidR="00BC0820">
              <w:t>,</w:t>
            </w:r>
            <w:r w:rsidR="008F4014">
              <w:t>9</w:t>
            </w:r>
            <w:r w:rsidR="000127BE">
              <w:t>45</w:t>
            </w:r>
            <w:r>
              <w:t xml:space="preserve"> </w:t>
            </w:r>
            <w:r w:rsidR="000127BE">
              <w:t>quoted by</w:t>
            </w:r>
            <w:r>
              <w:t xml:space="preserve"> this application. MSAC considered that there was no evidence provided that showed that the gallium test is better or resulted in better health outcomes </w:t>
            </w:r>
            <w:r w:rsidR="004D5C64">
              <w:t xml:space="preserve">than other </w:t>
            </w:r>
            <w:r w:rsidR="00B74A14">
              <w:t>tracers</w:t>
            </w:r>
            <w:r>
              <w:t xml:space="preserve"> tha</w:t>
            </w:r>
            <w:r w:rsidR="000127BE">
              <w:t>t</w:t>
            </w:r>
            <w:r>
              <w:t xml:space="preserve"> </w:t>
            </w:r>
            <w:r w:rsidR="00236EC3">
              <w:t>w</w:t>
            </w:r>
            <w:r w:rsidR="00EA5EB7">
              <w:t>ould justify a higher fee than $1</w:t>
            </w:r>
            <w:r w:rsidR="00497F14">
              <w:t>,</w:t>
            </w:r>
            <w:r w:rsidR="00EA5EB7">
              <w:t>300</w:t>
            </w:r>
            <w:r>
              <w:t>, so the higher fee was not warranted.</w:t>
            </w:r>
          </w:p>
          <w:p w14:paraId="557016F9" w14:textId="726FDEDF" w:rsidR="00C2190A" w:rsidRPr="00AF46D8" w:rsidRDefault="00C2190A" w:rsidP="00C2190A">
            <w:pPr>
              <w:pStyle w:val="Heading3"/>
            </w:pPr>
            <w:r w:rsidRPr="00AF46D8">
              <w:t xml:space="preserve">MSAC’s advice to the </w:t>
            </w:r>
            <w:proofErr w:type="gramStart"/>
            <w:r w:rsidRPr="00AF46D8">
              <w:t>Commonwealth Minister</w:t>
            </w:r>
            <w:proofErr w:type="gramEnd"/>
            <w:r w:rsidRPr="00AF46D8">
              <w:t xml:space="preserve"> for Health</w:t>
            </w:r>
            <w:r w:rsidR="00243B36" w:rsidRPr="00243B36">
              <w:t xml:space="preserve"> and Aged Care</w:t>
            </w:r>
          </w:p>
          <w:p w14:paraId="7C4F9617" w14:textId="746C0738" w:rsidR="00AE7DDB" w:rsidRPr="00AF46D8" w:rsidRDefault="00C2190A" w:rsidP="00C2190A">
            <w:pPr>
              <w:spacing w:after="120"/>
            </w:pPr>
            <w:r w:rsidRPr="00AF46D8">
              <w:t xml:space="preserve">MSAC deferred its </w:t>
            </w:r>
            <w:r>
              <w:t>decision on funding the ILLUCCIX</w:t>
            </w:r>
            <w:r w:rsidRPr="00CA5853">
              <w:rPr>
                <w:vertAlign w:val="superscript"/>
              </w:rPr>
              <w:t>®</w:t>
            </w:r>
            <w:r>
              <w:t xml:space="preserve"> kit for the preparation of </w:t>
            </w:r>
            <w:r w:rsidRPr="002142AE">
              <w:rPr>
                <w:vertAlign w:val="superscript"/>
              </w:rPr>
              <w:t>68</w:t>
            </w:r>
            <w:r>
              <w:t xml:space="preserve">Ga-PSMA-11 injection for assessing the eligibility of patients diagnosed with metastatic castration-resistant prostate cancer to undertake PSMA-targeted therapy. MSAC advised that, before it could provide a positive recommendation for </w:t>
            </w:r>
            <w:r w:rsidR="00315A7A">
              <w:t xml:space="preserve">public </w:t>
            </w:r>
            <w:r>
              <w:t xml:space="preserve">funding, the proposed fee should be lowered to match other similar </w:t>
            </w:r>
            <w:r w:rsidR="00496D2E">
              <w:t xml:space="preserve">proposed </w:t>
            </w:r>
            <w:r>
              <w:t>PSMA PET MBS items, the item descriptor should not name a specific tracer, and the TGA must first approve using the test for selecting patients for PSMA targeted therapy.</w:t>
            </w:r>
          </w:p>
        </w:tc>
      </w:tr>
    </w:tbl>
    <w:p w14:paraId="27005299" w14:textId="77777777" w:rsidR="00AE7DDB" w:rsidRDefault="00AE7DDB" w:rsidP="00AE7DDB">
      <w:pPr>
        <w:pStyle w:val="Heading2"/>
        <w:numPr>
          <w:ilvl w:val="1"/>
          <w:numId w:val="0"/>
        </w:numPr>
      </w:pPr>
      <w:r>
        <w:lastRenderedPageBreak/>
        <w:t>3.</w:t>
      </w:r>
      <w:r>
        <w:tab/>
        <w:t>Summary of consideration and rationale for MSAC’s advice</w:t>
      </w:r>
    </w:p>
    <w:p w14:paraId="36C09A5A" w14:textId="602FEA91" w:rsidR="006C4458" w:rsidRDefault="006C4458" w:rsidP="00FE377D">
      <w:pPr>
        <w:spacing w:after="240"/>
      </w:pPr>
      <w:r w:rsidRPr="00516D4E">
        <w:t>MSAC</w:t>
      </w:r>
      <w:r>
        <w:t xml:space="preserve"> noted that this application from </w:t>
      </w:r>
      <w:proofErr w:type="spellStart"/>
      <w:r>
        <w:t>Telix</w:t>
      </w:r>
      <w:proofErr w:type="spellEnd"/>
      <w:r>
        <w:t xml:space="preserve"> Pharmaceuticals Ltd was requesting Medicare Benefits Schedule (MBS) listing of the ILLUCCIX</w:t>
      </w:r>
      <w:r w:rsidRPr="008A0F94">
        <w:rPr>
          <w:vertAlign w:val="superscript"/>
        </w:rPr>
        <w:t>®</w:t>
      </w:r>
      <w:r>
        <w:t xml:space="preserve"> kit (kit for the preparation of gallium-68 [</w:t>
      </w:r>
      <w:r w:rsidRPr="002142AE">
        <w:rPr>
          <w:vertAlign w:val="superscript"/>
        </w:rPr>
        <w:t>68</w:t>
      </w:r>
      <w:r>
        <w:t>Ga]-</w:t>
      </w:r>
      <w:r w:rsidR="006132A7" w:rsidDel="006132A7">
        <w:t xml:space="preserve"> </w:t>
      </w:r>
      <w:r>
        <w:t xml:space="preserve">PSMA-11 injection) for assessing the eligibility of patients diagnosed with </w:t>
      </w:r>
      <w:proofErr w:type="spellStart"/>
      <w:r>
        <w:t>mCRPC</w:t>
      </w:r>
      <w:proofErr w:type="spellEnd"/>
      <w:r>
        <w:t xml:space="preserve"> to </w:t>
      </w:r>
      <w:r>
        <w:lastRenderedPageBreak/>
        <w:t>undertake PSMA-targeted therapy. MSAC noted that the ILLUCCIX</w:t>
      </w:r>
      <w:r w:rsidRPr="005F40C7">
        <w:rPr>
          <w:vertAlign w:val="superscript"/>
        </w:rPr>
        <w:t>®</w:t>
      </w:r>
      <w:r>
        <w:t xml:space="preserve"> formulation is the only PSMA diagnostic agent approved by the Therapeutic Goods Administration (TGA)</w:t>
      </w:r>
      <w:r w:rsidR="00AB1175">
        <w:t>. MSAC noted that</w:t>
      </w:r>
      <w:r w:rsidR="00AB1175" w:rsidRPr="008E5119">
        <w:t xml:space="preserve"> </w:t>
      </w:r>
      <w:r w:rsidR="00AB1175">
        <w:t xml:space="preserve">the </w:t>
      </w:r>
      <w:r w:rsidR="00AB1175" w:rsidRPr="008E5119">
        <w:t xml:space="preserve">ADAR stated that </w:t>
      </w:r>
      <w:r w:rsidR="00AB1175">
        <w:t>an application had been submitted to the TGA for the additional indication of “patients who are candidates for PSMA targeted therapy’ which is the precise indication for the proposed</w:t>
      </w:r>
      <w:r w:rsidR="009178E7">
        <w:t xml:space="preserve"> MBS</w:t>
      </w:r>
      <w:r w:rsidR="00AB1175">
        <w:t xml:space="preserve"> </w:t>
      </w:r>
      <w:r w:rsidR="00DB7C2A">
        <w:t>listing</w:t>
      </w:r>
      <w:r w:rsidR="00505EF0">
        <w:t xml:space="preserve"> (see Section 5 Prerequisites to implementation of any funding advice)</w:t>
      </w:r>
      <w:r w:rsidR="00DB7C2A">
        <w:t>. H</w:t>
      </w:r>
      <w:r>
        <w:t xml:space="preserve">owever, it has not yet been approved </w:t>
      </w:r>
      <w:r w:rsidR="00AE6EAE">
        <w:t xml:space="preserve">by the TGA </w:t>
      </w:r>
      <w:r>
        <w:t>for th</w:t>
      </w:r>
      <w:r w:rsidR="00DB7C2A">
        <w:t>is</w:t>
      </w:r>
      <w:r>
        <w:t xml:space="preserve"> indication</w:t>
      </w:r>
      <w:r w:rsidR="00497F14">
        <w:t>.</w:t>
      </w:r>
    </w:p>
    <w:p w14:paraId="5C5F2E11" w14:textId="56B2A8F4" w:rsidR="00443E19" w:rsidRDefault="00443E19" w:rsidP="00FE377D">
      <w:pPr>
        <w:spacing w:after="240"/>
      </w:pPr>
      <w:r>
        <w:t xml:space="preserve">MSAC </w:t>
      </w:r>
      <w:r w:rsidR="00360ADD">
        <w:t>recalled it had previously</w:t>
      </w:r>
      <w:r>
        <w:t xml:space="preserve"> considered</w:t>
      </w:r>
      <w:r w:rsidR="00230BA5">
        <w:t xml:space="preserve"> </w:t>
      </w:r>
      <w:r>
        <w:t xml:space="preserve">PSMA PET/CT </w:t>
      </w:r>
      <w:r w:rsidR="00B609C6">
        <w:t xml:space="preserve">for informing </w:t>
      </w:r>
      <w:r w:rsidR="00BF56F2">
        <w:t xml:space="preserve">the </w:t>
      </w:r>
      <w:r w:rsidR="00B609C6">
        <w:t>treatment of patients with prostate cancer in two previous applications</w:t>
      </w:r>
      <w:r w:rsidR="0013523C">
        <w:t xml:space="preserve"> </w:t>
      </w:r>
      <w:r w:rsidR="00E16639">
        <w:t>(</w:t>
      </w:r>
      <w:r>
        <w:t xml:space="preserve">MSAC </w:t>
      </w:r>
      <w:hyperlink r:id="rId13" w:history="1">
        <w:r w:rsidRPr="00E16639">
          <w:rPr>
            <w:rStyle w:val="Hyperlink"/>
          </w:rPr>
          <w:t>1632</w:t>
        </w:r>
      </w:hyperlink>
      <w:r w:rsidR="00896799">
        <w:t>;</w:t>
      </w:r>
      <w:r>
        <w:t xml:space="preserve"> and MSAC </w:t>
      </w:r>
      <w:hyperlink r:id="rId14" w:history="1">
        <w:r w:rsidRPr="00896799">
          <w:rPr>
            <w:rStyle w:val="Hyperlink"/>
          </w:rPr>
          <w:t>1686</w:t>
        </w:r>
      </w:hyperlink>
      <w:r>
        <w:t>/</w:t>
      </w:r>
      <w:hyperlink r:id="rId15" w:history="1">
        <w:r w:rsidRPr="00896799">
          <w:rPr>
            <w:rStyle w:val="Hyperlink"/>
          </w:rPr>
          <w:t>1686.1</w:t>
        </w:r>
      </w:hyperlink>
      <w:r w:rsidR="00896799">
        <w:t>)</w:t>
      </w:r>
      <w:r w:rsidR="009E4996">
        <w:t>.</w:t>
      </w:r>
    </w:p>
    <w:p w14:paraId="15EE4EAE" w14:textId="6C615CF7" w:rsidR="006C4458" w:rsidRDefault="006C4458" w:rsidP="00FE377D">
      <w:pPr>
        <w:spacing w:after="240"/>
      </w:pPr>
      <w:r>
        <w:t xml:space="preserve">MSAC noted that </w:t>
      </w:r>
      <w:r w:rsidR="00B8708F" w:rsidRPr="00210247">
        <w:rPr>
          <w:iCs/>
        </w:rPr>
        <w:t xml:space="preserve">the </w:t>
      </w:r>
      <w:r w:rsidR="00B8708F">
        <w:rPr>
          <w:iCs/>
        </w:rPr>
        <w:t>applicant-developed assessment report (</w:t>
      </w:r>
      <w:r w:rsidR="00B8708F" w:rsidRPr="00210247">
        <w:rPr>
          <w:iCs/>
        </w:rPr>
        <w:t>ADAR</w:t>
      </w:r>
      <w:r w:rsidR="00B8708F">
        <w:rPr>
          <w:iCs/>
        </w:rPr>
        <w:t>)</w:t>
      </w:r>
      <w:r w:rsidR="00B8708F" w:rsidRPr="00210247">
        <w:rPr>
          <w:iCs/>
        </w:rPr>
        <w:t xml:space="preserve"> </w:t>
      </w:r>
      <w:r w:rsidR="00B8708F">
        <w:rPr>
          <w:iCs/>
        </w:rPr>
        <w:t xml:space="preserve">only </w:t>
      </w:r>
      <w:r w:rsidR="00B8708F" w:rsidRPr="00210247">
        <w:rPr>
          <w:iCs/>
        </w:rPr>
        <w:t xml:space="preserve">requested MBS funding </w:t>
      </w:r>
      <w:r w:rsidR="00E11877">
        <w:rPr>
          <w:iCs/>
        </w:rPr>
        <w:t>using the radiotracer specific</w:t>
      </w:r>
      <w:r w:rsidR="00B8708F" w:rsidRPr="00210247">
        <w:rPr>
          <w:iCs/>
        </w:rPr>
        <w:t xml:space="preserve"> investigative test </w:t>
      </w:r>
      <w:r w:rsidR="00D42D17" w:rsidRPr="009068F2">
        <w:rPr>
          <w:iCs/>
          <w:vertAlign w:val="superscript"/>
        </w:rPr>
        <w:t>68</w:t>
      </w:r>
      <w:r w:rsidR="00D42D17" w:rsidRPr="009068F2">
        <w:rPr>
          <w:iCs/>
        </w:rPr>
        <w:t>Ga</w:t>
      </w:r>
      <w:r w:rsidR="00D42D17" w:rsidRPr="00D73F34">
        <w:rPr>
          <w:rFonts w:cstheme="minorHAnsi"/>
        </w:rPr>
        <w:t>-PSMA PET/CT</w:t>
      </w:r>
      <w:r w:rsidR="00D42D17">
        <w:rPr>
          <w:iCs/>
        </w:rPr>
        <w:t xml:space="preserve"> </w:t>
      </w:r>
      <w:r w:rsidR="00B24560">
        <w:rPr>
          <w:iCs/>
        </w:rPr>
        <w:t>but</w:t>
      </w:r>
      <w:r w:rsidR="00810DF6">
        <w:rPr>
          <w:iCs/>
        </w:rPr>
        <w:t xml:space="preserve"> </w:t>
      </w:r>
      <w:r w:rsidR="00810DF6" w:rsidRPr="00210247">
        <w:rPr>
          <w:iCs/>
        </w:rPr>
        <w:t xml:space="preserve">not the associated therapeutic intervention (PSMA targeted therapy). </w:t>
      </w:r>
      <w:r w:rsidR="00002D42">
        <w:t xml:space="preserve">This is unlike MSAC applications </w:t>
      </w:r>
      <w:hyperlink r:id="rId16" w:history="1">
        <w:r w:rsidR="00002D42" w:rsidRPr="00017E11">
          <w:rPr>
            <w:rStyle w:val="Hyperlink"/>
          </w:rPr>
          <w:t>1686</w:t>
        </w:r>
      </w:hyperlink>
      <w:r w:rsidR="00002D42">
        <w:t xml:space="preserve"> and </w:t>
      </w:r>
      <w:hyperlink r:id="rId17" w:history="1">
        <w:r w:rsidR="00FD0E03" w:rsidRPr="00896799">
          <w:rPr>
            <w:rStyle w:val="Hyperlink"/>
          </w:rPr>
          <w:t>1686.1</w:t>
        </w:r>
      </w:hyperlink>
      <w:r w:rsidR="00FD0E03" w:rsidRPr="0065129C" w:rsidDel="00FD0E03">
        <w:t xml:space="preserve"> </w:t>
      </w:r>
      <w:r w:rsidR="00912CEF">
        <w:rPr>
          <w:rStyle w:val="Hyperlink"/>
          <w:color w:val="auto"/>
          <w:u w:val="none"/>
        </w:rPr>
        <w:t>(</w:t>
      </w:r>
      <w:r w:rsidR="004A29CD" w:rsidRPr="00912CEF">
        <w:rPr>
          <w:iCs/>
        </w:rPr>
        <w:t>177</w:t>
      </w:r>
      <w:r w:rsidR="004A29CD" w:rsidRPr="0039644E">
        <w:rPr>
          <w:iCs/>
        </w:rPr>
        <w:t xml:space="preserve"> lutetium </w:t>
      </w:r>
      <w:r w:rsidR="004A29CD">
        <w:rPr>
          <w:iCs/>
        </w:rPr>
        <w:t>PSMA</w:t>
      </w:r>
      <w:r w:rsidR="004A29CD" w:rsidRPr="0039644E">
        <w:rPr>
          <w:iCs/>
        </w:rPr>
        <w:t xml:space="preserve"> imaging scan and therapy</w:t>
      </w:r>
      <w:r w:rsidR="004A29CD">
        <w:rPr>
          <w:iCs/>
        </w:rPr>
        <w:t xml:space="preserve"> [</w:t>
      </w:r>
      <w:r w:rsidR="004A29CD" w:rsidRPr="00D71CB6">
        <w:rPr>
          <w:vertAlign w:val="superscript"/>
        </w:rPr>
        <w:t>177</w:t>
      </w:r>
      <w:r w:rsidR="004A29CD" w:rsidRPr="009E23E2">
        <w:t>LuPSMA</w:t>
      </w:r>
      <w:r w:rsidR="004A29CD">
        <w:t> </w:t>
      </w:r>
      <w:proofErr w:type="spellStart"/>
      <w:r w:rsidR="004A29CD" w:rsidRPr="009E23E2">
        <w:t>i</w:t>
      </w:r>
      <w:r w:rsidR="004A29CD" w:rsidRPr="0039644E">
        <w:rPr>
          <w:iCs/>
        </w:rPr>
        <w:t>&amp;t</w:t>
      </w:r>
      <w:proofErr w:type="spellEnd"/>
      <w:r w:rsidR="004A29CD">
        <w:rPr>
          <w:iCs/>
        </w:rPr>
        <w:t xml:space="preserve">] </w:t>
      </w:r>
      <w:r w:rsidR="004F317B">
        <w:rPr>
          <w:iCs/>
        </w:rPr>
        <w:t xml:space="preserve">for </w:t>
      </w:r>
      <w:proofErr w:type="spellStart"/>
      <w:r w:rsidR="004F317B">
        <w:rPr>
          <w:iCs/>
        </w:rPr>
        <w:t>mCRPC</w:t>
      </w:r>
      <w:proofErr w:type="spellEnd"/>
      <w:r w:rsidR="004F317B">
        <w:rPr>
          <w:iCs/>
        </w:rPr>
        <w:t>])</w:t>
      </w:r>
      <w:r w:rsidR="00002D42">
        <w:t>, which also requested MBS funding for the therapeutic intervention (included in the codependent application).</w:t>
      </w:r>
      <w:r w:rsidR="00862F94">
        <w:t xml:space="preserve"> </w:t>
      </w:r>
      <w:r w:rsidR="00C14686">
        <w:t xml:space="preserve">MSAC noted </w:t>
      </w:r>
      <w:r w:rsidR="00C14686">
        <w:rPr>
          <w:rStyle w:val="Strong"/>
          <w:b w:val="0"/>
          <w:bCs w:val="0"/>
        </w:rPr>
        <w:t>t</w:t>
      </w:r>
      <w:r w:rsidR="00862F94" w:rsidRPr="00644701">
        <w:rPr>
          <w:rStyle w:val="Strong"/>
          <w:b w:val="0"/>
          <w:bCs w:val="0"/>
        </w:rPr>
        <w:t>his application (1720) proposes a new investigative option</w:t>
      </w:r>
      <w:r w:rsidR="00862F94">
        <w:rPr>
          <w:rStyle w:val="Strong"/>
          <w:b w:val="0"/>
          <w:bCs w:val="0"/>
        </w:rPr>
        <w:t xml:space="preserve"> (at a higher fee)</w:t>
      </w:r>
      <w:r w:rsidR="00862F94" w:rsidRPr="00644701">
        <w:rPr>
          <w:rStyle w:val="Strong"/>
          <w:b w:val="0"/>
          <w:bCs w:val="0"/>
        </w:rPr>
        <w:t xml:space="preserve"> for identifying those eligible for PSMA-targeted radioligand therapies in a similar population.</w:t>
      </w:r>
      <w:r w:rsidR="001B1EDB">
        <w:t xml:space="preserve"> </w:t>
      </w:r>
    </w:p>
    <w:p w14:paraId="724D36D5" w14:textId="04AB12A1" w:rsidR="006C4458" w:rsidRDefault="00213197" w:rsidP="00FE377D">
      <w:pPr>
        <w:spacing w:after="240"/>
      </w:pPr>
      <w:r>
        <w:t xml:space="preserve">MSAC noted that </w:t>
      </w:r>
      <w:r w:rsidR="001B35CD">
        <w:t xml:space="preserve">before considering this application, </w:t>
      </w:r>
      <w:r w:rsidR="002B4CC3">
        <w:t xml:space="preserve">applicant representatives were provided with the opportunity to present at a hearing, </w:t>
      </w:r>
      <w:r w:rsidR="006C4458">
        <w:t xml:space="preserve">At the hearing, applicant representatives highlighted the growing demand and utilisation of PSMA-targeted radioligand therapies, with an analysis of Special Access Scheme (SAS) data provided by the TGA showing that </w:t>
      </w:r>
      <w:r w:rsidR="006C4458" w:rsidRPr="009865C5">
        <w:rPr>
          <w:vertAlign w:val="superscript"/>
        </w:rPr>
        <w:t>177</w:t>
      </w:r>
      <w:r w:rsidR="006C4458">
        <w:t xml:space="preserve">Lu-PSMA 617 therapy was requested 455 times in 2021, 420 times in 2022 and 212 times up to 30 June 2023. The representatives also highlighted the growing utilisation of PSMA-targeted therapies at the Peter MacCallum Cancer Centre between 2015 (when Lu-PSMA was first used) and 2022, with </w:t>
      </w:r>
      <w:r w:rsidR="006C4458" w:rsidRPr="009865C5">
        <w:rPr>
          <w:vertAlign w:val="superscript"/>
        </w:rPr>
        <w:t>177</w:t>
      </w:r>
      <w:r w:rsidR="006C4458">
        <w:t>Lu-PSMA 617 therapy rapidly emerging as standard of care</w:t>
      </w:r>
      <w:r w:rsidR="0091248E">
        <w:t xml:space="preserve"> at that centre</w:t>
      </w:r>
      <w:r w:rsidR="006C4458">
        <w:t>. MSAC noted that PSMA PET</w:t>
      </w:r>
      <w:r w:rsidR="00724ACD">
        <w:t>/CT</w:t>
      </w:r>
      <w:r w:rsidR="006C4458">
        <w:t xml:space="preserve"> is necessary to assess suitability for PSMA radioligand therapy, which meets a </w:t>
      </w:r>
      <w:r w:rsidR="009A5500">
        <w:t xml:space="preserve">high </w:t>
      </w:r>
      <w:r w:rsidR="006C4458">
        <w:t>clinical need f</w:t>
      </w:r>
      <w:r w:rsidR="00C0253F">
        <w:t>or</w:t>
      </w:r>
      <w:r w:rsidR="009A5500">
        <w:t xml:space="preserve"> </w:t>
      </w:r>
      <w:r w:rsidR="00423825">
        <w:t xml:space="preserve">patients with </w:t>
      </w:r>
      <w:proofErr w:type="spellStart"/>
      <w:r w:rsidR="006C4458">
        <w:t>mCRPC</w:t>
      </w:r>
      <w:proofErr w:type="spellEnd"/>
      <w:r w:rsidR="006C4458">
        <w:t xml:space="preserve">. MSAC recalled that an item number covering assessment for suitability for </w:t>
      </w:r>
      <w:r w:rsidR="006C4458" w:rsidRPr="009865C5">
        <w:rPr>
          <w:vertAlign w:val="superscript"/>
        </w:rPr>
        <w:t>177</w:t>
      </w:r>
      <w:r w:rsidR="006C4458">
        <w:t>Lu-PSMA therapy was included with application 1686.1.</w:t>
      </w:r>
    </w:p>
    <w:p w14:paraId="2FDC5EFB" w14:textId="6BFC7671" w:rsidR="006C4458" w:rsidRDefault="006C4458" w:rsidP="00FE377D">
      <w:pPr>
        <w:spacing w:after="240"/>
      </w:pPr>
      <w:r>
        <w:t xml:space="preserve">MSAC noted that the applicant in its pre-MSAC response supported removing the “once per lifetime” limitation from the item descriptor, but ESC had concluded that this could only be assessed if there was evidence supporting retreatment. </w:t>
      </w:r>
      <w:r w:rsidR="00C42DA5">
        <w:t>However</w:t>
      </w:r>
      <w:r w:rsidR="00E6229B">
        <w:t>,</w:t>
      </w:r>
      <w:r w:rsidR="00C42DA5">
        <w:t xml:space="preserve"> </w:t>
      </w:r>
      <w:r>
        <w:t>MSAC noted that</w:t>
      </w:r>
      <w:r w:rsidR="00DE60ED">
        <w:t xml:space="preserve"> although </w:t>
      </w:r>
      <w:r>
        <w:t>there are published case series reporting that PSMA retreatment can be effective, and a multicentre controlled trial is about to commence recruitment, there is currently no high-level evidence available supporting retreatment</w:t>
      </w:r>
      <w:r w:rsidR="00DE60ED">
        <w:t xml:space="preserve"> and therefore insufficient evidence to assess the claim </w:t>
      </w:r>
      <w:r w:rsidR="00FA19CD">
        <w:t>for removing the once per lifetime limitation</w:t>
      </w:r>
      <w:r>
        <w:t>.</w:t>
      </w:r>
      <w:r w:rsidR="00BE4476" w:rsidRPr="19555991">
        <w:rPr>
          <w:rStyle w:val="Strong"/>
          <w:b w:val="0"/>
          <w:bCs w:val="0"/>
        </w:rPr>
        <w:t xml:space="preserve"> </w:t>
      </w:r>
      <w:r w:rsidR="00961FA8" w:rsidRPr="19555991">
        <w:rPr>
          <w:rStyle w:val="Strong"/>
          <w:b w:val="0"/>
          <w:bCs w:val="0"/>
        </w:rPr>
        <w:t xml:space="preserve">Nonetheless, </w:t>
      </w:r>
      <w:r w:rsidR="001519D0" w:rsidRPr="19555991">
        <w:rPr>
          <w:rStyle w:val="Strong"/>
          <w:b w:val="0"/>
          <w:bCs w:val="0"/>
        </w:rPr>
        <w:t>MSAC agreed with the applicant that no restriction to the number of services was needed</w:t>
      </w:r>
      <w:r w:rsidR="007E6591" w:rsidRPr="19555991">
        <w:rPr>
          <w:rStyle w:val="Strong"/>
          <w:b w:val="0"/>
          <w:bCs w:val="0"/>
        </w:rPr>
        <w:t xml:space="preserve">. </w:t>
      </w:r>
      <w:r w:rsidR="00F64223">
        <w:t xml:space="preserve">In addition, MSAC recalled that the proposed investigative item for PSMA PET in application 1686/1686.1 </w:t>
      </w:r>
      <w:r w:rsidR="00F64223" w:rsidRPr="19555991">
        <w:rPr>
          <w:rStyle w:val="Strong"/>
          <w:b w:val="0"/>
          <w:bCs w:val="0"/>
        </w:rPr>
        <w:t xml:space="preserve">did not include a frequency restriction. </w:t>
      </w:r>
      <w:r w:rsidR="00BE4476">
        <w:t xml:space="preserve">MSAC </w:t>
      </w:r>
      <w:r w:rsidR="007E6591">
        <w:t xml:space="preserve">also </w:t>
      </w:r>
      <w:r w:rsidR="00BE4476">
        <w:t>agreed with the applicant that computed tomography (CT) should be removed from the item descriptor</w:t>
      </w:r>
      <w:r w:rsidR="001829D3">
        <w:t>, which would be consistent with other MBS items for PET.</w:t>
      </w:r>
    </w:p>
    <w:p w14:paraId="1B0E548C" w14:textId="3057259F" w:rsidR="00E445E8" w:rsidRDefault="00CE1F2D" w:rsidP="006C4458">
      <w:r>
        <w:t xml:space="preserve">In addition, </w:t>
      </w:r>
      <w:r w:rsidR="00E445E8">
        <w:t xml:space="preserve">MSAC also considered that </w:t>
      </w:r>
      <w:r w:rsidR="00FE2F1C">
        <w:t>‘</w:t>
      </w:r>
      <w:r w:rsidR="00FE2F1C" w:rsidRPr="0039644E">
        <w:rPr>
          <w:iCs/>
        </w:rPr>
        <w:t>177 lutetium</w:t>
      </w:r>
      <w:r w:rsidR="00FE2F1C">
        <w:rPr>
          <w:iCs/>
        </w:rPr>
        <w:t xml:space="preserve">’ should be included in the definition of </w:t>
      </w:r>
      <w:r w:rsidR="006A40BF" w:rsidRPr="00B55764">
        <w:t>PSMA therapy</w:t>
      </w:r>
      <w:r>
        <w:t xml:space="preserve"> in the proposed MBS item</w:t>
      </w:r>
      <w:r w:rsidR="00E10217">
        <w:t>.</w:t>
      </w:r>
    </w:p>
    <w:p w14:paraId="343481AD" w14:textId="63D4F7D0" w:rsidR="006C4458" w:rsidRDefault="006C4458" w:rsidP="00FE377D">
      <w:pPr>
        <w:keepNext/>
        <w:keepLines/>
        <w:spacing w:after="240"/>
      </w:pPr>
      <w:r>
        <w:lastRenderedPageBreak/>
        <w:t>MSAC considered that, while the ILLUCCIX</w:t>
      </w:r>
      <w:r w:rsidRPr="008E6430">
        <w:rPr>
          <w:vertAlign w:val="superscript"/>
        </w:rPr>
        <w:t>®</w:t>
      </w:r>
      <w:r>
        <w:t xml:space="preserve"> kit can be sold to smaller private practices and </w:t>
      </w:r>
      <w:r w:rsidR="004B0815">
        <w:t xml:space="preserve">using the kit makes it </w:t>
      </w:r>
      <w:r>
        <w:t xml:space="preserve">much easier and cheaper to manufacture </w:t>
      </w:r>
      <w:r w:rsidR="004B0815">
        <w:t>the radiopharmaceutical tracer</w:t>
      </w:r>
      <w:r>
        <w:t xml:space="preserve"> than previous formulations of </w:t>
      </w:r>
      <w:r w:rsidRPr="002142AE">
        <w:rPr>
          <w:vertAlign w:val="superscript"/>
        </w:rPr>
        <w:t>68</w:t>
      </w:r>
      <w:r>
        <w:t>Ga-PSMA-11 (although it is more expensive per vial),</w:t>
      </w:r>
      <w:r w:rsidRPr="00C06B02">
        <w:t xml:space="preserve"> </w:t>
      </w:r>
      <w:r>
        <w:t xml:space="preserve">the very short half-life of </w:t>
      </w:r>
      <w:r w:rsidRPr="002142AE">
        <w:rPr>
          <w:vertAlign w:val="superscript"/>
        </w:rPr>
        <w:t>68</w:t>
      </w:r>
      <w:r>
        <w:t xml:space="preserve">Ga meant that it could not be easily distributed to rural and remote areas, so would likely not address equity of access issues for those patients. MSAC also considered that the high cost per vial meant that purchasing a </w:t>
      </w:r>
      <w:r w:rsidRPr="002142AE">
        <w:rPr>
          <w:vertAlign w:val="superscript"/>
        </w:rPr>
        <w:t>68</w:t>
      </w:r>
      <w:r>
        <w:t xml:space="preserve">Ga generator was likely a cost-neutral option </w:t>
      </w:r>
      <w:r w:rsidR="0071286B">
        <w:t xml:space="preserve">overall </w:t>
      </w:r>
      <w:r>
        <w:t>for rural and remote centres</w:t>
      </w:r>
      <w:r w:rsidR="00E20AC5">
        <w:t xml:space="preserve"> even after taking account of the lower costs of manufacture facilitated by the vial</w:t>
      </w:r>
      <w:r>
        <w:t>.</w:t>
      </w:r>
    </w:p>
    <w:p w14:paraId="1FA61E1D" w14:textId="62ABFA66" w:rsidR="0098376D" w:rsidRDefault="0098376D" w:rsidP="00FE377D">
      <w:pPr>
        <w:spacing w:after="240"/>
      </w:pPr>
      <w:r>
        <w:t>MSAC noted that the proposed fee of $1,945 was $500–600 higher than that of other current PSMA PET MBS items. This fee was also higher than the fee proposed in codependent application 1686.1. At the hearing, representatives of the applicant provided a rationale for the fee, stating that the cost of the ILLUCCIX</w:t>
      </w:r>
      <w:r w:rsidRPr="19555991">
        <w:rPr>
          <w:vertAlign w:val="superscript"/>
        </w:rPr>
        <w:t>®</w:t>
      </w:r>
      <w:r>
        <w:t xml:space="preserve"> kit is $</w:t>
      </w:r>
      <w:r w:rsidR="00014848" w:rsidRPr="00B9269D">
        <w:rPr>
          <w:color w:val="000000"/>
          <w:spacing w:val="30"/>
          <w:shd w:val="solid" w:color="000000" w:fill="000000"/>
          <w:fitText w:val="440" w:id="-966506240"/>
          <w14:textFill>
            <w14:solidFill>
              <w14:srgbClr w14:val="000000">
                <w14:alpha w14:val="100000"/>
              </w14:srgbClr>
            </w14:solidFill>
          </w14:textFill>
        </w:rPr>
        <w:t>|||||</w:t>
      </w:r>
      <w:r w:rsidR="00014848" w:rsidRPr="00B9269D">
        <w:rPr>
          <w:color w:val="000000"/>
          <w:spacing w:val="2"/>
          <w:shd w:val="solid" w:color="000000" w:fill="000000"/>
          <w:fitText w:val="440" w:id="-966506240"/>
          <w14:textFill>
            <w14:solidFill>
              <w14:srgbClr w14:val="000000">
                <w14:alpha w14:val="100000"/>
              </w14:srgbClr>
            </w14:solidFill>
          </w14:textFill>
        </w:rPr>
        <w:t>|</w:t>
      </w:r>
      <w:r>
        <w:t xml:space="preserve">, </w:t>
      </w:r>
      <w:r w:rsidRPr="19555991">
        <w:rPr>
          <w:vertAlign w:val="superscript"/>
        </w:rPr>
        <w:t>68</w:t>
      </w:r>
      <w:r>
        <w:t>Ga is $</w:t>
      </w:r>
      <w:r w:rsidR="00014848" w:rsidRPr="00B9269D">
        <w:rPr>
          <w:color w:val="000000"/>
          <w:spacing w:val="30"/>
          <w:shd w:val="solid" w:color="000000" w:fill="000000"/>
          <w:fitText w:val="440" w:id="-966506239"/>
          <w14:textFill>
            <w14:solidFill>
              <w14:srgbClr w14:val="000000">
                <w14:alpha w14:val="100000"/>
              </w14:srgbClr>
            </w14:solidFill>
          </w14:textFill>
        </w:rPr>
        <w:t>|||||</w:t>
      </w:r>
      <w:r w:rsidR="00014848" w:rsidRPr="00B9269D">
        <w:rPr>
          <w:color w:val="000000"/>
          <w:spacing w:val="2"/>
          <w:shd w:val="solid" w:color="000000" w:fill="000000"/>
          <w:fitText w:val="440" w:id="-966506239"/>
          <w14:textFill>
            <w14:solidFill>
              <w14:srgbClr w14:val="000000">
                <w14:alpha w14:val="100000"/>
              </w14:srgbClr>
            </w14:solidFill>
          </w14:textFill>
        </w:rPr>
        <w:t>|</w:t>
      </w:r>
      <w:r>
        <w:t>, and the PET/CT service is $900. The representatives also stated that the current fee for PSMA PET MBS items is inappropriate and causing financial difficulty for patients in both the public and private settings, as it resulted in an out-of-pocket expense of at least $400. MSAC also noted that there have been no increases in the FDG PET fee since the item was introduced to the MBS. However, MSAC considered that the applicant’s justification for the higher fee appeared to be that the ILLUCCIX</w:t>
      </w:r>
      <w:r w:rsidRPr="19555991">
        <w:rPr>
          <w:vertAlign w:val="superscript"/>
        </w:rPr>
        <w:t>®</w:t>
      </w:r>
      <w:r>
        <w:t xml:space="preserve"> product was the only TGA-approved PSMA PET tracer and the relative ease (resulting in a lower cost of manufacture) of making the ILLUCCIX</w:t>
      </w:r>
      <w:r w:rsidRPr="19555991">
        <w:rPr>
          <w:vertAlign w:val="superscript"/>
        </w:rPr>
        <w:t>®</w:t>
      </w:r>
      <w:r>
        <w:t xml:space="preserve"> product. MSAC did not consider these justifications to be </w:t>
      </w:r>
      <w:proofErr w:type="gramStart"/>
      <w:r>
        <w:t>sufficient, and</w:t>
      </w:r>
      <w:proofErr w:type="gramEnd"/>
      <w:r>
        <w:t xml:space="preserve"> noted that evidence was not presented that </w:t>
      </w:r>
      <w:r w:rsidRPr="19555991">
        <w:rPr>
          <w:vertAlign w:val="superscript"/>
        </w:rPr>
        <w:t>68</w:t>
      </w:r>
      <w:r>
        <w:t>Ga-PSMA-11 PET was more effective than alternatives and demonstrated superiority in health outcomes (as discussed further below). Thus, MSAC considered that a fee of $1,300 as proposed for alternative PSMA PET MBS items in application 1686/1686.1 was appropriate for this application.</w:t>
      </w:r>
    </w:p>
    <w:p w14:paraId="5D5F900E" w14:textId="2E1CC130" w:rsidR="006C4458" w:rsidRDefault="006C4458" w:rsidP="00FE377D">
      <w:pPr>
        <w:spacing w:before="240" w:after="240"/>
      </w:pPr>
      <w:r>
        <w:t>MSAC noted that this propo</w:t>
      </w:r>
      <w:r w:rsidR="006F1FD5">
        <w:t xml:space="preserve">sed test could apply to </w:t>
      </w:r>
      <w:r>
        <w:t>a subset of patients having restaging PSMA PET</w:t>
      </w:r>
      <w:r w:rsidR="003B1659">
        <w:t>. H</w:t>
      </w:r>
      <w:r>
        <w:t xml:space="preserve">owever, MBS item 61564 (whole-body PSMA PET for the restaging of recurrent prostate adenocarcinoma, applicable twice per lifetime) will not cover all </w:t>
      </w:r>
      <w:r w:rsidR="00FD693E">
        <w:t xml:space="preserve">PET </w:t>
      </w:r>
      <w:r>
        <w:t xml:space="preserve">scans that </w:t>
      </w:r>
      <w:r w:rsidR="004D13B0">
        <w:t>such</w:t>
      </w:r>
      <w:r>
        <w:t xml:space="preserve"> patients will require</w:t>
      </w:r>
      <w:r w:rsidR="00C859B2">
        <w:t>. I</w:t>
      </w:r>
      <w:r w:rsidR="002D08EE">
        <w:t xml:space="preserve">t is likely that these patients would </w:t>
      </w:r>
      <w:r w:rsidR="00B67610">
        <w:t>have used up their two PSMA PET CT</w:t>
      </w:r>
      <w:r w:rsidR="00C40730">
        <w:t>s</w:t>
      </w:r>
      <w:r w:rsidR="00C859B2">
        <w:t xml:space="preserve"> for recurrent prostate adenocarcinoma</w:t>
      </w:r>
      <w:r w:rsidR="00B67610">
        <w:t xml:space="preserve"> </w:t>
      </w:r>
      <w:r w:rsidR="009E42FA">
        <w:t xml:space="preserve">before they </w:t>
      </w:r>
      <w:r w:rsidR="00D757F6">
        <w:t xml:space="preserve">have been </w:t>
      </w:r>
      <w:r w:rsidR="009E42FA">
        <w:t>considered for restaging for treatment response given th</w:t>
      </w:r>
      <w:r w:rsidR="00D757F6">
        <w:t>at they may have received</w:t>
      </w:r>
      <w:r w:rsidR="009E42FA">
        <w:t xml:space="preserve"> multiple lines of treatment (often over many years)</w:t>
      </w:r>
      <w:r w:rsidR="003B1659">
        <w:t>. H</w:t>
      </w:r>
      <w:r w:rsidR="003D1DCF">
        <w:t>ence</w:t>
      </w:r>
      <w:r w:rsidR="003B1659">
        <w:t xml:space="preserve"> MSAC considered that</w:t>
      </w:r>
      <w:r w:rsidR="003D1DCF">
        <w:t xml:space="preserve"> the</w:t>
      </w:r>
      <w:r w:rsidR="00B37692">
        <w:t xml:space="preserve"> test would be meeting a need currently not covered by MBS item 61564</w:t>
      </w:r>
      <w:r>
        <w:t>.</w:t>
      </w:r>
    </w:p>
    <w:p w14:paraId="672D49EA" w14:textId="42327840" w:rsidR="00A81EA9" w:rsidRDefault="00A81EA9" w:rsidP="006C4458">
      <w:r>
        <w:t>MSAC noted consultation feedback had been received from two professional organisations, three consumer organisations and eight individuals (five consumers, two consumer support personnel and one medical specialist). Overall, feedback was strongly supportive of the MBS listing of the ILLUCCIX</w:t>
      </w:r>
      <w:r w:rsidRPr="008A0F94">
        <w:rPr>
          <w:vertAlign w:val="superscript"/>
        </w:rPr>
        <w:t>®</w:t>
      </w:r>
      <w:r>
        <w:t xml:space="preserve"> kit. Disadvantages noted included access to diagnostic facilities, and cost. Other feedback stated that there was no alternative technique currently available to determine which patients are suitable for PSMA-based radionuclide therapy and that current best clinical practice requires a </w:t>
      </w:r>
      <w:r>
        <w:rPr>
          <w:iCs/>
        </w:rPr>
        <w:t xml:space="preserve">fluorodeoxyglucose (FDG) PET scan also be performed, as any significant PSMA/FDG mismatch was a contraindication to Lu-PSMA therapy. </w:t>
      </w:r>
      <w:r w:rsidR="0006207A">
        <w:rPr>
          <w:iCs/>
        </w:rPr>
        <w:t>The f</w:t>
      </w:r>
      <w:r>
        <w:rPr>
          <w:iCs/>
        </w:rPr>
        <w:t xml:space="preserve">eedback disagreed that the service be limited to only once per lifetime, instead proposing “once per four-treatment cycle course” and disagreed that the descriptor should refer to </w:t>
      </w:r>
      <w:r>
        <w:t xml:space="preserve">a specific branded product. Finally, </w:t>
      </w:r>
      <w:r w:rsidR="0006207A">
        <w:t>the</w:t>
      </w:r>
      <w:r>
        <w:t xml:space="preserve"> feedback noted the significant number of patients with prostate cancer living in rural and remote areas with limited access to medical services (and long travel times), and that providing counselling to patients before they receive the results of imaging, as well as information about community support services, would be beneficial.</w:t>
      </w:r>
    </w:p>
    <w:p w14:paraId="3893F048" w14:textId="32EF078F" w:rsidR="00CD0C73" w:rsidRDefault="00CD0C73" w:rsidP="00FE377D">
      <w:pPr>
        <w:spacing w:after="240"/>
      </w:pPr>
      <w:r>
        <w:lastRenderedPageBreak/>
        <w:t xml:space="preserve">MSAC noted that the ADAR provided no new clinical trial data on comparative safety or effectiveness for the diagnostic test. Clinical trial data for PSMA targeted therapy were from the VISION and </w:t>
      </w:r>
      <w:proofErr w:type="spellStart"/>
      <w:r>
        <w:t>TheraP</w:t>
      </w:r>
      <w:proofErr w:type="spellEnd"/>
      <w:r>
        <w:t xml:space="preserve"> trials</w:t>
      </w:r>
      <w:r w:rsidR="00E76ABF">
        <w:t xml:space="preserve"> (both used </w:t>
      </w:r>
      <w:r w:rsidR="00FD69AC" w:rsidRPr="009865C5">
        <w:rPr>
          <w:vertAlign w:val="superscript"/>
        </w:rPr>
        <w:t>177</w:t>
      </w:r>
      <w:r w:rsidR="00FD69AC">
        <w:t>Lu-PSMA 617 products)</w:t>
      </w:r>
      <w:r>
        <w:t>, which were the evidence base for applications 1686/1686.1 so have already been considered by MSAC.</w:t>
      </w:r>
    </w:p>
    <w:p w14:paraId="36264A7E" w14:textId="2BB5F836" w:rsidR="006C4458" w:rsidRDefault="006C4458" w:rsidP="00FE377D">
      <w:pPr>
        <w:spacing w:after="240"/>
      </w:pPr>
      <w:r>
        <w:t xml:space="preserve">Regarding </w:t>
      </w:r>
      <w:r w:rsidR="004465DF">
        <w:t xml:space="preserve">comparative </w:t>
      </w:r>
      <w:r>
        <w:t>safety, MSAC recalled that it had previously accepted that PSMA</w:t>
      </w:r>
      <w:r w:rsidR="00EA69CB">
        <w:t xml:space="preserve"> </w:t>
      </w:r>
      <w:r>
        <w:t xml:space="preserve">PET/CT </w:t>
      </w:r>
      <w:r w:rsidR="0014226F">
        <w:t xml:space="preserve">(and thus </w:t>
      </w:r>
      <w:r w:rsidR="0014226F" w:rsidRPr="00D73F34">
        <w:rPr>
          <w:rFonts w:cstheme="minorHAnsi"/>
          <w:vertAlign w:val="superscript"/>
        </w:rPr>
        <w:t>68</w:t>
      </w:r>
      <w:r w:rsidR="0014226F" w:rsidRPr="00D73F34">
        <w:rPr>
          <w:rFonts w:cstheme="minorHAnsi"/>
        </w:rPr>
        <w:t>Ga-PSMA PET/CT</w:t>
      </w:r>
      <w:r w:rsidR="0014226F">
        <w:rPr>
          <w:rFonts w:cstheme="minorHAnsi"/>
        </w:rPr>
        <w:t>)</w:t>
      </w:r>
      <w:r w:rsidR="000A0C96">
        <w:rPr>
          <w:rFonts w:cstheme="minorHAnsi"/>
        </w:rPr>
        <w:t xml:space="preserve"> </w:t>
      </w:r>
      <w:r>
        <w:t xml:space="preserve">was adequately safe for assessing individuals with </w:t>
      </w:r>
      <w:r w:rsidR="00EA69CB">
        <w:t>prostate cancer</w:t>
      </w:r>
      <w:r>
        <w:t xml:space="preserve">, both for initial staging and recurrence. </w:t>
      </w:r>
      <w:r w:rsidR="00EA69CB">
        <w:t>Moreover</w:t>
      </w:r>
      <w:r>
        <w:t xml:space="preserve">, MSAC had previously accepted the </w:t>
      </w:r>
      <w:r w:rsidR="00816EB1">
        <w:t xml:space="preserve">comparative </w:t>
      </w:r>
      <w:r>
        <w:t xml:space="preserve">safety of </w:t>
      </w:r>
      <w:r w:rsidR="00F615DA">
        <w:t>PSMA/PET CT</w:t>
      </w:r>
      <w:r w:rsidR="00816EB1">
        <w:t xml:space="preserve"> (and thus </w:t>
      </w:r>
      <w:r w:rsidR="00816EB1" w:rsidRPr="00D73F34">
        <w:rPr>
          <w:rFonts w:cstheme="minorHAnsi"/>
          <w:vertAlign w:val="superscript"/>
        </w:rPr>
        <w:t>68</w:t>
      </w:r>
      <w:r w:rsidR="00816EB1" w:rsidRPr="00D73F34">
        <w:rPr>
          <w:rFonts w:cstheme="minorHAnsi"/>
        </w:rPr>
        <w:t>Ga-PSMA PET/CT</w:t>
      </w:r>
      <w:r w:rsidR="00816EB1">
        <w:rPr>
          <w:rFonts w:cstheme="minorHAnsi"/>
        </w:rPr>
        <w:t>)</w:t>
      </w:r>
      <w:r w:rsidR="00F615DA">
        <w:t xml:space="preserve"> to determine eligibility for</w:t>
      </w:r>
      <w:r>
        <w:t xml:space="preserve"> </w:t>
      </w:r>
      <w:r w:rsidRPr="00E93318">
        <w:rPr>
          <w:vertAlign w:val="superscript"/>
        </w:rPr>
        <w:t>177</w:t>
      </w:r>
      <w:r>
        <w:t>Lu</w:t>
      </w:r>
      <w:r w:rsidR="00816EB1">
        <w:t> PSMA </w:t>
      </w:r>
      <w:proofErr w:type="spellStart"/>
      <w:r w:rsidR="00816EB1">
        <w:t>i&amp;t</w:t>
      </w:r>
      <w:proofErr w:type="spellEnd"/>
      <w:r>
        <w:t xml:space="preserve"> for </w:t>
      </w:r>
      <w:proofErr w:type="spellStart"/>
      <w:r>
        <w:t>mCRPC</w:t>
      </w:r>
      <w:proofErr w:type="spellEnd"/>
      <w:r>
        <w:t xml:space="preserve"> in applications 1686 and 1686.1.</w:t>
      </w:r>
    </w:p>
    <w:p w14:paraId="7604A2B4" w14:textId="4BC7B1BD" w:rsidR="006C4458" w:rsidRDefault="006C4458" w:rsidP="00FE377D">
      <w:pPr>
        <w:spacing w:after="240"/>
      </w:pPr>
      <w:r>
        <w:t xml:space="preserve">Regarding </w:t>
      </w:r>
      <w:r w:rsidR="00B80EFA">
        <w:t xml:space="preserve">comparative </w:t>
      </w:r>
      <w:r>
        <w:t xml:space="preserve">effectiveness, MSAC noted the main clinical claim made by the ADAR was that, in patients who are candidates for PSMA targeted </w:t>
      </w:r>
      <w:r w:rsidR="00ED535A">
        <w:t>radioligand</w:t>
      </w:r>
      <w:r>
        <w:t xml:space="preserve"> therapy, identification via </w:t>
      </w:r>
      <w:r w:rsidRPr="002142AE">
        <w:rPr>
          <w:vertAlign w:val="superscript"/>
        </w:rPr>
        <w:t>68</w:t>
      </w:r>
      <w:r>
        <w:t xml:space="preserve">Ga-PSMA-11 PET/CT is superior to no </w:t>
      </w:r>
      <w:r w:rsidRPr="002142AE">
        <w:rPr>
          <w:vertAlign w:val="superscript"/>
        </w:rPr>
        <w:t>68</w:t>
      </w:r>
      <w:r>
        <w:t>Ga-PSMA-11 PET/CT. The commentary had considered this reasonable but that the ADAR had not demonstrated the clinical utility of the test, with results from the Re-SPECT</w:t>
      </w:r>
      <w:r w:rsidR="00852087">
        <w:rPr>
          <w:rStyle w:val="FootnoteReference"/>
        </w:rPr>
        <w:footnoteReference w:id="2"/>
      </w:r>
      <w:r>
        <w:t xml:space="preserve"> study </w:t>
      </w:r>
      <w:r w:rsidRPr="007A256E">
        <w:t>casting doubt on the ability of the test to sufficiently discriminate patients who are likely to respond to PSMA</w:t>
      </w:r>
      <w:r>
        <w:t>-</w:t>
      </w:r>
      <w:r w:rsidRPr="007A256E">
        <w:t>targeted therapies versus those who are not</w:t>
      </w:r>
      <w:r>
        <w:t xml:space="preserve">. </w:t>
      </w:r>
      <w:r w:rsidR="00EA0FA4">
        <w:t xml:space="preserve">MSAC noted the </w:t>
      </w:r>
      <w:r w:rsidR="005A7528">
        <w:t xml:space="preserve">Re-SPECT study, </w:t>
      </w:r>
      <w:r w:rsidR="00EA0FA4">
        <w:t xml:space="preserve">VISION and </w:t>
      </w:r>
      <w:proofErr w:type="spellStart"/>
      <w:r w:rsidR="00EA0FA4">
        <w:t>TheraP</w:t>
      </w:r>
      <w:proofErr w:type="spellEnd"/>
      <w:r w:rsidR="00EA0FA4">
        <w:t xml:space="preserve"> trials enrolled patients with </w:t>
      </w:r>
      <w:proofErr w:type="spellStart"/>
      <w:r w:rsidR="00EA0FA4">
        <w:t>mCRPC</w:t>
      </w:r>
      <w:proofErr w:type="spellEnd"/>
      <w:r w:rsidR="00EA0FA4">
        <w:t xml:space="preserve"> who were PSMA PET</w:t>
      </w:r>
      <w:r w:rsidR="00107316">
        <w:t>-</w:t>
      </w:r>
      <w:r w:rsidR="00EA0FA4">
        <w:t xml:space="preserve">positive. </w:t>
      </w:r>
      <w:r>
        <w:t xml:space="preserve">However, MSAC considered the Re-SPECT trial to be lower-quality evidence than the VISION or </w:t>
      </w:r>
      <w:proofErr w:type="spellStart"/>
      <w:r>
        <w:t>TheraP</w:t>
      </w:r>
      <w:proofErr w:type="spellEnd"/>
      <w:r>
        <w:t xml:space="preserve"> trials (which both used </w:t>
      </w:r>
      <w:r w:rsidRPr="002142AE">
        <w:rPr>
          <w:vertAlign w:val="superscript"/>
        </w:rPr>
        <w:t>68</w:t>
      </w:r>
      <w:r>
        <w:t>Ga-PSMA-11 PET to select patients for Lu-PSMA therapy)</w:t>
      </w:r>
      <w:r w:rsidR="00EE5BCF">
        <w:t>.</w:t>
      </w:r>
      <w:r>
        <w:t xml:space="preserve"> </w:t>
      </w:r>
      <w:proofErr w:type="gramStart"/>
      <w:r>
        <w:t>so</w:t>
      </w:r>
      <w:proofErr w:type="gramEnd"/>
      <w:r>
        <w:t xml:space="preserve"> there was indeed high</w:t>
      </w:r>
      <w:r w:rsidR="00503A7E">
        <w:t>er</w:t>
      </w:r>
      <w:r w:rsidR="00C15BFC">
        <w:t xml:space="preserve"> certainty</w:t>
      </w:r>
      <w:r>
        <w:t xml:space="preserve"> evidence </w:t>
      </w:r>
      <w:r w:rsidR="00503A7E">
        <w:t xml:space="preserve">available </w:t>
      </w:r>
      <w:r>
        <w:t xml:space="preserve">for the effectiveness of </w:t>
      </w:r>
      <w:r w:rsidRPr="002142AE">
        <w:rPr>
          <w:vertAlign w:val="superscript"/>
        </w:rPr>
        <w:t>68</w:t>
      </w:r>
      <w:r>
        <w:t xml:space="preserve">Ga-PSMA-11 PET–directed </w:t>
      </w:r>
      <w:r w:rsidR="00ED535A" w:rsidRPr="00B55764">
        <w:t>PSMA targeted therapy</w:t>
      </w:r>
      <w:r>
        <w:t>.</w:t>
      </w:r>
    </w:p>
    <w:p w14:paraId="2AE2D8EA" w14:textId="3A8C0949" w:rsidR="006C4458" w:rsidRDefault="006C4458" w:rsidP="00FE377D">
      <w:pPr>
        <w:spacing w:after="240"/>
      </w:pPr>
      <w:r>
        <w:t xml:space="preserve">MSAC also noted the commentary had considered that the ADAR had not provided sufficient evidence to support restricting the radiopharmaceutical to </w:t>
      </w:r>
      <w:r w:rsidRPr="002142AE">
        <w:rPr>
          <w:vertAlign w:val="superscript"/>
        </w:rPr>
        <w:t>68</w:t>
      </w:r>
      <w:r>
        <w:t xml:space="preserve">Ga </w:t>
      </w:r>
      <w:r w:rsidR="00601F43">
        <w:t>as there was no evidence</w:t>
      </w:r>
      <w:r>
        <w:t xml:space="preserve"> demonstrating </w:t>
      </w:r>
      <w:r w:rsidR="00173BA8">
        <w:t xml:space="preserve">the </w:t>
      </w:r>
      <w:r>
        <w:t>superiority</w:t>
      </w:r>
      <w:r w:rsidR="00601F43">
        <w:t xml:space="preserve"> of </w:t>
      </w:r>
      <w:r w:rsidR="00601F43" w:rsidRPr="002142AE">
        <w:rPr>
          <w:vertAlign w:val="superscript"/>
        </w:rPr>
        <w:t>68</w:t>
      </w:r>
      <w:r w:rsidR="00601F43">
        <w:t xml:space="preserve">Ga </w:t>
      </w:r>
      <w:r>
        <w:t xml:space="preserve">versus other </w:t>
      </w:r>
      <w:r w:rsidR="00900264">
        <w:t xml:space="preserve">radiotracer specific </w:t>
      </w:r>
      <w:r>
        <w:t xml:space="preserve">options, and that restriction to a </w:t>
      </w:r>
      <w:r w:rsidR="00F21493">
        <w:t xml:space="preserve">specific </w:t>
      </w:r>
      <w:r>
        <w:t xml:space="preserve">radiopharmaceutical </w:t>
      </w:r>
      <w:r w:rsidR="00900264">
        <w:t xml:space="preserve">tracer </w:t>
      </w:r>
      <w:r>
        <w:t xml:space="preserve">is not consistent with </w:t>
      </w:r>
      <w:r w:rsidR="0000160F">
        <w:t xml:space="preserve">current </w:t>
      </w:r>
      <w:r>
        <w:t xml:space="preserve">PSMA PET </w:t>
      </w:r>
      <w:r w:rsidR="00027B8C">
        <w:t>items</w:t>
      </w:r>
      <w:r>
        <w:t xml:space="preserve"> on the MBS (items 61563 and 61564) or with that proposed in MSAC applications 1686 and 1686.1. At the hearing, representatives of the applicant stated that the MBS listing should be radiotracer-specific because </w:t>
      </w:r>
      <w:r w:rsidRPr="002142AE">
        <w:rPr>
          <w:vertAlign w:val="superscript"/>
        </w:rPr>
        <w:t>68</w:t>
      </w:r>
      <w:r>
        <w:t xml:space="preserve">Ga-PSMA-11 is among the most widely used agents for prostate cancer PET/CT imaging, is the only TGA-approved PSMA </w:t>
      </w:r>
      <w:r w:rsidR="00173BA8">
        <w:t>diagnostic agent</w:t>
      </w:r>
      <w:r>
        <w:t xml:space="preserve"> in Australia that is specific to the </w:t>
      </w:r>
      <w:r w:rsidRPr="002142AE">
        <w:rPr>
          <w:vertAlign w:val="superscript"/>
        </w:rPr>
        <w:t>68</w:t>
      </w:r>
      <w:r>
        <w:t>Ga tracer</w:t>
      </w:r>
      <w:r w:rsidR="002A7B6A">
        <w:t xml:space="preserve"> (although </w:t>
      </w:r>
      <w:r w:rsidR="00F9562E">
        <w:t xml:space="preserve">TGA approval for the indication specific to this application is </w:t>
      </w:r>
      <w:r w:rsidR="005C1DB9">
        <w:t>in process</w:t>
      </w:r>
      <w:r w:rsidR="00CD1770">
        <w:t xml:space="preserve"> as stated by the ADAR</w:t>
      </w:r>
      <w:r w:rsidR="00F9562E">
        <w:t>)</w:t>
      </w:r>
      <w:r>
        <w:t xml:space="preserve">, and was the specific test used in the pivotal trials in the ADAR (VISION and </w:t>
      </w:r>
      <w:proofErr w:type="spellStart"/>
      <w:r>
        <w:t>TheraP</w:t>
      </w:r>
      <w:proofErr w:type="spellEnd"/>
      <w:r>
        <w:t xml:space="preserve">), so had abundant clinical trial data available. However, noting the agnostic nature of </w:t>
      </w:r>
      <w:r w:rsidR="004A32F0">
        <w:t>other</w:t>
      </w:r>
      <w:r>
        <w:t xml:space="preserve"> MBS items </w:t>
      </w:r>
      <w:r w:rsidR="004A32F0">
        <w:t>for PSMA PET</w:t>
      </w:r>
      <w:r>
        <w:t xml:space="preserve"> and the overall preference for agnostic MBS items where possible, MSAC considered that the item descriptor should be agnostic</w:t>
      </w:r>
      <w:r w:rsidR="00D14355">
        <w:t xml:space="preserve"> to the radiopharmaceutical tracer</w:t>
      </w:r>
      <w:r w:rsidR="002E309E">
        <w:t xml:space="preserve"> for PSMA PET</w:t>
      </w:r>
      <w:r>
        <w:t>.</w:t>
      </w:r>
    </w:p>
    <w:p w14:paraId="5BA856DB" w14:textId="4E26F09B" w:rsidR="006C4458" w:rsidRDefault="006C4458" w:rsidP="00FE377D">
      <w:pPr>
        <w:spacing w:after="240"/>
      </w:pPr>
      <w:r>
        <w:t xml:space="preserve">MSAC also noted that ESC had suggested an additional relevant comparison would be between </w:t>
      </w:r>
      <w:r w:rsidRPr="002142AE">
        <w:rPr>
          <w:vertAlign w:val="superscript"/>
        </w:rPr>
        <w:t>68</w:t>
      </w:r>
      <w:r>
        <w:t xml:space="preserve">Ga-PSMA-11 PET/CT with subsequent treatment with a PSMA-targeted therapy versus other available radiopharmaceutical tracers used for PSMA PET/CT with subsequent PSMA-targeted therapy. MSAC noted the pre-MSAC response </w:t>
      </w:r>
      <w:r w:rsidR="005C61E7">
        <w:t>in</w:t>
      </w:r>
      <w:r>
        <w:t xml:space="preserve"> </w:t>
      </w:r>
      <w:r w:rsidR="00580384">
        <w:t>which the applicant</w:t>
      </w:r>
      <w:r>
        <w:t xml:space="preserve"> </w:t>
      </w:r>
      <w:r w:rsidR="00580384">
        <w:t>considered</w:t>
      </w:r>
      <w:r w:rsidR="001F23D3">
        <w:t xml:space="preserve"> that the comparison should not be be</w:t>
      </w:r>
      <w:r w:rsidR="00576D09">
        <w:t xml:space="preserve">tween the </w:t>
      </w:r>
      <w:r w:rsidR="00344882">
        <w:t xml:space="preserve">proposed </w:t>
      </w:r>
      <w:r w:rsidR="00344882" w:rsidRPr="002142AE">
        <w:rPr>
          <w:vertAlign w:val="superscript"/>
        </w:rPr>
        <w:t>68</w:t>
      </w:r>
      <w:r w:rsidR="00344882">
        <w:t>Ga tracer</w:t>
      </w:r>
      <w:r w:rsidR="00576D09">
        <w:t xml:space="preserve"> and </w:t>
      </w:r>
      <w:r w:rsidR="000779F4">
        <w:t xml:space="preserve"> </w:t>
      </w:r>
      <w:r>
        <w:t>other PSMA PET agents</w:t>
      </w:r>
      <w:r w:rsidR="000779F4">
        <w:t xml:space="preserve"> because</w:t>
      </w:r>
      <w:r>
        <w:t xml:space="preserve"> ILLUCCIX</w:t>
      </w:r>
      <w:r w:rsidRPr="00AC0022">
        <w:rPr>
          <w:vertAlign w:val="superscript"/>
        </w:rPr>
        <w:t>®</w:t>
      </w:r>
      <w:r>
        <w:t xml:space="preserve"> is the only TGA-approved PSMA test in Australia that is specific to </w:t>
      </w:r>
      <w:r w:rsidRPr="002142AE">
        <w:rPr>
          <w:vertAlign w:val="superscript"/>
        </w:rPr>
        <w:t>68</w:t>
      </w:r>
      <w:r>
        <w:t xml:space="preserve">Ga, and that, because </w:t>
      </w:r>
      <w:r w:rsidRPr="002142AE">
        <w:rPr>
          <w:vertAlign w:val="superscript"/>
        </w:rPr>
        <w:t>68</w:t>
      </w:r>
      <w:r>
        <w:t xml:space="preserve">Ga-PSMA-11 PET was the specific test used in the pivotal trials used in the ADAR, the combined intervention was appropriate for the model. </w:t>
      </w:r>
      <w:r>
        <w:lastRenderedPageBreak/>
        <w:t xml:space="preserve">However, MSAC considered that </w:t>
      </w:r>
      <w:r w:rsidRPr="00ED4E3C">
        <w:rPr>
          <w:vertAlign w:val="superscript"/>
        </w:rPr>
        <w:t>18</w:t>
      </w:r>
      <w:r>
        <w:t xml:space="preserve">F-DCFPyl was an agent that had almost identical imaging biodistribution to </w:t>
      </w:r>
      <w:r w:rsidRPr="002142AE">
        <w:rPr>
          <w:vertAlign w:val="superscript"/>
        </w:rPr>
        <w:t>68</w:t>
      </w:r>
      <w:r>
        <w:t xml:space="preserve">Ga-PSMA-11 and </w:t>
      </w:r>
      <w:r w:rsidR="00344882">
        <w:t>ha</w:t>
      </w:r>
      <w:r w:rsidR="00A60997">
        <w:t>d</w:t>
      </w:r>
      <w:r w:rsidR="00344882">
        <w:t xml:space="preserve"> been</w:t>
      </w:r>
      <w:r>
        <w:t xml:space="preserve"> used in some </w:t>
      </w:r>
      <w:proofErr w:type="gramStart"/>
      <w:r>
        <w:t xml:space="preserve">trials, </w:t>
      </w:r>
      <w:r w:rsidR="00A60997">
        <w:t>and</w:t>
      </w:r>
      <w:proofErr w:type="gramEnd"/>
      <w:r>
        <w:t xml:space="preserve"> could </w:t>
      </w:r>
      <w:r w:rsidR="00A60997">
        <w:t>therefore</w:t>
      </w:r>
      <w:r>
        <w:t xml:space="preserve"> </w:t>
      </w:r>
      <w:r w:rsidR="000779F4">
        <w:t xml:space="preserve">serve as </w:t>
      </w:r>
      <w:r>
        <w:t xml:space="preserve">a relevant comparator. MSAC also considered another agent, </w:t>
      </w:r>
      <w:r w:rsidRPr="00E95BE2">
        <w:t>PSMA</w:t>
      </w:r>
      <w:r>
        <w:t>-</w:t>
      </w:r>
      <w:r w:rsidRPr="00E95BE2">
        <w:t>1007</w:t>
      </w:r>
      <w:r>
        <w:t>,</w:t>
      </w:r>
      <w:r w:rsidRPr="00E95BE2">
        <w:t xml:space="preserve"> </w:t>
      </w:r>
      <w:r>
        <w:t>but evidence for it</w:t>
      </w:r>
      <w:r w:rsidR="00A60997">
        <w:t>s use in</w:t>
      </w:r>
      <w:r>
        <w:t xml:space="preserve"> </w:t>
      </w:r>
      <w:r w:rsidR="001D31E6">
        <w:t>determining treatment eligibility</w:t>
      </w:r>
      <w:r>
        <w:t xml:space="preserve"> is lacking, and the maximum standardised uptake value (</w:t>
      </w:r>
      <w:proofErr w:type="spellStart"/>
      <w:r>
        <w:t>SUV</w:t>
      </w:r>
      <w:r w:rsidRPr="00AA5172">
        <w:rPr>
          <w:vertAlign w:val="subscript"/>
        </w:rPr>
        <w:t>max</w:t>
      </w:r>
      <w:proofErr w:type="spellEnd"/>
      <w:r>
        <w:t>) and tumour-to-background cut-off values were yet to be defined.</w:t>
      </w:r>
    </w:p>
    <w:p w14:paraId="64190532" w14:textId="09F91FAD" w:rsidR="006C4458" w:rsidRDefault="006C4458" w:rsidP="00FE377D">
      <w:pPr>
        <w:spacing w:after="240"/>
      </w:pPr>
      <w:r>
        <w:t xml:space="preserve">MSAC noted that the economic evaluation was a cost-utility analysis based on the use of </w:t>
      </w:r>
      <w:r w:rsidR="0087597A">
        <w:br/>
      </w:r>
      <w:r w:rsidRPr="002142AE">
        <w:rPr>
          <w:vertAlign w:val="superscript"/>
        </w:rPr>
        <w:t>68</w:t>
      </w:r>
      <w:r>
        <w:t>Ga-PSMA-11 PET (using the cost of ILLUCCIX</w:t>
      </w:r>
      <w:r w:rsidRPr="00966D8E">
        <w:rPr>
          <w:vertAlign w:val="superscript"/>
        </w:rPr>
        <w:t>®</w:t>
      </w:r>
      <w:r>
        <w:t>) and Lu-PSMA therapy. A hybrid model (decision tree and a partitioned survival model) was used; extensive similar modelling had already been undertaken and remodelled at least twice</w:t>
      </w:r>
      <w:r w:rsidRPr="002216DC">
        <w:t xml:space="preserve"> </w:t>
      </w:r>
      <w:r>
        <w:t xml:space="preserve">for application 1686.1. </w:t>
      </w:r>
      <w:r w:rsidR="00452899">
        <w:t xml:space="preserve">Although this application does not stipulate a specific therapy agent it </w:t>
      </w:r>
      <w:r w:rsidR="005564FB">
        <w:t>assume</w:t>
      </w:r>
      <w:r w:rsidR="00B50B5F">
        <w:t>d</w:t>
      </w:r>
      <w:r w:rsidR="005564FB">
        <w:t xml:space="preserve"> th</w:t>
      </w:r>
      <w:r w:rsidR="00B50B5F">
        <w:t>at the</w:t>
      </w:r>
      <w:r w:rsidR="00452899">
        <w:t xml:space="preserve"> </w:t>
      </w:r>
      <w:r w:rsidR="007C1CCF">
        <w:t>price of</w:t>
      </w:r>
      <w:r w:rsidR="00452899">
        <w:t xml:space="preserve"> </w:t>
      </w:r>
      <w:r w:rsidR="00452899" w:rsidRPr="00D71CB6">
        <w:rPr>
          <w:vertAlign w:val="superscript"/>
        </w:rPr>
        <w:t>177</w:t>
      </w:r>
      <w:r w:rsidR="00452899" w:rsidRPr="009E23E2">
        <w:t>Lu</w:t>
      </w:r>
      <w:r w:rsidR="00644C53">
        <w:t> </w:t>
      </w:r>
      <w:r w:rsidR="00452899" w:rsidRPr="009E23E2">
        <w:t>PSMA</w:t>
      </w:r>
      <w:r w:rsidR="00452899">
        <w:t> </w:t>
      </w:r>
      <w:proofErr w:type="spellStart"/>
      <w:r w:rsidR="00452899" w:rsidRPr="009E23E2">
        <w:t>i</w:t>
      </w:r>
      <w:r w:rsidR="00452899" w:rsidRPr="0039644E">
        <w:rPr>
          <w:iCs/>
        </w:rPr>
        <w:t>&amp;</w:t>
      </w:r>
      <w:r w:rsidR="00644C53">
        <w:rPr>
          <w:iCs/>
        </w:rPr>
        <w:t>t</w:t>
      </w:r>
      <w:proofErr w:type="spellEnd"/>
      <w:r w:rsidR="00644C53">
        <w:rPr>
          <w:iCs/>
        </w:rPr>
        <w:t xml:space="preserve"> </w:t>
      </w:r>
      <w:r w:rsidR="00C8520A">
        <w:rPr>
          <w:iCs/>
        </w:rPr>
        <w:t xml:space="preserve">proposed in application 1686/1686.1 </w:t>
      </w:r>
      <w:r w:rsidR="004B1421">
        <w:rPr>
          <w:iCs/>
        </w:rPr>
        <w:t>c</w:t>
      </w:r>
      <w:r w:rsidR="00CD2C32">
        <w:rPr>
          <w:iCs/>
        </w:rPr>
        <w:t>ould be</w:t>
      </w:r>
      <w:r w:rsidR="00A44E1E">
        <w:rPr>
          <w:iCs/>
        </w:rPr>
        <w:t xml:space="preserve"> directly </w:t>
      </w:r>
      <w:r w:rsidR="00452899">
        <w:t xml:space="preserve">applied to </w:t>
      </w:r>
      <w:r w:rsidR="00452899" w:rsidRPr="009865C5">
        <w:rPr>
          <w:vertAlign w:val="superscript"/>
        </w:rPr>
        <w:t>177</w:t>
      </w:r>
      <w:r w:rsidR="00452899">
        <w:t xml:space="preserve">Lu-PSMA 617 (considered as a proxy for PSMA targeted therapy) in the economic evaluation. </w:t>
      </w:r>
      <w:r>
        <w:t>MSAC noted that</w:t>
      </w:r>
      <w:r w:rsidR="00A74499">
        <w:t xml:space="preserve"> the ADAR proposed</w:t>
      </w:r>
      <w:r>
        <w:t xml:space="preserve"> </w:t>
      </w:r>
      <w:r w:rsidRPr="001E5897">
        <w:rPr>
          <w:vertAlign w:val="superscript"/>
        </w:rPr>
        <w:t>177</w:t>
      </w:r>
      <w:r>
        <w:t xml:space="preserve">Lu-PSMA 617 versus a weighted comparator of 25% cabazitaxel and 75% best supportive care (BSC) (the weighting previously agreed by MSAC to be the most </w:t>
      </w:r>
      <w:proofErr w:type="gramStart"/>
      <w:r>
        <w:t>appropriate, and</w:t>
      </w:r>
      <w:proofErr w:type="gramEnd"/>
      <w:r>
        <w:t xml:space="preserve"> accepted by the applicant in the pre-MSAC response) resulted in an incremental cost-effectiveness ratio (ICER) of $123,611 per quality-adjusted life year (QALY).</w:t>
      </w:r>
    </w:p>
    <w:p w14:paraId="2EE92FBF" w14:textId="443D83D5" w:rsidR="006C4458" w:rsidRDefault="006C4458" w:rsidP="00FE377D">
      <w:pPr>
        <w:spacing w:after="240"/>
      </w:pPr>
      <w:r>
        <w:t xml:space="preserve">MSAC noted that the economic model was most sensitive to the time horizon (decreasing it from 10 years to 5 years increased the ICER by approximately 46%) and the cost of </w:t>
      </w:r>
      <w:r w:rsidR="0087597A">
        <w:br/>
      </w:r>
      <w:r w:rsidRPr="001E5897">
        <w:rPr>
          <w:vertAlign w:val="superscript"/>
        </w:rPr>
        <w:t>177</w:t>
      </w:r>
      <w:r>
        <w:t>Lu-PSMA therapy</w:t>
      </w:r>
      <w:r w:rsidR="00273B41">
        <w:t xml:space="preserve"> (assumed cost of </w:t>
      </w:r>
      <w:r w:rsidR="00273B41" w:rsidRPr="009865C5">
        <w:rPr>
          <w:vertAlign w:val="superscript"/>
        </w:rPr>
        <w:t>177</w:t>
      </w:r>
      <w:r w:rsidR="00273B41">
        <w:t xml:space="preserve">Lu-PSMA 617 </w:t>
      </w:r>
      <w:r w:rsidR="00F800C3">
        <w:t xml:space="preserve">based on cost of </w:t>
      </w:r>
      <w:r w:rsidR="00F800C3" w:rsidRPr="00D71CB6">
        <w:rPr>
          <w:vertAlign w:val="superscript"/>
        </w:rPr>
        <w:t>177</w:t>
      </w:r>
      <w:r w:rsidR="00F800C3" w:rsidRPr="009E23E2">
        <w:t>Lu</w:t>
      </w:r>
      <w:r w:rsidR="00F800C3">
        <w:t> </w:t>
      </w:r>
      <w:r w:rsidR="00F800C3" w:rsidRPr="009E23E2">
        <w:t>PSMA</w:t>
      </w:r>
      <w:r w:rsidR="00F800C3">
        <w:t> </w:t>
      </w:r>
      <w:proofErr w:type="spellStart"/>
      <w:r w:rsidR="00F800C3" w:rsidRPr="009E23E2">
        <w:t>i</w:t>
      </w:r>
      <w:r w:rsidR="00F800C3" w:rsidRPr="0039644E">
        <w:rPr>
          <w:iCs/>
        </w:rPr>
        <w:t>&amp;</w:t>
      </w:r>
      <w:r w:rsidR="00F800C3">
        <w:rPr>
          <w:iCs/>
        </w:rPr>
        <w:t>t</w:t>
      </w:r>
      <w:proofErr w:type="spellEnd"/>
      <w:r w:rsidR="00F800C3">
        <w:rPr>
          <w:iCs/>
        </w:rPr>
        <w:t xml:space="preserve"> in application 1686/1686.1</w:t>
      </w:r>
      <w:r>
        <w:t>.</w:t>
      </w:r>
      <w:r w:rsidR="00A74499">
        <w:t xml:space="preserve"> </w:t>
      </w:r>
      <w:r>
        <w:t xml:space="preserve">In the pre-MSAC response, the applicant stated that </w:t>
      </w:r>
      <w:r w:rsidR="00740CA6">
        <w:t xml:space="preserve">a time horizon of </w:t>
      </w:r>
      <w:r>
        <w:t xml:space="preserve">5 years was too short as </w:t>
      </w:r>
      <w:r w:rsidRPr="001E5897">
        <w:rPr>
          <w:vertAlign w:val="superscript"/>
        </w:rPr>
        <w:t>177</w:t>
      </w:r>
      <w:r>
        <w:t>Lu-PSMA therapy prolonged overall survival. A 7.5-year time horizon was tested as per application 1686.1 and was found to increase the ICER by 6% (compared to using a 10-year time horizon). The applicant’s pre-MSAC response also addressed ESC’s concerns about BSC drug costs not being included in the model, stating that these were expected to be minimal, and the costs associated with bone pain treatment had already been included.</w:t>
      </w:r>
    </w:p>
    <w:p w14:paraId="2FABB5D2" w14:textId="787DE50A" w:rsidR="006C4458" w:rsidRDefault="006C4458" w:rsidP="00FE377D">
      <w:pPr>
        <w:spacing w:after="240"/>
      </w:pPr>
      <w:r>
        <w:t xml:space="preserve">Regarding the financial impacts, MSAC noted that the </w:t>
      </w:r>
      <w:r w:rsidR="006F3EA4">
        <w:t xml:space="preserve">ADAR </w:t>
      </w:r>
      <w:r>
        <w:t xml:space="preserve">estimated that approximately 751 patients will undergo a </w:t>
      </w:r>
      <w:r w:rsidR="00E66A64">
        <w:t xml:space="preserve">PSMA </w:t>
      </w:r>
      <w:r>
        <w:t xml:space="preserve">PET/CT scan in </w:t>
      </w:r>
      <w:r w:rsidR="00EA6BAC">
        <w:t>Y</w:t>
      </w:r>
      <w:r>
        <w:t xml:space="preserve">ear 1 and, of these, 676 patients will commence </w:t>
      </w:r>
      <w:r w:rsidRPr="001E5897">
        <w:rPr>
          <w:vertAlign w:val="superscript"/>
        </w:rPr>
        <w:t>177</w:t>
      </w:r>
      <w:r>
        <w:t>Lu-PSMA therapy  The ADAR report</w:t>
      </w:r>
      <w:r w:rsidR="00661C85">
        <w:t>ed</w:t>
      </w:r>
      <w:r>
        <w:t xml:space="preserve"> the cost to the MBS for PSMA PET/CT to be $1.3 million in </w:t>
      </w:r>
      <w:r w:rsidR="00661C85">
        <w:t>Y</w:t>
      </w:r>
      <w:r>
        <w:t xml:space="preserve">ear 1 increasing to $2.8 million in </w:t>
      </w:r>
      <w:r w:rsidR="00661C85">
        <w:t>Y</w:t>
      </w:r>
      <w:r>
        <w:t>ear 6</w:t>
      </w:r>
      <w:r w:rsidR="002B13FB">
        <w:t xml:space="preserve"> while </w:t>
      </w:r>
      <w:r w:rsidR="007D6E17">
        <w:t>the net financial impact</w:t>
      </w:r>
      <w:r w:rsidR="00FB7EFC">
        <w:t xml:space="preserve"> to the MBS</w:t>
      </w:r>
      <w:r w:rsidR="007D6E17">
        <w:t xml:space="preserve"> for the whole combined test and therapy was estimated to be</w:t>
      </w:r>
      <w:r w:rsidR="002B13FB">
        <w:t xml:space="preserve"> </w:t>
      </w:r>
      <w:r>
        <w:t xml:space="preserve">$20.9 million in </w:t>
      </w:r>
      <w:r w:rsidR="002C6F22">
        <w:t>Y</w:t>
      </w:r>
      <w:r>
        <w:t xml:space="preserve">ear 1 increasing to $44.8 million in </w:t>
      </w:r>
      <w:r w:rsidR="002C6F22">
        <w:t>Y</w:t>
      </w:r>
      <w:r>
        <w:t>ear 6.</w:t>
      </w:r>
      <w:r w:rsidR="008070EC">
        <w:t xml:space="preserve"> MSAC noted the financial estimates were </w:t>
      </w:r>
      <w:r w:rsidR="0087611D">
        <w:t>updated in the pre-ESC response.</w:t>
      </w:r>
    </w:p>
    <w:p w14:paraId="696B02DE" w14:textId="40B495ED" w:rsidR="006C4458" w:rsidRDefault="006C4458" w:rsidP="006C4458">
      <w:r w:rsidRPr="00EF2E40">
        <w:t xml:space="preserve">MSAC deferred its decision on funding </w:t>
      </w:r>
      <w:r w:rsidRPr="00EF2E40">
        <w:rPr>
          <w:vertAlign w:val="superscript"/>
        </w:rPr>
        <w:t>68</w:t>
      </w:r>
      <w:r w:rsidRPr="00EF2E40">
        <w:t xml:space="preserve">Ga-PSMA-11 PET for assessing the eligibility of patients diagnosed with </w:t>
      </w:r>
      <w:proofErr w:type="spellStart"/>
      <w:r w:rsidRPr="00EF2E40">
        <w:t>mCRPC</w:t>
      </w:r>
      <w:proofErr w:type="spellEnd"/>
      <w:r w:rsidRPr="00EF2E40">
        <w:t xml:space="preserve"> to undertake PSMA-targeted therapy. </w:t>
      </w:r>
      <w:r w:rsidR="00AD19D9" w:rsidRPr="00EF2E40">
        <w:t xml:space="preserve">MSAC accepted PSMA targeted therapy </w:t>
      </w:r>
      <w:r w:rsidR="009118BF" w:rsidRPr="00EF2E40">
        <w:t>as</w:t>
      </w:r>
      <w:r w:rsidR="00AD19D9" w:rsidRPr="00EF2E40">
        <w:t xml:space="preserve"> cost effective and therefore accepted the clinical need for the test in determining eligibility for PSMA targeted therapy</w:t>
      </w:r>
      <w:r w:rsidR="00AD19D9">
        <w:t xml:space="preserve">. </w:t>
      </w:r>
      <w:r>
        <w:t>MSAC advised that</w:t>
      </w:r>
      <w:r w:rsidR="00644B45">
        <w:t>,</w:t>
      </w:r>
      <w:r>
        <w:t xml:space="preserve"> </w:t>
      </w:r>
      <w:r w:rsidR="00FE5716">
        <w:t xml:space="preserve">it would be of a mind to support public funding of the proposed test </w:t>
      </w:r>
      <w:r>
        <w:t>contingent on:</w:t>
      </w:r>
    </w:p>
    <w:p w14:paraId="4959E6B9" w14:textId="58348798" w:rsidR="006C4458" w:rsidRDefault="006C4458" w:rsidP="006C4458">
      <w:pPr>
        <w:pStyle w:val="ListParagraph"/>
        <w:numPr>
          <w:ilvl w:val="0"/>
          <w:numId w:val="33"/>
        </w:numPr>
      </w:pPr>
      <w:r>
        <w:t xml:space="preserve">TGA approval for the additional indication of “patients who are candidates for PSMA-targeted </w:t>
      </w:r>
      <w:r w:rsidR="001A29E9">
        <w:t>therapy”.</w:t>
      </w:r>
    </w:p>
    <w:p w14:paraId="6973C613" w14:textId="2CF8BA26" w:rsidR="00B01C14" w:rsidRDefault="006C4458">
      <w:pPr>
        <w:pStyle w:val="ListParagraph"/>
        <w:numPr>
          <w:ilvl w:val="0"/>
          <w:numId w:val="33"/>
        </w:numPr>
      </w:pPr>
      <w:r>
        <w:t>the use of an agnostic item descriptor</w:t>
      </w:r>
      <w:r w:rsidR="00BB754F">
        <w:t xml:space="preserve"> for </w:t>
      </w:r>
      <w:r w:rsidR="00623F8D">
        <w:t>PSMA PET</w:t>
      </w:r>
      <w:r w:rsidR="001B43C2">
        <w:t xml:space="preserve">, consistent with </w:t>
      </w:r>
      <w:r w:rsidR="00B01C14">
        <w:t>other PSMA PET MBS items.</w:t>
      </w:r>
    </w:p>
    <w:p w14:paraId="366F343D" w14:textId="4F238A48" w:rsidR="005029B4" w:rsidRDefault="006C4458" w:rsidP="00FE377D">
      <w:pPr>
        <w:pStyle w:val="ListParagraph"/>
        <w:numPr>
          <w:ilvl w:val="0"/>
          <w:numId w:val="33"/>
        </w:numPr>
        <w:spacing w:after="240"/>
      </w:pPr>
      <w:r>
        <w:t>a fee of $1,300, consistent with the other PSMA PET MBS items.</w:t>
      </w:r>
    </w:p>
    <w:p w14:paraId="6E24F662" w14:textId="668B3401" w:rsidR="005029B4" w:rsidRPr="006C4458" w:rsidRDefault="005029B4" w:rsidP="0087597A">
      <w:r>
        <w:t xml:space="preserve">MSAC considered that a higher fee for </w:t>
      </w:r>
      <w:r w:rsidRPr="19555991">
        <w:rPr>
          <w:vertAlign w:val="superscript"/>
        </w:rPr>
        <w:t>68</w:t>
      </w:r>
      <w:r>
        <w:t xml:space="preserve">Ga-PSMA-11 PET would need to demonstrate additional value in terms of improved health outcomes in those identified and treated with </w:t>
      </w:r>
      <w:r>
        <w:lastRenderedPageBreak/>
        <w:t xml:space="preserve">PSMA-targeted radioligand therapy using the specific investigative product for </w:t>
      </w:r>
      <w:r w:rsidRPr="19555991">
        <w:rPr>
          <w:vertAlign w:val="superscript"/>
        </w:rPr>
        <w:t>68</w:t>
      </w:r>
      <w:r>
        <w:t>Ga-PSMA-11 PET/CT compared with other available radiopharmaceutical tracers used for PSMA PET/CT imaging (which would require a resubmission)</w:t>
      </w:r>
      <w:r w:rsidR="0023199E">
        <w:t>.</w:t>
      </w:r>
    </w:p>
    <w:p w14:paraId="6710B69D" w14:textId="61D699BE" w:rsidR="00772829" w:rsidRPr="00CE28E3" w:rsidRDefault="00AE7DDB" w:rsidP="0087597A">
      <w:pPr>
        <w:pStyle w:val="Heading2"/>
        <w:numPr>
          <w:ilvl w:val="0"/>
          <w:numId w:val="0"/>
        </w:numPr>
      </w:pPr>
      <w:bookmarkStart w:id="5" w:name="_Toc69491416"/>
      <w:bookmarkEnd w:id="2"/>
      <w:r>
        <w:t>4</w:t>
      </w:r>
      <w:r w:rsidR="00C36633">
        <w:t>.</w:t>
      </w:r>
      <w:r w:rsidR="00C36633">
        <w:tab/>
      </w:r>
      <w:r w:rsidR="00772829" w:rsidRPr="007F6D4F">
        <w:t>Background</w:t>
      </w:r>
      <w:bookmarkEnd w:id="5"/>
    </w:p>
    <w:p w14:paraId="6DBA9B21" w14:textId="4147CAAF" w:rsidR="006D6A9B" w:rsidRDefault="00995797" w:rsidP="00FE377D">
      <w:pPr>
        <w:pStyle w:val="Instructionaltext"/>
        <w:keepNext/>
        <w:keepLines/>
        <w:spacing w:after="240"/>
        <w:rPr>
          <w:color w:val="auto"/>
        </w:rPr>
      </w:pPr>
      <w:bookmarkStart w:id="6" w:name="_Hlk69734494"/>
      <w:r w:rsidRPr="00995797">
        <w:rPr>
          <w:color w:val="auto"/>
        </w:rPr>
        <w:t>MSAC has not previously considered ILLUCCIX</w:t>
      </w:r>
      <w:r w:rsidRPr="00AB400D">
        <w:rPr>
          <w:color w:val="auto"/>
          <w:vertAlign w:val="superscript"/>
        </w:rPr>
        <w:t>®</w:t>
      </w:r>
      <w:r w:rsidRPr="00995797">
        <w:rPr>
          <w:color w:val="auto"/>
        </w:rPr>
        <w:t xml:space="preserve"> testing</w:t>
      </w:r>
      <w:r w:rsidR="009068F2">
        <w:rPr>
          <w:color w:val="auto"/>
        </w:rPr>
        <w:t xml:space="preserve"> for the current indication</w:t>
      </w:r>
      <w:r w:rsidRPr="00995797">
        <w:rPr>
          <w:color w:val="auto"/>
        </w:rPr>
        <w:t>.</w:t>
      </w:r>
      <w:r>
        <w:rPr>
          <w:color w:val="auto"/>
        </w:rPr>
        <w:t xml:space="preserve"> </w:t>
      </w:r>
    </w:p>
    <w:p w14:paraId="0D8417AF" w14:textId="333A9D9C" w:rsidR="00E83DEF" w:rsidRDefault="00E83DEF" w:rsidP="00FE377D">
      <w:pPr>
        <w:pStyle w:val="Instructionaltext"/>
        <w:keepNext/>
        <w:keepLines/>
        <w:spacing w:after="240"/>
        <w:rPr>
          <w:color w:val="auto"/>
        </w:rPr>
      </w:pPr>
      <w:r w:rsidRPr="19555991">
        <w:rPr>
          <w:color w:val="auto"/>
        </w:rPr>
        <w:t xml:space="preserve">However, MSAC has considered PSMA PET/CT in two previous </w:t>
      </w:r>
      <w:r w:rsidR="4E845823" w:rsidRPr="19555991">
        <w:rPr>
          <w:color w:val="auto"/>
        </w:rPr>
        <w:t>applications</w:t>
      </w:r>
      <w:r w:rsidRPr="19555991">
        <w:rPr>
          <w:color w:val="auto"/>
        </w:rPr>
        <w:t xml:space="preserve">, MSAC 1632 and MSAC 1686/1686.1. A summary of those considerations </w:t>
      </w:r>
      <w:r w:rsidR="5C793B06" w:rsidRPr="19555991">
        <w:rPr>
          <w:color w:val="auto"/>
        </w:rPr>
        <w:t xml:space="preserve">is </w:t>
      </w:r>
      <w:r w:rsidRPr="19555991">
        <w:rPr>
          <w:color w:val="auto"/>
        </w:rPr>
        <w:t>presented below.</w:t>
      </w:r>
    </w:p>
    <w:p w14:paraId="645007A0" w14:textId="5E98331F" w:rsidR="00E83DEF" w:rsidRPr="00E83DEF" w:rsidRDefault="00E83DEF" w:rsidP="00FE377D">
      <w:pPr>
        <w:pStyle w:val="Instructionaltext"/>
        <w:spacing w:after="240"/>
        <w:rPr>
          <w:color w:val="auto"/>
          <w:u w:val="single"/>
        </w:rPr>
      </w:pPr>
      <w:r w:rsidRPr="00E83DEF">
        <w:rPr>
          <w:color w:val="auto"/>
          <w:u w:val="single"/>
        </w:rPr>
        <w:t>MSAC 1632</w:t>
      </w:r>
      <w:r>
        <w:rPr>
          <w:color w:val="auto"/>
          <w:u w:val="single"/>
        </w:rPr>
        <w:t xml:space="preserve"> (MSAC 1632 July 2021 public summary document [PSD]</w:t>
      </w:r>
      <w:r w:rsidR="006703AF">
        <w:rPr>
          <w:color w:val="auto"/>
          <w:u w:val="single"/>
        </w:rPr>
        <w:t>, p1</w:t>
      </w:r>
      <w:r>
        <w:rPr>
          <w:color w:val="auto"/>
          <w:u w:val="single"/>
        </w:rPr>
        <w:t>)</w:t>
      </w:r>
    </w:p>
    <w:p w14:paraId="520CDF2F" w14:textId="538012D8" w:rsidR="00E83DEF" w:rsidRDefault="00E83DEF" w:rsidP="00FE377D">
      <w:pPr>
        <w:pStyle w:val="Instructionaltext"/>
        <w:spacing w:after="240"/>
        <w:rPr>
          <w:color w:val="auto"/>
        </w:rPr>
      </w:pPr>
      <w:r w:rsidRPr="00E83DEF">
        <w:rPr>
          <w:color w:val="auto"/>
        </w:rPr>
        <w:t xml:space="preserve">After considering the strength of the available evidence in relation to comparative safety, clinical effectiveness and cost-effectiveness, MSAC supported the creation of new Medicare Benefits Schedule (MBS) items for </w:t>
      </w:r>
      <w:r w:rsidR="0043A566" w:rsidRPr="5938DF7F">
        <w:rPr>
          <w:color w:val="auto"/>
        </w:rPr>
        <w:t>PSMA PET/CT</w:t>
      </w:r>
      <w:r w:rsidRPr="5938DF7F">
        <w:rPr>
          <w:color w:val="auto"/>
        </w:rPr>
        <w:t xml:space="preserve"> </w:t>
      </w:r>
      <w:r w:rsidRPr="00E83DEF">
        <w:rPr>
          <w:color w:val="auto"/>
        </w:rPr>
        <w:t>for informing treatment of patients with prostate cancer. MSAC advised that PSMA PET/CT had at least non-inferior safety and superior effectiveness in terms of superior diagnostic accuracy and clinical utility; in particular, its ability to change management intent compared with conventional imaging in the initial staging and restaging of prostate cancer. In addition, MSAC advised that PSMA PET/CT had acceptable cost-effectiveness and financial impact.</w:t>
      </w:r>
    </w:p>
    <w:p w14:paraId="0C29142B" w14:textId="2ACAAA90" w:rsidR="006703AF" w:rsidRDefault="006703AF" w:rsidP="00FE377D">
      <w:pPr>
        <w:pStyle w:val="Instructionaltext"/>
        <w:spacing w:after="240"/>
        <w:rPr>
          <w:color w:val="auto"/>
          <w:u w:val="single"/>
        </w:rPr>
      </w:pPr>
      <w:r w:rsidRPr="006703AF">
        <w:rPr>
          <w:color w:val="auto"/>
          <w:u w:val="single"/>
        </w:rPr>
        <w:t>MSAC 1686 (MSAC 1686 July 2022 PSD</w:t>
      </w:r>
      <w:r>
        <w:rPr>
          <w:color w:val="auto"/>
          <w:u w:val="single"/>
        </w:rPr>
        <w:t>, pp1-2</w:t>
      </w:r>
      <w:r w:rsidRPr="006703AF">
        <w:rPr>
          <w:color w:val="auto"/>
          <w:u w:val="single"/>
        </w:rPr>
        <w:t>)</w:t>
      </w:r>
    </w:p>
    <w:p w14:paraId="5B842DF0" w14:textId="3DECA8CB" w:rsidR="006703AF" w:rsidRDefault="006703AF" w:rsidP="00FE377D">
      <w:pPr>
        <w:pStyle w:val="Instructionaltext"/>
        <w:spacing w:after="240"/>
        <w:rPr>
          <w:color w:val="auto"/>
        </w:rPr>
      </w:pPr>
      <w:r w:rsidRPr="006703AF">
        <w:rPr>
          <w:color w:val="auto"/>
        </w:rPr>
        <w:t xml:space="preserve">After considering the strength of the available evidence in relation to comparative safety, clinical effectiveness, cost-effectiveness and total cost, MSAC did not support public funding of 1) </w:t>
      </w:r>
      <w:r w:rsidRPr="006703AF">
        <w:rPr>
          <w:color w:val="auto"/>
          <w:vertAlign w:val="superscript"/>
        </w:rPr>
        <w:t>177</w:t>
      </w:r>
      <w:r w:rsidRPr="006703AF">
        <w:rPr>
          <w:color w:val="auto"/>
        </w:rPr>
        <w:t xml:space="preserve">Lu PSMA </w:t>
      </w:r>
      <w:proofErr w:type="spellStart"/>
      <w:r w:rsidRPr="006703AF">
        <w:rPr>
          <w:color w:val="auto"/>
        </w:rPr>
        <w:t>i&amp;t</w:t>
      </w:r>
      <w:proofErr w:type="spellEnd"/>
      <w:r w:rsidRPr="006703AF">
        <w:rPr>
          <w:color w:val="auto"/>
        </w:rPr>
        <w:t xml:space="preserve"> therapy for treatment of progressive </w:t>
      </w:r>
      <w:proofErr w:type="spellStart"/>
      <w:r w:rsidRPr="006703AF">
        <w:rPr>
          <w:color w:val="auto"/>
        </w:rPr>
        <w:t>mCRPC</w:t>
      </w:r>
      <w:proofErr w:type="spellEnd"/>
      <w:r w:rsidRPr="006703AF">
        <w:rPr>
          <w:color w:val="auto"/>
        </w:rPr>
        <w:t xml:space="preserve"> and 2) whole body PSMA PET/CT to identify those eligible for </w:t>
      </w:r>
      <w:r w:rsidRPr="006703AF">
        <w:rPr>
          <w:color w:val="auto"/>
          <w:vertAlign w:val="superscript"/>
        </w:rPr>
        <w:t>177</w:t>
      </w:r>
      <w:r w:rsidRPr="006703AF">
        <w:rPr>
          <w:color w:val="auto"/>
        </w:rPr>
        <w:t xml:space="preserve">Lu PSMA </w:t>
      </w:r>
      <w:proofErr w:type="spellStart"/>
      <w:r w:rsidRPr="006703AF">
        <w:rPr>
          <w:color w:val="auto"/>
        </w:rPr>
        <w:t>i&amp;t</w:t>
      </w:r>
      <w:proofErr w:type="spellEnd"/>
      <w:r w:rsidRPr="006703AF">
        <w:rPr>
          <w:color w:val="auto"/>
        </w:rPr>
        <w:t xml:space="preserve">. MSAC acknowledged the high clinical need for this population with advanced disease, and the consumer preference for </w:t>
      </w:r>
      <w:r w:rsidRPr="006703AF">
        <w:rPr>
          <w:color w:val="auto"/>
          <w:vertAlign w:val="superscript"/>
        </w:rPr>
        <w:t>177</w:t>
      </w:r>
      <w:r w:rsidRPr="006703AF">
        <w:rPr>
          <w:color w:val="auto"/>
        </w:rPr>
        <w:t xml:space="preserve">Lu PSMA therapy over its comparators of best supportive care and cabazitaxel. MSAC noted the limitations in the evidence comparing </w:t>
      </w:r>
      <w:r w:rsidRPr="006703AF">
        <w:rPr>
          <w:color w:val="auto"/>
          <w:vertAlign w:val="superscript"/>
        </w:rPr>
        <w:t>177</w:t>
      </w:r>
      <w:r w:rsidRPr="006703AF">
        <w:rPr>
          <w:color w:val="auto"/>
        </w:rPr>
        <w:t xml:space="preserve">Lu PSMA </w:t>
      </w:r>
      <w:proofErr w:type="spellStart"/>
      <w:r w:rsidRPr="006703AF">
        <w:rPr>
          <w:color w:val="auto"/>
        </w:rPr>
        <w:t>i&amp;t</w:t>
      </w:r>
      <w:proofErr w:type="spellEnd"/>
      <w:r w:rsidRPr="006703AF">
        <w:rPr>
          <w:color w:val="auto"/>
        </w:rPr>
        <w:t xml:space="preserve"> and </w:t>
      </w:r>
      <w:r w:rsidRPr="006703AF">
        <w:rPr>
          <w:color w:val="auto"/>
          <w:vertAlign w:val="superscript"/>
        </w:rPr>
        <w:t>177</w:t>
      </w:r>
      <w:r w:rsidRPr="006703AF">
        <w:rPr>
          <w:color w:val="auto"/>
        </w:rPr>
        <w:t xml:space="preserve">Lu PSMA-617 products, but concluded from the evidence available that these two products are mutually noninferior and thus considered the evidence for </w:t>
      </w:r>
      <w:r w:rsidRPr="006703AF">
        <w:rPr>
          <w:color w:val="auto"/>
          <w:vertAlign w:val="superscript"/>
        </w:rPr>
        <w:t>177</w:t>
      </w:r>
      <w:r w:rsidRPr="006703AF">
        <w:rPr>
          <w:color w:val="auto"/>
        </w:rPr>
        <w:t xml:space="preserve">Lu PSMA-617 to be relevant for </w:t>
      </w:r>
      <w:r w:rsidRPr="006703AF">
        <w:rPr>
          <w:color w:val="auto"/>
          <w:vertAlign w:val="superscript"/>
        </w:rPr>
        <w:t>177</w:t>
      </w:r>
      <w:r w:rsidRPr="006703AF">
        <w:rPr>
          <w:color w:val="auto"/>
        </w:rPr>
        <w:t xml:space="preserve">Lu PSMA </w:t>
      </w:r>
      <w:proofErr w:type="spellStart"/>
      <w:r w:rsidRPr="006703AF">
        <w:rPr>
          <w:color w:val="auto"/>
        </w:rPr>
        <w:t>i&amp;t</w:t>
      </w:r>
      <w:proofErr w:type="spellEnd"/>
      <w:r w:rsidRPr="006703AF">
        <w:rPr>
          <w:color w:val="auto"/>
        </w:rPr>
        <w:t xml:space="preserve">. MSAC accepted the high certainty from the evidence that </w:t>
      </w:r>
      <w:r w:rsidRPr="006703AF">
        <w:rPr>
          <w:color w:val="auto"/>
          <w:vertAlign w:val="superscript"/>
        </w:rPr>
        <w:t>177</w:t>
      </w:r>
      <w:r w:rsidRPr="006703AF">
        <w:rPr>
          <w:color w:val="auto"/>
        </w:rPr>
        <w:t xml:space="preserve">Lu PSMA </w:t>
      </w:r>
      <w:proofErr w:type="spellStart"/>
      <w:r w:rsidRPr="006703AF">
        <w:rPr>
          <w:color w:val="auto"/>
        </w:rPr>
        <w:t>i&amp;t</w:t>
      </w:r>
      <w:proofErr w:type="spellEnd"/>
      <w:r w:rsidRPr="006703AF">
        <w:rPr>
          <w:color w:val="auto"/>
        </w:rPr>
        <w:t xml:space="preserve"> therapy is acceptably safe and effective, but that the incremental cost-effectiveness ratio (ICER</w:t>
      </w:r>
      <w:r>
        <w:rPr>
          <w:color w:val="auto"/>
        </w:rPr>
        <w:t>; $81,653</w:t>
      </w:r>
      <w:r w:rsidRPr="006703AF">
        <w:rPr>
          <w:color w:val="auto"/>
        </w:rPr>
        <w:t>) was too high and uncertain.</w:t>
      </w:r>
    </w:p>
    <w:p w14:paraId="665BE650" w14:textId="1D581E97" w:rsidR="006703AF" w:rsidRDefault="006703AF" w:rsidP="00FE377D">
      <w:pPr>
        <w:pStyle w:val="Instructionaltext"/>
        <w:spacing w:after="240"/>
        <w:rPr>
          <w:color w:val="auto"/>
          <w:u w:val="single"/>
        </w:rPr>
      </w:pPr>
      <w:r w:rsidRPr="006703AF">
        <w:rPr>
          <w:color w:val="auto"/>
          <w:u w:val="single"/>
        </w:rPr>
        <w:t>MSAC 1686</w:t>
      </w:r>
      <w:r>
        <w:rPr>
          <w:color w:val="auto"/>
          <w:u w:val="single"/>
        </w:rPr>
        <w:t>.1</w:t>
      </w:r>
      <w:r w:rsidRPr="006703AF">
        <w:rPr>
          <w:color w:val="auto"/>
          <w:u w:val="single"/>
        </w:rPr>
        <w:t xml:space="preserve"> (MSAC 1686</w:t>
      </w:r>
      <w:r>
        <w:rPr>
          <w:color w:val="auto"/>
          <w:u w:val="single"/>
        </w:rPr>
        <w:t>.1</w:t>
      </w:r>
      <w:r w:rsidRPr="006703AF">
        <w:rPr>
          <w:color w:val="auto"/>
          <w:u w:val="single"/>
        </w:rPr>
        <w:t xml:space="preserve"> July 202</w:t>
      </w:r>
      <w:r>
        <w:rPr>
          <w:color w:val="auto"/>
          <w:u w:val="single"/>
        </w:rPr>
        <w:t>3</w:t>
      </w:r>
      <w:r w:rsidRPr="006703AF">
        <w:rPr>
          <w:color w:val="auto"/>
          <w:u w:val="single"/>
        </w:rPr>
        <w:t xml:space="preserve"> PSD</w:t>
      </w:r>
      <w:r>
        <w:rPr>
          <w:color w:val="auto"/>
          <w:u w:val="single"/>
        </w:rPr>
        <w:t>, pp1-2</w:t>
      </w:r>
      <w:r w:rsidRPr="006703AF">
        <w:rPr>
          <w:color w:val="auto"/>
          <w:u w:val="single"/>
        </w:rPr>
        <w:t>)</w:t>
      </w:r>
    </w:p>
    <w:p w14:paraId="14154296" w14:textId="77777777" w:rsidR="006703AF" w:rsidRPr="00FE377D" w:rsidRDefault="006703AF" w:rsidP="00FE377D">
      <w:pPr>
        <w:spacing w:after="240"/>
      </w:pPr>
      <w:r w:rsidRPr="00FE377D">
        <w:t xml:space="preserve">After considering the strength of the available evidence in relation to comparative safety, clinical effectiveness, cost-effectiveness and total cost, </w:t>
      </w:r>
      <w:bookmarkStart w:id="7" w:name="_Hlk141856141"/>
      <w:r w:rsidRPr="00FE377D">
        <w:t xml:space="preserve">MSAC deferred its advice regarding the public funding of 1) </w:t>
      </w:r>
      <w:r w:rsidRPr="00FE377D">
        <w:rPr>
          <w:vertAlign w:val="superscript"/>
        </w:rPr>
        <w:t>177</w:t>
      </w:r>
      <w:r w:rsidRPr="00FE377D">
        <w:t>Lu PSMA </w:t>
      </w:r>
      <w:proofErr w:type="spellStart"/>
      <w:r w:rsidRPr="00FE377D">
        <w:t>i&amp;t</w:t>
      </w:r>
      <w:proofErr w:type="spellEnd"/>
      <w:r w:rsidRPr="00FE377D">
        <w:t xml:space="preserve"> therapy for treatment of progressive </w:t>
      </w:r>
      <w:proofErr w:type="spellStart"/>
      <w:r w:rsidRPr="00FE377D">
        <w:t>mCRPC</w:t>
      </w:r>
      <w:proofErr w:type="spellEnd"/>
      <w:r w:rsidRPr="00FE377D">
        <w:t xml:space="preserve"> and 2) whole body PSMA PET/CT to identify those eligible for </w:t>
      </w:r>
      <w:r w:rsidRPr="00FE377D">
        <w:rPr>
          <w:vertAlign w:val="superscript"/>
        </w:rPr>
        <w:t>177</w:t>
      </w:r>
      <w:r w:rsidRPr="00FE377D">
        <w:t>Lu PSMA </w:t>
      </w:r>
      <w:proofErr w:type="spellStart"/>
      <w:r w:rsidRPr="00FE377D">
        <w:t>i&amp;t</w:t>
      </w:r>
      <w:proofErr w:type="spellEnd"/>
      <w:r w:rsidRPr="00FE377D">
        <w:t xml:space="preserve"> therapy. </w:t>
      </w:r>
    </w:p>
    <w:p w14:paraId="0EA8365C" w14:textId="2394E375" w:rsidR="006703AF" w:rsidRPr="00FE377D" w:rsidRDefault="006703AF" w:rsidP="00FE377D">
      <w:pPr>
        <w:pStyle w:val="NormalWeb"/>
        <w:spacing w:before="0" w:beforeAutospacing="0" w:after="0" w:afterAutospacing="0"/>
      </w:pPr>
      <w:r w:rsidRPr="00FE377D">
        <w:t xml:space="preserve">MSAC noted the high clinical need for this population with advanced disease. MSAC reconsidered the evidence base and the additional perspectives comparing </w:t>
      </w:r>
      <w:r w:rsidRPr="00FE377D">
        <w:rPr>
          <w:vertAlign w:val="superscript"/>
        </w:rPr>
        <w:t>177</w:t>
      </w:r>
      <w:r w:rsidRPr="00FE377D">
        <w:t>Lu PSMA </w:t>
      </w:r>
      <w:proofErr w:type="spellStart"/>
      <w:r w:rsidRPr="00FE377D">
        <w:t>i&amp;t</w:t>
      </w:r>
      <w:proofErr w:type="spellEnd"/>
      <w:r w:rsidRPr="00FE377D">
        <w:t xml:space="preserve"> and </w:t>
      </w:r>
      <w:r w:rsidRPr="00FE377D">
        <w:rPr>
          <w:vertAlign w:val="superscript"/>
        </w:rPr>
        <w:t>177</w:t>
      </w:r>
      <w:r w:rsidRPr="00FE377D">
        <w:t xml:space="preserve">Lu PSMA-617 products. MSAC noted the limitations in the evidence base but concluded that the two products are mutually noninferior and thus considered the evidence for </w:t>
      </w:r>
      <w:r w:rsidRPr="00FE377D">
        <w:rPr>
          <w:vertAlign w:val="superscript"/>
        </w:rPr>
        <w:t>177</w:t>
      </w:r>
      <w:r w:rsidRPr="00FE377D">
        <w:t xml:space="preserve">Lu PSMA-617 to be relevant for </w:t>
      </w:r>
      <w:r w:rsidRPr="00FE377D">
        <w:rPr>
          <w:vertAlign w:val="superscript"/>
        </w:rPr>
        <w:t>177</w:t>
      </w:r>
      <w:r w:rsidRPr="00FE377D">
        <w:t>Lu PSMA </w:t>
      </w:r>
      <w:proofErr w:type="spellStart"/>
      <w:r w:rsidRPr="00FE377D">
        <w:t>i&amp;t</w:t>
      </w:r>
      <w:proofErr w:type="spellEnd"/>
      <w:r w:rsidRPr="00FE377D">
        <w:t xml:space="preserve">. Thus, MSAC accepted the evidence that </w:t>
      </w:r>
      <w:r w:rsidRPr="00FE377D">
        <w:rPr>
          <w:vertAlign w:val="superscript"/>
        </w:rPr>
        <w:t>177</w:t>
      </w:r>
      <w:r w:rsidRPr="00FE377D">
        <w:t>Lu PSMA </w:t>
      </w:r>
      <w:proofErr w:type="spellStart"/>
      <w:r w:rsidRPr="00FE377D">
        <w:t>i&amp;t</w:t>
      </w:r>
      <w:proofErr w:type="spellEnd"/>
      <w:r w:rsidRPr="00FE377D">
        <w:t xml:space="preserve"> therapy is acceptably safe and effective but continued to have concerns that the incremental cost-effectiveness ratio (ICER; $73,662) was too high and uncertain. </w:t>
      </w:r>
      <w:r w:rsidRPr="00FE377D">
        <w:lastRenderedPageBreak/>
        <w:t>MSAC noted that the proposed two-step approach to treatment was not captured by the structure of the model. MSAC also considered that the financial impact was underestimated.</w:t>
      </w:r>
    </w:p>
    <w:p w14:paraId="663A0DEF" w14:textId="238BB62C" w:rsidR="006703AF" w:rsidRPr="00FE377D" w:rsidRDefault="006703AF" w:rsidP="00FE377D">
      <w:pPr>
        <w:pStyle w:val="NormalWeb"/>
        <w:spacing w:before="240" w:beforeAutospacing="0" w:after="0" w:afterAutospacing="0"/>
      </w:pPr>
      <w:r w:rsidRPr="00FE377D">
        <w:t>MSAC deferred its advice and requested that a revised economic evaluation be conducted with the model structure corrected to capture the two-step approach to treatment proposed in the MBS items and reduce the uncertainty created in the model by the patient-level data from different trials in the same model for determination of PFS benefits and costs associated with the intervention. In addition, MSAC requested better justification (or removal) of the selected treatment specific utility weights.</w:t>
      </w:r>
    </w:p>
    <w:p w14:paraId="5C357199" w14:textId="77777777" w:rsidR="006703AF" w:rsidRPr="00FE377D" w:rsidRDefault="006703AF" w:rsidP="00FE377D">
      <w:pPr>
        <w:pStyle w:val="NormalWeb"/>
        <w:spacing w:before="240" w:beforeAutospacing="0" w:after="240" w:afterAutospacing="0"/>
      </w:pPr>
      <w:r w:rsidRPr="00FE377D">
        <w:t xml:space="preserve">MSAC noted the patent related issues raised during the consultation process. MSAC referred to its Terms of Reference in concluding that patent related matters would require consideration by government prior to the listing of any MBS items </w:t>
      </w:r>
      <w:proofErr w:type="gramStart"/>
      <w:r w:rsidRPr="00FE377D">
        <w:t>as a result of</w:t>
      </w:r>
      <w:proofErr w:type="gramEnd"/>
      <w:r w:rsidRPr="00FE377D">
        <w:t xml:space="preserve"> this application (if subsequently supported).</w:t>
      </w:r>
      <w:bookmarkEnd w:id="7"/>
    </w:p>
    <w:p w14:paraId="6F52500A" w14:textId="07DD60C4" w:rsidR="00772829" w:rsidRPr="00CE28E3" w:rsidRDefault="00AE7DDB" w:rsidP="002A18BE">
      <w:pPr>
        <w:pStyle w:val="Heading2"/>
        <w:numPr>
          <w:ilvl w:val="0"/>
          <w:numId w:val="0"/>
        </w:numPr>
      </w:pPr>
      <w:bookmarkStart w:id="8" w:name="_Toc69491417"/>
      <w:bookmarkEnd w:id="6"/>
      <w:r>
        <w:t>5</w:t>
      </w:r>
      <w:r w:rsidR="00C36633">
        <w:t>.</w:t>
      </w:r>
      <w:r w:rsidR="00C36633">
        <w:tab/>
      </w:r>
      <w:r w:rsidR="00772829" w:rsidRPr="00CE28E3">
        <w:t>Prerequisites to implementation of any funding advice</w:t>
      </w:r>
      <w:bookmarkEnd w:id="8"/>
    </w:p>
    <w:p w14:paraId="6E497104" w14:textId="4F29D685" w:rsidR="009068F2" w:rsidRPr="00FE377D" w:rsidRDefault="009068F2" w:rsidP="00FE377D">
      <w:pPr>
        <w:spacing w:after="120"/>
        <w:jc w:val="both"/>
      </w:pPr>
      <w:r w:rsidRPr="00FE377D">
        <w:t>The ADAR state</w:t>
      </w:r>
      <w:r w:rsidR="00210247" w:rsidRPr="00FE377D">
        <w:t>d</w:t>
      </w:r>
      <w:r w:rsidRPr="00FE377D">
        <w:t xml:space="preserve"> that the applicant intend</w:t>
      </w:r>
      <w:r w:rsidR="008B435F" w:rsidRPr="00FE377D">
        <w:t>ed</w:t>
      </w:r>
      <w:r w:rsidRPr="00FE377D">
        <w:t xml:space="preserve"> to apply to the TGA in March 2022 for the indication which is the subject of this current application: </w:t>
      </w:r>
    </w:p>
    <w:p w14:paraId="1281A78F" w14:textId="4DAFDEC9" w:rsidR="009068F2" w:rsidRPr="00FE377D" w:rsidRDefault="009068F2" w:rsidP="00FE377D">
      <w:pPr>
        <w:spacing w:after="120"/>
        <w:ind w:left="567"/>
        <w:jc w:val="both"/>
      </w:pPr>
      <w:bookmarkStart w:id="9" w:name="_Hlk149133489"/>
      <w:r w:rsidRPr="00FE377D">
        <w:t>Patients who are candidates for PSMA targeted therapy.</w:t>
      </w:r>
    </w:p>
    <w:bookmarkEnd w:id="9"/>
    <w:p w14:paraId="2EF1B2F7" w14:textId="6FF73270" w:rsidR="008F191F" w:rsidRPr="00FE377D" w:rsidRDefault="008F191F" w:rsidP="00FE377D">
      <w:pPr>
        <w:pStyle w:val="Instructionaltext"/>
        <w:spacing w:after="120"/>
        <w:jc w:val="both"/>
        <w:rPr>
          <w:color w:val="000000" w:themeColor="text1"/>
        </w:rPr>
      </w:pPr>
      <w:r w:rsidRPr="00FE377D">
        <w:rPr>
          <w:color w:val="auto"/>
        </w:rPr>
        <w:t xml:space="preserve">The ADAR stated that </w:t>
      </w:r>
      <w:r w:rsidRPr="00FE377D">
        <w:rPr>
          <w:color w:val="000000" w:themeColor="text1"/>
        </w:rPr>
        <w:t xml:space="preserve">TGA approval for patients who are candidates for PSMA targeted therapy which is the subject of this current application is currently in process. </w:t>
      </w:r>
    </w:p>
    <w:p w14:paraId="2840ECC7" w14:textId="34189AA6" w:rsidR="004403EF" w:rsidRPr="00FE377D" w:rsidRDefault="004403EF" w:rsidP="00FE377D">
      <w:pPr>
        <w:spacing w:after="120"/>
        <w:jc w:val="both"/>
      </w:pPr>
      <w:r w:rsidRPr="00FE377D">
        <w:t>ILLUCCIX</w:t>
      </w:r>
      <w:r w:rsidRPr="00FE377D">
        <w:rPr>
          <w:vertAlign w:val="superscript"/>
        </w:rPr>
        <w:t>®</w:t>
      </w:r>
      <w:r w:rsidRPr="00FE377D">
        <w:t xml:space="preserve"> was granted Therapeutic Goods Administration (TGA) approval (ARTG 356332 and ARTG 356333) on </w:t>
      </w:r>
      <w:r w:rsidR="003F729A" w:rsidRPr="00FE377D">
        <w:t>2</w:t>
      </w:r>
      <w:r w:rsidRPr="00FE377D">
        <w:t xml:space="preserve"> of November 2021 for the PET imaging of men with prostate cancer. Specifically:</w:t>
      </w:r>
    </w:p>
    <w:p w14:paraId="5DC84E48" w14:textId="7BEB12FF" w:rsidR="004403EF" w:rsidRPr="00FE377D" w:rsidRDefault="004403EF" w:rsidP="00FE377D">
      <w:pPr>
        <w:pStyle w:val="ListParagraph"/>
        <w:numPr>
          <w:ilvl w:val="0"/>
          <w:numId w:val="10"/>
        </w:numPr>
        <w:spacing w:after="120"/>
        <w:ind w:left="284" w:hanging="284"/>
        <w:jc w:val="both"/>
      </w:pPr>
      <w:r w:rsidRPr="00FE377D">
        <w:t>Who are at risk of metastasis and who are suitable for definitive initial therapy</w:t>
      </w:r>
      <w:r w:rsidR="003F729A" w:rsidRPr="00FE377D">
        <w:t>.</w:t>
      </w:r>
      <w:r w:rsidRPr="00FE377D">
        <w:t xml:space="preserve"> </w:t>
      </w:r>
    </w:p>
    <w:p w14:paraId="2B88B54B" w14:textId="77777777" w:rsidR="004403EF" w:rsidRPr="00FE377D" w:rsidRDefault="004403EF" w:rsidP="00FE377D">
      <w:pPr>
        <w:pStyle w:val="ListParagraph"/>
        <w:numPr>
          <w:ilvl w:val="0"/>
          <w:numId w:val="10"/>
        </w:numPr>
        <w:spacing w:after="120"/>
        <w:ind w:left="284" w:hanging="284"/>
        <w:jc w:val="both"/>
      </w:pPr>
      <w:bookmarkStart w:id="10" w:name="_Hlk151452767"/>
      <w:r w:rsidRPr="00FE377D">
        <w:t>Who have suspected recurrence based on elevated serum Prostate-specific antigen (PSA) level.</w:t>
      </w:r>
    </w:p>
    <w:p w14:paraId="6B2E787C" w14:textId="77DBED56" w:rsidR="00210247" w:rsidRPr="00FE377D" w:rsidRDefault="00210247" w:rsidP="00FE377D">
      <w:pPr>
        <w:spacing w:after="120"/>
        <w:jc w:val="both"/>
      </w:pPr>
      <w:r w:rsidRPr="00FE377D">
        <w:t>There are currently 105 sites throughout Australia with PET units (Australian Government</w:t>
      </w:r>
      <w:r w:rsidR="00B55764" w:rsidRPr="00FE377D">
        <w:rPr>
          <w:rStyle w:val="FootnoteReference"/>
        </w:rPr>
        <w:footnoteReference w:id="3"/>
      </w:r>
      <w:r w:rsidRPr="00FE377D">
        <w:t>), most of which are in NSW (32), Queensland (27) and Victoria (22).</w:t>
      </w:r>
    </w:p>
    <w:p w14:paraId="44C3B242" w14:textId="72C671A9" w:rsidR="00772829" w:rsidRPr="00CE28E3" w:rsidRDefault="00AE7DDB" w:rsidP="002A18BE">
      <w:pPr>
        <w:pStyle w:val="Heading2"/>
        <w:numPr>
          <w:ilvl w:val="0"/>
          <w:numId w:val="0"/>
        </w:numPr>
      </w:pPr>
      <w:bookmarkStart w:id="11" w:name="_Toc69491418"/>
      <w:bookmarkEnd w:id="10"/>
      <w:r>
        <w:t>6</w:t>
      </w:r>
      <w:r w:rsidR="00C36633">
        <w:t>.</w:t>
      </w:r>
      <w:r w:rsidR="00C36633">
        <w:tab/>
      </w:r>
      <w:r w:rsidR="00772829" w:rsidRPr="00CE28E3">
        <w:t>Proposal for public funding</w:t>
      </w:r>
      <w:bookmarkEnd w:id="11"/>
    </w:p>
    <w:p w14:paraId="3B84D823" w14:textId="04C4AD50" w:rsidR="00C47EDC" w:rsidRPr="00473AC8" w:rsidRDefault="005C0FD5" w:rsidP="00B55764">
      <w:r>
        <w:rPr>
          <w:rFonts w:eastAsia="Calibri" w:cs="Calibri"/>
        </w:rPr>
        <w:t xml:space="preserve">The applicant </w:t>
      </w:r>
      <w:r w:rsidR="0050657F" w:rsidRPr="0050657F">
        <w:t>proposed t</w:t>
      </w:r>
      <w:r w:rsidR="00FA688A">
        <w:t>o create a new</w:t>
      </w:r>
      <w:r w:rsidR="0050657F" w:rsidRPr="0050657F">
        <w:t xml:space="preserve"> MBS item for </w:t>
      </w:r>
      <w:r w:rsidR="004F33CF" w:rsidRPr="004F33CF">
        <w:t xml:space="preserve">a radioisotope </w:t>
      </w:r>
      <w:r w:rsidR="004F33CF" w:rsidRPr="00FB178D">
        <w:rPr>
          <w:iCs/>
        </w:rPr>
        <w:t>specific</w:t>
      </w:r>
      <w:r w:rsidR="004F33CF" w:rsidRPr="009D5086">
        <w:rPr>
          <w:iCs/>
        </w:rPr>
        <w:t xml:space="preserve"> </w:t>
      </w:r>
      <w:r w:rsidR="004F33CF" w:rsidRPr="004F33CF">
        <w:t>(</w:t>
      </w:r>
      <w:r w:rsidR="004F33CF" w:rsidRPr="004F33CF">
        <w:rPr>
          <w:vertAlign w:val="superscript"/>
        </w:rPr>
        <w:t>68</w:t>
      </w:r>
      <w:r w:rsidR="004F33CF" w:rsidRPr="004F33CF">
        <w:t>Ga)</w:t>
      </w:r>
      <w:r w:rsidR="00154632">
        <w:t>-</w:t>
      </w:r>
      <w:r w:rsidR="004F33CF" w:rsidRPr="004F33CF">
        <w:t xml:space="preserve">PSMA PET/CT </w:t>
      </w:r>
      <w:r w:rsidR="004F33CF">
        <w:t>imaging</w:t>
      </w:r>
      <w:r w:rsidR="004F33CF" w:rsidRPr="004F33CF">
        <w:t xml:space="preserve"> to determine eligibility for PSMA-targeted therapy</w:t>
      </w:r>
      <w:r w:rsidR="00256894">
        <w:t xml:space="preserve"> (</w:t>
      </w:r>
      <w:r w:rsidR="00B55764">
        <w:fldChar w:fldCharType="begin"/>
      </w:r>
      <w:r w:rsidR="00B55764">
        <w:instrText xml:space="preserve"> REF _Ref152249837 \h  \* MERGEFORMAT </w:instrText>
      </w:r>
      <w:r w:rsidR="00B55764">
        <w:fldChar w:fldCharType="separate"/>
      </w:r>
      <w:r w:rsidR="00EB3F24">
        <w:t xml:space="preserve">Table </w:t>
      </w:r>
      <w:r w:rsidR="00EB3F24">
        <w:rPr>
          <w:noProof/>
        </w:rPr>
        <w:t>1</w:t>
      </w:r>
      <w:r w:rsidR="00B55764">
        <w:fldChar w:fldCharType="end"/>
      </w:r>
      <w:r w:rsidR="00256894">
        <w:t>)</w:t>
      </w:r>
      <w:r w:rsidR="004F33CF" w:rsidRPr="004F33CF">
        <w:t>.</w:t>
      </w:r>
      <w:r w:rsidR="004F33CF">
        <w:t xml:space="preserve"> </w:t>
      </w:r>
    </w:p>
    <w:p w14:paraId="760433B5" w14:textId="2FFC484B" w:rsidR="00156353" w:rsidRPr="00B55764" w:rsidRDefault="00B55764" w:rsidP="00B55764">
      <w:pPr>
        <w:pStyle w:val="Caption"/>
        <w:rPr>
          <w:rFonts w:cstheme="minorHAnsi"/>
          <w:b w:val="0"/>
          <w:bCs w:val="0"/>
        </w:rPr>
      </w:pPr>
      <w:bookmarkStart w:id="12" w:name="_Ref152249837"/>
      <w:bookmarkStart w:id="13" w:name="_Toc147319990"/>
      <w:bookmarkStart w:id="14" w:name="_Ref69481033"/>
      <w:r>
        <w:lastRenderedPageBreak/>
        <w:t xml:space="preserve">Table </w:t>
      </w:r>
      <w:r>
        <w:fldChar w:fldCharType="begin"/>
      </w:r>
      <w:r>
        <w:instrText>SEQ Table \* ARABIC</w:instrText>
      </w:r>
      <w:r>
        <w:fldChar w:fldCharType="separate"/>
      </w:r>
      <w:r w:rsidR="00EB3F24">
        <w:rPr>
          <w:noProof/>
        </w:rPr>
        <w:t>1</w:t>
      </w:r>
      <w:r>
        <w:fldChar w:fldCharType="end"/>
      </w:r>
      <w:bookmarkEnd w:id="12"/>
      <w:r>
        <w:rPr>
          <w:rFonts w:cstheme="minorHAnsi"/>
        </w:rPr>
        <w:tab/>
      </w:r>
      <w:r w:rsidR="00156353" w:rsidRPr="00B55764">
        <w:rPr>
          <w:rFonts w:cstheme="minorHAnsi"/>
        </w:rPr>
        <w:t xml:space="preserve">Proposed MBS </w:t>
      </w:r>
      <w:r w:rsidR="00D73F34">
        <w:rPr>
          <w:rFonts w:cstheme="minorHAnsi"/>
        </w:rPr>
        <w:t>i</w:t>
      </w:r>
      <w:r w:rsidR="00156353" w:rsidRPr="00B55764">
        <w:rPr>
          <w:rFonts w:cstheme="minorHAnsi"/>
        </w:rPr>
        <w:t xml:space="preserve">tem </w:t>
      </w:r>
      <w:r w:rsidR="00D73F34">
        <w:rPr>
          <w:rFonts w:cstheme="minorHAnsi"/>
        </w:rPr>
        <w:t>d</w:t>
      </w:r>
      <w:r w:rsidR="00156353" w:rsidRPr="00B55764">
        <w:rPr>
          <w:rFonts w:cstheme="minorHAnsi"/>
        </w:rPr>
        <w:t xml:space="preserve">escriptor for </w:t>
      </w:r>
      <w:bookmarkEnd w:id="13"/>
      <w:r w:rsidR="00D73F34" w:rsidRPr="00D73F34">
        <w:rPr>
          <w:rFonts w:cstheme="minorHAnsi"/>
          <w:vertAlign w:val="superscript"/>
        </w:rPr>
        <w:t>68</w:t>
      </w:r>
      <w:r w:rsidR="00D73F34" w:rsidRPr="00D73F34">
        <w:rPr>
          <w:rFonts w:cstheme="minorHAnsi"/>
        </w:rPr>
        <w:t>Ga-PSMA PET/CT imaging</w:t>
      </w:r>
    </w:p>
    <w:tbl>
      <w:tblPr>
        <w:tblStyle w:val="TableGrid"/>
        <w:tblW w:w="9190" w:type="dxa"/>
        <w:tblInd w:w="-5" w:type="dxa"/>
        <w:tblLayout w:type="fixed"/>
        <w:tblLook w:val="0020" w:firstRow="1" w:lastRow="0" w:firstColumn="0" w:lastColumn="0" w:noHBand="0" w:noVBand="0"/>
      </w:tblPr>
      <w:tblGrid>
        <w:gridCol w:w="9190"/>
      </w:tblGrid>
      <w:tr w:rsidR="00156353" w:rsidRPr="00B55764" w14:paraId="414566E9" w14:textId="77777777" w:rsidTr="00DA40A5">
        <w:trPr>
          <w:trHeight w:val="496"/>
        </w:trPr>
        <w:tc>
          <w:tcPr>
            <w:tcW w:w="9190" w:type="dxa"/>
            <w:shd w:val="clear" w:color="auto" w:fill="auto"/>
          </w:tcPr>
          <w:p w14:paraId="1A4097AC" w14:textId="77777777" w:rsidR="00156353" w:rsidRPr="00B55764" w:rsidRDefault="00156353">
            <w:pPr>
              <w:pStyle w:val="TableText"/>
              <w:keepNext/>
              <w:spacing w:line="360" w:lineRule="auto"/>
            </w:pPr>
            <w:r w:rsidRPr="00B55764">
              <w:t>Category 5 – DIAGNOSTIC IMAGING SERVICES</w:t>
            </w:r>
          </w:p>
          <w:p w14:paraId="3B077122" w14:textId="77777777" w:rsidR="00156353" w:rsidRPr="00B55764" w:rsidRDefault="00156353">
            <w:pPr>
              <w:pStyle w:val="TableText"/>
              <w:keepNext/>
              <w:spacing w:line="360" w:lineRule="auto"/>
            </w:pPr>
            <w:r w:rsidRPr="00B55764">
              <w:t>Group I4 – Nuclear Medicine Imaging</w:t>
            </w:r>
          </w:p>
          <w:p w14:paraId="278C026A" w14:textId="77777777" w:rsidR="00156353" w:rsidRPr="00B55764" w:rsidRDefault="00156353">
            <w:pPr>
              <w:pStyle w:val="TableText"/>
              <w:keepNext/>
              <w:spacing w:line="360" w:lineRule="auto"/>
            </w:pPr>
            <w:r w:rsidRPr="00B55764">
              <w:t>Subgroup 2 – PET</w:t>
            </w:r>
          </w:p>
        </w:tc>
      </w:tr>
      <w:tr w:rsidR="00156353" w:rsidRPr="00B55764" w14:paraId="27E7AC4C" w14:textId="77777777" w:rsidTr="00DA40A5">
        <w:trPr>
          <w:trHeight w:val="1262"/>
        </w:trPr>
        <w:tc>
          <w:tcPr>
            <w:tcW w:w="9190" w:type="dxa"/>
          </w:tcPr>
          <w:p w14:paraId="1E89E0A6" w14:textId="104917F0" w:rsidR="00156353" w:rsidRPr="00B55764" w:rsidRDefault="00156353">
            <w:pPr>
              <w:pStyle w:val="TableText"/>
              <w:keepNext/>
              <w:spacing w:before="0" w:after="0" w:line="276" w:lineRule="auto"/>
              <w:rPr>
                <w:rFonts w:cstheme="minorHAnsi"/>
              </w:rPr>
            </w:pPr>
            <w:r w:rsidRPr="00B55764">
              <w:rPr>
                <w:rFonts w:cstheme="minorHAnsi"/>
              </w:rPr>
              <w:t xml:space="preserve">MBS </w:t>
            </w:r>
            <w:r w:rsidR="00C4604E" w:rsidRPr="00B55764">
              <w:rPr>
                <w:rFonts w:cstheme="minorHAnsi"/>
              </w:rPr>
              <w:t>XXX</w:t>
            </w:r>
          </w:p>
          <w:p w14:paraId="19519D71" w14:textId="1283EAD8" w:rsidR="00156353" w:rsidRPr="007425AC" w:rsidRDefault="00156353">
            <w:pPr>
              <w:pStyle w:val="TableText"/>
              <w:keepNext/>
              <w:spacing w:before="0" w:after="0" w:line="276" w:lineRule="auto"/>
              <w:rPr>
                <w:i/>
              </w:rPr>
            </w:pPr>
            <w:r w:rsidRPr="00B55764">
              <w:t xml:space="preserve">Whole body </w:t>
            </w:r>
            <w:r w:rsidRPr="00B55764">
              <w:rPr>
                <w:vertAlign w:val="superscript"/>
              </w:rPr>
              <w:t>68</w:t>
            </w:r>
            <w:r w:rsidRPr="00B55764">
              <w:t>Ga prostate-specific membrane antigen (</w:t>
            </w:r>
            <w:r w:rsidRPr="00B55764">
              <w:rPr>
                <w:vertAlign w:val="superscript"/>
              </w:rPr>
              <w:t>68</w:t>
            </w:r>
            <w:r w:rsidRPr="00B55764">
              <w:t>Ga-PSMA) positron emission tomography (PET)/</w:t>
            </w:r>
            <w:r>
              <w:t>compute</w:t>
            </w:r>
            <w:r w:rsidR="6B55F6A0">
              <w:t>d</w:t>
            </w:r>
            <w:r w:rsidRPr="00B55764">
              <w:t xml:space="preserve"> tomography (CT) study, performed for the patient selection</w:t>
            </w:r>
            <w:r w:rsidR="00CE3409" w:rsidRPr="00B55764">
              <w:t xml:space="preserve"> for PSMA targeted radioligand therapy.</w:t>
            </w:r>
          </w:p>
          <w:p w14:paraId="3F96A9E2" w14:textId="69D52BB2" w:rsidR="00156353" w:rsidRPr="00B55764" w:rsidRDefault="00156353" w:rsidP="007425AC">
            <w:pPr>
              <w:pStyle w:val="TableText"/>
              <w:keepNext/>
              <w:spacing w:before="120" w:after="120" w:line="276" w:lineRule="auto"/>
              <w:rPr>
                <w:rFonts w:cstheme="minorHAnsi"/>
              </w:rPr>
            </w:pPr>
            <w:r w:rsidRPr="00B55764">
              <w:rPr>
                <w:rFonts w:cstheme="minorHAnsi"/>
              </w:rPr>
              <w:t>Applicable only once per lifetime</w:t>
            </w:r>
          </w:p>
          <w:p w14:paraId="1200130E" w14:textId="77777777" w:rsidR="00156353" w:rsidRPr="00B55764" w:rsidRDefault="00156353">
            <w:pPr>
              <w:pStyle w:val="TableText"/>
              <w:keepNext/>
              <w:spacing w:before="0" w:after="0" w:line="276" w:lineRule="auto"/>
              <w:rPr>
                <w:rFonts w:cstheme="minorHAnsi"/>
              </w:rPr>
            </w:pPr>
            <w:r w:rsidRPr="00B55764">
              <w:rPr>
                <w:rFonts w:cstheme="minorHAnsi"/>
              </w:rPr>
              <w:t>Fee:  $1,945</w:t>
            </w:r>
          </w:p>
        </w:tc>
      </w:tr>
    </w:tbl>
    <w:p w14:paraId="7DC99987" w14:textId="77777777" w:rsidR="00156353" w:rsidRPr="00B55764" w:rsidRDefault="00156353" w:rsidP="00156353">
      <w:pPr>
        <w:spacing w:line="276" w:lineRule="auto"/>
        <w:jc w:val="both"/>
        <w:rPr>
          <w:rFonts w:ascii="Arial Narrow" w:eastAsiaTheme="minorEastAsia" w:hAnsi="Arial Narrow"/>
          <w:sz w:val="16"/>
          <w:szCs w:val="16"/>
        </w:rPr>
      </w:pPr>
      <w:r w:rsidRPr="00B55764">
        <w:rPr>
          <w:rFonts w:ascii="Arial Narrow" w:eastAsiaTheme="minorEastAsia" w:hAnsi="Arial Narrow"/>
          <w:b/>
          <w:bCs/>
          <w:sz w:val="16"/>
          <w:szCs w:val="16"/>
        </w:rPr>
        <w:t>Abbreviations</w:t>
      </w:r>
      <w:r w:rsidRPr="00B55764">
        <w:rPr>
          <w:rFonts w:ascii="Arial Narrow" w:eastAsiaTheme="minorEastAsia" w:hAnsi="Arial Narrow"/>
          <w:sz w:val="16"/>
          <w:szCs w:val="16"/>
        </w:rPr>
        <w:t>: CT, Computed tomography; Ga, Gallium; MBS, Medicare Benefits Schedule; PET, Positron emission tomography; PSMA, Prostate-specific membrane antigen.</w:t>
      </w:r>
    </w:p>
    <w:p w14:paraId="0533B444" w14:textId="6075981F" w:rsidR="00D05547" w:rsidRDefault="00156353" w:rsidP="00B239EA">
      <w:pPr>
        <w:spacing w:line="276" w:lineRule="auto"/>
        <w:jc w:val="both"/>
        <w:rPr>
          <w:rFonts w:ascii="Arial Narrow" w:eastAsiaTheme="minorEastAsia" w:hAnsi="Arial Narrow"/>
          <w:sz w:val="16"/>
          <w:szCs w:val="16"/>
        </w:rPr>
      </w:pPr>
      <w:r w:rsidRPr="00B55764">
        <w:rPr>
          <w:rFonts w:ascii="Arial Narrow" w:eastAsiaTheme="minorEastAsia" w:hAnsi="Arial Narrow"/>
          <w:sz w:val="16"/>
          <w:szCs w:val="16"/>
        </w:rPr>
        <w:t xml:space="preserve">Source: </w:t>
      </w:r>
      <w:r w:rsidR="006C13C4" w:rsidRPr="00B55764">
        <w:rPr>
          <w:rFonts w:ascii="Arial Narrow" w:eastAsiaTheme="minorEastAsia" w:hAnsi="Arial Narrow"/>
          <w:sz w:val="16"/>
          <w:szCs w:val="16"/>
        </w:rPr>
        <w:t xml:space="preserve">ADAR </w:t>
      </w:r>
      <w:r w:rsidRPr="00B55764">
        <w:rPr>
          <w:rFonts w:ascii="Arial Narrow" w:eastAsiaTheme="minorEastAsia" w:hAnsi="Arial Narrow"/>
          <w:sz w:val="16"/>
          <w:szCs w:val="16"/>
        </w:rPr>
        <w:t>1720</w:t>
      </w:r>
      <w:r w:rsidR="00E54BEB" w:rsidRPr="00B55764">
        <w:rPr>
          <w:rFonts w:ascii="Arial Narrow" w:eastAsiaTheme="minorEastAsia" w:hAnsi="Arial Narrow"/>
          <w:sz w:val="16"/>
          <w:szCs w:val="16"/>
        </w:rPr>
        <w:t>, Table 1-4.</w:t>
      </w:r>
      <w:r w:rsidR="006C13C4" w:rsidRPr="00B55764">
        <w:rPr>
          <w:rFonts w:ascii="Arial Narrow" w:eastAsiaTheme="minorEastAsia" w:hAnsi="Arial Narrow"/>
          <w:sz w:val="16"/>
          <w:szCs w:val="16"/>
        </w:rPr>
        <w:t xml:space="preserve"> </w:t>
      </w:r>
    </w:p>
    <w:p w14:paraId="71C359DC" w14:textId="45FF4D7F" w:rsidR="00B55764" w:rsidRDefault="00B55764" w:rsidP="00FE377D">
      <w:pPr>
        <w:spacing w:before="240" w:after="240"/>
      </w:pPr>
      <w:r>
        <w:t>The Commentary noted the following issues that require consideration:</w:t>
      </w:r>
    </w:p>
    <w:p w14:paraId="3D7719CC" w14:textId="24192843" w:rsidR="00B55764" w:rsidRDefault="00B55764" w:rsidP="00E12DF5">
      <w:pPr>
        <w:pStyle w:val="ListParagraph"/>
        <w:numPr>
          <w:ilvl w:val="0"/>
          <w:numId w:val="12"/>
        </w:numPr>
        <w:ind w:left="284" w:hanging="284"/>
      </w:pPr>
      <w:r w:rsidRPr="00B55764">
        <w:rPr>
          <w:u w:val="single"/>
        </w:rPr>
        <w:t>Specification of the radiopharmaceutical</w:t>
      </w:r>
      <w:r>
        <w:t xml:space="preserve">: </w:t>
      </w:r>
      <w:r w:rsidRPr="00B55764">
        <w:t xml:space="preserve">unlike the current items for PSMA PET/CT on the MBS (items 61563, 61564) and that proposed in the MSAC 1686/1686.1 applications, the item descriptor specifies the radiopharmaceutical, </w:t>
      </w:r>
      <w:r w:rsidRPr="00B55764">
        <w:rPr>
          <w:vertAlign w:val="superscript"/>
        </w:rPr>
        <w:t>68</w:t>
      </w:r>
      <w:r w:rsidRPr="00B55764">
        <w:t>Ga.</w:t>
      </w:r>
      <w:r w:rsidR="002100D9">
        <w:t xml:space="preserve"> </w:t>
      </w:r>
      <w:r w:rsidR="002100D9" w:rsidRPr="002100D9">
        <w:t xml:space="preserve">The ADAR provides no evidence to support restricting use to </w:t>
      </w:r>
      <w:r w:rsidR="002100D9" w:rsidRPr="002100D9">
        <w:rPr>
          <w:vertAlign w:val="superscript"/>
        </w:rPr>
        <w:t>68</w:t>
      </w:r>
      <w:r w:rsidR="002100D9" w:rsidRPr="002100D9">
        <w:t>Ga (other than this was the radiopharmaceutical used in the two trials</w:t>
      </w:r>
      <w:r w:rsidR="002100D9">
        <w:t xml:space="preserve"> used as the evidence base for the ADAR</w:t>
      </w:r>
      <w:r w:rsidR="002100D9" w:rsidRPr="002100D9">
        <w:t xml:space="preserve"> [VISION and </w:t>
      </w:r>
      <w:proofErr w:type="spellStart"/>
      <w:r w:rsidR="002100D9" w:rsidRPr="002100D9">
        <w:t>TheraP</w:t>
      </w:r>
      <w:proofErr w:type="spellEnd"/>
      <w:r w:rsidR="002100D9" w:rsidRPr="002100D9">
        <w:t>]) or for the radiopharmaceutical to be agnostic (providing evidence that health outcomes would be considered non-inferior regardless of the radiopharmaceutical used).</w:t>
      </w:r>
    </w:p>
    <w:p w14:paraId="604FE6A7" w14:textId="13177A3F" w:rsidR="002100D9" w:rsidRPr="002100D9" w:rsidRDefault="002100D9" w:rsidP="00E12DF5">
      <w:pPr>
        <w:pStyle w:val="ListParagraph"/>
        <w:numPr>
          <w:ilvl w:val="0"/>
          <w:numId w:val="12"/>
        </w:numPr>
        <w:ind w:left="284" w:hanging="284"/>
        <w:rPr>
          <w:u w:val="single"/>
        </w:rPr>
      </w:pPr>
      <w:r w:rsidRPr="002100D9">
        <w:rPr>
          <w:u w:val="single"/>
        </w:rPr>
        <w:t>Inclusion of CT</w:t>
      </w:r>
      <w:r w:rsidRPr="002100D9">
        <w:t>: The proposed item descriptor refers to both a PET</w:t>
      </w:r>
      <w:r>
        <w:t xml:space="preserve"> </w:t>
      </w:r>
      <w:r w:rsidRPr="002100D9">
        <w:t xml:space="preserve">and CT study. This </w:t>
      </w:r>
      <w:proofErr w:type="gramStart"/>
      <w:r w:rsidRPr="002100D9">
        <w:t>is in contrast to</w:t>
      </w:r>
      <w:proofErr w:type="gramEnd"/>
      <w:r w:rsidRPr="002100D9">
        <w:t xml:space="preserve"> the current MBS items (61563 and 61564) and the proposed item descriptor in MSAC 1686/1686.1 (MSAC 1686.1 July 2023 PSD, Table 5, p9). These new items for PSMA PET [61563 and 61564] do not include reference to CT as CT attenuation item 61505 will generally be claimed with the items (MSAC 1686 July 2022 PSD, p34).</w:t>
      </w:r>
    </w:p>
    <w:p w14:paraId="1959145A" w14:textId="7CF3F0E3" w:rsidR="002100D9" w:rsidRDefault="002100D9" w:rsidP="00E12DF5">
      <w:pPr>
        <w:pStyle w:val="ListParagraph"/>
        <w:numPr>
          <w:ilvl w:val="0"/>
          <w:numId w:val="12"/>
        </w:numPr>
        <w:ind w:left="284" w:hanging="284"/>
      </w:pPr>
      <w:r w:rsidRPr="002100D9">
        <w:rPr>
          <w:u w:val="single"/>
        </w:rPr>
        <w:t xml:space="preserve">Description of the </w:t>
      </w:r>
      <w:r>
        <w:rPr>
          <w:u w:val="single"/>
        </w:rPr>
        <w:t xml:space="preserve">eligible </w:t>
      </w:r>
      <w:r w:rsidRPr="002100D9">
        <w:rPr>
          <w:u w:val="single"/>
        </w:rPr>
        <w:t>population</w:t>
      </w:r>
      <w:r>
        <w:t>: The proposed item descriptor is not consistent with the description of patients specified in the PICO</w:t>
      </w:r>
      <w:r w:rsidR="00D73F34">
        <w:t xml:space="preserve"> criteria reported in the ADAR</w:t>
      </w:r>
      <w:r>
        <w:t>, or with the proposed item descriptor in MSAC 1686/1686.1 (MSAC 1686.1 July 2023 PSD, Table 5, p9</w:t>
      </w:r>
      <w:bookmarkStart w:id="15" w:name="_Hlk152250405"/>
      <w:r>
        <w:t xml:space="preserve">), which also better described the patients in the VISION and </w:t>
      </w:r>
      <w:proofErr w:type="spellStart"/>
      <w:r>
        <w:t>TheraP</w:t>
      </w:r>
      <w:proofErr w:type="spellEnd"/>
      <w:r>
        <w:t xml:space="preserve"> trials:</w:t>
      </w:r>
      <w:bookmarkEnd w:id="15"/>
    </w:p>
    <w:p w14:paraId="744A8D96" w14:textId="096E723A" w:rsidR="002100D9" w:rsidRDefault="002100D9" w:rsidP="002100D9">
      <w:pPr>
        <w:pStyle w:val="ListParagraph"/>
        <w:rPr>
          <w:sz w:val="20"/>
          <w:szCs w:val="20"/>
        </w:rPr>
      </w:pPr>
      <w:r w:rsidRPr="002100D9">
        <w:rPr>
          <w:sz w:val="20"/>
          <w:szCs w:val="20"/>
        </w:rPr>
        <w:t xml:space="preserve">Whole body prostate specific membrane antigen (PSMA) positron emission tomography (PET) study, performed for the assessment of suitability for Lutetium 177 PSMA therapy in a patient with metastatic castrate resistant prostate cancer after progressive disease has developed while on at least one </w:t>
      </w:r>
      <w:proofErr w:type="spellStart"/>
      <w:r w:rsidRPr="002100D9">
        <w:rPr>
          <w:sz w:val="20"/>
          <w:szCs w:val="20"/>
        </w:rPr>
        <w:t>taxane</w:t>
      </w:r>
      <w:proofErr w:type="spellEnd"/>
      <w:r w:rsidRPr="002100D9">
        <w:rPr>
          <w:sz w:val="20"/>
          <w:szCs w:val="20"/>
        </w:rPr>
        <w:t xml:space="preserve"> chemotherapy and at least one androgen receptor signalling inhibitor.</w:t>
      </w:r>
    </w:p>
    <w:p w14:paraId="0BDDD18E" w14:textId="77777777" w:rsidR="00AF32CB" w:rsidRDefault="00AF32CB" w:rsidP="00FE377D">
      <w:pPr>
        <w:spacing w:before="240"/>
        <w:ind w:left="284"/>
        <w:contextualSpacing/>
      </w:pPr>
      <w:r>
        <w:t xml:space="preserve">Based on the description of the population in the item descriptor, there is also a lack of clarity as to whether </w:t>
      </w:r>
      <w:r w:rsidRPr="00AF32CB">
        <w:t>those who are candidates for PSMA targeted therapy would also be eligible for PSMA PET/CT under population (b) of MBS item 61564</w:t>
      </w:r>
      <w:r>
        <w:t>:</w:t>
      </w:r>
    </w:p>
    <w:p w14:paraId="7D1A692E" w14:textId="77777777" w:rsidR="00AF32CB" w:rsidRPr="00AF32CB" w:rsidRDefault="00AF32CB" w:rsidP="00AF32CB">
      <w:pPr>
        <w:ind w:left="709"/>
        <w:rPr>
          <w:sz w:val="20"/>
          <w:szCs w:val="20"/>
        </w:rPr>
      </w:pPr>
      <w:r w:rsidRPr="00AF32CB">
        <w:rPr>
          <w:sz w:val="20"/>
          <w:szCs w:val="20"/>
        </w:rPr>
        <w:t xml:space="preserve">Whole body prostate-specific membrane antigen PET study performed for the restaging of recurrent prostate adenocarcinoma, for a patient who: (a) has undergone prior locoregional therapy; and </w:t>
      </w:r>
      <w:r w:rsidRPr="00AF32CB">
        <w:rPr>
          <w:sz w:val="20"/>
          <w:szCs w:val="20"/>
          <w:u w:val="single"/>
        </w:rPr>
        <w:t>(b) is considered suitable for further locoregional therapy to determine appropriate therapeutic pathways and timing of treatment initiation</w:t>
      </w:r>
      <w:r w:rsidRPr="00AF32CB">
        <w:rPr>
          <w:sz w:val="20"/>
          <w:szCs w:val="20"/>
        </w:rPr>
        <w:t>).</w:t>
      </w:r>
    </w:p>
    <w:p w14:paraId="5D8CE047" w14:textId="289D29AF" w:rsidR="00AF32CB" w:rsidRPr="00AF32CB" w:rsidRDefault="00AF32CB" w:rsidP="00FE377D">
      <w:pPr>
        <w:spacing w:before="240"/>
        <w:ind w:left="284"/>
      </w:pPr>
      <w:r>
        <w:t xml:space="preserve">It is also unclear </w:t>
      </w:r>
      <w:r w:rsidRPr="00AF32CB">
        <w:t xml:space="preserve">if patients </w:t>
      </w:r>
      <w:r w:rsidR="000D100B">
        <w:t xml:space="preserve">who </w:t>
      </w:r>
      <w:r w:rsidRPr="00AF32CB">
        <w:t>undergo PSMA PET/CT for staging purposes</w:t>
      </w:r>
      <w:r w:rsidR="000D100B">
        <w:t xml:space="preserve"> under MBS item 61564</w:t>
      </w:r>
      <w:r w:rsidRPr="00AF32CB">
        <w:t xml:space="preserve">, </w:t>
      </w:r>
      <w:r w:rsidR="000D100B">
        <w:t>would undergo</w:t>
      </w:r>
      <w:r w:rsidR="000D100B" w:rsidRPr="00AF32CB">
        <w:t xml:space="preserve"> </w:t>
      </w:r>
      <w:r w:rsidRPr="00AF32CB">
        <w:t xml:space="preserve">another PSMA PET/CT specifically for the purposes of ascertaining whether they are candidates for PSMA targeted therapy </w:t>
      </w:r>
      <w:r w:rsidR="000D100B">
        <w:t>(</w:t>
      </w:r>
      <w:r w:rsidR="00E736A3">
        <w:t xml:space="preserve">under </w:t>
      </w:r>
      <w:r w:rsidR="000D100B">
        <w:t>the proposed item)</w:t>
      </w:r>
      <w:r w:rsidRPr="00AF32CB">
        <w:t>.</w:t>
      </w:r>
      <w:r w:rsidR="00807DF3">
        <w:t xml:space="preserve"> </w:t>
      </w:r>
      <w:r w:rsidR="00807DF3" w:rsidRPr="00807DF3">
        <w:t xml:space="preserve">If a separate scan (for staging vs eligibility) is not required and a generic descriptor </w:t>
      </w:r>
      <w:r w:rsidR="00807DF3">
        <w:t xml:space="preserve">is deemed </w:t>
      </w:r>
      <w:r w:rsidR="00807DF3" w:rsidRPr="00807DF3">
        <w:t>appropriate (i.e.</w:t>
      </w:r>
      <w:r w:rsidR="00807DF3">
        <w:t>,</w:t>
      </w:r>
      <w:r w:rsidR="00807DF3" w:rsidRPr="00807DF3">
        <w:t xml:space="preserve"> not </w:t>
      </w:r>
      <w:r w:rsidR="00807DF3">
        <w:t>radiopharmaceutical</w:t>
      </w:r>
      <w:r w:rsidR="00807DF3" w:rsidRPr="00807DF3">
        <w:t xml:space="preserve"> specific), then an option to expand MBS item 61564 to include determining eligibility for PSMA targeted therapy rather than </w:t>
      </w:r>
      <w:r w:rsidR="00807DF3" w:rsidRPr="00807DF3">
        <w:lastRenderedPageBreak/>
        <w:t>creating a new item number</w:t>
      </w:r>
      <w:r w:rsidR="009D5086">
        <w:t xml:space="preserve"> may be a possibility.</w:t>
      </w:r>
      <w:r w:rsidR="001E0E31">
        <w:t xml:space="preserve"> However, should a new item be deemed necessary, </w:t>
      </w:r>
      <w:r w:rsidR="00E81161" w:rsidRPr="00E81161">
        <w:t xml:space="preserve">restrictions on use with regards to </w:t>
      </w:r>
      <w:r w:rsidR="00E81161">
        <w:t xml:space="preserve">MBS </w:t>
      </w:r>
      <w:r w:rsidR="00E81161" w:rsidRPr="00E81161">
        <w:t xml:space="preserve">item 61564 </w:t>
      </w:r>
      <w:r w:rsidR="00E81161">
        <w:t xml:space="preserve">will be </w:t>
      </w:r>
      <w:r w:rsidR="00E81161" w:rsidRPr="00E81161">
        <w:t>required</w:t>
      </w:r>
      <w:r w:rsidR="00E81161">
        <w:t>.</w:t>
      </w:r>
    </w:p>
    <w:p w14:paraId="0B0F5B13" w14:textId="2A792F36" w:rsidR="00D20D43" w:rsidRDefault="002100D9" w:rsidP="00E12DF5">
      <w:pPr>
        <w:pStyle w:val="ListParagraph"/>
        <w:numPr>
          <w:ilvl w:val="0"/>
          <w:numId w:val="12"/>
        </w:numPr>
        <w:ind w:left="284" w:hanging="284"/>
      </w:pPr>
      <w:r w:rsidRPr="002100D9">
        <w:rPr>
          <w:u w:val="single"/>
        </w:rPr>
        <w:t>Proposed</w:t>
      </w:r>
      <w:r>
        <w:rPr>
          <w:sz w:val="20"/>
          <w:szCs w:val="20"/>
          <w:u w:val="single"/>
        </w:rPr>
        <w:t xml:space="preserve"> </w:t>
      </w:r>
      <w:r w:rsidRPr="002100D9">
        <w:rPr>
          <w:u w:val="single"/>
        </w:rPr>
        <w:t>fee</w:t>
      </w:r>
      <w:r w:rsidRPr="002100D9">
        <w:t xml:space="preserve">: </w:t>
      </w:r>
      <w:r>
        <w:t>T</w:t>
      </w:r>
      <w:r w:rsidRPr="002100D9">
        <w:t xml:space="preserve">he requested fee </w:t>
      </w:r>
      <w:r>
        <w:t xml:space="preserve">of </w:t>
      </w:r>
      <w:r w:rsidRPr="002100D9">
        <w:t xml:space="preserve">$1945 is greater than the current items for PSMA PET/CT on the MBS (items 61563, 61564) and that proposed in the MSAC 1686/1686.1 applications (MSAC 1686.1 July 2023 PSD, Table 2, p9) of $1300 (or $1400 if CT is included). The rationale </w:t>
      </w:r>
      <w:r w:rsidR="003F729A">
        <w:t>provided in the ADAR for the fee is</w:t>
      </w:r>
      <w:r w:rsidRPr="002100D9">
        <w:t xml:space="preserve"> </w:t>
      </w:r>
      <w:r>
        <w:t xml:space="preserve">a </w:t>
      </w:r>
      <w:r w:rsidRPr="002100D9">
        <w:t>breakdown</w:t>
      </w:r>
      <w:r>
        <w:t xml:space="preserve"> of costs</w:t>
      </w:r>
      <w:r w:rsidRPr="002100D9">
        <w:t xml:space="preserve"> and the claim that use of </w:t>
      </w:r>
      <w:r w:rsidRPr="002100D9">
        <w:rPr>
          <w:vertAlign w:val="superscript"/>
        </w:rPr>
        <w:t>68</w:t>
      </w:r>
      <w:r w:rsidRPr="002100D9">
        <w:t>Ga</w:t>
      </w:r>
      <w:r w:rsidR="003F729A">
        <w:t>,</w:t>
      </w:r>
      <w:r w:rsidRPr="002100D9">
        <w:t xml:space="preserve"> specifically, contributes to the proposed fee. </w:t>
      </w:r>
    </w:p>
    <w:p w14:paraId="33DFF8D9" w14:textId="3054F9EA" w:rsidR="00807DF3" w:rsidRDefault="00807DF3" w:rsidP="00D20D43">
      <w:pPr>
        <w:ind w:left="284"/>
      </w:pPr>
      <w:r>
        <w:t>T</w:t>
      </w:r>
      <w:r w:rsidR="00D20D43">
        <w:t>he breakdown of costs for the test</w:t>
      </w:r>
      <w:r>
        <w:t xml:space="preserve"> are presented in </w:t>
      </w:r>
      <w:r>
        <w:fldChar w:fldCharType="begin"/>
      </w:r>
      <w:r>
        <w:instrText xml:space="preserve"> REF _Ref155767014 \h </w:instrText>
      </w:r>
      <w:r>
        <w:fldChar w:fldCharType="separate"/>
      </w:r>
      <w:r w:rsidR="00EB3F24">
        <w:t xml:space="preserve">Table </w:t>
      </w:r>
      <w:r w:rsidR="00EB3F24">
        <w:rPr>
          <w:noProof/>
        </w:rPr>
        <w:t>2</w:t>
      </w:r>
      <w:r>
        <w:fldChar w:fldCharType="end"/>
      </w:r>
      <w:r>
        <w:t>.</w:t>
      </w:r>
    </w:p>
    <w:p w14:paraId="64402378" w14:textId="13FA27DF" w:rsidR="00807DF3" w:rsidRDefault="00807DF3" w:rsidP="000C3644">
      <w:pPr>
        <w:pStyle w:val="Caption"/>
        <w:ind w:left="284"/>
      </w:pPr>
      <w:bookmarkStart w:id="16" w:name="_Ref155767014"/>
      <w:r>
        <w:t xml:space="preserve">Table </w:t>
      </w:r>
      <w:r>
        <w:fldChar w:fldCharType="begin"/>
      </w:r>
      <w:r>
        <w:instrText>SEQ Table \* ARABIC</w:instrText>
      </w:r>
      <w:r>
        <w:fldChar w:fldCharType="separate"/>
      </w:r>
      <w:r w:rsidR="00EB3F24">
        <w:rPr>
          <w:noProof/>
        </w:rPr>
        <w:t>2</w:t>
      </w:r>
      <w:r>
        <w:fldChar w:fldCharType="end"/>
      </w:r>
      <w:bookmarkEnd w:id="16"/>
      <w:r>
        <w:tab/>
      </w:r>
      <w:r w:rsidRPr="00807DF3">
        <w:t xml:space="preserve">Cost per </w:t>
      </w:r>
      <w:r w:rsidRPr="00FB178D">
        <w:rPr>
          <w:vertAlign w:val="superscript"/>
        </w:rPr>
        <w:t>68</w:t>
      </w:r>
      <w:r w:rsidRPr="00807DF3">
        <w:t>Ga-PSMA-11 PET/CT imaging</w:t>
      </w:r>
    </w:p>
    <w:tbl>
      <w:tblPr>
        <w:tblStyle w:val="TableGrid"/>
        <w:tblW w:w="0" w:type="auto"/>
        <w:tblInd w:w="279" w:type="dxa"/>
        <w:tblLook w:val="04A0" w:firstRow="1" w:lastRow="0" w:firstColumn="1" w:lastColumn="0" w:noHBand="0" w:noVBand="1"/>
      </w:tblPr>
      <w:tblGrid>
        <w:gridCol w:w="4368"/>
        <w:gridCol w:w="4369"/>
      </w:tblGrid>
      <w:tr w:rsidR="00807DF3" w:rsidRPr="00FB178D" w14:paraId="5FD245A4" w14:textId="77777777" w:rsidTr="00FB178D">
        <w:tc>
          <w:tcPr>
            <w:tcW w:w="4368" w:type="dxa"/>
          </w:tcPr>
          <w:p w14:paraId="488B5750" w14:textId="5FC08F13" w:rsidR="00807DF3" w:rsidRPr="00FB178D" w:rsidRDefault="00807DF3" w:rsidP="000C3644">
            <w:pPr>
              <w:keepNext/>
              <w:spacing w:before="40" w:after="40"/>
              <w:rPr>
                <w:rFonts w:ascii="Arial Narrow" w:hAnsi="Arial Narrow"/>
                <w:b/>
                <w:bCs/>
                <w:sz w:val="20"/>
                <w:szCs w:val="20"/>
              </w:rPr>
            </w:pPr>
            <w:r w:rsidRPr="00FB178D">
              <w:rPr>
                <w:rFonts w:ascii="Arial Narrow" w:hAnsi="Arial Narrow"/>
                <w:b/>
                <w:bCs/>
                <w:sz w:val="20"/>
                <w:szCs w:val="20"/>
              </w:rPr>
              <w:t>Item</w:t>
            </w:r>
          </w:p>
        </w:tc>
        <w:tc>
          <w:tcPr>
            <w:tcW w:w="4369" w:type="dxa"/>
            <w:vAlign w:val="center"/>
          </w:tcPr>
          <w:p w14:paraId="24A16CA9" w14:textId="793DB805" w:rsidR="00807DF3" w:rsidRPr="00FB178D" w:rsidRDefault="00807DF3" w:rsidP="000C3644">
            <w:pPr>
              <w:keepNext/>
              <w:spacing w:before="40" w:after="40"/>
              <w:jc w:val="center"/>
              <w:rPr>
                <w:rFonts w:ascii="Arial Narrow" w:hAnsi="Arial Narrow"/>
                <w:b/>
                <w:bCs/>
                <w:sz w:val="20"/>
                <w:szCs w:val="20"/>
              </w:rPr>
            </w:pPr>
            <w:r w:rsidRPr="00FB178D">
              <w:rPr>
                <w:rFonts w:ascii="Arial Narrow" w:hAnsi="Arial Narrow"/>
                <w:b/>
                <w:bCs/>
                <w:sz w:val="20"/>
                <w:szCs w:val="20"/>
              </w:rPr>
              <w:t>Cost</w:t>
            </w:r>
          </w:p>
        </w:tc>
      </w:tr>
      <w:tr w:rsidR="00807DF3" w:rsidRPr="00FB178D" w14:paraId="055B5976" w14:textId="77777777" w:rsidTr="00FB178D">
        <w:tc>
          <w:tcPr>
            <w:tcW w:w="4368" w:type="dxa"/>
          </w:tcPr>
          <w:p w14:paraId="20C691E7" w14:textId="4FC99C24" w:rsidR="00807DF3" w:rsidRPr="00FB178D" w:rsidRDefault="00807DF3" w:rsidP="000C3644">
            <w:pPr>
              <w:keepNext/>
              <w:spacing w:before="40" w:after="40"/>
              <w:rPr>
                <w:rFonts w:ascii="Arial Narrow" w:hAnsi="Arial Narrow"/>
                <w:sz w:val="20"/>
                <w:szCs w:val="20"/>
              </w:rPr>
            </w:pPr>
            <w:r w:rsidRPr="00FB178D">
              <w:rPr>
                <w:rFonts w:ascii="Arial Narrow" w:hAnsi="Arial Narrow"/>
                <w:sz w:val="20"/>
                <w:szCs w:val="20"/>
              </w:rPr>
              <w:t>PSMA-11 Kit (ILLUCCIX®)</w:t>
            </w:r>
          </w:p>
        </w:tc>
        <w:tc>
          <w:tcPr>
            <w:tcW w:w="4369" w:type="dxa"/>
            <w:vAlign w:val="center"/>
          </w:tcPr>
          <w:p w14:paraId="7CD7FEEA" w14:textId="1D1EEE44" w:rsidR="00807DF3" w:rsidRPr="00FB178D" w:rsidRDefault="00807DF3" w:rsidP="000C3644">
            <w:pPr>
              <w:keepNext/>
              <w:spacing w:before="40" w:after="40"/>
              <w:jc w:val="center"/>
              <w:rPr>
                <w:rFonts w:ascii="Arial Narrow" w:hAnsi="Arial Narrow"/>
                <w:sz w:val="20"/>
                <w:szCs w:val="20"/>
              </w:rPr>
            </w:pPr>
            <w:r w:rsidRPr="00FB178D">
              <w:rPr>
                <w:rFonts w:ascii="Arial Narrow" w:hAnsi="Arial Narrow"/>
                <w:sz w:val="20"/>
                <w:szCs w:val="20"/>
              </w:rPr>
              <w:t>$</w:t>
            </w:r>
            <w:r w:rsidR="00014848" w:rsidRPr="00014848">
              <w:rPr>
                <w:rFonts w:ascii="Arial Narrow" w:hAnsi="Arial Narrow"/>
                <w:color w:val="000000"/>
                <w:sz w:val="20"/>
                <w:szCs w:val="20"/>
                <w:shd w:val="solid" w:color="000000" w:fill="000000"/>
                <w14:textFill>
                  <w14:solidFill>
                    <w14:srgbClr w14:val="000000">
                      <w14:alpha w14:val="100000"/>
                    </w14:srgbClr>
                  </w14:solidFill>
                </w14:textFill>
              </w:rPr>
              <w:t>|</w:t>
            </w:r>
          </w:p>
        </w:tc>
      </w:tr>
      <w:tr w:rsidR="00807DF3" w:rsidRPr="00FB178D" w14:paraId="07D1EFA2" w14:textId="77777777" w:rsidTr="00FB178D">
        <w:tc>
          <w:tcPr>
            <w:tcW w:w="4368" w:type="dxa"/>
          </w:tcPr>
          <w:p w14:paraId="1C83C07D" w14:textId="063A1988" w:rsidR="00807DF3" w:rsidRPr="00FB178D" w:rsidRDefault="00807DF3" w:rsidP="000C3644">
            <w:pPr>
              <w:keepNext/>
              <w:spacing w:before="40" w:after="40"/>
              <w:rPr>
                <w:rFonts w:ascii="Arial Narrow" w:hAnsi="Arial Narrow"/>
                <w:sz w:val="20"/>
                <w:szCs w:val="20"/>
              </w:rPr>
            </w:pPr>
            <w:r w:rsidRPr="00FB178D">
              <w:rPr>
                <w:rFonts w:ascii="Arial Narrow" w:hAnsi="Arial Narrow"/>
                <w:sz w:val="20"/>
                <w:szCs w:val="20"/>
              </w:rPr>
              <w:t>68Ga1</w:t>
            </w:r>
          </w:p>
        </w:tc>
        <w:tc>
          <w:tcPr>
            <w:tcW w:w="4369" w:type="dxa"/>
            <w:vAlign w:val="center"/>
          </w:tcPr>
          <w:p w14:paraId="057C2CDE" w14:textId="087B1919" w:rsidR="00807DF3" w:rsidRPr="00FB178D" w:rsidRDefault="00807DF3" w:rsidP="000C3644">
            <w:pPr>
              <w:keepNext/>
              <w:spacing w:before="40" w:after="40"/>
              <w:jc w:val="center"/>
              <w:rPr>
                <w:rFonts w:ascii="Arial Narrow" w:hAnsi="Arial Narrow"/>
                <w:sz w:val="20"/>
                <w:szCs w:val="20"/>
              </w:rPr>
            </w:pPr>
            <w:r w:rsidRPr="00FB178D">
              <w:rPr>
                <w:rFonts w:ascii="Arial Narrow" w:hAnsi="Arial Narrow"/>
                <w:sz w:val="20"/>
                <w:szCs w:val="20"/>
              </w:rPr>
              <w:t>$</w:t>
            </w:r>
            <w:r w:rsidR="00014848" w:rsidRPr="00014848">
              <w:rPr>
                <w:rFonts w:ascii="Arial Narrow" w:hAnsi="Arial Narrow"/>
                <w:color w:val="000000"/>
                <w:sz w:val="20"/>
                <w:szCs w:val="20"/>
                <w:shd w:val="solid" w:color="000000" w:fill="000000"/>
                <w14:textFill>
                  <w14:solidFill>
                    <w14:srgbClr w14:val="000000">
                      <w14:alpha w14:val="100000"/>
                    </w14:srgbClr>
                  </w14:solidFill>
                </w14:textFill>
              </w:rPr>
              <w:t>|</w:t>
            </w:r>
          </w:p>
        </w:tc>
      </w:tr>
      <w:tr w:rsidR="00807DF3" w:rsidRPr="00FB178D" w14:paraId="747D340E" w14:textId="77777777" w:rsidTr="00FB178D">
        <w:tc>
          <w:tcPr>
            <w:tcW w:w="4368" w:type="dxa"/>
          </w:tcPr>
          <w:p w14:paraId="1BE2C90F" w14:textId="4E5A537B" w:rsidR="00807DF3" w:rsidRPr="00FB178D" w:rsidRDefault="00807DF3" w:rsidP="000C3644">
            <w:pPr>
              <w:keepNext/>
              <w:spacing w:before="40" w:after="40"/>
              <w:rPr>
                <w:rFonts w:ascii="Arial Narrow" w:hAnsi="Arial Narrow"/>
                <w:sz w:val="20"/>
                <w:szCs w:val="20"/>
              </w:rPr>
            </w:pPr>
            <w:r w:rsidRPr="00FB178D">
              <w:rPr>
                <w:rFonts w:ascii="Arial Narrow" w:hAnsi="Arial Narrow"/>
                <w:sz w:val="20"/>
                <w:szCs w:val="20"/>
              </w:rPr>
              <w:t>PET-</w:t>
            </w:r>
            <w:proofErr w:type="gramStart"/>
            <w:r w:rsidRPr="00FB178D">
              <w:rPr>
                <w:rFonts w:ascii="Arial Narrow" w:hAnsi="Arial Narrow"/>
                <w:sz w:val="20"/>
                <w:szCs w:val="20"/>
              </w:rPr>
              <w:t>CT Scan</w:t>
            </w:r>
            <w:proofErr w:type="gramEnd"/>
          </w:p>
        </w:tc>
        <w:tc>
          <w:tcPr>
            <w:tcW w:w="4369" w:type="dxa"/>
            <w:vAlign w:val="center"/>
          </w:tcPr>
          <w:p w14:paraId="6648088F" w14:textId="7A416C39" w:rsidR="00807DF3" w:rsidRPr="00FB178D" w:rsidRDefault="00807DF3" w:rsidP="000C3644">
            <w:pPr>
              <w:keepNext/>
              <w:spacing w:before="40" w:after="40"/>
              <w:jc w:val="center"/>
              <w:rPr>
                <w:rFonts w:ascii="Arial Narrow" w:hAnsi="Arial Narrow"/>
                <w:sz w:val="20"/>
                <w:szCs w:val="20"/>
              </w:rPr>
            </w:pPr>
            <w:r w:rsidRPr="00FB178D">
              <w:rPr>
                <w:rFonts w:ascii="Arial Narrow" w:hAnsi="Arial Narrow"/>
                <w:sz w:val="20"/>
                <w:szCs w:val="20"/>
              </w:rPr>
              <w:t>$900</w:t>
            </w:r>
          </w:p>
        </w:tc>
      </w:tr>
      <w:tr w:rsidR="00807DF3" w:rsidRPr="00FB178D" w14:paraId="0173B5FB" w14:textId="77777777" w:rsidTr="00FB178D">
        <w:tc>
          <w:tcPr>
            <w:tcW w:w="4368" w:type="dxa"/>
          </w:tcPr>
          <w:p w14:paraId="024302B0" w14:textId="3AE1BF0B" w:rsidR="00807DF3" w:rsidRPr="00FB178D" w:rsidRDefault="00807DF3" w:rsidP="000C3644">
            <w:pPr>
              <w:keepNext/>
              <w:spacing w:before="40" w:after="40"/>
              <w:rPr>
                <w:rFonts w:ascii="Arial Narrow" w:hAnsi="Arial Narrow"/>
                <w:sz w:val="20"/>
                <w:szCs w:val="20"/>
              </w:rPr>
            </w:pPr>
            <w:r w:rsidRPr="00FB178D">
              <w:rPr>
                <w:rFonts w:ascii="Arial Narrow" w:hAnsi="Arial Narrow"/>
                <w:sz w:val="20"/>
                <w:szCs w:val="20"/>
              </w:rPr>
              <w:t>Other</w:t>
            </w:r>
          </w:p>
        </w:tc>
        <w:tc>
          <w:tcPr>
            <w:tcW w:w="4369" w:type="dxa"/>
            <w:vAlign w:val="center"/>
          </w:tcPr>
          <w:p w14:paraId="5FCAC851" w14:textId="016AD80D" w:rsidR="00807DF3" w:rsidRPr="00FB178D" w:rsidRDefault="00807DF3" w:rsidP="000C3644">
            <w:pPr>
              <w:keepNext/>
              <w:spacing w:before="40" w:after="40"/>
              <w:jc w:val="center"/>
              <w:rPr>
                <w:rFonts w:ascii="Arial Narrow" w:hAnsi="Arial Narrow"/>
                <w:sz w:val="20"/>
                <w:szCs w:val="20"/>
              </w:rPr>
            </w:pPr>
            <w:r w:rsidRPr="00FB178D">
              <w:rPr>
                <w:rFonts w:ascii="Arial Narrow" w:hAnsi="Arial Narrow"/>
                <w:sz w:val="20"/>
                <w:szCs w:val="20"/>
              </w:rPr>
              <w:t>n/a</w:t>
            </w:r>
          </w:p>
        </w:tc>
      </w:tr>
      <w:tr w:rsidR="00807DF3" w:rsidRPr="00FB178D" w14:paraId="3B837B0B" w14:textId="77777777" w:rsidTr="00FB178D">
        <w:tc>
          <w:tcPr>
            <w:tcW w:w="4368" w:type="dxa"/>
          </w:tcPr>
          <w:p w14:paraId="4F190D8A" w14:textId="7AEF1009" w:rsidR="00807DF3" w:rsidRPr="00FB178D" w:rsidRDefault="00807DF3" w:rsidP="000C3644">
            <w:pPr>
              <w:keepNext/>
              <w:spacing w:before="40" w:after="40"/>
              <w:rPr>
                <w:rFonts w:ascii="Arial Narrow" w:hAnsi="Arial Narrow"/>
                <w:sz w:val="20"/>
                <w:szCs w:val="20"/>
              </w:rPr>
            </w:pPr>
            <w:r w:rsidRPr="00FB178D">
              <w:rPr>
                <w:rFonts w:ascii="Arial Narrow" w:hAnsi="Arial Narrow"/>
                <w:sz w:val="20"/>
                <w:szCs w:val="20"/>
              </w:rPr>
              <w:t>MBS Item Total</w:t>
            </w:r>
          </w:p>
        </w:tc>
        <w:tc>
          <w:tcPr>
            <w:tcW w:w="4369" w:type="dxa"/>
            <w:vAlign w:val="center"/>
          </w:tcPr>
          <w:p w14:paraId="0F29392F" w14:textId="404714A5" w:rsidR="00807DF3" w:rsidRPr="00FB178D" w:rsidRDefault="00807DF3" w:rsidP="000C3644">
            <w:pPr>
              <w:keepNext/>
              <w:spacing w:before="40" w:after="40"/>
              <w:jc w:val="center"/>
              <w:rPr>
                <w:rFonts w:ascii="Arial Narrow" w:hAnsi="Arial Narrow"/>
                <w:sz w:val="20"/>
                <w:szCs w:val="20"/>
              </w:rPr>
            </w:pPr>
            <w:r w:rsidRPr="00FB178D">
              <w:rPr>
                <w:rFonts w:ascii="Arial Narrow" w:hAnsi="Arial Narrow"/>
                <w:sz w:val="20"/>
                <w:szCs w:val="20"/>
              </w:rPr>
              <w:t>$1,945</w:t>
            </w:r>
          </w:p>
        </w:tc>
      </w:tr>
    </w:tbl>
    <w:p w14:paraId="6C17896B" w14:textId="1FB02C86" w:rsidR="00807DF3" w:rsidRDefault="00807DF3" w:rsidP="000C3644">
      <w:pPr>
        <w:keepNext/>
        <w:ind w:left="284"/>
        <w:rPr>
          <w:rFonts w:ascii="Arial Narrow" w:hAnsi="Arial Narrow"/>
          <w:sz w:val="18"/>
          <w:szCs w:val="18"/>
        </w:rPr>
      </w:pPr>
      <w:r w:rsidRPr="00FB178D">
        <w:rPr>
          <w:rFonts w:ascii="Arial Narrow" w:hAnsi="Arial Narrow"/>
          <w:sz w:val="18"/>
          <w:szCs w:val="18"/>
        </w:rPr>
        <w:t>Source: Table 1-3, p38 of the ADAR</w:t>
      </w:r>
    </w:p>
    <w:p w14:paraId="0EBF3A2B" w14:textId="213BC3FB" w:rsidR="00616AC9" w:rsidRPr="00EF2E40" w:rsidRDefault="00616AC9" w:rsidP="000C3644">
      <w:pPr>
        <w:keepNext/>
        <w:ind w:left="284"/>
        <w:rPr>
          <w:rFonts w:ascii="Arial Narrow" w:hAnsi="Arial Narrow"/>
          <w:sz w:val="18"/>
          <w:szCs w:val="18"/>
          <w:vertAlign w:val="superscript"/>
        </w:rPr>
      </w:pPr>
      <w:r>
        <w:rPr>
          <w:rFonts w:ascii="Arial Narrow" w:hAnsi="Arial Narrow"/>
          <w:sz w:val="18"/>
          <w:szCs w:val="18"/>
          <w:vertAlign w:val="superscript"/>
        </w:rPr>
        <w:t xml:space="preserve">1 </w:t>
      </w:r>
      <w:r w:rsidRPr="008D154F">
        <w:rPr>
          <w:rFonts w:ascii="Arial Narrow" w:hAnsi="Arial Narrow"/>
          <w:sz w:val="18"/>
          <w:szCs w:val="18"/>
        </w:rPr>
        <w:t xml:space="preserve">A Good Manufacturing Practice (GMP) grade 68Ga generator costs approximately $110,000 and has a useful lifetime of approximately 9 months.  During this lifetime, a 68Ga generator can produce </w:t>
      </w:r>
      <w:proofErr w:type="gramStart"/>
      <w:r w:rsidRPr="008D154F">
        <w:rPr>
          <w:rFonts w:ascii="Arial Narrow" w:hAnsi="Arial Narrow"/>
          <w:sz w:val="18"/>
          <w:szCs w:val="18"/>
        </w:rPr>
        <w:t xml:space="preserve">approximately </w:t>
      </w:r>
      <w:r w:rsidR="00014848" w:rsidRPr="00C26822">
        <w:rPr>
          <w:rFonts w:ascii="Arial Narrow" w:hAnsi="Arial Narrow" w:hint="eastAsia"/>
          <w:color w:val="000000"/>
          <w:w w:val="15"/>
          <w:sz w:val="18"/>
          <w:szCs w:val="18"/>
          <w:shd w:val="solid" w:color="000000" w:fill="000000"/>
          <w:fitText w:val="20" w:id="-966505984"/>
          <w14:textFill>
            <w14:solidFill>
              <w14:srgbClr w14:val="000000">
                <w14:alpha w14:val="100000"/>
              </w14:srgbClr>
            </w14:solidFill>
          </w14:textFill>
        </w:rPr>
        <w:t xml:space="preserve">　</w:t>
      </w:r>
      <w:r w:rsidR="00014848" w:rsidRPr="00C26822">
        <w:rPr>
          <w:rFonts w:ascii="Arial Narrow" w:hAnsi="Arial Narrow"/>
          <w:color w:val="000000"/>
          <w:w w:val="15"/>
          <w:sz w:val="18"/>
          <w:szCs w:val="18"/>
          <w:shd w:val="solid" w:color="000000" w:fill="000000"/>
          <w:fitText w:val="20" w:id="-966505984"/>
          <w14:textFill>
            <w14:solidFill>
              <w14:srgbClr w14:val="000000">
                <w14:alpha w14:val="100000"/>
              </w14:srgbClr>
            </w14:solidFill>
          </w14:textFill>
        </w:rPr>
        <w:t>|</w:t>
      </w:r>
      <w:proofErr w:type="gramEnd"/>
      <w:r w:rsidR="00014848" w:rsidRPr="00C26822">
        <w:rPr>
          <w:rFonts w:ascii="Arial Narrow" w:hAnsi="Arial Narrow" w:hint="eastAsia"/>
          <w:color w:val="000000"/>
          <w:spacing w:val="-39"/>
          <w:w w:val="15"/>
          <w:sz w:val="18"/>
          <w:szCs w:val="18"/>
          <w:shd w:val="solid" w:color="000000" w:fill="000000"/>
          <w:fitText w:val="20" w:id="-966505984"/>
          <w14:textFill>
            <w14:solidFill>
              <w14:srgbClr w14:val="000000">
                <w14:alpha w14:val="100000"/>
              </w14:srgbClr>
            </w14:solidFill>
          </w14:textFill>
        </w:rPr>
        <w:t xml:space="preserve">　</w:t>
      </w:r>
      <w:r w:rsidRPr="008D154F">
        <w:rPr>
          <w:rFonts w:ascii="Arial Narrow" w:hAnsi="Arial Narrow"/>
          <w:sz w:val="18"/>
          <w:szCs w:val="18"/>
        </w:rPr>
        <w:t xml:space="preserve"> patient doses per 9 months (i.e., $</w:t>
      </w:r>
      <w:r w:rsidR="00014848" w:rsidRPr="00C26822">
        <w:rPr>
          <w:rFonts w:ascii="Arial Narrow" w:hAnsi="Arial Narrow" w:hint="eastAsia"/>
          <w:color w:val="000000"/>
          <w:w w:val="15"/>
          <w:sz w:val="18"/>
          <w:szCs w:val="18"/>
          <w:shd w:val="solid" w:color="000000" w:fill="000000"/>
          <w:fitText w:val="20" w:id="-966505983"/>
          <w14:textFill>
            <w14:solidFill>
              <w14:srgbClr w14:val="000000">
                <w14:alpha w14:val="100000"/>
              </w14:srgbClr>
            </w14:solidFill>
          </w14:textFill>
        </w:rPr>
        <w:t xml:space="preserve">　</w:t>
      </w:r>
      <w:r w:rsidR="00014848" w:rsidRPr="00C26822">
        <w:rPr>
          <w:rFonts w:ascii="Arial Narrow" w:hAnsi="Arial Narrow"/>
          <w:color w:val="000000"/>
          <w:w w:val="15"/>
          <w:sz w:val="18"/>
          <w:szCs w:val="18"/>
          <w:shd w:val="solid" w:color="000000" w:fill="000000"/>
          <w:fitText w:val="20" w:id="-966505983"/>
          <w14:textFill>
            <w14:solidFill>
              <w14:srgbClr w14:val="000000">
                <w14:alpha w14:val="100000"/>
              </w14:srgbClr>
            </w14:solidFill>
          </w14:textFill>
        </w:rPr>
        <w:t>|</w:t>
      </w:r>
      <w:r w:rsidR="00014848" w:rsidRPr="00C26822">
        <w:rPr>
          <w:rFonts w:ascii="Arial Narrow" w:hAnsi="Arial Narrow" w:hint="eastAsia"/>
          <w:color w:val="000000"/>
          <w:spacing w:val="-39"/>
          <w:w w:val="15"/>
          <w:sz w:val="18"/>
          <w:szCs w:val="18"/>
          <w:shd w:val="solid" w:color="000000" w:fill="000000"/>
          <w:fitText w:val="20" w:id="-966505983"/>
          <w14:textFill>
            <w14:solidFill>
              <w14:srgbClr w14:val="000000">
                <w14:alpha w14:val="100000"/>
              </w14:srgbClr>
            </w14:solidFill>
          </w14:textFill>
        </w:rPr>
        <w:t xml:space="preserve">　</w:t>
      </w:r>
      <w:r w:rsidRPr="008D154F">
        <w:rPr>
          <w:rFonts w:ascii="Arial Narrow" w:hAnsi="Arial Narrow"/>
          <w:sz w:val="18"/>
          <w:szCs w:val="18"/>
        </w:rPr>
        <w:t>/scan).</w:t>
      </w:r>
    </w:p>
    <w:p w14:paraId="5738556B" w14:textId="7F53DDF2" w:rsidR="00D20D43" w:rsidRDefault="00807DF3" w:rsidP="00FE377D">
      <w:pPr>
        <w:spacing w:before="240" w:after="240"/>
      </w:pPr>
      <w:r>
        <w:t>T</w:t>
      </w:r>
      <w:r w:rsidR="00D20D43">
        <w:t>he ADAR suggests a fee of $</w:t>
      </w:r>
      <w:r w:rsidR="00014848" w:rsidRPr="00B9269D">
        <w:rPr>
          <w:color w:val="000000"/>
          <w:spacing w:val="30"/>
          <w:shd w:val="solid" w:color="000000" w:fill="000000"/>
          <w:fitText w:val="440" w:id="-966505982"/>
          <w14:textFill>
            <w14:solidFill>
              <w14:srgbClr w14:val="000000">
                <w14:alpha w14:val="100000"/>
              </w14:srgbClr>
            </w14:solidFill>
          </w14:textFill>
        </w:rPr>
        <w:t>|||||</w:t>
      </w:r>
      <w:r w:rsidR="00014848" w:rsidRPr="00B9269D">
        <w:rPr>
          <w:color w:val="000000"/>
          <w:spacing w:val="2"/>
          <w:shd w:val="solid" w:color="000000" w:fill="000000"/>
          <w:fitText w:val="440" w:id="-966505982"/>
          <w14:textFill>
            <w14:solidFill>
              <w14:srgbClr w14:val="000000">
                <w14:alpha w14:val="100000"/>
              </w14:srgbClr>
            </w14:solidFill>
          </w14:textFill>
        </w:rPr>
        <w:t>|</w:t>
      </w:r>
      <w:r w:rsidR="00D20D43">
        <w:t xml:space="preserve"> per dose for the ILLUCCIX</w:t>
      </w:r>
      <w:r w:rsidR="00D20D43" w:rsidRPr="00D20D43">
        <w:rPr>
          <w:vertAlign w:val="superscript"/>
        </w:rPr>
        <w:t>®</w:t>
      </w:r>
      <w:r w:rsidR="00D20D43">
        <w:t xml:space="preserve"> kit (the Commentary notes that the proposed item descriptor, however, does not specify use of the ILLUCCIX</w:t>
      </w:r>
      <w:r w:rsidR="00D20D43" w:rsidRPr="00D20D43">
        <w:rPr>
          <w:vertAlign w:val="superscript"/>
        </w:rPr>
        <w:t>®</w:t>
      </w:r>
      <w:r w:rsidR="00D20D43">
        <w:t xml:space="preserve"> kit). The ADAR also states that one kit makes up to three individual patient doses</w:t>
      </w:r>
      <w:r w:rsidR="003F729A">
        <w:t>;</w:t>
      </w:r>
      <w:r w:rsidR="00D20D43">
        <w:t xml:space="preserve"> </w:t>
      </w:r>
      <w:r w:rsidR="00841347">
        <w:t>the pre-MSAC response clarified that</w:t>
      </w:r>
      <w:r w:rsidR="00EF67AC">
        <w:t xml:space="preserve"> </w:t>
      </w:r>
      <w:r w:rsidR="00D20D43">
        <w:t xml:space="preserve">the </w:t>
      </w:r>
      <w:r w:rsidR="00D20D43" w:rsidRPr="00D20D43">
        <w:t>nominated $</w:t>
      </w:r>
      <w:r w:rsidR="00014848" w:rsidRPr="00B9269D">
        <w:rPr>
          <w:color w:val="000000"/>
          <w:spacing w:val="30"/>
          <w:shd w:val="solid" w:color="000000" w:fill="000000"/>
          <w:fitText w:val="440" w:id="-966505981"/>
          <w14:textFill>
            <w14:solidFill>
              <w14:srgbClr w14:val="000000">
                <w14:alpha w14:val="100000"/>
              </w14:srgbClr>
            </w14:solidFill>
          </w14:textFill>
        </w:rPr>
        <w:t>|||||</w:t>
      </w:r>
      <w:r w:rsidR="00014848" w:rsidRPr="00B9269D">
        <w:rPr>
          <w:color w:val="000000"/>
          <w:spacing w:val="2"/>
          <w:shd w:val="solid" w:color="000000" w:fill="000000"/>
          <w:fitText w:val="440" w:id="-966505981"/>
          <w14:textFill>
            <w14:solidFill>
              <w14:srgbClr w14:val="000000">
                <w14:alpha w14:val="100000"/>
              </w14:srgbClr>
            </w14:solidFill>
          </w14:textFill>
        </w:rPr>
        <w:t>|</w:t>
      </w:r>
      <w:r w:rsidR="00D20D43" w:rsidRPr="00D20D43">
        <w:t xml:space="preserve"> fee represents the cost for the entire kit (making three doses) </w:t>
      </w:r>
      <w:r w:rsidR="00F50CC9">
        <w:t xml:space="preserve">therefore equating to a cost </w:t>
      </w:r>
      <w:r w:rsidR="00195A94">
        <w:t xml:space="preserve">of </w:t>
      </w:r>
      <w:r w:rsidR="00D20D43" w:rsidRPr="00D20D43">
        <w:t>$</w:t>
      </w:r>
      <w:r w:rsidR="00014848" w:rsidRPr="00B9269D">
        <w:rPr>
          <w:color w:val="000000"/>
          <w:spacing w:val="30"/>
          <w:shd w:val="solid" w:color="000000" w:fill="000000"/>
          <w:fitText w:val="440" w:id="-966505980"/>
          <w14:textFill>
            <w14:solidFill>
              <w14:srgbClr w14:val="000000">
                <w14:alpha w14:val="100000"/>
              </w14:srgbClr>
            </w14:solidFill>
          </w14:textFill>
        </w:rPr>
        <w:t>|||||</w:t>
      </w:r>
      <w:r w:rsidR="00014848" w:rsidRPr="00B9269D">
        <w:rPr>
          <w:color w:val="000000"/>
          <w:spacing w:val="2"/>
          <w:shd w:val="solid" w:color="000000" w:fill="000000"/>
          <w:fitText w:val="440" w:id="-966505980"/>
          <w14:textFill>
            <w14:solidFill>
              <w14:srgbClr w14:val="000000">
                <w14:alpha w14:val="100000"/>
              </w14:srgbClr>
            </w14:solidFill>
          </w14:textFill>
        </w:rPr>
        <w:t>|</w:t>
      </w:r>
      <w:r w:rsidR="00D20D43" w:rsidRPr="00D20D43">
        <w:t xml:space="preserve"> ($</w:t>
      </w:r>
      <w:r w:rsidR="00014848" w:rsidRPr="00B9269D">
        <w:rPr>
          <w:color w:val="000000"/>
          <w:spacing w:val="30"/>
          <w:shd w:val="solid" w:color="000000" w:fill="000000"/>
          <w:fitText w:val="440" w:id="-966505979"/>
          <w14:textFill>
            <w14:solidFill>
              <w14:srgbClr w14:val="000000">
                <w14:alpha w14:val="100000"/>
              </w14:srgbClr>
            </w14:solidFill>
          </w14:textFill>
        </w:rPr>
        <w:t>|||||</w:t>
      </w:r>
      <w:r w:rsidR="00014848" w:rsidRPr="00B9269D">
        <w:rPr>
          <w:color w:val="000000"/>
          <w:spacing w:val="2"/>
          <w:shd w:val="solid" w:color="000000" w:fill="000000"/>
          <w:fitText w:val="440" w:id="-966505979"/>
          <w14:textFill>
            <w14:solidFill>
              <w14:srgbClr w14:val="000000">
                <w14:alpha w14:val="100000"/>
              </w14:srgbClr>
            </w14:solidFill>
          </w14:textFill>
        </w:rPr>
        <w:t>|</w:t>
      </w:r>
      <w:r w:rsidR="00D20D43" w:rsidRPr="00D20D43">
        <w:t>/3)</w:t>
      </w:r>
      <w:r w:rsidR="00D20D43">
        <w:t xml:space="preserve"> per dose</w:t>
      </w:r>
      <w:r w:rsidR="00EF2E40">
        <w:t>.</w:t>
      </w:r>
    </w:p>
    <w:p w14:paraId="5BC7A686" w14:textId="2C02DAB1" w:rsidR="002100D9" w:rsidRPr="002100D9" w:rsidRDefault="00D20D43" w:rsidP="00FE377D">
      <w:pPr>
        <w:spacing w:after="240"/>
      </w:pPr>
      <w:r>
        <w:t xml:space="preserve">With respect to claims regarding the use of </w:t>
      </w:r>
      <w:r>
        <w:rPr>
          <w:vertAlign w:val="superscript"/>
        </w:rPr>
        <w:t>68</w:t>
      </w:r>
      <w:r>
        <w:t xml:space="preserve">Ga specifically, </w:t>
      </w:r>
      <w:r w:rsidR="002100D9" w:rsidRPr="002100D9">
        <w:t xml:space="preserve">the MSAC 1686 July 2022 PSD (p8) </w:t>
      </w:r>
      <w:r>
        <w:t xml:space="preserve">states that </w:t>
      </w:r>
      <w:r w:rsidR="002100D9" w:rsidRPr="002100D9">
        <w:t>“</w:t>
      </w:r>
      <w:r w:rsidR="002100D9" w:rsidRPr="002100D9">
        <w:rPr>
          <w:vertAlign w:val="superscript"/>
        </w:rPr>
        <w:t>68</w:t>
      </w:r>
      <w:r w:rsidR="002100D9" w:rsidRPr="002100D9">
        <w:t xml:space="preserve">Ga or </w:t>
      </w:r>
      <w:r w:rsidR="002100D9" w:rsidRPr="002100D9">
        <w:rPr>
          <w:vertAlign w:val="superscript"/>
        </w:rPr>
        <w:t>18</w:t>
      </w:r>
      <w:r w:rsidR="002100D9" w:rsidRPr="002100D9">
        <w:t xml:space="preserve">F labelled tracers are often used in Australia” already and in fact, the most widely used radiopharmaceutical tracer in PSMA PET/CT imaging for informing treatments of patients with prostate cancer is </w:t>
      </w:r>
      <w:r w:rsidR="002100D9" w:rsidRPr="002100D9">
        <w:rPr>
          <w:vertAlign w:val="superscript"/>
        </w:rPr>
        <w:t>68</w:t>
      </w:r>
      <w:r w:rsidR="002100D9" w:rsidRPr="002100D9">
        <w:t xml:space="preserve">Ga-PSMA-11 (MSAC 1632 July 2021 PSD, p5). </w:t>
      </w:r>
      <w:r w:rsidR="001E0E31" w:rsidRPr="001E0E31">
        <w:t xml:space="preserve">Given </w:t>
      </w:r>
      <w:r w:rsidR="001E0E31" w:rsidRPr="00FB178D">
        <w:rPr>
          <w:vertAlign w:val="superscript"/>
        </w:rPr>
        <w:t>68</w:t>
      </w:r>
      <w:r w:rsidR="001E0E31" w:rsidRPr="001E0E31">
        <w:t xml:space="preserve">Ga is the </w:t>
      </w:r>
      <w:proofErr w:type="gramStart"/>
      <w:r w:rsidR="001E0E31" w:rsidRPr="001E0E31">
        <w:t>most commonly used</w:t>
      </w:r>
      <w:proofErr w:type="gramEnd"/>
      <w:r w:rsidR="001E0E31" w:rsidRPr="001E0E31">
        <w:t xml:space="preserve"> radiotracer and the ILLUCCIX® kit could be used for MBS items 61563/61564 with a fee of $1300</w:t>
      </w:r>
      <w:r w:rsidR="001E0E31">
        <w:t>,</w:t>
      </w:r>
      <w:r w:rsidR="00FD2E23">
        <w:t xml:space="preserve"> the Commentary considered</w:t>
      </w:r>
      <w:r w:rsidR="001E0E31">
        <w:t xml:space="preserve"> further justification for the proposed fee is required.</w:t>
      </w:r>
      <w:r w:rsidR="00FD2E23">
        <w:t xml:space="preserve"> The pre-ESC response argued that </w:t>
      </w:r>
      <w:r w:rsidR="00FD2E23" w:rsidRPr="00FD2E23">
        <w:t>the MBS item 61563/61564 fee underestimates the true cost of administering whole body 68Ga prostate-specific membrane antigen (68Ga-PSMA) positron emission tomography (PET).</w:t>
      </w:r>
    </w:p>
    <w:p w14:paraId="154C53E6" w14:textId="261200C2" w:rsidR="002100D9" w:rsidRPr="002100D9" w:rsidRDefault="00BD2846" w:rsidP="00FE377D">
      <w:pPr>
        <w:spacing w:after="240"/>
      </w:pPr>
      <w:r>
        <w:t>The Commentary noted that s</w:t>
      </w:r>
      <w:r w:rsidR="002100D9" w:rsidRPr="002100D9">
        <w:t xml:space="preserve">hould CT be removed from the item descriptor, the fee should reduce by $100 (the fee associated with MBS item 61505, see above). </w:t>
      </w:r>
      <w:r w:rsidR="003F729A">
        <w:t>Alternatively, if CT has been erroneously included in the item descriptor, the total fee for the service would be $2045 (which is the fee applied in the economic evaluation).</w:t>
      </w:r>
    </w:p>
    <w:p w14:paraId="2C3B63A4" w14:textId="233D29BA" w:rsidR="002100D9" w:rsidRPr="002100D9" w:rsidRDefault="002100D9" w:rsidP="001D73E8">
      <w:r w:rsidRPr="002100D9">
        <w:t xml:space="preserve">Regardless, the greatest permissible gap </w:t>
      </w:r>
      <w:r w:rsidR="000A77A5">
        <w:t xml:space="preserve">(GPG) </w:t>
      </w:r>
      <w:r w:rsidRPr="002100D9">
        <w:t>will apply. From 1 November 2023, the GPG is set at $98.70, which means that all out-of-hospital Medicare services which have an MBS fee of $658.35 or more will attract a benefit that is greater than 85% of the MBS fee.</w:t>
      </w:r>
    </w:p>
    <w:p w14:paraId="1F9CE5D7" w14:textId="0F901816" w:rsidR="002100D9" w:rsidRDefault="00D20D43" w:rsidP="00FE377D">
      <w:pPr>
        <w:spacing w:after="240"/>
      </w:pPr>
      <w:r>
        <w:t>The Commentary also noted that a</w:t>
      </w:r>
      <w:r w:rsidR="002100D9" w:rsidRPr="002100D9">
        <w:t>s the proposed test is aimed at assessing eligibility for PSMA targeted therapies, of which none are currently funded on the MBS</w:t>
      </w:r>
      <w:r w:rsidR="00A37B77">
        <w:t xml:space="preserve"> (or PBS)</w:t>
      </w:r>
      <w:r w:rsidR="002100D9" w:rsidRPr="002100D9">
        <w:t>, the</w:t>
      </w:r>
      <w:r w:rsidR="000A77A5">
        <w:t>re is no</w:t>
      </w:r>
      <w:r w:rsidR="002100D9" w:rsidRPr="002100D9">
        <w:t xml:space="preserve"> clinical need for this test at this time</w:t>
      </w:r>
      <w:r w:rsidR="00ED1F4E">
        <w:t xml:space="preserve"> (though use of luteium-177 PSMA imaging &amp; therapy (</w:t>
      </w:r>
      <w:r w:rsidR="00ED1F4E">
        <w:rPr>
          <w:vertAlign w:val="superscript"/>
        </w:rPr>
        <w:t>177</w:t>
      </w:r>
      <w:r w:rsidR="00ED1F4E">
        <w:t>Lu PSMA </w:t>
      </w:r>
      <w:proofErr w:type="spellStart"/>
      <w:r w:rsidR="00ED1F4E">
        <w:t>i&amp;t</w:t>
      </w:r>
      <w:proofErr w:type="spellEnd"/>
      <w:r w:rsidR="00ED1F4E">
        <w:t>) is delivered in some hospitals and is understood to be paid for by patients)</w:t>
      </w:r>
      <w:r w:rsidR="002100D9" w:rsidRPr="002100D9">
        <w:t>.</w:t>
      </w:r>
      <w:r w:rsidR="00394B15">
        <w:t xml:space="preserve"> There is also uncertainty about the cost of PSMA targeted therapies given none are </w:t>
      </w:r>
      <w:r w:rsidR="00394B15">
        <w:lastRenderedPageBreak/>
        <w:t>currently listed; this is tested in sensitivity analyses.</w:t>
      </w:r>
      <w:r w:rsidR="00066425">
        <w:t xml:space="preserve"> </w:t>
      </w:r>
      <w:proofErr w:type="gramStart"/>
      <w:r w:rsidR="00066425">
        <w:t>However</w:t>
      </w:r>
      <w:proofErr w:type="gramEnd"/>
      <w:r w:rsidR="00066425">
        <w:t xml:space="preserve"> the pre-ESC response submitted as further evidence for the clinical need of this test that </w:t>
      </w:r>
      <w:r w:rsidR="00066425" w:rsidRPr="00066425">
        <w:t>analysis of Special Access Scheme data provided by the TGA show</w:t>
      </w:r>
      <w:r w:rsidR="00066425">
        <w:t>ed</w:t>
      </w:r>
      <w:r w:rsidR="00066425" w:rsidRPr="00066425">
        <w:t xml:space="preserve"> that </w:t>
      </w:r>
      <w:r w:rsidR="00066425" w:rsidRPr="00F25C0E">
        <w:rPr>
          <w:vertAlign w:val="superscript"/>
        </w:rPr>
        <w:t>177</w:t>
      </w:r>
      <w:r w:rsidR="00066425" w:rsidRPr="00066425">
        <w:t xml:space="preserve">Lu PSMA </w:t>
      </w:r>
      <w:r w:rsidR="008F54D0">
        <w:t>617</w:t>
      </w:r>
      <w:r w:rsidR="00066425" w:rsidRPr="00066425">
        <w:t xml:space="preserve"> was requested for use 455 times in 2021, 420 times in 2022 and 212 time</w:t>
      </w:r>
      <w:r w:rsidR="00066425">
        <w:t>s</w:t>
      </w:r>
      <w:r w:rsidR="00066425" w:rsidRPr="00066425">
        <w:t xml:space="preserve"> until 30 June 2023</w:t>
      </w:r>
      <w:r w:rsidR="00066425">
        <w:t xml:space="preserve">. </w:t>
      </w:r>
    </w:p>
    <w:p w14:paraId="50FAF04A" w14:textId="34929F6D" w:rsidR="00A2293C" w:rsidRDefault="00DC4EA6" w:rsidP="002100D9">
      <w:r>
        <w:t xml:space="preserve">The pre-ESC response provided an updated item descriptor </w:t>
      </w:r>
      <w:r w:rsidR="00CA2A67">
        <w:t xml:space="preserve">in response to the Commentary’s comments regarding specification of CT and </w:t>
      </w:r>
      <w:r w:rsidR="00BB03C9">
        <w:t>the proposed target population</w:t>
      </w:r>
      <w:r w:rsidR="00A2293C">
        <w:t xml:space="preserve"> (Table 3)</w:t>
      </w:r>
      <w:r w:rsidR="00BB03C9">
        <w:t>.</w:t>
      </w:r>
    </w:p>
    <w:p w14:paraId="58F8A0BE" w14:textId="6CDD0488" w:rsidR="00A2293C" w:rsidRPr="00CE64B3" w:rsidRDefault="00A2293C" w:rsidP="00F25C0E">
      <w:pPr>
        <w:pStyle w:val="Caption"/>
        <w:rPr>
          <w:rFonts w:cstheme="minorHAnsi"/>
        </w:rPr>
      </w:pPr>
      <w:r>
        <w:t>Table 3</w:t>
      </w:r>
      <w:r>
        <w:rPr>
          <w:rFonts w:cstheme="minorHAnsi"/>
        </w:rPr>
        <w:tab/>
      </w:r>
      <w:r w:rsidRPr="00B55764">
        <w:rPr>
          <w:rFonts w:cstheme="minorHAnsi"/>
        </w:rPr>
        <w:t>Pr</w:t>
      </w:r>
      <w:r>
        <w:rPr>
          <w:rFonts w:cstheme="minorHAnsi"/>
        </w:rPr>
        <w:t>e-ESC responses amended</w:t>
      </w:r>
      <w:r w:rsidRPr="00B55764">
        <w:rPr>
          <w:rFonts w:cstheme="minorHAnsi"/>
        </w:rPr>
        <w:t xml:space="preserve"> MBS </w:t>
      </w:r>
      <w:r>
        <w:rPr>
          <w:rFonts w:cstheme="minorHAnsi"/>
        </w:rPr>
        <w:t>i</w:t>
      </w:r>
      <w:r w:rsidRPr="00B55764">
        <w:rPr>
          <w:rFonts w:cstheme="minorHAnsi"/>
        </w:rPr>
        <w:t xml:space="preserve">tem </w:t>
      </w:r>
      <w:r>
        <w:rPr>
          <w:rFonts w:cstheme="minorHAnsi"/>
        </w:rPr>
        <w:t>d</w:t>
      </w:r>
      <w:r w:rsidRPr="00B55764">
        <w:rPr>
          <w:rFonts w:cstheme="minorHAnsi"/>
        </w:rPr>
        <w:t xml:space="preserve">escriptor for </w:t>
      </w:r>
      <w:r w:rsidRPr="00D73F34">
        <w:rPr>
          <w:rFonts w:cstheme="minorHAnsi"/>
          <w:vertAlign w:val="superscript"/>
        </w:rPr>
        <w:t>68</w:t>
      </w:r>
      <w:r w:rsidRPr="00D73F34">
        <w:rPr>
          <w:rFonts w:cstheme="minorHAnsi"/>
        </w:rPr>
        <w:t>Ga-PSMA PET/CT imaging</w:t>
      </w:r>
    </w:p>
    <w:tbl>
      <w:tblPr>
        <w:tblStyle w:val="TableGrid"/>
        <w:tblW w:w="9190" w:type="dxa"/>
        <w:tblInd w:w="-5" w:type="dxa"/>
        <w:tblLayout w:type="fixed"/>
        <w:tblLook w:val="0020" w:firstRow="1" w:lastRow="0" w:firstColumn="0" w:lastColumn="0" w:noHBand="0" w:noVBand="0"/>
      </w:tblPr>
      <w:tblGrid>
        <w:gridCol w:w="9190"/>
      </w:tblGrid>
      <w:tr w:rsidR="001718FE" w:rsidRPr="00B55764" w14:paraId="7D5510E7" w14:textId="77777777">
        <w:trPr>
          <w:trHeight w:val="496"/>
        </w:trPr>
        <w:tc>
          <w:tcPr>
            <w:tcW w:w="9190" w:type="dxa"/>
            <w:shd w:val="clear" w:color="auto" w:fill="auto"/>
          </w:tcPr>
          <w:p w14:paraId="72F4AC8B" w14:textId="77777777" w:rsidR="001718FE" w:rsidRPr="00B55764" w:rsidRDefault="001718FE">
            <w:pPr>
              <w:pStyle w:val="TableText"/>
              <w:keepNext/>
              <w:spacing w:line="360" w:lineRule="auto"/>
            </w:pPr>
            <w:r w:rsidRPr="00B55764">
              <w:t>Category 5 – DIAGNOSTIC IMAGING SERVICES</w:t>
            </w:r>
          </w:p>
          <w:p w14:paraId="2F8C4550" w14:textId="77777777" w:rsidR="001718FE" w:rsidRPr="00B55764" w:rsidRDefault="001718FE">
            <w:pPr>
              <w:pStyle w:val="TableText"/>
              <w:keepNext/>
              <w:spacing w:line="360" w:lineRule="auto"/>
            </w:pPr>
            <w:r w:rsidRPr="00B55764">
              <w:t>Group I4 – Nuclear Medicine Imaging</w:t>
            </w:r>
          </w:p>
          <w:p w14:paraId="334BC86F" w14:textId="77777777" w:rsidR="001718FE" w:rsidRPr="00B55764" w:rsidRDefault="001718FE">
            <w:pPr>
              <w:pStyle w:val="TableText"/>
              <w:keepNext/>
              <w:spacing w:line="360" w:lineRule="auto"/>
            </w:pPr>
            <w:r w:rsidRPr="00B55764">
              <w:t>Subgroup 2 – PET</w:t>
            </w:r>
          </w:p>
        </w:tc>
      </w:tr>
      <w:tr w:rsidR="001718FE" w:rsidRPr="00B55764" w14:paraId="7EEC6D22" w14:textId="77777777">
        <w:trPr>
          <w:trHeight w:val="1262"/>
        </w:trPr>
        <w:tc>
          <w:tcPr>
            <w:tcW w:w="9190" w:type="dxa"/>
          </w:tcPr>
          <w:p w14:paraId="4376722B" w14:textId="77777777" w:rsidR="001718FE" w:rsidRPr="00B55764" w:rsidRDefault="001718FE">
            <w:pPr>
              <w:pStyle w:val="TableText"/>
              <w:keepNext/>
              <w:spacing w:before="0" w:after="0" w:line="276" w:lineRule="auto"/>
              <w:rPr>
                <w:rFonts w:cstheme="minorHAnsi"/>
              </w:rPr>
            </w:pPr>
            <w:r w:rsidRPr="00B55764">
              <w:rPr>
                <w:rFonts w:cstheme="minorHAnsi"/>
              </w:rPr>
              <w:t>MBS XXX</w:t>
            </w:r>
          </w:p>
          <w:p w14:paraId="3206A607" w14:textId="07F64687" w:rsidR="001718FE" w:rsidRPr="00820F0C" w:rsidRDefault="00CA2A67" w:rsidP="00820F0C">
            <w:pPr>
              <w:pStyle w:val="TableText"/>
              <w:keepNext/>
              <w:spacing w:line="276" w:lineRule="auto"/>
              <w:rPr>
                <w:rFonts w:ascii="Garamond" w:hAnsi="Garamond"/>
                <w:i/>
                <w:iCs/>
              </w:rPr>
            </w:pPr>
            <w:r w:rsidRPr="00757B8C">
              <w:rPr>
                <w:rFonts w:ascii="Garamond" w:hAnsi="Garamond"/>
              </w:rPr>
              <w:t xml:space="preserve">Whole body </w:t>
            </w:r>
            <w:r w:rsidRPr="00757B8C">
              <w:rPr>
                <w:rFonts w:ascii="Garamond" w:hAnsi="Garamond"/>
                <w:vertAlign w:val="superscript"/>
              </w:rPr>
              <w:t>68</w:t>
            </w:r>
            <w:r w:rsidRPr="00757B8C">
              <w:rPr>
                <w:rFonts w:ascii="Garamond" w:hAnsi="Garamond"/>
              </w:rPr>
              <w:t>Ga prostate-specific membrane antigen (</w:t>
            </w:r>
            <w:r w:rsidRPr="00757B8C">
              <w:rPr>
                <w:rFonts w:ascii="Garamond" w:hAnsi="Garamond"/>
                <w:vertAlign w:val="superscript"/>
              </w:rPr>
              <w:t>68</w:t>
            </w:r>
            <w:r w:rsidRPr="00757B8C">
              <w:rPr>
                <w:rFonts w:ascii="Garamond" w:hAnsi="Garamond"/>
              </w:rPr>
              <w:t>Ga-PSMA) positron emission tomography (PET)</w:t>
            </w:r>
            <w:r w:rsidRPr="00757B8C">
              <w:rPr>
                <w:rFonts w:ascii="Garamond" w:hAnsi="Garamond"/>
                <w:strike/>
              </w:rPr>
              <w:t>/computerised tomography (CT)</w:t>
            </w:r>
            <w:r w:rsidRPr="00757B8C">
              <w:rPr>
                <w:rFonts w:ascii="Garamond" w:hAnsi="Garamond"/>
              </w:rPr>
              <w:t xml:space="preserve"> study, performed for the patient selection for PSMA targeted radioligand therapy </w:t>
            </w:r>
            <w:r w:rsidRPr="00757B8C">
              <w:rPr>
                <w:rFonts w:ascii="Garamond" w:hAnsi="Garamond"/>
                <w:i/>
                <w:iCs/>
              </w:rPr>
              <w:t xml:space="preserve">in a patient with metastatic castrate resistant prostate cancer after progressive disease has developed while on at least one </w:t>
            </w:r>
            <w:proofErr w:type="spellStart"/>
            <w:r w:rsidRPr="00757B8C">
              <w:rPr>
                <w:rFonts w:ascii="Garamond" w:hAnsi="Garamond"/>
                <w:i/>
                <w:iCs/>
              </w:rPr>
              <w:t>taxane</w:t>
            </w:r>
            <w:proofErr w:type="spellEnd"/>
            <w:r w:rsidRPr="00757B8C">
              <w:rPr>
                <w:rFonts w:ascii="Garamond" w:hAnsi="Garamond"/>
                <w:i/>
                <w:iCs/>
              </w:rPr>
              <w:t xml:space="preserve"> chemotherapy and at least one androgen receptor signalling inhibitor.</w:t>
            </w:r>
          </w:p>
          <w:p w14:paraId="441C1C2E" w14:textId="77777777" w:rsidR="001718FE" w:rsidRPr="00B55764" w:rsidRDefault="001718FE">
            <w:pPr>
              <w:pStyle w:val="TableText"/>
              <w:keepNext/>
              <w:spacing w:before="120" w:after="120" w:line="276" w:lineRule="auto"/>
              <w:rPr>
                <w:rFonts w:cstheme="minorHAnsi"/>
              </w:rPr>
            </w:pPr>
            <w:r w:rsidRPr="00B55764">
              <w:rPr>
                <w:rFonts w:cstheme="minorHAnsi"/>
              </w:rPr>
              <w:t>Applicable only once per lifetime</w:t>
            </w:r>
          </w:p>
          <w:p w14:paraId="0571EF0D" w14:textId="77777777" w:rsidR="001718FE" w:rsidRPr="00B55764" w:rsidRDefault="001718FE">
            <w:pPr>
              <w:pStyle w:val="TableText"/>
              <w:keepNext/>
              <w:spacing w:before="0" w:after="0" w:line="276" w:lineRule="auto"/>
              <w:rPr>
                <w:rFonts w:cstheme="minorHAnsi"/>
              </w:rPr>
            </w:pPr>
            <w:r w:rsidRPr="00B55764">
              <w:rPr>
                <w:rFonts w:cstheme="minorHAnsi"/>
              </w:rPr>
              <w:t>Fee:  $1,945</w:t>
            </w:r>
          </w:p>
        </w:tc>
      </w:tr>
    </w:tbl>
    <w:p w14:paraId="4EFBAD8C" w14:textId="3DF46D60" w:rsidR="001718FE" w:rsidRPr="00F25C0E" w:rsidRDefault="00595378" w:rsidP="00F25C0E">
      <w:pPr>
        <w:keepNext/>
        <w:spacing w:after="120"/>
        <w:rPr>
          <w:rFonts w:asciiTheme="minorHAnsi" w:eastAsiaTheme="minorEastAsia" w:hAnsiTheme="minorHAnsi"/>
          <w:sz w:val="16"/>
          <w:szCs w:val="16"/>
        </w:rPr>
      </w:pPr>
      <w:r w:rsidRPr="2705E527">
        <w:rPr>
          <w:rFonts w:asciiTheme="minorHAnsi" w:eastAsiaTheme="minorEastAsia" w:hAnsiTheme="minorHAnsi"/>
          <w:b/>
          <w:bCs/>
          <w:sz w:val="16"/>
          <w:szCs w:val="16"/>
        </w:rPr>
        <w:t>Abbreviations</w:t>
      </w:r>
      <w:r w:rsidRPr="2705E527">
        <w:rPr>
          <w:rFonts w:asciiTheme="minorHAnsi" w:eastAsiaTheme="minorEastAsia" w:hAnsiTheme="minorHAnsi"/>
          <w:sz w:val="16"/>
          <w:szCs w:val="16"/>
        </w:rPr>
        <w:t>: CT, Computed tomography; Ga, Gallium; MBS, Medicare Benefits Schedule; PET, Positron emission tomography; PSMA, Prostate-specific membrane antigen.</w:t>
      </w:r>
      <w:r>
        <w:rPr>
          <w:rFonts w:asciiTheme="minorHAnsi" w:eastAsiaTheme="minorEastAsia" w:hAnsiTheme="minorHAnsi"/>
          <w:sz w:val="16"/>
          <w:szCs w:val="16"/>
        </w:rPr>
        <w:t xml:space="preserve"> Proposed additions in italics and proposed deletions as strikethrough.</w:t>
      </w:r>
    </w:p>
    <w:p w14:paraId="34E0B08F" w14:textId="2AD0D223" w:rsidR="00772829" w:rsidRPr="00CE28E3" w:rsidRDefault="00AE7DDB" w:rsidP="002A18BE">
      <w:pPr>
        <w:pStyle w:val="Heading2"/>
        <w:numPr>
          <w:ilvl w:val="0"/>
          <w:numId w:val="0"/>
        </w:numPr>
      </w:pPr>
      <w:bookmarkStart w:id="17" w:name="_Toc69491419"/>
      <w:bookmarkEnd w:id="14"/>
      <w:r>
        <w:t>7</w:t>
      </w:r>
      <w:r w:rsidR="00C36633">
        <w:t>.</w:t>
      </w:r>
      <w:r w:rsidR="00C36633">
        <w:tab/>
      </w:r>
      <w:r w:rsidR="00772829" w:rsidRPr="00CE28E3">
        <w:t>Population</w:t>
      </w:r>
      <w:bookmarkEnd w:id="17"/>
      <w:r w:rsidR="00772829" w:rsidRPr="00CE28E3">
        <w:t xml:space="preserve"> </w:t>
      </w:r>
    </w:p>
    <w:p w14:paraId="0D79C4C2" w14:textId="1CCB659D" w:rsidR="00D73F34" w:rsidRDefault="003F729A" w:rsidP="00AF32CB">
      <w:r>
        <w:t xml:space="preserve">As noted above, there are inconsistencies in the ADAR with respect to the population eligible for the test. </w:t>
      </w:r>
      <w:r w:rsidR="00D73F34">
        <w:t>The proposed item descriptor suggests the test be used for “</w:t>
      </w:r>
      <w:r w:rsidR="00D73F34" w:rsidRPr="00D73F34">
        <w:t>patient selection for PSMA targeted radioligand therapy</w:t>
      </w:r>
      <w:r w:rsidR="00D73F34">
        <w:t>” whilst the PICO criteria specified in the ADAR (a</w:t>
      </w:r>
      <w:r w:rsidR="00AF32CB">
        <w:t>nd</w:t>
      </w:r>
      <w:r w:rsidR="00D73F34">
        <w:t xml:space="preserve"> consistent with patients enrolled in the VISION and </w:t>
      </w:r>
      <w:proofErr w:type="spellStart"/>
      <w:r w:rsidR="00D73F34">
        <w:t>TheraP</w:t>
      </w:r>
      <w:proofErr w:type="spellEnd"/>
      <w:r w:rsidR="00D73F34">
        <w:t xml:space="preserve"> trial) defines the population as:</w:t>
      </w:r>
    </w:p>
    <w:p w14:paraId="04035249" w14:textId="617BC369" w:rsidR="00D73F34" w:rsidRPr="00D73F34" w:rsidRDefault="00D73F34" w:rsidP="00AF32CB">
      <w:pPr>
        <w:keepNext/>
        <w:ind w:left="709"/>
        <w:contextualSpacing/>
        <w:rPr>
          <w:sz w:val="20"/>
          <w:szCs w:val="20"/>
        </w:rPr>
      </w:pPr>
      <w:r w:rsidRPr="00D73F34">
        <w:rPr>
          <w:sz w:val="20"/>
          <w:szCs w:val="20"/>
        </w:rPr>
        <w:t xml:space="preserve">Patients with progressive or symptomatic </w:t>
      </w:r>
      <w:r>
        <w:rPr>
          <w:sz w:val="20"/>
          <w:szCs w:val="20"/>
        </w:rPr>
        <w:t>metastatic castrate resistant prostate cancer (</w:t>
      </w:r>
      <w:proofErr w:type="spellStart"/>
      <w:r w:rsidRPr="00D73F34">
        <w:rPr>
          <w:sz w:val="20"/>
          <w:szCs w:val="20"/>
        </w:rPr>
        <w:t>mCRPC</w:t>
      </w:r>
      <w:proofErr w:type="spellEnd"/>
      <w:r>
        <w:rPr>
          <w:sz w:val="20"/>
          <w:szCs w:val="20"/>
        </w:rPr>
        <w:t>)</w:t>
      </w:r>
      <w:r w:rsidRPr="00D73F34">
        <w:rPr>
          <w:sz w:val="20"/>
          <w:szCs w:val="20"/>
        </w:rPr>
        <w:t>, AND have received:</w:t>
      </w:r>
    </w:p>
    <w:p w14:paraId="0E786502" w14:textId="6D3971B5" w:rsidR="00D73F34" w:rsidRPr="00D73F34" w:rsidRDefault="00D73F34" w:rsidP="00FB178D">
      <w:pPr>
        <w:pStyle w:val="Instructionaltext"/>
        <w:keepNext/>
        <w:numPr>
          <w:ilvl w:val="0"/>
          <w:numId w:val="19"/>
        </w:numPr>
        <w:ind w:left="993" w:hanging="284"/>
        <w:contextualSpacing/>
        <w:rPr>
          <w:color w:val="auto"/>
          <w:sz w:val="20"/>
          <w:szCs w:val="20"/>
        </w:rPr>
      </w:pPr>
      <w:r w:rsidRPr="00D73F34">
        <w:rPr>
          <w:color w:val="auto"/>
          <w:sz w:val="20"/>
          <w:szCs w:val="20"/>
        </w:rPr>
        <w:t>at least one</w:t>
      </w:r>
      <w:r>
        <w:rPr>
          <w:color w:val="auto"/>
          <w:sz w:val="20"/>
          <w:szCs w:val="20"/>
        </w:rPr>
        <w:t xml:space="preserve"> a</w:t>
      </w:r>
      <w:r w:rsidRPr="00D73F34">
        <w:rPr>
          <w:color w:val="auto"/>
          <w:sz w:val="20"/>
          <w:szCs w:val="20"/>
        </w:rPr>
        <w:t xml:space="preserve">ndrogen-signalling inhibitor </w:t>
      </w:r>
      <w:r>
        <w:rPr>
          <w:color w:val="auto"/>
          <w:sz w:val="20"/>
          <w:szCs w:val="20"/>
        </w:rPr>
        <w:t>(</w:t>
      </w:r>
      <w:r w:rsidRPr="00D73F34">
        <w:rPr>
          <w:color w:val="auto"/>
          <w:sz w:val="20"/>
          <w:szCs w:val="20"/>
        </w:rPr>
        <w:t>ASI</w:t>
      </w:r>
      <w:r>
        <w:rPr>
          <w:color w:val="auto"/>
          <w:sz w:val="20"/>
          <w:szCs w:val="20"/>
        </w:rPr>
        <w:t>; a</w:t>
      </w:r>
      <w:r w:rsidRPr="00D73F34">
        <w:rPr>
          <w:color w:val="auto"/>
          <w:sz w:val="20"/>
          <w:szCs w:val="20"/>
        </w:rPr>
        <w:t xml:space="preserve">biraterone / enzalutamide / </w:t>
      </w:r>
      <w:proofErr w:type="spellStart"/>
      <w:r w:rsidRPr="00D73F34">
        <w:rPr>
          <w:color w:val="auto"/>
          <w:sz w:val="20"/>
          <w:szCs w:val="20"/>
        </w:rPr>
        <w:t>darolutamide</w:t>
      </w:r>
      <w:proofErr w:type="spellEnd"/>
      <w:r w:rsidRPr="00D73F34">
        <w:rPr>
          <w:color w:val="auto"/>
          <w:sz w:val="20"/>
          <w:szCs w:val="20"/>
        </w:rPr>
        <w:t xml:space="preserve"> via PBS/RPBS), AND</w:t>
      </w:r>
    </w:p>
    <w:p w14:paraId="65DBF56D" w14:textId="6428244E" w:rsidR="00D73F34" w:rsidRDefault="00D73F34" w:rsidP="00FB178D">
      <w:pPr>
        <w:pStyle w:val="Instructionaltext"/>
        <w:keepNext/>
        <w:numPr>
          <w:ilvl w:val="0"/>
          <w:numId w:val="19"/>
        </w:numPr>
        <w:ind w:left="993" w:hanging="284"/>
        <w:rPr>
          <w:color w:val="auto"/>
          <w:sz w:val="20"/>
          <w:szCs w:val="20"/>
        </w:rPr>
      </w:pPr>
      <w:r w:rsidRPr="00D73F34">
        <w:rPr>
          <w:color w:val="auto"/>
          <w:sz w:val="20"/>
          <w:szCs w:val="20"/>
        </w:rPr>
        <w:t>at least one line of chemotherapy (docetaxel +/- cabazitaxel via PBS/RPBS)</w:t>
      </w:r>
      <w:r>
        <w:rPr>
          <w:color w:val="auto"/>
          <w:sz w:val="20"/>
          <w:szCs w:val="20"/>
        </w:rPr>
        <w:t>.</w:t>
      </w:r>
    </w:p>
    <w:p w14:paraId="66BDFCC1" w14:textId="12CE869A" w:rsidR="00772829" w:rsidRDefault="00AE7DDB" w:rsidP="002A18BE">
      <w:pPr>
        <w:pStyle w:val="Heading2"/>
        <w:numPr>
          <w:ilvl w:val="0"/>
          <w:numId w:val="0"/>
        </w:numPr>
      </w:pPr>
      <w:bookmarkStart w:id="18" w:name="_Toc69491420"/>
      <w:r>
        <w:t>8</w:t>
      </w:r>
      <w:r w:rsidR="00C36633">
        <w:t>.</w:t>
      </w:r>
      <w:r w:rsidR="00C36633">
        <w:tab/>
      </w:r>
      <w:r w:rsidR="00772829" w:rsidRPr="00CE28E3">
        <w:t>Comparator</w:t>
      </w:r>
      <w:bookmarkEnd w:id="18"/>
    </w:p>
    <w:p w14:paraId="0BB939EB" w14:textId="77777777" w:rsidR="00AF32CB" w:rsidRDefault="0071136C" w:rsidP="00FE377D">
      <w:pPr>
        <w:spacing w:after="240"/>
        <w:rPr>
          <w:bCs/>
        </w:rPr>
      </w:pPr>
      <w:r w:rsidRPr="0071136C">
        <w:t xml:space="preserve">The </w:t>
      </w:r>
      <w:r w:rsidR="00AF32CB">
        <w:t xml:space="preserve">nominated </w:t>
      </w:r>
      <w:r w:rsidRPr="0071136C">
        <w:t>comparator is “</w:t>
      </w:r>
      <w:r w:rsidRPr="0071136C">
        <w:rPr>
          <w:bCs/>
        </w:rPr>
        <w:t xml:space="preserve">No </w:t>
      </w:r>
      <w:r w:rsidRPr="0071136C">
        <w:rPr>
          <w:bCs/>
          <w:vertAlign w:val="superscript"/>
        </w:rPr>
        <w:t>68</w:t>
      </w:r>
      <w:r w:rsidRPr="0071136C">
        <w:rPr>
          <w:bCs/>
        </w:rPr>
        <w:t>Ga-PSMA-11 PET/CT imaging</w:t>
      </w:r>
      <w:r w:rsidR="00AF32CB">
        <w:rPr>
          <w:bCs/>
        </w:rPr>
        <w:t>”</w:t>
      </w:r>
      <w:r>
        <w:rPr>
          <w:bCs/>
        </w:rPr>
        <w:t xml:space="preserve">. </w:t>
      </w:r>
    </w:p>
    <w:p w14:paraId="163B1252" w14:textId="04E321E7" w:rsidR="00AF32CB" w:rsidRDefault="00AF32CB" w:rsidP="00FE377D">
      <w:pPr>
        <w:spacing w:after="240"/>
        <w:rPr>
          <w:bCs/>
        </w:rPr>
      </w:pPr>
      <w:r>
        <w:rPr>
          <w:bCs/>
        </w:rPr>
        <w:t xml:space="preserve">The Commentary noted that the </w:t>
      </w:r>
      <w:r w:rsidRPr="00AF32CB">
        <w:rPr>
          <w:bCs/>
        </w:rPr>
        <w:t xml:space="preserve">comparison provided in the ADAR is one of “No </w:t>
      </w:r>
      <w:r w:rsidRPr="00C40098">
        <w:rPr>
          <w:bCs/>
          <w:vertAlign w:val="superscript"/>
        </w:rPr>
        <w:t>68</w:t>
      </w:r>
      <w:r w:rsidRPr="00AF32CB">
        <w:rPr>
          <w:bCs/>
        </w:rPr>
        <w:t xml:space="preserve">Ga-PSMA-11 PET/CT imaging” and subsequent treatment with supportive care or cabazitaxel. The ADAR does not provide a comparison of “No </w:t>
      </w:r>
      <w:r w:rsidRPr="00C40098">
        <w:rPr>
          <w:bCs/>
          <w:vertAlign w:val="superscript"/>
        </w:rPr>
        <w:t>68</w:t>
      </w:r>
      <w:r w:rsidRPr="00AF32CB">
        <w:rPr>
          <w:bCs/>
        </w:rPr>
        <w:t>Ga-PSMA-11 PET/CT imaging” and subsequent treatment with PSMA targeted therapy. The latter comparison would inform the clinical utility of the proposed test.</w:t>
      </w:r>
    </w:p>
    <w:p w14:paraId="660F1E8B" w14:textId="5F584244" w:rsidR="00C40098" w:rsidRDefault="00C40098" w:rsidP="0071136C">
      <w:pPr>
        <w:rPr>
          <w:bCs/>
        </w:rPr>
      </w:pPr>
      <w:r w:rsidRPr="00C40098">
        <w:rPr>
          <w:bCs/>
        </w:rPr>
        <w:t xml:space="preserve">The clinical utility of the test may be questionable as 85% and 90% of patients in the VISION and </w:t>
      </w:r>
      <w:proofErr w:type="spellStart"/>
      <w:r w:rsidRPr="00C40098">
        <w:rPr>
          <w:bCs/>
        </w:rPr>
        <w:t>TheraP</w:t>
      </w:r>
      <w:proofErr w:type="spellEnd"/>
      <w:r w:rsidRPr="00C40098">
        <w:rPr>
          <w:bCs/>
        </w:rPr>
        <w:t xml:space="preserve"> trials, respectively, met the nominated eligibility criteria for PSMA PET/CT in the respective trials (i</w:t>
      </w:r>
      <w:r w:rsidR="00182CF0">
        <w:rPr>
          <w:bCs/>
        </w:rPr>
        <w:t>.</w:t>
      </w:r>
      <w:r w:rsidRPr="00C40098">
        <w:rPr>
          <w:bCs/>
        </w:rPr>
        <w:t>e</w:t>
      </w:r>
      <w:r w:rsidR="00182CF0">
        <w:rPr>
          <w:bCs/>
        </w:rPr>
        <w:t>.</w:t>
      </w:r>
      <w:r w:rsidRPr="00C40098">
        <w:rPr>
          <w:bCs/>
        </w:rPr>
        <w:t>, a high proportion of patients, thus the requirement for prior testing is not clear</w:t>
      </w:r>
      <w:r>
        <w:rPr>
          <w:bCs/>
        </w:rPr>
        <w:t>).</w:t>
      </w:r>
    </w:p>
    <w:p w14:paraId="7B0B01A7" w14:textId="4AA3713E" w:rsidR="00C40098" w:rsidRDefault="00C40098" w:rsidP="00FE377D">
      <w:pPr>
        <w:spacing w:after="240"/>
        <w:rPr>
          <w:bCs/>
        </w:rPr>
      </w:pPr>
      <w:r w:rsidRPr="00C40098">
        <w:rPr>
          <w:bCs/>
        </w:rPr>
        <w:lastRenderedPageBreak/>
        <w:t>Additionally, recent data from the Re-SPECT study reported by Emmett (2023</w:t>
      </w:r>
      <w:r>
        <w:rPr>
          <w:rStyle w:val="FootnoteReference"/>
          <w:bCs/>
        </w:rPr>
        <w:footnoteReference w:id="4"/>
      </w:r>
      <w:r w:rsidRPr="00C40098">
        <w:rPr>
          <w:bCs/>
        </w:rPr>
        <w:t xml:space="preserve">) further casts doubt on the ability of PSMA PET/CT to sufficiently discriminate patients who are likely to respond to PSMA targeted therapy and the codependent relationship of PSMA PET/CT with PSMA targeted therapies. In Re-SPECT, all men had </w:t>
      </w:r>
      <w:proofErr w:type="spellStart"/>
      <w:r w:rsidRPr="00C40098">
        <w:rPr>
          <w:bCs/>
        </w:rPr>
        <w:t>mCRPC</w:t>
      </w:r>
      <w:proofErr w:type="spellEnd"/>
      <w:r w:rsidRPr="00C40098">
        <w:rPr>
          <w:bCs/>
        </w:rPr>
        <w:t xml:space="preserve"> </w:t>
      </w:r>
      <w:r w:rsidR="00ED7D9D">
        <w:rPr>
          <w:bCs/>
        </w:rPr>
        <w:t xml:space="preserve">with a </w:t>
      </w:r>
      <w:r w:rsidR="00ED7D9D" w:rsidRPr="00ED7D9D">
        <w:rPr>
          <w:bCs/>
        </w:rPr>
        <w:t>maximum standardi</w:t>
      </w:r>
      <w:r w:rsidR="00394B15">
        <w:rPr>
          <w:bCs/>
        </w:rPr>
        <w:t>s</w:t>
      </w:r>
      <w:r w:rsidR="00ED7D9D" w:rsidRPr="00ED7D9D">
        <w:rPr>
          <w:bCs/>
        </w:rPr>
        <w:t xml:space="preserve">ed uptake value </w:t>
      </w:r>
      <w:r w:rsidRPr="00C40098">
        <w:rPr>
          <w:bCs/>
        </w:rPr>
        <w:t>(</w:t>
      </w:r>
      <w:proofErr w:type="spellStart"/>
      <w:r w:rsidRPr="00C40098">
        <w:rPr>
          <w:bCs/>
        </w:rPr>
        <w:t>SUV</w:t>
      </w:r>
      <w:r w:rsidRPr="00ED7D9D">
        <w:rPr>
          <w:bCs/>
          <w:vertAlign w:val="subscript"/>
        </w:rPr>
        <w:t>max</w:t>
      </w:r>
      <w:proofErr w:type="spellEnd"/>
      <w:r w:rsidR="00ED7D9D">
        <w:rPr>
          <w:bCs/>
        </w:rPr>
        <w:t>)</w:t>
      </w:r>
      <w:r w:rsidRPr="00C40098">
        <w:rPr>
          <w:bCs/>
        </w:rPr>
        <w:t xml:space="preserve"> &gt;15 on PSMA PET at ≥1 site, and </w:t>
      </w:r>
      <w:proofErr w:type="spellStart"/>
      <w:r w:rsidRPr="00C40098">
        <w:rPr>
          <w:bCs/>
        </w:rPr>
        <w:t>SUV</w:t>
      </w:r>
      <w:r w:rsidRPr="00ED7D9D">
        <w:rPr>
          <w:bCs/>
          <w:vertAlign w:val="subscript"/>
        </w:rPr>
        <w:t>max</w:t>
      </w:r>
      <w:proofErr w:type="spellEnd"/>
      <w:r w:rsidRPr="00C40098">
        <w:rPr>
          <w:bCs/>
        </w:rPr>
        <w:t xml:space="preserve"> &gt;10 at all measurable sites. </w:t>
      </w:r>
      <w:r w:rsidR="00343856">
        <w:rPr>
          <w:bCs/>
        </w:rPr>
        <w:t>Despite these uptake values, a</w:t>
      </w:r>
      <w:r w:rsidRPr="00C40098">
        <w:rPr>
          <w:bCs/>
        </w:rPr>
        <w:t xml:space="preserve">mong men treated with </w:t>
      </w:r>
      <w:r w:rsidRPr="00ED7D9D">
        <w:rPr>
          <w:bCs/>
          <w:vertAlign w:val="superscript"/>
        </w:rPr>
        <w:t>177</w:t>
      </w:r>
      <w:r w:rsidRPr="00C40098">
        <w:rPr>
          <w:bCs/>
        </w:rPr>
        <w:t xml:space="preserve">Lu PSMA </w:t>
      </w:r>
      <w:proofErr w:type="spellStart"/>
      <w:r w:rsidRPr="00C40098">
        <w:rPr>
          <w:bCs/>
        </w:rPr>
        <w:t>i&amp;t</w:t>
      </w:r>
      <w:proofErr w:type="spellEnd"/>
      <w:r w:rsidRPr="00C40098">
        <w:rPr>
          <w:bCs/>
        </w:rPr>
        <w:t xml:space="preserve">, 36 of 116 (31%) </w:t>
      </w:r>
      <w:r w:rsidR="00ED7D9D">
        <w:rPr>
          <w:bCs/>
        </w:rPr>
        <w:t>were</w:t>
      </w:r>
      <w:r w:rsidRPr="00C40098">
        <w:rPr>
          <w:bCs/>
        </w:rPr>
        <w:t xml:space="preserve"> considered limited/non-responders.</w:t>
      </w:r>
    </w:p>
    <w:p w14:paraId="10AD2DA2" w14:textId="673AF038" w:rsidR="0062483D" w:rsidRDefault="009C5BEE" w:rsidP="0071136C">
      <w:pPr>
        <w:rPr>
          <w:bCs/>
        </w:rPr>
      </w:pPr>
      <w:r>
        <w:rPr>
          <w:bCs/>
        </w:rPr>
        <w:t>However,</w:t>
      </w:r>
      <w:r w:rsidR="0062483D">
        <w:rPr>
          <w:bCs/>
        </w:rPr>
        <w:t xml:space="preserve"> the pre-ESC response </w:t>
      </w:r>
      <w:r w:rsidR="00A04DA1">
        <w:rPr>
          <w:bCs/>
        </w:rPr>
        <w:t>submitted</w:t>
      </w:r>
      <w:r w:rsidR="0062483D">
        <w:rPr>
          <w:bCs/>
        </w:rPr>
        <w:t xml:space="preserve"> that</w:t>
      </w:r>
      <w:r w:rsidR="00A04DA1">
        <w:rPr>
          <w:bCs/>
        </w:rPr>
        <w:t>:</w:t>
      </w:r>
    </w:p>
    <w:p w14:paraId="1D727D66" w14:textId="7F5EEB8B" w:rsidR="00A04DA1" w:rsidRDefault="00A04DA1" w:rsidP="00A45A4B">
      <w:pPr>
        <w:pStyle w:val="ListParagraph"/>
        <w:numPr>
          <w:ilvl w:val="0"/>
          <w:numId w:val="26"/>
        </w:numPr>
        <w:rPr>
          <w:bCs/>
        </w:rPr>
      </w:pPr>
      <w:r w:rsidRPr="00A04DA1">
        <w:rPr>
          <w:bCs/>
        </w:rPr>
        <w:t xml:space="preserve">the potential identification of 10-15% of patients as non-eligible through this diagnostic modality </w:t>
      </w:r>
      <w:r>
        <w:rPr>
          <w:bCs/>
        </w:rPr>
        <w:t xml:space="preserve">was </w:t>
      </w:r>
      <w:r w:rsidRPr="00A04DA1">
        <w:rPr>
          <w:bCs/>
        </w:rPr>
        <w:t>significant fiscal relevance</w:t>
      </w:r>
      <w:r>
        <w:rPr>
          <w:bCs/>
        </w:rPr>
        <w:t xml:space="preserve"> g</w:t>
      </w:r>
      <w:r w:rsidRPr="00A04DA1">
        <w:rPr>
          <w:bCs/>
        </w:rPr>
        <w:t>iven the substantial expense associated with PSMA targeted therapies</w:t>
      </w:r>
      <w:r w:rsidR="00DD3124">
        <w:rPr>
          <w:bCs/>
        </w:rPr>
        <w:t>.</w:t>
      </w:r>
    </w:p>
    <w:p w14:paraId="58021B5D" w14:textId="51819277" w:rsidR="00A04DA1" w:rsidRPr="00A04DA1" w:rsidRDefault="001A587D" w:rsidP="00FE377D">
      <w:pPr>
        <w:pStyle w:val="ListParagraph"/>
        <w:numPr>
          <w:ilvl w:val="0"/>
          <w:numId w:val="26"/>
        </w:numPr>
        <w:spacing w:after="240"/>
        <w:rPr>
          <w:bCs/>
        </w:rPr>
      </w:pPr>
      <w:r>
        <w:rPr>
          <w:bCs/>
        </w:rPr>
        <w:t>the f</w:t>
      </w:r>
      <w:r w:rsidR="00A04DA1" w:rsidRPr="00A04DA1">
        <w:rPr>
          <w:bCs/>
        </w:rPr>
        <w:t>indings of Re-SPECT study should be interpreted with caution</w:t>
      </w:r>
      <w:r w:rsidR="00A04DA1">
        <w:rPr>
          <w:bCs/>
        </w:rPr>
        <w:t xml:space="preserve"> as it is a </w:t>
      </w:r>
      <w:r>
        <w:rPr>
          <w:bCs/>
        </w:rPr>
        <w:t xml:space="preserve">retrospective study </w:t>
      </w:r>
      <w:r w:rsidR="00A04DA1" w:rsidRPr="00A04DA1">
        <w:rPr>
          <w:bCs/>
        </w:rPr>
        <w:t>and further research in the form of prospective, randomized controlled trials is needed to confirm the effectiveness and generalizability of this approach</w:t>
      </w:r>
      <w:r>
        <w:rPr>
          <w:bCs/>
        </w:rPr>
        <w:t xml:space="preserve">. </w:t>
      </w:r>
    </w:p>
    <w:p w14:paraId="553E87F5" w14:textId="08356020" w:rsidR="00ED7D9D" w:rsidRDefault="00D065DD" w:rsidP="0071136C">
      <w:pPr>
        <w:rPr>
          <w:bCs/>
        </w:rPr>
      </w:pPr>
      <w:r>
        <w:rPr>
          <w:bCs/>
        </w:rPr>
        <w:t>The Commentary considered that o</w:t>
      </w:r>
      <w:r w:rsidR="00ED7D9D" w:rsidRPr="00ED7D9D">
        <w:rPr>
          <w:bCs/>
        </w:rPr>
        <w:t xml:space="preserve">f further interest would be a comparison of </w:t>
      </w:r>
      <w:r w:rsidR="00ED7D9D" w:rsidRPr="00632B10">
        <w:rPr>
          <w:bCs/>
          <w:vertAlign w:val="superscript"/>
        </w:rPr>
        <w:t>68</w:t>
      </w:r>
      <w:r w:rsidR="00ED7D9D" w:rsidRPr="00ED7D9D">
        <w:rPr>
          <w:bCs/>
        </w:rPr>
        <w:t xml:space="preserve">Ga versus other PSMA radiopharmaceutical tracers given the proposed item descriptor specifies the use of </w:t>
      </w:r>
      <w:r w:rsidR="00ED7D9D" w:rsidRPr="00632B10">
        <w:rPr>
          <w:bCs/>
          <w:vertAlign w:val="superscript"/>
        </w:rPr>
        <w:t>68</w:t>
      </w:r>
      <w:r w:rsidR="00ED7D9D" w:rsidRPr="00ED7D9D">
        <w:rPr>
          <w:bCs/>
        </w:rPr>
        <w:t xml:space="preserve">Ga. Concordance between radiopharmaceuticals was explored in MSAC 1632 where the PSD, pp17-18 explains that “Available concordance studies provide preliminary evidence to suggest </w:t>
      </w:r>
      <w:r w:rsidR="00ED7D9D" w:rsidRPr="00632B10">
        <w:rPr>
          <w:bCs/>
          <w:vertAlign w:val="superscript"/>
        </w:rPr>
        <w:t>18</w:t>
      </w:r>
      <w:r w:rsidR="00ED7D9D" w:rsidRPr="00ED7D9D">
        <w:rPr>
          <w:bCs/>
        </w:rPr>
        <w:t xml:space="preserve">F-PSMA-1007 and </w:t>
      </w:r>
      <w:r w:rsidR="00ED7D9D" w:rsidRPr="00632B10">
        <w:rPr>
          <w:bCs/>
          <w:vertAlign w:val="superscript"/>
        </w:rPr>
        <w:t>18</w:t>
      </w:r>
      <w:r w:rsidR="00ED7D9D" w:rsidRPr="00ED7D9D">
        <w:rPr>
          <w:bCs/>
        </w:rPr>
        <w:t xml:space="preserve">F-DCFPyL may be non-inferior to </w:t>
      </w:r>
      <w:r w:rsidR="00ED7D9D" w:rsidRPr="00632B10">
        <w:rPr>
          <w:bCs/>
          <w:vertAlign w:val="superscript"/>
        </w:rPr>
        <w:t>68</w:t>
      </w:r>
      <w:r w:rsidR="00ED7D9D" w:rsidRPr="00ED7D9D">
        <w:rPr>
          <w:bCs/>
        </w:rPr>
        <w:t>Ga-PSMA-11 (Dietlein et al., 2017</w:t>
      </w:r>
      <w:r w:rsidR="004931F2">
        <w:rPr>
          <w:rStyle w:val="FootnoteReference"/>
          <w:bCs/>
        </w:rPr>
        <w:footnoteReference w:id="5"/>
      </w:r>
      <w:r w:rsidR="00ED7D9D" w:rsidRPr="00ED7D9D">
        <w:rPr>
          <w:bCs/>
        </w:rPr>
        <w:t xml:space="preserve">; </w:t>
      </w:r>
      <w:proofErr w:type="spellStart"/>
      <w:r w:rsidR="00ED7D9D" w:rsidRPr="00ED7D9D">
        <w:rPr>
          <w:bCs/>
        </w:rPr>
        <w:t>Kuten</w:t>
      </w:r>
      <w:proofErr w:type="spellEnd"/>
      <w:r w:rsidR="00ED7D9D" w:rsidRPr="00ED7D9D">
        <w:rPr>
          <w:bCs/>
        </w:rPr>
        <w:t xml:space="preserve"> et al., 2020</w:t>
      </w:r>
      <w:r w:rsidR="004111A4">
        <w:rPr>
          <w:rStyle w:val="FootnoteReference"/>
          <w:bCs/>
        </w:rPr>
        <w:footnoteReference w:id="6"/>
      </w:r>
      <w:r w:rsidR="00ED7D9D" w:rsidRPr="00ED7D9D">
        <w:rPr>
          <w:bCs/>
        </w:rPr>
        <w:t xml:space="preserve">). In fact, </w:t>
      </w:r>
      <w:proofErr w:type="spellStart"/>
      <w:r w:rsidR="00ED7D9D" w:rsidRPr="00ED7D9D">
        <w:rPr>
          <w:bCs/>
        </w:rPr>
        <w:t>Kuten</w:t>
      </w:r>
      <w:proofErr w:type="spellEnd"/>
      <w:r w:rsidR="00ED7D9D" w:rsidRPr="00ED7D9D">
        <w:rPr>
          <w:bCs/>
        </w:rPr>
        <w:t xml:space="preserve"> et al (2020) found </w:t>
      </w:r>
      <w:r w:rsidR="00ED7D9D" w:rsidRPr="00632B10">
        <w:rPr>
          <w:bCs/>
          <w:vertAlign w:val="superscript"/>
        </w:rPr>
        <w:t>18</w:t>
      </w:r>
      <w:r w:rsidR="00ED7D9D" w:rsidRPr="00ED7D9D">
        <w:rPr>
          <w:bCs/>
        </w:rPr>
        <w:t xml:space="preserve">F-PSMA-1007 may detect additional low-grade lesions of limited clinical relevance, while </w:t>
      </w:r>
      <w:proofErr w:type="spellStart"/>
      <w:r w:rsidR="00ED7D9D" w:rsidRPr="00ED7D9D">
        <w:rPr>
          <w:bCs/>
        </w:rPr>
        <w:t>Dietlien</w:t>
      </w:r>
      <w:proofErr w:type="spellEnd"/>
      <w:r w:rsidR="00ED7D9D" w:rsidRPr="00ED7D9D">
        <w:rPr>
          <w:bCs/>
        </w:rPr>
        <w:t xml:space="preserve"> et al. (2017) found </w:t>
      </w:r>
      <w:r w:rsidR="00ED7D9D" w:rsidRPr="00632B10">
        <w:rPr>
          <w:bCs/>
          <w:vertAlign w:val="superscript"/>
        </w:rPr>
        <w:t>18</w:t>
      </w:r>
      <w:r w:rsidR="00ED7D9D" w:rsidRPr="00ED7D9D">
        <w:rPr>
          <w:bCs/>
        </w:rPr>
        <w:t>F-DCFPyL to have improved detection rates at PSA levels between 0.5 and 3.5 ng/ml after RP. However, the Commentary considered it was difficult to draw conclusions given a small sample size [n=16] (</w:t>
      </w:r>
      <w:proofErr w:type="spellStart"/>
      <w:r w:rsidR="00ED7D9D" w:rsidRPr="00ED7D9D">
        <w:rPr>
          <w:bCs/>
        </w:rPr>
        <w:t>Kuten</w:t>
      </w:r>
      <w:proofErr w:type="spellEnd"/>
      <w:r w:rsidR="00ED7D9D" w:rsidRPr="00ED7D9D">
        <w:rPr>
          <w:bCs/>
        </w:rPr>
        <w:t xml:space="preserve"> et al., 2020) or lack of reference standard validation to differentiate true positive (TP) and false positive (FP) findings (Dietlein et al., 2017)”.</w:t>
      </w:r>
    </w:p>
    <w:p w14:paraId="67EE26BB" w14:textId="77777777" w:rsidR="00AE7DDB" w:rsidRDefault="00AE7DDB" w:rsidP="00AE7DDB">
      <w:pPr>
        <w:pStyle w:val="Heading2"/>
        <w:numPr>
          <w:ilvl w:val="0"/>
          <w:numId w:val="0"/>
        </w:numPr>
      </w:pPr>
      <w:r>
        <w:t>9.</w:t>
      </w:r>
      <w:r>
        <w:tab/>
      </w:r>
      <w:r w:rsidRPr="00CE28E3">
        <w:t xml:space="preserve">Summary of public consultation </w:t>
      </w:r>
      <w:r>
        <w:t>input</w:t>
      </w:r>
    </w:p>
    <w:p w14:paraId="05ECD19C" w14:textId="77777777" w:rsidR="00AE7DDB" w:rsidRPr="00FE377D" w:rsidRDefault="00AE7DDB" w:rsidP="00AE7DDB">
      <w:pPr>
        <w:pStyle w:val="paragraph"/>
        <w:spacing w:before="0" w:beforeAutospacing="0" w:after="0" w:afterAutospacing="0"/>
        <w:textAlignment w:val="baseline"/>
      </w:pPr>
      <w:r w:rsidRPr="00FE377D">
        <w:rPr>
          <w:rStyle w:val="normaltextrun"/>
        </w:rPr>
        <w:t>Consultation input from was welcomed from two (2) professional organisations, three (3) consumer organisations and eight (8) individuals, of whom five were consumers, two were consumer support personnel and one a medical specialist.  </w:t>
      </w:r>
      <w:r w:rsidRPr="00FE377D">
        <w:rPr>
          <w:rStyle w:val="eop"/>
        </w:rPr>
        <w:t> </w:t>
      </w:r>
    </w:p>
    <w:p w14:paraId="69320BB6" w14:textId="77777777" w:rsidR="00AE7DDB" w:rsidRPr="00FE377D" w:rsidRDefault="00AE7DDB" w:rsidP="00AE7DDB">
      <w:pPr>
        <w:pStyle w:val="paragraph"/>
        <w:spacing w:before="240" w:beforeAutospacing="0" w:after="0" w:afterAutospacing="0"/>
        <w:textAlignment w:val="baseline"/>
      </w:pPr>
      <w:r w:rsidRPr="00FE377D">
        <w:rPr>
          <w:rStyle w:val="normaltextrun"/>
        </w:rPr>
        <w:t>The five (5) organisations that submitted input were: </w:t>
      </w:r>
      <w:r w:rsidRPr="00FE377D">
        <w:rPr>
          <w:rStyle w:val="eop"/>
        </w:rPr>
        <w:t> </w:t>
      </w:r>
    </w:p>
    <w:p w14:paraId="3FF82E3E" w14:textId="77777777" w:rsidR="00AE7DDB" w:rsidRPr="00FE377D" w:rsidRDefault="00AE7DDB" w:rsidP="00AE7DDB">
      <w:pPr>
        <w:pStyle w:val="paragraph"/>
        <w:numPr>
          <w:ilvl w:val="0"/>
          <w:numId w:val="31"/>
        </w:numPr>
        <w:spacing w:before="0" w:beforeAutospacing="0" w:after="0" w:afterAutospacing="0"/>
        <w:textAlignment w:val="baseline"/>
        <w:rPr>
          <w:color w:val="000000"/>
        </w:rPr>
      </w:pPr>
      <w:r w:rsidRPr="00FE377D">
        <w:rPr>
          <w:rStyle w:val="normaltextrun"/>
        </w:rPr>
        <w:t>Australasian Association of Nuclear Medicine Specialists (AANMS)</w:t>
      </w:r>
      <w:r w:rsidRPr="00FE377D">
        <w:rPr>
          <w:rStyle w:val="eop"/>
        </w:rPr>
        <w:t> </w:t>
      </w:r>
    </w:p>
    <w:p w14:paraId="2F12D44B" w14:textId="77777777" w:rsidR="00AE7DDB" w:rsidRPr="00FE377D" w:rsidRDefault="00AE7DDB" w:rsidP="00AE7DDB">
      <w:pPr>
        <w:pStyle w:val="paragraph"/>
        <w:numPr>
          <w:ilvl w:val="0"/>
          <w:numId w:val="31"/>
        </w:numPr>
        <w:spacing w:before="0" w:beforeAutospacing="0" w:after="0" w:afterAutospacing="0"/>
        <w:textAlignment w:val="baseline"/>
        <w:rPr>
          <w:color w:val="000000"/>
        </w:rPr>
      </w:pPr>
      <w:r w:rsidRPr="00FE377D">
        <w:rPr>
          <w:rStyle w:val="normaltextrun"/>
        </w:rPr>
        <w:t>Prostate Cancer Foundation of Australia (PCFA)</w:t>
      </w:r>
      <w:r w:rsidRPr="00FE377D">
        <w:rPr>
          <w:rStyle w:val="eop"/>
          <w:color w:val="000000"/>
        </w:rPr>
        <w:t> </w:t>
      </w:r>
    </w:p>
    <w:p w14:paraId="00671DF0" w14:textId="77777777" w:rsidR="00AE7DDB" w:rsidRPr="00FE377D" w:rsidRDefault="00AE7DDB" w:rsidP="00AE7DDB">
      <w:pPr>
        <w:pStyle w:val="paragraph"/>
        <w:numPr>
          <w:ilvl w:val="0"/>
          <w:numId w:val="31"/>
        </w:numPr>
        <w:spacing w:before="0" w:beforeAutospacing="0" w:after="0" w:afterAutospacing="0"/>
        <w:textAlignment w:val="baseline"/>
        <w:rPr>
          <w:color w:val="000000"/>
        </w:rPr>
      </w:pPr>
      <w:r w:rsidRPr="00FE377D">
        <w:rPr>
          <w:rStyle w:val="normaltextrun"/>
        </w:rPr>
        <w:t>Australian Diagnostic Imaging Association (ADIA)</w:t>
      </w:r>
      <w:r w:rsidRPr="00FE377D">
        <w:rPr>
          <w:rStyle w:val="eop"/>
        </w:rPr>
        <w:t> </w:t>
      </w:r>
    </w:p>
    <w:p w14:paraId="0EF427C1" w14:textId="77777777" w:rsidR="00AE7DDB" w:rsidRPr="00FE377D" w:rsidRDefault="00AE7DDB" w:rsidP="00AE7DDB">
      <w:pPr>
        <w:pStyle w:val="paragraph"/>
        <w:numPr>
          <w:ilvl w:val="0"/>
          <w:numId w:val="31"/>
        </w:numPr>
        <w:spacing w:before="0" w:beforeAutospacing="0" w:after="0" w:afterAutospacing="0"/>
        <w:textAlignment w:val="baseline"/>
        <w:rPr>
          <w:color w:val="000000"/>
        </w:rPr>
      </w:pPr>
      <w:r w:rsidRPr="00FE377D">
        <w:rPr>
          <w:rStyle w:val="normaltextrun"/>
        </w:rPr>
        <w:t>High Risk &amp; Advanced Prostate Cancer Support Group Australia and Geelong Prostate Support Group</w:t>
      </w:r>
      <w:r w:rsidRPr="00FE377D">
        <w:rPr>
          <w:rStyle w:val="eop"/>
        </w:rPr>
        <w:t> </w:t>
      </w:r>
    </w:p>
    <w:p w14:paraId="6C2E6CE6" w14:textId="2CB44431" w:rsidR="00AE7DDB" w:rsidRPr="00FE377D" w:rsidRDefault="00AE7DDB" w:rsidP="00AE7DDB">
      <w:pPr>
        <w:pStyle w:val="paragraph"/>
        <w:numPr>
          <w:ilvl w:val="0"/>
          <w:numId w:val="31"/>
        </w:numPr>
        <w:spacing w:before="0" w:beforeAutospacing="0" w:after="0" w:afterAutospacing="0"/>
        <w:textAlignment w:val="baseline"/>
        <w:rPr>
          <w:color w:val="000000"/>
        </w:rPr>
      </w:pPr>
      <w:r w:rsidRPr="00FE377D">
        <w:rPr>
          <w:rStyle w:val="normaltextrun"/>
        </w:rPr>
        <w:t>Victorian Prostate Cancer Support Groups</w:t>
      </w:r>
      <w:r w:rsidR="0055401D" w:rsidRPr="00FE377D">
        <w:rPr>
          <w:rStyle w:val="normaltextrun"/>
        </w:rPr>
        <w:t>.</w:t>
      </w:r>
      <w:r w:rsidRPr="00FE377D">
        <w:rPr>
          <w:rStyle w:val="eop"/>
        </w:rPr>
        <w:t> </w:t>
      </w:r>
    </w:p>
    <w:p w14:paraId="4C14A752" w14:textId="77777777" w:rsidR="00AE7DDB" w:rsidRPr="00FE377D" w:rsidRDefault="00AE7DDB" w:rsidP="00AE7DDB">
      <w:pPr>
        <w:pStyle w:val="paragraph"/>
        <w:spacing w:before="240" w:beforeAutospacing="0" w:after="0" w:afterAutospacing="0"/>
        <w:textAlignment w:val="baseline"/>
      </w:pPr>
      <w:r w:rsidRPr="00FE377D">
        <w:rPr>
          <w:rStyle w:val="normaltextrun"/>
          <w:b/>
          <w:bCs/>
        </w:rPr>
        <w:lastRenderedPageBreak/>
        <w:t>Benefits</w:t>
      </w:r>
      <w:r w:rsidRPr="00FE377D">
        <w:rPr>
          <w:rStyle w:val="eop"/>
        </w:rPr>
        <w:t> </w:t>
      </w:r>
    </w:p>
    <w:p w14:paraId="4F63C0B1" w14:textId="77777777" w:rsidR="00AE7DDB" w:rsidRPr="00FE377D" w:rsidRDefault="00AE7DDB" w:rsidP="00AE7DDB">
      <w:pPr>
        <w:pStyle w:val="paragraph"/>
        <w:numPr>
          <w:ilvl w:val="0"/>
          <w:numId w:val="28"/>
        </w:numPr>
        <w:spacing w:before="0" w:beforeAutospacing="0" w:after="0" w:afterAutospacing="0"/>
        <w:ind w:left="426" w:firstLine="0"/>
        <w:textAlignment w:val="baseline"/>
      </w:pPr>
      <w:r w:rsidRPr="00FE377D">
        <w:rPr>
          <w:rStyle w:val="normaltextrun"/>
        </w:rPr>
        <w:t>Enable patients with prostate cancer to know whether they will be suitable for their proposed radionuclide therapy</w:t>
      </w:r>
      <w:r w:rsidRPr="00FE377D">
        <w:rPr>
          <w:rStyle w:val="eop"/>
        </w:rPr>
        <w:t> </w:t>
      </w:r>
    </w:p>
    <w:p w14:paraId="40E42037" w14:textId="77777777" w:rsidR="00AE7DDB" w:rsidRPr="00FE377D" w:rsidRDefault="00AE7DDB" w:rsidP="00AE7DDB">
      <w:pPr>
        <w:pStyle w:val="paragraph"/>
        <w:numPr>
          <w:ilvl w:val="0"/>
          <w:numId w:val="28"/>
        </w:numPr>
        <w:spacing w:before="0" w:beforeAutospacing="0" w:after="0" w:afterAutospacing="0"/>
        <w:ind w:left="426" w:firstLine="0"/>
        <w:textAlignment w:val="baseline"/>
      </w:pPr>
      <w:r w:rsidRPr="00FE377D">
        <w:rPr>
          <w:rStyle w:val="normaltextrun"/>
        </w:rPr>
        <w:t>Greater accuracy and immediacy of results, with patients benefiting from treatment commencing sooner than with the current step-by-step processes for accurate diagnosis  </w:t>
      </w:r>
      <w:r w:rsidRPr="00FE377D">
        <w:rPr>
          <w:rStyle w:val="eop"/>
        </w:rPr>
        <w:t> </w:t>
      </w:r>
    </w:p>
    <w:p w14:paraId="0AB4B6A0" w14:textId="77777777" w:rsidR="00AE7DDB" w:rsidRPr="00FE377D" w:rsidRDefault="00AE7DDB" w:rsidP="00AE7DDB">
      <w:pPr>
        <w:pStyle w:val="paragraph"/>
        <w:numPr>
          <w:ilvl w:val="0"/>
          <w:numId w:val="28"/>
        </w:numPr>
        <w:spacing w:before="0" w:beforeAutospacing="0" w:after="0" w:afterAutospacing="0"/>
        <w:ind w:left="426" w:firstLine="0"/>
        <w:textAlignment w:val="baseline"/>
      </w:pPr>
      <w:r w:rsidRPr="00FE377D">
        <w:rPr>
          <w:rStyle w:val="normaltextrun"/>
        </w:rPr>
        <w:t>Potentially increase the number of therapeutic options available for metastatic cancer </w:t>
      </w:r>
      <w:r w:rsidRPr="00FE377D">
        <w:rPr>
          <w:rStyle w:val="eop"/>
        </w:rPr>
        <w:t> </w:t>
      </w:r>
    </w:p>
    <w:p w14:paraId="51CEC708" w14:textId="5B935FD3" w:rsidR="00AE7DDB" w:rsidRPr="00FE377D" w:rsidRDefault="00AE7DDB" w:rsidP="00AE7DDB">
      <w:pPr>
        <w:pStyle w:val="paragraph"/>
        <w:numPr>
          <w:ilvl w:val="0"/>
          <w:numId w:val="28"/>
        </w:numPr>
        <w:spacing w:before="0" w:beforeAutospacing="0" w:after="0" w:afterAutospacing="0"/>
        <w:ind w:left="426" w:firstLine="0"/>
        <w:textAlignment w:val="baseline"/>
      </w:pPr>
      <w:r w:rsidRPr="00FE377D">
        <w:rPr>
          <w:rStyle w:val="normaltextrun"/>
        </w:rPr>
        <w:t xml:space="preserve">May lead to a significant cost saving if the scan identifies the patients who are unsuitable for </w:t>
      </w:r>
      <w:proofErr w:type="spellStart"/>
      <w:r w:rsidRPr="00FE377D">
        <w:rPr>
          <w:rStyle w:val="normaltextrun"/>
        </w:rPr>
        <w:t>LuPSMA</w:t>
      </w:r>
      <w:proofErr w:type="spellEnd"/>
      <w:r w:rsidRPr="00FE377D">
        <w:rPr>
          <w:rStyle w:val="normaltextrun"/>
        </w:rPr>
        <w:t xml:space="preserve"> and therefore do not proceed with a futile expensive therapy</w:t>
      </w:r>
    </w:p>
    <w:p w14:paraId="04B64C83" w14:textId="56A35DBA" w:rsidR="00AE7DDB" w:rsidRPr="00FE377D" w:rsidRDefault="00AE7DDB" w:rsidP="00AE7DDB">
      <w:pPr>
        <w:pStyle w:val="paragraph"/>
        <w:numPr>
          <w:ilvl w:val="0"/>
          <w:numId w:val="28"/>
        </w:numPr>
        <w:spacing w:before="0" w:beforeAutospacing="0" w:after="0" w:afterAutospacing="0"/>
        <w:ind w:left="426" w:firstLine="0"/>
        <w:textAlignment w:val="baseline"/>
      </w:pPr>
      <w:r w:rsidRPr="00FE377D">
        <w:rPr>
          <w:rStyle w:val="normaltextrun"/>
        </w:rPr>
        <w:t>Patients receiving adequate and appropriate therapy will have improved quality of life over existing therapies</w:t>
      </w:r>
      <w:r w:rsidRPr="00FE377D">
        <w:rPr>
          <w:rStyle w:val="eop"/>
        </w:rPr>
        <w:t> </w:t>
      </w:r>
    </w:p>
    <w:p w14:paraId="3D06693D" w14:textId="68241D5F" w:rsidR="00AE7DDB" w:rsidRPr="00FE377D" w:rsidRDefault="00AE7DDB" w:rsidP="00AE7DDB">
      <w:pPr>
        <w:pStyle w:val="paragraph"/>
        <w:numPr>
          <w:ilvl w:val="0"/>
          <w:numId w:val="29"/>
        </w:numPr>
        <w:spacing w:before="0" w:beforeAutospacing="0" w:after="0" w:afterAutospacing="0"/>
        <w:ind w:left="426" w:firstLine="0"/>
        <w:textAlignment w:val="baseline"/>
      </w:pPr>
      <w:r w:rsidRPr="00FE377D">
        <w:rPr>
          <w:rStyle w:val="normaltextrun"/>
        </w:rPr>
        <w:t>Potential for cancers other than prostate cancer to be found using PSMA-PET imaging</w:t>
      </w:r>
      <w:r w:rsidR="00C355DE" w:rsidRPr="00FE377D">
        <w:rPr>
          <w:rStyle w:val="normaltextrun"/>
        </w:rPr>
        <w:t>.</w:t>
      </w:r>
      <w:r w:rsidRPr="00FE377D">
        <w:rPr>
          <w:rStyle w:val="eop"/>
        </w:rPr>
        <w:t> </w:t>
      </w:r>
    </w:p>
    <w:p w14:paraId="3A002BEB" w14:textId="77777777" w:rsidR="00AE7DDB" w:rsidRPr="00FE377D" w:rsidRDefault="00AE7DDB" w:rsidP="00AE7DDB">
      <w:pPr>
        <w:pStyle w:val="paragraph"/>
        <w:spacing w:before="240" w:beforeAutospacing="0" w:after="0" w:afterAutospacing="0"/>
        <w:textAlignment w:val="baseline"/>
      </w:pPr>
      <w:r w:rsidRPr="00FE377D">
        <w:rPr>
          <w:rStyle w:val="normaltextrun"/>
          <w:b/>
          <w:bCs/>
        </w:rPr>
        <w:t>Disadvantages </w:t>
      </w:r>
      <w:r w:rsidRPr="00FE377D">
        <w:rPr>
          <w:rStyle w:val="eop"/>
        </w:rPr>
        <w:t> </w:t>
      </w:r>
    </w:p>
    <w:p w14:paraId="33A19948" w14:textId="77777777" w:rsidR="00AE7DDB" w:rsidRPr="00FE377D" w:rsidRDefault="00AE7DDB" w:rsidP="00AE7DDB">
      <w:pPr>
        <w:pStyle w:val="paragraph"/>
        <w:numPr>
          <w:ilvl w:val="0"/>
          <w:numId w:val="30"/>
        </w:numPr>
        <w:spacing w:before="0" w:beforeAutospacing="0" w:after="0" w:afterAutospacing="0"/>
        <w:ind w:left="426" w:firstLine="0"/>
        <w:textAlignment w:val="baseline"/>
      </w:pPr>
      <w:r w:rsidRPr="00FE377D">
        <w:rPr>
          <w:rStyle w:val="normaltextrun"/>
        </w:rPr>
        <w:t>Access to the diagnostic facilities</w:t>
      </w:r>
      <w:r w:rsidRPr="00FE377D">
        <w:rPr>
          <w:rStyle w:val="eop"/>
        </w:rPr>
        <w:t> </w:t>
      </w:r>
    </w:p>
    <w:p w14:paraId="74FF32BA" w14:textId="48B3D5EA" w:rsidR="00AE7DDB" w:rsidRPr="00FE377D" w:rsidRDefault="00AE7DDB" w:rsidP="00AE7DDB">
      <w:pPr>
        <w:pStyle w:val="paragraph"/>
        <w:numPr>
          <w:ilvl w:val="0"/>
          <w:numId w:val="30"/>
        </w:numPr>
        <w:spacing w:before="0" w:beforeAutospacing="0" w:after="0" w:afterAutospacing="0"/>
        <w:ind w:left="426" w:firstLine="0"/>
        <w:textAlignment w:val="baseline"/>
      </w:pPr>
      <w:r w:rsidRPr="00FE377D">
        <w:rPr>
          <w:rStyle w:val="normaltextrun"/>
        </w:rPr>
        <w:t>Cost of the imaging</w:t>
      </w:r>
      <w:r w:rsidR="00FD41D2" w:rsidRPr="00FE377D">
        <w:rPr>
          <w:rStyle w:val="normaltextrun"/>
        </w:rPr>
        <w:t>.</w:t>
      </w:r>
      <w:r w:rsidRPr="00FE377D">
        <w:rPr>
          <w:rStyle w:val="normaltextrun"/>
        </w:rPr>
        <w:t> </w:t>
      </w:r>
      <w:r w:rsidRPr="00FE377D">
        <w:rPr>
          <w:rStyle w:val="eop"/>
        </w:rPr>
        <w:t> </w:t>
      </w:r>
    </w:p>
    <w:p w14:paraId="7D49FE9B" w14:textId="77777777" w:rsidR="00AE7DDB" w:rsidRPr="00FE377D" w:rsidRDefault="00AE7DDB" w:rsidP="00AE7DDB">
      <w:pPr>
        <w:pStyle w:val="paragraph"/>
        <w:spacing w:before="240" w:beforeAutospacing="0" w:after="0" w:afterAutospacing="0"/>
        <w:textAlignment w:val="baseline"/>
      </w:pPr>
      <w:r w:rsidRPr="00FE377D">
        <w:rPr>
          <w:rStyle w:val="normaltextrun"/>
          <w:b/>
          <w:bCs/>
        </w:rPr>
        <w:t>Other feedback</w:t>
      </w:r>
      <w:r w:rsidRPr="00FE377D">
        <w:rPr>
          <w:rStyle w:val="eop"/>
        </w:rPr>
        <w:t> </w:t>
      </w:r>
    </w:p>
    <w:p w14:paraId="57F18571" w14:textId="6A94E590" w:rsidR="00AE7DDB" w:rsidRPr="00FE377D" w:rsidRDefault="00AE7DDB" w:rsidP="00AE7DDB">
      <w:pPr>
        <w:pStyle w:val="paragraph"/>
        <w:spacing w:before="0" w:beforeAutospacing="0" w:after="0" w:afterAutospacing="0"/>
        <w:textAlignment w:val="baseline"/>
        <w:rPr>
          <w:color w:val="000000"/>
        </w:rPr>
      </w:pPr>
      <w:r w:rsidRPr="00FE377D">
        <w:rPr>
          <w:rStyle w:val="normaltextrun"/>
        </w:rPr>
        <w:t xml:space="preserve">There is no alternative technique available to determine whether patients with metastatic prostate cancer are suitable for therapy with radionuclides labelled to PSMA, including Lutetium-177 PSMA </w:t>
      </w:r>
      <w:proofErr w:type="spellStart"/>
      <w:r w:rsidRPr="00FE377D">
        <w:rPr>
          <w:rStyle w:val="normaltextrun"/>
        </w:rPr>
        <w:t>LluPSMA</w:t>
      </w:r>
      <w:proofErr w:type="spellEnd"/>
      <w:r w:rsidRPr="00FE377D">
        <w:rPr>
          <w:rStyle w:val="normaltextrun"/>
        </w:rPr>
        <w:t xml:space="preserve">), as only the diagnostic PET scans using PSMA can determine whether the known metastatic disease expresses PSMA in sufficient amounts to render them suitable for </w:t>
      </w:r>
      <w:proofErr w:type="spellStart"/>
      <w:r w:rsidRPr="00FE377D">
        <w:rPr>
          <w:rStyle w:val="normaltextrun"/>
        </w:rPr>
        <w:t>LuPSMA</w:t>
      </w:r>
      <w:proofErr w:type="spellEnd"/>
      <w:r w:rsidRPr="00FE377D">
        <w:rPr>
          <w:rStyle w:val="normaltextrun"/>
        </w:rPr>
        <w:t xml:space="preserve"> therapy. </w:t>
      </w:r>
      <w:r w:rsidRPr="00FE377D">
        <w:rPr>
          <w:rStyle w:val="eop"/>
        </w:rPr>
        <w:t> </w:t>
      </w:r>
    </w:p>
    <w:p w14:paraId="78B6A3A9" w14:textId="03AB3845" w:rsidR="00AE7DDB" w:rsidRPr="00FE377D" w:rsidRDefault="00AE7DDB" w:rsidP="00AE7DDB">
      <w:pPr>
        <w:pStyle w:val="paragraph"/>
        <w:spacing w:before="240" w:beforeAutospacing="0" w:after="0" w:afterAutospacing="0"/>
        <w:textAlignment w:val="baseline"/>
        <w:rPr>
          <w:color w:val="000000"/>
        </w:rPr>
      </w:pPr>
      <w:r w:rsidRPr="00FE377D">
        <w:rPr>
          <w:rStyle w:val="normaltextrun"/>
        </w:rPr>
        <w:t xml:space="preserve">In </w:t>
      </w:r>
      <w:r w:rsidR="009C5BEE" w:rsidRPr="00FE377D">
        <w:rPr>
          <w:rStyle w:val="normaltextrun"/>
        </w:rPr>
        <w:t>addition,</w:t>
      </w:r>
      <w:r w:rsidRPr="00FE377D">
        <w:rPr>
          <w:rStyle w:val="normaltextrun"/>
        </w:rPr>
        <w:t xml:space="preserve"> a FDG PET scan is required as current best clinical practice, as occasionally some or most of the prostate cancer metastases lose the ability to express PSMA but are metabolically “active” and hence visible on FDG PET scans. Any significant PSMA/FDG </w:t>
      </w:r>
      <w:proofErr w:type="gramStart"/>
      <w:r w:rsidRPr="00FE377D">
        <w:rPr>
          <w:rStyle w:val="normaltextrun"/>
        </w:rPr>
        <w:t>mis-match</w:t>
      </w:r>
      <w:proofErr w:type="gramEnd"/>
      <w:r w:rsidRPr="00FE377D">
        <w:rPr>
          <w:rStyle w:val="normaltextrun"/>
        </w:rPr>
        <w:t xml:space="preserve"> is a contra-indication to </w:t>
      </w:r>
      <w:proofErr w:type="spellStart"/>
      <w:r w:rsidRPr="00FE377D">
        <w:rPr>
          <w:rStyle w:val="normaltextrun"/>
        </w:rPr>
        <w:t>LuPSMA</w:t>
      </w:r>
      <w:proofErr w:type="spellEnd"/>
      <w:r w:rsidRPr="00FE377D">
        <w:rPr>
          <w:rStyle w:val="normaltextrun"/>
        </w:rPr>
        <w:t xml:space="preserve"> therapy.</w:t>
      </w:r>
      <w:r w:rsidRPr="00FE377D">
        <w:rPr>
          <w:rStyle w:val="eop"/>
        </w:rPr>
        <w:t> </w:t>
      </w:r>
    </w:p>
    <w:p w14:paraId="603662BF" w14:textId="2EEF8B49" w:rsidR="00AE7DDB" w:rsidRPr="00FE377D" w:rsidRDefault="00AE7DDB" w:rsidP="00AE7DDB">
      <w:pPr>
        <w:pStyle w:val="paragraph"/>
        <w:spacing w:before="240" w:beforeAutospacing="0" w:after="0" w:afterAutospacing="0"/>
        <w:textAlignment w:val="baseline"/>
        <w:rPr>
          <w:color w:val="000000"/>
        </w:rPr>
      </w:pPr>
      <w:r w:rsidRPr="00FE377D">
        <w:rPr>
          <w:rStyle w:val="normaltextrun"/>
        </w:rPr>
        <w:t>The feedback disagreed that the “only once per lifetime” clause should be included as patients will typically require restaging and may need more than one course of treatment. The wording "once per 4 treatment cycle course" was proposed. </w:t>
      </w:r>
      <w:r w:rsidRPr="00FE377D">
        <w:rPr>
          <w:rStyle w:val="eop"/>
        </w:rPr>
        <w:t> </w:t>
      </w:r>
    </w:p>
    <w:p w14:paraId="74D25412" w14:textId="61B57BDF" w:rsidR="00AE7DDB" w:rsidRPr="00FE377D" w:rsidRDefault="00AE7DDB" w:rsidP="00AE7DDB">
      <w:pPr>
        <w:pStyle w:val="paragraph"/>
        <w:spacing w:before="240" w:beforeAutospacing="0" w:after="0" w:afterAutospacing="0"/>
        <w:textAlignment w:val="baseline"/>
        <w:rPr>
          <w:color w:val="000000"/>
        </w:rPr>
      </w:pPr>
      <w:r w:rsidRPr="00FE377D">
        <w:rPr>
          <w:rStyle w:val="normaltextrun"/>
        </w:rPr>
        <w:t xml:space="preserve">The suggestion was made to specify funding for </w:t>
      </w:r>
      <w:r w:rsidRPr="00FE377D">
        <w:rPr>
          <w:rStyle w:val="normaltextrun"/>
          <w:vertAlign w:val="superscript"/>
        </w:rPr>
        <w:t>68</w:t>
      </w:r>
      <w:r w:rsidRPr="00FE377D">
        <w:rPr>
          <w:rStyle w:val="normaltextrun"/>
        </w:rPr>
        <w:t>GaPSMA-11 rather than a specific branded product. </w:t>
      </w:r>
      <w:r w:rsidRPr="00FE377D">
        <w:rPr>
          <w:rStyle w:val="eop"/>
        </w:rPr>
        <w:t> </w:t>
      </w:r>
    </w:p>
    <w:p w14:paraId="6E09EFE1" w14:textId="535B4F2A" w:rsidR="00AE7DDB" w:rsidRPr="00FE377D" w:rsidRDefault="00AE7DDB" w:rsidP="00AE7DDB">
      <w:pPr>
        <w:pStyle w:val="paragraph"/>
        <w:spacing w:before="240" w:beforeAutospacing="0" w:after="0" w:afterAutospacing="0"/>
        <w:textAlignment w:val="baseline"/>
        <w:rPr>
          <w:color w:val="000000"/>
        </w:rPr>
      </w:pPr>
      <w:r w:rsidRPr="00FE377D">
        <w:rPr>
          <w:rStyle w:val="normaltextrun"/>
        </w:rPr>
        <w:t>Feedback noted that the significant numbers of prostate cancer patients who live in rural or remote areas where access to medical services can be limited, with long travel times for diagnosis and treatment. </w:t>
      </w:r>
      <w:r w:rsidRPr="00FE377D">
        <w:rPr>
          <w:rStyle w:val="eop"/>
        </w:rPr>
        <w:t> </w:t>
      </w:r>
    </w:p>
    <w:p w14:paraId="1CD7E924" w14:textId="70F8E67B" w:rsidR="00AE7DDB" w:rsidRPr="00FE377D" w:rsidRDefault="00AE7DDB" w:rsidP="00AE7DDB">
      <w:pPr>
        <w:pStyle w:val="paragraph"/>
        <w:spacing w:before="240" w:beforeAutospacing="0" w:after="0" w:afterAutospacing="0"/>
        <w:textAlignment w:val="baseline"/>
        <w:rPr>
          <w:color w:val="000000"/>
        </w:rPr>
      </w:pPr>
      <w:r w:rsidRPr="00FE377D">
        <w:rPr>
          <w:rStyle w:val="normaltextrun"/>
        </w:rPr>
        <w:t>Counselling would benefit patients prior to receiving the results of the imaging, along with information about community support services.</w:t>
      </w:r>
      <w:r w:rsidRPr="00FE377D">
        <w:rPr>
          <w:rStyle w:val="eop"/>
        </w:rPr>
        <w:t> </w:t>
      </w:r>
    </w:p>
    <w:p w14:paraId="03C7A1F1" w14:textId="35B9E2C3" w:rsidR="00772829" w:rsidRDefault="00AE7DDB" w:rsidP="002A18BE">
      <w:pPr>
        <w:pStyle w:val="Heading2"/>
        <w:numPr>
          <w:ilvl w:val="0"/>
          <w:numId w:val="0"/>
        </w:numPr>
      </w:pPr>
      <w:bookmarkStart w:id="19" w:name="_Toc69491422"/>
      <w:r>
        <w:t>10</w:t>
      </w:r>
      <w:r w:rsidR="00C36633">
        <w:t>.</w:t>
      </w:r>
      <w:r w:rsidR="00C36633">
        <w:tab/>
      </w:r>
      <w:r w:rsidR="00772829" w:rsidRPr="00D504ED">
        <w:t>Characteristics of the evidence base</w:t>
      </w:r>
      <w:bookmarkEnd w:id="19"/>
    </w:p>
    <w:p w14:paraId="6F1FBB71" w14:textId="17926647" w:rsidR="00D504ED" w:rsidRPr="00D504ED" w:rsidRDefault="00352EBD" w:rsidP="00D504ED">
      <w:r>
        <w:t>Table 4</w:t>
      </w:r>
      <w:r w:rsidR="00D504ED">
        <w:t xml:space="preserve"> presents a summary of the key features of the included evidence.</w:t>
      </w:r>
    </w:p>
    <w:p w14:paraId="005968B3" w14:textId="666A5F1F" w:rsidR="00956ACE" w:rsidRPr="00CE28E3" w:rsidRDefault="00956ACE" w:rsidP="009A06F4">
      <w:pPr>
        <w:pStyle w:val="Caption"/>
        <w:rPr>
          <w:sz w:val="16"/>
          <w:szCs w:val="16"/>
        </w:rPr>
      </w:pPr>
      <w:bookmarkStart w:id="20" w:name="_Ref69725659"/>
      <w:r w:rsidRPr="00CE28E3">
        <w:lastRenderedPageBreak/>
        <w:t>Table</w:t>
      </w:r>
      <w:r w:rsidR="004A4FDF">
        <w:t> </w:t>
      </w:r>
      <w:r w:rsidR="00352EBD">
        <w:t>4</w:t>
      </w:r>
      <w:bookmarkEnd w:id="20"/>
      <w:r w:rsidRPr="00CE28E3">
        <w:tab/>
        <w:t xml:space="preserve">Key features of the included evidence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3424"/>
        <w:gridCol w:w="1839"/>
        <w:gridCol w:w="1937"/>
      </w:tblGrid>
      <w:tr w:rsidR="00956ACE" w:rsidRPr="00CE28E3" w14:paraId="530E3954" w14:textId="77777777" w:rsidTr="00D504ED">
        <w:trPr>
          <w:tblHeader/>
        </w:trPr>
        <w:tc>
          <w:tcPr>
            <w:tcW w:w="1007" w:type="pct"/>
            <w:tcBorders>
              <w:top w:val="single" w:sz="4" w:space="0" w:color="auto"/>
              <w:left w:val="single" w:sz="4" w:space="0" w:color="auto"/>
              <w:bottom w:val="single" w:sz="4" w:space="0" w:color="auto"/>
              <w:right w:val="single" w:sz="4" w:space="0" w:color="auto"/>
            </w:tcBorders>
            <w:vAlign w:val="bottom"/>
          </w:tcPr>
          <w:p w14:paraId="0112563A" w14:textId="3CE1178E" w:rsidR="00956ACE" w:rsidRPr="00CE28E3" w:rsidRDefault="00BC4972" w:rsidP="00670650">
            <w:pPr>
              <w:pStyle w:val="TableText"/>
              <w:keepNext/>
              <w:rPr>
                <w:b/>
              </w:rPr>
            </w:pPr>
            <w:bookmarkStart w:id="21" w:name="ColumnTitle_Table4"/>
            <w:bookmarkStart w:id="22" w:name="_Hlk68276288"/>
            <w:bookmarkEnd w:id="21"/>
            <w:r>
              <w:rPr>
                <w:b/>
              </w:rPr>
              <w:t>Criteri</w:t>
            </w:r>
            <w:r w:rsidR="004D4425">
              <w:rPr>
                <w:b/>
              </w:rPr>
              <w:t>on</w:t>
            </w:r>
          </w:p>
        </w:tc>
        <w:tc>
          <w:tcPr>
            <w:tcW w:w="1899" w:type="pct"/>
            <w:tcBorders>
              <w:top w:val="single" w:sz="4" w:space="0" w:color="auto"/>
              <w:left w:val="single" w:sz="4" w:space="0" w:color="auto"/>
              <w:bottom w:val="single" w:sz="4" w:space="0" w:color="auto"/>
              <w:right w:val="single" w:sz="4" w:space="0" w:color="auto"/>
            </w:tcBorders>
            <w:vAlign w:val="bottom"/>
            <w:hideMark/>
          </w:tcPr>
          <w:p w14:paraId="37828F38" w14:textId="77777777" w:rsidR="00956ACE" w:rsidRPr="00CE28E3" w:rsidRDefault="00956ACE" w:rsidP="00670650">
            <w:pPr>
              <w:pStyle w:val="TableText"/>
              <w:keepNext/>
              <w:rPr>
                <w:b/>
              </w:rPr>
            </w:pPr>
            <w:r w:rsidRPr="00CE28E3">
              <w:rPr>
                <w:b/>
              </w:rPr>
              <w:t>Type of evidence supplied</w:t>
            </w:r>
          </w:p>
        </w:tc>
        <w:tc>
          <w:tcPr>
            <w:tcW w:w="1020" w:type="pct"/>
            <w:tcBorders>
              <w:top w:val="single" w:sz="4" w:space="0" w:color="auto"/>
              <w:left w:val="single" w:sz="4" w:space="0" w:color="auto"/>
              <w:bottom w:val="single" w:sz="4" w:space="0" w:color="auto"/>
              <w:right w:val="single" w:sz="4" w:space="0" w:color="auto"/>
            </w:tcBorders>
            <w:vAlign w:val="bottom"/>
            <w:hideMark/>
          </w:tcPr>
          <w:p w14:paraId="26BD1646" w14:textId="77777777" w:rsidR="00956ACE" w:rsidRPr="00CE28E3" w:rsidRDefault="00956ACE" w:rsidP="00670650">
            <w:pPr>
              <w:pStyle w:val="TableText"/>
              <w:keepNext/>
              <w:rPr>
                <w:b/>
              </w:rPr>
            </w:pPr>
            <w:r w:rsidRPr="00CE28E3">
              <w:rPr>
                <w:b/>
              </w:rPr>
              <w:t>Extent of evidence supplied</w:t>
            </w:r>
          </w:p>
        </w:tc>
        <w:tc>
          <w:tcPr>
            <w:tcW w:w="1074" w:type="pct"/>
            <w:tcBorders>
              <w:top w:val="single" w:sz="4" w:space="0" w:color="auto"/>
              <w:left w:val="single" w:sz="4" w:space="0" w:color="auto"/>
              <w:bottom w:val="single" w:sz="4" w:space="0" w:color="auto"/>
              <w:right w:val="single" w:sz="4" w:space="0" w:color="auto"/>
            </w:tcBorders>
            <w:vAlign w:val="bottom"/>
            <w:hideMark/>
          </w:tcPr>
          <w:p w14:paraId="3F0C39B2" w14:textId="77777777" w:rsidR="00956ACE" w:rsidRPr="00CE28E3" w:rsidRDefault="00956ACE" w:rsidP="00670650">
            <w:pPr>
              <w:pStyle w:val="TableText"/>
              <w:keepNext/>
              <w:rPr>
                <w:b/>
              </w:rPr>
            </w:pPr>
            <w:r w:rsidRPr="00CE28E3">
              <w:rPr>
                <w:b/>
              </w:rPr>
              <w:t>Overall risk of bias in evidence base</w:t>
            </w:r>
          </w:p>
        </w:tc>
      </w:tr>
      <w:tr w:rsidR="00956ACE" w:rsidRPr="00CE28E3" w14:paraId="05D3B099" w14:textId="77777777" w:rsidTr="00D504ED">
        <w:tc>
          <w:tcPr>
            <w:tcW w:w="1007" w:type="pct"/>
            <w:tcBorders>
              <w:top w:val="single" w:sz="4" w:space="0" w:color="auto"/>
              <w:left w:val="single" w:sz="4" w:space="0" w:color="auto"/>
              <w:bottom w:val="single" w:sz="4" w:space="0" w:color="auto"/>
              <w:right w:val="single" w:sz="4" w:space="0" w:color="auto"/>
            </w:tcBorders>
            <w:hideMark/>
          </w:tcPr>
          <w:p w14:paraId="0B814D42" w14:textId="77777777" w:rsidR="00956ACE" w:rsidRPr="00CE28E3" w:rsidRDefault="00956ACE" w:rsidP="00807DF3">
            <w:pPr>
              <w:pStyle w:val="TableText"/>
              <w:keepNext/>
            </w:pPr>
            <w:r w:rsidRPr="00CE28E3">
              <w:t>Prognostic evidence (longitudinal accuracy)</w:t>
            </w:r>
          </w:p>
        </w:tc>
        <w:tc>
          <w:tcPr>
            <w:tcW w:w="1899" w:type="pct"/>
            <w:tcBorders>
              <w:top w:val="single" w:sz="4" w:space="0" w:color="auto"/>
              <w:left w:val="single" w:sz="4" w:space="0" w:color="auto"/>
              <w:bottom w:val="single" w:sz="4" w:space="0" w:color="auto"/>
              <w:right w:val="single" w:sz="4" w:space="0" w:color="auto"/>
            </w:tcBorders>
            <w:shd w:val="clear" w:color="auto" w:fill="auto"/>
            <w:hideMark/>
          </w:tcPr>
          <w:p w14:paraId="7A7D976B" w14:textId="61C4751A" w:rsidR="00956ACE" w:rsidRPr="00CE28E3" w:rsidRDefault="00D504ED" w:rsidP="00670650">
            <w:pPr>
              <w:pStyle w:val="TableText"/>
              <w:keepNext/>
            </w:pPr>
            <w:r>
              <w:t xml:space="preserve">2 RCTs and </w:t>
            </w:r>
            <w:r w:rsidR="00B57D35" w:rsidRPr="00B273BD">
              <w:t>13 single arm studies</w:t>
            </w:r>
            <w:r w:rsidR="00E9681B" w:rsidRPr="00B273BD">
              <w:t xml:space="preserve">. </w:t>
            </w:r>
          </w:p>
        </w:tc>
        <w:tc>
          <w:tcPr>
            <w:tcW w:w="1020" w:type="pct"/>
            <w:tcBorders>
              <w:top w:val="single" w:sz="4" w:space="0" w:color="auto"/>
              <w:left w:val="single" w:sz="4" w:space="0" w:color="auto"/>
              <w:bottom w:val="single" w:sz="4" w:space="0" w:color="auto"/>
              <w:right w:val="single" w:sz="4" w:space="0" w:color="auto"/>
            </w:tcBorders>
            <w:hideMark/>
          </w:tcPr>
          <w:p w14:paraId="3F26D7C9" w14:textId="1D80BEF4" w:rsidR="00956ACE" w:rsidRPr="00CE28E3" w:rsidRDefault="00956ACE" w:rsidP="00670650">
            <w:pPr>
              <w:pStyle w:val="TableText"/>
              <w:keepNext/>
            </w:pPr>
            <w:r w:rsidRPr="00CE28E3">
              <w:rPr>
                <w:rFonts w:ascii="MS Gothic" w:eastAsia="MS Gothic" w:hAnsi="MS Gothic" w:hint="eastAsia"/>
                <w:lang w:val="en-US"/>
              </w:rPr>
              <w:t>☐</w:t>
            </w:r>
            <w:r w:rsidRPr="00CE28E3">
              <w:tab/>
              <w:t>k=</w:t>
            </w:r>
            <w:r w:rsidR="00E00BA3">
              <w:t>15</w:t>
            </w:r>
            <w:r w:rsidRPr="00CE28E3">
              <w:tab/>
              <w:t>n=</w:t>
            </w:r>
            <w:r w:rsidR="00E00BA3">
              <w:t>1,659</w:t>
            </w:r>
          </w:p>
        </w:tc>
        <w:tc>
          <w:tcPr>
            <w:tcW w:w="1074" w:type="pct"/>
            <w:tcBorders>
              <w:top w:val="single" w:sz="4" w:space="0" w:color="auto"/>
              <w:left w:val="single" w:sz="4" w:space="0" w:color="auto"/>
              <w:bottom w:val="single" w:sz="4" w:space="0" w:color="auto"/>
              <w:right w:val="single" w:sz="4" w:space="0" w:color="auto"/>
            </w:tcBorders>
            <w:hideMark/>
          </w:tcPr>
          <w:p w14:paraId="503113DC" w14:textId="6E0FC7C0" w:rsidR="00956ACE" w:rsidRPr="00CE28E3" w:rsidRDefault="00DE5970" w:rsidP="00670650">
            <w:pPr>
              <w:pStyle w:val="TableText"/>
              <w:keepNext/>
            </w:pPr>
            <w:r w:rsidRPr="00DE5970">
              <w:t>High</w:t>
            </w:r>
          </w:p>
        </w:tc>
      </w:tr>
      <w:tr w:rsidR="00956ACE" w:rsidRPr="00CE28E3" w14:paraId="020F989B" w14:textId="77777777" w:rsidTr="00D504ED">
        <w:tc>
          <w:tcPr>
            <w:tcW w:w="1007" w:type="pct"/>
            <w:tcBorders>
              <w:top w:val="single" w:sz="4" w:space="0" w:color="auto"/>
              <w:left w:val="single" w:sz="4" w:space="0" w:color="auto"/>
              <w:bottom w:val="single" w:sz="4" w:space="0" w:color="auto"/>
              <w:right w:val="single" w:sz="4" w:space="0" w:color="auto"/>
            </w:tcBorders>
            <w:hideMark/>
          </w:tcPr>
          <w:p w14:paraId="252A909C" w14:textId="77777777" w:rsidR="00956ACE" w:rsidRPr="00CE28E3" w:rsidRDefault="00956ACE" w:rsidP="00670650">
            <w:pPr>
              <w:pStyle w:val="TableText"/>
              <w:keepNext/>
            </w:pPr>
            <w:r w:rsidRPr="00CE28E3">
              <w:t xml:space="preserve">Change in patient management </w:t>
            </w:r>
          </w:p>
        </w:tc>
        <w:tc>
          <w:tcPr>
            <w:tcW w:w="1899" w:type="pct"/>
            <w:tcBorders>
              <w:top w:val="single" w:sz="4" w:space="0" w:color="auto"/>
              <w:left w:val="single" w:sz="4" w:space="0" w:color="auto"/>
              <w:bottom w:val="single" w:sz="4" w:space="0" w:color="auto"/>
              <w:right w:val="single" w:sz="4" w:space="0" w:color="auto"/>
            </w:tcBorders>
            <w:hideMark/>
          </w:tcPr>
          <w:p w14:paraId="282DAA6D" w14:textId="77777777" w:rsidR="00D504ED" w:rsidRDefault="00D504ED" w:rsidP="00D504ED">
            <w:pPr>
              <w:pStyle w:val="TableText"/>
              <w:keepNext/>
            </w:pPr>
            <w:r>
              <w:t xml:space="preserve">2 single </w:t>
            </w:r>
            <w:r>
              <w:rPr>
                <w:vertAlign w:val="superscript"/>
              </w:rPr>
              <w:t>177</w:t>
            </w:r>
            <w:r>
              <w:t>Lu PSMA-617 arms from 2 RCTs</w:t>
            </w:r>
          </w:p>
          <w:p w14:paraId="6CFA7EE5" w14:textId="7AEFD449" w:rsidR="00956ACE" w:rsidRPr="00CE28E3" w:rsidRDefault="00D504ED" w:rsidP="00D504ED">
            <w:pPr>
              <w:pStyle w:val="TableText"/>
              <w:keepNext/>
            </w:pPr>
            <w:r>
              <w:t>3 prospective studies (</w:t>
            </w:r>
            <w:r w:rsidRPr="002A6E7A">
              <w:rPr>
                <w:vertAlign w:val="superscript"/>
              </w:rPr>
              <w:t>177</w:t>
            </w:r>
            <w:r>
              <w:t>Lu PSMA</w:t>
            </w:r>
            <w:r w:rsidRPr="002A6E7A">
              <w:t>-617</w:t>
            </w:r>
            <w:r>
              <w:t>)</w:t>
            </w:r>
          </w:p>
        </w:tc>
        <w:tc>
          <w:tcPr>
            <w:tcW w:w="1020" w:type="pct"/>
            <w:tcBorders>
              <w:top w:val="single" w:sz="4" w:space="0" w:color="auto"/>
              <w:left w:val="single" w:sz="4" w:space="0" w:color="auto"/>
              <w:bottom w:val="single" w:sz="4" w:space="0" w:color="auto"/>
              <w:right w:val="single" w:sz="4" w:space="0" w:color="auto"/>
            </w:tcBorders>
            <w:hideMark/>
          </w:tcPr>
          <w:p w14:paraId="60E3094E" w14:textId="2BB7E84E" w:rsidR="00956ACE" w:rsidRPr="00CE28E3" w:rsidRDefault="00956ACE" w:rsidP="00670650">
            <w:pPr>
              <w:pStyle w:val="TableText"/>
              <w:keepNext/>
            </w:pPr>
            <w:r w:rsidRPr="00CE28E3">
              <w:rPr>
                <w:rFonts w:ascii="MS Gothic" w:eastAsia="MS Gothic" w:hAnsi="MS Gothic" w:hint="eastAsia"/>
                <w:lang w:val="en-US"/>
              </w:rPr>
              <w:t>☐</w:t>
            </w:r>
            <w:r w:rsidRPr="00CE28E3">
              <w:tab/>
              <w:t>k=</w:t>
            </w:r>
            <w:r w:rsidR="006D1D0B">
              <w:t>5</w:t>
            </w:r>
            <w:r w:rsidRPr="00CE28E3">
              <w:tab/>
              <w:t>n=</w:t>
            </w:r>
            <w:r w:rsidR="006D1D0B" w:rsidRPr="006D1D0B">
              <w:t>1,455</w:t>
            </w:r>
          </w:p>
        </w:tc>
        <w:tc>
          <w:tcPr>
            <w:tcW w:w="1074" w:type="pct"/>
            <w:tcBorders>
              <w:top w:val="single" w:sz="4" w:space="0" w:color="auto"/>
              <w:left w:val="single" w:sz="4" w:space="0" w:color="auto"/>
              <w:bottom w:val="single" w:sz="4" w:space="0" w:color="auto"/>
              <w:right w:val="single" w:sz="4" w:space="0" w:color="auto"/>
            </w:tcBorders>
            <w:hideMark/>
          </w:tcPr>
          <w:p w14:paraId="00E8E7C1" w14:textId="1433B61B" w:rsidR="00956ACE" w:rsidRPr="00D504ED" w:rsidRDefault="00D504ED" w:rsidP="00D504ED">
            <w:pPr>
              <w:pStyle w:val="TableText"/>
            </w:pPr>
            <w:r w:rsidRPr="00D504ED">
              <w:t>High</w:t>
            </w:r>
          </w:p>
        </w:tc>
      </w:tr>
      <w:tr w:rsidR="00956ACE" w:rsidRPr="00CE28E3" w14:paraId="0A575DD3" w14:textId="77777777" w:rsidTr="00D504ED">
        <w:tc>
          <w:tcPr>
            <w:tcW w:w="1007" w:type="pct"/>
            <w:tcBorders>
              <w:top w:val="single" w:sz="4" w:space="0" w:color="auto"/>
              <w:left w:val="single" w:sz="4" w:space="0" w:color="auto"/>
              <w:bottom w:val="single" w:sz="4" w:space="0" w:color="auto"/>
              <w:right w:val="single" w:sz="4" w:space="0" w:color="auto"/>
            </w:tcBorders>
            <w:hideMark/>
          </w:tcPr>
          <w:p w14:paraId="2B5E1C59" w14:textId="77777777" w:rsidR="00956ACE" w:rsidRPr="00CE28E3" w:rsidRDefault="00956ACE" w:rsidP="00670650">
            <w:pPr>
              <w:pStyle w:val="TableText"/>
              <w:keepNext/>
            </w:pPr>
            <w:r w:rsidRPr="00CE28E3">
              <w:t xml:space="preserve">Health outcomes  </w:t>
            </w:r>
          </w:p>
        </w:tc>
        <w:tc>
          <w:tcPr>
            <w:tcW w:w="1899" w:type="pct"/>
            <w:tcBorders>
              <w:top w:val="single" w:sz="4" w:space="0" w:color="auto"/>
              <w:left w:val="single" w:sz="4" w:space="0" w:color="auto"/>
              <w:bottom w:val="single" w:sz="4" w:space="0" w:color="auto"/>
              <w:right w:val="single" w:sz="4" w:space="0" w:color="auto"/>
            </w:tcBorders>
          </w:tcPr>
          <w:p w14:paraId="3BE6067D" w14:textId="77777777" w:rsidR="00D504ED" w:rsidRDefault="00D504ED" w:rsidP="00D504ED">
            <w:pPr>
              <w:pStyle w:val="TableText"/>
            </w:pPr>
            <w:r>
              <w:t>2 OL RCTs</w:t>
            </w:r>
          </w:p>
          <w:p w14:paraId="0293B684" w14:textId="77777777" w:rsidR="00D504ED" w:rsidRDefault="00D504ED" w:rsidP="00E12DF5">
            <w:pPr>
              <w:pStyle w:val="TableText"/>
              <w:numPr>
                <w:ilvl w:val="0"/>
                <w:numId w:val="16"/>
              </w:numPr>
              <w:ind w:left="193" w:hanging="193"/>
            </w:pPr>
            <w:r>
              <w:rPr>
                <w:vertAlign w:val="superscript"/>
              </w:rPr>
              <w:t>177</w:t>
            </w:r>
            <w:r>
              <w:t>Lu PSMA-617 versus cabazitaxel</w:t>
            </w:r>
          </w:p>
          <w:p w14:paraId="54723D7C" w14:textId="5DCAFB62" w:rsidR="00956ACE" w:rsidRPr="00CE28E3" w:rsidRDefault="00D504ED" w:rsidP="00E12DF5">
            <w:pPr>
              <w:pStyle w:val="TableText"/>
              <w:numPr>
                <w:ilvl w:val="0"/>
                <w:numId w:val="16"/>
              </w:numPr>
              <w:ind w:left="193" w:hanging="193"/>
            </w:pPr>
            <w:r>
              <w:rPr>
                <w:vertAlign w:val="superscript"/>
              </w:rPr>
              <w:t>177</w:t>
            </w:r>
            <w:r>
              <w:t>Lu PSMA-617 + BSc versus BSc alone</w:t>
            </w:r>
          </w:p>
        </w:tc>
        <w:tc>
          <w:tcPr>
            <w:tcW w:w="1020" w:type="pct"/>
            <w:tcBorders>
              <w:top w:val="single" w:sz="4" w:space="0" w:color="auto"/>
              <w:left w:val="single" w:sz="4" w:space="0" w:color="auto"/>
              <w:bottom w:val="single" w:sz="4" w:space="0" w:color="auto"/>
              <w:right w:val="single" w:sz="4" w:space="0" w:color="auto"/>
            </w:tcBorders>
          </w:tcPr>
          <w:p w14:paraId="3DADA39D" w14:textId="2E6C9207" w:rsidR="00956ACE" w:rsidRPr="00CE28E3" w:rsidRDefault="00956ACE" w:rsidP="00670650">
            <w:pPr>
              <w:pStyle w:val="TableText"/>
              <w:keepNext/>
            </w:pPr>
            <w:r w:rsidRPr="00CE28E3">
              <w:rPr>
                <w:rFonts w:ascii="MS Gothic" w:eastAsia="MS Gothic" w:hAnsi="MS Gothic" w:hint="eastAsia"/>
                <w:lang w:val="en-US"/>
              </w:rPr>
              <w:t>☐</w:t>
            </w:r>
            <w:r w:rsidRPr="00CE28E3">
              <w:tab/>
              <w:t>k=</w:t>
            </w:r>
            <w:r w:rsidR="006F58A9">
              <w:t>2</w:t>
            </w:r>
            <w:r w:rsidRPr="00CE28E3">
              <w:tab/>
              <w:t>n=</w:t>
            </w:r>
            <w:r w:rsidR="006F58A9" w:rsidRPr="006F58A9">
              <w:t>1,031</w:t>
            </w:r>
          </w:p>
          <w:p w14:paraId="496A8CDC" w14:textId="77777777" w:rsidR="00956ACE" w:rsidRPr="00CE28E3" w:rsidRDefault="00956ACE" w:rsidP="00670650">
            <w:pPr>
              <w:pStyle w:val="TableText"/>
              <w:keepNext/>
            </w:pPr>
          </w:p>
        </w:tc>
        <w:tc>
          <w:tcPr>
            <w:tcW w:w="1074" w:type="pct"/>
            <w:tcBorders>
              <w:top w:val="single" w:sz="4" w:space="0" w:color="auto"/>
              <w:left w:val="single" w:sz="4" w:space="0" w:color="auto"/>
              <w:bottom w:val="single" w:sz="4" w:space="0" w:color="auto"/>
              <w:right w:val="single" w:sz="4" w:space="0" w:color="auto"/>
            </w:tcBorders>
            <w:hideMark/>
          </w:tcPr>
          <w:p w14:paraId="17AAB10F" w14:textId="21F070A9" w:rsidR="00956ACE" w:rsidRPr="00CE28E3" w:rsidRDefault="00836BF9" w:rsidP="00836BF9">
            <w:pPr>
              <w:pStyle w:val="TableText"/>
            </w:pPr>
            <w:r w:rsidRPr="00836BF9">
              <w:t>High</w:t>
            </w:r>
          </w:p>
        </w:tc>
      </w:tr>
    </w:tbl>
    <w:p w14:paraId="05072EFF" w14:textId="77777777" w:rsidR="00AB400D" w:rsidRDefault="00AB400D" w:rsidP="00AB400D">
      <w:pPr>
        <w:pStyle w:val="TableFigureFooter"/>
      </w:pPr>
      <w:bookmarkStart w:id="23" w:name="_Hlk68276301"/>
      <w:bookmarkStart w:id="24" w:name="_Toc69491423"/>
      <w:bookmarkEnd w:id="22"/>
      <w:r w:rsidRPr="00291FD7">
        <w:rPr>
          <w:vertAlign w:val="superscript"/>
        </w:rPr>
        <w:t>177</w:t>
      </w:r>
      <w:r>
        <w:t xml:space="preserve">Lu = </w:t>
      </w:r>
      <w:r w:rsidRPr="00291FD7">
        <w:rPr>
          <w:vertAlign w:val="superscript"/>
        </w:rPr>
        <w:t>177</w:t>
      </w:r>
      <w:r>
        <w:t xml:space="preserve">lutetium; BSc = best supportive care; </w:t>
      </w:r>
      <w:r w:rsidRPr="00291FD7">
        <w:t>k</w:t>
      </w:r>
      <w:r>
        <w:t xml:space="preserve"> </w:t>
      </w:r>
      <w:r w:rsidRPr="00CE28E3">
        <w:t>=</w:t>
      </w:r>
      <w:r>
        <w:t xml:space="preserve"> </w:t>
      </w:r>
      <w:r w:rsidRPr="00CE28E3">
        <w:t>number of studies</w:t>
      </w:r>
      <w:r>
        <w:t>;</w:t>
      </w:r>
      <w:r w:rsidRPr="00CE28E3">
        <w:t xml:space="preserve"> n</w:t>
      </w:r>
      <w:r>
        <w:t xml:space="preserve"> </w:t>
      </w:r>
      <w:r w:rsidRPr="00CE28E3">
        <w:t>=</w:t>
      </w:r>
      <w:r>
        <w:t xml:space="preserve"> </w:t>
      </w:r>
      <w:r w:rsidRPr="00CE28E3">
        <w:t>number of patients</w:t>
      </w:r>
      <w:r>
        <w:t>; OL = open label; PSMA = p</w:t>
      </w:r>
      <w:r w:rsidRPr="00291FD7">
        <w:t>rostate specific membrane antige</w:t>
      </w:r>
      <w:r>
        <w:t>n; RCT = randomised controlled trial;</w:t>
      </w:r>
      <w:r w:rsidRPr="00291FD7">
        <w:t xml:space="preserve"> </w:t>
      </w:r>
      <w:proofErr w:type="spellStart"/>
      <w:r>
        <w:t>SUV</w:t>
      </w:r>
      <w:r>
        <w:rPr>
          <w:vertAlign w:val="subscript"/>
        </w:rPr>
        <w:t>max</w:t>
      </w:r>
      <w:proofErr w:type="spellEnd"/>
      <w:r>
        <w:t xml:space="preserve"> =</w:t>
      </w:r>
      <w:r w:rsidRPr="00291FD7">
        <w:t xml:space="preserve"> maximum standardised uptake value</w:t>
      </w:r>
    </w:p>
    <w:bookmarkEnd w:id="23"/>
    <w:p w14:paraId="3B9FC2AD" w14:textId="71833F14" w:rsidR="00772829" w:rsidRPr="00CE28E3" w:rsidRDefault="00AE7DDB" w:rsidP="002A18BE">
      <w:pPr>
        <w:pStyle w:val="Heading2"/>
        <w:numPr>
          <w:ilvl w:val="0"/>
          <w:numId w:val="0"/>
        </w:numPr>
      </w:pPr>
      <w:r>
        <w:t>11</w:t>
      </w:r>
      <w:r w:rsidR="00C36633">
        <w:t>.</w:t>
      </w:r>
      <w:r w:rsidR="00C36633">
        <w:tab/>
      </w:r>
      <w:r w:rsidR="00772829" w:rsidRPr="00CE28E3">
        <w:t>Comparative safety</w:t>
      </w:r>
      <w:bookmarkEnd w:id="24"/>
    </w:p>
    <w:p w14:paraId="72B36E22" w14:textId="7358B014" w:rsidR="008D13AE" w:rsidRPr="00AC67B8" w:rsidRDefault="008D13AE" w:rsidP="00C26822">
      <w:pPr>
        <w:spacing w:after="240"/>
        <w:rPr>
          <w:u w:val="single"/>
        </w:rPr>
      </w:pPr>
      <w:r w:rsidRPr="00AC67B8">
        <w:rPr>
          <w:u w:val="single"/>
          <w:vertAlign w:val="superscript"/>
        </w:rPr>
        <w:t>68</w:t>
      </w:r>
      <w:r w:rsidRPr="00AC67B8">
        <w:rPr>
          <w:u w:val="single"/>
        </w:rPr>
        <w:t>Ga-PSMA-11</w:t>
      </w:r>
    </w:p>
    <w:p w14:paraId="452FD2E9" w14:textId="77777777" w:rsidR="008D13AE" w:rsidRDefault="001A180F" w:rsidP="00C26822">
      <w:pPr>
        <w:spacing w:after="240"/>
      </w:pPr>
      <w:r>
        <w:t xml:space="preserve">The ADAR presented </w:t>
      </w:r>
      <w:r w:rsidR="00F14FB3">
        <w:t xml:space="preserve">safety data </w:t>
      </w:r>
      <w:r w:rsidR="00F14FB3" w:rsidRPr="001A09F0">
        <w:t xml:space="preserve">of </w:t>
      </w:r>
      <w:r w:rsidR="00F14FB3" w:rsidRPr="00741297">
        <w:rPr>
          <w:bCs/>
          <w:iCs/>
          <w:vertAlign w:val="superscript"/>
        </w:rPr>
        <w:t>68</w:t>
      </w:r>
      <w:r w:rsidR="00F14FB3" w:rsidRPr="00741297">
        <w:rPr>
          <w:bCs/>
          <w:iCs/>
        </w:rPr>
        <w:t>Ga</w:t>
      </w:r>
      <w:r w:rsidR="00F14FB3" w:rsidRPr="001A09F0">
        <w:t xml:space="preserve">-PSMA-11 PET/CT imaging </w:t>
      </w:r>
      <w:r w:rsidR="00F14FB3">
        <w:t xml:space="preserve">derived exclusively from </w:t>
      </w:r>
      <w:r w:rsidR="00306DEE">
        <w:t xml:space="preserve">the </w:t>
      </w:r>
      <w:r w:rsidR="00F14FB3">
        <w:t xml:space="preserve">VISION trial. </w:t>
      </w:r>
      <w:r w:rsidR="008D13AE">
        <w:t>No</w:t>
      </w:r>
      <w:r w:rsidR="008D13AE" w:rsidRPr="001A09F0">
        <w:t xml:space="preserve"> evidence to support the safety of </w:t>
      </w:r>
      <w:r w:rsidR="008D13AE" w:rsidRPr="00741297">
        <w:rPr>
          <w:bCs/>
          <w:iCs/>
          <w:vertAlign w:val="superscript"/>
        </w:rPr>
        <w:t>68</w:t>
      </w:r>
      <w:r w:rsidR="008D13AE" w:rsidRPr="00741297">
        <w:rPr>
          <w:bCs/>
          <w:iCs/>
        </w:rPr>
        <w:t>Ga</w:t>
      </w:r>
      <w:r w:rsidR="008D13AE" w:rsidRPr="001A09F0">
        <w:t>-PSMA-11 PET/CT imaging compared to other types of imaging</w:t>
      </w:r>
      <w:r w:rsidR="008D13AE">
        <w:t xml:space="preserve"> was provided</w:t>
      </w:r>
      <w:r w:rsidR="008D13AE" w:rsidRPr="001A09F0">
        <w:t>.</w:t>
      </w:r>
    </w:p>
    <w:p w14:paraId="21AEB57B" w14:textId="0DE17C43" w:rsidR="008D13AE" w:rsidRPr="008D13AE" w:rsidRDefault="008D13AE" w:rsidP="00C26822">
      <w:pPr>
        <w:spacing w:after="240"/>
      </w:pPr>
      <w:r w:rsidRPr="008D13AE">
        <w:t xml:space="preserve">There were 3 deaths reported in the study. One subject died from cerebral (subdural) hematoma, the second died from left ventricular dysfunction and the third subject died due to cardiorespiratory arrest. Cardiorespiratory arrest occurred in a patient randomized to the </w:t>
      </w:r>
      <w:r w:rsidR="00820F0C">
        <w:br/>
      </w:r>
      <w:r w:rsidRPr="008D13AE">
        <w:rPr>
          <w:vertAlign w:val="superscript"/>
        </w:rPr>
        <w:t>177</w:t>
      </w:r>
      <w:r w:rsidRPr="008D13AE">
        <w:t xml:space="preserve">Lu-PSMA-617 arm; however, the other two events occurred in patients who were not enrolled. Neither event was deemed related to </w:t>
      </w:r>
      <w:r w:rsidRPr="008D13AE">
        <w:rPr>
          <w:vertAlign w:val="superscript"/>
        </w:rPr>
        <w:t>68</w:t>
      </w:r>
      <w:r w:rsidRPr="008D13AE">
        <w:t xml:space="preserve">Ga-PSMA-11 administration. </w:t>
      </w:r>
    </w:p>
    <w:p w14:paraId="5362B3DE" w14:textId="58B0702E" w:rsidR="00930698" w:rsidRDefault="008D13AE" w:rsidP="00C26822">
      <w:pPr>
        <w:spacing w:after="240"/>
      </w:pPr>
      <w:r w:rsidRPr="008D13AE">
        <w:t xml:space="preserve">The </w:t>
      </w:r>
      <w:r>
        <w:t xml:space="preserve">ADAR surmises that </w:t>
      </w:r>
      <w:r w:rsidRPr="008D13AE">
        <w:t xml:space="preserve">safety data from the VISION study indicate that </w:t>
      </w:r>
      <w:r w:rsidRPr="008D13AE">
        <w:rPr>
          <w:vertAlign w:val="superscript"/>
        </w:rPr>
        <w:t>68</w:t>
      </w:r>
      <w:r w:rsidRPr="008D13AE">
        <w:t>Ga-PSMA-11 PET/CT imaging is safe and well-tolerated in patients with prostate cancer and shows a comparable safety profile to other medical imaging products. Diagnostic radiopharmaceuticals (microdose products with short half-lives) are unlikely to trigger changes in laboratory parameters, vital signs, and/or ECG parameters.</w:t>
      </w:r>
      <w:r w:rsidR="001A09F0" w:rsidRPr="001A09F0">
        <w:t xml:space="preserve"> </w:t>
      </w:r>
    </w:p>
    <w:p w14:paraId="24FB891D" w14:textId="3AE4036D" w:rsidR="008D13AE" w:rsidRDefault="008D13AE" w:rsidP="00AC67B8">
      <w:r>
        <w:t xml:space="preserve">The Commentary </w:t>
      </w:r>
      <w:r w:rsidRPr="008D13AE">
        <w:t>acknowledged that safety and efficacy of PSMA PET/CT regardless of the types of radiopharmaceutical tracer was confirmed by MSAC in 1632 Final PSD: “MSAC advised that PSMA PET/CT had at least non-inferior safety and superior effectiveness in terms of superior diagnostic accuracy and clinical utility; in particular, its ability to change management intent compared with conventional imaging in the initial staging and restaging of prostate cancer” (MSAC 1632 July 2021 PSD, p1).</w:t>
      </w:r>
    </w:p>
    <w:p w14:paraId="7D8730C8" w14:textId="77777777" w:rsidR="008D13AE" w:rsidRDefault="008D13AE" w:rsidP="00C26822">
      <w:pPr>
        <w:keepNext/>
        <w:spacing w:before="240" w:after="240"/>
        <w:rPr>
          <w:u w:val="single"/>
        </w:rPr>
      </w:pPr>
      <w:r w:rsidRPr="00291FD7">
        <w:rPr>
          <w:u w:val="single"/>
          <w:vertAlign w:val="superscript"/>
        </w:rPr>
        <w:t>177</w:t>
      </w:r>
      <w:r>
        <w:rPr>
          <w:u w:val="single"/>
        </w:rPr>
        <w:t>Lu PSMA</w:t>
      </w:r>
      <w:r w:rsidRPr="00291FD7">
        <w:rPr>
          <w:u w:val="single"/>
        </w:rPr>
        <w:t>-</w:t>
      </w:r>
      <w:r>
        <w:rPr>
          <w:u w:val="single"/>
        </w:rPr>
        <w:t>617</w:t>
      </w:r>
      <w:r w:rsidRPr="00291FD7">
        <w:rPr>
          <w:u w:val="single"/>
        </w:rPr>
        <w:t xml:space="preserve"> versus </w:t>
      </w:r>
      <w:r>
        <w:rPr>
          <w:u w:val="single"/>
        </w:rPr>
        <w:t>cabazitaxel</w:t>
      </w:r>
    </w:p>
    <w:p w14:paraId="09E37E04" w14:textId="5CE3243B" w:rsidR="008D13AE" w:rsidRPr="00F93412" w:rsidRDefault="008D13AE" w:rsidP="008D13AE">
      <w:r>
        <w:t>Overall, a lower proportion of patients experienced an adverse event (AE)</w:t>
      </w:r>
      <w:r w:rsidRPr="00EA58D9">
        <w:t xml:space="preserve"> </w:t>
      </w:r>
      <w:r>
        <w:t xml:space="preserve">in the </w:t>
      </w:r>
      <w:r w:rsidRPr="00155A91">
        <w:rPr>
          <w:vertAlign w:val="superscript"/>
        </w:rPr>
        <w:t>177</w:t>
      </w:r>
      <w:r>
        <w:t xml:space="preserve">Lu PSMA-617 arm compared to the cabazitaxel arm (86.7% vs 92.9%, respectively) in </w:t>
      </w:r>
      <w:proofErr w:type="spellStart"/>
      <w:r>
        <w:t>TheraP.</w:t>
      </w:r>
      <w:proofErr w:type="spellEnd"/>
      <w:r>
        <w:t xml:space="preserve"> Grade 3 and 4 AEs were lower in the </w:t>
      </w:r>
      <w:r w:rsidRPr="00155A91">
        <w:rPr>
          <w:vertAlign w:val="superscript"/>
        </w:rPr>
        <w:t>177</w:t>
      </w:r>
      <w:r>
        <w:t xml:space="preserve">Lu PSMA-617 arm compared to the cabazitaxel arm (32.7% vs 52.9%, respectively). The safety results over the 3-year follow-up of the </w:t>
      </w:r>
      <w:proofErr w:type="spellStart"/>
      <w:r>
        <w:t>TheraP</w:t>
      </w:r>
      <w:proofErr w:type="spellEnd"/>
      <w:r>
        <w:t xml:space="preserve"> trial showed consistency with the earlier follow-up</w:t>
      </w:r>
      <w:r w:rsidR="00AC67B8">
        <w:t xml:space="preserve"> </w:t>
      </w:r>
      <w:r w:rsidR="00AC67B8" w:rsidRPr="00AC67B8">
        <w:t xml:space="preserve">of the </w:t>
      </w:r>
      <w:proofErr w:type="spellStart"/>
      <w:r w:rsidR="00AC67B8" w:rsidRPr="00AC67B8">
        <w:t>TheraP</w:t>
      </w:r>
      <w:proofErr w:type="spellEnd"/>
      <w:r w:rsidR="00AC67B8" w:rsidRPr="00AC67B8">
        <w:t xml:space="preserve"> trial.</w:t>
      </w:r>
    </w:p>
    <w:p w14:paraId="77660CDB" w14:textId="77777777" w:rsidR="008D13AE" w:rsidRDefault="008D13AE" w:rsidP="00C26822">
      <w:pPr>
        <w:keepNext/>
        <w:spacing w:before="240" w:after="240"/>
        <w:rPr>
          <w:u w:val="single"/>
        </w:rPr>
      </w:pPr>
      <w:r w:rsidRPr="00291FD7">
        <w:rPr>
          <w:u w:val="single"/>
          <w:vertAlign w:val="superscript"/>
        </w:rPr>
        <w:lastRenderedPageBreak/>
        <w:t>177</w:t>
      </w:r>
      <w:r>
        <w:rPr>
          <w:u w:val="single"/>
        </w:rPr>
        <w:t>Lu PSMA</w:t>
      </w:r>
      <w:r w:rsidRPr="00291FD7">
        <w:rPr>
          <w:u w:val="single"/>
        </w:rPr>
        <w:t>-</w:t>
      </w:r>
      <w:r>
        <w:rPr>
          <w:u w:val="single"/>
        </w:rPr>
        <w:t>617 + best supportive care versus best supportive care alone</w:t>
      </w:r>
    </w:p>
    <w:p w14:paraId="2210F5C7" w14:textId="40EDEA3D" w:rsidR="00AC67B8" w:rsidRDefault="008D13AE" w:rsidP="00C26822">
      <w:pPr>
        <w:spacing w:after="240"/>
      </w:pPr>
      <w:r>
        <w:t xml:space="preserve">A numerically higher proportion of patients experienced an AE in the </w:t>
      </w:r>
      <w:r w:rsidRPr="00155A91">
        <w:rPr>
          <w:vertAlign w:val="superscript"/>
        </w:rPr>
        <w:t>177</w:t>
      </w:r>
      <w:r>
        <w:t xml:space="preserve">Lu PSMA-617 + best supportive care arm compared to the best supportive care alone arm (98.1% vs 82.9%, respectively) in VISION. Grade 3 and 4 AEs were numerically higher in the </w:t>
      </w:r>
      <w:r w:rsidRPr="00155A91">
        <w:rPr>
          <w:vertAlign w:val="superscript"/>
        </w:rPr>
        <w:t>177</w:t>
      </w:r>
      <w:r>
        <w:t>Lu PSMA-617 + best supportive care arm compared to the best supportive care alone arm (52.7% vs 38.0%, respectively) in VISION.</w:t>
      </w:r>
      <w:r w:rsidR="00AC67B8">
        <w:t xml:space="preserve"> Less than 1.0% of patients experienced an AE that led to death that was considered by the investigators to be related to </w:t>
      </w:r>
      <w:r w:rsidR="00AC67B8" w:rsidRPr="00AC67B8">
        <w:rPr>
          <w:vertAlign w:val="superscript"/>
        </w:rPr>
        <w:t>177</w:t>
      </w:r>
      <w:r w:rsidR="00AC67B8">
        <w:t>Lu-PSMA-617.</w:t>
      </w:r>
    </w:p>
    <w:p w14:paraId="4A05DE70" w14:textId="23E9CC96" w:rsidR="008D13AE" w:rsidRDefault="00AC67B8" w:rsidP="00C26822">
      <w:pPr>
        <w:spacing w:after="240"/>
      </w:pPr>
      <w:r>
        <w:t xml:space="preserve">The safety data comparing </w:t>
      </w:r>
      <w:r w:rsidRPr="00AC67B8">
        <w:rPr>
          <w:vertAlign w:val="superscript"/>
        </w:rPr>
        <w:t>177</w:t>
      </w:r>
      <w:r w:rsidRPr="00AC67B8">
        <w:t>Lu PSMA-617 to cabazitaxel and best supportive care</w:t>
      </w:r>
      <w:r>
        <w:rPr>
          <w:u w:val="single"/>
        </w:rPr>
        <w:t xml:space="preserve"> </w:t>
      </w:r>
      <w:r>
        <w:t>have previously been considered by MSAC in its consideration of MSAC 1686 in July 2022</w:t>
      </w:r>
      <w:r w:rsidR="003C2EAA">
        <w:t xml:space="preserve"> (discussed further in Section 10 below under ‘Clinical claim’)</w:t>
      </w:r>
      <w:r>
        <w:t>.</w:t>
      </w:r>
    </w:p>
    <w:p w14:paraId="1C0638C1" w14:textId="7D0166FE" w:rsidR="00394B15" w:rsidRDefault="00394B15" w:rsidP="00AC67B8">
      <w:r>
        <w:t>The ADAR provided no information on any potential, s</w:t>
      </w:r>
      <w:r w:rsidRPr="00394B15">
        <w:t>pecific safety issues related to excretion of radioactive material post infusion for patients, family members or the broader environment</w:t>
      </w:r>
      <w:r>
        <w:t xml:space="preserve"> for either </w:t>
      </w:r>
      <w:r>
        <w:rPr>
          <w:vertAlign w:val="superscript"/>
        </w:rPr>
        <w:t>68</w:t>
      </w:r>
      <w:r>
        <w:t>Ga or PSMA targeted therapies.</w:t>
      </w:r>
    </w:p>
    <w:p w14:paraId="3717AA01" w14:textId="7FC025BF" w:rsidR="00772829" w:rsidRPr="00CE28E3" w:rsidRDefault="00AE7DDB" w:rsidP="002A18BE">
      <w:pPr>
        <w:pStyle w:val="Heading2"/>
        <w:numPr>
          <w:ilvl w:val="0"/>
          <w:numId w:val="0"/>
        </w:numPr>
      </w:pPr>
      <w:bookmarkStart w:id="25" w:name="_Toc69491424"/>
      <w:r>
        <w:t>12</w:t>
      </w:r>
      <w:r w:rsidR="00C36633">
        <w:t>.</w:t>
      </w:r>
      <w:r w:rsidR="00C36633">
        <w:tab/>
      </w:r>
      <w:r w:rsidR="00772829" w:rsidRPr="00CE28E3">
        <w:t>Comparative effectiveness</w:t>
      </w:r>
      <w:bookmarkEnd w:id="25"/>
    </w:p>
    <w:p w14:paraId="3E36A995" w14:textId="5A9A9D5F" w:rsidR="001C7253" w:rsidRDefault="006942E5" w:rsidP="00C26822">
      <w:pPr>
        <w:pStyle w:val="Instructionaltext"/>
        <w:keepNext/>
        <w:spacing w:after="240"/>
        <w:rPr>
          <w:color w:val="auto"/>
          <w:u w:val="single"/>
        </w:rPr>
      </w:pPr>
      <w:r>
        <w:rPr>
          <w:color w:val="auto"/>
          <w:u w:val="single"/>
        </w:rPr>
        <w:t>Longitudinal accuracy</w:t>
      </w:r>
    </w:p>
    <w:p w14:paraId="00FADC9F" w14:textId="7F75C1BD" w:rsidR="006942E5" w:rsidRPr="006942E5" w:rsidRDefault="006942E5" w:rsidP="00C26822">
      <w:pPr>
        <w:pStyle w:val="Instructionaltext"/>
        <w:spacing w:after="240"/>
        <w:rPr>
          <w:color w:val="auto"/>
        </w:rPr>
      </w:pPr>
      <w:r w:rsidRPr="006942E5">
        <w:rPr>
          <w:color w:val="auto"/>
        </w:rPr>
        <w:t>A total of 15 studies met the inclusion criteria for assessing the test accuracy of ILLUCCIX</w:t>
      </w:r>
      <w:r w:rsidRPr="006942E5">
        <w:rPr>
          <w:color w:val="auto"/>
          <w:vertAlign w:val="superscript"/>
        </w:rPr>
        <w:t xml:space="preserve">® </w:t>
      </w:r>
      <w:r w:rsidRPr="006942E5">
        <w:rPr>
          <w:color w:val="auto"/>
        </w:rPr>
        <w:t xml:space="preserve">imaging in determining response assessment of PSMA radioligand as a prognostic indicator of future outcomes. </w:t>
      </w:r>
      <w:r>
        <w:rPr>
          <w:color w:val="auto"/>
        </w:rPr>
        <w:t xml:space="preserve">The ADAR surmises that </w:t>
      </w:r>
      <w:r w:rsidRPr="006942E5">
        <w:rPr>
          <w:color w:val="auto"/>
        </w:rPr>
        <w:t>the evidence strongly support</w:t>
      </w:r>
      <w:r>
        <w:rPr>
          <w:color w:val="auto"/>
        </w:rPr>
        <w:t>s</w:t>
      </w:r>
      <w:r w:rsidRPr="006942E5">
        <w:rPr>
          <w:color w:val="auto"/>
        </w:rPr>
        <w:t xml:space="preserve"> the use of </w:t>
      </w:r>
      <w:r w:rsidRPr="006942E5">
        <w:rPr>
          <w:color w:val="auto"/>
          <w:vertAlign w:val="superscript"/>
        </w:rPr>
        <w:t>68</w:t>
      </w:r>
      <w:r w:rsidRPr="006942E5">
        <w:rPr>
          <w:color w:val="auto"/>
        </w:rPr>
        <w:t>Ga-PSMA-11 PET/CT imaging for the selection of patients prior to PSMA radioligand therapy and aid in the early and accurate assessment of response to therapy.</w:t>
      </w:r>
    </w:p>
    <w:p w14:paraId="668085FC" w14:textId="7451F991" w:rsidR="006942E5" w:rsidRDefault="006942E5" w:rsidP="00C26822">
      <w:pPr>
        <w:pStyle w:val="Instructionaltext"/>
        <w:spacing w:after="240"/>
        <w:rPr>
          <w:color w:val="auto"/>
        </w:rPr>
      </w:pPr>
      <w:r w:rsidRPr="006942E5">
        <w:rPr>
          <w:color w:val="auto"/>
        </w:rPr>
        <w:t xml:space="preserve">The </w:t>
      </w:r>
      <w:r>
        <w:rPr>
          <w:color w:val="auto"/>
        </w:rPr>
        <w:t xml:space="preserve">Commentary considers that the </w:t>
      </w:r>
      <w:r w:rsidRPr="006942E5">
        <w:rPr>
          <w:color w:val="auto"/>
        </w:rPr>
        <w:t xml:space="preserve">15 studies presented in the ADAR were selected based only on the use of </w:t>
      </w:r>
      <w:r w:rsidRPr="006942E5">
        <w:rPr>
          <w:color w:val="auto"/>
          <w:vertAlign w:val="superscript"/>
        </w:rPr>
        <w:t>68</w:t>
      </w:r>
      <w:r w:rsidRPr="006942E5">
        <w:rPr>
          <w:color w:val="auto"/>
        </w:rPr>
        <w:t>Ga -PSMA-11. On</w:t>
      </w:r>
      <w:r w:rsidR="006972EC">
        <w:rPr>
          <w:color w:val="auto"/>
        </w:rPr>
        <w:t>l</w:t>
      </w:r>
      <w:r w:rsidRPr="006942E5">
        <w:rPr>
          <w:color w:val="auto"/>
        </w:rPr>
        <w:t xml:space="preserve">y two of these studies are randomised controlled trials (VISION and </w:t>
      </w:r>
      <w:proofErr w:type="spellStart"/>
      <w:r w:rsidRPr="006942E5">
        <w:rPr>
          <w:color w:val="auto"/>
        </w:rPr>
        <w:t>TheraP</w:t>
      </w:r>
      <w:proofErr w:type="spellEnd"/>
      <w:r w:rsidRPr="006942E5">
        <w:rPr>
          <w:color w:val="auto"/>
        </w:rPr>
        <w:t xml:space="preserve">). The participants from VISION and </w:t>
      </w:r>
      <w:proofErr w:type="spellStart"/>
      <w:r w:rsidRPr="006942E5">
        <w:rPr>
          <w:color w:val="auto"/>
        </w:rPr>
        <w:t>TheraP</w:t>
      </w:r>
      <w:proofErr w:type="spellEnd"/>
      <w:r w:rsidRPr="006942E5">
        <w:rPr>
          <w:color w:val="auto"/>
        </w:rPr>
        <w:t xml:space="preserve"> were tested only with </w:t>
      </w:r>
      <w:r w:rsidRPr="006942E5">
        <w:rPr>
          <w:color w:val="auto"/>
          <w:vertAlign w:val="superscript"/>
        </w:rPr>
        <w:t>68</w:t>
      </w:r>
      <w:r w:rsidRPr="006942E5">
        <w:rPr>
          <w:color w:val="auto"/>
        </w:rPr>
        <w:t xml:space="preserve">Ga -PSMA-11 for PSMA-positive status and then randomised to PSMA therapy and standard care (VISION) or </w:t>
      </w:r>
      <w:proofErr w:type="spellStart"/>
      <w:r w:rsidRPr="006942E5">
        <w:rPr>
          <w:color w:val="auto"/>
        </w:rPr>
        <w:t>cabazitaxel</w:t>
      </w:r>
      <w:proofErr w:type="spellEnd"/>
      <w:r w:rsidRPr="006942E5">
        <w:rPr>
          <w:color w:val="auto"/>
        </w:rPr>
        <w:t xml:space="preserve"> (</w:t>
      </w:r>
      <w:proofErr w:type="spellStart"/>
      <w:r w:rsidRPr="006942E5">
        <w:rPr>
          <w:color w:val="auto"/>
        </w:rPr>
        <w:t>TheraP</w:t>
      </w:r>
      <w:proofErr w:type="spellEnd"/>
      <w:r w:rsidRPr="006942E5">
        <w:rPr>
          <w:color w:val="auto"/>
        </w:rPr>
        <w:t xml:space="preserve">). As a result, the studies described health outcomes only in PSMA-positive patients with </w:t>
      </w:r>
      <w:proofErr w:type="spellStart"/>
      <w:r w:rsidRPr="006942E5">
        <w:rPr>
          <w:color w:val="auto"/>
        </w:rPr>
        <w:t>mCPRC</w:t>
      </w:r>
      <w:proofErr w:type="spellEnd"/>
      <w:r w:rsidRPr="006942E5">
        <w:rPr>
          <w:color w:val="auto"/>
        </w:rPr>
        <w:t xml:space="preserve"> treated with PSMA therapy or standard care/cabazitaxel. No randomisation was performed with respect to other radiopharmaceutical tracers or </w:t>
      </w:r>
      <w:r w:rsidR="009F2811">
        <w:rPr>
          <w:color w:val="auto"/>
        </w:rPr>
        <w:t>conventional imaging (</w:t>
      </w:r>
      <w:r w:rsidRPr="006942E5">
        <w:rPr>
          <w:color w:val="auto"/>
        </w:rPr>
        <w:t>CVI</w:t>
      </w:r>
      <w:r w:rsidR="009F2811">
        <w:rPr>
          <w:color w:val="auto"/>
        </w:rPr>
        <w:t>)</w:t>
      </w:r>
      <w:r w:rsidRPr="006942E5">
        <w:rPr>
          <w:color w:val="auto"/>
        </w:rPr>
        <w:t xml:space="preserve"> to compare with </w:t>
      </w:r>
      <w:r w:rsidRPr="00FB178D">
        <w:rPr>
          <w:color w:val="auto"/>
          <w:vertAlign w:val="superscript"/>
        </w:rPr>
        <w:t>68</w:t>
      </w:r>
      <w:r w:rsidRPr="006942E5">
        <w:rPr>
          <w:color w:val="auto"/>
        </w:rPr>
        <w:t xml:space="preserve">Ga-PSMA-11. As a result, there is no evidence to compare health outcomes in </w:t>
      </w:r>
      <w:proofErr w:type="spellStart"/>
      <w:r w:rsidRPr="006942E5">
        <w:rPr>
          <w:color w:val="auto"/>
        </w:rPr>
        <w:t>mCRPC</w:t>
      </w:r>
      <w:proofErr w:type="spellEnd"/>
      <w:r w:rsidRPr="006942E5">
        <w:rPr>
          <w:color w:val="auto"/>
        </w:rPr>
        <w:t xml:space="preserve"> patients tested with </w:t>
      </w:r>
      <w:r w:rsidRPr="00FB178D">
        <w:rPr>
          <w:color w:val="auto"/>
          <w:vertAlign w:val="superscript"/>
        </w:rPr>
        <w:t>68</w:t>
      </w:r>
      <w:r w:rsidRPr="006942E5">
        <w:rPr>
          <w:color w:val="auto"/>
        </w:rPr>
        <w:t xml:space="preserve">Ga -PSMA-11 PSMA PET imaging with </w:t>
      </w:r>
      <w:proofErr w:type="spellStart"/>
      <w:r w:rsidRPr="006942E5">
        <w:rPr>
          <w:color w:val="auto"/>
        </w:rPr>
        <w:t>mCRPC</w:t>
      </w:r>
      <w:proofErr w:type="spellEnd"/>
      <w:r w:rsidRPr="006942E5">
        <w:rPr>
          <w:color w:val="auto"/>
        </w:rPr>
        <w:t xml:space="preserve"> patients tested with CVI or with other radiopharmaceutical tracer for PSMA PET imaging.</w:t>
      </w:r>
      <w:r>
        <w:rPr>
          <w:color w:val="auto"/>
        </w:rPr>
        <w:t xml:space="preserve"> </w:t>
      </w:r>
    </w:p>
    <w:p w14:paraId="4450B35F" w14:textId="27FC9552" w:rsidR="006942E5" w:rsidRDefault="006942E5" w:rsidP="006942E5">
      <w:pPr>
        <w:rPr>
          <w:rFonts w:cs="Cambria Math"/>
          <w:szCs w:val="20"/>
        </w:rPr>
      </w:pPr>
      <w:r>
        <w:t xml:space="preserve">As discussed previously, the Re-SPECT study also informs the longitudinal accuracy and was not one </w:t>
      </w:r>
      <w:r w:rsidR="003B57D1">
        <w:t>of</w:t>
      </w:r>
      <w:r>
        <w:t xml:space="preserve"> the 15 studies identified by the ADAR. </w:t>
      </w:r>
      <w:bookmarkStart w:id="26" w:name="_Hlk150949859"/>
      <w:r>
        <w:rPr>
          <w:rFonts w:cs="Cambria Math"/>
          <w:szCs w:val="20"/>
        </w:rPr>
        <w:t xml:space="preserve">Given 31% of patients enrolled in Re-SPECT failed to respond to treatment, it is possible that the </w:t>
      </w:r>
      <w:r w:rsidR="008D13AE">
        <w:rPr>
          <w:rFonts w:cs="Cambria Math"/>
          <w:szCs w:val="20"/>
        </w:rPr>
        <w:t xml:space="preserve">PSMA PET/CT test, or the </w:t>
      </w:r>
      <w:r>
        <w:rPr>
          <w:rFonts w:cs="Cambria Math"/>
          <w:szCs w:val="20"/>
        </w:rPr>
        <w:t>nominated eligibility criteria</w:t>
      </w:r>
      <w:r w:rsidR="008D13AE">
        <w:rPr>
          <w:rFonts w:cs="Cambria Math"/>
          <w:szCs w:val="20"/>
        </w:rPr>
        <w:t>,</w:t>
      </w:r>
      <w:r>
        <w:rPr>
          <w:rFonts w:cs="Cambria Math"/>
          <w:szCs w:val="20"/>
        </w:rPr>
        <w:t xml:space="preserve"> </w:t>
      </w:r>
      <w:r>
        <w:t xml:space="preserve">may not </w:t>
      </w:r>
      <w:r w:rsidR="008D13AE">
        <w:t xml:space="preserve">have </w:t>
      </w:r>
      <w:r>
        <w:t>be</w:t>
      </w:r>
      <w:r w:rsidR="008D13AE">
        <w:t>en</w:t>
      </w:r>
      <w:r>
        <w:t xml:space="preserve"> sufficiently discriminatory for identifying a population who are likely to respond. This, taken together with the fact that 90% of patients are considered to meet this eligibility criteria for treatment (based on </w:t>
      </w:r>
      <w:proofErr w:type="spellStart"/>
      <w:r>
        <w:t>TheraP</w:t>
      </w:r>
      <w:proofErr w:type="spellEnd"/>
      <w:r>
        <w:t>), also calls into question the codependent relationship of test (PSMA PET/CT) with treatment.</w:t>
      </w:r>
    </w:p>
    <w:bookmarkEnd w:id="26"/>
    <w:p w14:paraId="4FE6BDED" w14:textId="77777777" w:rsidR="001C7253" w:rsidRDefault="001C7253" w:rsidP="00C26822">
      <w:pPr>
        <w:keepNext/>
        <w:spacing w:before="240" w:after="240"/>
        <w:rPr>
          <w:u w:val="single"/>
        </w:rPr>
      </w:pPr>
      <w:r>
        <w:rPr>
          <w:u w:val="single"/>
        </w:rPr>
        <w:t>Change in patient management</w:t>
      </w:r>
    </w:p>
    <w:p w14:paraId="3706C1CE" w14:textId="2A681BF2" w:rsidR="006942E5" w:rsidRDefault="001C7253" w:rsidP="006942E5">
      <w:r w:rsidRPr="00C016D9">
        <w:t xml:space="preserve">The ADAR approached the assessment of change in management by assessing the proportion of patients who met eligibility criteria for various studies, according to </w:t>
      </w:r>
      <w:proofErr w:type="spellStart"/>
      <w:r w:rsidRPr="00C016D9">
        <w:t>SUV</w:t>
      </w:r>
      <w:r w:rsidRPr="00C016D9">
        <w:rPr>
          <w:vertAlign w:val="subscript"/>
        </w:rPr>
        <w:t>max</w:t>
      </w:r>
      <w:proofErr w:type="spellEnd"/>
      <w:r w:rsidRPr="00C016D9">
        <w:rPr>
          <w:vertAlign w:val="subscript"/>
        </w:rPr>
        <w:t xml:space="preserve"> </w:t>
      </w:r>
      <w:r w:rsidRPr="00C016D9">
        <w:t xml:space="preserve">thresholds, </w:t>
      </w:r>
      <w:r w:rsidRPr="00C016D9">
        <w:lastRenderedPageBreak/>
        <w:t xml:space="preserve">see </w:t>
      </w:r>
      <w:r w:rsidRPr="00AE6927">
        <w:fldChar w:fldCharType="begin"/>
      </w:r>
      <w:r w:rsidRPr="00C016D9">
        <w:instrText xml:space="preserve"> REF _Ref93334474 \h </w:instrText>
      </w:r>
      <w:r w:rsidRPr="00B61FF0">
        <w:instrText xml:space="preserve"> \* MERGEFORMAT </w:instrText>
      </w:r>
      <w:r w:rsidRPr="00AE6927">
        <w:fldChar w:fldCharType="separate"/>
      </w:r>
      <w:r w:rsidR="00EB3F24">
        <w:t xml:space="preserve">Table </w:t>
      </w:r>
      <w:r w:rsidR="00EB3F24">
        <w:rPr>
          <w:noProof/>
        </w:rPr>
        <w:t>4</w:t>
      </w:r>
      <w:r w:rsidRPr="00AE6927">
        <w:fldChar w:fldCharType="end"/>
      </w:r>
      <w:r w:rsidRPr="00C016D9">
        <w:t xml:space="preserve">. </w:t>
      </w:r>
      <w:r w:rsidRPr="00B61FF0">
        <w:t xml:space="preserve">The number ineligible for </w:t>
      </w:r>
      <w:r w:rsidRPr="00B61FF0">
        <w:rPr>
          <w:vertAlign w:val="superscript"/>
        </w:rPr>
        <w:t>177</w:t>
      </w:r>
      <w:r>
        <w:t>Lu PSMA</w:t>
      </w:r>
      <w:r w:rsidRPr="00B61FF0">
        <w:t xml:space="preserve">-617 in the studies were similar, however, inexplicably, a numerically greater proportion of patients were deemed eligible in </w:t>
      </w:r>
      <w:proofErr w:type="spellStart"/>
      <w:r w:rsidRPr="00B61FF0">
        <w:t>TheraP</w:t>
      </w:r>
      <w:proofErr w:type="spellEnd"/>
      <w:r w:rsidRPr="00B61FF0">
        <w:t xml:space="preserve"> (90%) despite more stringent PSMA PET/CT threshold criteria (</w:t>
      </w:r>
      <w:proofErr w:type="spellStart"/>
      <w:r w:rsidRPr="00B61FF0">
        <w:t>SUV</w:t>
      </w:r>
      <w:r w:rsidRPr="00B61FF0">
        <w:rPr>
          <w:vertAlign w:val="subscript"/>
        </w:rPr>
        <w:t>max</w:t>
      </w:r>
      <w:proofErr w:type="spellEnd"/>
      <w:r w:rsidRPr="00B61FF0">
        <w:rPr>
          <w:vertAlign w:val="subscript"/>
        </w:rPr>
        <w:t xml:space="preserve"> </w:t>
      </w:r>
      <w:r w:rsidRPr="00B61FF0">
        <w:t xml:space="preserve">≥20 at disease site and ≥10 at all sites of measurable disease) compared with 87.7%-89.9% at </w:t>
      </w:r>
      <w:proofErr w:type="spellStart"/>
      <w:r w:rsidRPr="00B61FF0">
        <w:t>SUV</w:t>
      </w:r>
      <w:r w:rsidRPr="00B61FF0">
        <w:rPr>
          <w:vertAlign w:val="subscript"/>
        </w:rPr>
        <w:t>max</w:t>
      </w:r>
      <w:proofErr w:type="spellEnd"/>
      <w:r w:rsidRPr="00B61FF0">
        <w:t xml:space="preserve"> ≥5, 83.7% at </w:t>
      </w:r>
      <w:proofErr w:type="spellStart"/>
      <w:r w:rsidRPr="00B61FF0">
        <w:t>SUV</w:t>
      </w:r>
      <w:r w:rsidRPr="00B61FF0">
        <w:rPr>
          <w:vertAlign w:val="subscript"/>
        </w:rPr>
        <w:t>max</w:t>
      </w:r>
      <w:proofErr w:type="spellEnd"/>
      <w:r w:rsidRPr="00B61FF0">
        <w:t xml:space="preserve"> ≥10 and 87.0% at </w:t>
      </w:r>
      <w:proofErr w:type="spellStart"/>
      <w:r w:rsidRPr="00B61FF0">
        <w:t>SUV</w:t>
      </w:r>
      <w:r w:rsidRPr="00B61FF0">
        <w:rPr>
          <w:vertAlign w:val="subscript"/>
        </w:rPr>
        <w:t>max</w:t>
      </w:r>
      <w:proofErr w:type="spellEnd"/>
      <w:r w:rsidRPr="00B61FF0">
        <w:t xml:space="preserve"> ≥15. The reason for this is unclear but could potentially be due to unobserved differences in the cohorts of patients from whom those enrolled were derived or from differences in ‘reading’ and interpreting the scans.</w:t>
      </w:r>
      <w:r w:rsidR="006942E5">
        <w:t xml:space="preserve"> These data have previously been considered by MSAC in its consideration of MSAC 1686 in July 2022.</w:t>
      </w:r>
    </w:p>
    <w:p w14:paraId="0816CA82" w14:textId="0760CEBD" w:rsidR="0074193E" w:rsidRDefault="0074193E" w:rsidP="0074193E">
      <w:pPr>
        <w:pStyle w:val="Caption"/>
      </w:pPr>
      <w:bookmarkStart w:id="27" w:name="_Ref93334474"/>
      <w:r>
        <w:t>Table</w:t>
      </w:r>
      <w:r w:rsidR="00352EBD">
        <w:t xml:space="preserve"> 5</w:t>
      </w:r>
      <w:bookmarkEnd w:id="27"/>
      <w:r>
        <w:tab/>
        <w:t xml:space="preserve">Comparison of change in management, by </w:t>
      </w:r>
      <w:proofErr w:type="spellStart"/>
      <w:r>
        <w:t>SUV</w:t>
      </w:r>
      <w:r w:rsidRPr="00C73460">
        <w:rPr>
          <w:vertAlign w:val="subscript"/>
        </w:rPr>
        <w:t>max</w:t>
      </w:r>
      <w:proofErr w:type="spellEnd"/>
      <w:r>
        <w:t xml:space="preserve"> threshold adopted</w:t>
      </w:r>
    </w:p>
    <w:tbl>
      <w:tblPr>
        <w:tblStyle w:val="AZTable11"/>
        <w:tblW w:w="5000" w:type="pct"/>
        <w:tblLook w:val="04A0" w:firstRow="1" w:lastRow="0" w:firstColumn="1" w:lastColumn="0" w:noHBand="0" w:noVBand="1"/>
      </w:tblPr>
      <w:tblGrid>
        <w:gridCol w:w="1980"/>
        <w:gridCol w:w="1417"/>
        <w:gridCol w:w="1259"/>
        <w:gridCol w:w="1859"/>
        <w:gridCol w:w="1277"/>
        <w:gridCol w:w="1224"/>
      </w:tblGrid>
      <w:tr w:rsidR="0074193E" w14:paraId="128BA4CD" w14:textId="77777777">
        <w:trPr>
          <w:cnfStyle w:val="100000000000" w:firstRow="1" w:lastRow="0" w:firstColumn="0" w:lastColumn="0" w:oddVBand="0" w:evenVBand="0" w:oddHBand="0" w:evenHBand="0" w:firstRowFirstColumn="0" w:firstRowLastColumn="0" w:lastRowFirstColumn="0" w:lastRowLastColumn="0"/>
          <w:trHeight w:val="295"/>
        </w:trPr>
        <w:tc>
          <w:tcPr>
            <w:tcW w:w="1098" w:type="pct"/>
            <w:tcBorders>
              <w:bottom w:val="nil"/>
            </w:tcBorders>
          </w:tcPr>
          <w:p w14:paraId="6D63901A" w14:textId="77777777" w:rsidR="0074193E" w:rsidRPr="00B30F5A" w:rsidRDefault="0074193E">
            <w:pPr>
              <w:pStyle w:val="TableText"/>
              <w:keepNext/>
              <w:rPr>
                <w:b/>
                <w:bCs/>
              </w:rPr>
            </w:pPr>
          </w:p>
        </w:tc>
        <w:tc>
          <w:tcPr>
            <w:tcW w:w="1484" w:type="pct"/>
            <w:gridSpan w:val="2"/>
            <w:tcBorders>
              <w:bottom w:val="single" w:sz="4" w:space="0" w:color="auto"/>
              <w:right w:val="nil"/>
            </w:tcBorders>
          </w:tcPr>
          <w:p w14:paraId="1F9C1C19" w14:textId="77777777" w:rsidR="0074193E" w:rsidRPr="00BA5CDC" w:rsidRDefault="0074193E">
            <w:pPr>
              <w:pStyle w:val="TableText"/>
              <w:keepNext/>
              <w:jc w:val="center"/>
              <w:rPr>
                <w:b/>
                <w:bCs/>
              </w:rPr>
            </w:pPr>
            <w:proofErr w:type="spellStart"/>
            <w:r w:rsidRPr="00BA5CDC">
              <w:rPr>
                <w:b/>
                <w:bCs/>
              </w:rPr>
              <w:t>SUV</w:t>
            </w:r>
            <w:r w:rsidRPr="00F97A1A">
              <w:rPr>
                <w:b/>
                <w:bCs/>
                <w:vertAlign w:val="subscript"/>
              </w:rPr>
              <w:t>max</w:t>
            </w:r>
            <w:proofErr w:type="spellEnd"/>
            <w:r w:rsidRPr="00BA5CDC">
              <w:rPr>
                <w:b/>
                <w:bCs/>
              </w:rPr>
              <w:t xml:space="preserve"> </w:t>
            </w:r>
            <w:r>
              <w:rPr>
                <w:b/>
                <w:bCs/>
              </w:rPr>
              <w:t xml:space="preserve">≥5 </w:t>
            </w:r>
            <w:r>
              <w:rPr>
                <w:b/>
                <w:bCs/>
                <w:vertAlign w:val="superscript"/>
              </w:rPr>
              <w:t>a</w:t>
            </w:r>
          </w:p>
        </w:tc>
        <w:tc>
          <w:tcPr>
            <w:tcW w:w="1031" w:type="pct"/>
            <w:tcBorders>
              <w:bottom w:val="single" w:sz="4" w:space="0" w:color="auto"/>
            </w:tcBorders>
          </w:tcPr>
          <w:p w14:paraId="42EEBF3A" w14:textId="77777777" w:rsidR="0074193E" w:rsidRPr="00BA5CDC" w:rsidRDefault="0074193E">
            <w:pPr>
              <w:pStyle w:val="TableText"/>
              <w:keepNext/>
              <w:jc w:val="center"/>
              <w:rPr>
                <w:b/>
                <w:bCs/>
              </w:rPr>
            </w:pPr>
            <w:proofErr w:type="spellStart"/>
            <w:r w:rsidRPr="00BA5CDC">
              <w:rPr>
                <w:b/>
                <w:bCs/>
              </w:rPr>
              <w:t>SUV</w:t>
            </w:r>
            <w:r w:rsidRPr="00F97A1A">
              <w:rPr>
                <w:b/>
                <w:bCs/>
                <w:vertAlign w:val="subscript"/>
              </w:rPr>
              <w:t>max</w:t>
            </w:r>
            <w:proofErr w:type="spellEnd"/>
            <w:r w:rsidRPr="00BA5CDC">
              <w:rPr>
                <w:b/>
                <w:bCs/>
              </w:rPr>
              <w:t xml:space="preserve"> </w:t>
            </w:r>
            <w:r>
              <w:rPr>
                <w:b/>
                <w:bCs/>
              </w:rPr>
              <w:t xml:space="preserve">≥10 </w:t>
            </w:r>
            <w:r>
              <w:rPr>
                <w:b/>
                <w:bCs/>
                <w:vertAlign w:val="superscript"/>
              </w:rPr>
              <w:t>b</w:t>
            </w:r>
          </w:p>
        </w:tc>
        <w:tc>
          <w:tcPr>
            <w:tcW w:w="708" w:type="pct"/>
            <w:tcBorders>
              <w:bottom w:val="single" w:sz="4" w:space="0" w:color="auto"/>
              <w:right w:val="nil"/>
            </w:tcBorders>
          </w:tcPr>
          <w:p w14:paraId="5C2AED3C" w14:textId="77777777" w:rsidR="0074193E" w:rsidRPr="00BA5CDC" w:rsidRDefault="0074193E">
            <w:pPr>
              <w:pStyle w:val="TableText"/>
              <w:keepNext/>
              <w:jc w:val="center"/>
              <w:rPr>
                <w:b/>
                <w:bCs/>
              </w:rPr>
            </w:pPr>
            <w:proofErr w:type="spellStart"/>
            <w:r w:rsidRPr="00BA5CDC">
              <w:rPr>
                <w:b/>
                <w:bCs/>
              </w:rPr>
              <w:t>SUV</w:t>
            </w:r>
            <w:r w:rsidRPr="00F97A1A">
              <w:rPr>
                <w:b/>
                <w:bCs/>
                <w:vertAlign w:val="subscript"/>
              </w:rPr>
              <w:t>max</w:t>
            </w:r>
            <w:proofErr w:type="spellEnd"/>
            <w:r w:rsidRPr="00BA5CDC">
              <w:rPr>
                <w:b/>
                <w:bCs/>
              </w:rPr>
              <w:t xml:space="preserve"> </w:t>
            </w:r>
            <w:r>
              <w:rPr>
                <w:b/>
                <w:bCs/>
              </w:rPr>
              <w:t>≥</w:t>
            </w:r>
            <w:r w:rsidRPr="00BA5CDC">
              <w:rPr>
                <w:b/>
                <w:bCs/>
              </w:rPr>
              <w:t>15</w:t>
            </w:r>
          </w:p>
        </w:tc>
        <w:tc>
          <w:tcPr>
            <w:tcW w:w="679" w:type="pct"/>
            <w:tcBorders>
              <w:bottom w:val="single" w:sz="4" w:space="0" w:color="auto"/>
              <w:right w:val="single" w:sz="4" w:space="0" w:color="auto"/>
            </w:tcBorders>
          </w:tcPr>
          <w:p w14:paraId="75DBF67A" w14:textId="77777777" w:rsidR="0074193E" w:rsidRPr="00BA5CDC" w:rsidRDefault="0074193E">
            <w:pPr>
              <w:pStyle w:val="TableText"/>
              <w:keepNext/>
              <w:jc w:val="center"/>
              <w:rPr>
                <w:b/>
                <w:bCs/>
              </w:rPr>
            </w:pPr>
            <w:proofErr w:type="spellStart"/>
            <w:r w:rsidRPr="00BA5CDC">
              <w:rPr>
                <w:b/>
                <w:bCs/>
              </w:rPr>
              <w:t>SUV</w:t>
            </w:r>
            <w:r w:rsidRPr="00F97A1A">
              <w:rPr>
                <w:b/>
                <w:bCs/>
                <w:vertAlign w:val="subscript"/>
              </w:rPr>
              <w:t>max</w:t>
            </w:r>
            <w:proofErr w:type="spellEnd"/>
            <w:r w:rsidRPr="00BA5CDC">
              <w:rPr>
                <w:b/>
                <w:bCs/>
              </w:rPr>
              <w:t xml:space="preserve"> </w:t>
            </w:r>
            <w:r>
              <w:rPr>
                <w:b/>
                <w:bCs/>
              </w:rPr>
              <w:t>≥</w:t>
            </w:r>
            <w:r w:rsidRPr="00BA5CDC">
              <w:rPr>
                <w:b/>
                <w:bCs/>
              </w:rPr>
              <w:t>20</w:t>
            </w:r>
          </w:p>
        </w:tc>
      </w:tr>
      <w:tr w:rsidR="0074193E" w14:paraId="6F18FB75" w14:textId="77777777">
        <w:trPr>
          <w:trHeight w:val="295"/>
        </w:trPr>
        <w:tc>
          <w:tcPr>
            <w:tcW w:w="1098" w:type="pct"/>
            <w:tcBorders>
              <w:top w:val="nil"/>
              <w:bottom w:val="single" w:sz="4" w:space="0" w:color="auto"/>
            </w:tcBorders>
          </w:tcPr>
          <w:p w14:paraId="123E1754" w14:textId="77777777" w:rsidR="0074193E" w:rsidRPr="00B30F5A" w:rsidRDefault="0074193E">
            <w:pPr>
              <w:pStyle w:val="TableText"/>
              <w:keepNext/>
              <w:rPr>
                <w:b/>
                <w:bCs/>
              </w:rPr>
            </w:pPr>
          </w:p>
        </w:tc>
        <w:tc>
          <w:tcPr>
            <w:tcW w:w="786" w:type="pct"/>
            <w:tcBorders>
              <w:right w:val="nil"/>
            </w:tcBorders>
          </w:tcPr>
          <w:p w14:paraId="7311B699" w14:textId="77777777" w:rsidR="0074193E" w:rsidRDefault="0074193E">
            <w:pPr>
              <w:pStyle w:val="TableText"/>
              <w:keepNext/>
              <w:jc w:val="center"/>
              <w:rPr>
                <w:b/>
                <w:bCs/>
              </w:rPr>
            </w:pPr>
            <w:r w:rsidRPr="00BA5CDC">
              <w:rPr>
                <w:b/>
                <w:bCs/>
              </w:rPr>
              <w:t>Emmett 2019</w:t>
            </w:r>
          </w:p>
          <w:p w14:paraId="0996F78F" w14:textId="77777777" w:rsidR="0074193E" w:rsidRPr="00BA5CDC" w:rsidRDefault="0074193E">
            <w:pPr>
              <w:pStyle w:val="TableText"/>
              <w:keepNext/>
              <w:jc w:val="center"/>
              <w:rPr>
                <w:b/>
                <w:bCs/>
              </w:rPr>
            </w:pPr>
            <w:r>
              <w:rPr>
                <w:b/>
                <w:bCs/>
              </w:rPr>
              <w:t>N=18</w:t>
            </w:r>
          </w:p>
        </w:tc>
        <w:tc>
          <w:tcPr>
            <w:tcW w:w="698" w:type="pct"/>
            <w:tcBorders>
              <w:right w:val="nil"/>
            </w:tcBorders>
          </w:tcPr>
          <w:p w14:paraId="7FA3D2AE" w14:textId="77777777" w:rsidR="0074193E" w:rsidRDefault="0074193E">
            <w:pPr>
              <w:pStyle w:val="TableText"/>
              <w:keepNext/>
              <w:jc w:val="center"/>
              <w:rPr>
                <w:b/>
                <w:bCs/>
              </w:rPr>
            </w:pPr>
            <w:r>
              <w:rPr>
                <w:b/>
                <w:bCs/>
              </w:rPr>
              <w:t>VISION</w:t>
            </w:r>
          </w:p>
          <w:p w14:paraId="4AD66415" w14:textId="77777777" w:rsidR="0074193E" w:rsidRPr="00BA5CDC" w:rsidRDefault="0074193E">
            <w:pPr>
              <w:pStyle w:val="TableText"/>
              <w:keepNext/>
              <w:jc w:val="center"/>
              <w:rPr>
                <w:b/>
                <w:bCs/>
              </w:rPr>
            </w:pPr>
            <w:r>
              <w:rPr>
                <w:b/>
                <w:bCs/>
              </w:rPr>
              <w:t>N=1003</w:t>
            </w:r>
          </w:p>
        </w:tc>
        <w:tc>
          <w:tcPr>
            <w:tcW w:w="1031" w:type="pct"/>
          </w:tcPr>
          <w:p w14:paraId="1DCA51AC" w14:textId="77777777" w:rsidR="0074193E" w:rsidRDefault="0074193E">
            <w:pPr>
              <w:pStyle w:val="TableText"/>
              <w:keepNext/>
              <w:jc w:val="center"/>
              <w:rPr>
                <w:b/>
                <w:bCs/>
              </w:rPr>
            </w:pPr>
            <w:r>
              <w:rPr>
                <w:b/>
                <w:bCs/>
              </w:rPr>
              <w:fldChar w:fldCharType="begin"/>
            </w:r>
            <w:r>
              <w:rPr>
                <w:b/>
                <w:bCs/>
              </w:rPr>
              <w:instrText xml:space="preserve"> ADDIN EN.CITE &lt;EndNote&gt;&lt;Cite AuthorYear="1"&gt;&lt;Author&gt;Hofman&lt;/Author&gt;&lt;Year&gt;2018&lt;/Year&gt;&lt;RecNum&gt;66&lt;/RecNum&gt;&lt;DisplayText&gt;Hofman et al. (2018)&lt;/DisplayText&gt;&lt;record&gt;&lt;rec-number&gt;66&lt;/rec-number&gt;&lt;foreign-keys&gt;&lt;key app="EN" db-id="dd0rzfzzya9ddbeztxhppetwpt5d9v2xs2sz" timestamp="1640151061"&gt;66&lt;/key&gt;&lt;/foreign-keys&gt;&lt;ref-type name="Journal Article"&gt;17&lt;/ref-type&gt;&lt;contributors&gt;&lt;authors&gt;&lt;author&gt;Hofman, M. S.&lt;/author&gt;&lt;author&gt;Violet, J.&lt;/author&gt;&lt;author&gt;Hicks, R. J.&lt;/author&gt;&lt;author&gt;Ferdinandus, J.&lt;/author&gt;&lt;author&gt;Ping Thang, S.&lt;/author&gt;&lt;author&gt;Akhurst, T.&lt;/author&gt;&lt;author&gt;Iravani, A.&lt;/author&gt;&lt;author&gt;Kong, G.&lt;/author&gt;&lt;author&gt;Ravi Kumar, A.&lt;/author&gt;&lt;author&gt;Murphy, D. G.&lt;/author&gt;&lt;author&gt;Eu, P.&lt;/author&gt;&lt;author&gt;Jackson, P.&lt;/author&gt;&lt;author&gt;Scalzo, M.&lt;/author&gt;&lt;author&gt;Williams, S. G.&lt;/author&gt;&lt;author&gt;Sandhu, S.&lt;/author&gt;&lt;/authors&gt;&lt;/contributors&gt;&lt;titles&gt;&lt;title&gt;[&amp;lt;sup&amp;gt;177&amp;lt;/sup&amp;gt;Lu]-PSMA-617 radionuclide treatment in patients with metastatic castration-resistant prostate cancer (LuPSMA trial): a single-centre, single-arm, phase 2 study&lt;/title&gt;&lt;secondary-title&gt;The Lancet Oncology&lt;/secondary-title&gt;&lt;/titles&gt;&lt;periodical&gt;&lt;full-title&gt;The Lancet Oncology&lt;/full-title&gt;&lt;/periodical&gt;&lt;pages&gt;825-833&lt;/pages&gt;&lt;volume&gt;19(6)&lt;/volume&gt;&lt;dates&gt;&lt;year&gt;2018&lt;/year&gt;&lt;/dates&gt;&lt;urls&gt;&lt;related-urls&gt;&lt;url&gt;http://www.journals.elsevier.com/the-lancet-oncology/&lt;/url&gt;&lt;/related-urls&gt;&lt;/urls&gt;&lt;electronic-resource-num&gt;http://dx.doi.org/10.1016/S1470-2045%2818%2930198-0&lt;/electronic-resource-num&gt;&lt;/record&gt;&lt;/Cite&gt;&lt;/EndNote&gt;</w:instrText>
            </w:r>
            <w:r>
              <w:rPr>
                <w:b/>
                <w:bCs/>
              </w:rPr>
              <w:fldChar w:fldCharType="separate"/>
            </w:r>
            <w:r>
              <w:rPr>
                <w:b/>
                <w:bCs/>
                <w:noProof/>
              </w:rPr>
              <w:t>Hofman et al. (2018)</w:t>
            </w:r>
            <w:r>
              <w:rPr>
                <w:b/>
                <w:bCs/>
              </w:rPr>
              <w:fldChar w:fldCharType="end"/>
            </w:r>
          </w:p>
          <w:p w14:paraId="75ABF75E" w14:textId="77777777" w:rsidR="0074193E" w:rsidRPr="00BA5CDC" w:rsidRDefault="0074193E">
            <w:pPr>
              <w:pStyle w:val="TableText"/>
              <w:keepNext/>
              <w:jc w:val="center"/>
              <w:rPr>
                <w:b/>
                <w:bCs/>
              </w:rPr>
            </w:pPr>
            <w:r>
              <w:rPr>
                <w:b/>
                <w:bCs/>
              </w:rPr>
              <w:t>N=43</w:t>
            </w:r>
          </w:p>
        </w:tc>
        <w:tc>
          <w:tcPr>
            <w:tcW w:w="708" w:type="pct"/>
            <w:tcBorders>
              <w:right w:val="nil"/>
            </w:tcBorders>
          </w:tcPr>
          <w:p w14:paraId="613DC0B7" w14:textId="77777777" w:rsidR="0074193E" w:rsidRDefault="0074193E">
            <w:pPr>
              <w:pStyle w:val="TableText"/>
              <w:keepNext/>
              <w:jc w:val="center"/>
              <w:rPr>
                <w:b/>
                <w:bCs/>
              </w:rPr>
            </w:pPr>
            <w:proofErr w:type="spellStart"/>
            <w:r w:rsidRPr="00BA5CDC">
              <w:rPr>
                <w:b/>
                <w:bCs/>
              </w:rPr>
              <w:t>LuPIN</w:t>
            </w:r>
            <w:proofErr w:type="spellEnd"/>
          </w:p>
          <w:p w14:paraId="19171828" w14:textId="77777777" w:rsidR="0074193E" w:rsidRPr="0042710C" w:rsidRDefault="0074193E">
            <w:pPr>
              <w:pStyle w:val="TableText"/>
              <w:keepNext/>
              <w:jc w:val="center"/>
              <w:rPr>
                <w:b/>
                <w:bCs/>
              </w:rPr>
            </w:pPr>
            <w:r w:rsidRPr="0042710C">
              <w:rPr>
                <w:b/>
                <w:bCs/>
              </w:rPr>
              <w:t>N=100</w:t>
            </w:r>
          </w:p>
        </w:tc>
        <w:tc>
          <w:tcPr>
            <w:tcW w:w="679" w:type="pct"/>
            <w:tcBorders>
              <w:right w:val="single" w:sz="4" w:space="0" w:color="auto"/>
            </w:tcBorders>
          </w:tcPr>
          <w:p w14:paraId="26066AAF" w14:textId="77777777" w:rsidR="0074193E" w:rsidRDefault="0074193E">
            <w:pPr>
              <w:pStyle w:val="TableText"/>
              <w:keepNext/>
              <w:jc w:val="center"/>
              <w:rPr>
                <w:b/>
                <w:bCs/>
              </w:rPr>
            </w:pPr>
            <w:proofErr w:type="spellStart"/>
            <w:r w:rsidRPr="00BA5CDC">
              <w:rPr>
                <w:b/>
                <w:bCs/>
              </w:rPr>
              <w:t>TheraP</w:t>
            </w:r>
            <w:proofErr w:type="spellEnd"/>
          </w:p>
          <w:p w14:paraId="5F377F3C" w14:textId="77777777" w:rsidR="0074193E" w:rsidRPr="00BA5CDC" w:rsidRDefault="0074193E">
            <w:pPr>
              <w:pStyle w:val="TableText"/>
              <w:keepNext/>
              <w:jc w:val="center"/>
              <w:rPr>
                <w:b/>
                <w:bCs/>
              </w:rPr>
            </w:pPr>
            <w:r>
              <w:rPr>
                <w:b/>
                <w:bCs/>
              </w:rPr>
              <w:t>N=291</w:t>
            </w:r>
          </w:p>
        </w:tc>
      </w:tr>
      <w:tr w:rsidR="0074193E" w14:paraId="1AE7BAEA" w14:textId="77777777">
        <w:trPr>
          <w:trHeight w:val="295"/>
        </w:trPr>
        <w:tc>
          <w:tcPr>
            <w:tcW w:w="1098" w:type="pct"/>
            <w:tcBorders>
              <w:top w:val="single" w:sz="4" w:space="0" w:color="auto"/>
              <w:bottom w:val="single" w:sz="4" w:space="0" w:color="auto"/>
            </w:tcBorders>
          </w:tcPr>
          <w:p w14:paraId="2C73AF77" w14:textId="77777777" w:rsidR="0074193E" w:rsidRPr="006E7B46" w:rsidRDefault="0074193E">
            <w:pPr>
              <w:pStyle w:val="TableText"/>
              <w:keepNext/>
            </w:pPr>
            <w:r>
              <w:t>Patients scanned, no.</w:t>
            </w:r>
          </w:p>
        </w:tc>
        <w:tc>
          <w:tcPr>
            <w:tcW w:w="786" w:type="pct"/>
            <w:tcBorders>
              <w:bottom w:val="single" w:sz="4" w:space="0" w:color="auto"/>
              <w:right w:val="nil"/>
            </w:tcBorders>
            <w:vAlign w:val="center"/>
          </w:tcPr>
          <w:p w14:paraId="6D1F3AB9" w14:textId="77777777" w:rsidR="0074193E" w:rsidRPr="005A7BE0" w:rsidRDefault="0074193E">
            <w:pPr>
              <w:pStyle w:val="TableText"/>
              <w:keepNext/>
              <w:jc w:val="center"/>
            </w:pPr>
            <w:r w:rsidRPr="005A7BE0">
              <w:t>18</w:t>
            </w:r>
            <w:r>
              <w:t xml:space="preserve"> (100)</w:t>
            </w:r>
          </w:p>
        </w:tc>
        <w:tc>
          <w:tcPr>
            <w:tcW w:w="698" w:type="pct"/>
            <w:tcBorders>
              <w:bottom w:val="single" w:sz="4" w:space="0" w:color="auto"/>
              <w:right w:val="nil"/>
            </w:tcBorders>
            <w:vAlign w:val="center"/>
          </w:tcPr>
          <w:p w14:paraId="621CCAE2" w14:textId="77777777" w:rsidR="0074193E" w:rsidRPr="0024730F" w:rsidRDefault="0074193E">
            <w:pPr>
              <w:pStyle w:val="TableText"/>
              <w:keepNext/>
              <w:jc w:val="center"/>
            </w:pPr>
            <w:r w:rsidRPr="0024730F">
              <w:t>1003 (100)</w:t>
            </w:r>
          </w:p>
        </w:tc>
        <w:tc>
          <w:tcPr>
            <w:tcW w:w="1031" w:type="pct"/>
            <w:tcBorders>
              <w:bottom w:val="single" w:sz="4" w:space="0" w:color="auto"/>
            </w:tcBorders>
            <w:vAlign w:val="center"/>
          </w:tcPr>
          <w:p w14:paraId="05A02DBA" w14:textId="77777777" w:rsidR="0074193E" w:rsidRPr="00C8100A" w:rsidRDefault="0074193E">
            <w:pPr>
              <w:pStyle w:val="TableText"/>
              <w:keepNext/>
              <w:jc w:val="center"/>
            </w:pPr>
            <w:r>
              <w:t>43 (100)</w:t>
            </w:r>
          </w:p>
        </w:tc>
        <w:tc>
          <w:tcPr>
            <w:tcW w:w="708" w:type="pct"/>
            <w:tcBorders>
              <w:bottom w:val="single" w:sz="4" w:space="0" w:color="auto"/>
              <w:right w:val="nil"/>
            </w:tcBorders>
            <w:vAlign w:val="center"/>
          </w:tcPr>
          <w:p w14:paraId="6D06E214" w14:textId="77777777" w:rsidR="0074193E" w:rsidRPr="00C8100A" w:rsidRDefault="0074193E">
            <w:pPr>
              <w:pStyle w:val="TableText"/>
              <w:keepNext/>
              <w:jc w:val="center"/>
            </w:pPr>
            <w:r w:rsidRPr="00C8100A">
              <w:t>100</w:t>
            </w:r>
            <w:r>
              <w:t xml:space="preserve"> (100)</w:t>
            </w:r>
          </w:p>
        </w:tc>
        <w:tc>
          <w:tcPr>
            <w:tcW w:w="679" w:type="pct"/>
            <w:tcBorders>
              <w:bottom w:val="single" w:sz="4" w:space="0" w:color="auto"/>
              <w:right w:val="single" w:sz="4" w:space="0" w:color="auto"/>
            </w:tcBorders>
            <w:vAlign w:val="center"/>
          </w:tcPr>
          <w:p w14:paraId="3C1C0B3B" w14:textId="77777777" w:rsidR="0074193E" w:rsidRPr="00F85AF7" w:rsidRDefault="0074193E">
            <w:pPr>
              <w:pStyle w:val="TableText"/>
              <w:keepNext/>
              <w:jc w:val="center"/>
            </w:pPr>
            <w:r w:rsidRPr="00F85AF7">
              <w:t>291</w:t>
            </w:r>
            <w:r>
              <w:t xml:space="preserve"> (100)</w:t>
            </w:r>
          </w:p>
        </w:tc>
      </w:tr>
      <w:tr w:rsidR="0074193E" w14:paraId="0A09283B" w14:textId="77777777">
        <w:trPr>
          <w:trHeight w:val="295"/>
        </w:trPr>
        <w:tc>
          <w:tcPr>
            <w:tcW w:w="1098" w:type="pct"/>
            <w:tcBorders>
              <w:top w:val="single" w:sz="4" w:space="0" w:color="auto"/>
              <w:bottom w:val="single" w:sz="4" w:space="0" w:color="auto"/>
              <w:right w:val="nil"/>
            </w:tcBorders>
          </w:tcPr>
          <w:p w14:paraId="46FA6CBD" w14:textId="77777777" w:rsidR="0074193E" w:rsidRDefault="0074193E">
            <w:pPr>
              <w:pStyle w:val="TableText"/>
              <w:keepNext/>
            </w:pPr>
            <w:r>
              <w:t>Patients excluded</w:t>
            </w:r>
          </w:p>
        </w:tc>
        <w:tc>
          <w:tcPr>
            <w:tcW w:w="786" w:type="pct"/>
            <w:tcBorders>
              <w:left w:val="nil"/>
              <w:right w:val="nil"/>
            </w:tcBorders>
            <w:vAlign w:val="center"/>
          </w:tcPr>
          <w:p w14:paraId="102A5E50" w14:textId="77777777" w:rsidR="0074193E" w:rsidRPr="005A7BE0" w:rsidRDefault="0074193E">
            <w:pPr>
              <w:pStyle w:val="TableText"/>
              <w:keepNext/>
              <w:jc w:val="center"/>
            </w:pPr>
          </w:p>
        </w:tc>
        <w:tc>
          <w:tcPr>
            <w:tcW w:w="698" w:type="pct"/>
            <w:tcBorders>
              <w:left w:val="nil"/>
              <w:right w:val="nil"/>
            </w:tcBorders>
            <w:vAlign w:val="center"/>
          </w:tcPr>
          <w:p w14:paraId="4470D9C3" w14:textId="77777777" w:rsidR="0074193E" w:rsidRDefault="0074193E">
            <w:pPr>
              <w:pStyle w:val="TableText"/>
              <w:keepNext/>
              <w:jc w:val="center"/>
              <w:rPr>
                <w:b/>
                <w:bCs/>
              </w:rPr>
            </w:pPr>
          </w:p>
        </w:tc>
        <w:tc>
          <w:tcPr>
            <w:tcW w:w="1031" w:type="pct"/>
            <w:tcBorders>
              <w:left w:val="nil"/>
              <w:bottom w:val="single" w:sz="4" w:space="0" w:color="auto"/>
              <w:right w:val="nil"/>
            </w:tcBorders>
            <w:vAlign w:val="center"/>
          </w:tcPr>
          <w:p w14:paraId="385ED83F" w14:textId="77777777" w:rsidR="0074193E" w:rsidRPr="00C8100A" w:rsidRDefault="0074193E">
            <w:pPr>
              <w:pStyle w:val="TableText"/>
              <w:keepNext/>
              <w:jc w:val="center"/>
            </w:pPr>
          </w:p>
        </w:tc>
        <w:tc>
          <w:tcPr>
            <w:tcW w:w="708" w:type="pct"/>
            <w:tcBorders>
              <w:left w:val="nil"/>
              <w:right w:val="nil"/>
            </w:tcBorders>
            <w:vAlign w:val="center"/>
          </w:tcPr>
          <w:p w14:paraId="299AAA87" w14:textId="77777777" w:rsidR="0074193E" w:rsidRPr="00C8100A" w:rsidRDefault="0074193E">
            <w:pPr>
              <w:pStyle w:val="TableText"/>
              <w:keepNext/>
              <w:jc w:val="center"/>
            </w:pPr>
          </w:p>
        </w:tc>
        <w:tc>
          <w:tcPr>
            <w:tcW w:w="679" w:type="pct"/>
            <w:tcBorders>
              <w:left w:val="nil"/>
              <w:right w:val="single" w:sz="4" w:space="0" w:color="auto"/>
            </w:tcBorders>
            <w:vAlign w:val="center"/>
          </w:tcPr>
          <w:p w14:paraId="2D8CB504" w14:textId="77777777" w:rsidR="0074193E" w:rsidRPr="00BA5CDC" w:rsidRDefault="0074193E">
            <w:pPr>
              <w:pStyle w:val="TableText"/>
              <w:keepNext/>
              <w:jc w:val="center"/>
              <w:rPr>
                <w:b/>
                <w:bCs/>
              </w:rPr>
            </w:pPr>
          </w:p>
        </w:tc>
      </w:tr>
      <w:tr w:rsidR="0074193E" w14:paraId="7778DBEF" w14:textId="77777777">
        <w:trPr>
          <w:trHeight w:val="295"/>
        </w:trPr>
        <w:tc>
          <w:tcPr>
            <w:tcW w:w="1098" w:type="pct"/>
            <w:tcBorders>
              <w:top w:val="single" w:sz="4" w:space="0" w:color="auto"/>
              <w:bottom w:val="single" w:sz="4" w:space="0" w:color="auto"/>
            </w:tcBorders>
          </w:tcPr>
          <w:p w14:paraId="1C5927BE" w14:textId="77777777" w:rsidR="0074193E" w:rsidRDefault="0074193E">
            <w:pPr>
              <w:pStyle w:val="TableText"/>
              <w:keepNext/>
              <w:ind w:left="170"/>
            </w:pPr>
            <w:r>
              <w:t>Inadequate PSMA intensity, n (%)</w:t>
            </w:r>
          </w:p>
        </w:tc>
        <w:tc>
          <w:tcPr>
            <w:tcW w:w="786" w:type="pct"/>
            <w:tcBorders>
              <w:right w:val="nil"/>
            </w:tcBorders>
            <w:vAlign w:val="center"/>
          </w:tcPr>
          <w:p w14:paraId="2356625E" w14:textId="77777777" w:rsidR="0074193E" w:rsidRPr="005A7BE0" w:rsidRDefault="0074193E">
            <w:pPr>
              <w:pStyle w:val="TableText"/>
              <w:keepNext/>
              <w:jc w:val="center"/>
            </w:pPr>
            <w:r w:rsidRPr="005A7BE0">
              <w:t>2</w:t>
            </w:r>
            <w:r>
              <w:t xml:space="preserve"> (11.1)</w:t>
            </w:r>
          </w:p>
        </w:tc>
        <w:tc>
          <w:tcPr>
            <w:tcW w:w="698" w:type="pct"/>
            <w:tcBorders>
              <w:right w:val="nil"/>
            </w:tcBorders>
            <w:vAlign w:val="center"/>
          </w:tcPr>
          <w:p w14:paraId="4408686B" w14:textId="77777777" w:rsidR="0074193E" w:rsidRPr="00E65152" w:rsidRDefault="0074193E">
            <w:pPr>
              <w:pStyle w:val="TableText"/>
              <w:keepNext/>
              <w:jc w:val="center"/>
            </w:pPr>
            <w:r w:rsidRPr="00E65152">
              <w:t xml:space="preserve">123 </w:t>
            </w:r>
            <w:r>
              <w:t>(12.3)</w:t>
            </w:r>
          </w:p>
        </w:tc>
        <w:tc>
          <w:tcPr>
            <w:tcW w:w="1031" w:type="pct"/>
            <w:tcBorders>
              <w:bottom w:val="nil"/>
            </w:tcBorders>
            <w:vAlign w:val="center"/>
          </w:tcPr>
          <w:p w14:paraId="119ABA86" w14:textId="77777777" w:rsidR="0074193E" w:rsidRPr="00925E9E" w:rsidRDefault="0074193E">
            <w:pPr>
              <w:pStyle w:val="TableText"/>
              <w:keepNext/>
              <w:jc w:val="center"/>
            </w:pPr>
            <w:r>
              <w:t>7 (16.3)</w:t>
            </w:r>
          </w:p>
        </w:tc>
        <w:tc>
          <w:tcPr>
            <w:tcW w:w="708" w:type="pct"/>
            <w:tcBorders>
              <w:right w:val="nil"/>
            </w:tcBorders>
            <w:vAlign w:val="center"/>
          </w:tcPr>
          <w:p w14:paraId="77F25E80" w14:textId="77777777" w:rsidR="0074193E" w:rsidRPr="00925E9E" w:rsidRDefault="0074193E">
            <w:pPr>
              <w:pStyle w:val="TableText"/>
              <w:keepNext/>
              <w:jc w:val="center"/>
            </w:pPr>
            <w:r w:rsidRPr="00925E9E">
              <w:t>13</w:t>
            </w:r>
            <w:r>
              <w:t xml:space="preserve"> (13.0)</w:t>
            </w:r>
          </w:p>
        </w:tc>
        <w:tc>
          <w:tcPr>
            <w:tcW w:w="679" w:type="pct"/>
            <w:tcBorders>
              <w:right w:val="single" w:sz="4" w:space="0" w:color="auto"/>
            </w:tcBorders>
            <w:vAlign w:val="center"/>
          </w:tcPr>
          <w:p w14:paraId="28203AB4" w14:textId="77777777" w:rsidR="0074193E" w:rsidRPr="00BA71CB" w:rsidRDefault="0074193E">
            <w:pPr>
              <w:pStyle w:val="TableText"/>
              <w:keepNext/>
              <w:jc w:val="center"/>
            </w:pPr>
            <w:r w:rsidRPr="00BA71CB">
              <w:t>29</w:t>
            </w:r>
            <w:r>
              <w:t xml:space="preserve"> (10.0)</w:t>
            </w:r>
          </w:p>
        </w:tc>
      </w:tr>
      <w:tr w:rsidR="0074193E" w14:paraId="41EDCAF7" w14:textId="77777777">
        <w:tc>
          <w:tcPr>
            <w:tcW w:w="1098" w:type="pct"/>
          </w:tcPr>
          <w:p w14:paraId="729A6A24" w14:textId="77777777" w:rsidR="0074193E" w:rsidRDefault="0074193E">
            <w:pPr>
              <w:pStyle w:val="TableText"/>
              <w:keepNext/>
              <w:ind w:left="170"/>
            </w:pPr>
            <w:r>
              <w:t>FDG/PSMA mismatch, n (%)</w:t>
            </w:r>
          </w:p>
        </w:tc>
        <w:tc>
          <w:tcPr>
            <w:tcW w:w="786" w:type="pct"/>
            <w:vAlign w:val="center"/>
          </w:tcPr>
          <w:p w14:paraId="28E6CCE8" w14:textId="77777777" w:rsidR="0074193E" w:rsidRDefault="0074193E">
            <w:pPr>
              <w:pStyle w:val="TableText"/>
              <w:keepNext/>
              <w:jc w:val="center"/>
            </w:pPr>
            <w:r>
              <w:t>0</w:t>
            </w:r>
          </w:p>
        </w:tc>
        <w:tc>
          <w:tcPr>
            <w:tcW w:w="698" w:type="pct"/>
            <w:vAlign w:val="center"/>
          </w:tcPr>
          <w:p w14:paraId="394FB46D" w14:textId="77777777" w:rsidR="0074193E" w:rsidRDefault="0074193E">
            <w:pPr>
              <w:pStyle w:val="TableText"/>
              <w:keepNext/>
              <w:jc w:val="center"/>
            </w:pPr>
            <w:r>
              <w:t>NA</w:t>
            </w:r>
          </w:p>
        </w:tc>
        <w:tc>
          <w:tcPr>
            <w:tcW w:w="1031" w:type="pct"/>
            <w:tcBorders>
              <w:top w:val="nil"/>
            </w:tcBorders>
            <w:vAlign w:val="center"/>
          </w:tcPr>
          <w:p w14:paraId="41C992C3" w14:textId="77777777" w:rsidR="0074193E" w:rsidRDefault="0074193E">
            <w:pPr>
              <w:pStyle w:val="TableText"/>
              <w:keepNext/>
              <w:jc w:val="center"/>
            </w:pPr>
          </w:p>
        </w:tc>
        <w:tc>
          <w:tcPr>
            <w:tcW w:w="708" w:type="pct"/>
            <w:vAlign w:val="center"/>
          </w:tcPr>
          <w:p w14:paraId="6D102285" w14:textId="77777777" w:rsidR="0074193E" w:rsidRDefault="0074193E">
            <w:pPr>
              <w:pStyle w:val="TableText"/>
              <w:keepNext/>
              <w:jc w:val="center"/>
            </w:pPr>
            <w:r>
              <w:t>13 (13.0)</w:t>
            </w:r>
          </w:p>
        </w:tc>
        <w:tc>
          <w:tcPr>
            <w:tcW w:w="679" w:type="pct"/>
            <w:vAlign w:val="center"/>
          </w:tcPr>
          <w:p w14:paraId="1F0946CC" w14:textId="77777777" w:rsidR="0074193E" w:rsidRPr="00BA71CB" w:rsidRDefault="0074193E">
            <w:pPr>
              <w:pStyle w:val="TableText"/>
              <w:keepNext/>
              <w:jc w:val="center"/>
            </w:pPr>
            <w:r w:rsidRPr="00BA71CB">
              <w:t>51</w:t>
            </w:r>
            <w:r>
              <w:t xml:space="preserve"> (17.5)</w:t>
            </w:r>
          </w:p>
        </w:tc>
      </w:tr>
      <w:tr w:rsidR="0074193E" w14:paraId="68FBB275" w14:textId="77777777">
        <w:tc>
          <w:tcPr>
            <w:tcW w:w="1098" w:type="pct"/>
          </w:tcPr>
          <w:p w14:paraId="5A902AD0" w14:textId="77777777" w:rsidR="0074193E" w:rsidRDefault="0074193E">
            <w:pPr>
              <w:pStyle w:val="TableText"/>
              <w:keepNext/>
              <w:ind w:left="170"/>
            </w:pPr>
            <w:r>
              <w:t>Other</w:t>
            </w:r>
          </w:p>
        </w:tc>
        <w:tc>
          <w:tcPr>
            <w:tcW w:w="786" w:type="pct"/>
            <w:vAlign w:val="center"/>
          </w:tcPr>
          <w:p w14:paraId="67C75988" w14:textId="77777777" w:rsidR="0074193E" w:rsidRPr="003A2FFE" w:rsidRDefault="0074193E">
            <w:pPr>
              <w:pStyle w:val="TableText"/>
              <w:keepNext/>
              <w:jc w:val="center"/>
              <w:rPr>
                <w:vertAlign w:val="superscript"/>
              </w:rPr>
            </w:pPr>
            <w:r>
              <w:t xml:space="preserve">2 (0.1) </w:t>
            </w:r>
            <w:r>
              <w:rPr>
                <w:vertAlign w:val="superscript"/>
              </w:rPr>
              <w:t>c</w:t>
            </w:r>
          </w:p>
        </w:tc>
        <w:tc>
          <w:tcPr>
            <w:tcW w:w="698" w:type="pct"/>
            <w:vAlign w:val="center"/>
          </w:tcPr>
          <w:p w14:paraId="65C2ACCA" w14:textId="77777777" w:rsidR="0074193E" w:rsidRPr="00500DA9" w:rsidRDefault="0074193E">
            <w:pPr>
              <w:pStyle w:val="TableText"/>
              <w:keepNext/>
              <w:jc w:val="center"/>
              <w:rPr>
                <w:vertAlign w:val="superscript"/>
              </w:rPr>
            </w:pPr>
            <w:r>
              <w:t xml:space="preserve">8 (0.8) </w:t>
            </w:r>
            <w:r>
              <w:rPr>
                <w:vertAlign w:val="superscript"/>
              </w:rPr>
              <w:t>d</w:t>
            </w:r>
          </w:p>
        </w:tc>
        <w:tc>
          <w:tcPr>
            <w:tcW w:w="1031" w:type="pct"/>
            <w:vAlign w:val="center"/>
          </w:tcPr>
          <w:p w14:paraId="786BC148" w14:textId="77777777" w:rsidR="0074193E" w:rsidRPr="00B678BA" w:rsidRDefault="0074193E">
            <w:pPr>
              <w:pStyle w:val="TableText"/>
              <w:keepNext/>
              <w:jc w:val="center"/>
              <w:rPr>
                <w:vertAlign w:val="superscript"/>
              </w:rPr>
            </w:pPr>
            <w:r>
              <w:t xml:space="preserve">6 (13.4) </w:t>
            </w:r>
            <w:r>
              <w:rPr>
                <w:vertAlign w:val="superscript"/>
              </w:rPr>
              <w:t>e</w:t>
            </w:r>
          </w:p>
        </w:tc>
        <w:tc>
          <w:tcPr>
            <w:tcW w:w="708" w:type="pct"/>
            <w:vAlign w:val="center"/>
          </w:tcPr>
          <w:p w14:paraId="58E2E9AE" w14:textId="77777777" w:rsidR="0074193E" w:rsidRPr="00A32BDB" w:rsidRDefault="0074193E">
            <w:pPr>
              <w:pStyle w:val="TableText"/>
              <w:keepNext/>
              <w:jc w:val="center"/>
              <w:rPr>
                <w:vertAlign w:val="superscript"/>
              </w:rPr>
            </w:pPr>
            <w:r>
              <w:t xml:space="preserve">18 (18.0) </w:t>
            </w:r>
            <w:r>
              <w:rPr>
                <w:vertAlign w:val="superscript"/>
              </w:rPr>
              <w:t>f</w:t>
            </w:r>
          </w:p>
        </w:tc>
        <w:tc>
          <w:tcPr>
            <w:tcW w:w="679" w:type="pct"/>
            <w:vAlign w:val="center"/>
          </w:tcPr>
          <w:p w14:paraId="142BA23D" w14:textId="77777777" w:rsidR="0074193E" w:rsidRPr="00650373" w:rsidRDefault="0074193E">
            <w:pPr>
              <w:pStyle w:val="TableText"/>
              <w:keepNext/>
              <w:jc w:val="center"/>
              <w:rPr>
                <w:vertAlign w:val="superscript"/>
              </w:rPr>
            </w:pPr>
            <w:r>
              <w:t xml:space="preserve">11 (3.8) </w:t>
            </w:r>
            <w:r>
              <w:rPr>
                <w:vertAlign w:val="superscript"/>
              </w:rPr>
              <w:t>g</w:t>
            </w:r>
          </w:p>
        </w:tc>
      </w:tr>
      <w:tr w:rsidR="0074193E" w14:paraId="48937AEE" w14:textId="77777777">
        <w:tc>
          <w:tcPr>
            <w:tcW w:w="1098" w:type="pct"/>
          </w:tcPr>
          <w:p w14:paraId="1AFA2A77" w14:textId="77777777" w:rsidR="0074193E" w:rsidRDefault="0074193E">
            <w:pPr>
              <w:pStyle w:val="TableText"/>
              <w:keepNext/>
            </w:pPr>
            <w:r>
              <w:rPr>
                <w:vertAlign w:val="superscript"/>
              </w:rPr>
              <w:t>177</w:t>
            </w:r>
            <w:r>
              <w:t>Lu PSMA-617 therapy eligible, n (%)</w:t>
            </w:r>
          </w:p>
        </w:tc>
        <w:tc>
          <w:tcPr>
            <w:tcW w:w="786" w:type="pct"/>
            <w:vAlign w:val="center"/>
          </w:tcPr>
          <w:p w14:paraId="0A3BE9A8" w14:textId="77777777" w:rsidR="0074193E" w:rsidRPr="005A7BE0" w:rsidRDefault="0074193E">
            <w:pPr>
              <w:pStyle w:val="TableText"/>
              <w:keepNext/>
              <w:jc w:val="center"/>
              <w:rPr>
                <w:vertAlign w:val="superscript"/>
              </w:rPr>
            </w:pPr>
            <w:r>
              <w:t>14 (77.8)</w:t>
            </w:r>
          </w:p>
        </w:tc>
        <w:tc>
          <w:tcPr>
            <w:tcW w:w="698" w:type="pct"/>
            <w:vAlign w:val="center"/>
          </w:tcPr>
          <w:p w14:paraId="377F7E04" w14:textId="77777777" w:rsidR="0074193E" w:rsidRDefault="0074193E">
            <w:pPr>
              <w:pStyle w:val="TableText"/>
              <w:keepNext/>
              <w:jc w:val="center"/>
            </w:pPr>
            <w:r>
              <w:t>831 (82.9)</w:t>
            </w:r>
          </w:p>
        </w:tc>
        <w:tc>
          <w:tcPr>
            <w:tcW w:w="1031" w:type="pct"/>
            <w:vAlign w:val="center"/>
          </w:tcPr>
          <w:p w14:paraId="31122AD5" w14:textId="77777777" w:rsidR="0074193E" w:rsidRDefault="0074193E">
            <w:pPr>
              <w:pStyle w:val="TableText"/>
              <w:keepNext/>
              <w:jc w:val="center"/>
            </w:pPr>
            <w:r>
              <w:t>30 (69.8)</w:t>
            </w:r>
          </w:p>
        </w:tc>
        <w:tc>
          <w:tcPr>
            <w:tcW w:w="708" w:type="pct"/>
            <w:vAlign w:val="center"/>
          </w:tcPr>
          <w:p w14:paraId="2101FCE1" w14:textId="77777777" w:rsidR="0074193E" w:rsidRDefault="0074193E">
            <w:pPr>
              <w:pStyle w:val="TableText"/>
              <w:keepNext/>
              <w:jc w:val="center"/>
            </w:pPr>
            <w:r>
              <w:t>56 (56.0)</w:t>
            </w:r>
          </w:p>
        </w:tc>
        <w:tc>
          <w:tcPr>
            <w:tcW w:w="679" w:type="pct"/>
            <w:vAlign w:val="center"/>
          </w:tcPr>
          <w:p w14:paraId="644F12DC" w14:textId="77777777" w:rsidR="0074193E" w:rsidRPr="00037E20" w:rsidRDefault="0074193E">
            <w:pPr>
              <w:pStyle w:val="TableText"/>
              <w:keepNext/>
              <w:jc w:val="center"/>
            </w:pPr>
            <w:r>
              <w:t>200 (68.7)</w:t>
            </w:r>
          </w:p>
        </w:tc>
      </w:tr>
    </w:tbl>
    <w:p w14:paraId="5CDFE3B6" w14:textId="77777777" w:rsidR="0074193E" w:rsidRPr="00663E53" w:rsidRDefault="0074193E" w:rsidP="0074193E">
      <w:pPr>
        <w:pStyle w:val="Tablenotes"/>
        <w:keepNext/>
      </w:pPr>
      <w:r>
        <w:rPr>
          <w:vertAlign w:val="superscript"/>
        </w:rPr>
        <w:t>a</w:t>
      </w:r>
      <w:r>
        <w:t xml:space="preserve"> </w:t>
      </w:r>
      <w:proofErr w:type="spellStart"/>
      <w:r>
        <w:t>SUV</w:t>
      </w:r>
      <w:r w:rsidRPr="00762C58">
        <w:rPr>
          <w:vertAlign w:val="subscript"/>
        </w:rPr>
        <w:t>max</w:t>
      </w:r>
      <w:proofErr w:type="spellEnd"/>
      <w:r>
        <w:t xml:space="preserve"> ≥ liver parenchyma, approximately equivalent to </w:t>
      </w:r>
      <w:proofErr w:type="spellStart"/>
      <w:r>
        <w:t>SUV</w:t>
      </w:r>
      <w:r w:rsidRPr="00762C58">
        <w:rPr>
          <w:vertAlign w:val="subscript"/>
        </w:rPr>
        <w:t>max</w:t>
      </w:r>
      <w:proofErr w:type="spellEnd"/>
      <w:r>
        <w:t xml:space="preserve"> ≥5</w:t>
      </w:r>
    </w:p>
    <w:p w14:paraId="142FA280" w14:textId="77777777" w:rsidR="0074193E" w:rsidRPr="00566747" w:rsidRDefault="0074193E" w:rsidP="0074193E">
      <w:pPr>
        <w:pStyle w:val="Tablenotes"/>
        <w:keepNext/>
      </w:pPr>
      <w:r>
        <w:rPr>
          <w:vertAlign w:val="superscript"/>
        </w:rPr>
        <w:t>b</w:t>
      </w:r>
      <w:r>
        <w:t xml:space="preserve"> </w:t>
      </w:r>
      <w:proofErr w:type="spellStart"/>
      <w:r>
        <w:t>SUV</w:t>
      </w:r>
      <w:r w:rsidRPr="00762C58">
        <w:rPr>
          <w:vertAlign w:val="subscript"/>
        </w:rPr>
        <w:t>max</w:t>
      </w:r>
      <w:proofErr w:type="spellEnd"/>
      <w:r>
        <w:t xml:space="preserve"> 1.5 x liver parenchyma, approximately equivalent to </w:t>
      </w:r>
      <w:proofErr w:type="spellStart"/>
      <w:r>
        <w:t>SUV</w:t>
      </w:r>
      <w:r w:rsidRPr="00762C58">
        <w:rPr>
          <w:vertAlign w:val="subscript"/>
        </w:rPr>
        <w:t>max</w:t>
      </w:r>
      <w:proofErr w:type="spellEnd"/>
      <w:r>
        <w:t xml:space="preserve"> ≥10</w:t>
      </w:r>
    </w:p>
    <w:p w14:paraId="0279B2C3" w14:textId="77777777" w:rsidR="0074193E" w:rsidRDefault="0074193E" w:rsidP="0074193E">
      <w:pPr>
        <w:pStyle w:val="Tablenotes"/>
        <w:keepNext/>
      </w:pPr>
      <w:r>
        <w:rPr>
          <w:vertAlign w:val="superscript"/>
        </w:rPr>
        <w:t xml:space="preserve">c </w:t>
      </w:r>
      <w:r>
        <w:t>4 patients were ineligible for Lu PSMA therapy. Of the 4 men excluded 2 (11%) of 18 had inadequate PSMA intensity and 2 (11%) had inadequate marrow function</w:t>
      </w:r>
    </w:p>
    <w:p w14:paraId="11CBA767" w14:textId="77777777" w:rsidR="0074193E" w:rsidRDefault="0074193E" w:rsidP="0074193E">
      <w:pPr>
        <w:pStyle w:val="Tablenotes"/>
        <w:keepNext/>
      </w:pPr>
      <w:r>
        <w:rPr>
          <w:vertAlign w:val="superscript"/>
        </w:rPr>
        <w:t xml:space="preserve">d </w:t>
      </w:r>
      <w:r>
        <w:t>3 patients had progressive disease, 2 had an adverse event, 2 died and 1 withdrew consent</w:t>
      </w:r>
    </w:p>
    <w:p w14:paraId="4CE1D59D" w14:textId="77777777" w:rsidR="0074193E" w:rsidRPr="00D1054E" w:rsidRDefault="0074193E" w:rsidP="0074193E">
      <w:pPr>
        <w:pStyle w:val="Tablenotes"/>
        <w:keepNext/>
      </w:pPr>
      <w:r>
        <w:rPr>
          <w:vertAlign w:val="superscript"/>
        </w:rPr>
        <w:t>e</w:t>
      </w:r>
      <w:r>
        <w:t xml:space="preserve"> Excluded for reasons based on exclusion criteria in the trial</w:t>
      </w:r>
    </w:p>
    <w:p w14:paraId="0ECCC58D" w14:textId="77777777" w:rsidR="0074193E" w:rsidRDefault="0074193E" w:rsidP="0074193E">
      <w:pPr>
        <w:pStyle w:val="Tablenotes"/>
        <w:keepNext/>
      </w:pPr>
      <w:r>
        <w:rPr>
          <w:vertAlign w:val="superscript"/>
        </w:rPr>
        <w:t>f</w:t>
      </w:r>
      <w:r w:rsidRPr="00500DA9">
        <w:rPr>
          <w:vertAlign w:val="superscript"/>
        </w:rPr>
        <w:t xml:space="preserve"> </w:t>
      </w:r>
      <w:r>
        <w:t>Scan fails were due to clinical deterioration (6%), concurrent illness (3%), low haemoglobin (7%) or personal reasons (2%)</w:t>
      </w:r>
    </w:p>
    <w:p w14:paraId="60C359B5" w14:textId="77777777" w:rsidR="0074193E" w:rsidRPr="00650373" w:rsidRDefault="0074193E" w:rsidP="0074193E">
      <w:pPr>
        <w:pStyle w:val="Tablenotes"/>
        <w:keepNext/>
      </w:pPr>
      <w:r>
        <w:rPr>
          <w:vertAlign w:val="superscript"/>
        </w:rPr>
        <w:t>g</w:t>
      </w:r>
      <w:r>
        <w:t xml:space="preserve"> Reasons for ‘other’ were not reported</w:t>
      </w:r>
    </w:p>
    <w:p w14:paraId="41556A64" w14:textId="77777777" w:rsidR="0074193E" w:rsidRDefault="0074193E" w:rsidP="0074193E">
      <w:pPr>
        <w:pStyle w:val="Tablenotes"/>
        <w:keepNext/>
        <w:rPr>
          <w:snapToGrid/>
        </w:rPr>
      </w:pPr>
      <w:r w:rsidRPr="004A2156">
        <w:rPr>
          <w:snapToGrid/>
        </w:rPr>
        <w:t xml:space="preserve">Abbreviations: </w:t>
      </w:r>
      <w:r w:rsidRPr="008F44F5">
        <w:rPr>
          <w:snapToGrid/>
          <w:vertAlign w:val="superscript"/>
        </w:rPr>
        <w:t>177</w:t>
      </w:r>
      <w:r>
        <w:rPr>
          <w:snapToGrid/>
        </w:rPr>
        <w:t>Lu PSMA</w:t>
      </w:r>
      <w:r w:rsidRPr="004A2156">
        <w:rPr>
          <w:snapToGrid/>
        </w:rPr>
        <w:t xml:space="preserve">-617, </w:t>
      </w:r>
      <w:r w:rsidRPr="00F97A1A">
        <w:rPr>
          <w:snapToGrid/>
          <w:vertAlign w:val="superscript"/>
        </w:rPr>
        <w:t>177</w:t>
      </w:r>
      <w:r w:rsidRPr="004A2156">
        <w:rPr>
          <w:snapToGrid/>
        </w:rPr>
        <w:t>lutetium prostate-specific membrane antigen 617</w:t>
      </w:r>
      <w:r>
        <w:rPr>
          <w:snapToGrid/>
        </w:rPr>
        <w:t>;</w:t>
      </w:r>
      <w:r w:rsidRPr="004A2156">
        <w:rPr>
          <w:snapToGrid/>
        </w:rPr>
        <w:t xml:space="preserve"> </w:t>
      </w:r>
      <w:r>
        <w:rPr>
          <w:snapToGrid/>
        </w:rPr>
        <w:t xml:space="preserve">FDG, fluorodeoxyglucose; </w:t>
      </w:r>
      <w:r w:rsidRPr="004A2156">
        <w:rPr>
          <w:snapToGrid/>
        </w:rPr>
        <w:t>NA, not applicable; PS</w:t>
      </w:r>
      <w:r>
        <w:rPr>
          <w:snapToGrid/>
        </w:rPr>
        <w:t>M</w:t>
      </w:r>
      <w:r w:rsidRPr="004A2156">
        <w:rPr>
          <w:snapToGrid/>
        </w:rPr>
        <w:t xml:space="preserve">A, prostate-specific </w:t>
      </w:r>
      <w:r>
        <w:rPr>
          <w:snapToGrid/>
        </w:rPr>
        <w:t xml:space="preserve">membrane </w:t>
      </w:r>
      <w:r w:rsidRPr="004A2156">
        <w:rPr>
          <w:snapToGrid/>
        </w:rPr>
        <w:t xml:space="preserve">antigen; </w:t>
      </w:r>
      <w:proofErr w:type="spellStart"/>
      <w:r w:rsidRPr="004A2156">
        <w:rPr>
          <w:snapToGrid/>
        </w:rPr>
        <w:t>SUV</w:t>
      </w:r>
      <w:r w:rsidRPr="00F45E93">
        <w:rPr>
          <w:snapToGrid/>
          <w:vertAlign w:val="subscript"/>
        </w:rPr>
        <w:t>max</w:t>
      </w:r>
      <w:proofErr w:type="spellEnd"/>
      <w:r w:rsidRPr="004A2156">
        <w:rPr>
          <w:snapToGrid/>
        </w:rPr>
        <w:t>, maximum standardised uptake value</w:t>
      </w:r>
    </w:p>
    <w:p w14:paraId="04DF5EEA" w14:textId="3FE31567" w:rsidR="0074193E" w:rsidRDefault="0074193E" w:rsidP="0074193E">
      <w:pPr>
        <w:pStyle w:val="Tablenotes"/>
        <w:rPr>
          <w:snapToGrid/>
        </w:rPr>
      </w:pPr>
      <w:r w:rsidRPr="004A2156">
        <w:rPr>
          <w:snapToGrid/>
        </w:rPr>
        <w:t xml:space="preserve">Source: </w:t>
      </w:r>
      <w:r>
        <w:rPr>
          <w:snapToGrid/>
        </w:rPr>
        <w:t>Section 2B.3 of the ADAR</w:t>
      </w:r>
    </w:p>
    <w:p w14:paraId="55D69D09" w14:textId="6EC7DA4D" w:rsidR="001C7253" w:rsidRDefault="001C7253" w:rsidP="001C7253">
      <w:r>
        <w:t xml:space="preserve">The Commentary noted that results from the Re-SPECT study (Emmett 2023) indicated 31% of patients were </w:t>
      </w:r>
      <w:r w:rsidRPr="001C7253">
        <w:t>considered limited/non-responders, despite meeting the eligibility criteria for the study</w:t>
      </w:r>
      <w:r>
        <w:t>.</w:t>
      </w:r>
    </w:p>
    <w:p w14:paraId="4895DA39" w14:textId="77777777" w:rsidR="001C7253" w:rsidRDefault="001C7253" w:rsidP="00C26822">
      <w:pPr>
        <w:keepNext/>
        <w:spacing w:before="240" w:after="240"/>
        <w:rPr>
          <w:u w:val="single"/>
        </w:rPr>
      </w:pPr>
      <w:r>
        <w:rPr>
          <w:u w:val="single"/>
        </w:rPr>
        <w:t>Health outcomes</w:t>
      </w:r>
    </w:p>
    <w:p w14:paraId="37E1859D" w14:textId="77777777" w:rsidR="001C7253" w:rsidRDefault="001C7253" w:rsidP="001C7253">
      <w:pPr>
        <w:keepNext/>
      </w:pPr>
      <w:r>
        <w:t>Two open-label, randomised trials formed the evidentiary basis for health outcomes of the ADAR:</w:t>
      </w:r>
    </w:p>
    <w:p w14:paraId="61CFA7C2" w14:textId="77777777" w:rsidR="001C7253" w:rsidRDefault="001C7253" w:rsidP="00E12DF5">
      <w:pPr>
        <w:pStyle w:val="ListParagraph"/>
        <w:numPr>
          <w:ilvl w:val="0"/>
          <w:numId w:val="13"/>
        </w:numPr>
        <w:ind w:left="284" w:hanging="284"/>
      </w:pPr>
      <w:proofErr w:type="spellStart"/>
      <w:r>
        <w:t>TheraP</w:t>
      </w:r>
      <w:proofErr w:type="spellEnd"/>
      <w:r>
        <w:t xml:space="preserve">; compared </w:t>
      </w:r>
      <w:r w:rsidRPr="00DB51C2">
        <w:rPr>
          <w:vertAlign w:val="superscript"/>
        </w:rPr>
        <w:t>177</w:t>
      </w:r>
      <w:r>
        <w:t>Lu PSMA</w:t>
      </w:r>
      <w:r w:rsidRPr="00DB51C2">
        <w:t>-617</w:t>
      </w:r>
      <w:r>
        <w:t xml:space="preserve"> (n=99) versus cabazitaxel (n=101) in patients with an </w:t>
      </w:r>
      <w:proofErr w:type="spellStart"/>
      <w:r w:rsidRPr="00430609">
        <w:t>SUV</w:t>
      </w:r>
      <w:r w:rsidRPr="00C603F4">
        <w:rPr>
          <w:vertAlign w:val="subscript"/>
        </w:rPr>
        <w:t>max</w:t>
      </w:r>
      <w:proofErr w:type="spellEnd"/>
      <w:r w:rsidRPr="00430609">
        <w:t xml:space="preserve"> of at least 20 at a site of disease and greater than 10 at all other measurable sites of metastatic disease</w:t>
      </w:r>
      <w:r>
        <w:t xml:space="preserve"> (as per </w:t>
      </w:r>
      <w:r w:rsidRPr="008B47DB">
        <w:rPr>
          <w:vertAlign w:val="superscript"/>
        </w:rPr>
        <w:t>68</w:t>
      </w:r>
      <w:r>
        <w:t>Ga PSMA-11 PET/CT)</w:t>
      </w:r>
      <w:r w:rsidRPr="00430609">
        <w:t xml:space="preserve">, </w:t>
      </w:r>
      <w:r w:rsidRPr="00ED69A8">
        <w:rPr>
          <w:b/>
          <w:bCs/>
        </w:rPr>
        <w:t>AND</w:t>
      </w:r>
      <w:r w:rsidRPr="00430609">
        <w:t xml:space="preserve"> no sites of metastatic disease with discordant 2-[¹</w:t>
      </w:r>
      <w:r w:rsidRPr="00430609">
        <w:rPr>
          <w:rFonts w:ascii="Arial" w:hAnsi="Arial" w:cs="Arial"/>
        </w:rPr>
        <w:t>⁸</w:t>
      </w:r>
      <w:r w:rsidRPr="00430609">
        <w:t>F]</w:t>
      </w:r>
      <w:r>
        <w:t xml:space="preserve"> </w:t>
      </w:r>
      <w:r w:rsidRPr="00430609">
        <w:t>FDG-positive</w:t>
      </w:r>
      <w:r>
        <w:t xml:space="preserve"> (FDG PET/CT)</w:t>
      </w:r>
      <w:r w:rsidRPr="00430609">
        <w:t xml:space="preserve"> and PSMA-negative findings</w:t>
      </w:r>
      <w:r>
        <w:t>; and</w:t>
      </w:r>
    </w:p>
    <w:p w14:paraId="7663A181" w14:textId="419767B4" w:rsidR="001C7253" w:rsidRDefault="001C7253" w:rsidP="00E12DF5">
      <w:pPr>
        <w:pStyle w:val="ListParagraph"/>
        <w:numPr>
          <w:ilvl w:val="0"/>
          <w:numId w:val="13"/>
        </w:numPr>
        <w:ind w:left="284" w:hanging="284"/>
      </w:pPr>
      <w:r>
        <w:t xml:space="preserve">VISION; compared </w:t>
      </w:r>
      <w:r w:rsidRPr="00DB51C2">
        <w:rPr>
          <w:vertAlign w:val="superscript"/>
        </w:rPr>
        <w:t>177</w:t>
      </w:r>
      <w:r>
        <w:t>Lu PSMA</w:t>
      </w:r>
      <w:r w:rsidRPr="00DB51C2">
        <w:t>-617</w:t>
      </w:r>
      <w:r>
        <w:t xml:space="preserve"> + best supportive care (</w:t>
      </w:r>
      <w:r w:rsidR="00864390">
        <w:t xml:space="preserve">BSC; </w:t>
      </w:r>
      <w:r>
        <w:t xml:space="preserve">n=551) versus </w:t>
      </w:r>
      <w:r w:rsidR="00864390">
        <w:t>BSC</w:t>
      </w:r>
      <w:r>
        <w:t xml:space="preserve"> alone (n=280) in patients with </w:t>
      </w:r>
      <w:r w:rsidRPr="00E27394">
        <w:rPr>
          <w:vertAlign w:val="superscript"/>
        </w:rPr>
        <w:t>68</w:t>
      </w:r>
      <w:r>
        <w:t xml:space="preserve">Ga PSMA-11 (PET/CT) uptake greater than that of liver parenchyma (approximately </w:t>
      </w:r>
      <w:proofErr w:type="spellStart"/>
      <w:r w:rsidRPr="00745D0E">
        <w:t>SUV</w:t>
      </w:r>
      <w:r w:rsidRPr="00745D0E">
        <w:rPr>
          <w:vertAlign w:val="subscript"/>
        </w:rPr>
        <w:t>max</w:t>
      </w:r>
      <w:proofErr w:type="spellEnd"/>
      <w:r w:rsidRPr="00745D0E">
        <w:t xml:space="preserve"> threshold of</w:t>
      </w:r>
      <w:r>
        <w:t xml:space="preserve"> 5 (IQR 4-7))</w:t>
      </w:r>
      <w:r w:rsidRPr="00745D0E">
        <w:t xml:space="preserve"> </w:t>
      </w:r>
      <w:r>
        <w:t>in one or more metastatic lesions of any size in any organ system.</w:t>
      </w:r>
    </w:p>
    <w:p w14:paraId="6737BE82" w14:textId="00FE184B" w:rsidR="001C7253" w:rsidRDefault="001C7253" w:rsidP="00C26822">
      <w:pPr>
        <w:spacing w:before="240"/>
      </w:pPr>
      <w:r>
        <w:lastRenderedPageBreak/>
        <w:t xml:space="preserve">The results of the trials are presented in </w:t>
      </w:r>
      <w:r>
        <w:fldChar w:fldCharType="begin"/>
      </w:r>
      <w:r>
        <w:instrText xml:space="preserve"> REF _Ref91069598 \h </w:instrText>
      </w:r>
      <w:r>
        <w:fldChar w:fldCharType="separate"/>
      </w:r>
      <w:r w:rsidR="00EB3F24">
        <w:t xml:space="preserve">Table </w:t>
      </w:r>
      <w:r w:rsidR="00EB3F24">
        <w:rPr>
          <w:noProof/>
        </w:rPr>
        <w:t>5</w:t>
      </w:r>
      <w:r>
        <w:fldChar w:fldCharType="end"/>
      </w:r>
      <w:r>
        <w:t xml:space="preserve">. Kaplan-Meier (KM) curves for OS in VISION </w:t>
      </w:r>
      <w:r w:rsidR="0074193E">
        <w:t xml:space="preserve">and </w:t>
      </w:r>
      <w:proofErr w:type="spellStart"/>
      <w:r w:rsidR="0074193E">
        <w:t>TheraP</w:t>
      </w:r>
      <w:proofErr w:type="spellEnd"/>
      <w:r w:rsidR="0074193E">
        <w:t xml:space="preserve">; </w:t>
      </w:r>
      <w:r>
        <w:t xml:space="preserve">and PFS in </w:t>
      </w:r>
      <w:proofErr w:type="spellStart"/>
      <w:r>
        <w:t>TheraP</w:t>
      </w:r>
      <w:proofErr w:type="spellEnd"/>
      <w:r>
        <w:t xml:space="preserve"> and VISION are presented in </w:t>
      </w:r>
      <w:r w:rsidR="006942E5">
        <w:fldChar w:fldCharType="begin"/>
      </w:r>
      <w:r w:rsidR="006942E5">
        <w:instrText xml:space="preserve"> REF _Ref152264990 \h </w:instrText>
      </w:r>
      <w:r w:rsidR="006942E5">
        <w:fldChar w:fldCharType="separate"/>
      </w:r>
      <w:r w:rsidR="00EB3F24">
        <w:t xml:space="preserve">Figure </w:t>
      </w:r>
      <w:r w:rsidR="00EB3F24">
        <w:rPr>
          <w:noProof/>
        </w:rPr>
        <w:t>1</w:t>
      </w:r>
      <w:r w:rsidR="006942E5">
        <w:fldChar w:fldCharType="end"/>
      </w:r>
      <w:r>
        <w:t xml:space="preserve">, </w:t>
      </w:r>
      <w:r w:rsidR="006942E5">
        <w:fldChar w:fldCharType="begin"/>
      </w:r>
      <w:r w:rsidR="006942E5">
        <w:instrText xml:space="preserve"> REF _Ref152264997 \h </w:instrText>
      </w:r>
      <w:r w:rsidR="006942E5">
        <w:fldChar w:fldCharType="separate"/>
      </w:r>
      <w:r w:rsidR="00EB3F24">
        <w:t xml:space="preserve">Figure </w:t>
      </w:r>
      <w:r w:rsidR="00EB3F24">
        <w:rPr>
          <w:noProof/>
        </w:rPr>
        <w:t>2</w:t>
      </w:r>
      <w:r w:rsidR="006942E5">
        <w:fldChar w:fldCharType="end"/>
      </w:r>
      <w:r w:rsidR="006942E5">
        <w:t xml:space="preserve">, </w:t>
      </w:r>
      <w:r w:rsidR="006942E5">
        <w:fldChar w:fldCharType="begin"/>
      </w:r>
      <w:r w:rsidR="006942E5">
        <w:instrText xml:space="preserve"> REF _Ref152265003 \h </w:instrText>
      </w:r>
      <w:r w:rsidR="006942E5">
        <w:fldChar w:fldCharType="separate"/>
      </w:r>
      <w:r w:rsidR="00EB3F24">
        <w:t xml:space="preserve">Figure </w:t>
      </w:r>
      <w:r w:rsidR="00EB3F24">
        <w:rPr>
          <w:noProof/>
        </w:rPr>
        <w:t>3</w:t>
      </w:r>
      <w:r w:rsidR="006942E5">
        <w:fldChar w:fldCharType="end"/>
      </w:r>
      <w:r>
        <w:t xml:space="preserve"> and </w:t>
      </w:r>
      <w:r w:rsidR="006942E5">
        <w:fldChar w:fldCharType="begin"/>
      </w:r>
      <w:r w:rsidR="006942E5">
        <w:instrText xml:space="preserve"> REF _Ref152265008 \h </w:instrText>
      </w:r>
      <w:r w:rsidR="006942E5">
        <w:fldChar w:fldCharType="separate"/>
      </w:r>
      <w:r w:rsidR="00EB3F24">
        <w:t xml:space="preserve">Figure </w:t>
      </w:r>
      <w:r w:rsidR="00EB3F24">
        <w:rPr>
          <w:noProof/>
        </w:rPr>
        <w:t>4</w:t>
      </w:r>
      <w:r w:rsidR="006942E5">
        <w:fldChar w:fldCharType="end"/>
      </w:r>
      <w:r>
        <w:t>, respectively.</w:t>
      </w:r>
      <w:r w:rsidR="006942E5">
        <w:t xml:space="preserve"> These data have previously been considered by MSAC in its consideration of MSAC 1686 in July 2022</w:t>
      </w:r>
      <w:r w:rsidR="0043433F">
        <w:t xml:space="preserve"> (discussed further below</w:t>
      </w:r>
      <w:r w:rsidR="003C2EAA">
        <w:t xml:space="preserve"> under ‘Clinical claim’</w:t>
      </w:r>
      <w:r w:rsidR="0043433F">
        <w:t>)</w:t>
      </w:r>
      <w:r w:rsidR="006942E5">
        <w:t>.</w:t>
      </w:r>
    </w:p>
    <w:p w14:paraId="609469C0" w14:textId="08E65744" w:rsidR="001C7253" w:rsidRDefault="001C7253" w:rsidP="001C7253">
      <w:pPr>
        <w:pStyle w:val="Caption"/>
        <w:widowControl w:val="0"/>
      </w:pPr>
      <w:bookmarkStart w:id="28" w:name="_Ref91069598"/>
      <w:r>
        <w:t>Table</w:t>
      </w:r>
      <w:r w:rsidR="00352EBD">
        <w:t xml:space="preserve"> 6</w:t>
      </w:r>
      <w:bookmarkEnd w:id="28"/>
      <w:r>
        <w:tab/>
        <w:t xml:space="preserve">Summary of </w:t>
      </w:r>
      <w:r w:rsidRPr="00A70463">
        <w:rPr>
          <w:vertAlign w:val="superscript"/>
        </w:rPr>
        <w:t>177</w:t>
      </w:r>
      <w:r>
        <w:t>Lu PSMA-617 efficacy</w:t>
      </w:r>
    </w:p>
    <w:tbl>
      <w:tblPr>
        <w:tblStyle w:val="AZTable11"/>
        <w:tblW w:w="5000" w:type="pct"/>
        <w:tblLook w:val="04A0" w:firstRow="1" w:lastRow="0" w:firstColumn="1" w:lastColumn="0" w:noHBand="0" w:noVBand="1"/>
      </w:tblPr>
      <w:tblGrid>
        <w:gridCol w:w="3136"/>
        <w:gridCol w:w="1585"/>
        <w:gridCol w:w="1257"/>
        <w:gridCol w:w="2133"/>
        <w:gridCol w:w="905"/>
      </w:tblGrid>
      <w:tr w:rsidR="001C7253" w14:paraId="3FDB62E6" w14:textId="77777777">
        <w:trPr>
          <w:cnfStyle w:val="100000000000" w:firstRow="1" w:lastRow="0" w:firstColumn="0" w:lastColumn="0" w:oddVBand="0" w:evenVBand="0" w:oddHBand="0" w:evenHBand="0" w:firstRowFirstColumn="0" w:firstRowLastColumn="0" w:lastRowFirstColumn="0" w:lastRowLastColumn="0"/>
          <w:tblHeader/>
        </w:trPr>
        <w:tc>
          <w:tcPr>
            <w:tcW w:w="1739" w:type="pct"/>
          </w:tcPr>
          <w:p w14:paraId="38A9D380" w14:textId="77777777" w:rsidR="001C7253" w:rsidRPr="00944543" w:rsidRDefault="001C7253">
            <w:pPr>
              <w:pStyle w:val="Tabletext0"/>
              <w:keepNext/>
            </w:pPr>
          </w:p>
        </w:tc>
        <w:tc>
          <w:tcPr>
            <w:tcW w:w="1576" w:type="pct"/>
            <w:gridSpan w:val="2"/>
          </w:tcPr>
          <w:p w14:paraId="6623ACCA" w14:textId="77777777" w:rsidR="001C7253" w:rsidRPr="00693283" w:rsidRDefault="001C7253">
            <w:pPr>
              <w:pStyle w:val="Tabletext0"/>
              <w:keepNext/>
              <w:jc w:val="center"/>
              <w:rPr>
                <w:b/>
              </w:rPr>
            </w:pPr>
            <w:proofErr w:type="spellStart"/>
            <w:r w:rsidRPr="00693283">
              <w:rPr>
                <w:b/>
              </w:rPr>
              <w:t>TheraP</w:t>
            </w:r>
            <w:proofErr w:type="spellEnd"/>
          </w:p>
        </w:tc>
        <w:tc>
          <w:tcPr>
            <w:tcW w:w="1685" w:type="pct"/>
            <w:gridSpan w:val="2"/>
          </w:tcPr>
          <w:p w14:paraId="01A8B2AE" w14:textId="77777777" w:rsidR="001C7253" w:rsidRPr="00693283" w:rsidRDefault="001C7253">
            <w:pPr>
              <w:pStyle w:val="Tabletext0"/>
              <w:keepNext/>
              <w:jc w:val="center"/>
              <w:rPr>
                <w:b/>
              </w:rPr>
            </w:pPr>
            <w:r w:rsidRPr="00693283">
              <w:rPr>
                <w:b/>
              </w:rPr>
              <w:t>VISION</w:t>
            </w:r>
          </w:p>
        </w:tc>
      </w:tr>
      <w:tr w:rsidR="001C7253" w14:paraId="7E76A477" w14:textId="77777777">
        <w:trPr>
          <w:cnfStyle w:val="100000000000" w:firstRow="1" w:lastRow="0" w:firstColumn="0" w:lastColumn="0" w:oddVBand="0" w:evenVBand="0" w:oddHBand="0" w:evenHBand="0" w:firstRowFirstColumn="0" w:firstRowLastColumn="0" w:lastRowFirstColumn="0" w:lastRowLastColumn="0"/>
          <w:tblHeader/>
        </w:trPr>
        <w:tc>
          <w:tcPr>
            <w:tcW w:w="1739" w:type="pct"/>
            <w:tcBorders>
              <w:bottom w:val="single" w:sz="4" w:space="0" w:color="auto"/>
            </w:tcBorders>
          </w:tcPr>
          <w:p w14:paraId="5E6DF968" w14:textId="77777777" w:rsidR="001C7253" w:rsidRPr="00944543" w:rsidRDefault="001C7253">
            <w:pPr>
              <w:pStyle w:val="Tabletext0"/>
              <w:keepNext/>
            </w:pPr>
          </w:p>
        </w:tc>
        <w:tc>
          <w:tcPr>
            <w:tcW w:w="879" w:type="pct"/>
            <w:tcBorders>
              <w:bottom w:val="single" w:sz="4" w:space="0" w:color="auto"/>
            </w:tcBorders>
          </w:tcPr>
          <w:p w14:paraId="3C05E6A5" w14:textId="77777777" w:rsidR="001C7253" w:rsidRPr="00693283" w:rsidRDefault="001C7253">
            <w:pPr>
              <w:pStyle w:val="Tabletext0"/>
              <w:keepNext/>
              <w:jc w:val="center"/>
              <w:rPr>
                <w:b/>
                <w:bCs/>
              </w:rPr>
            </w:pPr>
            <w:r w:rsidRPr="00693283">
              <w:rPr>
                <w:b/>
                <w:bCs/>
                <w:vertAlign w:val="superscript"/>
              </w:rPr>
              <w:t>177</w:t>
            </w:r>
            <w:r>
              <w:rPr>
                <w:b/>
                <w:bCs/>
              </w:rPr>
              <w:t>Lu PSMA-617</w:t>
            </w:r>
          </w:p>
        </w:tc>
        <w:tc>
          <w:tcPr>
            <w:tcW w:w="697" w:type="pct"/>
            <w:tcBorders>
              <w:bottom w:val="single" w:sz="4" w:space="0" w:color="auto"/>
            </w:tcBorders>
          </w:tcPr>
          <w:p w14:paraId="496E15F1" w14:textId="77777777" w:rsidR="001C7253" w:rsidRPr="00693283" w:rsidRDefault="001C7253">
            <w:pPr>
              <w:pStyle w:val="Tabletext0"/>
              <w:keepNext/>
              <w:jc w:val="center"/>
              <w:rPr>
                <w:b/>
                <w:bCs/>
              </w:rPr>
            </w:pPr>
            <w:r w:rsidRPr="00693283">
              <w:rPr>
                <w:b/>
                <w:bCs/>
              </w:rPr>
              <w:t>Cabazitaxel</w:t>
            </w:r>
          </w:p>
        </w:tc>
        <w:tc>
          <w:tcPr>
            <w:tcW w:w="1183" w:type="pct"/>
            <w:tcBorders>
              <w:bottom w:val="single" w:sz="4" w:space="0" w:color="auto"/>
            </w:tcBorders>
          </w:tcPr>
          <w:p w14:paraId="1F4C9BC4" w14:textId="7FC8A9CD" w:rsidR="001C7253" w:rsidRPr="00693283" w:rsidRDefault="001C7253">
            <w:pPr>
              <w:pStyle w:val="Tabletext0"/>
              <w:keepNext/>
              <w:jc w:val="center"/>
              <w:rPr>
                <w:b/>
                <w:bCs/>
              </w:rPr>
            </w:pPr>
            <w:r w:rsidRPr="00693283">
              <w:rPr>
                <w:b/>
                <w:bCs/>
                <w:vertAlign w:val="superscript"/>
              </w:rPr>
              <w:t>177</w:t>
            </w:r>
            <w:r>
              <w:rPr>
                <w:b/>
                <w:bCs/>
              </w:rPr>
              <w:t>Lu PSMA-617</w:t>
            </w:r>
            <w:r w:rsidRPr="00693283">
              <w:rPr>
                <w:b/>
                <w:bCs/>
              </w:rPr>
              <w:t xml:space="preserve"> + </w:t>
            </w:r>
            <w:r w:rsidR="00864390" w:rsidRPr="00693283">
              <w:rPr>
                <w:b/>
                <w:bCs/>
              </w:rPr>
              <w:t>BS</w:t>
            </w:r>
            <w:r w:rsidR="00864390">
              <w:rPr>
                <w:b/>
                <w:bCs/>
              </w:rPr>
              <w:t>C</w:t>
            </w:r>
          </w:p>
        </w:tc>
        <w:tc>
          <w:tcPr>
            <w:tcW w:w="502" w:type="pct"/>
            <w:tcBorders>
              <w:bottom w:val="single" w:sz="4" w:space="0" w:color="auto"/>
            </w:tcBorders>
          </w:tcPr>
          <w:p w14:paraId="5900602E" w14:textId="50272086" w:rsidR="001C7253" w:rsidRPr="00693283" w:rsidRDefault="00864390">
            <w:pPr>
              <w:pStyle w:val="Tabletext0"/>
              <w:keepNext/>
              <w:jc w:val="center"/>
              <w:rPr>
                <w:b/>
                <w:bCs/>
              </w:rPr>
            </w:pPr>
            <w:r w:rsidRPr="00693283">
              <w:rPr>
                <w:b/>
                <w:bCs/>
              </w:rPr>
              <w:t>BS</w:t>
            </w:r>
            <w:r>
              <w:rPr>
                <w:b/>
                <w:bCs/>
              </w:rPr>
              <w:t>C</w:t>
            </w:r>
          </w:p>
        </w:tc>
      </w:tr>
      <w:tr w:rsidR="001C7253" w14:paraId="23843797" w14:textId="77777777">
        <w:tc>
          <w:tcPr>
            <w:tcW w:w="1739" w:type="pct"/>
            <w:tcBorders>
              <w:bottom w:val="single" w:sz="4" w:space="0" w:color="auto"/>
            </w:tcBorders>
          </w:tcPr>
          <w:p w14:paraId="28906EAE" w14:textId="77777777" w:rsidR="001C7253" w:rsidRPr="00944543" w:rsidRDefault="001C7253">
            <w:pPr>
              <w:pStyle w:val="Tabletext0"/>
              <w:keepNext/>
            </w:pPr>
            <w:r>
              <w:t>Median follow-up (months)</w:t>
            </w:r>
          </w:p>
        </w:tc>
        <w:tc>
          <w:tcPr>
            <w:tcW w:w="879" w:type="pct"/>
            <w:tcBorders>
              <w:bottom w:val="single" w:sz="4" w:space="0" w:color="auto"/>
            </w:tcBorders>
          </w:tcPr>
          <w:p w14:paraId="47F2D005" w14:textId="759B7C16" w:rsidR="001C7253" w:rsidRPr="00C0457C" w:rsidRDefault="001C7253">
            <w:pPr>
              <w:pStyle w:val="Tabletext0"/>
              <w:keepNext/>
              <w:jc w:val="center"/>
            </w:pPr>
            <w:r>
              <w:t>36.0</w:t>
            </w:r>
          </w:p>
        </w:tc>
        <w:tc>
          <w:tcPr>
            <w:tcW w:w="697" w:type="pct"/>
            <w:tcBorders>
              <w:bottom w:val="single" w:sz="4" w:space="0" w:color="auto"/>
            </w:tcBorders>
          </w:tcPr>
          <w:p w14:paraId="49231C3E" w14:textId="5161D469" w:rsidR="001C7253" w:rsidRPr="00C0457C" w:rsidRDefault="001C7253">
            <w:pPr>
              <w:pStyle w:val="Tabletext0"/>
              <w:keepNext/>
              <w:jc w:val="center"/>
            </w:pPr>
            <w:r>
              <w:t>36.0</w:t>
            </w:r>
          </w:p>
        </w:tc>
        <w:tc>
          <w:tcPr>
            <w:tcW w:w="1183" w:type="pct"/>
            <w:tcBorders>
              <w:bottom w:val="single" w:sz="4" w:space="0" w:color="auto"/>
            </w:tcBorders>
          </w:tcPr>
          <w:p w14:paraId="62FF5ADA" w14:textId="77777777" w:rsidR="001C7253" w:rsidRPr="005772DC" w:rsidRDefault="001C7253">
            <w:pPr>
              <w:pStyle w:val="Tabletext0"/>
              <w:keepNext/>
              <w:jc w:val="center"/>
            </w:pPr>
            <w:r w:rsidRPr="005772DC">
              <w:t>20.9</w:t>
            </w:r>
          </w:p>
        </w:tc>
        <w:tc>
          <w:tcPr>
            <w:tcW w:w="502" w:type="pct"/>
            <w:tcBorders>
              <w:bottom w:val="single" w:sz="4" w:space="0" w:color="auto"/>
            </w:tcBorders>
          </w:tcPr>
          <w:p w14:paraId="794D3F59" w14:textId="77777777" w:rsidR="001C7253" w:rsidRPr="005772DC" w:rsidRDefault="001C7253">
            <w:pPr>
              <w:pStyle w:val="Tabletext0"/>
              <w:keepNext/>
              <w:jc w:val="center"/>
            </w:pPr>
            <w:r w:rsidRPr="005772DC">
              <w:t>20.9</w:t>
            </w:r>
          </w:p>
        </w:tc>
      </w:tr>
      <w:tr w:rsidR="001C7253" w14:paraId="6AF3B596" w14:textId="77777777">
        <w:tc>
          <w:tcPr>
            <w:tcW w:w="1739" w:type="pct"/>
            <w:tcBorders>
              <w:right w:val="nil"/>
            </w:tcBorders>
          </w:tcPr>
          <w:p w14:paraId="225551E2" w14:textId="77777777" w:rsidR="001C7253" w:rsidRPr="0012498A" w:rsidRDefault="001C7253">
            <w:pPr>
              <w:pStyle w:val="Tabletext0"/>
              <w:keepNext/>
              <w:rPr>
                <w:bCs/>
              </w:rPr>
            </w:pPr>
            <w:r w:rsidRPr="0012498A">
              <w:rPr>
                <w:bCs/>
              </w:rPr>
              <w:t>Response rate</w:t>
            </w:r>
            <w:r>
              <w:rPr>
                <w:bCs/>
              </w:rPr>
              <w:t xml:space="preserve"> (PSA50)</w:t>
            </w:r>
          </w:p>
        </w:tc>
        <w:tc>
          <w:tcPr>
            <w:tcW w:w="879" w:type="pct"/>
            <w:tcBorders>
              <w:left w:val="nil"/>
              <w:right w:val="nil"/>
            </w:tcBorders>
          </w:tcPr>
          <w:p w14:paraId="3E32FD27" w14:textId="77777777" w:rsidR="001C7253" w:rsidRDefault="001C7253">
            <w:pPr>
              <w:pStyle w:val="Tabletext0"/>
              <w:keepNext/>
              <w:jc w:val="center"/>
            </w:pPr>
          </w:p>
        </w:tc>
        <w:tc>
          <w:tcPr>
            <w:tcW w:w="697" w:type="pct"/>
            <w:tcBorders>
              <w:left w:val="nil"/>
              <w:right w:val="nil"/>
            </w:tcBorders>
          </w:tcPr>
          <w:p w14:paraId="4526A7E5" w14:textId="77777777" w:rsidR="001C7253" w:rsidRDefault="001C7253">
            <w:pPr>
              <w:pStyle w:val="Tabletext0"/>
              <w:keepNext/>
              <w:jc w:val="center"/>
            </w:pPr>
          </w:p>
        </w:tc>
        <w:tc>
          <w:tcPr>
            <w:tcW w:w="1183" w:type="pct"/>
            <w:tcBorders>
              <w:left w:val="nil"/>
              <w:right w:val="nil"/>
            </w:tcBorders>
          </w:tcPr>
          <w:p w14:paraId="7703D727" w14:textId="77777777" w:rsidR="001C7253" w:rsidRDefault="001C7253">
            <w:pPr>
              <w:pStyle w:val="Tabletext0"/>
              <w:keepNext/>
              <w:jc w:val="center"/>
            </w:pPr>
          </w:p>
        </w:tc>
        <w:tc>
          <w:tcPr>
            <w:tcW w:w="502" w:type="pct"/>
            <w:tcBorders>
              <w:left w:val="nil"/>
            </w:tcBorders>
          </w:tcPr>
          <w:p w14:paraId="6961E0A3" w14:textId="77777777" w:rsidR="001C7253" w:rsidRDefault="001C7253">
            <w:pPr>
              <w:pStyle w:val="Tabletext0"/>
              <w:keepNext/>
              <w:jc w:val="center"/>
            </w:pPr>
          </w:p>
        </w:tc>
      </w:tr>
      <w:tr w:rsidR="001C7253" w14:paraId="4D595694" w14:textId="77777777">
        <w:tc>
          <w:tcPr>
            <w:tcW w:w="1739" w:type="pct"/>
          </w:tcPr>
          <w:p w14:paraId="228A3CAC" w14:textId="77777777" w:rsidR="001C7253" w:rsidRPr="0012498A" w:rsidRDefault="001C7253">
            <w:pPr>
              <w:pStyle w:val="Tabletext0"/>
              <w:keepNext/>
              <w:ind w:left="170"/>
              <w:rPr>
                <w:bCs/>
              </w:rPr>
            </w:pPr>
            <w:r w:rsidRPr="005B10D4">
              <w:t>N</w:t>
            </w:r>
          </w:p>
        </w:tc>
        <w:tc>
          <w:tcPr>
            <w:tcW w:w="879" w:type="pct"/>
          </w:tcPr>
          <w:p w14:paraId="2C464BA8" w14:textId="7B0094B2" w:rsidR="001C7253" w:rsidRDefault="001C7253">
            <w:pPr>
              <w:pStyle w:val="Tabletext0"/>
              <w:keepNext/>
              <w:jc w:val="center"/>
            </w:pPr>
            <w:r>
              <w:t>NR</w:t>
            </w:r>
          </w:p>
        </w:tc>
        <w:tc>
          <w:tcPr>
            <w:tcW w:w="697" w:type="pct"/>
          </w:tcPr>
          <w:p w14:paraId="1FD13636" w14:textId="309B9E27" w:rsidR="001C7253" w:rsidRDefault="001C7253">
            <w:pPr>
              <w:pStyle w:val="Tabletext0"/>
              <w:keepNext/>
              <w:jc w:val="center"/>
            </w:pPr>
            <w:r>
              <w:t>NR</w:t>
            </w:r>
          </w:p>
        </w:tc>
        <w:tc>
          <w:tcPr>
            <w:tcW w:w="1183" w:type="pct"/>
          </w:tcPr>
          <w:p w14:paraId="381988B7" w14:textId="77777777" w:rsidR="001C7253" w:rsidRDefault="001C7253">
            <w:pPr>
              <w:pStyle w:val="Tabletext0"/>
              <w:keepNext/>
              <w:jc w:val="center"/>
            </w:pPr>
            <w:r>
              <w:t>385</w:t>
            </w:r>
          </w:p>
        </w:tc>
        <w:tc>
          <w:tcPr>
            <w:tcW w:w="502" w:type="pct"/>
          </w:tcPr>
          <w:p w14:paraId="469E98D1" w14:textId="77777777" w:rsidR="001C7253" w:rsidRDefault="001C7253">
            <w:pPr>
              <w:pStyle w:val="Tabletext0"/>
              <w:keepNext/>
              <w:jc w:val="center"/>
            </w:pPr>
            <w:r>
              <w:t>196</w:t>
            </w:r>
          </w:p>
        </w:tc>
      </w:tr>
      <w:tr w:rsidR="001C7253" w14:paraId="47EBB3B4" w14:textId="77777777">
        <w:tc>
          <w:tcPr>
            <w:tcW w:w="1739" w:type="pct"/>
          </w:tcPr>
          <w:p w14:paraId="775B3EA2" w14:textId="77777777" w:rsidR="001C7253" w:rsidRDefault="001C7253">
            <w:pPr>
              <w:pStyle w:val="Tabletext0"/>
              <w:keepNext/>
              <w:ind w:left="170"/>
            </w:pPr>
            <w:r>
              <w:t>Events, n (%)</w:t>
            </w:r>
          </w:p>
        </w:tc>
        <w:tc>
          <w:tcPr>
            <w:tcW w:w="879" w:type="pct"/>
          </w:tcPr>
          <w:p w14:paraId="027EC903" w14:textId="29C5FF49" w:rsidR="001C7253" w:rsidRDefault="001C7253">
            <w:pPr>
              <w:pStyle w:val="Tabletext0"/>
              <w:keepNext/>
              <w:jc w:val="center"/>
            </w:pPr>
            <w:r>
              <w:t>NR</w:t>
            </w:r>
          </w:p>
        </w:tc>
        <w:tc>
          <w:tcPr>
            <w:tcW w:w="697" w:type="pct"/>
          </w:tcPr>
          <w:p w14:paraId="54F22AD1" w14:textId="3E4FC5BC" w:rsidR="001C7253" w:rsidRDefault="001C7253">
            <w:pPr>
              <w:pStyle w:val="Tabletext0"/>
              <w:keepNext/>
              <w:jc w:val="center"/>
            </w:pPr>
            <w:r>
              <w:t>NR</w:t>
            </w:r>
          </w:p>
        </w:tc>
        <w:tc>
          <w:tcPr>
            <w:tcW w:w="1183" w:type="pct"/>
          </w:tcPr>
          <w:p w14:paraId="69616CA4" w14:textId="77777777" w:rsidR="001C7253" w:rsidRDefault="001C7253">
            <w:pPr>
              <w:pStyle w:val="Tabletext0"/>
              <w:keepNext/>
              <w:jc w:val="center"/>
            </w:pPr>
            <w:r>
              <w:t>177 (46)</w:t>
            </w:r>
          </w:p>
        </w:tc>
        <w:tc>
          <w:tcPr>
            <w:tcW w:w="502" w:type="pct"/>
          </w:tcPr>
          <w:p w14:paraId="5991C2D1" w14:textId="77777777" w:rsidR="001C7253" w:rsidRDefault="001C7253">
            <w:pPr>
              <w:pStyle w:val="Tabletext0"/>
              <w:keepNext/>
              <w:jc w:val="center"/>
            </w:pPr>
            <w:r>
              <w:t>14 (7)</w:t>
            </w:r>
          </w:p>
        </w:tc>
      </w:tr>
      <w:tr w:rsidR="001C7253" w14:paraId="646D151D" w14:textId="77777777">
        <w:tc>
          <w:tcPr>
            <w:tcW w:w="1739" w:type="pct"/>
          </w:tcPr>
          <w:p w14:paraId="3859C9D2" w14:textId="77777777" w:rsidR="001C7253" w:rsidRDefault="001C7253">
            <w:pPr>
              <w:pStyle w:val="Tabletext0"/>
              <w:keepNext/>
              <w:ind w:left="170"/>
            </w:pPr>
            <w:r>
              <w:t>RD (95% CI)</w:t>
            </w:r>
          </w:p>
        </w:tc>
        <w:tc>
          <w:tcPr>
            <w:tcW w:w="879" w:type="pct"/>
          </w:tcPr>
          <w:p w14:paraId="67A0576D" w14:textId="2E941F8B" w:rsidR="001C7253" w:rsidRPr="001C7253" w:rsidRDefault="001C7253">
            <w:pPr>
              <w:pStyle w:val="Tabletext0"/>
              <w:keepNext/>
              <w:jc w:val="center"/>
            </w:pPr>
            <w:r>
              <w:t>-</w:t>
            </w:r>
          </w:p>
        </w:tc>
        <w:tc>
          <w:tcPr>
            <w:tcW w:w="697" w:type="pct"/>
          </w:tcPr>
          <w:p w14:paraId="0D46DE25" w14:textId="77777777" w:rsidR="001C7253" w:rsidRPr="00097AE0" w:rsidRDefault="001C7253">
            <w:pPr>
              <w:pStyle w:val="Tabletext0"/>
              <w:keepNext/>
              <w:jc w:val="center"/>
              <w:rPr>
                <w:b/>
                <w:bCs/>
              </w:rPr>
            </w:pPr>
          </w:p>
        </w:tc>
        <w:tc>
          <w:tcPr>
            <w:tcW w:w="1183" w:type="pct"/>
          </w:tcPr>
          <w:p w14:paraId="72C4FA58" w14:textId="77777777" w:rsidR="001C7253" w:rsidRPr="00097AE0" w:rsidRDefault="001C7253">
            <w:pPr>
              <w:pStyle w:val="Tabletext0"/>
              <w:keepNext/>
              <w:jc w:val="center"/>
              <w:rPr>
                <w:b/>
                <w:bCs/>
              </w:rPr>
            </w:pPr>
            <w:r w:rsidRPr="00097AE0">
              <w:rPr>
                <w:b/>
                <w:bCs/>
              </w:rPr>
              <w:t>39% (33%, 45%) *</w:t>
            </w:r>
          </w:p>
        </w:tc>
        <w:tc>
          <w:tcPr>
            <w:tcW w:w="502" w:type="pct"/>
          </w:tcPr>
          <w:p w14:paraId="09C4F80F" w14:textId="77777777" w:rsidR="001C7253" w:rsidRDefault="001C7253">
            <w:pPr>
              <w:pStyle w:val="Tabletext0"/>
              <w:keepNext/>
              <w:jc w:val="center"/>
            </w:pPr>
          </w:p>
        </w:tc>
      </w:tr>
      <w:tr w:rsidR="001C7253" w14:paraId="7F80BE65" w14:textId="77777777">
        <w:tc>
          <w:tcPr>
            <w:tcW w:w="1739" w:type="pct"/>
            <w:tcBorders>
              <w:bottom w:val="single" w:sz="4" w:space="0" w:color="auto"/>
            </w:tcBorders>
          </w:tcPr>
          <w:p w14:paraId="47CFE62E" w14:textId="77777777" w:rsidR="001C7253" w:rsidRDefault="001C7253">
            <w:pPr>
              <w:pStyle w:val="Tabletext0"/>
              <w:keepNext/>
              <w:ind w:left="170"/>
            </w:pPr>
            <w:r>
              <w:t>p-value</w:t>
            </w:r>
          </w:p>
        </w:tc>
        <w:tc>
          <w:tcPr>
            <w:tcW w:w="879" w:type="pct"/>
            <w:tcBorders>
              <w:bottom w:val="single" w:sz="4" w:space="0" w:color="auto"/>
            </w:tcBorders>
          </w:tcPr>
          <w:p w14:paraId="0DBE5B17" w14:textId="59BC84BC" w:rsidR="001C7253" w:rsidRPr="001C7253" w:rsidRDefault="001C7253">
            <w:pPr>
              <w:pStyle w:val="Tabletext0"/>
              <w:keepNext/>
              <w:jc w:val="center"/>
            </w:pPr>
            <w:r>
              <w:t>-</w:t>
            </w:r>
          </w:p>
        </w:tc>
        <w:tc>
          <w:tcPr>
            <w:tcW w:w="697" w:type="pct"/>
            <w:tcBorders>
              <w:bottom w:val="single" w:sz="4" w:space="0" w:color="auto"/>
            </w:tcBorders>
          </w:tcPr>
          <w:p w14:paraId="5AB935CE" w14:textId="77777777" w:rsidR="001C7253" w:rsidRPr="00097AE0" w:rsidRDefault="001C7253">
            <w:pPr>
              <w:pStyle w:val="Tabletext0"/>
              <w:keepNext/>
              <w:jc w:val="center"/>
              <w:rPr>
                <w:b/>
                <w:bCs/>
              </w:rPr>
            </w:pPr>
          </w:p>
        </w:tc>
        <w:tc>
          <w:tcPr>
            <w:tcW w:w="1183" w:type="pct"/>
            <w:tcBorders>
              <w:bottom w:val="single" w:sz="4" w:space="0" w:color="auto"/>
            </w:tcBorders>
          </w:tcPr>
          <w:p w14:paraId="0E51FF5F" w14:textId="77777777" w:rsidR="001C7253" w:rsidRPr="00097AE0" w:rsidRDefault="001C7253">
            <w:pPr>
              <w:pStyle w:val="Tabletext0"/>
              <w:keepNext/>
              <w:jc w:val="center"/>
              <w:rPr>
                <w:b/>
                <w:bCs/>
              </w:rPr>
            </w:pPr>
            <w:r w:rsidRPr="00097AE0">
              <w:rPr>
                <w:b/>
                <w:bCs/>
              </w:rPr>
              <w:t>&lt;0.00001</w:t>
            </w:r>
            <w:r>
              <w:rPr>
                <w:b/>
                <w:bCs/>
              </w:rPr>
              <w:t xml:space="preserve"> *</w:t>
            </w:r>
          </w:p>
        </w:tc>
        <w:tc>
          <w:tcPr>
            <w:tcW w:w="502" w:type="pct"/>
            <w:tcBorders>
              <w:bottom w:val="single" w:sz="4" w:space="0" w:color="auto"/>
            </w:tcBorders>
          </w:tcPr>
          <w:p w14:paraId="7ABEA9B0" w14:textId="77777777" w:rsidR="001C7253" w:rsidRDefault="001C7253">
            <w:pPr>
              <w:pStyle w:val="Tabletext0"/>
              <w:keepNext/>
              <w:jc w:val="center"/>
            </w:pPr>
          </w:p>
        </w:tc>
      </w:tr>
      <w:tr w:rsidR="001C7253" w14:paraId="65031522" w14:textId="77777777">
        <w:tc>
          <w:tcPr>
            <w:tcW w:w="1739" w:type="pct"/>
            <w:tcBorders>
              <w:right w:val="nil"/>
            </w:tcBorders>
          </w:tcPr>
          <w:p w14:paraId="09151378" w14:textId="77777777" w:rsidR="001C7253" w:rsidRPr="008D0B4C" w:rsidRDefault="001C7253">
            <w:pPr>
              <w:pStyle w:val="Tabletext0"/>
              <w:keepNext/>
              <w:rPr>
                <w:bCs/>
              </w:rPr>
            </w:pPr>
            <w:r w:rsidRPr="008D0B4C">
              <w:rPr>
                <w:bCs/>
              </w:rPr>
              <w:t>Overall/objective response (CR+PR)</w:t>
            </w:r>
          </w:p>
        </w:tc>
        <w:tc>
          <w:tcPr>
            <w:tcW w:w="879" w:type="pct"/>
            <w:tcBorders>
              <w:left w:val="nil"/>
              <w:right w:val="nil"/>
            </w:tcBorders>
          </w:tcPr>
          <w:p w14:paraId="08988FEE" w14:textId="77777777" w:rsidR="001C7253" w:rsidRDefault="001C7253">
            <w:pPr>
              <w:pStyle w:val="Tabletext0"/>
              <w:keepNext/>
              <w:jc w:val="center"/>
            </w:pPr>
          </w:p>
        </w:tc>
        <w:tc>
          <w:tcPr>
            <w:tcW w:w="697" w:type="pct"/>
            <w:tcBorders>
              <w:left w:val="nil"/>
              <w:right w:val="nil"/>
            </w:tcBorders>
          </w:tcPr>
          <w:p w14:paraId="5FD64CD0" w14:textId="77777777" w:rsidR="001C7253" w:rsidRDefault="001C7253">
            <w:pPr>
              <w:pStyle w:val="Tabletext0"/>
              <w:keepNext/>
              <w:jc w:val="center"/>
            </w:pPr>
          </w:p>
        </w:tc>
        <w:tc>
          <w:tcPr>
            <w:tcW w:w="1183" w:type="pct"/>
            <w:tcBorders>
              <w:left w:val="nil"/>
              <w:right w:val="nil"/>
            </w:tcBorders>
          </w:tcPr>
          <w:p w14:paraId="3B4DBFF9" w14:textId="77777777" w:rsidR="001C7253" w:rsidRDefault="001C7253">
            <w:pPr>
              <w:pStyle w:val="Tabletext0"/>
              <w:keepNext/>
              <w:jc w:val="center"/>
            </w:pPr>
          </w:p>
        </w:tc>
        <w:tc>
          <w:tcPr>
            <w:tcW w:w="502" w:type="pct"/>
            <w:tcBorders>
              <w:left w:val="nil"/>
            </w:tcBorders>
          </w:tcPr>
          <w:p w14:paraId="30CA8953" w14:textId="77777777" w:rsidR="001C7253" w:rsidRDefault="001C7253">
            <w:pPr>
              <w:pStyle w:val="Tabletext0"/>
              <w:keepNext/>
              <w:jc w:val="center"/>
            </w:pPr>
          </w:p>
        </w:tc>
      </w:tr>
      <w:tr w:rsidR="001C7253" w14:paraId="23E96BB8" w14:textId="77777777">
        <w:tc>
          <w:tcPr>
            <w:tcW w:w="1739" w:type="pct"/>
          </w:tcPr>
          <w:p w14:paraId="424EAD57" w14:textId="77777777" w:rsidR="001C7253" w:rsidRPr="00487DFB" w:rsidRDefault="001C7253">
            <w:pPr>
              <w:pStyle w:val="Tabletext0"/>
              <w:keepNext/>
              <w:ind w:left="170"/>
            </w:pPr>
            <w:r w:rsidRPr="00487DFB">
              <w:t>N</w:t>
            </w:r>
          </w:p>
        </w:tc>
        <w:tc>
          <w:tcPr>
            <w:tcW w:w="879" w:type="pct"/>
          </w:tcPr>
          <w:p w14:paraId="5F5CC356" w14:textId="77777777" w:rsidR="001C7253" w:rsidRDefault="001C7253">
            <w:pPr>
              <w:pStyle w:val="Tabletext0"/>
              <w:keepNext/>
              <w:jc w:val="center"/>
            </w:pPr>
            <w:r>
              <w:t>NR</w:t>
            </w:r>
          </w:p>
        </w:tc>
        <w:tc>
          <w:tcPr>
            <w:tcW w:w="697" w:type="pct"/>
          </w:tcPr>
          <w:p w14:paraId="04BEA731" w14:textId="77777777" w:rsidR="001C7253" w:rsidRDefault="001C7253">
            <w:pPr>
              <w:pStyle w:val="Tabletext0"/>
              <w:keepNext/>
              <w:jc w:val="center"/>
            </w:pPr>
            <w:r>
              <w:t>NR</w:t>
            </w:r>
          </w:p>
        </w:tc>
        <w:tc>
          <w:tcPr>
            <w:tcW w:w="1183" w:type="pct"/>
          </w:tcPr>
          <w:p w14:paraId="2120BA53" w14:textId="77777777" w:rsidR="001C7253" w:rsidRDefault="001C7253">
            <w:pPr>
              <w:pStyle w:val="Tabletext0"/>
              <w:keepNext/>
              <w:jc w:val="center"/>
            </w:pPr>
            <w:r>
              <w:t>319*</w:t>
            </w:r>
          </w:p>
        </w:tc>
        <w:tc>
          <w:tcPr>
            <w:tcW w:w="502" w:type="pct"/>
          </w:tcPr>
          <w:p w14:paraId="7F98CC7A" w14:textId="77777777" w:rsidR="001C7253" w:rsidRDefault="001C7253">
            <w:pPr>
              <w:pStyle w:val="Tabletext0"/>
              <w:keepNext/>
              <w:jc w:val="center"/>
            </w:pPr>
            <w:r>
              <w:t>120*</w:t>
            </w:r>
          </w:p>
        </w:tc>
      </w:tr>
      <w:tr w:rsidR="001C7253" w14:paraId="41170B11" w14:textId="77777777">
        <w:tc>
          <w:tcPr>
            <w:tcW w:w="1739" w:type="pct"/>
          </w:tcPr>
          <w:p w14:paraId="4CD62E03" w14:textId="77777777" w:rsidR="001C7253" w:rsidRDefault="001C7253">
            <w:pPr>
              <w:pStyle w:val="Tabletext0"/>
              <w:keepNext/>
              <w:ind w:left="170"/>
            </w:pPr>
            <w:r>
              <w:t>Events, n (%)</w:t>
            </w:r>
          </w:p>
        </w:tc>
        <w:tc>
          <w:tcPr>
            <w:tcW w:w="879" w:type="pct"/>
          </w:tcPr>
          <w:p w14:paraId="4FAFFD75" w14:textId="038AE2F4" w:rsidR="001C7253" w:rsidRPr="005368FD" w:rsidRDefault="001C7253">
            <w:pPr>
              <w:pStyle w:val="Tabletext0"/>
              <w:keepNext/>
              <w:jc w:val="center"/>
              <w:rPr>
                <w:vertAlign w:val="superscript"/>
              </w:rPr>
            </w:pPr>
            <w:r>
              <w:t xml:space="preserve">NR </w:t>
            </w:r>
          </w:p>
        </w:tc>
        <w:tc>
          <w:tcPr>
            <w:tcW w:w="697" w:type="pct"/>
          </w:tcPr>
          <w:p w14:paraId="2D9B5F93" w14:textId="02315AC0" w:rsidR="001C7253" w:rsidRPr="005368FD" w:rsidRDefault="001C7253">
            <w:pPr>
              <w:pStyle w:val="Tabletext0"/>
              <w:keepNext/>
              <w:jc w:val="center"/>
              <w:rPr>
                <w:vertAlign w:val="superscript"/>
              </w:rPr>
            </w:pPr>
            <w:r>
              <w:t xml:space="preserve">NR </w:t>
            </w:r>
          </w:p>
        </w:tc>
        <w:tc>
          <w:tcPr>
            <w:tcW w:w="1183" w:type="pct"/>
          </w:tcPr>
          <w:p w14:paraId="3CAE5DB9" w14:textId="77777777" w:rsidR="001C7253" w:rsidRDefault="001C7253">
            <w:pPr>
              <w:pStyle w:val="Tabletext0"/>
              <w:keepNext/>
              <w:jc w:val="center"/>
            </w:pPr>
            <w:r>
              <w:t>95 (30)</w:t>
            </w:r>
          </w:p>
        </w:tc>
        <w:tc>
          <w:tcPr>
            <w:tcW w:w="502" w:type="pct"/>
          </w:tcPr>
          <w:p w14:paraId="084E5B73" w14:textId="77777777" w:rsidR="001C7253" w:rsidRDefault="001C7253">
            <w:pPr>
              <w:pStyle w:val="Tabletext0"/>
              <w:keepNext/>
              <w:jc w:val="center"/>
            </w:pPr>
            <w:r>
              <w:t>2 (2)</w:t>
            </w:r>
          </w:p>
        </w:tc>
      </w:tr>
      <w:tr w:rsidR="001C7253" w14:paraId="50480714" w14:textId="77777777">
        <w:tc>
          <w:tcPr>
            <w:tcW w:w="1739" w:type="pct"/>
          </w:tcPr>
          <w:p w14:paraId="2C105F2C" w14:textId="77777777" w:rsidR="001C7253" w:rsidRDefault="001C7253">
            <w:pPr>
              <w:pStyle w:val="Tabletext0"/>
              <w:keepNext/>
              <w:ind w:left="170"/>
            </w:pPr>
            <w:r>
              <w:t>RD (95% CI)</w:t>
            </w:r>
          </w:p>
        </w:tc>
        <w:tc>
          <w:tcPr>
            <w:tcW w:w="879" w:type="pct"/>
          </w:tcPr>
          <w:p w14:paraId="0B1FE637" w14:textId="436CD408" w:rsidR="001C7253" w:rsidRDefault="001C7253">
            <w:pPr>
              <w:pStyle w:val="Tabletext0"/>
              <w:keepNext/>
              <w:jc w:val="center"/>
            </w:pPr>
            <w:r>
              <w:t>-</w:t>
            </w:r>
          </w:p>
        </w:tc>
        <w:tc>
          <w:tcPr>
            <w:tcW w:w="697" w:type="pct"/>
          </w:tcPr>
          <w:p w14:paraId="61CF8D8A" w14:textId="77777777" w:rsidR="001C7253" w:rsidRDefault="001C7253">
            <w:pPr>
              <w:pStyle w:val="Tabletext0"/>
              <w:keepNext/>
              <w:jc w:val="center"/>
            </w:pPr>
          </w:p>
        </w:tc>
        <w:tc>
          <w:tcPr>
            <w:tcW w:w="1183" w:type="pct"/>
          </w:tcPr>
          <w:p w14:paraId="7275E4DC" w14:textId="77777777" w:rsidR="001C7253" w:rsidRPr="00301773" w:rsidRDefault="001C7253">
            <w:pPr>
              <w:pStyle w:val="Tabletext0"/>
              <w:keepNext/>
              <w:jc w:val="center"/>
              <w:rPr>
                <w:b/>
                <w:bCs/>
              </w:rPr>
            </w:pPr>
            <w:r w:rsidRPr="00301773">
              <w:rPr>
                <w:b/>
                <w:bCs/>
              </w:rPr>
              <w:t>28% (23%, 34%)</w:t>
            </w:r>
            <w:r>
              <w:rPr>
                <w:b/>
                <w:bCs/>
              </w:rPr>
              <w:t xml:space="preserve"> </w:t>
            </w:r>
            <w:r w:rsidRPr="007A3AEC">
              <w:rPr>
                <w:vertAlign w:val="superscript"/>
              </w:rPr>
              <w:t>5</w:t>
            </w:r>
          </w:p>
        </w:tc>
        <w:tc>
          <w:tcPr>
            <w:tcW w:w="502" w:type="pct"/>
          </w:tcPr>
          <w:p w14:paraId="2FD9C42F" w14:textId="77777777" w:rsidR="001C7253" w:rsidRDefault="001C7253">
            <w:pPr>
              <w:pStyle w:val="Tabletext0"/>
              <w:keepNext/>
              <w:jc w:val="center"/>
            </w:pPr>
          </w:p>
        </w:tc>
      </w:tr>
      <w:tr w:rsidR="001C7253" w14:paraId="16AF428B" w14:textId="77777777">
        <w:tc>
          <w:tcPr>
            <w:tcW w:w="1739" w:type="pct"/>
          </w:tcPr>
          <w:p w14:paraId="76447975" w14:textId="77777777" w:rsidR="001C7253" w:rsidRDefault="001C7253">
            <w:pPr>
              <w:pStyle w:val="Tabletext0"/>
              <w:keepNext/>
              <w:ind w:left="170"/>
            </w:pPr>
            <w:r>
              <w:t>p-value</w:t>
            </w:r>
          </w:p>
        </w:tc>
        <w:tc>
          <w:tcPr>
            <w:tcW w:w="879" w:type="pct"/>
          </w:tcPr>
          <w:p w14:paraId="3BF46CA0" w14:textId="7B1ED441" w:rsidR="001C7253" w:rsidRPr="000F125F" w:rsidRDefault="001C7253">
            <w:pPr>
              <w:pStyle w:val="Tabletext0"/>
              <w:keepNext/>
              <w:jc w:val="center"/>
              <w:rPr>
                <w:bCs/>
              </w:rPr>
            </w:pPr>
            <w:r>
              <w:rPr>
                <w:bCs/>
              </w:rPr>
              <w:t>-</w:t>
            </w:r>
          </w:p>
        </w:tc>
        <w:tc>
          <w:tcPr>
            <w:tcW w:w="697" w:type="pct"/>
          </w:tcPr>
          <w:p w14:paraId="2AF7F7FD" w14:textId="77777777" w:rsidR="001C7253" w:rsidRDefault="001C7253">
            <w:pPr>
              <w:pStyle w:val="Tabletext0"/>
              <w:keepNext/>
              <w:jc w:val="center"/>
            </w:pPr>
          </w:p>
        </w:tc>
        <w:tc>
          <w:tcPr>
            <w:tcW w:w="1183" w:type="pct"/>
          </w:tcPr>
          <w:p w14:paraId="05F171CA" w14:textId="77777777" w:rsidR="001C7253" w:rsidRPr="00301773" w:rsidRDefault="001C7253">
            <w:pPr>
              <w:pStyle w:val="Tabletext0"/>
              <w:keepNext/>
              <w:jc w:val="center"/>
              <w:rPr>
                <w:b/>
                <w:bCs/>
              </w:rPr>
            </w:pPr>
            <w:r w:rsidRPr="00301773">
              <w:rPr>
                <w:b/>
                <w:bCs/>
              </w:rPr>
              <w:t>&lt;0.00001</w:t>
            </w:r>
            <w:r>
              <w:rPr>
                <w:b/>
                <w:bCs/>
              </w:rPr>
              <w:t xml:space="preserve"> </w:t>
            </w:r>
            <w:r w:rsidRPr="007A3AEC">
              <w:rPr>
                <w:vertAlign w:val="superscript"/>
              </w:rPr>
              <w:t>5</w:t>
            </w:r>
          </w:p>
        </w:tc>
        <w:tc>
          <w:tcPr>
            <w:tcW w:w="502" w:type="pct"/>
          </w:tcPr>
          <w:p w14:paraId="1AA713CC" w14:textId="77777777" w:rsidR="001C7253" w:rsidRDefault="001C7253">
            <w:pPr>
              <w:pStyle w:val="Tabletext0"/>
              <w:keepNext/>
              <w:jc w:val="center"/>
            </w:pPr>
          </w:p>
        </w:tc>
      </w:tr>
      <w:tr w:rsidR="001C7253" w14:paraId="47D63026" w14:textId="77777777">
        <w:tc>
          <w:tcPr>
            <w:tcW w:w="1739" w:type="pct"/>
          </w:tcPr>
          <w:p w14:paraId="5C988245" w14:textId="77777777" w:rsidR="001C7253" w:rsidRPr="0012498A" w:rsidRDefault="001C7253">
            <w:pPr>
              <w:pStyle w:val="Tabletext0"/>
              <w:keepNext/>
              <w:rPr>
                <w:bCs/>
              </w:rPr>
            </w:pPr>
            <w:r w:rsidRPr="0012498A">
              <w:rPr>
                <w:bCs/>
              </w:rPr>
              <w:t>Overall survival</w:t>
            </w:r>
          </w:p>
        </w:tc>
        <w:tc>
          <w:tcPr>
            <w:tcW w:w="879" w:type="pct"/>
          </w:tcPr>
          <w:p w14:paraId="61CA7E9C" w14:textId="77777777" w:rsidR="001C7253" w:rsidRDefault="001C7253">
            <w:pPr>
              <w:pStyle w:val="Tabletext0"/>
              <w:keepNext/>
              <w:jc w:val="center"/>
            </w:pPr>
          </w:p>
        </w:tc>
        <w:tc>
          <w:tcPr>
            <w:tcW w:w="697" w:type="pct"/>
          </w:tcPr>
          <w:p w14:paraId="306815F1" w14:textId="77777777" w:rsidR="001C7253" w:rsidRDefault="001C7253">
            <w:pPr>
              <w:pStyle w:val="Tabletext0"/>
              <w:keepNext/>
              <w:jc w:val="center"/>
            </w:pPr>
          </w:p>
        </w:tc>
        <w:tc>
          <w:tcPr>
            <w:tcW w:w="1183" w:type="pct"/>
          </w:tcPr>
          <w:p w14:paraId="241E8E47" w14:textId="77777777" w:rsidR="001C7253" w:rsidRDefault="001C7253">
            <w:pPr>
              <w:pStyle w:val="Tabletext0"/>
              <w:keepNext/>
              <w:jc w:val="center"/>
            </w:pPr>
          </w:p>
        </w:tc>
        <w:tc>
          <w:tcPr>
            <w:tcW w:w="502" w:type="pct"/>
          </w:tcPr>
          <w:p w14:paraId="4344F776" w14:textId="77777777" w:rsidR="001C7253" w:rsidRDefault="001C7253">
            <w:pPr>
              <w:pStyle w:val="Tabletext0"/>
              <w:keepNext/>
              <w:jc w:val="center"/>
            </w:pPr>
          </w:p>
        </w:tc>
      </w:tr>
      <w:tr w:rsidR="001C7253" w14:paraId="33A3CC9D" w14:textId="77777777">
        <w:tc>
          <w:tcPr>
            <w:tcW w:w="1739" w:type="pct"/>
          </w:tcPr>
          <w:p w14:paraId="7F020A2D" w14:textId="77777777" w:rsidR="001C7253" w:rsidRPr="00CE7F6D" w:rsidRDefault="001C7253">
            <w:pPr>
              <w:pStyle w:val="Tabletext0"/>
              <w:keepNext/>
              <w:ind w:left="170"/>
            </w:pPr>
            <w:r w:rsidRPr="00CE7F6D">
              <w:t>N</w:t>
            </w:r>
          </w:p>
        </w:tc>
        <w:tc>
          <w:tcPr>
            <w:tcW w:w="879" w:type="pct"/>
          </w:tcPr>
          <w:p w14:paraId="0C4D6187" w14:textId="77777777" w:rsidR="001C7253" w:rsidRDefault="001C7253">
            <w:pPr>
              <w:pStyle w:val="Tabletext0"/>
              <w:keepNext/>
              <w:jc w:val="center"/>
            </w:pPr>
            <w:r>
              <w:t>99</w:t>
            </w:r>
          </w:p>
        </w:tc>
        <w:tc>
          <w:tcPr>
            <w:tcW w:w="697" w:type="pct"/>
          </w:tcPr>
          <w:p w14:paraId="0FA33137" w14:textId="77777777" w:rsidR="001C7253" w:rsidRDefault="001C7253">
            <w:pPr>
              <w:pStyle w:val="Tabletext0"/>
              <w:keepNext/>
              <w:jc w:val="center"/>
            </w:pPr>
            <w:r>
              <w:t>101</w:t>
            </w:r>
          </w:p>
        </w:tc>
        <w:tc>
          <w:tcPr>
            <w:tcW w:w="1183" w:type="pct"/>
          </w:tcPr>
          <w:p w14:paraId="02A3D52A" w14:textId="77777777" w:rsidR="001C7253" w:rsidRDefault="001C7253">
            <w:pPr>
              <w:pStyle w:val="Tabletext0"/>
              <w:keepNext/>
              <w:jc w:val="center"/>
            </w:pPr>
            <w:r>
              <w:t>551</w:t>
            </w:r>
          </w:p>
        </w:tc>
        <w:tc>
          <w:tcPr>
            <w:tcW w:w="502" w:type="pct"/>
          </w:tcPr>
          <w:p w14:paraId="623558FD" w14:textId="77777777" w:rsidR="001C7253" w:rsidRDefault="001C7253">
            <w:pPr>
              <w:pStyle w:val="Tabletext0"/>
              <w:keepNext/>
              <w:jc w:val="center"/>
            </w:pPr>
            <w:r>
              <w:t>280</w:t>
            </w:r>
          </w:p>
        </w:tc>
      </w:tr>
      <w:tr w:rsidR="001C7253" w14:paraId="49FB7D07" w14:textId="77777777">
        <w:tc>
          <w:tcPr>
            <w:tcW w:w="1739" w:type="pct"/>
          </w:tcPr>
          <w:p w14:paraId="2DED6054" w14:textId="77777777" w:rsidR="001C7253" w:rsidRPr="00EF622E" w:rsidRDefault="001C7253">
            <w:pPr>
              <w:pStyle w:val="Tabletext0"/>
              <w:keepNext/>
              <w:ind w:left="170"/>
            </w:pPr>
            <w:r>
              <w:t>Events, n (%)</w:t>
            </w:r>
          </w:p>
        </w:tc>
        <w:tc>
          <w:tcPr>
            <w:tcW w:w="879" w:type="pct"/>
          </w:tcPr>
          <w:p w14:paraId="06954053" w14:textId="3C5A8E3D" w:rsidR="001C7253" w:rsidRDefault="001C7253">
            <w:pPr>
              <w:pStyle w:val="Tabletext0"/>
              <w:keepNext/>
              <w:jc w:val="center"/>
            </w:pPr>
            <w:r>
              <w:t>77 (77.8)</w:t>
            </w:r>
          </w:p>
        </w:tc>
        <w:tc>
          <w:tcPr>
            <w:tcW w:w="697" w:type="pct"/>
          </w:tcPr>
          <w:p w14:paraId="26D16068" w14:textId="50976282" w:rsidR="001C7253" w:rsidRDefault="001C7253">
            <w:pPr>
              <w:pStyle w:val="Tabletext0"/>
              <w:keepNext/>
              <w:jc w:val="center"/>
            </w:pPr>
            <w:r>
              <w:t>70 (69.3)</w:t>
            </w:r>
          </w:p>
        </w:tc>
        <w:tc>
          <w:tcPr>
            <w:tcW w:w="1183" w:type="pct"/>
          </w:tcPr>
          <w:p w14:paraId="496C4EB9" w14:textId="77777777" w:rsidR="001C7253" w:rsidRDefault="001C7253">
            <w:pPr>
              <w:pStyle w:val="Tabletext0"/>
              <w:keepNext/>
              <w:jc w:val="center"/>
            </w:pPr>
            <w:r>
              <w:t>343 (62)</w:t>
            </w:r>
          </w:p>
        </w:tc>
        <w:tc>
          <w:tcPr>
            <w:tcW w:w="502" w:type="pct"/>
          </w:tcPr>
          <w:p w14:paraId="5B14D9FC" w14:textId="77777777" w:rsidR="001C7253" w:rsidRDefault="001C7253">
            <w:pPr>
              <w:pStyle w:val="Tabletext0"/>
              <w:keepNext/>
              <w:jc w:val="center"/>
            </w:pPr>
            <w:r>
              <w:t>187 (67)</w:t>
            </w:r>
          </w:p>
        </w:tc>
      </w:tr>
      <w:tr w:rsidR="001C7253" w14:paraId="4B00C5CD" w14:textId="77777777">
        <w:tc>
          <w:tcPr>
            <w:tcW w:w="1739" w:type="pct"/>
          </w:tcPr>
          <w:p w14:paraId="4FF83F46" w14:textId="481CCC91" w:rsidR="001C7253" w:rsidRPr="004D58B9" w:rsidRDefault="001C7253">
            <w:pPr>
              <w:pStyle w:val="Tabletext0"/>
              <w:keepNext/>
              <w:ind w:left="170"/>
              <w:rPr>
                <w:vertAlign w:val="superscript"/>
              </w:rPr>
            </w:pPr>
            <w:r>
              <w:t>OS</w:t>
            </w:r>
            <w:r w:rsidRPr="000B4028">
              <w:t xml:space="preserve"> (95% CI), months</w:t>
            </w:r>
            <w:r w:rsidR="004D58B9">
              <w:rPr>
                <w:vertAlign w:val="superscript"/>
              </w:rPr>
              <w:t>6</w:t>
            </w:r>
          </w:p>
        </w:tc>
        <w:tc>
          <w:tcPr>
            <w:tcW w:w="879" w:type="pct"/>
          </w:tcPr>
          <w:p w14:paraId="01A03015" w14:textId="13E0B2FE" w:rsidR="001C7253" w:rsidRDefault="001C7253">
            <w:pPr>
              <w:pStyle w:val="Tabletext0"/>
              <w:keepNext/>
              <w:jc w:val="center"/>
            </w:pPr>
            <w:r>
              <w:t>19.1 (NR)</w:t>
            </w:r>
          </w:p>
        </w:tc>
        <w:tc>
          <w:tcPr>
            <w:tcW w:w="697" w:type="pct"/>
          </w:tcPr>
          <w:p w14:paraId="79614C53" w14:textId="2E3F655C" w:rsidR="001C7253" w:rsidRDefault="001C7253">
            <w:pPr>
              <w:pStyle w:val="Tabletext0"/>
              <w:keepNext/>
              <w:jc w:val="center"/>
            </w:pPr>
            <w:r>
              <w:t>19.6 (NR)</w:t>
            </w:r>
          </w:p>
        </w:tc>
        <w:tc>
          <w:tcPr>
            <w:tcW w:w="1183" w:type="pct"/>
          </w:tcPr>
          <w:p w14:paraId="24B9FCEC" w14:textId="77777777" w:rsidR="001C7253" w:rsidRDefault="001C7253">
            <w:pPr>
              <w:pStyle w:val="Tabletext0"/>
              <w:keepNext/>
              <w:jc w:val="center"/>
            </w:pPr>
            <w:r>
              <w:t>15.3</w:t>
            </w:r>
          </w:p>
        </w:tc>
        <w:tc>
          <w:tcPr>
            <w:tcW w:w="502" w:type="pct"/>
          </w:tcPr>
          <w:p w14:paraId="0E28B6FD" w14:textId="77777777" w:rsidR="001C7253" w:rsidRDefault="001C7253">
            <w:pPr>
              <w:pStyle w:val="Tabletext0"/>
              <w:keepNext/>
              <w:jc w:val="center"/>
            </w:pPr>
            <w:r>
              <w:t>11.3</w:t>
            </w:r>
          </w:p>
        </w:tc>
      </w:tr>
      <w:tr w:rsidR="001C7253" w14:paraId="29D91A62" w14:textId="77777777">
        <w:tc>
          <w:tcPr>
            <w:tcW w:w="1739" w:type="pct"/>
          </w:tcPr>
          <w:p w14:paraId="77B124A8" w14:textId="77777777" w:rsidR="001C7253" w:rsidRPr="00EF622E" w:rsidRDefault="001C7253">
            <w:pPr>
              <w:pStyle w:val="Tabletext0"/>
              <w:keepNext/>
              <w:ind w:left="170"/>
            </w:pPr>
            <w:r>
              <w:t>HR (95% CI)</w:t>
            </w:r>
          </w:p>
        </w:tc>
        <w:tc>
          <w:tcPr>
            <w:tcW w:w="879" w:type="pct"/>
          </w:tcPr>
          <w:p w14:paraId="61D84368" w14:textId="3732839F" w:rsidR="001C7253" w:rsidRDefault="001C7253">
            <w:pPr>
              <w:pStyle w:val="Tabletext0"/>
              <w:keepNext/>
              <w:jc w:val="center"/>
            </w:pPr>
            <w:r>
              <w:t>0.97 (0.70, 1.4)</w:t>
            </w:r>
          </w:p>
        </w:tc>
        <w:tc>
          <w:tcPr>
            <w:tcW w:w="697" w:type="pct"/>
          </w:tcPr>
          <w:p w14:paraId="409EC8B8" w14:textId="2AD224CC" w:rsidR="001C7253" w:rsidRDefault="001C7253">
            <w:pPr>
              <w:pStyle w:val="Tabletext0"/>
              <w:keepNext/>
              <w:jc w:val="center"/>
            </w:pPr>
          </w:p>
        </w:tc>
        <w:tc>
          <w:tcPr>
            <w:tcW w:w="1183" w:type="pct"/>
          </w:tcPr>
          <w:p w14:paraId="26870FD0" w14:textId="77777777" w:rsidR="001C7253" w:rsidRPr="00301773" w:rsidRDefault="001C7253">
            <w:pPr>
              <w:pStyle w:val="Tabletext0"/>
              <w:keepNext/>
              <w:jc w:val="center"/>
              <w:rPr>
                <w:b/>
                <w:bCs/>
              </w:rPr>
            </w:pPr>
            <w:r w:rsidRPr="00301773">
              <w:rPr>
                <w:b/>
                <w:bCs/>
              </w:rPr>
              <w:t>0.62 (0.52, 0.74)</w:t>
            </w:r>
          </w:p>
        </w:tc>
        <w:tc>
          <w:tcPr>
            <w:tcW w:w="502" w:type="pct"/>
          </w:tcPr>
          <w:p w14:paraId="267677A7" w14:textId="77777777" w:rsidR="001C7253" w:rsidRDefault="001C7253">
            <w:pPr>
              <w:pStyle w:val="Tabletext0"/>
              <w:keepNext/>
              <w:jc w:val="center"/>
            </w:pPr>
          </w:p>
        </w:tc>
      </w:tr>
      <w:tr w:rsidR="001C7253" w14:paraId="54B315A0" w14:textId="77777777">
        <w:tc>
          <w:tcPr>
            <w:tcW w:w="1739" w:type="pct"/>
            <w:tcBorders>
              <w:bottom w:val="single" w:sz="4" w:space="0" w:color="auto"/>
            </w:tcBorders>
          </w:tcPr>
          <w:p w14:paraId="08D5FDD8" w14:textId="77777777" w:rsidR="001C7253" w:rsidRDefault="001C7253">
            <w:pPr>
              <w:pStyle w:val="Tabletext0"/>
              <w:keepNext/>
              <w:ind w:left="170"/>
            </w:pPr>
            <w:r>
              <w:t>p-value</w:t>
            </w:r>
          </w:p>
        </w:tc>
        <w:tc>
          <w:tcPr>
            <w:tcW w:w="879" w:type="pct"/>
            <w:tcBorders>
              <w:bottom w:val="single" w:sz="4" w:space="0" w:color="auto"/>
            </w:tcBorders>
          </w:tcPr>
          <w:p w14:paraId="1477EB96" w14:textId="5A668A3D" w:rsidR="001C7253" w:rsidRDefault="001C7253">
            <w:pPr>
              <w:pStyle w:val="Tabletext0"/>
              <w:keepNext/>
              <w:jc w:val="center"/>
            </w:pPr>
            <w:r>
              <w:t>0.99</w:t>
            </w:r>
          </w:p>
        </w:tc>
        <w:tc>
          <w:tcPr>
            <w:tcW w:w="697" w:type="pct"/>
            <w:tcBorders>
              <w:bottom w:val="single" w:sz="4" w:space="0" w:color="auto"/>
            </w:tcBorders>
          </w:tcPr>
          <w:p w14:paraId="5795A219" w14:textId="5ADA6965" w:rsidR="001C7253" w:rsidRDefault="001C7253">
            <w:pPr>
              <w:pStyle w:val="Tabletext0"/>
              <w:keepNext/>
              <w:jc w:val="center"/>
            </w:pPr>
          </w:p>
        </w:tc>
        <w:tc>
          <w:tcPr>
            <w:tcW w:w="1183" w:type="pct"/>
            <w:tcBorders>
              <w:bottom w:val="single" w:sz="4" w:space="0" w:color="auto"/>
            </w:tcBorders>
          </w:tcPr>
          <w:p w14:paraId="2278734C" w14:textId="77777777" w:rsidR="001C7253" w:rsidRPr="00301773" w:rsidRDefault="001C7253">
            <w:pPr>
              <w:pStyle w:val="Tabletext0"/>
              <w:keepNext/>
              <w:jc w:val="center"/>
              <w:rPr>
                <w:b/>
                <w:bCs/>
              </w:rPr>
            </w:pPr>
            <w:r w:rsidRPr="00301773">
              <w:rPr>
                <w:b/>
                <w:bCs/>
              </w:rPr>
              <w:t>&lt;0.001</w:t>
            </w:r>
          </w:p>
        </w:tc>
        <w:tc>
          <w:tcPr>
            <w:tcW w:w="502" w:type="pct"/>
            <w:tcBorders>
              <w:bottom w:val="single" w:sz="4" w:space="0" w:color="auto"/>
            </w:tcBorders>
          </w:tcPr>
          <w:p w14:paraId="01EBF8C4" w14:textId="77777777" w:rsidR="001C7253" w:rsidRDefault="001C7253">
            <w:pPr>
              <w:pStyle w:val="Tabletext0"/>
              <w:keepNext/>
              <w:jc w:val="center"/>
            </w:pPr>
          </w:p>
        </w:tc>
      </w:tr>
      <w:tr w:rsidR="001C7253" w14:paraId="34CD3E52" w14:textId="77777777">
        <w:tc>
          <w:tcPr>
            <w:tcW w:w="1739" w:type="pct"/>
            <w:tcBorders>
              <w:right w:val="nil"/>
            </w:tcBorders>
          </w:tcPr>
          <w:p w14:paraId="75516B39" w14:textId="77777777" w:rsidR="001C7253" w:rsidRPr="0012498A" w:rsidRDefault="001C7253">
            <w:pPr>
              <w:pStyle w:val="Tabletext0"/>
              <w:keepNext/>
              <w:rPr>
                <w:bCs/>
              </w:rPr>
            </w:pPr>
            <w:r>
              <w:rPr>
                <w:bCs/>
              </w:rPr>
              <w:t xml:space="preserve">Progression-free </w:t>
            </w:r>
            <w:r w:rsidRPr="0012498A">
              <w:rPr>
                <w:bCs/>
              </w:rPr>
              <w:t>survival</w:t>
            </w:r>
          </w:p>
        </w:tc>
        <w:tc>
          <w:tcPr>
            <w:tcW w:w="879" w:type="pct"/>
            <w:tcBorders>
              <w:left w:val="nil"/>
              <w:right w:val="nil"/>
            </w:tcBorders>
          </w:tcPr>
          <w:p w14:paraId="4F8B6138" w14:textId="77777777" w:rsidR="001C7253" w:rsidRDefault="001C7253">
            <w:pPr>
              <w:pStyle w:val="Tabletext0"/>
              <w:keepNext/>
              <w:jc w:val="center"/>
            </w:pPr>
          </w:p>
        </w:tc>
        <w:tc>
          <w:tcPr>
            <w:tcW w:w="697" w:type="pct"/>
            <w:tcBorders>
              <w:left w:val="nil"/>
              <w:right w:val="nil"/>
            </w:tcBorders>
          </w:tcPr>
          <w:p w14:paraId="311D7065" w14:textId="77777777" w:rsidR="001C7253" w:rsidRDefault="001C7253">
            <w:pPr>
              <w:pStyle w:val="Tabletext0"/>
              <w:keepNext/>
              <w:jc w:val="center"/>
            </w:pPr>
          </w:p>
        </w:tc>
        <w:tc>
          <w:tcPr>
            <w:tcW w:w="1183" w:type="pct"/>
            <w:tcBorders>
              <w:left w:val="nil"/>
              <w:right w:val="nil"/>
            </w:tcBorders>
          </w:tcPr>
          <w:p w14:paraId="516D9E5E" w14:textId="77777777" w:rsidR="001C7253" w:rsidRDefault="001C7253">
            <w:pPr>
              <w:pStyle w:val="Tabletext0"/>
              <w:keepNext/>
              <w:jc w:val="center"/>
            </w:pPr>
          </w:p>
        </w:tc>
        <w:tc>
          <w:tcPr>
            <w:tcW w:w="502" w:type="pct"/>
            <w:tcBorders>
              <w:left w:val="nil"/>
            </w:tcBorders>
          </w:tcPr>
          <w:p w14:paraId="75616785" w14:textId="77777777" w:rsidR="001C7253" w:rsidRDefault="001C7253">
            <w:pPr>
              <w:pStyle w:val="Tabletext0"/>
              <w:keepNext/>
              <w:jc w:val="center"/>
            </w:pPr>
          </w:p>
        </w:tc>
      </w:tr>
      <w:tr w:rsidR="001C7253" w14:paraId="128FC80F" w14:textId="77777777">
        <w:tc>
          <w:tcPr>
            <w:tcW w:w="1739" w:type="pct"/>
          </w:tcPr>
          <w:p w14:paraId="40DCA3EF" w14:textId="77777777" w:rsidR="001C7253" w:rsidRPr="00154E24" w:rsidRDefault="001C7253">
            <w:pPr>
              <w:pStyle w:val="Tabletext0"/>
              <w:keepNext/>
              <w:ind w:left="170"/>
            </w:pPr>
            <w:r w:rsidRPr="00154E24">
              <w:t>N</w:t>
            </w:r>
          </w:p>
        </w:tc>
        <w:tc>
          <w:tcPr>
            <w:tcW w:w="879" w:type="pct"/>
          </w:tcPr>
          <w:p w14:paraId="6B89E0FD" w14:textId="77777777" w:rsidR="001C7253" w:rsidRDefault="001C7253">
            <w:pPr>
              <w:pStyle w:val="Tabletext0"/>
              <w:keepNext/>
              <w:jc w:val="center"/>
            </w:pPr>
            <w:r>
              <w:t>99</w:t>
            </w:r>
          </w:p>
        </w:tc>
        <w:tc>
          <w:tcPr>
            <w:tcW w:w="697" w:type="pct"/>
          </w:tcPr>
          <w:p w14:paraId="23892998" w14:textId="77777777" w:rsidR="001C7253" w:rsidRDefault="001C7253">
            <w:pPr>
              <w:pStyle w:val="Tabletext0"/>
              <w:keepNext/>
              <w:jc w:val="center"/>
            </w:pPr>
            <w:r>
              <w:t>101</w:t>
            </w:r>
          </w:p>
        </w:tc>
        <w:tc>
          <w:tcPr>
            <w:tcW w:w="1183" w:type="pct"/>
          </w:tcPr>
          <w:p w14:paraId="600D8468" w14:textId="77777777" w:rsidR="001C7253" w:rsidRDefault="001C7253">
            <w:pPr>
              <w:pStyle w:val="Tabletext0"/>
              <w:keepNext/>
              <w:jc w:val="center"/>
            </w:pPr>
            <w:r>
              <w:t>385</w:t>
            </w:r>
          </w:p>
        </w:tc>
        <w:tc>
          <w:tcPr>
            <w:tcW w:w="502" w:type="pct"/>
          </w:tcPr>
          <w:p w14:paraId="019D81F8" w14:textId="77777777" w:rsidR="001C7253" w:rsidRDefault="001C7253">
            <w:pPr>
              <w:pStyle w:val="Tabletext0"/>
              <w:keepNext/>
              <w:jc w:val="center"/>
            </w:pPr>
            <w:r>
              <w:t>196</w:t>
            </w:r>
          </w:p>
        </w:tc>
      </w:tr>
      <w:tr w:rsidR="001C7253" w14:paraId="0D596F42" w14:textId="77777777">
        <w:tc>
          <w:tcPr>
            <w:tcW w:w="1739" w:type="pct"/>
          </w:tcPr>
          <w:p w14:paraId="30FAAD6F" w14:textId="77777777" w:rsidR="001C7253" w:rsidRPr="00EF622E" w:rsidRDefault="001C7253">
            <w:pPr>
              <w:pStyle w:val="Tabletext0"/>
              <w:keepNext/>
              <w:ind w:left="170"/>
            </w:pPr>
            <w:r>
              <w:t>Events, n (%)</w:t>
            </w:r>
          </w:p>
        </w:tc>
        <w:tc>
          <w:tcPr>
            <w:tcW w:w="879" w:type="pct"/>
          </w:tcPr>
          <w:p w14:paraId="1BDC5354" w14:textId="1BEBE561" w:rsidR="001C7253" w:rsidRPr="00A92CA3" w:rsidRDefault="004D58B9">
            <w:pPr>
              <w:pStyle w:val="Tabletext0"/>
              <w:keepNext/>
              <w:jc w:val="center"/>
            </w:pPr>
            <w:r>
              <w:t>NR</w:t>
            </w:r>
          </w:p>
        </w:tc>
        <w:tc>
          <w:tcPr>
            <w:tcW w:w="697" w:type="pct"/>
          </w:tcPr>
          <w:p w14:paraId="6E759118" w14:textId="08E2F088" w:rsidR="001C7253" w:rsidRPr="00A92CA3" w:rsidRDefault="004D58B9">
            <w:pPr>
              <w:pStyle w:val="Tabletext0"/>
              <w:keepNext/>
              <w:jc w:val="center"/>
            </w:pPr>
            <w:r>
              <w:t>NR</w:t>
            </w:r>
          </w:p>
        </w:tc>
        <w:tc>
          <w:tcPr>
            <w:tcW w:w="1183" w:type="pct"/>
          </w:tcPr>
          <w:p w14:paraId="2F4C4A88" w14:textId="77777777" w:rsidR="001C7253" w:rsidRPr="00CA477A" w:rsidRDefault="001C7253">
            <w:pPr>
              <w:pStyle w:val="Tabletext0"/>
              <w:keepNext/>
              <w:jc w:val="center"/>
            </w:pPr>
            <w:r>
              <w:t>254 (66)</w:t>
            </w:r>
            <w:r>
              <w:rPr>
                <w:vertAlign w:val="superscript"/>
              </w:rPr>
              <w:t>2</w:t>
            </w:r>
          </w:p>
        </w:tc>
        <w:tc>
          <w:tcPr>
            <w:tcW w:w="502" w:type="pct"/>
          </w:tcPr>
          <w:p w14:paraId="1CD40891" w14:textId="77777777" w:rsidR="001C7253" w:rsidRPr="00CA477A" w:rsidRDefault="001C7253">
            <w:pPr>
              <w:pStyle w:val="Tabletext0"/>
              <w:keepNext/>
              <w:jc w:val="center"/>
            </w:pPr>
            <w:r>
              <w:t>93 (47)</w:t>
            </w:r>
            <w:r>
              <w:rPr>
                <w:vertAlign w:val="superscript"/>
              </w:rPr>
              <w:t>2</w:t>
            </w:r>
          </w:p>
        </w:tc>
      </w:tr>
      <w:tr w:rsidR="001C7253" w14:paraId="75F695CB" w14:textId="77777777">
        <w:tc>
          <w:tcPr>
            <w:tcW w:w="1739" w:type="pct"/>
          </w:tcPr>
          <w:p w14:paraId="3B0DDC84" w14:textId="51203EE8" w:rsidR="001C7253" w:rsidRPr="004D58B9" w:rsidRDefault="001C7253">
            <w:pPr>
              <w:pStyle w:val="Tabletext0"/>
              <w:keepNext/>
              <w:ind w:left="170"/>
              <w:rPr>
                <w:vertAlign w:val="superscript"/>
              </w:rPr>
            </w:pPr>
            <w:r>
              <w:t xml:space="preserve">PFS </w:t>
            </w:r>
            <w:r w:rsidRPr="000B4028">
              <w:t>(95% CI), months</w:t>
            </w:r>
            <w:r w:rsidR="004D58B9">
              <w:rPr>
                <w:vertAlign w:val="superscript"/>
              </w:rPr>
              <w:t>6</w:t>
            </w:r>
          </w:p>
        </w:tc>
        <w:tc>
          <w:tcPr>
            <w:tcW w:w="879" w:type="pct"/>
          </w:tcPr>
          <w:p w14:paraId="1DD18DDF" w14:textId="1989B43E" w:rsidR="001C7253" w:rsidRDefault="004D58B9">
            <w:pPr>
              <w:pStyle w:val="Tabletext0"/>
              <w:keepNext/>
              <w:jc w:val="center"/>
            </w:pPr>
            <w:r>
              <w:t>7.1 (NR)</w:t>
            </w:r>
          </w:p>
        </w:tc>
        <w:tc>
          <w:tcPr>
            <w:tcW w:w="697" w:type="pct"/>
          </w:tcPr>
          <w:p w14:paraId="0B3C564B" w14:textId="626B04DF" w:rsidR="001C7253" w:rsidRDefault="004D58B9">
            <w:pPr>
              <w:pStyle w:val="Tabletext0"/>
              <w:keepNext/>
              <w:jc w:val="center"/>
            </w:pPr>
            <w:r>
              <w:t>5.0 (NR)</w:t>
            </w:r>
          </w:p>
        </w:tc>
        <w:tc>
          <w:tcPr>
            <w:tcW w:w="1183" w:type="pct"/>
          </w:tcPr>
          <w:p w14:paraId="24C72A27" w14:textId="77777777" w:rsidR="001C7253" w:rsidRDefault="001C7253">
            <w:pPr>
              <w:pStyle w:val="Tabletext0"/>
              <w:keepNext/>
              <w:jc w:val="center"/>
            </w:pPr>
            <w:r>
              <w:t>8.7</w:t>
            </w:r>
          </w:p>
        </w:tc>
        <w:tc>
          <w:tcPr>
            <w:tcW w:w="502" w:type="pct"/>
          </w:tcPr>
          <w:p w14:paraId="07A8E8C6" w14:textId="77777777" w:rsidR="001C7253" w:rsidRDefault="001C7253">
            <w:pPr>
              <w:pStyle w:val="Tabletext0"/>
              <w:keepNext/>
              <w:jc w:val="center"/>
            </w:pPr>
            <w:r>
              <w:t>3.4</w:t>
            </w:r>
          </w:p>
        </w:tc>
      </w:tr>
      <w:tr w:rsidR="001C7253" w14:paraId="7C8A5478" w14:textId="77777777">
        <w:tc>
          <w:tcPr>
            <w:tcW w:w="1739" w:type="pct"/>
          </w:tcPr>
          <w:p w14:paraId="0FDD90D9" w14:textId="77777777" w:rsidR="001C7253" w:rsidRPr="00EF622E" w:rsidRDefault="001C7253">
            <w:pPr>
              <w:pStyle w:val="Tabletext0"/>
              <w:keepNext/>
              <w:ind w:left="170"/>
            </w:pPr>
            <w:r>
              <w:t>HR (95% CI)</w:t>
            </w:r>
          </w:p>
        </w:tc>
        <w:tc>
          <w:tcPr>
            <w:tcW w:w="879" w:type="pct"/>
          </w:tcPr>
          <w:p w14:paraId="420A914D" w14:textId="66714CA6" w:rsidR="001C7253" w:rsidRPr="00097AE0" w:rsidRDefault="004D58B9">
            <w:pPr>
              <w:pStyle w:val="Tabletext0"/>
              <w:keepNext/>
              <w:jc w:val="center"/>
              <w:rPr>
                <w:b/>
                <w:bCs/>
              </w:rPr>
            </w:pPr>
            <w:r>
              <w:rPr>
                <w:b/>
                <w:bCs/>
              </w:rPr>
              <w:t>0.62 (0.45, 0.85)</w:t>
            </w:r>
          </w:p>
        </w:tc>
        <w:tc>
          <w:tcPr>
            <w:tcW w:w="697" w:type="pct"/>
          </w:tcPr>
          <w:p w14:paraId="2A7500DB" w14:textId="77777777" w:rsidR="001C7253" w:rsidRPr="00097AE0" w:rsidRDefault="001C7253">
            <w:pPr>
              <w:pStyle w:val="Tabletext0"/>
              <w:keepNext/>
              <w:jc w:val="center"/>
              <w:rPr>
                <w:b/>
                <w:bCs/>
              </w:rPr>
            </w:pPr>
          </w:p>
        </w:tc>
        <w:tc>
          <w:tcPr>
            <w:tcW w:w="1183" w:type="pct"/>
          </w:tcPr>
          <w:p w14:paraId="65AE88C7" w14:textId="77777777" w:rsidR="001C7253" w:rsidRPr="00097AE0" w:rsidRDefault="001C7253">
            <w:pPr>
              <w:pStyle w:val="Tabletext0"/>
              <w:keepNext/>
              <w:jc w:val="center"/>
              <w:rPr>
                <w:b/>
                <w:bCs/>
              </w:rPr>
            </w:pPr>
            <w:r w:rsidRPr="00097AE0">
              <w:rPr>
                <w:b/>
                <w:bCs/>
              </w:rPr>
              <w:t>0.40 (0.29, 0.57)</w:t>
            </w:r>
            <w:r w:rsidRPr="00097AE0">
              <w:rPr>
                <w:b/>
                <w:bCs/>
                <w:vertAlign w:val="superscript"/>
              </w:rPr>
              <w:t>3</w:t>
            </w:r>
          </w:p>
        </w:tc>
        <w:tc>
          <w:tcPr>
            <w:tcW w:w="502" w:type="pct"/>
          </w:tcPr>
          <w:p w14:paraId="73C23579" w14:textId="77777777" w:rsidR="001C7253" w:rsidRDefault="001C7253">
            <w:pPr>
              <w:pStyle w:val="Tabletext0"/>
              <w:keepNext/>
              <w:jc w:val="center"/>
            </w:pPr>
          </w:p>
        </w:tc>
      </w:tr>
      <w:tr w:rsidR="001C7253" w14:paraId="095BE320" w14:textId="77777777">
        <w:tc>
          <w:tcPr>
            <w:tcW w:w="1739" w:type="pct"/>
          </w:tcPr>
          <w:p w14:paraId="61D786FD" w14:textId="77777777" w:rsidR="001C7253" w:rsidRDefault="001C7253">
            <w:pPr>
              <w:pStyle w:val="Tabletext0"/>
              <w:keepNext/>
              <w:ind w:left="170"/>
            </w:pPr>
            <w:r>
              <w:t>p-value</w:t>
            </w:r>
          </w:p>
        </w:tc>
        <w:tc>
          <w:tcPr>
            <w:tcW w:w="879" w:type="pct"/>
          </w:tcPr>
          <w:p w14:paraId="24627A71" w14:textId="77777777" w:rsidR="001C7253" w:rsidRPr="00097AE0" w:rsidRDefault="001C7253">
            <w:pPr>
              <w:pStyle w:val="Tabletext0"/>
              <w:keepNext/>
              <w:jc w:val="center"/>
              <w:rPr>
                <w:b/>
                <w:bCs/>
              </w:rPr>
            </w:pPr>
            <w:r w:rsidRPr="00097AE0">
              <w:rPr>
                <w:b/>
                <w:bCs/>
              </w:rPr>
              <w:t>0.0028</w:t>
            </w:r>
          </w:p>
        </w:tc>
        <w:tc>
          <w:tcPr>
            <w:tcW w:w="697" w:type="pct"/>
          </w:tcPr>
          <w:p w14:paraId="7100156B" w14:textId="77777777" w:rsidR="001C7253" w:rsidRPr="00097AE0" w:rsidRDefault="001C7253">
            <w:pPr>
              <w:pStyle w:val="Tabletext0"/>
              <w:keepNext/>
              <w:jc w:val="center"/>
              <w:rPr>
                <w:b/>
                <w:bCs/>
              </w:rPr>
            </w:pPr>
          </w:p>
        </w:tc>
        <w:tc>
          <w:tcPr>
            <w:tcW w:w="1183" w:type="pct"/>
          </w:tcPr>
          <w:p w14:paraId="2B4297F1" w14:textId="77777777" w:rsidR="001C7253" w:rsidRPr="00097AE0" w:rsidRDefault="001C7253">
            <w:pPr>
              <w:pStyle w:val="Tabletext0"/>
              <w:keepNext/>
              <w:jc w:val="center"/>
              <w:rPr>
                <w:b/>
                <w:bCs/>
              </w:rPr>
            </w:pPr>
            <w:r w:rsidRPr="00097AE0">
              <w:rPr>
                <w:b/>
                <w:bCs/>
              </w:rPr>
              <w:t>&lt;0.001</w:t>
            </w:r>
          </w:p>
        </w:tc>
        <w:tc>
          <w:tcPr>
            <w:tcW w:w="502" w:type="pct"/>
          </w:tcPr>
          <w:p w14:paraId="34CBCBF2" w14:textId="77777777" w:rsidR="001C7253" w:rsidRDefault="001C7253">
            <w:pPr>
              <w:pStyle w:val="Tabletext0"/>
              <w:keepNext/>
              <w:jc w:val="center"/>
            </w:pPr>
          </w:p>
        </w:tc>
      </w:tr>
    </w:tbl>
    <w:p w14:paraId="2524FECB" w14:textId="77777777" w:rsidR="001C7253" w:rsidRPr="00EF4061" w:rsidRDefault="001C7253" w:rsidP="001C7253">
      <w:pPr>
        <w:pStyle w:val="Tablenotes"/>
        <w:keepNext/>
        <w:rPr>
          <w:b/>
          <w:bCs/>
        </w:rPr>
      </w:pPr>
      <w:r w:rsidRPr="00EF4061">
        <w:rPr>
          <w:b/>
          <w:bCs/>
        </w:rPr>
        <w:t>Bold indicates statistically significant difference</w:t>
      </w:r>
    </w:p>
    <w:p w14:paraId="174F861E" w14:textId="77777777" w:rsidR="001C7253" w:rsidRDefault="001C7253" w:rsidP="001C7253">
      <w:pPr>
        <w:pStyle w:val="Tablenotes"/>
        <w:keepNext/>
      </w:pPr>
      <w:r>
        <w:t xml:space="preserve">* </w:t>
      </w:r>
      <w:proofErr w:type="gramStart"/>
      <w:r>
        <w:t>in</w:t>
      </w:r>
      <w:proofErr w:type="gramEnd"/>
      <w:r>
        <w:t xml:space="preserve"> patients with evaluable disease at baseline (Patients with at least one target lesion or at least one non-target lesion)</w:t>
      </w:r>
    </w:p>
    <w:p w14:paraId="60D8F49A" w14:textId="77777777" w:rsidR="001C7253" w:rsidRDefault="001C7253" w:rsidP="001C7253">
      <w:pPr>
        <w:pStyle w:val="Tablenotes"/>
        <w:keepNext/>
      </w:pPr>
      <w:r w:rsidRPr="005B1684">
        <w:rPr>
          <w:vertAlign w:val="superscript"/>
        </w:rPr>
        <w:t>1</w:t>
      </w:r>
      <w:r>
        <w:t xml:space="preserve"> in patients with measurable disease by RECIST criteria at baseline</w:t>
      </w:r>
    </w:p>
    <w:p w14:paraId="7E2CB1A0" w14:textId="77777777" w:rsidR="001C7253" w:rsidRDefault="001C7253" w:rsidP="001C7253">
      <w:pPr>
        <w:pStyle w:val="Tablenotes"/>
        <w:keepNext/>
      </w:pPr>
      <w:r w:rsidRPr="00CA477A">
        <w:rPr>
          <w:vertAlign w:val="superscript"/>
        </w:rPr>
        <w:t>2</w:t>
      </w:r>
      <w:r>
        <w:t xml:space="preserve"> Imaging-based progression-free survival</w:t>
      </w:r>
    </w:p>
    <w:p w14:paraId="13A746BB" w14:textId="77777777" w:rsidR="001C7253" w:rsidRDefault="001C7253" w:rsidP="001C7253">
      <w:pPr>
        <w:pStyle w:val="Tablenotes"/>
        <w:keepNext/>
      </w:pPr>
      <w:r w:rsidRPr="00A97DB4">
        <w:rPr>
          <w:vertAlign w:val="superscript"/>
        </w:rPr>
        <w:t>3</w:t>
      </w:r>
      <w:r>
        <w:t xml:space="preserve"> 99.2% CI</w:t>
      </w:r>
    </w:p>
    <w:p w14:paraId="1351344D" w14:textId="77777777" w:rsidR="001C7253" w:rsidRDefault="001C7253" w:rsidP="001C7253">
      <w:pPr>
        <w:pStyle w:val="Tablenotes"/>
        <w:keepNext/>
      </w:pPr>
      <w:r w:rsidRPr="009F36A4">
        <w:rPr>
          <w:vertAlign w:val="superscript"/>
        </w:rPr>
        <w:t>4</w:t>
      </w:r>
      <w:r>
        <w:t xml:space="preserve"> Radiographic or PSA progression-free survival</w:t>
      </w:r>
    </w:p>
    <w:p w14:paraId="2D502293" w14:textId="77777777" w:rsidR="001C7253" w:rsidRDefault="001C7253" w:rsidP="001C7253">
      <w:pPr>
        <w:pStyle w:val="Tablenotes"/>
        <w:keepNext/>
      </w:pPr>
      <w:r w:rsidRPr="007A3AEC">
        <w:rPr>
          <w:vertAlign w:val="superscript"/>
        </w:rPr>
        <w:t>5</w:t>
      </w:r>
      <w:r>
        <w:t xml:space="preserve"> </w:t>
      </w:r>
      <w:r w:rsidRPr="003849B5">
        <w:t>Calculated post-hoc using Review Manager 5.4.1 (Mantel-Haenszel, random effects)</w:t>
      </w:r>
    </w:p>
    <w:p w14:paraId="4F0549A4" w14:textId="2A6BC624" w:rsidR="004D58B9" w:rsidRPr="004D58B9" w:rsidRDefault="004D58B9" w:rsidP="001C7253">
      <w:pPr>
        <w:pStyle w:val="Tablenotes"/>
        <w:keepNext/>
      </w:pPr>
      <w:r>
        <w:rPr>
          <w:vertAlign w:val="superscript"/>
        </w:rPr>
        <w:t>6</w:t>
      </w:r>
      <w:r>
        <w:t xml:space="preserve"> Restricted mean survival in </w:t>
      </w:r>
      <w:proofErr w:type="spellStart"/>
      <w:r>
        <w:t>TheraP</w:t>
      </w:r>
      <w:proofErr w:type="spellEnd"/>
      <w:r>
        <w:t>, median in VISION</w:t>
      </w:r>
    </w:p>
    <w:p w14:paraId="764B2882" w14:textId="77777777" w:rsidR="001C7253" w:rsidRDefault="001C7253" w:rsidP="001C7253">
      <w:pPr>
        <w:pStyle w:val="Tablenotes"/>
        <w:keepNext/>
      </w:pPr>
      <w:r>
        <w:t xml:space="preserve">Abbreviations: ADAR, </w:t>
      </w:r>
      <w:r w:rsidRPr="0004327D">
        <w:t>applicant developed assessment report</w:t>
      </w:r>
      <w:r>
        <w:t xml:space="preserve">; BSc, best supportive care; CR, complete response; HR, hazard ratio; </w:t>
      </w:r>
      <w:r w:rsidRPr="003A42FA">
        <w:rPr>
          <w:vertAlign w:val="superscript"/>
        </w:rPr>
        <w:t>177</w:t>
      </w:r>
      <w:r>
        <w:t>Lu, lutetium-177; NR, not reported; PR, partial response; PSA50, prostate-specific antigen</w:t>
      </w:r>
      <w:r w:rsidRPr="00B23A5C">
        <w:t xml:space="preserve"> reduction of ≥50% from baseline</w:t>
      </w:r>
      <w:r>
        <w:t xml:space="preserve">; PSMA, prostate-specific membrane antigen; RECIST, </w:t>
      </w:r>
      <w:r w:rsidRPr="00097C9B">
        <w:t>Response Evaluation Criteria in Solid Tumours</w:t>
      </w:r>
      <w:r>
        <w:t>; RD, risk difference</w:t>
      </w:r>
    </w:p>
    <w:p w14:paraId="3C5DEB87" w14:textId="28D93AA2" w:rsidR="001C7253" w:rsidRPr="005368FD" w:rsidRDefault="001C7253" w:rsidP="001C7253">
      <w:pPr>
        <w:pStyle w:val="Tablenotes"/>
      </w:pPr>
      <w:r>
        <w:t>Source: Section 2</w:t>
      </w:r>
      <w:r w:rsidR="0074193E">
        <w:t>B.4</w:t>
      </w:r>
      <w:r>
        <w:t xml:space="preserve"> of the ADAR</w:t>
      </w:r>
    </w:p>
    <w:p w14:paraId="6368DA91" w14:textId="0B0B2151" w:rsidR="001C7253" w:rsidRDefault="0074193E" w:rsidP="0074193E">
      <w:pPr>
        <w:pStyle w:val="Caption"/>
      </w:pPr>
      <w:bookmarkStart w:id="29" w:name="_Ref152264990"/>
      <w:r>
        <w:lastRenderedPageBreak/>
        <w:t xml:space="preserve">Figure </w:t>
      </w:r>
      <w:r>
        <w:fldChar w:fldCharType="begin"/>
      </w:r>
      <w:r>
        <w:instrText>SEQ Figure \* ARABIC</w:instrText>
      </w:r>
      <w:r>
        <w:fldChar w:fldCharType="separate"/>
      </w:r>
      <w:r w:rsidR="00EB3F24">
        <w:rPr>
          <w:noProof/>
        </w:rPr>
        <w:t>1</w:t>
      </w:r>
      <w:r>
        <w:fldChar w:fldCharType="end"/>
      </w:r>
      <w:bookmarkEnd w:id="29"/>
      <w:r>
        <w:tab/>
      </w:r>
      <w:r w:rsidRPr="0074193E">
        <w:t>Overall survival in the VISION trial</w:t>
      </w:r>
    </w:p>
    <w:p w14:paraId="1F4287E8" w14:textId="69179B9A" w:rsidR="0074193E" w:rsidRDefault="0074193E" w:rsidP="0074193E">
      <w:pPr>
        <w:jc w:val="center"/>
      </w:pPr>
      <w:r w:rsidRPr="003C6B02">
        <w:rPr>
          <w:rFonts w:asciiTheme="minorHAnsi" w:hAnsiTheme="minorHAnsi" w:cstheme="minorHAnsi"/>
          <w:b/>
          <w:bCs/>
          <w:noProof/>
        </w:rPr>
        <w:drawing>
          <wp:inline distT="0" distB="0" distL="0" distR="0" wp14:anchorId="49B94733" wp14:editId="57FA2979">
            <wp:extent cx="4516942" cy="1933575"/>
            <wp:effectExtent l="19050" t="19050" r="17145" b="9525"/>
            <wp:docPr id="1146675384" name="Picture 1146675384" descr="Kaplan-Meier (KM) curves for overall survival in the VISION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675384" name="Picture 1146675384" descr="Kaplan-Meier (KM) curves for overall survival in the VISION trial"/>
                    <pic:cNvPicPr/>
                  </pic:nvPicPr>
                  <pic:blipFill rotWithShape="1">
                    <a:blip r:embed="rId18"/>
                    <a:srcRect l="1775"/>
                    <a:stretch/>
                  </pic:blipFill>
                  <pic:spPr bwMode="auto">
                    <a:xfrm>
                      <a:off x="0" y="0"/>
                      <a:ext cx="4564194" cy="1953802"/>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9350D41" w14:textId="0DB192C3" w:rsidR="0074193E" w:rsidRPr="0074193E" w:rsidRDefault="0074193E" w:rsidP="0074193E">
      <w:pPr>
        <w:rPr>
          <w:rFonts w:ascii="Arial Narrow" w:hAnsi="Arial Narrow"/>
          <w:sz w:val="18"/>
          <w:szCs w:val="18"/>
        </w:rPr>
      </w:pPr>
      <w:r w:rsidRPr="0074193E">
        <w:rPr>
          <w:rFonts w:ascii="Arial Narrow" w:hAnsi="Arial Narrow"/>
          <w:sz w:val="18"/>
          <w:szCs w:val="18"/>
        </w:rPr>
        <w:t>Source: Figure 2-3, p72 of the ADAR</w:t>
      </w:r>
    </w:p>
    <w:p w14:paraId="0E9C335F" w14:textId="2C0043A1" w:rsidR="0074193E" w:rsidRPr="0074193E" w:rsidRDefault="0074193E" w:rsidP="0074193E">
      <w:pPr>
        <w:rPr>
          <w:rFonts w:ascii="Arial Narrow" w:hAnsi="Arial Narrow"/>
          <w:sz w:val="18"/>
          <w:szCs w:val="18"/>
        </w:rPr>
      </w:pPr>
      <w:r w:rsidRPr="0074193E">
        <w:rPr>
          <w:rFonts w:ascii="Arial Narrow" w:hAnsi="Arial Narrow"/>
          <w:sz w:val="18"/>
          <w:szCs w:val="18"/>
        </w:rPr>
        <w:t xml:space="preserve">CI, confidence interval; </w:t>
      </w:r>
      <w:r w:rsidRPr="0074193E">
        <w:rPr>
          <w:rFonts w:ascii="Arial Narrow" w:hAnsi="Arial Narrow"/>
          <w:sz w:val="18"/>
          <w:szCs w:val="18"/>
          <w:vertAlign w:val="superscript"/>
        </w:rPr>
        <w:t>177</w:t>
      </w:r>
      <w:r w:rsidRPr="0074193E">
        <w:rPr>
          <w:rFonts w:ascii="Arial Narrow" w:hAnsi="Arial Narrow"/>
          <w:sz w:val="18"/>
          <w:szCs w:val="18"/>
        </w:rPr>
        <w:t xml:space="preserve">Lu-PSMA-617, 177 Lutetium prostate-specific membrane antigen 617; </w:t>
      </w:r>
      <w:proofErr w:type="spellStart"/>
      <w:r w:rsidRPr="0074193E">
        <w:rPr>
          <w:rFonts w:ascii="Arial Narrow" w:hAnsi="Arial Narrow"/>
          <w:sz w:val="18"/>
          <w:szCs w:val="18"/>
        </w:rPr>
        <w:t>mo</w:t>
      </w:r>
      <w:proofErr w:type="spellEnd"/>
      <w:r w:rsidRPr="0074193E">
        <w:rPr>
          <w:rFonts w:ascii="Arial Narrow" w:hAnsi="Arial Narrow"/>
          <w:sz w:val="18"/>
          <w:szCs w:val="18"/>
        </w:rPr>
        <w:t>, months</w:t>
      </w:r>
    </w:p>
    <w:p w14:paraId="6E0C63B1" w14:textId="501740BD" w:rsidR="0074193E" w:rsidRDefault="0074193E" w:rsidP="0074193E">
      <w:pPr>
        <w:pStyle w:val="Caption"/>
      </w:pPr>
      <w:bookmarkStart w:id="30" w:name="_Ref152264997"/>
      <w:r>
        <w:t xml:space="preserve">Figure </w:t>
      </w:r>
      <w:r>
        <w:fldChar w:fldCharType="begin"/>
      </w:r>
      <w:r>
        <w:instrText>SEQ Figure \* ARABIC</w:instrText>
      </w:r>
      <w:r>
        <w:fldChar w:fldCharType="separate"/>
      </w:r>
      <w:r w:rsidR="00EB3F24">
        <w:rPr>
          <w:noProof/>
        </w:rPr>
        <w:t>2</w:t>
      </w:r>
      <w:r>
        <w:fldChar w:fldCharType="end"/>
      </w:r>
      <w:bookmarkEnd w:id="30"/>
      <w:r>
        <w:tab/>
      </w:r>
      <w:r w:rsidRPr="0074193E">
        <w:t>O</w:t>
      </w:r>
      <w:r>
        <w:t>verall survival</w:t>
      </w:r>
      <w:r w:rsidRPr="0074193E">
        <w:t xml:space="preserve"> in </w:t>
      </w:r>
      <w:proofErr w:type="spellStart"/>
      <w:r w:rsidRPr="0074193E">
        <w:t>TheraP</w:t>
      </w:r>
      <w:proofErr w:type="spellEnd"/>
      <w:r w:rsidRPr="0074193E">
        <w:t xml:space="preserve"> at median follow-up 36 months (ITT)</w:t>
      </w:r>
    </w:p>
    <w:p w14:paraId="71898EC5" w14:textId="4537073D" w:rsidR="0074193E" w:rsidRDefault="0074193E" w:rsidP="0074193E">
      <w:pPr>
        <w:jc w:val="center"/>
      </w:pPr>
      <w:r w:rsidRPr="003C6B02">
        <w:rPr>
          <w:rFonts w:asciiTheme="minorHAnsi" w:hAnsiTheme="minorHAnsi" w:cstheme="minorHAnsi"/>
          <w:b/>
          <w:bCs/>
          <w:noProof/>
          <w:sz w:val="20"/>
          <w:szCs w:val="20"/>
        </w:rPr>
        <w:drawing>
          <wp:inline distT="0" distB="0" distL="0" distR="0" wp14:anchorId="6B1D89BF" wp14:editId="6BD24E07">
            <wp:extent cx="3733800" cy="2123544"/>
            <wp:effectExtent l="19050" t="19050" r="19050" b="10160"/>
            <wp:docPr id="663107751" name="Picture 663107751" descr="Kaplan-Meier (KM) curves for overall survival in the TheraP at median follow up 36 months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107751" name="Picture 663107751" descr="Kaplan-Meier (KM) curves for overall survival in the TheraP at median follow up 36 months (IT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0823" cy="2127538"/>
                    </a:xfrm>
                    <a:prstGeom prst="rect">
                      <a:avLst/>
                    </a:prstGeom>
                    <a:noFill/>
                    <a:ln w="3175">
                      <a:solidFill>
                        <a:schemeClr val="tx1"/>
                      </a:solidFill>
                    </a:ln>
                  </pic:spPr>
                </pic:pic>
              </a:graphicData>
            </a:graphic>
          </wp:inline>
        </w:drawing>
      </w:r>
    </w:p>
    <w:p w14:paraId="0C43EB5C" w14:textId="4F09188C" w:rsidR="0074193E" w:rsidRPr="0074193E" w:rsidRDefault="0074193E" w:rsidP="0074193E">
      <w:pPr>
        <w:rPr>
          <w:rFonts w:ascii="Arial Narrow" w:hAnsi="Arial Narrow"/>
          <w:sz w:val="18"/>
          <w:szCs w:val="18"/>
        </w:rPr>
      </w:pPr>
      <w:r w:rsidRPr="0074193E">
        <w:rPr>
          <w:rFonts w:ascii="Arial Narrow" w:hAnsi="Arial Narrow"/>
          <w:sz w:val="18"/>
          <w:szCs w:val="18"/>
        </w:rPr>
        <w:t>Source: Figure 2-</w:t>
      </w:r>
      <w:r>
        <w:rPr>
          <w:rFonts w:ascii="Arial Narrow" w:hAnsi="Arial Narrow"/>
          <w:sz w:val="18"/>
          <w:szCs w:val="18"/>
        </w:rPr>
        <w:t>9</w:t>
      </w:r>
      <w:r w:rsidRPr="0074193E">
        <w:rPr>
          <w:rFonts w:ascii="Arial Narrow" w:hAnsi="Arial Narrow"/>
          <w:sz w:val="18"/>
          <w:szCs w:val="18"/>
        </w:rPr>
        <w:t>, p</w:t>
      </w:r>
      <w:r>
        <w:rPr>
          <w:rFonts w:ascii="Arial Narrow" w:hAnsi="Arial Narrow"/>
          <w:sz w:val="18"/>
          <w:szCs w:val="18"/>
        </w:rPr>
        <w:t>80</w:t>
      </w:r>
      <w:r w:rsidRPr="0074193E">
        <w:rPr>
          <w:rFonts w:ascii="Arial Narrow" w:hAnsi="Arial Narrow"/>
          <w:sz w:val="18"/>
          <w:szCs w:val="18"/>
        </w:rPr>
        <w:t xml:space="preserve"> of the ADAR</w:t>
      </w:r>
    </w:p>
    <w:p w14:paraId="3CEEF51D" w14:textId="0B43B926" w:rsidR="0074193E" w:rsidRDefault="0074193E" w:rsidP="0074193E">
      <w:r w:rsidRPr="0074193E">
        <w:rPr>
          <w:rFonts w:ascii="Arial Narrow" w:hAnsi="Arial Narrow"/>
          <w:sz w:val="18"/>
          <w:szCs w:val="18"/>
        </w:rPr>
        <w:t xml:space="preserve">CI, confidence interval; </w:t>
      </w:r>
      <w:r w:rsidR="006942E5">
        <w:rPr>
          <w:rFonts w:ascii="Arial Narrow" w:hAnsi="Arial Narrow"/>
          <w:sz w:val="18"/>
          <w:szCs w:val="18"/>
        </w:rPr>
        <w:t xml:space="preserve">HR, hazard ratio; </w:t>
      </w:r>
      <w:r w:rsidRPr="0074193E">
        <w:rPr>
          <w:rFonts w:ascii="Arial Narrow" w:hAnsi="Arial Narrow"/>
          <w:sz w:val="18"/>
          <w:szCs w:val="18"/>
          <w:vertAlign w:val="superscript"/>
        </w:rPr>
        <w:t>177</w:t>
      </w:r>
      <w:r w:rsidRPr="0074193E">
        <w:rPr>
          <w:rFonts w:ascii="Arial Narrow" w:hAnsi="Arial Narrow"/>
          <w:sz w:val="18"/>
          <w:szCs w:val="18"/>
        </w:rPr>
        <w:t xml:space="preserve">Lu-PSMA-617, 177 Lutetium prostate-specific membrane antigen 617; </w:t>
      </w:r>
      <w:r>
        <w:rPr>
          <w:rFonts w:ascii="Arial Narrow" w:hAnsi="Arial Narrow"/>
          <w:sz w:val="18"/>
          <w:szCs w:val="18"/>
        </w:rPr>
        <w:t>OS, overall survival</w:t>
      </w:r>
    </w:p>
    <w:p w14:paraId="0D22E615" w14:textId="7C572469" w:rsidR="0074193E" w:rsidRDefault="006276CD" w:rsidP="006276CD">
      <w:pPr>
        <w:pStyle w:val="Caption"/>
      </w:pPr>
      <w:bookmarkStart w:id="31" w:name="_Ref152265003"/>
      <w:r>
        <w:t xml:space="preserve">Figure </w:t>
      </w:r>
      <w:r>
        <w:fldChar w:fldCharType="begin"/>
      </w:r>
      <w:r>
        <w:instrText>SEQ Figure \* ARABIC</w:instrText>
      </w:r>
      <w:r>
        <w:fldChar w:fldCharType="separate"/>
      </w:r>
      <w:r w:rsidR="00EB3F24">
        <w:rPr>
          <w:noProof/>
        </w:rPr>
        <w:t>3</w:t>
      </w:r>
      <w:r>
        <w:fldChar w:fldCharType="end"/>
      </w:r>
      <w:bookmarkEnd w:id="31"/>
      <w:r>
        <w:tab/>
      </w:r>
      <w:r w:rsidRPr="006276CD">
        <w:t xml:space="preserve">Image-based PFS in VISION trial, </w:t>
      </w:r>
      <w:proofErr w:type="spellStart"/>
      <w:r w:rsidRPr="006276CD">
        <w:t>rPFS</w:t>
      </w:r>
      <w:proofErr w:type="spellEnd"/>
      <w:r w:rsidRPr="006276CD">
        <w:t xml:space="preserve"> population</w:t>
      </w:r>
    </w:p>
    <w:p w14:paraId="4A241DE8" w14:textId="669C1D87" w:rsidR="006276CD" w:rsidRDefault="006276CD" w:rsidP="006276CD">
      <w:pPr>
        <w:jc w:val="center"/>
      </w:pPr>
      <w:r>
        <w:rPr>
          <w:rFonts w:asciiTheme="minorHAnsi" w:hAnsiTheme="minorHAnsi" w:cstheme="minorHAnsi"/>
          <w:noProof/>
          <w:sz w:val="12"/>
          <w:szCs w:val="12"/>
        </w:rPr>
        <w:drawing>
          <wp:inline distT="0" distB="0" distL="0" distR="0" wp14:anchorId="0E25B27E" wp14:editId="5FA0D2E2">
            <wp:extent cx="4420745" cy="1790700"/>
            <wp:effectExtent l="19050" t="19050" r="18415" b="19050"/>
            <wp:docPr id="1557197938" name="Picture 1557197938" descr="Kaplan-Meier (KM) curves for image based progression free survival in VISION trial, radiographic progression free survival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97938" name="Picture 1557197938" descr="Kaplan-Meier (KM) curves for image based progression free survival in VISION trial, radiographic progression free survival popula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32036" cy="1795274"/>
                    </a:xfrm>
                    <a:prstGeom prst="rect">
                      <a:avLst/>
                    </a:prstGeom>
                    <a:noFill/>
                    <a:ln w="3175">
                      <a:solidFill>
                        <a:schemeClr val="tx1"/>
                      </a:solidFill>
                    </a:ln>
                  </pic:spPr>
                </pic:pic>
              </a:graphicData>
            </a:graphic>
          </wp:inline>
        </w:drawing>
      </w:r>
    </w:p>
    <w:p w14:paraId="4C137766" w14:textId="67BBBB88" w:rsidR="006276CD" w:rsidRPr="0074193E" w:rsidRDefault="006276CD" w:rsidP="006276CD">
      <w:pPr>
        <w:rPr>
          <w:rFonts w:ascii="Arial Narrow" w:hAnsi="Arial Narrow"/>
          <w:sz w:val="18"/>
          <w:szCs w:val="18"/>
        </w:rPr>
      </w:pPr>
      <w:r w:rsidRPr="0074193E">
        <w:rPr>
          <w:rFonts w:ascii="Arial Narrow" w:hAnsi="Arial Narrow"/>
          <w:sz w:val="18"/>
          <w:szCs w:val="18"/>
        </w:rPr>
        <w:t>Source: Figure 2-</w:t>
      </w:r>
      <w:r>
        <w:rPr>
          <w:rFonts w:ascii="Arial Narrow" w:hAnsi="Arial Narrow"/>
          <w:sz w:val="18"/>
          <w:szCs w:val="18"/>
        </w:rPr>
        <w:t>4</w:t>
      </w:r>
      <w:r w:rsidRPr="0074193E">
        <w:rPr>
          <w:rFonts w:ascii="Arial Narrow" w:hAnsi="Arial Narrow"/>
          <w:sz w:val="18"/>
          <w:szCs w:val="18"/>
        </w:rPr>
        <w:t>, p</w:t>
      </w:r>
      <w:r>
        <w:rPr>
          <w:rFonts w:ascii="Arial Narrow" w:hAnsi="Arial Narrow"/>
          <w:sz w:val="18"/>
          <w:szCs w:val="18"/>
        </w:rPr>
        <w:t>72</w:t>
      </w:r>
      <w:r w:rsidRPr="0074193E">
        <w:rPr>
          <w:rFonts w:ascii="Arial Narrow" w:hAnsi="Arial Narrow"/>
          <w:sz w:val="18"/>
          <w:szCs w:val="18"/>
        </w:rPr>
        <w:t xml:space="preserve"> of the ADAR</w:t>
      </w:r>
    </w:p>
    <w:p w14:paraId="21D86F6E" w14:textId="455D0545" w:rsidR="006276CD" w:rsidRDefault="006276CD" w:rsidP="006276CD">
      <w:r w:rsidRPr="0074193E">
        <w:rPr>
          <w:rFonts w:ascii="Arial Narrow" w:hAnsi="Arial Narrow"/>
          <w:sz w:val="18"/>
          <w:szCs w:val="18"/>
        </w:rPr>
        <w:t xml:space="preserve">CI, confidence interval; </w:t>
      </w:r>
      <w:r w:rsidRPr="0074193E">
        <w:rPr>
          <w:rFonts w:ascii="Arial Narrow" w:hAnsi="Arial Narrow"/>
          <w:sz w:val="18"/>
          <w:szCs w:val="18"/>
          <w:vertAlign w:val="superscript"/>
        </w:rPr>
        <w:t>177</w:t>
      </w:r>
      <w:r w:rsidRPr="0074193E">
        <w:rPr>
          <w:rFonts w:ascii="Arial Narrow" w:hAnsi="Arial Narrow"/>
          <w:sz w:val="18"/>
          <w:szCs w:val="18"/>
        </w:rPr>
        <w:t xml:space="preserve">Lu-PSMA-617, 177 Lutetium prostate-specific membrane antigen 617; </w:t>
      </w:r>
      <w:proofErr w:type="spellStart"/>
      <w:r w:rsidRPr="0074193E">
        <w:rPr>
          <w:rFonts w:ascii="Arial Narrow" w:hAnsi="Arial Narrow"/>
          <w:sz w:val="18"/>
          <w:szCs w:val="18"/>
        </w:rPr>
        <w:t>mo</w:t>
      </w:r>
      <w:proofErr w:type="spellEnd"/>
      <w:r w:rsidRPr="0074193E">
        <w:rPr>
          <w:rFonts w:ascii="Arial Narrow" w:hAnsi="Arial Narrow"/>
          <w:sz w:val="18"/>
          <w:szCs w:val="18"/>
        </w:rPr>
        <w:t>, months</w:t>
      </w:r>
      <w:r>
        <w:rPr>
          <w:rFonts w:ascii="Arial Narrow" w:hAnsi="Arial Narrow"/>
          <w:sz w:val="18"/>
          <w:szCs w:val="18"/>
        </w:rPr>
        <w:t>,</w:t>
      </w:r>
      <w:r w:rsidRPr="006276CD">
        <w:rPr>
          <w:rFonts w:ascii="Arial Narrow" w:hAnsi="Arial Narrow"/>
          <w:sz w:val="18"/>
          <w:szCs w:val="18"/>
        </w:rPr>
        <w:t xml:space="preserve"> PFS, progression-free survival; </w:t>
      </w:r>
      <w:proofErr w:type="spellStart"/>
      <w:r w:rsidRPr="006276CD">
        <w:rPr>
          <w:rFonts w:ascii="Arial Narrow" w:hAnsi="Arial Narrow"/>
          <w:sz w:val="18"/>
          <w:szCs w:val="18"/>
        </w:rPr>
        <w:t>rPFS</w:t>
      </w:r>
      <w:proofErr w:type="spellEnd"/>
      <w:r w:rsidRPr="006276CD">
        <w:rPr>
          <w:rFonts w:ascii="Arial Narrow" w:hAnsi="Arial Narrow"/>
          <w:sz w:val="18"/>
          <w:szCs w:val="18"/>
        </w:rPr>
        <w:t>, radiographic progression-free survival</w:t>
      </w:r>
    </w:p>
    <w:p w14:paraId="77FED2AD" w14:textId="05F8E126" w:rsidR="006276CD" w:rsidRDefault="006276CD" w:rsidP="006276CD">
      <w:pPr>
        <w:pStyle w:val="Caption"/>
      </w:pPr>
      <w:bookmarkStart w:id="32" w:name="_Ref152265008"/>
      <w:r>
        <w:lastRenderedPageBreak/>
        <w:t xml:space="preserve">Figure </w:t>
      </w:r>
      <w:r>
        <w:fldChar w:fldCharType="begin"/>
      </w:r>
      <w:r>
        <w:instrText>SEQ Figure \* ARABIC</w:instrText>
      </w:r>
      <w:r>
        <w:fldChar w:fldCharType="separate"/>
      </w:r>
      <w:r w:rsidR="00EB3F24">
        <w:rPr>
          <w:noProof/>
        </w:rPr>
        <w:t>4</w:t>
      </w:r>
      <w:r>
        <w:fldChar w:fldCharType="end"/>
      </w:r>
      <w:bookmarkEnd w:id="32"/>
      <w:r>
        <w:tab/>
      </w:r>
      <w:r w:rsidRPr="006276CD">
        <w:t xml:space="preserve">Image-based PFS in </w:t>
      </w:r>
      <w:proofErr w:type="spellStart"/>
      <w:r w:rsidR="008E341E">
        <w:t>TheraP</w:t>
      </w:r>
      <w:proofErr w:type="spellEnd"/>
      <w:r w:rsidRPr="006276CD">
        <w:t xml:space="preserve"> trial, </w:t>
      </w:r>
      <w:proofErr w:type="spellStart"/>
      <w:r w:rsidRPr="006276CD">
        <w:t>rPFS</w:t>
      </w:r>
      <w:proofErr w:type="spellEnd"/>
      <w:r w:rsidRPr="006276CD">
        <w:t xml:space="preserve"> population</w:t>
      </w:r>
    </w:p>
    <w:p w14:paraId="73101C1D" w14:textId="63DC7C06" w:rsidR="006276CD" w:rsidRDefault="006276CD" w:rsidP="006276CD">
      <w:pPr>
        <w:jc w:val="center"/>
      </w:pPr>
      <w:r w:rsidRPr="003C6B02">
        <w:rPr>
          <w:rFonts w:asciiTheme="minorHAnsi" w:hAnsiTheme="minorHAnsi" w:cstheme="minorHAnsi"/>
          <w:noProof/>
        </w:rPr>
        <w:drawing>
          <wp:inline distT="0" distB="0" distL="0" distR="0" wp14:anchorId="1C8EE965" wp14:editId="2ED20316">
            <wp:extent cx="3704599" cy="2095295"/>
            <wp:effectExtent l="19050" t="19050" r="10160" b="19685"/>
            <wp:docPr id="1971781731" name="Picture 1971781731" descr="Kaplan-Meier (KM) curves for image based progression free survival in THeraP trial, radiographic progression free survival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81731" name="Picture 1971781731" descr="Kaplan-Meier (KM) curves for image based progression free survival in THeraP trial, radiographic progression free survival popula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0570" cy="2104328"/>
                    </a:xfrm>
                    <a:prstGeom prst="rect">
                      <a:avLst/>
                    </a:prstGeom>
                    <a:noFill/>
                    <a:ln w="3175">
                      <a:solidFill>
                        <a:schemeClr val="tx1"/>
                      </a:solidFill>
                    </a:ln>
                  </pic:spPr>
                </pic:pic>
              </a:graphicData>
            </a:graphic>
          </wp:inline>
        </w:drawing>
      </w:r>
    </w:p>
    <w:p w14:paraId="673DED3A" w14:textId="16917B5D" w:rsidR="006942E5" w:rsidRPr="0074193E" w:rsidRDefault="006942E5" w:rsidP="006942E5">
      <w:pPr>
        <w:rPr>
          <w:rFonts w:ascii="Arial Narrow" w:hAnsi="Arial Narrow"/>
          <w:sz w:val="18"/>
          <w:szCs w:val="18"/>
        </w:rPr>
      </w:pPr>
      <w:r w:rsidRPr="0074193E">
        <w:rPr>
          <w:rFonts w:ascii="Arial Narrow" w:hAnsi="Arial Narrow"/>
          <w:sz w:val="18"/>
          <w:szCs w:val="18"/>
        </w:rPr>
        <w:t>Source: Figure 2-</w:t>
      </w:r>
      <w:r>
        <w:rPr>
          <w:rFonts w:ascii="Arial Narrow" w:hAnsi="Arial Narrow"/>
          <w:sz w:val="18"/>
          <w:szCs w:val="18"/>
        </w:rPr>
        <w:t>10</w:t>
      </w:r>
      <w:r w:rsidRPr="0074193E">
        <w:rPr>
          <w:rFonts w:ascii="Arial Narrow" w:hAnsi="Arial Narrow"/>
          <w:sz w:val="18"/>
          <w:szCs w:val="18"/>
        </w:rPr>
        <w:t>, p</w:t>
      </w:r>
      <w:r>
        <w:rPr>
          <w:rFonts w:ascii="Arial Narrow" w:hAnsi="Arial Narrow"/>
          <w:sz w:val="18"/>
          <w:szCs w:val="18"/>
        </w:rPr>
        <w:t>81</w:t>
      </w:r>
      <w:r w:rsidRPr="0074193E">
        <w:rPr>
          <w:rFonts w:ascii="Arial Narrow" w:hAnsi="Arial Narrow"/>
          <w:sz w:val="18"/>
          <w:szCs w:val="18"/>
        </w:rPr>
        <w:t xml:space="preserve"> of the ADAR</w:t>
      </w:r>
    </w:p>
    <w:p w14:paraId="4DC2B418" w14:textId="06879A73" w:rsidR="006942E5" w:rsidRDefault="006942E5" w:rsidP="006942E5">
      <w:r w:rsidRPr="0074193E">
        <w:rPr>
          <w:rFonts w:ascii="Arial Narrow" w:hAnsi="Arial Narrow"/>
          <w:sz w:val="18"/>
          <w:szCs w:val="18"/>
        </w:rPr>
        <w:t xml:space="preserve">CI, confidence interval; </w:t>
      </w:r>
      <w:r>
        <w:rPr>
          <w:rFonts w:ascii="Arial Narrow" w:hAnsi="Arial Narrow"/>
          <w:sz w:val="18"/>
          <w:szCs w:val="18"/>
        </w:rPr>
        <w:t xml:space="preserve">HR, hazard ratio; </w:t>
      </w:r>
      <w:r w:rsidRPr="0074193E">
        <w:rPr>
          <w:rFonts w:ascii="Arial Narrow" w:hAnsi="Arial Narrow"/>
          <w:sz w:val="18"/>
          <w:szCs w:val="18"/>
          <w:vertAlign w:val="superscript"/>
        </w:rPr>
        <w:t>177</w:t>
      </w:r>
      <w:r w:rsidRPr="0074193E">
        <w:rPr>
          <w:rFonts w:ascii="Arial Narrow" w:hAnsi="Arial Narrow"/>
          <w:sz w:val="18"/>
          <w:szCs w:val="18"/>
        </w:rPr>
        <w:t xml:space="preserve">Lu-PSMA-617, 177 Lutetium prostate-specific membrane antigen 617; </w:t>
      </w:r>
      <w:proofErr w:type="spellStart"/>
      <w:r w:rsidRPr="0074193E">
        <w:rPr>
          <w:rFonts w:ascii="Arial Narrow" w:hAnsi="Arial Narrow"/>
          <w:sz w:val="18"/>
          <w:szCs w:val="18"/>
        </w:rPr>
        <w:t>mo</w:t>
      </w:r>
      <w:proofErr w:type="spellEnd"/>
      <w:r w:rsidRPr="0074193E">
        <w:rPr>
          <w:rFonts w:ascii="Arial Narrow" w:hAnsi="Arial Narrow"/>
          <w:sz w:val="18"/>
          <w:szCs w:val="18"/>
        </w:rPr>
        <w:t>, months</w:t>
      </w:r>
      <w:r>
        <w:rPr>
          <w:rFonts w:ascii="Arial Narrow" w:hAnsi="Arial Narrow"/>
          <w:sz w:val="18"/>
          <w:szCs w:val="18"/>
        </w:rPr>
        <w:t>,</w:t>
      </w:r>
      <w:r w:rsidRPr="006276CD">
        <w:rPr>
          <w:rFonts w:ascii="Arial Narrow" w:hAnsi="Arial Narrow"/>
          <w:sz w:val="18"/>
          <w:szCs w:val="18"/>
        </w:rPr>
        <w:t xml:space="preserve"> PFS, progression-free survival; </w:t>
      </w:r>
      <w:proofErr w:type="spellStart"/>
      <w:r w:rsidRPr="006276CD">
        <w:rPr>
          <w:rFonts w:ascii="Arial Narrow" w:hAnsi="Arial Narrow"/>
          <w:sz w:val="18"/>
          <w:szCs w:val="18"/>
        </w:rPr>
        <w:t>rPFS</w:t>
      </w:r>
      <w:proofErr w:type="spellEnd"/>
      <w:r w:rsidRPr="006276CD">
        <w:rPr>
          <w:rFonts w:ascii="Arial Narrow" w:hAnsi="Arial Narrow"/>
          <w:sz w:val="18"/>
          <w:szCs w:val="18"/>
        </w:rPr>
        <w:t>, radiographic progression-free survival</w:t>
      </w:r>
    </w:p>
    <w:p w14:paraId="7861C3BC" w14:textId="08FD2A6D" w:rsidR="00AC67B8" w:rsidRPr="000F104A" w:rsidRDefault="00AC67B8" w:rsidP="00C26822">
      <w:pPr>
        <w:widowControl w:val="0"/>
        <w:spacing w:before="240"/>
      </w:pPr>
      <w:r>
        <w:t xml:space="preserve">Across both </w:t>
      </w:r>
      <w:proofErr w:type="spellStart"/>
      <w:r>
        <w:t>TheraP</w:t>
      </w:r>
      <w:proofErr w:type="spellEnd"/>
      <w:r>
        <w:t xml:space="preserve"> and VISION, treatment with </w:t>
      </w:r>
      <w:r w:rsidRPr="001A6607">
        <w:rPr>
          <w:vertAlign w:val="superscript"/>
        </w:rPr>
        <w:t>177</w:t>
      </w:r>
      <w:r>
        <w:t>Lu PSMA-617</w:t>
      </w:r>
      <w:r w:rsidRPr="001A6607">
        <w:rPr>
          <w:i/>
          <w:iCs/>
        </w:rPr>
        <w:t xml:space="preserve"> </w:t>
      </w:r>
      <w:r w:rsidRPr="009A38E5">
        <w:t>was associated with</w:t>
      </w:r>
      <w:r>
        <w:rPr>
          <w:i/>
          <w:iCs/>
        </w:rPr>
        <w:t xml:space="preserve"> </w:t>
      </w:r>
      <w:r w:rsidRPr="001A6607">
        <w:t>st</w:t>
      </w:r>
      <w:r>
        <w:t>atistically significantly prolonged PFS and o</w:t>
      </w:r>
      <w:r w:rsidRPr="00315443">
        <w:t>verall/objective response rate</w:t>
      </w:r>
      <w:r>
        <w:t xml:space="preserve"> compared to cabazitaxel and </w:t>
      </w:r>
      <w:r w:rsidR="00864390">
        <w:t>BSC</w:t>
      </w:r>
      <w:r>
        <w:t xml:space="preserve">. In VISION, treatment with </w:t>
      </w:r>
      <w:r w:rsidRPr="001A6607">
        <w:rPr>
          <w:vertAlign w:val="superscript"/>
        </w:rPr>
        <w:t>177</w:t>
      </w:r>
      <w:r>
        <w:t>Lu PSMA-617 was also associated with a statistically significant OS advantage (HR=</w:t>
      </w:r>
      <w:r w:rsidRPr="00B02DDF">
        <w:t xml:space="preserve">0.62 </w:t>
      </w:r>
      <w:r>
        <w:t xml:space="preserve">[95% CI: </w:t>
      </w:r>
      <w:r w:rsidRPr="00B02DDF">
        <w:t>0.52, 0.74</w:t>
      </w:r>
      <w:r>
        <w:t>]</w:t>
      </w:r>
      <w:r w:rsidRPr="00B02DDF">
        <w:t>; p&lt;0.001</w:t>
      </w:r>
      <w:r>
        <w:t xml:space="preserve">) when compared with </w:t>
      </w:r>
      <w:r w:rsidR="00864390">
        <w:t>BSC</w:t>
      </w:r>
      <w:r>
        <w:t xml:space="preserve">. </w:t>
      </w:r>
    </w:p>
    <w:p w14:paraId="213924C6" w14:textId="53C91861" w:rsidR="00772829" w:rsidRPr="00223664" w:rsidRDefault="00772829" w:rsidP="00223664">
      <w:pPr>
        <w:tabs>
          <w:tab w:val="left" w:pos="720"/>
          <w:tab w:val="left" w:pos="1140"/>
        </w:tabs>
        <w:spacing w:before="240" w:after="120"/>
        <w:rPr>
          <w:b/>
          <w:bCs/>
        </w:rPr>
      </w:pPr>
      <w:r w:rsidRPr="00223664">
        <w:rPr>
          <w:b/>
          <w:bCs/>
        </w:rPr>
        <w:t>Clinical claim</w:t>
      </w:r>
    </w:p>
    <w:p w14:paraId="2AFBE8AB" w14:textId="0246F93C" w:rsidR="008B5B7D" w:rsidRDefault="00F823FC" w:rsidP="00C26822">
      <w:pPr>
        <w:pStyle w:val="Instructionaltext"/>
        <w:spacing w:after="240"/>
        <w:rPr>
          <w:color w:val="auto"/>
        </w:rPr>
      </w:pPr>
      <w:r w:rsidRPr="00F823FC">
        <w:rPr>
          <w:color w:val="auto"/>
        </w:rPr>
        <w:t xml:space="preserve">The </w:t>
      </w:r>
      <w:r w:rsidR="00306DEE">
        <w:rPr>
          <w:color w:val="auto"/>
        </w:rPr>
        <w:t>ADAR</w:t>
      </w:r>
      <w:r w:rsidRPr="00F823FC">
        <w:rPr>
          <w:color w:val="auto"/>
        </w:rPr>
        <w:t xml:space="preserve"> made the following clinical claim</w:t>
      </w:r>
      <w:r w:rsidR="00306DEE">
        <w:rPr>
          <w:color w:val="auto"/>
        </w:rPr>
        <w:t>s</w:t>
      </w:r>
      <w:r w:rsidRPr="00F823FC">
        <w:rPr>
          <w:color w:val="auto"/>
        </w:rPr>
        <w:t>:</w:t>
      </w:r>
    </w:p>
    <w:p w14:paraId="7D4F009F" w14:textId="77777777" w:rsidR="002E38B6" w:rsidRPr="00306DEE" w:rsidRDefault="00306DEE" w:rsidP="00FB178D">
      <w:pPr>
        <w:pStyle w:val="Instructionaltext"/>
        <w:ind w:left="284" w:hanging="284"/>
        <w:rPr>
          <w:color w:val="auto"/>
        </w:rPr>
      </w:pPr>
      <w:r w:rsidRPr="00306DEE">
        <w:rPr>
          <w:color w:val="auto"/>
        </w:rPr>
        <w:t>•</w:t>
      </w:r>
      <w:r w:rsidRPr="00306DEE">
        <w:rPr>
          <w:color w:val="auto"/>
        </w:rPr>
        <w:tab/>
        <w:t xml:space="preserve">In patients who are candidates for PSMA targeted therapy after identification via </w:t>
      </w:r>
      <w:r w:rsidRPr="00306DEE">
        <w:rPr>
          <w:color w:val="auto"/>
          <w:vertAlign w:val="superscript"/>
        </w:rPr>
        <w:t>68</w:t>
      </w:r>
      <w:r w:rsidRPr="00306DEE">
        <w:rPr>
          <w:color w:val="auto"/>
        </w:rPr>
        <w:t xml:space="preserve">Ga-PSMA-11 PET/CT imaging is superior to no </w:t>
      </w:r>
      <w:r w:rsidRPr="00306DEE">
        <w:rPr>
          <w:color w:val="auto"/>
          <w:vertAlign w:val="superscript"/>
        </w:rPr>
        <w:t>68</w:t>
      </w:r>
      <w:r w:rsidRPr="00306DEE">
        <w:rPr>
          <w:color w:val="auto"/>
        </w:rPr>
        <w:t>Ga-PSMA-11 PET/CT imaging in terms of analytical, clinical validity and clinical utility. Th</w:t>
      </w:r>
      <w:r>
        <w:rPr>
          <w:color w:val="auto"/>
        </w:rPr>
        <w:t>e Commentary considered that this</w:t>
      </w:r>
      <w:r w:rsidRPr="00306DEE">
        <w:rPr>
          <w:color w:val="auto"/>
        </w:rPr>
        <w:t xml:space="preserve"> has not explicitly been demonstrated, although is likely reasonable. </w:t>
      </w:r>
      <w:r w:rsidR="002E38B6">
        <w:rPr>
          <w:color w:val="auto"/>
        </w:rPr>
        <w:t xml:space="preserve">However, </w:t>
      </w:r>
      <w:r w:rsidR="002E38B6" w:rsidRPr="00306DEE">
        <w:rPr>
          <w:color w:val="auto"/>
        </w:rPr>
        <w:t>the ADAR has not:</w:t>
      </w:r>
    </w:p>
    <w:p w14:paraId="5AD7C26E" w14:textId="77777777" w:rsidR="002E38B6" w:rsidRPr="00306DEE" w:rsidRDefault="002E38B6" w:rsidP="00FB178D">
      <w:pPr>
        <w:pStyle w:val="Instructionaltext"/>
        <w:tabs>
          <w:tab w:val="left" w:pos="709"/>
        </w:tabs>
        <w:ind w:left="567" w:hanging="283"/>
        <w:contextualSpacing/>
        <w:rPr>
          <w:color w:val="auto"/>
        </w:rPr>
      </w:pPr>
      <w:r w:rsidRPr="00306DEE">
        <w:rPr>
          <w:color w:val="auto"/>
        </w:rPr>
        <w:t>(</w:t>
      </w:r>
      <w:proofErr w:type="spellStart"/>
      <w:r w:rsidRPr="00306DEE">
        <w:rPr>
          <w:color w:val="auto"/>
        </w:rPr>
        <w:t>i</w:t>
      </w:r>
      <w:proofErr w:type="spellEnd"/>
      <w:r w:rsidRPr="00306DEE">
        <w:rPr>
          <w:color w:val="auto"/>
        </w:rPr>
        <w:t>)</w:t>
      </w:r>
      <w:r w:rsidRPr="00306DEE">
        <w:rPr>
          <w:color w:val="auto"/>
        </w:rPr>
        <w:tab/>
        <w:t>demonstrated the clinical utility of the test, with results from the Re-SPECT study casting doubt on the ability of the test (or at least the nominated thresholds) to sufficiently discriminate patients who are likely to respond to PSMA targeted therapies versus those who are not; and</w:t>
      </w:r>
    </w:p>
    <w:p w14:paraId="0279E763" w14:textId="224ADABE" w:rsidR="00306DEE" w:rsidRPr="00306DEE" w:rsidRDefault="002E38B6" w:rsidP="00C26822">
      <w:pPr>
        <w:pStyle w:val="Instructionaltext"/>
        <w:tabs>
          <w:tab w:val="left" w:pos="709"/>
        </w:tabs>
        <w:spacing w:after="240"/>
        <w:ind w:left="567" w:hanging="283"/>
        <w:rPr>
          <w:color w:val="auto"/>
        </w:rPr>
      </w:pPr>
      <w:r w:rsidRPr="00306DEE">
        <w:rPr>
          <w:color w:val="auto"/>
        </w:rPr>
        <w:t>(ii)</w:t>
      </w:r>
      <w:r w:rsidRPr="00306DEE">
        <w:rPr>
          <w:color w:val="auto"/>
        </w:rPr>
        <w:tab/>
        <w:t xml:space="preserve">provided sufficient evidence to support restricting the radiopharmaceutical to </w:t>
      </w:r>
      <w:r w:rsidRPr="005428A4">
        <w:rPr>
          <w:color w:val="auto"/>
          <w:vertAlign w:val="superscript"/>
        </w:rPr>
        <w:t>68</w:t>
      </w:r>
      <w:r w:rsidRPr="005428A4">
        <w:rPr>
          <w:color w:val="auto"/>
        </w:rPr>
        <w:t>G</w:t>
      </w:r>
      <w:r w:rsidRPr="00306DEE">
        <w:rPr>
          <w:color w:val="auto"/>
        </w:rPr>
        <w:t>a via demonstrating superiority versus other options. Restriction to a single radiopharmaceutical is not consistent with PSMA PET/CT on the MBS (items 61563, 61564) and that proposed in the MSAC 1686/1686.1 application.</w:t>
      </w:r>
    </w:p>
    <w:p w14:paraId="19AE73EB" w14:textId="0925E71A" w:rsidR="00306DEE" w:rsidRPr="00306DEE" w:rsidRDefault="00306DEE" w:rsidP="00306DEE">
      <w:pPr>
        <w:pStyle w:val="Instructionaltext"/>
        <w:ind w:left="284" w:hanging="284"/>
        <w:rPr>
          <w:color w:val="auto"/>
        </w:rPr>
      </w:pPr>
      <w:r w:rsidRPr="00306DEE">
        <w:rPr>
          <w:color w:val="auto"/>
        </w:rPr>
        <w:t>•</w:t>
      </w:r>
      <w:r w:rsidRPr="00306DEE">
        <w:rPr>
          <w:color w:val="auto"/>
        </w:rPr>
        <w:tab/>
      </w:r>
      <w:r w:rsidRPr="00306DEE">
        <w:rPr>
          <w:color w:val="auto"/>
          <w:vertAlign w:val="superscript"/>
        </w:rPr>
        <w:t>68</w:t>
      </w:r>
      <w:r w:rsidRPr="00306DEE">
        <w:rPr>
          <w:color w:val="auto"/>
        </w:rPr>
        <w:t xml:space="preserve">Ga-PSMA-11 PET/CT and </w:t>
      </w:r>
      <w:r w:rsidRPr="00306DEE">
        <w:rPr>
          <w:color w:val="auto"/>
          <w:vertAlign w:val="superscript"/>
        </w:rPr>
        <w:t>177</w:t>
      </w:r>
      <w:r w:rsidRPr="00306DEE">
        <w:rPr>
          <w:color w:val="auto"/>
        </w:rPr>
        <w:t xml:space="preserve">Lu-PSMA-617 results in superior effectiveness compared with cabazitaxel among patients with </w:t>
      </w:r>
      <w:proofErr w:type="spellStart"/>
      <w:r w:rsidRPr="00306DEE">
        <w:rPr>
          <w:color w:val="auto"/>
        </w:rPr>
        <w:t>mCRPC</w:t>
      </w:r>
      <w:proofErr w:type="spellEnd"/>
      <w:r w:rsidRPr="00306DEE">
        <w:rPr>
          <w:color w:val="auto"/>
        </w:rPr>
        <w:t xml:space="preserve"> who have an </w:t>
      </w:r>
      <w:proofErr w:type="spellStart"/>
      <w:r w:rsidRPr="00306DEE">
        <w:rPr>
          <w:color w:val="auto"/>
        </w:rPr>
        <w:t>SUV</w:t>
      </w:r>
      <w:r w:rsidRPr="00306DEE">
        <w:rPr>
          <w:color w:val="auto"/>
          <w:vertAlign w:val="subscript"/>
        </w:rPr>
        <w:t>max</w:t>
      </w:r>
      <w:proofErr w:type="spellEnd"/>
      <w:r w:rsidRPr="00306DEE">
        <w:rPr>
          <w:color w:val="auto"/>
        </w:rPr>
        <w:t xml:space="preserve"> ≥20 at the disease site and &gt;10 at all measurable sites of metastatic disease with no with PSMA-negative/FDG-positive discordant disease. </w:t>
      </w:r>
      <w:r>
        <w:rPr>
          <w:color w:val="auto"/>
        </w:rPr>
        <w:t>The Commentary noted t</w:t>
      </w:r>
      <w:r w:rsidRPr="00306DEE">
        <w:rPr>
          <w:color w:val="auto"/>
        </w:rPr>
        <w:t xml:space="preserve">his has been accepted by MSAC for outcomes other than OS. MSAC considered that </w:t>
      </w:r>
      <w:r w:rsidRPr="00306DEE">
        <w:rPr>
          <w:color w:val="auto"/>
          <w:vertAlign w:val="superscript"/>
        </w:rPr>
        <w:t>177</w:t>
      </w:r>
      <w:r w:rsidRPr="00306DEE">
        <w:rPr>
          <w:color w:val="auto"/>
        </w:rPr>
        <w:t xml:space="preserve">Lu PSMA-617 (and thus </w:t>
      </w:r>
      <w:r w:rsidRPr="00306DEE">
        <w:rPr>
          <w:color w:val="auto"/>
          <w:vertAlign w:val="superscript"/>
        </w:rPr>
        <w:t>177</w:t>
      </w:r>
      <w:r w:rsidRPr="00306DEE">
        <w:rPr>
          <w:color w:val="auto"/>
        </w:rPr>
        <w:t xml:space="preserve">Lu PSMA </w:t>
      </w:r>
      <w:proofErr w:type="spellStart"/>
      <w:r w:rsidRPr="00306DEE">
        <w:rPr>
          <w:color w:val="auto"/>
        </w:rPr>
        <w:t>i&amp;t</w:t>
      </w:r>
      <w:proofErr w:type="spellEnd"/>
      <w:r w:rsidRPr="00306DEE">
        <w:rPr>
          <w:color w:val="auto"/>
        </w:rPr>
        <w:t xml:space="preserve">) is superior for PSA response, overall response rate, PFS, and several quality of life domains and patient reported outcomes (e.g. pain scores) compared with cabazitaxel; MSAC considered that </w:t>
      </w:r>
      <w:r w:rsidRPr="00306DEE">
        <w:rPr>
          <w:color w:val="auto"/>
          <w:vertAlign w:val="superscript"/>
        </w:rPr>
        <w:t>177</w:t>
      </w:r>
      <w:r w:rsidRPr="00306DEE">
        <w:rPr>
          <w:color w:val="auto"/>
        </w:rPr>
        <w:t xml:space="preserve">Lu PSMA-617 (and thus </w:t>
      </w:r>
      <w:r w:rsidRPr="00306DEE">
        <w:rPr>
          <w:color w:val="auto"/>
          <w:vertAlign w:val="superscript"/>
        </w:rPr>
        <w:t>177</w:t>
      </w:r>
      <w:r w:rsidRPr="00306DEE">
        <w:rPr>
          <w:color w:val="auto"/>
        </w:rPr>
        <w:t xml:space="preserve">Lu PSMA </w:t>
      </w:r>
      <w:proofErr w:type="spellStart"/>
      <w:r w:rsidRPr="00306DEE">
        <w:rPr>
          <w:color w:val="auto"/>
        </w:rPr>
        <w:t>i&amp;t</w:t>
      </w:r>
      <w:proofErr w:type="spellEnd"/>
      <w:r w:rsidRPr="00306DEE">
        <w:rPr>
          <w:color w:val="auto"/>
        </w:rPr>
        <w:t>) has similar OS at three years compared with cabazitaxel (MSAC 1686 July 2022 PSD, p5).</w:t>
      </w:r>
    </w:p>
    <w:p w14:paraId="54A1C5A1" w14:textId="5D9FE8D6" w:rsidR="00306DEE" w:rsidRPr="00306DEE" w:rsidRDefault="00306DEE" w:rsidP="00C26822">
      <w:pPr>
        <w:pStyle w:val="Instructionaltext"/>
        <w:spacing w:after="240"/>
        <w:ind w:left="284" w:hanging="284"/>
        <w:rPr>
          <w:color w:val="auto"/>
        </w:rPr>
      </w:pPr>
      <w:r w:rsidRPr="00306DEE">
        <w:rPr>
          <w:color w:val="auto"/>
        </w:rPr>
        <w:lastRenderedPageBreak/>
        <w:t>•</w:t>
      </w:r>
      <w:r w:rsidRPr="00306DEE">
        <w:rPr>
          <w:color w:val="auto"/>
        </w:rPr>
        <w:tab/>
      </w:r>
      <w:r w:rsidRPr="00306DEE">
        <w:rPr>
          <w:color w:val="auto"/>
          <w:vertAlign w:val="superscript"/>
        </w:rPr>
        <w:t>68</w:t>
      </w:r>
      <w:r w:rsidRPr="00306DEE">
        <w:rPr>
          <w:color w:val="auto"/>
        </w:rPr>
        <w:t xml:space="preserve">Ga-PSMA-11 PET/CT and </w:t>
      </w:r>
      <w:r w:rsidRPr="00306DEE">
        <w:rPr>
          <w:color w:val="auto"/>
          <w:vertAlign w:val="superscript"/>
        </w:rPr>
        <w:t>177</w:t>
      </w:r>
      <w:r w:rsidRPr="00306DEE">
        <w:rPr>
          <w:color w:val="auto"/>
        </w:rPr>
        <w:t xml:space="preserve">Lu-PSMA-617 results in superior effectiveness compared with best supportive care. </w:t>
      </w:r>
      <w:r>
        <w:rPr>
          <w:color w:val="auto"/>
        </w:rPr>
        <w:t>The Commentary noted t</w:t>
      </w:r>
      <w:r w:rsidRPr="00306DEE">
        <w:rPr>
          <w:color w:val="auto"/>
        </w:rPr>
        <w:t xml:space="preserve">his has been accepted by MSAC. MSAC considered that </w:t>
      </w:r>
      <w:r w:rsidRPr="00306DEE">
        <w:rPr>
          <w:color w:val="auto"/>
          <w:vertAlign w:val="superscript"/>
        </w:rPr>
        <w:t>177</w:t>
      </w:r>
      <w:r w:rsidRPr="00306DEE">
        <w:rPr>
          <w:color w:val="auto"/>
        </w:rPr>
        <w:t xml:space="preserve">Lu PSMA-617 (and thus </w:t>
      </w:r>
      <w:r w:rsidRPr="00306DEE">
        <w:rPr>
          <w:color w:val="auto"/>
          <w:vertAlign w:val="superscript"/>
        </w:rPr>
        <w:t>177</w:t>
      </w:r>
      <w:r w:rsidRPr="00306DEE">
        <w:rPr>
          <w:color w:val="auto"/>
        </w:rPr>
        <w:t xml:space="preserve">Lu PSMA </w:t>
      </w:r>
      <w:proofErr w:type="spellStart"/>
      <w:r w:rsidRPr="00306DEE">
        <w:rPr>
          <w:color w:val="auto"/>
        </w:rPr>
        <w:t>i&amp;t</w:t>
      </w:r>
      <w:proofErr w:type="spellEnd"/>
      <w:r w:rsidRPr="00306DEE">
        <w:rPr>
          <w:color w:val="auto"/>
        </w:rPr>
        <w:t xml:space="preserve">) is superior for PSA response, overall response rate, PFS, and several quality of life domains and patient reported outcomes (e.g. pain scores) compared with best supportive care; MSAC also considered that </w:t>
      </w:r>
      <w:r w:rsidRPr="00306DEE">
        <w:rPr>
          <w:color w:val="auto"/>
          <w:vertAlign w:val="superscript"/>
        </w:rPr>
        <w:t>177</w:t>
      </w:r>
      <w:r w:rsidRPr="00306DEE">
        <w:rPr>
          <w:color w:val="auto"/>
        </w:rPr>
        <w:t xml:space="preserve">Lu PSMA-617 (and thus </w:t>
      </w:r>
      <w:r w:rsidRPr="00306DEE">
        <w:rPr>
          <w:color w:val="auto"/>
          <w:vertAlign w:val="superscript"/>
        </w:rPr>
        <w:t>177</w:t>
      </w:r>
      <w:r w:rsidRPr="00306DEE">
        <w:rPr>
          <w:color w:val="auto"/>
        </w:rPr>
        <w:t xml:space="preserve">Lu PSMA </w:t>
      </w:r>
      <w:proofErr w:type="spellStart"/>
      <w:r w:rsidRPr="00306DEE">
        <w:rPr>
          <w:color w:val="auto"/>
        </w:rPr>
        <w:t>i&amp;t</w:t>
      </w:r>
      <w:proofErr w:type="spellEnd"/>
      <w:r w:rsidRPr="00306DEE">
        <w:rPr>
          <w:color w:val="auto"/>
        </w:rPr>
        <w:t>) is superior to best supportive care for median OS (MSAC 1686 July 2022 PSD, p5).</w:t>
      </w:r>
    </w:p>
    <w:p w14:paraId="5D27985D" w14:textId="408CA76A" w:rsidR="00306DEE" w:rsidRPr="00306DEE" w:rsidRDefault="00306DEE" w:rsidP="00C26822">
      <w:pPr>
        <w:pStyle w:val="Instructionaltext"/>
        <w:spacing w:after="240"/>
        <w:ind w:left="284" w:hanging="284"/>
        <w:rPr>
          <w:color w:val="auto"/>
        </w:rPr>
      </w:pPr>
      <w:r w:rsidRPr="00306DEE">
        <w:rPr>
          <w:color w:val="auto"/>
        </w:rPr>
        <w:t>•</w:t>
      </w:r>
      <w:r w:rsidRPr="00306DEE">
        <w:rPr>
          <w:color w:val="auto"/>
        </w:rPr>
        <w:tab/>
      </w:r>
      <w:r w:rsidRPr="00306DEE">
        <w:rPr>
          <w:color w:val="auto"/>
          <w:vertAlign w:val="superscript"/>
        </w:rPr>
        <w:t>68</w:t>
      </w:r>
      <w:r w:rsidRPr="00306DEE">
        <w:rPr>
          <w:color w:val="auto"/>
        </w:rPr>
        <w:t xml:space="preserve">Ga-PSMA-11 PET/CT and </w:t>
      </w:r>
      <w:r w:rsidRPr="00306DEE">
        <w:rPr>
          <w:color w:val="auto"/>
          <w:vertAlign w:val="superscript"/>
        </w:rPr>
        <w:t>177</w:t>
      </w:r>
      <w:r w:rsidRPr="00306DEE">
        <w:rPr>
          <w:color w:val="auto"/>
        </w:rPr>
        <w:t xml:space="preserve">Lu-PSMA-617 results in superior safety compared with cabazitaxel among patients with </w:t>
      </w:r>
      <w:proofErr w:type="spellStart"/>
      <w:r w:rsidRPr="00306DEE">
        <w:rPr>
          <w:color w:val="auto"/>
        </w:rPr>
        <w:t>SUV</w:t>
      </w:r>
      <w:r w:rsidRPr="00306DEE">
        <w:rPr>
          <w:color w:val="auto"/>
          <w:vertAlign w:val="subscript"/>
        </w:rPr>
        <w:t>max</w:t>
      </w:r>
      <w:proofErr w:type="spellEnd"/>
      <w:r w:rsidRPr="00306DEE">
        <w:rPr>
          <w:color w:val="auto"/>
        </w:rPr>
        <w:t xml:space="preserve"> uptake greater than that of liver parenchyma in one or more metastatic lesions of any size in any organ system. </w:t>
      </w:r>
      <w:r>
        <w:rPr>
          <w:color w:val="auto"/>
        </w:rPr>
        <w:t>The Commentary noted t</w:t>
      </w:r>
      <w:r w:rsidRPr="00306DEE">
        <w:rPr>
          <w:color w:val="auto"/>
        </w:rPr>
        <w:t>h</w:t>
      </w:r>
      <w:r>
        <w:rPr>
          <w:color w:val="auto"/>
        </w:rPr>
        <w:t xml:space="preserve">at </w:t>
      </w:r>
      <w:r w:rsidRPr="00306DEE">
        <w:rPr>
          <w:color w:val="auto"/>
        </w:rPr>
        <w:t xml:space="preserve">MSAC considered that the different short-term side-effect profiles of </w:t>
      </w:r>
      <w:r w:rsidRPr="00306DEE">
        <w:rPr>
          <w:color w:val="auto"/>
          <w:vertAlign w:val="superscript"/>
        </w:rPr>
        <w:t>177</w:t>
      </w:r>
      <w:r w:rsidRPr="00306DEE">
        <w:rPr>
          <w:color w:val="auto"/>
        </w:rPr>
        <w:t xml:space="preserve">Lu PSMA-617 and cabazitaxel made direct comparison difficult (e.g. diarrhoea is worse with cabazitaxel) but that the safety of </w:t>
      </w:r>
      <w:r w:rsidRPr="00306DEE">
        <w:rPr>
          <w:color w:val="auto"/>
          <w:vertAlign w:val="superscript"/>
        </w:rPr>
        <w:t>177</w:t>
      </w:r>
      <w:r w:rsidRPr="00306DEE">
        <w:rPr>
          <w:color w:val="auto"/>
        </w:rPr>
        <w:t xml:space="preserve">Lu PSMA-617 (and thus </w:t>
      </w:r>
      <w:r w:rsidRPr="00306DEE">
        <w:rPr>
          <w:color w:val="auto"/>
          <w:vertAlign w:val="superscript"/>
        </w:rPr>
        <w:t>177</w:t>
      </w:r>
      <w:r w:rsidRPr="00306DEE">
        <w:rPr>
          <w:color w:val="auto"/>
        </w:rPr>
        <w:t xml:space="preserve">Lu PSMA </w:t>
      </w:r>
      <w:proofErr w:type="spellStart"/>
      <w:r w:rsidRPr="00306DEE">
        <w:rPr>
          <w:color w:val="auto"/>
        </w:rPr>
        <w:t>i&amp;t</w:t>
      </w:r>
      <w:proofErr w:type="spellEnd"/>
      <w:r w:rsidRPr="00306DEE">
        <w:rPr>
          <w:color w:val="auto"/>
        </w:rPr>
        <w:t xml:space="preserve">) is at least noninferior (and likely superior as claimed) to cabazitaxel (MSAC 1686 July 2022 PSD, p5).  </w:t>
      </w:r>
    </w:p>
    <w:p w14:paraId="65BB41DD" w14:textId="00A02FF9" w:rsidR="00306DEE" w:rsidRPr="00F823FC" w:rsidRDefault="00306DEE" w:rsidP="007425AC">
      <w:pPr>
        <w:pStyle w:val="Instructionaltext"/>
        <w:ind w:left="284" w:hanging="284"/>
        <w:rPr>
          <w:color w:val="auto"/>
        </w:rPr>
      </w:pPr>
      <w:r w:rsidRPr="00306DEE">
        <w:rPr>
          <w:color w:val="auto"/>
        </w:rPr>
        <w:t>•</w:t>
      </w:r>
      <w:r w:rsidRPr="00306DEE">
        <w:rPr>
          <w:color w:val="auto"/>
        </w:rPr>
        <w:tab/>
      </w:r>
      <w:r w:rsidRPr="00306DEE">
        <w:rPr>
          <w:color w:val="auto"/>
          <w:vertAlign w:val="superscript"/>
        </w:rPr>
        <w:t>68</w:t>
      </w:r>
      <w:r w:rsidRPr="00306DEE">
        <w:rPr>
          <w:color w:val="auto"/>
        </w:rPr>
        <w:t xml:space="preserve">Ga-PSMA-11 PET/CT and </w:t>
      </w:r>
      <w:r w:rsidRPr="00306DEE">
        <w:rPr>
          <w:color w:val="auto"/>
          <w:vertAlign w:val="superscript"/>
        </w:rPr>
        <w:t>177</w:t>
      </w:r>
      <w:r w:rsidRPr="00306DEE">
        <w:rPr>
          <w:color w:val="auto"/>
        </w:rPr>
        <w:t xml:space="preserve">Lu-PSMA-617 has an inferior safety compared with best supportive care. The safety profile was however manageable compared to the comparator arm. </w:t>
      </w:r>
      <w:r>
        <w:rPr>
          <w:color w:val="auto"/>
        </w:rPr>
        <w:t xml:space="preserve">The Commentary noted </w:t>
      </w:r>
      <w:r w:rsidRPr="00306DEE">
        <w:rPr>
          <w:color w:val="auto"/>
        </w:rPr>
        <w:t xml:space="preserve">MSAC considered that </w:t>
      </w:r>
      <w:r w:rsidRPr="00306DEE">
        <w:rPr>
          <w:color w:val="auto"/>
          <w:vertAlign w:val="superscript"/>
        </w:rPr>
        <w:t>177</w:t>
      </w:r>
      <w:r w:rsidRPr="00306DEE">
        <w:rPr>
          <w:color w:val="auto"/>
        </w:rPr>
        <w:t xml:space="preserve">Lu PSMA-617 (and thus </w:t>
      </w:r>
      <w:r w:rsidR="003052E9">
        <w:rPr>
          <w:color w:val="auto"/>
        </w:rPr>
        <w:br/>
      </w:r>
      <w:r w:rsidRPr="00306DEE">
        <w:rPr>
          <w:color w:val="auto"/>
          <w:vertAlign w:val="superscript"/>
        </w:rPr>
        <w:t>177</w:t>
      </w:r>
      <w:r w:rsidRPr="00306DEE">
        <w:rPr>
          <w:color w:val="auto"/>
        </w:rPr>
        <w:t xml:space="preserve">Lu PSMA </w:t>
      </w:r>
      <w:proofErr w:type="spellStart"/>
      <w:r w:rsidRPr="00306DEE">
        <w:rPr>
          <w:color w:val="auto"/>
        </w:rPr>
        <w:t>i&amp;t</w:t>
      </w:r>
      <w:proofErr w:type="spellEnd"/>
      <w:r w:rsidRPr="00306DEE">
        <w:rPr>
          <w:color w:val="auto"/>
        </w:rPr>
        <w:t xml:space="preserve">) is inferior in safety compared with best supportive care, as there were more short-term AEs for </w:t>
      </w:r>
      <w:r w:rsidRPr="00306DEE">
        <w:rPr>
          <w:color w:val="auto"/>
          <w:vertAlign w:val="superscript"/>
        </w:rPr>
        <w:t>177</w:t>
      </w:r>
      <w:r w:rsidRPr="00306DEE">
        <w:rPr>
          <w:color w:val="auto"/>
        </w:rPr>
        <w:t>Lu PSMA-617 in the [VISION] trial (MSAC 1686 July 2022 PSD, p5).</w:t>
      </w:r>
    </w:p>
    <w:p w14:paraId="0D09C9E4" w14:textId="69D9904F" w:rsidR="00772829" w:rsidRPr="00CE28E3" w:rsidRDefault="00C36633" w:rsidP="002A18BE">
      <w:pPr>
        <w:pStyle w:val="Heading2"/>
        <w:numPr>
          <w:ilvl w:val="0"/>
          <w:numId w:val="0"/>
        </w:numPr>
      </w:pPr>
      <w:bookmarkStart w:id="33" w:name="_Toc69491425"/>
      <w:r>
        <w:t>1</w:t>
      </w:r>
      <w:r w:rsidR="00AE7DDB">
        <w:t>3</w:t>
      </w:r>
      <w:r>
        <w:t>.</w:t>
      </w:r>
      <w:r>
        <w:tab/>
      </w:r>
      <w:r w:rsidR="00772829" w:rsidRPr="00CE28E3">
        <w:t>Economic evaluation</w:t>
      </w:r>
      <w:bookmarkEnd w:id="33"/>
    </w:p>
    <w:p w14:paraId="095F500B" w14:textId="60890998" w:rsidR="00D716EB" w:rsidRDefault="008A57F6" w:rsidP="00C26822">
      <w:pPr>
        <w:spacing w:after="240"/>
      </w:pPr>
      <w:r>
        <w:t xml:space="preserve">A cost-utility analysis was performed using a </w:t>
      </w:r>
      <w:r w:rsidR="00D716EB">
        <w:t xml:space="preserve">hybrid model approach which included a decision tree and </w:t>
      </w:r>
      <w:r>
        <w:t>p</w:t>
      </w:r>
      <w:r w:rsidRPr="002A5972">
        <w:t xml:space="preserve">artitioned survival </w:t>
      </w:r>
      <w:r w:rsidR="00D716EB">
        <w:t>model (PSM) component</w:t>
      </w:r>
      <w:r w:rsidR="00E07E8E">
        <w:t>.</w:t>
      </w:r>
      <w:r w:rsidR="00D716EB">
        <w:t xml:space="preserve"> The decision tree captures the </w:t>
      </w:r>
      <w:r w:rsidR="00D716EB" w:rsidRPr="00D716EB">
        <w:t xml:space="preserve">proportion of patients who receive </w:t>
      </w:r>
      <w:r w:rsidR="00D716EB">
        <w:rPr>
          <w:vertAlign w:val="superscript"/>
        </w:rPr>
        <w:t>68</w:t>
      </w:r>
      <w:r w:rsidR="00D716EB" w:rsidRPr="00D716EB">
        <w:t xml:space="preserve">Ga-PSMA-11 PET/CT imaging and are detected positive for at least one PSMA metastatic and no PSMA negative lesions who then become eligible </w:t>
      </w:r>
      <w:r w:rsidR="00D716EB">
        <w:t xml:space="preserve">(90%) </w:t>
      </w:r>
      <w:r w:rsidR="00D716EB" w:rsidRPr="00D716EB">
        <w:t xml:space="preserve">to receive </w:t>
      </w:r>
      <w:r w:rsidR="00D716EB" w:rsidRPr="00D716EB">
        <w:rPr>
          <w:vertAlign w:val="superscript"/>
        </w:rPr>
        <w:t>177</w:t>
      </w:r>
      <w:r w:rsidR="00D716EB" w:rsidRPr="00D716EB">
        <w:t>Lu-PSMA-617 therapy and enter the partitioned survival model.</w:t>
      </w:r>
      <w:r w:rsidR="00E07E8E">
        <w:t xml:space="preserve"> </w:t>
      </w:r>
    </w:p>
    <w:p w14:paraId="482CB3FF" w14:textId="3E20C1CB" w:rsidR="00D42EEE" w:rsidRDefault="00E07E8E" w:rsidP="00C26822">
      <w:pPr>
        <w:spacing w:after="240"/>
        <w:rPr>
          <w:rFonts w:cs="Cambria Math"/>
          <w:i/>
          <w:iCs/>
          <w:szCs w:val="20"/>
        </w:rPr>
      </w:pPr>
      <w:r>
        <w:t>Two models were generated – one</w:t>
      </w:r>
      <w:r w:rsidR="008A57F6">
        <w:t xml:space="preserve"> using data from VISION </w:t>
      </w:r>
      <w:r w:rsidR="008A57F6">
        <w:rPr>
          <w:rFonts w:cs="Cambria Math"/>
          <w:szCs w:val="20"/>
        </w:rPr>
        <w:fldChar w:fldCharType="begin">
          <w:fldData xml:space="preserve">PEVuZE5vdGU+PENpdGU+PEF1dGhvcj5TYXJ0b3I8L0F1dGhvcj48WWVhcj4yMDIxPC9ZZWFyPjxS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</w:fldData>
        </w:fldChar>
      </w:r>
      <w:r w:rsidR="008A57F6">
        <w:rPr>
          <w:rFonts w:cs="Cambria Math"/>
          <w:szCs w:val="20"/>
        </w:rPr>
        <w:instrText xml:space="preserve"> ADDIN EN.CITE </w:instrText>
      </w:r>
      <w:r w:rsidR="008A57F6">
        <w:rPr>
          <w:rFonts w:cs="Cambria Math"/>
          <w:szCs w:val="20"/>
        </w:rPr>
        <w:fldChar w:fldCharType="begin">
          <w:fldData xml:space="preserve">PEVuZE5vdGU+PENpdGU+PEF1dGhvcj5TYXJ0b3I8L0F1dGhvcj48WWVhcj4yMDIxPC9ZZWFyPjxS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</w:fldData>
        </w:fldChar>
      </w:r>
      <w:r w:rsidR="008A57F6">
        <w:rPr>
          <w:rFonts w:cs="Cambria Math"/>
          <w:szCs w:val="20"/>
        </w:rPr>
        <w:instrText xml:space="preserve"> ADDIN EN.CITE.DATA </w:instrText>
      </w:r>
      <w:r w:rsidR="008A57F6">
        <w:rPr>
          <w:rFonts w:cs="Cambria Math"/>
          <w:szCs w:val="20"/>
        </w:rPr>
      </w:r>
      <w:r w:rsidR="008A57F6">
        <w:rPr>
          <w:rFonts w:cs="Cambria Math"/>
          <w:szCs w:val="20"/>
        </w:rPr>
        <w:fldChar w:fldCharType="end"/>
      </w:r>
      <w:r w:rsidR="008A57F6">
        <w:rPr>
          <w:rFonts w:cs="Cambria Math"/>
          <w:szCs w:val="20"/>
        </w:rPr>
      </w:r>
      <w:r w:rsidR="008A57F6">
        <w:rPr>
          <w:rFonts w:cs="Cambria Math"/>
          <w:szCs w:val="20"/>
        </w:rPr>
        <w:fldChar w:fldCharType="separate"/>
      </w:r>
      <w:r w:rsidR="008A57F6">
        <w:rPr>
          <w:rFonts w:cs="Cambria Math"/>
          <w:szCs w:val="20"/>
        </w:rPr>
        <w:t>(Sartor et al., 2021)</w:t>
      </w:r>
      <w:r w:rsidR="008A57F6">
        <w:rPr>
          <w:rFonts w:cs="Cambria Math"/>
          <w:szCs w:val="20"/>
        </w:rPr>
        <w:fldChar w:fldCharType="end"/>
      </w:r>
      <w:r w:rsidR="008A57F6">
        <w:rPr>
          <w:rFonts w:cs="Cambria Math"/>
          <w:szCs w:val="20"/>
        </w:rPr>
        <w:t xml:space="preserve"> and </w:t>
      </w:r>
      <w:r>
        <w:rPr>
          <w:rFonts w:cs="Cambria Math"/>
          <w:szCs w:val="20"/>
        </w:rPr>
        <w:t xml:space="preserve">the other using data from </w:t>
      </w:r>
      <w:proofErr w:type="spellStart"/>
      <w:r w:rsidR="008A57F6">
        <w:rPr>
          <w:rFonts w:cs="Cambria Math"/>
          <w:szCs w:val="20"/>
        </w:rPr>
        <w:t>TheraP</w:t>
      </w:r>
      <w:proofErr w:type="spellEnd"/>
      <w:r w:rsidR="008A57F6">
        <w:rPr>
          <w:rFonts w:cs="Cambria Math"/>
          <w:szCs w:val="20"/>
        </w:rPr>
        <w:t xml:space="preserve"> </w:t>
      </w:r>
      <w:r w:rsidR="008A57F6">
        <w:rPr>
          <w:rFonts w:cs="Cambria Math"/>
          <w:szCs w:val="20"/>
        </w:rPr>
        <w:fldChar w:fldCharType="begin">
          <w:fldData xml:space="preserve">PEVuZE5vdGU+PENpdGU+PEF1dGhvcj5Ib2ZtYW48L0F1dGhvcj48WWVhcj4yMDIxPC9ZZWFyPjxS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</w:fldData>
        </w:fldChar>
      </w:r>
      <w:r w:rsidR="008A57F6">
        <w:rPr>
          <w:rFonts w:cs="Cambria Math"/>
          <w:szCs w:val="20"/>
        </w:rPr>
        <w:instrText xml:space="preserve"> ADDIN EN.CITE </w:instrText>
      </w:r>
      <w:r w:rsidR="008A57F6">
        <w:rPr>
          <w:rFonts w:cs="Cambria Math"/>
          <w:szCs w:val="20"/>
        </w:rPr>
        <w:fldChar w:fldCharType="begin">
          <w:fldData xml:space="preserve">PEVuZE5vdGU+PENpdGU+PEF1dGhvcj5Ib2ZtYW48L0F1dGhvcj48WWVhcj4yMDIxPC9ZZWFyPjxS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</w:fldData>
        </w:fldChar>
      </w:r>
      <w:r w:rsidR="008A57F6">
        <w:rPr>
          <w:rFonts w:cs="Cambria Math"/>
          <w:szCs w:val="20"/>
        </w:rPr>
        <w:instrText xml:space="preserve"> ADDIN EN.CITE.DATA </w:instrText>
      </w:r>
      <w:r w:rsidR="008A57F6">
        <w:rPr>
          <w:rFonts w:cs="Cambria Math"/>
          <w:szCs w:val="20"/>
        </w:rPr>
      </w:r>
      <w:r w:rsidR="008A57F6">
        <w:rPr>
          <w:rFonts w:cs="Cambria Math"/>
          <w:szCs w:val="20"/>
        </w:rPr>
        <w:fldChar w:fldCharType="end"/>
      </w:r>
      <w:r w:rsidR="008A57F6">
        <w:rPr>
          <w:rFonts w:cs="Cambria Math"/>
          <w:szCs w:val="20"/>
        </w:rPr>
      </w:r>
      <w:r w:rsidR="008A57F6">
        <w:rPr>
          <w:rFonts w:cs="Cambria Math"/>
          <w:szCs w:val="20"/>
        </w:rPr>
        <w:fldChar w:fldCharType="separate"/>
      </w:r>
      <w:r w:rsidR="008A57F6">
        <w:rPr>
          <w:rFonts w:cs="Cambria Math"/>
          <w:szCs w:val="20"/>
        </w:rPr>
        <w:t>(Hofman et al., 2021)</w:t>
      </w:r>
      <w:r w:rsidR="008A57F6">
        <w:rPr>
          <w:rFonts w:cs="Cambria Math"/>
          <w:szCs w:val="20"/>
        </w:rPr>
        <w:fldChar w:fldCharType="end"/>
      </w:r>
      <w:r w:rsidR="008A57F6">
        <w:rPr>
          <w:rFonts w:cs="Cambria Math"/>
          <w:szCs w:val="20"/>
        </w:rPr>
        <w:t>.</w:t>
      </w:r>
      <w:r w:rsidR="00252880">
        <w:rPr>
          <w:rFonts w:cs="Cambria Math"/>
          <w:szCs w:val="20"/>
        </w:rPr>
        <w:t xml:space="preserve"> </w:t>
      </w:r>
      <w:r>
        <w:rPr>
          <w:rFonts w:cs="Cambria Math"/>
          <w:szCs w:val="20"/>
        </w:rPr>
        <w:t xml:space="preserve">The base case was generated </w:t>
      </w:r>
      <w:r>
        <w:t xml:space="preserve">using a weighted comparator of 75% cabazitaxel (based on the </w:t>
      </w:r>
      <w:proofErr w:type="spellStart"/>
      <w:r>
        <w:t>TheraP</w:t>
      </w:r>
      <w:proofErr w:type="spellEnd"/>
      <w:r>
        <w:t xml:space="preserve"> model) and 25% BSC</w:t>
      </w:r>
      <w:r w:rsidRPr="00A07816">
        <w:rPr>
          <w:rFonts w:cs="Cambria Math"/>
          <w:szCs w:val="20"/>
        </w:rPr>
        <w:t xml:space="preserve"> </w:t>
      </w:r>
      <w:r>
        <w:rPr>
          <w:rFonts w:cs="Cambria Math"/>
          <w:szCs w:val="20"/>
        </w:rPr>
        <w:t xml:space="preserve">(based on the VISION model). </w:t>
      </w:r>
      <w:r>
        <w:t xml:space="preserve">The Commentary noted that the MSAC 1686 July 2022 PSD (p6) indicates MSAC considered a comparator split of 75% best supportive care and 25% cabazitaxel to be appropriate. The models utilised the Kaplan-Meier curves for each individual arm of </w:t>
      </w:r>
      <w:r w:rsidR="00864390">
        <w:t xml:space="preserve">the </w:t>
      </w:r>
      <w:r>
        <w:t>trials, which were also all independently extrapolated using parametric curves</w:t>
      </w:r>
      <w:r w:rsidR="00D716EB">
        <w:t>. The parametric functions applied from when 10% of patients remained ‘at risk’ and continued to a</w:t>
      </w:r>
      <w:r w:rsidR="008A57F6" w:rsidRPr="00A07816">
        <w:rPr>
          <w:rFonts w:cs="Cambria Math"/>
          <w:szCs w:val="20"/>
        </w:rPr>
        <w:t xml:space="preserve"> 10-year time horizon</w:t>
      </w:r>
      <w:r w:rsidR="00D42EEE">
        <w:rPr>
          <w:rFonts w:cs="Cambria Math"/>
          <w:szCs w:val="20"/>
        </w:rPr>
        <w:t>;</w:t>
      </w:r>
      <w:r w:rsidR="008A57F6" w:rsidRPr="00A07816">
        <w:rPr>
          <w:rFonts w:cs="Cambria Math"/>
          <w:szCs w:val="20"/>
        </w:rPr>
        <w:t xml:space="preserve"> </w:t>
      </w:r>
      <w:r w:rsidR="00D42EEE">
        <w:rPr>
          <w:rFonts w:cs="Cambria Math"/>
          <w:szCs w:val="20"/>
        </w:rPr>
        <w:t>t</w:t>
      </w:r>
      <w:r w:rsidR="008A57F6" w:rsidRPr="0049584B">
        <w:rPr>
          <w:rFonts w:cs="Cambria Math"/>
          <w:szCs w:val="20"/>
        </w:rPr>
        <w:t xml:space="preserve">he </w:t>
      </w:r>
      <w:r w:rsidR="008A57F6">
        <w:rPr>
          <w:rFonts w:cs="Cambria Math"/>
          <w:szCs w:val="20"/>
        </w:rPr>
        <w:t xml:space="preserve">Commentary considered that the </w:t>
      </w:r>
      <w:r w:rsidR="008A57F6" w:rsidRPr="0049584B">
        <w:rPr>
          <w:rFonts w:cs="Cambria Math"/>
          <w:szCs w:val="20"/>
        </w:rPr>
        <w:t xml:space="preserve">time horizon </w:t>
      </w:r>
      <w:r w:rsidR="008A57F6">
        <w:rPr>
          <w:rFonts w:cs="Cambria Math"/>
          <w:szCs w:val="20"/>
        </w:rPr>
        <w:t>wa</w:t>
      </w:r>
      <w:r w:rsidR="008A57F6" w:rsidRPr="0049584B">
        <w:rPr>
          <w:rFonts w:cs="Cambria Math"/>
          <w:szCs w:val="20"/>
        </w:rPr>
        <w:t>s excessive</w:t>
      </w:r>
      <w:r w:rsidR="00D42EEE">
        <w:rPr>
          <w:rFonts w:cs="Cambria Math"/>
          <w:szCs w:val="20"/>
        </w:rPr>
        <w:t>.</w:t>
      </w:r>
      <w:r w:rsidR="008A57F6" w:rsidRPr="0049584B">
        <w:rPr>
          <w:rFonts w:cs="Cambria Math"/>
          <w:szCs w:val="20"/>
        </w:rPr>
        <w:t xml:space="preserve"> </w:t>
      </w:r>
      <w:r w:rsidR="00D42EEE" w:rsidRPr="00D42EEE">
        <w:rPr>
          <w:rFonts w:cs="Cambria Math"/>
          <w:szCs w:val="20"/>
        </w:rPr>
        <w:t xml:space="preserve">In its consideration of MSAC 1686, ESC considered that a time horizon of 5–7 years was more reasonable for the base case results of the model (MSAC 1686 July 2022 PSD, p38). The MSAC 1686.1 ADAR utilised a </w:t>
      </w:r>
      <w:proofErr w:type="gramStart"/>
      <w:r w:rsidR="00D42EEE" w:rsidRPr="00D42EEE">
        <w:rPr>
          <w:rFonts w:cs="Cambria Math"/>
          <w:szCs w:val="20"/>
        </w:rPr>
        <w:t>7.5 year</w:t>
      </w:r>
      <w:proofErr w:type="gramEnd"/>
      <w:r w:rsidR="00D42EEE" w:rsidRPr="00D42EEE">
        <w:rPr>
          <w:rFonts w:cs="Cambria Math"/>
          <w:szCs w:val="20"/>
        </w:rPr>
        <w:t xml:space="preserve"> time horizon. While agreeing with the MSAC’s preference for a 5-year horizon, ESC noted that in practice both horizons could be taken into consideration (MSAC 1686.1 July 2023 PSD, p27).</w:t>
      </w:r>
      <w:r w:rsidR="008A57F6">
        <w:rPr>
          <w:rFonts w:cs="Cambria Math"/>
          <w:i/>
          <w:iCs/>
          <w:szCs w:val="20"/>
        </w:rPr>
        <w:t xml:space="preserve"> </w:t>
      </w:r>
    </w:p>
    <w:p w14:paraId="59210F1C" w14:textId="56073544" w:rsidR="008A57F6" w:rsidRDefault="008A57F6" w:rsidP="008C5370">
      <w:r>
        <w:t xml:space="preserve">The key components of the </w:t>
      </w:r>
      <w:r w:rsidR="00D42EEE">
        <w:t xml:space="preserve">base case </w:t>
      </w:r>
      <w:r>
        <w:t xml:space="preserve">model presented in </w:t>
      </w:r>
      <w:r w:rsidR="00752A94">
        <w:t>the</w:t>
      </w:r>
      <w:r w:rsidR="00D42EEE">
        <w:t xml:space="preserve"> ADAR is summarised in</w:t>
      </w:r>
      <w:r w:rsidR="00352EBD">
        <w:t xml:space="preserve"> Table 7</w:t>
      </w:r>
      <w:r>
        <w:t>.</w:t>
      </w:r>
      <w:r w:rsidR="00864390">
        <w:t xml:space="preserve"> Many of the assumptions (comparator split) and inputs (cost of PSMA targeted therapies and utilities) were based on MSAC 1686.</w:t>
      </w:r>
    </w:p>
    <w:p w14:paraId="038A1FBD" w14:textId="4780BCC3" w:rsidR="00D42EEE" w:rsidRDefault="00D42EEE" w:rsidP="00D42EEE">
      <w:pPr>
        <w:pStyle w:val="Caption"/>
      </w:pPr>
      <w:bookmarkStart w:id="34" w:name="_Ref93232760"/>
      <w:r>
        <w:lastRenderedPageBreak/>
        <w:t>Table</w:t>
      </w:r>
      <w:r w:rsidR="00352EBD">
        <w:t xml:space="preserve"> 7</w:t>
      </w:r>
      <w:bookmarkEnd w:id="34"/>
      <w:r>
        <w:tab/>
      </w:r>
      <w:r w:rsidRPr="00356E33">
        <w:t>Key components of the economic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7558"/>
      </w:tblGrid>
      <w:tr w:rsidR="00D42EEE" w:rsidRPr="00D42EEE" w14:paraId="34487746" w14:textId="77777777">
        <w:trPr>
          <w:tblHeader/>
        </w:trPr>
        <w:tc>
          <w:tcPr>
            <w:tcW w:w="1458" w:type="dxa"/>
            <w:shd w:val="clear" w:color="auto" w:fill="D9D9D9" w:themeFill="background1" w:themeFillShade="D9"/>
          </w:tcPr>
          <w:p w14:paraId="07111C24" w14:textId="77777777" w:rsidR="00D42EEE" w:rsidRPr="00D42EEE" w:rsidRDefault="00D42EEE" w:rsidP="00D42EEE">
            <w:pPr>
              <w:pStyle w:val="TableHeading"/>
              <w:spacing w:after="0" w:line="276" w:lineRule="auto"/>
              <w:rPr>
                <w:rFonts w:cstheme="minorHAnsi"/>
                <w:szCs w:val="20"/>
              </w:rPr>
            </w:pPr>
            <w:r w:rsidRPr="00D42EEE">
              <w:rPr>
                <w:rFonts w:cstheme="minorHAnsi"/>
                <w:szCs w:val="20"/>
              </w:rPr>
              <w:t>Component</w:t>
            </w:r>
          </w:p>
        </w:tc>
        <w:tc>
          <w:tcPr>
            <w:tcW w:w="7558" w:type="dxa"/>
            <w:shd w:val="clear" w:color="auto" w:fill="D9D9D9" w:themeFill="background1" w:themeFillShade="D9"/>
          </w:tcPr>
          <w:p w14:paraId="3671514B" w14:textId="77777777" w:rsidR="00D42EEE" w:rsidRPr="00D42EEE" w:rsidRDefault="00D42EEE" w:rsidP="00D42EEE">
            <w:pPr>
              <w:pStyle w:val="TableHeading"/>
              <w:spacing w:after="0" w:line="276" w:lineRule="auto"/>
              <w:rPr>
                <w:rFonts w:cstheme="minorHAnsi"/>
                <w:szCs w:val="20"/>
              </w:rPr>
            </w:pPr>
            <w:r w:rsidRPr="00D42EEE">
              <w:rPr>
                <w:rFonts w:cstheme="minorHAnsi"/>
                <w:szCs w:val="20"/>
              </w:rPr>
              <w:t>Description</w:t>
            </w:r>
          </w:p>
        </w:tc>
      </w:tr>
      <w:tr w:rsidR="00D42EEE" w:rsidRPr="00D42EEE" w14:paraId="34F16D5C" w14:textId="77777777">
        <w:trPr>
          <w:tblHeader/>
        </w:trPr>
        <w:tc>
          <w:tcPr>
            <w:tcW w:w="1458" w:type="dxa"/>
          </w:tcPr>
          <w:p w14:paraId="5B1487C7"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Perspective</w:t>
            </w:r>
          </w:p>
        </w:tc>
        <w:tc>
          <w:tcPr>
            <w:tcW w:w="7558" w:type="dxa"/>
          </w:tcPr>
          <w:p w14:paraId="3DA9C4D8"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Health care system perspective</w:t>
            </w:r>
          </w:p>
        </w:tc>
      </w:tr>
      <w:tr w:rsidR="00D42EEE" w:rsidRPr="00D42EEE" w14:paraId="22CB73FC" w14:textId="77777777">
        <w:trPr>
          <w:tblHeader/>
        </w:trPr>
        <w:tc>
          <w:tcPr>
            <w:tcW w:w="1458" w:type="dxa"/>
          </w:tcPr>
          <w:p w14:paraId="2CFD2290"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 xml:space="preserve">Population </w:t>
            </w:r>
          </w:p>
        </w:tc>
        <w:tc>
          <w:tcPr>
            <w:tcW w:w="7558" w:type="dxa"/>
          </w:tcPr>
          <w:p w14:paraId="0623B460" w14:textId="77777777" w:rsidR="00D42EEE" w:rsidRPr="00D42EEE" w:rsidRDefault="00D42EEE" w:rsidP="00D42EEE">
            <w:pPr>
              <w:pStyle w:val="TableText"/>
              <w:keepNext/>
              <w:spacing w:before="0" w:after="0" w:line="276" w:lineRule="auto"/>
              <w:rPr>
                <w:szCs w:val="20"/>
              </w:rPr>
            </w:pPr>
            <w:r w:rsidRPr="00D42EEE">
              <w:rPr>
                <w:szCs w:val="20"/>
              </w:rPr>
              <w:t xml:space="preserve">Patients with progressive or symptomatic </w:t>
            </w:r>
            <w:proofErr w:type="spellStart"/>
            <w:r w:rsidRPr="00D42EEE">
              <w:rPr>
                <w:szCs w:val="20"/>
              </w:rPr>
              <w:t>mCRPC</w:t>
            </w:r>
            <w:proofErr w:type="spellEnd"/>
          </w:p>
        </w:tc>
      </w:tr>
      <w:tr w:rsidR="00D42EEE" w:rsidRPr="00D42EEE" w14:paraId="7ACE1B6D" w14:textId="77777777">
        <w:tc>
          <w:tcPr>
            <w:tcW w:w="1458" w:type="dxa"/>
          </w:tcPr>
          <w:p w14:paraId="722D4B5B"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Comparator</w:t>
            </w:r>
          </w:p>
        </w:tc>
        <w:tc>
          <w:tcPr>
            <w:tcW w:w="7558" w:type="dxa"/>
          </w:tcPr>
          <w:p w14:paraId="4EB0E6D5"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Cabazitaxel</w:t>
            </w:r>
          </w:p>
          <w:p w14:paraId="73944E1F" w14:textId="77777777" w:rsidR="00D42EEE" w:rsidRPr="00D42EEE" w:rsidRDefault="00D42EEE" w:rsidP="00D42EEE">
            <w:pPr>
              <w:pStyle w:val="TableText"/>
              <w:keepNext/>
              <w:spacing w:before="0" w:after="0" w:line="276" w:lineRule="auto"/>
              <w:rPr>
                <w:szCs w:val="20"/>
              </w:rPr>
            </w:pPr>
            <w:r w:rsidRPr="00D42EEE">
              <w:rPr>
                <w:szCs w:val="20"/>
              </w:rPr>
              <w:t>BSC</w:t>
            </w:r>
          </w:p>
          <w:p w14:paraId="1B85E5D0" w14:textId="7E1CA67F" w:rsidR="00D42EEE" w:rsidRPr="00D42EEE" w:rsidRDefault="00D42EEE" w:rsidP="00D42EEE">
            <w:pPr>
              <w:pStyle w:val="TableText"/>
              <w:keepNext/>
              <w:spacing w:before="0" w:after="0" w:line="276" w:lineRule="auto"/>
              <w:rPr>
                <w:rFonts w:cstheme="minorHAnsi"/>
                <w:i/>
                <w:iCs/>
                <w:szCs w:val="20"/>
              </w:rPr>
            </w:pPr>
            <w:r w:rsidRPr="00D42EEE">
              <w:rPr>
                <w:rFonts w:cstheme="minorHAnsi"/>
                <w:szCs w:val="20"/>
              </w:rPr>
              <w:t xml:space="preserve">Weighted comparator of 75% cabazitaxel and 25% BSC. </w:t>
            </w:r>
          </w:p>
        </w:tc>
      </w:tr>
      <w:tr w:rsidR="00D42EEE" w:rsidRPr="00D42EEE" w14:paraId="5E4EBA5B" w14:textId="77777777">
        <w:tc>
          <w:tcPr>
            <w:tcW w:w="1458" w:type="dxa"/>
          </w:tcPr>
          <w:p w14:paraId="4FFF0DA6"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Type(s) of analysis</w:t>
            </w:r>
          </w:p>
        </w:tc>
        <w:tc>
          <w:tcPr>
            <w:tcW w:w="7558" w:type="dxa"/>
          </w:tcPr>
          <w:p w14:paraId="06BB6643"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Cost-utility analysis</w:t>
            </w:r>
          </w:p>
        </w:tc>
      </w:tr>
      <w:tr w:rsidR="00D42EEE" w:rsidRPr="00D42EEE" w14:paraId="44E5C65A" w14:textId="77777777">
        <w:tc>
          <w:tcPr>
            <w:tcW w:w="1458" w:type="dxa"/>
          </w:tcPr>
          <w:p w14:paraId="0D5020BC"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Outcomes</w:t>
            </w:r>
          </w:p>
        </w:tc>
        <w:tc>
          <w:tcPr>
            <w:tcW w:w="7558" w:type="dxa"/>
          </w:tcPr>
          <w:p w14:paraId="56048072" w14:textId="77777777" w:rsidR="00D42EEE" w:rsidRPr="00D42EEE" w:rsidRDefault="00D42EEE" w:rsidP="00D42EEE">
            <w:pPr>
              <w:pStyle w:val="TableText"/>
              <w:keepNext/>
              <w:spacing w:before="0" w:after="0" w:line="276" w:lineRule="auto"/>
              <w:rPr>
                <w:szCs w:val="20"/>
              </w:rPr>
            </w:pPr>
            <w:r w:rsidRPr="00D42EEE">
              <w:rPr>
                <w:szCs w:val="20"/>
              </w:rPr>
              <w:t>• QALYs</w:t>
            </w:r>
          </w:p>
          <w:p w14:paraId="05C07F71" w14:textId="77777777" w:rsidR="00D42EEE" w:rsidRPr="00D42EEE" w:rsidRDefault="00D42EEE" w:rsidP="00D42EEE">
            <w:pPr>
              <w:pStyle w:val="TableText"/>
              <w:keepNext/>
              <w:spacing w:before="0" w:after="0" w:line="276" w:lineRule="auto"/>
              <w:rPr>
                <w:szCs w:val="20"/>
              </w:rPr>
            </w:pPr>
            <w:r w:rsidRPr="00D42EEE">
              <w:rPr>
                <w:szCs w:val="20"/>
              </w:rPr>
              <w:t>• LYs</w:t>
            </w:r>
          </w:p>
        </w:tc>
      </w:tr>
      <w:tr w:rsidR="00D42EEE" w:rsidRPr="00D42EEE" w14:paraId="77880177" w14:textId="77777777">
        <w:tc>
          <w:tcPr>
            <w:tcW w:w="1458" w:type="dxa"/>
          </w:tcPr>
          <w:p w14:paraId="3DF73C4B"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Time horizon</w:t>
            </w:r>
          </w:p>
        </w:tc>
        <w:tc>
          <w:tcPr>
            <w:tcW w:w="7558" w:type="dxa"/>
          </w:tcPr>
          <w:p w14:paraId="50D0DBAB" w14:textId="2C2C3F43"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 xml:space="preserve">10 years in base-case </w:t>
            </w:r>
          </w:p>
        </w:tc>
      </w:tr>
      <w:tr w:rsidR="00D42EEE" w:rsidRPr="00D42EEE" w14:paraId="13CE03DF" w14:textId="77777777">
        <w:tc>
          <w:tcPr>
            <w:tcW w:w="1458" w:type="dxa"/>
          </w:tcPr>
          <w:p w14:paraId="37AD23F9"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Computational method</w:t>
            </w:r>
          </w:p>
        </w:tc>
        <w:tc>
          <w:tcPr>
            <w:tcW w:w="7558" w:type="dxa"/>
          </w:tcPr>
          <w:p w14:paraId="0849D71C"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Hybrid model (Decision tree + Partitioned survival model)</w:t>
            </w:r>
          </w:p>
        </w:tc>
      </w:tr>
      <w:tr w:rsidR="00D42EEE" w:rsidRPr="00D42EEE" w14:paraId="46323F19" w14:textId="77777777">
        <w:tc>
          <w:tcPr>
            <w:tcW w:w="1458" w:type="dxa"/>
          </w:tcPr>
          <w:p w14:paraId="61774C6A"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Health states</w:t>
            </w:r>
          </w:p>
        </w:tc>
        <w:tc>
          <w:tcPr>
            <w:tcW w:w="7558" w:type="dxa"/>
          </w:tcPr>
          <w:p w14:paraId="38BB6682"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Partition survival model has following health states:</w:t>
            </w:r>
          </w:p>
          <w:p w14:paraId="08586791" w14:textId="77777777" w:rsidR="00D42EEE" w:rsidRPr="00D42EEE" w:rsidRDefault="00D42EEE" w:rsidP="00E12DF5">
            <w:pPr>
              <w:pStyle w:val="TableText"/>
              <w:keepNext/>
              <w:numPr>
                <w:ilvl w:val="0"/>
                <w:numId w:val="14"/>
              </w:numPr>
              <w:spacing w:before="0" w:after="0" w:line="276" w:lineRule="auto"/>
              <w:rPr>
                <w:rFonts w:cstheme="minorHAnsi"/>
                <w:szCs w:val="20"/>
              </w:rPr>
            </w:pPr>
            <w:r w:rsidRPr="00D42EEE">
              <w:rPr>
                <w:szCs w:val="20"/>
              </w:rPr>
              <w:t>Progression free survival</w:t>
            </w:r>
          </w:p>
          <w:p w14:paraId="4289CD17" w14:textId="77777777" w:rsidR="00D42EEE" w:rsidRPr="00D42EEE" w:rsidRDefault="00D42EEE" w:rsidP="00E12DF5">
            <w:pPr>
              <w:pStyle w:val="TableText"/>
              <w:keepNext/>
              <w:numPr>
                <w:ilvl w:val="0"/>
                <w:numId w:val="14"/>
              </w:numPr>
              <w:spacing w:before="0" w:after="0" w:line="276" w:lineRule="auto"/>
              <w:rPr>
                <w:rFonts w:cstheme="minorHAnsi"/>
                <w:szCs w:val="20"/>
              </w:rPr>
            </w:pPr>
            <w:r w:rsidRPr="00D42EEE">
              <w:rPr>
                <w:szCs w:val="20"/>
              </w:rPr>
              <w:t>Progressed disease</w:t>
            </w:r>
          </w:p>
          <w:p w14:paraId="3B8DB3A9" w14:textId="77777777" w:rsidR="00D42EEE" w:rsidRPr="00D42EEE" w:rsidRDefault="00D42EEE" w:rsidP="00E12DF5">
            <w:pPr>
              <w:pStyle w:val="TableText"/>
              <w:keepNext/>
              <w:numPr>
                <w:ilvl w:val="0"/>
                <w:numId w:val="14"/>
              </w:numPr>
              <w:spacing w:before="0" w:after="0" w:line="276" w:lineRule="auto"/>
              <w:rPr>
                <w:rFonts w:cstheme="minorHAnsi"/>
                <w:szCs w:val="20"/>
              </w:rPr>
            </w:pPr>
            <w:r w:rsidRPr="00D42EEE">
              <w:rPr>
                <w:szCs w:val="20"/>
              </w:rPr>
              <w:t>Death</w:t>
            </w:r>
            <w:r w:rsidRPr="00D42EEE">
              <w:rPr>
                <w:szCs w:val="20"/>
                <w:lang w:val="en-GB"/>
              </w:rPr>
              <w:t xml:space="preserve"> </w:t>
            </w:r>
          </w:p>
        </w:tc>
      </w:tr>
      <w:tr w:rsidR="00D716EB" w:rsidRPr="00D42EEE" w14:paraId="67463000" w14:textId="77777777">
        <w:tc>
          <w:tcPr>
            <w:tcW w:w="1458" w:type="dxa"/>
          </w:tcPr>
          <w:p w14:paraId="52AB198E" w14:textId="73F79C11" w:rsidR="00D716EB" w:rsidRPr="00D42EEE" w:rsidRDefault="00D716EB" w:rsidP="00D716EB">
            <w:pPr>
              <w:pStyle w:val="TableText"/>
              <w:keepNext/>
              <w:spacing w:before="0" w:after="0" w:line="276" w:lineRule="auto"/>
              <w:rPr>
                <w:rFonts w:cstheme="minorHAnsi"/>
                <w:szCs w:val="20"/>
              </w:rPr>
            </w:pPr>
            <w:r w:rsidRPr="0048595C">
              <w:rPr>
                <w:rFonts w:cs="Cambria Math"/>
              </w:rPr>
              <w:t>Utilities</w:t>
            </w:r>
          </w:p>
        </w:tc>
        <w:tc>
          <w:tcPr>
            <w:tcW w:w="7558" w:type="dxa"/>
          </w:tcPr>
          <w:p w14:paraId="09003036" w14:textId="35BE82DF" w:rsidR="00D716EB" w:rsidRPr="00D716EB" w:rsidRDefault="00D716EB" w:rsidP="00D716EB">
            <w:pPr>
              <w:pStyle w:val="TableText"/>
              <w:rPr>
                <w:rFonts w:cs="Cambria Math"/>
              </w:rPr>
            </w:pPr>
            <w:r w:rsidRPr="0048595C">
              <w:rPr>
                <w:rFonts w:cs="Cambria Math"/>
              </w:rPr>
              <w:t>Progression-free survival: 0.74; Progressed disease: 0.59.</w:t>
            </w:r>
          </w:p>
        </w:tc>
      </w:tr>
      <w:tr w:rsidR="00D42EEE" w:rsidRPr="00D42EEE" w14:paraId="29A48E2D" w14:textId="77777777">
        <w:tc>
          <w:tcPr>
            <w:tcW w:w="1458" w:type="dxa"/>
          </w:tcPr>
          <w:p w14:paraId="10AB80B8"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Cycle length</w:t>
            </w:r>
          </w:p>
        </w:tc>
        <w:tc>
          <w:tcPr>
            <w:tcW w:w="7558" w:type="dxa"/>
          </w:tcPr>
          <w:p w14:paraId="1E75D622"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1 week</w:t>
            </w:r>
          </w:p>
        </w:tc>
      </w:tr>
      <w:tr w:rsidR="00D42EEE" w:rsidRPr="00D42EEE" w14:paraId="3747FA8F" w14:textId="77777777">
        <w:tc>
          <w:tcPr>
            <w:tcW w:w="1458" w:type="dxa"/>
          </w:tcPr>
          <w:p w14:paraId="28EF1430"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Transition probabilities</w:t>
            </w:r>
          </w:p>
        </w:tc>
        <w:tc>
          <w:tcPr>
            <w:tcW w:w="7558" w:type="dxa"/>
          </w:tcPr>
          <w:p w14:paraId="76E645FB" w14:textId="77777777" w:rsidR="00D42EEE" w:rsidRPr="00D42EEE" w:rsidRDefault="00D42EEE" w:rsidP="00E12DF5">
            <w:pPr>
              <w:pStyle w:val="TableText"/>
              <w:keepNext/>
              <w:numPr>
                <w:ilvl w:val="0"/>
                <w:numId w:val="15"/>
              </w:numPr>
              <w:spacing w:before="0" w:after="0" w:line="276" w:lineRule="auto"/>
              <w:rPr>
                <w:rFonts w:cstheme="minorHAnsi"/>
                <w:szCs w:val="20"/>
              </w:rPr>
            </w:pPr>
            <w:r w:rsidRPr="00D42EEE">
              <w:rPr>
                <w:rFonts w:cstheme="minorHAnsi"/>
                <w:szCs w:val="20"/>
              </w:rPr>
              <w:t>Health state allocation over time determined by PFS and OS data</w:t>
            </w:r>
          </w:p>
          <w:p w14:paraId="7B17B87F" w14:textId="77777777" w:rsidR="00D42EEE" w:rsidRPr="00D42EEE" w:rsidRDefault="00D42EEE" w:rsidP="00E12DF5">
            <w:pPr>
              <w:pStyle w:val="TableText"/>
              <w:keepNext/>
              <w:numPr>
                <w:ilvl w:val="0"/>
                <w:numId w:val="15"/>
              </w:numPr>
              <w:spacing w:before="0" w:after="0" w:line="276" w:lineRule="auto"/>
              <w:rPr>
                <w:szCs w:val="20"/>
                <w:lang w:val="en-US"/>
              </w:rPr>
            </w:pPr>
            <w:r w:rsidRPr="00D42EEE">
              <w:rPr>
                <w:szCs w:val="20"/>
              </w:rPr>
              <w:t xml:space="preserve">PFS and OS data for </w:t>
            </w:r>
            <w:r w:rsidRPr="00D42EEE">
              <w:rPr>
                <w:szCs w:val="20"/>
                <w:vertAlign w:val="superscript"/>
              </w:rPr>
              <w:t>177</w:t>
            </w:r>
            <w:r w:rsidRPr="00D42EEE">
              <w:rPr>
                <w:szCs w:val="20"/>
              </w:rPr>
              <w:t>Lu-PSMA-617 were sourced from VISION</w:t>
            </w:r>
            <w:r w:rsidRPr="00D42EEE">
              <w:rPr>
                <w:szCs w:val="20"/>
              </w:rPr>
              <w:fldChar w:fldCharType="begin">
                <w:fldData xml:space="preserve">PEVuZE5vdGU+PENpdGUgRXhjbHVkZVllYXI9IjEiPjxBdXRob3I+U2FydG9yPC9BdXRob3I+PFll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</w:fldData>
              </w:fldChar>
            </w:r>
            <w:r w:rsidRPr="00D42EEE">
              <w:rPr>
                <w:szCs w:val="20"/>
              </w:rPr>
              <w:instrText xml:space="preserve"> ADDIN EN.CITE </w:instrText>
            </w:r>
            <w:r w:rsidRPr="00D42EEE">
              <w:rPr>
                <w:szCs w:val="20"/>
              </w:rPr>
              <w:fldChar w:fldCharType="begin">
                <w:fldData xml:space="preserve">PEVuZE5vdGU+PENpdGUgRXhjbHVkZVllYXI9IjEiPjxBdXRob3I+U2FydG9yPC9BdXRob3I+PFll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</w:fldData>
              </w:fldChar>
            </w:r>
            <w:r w:rsidRPr="00D42EEE">
              <w:rPr>
                <w:szCs w:val="20"/>
              </w:rPr>
              <w:instrText xml:space="preserve"> ADDIN EN.CITE.DATA </w:instrText>
            </w:r>
            <w:r w:rsidRPr="00D42EEE">
              <w:rPr>
                <w:szCs w:val="20"/>
              </w:rPr>
            </w:r>
            <w:r w:rsidRPr="00D42EEE">
              <w:rPr>
                <w:szCs w:val="20"/>
              </w:rPr>
              <w:fldChar w:fldCharType="end"/>
            </w:r>
            <w:r w:rsidRPr="00D42EEE">
              <w:rPr>
                <w:szCs w:val="20"/>
              </w:rPr>
            </w:r>
            <w:r w:rsidRPr="00D42EEE">
              <w:rPr>
                <w:szCs w:val="20"/>
              </w:rPr>
              <w:fldChar w:fldCharType="separate"/>
            </w:r>
            <w:r w:rsidRPr="00D42EEE">
              <w:rPr>
                <w:noProof/>
                <w:szCs w:val="20"/>
              </w:rPr>
              <w:t>[1]</w:t>
            </w:r>
            <w:r w:rsidRPr="00D42EEE">
              <w:rPr>
                <w:szCs w:val="20"/>
              </w:rPr>
              <w:fldChar w:fldCharType="end"/>
            </w:r>
            <w:r w:rsidRPr="00D42EEE">
              <w:rPr>
                <w:szCs w:val="20"/>
              </w:rPr>
              <w:t xml:space="preserve"> and </w:t>
            </w:r>
            <w:proofErr w:type="spellStart"/>
            <w:r w:rsidRPr="00D42EEE">
              <w:rPr>
                <w:szCs w:val="20"/>
              </w:rPr>
              <w:t>TheraP</w:t>
            </w:r>
            <w:proofErr w:type="spellEnd"/>
            <w:r w:rsidRPr="00D42EEE">
              <w:rPr>
                <w:szCs w:val="20"/>
              </w:rPr>
              <w:fldChar w:fldCharType="begin">
                <w:fldData xml:space="preserve">PEVuZE5vdGU+PENpdGUgRXhjbHVkZVllYXI9IjEiPjxBdXRob3I+SG9mbWFuPC9BdXRob3I+PFll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</w:fldData>
              </w:fldChar>
            </w:r>
            <w:r w:rsidRPr="00D42EEE">
              <w:rPr>
                <w:szCs w:val="20"/>
              </w:rPr>
              <w:instrText xml:space="preserve"> ADDIN EN.CITE </w:instrText>
            </w:r>
            <w:r w:rsidRPr="00D42EEE">
              <w:rPr>
                <w:szCs w:val="20"/>
              </w:rPr>
              <w:fldChar w:fldCharType="begin">
                <w:fldData xml:space="preserve">PEVuZE5vdGU+PENpdGUgRXhjbHVkZVllYXI9IjEiPjxBdXRob3I+SG9mbWFuPC9BdXRob3I+PFll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</w:fldData>
              </w:fldChar>
            </w:r>
            <w:r w:rsidRPr="00D42EEE">
              <w:rPr>
                <w:szCs w:val="20"/>
              </w:rPr>
              <w:instrText xml:space="preserve"> ADDIN EN.CITE.DATA </w:instrText>
            </w:r>
            <w:r w:rsidRPr="00D42EEE">
              <w:rPr>
                <w:szCs w:val="20"/>
              </w:rPr>
            </w:r>
            <w:r w:rsidRPr="00D42EEE">
              <w:rPr>
                <w:szCs w:val="20"/>
              </w:rPr>
              <w:fldChar w:fldCharType="end"/>
            </w:r>
            <w:r w:rsidRPr="00D42EEE">
              <w:rPr>
                <w:szCs w:val="20"/>
              </w:rPr>
            </w:r>
            <w:r w:rsidRPr="00D42EEE">
              <w:rPr>
                <w:szCs w:val="20"/>
              </w:rPr>
              <w:fldChar w:fldCharType="separate"/>
            </w:r>
            <w:r w:rsidRPr="00D42EEE">
              <w:rPr>
                <w:noProof/>
                <w:szCs w:val="20"/>
              </w:rPr>
              <w:t>[2]</w:t>
            </w:r>
            <w:r w:rsidRPr="00D42EEE">
              <w:rPr>
                <w:szCs w:val="20"/>
              </w:rPr>
              <w:fldChar w:fldCharType="end"/>
            </w:r>
          </w:p>
          <w:p w14:paraId="580DEC54" w14:textId="77777777" w:rsidR="00D42EEE" w:rsidRPr="00D42EEE" w:rsidRDefault="00D42EEE" w:rsidP="00E12DF5">
            <w:pPr>
              <w:pStyle w:val="TableText"/>
              <w:keepNext/>
              <w:numPr>
                <w:ilvl w:val="0"/>
                <w:numId w:val="15"/>
              </w:numPr>
              <w:spacing w:before="0" w:after="0" w:line="276" w:lineRule="auto"/>
              <w:rPr>
                <w:szCs w:val="20"/>
                <w:lang w:val="en-US"/>
              </w:rPr>
            </w:pPr>
            <w:r w:rsidRPr="00D42EEE">
              <w:rPr>
                <w:szCs w:val="20"/>
                <w:lang w:val="en-US"/>
              </w:rPr>
              <w:t xml:space="preserve">PFS and OS data for cabazitaxel were sourced from </w:t>
            </w:r>
            <w:proofErr w:type="spellStart"/>
            <w:r w:rsidRPr="00D42EEE">
              <w:rPr>
                <w:szCs w:val="20"/>
                <w:lang w:val="en-US"/>
              </w:rPr>
              <w:t>TheraP</w:t>
            </w:r>
            <w:proofErr w:type="spellEnd"/>
            <w:r w:rsidRPr="00D42EEE">
              <w:rPr>
                <w:szCs w:val="20"/>
                <w:lang w:val="en-US"/>
              </w:rPr>
              <w:fldChar w:fldCharType="begin">
                <w:fldData xml:space="preserve">PEVuZE5vdGU+PENpdGUgRXhjbHVkZVllYXI9IjEiPjxBdXRob3I+SG9mbWFuPC9BdXRob3I+PFll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</w:fldData>
              </w:fldChar>
            </w:r>
            <w:r w:rsidRPr="00D42EEE">
              <w:rPr>
                <w:szCs w:val="20"/>
                <w:lang w:val="en-US"/>
              </w:rPr>
              <w:instrText xml:space="preserve"> ADDIN EN.CITE </w:instrText>
            </w:r>
            <w:r w:rsidRPr="00D42EEE">
              <w:rPr>
                <w:szCs w:val="20"/>
                <w:lang w:val="en-US"/>
              </w:rPr>
              <w:fldChar w:fldCharType="begin">
                <w:fldData xml:space="preserve">PEVuZE5vdGU+PENpdGUgRXhjbHVkZVllYXI9IjEiPjxBdXRob3I+SG9mbWFuPC9BdXRob3I+PFll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</w:fldData>
              </w:fldChar>
            </w:r>
            <w:r w:rsidRPr="00D42EEE">
              <w:rPr>
                <w:szCs w:val="20"/>
                <w:lang w:val="en-US"/>
              </w:rPr>
              <w:instrText xml:space="preserve"> ADDIN EN.CITE.DATA </w:instrText>
            </w:r>
            <w:r w:rsidRPr="00D42EEE">
              <w:rPr>
                <w:szCs w:val="20"/>
                <w:lang w:val="en-US"/>
              </w:rPr>
            </w:r>
            <w:r w:rsidRPr="00D42EEE">
              <w:rPr>
                <w:szCs w:val="20"/>
                <w:lang w:val="en-US"/>
              </w:rPr>
              <w:fldChar w:fldCharType="end"/>
            </w:r>
            <w:r w:rsidRPr="00D42EEE">
              <w:rPr>
                <w:szCs w:val="20"/>
                <w:lang w:val="en-US"/>
              </w:rPr>
            </w:r>
            <w:r w:rsidRPr="00D42EEE">
              <w:rPr>
                <w:szCs w:val="20"/>
                <w:lang w:val="en-US"/>
              </w:rPr>
              <w:fldChar w:fldCharType="separate"/>
            </w:r>
            <w:r w:rsidRPr="00D42EEE">
              <w:rPr>
                <w:noProof/>
                <w:szCs w:val="20"/>
                <w:lang w:val="en-US"/>
              </w:rPr>
              <w:t>[2]</w:t>
            </w:r>
            <w:r w:rsidRPr="00D42EEE">
              <w:rPr>
                <w:szCs w:val="20"/>
                <w:lang w:val="en-US"/>
              </w:rPr>
              <w:fldChar w:fldCharType="end"/>
            </w:r>
          </w:p>
          <w:p w14:paraId="293026A9" w14:textId="77777777" w:rsidR="00D42EEE" w:rsidRPr="00D42EEE" w:rsidRDefault="00D42EEE" w:rsidP="00E12DF5">
            <w:pPr>
              <w:pStyle w:val="TableText"/>
              <w:keepNext/>
              <w:numPr>
                <w:ilvl w:val="0"/>
                <w:numId w:val="15"/>
              </w:numPr>
              <w:spacing w:before="0" w:after="0" w:line="276" w:lineRule="auto"/>
              <w:rPr>
                <w:szCs w:val="20"/>
                <w:lang w:val="en-US"/>
              </w:rPr>
            </w:pPr>
            <w:r w:rsidRPr="00D42EEE">
              <w:rPr>
                <w:szCs w:val="20"/>
                <w:lang w:val="en-US"/>
              </w:rPr>
              <w:t>PFS and OS data for BSC were sourced from VISION</w:t>
            </w:r>
            <w:r w:rsidRPr="00D42EEE">
              <w:rPr>
                <w:szCs w:val="20"/>
                <w:lang w:val="en-US"/>
              </w:rPr>
              <w:fldChar w:fldCharType="begin">
                <w:fldData xml:space="preserve">PEVuZE5vdGU+PENpdGUgRXhjbHVkZVllYXI9IjEiPjxBdXRob3I+U2FydG9yPC9BdXRob3I+PFll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</w:fldData>
              </w:fldChar>
            </w:r>
            <w:r w:rsidRPr="00D42EEE">
              <w:rPr>
                <w:szCs w:val="20"/>
                <w:lang w:val="en-US"/>
              </w:rPr>
              <w:instrText xml:space="preserve"> ADDIN EN.CITE </w:instrText>
            </w:r>
            <w:r w:rsidRPr="00D42EEE">
              <w:rPr>
                <w:szCs w:val="20"/>
                <w:lang w:val="en-US"/>
              </w:rPr>
              <w:fldChar w:fldCharType="begin">
                <w:fldData xml:space="preserve">PEVuZE5vdGU+PENpdGUgRXhjbHVkZVllYXI9IjEiPjxBdXRob3I+U2FydG9yPC9BdXRob3I+PFll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</w:fldData>
              </w:fldChar>
            </w:r>
            <w:r w:rsidRPr="00D42EEE">
              <w:rPr>
                <w:szCs w:val="20"/>
                <w:lang w:val="en-US"/>
              </w:rPr>
              <w:instrText xml:space="preserve"> ADDIN EN.CITE.DATA </w:instrText>
            </w:r>
            <w:r w:rsidRPr="00D42EEE">
              <w:rPr>
                <w:szCs w:val="20"/>
                <w:lang w:val="en-US"/>
              </w:rPr>
            </w:r>
            <w:r w:rsidRPr="00D42EEE">
              <w:rPr>
                <w:szCs w:val="20"/>
                <w:lang w:val="en-US"/>
              </w:rPr>
              <w:fldChar w:fldCharType="end"/>
            </w:r>
            <w:r w:rsidRPr="00D42EEE">
              <w:rPr>
                <w:szCs w:val="20"/>
                <w:lang w:val="en-US"/>
              </w:rPr>
            </w:r>
            <w:r w:rsidRPr="00D42EEE">
              <w:rPr>
                <w:szCs w:val="20"/>
                <w:lang w:val="en-US"/>
              </w:rPr>
              <w:fldChar w:fldCharType="separate"/>
            </w:r>
            <w:r w:rsidRPr="00D42EEE">
              <w:rPr>
                <w:noProof/>
                <w:szCs w:val="20"/>
                <w:lang w:val="en-US"/>
              </w:rPr>
              <w:t>[1]</w:t>
            </w:r>
            <w:r w:rsidRPr="00D42EEE">
              <w:rPr>
                <w:szCs w:val="20"/>
                <w:lang w:val="en-US"/>
              </w:rPr>
              <w:fldChar w:fldCharType="end"/>
            </w:r>
          </w:p>
        </w:tc>
      </w:tr>
      <w:tr w:rsidR="00D42EEE" w:rsidRPr="00D42EEE" w14:paraId="6BA131F2" w14:textId="77777777">
        <w:tc>
          <w:tcPr>
            <w:tcW w:w="1458" w:type="dxa"/>
          </w:tcPr>
          <w:p w14:paraId="5F641FA2"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Discount rate</w:t>
            </w:r>
          </w:p>
        </w:tc>
        <w:tc>
          <w:tcPr>
            <w:tcW w:w="7558" w:type="dxa"/>
          </w:tcPr>
          <w:p w14:paraId="1F1E61F8"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5% for both costs and outcomes</w:t>
            </w:r>
          </w:p>
        </w:tc>
      </w:tr>
      <w:tr w:rsidR="00D42EEE" w:rsidRPr="00D42EEE" w14:paraId="10724F76" w14:textId="77777777">
        <w:tc>
          <w:tcPr>
            <w:tcW w:w="1458" w:type="dxa"/>
          </w:tcPr>
          <w:p w14:paraId="2205FC5D"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Software</w:t>
            </w:r>
          </w:p>
        </w:tc>
        <w:tc>
          <w:tcPr>
            <w:tcW w:w="7558" w:type="dxa"/>
          </w:tcPr>
          <w:p w14:paraId="5AAF418B" w14:textId="77777777" w:rsidR="00D42EEE" w:rsidRPr="00D42EEE" w:rsidRDefault="00D42EEE" w:rsidP="00D42EEE">
            <w:pPr>
              <w:pStyle w:val="TableText"/>
              <w:keepNext/>
              <w:spacing w:before="0" w:after="0" w:line="276" w:lineRule="auto"/>
              <w:rPr>
                <w:rFonts w:cstheme="minorHAnsi"/>
                <w:szCs w:val="20"/>
              </w:rPr>
            </w:pPr>
            <w:r w:rsidRPr="00D42EEE">
              <w:rPr>
                <w:rFonts w:cstheme="minorHAnsi"/>
                <w:szCs w:val="20"/>
              </w:rPr>
              <w:t>Microsoft Excel 2016</w:t>
            </w:r>
          </w:p>
        </w:tc>
      </w:tr>
    </w:tbl>
    <w:p w14:paraId="4AE1F281" w14:textId="503419EE" w:rsidR="008A57F6" w:rsidRDefault="00D42EEE" w:rsidP="00543EE3">
      <w:pPr>
        <w:pStyle w:val="Instructionaltext"/>
        <w:rPr>
          <w:rFonts w:ascii="Arial Narrow" w:hAnsi="Arial Narrow" w:cstheme="minorHAnsi"/>
          <w:color w:val="auto"/>
          <w:sz w:val="18"/>
          <w:szCs w:val="18"/>
        </w:rPr>
      </w:pPr>
      <w:r>
        <w:rPr>
          <w:rFonts w:ascii="Arial Narrow" w:hAnsi="Arial Narrow" w:cstheme="minorHAnsi"/>
          <w:color w:val="auto"/>
          <w:sz w:val="18"/>
          <w:szCs w:val="18"/>
        </w:rPr>
        <w:t>Source: Table 3-1, p90 of the ADAR</w:t>
      </w:r>
    </w:p>
    <w:p w14:paraId="3FD01049" w14:textId="61ECA4C8" w:rsidR="00864390" w:rsidRDefault="00864390" w:rsidP="00864390">
      <w:pPr>
        <w:spacing w:before="240"/>
      </w:pPr>
      <w:r w:rsidRPr="00020B25">
        <w:rPr>
          <w:lang w:eastAsia="en-GB"/>
        </w:rPr>
        <w:t xml:space="preserve">Patients enter the model in the PFS state. </w:t>
      </w:r>
      <w:r w:rsidRPr="00C21F60">
        <w:rPr>
          <w:lang w:eastAsia="en-GB"/>
        </w:rPr>
        <w:t>In</w:t>
      </w:r>
      <w:r w:rsidRPr="00020B25">
        <w:rPr>
          <w:lang w:eastAsia="en-GB"/>
        </w:rPr>
        <w:t xml:space="preserve"> each cycle</w:t>
      </w:r>
      <w:r>
        <w:rPr>
          <w:lang w:eastAsia="en-GB"/>
        </w:rPr>
        <w:t xml:space="preserve"> (weekly)</w:t>
      </w:r>
      <w:r w:rsidRPr="00020B25">
        <w:rPr>
          <w:lang w:eastAsia="en-GB"/>
        </w:rPr>
        <w:t xml:space="preserve">, patients can either remain in the PFS health state, or transition to the </w:t>
      </w:r>
      <w:r>
        <w:rPr>
          <w:lang w:eastAsia="en-GB"/>
        </w:rPr>
        <w:t>PD</w:t>
      </w:r>
      <w:r w:rsidRPr="00020B25">
        <w:rPr>
          <w:lang w:eastAsia="en-GB"/>
        </w:rPr>
        <w:t xml:space="preserve"> or death health state. Patients who have progressed can remain in the </w:t>
      </w:r>
      <w:r>
        <w:rPr>
          <w:lang w:eastAsia="en-GB"/>
        </w:rPr>
        <w:t>PD</w:t>
      </w:r>
      <w:r w:rsidRPr="00020B25">
        <w:rPr>
          <w:lang w:eastAsia="en-GB"/>
        </w:rPr>
        <w:t xml:space="preserve"> state or transition to the death state but never go back to the PFS state. All patients eventually enter the death state.</w:t>
      </w:r>
      <w:r>
        <w:rPr>
          <w:lang w:eastAsia="en-GB"/>
        </w:rPr>
        <w:t xml:space="preserve"> </w:t>
      </w:r>
      <w:r w:rsidRPr="00C707E5">
        <w:t xml:space="preserve">Costs relevant to PSMA PET/CT testing, </w:t>
      </w:r>
      <w:r w:rsidRPr="00C707E5">
        <w:rPr>
          <w:vertAlign w:val="superscript"/>
        </w:rPr>
        <w:t>177</w:t>
      </w:r>
      <w:r>
        <w:t>Lu PSMA</w:t>
      </w:r>
      <w:r w:rsidRPr="00C707E5">
        <w:t xml:space="preserve"> and cabazitaxel were appropriately included, as well as costs for treating Grade 3 or 4 adverse events.</w:t>
      </w:r>
      <w:r w:rsidR="008E4B66">
        <w:t xml:space="preserve"> The </w:t>
      </w:r>
      <w:r w:rsidR="009F4CE5">
        <w:t xml:space="preserve">total </w:t>
      </w:r>
      <w:r w:rsidR="008E4B66">
        <w:t xml:space="preserve">cost of </w:t>
      </w:r>
      <w:r w:rsidR="008E4B66" w:rsidRPr="00C707E5">
        <w:rPr>
          <w:vertAlign w:val="superscript"/>
        </w:rPr>
        <w:t>177</w:t>
      </w:r>
      <w:r w:rsidR="008E4B66">
        <w:t xml:space="preserve">Lu PSMA </w:t>
      </w:r>
      <w:r w:rsidR="009F4CE5">
        <w:t xml:space="preserve">was assumed to be $8,000, as per MSAC 1686, however the cost of </w:t>
      </w:r>
      <w:r w:rsidR="009F4CE5" w:rsidRPr="009F4CE5">
        <w:rPr>
          <w:vertAlign w:val="superscript"/>
        </w:rPr>
        <w:t>177</w:t>
      </w:r>
      <w:r w:rsidR="009F4CE5">
        <w:t xml:space="preserve">Lu PSMA </w:t>
      </w:r>
      <w:r w:rsidR="008E4B66" w:rsidRPr="009F4CE5">
        <w:t>was</w:t>
      </w:r>
      <w:r w:rsidR="008E4B66">
        <w:t xml:space="preserve"> assumed to be $6,000 and administration $2,000, compared with $5,500 and $2,500 in the MSAC 1686 ADAR (MSAC 1686 July 2022 PSD, p35).</w:t>
      </w:r>
      <w:r w:rsidR="00444526">
        <w:t xml:space="preserve"> Further, </w:t>
      </w:r>
      <w:r w:rsidR="00444526" w:rsidRPr="00444526">
        <w:t xml:space="preserve">some assumptions </w:t>
      </w:r>
      <w:r w:rsidR="00E736A3">
        <w:t xml:space="preserve">regarding </w:t>
      </w:r>
      <w:r w:rsidR="00444526">
        <w:t>adverse event (</w:t>
      </w:r>
      <w:r w:rsidR="00444526" w:rsidRPr="00444526">
        <w:t>AE</w:t>
      </w:r>
      <w:r w:rsidR="00444526">
        <w:t>)</w:t>
      </w:r>
      <w:r w:rsidR="00444526" w:rsidRPr="00444526">
        <w:t xml:space="preserve"> costs and AE </w:t>
      </w:r>
      <w:proofErr w:type="spellStart"/>
      <w:r w:rsidR="00444526" w:rsidRPr="00444526">
        <w:t>disutilities</w:t>
      </w:r>
      <w:proofErr w:type="spellEnd"/>
      <w:r w:rsidR="00444526" w:rsidRPr="00444526">
        <w:t xml:space="preserve"> favoured the intervention but these had negligible impacts on the ICER. BSC drug costs were </w:t>
      </w:r>
      <w:r w:rsidR="00444526">
        <w:t xml:space="preserve">also </w:t>
      </w:r>
      <w:r w:rsidR="00444526" w:rsidRPr="00444526">
        <w:t xml:space="preserve">assumed to be zero (offset in both arms) but </w:t>
      </w:r>
      <w:r w:rsidR="00444526">
        <w:t xml:space="preserve">there is </w:t>
      </w:r>
      <w:r w:rsidR="00444526" w:rsidRPr="00444526">
        <w:t xml:space="preserve">a possibility that BSC drug costs </w:t>
      </w:r>
      <w:r w:rsidR="00444526">
        <w:t>we</w:t>
      </w:r>
      <w:r w:rsidR="00444526" w:rsidRPr="00444526">
        <w:t>re higher in the intervention arm</w:t>
      </w:r>
      <w:r w:rsidR="00444526">
        <w:t xml:space="preserve">. </w:t>
      </w:r>
      <w:r w:rsidR="00444526" w:rsidRPr="0048595C">
        <w:t xml:space="preserve">It is also notable that no costs associated with treatment of bone pain such as opioid use, </w:t>
      </w:r>
      <w:r w:rsidR="00444526" w:rsidRPr="0048595C">
        <w:rPr>
          <w:vertAlign w:val="superscript"/>
        </w:rPr>
        <w:t>89</w:t>
      </w:r>
      <w:r w:rsidR="00444526" w:rsidRPr="0048595C">
        <w:t>strontium (palliative isotope) and local radiotherapy were included.</w:t>
      </w:r>
    </w:p>
    <w:p w14:paraId="2B196C7C" w14:textId="6C849910" w:rsidR="00444526" w:rsidRDefault="00444526" w:rsidP="00C26822">
      <w:pPr>
        <w:spacing w:before="240" w:after="240"/>
        <w:rPr>
          <w:lang w:eastAsia="en-GB"/>
        </w:rPr>
      </w:pPr>
      <w:r>
        <w:t>The model assumes that only patients remaining progression-free will continue with therapy</w:t>
      </w:r>
      <w:r w:rsidR="007104F5">
        <w:t>, up to a maximum of 6 cycles</w:t>
      </w:r>
      <w:r>
        <w:t xml:space="preserve">. The recent MSAC 1686.1 ADAR </w:t>
      </w:r>
      <w:r w:rsidR="007104F5">
        <w:t>proposed</w:t>
      </w:r>
      <w:r>
        <w:t xml:space="preserve"> </w:t>
      </w:r>
      <w:r w:rsidR="007104F5">
        <w:t xml:space="preserve">splitting treatment, for up to 6 cycles in total, into initial (2 cycles) and continuing treatment (up to 4 cycles). For continuing treatment, only those who have not developed disease progression while receiving </w:t>
      </w:r>
      <w:r w:rsidR="007104F5" w:rsidRPr="00D95D70">
        <w:rPr>
          <w:vertAlign w:val="superscript"/>
        </w:rPr>
        <w:t>177</w:t>
      </w:r>
      <w:r w:rsidR="007104F5">
        <w:t>Lu PSMA </w:t>
      </w:r>
      <w:proofErr w:type="spellStart"/>
      <w:r w:rsidR="007104F5">
        <w:t>i&amp;t</w:t>
      </w:r>
      <w:proofErr w:type="spellEnd"/>
      <w:r w:rsidR="007104F5">
        <w:t xml:space="preserve"> for this condition are eligible. The implications of this regimen have not and could not be explored.</w:t>
      </w:r>
    </w:p>
    <w:p w14:paraId="1FC26383" w14:textId="5D0E8FCB" w:rsidR="00D716EB" w:rsidRPr="00D42EEE" w:rsidRDefault="00D716EB" w:rsidP="00D716EB">
      <w:r>
        <w:t>The results of the modelled economic evaluations are below.</w:t>
      </w:r>
    </w:p>
    <w:p w14:paraId="54DCBA53" w14:textId="2252DA7D" w:rsidR="00DC0761" w:rsidRPr="00FC245C" w:rsidRDefault="00FC245C" w:rsidP="00FC245C">
      <w:pPr>
        <w:pStyle w:val="Caption"/>
        <w:rPr>
          <w:rFonts w:cstheme="minorBidi"/>
        </w:rPr>
      </w:pPr>
      <w:bookmarkStart w:id="35" w:name="_Ref147189979"/>
      <w:bookmarkStart w:id="36" w:name="_Toc105591651"/>
      <w:bookmarkStart w:id="37" w:name="_Toc147320057"/>
      <w:bookmarkStart w:id="38" w:name="_Hlk68276600"/>
      <w:r>
        <w:lastRenderedPageBreak/>
        <w:t>Table</w:t>
      </w:r>
      <w:r w:rsidR="00352EBD">
        <w:t xml:space="preserve"> 8</w:t>
      </w:r>
      <w:bookmarkEnd w:id="35"/>
      <w:r>
        <w:tab/>
      </w:r>
      <w:r w:rsidR="00DC0761" w:rsidRPr="00D716EB">
        <w:rPr>
          <w:rFonts w:cstheme="minorBidi"/>
        </w:rPr>
        <w:t xml:space="preserve">Summary of Base Case Results (discounted): </w:t>
      </w:r>
      <w:r w:rsidR="00DC0761" w:rsidRPr="00D716EB">
        <w:rPr>
          <w:rFonts w:cstheme="minorBidi"/>
          <w:vertAlign w:val="superscript"/>
        </w:rPr>
        <w:t>177</w:t>
      </w:r>
      <w:r w:rsidR="00DC0761" w:rsidRPr="00D716EB">
        <w:rPr>
          <w:rFonts w:cstheme="minorBidi"/>
        </w:rPr>
        <w:t xml:space="preserve">Lu-PSMA-617 vs. </w:t>
      </w:r>
      <w:bookmarkEnd w:id="36"/>
      <w:proofErr w:type="spellStart"/>
      <w:r w:rsidR="00DC0761" w:rsidRPr="00D716EB">
        <w:rPr>
          <w:rFonts w:cstheme="minorBidi"/>
        </w:rPr>
        <w:t>Cabazitaxel</w:t>
      </w:r>
      <w:bookmarkEnd w:id="37"/>
      <w:proofErr w:type="spellEnd"/>
      <w:r w:rsidR="00DC0761" w:rsidRPr="00D716EB">
        <w:rPr>
          <w:rFonts w:cstheme="minorBidi"/>
        </w:rPr>
        <w:t xml:space="preserve"> </w:t>
      </w:r>
      <w:r w:rsidR="00DC0761" w:rsidRPr="00FC245C">
        <w:rPr>
          <w:rFonts w:cstheme="minorBidi"/>
        </w:rPr>
        <w:t>(</w:t>
      </w:r>
      <w:proofErr w:type="spellStart"/>
      <w:r w:rsidR="00DC0761" w:rsidRPr="00FC245C">
        <w:rPr>
          <w:rFonts w:cstheme="minorBidi"/>
        </w:rPr>
        <w:t>TheraP</w:t>
      </w:r>
      <w:proofErr w:type="spellEnd"/>
      <w:r w:rsidR="00DC0761" w:rsidRPr="00FC245C">
        <w:rPr>
          <w:rFonts w:cstheme="minorBidi"/>
        </w:rPr>
        <w:t>)</w:t>
      </w:r>
    </w:p>
    <w:tbl>
      <w:tblPr>
        <w:tblW w:w="9129" w:type="dxa"/>
        <w:tblInd w:w="-5" w:type="dxa"/>
        <w:tblLook w:val="04A0" w:firstRow="1" w:lastRow="0" w:firstColumn="1" w:lastColumn="0" w:noHBand="0" w:noVBand="1"/>
      </w:tblPr>
      <w:tblGrid>
        <w:gridCol w:w="1925"/>
        <w:gridCol w:w="1699"/>
        <w:gridCol w:w="1821"/>
        <w:gridCol w:w="1849"/>
        <w:gridCol w:w="1835"/>
      </w:tblGrid>
      <w:tr w:rsidR="00DC0761" w:rsidRPr="00FC245C" w14:paraId="490AC41E" w14:textId="77777777" w:rsidTr="00FB178D">
        <w:trPr>
          <w:trHeight w:val="702"/>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4DBEB" w14:textId="77777777" w:rsidR="00DC0761" w:rsidRPr="00FC245C" w:rsidRDefault="00DC0761" w:rsidP="00FB178D">
            <w:pPr>
              <w:keepNext/>
              <w:spacing w:line="276" w:lineRule="auto"/>
              <w:rPr>
                <w:rFonts w:ascii="Arial Narrow" w:hAnsi="Arial Narrow" w:cstheme="minorHAnsi"/>
                <w:b/>
                <w:bCs/>
                <w:color w:val="000000"/>
                <w:sz w:val="20"/>
                <w:szCs w:val="20"/>
                <w:lang w:val="en-US"/>
              </w:rPr>
            </w:pPr>
            <w:r w:rsidRPr="00FC245C">
              <w:rPr>
                <w:rFonts w:ascii="Arial Narrow" w:hAnsi="Arial Narrow" w:cstheme="minorHAnsi"/>
                <w:b/>
                <w:bCs/>
                <w:sz w:val="20"/>
                <w:szCs w:val="20"/>
              </w:rPr>
              <w:t>Parameters</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10D59114" w14:textId="77777777" w:rsidR="00DC0761" w:rsidRPr="00FC245C" w:rsidRDefault="00DC0761">
            <w:pPr>
              <w:keepNext/>
              <w:spacing w:line="276" w:lineRule="auto"/>
              <w:jc w:val="center"/>
              <w:rPr>
                <w:rFonts w:ascii="Arial Narrow" w:hAnsi="Arial Narrow"/>
                <w:b/>
                <w:bCs/>
                <w:color w:val="000000"/>
                <w:sz w:val="20"/>
                <w:szCs w:val="20"/>
                <w:lang w:val="en-US"/>
              </w:rPr>
            </w:pPr>
            <w:proofErr w:type="spellStart"/>
            <w:r w:rsidRPr="00FC245C">
              <w:rPr>
                <w:rFonts w:ascii="Arial Narrow" w:hAnsi="Arial Narrow"/>
                <w:b/>
                <w:bCs/>
                <w:sz w:val="20"/>
                <w:szCs w:val="20"/>
              </w:rPr>
              <w:t>TheraP</w:t>
            </w:r>
            <w:proofErr w:type="spellEnd"/>
            <w:r w:rsidRPr="00FC245C">
              <w:rPr>
                <w:rFonts w:ascii="Arial Narrow" w:hAnsi="Arial Narrow"/>
                <w:b/>
                <w:bCs/>
                <w:sz w:val="20"/>
                <w:szCs w:val="20"/>
              </w:rPr>
              <w:t xml:space="preserve">: </w:t>
            </w:r>
            <w:r w:rsidRPr="00FC245C">
              <w:rPr>
                <w:rFonts w:ascii="Arial Narrow" w:hAnsi="Arial Narrow"/>
                <w:b/>
                <w:bCs/>
                <w:sz w:val="20"/>
                <w:szCs w:val="20"/>
                <w:vertAlign w:val="superscript"/>
              </w:rPr>
              <w:t>177</w:t>
            </w:r>
            <w:r w:rsidRPr="00FC245C">
              <w:rPr>
                <w:rFonts w:ascii="Arial Narrow" w:hAnsi="Arial Narrow"/>
                <w:b/>
                <w:bCs/>
                <w:sz w:val="20"/>
                <w:szCs w:val="20"/>
              </w:rPr>
              <w:t>Lu-PSMA-617</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14:paraId="6C2B6369" w14:textId="77777777" w:rsidR="00DC0761" w:rsidRPr="00FC245C" w:rsidRDefault="00DC0761">
            <w:pPr>
              <w:keepNext/>
              <w:spacing w:line="276" w:lineRule="auto"/>
              <w:jc w:val="center"/>
              <w:rPr>
                <w:rFonts w:ascii="Arial Narrow" w:hAnsi="Arial Narrow" w:cstheme="minorHAnsi"/>
                <w:b/>
                <w:bCs/>
                <w:color w:val="000000"/>
                <w:sz w:val="20"/>
                <w:szCs w:val="20"/>
                <w:lang w:val="en-US"/>
              </w:rPr>
            </w:pPr>
            <w:r w:rsidRPr="00FC245C">
              <w:rPr>
                <w:rFonts w:ascii="Arial Narrow" w:hAnsi="Arial Narrow" w:cstheme="minorHAnsi"/>
                <w:b/>
                <w:bCs/>
                <w:color w:val="000000"/>
                <w:sz w:val="20"/>
                <w:szCs w:val="20"/>
              </w:rPr>
              <w:t>Cabazitaxel</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5791A75B" w14:textId="77777777" w:rsidR="00DC0761" w:rsidRPr="00FC245C" w:rsidRDefault="00DC0761">
            <w:pPr>
              <w:keepNext/>
              <w:spacing w:line="276" w:lineRule="auto"/>
              <w:jc w:val="center"/>
              <w:rPr>
                <w:rFonts w:ascii="Arial Narrow" w:hAnsi="Arial Narrow" w:cstheme="minorHAnsi"/>
                <w:b/>
                <w:bCs/>
                <w:color w:val="000000"/>
                <w:sz w:val="20"/>
                <w:szCs w:val="20"/>
                <w:lang w:val="en-US"/>
              </w:rPr>
            </w:pPr>
            <w:r w:rsidRPr="00FC245C">
              <w:rPr>
                <w:rFonts w:ascii="Arial Narrow" w:hAnsi="Arial Narrow" w:cstheme="minorHAnsi"/>
                <w:b/>
                <w:bCs/>
                <w:sz w:val="20"/>
                <w:szCs w:val="20"/>
              </w:rPr>
              <w:t>Incremental Outcome</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14:paraId="09CE43C6" w14:textId="77777777" w:rsidR="00DC0761" w:rsidRPr="00FC245C" w:rsidRDefault="00DC0761">
            <w:pPr>
              <w:keepNext/>
              <w:spacing w:line="276" w:lineRule="auto"/>
              <w:jc w:val="center"/>
              <w:rPr>
                <w:rFonts w:ascii="Arial Narrow" w:hAnsi="Arial Narrow" w:cstheme="minorHAnsi"/>
                <w:b/>
                <w:bCs/>
                <w:color w:val="000000"/>
                <w:sz w:val="20"/>
                <w:szCs w:val="20"/>
                <w:lang w:val="en-US"/>
              </w:rPr>
            </w:pPr>
            <w:r w:rsidRPr="00FC245C">
              <w:rPr>
                <w:rFonts w:ascii="Arial Narrow" w:hAnsi="Arial Narrow" w:cstheme="minorHAnsi"/>
                <w:b/>
                <w:bCs/>
                <w:sz w:val="20"/>
                <w:szCs w:val="20"/>
              </w:rPr>
              <w:t>ICER</w:t>
            </w:r>
          </w:p>
        </w:tc>
      </w:tr>
      <w:tr w:rsidR="00DC0761" w:rsidRPr="00FC245C" w14:paraId="21F0B4AB" w14:textId="77777777" w:rsidTr="00FB178D">
        <w:trPr>
          <w:trHeight w:val="295"/>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3D128DC9" w14:textId="77777777" w:rsidR="00DC0761" w:rsidRPr="00FC245C" w:rsidRDefault="00DC0761" w:rsidP="007104F5">
            <w:pPr>
              <w:keepNext/>
              <w:spacing w:line="276" w:lineRule="auto"/>
              <w:rPr>
                <w:rFonts w:ascii="Arial Narrow" w:hAnsi="Arial Narrow" w:cstheme="minorHAnsi"/>
                <w:b/>
                <w:bCs/>
                <w:color w:val="000000"/>
                <w:sz w:val="20"/>
                <w:szCs w:val="20"/>
                <w:lang w:val="en-US"/>
              </w:rPr>
            </w:pPr>
            <w:r w:rsidRPr="00FC245C">
              <w:rPr>
                <w:rFonts w:ascii="Arial Narrow" w:hAnsi="Arial Narrow" w:cstheme="minorHAnsi"/>
                <w:b/>
                <w:bCs/>
                <w:color w:val="000000"/>
                <w:sz w:val="20"/>
                <w:szCs w:val="20"/>
              </w:rPr>
              <w:t>Total cost</w:t>
            </w:r>
          </w:p>
        </w:tc>
        <w:tc>
          <w:tcPr>
            <w:tcW w:w="1699" w:type="dxa"/>
            <w:tcBorders>
              <w:top w:val="nil"/>
              <w:left w:val="nil"/>
              <w:bottom w:val="single" w:sz="4" w:space="0" w:color="auto"/>
              <w:right w:val="single" w:sz="4" w:space="0" w:color="auto"/>
            </w:tcBorders>
            <w:shd w:val="clear" w:color="auto" w:fill="FFFFFF" w:themeFill="background1"/>
            <w:noWrap/>
            <w:vAlign w:val="bottom"/>
            <w:hideMark/>
          </w:tcPr>
          <w:p w14:paraId="0BD63E86"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$41,030</w:t>
            </w:r>
          </w:p>
        </w:tc>
        <w:tc>
          <w:tcPr>
            <w:tcW w:w="1821" w:type="dxa"/>
            <w:tcBorders>
              <w:top w:val="nil"/>
              <w:left w:val="nil"/>
              <w:bottom w:val="single" w:sz="4" w:space="0" w:color="auto"/>
              <w:right w:val="single" w:sz="4" w:space="0" w:color="auto"/>
            </w:tcBorders>
            <w:shd w:val="clear" w:color="auto" w:fill="FFFFFF" w:themeFill="background1"/>
            <w:noWrap/>
            <w:vAlign w:val="bottom"/>
            <w:hideMark/>
          </w:tcPr>
          <w:p w14:paraId="352960BD"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$11,362</w:t>
            </w:r>
          </w:p>
        </w:tc>
        <w:tc>
          <w:tcPr>
            <w:tcW w:w="1849" w:type="dxa"/>
            <w:tcBorders>
              <w:top w:val="nil"/>
              <w:left w:val="nil"/>
              <w:bottom w:val="single" w:sz="4" w:space="0" w:color="auto"/>
              <w:right w:val="single" w:sz="4" w:space="0" w:color="auto"/>
            </w:tcBorders>
            <w:shd w:val="clear" w:color="auto" w:fill="FFFFFF" w:themeFill="background1"/>
            <w:noWrap/>
            <w:vAlign w:val="center"/>
            <w:hideMark/>
          </w:tcPr>
          <w:p w14:paraId="0F710622" w14:textId="77777777" w:rsidR="00DC0761" w:rsidRPr="00FC245C" w:rsidRDefault="00DC0761" w:rsidP="00C137E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$29,668</w:t>
            </w:r>
          </w:p>
        </w:tc>
        <w:tc>
          <w:tcPr>
            <w:tcW w:w="1835" w:type="dxa"/>
            <w:tcBorders>
              <w:top w:val="nil"/>
              <w:left w:val="nil"/>
              <w:bottom w:val="single" w:sz="4" w:space="0" w:color="auto"/>
              <w:right w:val="single" w:sz="4" w:space="0" w:color="auto"/>
            </w:tcBorders>
            <w:shd w:val="clear" w:color="auto" w:fill="auto"/>
            <w:vAlign w:val="center"/>
            <w:hideMark/>
          </w:tcPr>
          <w:p w14:paraId="7E050729"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 xml:space="preserve"> </w:t>
            </w:r>
          </w:p>
        </w:tc>
      </w:tr>
      <w:tr w:rsidR="00DC0761" w:rsidRPr="00FC245C" w14:paraId="4857541C" w14:textId="77777777">
        <w:trPr>
          <w:trHeight w:val="295"/>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2A4FD8DE" w14:textId="77777777" w:rsidR="00DC0761" w:rsidRPr="00FC245C" w:rsidRDefault="00DC0761">
            <w:pPr>
              <w:keepNext/>
              <w:spacing w:line="276" w:lineRule="auto"/>
              <w:rPr>
                <w:rFonts w:ascii="Arial Narrow" w:hAnsi="Arial Narrow" w:cstheme="minorHAnsi"/>
                <w:b/>
                <w:bCs/>
                <w:color w:val="000000"/>
                <w:sz w:val="20"/>
                <w:szCs w:val="20"/>
                <w:lang w:val="en-US"/>
              </w:rPr>
            </w:pPr>
            <w:r w:rsidRPr="00FC245C">
              <w:rPr>
                <w:rFonts w:ascii="Arial Narrow" w:hAnsi="Arial Narrow" w:cstheme="minorHAnsi"/>
                <w:b/>
                <w:bCs/>
                <w:color w:val="000000"/>
                <w:sz w:val="20"/>
                <w:szCs w:val="20"/>
              </w:rPr>
              <w:t>LYs</w:t>
            </w:r>
          </w:p>
        </w:tc>
        <w:tc>
          <w:tcPr>
            <w:tcW w:w="1699" w:type="dxa"/>
            <w:tcBorders>
              <w:top w:val="nil"/>
              <w:left w:val="nil"/>
              <w:bottom w:val="single" w:sz="4" w:space="0" w:color="auto"/>
              <w:right w:val="single" w:sz="4" w:space="0" w:color="auto"/>
            </w:tcBorders>
            <w:shd w:val="clear" w:color="auto" w:fill="FFFFFF" w:themeFill="background1"/>
            <w:noWrap/>
            <w:vAlign w:val="bottom"/>
            <w:hideMark/>
          </w:tcPr>
          <w:p w14:paraId="543F80D5"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1.906</w:t>
            </w:r>
          </w:p>
        </w:tc>
        <w:tc>
          <w:tcPr>
            <w:tcW w:w="1821" w:type="dxa"/>
            <w:tcBorders>
              <w:top w:val="nil"/>
              <w:left w:val="nil"/>
              <w:bottom w:val="single" w:sz="4" w:space="0" w:color="auto"/>
              <w:right w:val="single" w:sz="4" w:space="0" w:color="auto"/>
            </w:tcBorders>
            <w:shd w:val="clear" w:color="auto" w:fill="FFFFFF" w:themeFill="background1"/>
            <w:noWrap/>
            <w:vAlign w:val="bottom"/>
            <w:hideMark/>
          </w:tcPr>
          <w:p w14:paraId="233E5076"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1.707</w:t>
            </w:r>
          </w:p>
        </w:tc>
        <w:tc>
          <w:tcPr>
            <w:tcW w:w="1849" w:type="dxa"/>
            <w:tcBorders>
              <w:top w:val="nil"/>
              <w:left w:val="nil"/>
              <w:bottom w:val="single" w:sz="4" w:space="0" w:color="auto"/>
              <w:right w:val="single" w:sz="4" w:space="0" w:color="auto"/>
            </w:tcBorders>
            <w:shd w:val="clear" w:color="auto" w:fill="FFFFFF" w:themeFill="background1"/>
            <w:noWrap/>
            <w:vAlign w:val="bottom"/>
            <w:hideMark/>
          </w:tcPr>
          <w:p w14:paraId="28A1739E"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0.199</w:t>
            </w:r>
          </w:p>
        </w:tc>
        <w:tc>
          <w:tcPr>
            <w:tcW w:w="1835" w:type="dxa"/>
            <w:tcBorders>
              <w:top w:val="nil"/>
              <w:left w:val="nil"/>
              <w:bottom w:val="single" w:sz="4" w:space="0" w:color="auto"/>
              <w:right w:val="single" w:sz="4" w:space="0" w:color="auto"/>
            </w:tcBorders>
            <w:shd w:val="clear" w:color="auto" w:fill="auto"/>
            <w:vAlign w:val="center"/>
            <w:hideMark/>
          </w:tcPr>
          <w:p w14:paraId="54DD4971"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$149,023</w:t>
            </w:r>
          </w:p>
        </w:tc>
      </w:tr>
      <w:tr w:rsidR="00DC0761" w:rsidRPr="00FC245C" w14:paraId="3AD13055" w14:textId="77777777">
        <w:trPr>
          <w:trHeight w:val="295"/>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59428AC4" w14:textId="77777777" w:rsidR="00DC0761" w:rsidRPr="00FC245C" w:rsidRDefault="00DC0761">
            <w:pPr>
              <w:spacing w:line="276" w:lineRule="auto"/>
              <w:rPr>
                <w:rFonts w:ascii="Arial Narrow" w:hAnsi="Arial Narrow"/>
                <w:b/>
                <w:bCs/>
                <w:color w:val="000000"/>
                <w:sz w:val="20"/>
                <w:szCs w:val="20"/>
                <w:lang w:val="en-US"/>
              </w:rPr>
            </w:pPr>
            <w:r w:rsidRPr="00FC245C">
              <w:rPr>
                <w:rFonts w:ascii="Arial Narrow" w:hAnsi="Arial Narrow"/>
                <w:b/>
                <w:bCs/>
                <w:color w:val="000000" w:themeColor="text1"/>
                <w:sz w:val="20"/>
                <w:szCs w:val="20"/>
              </w:rPr>
              <w:t>QALYs</w:t>
            </w:r>
          </w:p>
        </w:tc>
        <w:tc>
          <w:tcPr>
            <w:tcW w:w="1699" w:type="dxa"/>
            <w:tcBorders>
              <w:top w:val="nil"/>
              <w:left w:val="nil"/>
              <w:bottom w:val="single" w:sz="4" w:space="0" w:color="auto"/>
              <w:right w:val="single" w:sz="4" w:space="0" w:color="auto"/>
            </w:tcBorders>
            <w:shd w:val="clear" w:color="auto" w:fill="FFFFFF" w:themeFill="background1"/>
            <w:noWrap/>
            <w:vAlign w:val="bottom"/>
            <w:hideMark/>
          </w:tcPr>
          <w:p w14:paraId="68D25DD0"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1.220</w:t>
            </w:r>
          </w:p>
        </w:tc>
        <w:tc>
          <w:tcPr>
            <w:tcW w:w="1821" w:type="dxa"/>
            <w:tcBorders>
              <w:top w:val="nil"/>
              <w:left w:val="nil"/>
              <w:bottom w:val="single" w:sz="4" w:space="0" w:color="auto"/>
              <w:right w:val="single" w:sz="4" w:space="0" w:color="auto"/>
            </w:tcBorders>
            <w:shd w:val="clear" w:color="auto" w:fill="FFFFFF" w:themeFill="background1"/>
            <w:noWrap/>
            <w:vAlign w:val="bottom"/>
            <w:hideMark/>
          </w:tcPr>
          <w:p w14:paraId="6965E1E1"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1.077</w:t>
            </w:r>
          </w:p>
        </w:tc>
        <w:tc>
          <w:tcPr>
            <w:tcW w:w="1849" w:type="dxa"/>
            <w:tcBorders>
              <w:top w:val="nil"/>
              <w:left w:val="nil"/>
              <w:bottom w:val="single" w:sz="4" w:space="0" w:color="auto"/>
              <w:right w:val="single" w:sz="4" w:space="0" w:color="auto"/>
            </w:tcBorders>
            <w:shd w:val="clear" w:color="auto" w:fill="FFFFFF" w:themeFill="background1"/>
            <w:noWrap/>
            <w:vAlign w:val="bottom"/>
            <w:hideMark/>
          </w:tcPr>
          <w:p w14:paraId="04977578"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0.143</w:t>
            </w:r>
          </w:p>
        </w:tc>
        <w:tc>
          <w:tcPr>
            <w:tcW w:w="1835" w:type="dxa"/>
            <w:tcBorders>
              <w:top w:val="nil"/>
              <w:left w:val="nil"/>
              <w:bottom w:val="single" w:sz="4" w:space="0" w:color="auto"/>
              <w:right w:val="single" w:sz="4" w:space="0" w:color="auto"/>
            </w:tcBorders>
            <w:shd w:val="clear" w:color="auto" w:fill="auto"/>
            <w:vAlign w:val="center"/>
            <w:hideMark/>
          </w:tcPr>
          <w:p w14:paraId="41823251"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$207,526</w:t>
            </w:r>
          </w:p>
        </w:tc>
      </w:tr>
    </w:tbl>
    <w:p w14:paraId="0637FDBB" w14:textId="213EAAE8" w:rsidR="00DC0761" w:rsidRPr="00FC245C" w:rsidRDefault="00DC0761" w:rsidP="00DC0761">
      <w:pPr>
        <w:jc w:val="both"/>
        <w:rPr>
          <w:rFonts w:ascii="Arial Narrow" w:eastAsia="Calibri" w:hAnsi="Arial Narrow" w:cs="Calibri"/>
          <w:color w:val="000000" w:themeColor="text1"/>
          <w:sz w:val="18"/>
          <w:szCs w:val="18"/>
        </w:rPr>
      </w:pPr>
      <w:r w:rsidRPr="00FC245C">
        <w:rPr>
          <w:rFonts w:ascii="Arial Narrow" w:eastAsia="Calibri" w:hAnsi="Arial Narrow" w:cs="Calibri"/>
          <w:color w:val="000000" w:themeColor="text1"/>
          <w:sz w:val="18"/>
          <w:szCs w:val="18"/>
          <w:vertAlign w:val="superscript"/>
          <w:lang w:val="en-US"/>
        </w:rPr>
        <w:t>177</w:t>
      </w:r>
      <w:r w:rsidRPr="00FC245C">
        <w:rPr>
          <w:rFonts w:ascii="Arial Narrow" w:eastAsia="Calibri" w:hAnsi="Arial Narrow" w:cs="Calibri"/>
          <w:color w:val="000000" w:themeColor="text1"/>
          <w:sz w:val="18"/>
          <w:szCs w:val="18"/>
        </w:rPr>
        <w:t xml:space="preserve">Lu-PSMA-617, </w:t>
      </w:r>
      <w:r w:rsidRPr="00FC245C">
        <w:rPr>
          <w:rFonts w:ascii="Arial Narrow" w:eastAsia="Calibri" w:hAnsi="Arial Narrow" w:cs="Calibri"/>
          <w:color w:val="000000" w:themeColor="text1"/>
          <w:sz w:val="18"/>
          <w:szCs w:val="18"/>
          <w:vertAlign w:val="superscript"/>
        </w:rPr>
        <w:t>177</w:t>
      </w:r>
      <w:r w:rsidRPr="00FC245C">
        <w:rPr>
          <w:rFonts w:ascii="Arial Narrow" w:eastAsia="Calibri" w:hAnsi="Arial Narrow" w:cs="Calibri"/>
          <w:color w:val="000000" w:themeColor="text1"/>
          <w:sz w:val="18"/>
          <w:szCs w:val="18"/>
        </w:rPr>
        <w:t>Lutetium Prostate-specific membrane antigen; LY, life-year; ICER: incremental cost-effectiveness ratio; QALY, quality-adjusted life-year.</w:t>
      </w:r>
    </w:p>
    <w:p w14:paraId="2F8C3977" w14:textId="50265CD7" w:rsidR="003252DE" w:rsidRPr="00FC245C" w:rsidRDefault="003252DE" w:rsidP="00DC0761">
      <w:pPr>
        <w:jc w:val="both"/>
        <w:rPr>
          <w:rFonts w:ascii="Arial Narrow" w:hAnsi="Arial Narrow"/>
        </w:rPr>
      </w:pPr>
      <w:r w:rsidRPr="00FC245C">
        <w:rPr>
          <w:rFonts w:ascii="Arial Narrow" w:eastAsia="Calibri" w:hAnsi="Arial Narrow" w:cs="Calibri"/>
          <w:color w:val="000000" w:themeColor="text1"/>
          <w:sz w:val="18"/>
          <w:szCs w:val="18"/>
        </w:rPr>
        <w:t xml:space="preserve">Source: </w:t>
      </w:r>
      <w:r w:rsidR="00FC245C">
        <w:rPr>
          <w:rFonts w:ascii="Arial Narrow" w:eastAsia="Calibri" w:hAnsi="Arial Narrow" w:cs="Calibri"/>
          <w:color w:val="000000" w:themeColor="text1"/>
          <w:sz w:val="18"/>
          <w:szCs w:val="18"/>
        </w:rPr>
        <w:t xml:space="preserve">Table 3-39, p130 of the </w:t>
      </w:r>
      <w:r w:rsidRPr="00FC245C">
        <w:rPr>
          <w:rFonts w:ascii="Arial Narrow" w:eastAsia="Calibri" w:hAnsi="Arial Narrow" w:cs="Calibri"/>
          <w:color w:val="000000" w:themeColor="text1"/>
          <w:sz w:val="18"/>
          <w:szCs w:val="18"/>
        </w:rPr>
        <w:t xml:space="preserve">ADAR </w:t>
      </w:r>
    </w:p>
    <w:p w14:paraId="7F0E0876" w14:textId="63D5F72B" w:rsidR="00DC0761" w:rsidRPr="00FC245C" w:rsidRDefault="00FC245C" w:rsidP="00FC245C">
      <w:pPr>
        <w:pStyle w:val="Caption"/>
        <w:rPr>
          <w:rFonts w:cstheme="minorBidi"/>
        </w:rPr>
      </w:pPr>
      <w:bookmarkStart w:id="39" w:name="_Ref147190016"/>
      <w:bookmarkStart w:id="40" w:name="_Toc147320058"/>
      <w:r>
        <w:t>Table</w:t>
      </w:r>
      <w:r w:rsidR="00352EBD">
        <w:t xml:space="preserve"> 9</w:t>
      </w:r>
      <w:bookmarkEnd w:id="39"/>
      <w:r>
        <w:tab/>
      </w:r>
      <w:r w:rsidR="00DC0761" w:rsidRPr="00FC245C">
        <w:rPr>
          <w:rFonts w:cstheme="minorBidi"/>
        </w:rPr>
        <w:t xml:space="preserve">Summary of Base Case Results (discounted): </w:t>
      </w:r>
      <w:r w:rsidR="00DC0761" w:rsidRPr="00FC245C">
        <w:rPr>
          <w:rFonts w:cstheme="minorBidi"/>
          <w:vertAlign w:val="superscript"/>
        </w:rPr>
        <w:t>177</w:t>
      </w:r>
      <w:r w:rsidR="00DC0761" w:rsidRPr="00FC245C">
        <w:rPr>
          <w:rFonts w:cstheme="minorBidi"/>
        </w:rPr>
        <w:t>Lu-PSMA-617 vs. BSC</w:t>
      </w:r>
      <w:bookmarkEnd w:id="40"/>
      <w:r w:rsidR="00DC0761" w:rsidRPr="00FC245C">
        <w:rPr>
          <w:rFonts w:cstheme="minorBidi"/>
        </w:rPr>
        <w:t xml:space="preserve"> (VISION)</w:t>
      </w:r>
    </w:p>
    <w:tbl>
      <w:tblPr>
        <w:tblW w:w="9129" w:type="dxa"/>
        <w:tblInd w:w="-5" w:type="dxa"/>
        <w:tblLook w:val="04A0" w:firstRow="1" w:lastRow="0" w:firstColumn="1" w:lastColumn="0" w:noHBand="0" w:noVBand="1"/>
      </w:tblPr>
      <w:tblGrid>
        <w:gridCol w:w="1925"/>
        <w:gridCol w:w="1699"/>
        <w:gridCol w:w="1821"/>
        <w:gridCol w:w="1849"/>
        <w:gridCol w:w="1835"/>
      </w:tblGrid>
      <w:tr w:rsidR="00DC0761" w:rsidRPr="00FC245C" w14:paraId="4F5E8667" w14:textId="77777777" w:rsidTr="00FB178D">
        <w:trPr>
          <w:trHeight w:val="702"/>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784DC" w14:textId="77777777" w:rsidR="00DC0761" w:rsidRPr="00FC245C" w:rsidRDefault="00DC0761" w:rsidP="00FB178D">
            <w:pPr>
              <w:keepNext/>
              <w:spacing w:line="276" w:lineRule="auto"/>
              <w:rPr>
                <w:rFonts w:ascii="Arial Narrow" w:hAnsi="Arial Narrow" w:cstheme="minorHAnsi"/>
                <w:b/>
                <w:bCs/>
                <w:color w:val="000000"/>
                <w:sz w:val="20"/>
                <w:szCs w:val="20"/>
                <w:lang w:val="en-US"/>
              </w:rPr>
            </w:pPr>
            <w:r w:rsidRPr="00FC245C">
              <w:rPr>
                <w:rFonts w:ascii="Arial Narrow" w:hAnsi="Arial Narrow" w:cstheme="minorHAnsi"/>
                <w:b/>
                <w:bCs/>
                <w:sz w:val="20"/>
                <w:szCs w:val="20"/>
              </w:rPr>
              <w:t>Parameters</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1660DEA4" w14:textId="3B5CE0D8" w:rsidR="00DC0761" w:rsidRPr="00FC245C" w:rsidRDefault="00864390">
            <w:pPr>
              <w:keepNext/>
              <w:spacing w:line="276" w:lineRule="auto"/>
              <w:jc w:val="center"/>
              <w:rPr>
                <w:rFonts w:ascii="Arial Narrow" w:hAnsi="Arial Narrow"/>
                <w:b/>
                <w:bCs/>
                <w:color w:val="000000"/>
                <w:sz w:val="20"/>
                <w:szCs w:val="20"/>
                <w:lang w:val="en-US"/>
              </w:rPr>
            </w:pPr>
            <w:r>
              <w:rPr>
                <w:rFonts w:ascii="Arial Narrow" w:hAnsi="Arial Narrow"/>
                <w:b/>
                <w:bCs/>
                <w:sz w:val="20"/>
                <w:szCs w:val="20"/>
              </w:rPr>
              <w:t>VISION</w:t>
            </w:r>
            <w:r w:rsidR="00DC0761" w:rsidRPr="00FC245C">
              <w:rPr>
                <w:rFonts w:ascii="Arial Narrow" w:hAnsi="Arial Narrow"/>
                <w:b/>
                <w:bCs/>
                <w:sz w:val="20"/>
                <w:szCs w:val="20"/>
              </w:rPr>
              <w:t xml:space="preserve">: </w:t>
            </w:r>
            <w:r w:rsidR="00DC0761" w:rsidRPr="00FC245C">
              <w:rPr>
                <w:rFonts w:ascii="Arial Narrow" w:hAnsi="Arial Narrow"/>
                <w:b/>
                <w:bCs/>
                <w:sz w:val="20"/>
                <w:szCs w:val="20"/>
                <w:vertAlign w:val="superscript"/>
              </w:rPr>
              <w:t>177</w:t>
            </w:r>
            <w:r w:rsidR="00DC0761" w:rsidRPr="00FC245C">
              <w:rPr>
                <w:rFonts w:ascii="Arial Narrow" w:hAnsi="Arial Narrow"/>
                <w:b/>
                <w:bCs/>
                <w:sz w:val="20"/>
                <w:szCs w:val="20"/>
              </w:rPr>
              <w:t>Lu-PSMA-617</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14:paraId="1D49F094" w14:textId="752A844D" w:rsidR="00DC0761" w:rsidRPr="00FC245C" w:rsidRDefault="00864390">
            <w:pPr>
              <w:keepNext/>
              <w:spacing w:line="276" w:lineRule="auto"/>
              <w:jc w:val="center"/>
              <w:rPr>
                <w:rFonts w:ascii="Arial Narrow" w:hAnsi="Arial Narrow" w:cstheme="minorHAnsi"/>
                <w:b/>
                <w:bCs/>
                <w:color w:val="000000"/>
                <w:sz w:val="20"/>
                <w:szCs w:val="20"/>
                <w:lang w:val="en-US"/>
              </w:rPr>
            </w:pPr>
            <w:r>
              <w:rPr>
                <w:rFonts w:ascii="Arial Narrow" w:hAnsi="Arial Narrow" w:cstheme="minorHAnsi"/>
                <w:b/>
                <w:bCs/>
                <w:color w:val="000000"/>
                <w:sz w:val="20"/>
                <w:szCs w:val="20"/>
              </w:rPr>
              <w:t>BSC</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389F1DAE" w14:textId="77777777" w:rsidR="00DC0761" w:rsidRPr="00FC245C" w:rsidRDefault="00DC0761">
            <w:pPr>
              <w:keepNext/>
              <w:spacing w:line="276" w:lineRule="auto"/>
              <w:jc w:val="center"/>
              <w:rPr>
                <w:rFonts w:ascii="Arial Narrow" w:hAnsi="Arial Narrow" w:cstheme="minorHAnsi"/>
                <w:b/>
                <w:bCs/>
                <w:color w:val="000000"/>
                <w:sz w:val="20"/>
                <w:szCs w:val="20"/>
                <w:lang w:val="en-US"/>
              </w:rPr>
            </w:pPr>
            <w:r w:rsidRPr="00FC245C">
              <w:rPr>
                <w:rFonts w:ascii="Arial Narrow" w:hAnsi="Arial Narrow" w:cstheme="minorHAnsi"/>
                <w:b/>
                <w:bCs/>
                <w:sz w:val="20"/>
                <w:szCs w:val="20"/>
              </w:rPr>
              <w:t>Incremental Outcome</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14:paraId="4B4273BA" w14:textId="77777777" w:rsidR="00DC0761" w:rsidRPr="00FC245C" w:rsidRDefault="00DC0761">
            <w:pPr>
              <w:keepNext/>
              <w:spacing w:line="276" w:lineRule="auto"/>
              <w:jc w:val="center"/>
              <w:rPr>
                <w:rFonts w:ascii="Arial Narrow" w:hAnsi="Arial Narrow" w:cstheme="minorHAnsi"/>
                <w:b/>
                <w:bCs/>
                <w:color w:val="000000"/>
                <w:sz w:val="20"/>
                <w:szCs w:val="20"/>
                <w:lang w:val="en-US"/>
              </w:rPr>
            </w:pPr>
            <w:r w:rsidRPr="00FC245C">
              <w:rPr>
                <w:rFonts w:ascii="Arial Narrow" w:hAnsi="Arial Narrow" w:cstheme="minorHAnsi"/>
                <w:b/>
                <w:bCs/>
                <w:sz w:val="20"/>
                <w:szCs w:val="20"/>
              </w:rPr>
              <w:t>ICER</w:t>
            </w:r>
          </w:p>
        </w:tc>
      </w:tr>
      <w:tr w:rsidR="00DC0761" w:rsidRPr="00FC245C" w14:paraId="10B85611" w14:textId="77777777">
        <w:trPr>
          <w:trHeight w:val="295"/>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78570378" w14:textId="77777777" w:rsidR="00DC0761" w:rsidRPr="00FC245C" w:rsidRDefault="00DC0761">
            <w:pPr>
              <w:keepNext/>
              <w:spacing w:line="276" w:lineRule="auto"/>
              <w:rPr>
                <w:rFonts w:ascii="Arial Narrow" w:hAnsi="Arial Narrow" w:cstheme="minorHAnsi"/>
                <w:b/>
                <w:bCs/>
                <w:color w:val="000000"/>
                <w:sz w:val="20"/>
                <w:szCs w:val="20"/>
                <w:lang w:val="en-US"/>
              </w:rPr>
            </w:pPr>
            <w:r w:rsidRPr="00FC245C">
              <w:rPr>
                <w:rFonts w:ascii="Arial Narrow" w:hAnsi="Arial Narrow" w:cstheme="minorHAnsi"/>
                <w:b/>
                <w:bCs/>
                <w:color w:val="000000"/>
                <w:sz w:val="20"/>
                <w:szCs w:val="20"/>
              </w:rPr>
              <w:t>Total cost</w:t>
            </w:r>
          </w:p>
        </w:tc>
        <w:tc>
          <w:tcPr>
            <w:tcW w:w="1699" w:type="dxa"/>
            <w:tcBorders>
              <w:top w:val="nil"/>
              <w:left w:val="nil"/>
              <w:bottom w:val="single" w:sz="4" w:space="0" w:color="auto"/>
              <w:right w:val="single" w:sz="4" w:space="0" w:color="auto"/>
            </w:tcBorders>
            <w:shd w:val="clear" w:color="auto" w:fill="FFFFFF" w:themeFill="background1"/>
            <w:noWrap/>
            <w:vAlign w:val="bottom"/>
            <w:hideMark/>
          </w:tcPr>
          <w:p w14:paraId="3D2CFB92"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$44,516</w:t>
            </w:r>
          </w:p>
        </w:tc>
        <w:tc>
          <w:tcPr>
            <w:tcW w:w="1821" w:type="dxa"/>
            <w:tcBorders>
              <w:top w:val="nil"/>
              <w:left w:val="nil"/>
              <w:bottom w:val="single" w:sz="4" w:space="0" w:color="auto"/>
              <w:right w:val="single" w:sz="4" w:space="0" w:color="auto"/>
            </w:tcBorders>
            <w:shd w:val="clear" w:color="auto" w:fill="FFFFFF" w:themeFill="background1"/>
            <w:noWrap/>
            <w:vAlign w:val="bottom"/>
            <w:hideMark/>
          </w:tcPr>
          <w:p w14:paraId="01BBD5F4"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$6,184</w:t>
            </w:r>
          </w:p>
        </w:tc>
        <w:tc>
          <w:tcPr>
            <w:tcW w:w="1849" w:type="dxa"/>
            <w:tcBorders>
              <w:top w:val="nil"/>
              <w:left w:val="nil"/>
              <w:bottom w:val="single" w:sz="4" w:space="0" w:color="auto"/>
              <w:right w:val="single" w:sz="4" w:space="0" w:color="auto"/>
            </w:tcBorders>
            <w:shd w:val="clear" w:color="auto" w:fill="FFFFFF" w:themeFill="background1"/>
            <w:noWrap/>
            <w:vAlign w:val="bottom"/>
            <w:hideMark/>
          </w:tcPr>
          <w:p w14:paraId="1E0B90D0"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$38,332</w:t>
            </w:r>
          </w:p>
        </w:tc>
        <w:tc>
          <w:tcPr>
            <w:tcW w:w="1835" w:type="dxa"/>
            <w:tcBorders>
              <w:top w:val="nil"/>
              <w:left w:val="nil"/>
              <w:bottom w:val="single" w:sz="4" w:space="0" w:color="auto"/>
              <w:right w:val="single" w:sz="4" w:space="0" w:color="auto"/>
            </w:tcBorders>
            <w:shd w:val="clear" w:color="auto" w:fill="auto"/>
            <w:vAlign w:val="center"/>
            <w:hideMark/>
          </w:tcPr>
          <w:p w14:paraId="3CBF449F"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 xml:space="preserve"> </w:t>
            </w:r>
          </w:p>
        </w:tc>
      </w:tr>
      <w:tr w:rsidR="00DC0761" w:rsidRPr="00FC245C" w14:paraId="7FA8187F" w14:textId="77777777">
        <w:trPr>
          <w:trHeight w:val="295"/>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0ACA7689" w14:textId="77777777" w:rsidR="00DC0761" w:rsidRPr="00FC245C" w:rsidRDefault="00DC0761">
            <w:pPr>
              <w:keepNext/>
              <w:spacing w:line="276" w:lineRule="auto"/>
              <w:rPr>
                <w:rFonts w:ascii="Arial Narrow" w:hAnsi="Arial Narrow" w:cstheme="minorHAnsi"/>
                <w:b/>
                <w:bCs/>
                <w:color w:val="000000"/>
                <w:sz w:val="20"/>
                <w:szCs w:val="20"/>
                <w:lang w:val="en-US"/>
              </w:rPr>
            </w:pPr>
            <w:r w:rsidRPr="00FC245C">
              <w:rPr>
                <w:rFonts w:ascii="Arial Narrow" w:hAnsi="Arial Narrow" w:cstheme="minorHAnsi"/>
                <w:b/>
                <w:bCs/>
                <w:color w:val="000000"/>
                <w:sz w:val="20"/>
                <w:szCs w:val="20"/>
              </w:rPr>
              <w:t>LYs</w:t>
            </w:r>
          </w:p>
        </w:tc>
        <w:tc>
          <w:tcPr>
            <w:tcW w:w="1699" w:type="dxa"/>
            <w:tcBorders>
              <w:top w:val="nil"/>
              <w:left w:val="nil"/>
              <w:bottom w:val="single" w:sz="4" w:space="0" w:color="auto"/>
              <w:right w:val="single" w:sz="4" w:space="0" w:color="auto"/>
            </w:tcBorders>
            <w:shd w:val="clear" w:color="auto" w:fill="FFFFFF" w:themeFill="background1"/>
            <w:noWrap/>
            <w:vAlign w:val="bottom"/>
            <w:hideMark/>
          </w:tcPr>
          <w:p w14:paraId="14322DA1"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1.724</w:t>
            </w:r>
          </w:p>
        </w:tc>
        <w:tc>
          <w:tcPr>
            <w:tcW w:w="1821" w:type="dxa"/>
            <w:tcBorders>
              <w:top w:val="nil"/>
              <w:left w:val="nil"/>
              <w:bottom w:val="single" w:sz="4" w:space="0" w:color="auto"/>
              <w:right w:val="single" w:sz="4" w:space="0" w:color="auto"/>
            </w:tcBorders>
            <w:shd w:val="clear" w:color="auto" w:fill="FFFFFF" w:themeFill="background1"/>
            <w:noWrap/>
            <w:vAlign w:val="bottom"/>
          </w:tcPr>
          <w:p w14:paraId="640D3461"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1.292</w:t>
            </w:r>
          </w:p>
        </w:tc>
        <w:tc>
          <w:tcPr>
            <w:tcW w:w="1849" w:type="dxa"/>
            <w:tcBorders>
              <w:top w:val="nil"/>
              <w:left w:val="nil"/>
              <w:bottom w:val="single" w:sz="4" w:space="0" w:color="auto"/>
              <w:right w:val="single" w:sz="4" w:space="0" w:color="auto"/>
            </w:tcBorders>
            <w:shd w:val="clear" w:color="auto" w:fill="FFFFFF" w:themeFill="background1"/>
            <w:noWrap/>
            <w:vAlign w:val="bottom"/>
          </w:tcPr>
          <w:p w14:paraId="699F6499"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0.432</w:t>
            </w:r>
          </w:p>
        </w:tc>
        <w:tc>
          <w:tcPr>
            <w:tcW w:w="1835" w:type="dxa"/>
            <w:tcBorders>
              <w:top w:val="nil"/>
              <w:left w:val="nil"/>
              <w:bottom w:val="single" w:sz="4" w:space="0" w:color="auto"/>
              <w:right w:val="single" w:sz="4" w:space="0" w:color="auto"/>
            </w:tcBorders>
            <w:shd w:val="clear" w:color="auto" w:fill="auto"/>
            <w:vAlign w:val="center"/>
            <w:hideMark/>
          </w:tcPr>
          <w:p w14:paraId="22E328FC"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$88,823</w:t>
            </w:r>
          </w:p>
        </w:tc>
      </w:tr>
      <w:tr w:rsidR="00DC0761" w:rsidRPr="00FC245C" w14:paraId="5EF44D0C" w14:textId="77777777">
        <w:trPr>
          <w:trHeight w:val="295"/>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6EC0AEE1" w14:textId="77777777" w:rsidR="00DC0761" w:rsidRPr="00FC245C" w:rsidRDefault="00DC0761">
            <w:pPr>
              <w:spacing w:line="276" w:lineRule="auto"/>
              <w:rPr>
                <w:rFonts w:ascii="Arial Narrow" w:hAnsi="Arial Narrow"/>
                <w:b/>
                <w:bCs/>
                <w:color w:val="000000"/>
                <w:sz w:val="20"/>
                <w:szCs w:val="20"/>
                <w:lang w:val="en-US"/>
              </w:rPr>
            </w:pPr>
            <w:r w:rsidRPr="00FC245C">
              <w:rPr>
                <w:rFonts w:ascii="Arial Narrow" w:hAnsi="Arial Narrow"/>
                <w:b/>
                <w:bCs/>
                <w:color w:val="000000" w:themeColor="text1"/>
                <w:sz w:val="20"/>
                <w:szCs w:val="20"/>
              </w:rPr>
              <w:t>QALYs</w:t>
            </w:r>
          </w:p>
        </w:tc>
        <w:tc>
          <w:tcPr>
            <w:tcW w:w="1699" w:type="dxa"/>
            <w:tcBorders>
              <w:top w:val="nil"/>
              <w:left w:val="nil"/>
              <w:bottom w:val="single" w:sz="4" w:space="0" w:color="auto"/>
              <w:right w:val="single" w:sz="4" w:space="0" w:color="auto"/>
            </w:tcBorders>
            <w:shd w:val="clear" w:color="auto" w:fill="FFFFFF" w:themeFill="background1"/>
            <w:noWrap/>
            <w:vAlign w:val="bottom"/>
            <w:hideMark/>
          </w:tcPr>
          <w:p w14:paraId="7101D98F"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1.165</w:t>
            </w:r>
          </w:p>
        </w:tc>
        <w:tc>
          <w:tcPr>
            <w:tcW w:w="1821" w:type="dxa"/>
            <w:tcBorders>
              <w:top w:val="nil"/>
              <w:left w:val="nil"/>
              <w:bottom w:val="single" w:sz="4" w:space="0" w:color="auto"/>
              <w:right w:val="single" w:sz="4" w:space="0" w:color="auto"/>
            </w:tcBorders>
            <w:shd w:val="clear" w:color="auto" w:fill="FFFFFF" w:themeFill="background1"/>
            <w:noWrap/>
            <w:vAlign w:val="bottom"/>
          </w:tcPr>
          <w:p w14:paraId="6F042B79"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0.822</w:t>
            </w:r>
          </w:p>
        </w:tc>
        <w:tc>
          <w:tcPr>
            <w:tcW w:w="1849" w:type="dxa"/>
            <w:tcBorders>
              <w:top w:val="nil"/>
              <w:left w:val="nil"/>
              <w:bottom w:val="single" w:sz="4" w:space="0" w:color="auto"/>
              <w:right w:val="single" w:sz="4" w:space="0" w:color="auto"/>
            </w:tcBorders>
            <w:shd w:val="clear" w:color="auto" w:fill="FFFFFF" w:themeFill="background1"/>
            <w:noWrap/>
            <w:vAlign w:val="bottom"/>
          </w:tcPr>
          <w:p w14:paraId="0E04A9C9"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0.342</w:t>
            </w:r>
          </w:p>
        </w:tc>
        <w:tc>
          <w:tcPr>
            <w:tcW w:w="1835" w:type="dxa"/>
            <w:tcBorders>
              <w:top w:val="nil"/>
              <w:left w:val="nil"/>
              <w:bottom w:val="single" w:sz="4" w:space="0" w:color="auto"/>
              <w:right w:val="single" w:sz="4" w:space="0" w:color="auto"/>
            </w:tcBorders>
            <w:shd w:val="clear" w:color="auto" w:fill="auto"/>
            <w:vAlign w:val="center"/>
            <w:hideMark/>
          </w:tcPr>
          <w:p w14:paraId="63F23BFD"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$111,934</w:t>
            </w:r>
          </w:p>
        </w:tc>
      </w:tr>
    </w:tbl>
    <w:p w14:paraId="5D3CB407" w14:textId="377C26FD" w:rsidR="00DC0761" w:rsidRPr="00FC245C" w:rsidRDefault="00DC0761" w:rsidP="00DC0761">
      <w:pPr>
        <w:spacing w:line="276" w:lineRule="auto"/>
        <w:jc w:val="both"/>
        <w:rPr>
          <w:rFonts w:ascii="Arial Narrow" w:eastAsia="Calibri" w:hAnsi="Arial Narrow" w:cs="Calibri"/>
          <w:sz w:val="18"/>
          <w:szCs w:val="18"/>
        </w:rPr>
      </w:pPr>
      <w:r w:rsidRPr="00FC245C">
        <w:rPr>
          <w:rFonts w:ascii="Arial Narrow" w:eastAsia="Calibri" w:hAnsi="Arial Narrow" w:cs="Calibri"/>
          <w:color w:val="000000" w:themeColor="text1"/>
          <w:sz w:val="18"/>
          <w:szCs w:val="18"/>
          <w:vertAlign w:val="superscript"/>
          <w:lang w:val="en-US"/>
        </w:rPr>
        <w:t>177</w:t>
      </w:r>
      <w:r w:rsidRPr="00FC245C">
        <w:rPr>
          <w:rFonts w:ascii="Arial Narrow" w:eastAsia="Calibri" w:hAnsi="Arial Narrow" w:cs="Calibri"/>
          <w:color w:val="000000" w:themeColor="text1"/>
          <w:sz w:val="18"/>
          <w:szCs w:val="18"/>
        </w:rPr>
        <w:t xml:space="preserve">Lu-PSMA-617, </w:t>
      </w:r>
      <w:r w:rsidRPr="00FC245C">
        <w:rPr>
          <w:rFonts w:ascii="Arial Narrow" w:eastAsia="Calibri" w:hAnsi="Arial Narrow" w:cs="Calibri"/>
          <w:color w:val="000000" w:themeColor="text1"/>
          <w:sz w:val="18"/>
          <w:szCs w:val="18"/>
          <w:vertAlign w:val="superscript"/>
        </w:rPr>
        <w:t>177</w:t>
      </w:r>
      <w:r w:rsidRPr="00FC245C">
        <w:rPr>
          <w:rFonts w:ascii="Arial Narrow" w:eastAsia="Calibri" w:hAnsi="Arial Narrow" w:cs="Calibri"/>
          <w:color w:val="000000" w:themeColor="text1"/>
          <w:sz w:val="18"/>
          <w:szCs w:val="18"/>
        </w:rPr>
        <w:t xml:space="preserve">Lutetium Prostate-specific membrane antigen; BSc, </w:t>
      </w:r>
      <w:proofErr w:type="gramStart"/>
      <w:r w:rsidRPr="00FC245C">
        <w:rPr>
          <w:rFonts w:ascii="Arial Narrow" w:eastAsia="Calibri" w:hAnsi="Arial Narrow" w:cs="Calibri"/>
          <w:color w:val="000000" w:themeColor="text1"/>
          <w:sz w:val="18"/>
          <w:szCs w:val="18"/>
        </w:rPr>
        <w:t>Best</w:t>
      </w:r>
      <w:proofErr w:type="gramEnd"/>
      <w:r w:rsidRPr="00FC245C">
        <w:rPr>
          <w:rFonts w:ascii="Arial Narrow" w:eastAsia="Calibri" w:hAnsi="Arial Narrow" w:cs="Calibri"/>
          <w:color w:val="000000" w:themeColor="text1"/>
          <w:sz w:val="18"/>
          <w:szCs w:val="18"/>
        </w:rPr>
        <w:t xml:space="preserve"> supportive care; </w:t>
      </w:r>
      <w:r w:rsidRPr="00FC245C">
        <w:rPr>
          <w:rFonts w:ascii="Arial Narrow" w:eastAsia="Calibri" w:hAnsi="Arial Narrow" w:cs="Calibri"/>
          <w:sz w:val="18"/>
          <w:szCs w:val="18"/>
        </w:rPr>
        <w:t>LY, life-year; ICER: incremental cost-effectiveness ratio; QALY, quality-adjusted life-year.</w:t>
      </w:r>
    </w:p>
    <w:p w14:paraId="7CD3553E" w14:textId="71774D87" w:rsidR="00DC0761" w:rsidRPr="00615FD8" w:rsidRDefault="003252DE" w:rsidP="00FC245C">
      <w:pPr>
        <w:spacing w:line="276" w:lineRule="auto"/>
        <w:jc w:val="both"/>
        <w:rPr>
          <w:rFonts w:asciiTheme="minorHAnsi" w:hAnsiTheme="minorHAnsi" w:cstheme="minorHAnsi"/>
        </w:rPr>
      </w:pPr>
      <w:r w:rsidRPr="00FC245C">
        <w:rPr>
          <w:rFonts w:ascii="Arial Narrow" w:eastAsia="Calibri" w:hAnsi="Arial Narrow" w:cs="Calibri"/>
          <w:sz w:val="18"/>
          <w:szCs w:val="18"/>
        </w:rPr>
        <w:t xml:space="preserve">Source: </w:t>
      </w:r>
      <w:r w:rsidR="00FC245C">
        <w:rPr>
          <w:rFonts w:ascii="Arial Narrow" w:eastAsia="Calibri" w:hAnsi="Arial Narrow" w:cs="Calibri"/>
          <w:sz w:val="18"/>
          <w:szCs w:val="18"/>
        </w:rPr>
        <w:t xml:space="preserve">Table 3-40, p130 of the </w:t>
      </w:r>
      <w:r w:rsidRPr="00FC245C">
        <w:rPr>
          <w:rFonts w:ascii="Arial Narrow" w:eastAsia="Calibri" w:hAnsi="Arial Narrow" w:cs="Calibri"/>
          <w:sz w:val="18"/>
          <w:szCs w:val="18"/>
        </w:rPr>
        <w:t>ADAR</w:t>
      </w:r>
    </w:p>
    <w:p w14:paraId="527A3085" w14:textId="767C3669" w:rsidR="00DC0761" w:rsidRPr="00FC245C" w:rsidRDefault="00FC245C" w:rsidP="00FC245C">
      <w:pPr>
        <w:pStyle w:val="Caption"/>
        <w:rPr>
          <w:rFonts w:cstheme="minorBidi"/>
        </w:rPr>
      </w:pPr>
      <w:bookmarkStart w:id="41" w:name="_Ref147190033"/>
      <w:bookmarkStart w:id="42" w:name="_Toc147320059"/>
      <w:r>
        <w:t>Table</w:t>
      </w:r>
      <w:r w:rsidR="00352EBD">
        <w:t xml:space="preserve"> 10</w:t>
      </w:r>
      <w:r>
        <w:tab/>
      </w:r>
      <w:bookmarkEnd w:id="41"/>
      <w:r w:rsidR="00DC0761" w:rsidRPr="00FC245C">
        <w:rPr>
          <w:rFonts w:cstheme="minorBidi"/>
        </w:rPr>
        <w:t xml:space="preserve">Summary of Base Case Results (discounted): </w:t>
      </w:r>
      <w:r w:rsidR="00DC0761" w:rsidRPr="00FC245C">
        <w:rPr>
          <w:rFonts w:cstheme="minorBidi"/>
          <w:vertAlign w:val="superscript"/>
        </w:rPr>
        <w:t>177</w:t>
      </w:r>
      <w:r w:rsidR="00DC0761" w:rsidRPr="00FC245C">
        <w:rPr>
          <w:rFonts w:cstheme="minorBidi"/>
        </w:rPr>
        <w:t>Lu-PSMA-617 vs. weighted comparator</w:t>
      </w:r>
      <w:bookmarkEnd w:id="42"/>
      <w:r w:rsidR="00864390">
        <w:rPr>
          <w:rFonts w:cstheme="minorBidi"/>
        </w:rPr>
        <w:t xml:space="preserve"> (75% </w:t>
      </w:r>
      <w:proofErr w:type="gramStart"/>
      <w:r w:rsidR="00864390">
        <w:rPr>
          <w:rFonts w:cstheme="minorBidi"/>
        </w:rPr>
        <w:t>cabazitaxel :</w:t>
      </w:r>
      <w:proofErr w:type="gramEnd"/>
      <w:r w:rsidR="00864390">
        <w:rPr>
          <w:rFonts w:cstheme="minorBidi"/>
        </w:rPr>
        <w:t xml:space="preserve"> 25% BSC)</w:t>
      </w:r>
    </w:p>
    <w:tbl>
      <w:tblPr>
        <w:tblW w:w="9129" w:type="dxa"/>
        <w:tblInd w:w="-5" w:type="dxa"/>
        <w:tblLook w:val="04A0" w:firstRow="1" w:lastRow="0" w:firstColumn="1" w:lastColumn="0" w:noHBand="0" w:noVBand="1"/>
      </w:tblPr>
      <w:tblGrid>
        <w:gridCol w:w="1925"/>
        <w:gridCol w:w="1699"/>
        <w:gridCol w:w="1821"/>
        <w:gridCol w:w="1849"/>
        <w:gridCol w:w="1835"/>
      </w:tblGrid>
      <w:tr w:rsidR="00DC0761" w:rsidRPr="00FC245C" w14:paraId="7A80BA33" w14:textId="77777777" w:rsidTr="00FB178D">
        <w:trPr>
          <w:trHeight w:val="702"/>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4480B" w14:textId="77777777" w:rsidR="00DC0761" w:rsidRPr="00FC245C" w:rsidRDefault="00DC0761" w:rsidP="00FB178D">
            <w:pPr>
              <w:keepNext/>
              <w:spacing w:line="276" w:lineRule="auto"/>
              <w:rPr>
                <w:rFonts w:ascii="Arial Narrow" w:hAnsi="Arial Narrow" w:cstheme="minorHAnsi"/>
                <w:b/>
                <w:bCs/>
                <w:color w:val="000000"/>
                <w:sz w:val="20"/>
                <w:szCs w:val="20"/>
                <w:lang w:val="en-US"/>
              </w:rPr>
            </w:pPr>
            <w:r w:rsidRPr="00FC245C">
              <w:rPr>
                <w:rFonts w:ascii="Arial Narrow" w:hAnsi="Arial Narrow" w:cstheme="minorHAnsi"/>
                <w:b/>
                <w:bCs/>
                <w:sz w:val="20"/>
                <w:szCs w:val="20"/>
              </w:rPr>
              <w:t>Parameters</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1D6C8CCA" w14:textId="7B3C3B9C" w:rsidR="00DC0761" w:rsidRPr="00FC245C" w:rsidRDefault="00DC0761">
            <w:pPr>
              <w:keepNext/>
              <w:spacing w:line="276" w:lineRule="auto"/>
              <w:jc w:val="center"/>
              <w:rPr>
                <w:rFonts w:ascii="Arial Narrow" w:hAnsi="Arial Narrow"/>
                <w:b/>
                <w:bCs/>
                <w:color w:val="000000"/>
                <w:sz w:val="20"/>
                <w:szCs w:val="20"/>
                <w:lang w:val="en-US"/>
              </w:rPr>
            </w:pPr>
            <w:r w:rsidRPr="00FC245C">
              <w:rPr>
                <w:rFonts w:ascii="Arial Narrow" w:hAnsi="Arial Narrow"/>
                <w:b/>
                <w:bCs/>
                <w:sz w:val="20"/>
                <w:szCs w:val="20"/>
                <w:vertAlign w:val="superscript"/>
              </w:rPr>
              <w:t>177</w:t>
            </w:r>
            <w:r w:rsidRPr="00FC245C">
              <w:rPr>
                <w:rFonts w:ascii="Arial Narrow" w:hAnsi="Arial Narrow"/>
                <w:b/>
                <w:bCs/>
                <w:sz w:val="20"/>
                <w:szCs w:val="20"/>
              </w:rPr>
              <w:t>Lu-PSMA-617</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14:paraId="6861DD19" w14:textId="50C7C72F" w:rsidR="00DC0761" w:rsidRPr="00FC245C" w:rsidRDefault="00095A82">
            <w:pPr>
              <w:keepNext/>
              <w:spacing w:line="276" w:lineRule="auto"/>
              <w:jc w:val="center"/>
              <w:rPr>
                <w:rFonts w:ascii="Arial Narrow" w:hAnsi="Arial Narrow" w:cstheme="minorHAnsi"/>
                <w:b/>
                <w:bCs/>
                <w:color w:val="000000"/>
                <w:sz w:val="20"/>
                <w:szCs w:val="20"/>
                <w:lang w:val="en-US"/>
              </w:rPr>
            </w:pPr>
            <w:r w:rsidRPr="00095A82">
              <w:rPr>
                <w:rFonts w:ascii="Arial Narrow" w:hAnsi="Arial Narrow" w:cstheme="minorHAnsi"/>
                <w:b/>
                <w:bCs/>
                <w:color w:val="000000"/>
                <w:sz w:val="20"/>
                <w:szCs w:val="20"/>
              </w:rPr>
              <w:t xml:space="preserve">75% </w:t>
            </w:r>
            <w:proofErr w:type="gramStart"/>
            <w:r w:rsidRPr="00095A82">
              <w:rPr>
                <w:rFonts w:ascii="Arial Narrow" w:hAnsi="Arial Narrow" w:cstheme="minorHAnsi"/>
                <w:b/>
                <w:bCs/>
                <w:color w:val="000000"/>
                <w:sz w:val="20"/>
                <w:szCs w:val="20"/>
              </w:rPr>
              <w:t>cabazitaxel :</w:t>
            </w:r>
            <w:proofErr w:type="gramEnd"/>
            <w:r w:rsidRPr="00095A82">
              <w:rPr>
                <w:rFonts w:ascii="Arial Narrow" w:hAnsi="Arial Narrow" w:cstheme="minorHAnsi"/>
                <w:b/>
                <w:bCs/>
                <w:color w:val="000000"/>
                <w:sz w:val="20"/>
                <w:szCs w:val="20"/>
              </w:rPr>
              <w:t xml:space="preserve"> 25% BSC</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0D6BFF5F" w14:textId="77777777" w:rsidR="00DC0761" w:rsidRPr="00FC245C" w:rsidRDefault="00DC0761">
            <w:pPr>
              <w:keepNext/>
              <w:spacing w:line="276" w:lineRule="auto"/>
              <w:jc w:val="center"/>
              <w:rPr>
                <w:rFonts w:ascii="Arial Narrow" w:hAnsi="Arial Narrow" w:cstheme="minorHAnsi"/>
                <w:b/>
                <w:bCs/>
                <w:color w:val="000000"/>
                <w:sz w:val="20"/>
                <w:szCs w:val="20"/>
                <w:lang w:val="en-US"/>
              </w:rPr>
            </w:pPr>
            <w:r w:rsidRPr="00FC245C">
              <w:rPr>
                <w:rFonts w:ascii="Arial Narrow" w:hAnsi="Arial Narrow" w:cstheme="minorHAnsi"/>
                <w:b/>
                <w:bCs/>
                <w:sz w:val="20"/>
                <w:szCs w:val="20"/>
              </w:rPr>
              <w:t>Incremental Outcome</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14:paraId="03309996" w14:textId="77777777" w:rsidR="00DC0761" w:rsidRPr="00FC245C" w:rsidRDefault="00DC0761">
            <w:pPr>
              <w:keepNext/>
              <w:spacing w:line="276" w:lineRule="auto"/>
              <w:jc w:val="center"/>
              <w:rPr>
                <w:rFonts w:ascii="Arial Narrow" w:hAnsi="Arial Narrow" w:cstheme="minorHAnsi"/>
                <w:b/>
                <w:bCs/>
                <w:color w:val="000000"/>
                <w:sz w:val="20"/>
                <w:szCs w:val="20"/>
                <w:lang w:val="en-US"/>
              </w:rPr>
            </w:pPr>
            <w:r w:rsidRPr="00FC245C">
              <w:rPr>
                <w:rFonts w:ascii="Arial Narrow" w:hAnsi="Arial Narrow" w:cstheme="minorHAnsi"/>
                <w:b/>
                <w:bCs/>
                <w:sz w:val="20"/>
                <w:szCs w:val="20"/>
              </w:rPr>
              <w:t>ICER</w:t>
            </w:r>
          </w:p>
        </w:tc>
      </w:tr>
      <w:tr w:rsidR="00DC0761" w:rsidRPr="00FC245C" w14:paraId="3A9ADA75" w14:textId="77777777">
        <w:trPr>
          <w:trHeight w:val="295"/>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377424E6" w14:textId="77777777" w:rsidR="00DC0761" w:rsidRPr="00FC245C" w:rsidRDefault="00DC0761">
            <w:pPr>
              <w:keepNext/>
              <w:spacing w:line="276" w:lineRule="auto"/>
              <w:rPr>
                <w:rFonts w:ascii="Arial Narrow" w:hAnsi="Arial Narrow" w:cstheme="minorHAnsi"/>
                <w:b/>
                <w:bCs/>
                <w:color w:val="000000"/>
                <w:sz w:val="20"/>
                <w:szCs w:val="20"/>
                <w:lang w:val="en-US"/>
              </w:rPr>
            </w:pPr>
            <w:r w:rsidRPr="00FC245C">
              <w:rPr>
                <w:rFonts w:ascii="Arial Narrow" w:hAnsi="Arial Narrow" w:cstheme="minorHAnsi"/>
                <w:b/>
                <w:bCs/>
                <w:color w:val="000000"/>
                <w:sz w:val="20"/>
                <w:szCs w:val="20"/>
              </w:rPr>
              <w:t>Total cost</w:t>
            </w:r>
          </w:p>
        </w:tc>
        <w:tc>
          <w:tcPr>
            <w:tcW w:w="1699" w:type="dxa"/>
            <w:tcBorders>
              <w:top w:val="nil"/>
              <w:left w:val="nil"/>
              <w:bottom w:val="single" w:sz="4" w:space="0" w:color="auto"/>
              <w:right w:val="single" w:sz="4" w:space="0" w:color="auto"/>
            </w:tcBorders>
            <w:shd w:val="clear" w:color="auto" w:fill="FFFFFF" w:themeFill="background1"/>
            <w:noWrap/>
            <w:vAlign w:val="bottom"/>
            <w:hideMark/>
          </w:tcPr>
          <w:p w14:paraId="7DB86B62"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$41,902</w:t>
            </w:r>
          </w:p>
        </w:tc>
        <w:tc>
          <w:tcPr>
            <w:tcW w:w="1821" w:type="dxa"/>
            <w:tcBorders>
              <w:top w:val="nil"/>
              <w:left w:val="nil"/>
              <w:bottom w:val="single" w:sz="4" w:space="0" w:color="auto"/>
              <w:right w:val="single" w:sz="4" w:space="0" w:color="auto"/>
            </w:tcBorders>
            <w:shd w:val="clear" w:color="auto" w:fill="FFFFFF" w:themeFill="background1"/>
            <w:noWrap/>
            <w:vAlign w:val="bottom"/>
            <w:hideMark/>
          </w:tcPr>
          <w:p w14:paraId="26FC9B05"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$10,067</w:t>
            </w:r>
          </w:p>
        </w:tc>
        <w:tc>
          <w:tcPr>
            <w:tcW w:w="1849" w:type="dxa"/>
            <w:tcBorders>
              <w:top w:val="nil"/>
              <w:left w:val="nil"/>
              <w:bottom w:val="single" w:sz="4" w:space="0" w:color="auto"/>
              <w:right w:val="single" w:sz="4" w:space="0" w:color="auto"/>
            </w:tcBorders>
            <w:shd w:val="clear" w:color="auto" w:fill="FFFFFF" w:themeFill="background1"/>
            <w:noWrap/>
            <w:vAlign w:val="bottom"/>
            <w:hideMark/>
          </w:tcPr>
          <w:p w14:paraId="43D3D194"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$31,834</w:t>
            </w:r>
          </w:p>
        </w:tc>
        <w:tc>
          <w:tcPr>
            <w:tcW w:w="1835" w:type="dxa"/>
            <w:tcBorders>
              <w:top w:val="nil"/>
              <w:left w:val="nil"/>
              <w:bottom w:val="single" w:sz="4" w:space="0" w:color="auto"/>
              <w:right w:val="single" w:sz="4" w:space="0" w:color="auto"/>
            </w:tcBorders>
            <w:shd w:val="clear" w:color="auto" w:fill="auto"/>
            <w:vAlign w:val="center"/>
            <w:hideMark/>
          </w:tcPr>
          <w:p w14:paraId="301BEE89"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 xml:space="preserve"> </w:t>
            </w:r>
          </w:p>
        </w:tc>
      </w:tr>
      <w:tr w:rsidR="00DC0761" w:rsidRPr="00FC245C" w14:paraId="29D11001" w14:textId="77777777">
        <w:trPr>
          <w:trHeight w:val="295"/>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61BB886D" w14:textId="77777777" w:rsidR="00DC0761" w:rsidRPr="00FC245C" w:rsidRDefault="00DC0761">
            <w:pPr>
              <w:keepNext/>
              <w:spacing w:line="276" w:lineRule="auto"/>
              <w:rPr>
                <w:rFonts w:ascii="Arial Narrow" w:hAnsi="Arial Narrow" w:cstheme="minorHAnsi"/>
                <w:b/>
                <w:bCs/>
                <w:color w:val="000000"/>
                <w:sz w:val="20"/>
                <w:szCs w:val="20"/>
                <w:lang w:val="en-US"/>
              </w:rPr>
            </w:pPr>
            <w:r w:rsidRPr="00FC245C">
              <w:rPr>
                <w:rFonts w:ascii="Arial Narrow" w:hAnsi="Arial Narrow" w:cstheme="minorHAnsi"/>
                <w:b/>
                <w:bCs/>
                <w:color w:val="000000"/>
                <w:sz w:val="20"/>
                <w:szCs w:val="20"/>
              </w:rPr>
              <w:t>LYs</w:t>
            </w:r>
          </w:p>
        </w:tc>
        <w:tc>
          <w:tcPr>
            <w:tcW w:w="1699" w:type="dxa"/>
            <w:tcBorders>
              <w:top w:val="nil"/>
              <w:left w:val="nil"/>
              <w:bottom w:val="single" w:sz="4" w:space="0" w:color="auto"/>
              <w:right w:val="single" w:sz="4" w:space="0" w:color="auto"/>
            </w:tcBorders>
            <w:shd w:val="clear" w:color="auto" w:fill="FFFFFF" w:themeFill="background1"/>
            <w:noWrap/>
            <w:vAlign w:val="bottom"/>
          </w:tcPr>
          <w:p w14:paraId="726DBA33"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1.861</w:t>
            </w:r>
          </w:p>
        </w:tc>
        <w:tc>
          <w:tcPr>
            <w:tcW w:w="1821" w:type="dxa"/>
            <w:tcBorders>
              <w:top w:val="nil"/>
              <w:left w:val="nil"/>
              <w:bottom w:val="single" w:sz="4" w:space="0" w:color="auto"/>
              <w:right w:val="single" w:sz="4" w:space="0" w:color="auto"/>
            </w:tcBorders>
            <w:shd w:val="clear" w:color="auto" w:fill="FFFFFF" w:themeFill="background1"/>
            <w:noWrap/>
            <w:vAlign w:val="bottom"/>
          </w:tcPr>
          <w:p w14:paraId="768D3959"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1.603</w:t>
            </w:r>
          </w:p>
        </w:tc>
        <w:tc>
          <w:tcPr>
            <w:tcW w:w="1849" w:type="dxa"/>
            <w:tcBorders>
              <w:top w:val="nil"/>
              <w:left w:val="nil"/>
              <w:bottom w:val="single" w:sz="4" w:space="0" w:color="auto"/>
              <w:right w:val="single" w:sz="4" w:space="0" w:color="auto"/>
            </w:tcBorders>
            <w:shd w:val="clear" w:color="auto" w:fill="FFFFFF" w:themeFill="background1"/>
            <w:noWrap/>
            <w:vAlign w:val="bottom"/>
          </w:tcPr>
          <w:p w14:paraId="22DE113B"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0.257</w:t>
            </w:r>
          </w:p>
        </w:tc>
        <w:tc>
          <w:tcPr>
            <w:tcW w:w="1835" w:type="dxa"/>
            <w:tcBorders>
              <w:top w:val="nil"/>
              <w:left w:val="nil"/>
              <w:bottom w:val="single" w:sz="4" w:space="0" w:color="auto"/>
              <w:right w:val="single" w:sz="4" w:space="0" w:color="auto"/>
            </w:tcBorders>
            <w:shd w:val="clear" w:color="auto" w:fill="auto"/>
            <w:vAlign w:val="center"/>
            <w:hideMark/>
          </w:tcPr>
          <w:p w14:paraId="3C47CEB0"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$123,771</w:t>
            </w:r>
          </w:p>
        </w:tc>
      </w:tr>
      <w:tr w:rsidR="00DC0761" w:rsidRPr="00FC245C" w14:paraId="43F6ED2F" w14:textId="77777777">
        <w:trPr>
          <w:trHeight w:val="295"/>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545FB693" w14:textId="77777777" w:rsidR="00DC0761" w:rsidRPr="00FC245C" w:rsidRDefault="00DC0761">
            <w:pPr>
              <w:spacing w:line="276" w:lineRule="auto"/>
              <w:rPr>
                <w:rFonts w:ascii="Arial Narrow" w:hAnsi="Arial Narrow"/>
                <w:b/>
                <w:bCs/>
                <w:color w:val="000000"/>
                <w:sz w:val="20"/>
                <w:szCs w:val="20"/>
                <w:lang w:val="en-US"/>
              </w:rPr>
            </w:pPr>
            <w:r w:rsidRPr="00FC245C">
              <w:rPr>
                <w:rFonts w:ascii="Arial Narrow" w:hAnsi="Arial Narrow"/>
                <w:b/>
                <w:bCs/>
                <w:color w:val="000000" w:themeColor="text1"/>
                <w:sz w:val="20"/>
                <w:szCs w:val="20"/>
              </w:rPr>
              <w:t>QALYs</w:t>
            </w:r>
          </w:p>
        </w:tc>
        <w:tc>
          <w:tcPr>
            <w:tcW w:w="1699" w:type="dxa"/>
            <w:tcBorders>
              <w:top w:val="nil"/>
              <w:left w:val="nil"/>
              <w:bottom w:val="single" w:sz="4" w:space="0" w:color="auto"/>
              <w:right w:val="single" w:sz="4" w:space="0" w:color="auto"/>
            </w:tcBorders>
            <w:shd w:val="clear" w:color="auto" w:fill="FFFFFF" w:themeFill="background1"/>
            <w:noWrap/>
            <w:vAlign w:val="bottom"/>
          </w:tcPr>
          <w:p w14:paraId="76EC18CA"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1.206</w:t>
            </w:r>
          </w:p>
        </w:tc>
        <w:tc>
          <w:tcPr>
            <w:tcW w:w="1821" w:type="dxa"/>
            <w:tcBorders>
              <w:top w:val="nil"/>
              <w:left w:val="nil"/>
              <w:bottom w:val="single" w:sz="4" w:space="0" w:color="auto"/>
              <w:right w:val="single" w:sz="4" w:space="0" w:color="auto"/>
            </w:tcBorders>
            <w:shd w:val="clear" w:color="auto" w:fill="FFFFFF" w:themeFill="background1"/>
            <w:noWrap/>
            <w:vAlign w:val="bottom"/>
          </w:tcPr>
          <w:p w14:paraId="5A7FF318"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1.013</w:t>
            </w:r>
          </w:p>
        </w:tc>
        <w:tc>
          <w:tcPr>
            <w:tcW w:w="1849" w:type="dxa"/>
            <w:tcBorders>
              <w:top w:val="nil"/>
              <w:left w:val="nil"/>
              <w:bottom w:val="single" w:sz="4" w:space="0" w:color="auto"/>
              <w:right w:val="single" w:sz="4" w:space="0" w:color="auto"/>
            </w:tcBorders>
            <w:shd w:val="clear" w:color="auto" w:fill="FFFFFF" w:themeFill="background1"/>
            <w:noWrap/>
            <w:vAlign w:val="bottom"/>
          </w:tcPr>
          <w:p w14:paraId="799DC757"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0.193</w:t>
            </w:r>
          </w:p>
        </w:tc>
        <w:tc>
          <w:tcPr>
            <w:tcW w:w="1835" w:type="dxa"/>
            <w:tcBorders>
              <w:top w:val="nil"/>
              <w:left w:val="nil"/>
              <w:bottom w:val="single" w:sz="4" w:space="0" w:color="auto"/>
              <w:right w:val="single" w:sz="4" w:space="0" w:color="auto"/>
            </w:tcBorders>
            <w:shd w:val="clear" w:color="auto" w:fill="auto"/>
            <w:vAlign w:val="center"/>
            <w:hideMark/>
          </w:tcPr>
          <w:p w14:paraId="34F55CD3" w14:textId="77777777" w:rsidR="00DC0761" w:rsidRPr="00FC245C" w:rsidRDefault="00DC0761">
            <w:pPr>
              <w:jc w:val="center"/>
              <w:rPr>
                <w:rFonts w:ascii="Arial Narrow" w:eastAsiaTheme="minorEastAsia" w:hAnsi="Arial Narrow"/>
                <w:color w:val="000000" w:themeColor="text1"/>
                <w:sz w:val="20"/>
                <w:szCs w:val="20"/>
              </w:rPr>
            </w:pPr>
            <w:r w:rsidRPr="00FC245C">
              <w:rPr>
                <w:rFonts w:ascii="Arial Narrow" w:eastAsiaTheme="minorEastAsia" w:hAnsi="Arial Narrow"/>
                <w:color w:val="000000" w:themeColor="text1"/>
                <w:sz w:val="20"/>
                <w:szCs w:val="20"/>
              </w:rPr>
              <w:t>$165,086</w:t>
            </w:r>
          </w:p>
        </w:tc>
      </w:tr>
    </w:tbl>
    <w:p w14:paraId="72F5F871" w14:textId="08E62437" w:rsidR="00DC0761" w:rsidRDefault="00DC0761" w:rsidP="00DC0761">
      <w:pPr>
        <w:spacing w:line="276" w:lineRule="auto"/>
        <w:rPr>
          <w:rFonts w:ascii="Arial Narrow" w:eastAsia="Calibri" w:hAnsi="Arial Narrow" w:cs="Calibri"/>
          <w:sz w:val="18"/>
          <w:szCs w:val="18"/>
        </w:rPr>
      </w:pPr>
      <w:r w:rsidRPr="00FC245C">
        <w:rPr>
          <w:rFonts w:ascii="Arial Narrow" w:eastAsia="Calibri" w:hAnsi="Arial Narrow" w:cs="Calibri"/>
          <w:color w:val="000000" w:themeColor="text1"/>
          <w:sz w:val="18"/>
          <w:szCs w:val="18"/>
          <w:vertAlign w:val="superscript"/>
          <w:lang w:val="en-US"/>
        </w:rPr>
        <w:t>177</w:t>
      </w:r>
      <w:r w:rsidRPr="00FC245C">
        <w:rPr>
          <w:rFonts w:ascii="Arial Narrow" w:eastAsia="Calibri" w:hAnsi="Arial Narrow" w:cs="Calibri"/>
          <w:color w:val="000000" w:themeColor="text1"/>
          <w:sz w:val="18"/>
          <w:szCs w:val="18"/>
        </w:rPr>
        <w:t xml:space="preserve">Lu-PSMA-617, </w:t>
      </w:r>
      <w:r w:rsidRPr="00FC245C">
        <w:rPr>
          <w:rFonts w:ascii="Arial Narrow" w:eastAsia="Calibri" w:hAnsi="Arial Narrow" w:cs="Calibri"/>
          <w:color w:val="000000" w:themeColor="text1"/>
          <w:sz w:val="18"/>
          <w:szCs w:val="18"/>
          <w:vertAlign w:val="superscript"/>
        </w:rPr>
        <w:t>177</w:t>
      </w:r>
      <w:r w:rsidRPr="00FC245C">
        <w:rPr>
          <w:rFonts w:ascii="Arial Narrow" w:eastAsia="Calibri" w:hAnsi="Arial Narrow" w:cs="Calibri"/>
          <w:color w:val="000000" w:themeColor="text1"/>
          <w:sz w:val="18"/>
          <w:szCs w:val="18"/>
        </w:rPr>
        <w:t>Lutetium Prostate-specific membrane antigen;</w:t>
      </w:r>
      <w:r w:rsidRPr="00FC245C">
        <w:rPr>
          <w:rFonts w:ascii="Arial Narrow" w:eastAsia="Calibri" w:hAnsi="Arial Narrow" w:cs="Calibri"/>
          <w:sz w:val="18"/>
          <w:szCs w:val="18"/>
        </w:rPr>
        <w:t xml:space="preserve"> </w:t>
      </w:r>
      <w:bookmarkStart w:id="43" w:name="_Hlk151627095"/>
      <w:r w:rsidRPr="00FC245C">
        <w:rPr>
          <w:rFonts w:ascii="Arial Narrow" w:eastAsia="Calibri" w:hAnsi="Arial Narrow" w:cs="Calibri"/>
          <w:sz w:val="18"/>
          <w:szCs w:val="18"/>
        </w:rPr>
        <w:t>LY, life-year; ICER: incremental cost-effectiveness ratio; QALY, quality-adjusted life-year.</w:t>
      </w:r>
    </w:p>
    <w:p w14:paraId="38993C5A" w14:textId="318E7964" w:rsidR="00FC245C" w:rsidRPr="00615FD8" w:rsidRDefault="00FC245C" w:rsidP="00FC245C">
      <w:pPr>
        <w:spacing w:line="276" w:lineRule="auto"/>
        <w:jc w:val="both"/>
        <w:rPr>
          <w:rFonts w:asciiTheme="minorHAnsi" w:hAnsiTheme="minorHAnsi" w:cstheme="minorHAnsi"/>
        </w:rPr>
      </w:pPr>
      <w:r w:rsidRPr="00FC245C">
        <w:rPr>
          <w:rFonts w:ascii="Arial Narrow" w:eastAsia="Calibri" w:hAnsi="Arial Narrow" w:cs="Calibri"/>
          <w:sz w:val="18"/>
          <w:szCs w:val="18"/>
        </w:rPr>
        <w:t xml:space="preserve">Source: </w:t>
      </w:r>
      <w:r>
        <w:rPr>
          <w:rFonts w:ascii="Arial Narrow" w:eastAsia="Calibri" w:hAnsi="Arial Narrow" w:cs="Calibri"/>
          <w:sz w:val="18"/>
          <w:szCs w:val="18"/>
        </w:rPr>
        <w:t xml:space="preserve">Table 3-41, p130 of the </w:t>
      </w:r>
      <w:r w:rsidRPr="00FC245C">
        <w:rPr>
          <w:rFonts w:ascii="Arial Narrow" w:eastAsia="Calibri" w:hAnsi="Arial Narrow" w:cs="Calibri"/>
          <w:sz w:val="18"/>
          <w:szCs w:val="18"/>
        </w:rPr>
        <w:t>ADAR</w:t>
      </w:r>
    </w:p>
    <w:p w14:paraId="401F691E" w14:textId="3DC6185A" w:rsidR="001E4CFC" w:rsidRDefault="00FC245C" w:rsidP="00C26822">
      <w:pPr>
        <w:spacing w:before="240" w:after="240"/>
      </w:pPr>
      <w:r>
        <w:t>The base case ICER was considered to be high at $165,086</w:t>
      </w:r>
      <w:r w:rsidR="00864390">
        <w:t xml:space="preserve"> with an assumed comparator of 75% </w:t>
      </w:r>
      <w:proofErr w:type="gramStart"/>
      <w:r w:rsidR="00864390">
        <w:t>cabazitaxel :</w:t>
      </w:r>
      <w:proofErr w:type="gramEnd"/>
      <w:r w:rsidR="00864390">
        <w:t xml:space="preserve"> 25% BSC. </w:t>
      </w:r>
      <w:r w:rsidR="008F5E08">
        <w:t xml:space="preserve">An ICER of $123,611 assuming a comparator of 25% </w:t>
      </w:r>
      <w:proofErr w:type="gramStart"/>
      <w:r w:rsidR="008F5E08">
        <w:t>cabazitaxel :</w:t>
      </w:r>
      <w:proofErr w:type="gramEnd"/>
      <w:r w:rsidR="008F5E08">
        <w:t xml:space="preserve"> 75% BSC (considered appropriated by MSAC (MSAC 1686 July 2022 PSD, p</w:t>
      </w:r>
      <w:r w:rsidR="00A8272A">
        <w:t xml:space="preserve">. </w:t>
      </w:r>
      <w:r w:rsidR="008F5E08">
        <w:t>6)) was similarly considered to be high</w:t>
      </w:r>
      <w:r>
        <w:t xml:space="preserve">. </w:t>
      </w:r>
    </w:p>
    <w:p w14:paraId="0BE5D756" w14:textId="334D8621" w:rsidR="00FC245C" w:rsidRDefault="009128B8" w:rsidP="00C26822">
      <w:pPr>
        <w:spacing w:after="240"/>
      </w:pPr>
      <w:r w:rsidRPr="009128B8">
        <w:t>It is not clear that the economic evaluation is capturing the right comparison as the ICER is derived from a comparison of PSMA PET/CT with subsequent treatment with a PSMA targeted therapy versus no PSMA PET/CT and treatment with BSC or cabazitaxel. Given the ADAR is requesting MBS listing of the PSMA PET/CT test only, a more appropriate comparison may be one of PSMA PET/CT with subsequent treatment with a PSMA targeted therapy versus no PSMA PET/CT with subsequent treatment with a PSMA targeted therapy, to capture the benefit of the test itself, noting that no such evidence exists.</w:t>
      </w:r>
    </w:p>
    <w:p w14:paraId="358CBB48" w14:textId="3A3383FB" w:rsidR="009C65AD" w:rsidRDefault="00FC245C" w:rsidP="00155CBC">
      <w:pPr>
        <w:jc w:val="both"/>
      </w:pPr>
      <w:r>
        <w:t>Sensitivity and scenario analyses were conducted</w:t>
      </w:r>
      <w:r w:rsidR="001E4CFC">
        <w:t xml:space="preserve"> by the ADAR and for the Commentary (in shaded cells)</w:t>
      </w:r>
      <w:r w:rsidR="009C65AD">
        <w:t>, see</w:t>
      </w:r>
      <w:r w:rsidR="00352EBD">
        <w:t xml:space="preserve"> Table 11</w:t>
      </w:r>
      <w:r w:rsidR="00310884">
        <w:t>.</w:t>
      </w:r>
    </w:p>
    <w:p w14:paraId="00F2F541" w14:textId="71106F88" w:rsidR="009C65AD" w:rsidRDefault="009C65AD" w:rsidP="009C65AD">
      <w:pPr>
        <w:pStyle w:val="Caption"/>
      </w:pPr>
      <w:bookmarkStart w:id="44" w:name="_Ref155806195"/>
      <w:r>
        <w:lastRenderedPageBreak/>
        <w:t>Table</w:t>
      </w:r>
      <w:r w:rsidR="00352EBD">
        <w:t xml:space="preserve"> 11</w:t>
      </w:r>
      <w:bookmarkEnd w:id="44"/>
      <w:r>
        <w:tab/>
        <w:t>Sensitivity analyses conducted by the ADAR and for the Commentary (shaded cells)</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7"/>
        <w:gridCol w:w="2477"/>
        <w:gridCol w:w="1172"/>
        <w:gridCol w:w="855"/>
        <w:gridCol w:w="1027"/>
        <w:gridCol w:w="1017"/>
      </w:tblGrid>
      <w:tr w:rsidR="00FD59A1" w:rsidRPr="00FD59A1" w14:paraId="79719604" w14:textId="77777777" w:rsidTr="00FB178D">
        <w:trPr>
          <w:trHeight w:val="70"/>
          <w:tblHeader/>
        </w:trPr>
        <w:tc>
          <w:tcPr>
            <w:tcW w:w="2467" w:type="dxa"/>
            <w:vMerge w:val="restart"/>
            <w:shd w:val="clear" w:color="auto" w:fill="auto"/>
            <w:tcMar>
              <w:left w:w="108" w:type="dxa"/>
              <w:right w:w="108" w:type="dxa"/>
            </w:tcMar>
            <w:vAlign w:val="center"/>
          </w:tcPr>
          <w:p w14:paraId="10166483" w14:textId="77777777" w:rsidR="00FD59A1" w:rsidRPr="00FB178D" w:rsidRDefault="00FD59A1" w:rsidP="00FB178D">
            <w:pPr>
              <w:spacing w:before="40" w:after="40"/>
              <w:rPr>
                <w:rFonts w:ascii="Arial Narrow" w:hAnsi="Arial Narrow" w:cstheme="minorHAnsi"/>
                <w:sz w:val="20"/>
                <w:szCs w:val="20"/>
              </w:rPr>
            </w:pPr>
            <w:r w:rsidRPr="00FB178D">
              <w:rPr>
                <w:rFonts w:ascii="Arial Narrow" w:eastAsia="Arial Narrow" w:hAnsi="Arial Narrow" w:cstheme="minorHAnsi"/>
                <w:b/>
                <w:bCs/>
                <w:color w:val="000000" w:themeColor="text1"/>
                <w:sz w:val="20"/>
                <w:szCs w:val="20"/>
              </w:rPr>
              <w:t>Base-case setting</w:t>
            </w:r>
          </w:p>
        </w:tc>
        <w:tc>
          <w:tcPr>
            <w:tcW w:w="2477" w:type="dxa"/>
            <w:vMerge w:val="restart"/>
            <w:shd w:val="clear" w:color="auto" w:fill="auto"/>
            <w:tcMar>
              <w:left w:w="108" w:type="dxa"/>
              <w:right w:w="108" w:type="dxa"/>
            </w:tcMar>
            <w:vAlign w:val="center"/>
          </w:tcPr>
          <w:p w14:paraId="461AA518" w14:textId="77777777" w:rsidR="00FD59A1" w:rsidRPr="00FB178D" w:rsidRDefault="00FD59A1" w:rsidP="00FB178D">
            <w:pPr>
              <w:spacing w:before="40" w:after="40"/>
              <w:jc w:val="center"/>
              <w:rPr>
                <w:rFonts w:ascii="Arial Narrow" w:hAnsi="Arial Narrow" w:cstheme="minorHAnsi"/>
                <w:sz w:val="20"/>
                <w:szCs w:val="20"/>
              </w:rPr>
            </w:pPr>
            <w:r w:rsidRPr="00FB178D">
              <w:rPr>
                <w:rFonts w:ascii="Arial Narrow" w:eastAsia="Arial Narrow" w:hAnsi="Arial Narrow" w:cstheme="minorHAnsi"/>
                <w:b/>
                <w:bCs/>
                <w:color w:val="000000" w:themeColor="text1"/>
                <w:sz w:val="20"/>
                <w:szCs w:val="20"/>
              </w:rPr>
              <w:t>Scenario setting</w:t>
            </w:r>
          </w:p>
        </w:tc>
        <w:tc>
          <w:tcPr>
            <w:tcW w:w="2027" w:type="dxa"/>
            <w:gridSpan w:val="2"/>
            <w:shd w:val="clear" w:color="auto" w:fill="auto"/>
            <w:tcMar>
              <w:left w:w="108" w:type="dxa"/>
              <w:right w:w="108" w:type="dxa"/>
            </w:tcMar>
          </w:tcPr>
          <w:p w14:paraId="073C69B5" w14:textId="77777777" w:rsidR="00FD59A1" w:rsidRPr="00FB178D" w:rsidRDefault="00FD59A1" w:rsidP="00FB178D">
            <w:pPr>
              <w:spacing w:before="40" w:after="40"/>
              <w:jc w:val="center"/>
              <w:rPr>
                <w:rFonts w:ascii="Arial Narrow" w:hAnsi="Arial Narrow" w:cstheme="minorHAnsi"/>
                <w:sz w:val="20"/>
                <w:szCs w:val="20"/>
              </w:rPr>
            </w:pPr>
            <w:r w:rsidRPr="00FB178D">
              <w:rPr>
                <w:rFonts w:ascii="Arial Narrow" w:eastAsia="Arial Narrow" w:hAnsi="Arial Narrow" w:cstheme="minorHAnsi"/>
                <w:b/>
                <w:bCs/>
                <w:color w:val="000000" w:themeColor="text1"/>
                <w:sz w:val="20"/>
                <w:szCs w:val="20"/>
              </w:rPr>
              <w:t>Incremental</w:t>
            </w:r>
          </w:p>
        </w:tc>
        <w:tc>
          <w:tcPr>
            <w:tcW w:w="1027" w:type="dxa"/>
            <w:vMerge w:val="restart"/>
            <w:shd w:val="clear" w:color="auto" w:fill="auto"/>
            <w:tcMar>
              <w:left w:w="108" w:type="dxa"/>
              <w:right w:w="108" w:type="dxa"/>
            </w:tcMar>
            <w:vAlign w:val="center"/>
          </w:tcPr>
          <w:p w14:paraId="33AFEC04" w14:textId="77777777" w:rsidR="00FD59A1" w:rsidRPr="00FB178D" w:rsidRDefault="00FD59A1" w:rsidP="00FB178D">
            <w:pPr>
              <w:spacing w:before="40" w:after="40"/>
              <w:jc w:val="center"/>
              <w:rPr>
                <w:rFonts w:ascii="Arial Narrow" w:hAnsi="Arial Narrow" w:cstheme="minorHAnsi"/>
                <w:sz w:val="20"/>
                <w:szCs w:val="20"/>
              </w:rPr>
            </w:pPr>
            <w:r w:rsidRPr="00FB178D">
              <w:rPr>
                <w:rFonts w:ascii="Arial Narrow" w:eastAsia="Arial Narrow" w:hAnsi="Arial Narrow" w:cstheme="minorHAnsi"/>
                <w:b/>
                <w:bCs/>
                <w:color w:val="000000" w:themeColor="text1"/>
                <w:sz w:val="20"/>
                <w:szCs w:val="20"/>
              </w:rPr>
              <w:t>ICER</w:t>
            </w:r>
          </w:p>
        </w:tc>
        <w:tc>
          <w:tcPr>
            <w:tcW w:w="1017" w:type="dxa"/>
            <w:vMerge w:val="restart"/>
            <w:shd w:val="clear" w:color="auto" w:fill="auto"/>
            <w:tcMar>
              <w:left w:w="108" w:type="dxa"/>
              <w:right w:w="108" w:type="dxa"/>
            </w:tcMar>
            <w:vAlign w:val="center"/>
          </w:tcPr>
          <w:p w14:paraId="7EFE362F" w14:textId="03F7EEA8" w:rsidR="00FD59A1" w:rsidRPr="00FB178D" w:rsidRDefault="00FD59A1" w:rsidP="00FB178D">
            <w:pPr>
              <w:spacing w:before="40" w:after="40"/>
              <w:jc w:val="center"/>
              <w:rPr>
                <w:rFonts w:ascii="Arial Narrow" w:hAnsi="Arial Narrow" w:cstheme="minorHAnsi"/>
                <w:sz w:val="20"/>
                <w:szCs w:val="20"/>
              </w:rPr>
            </w:pPr>
            <w:r w:rsidRPr="00FB178D">
              <w:rPr>
                <w:rFonts w:ascii="Arial Narrow" w:eastAsia="Arial Narrow" w:hAnsi="Arial Narrow" w:cstheme="minorHAnsi"/>
                <w:b/>
                <w:bCs/>
                <w:color w:val="000000" w:themeColor="text1"/>
                <w:sz w:val="20"/>
                <w:szCs w:val="20"/>
              </w:rPr>
              <w:t>% change in ICER</w:t>
            </w:r>
          </w:p>
        </w:tc>
      </w:tr>
      <w:tr w:rsidR="00FD59A1" w:rsidRPr="00FB178D" w14:paraId="49D32335" w14:textId="77777777" w:rsidTr="00FB178D">
        <w:trPr>
          <w:trHeight w:val="70"/>
          <w:tblHeader/>
        </w:trPr>
        <w:tc>
          <w:tcPr>
            <w:tcW w:w="2467" w:type="dxa"/>
            <w:vMerge/>
          </w:tcPr>
          <w:p w14:paraId="15951BDB" w14:textId="77777777" w:rsidR="00FD59A1" w:rsidRPr="00FB178D" w:rsidRDefault="00FD59A1" w:rsidP="00FB178D">
            <w:pPr>
              <w:spacing w:before="40" w:after="40"/>
              <w:rPr>
                <w:rFonts w:ascii="Arial Narrow" w:hAnsi="Arial Narrow" w:cstheme="minorHAnsi"/>
                <w:sz w:val="20"/>
                <w:szCs w:val="20"/>
              </w:rPr>
            </w:pPr>
          </w:p>
        </w:tc>
        <w:tc>
          <w:tcPr>
            <w:tcW w:w="2477" w:type="dxa"/>
            <w:vMerge/>
          </w:tcPr>
          <w:p w14:paraId="145A528A" w14:textId="77777777" w:rsidR="00FD59A1" w:rsidRPr="00FB178D" w:rsidRDefault="00FD59A1" w:rsidP="00FB178D">
            <w:pPr>
              <w:spacing w:before="40" w:after="40"/>
              <w:rPr>
                <w:rFonts w:ascii="Arial Narrow" w:hAnsi="Arial Narrow" w:cstheme="minorHAnsi"/>
                <w:sz w:val="20"/>
                <w:szCs w:val="20"/>
              </w:rPr>
            </w:pPr>
          </w:p>
        </w:tc>
        <w:tc>
          <w:tcPr>
            <w:tcW w:w="1172" w:type="dxa"/>
            <w:shd w:val="clear" w:color="auto" w:fill="auto"/>
            <w:tcMar>
              <w:left w:w="108" w:type="dxa"/>
              <w:right w:w="108" w:type="dxa"/>
            </w:tcMar>
          </w:tcPr>
          <w:p w14:paraId="681D3187" w14:textId="77777777" w:rsidR="00FD59A1" w:rsidRPr="00FB178D" w:rsidRDefault="00FD59A1" w:rsidP="00FB178D">
            <w:pPr>
              <w:spacing w:before="40" w:after="40"/>
              <w:jc w:val="center"/>
              <w:rPr>
                <w:rFonts w:ascii="Arial Narrow" w:hAnsi="Arial Narrow" w:cstheme="minorHAnsi"/>
                <w:sz w:val="20"/>
                <w:szCs w:val="20"/>
              </w:rPr>
            </w:pPr>
            <w:r w:rsidRPr="00FB178D">
              <w:rPr>
                <w:rFonts w:ascii="Arial Narrow" w:eastAsia="Arial Narrow" w:hAnsi="Arial Narrow" w:cstheme="minorHAnsi"/>
                <w:b/>
                <w:bCs/>
                <w:color w:val="000000" w:themeColor="text1"/>
                <w:sz w:val="20"/>
                <w:szCs w:val="20"/>
              </w:rPr>
              <w:t>Costs</w:t>
            </w:r>
          </w:p>
        </w:tc>
        <w:tc>
          <w:tcPr>
            <w:tcW w:w="855" w:type="dxa"/>
            <w:shd w:val="clear" w:color="auto" w:fill="auto"/>
            <w:tcMar>
              <w:left w:w="108" w:type="dxa"/>
              <w:right w:w="108" w:type="dxa"/>
            </w:tcMar>
          </w:tcPr>
          <w:p w14:paraId="4301E721" w14:textId="77777777" w:rsidR="00FD59A1" w:rsidRPr="00FB178D" w:rsidRDefault="00FD59A1" w:rsidP="00FB178D">
            <w:pPr>
              <w:spacing w:before="40" w:after="40"/>
              <w:jc w:val="center"/>
              <w:rPr>
                <w:rFonts w:ascii="Arial Narrow" w:hAnsi="Arial Narrow" w:cstheme="minorHAnsi"/>
                <w:sz w:val="20"/>
                <w:szCs w:val="20"/>
              </w:rPr>
            </w:pPr>
            <w:r w:rsidRPr="00FB178D">
              <w:rPr>
                <w:rFonts w:ascii="Arial Narrow" w:eastAsia="Arial Narrow" w:hAnsi="Arial Narrow" w:cstheme="minorHAnsi"/>
                <w:b/>
                <w:bCs/>
                <w:color w:val="000000" w:themeColor="text1"/>
                <w:sz w:val="20"/>
                <w:szCs w:val="20"/>
              </w:rPr>
              <w:t>QALYs</w:t>
            </w:r>
          </w:p>
        </w:tc>
        <w:tc>
          <w:tcPr>
            <w:tcW w:w="1027" w:type="dxa"/>
            <w:vMerge/>
          </w:tcPr>
          <w:p w14:paraId="3B0CA3B9" w14:textId="77777777" w:rsidR="00FD59A1" w:rsidRPr="00FB178D" w:rsidRDefault="00FD59A1" w:rsidP="00FB178D">
            <w:pPr>
              <w:spacing w:before="40" w:after="40"/>
              <w:rPr>
                <w:rFonts w:ascii="Arial Narrow" w:hAnsi="Arial Narrow" w:cstheme="minorHAnsi"/>
                <w:sz w:val="20"/>
                <w:szCs w:val="20"/>
              </w:rPr>
            </w:pPr>
          </w:p>
        </w:tc>
        <w:tc>
          <w:tcPr>
            <w:tcW w:w="1017" w:type="dxa"/>
            <w:vMerge/>
          </w:tcPr>
          <w:p w14:paraId="6EF1B5AA" w14:textId="77777777" w:rsidR="00FD59A1" w:rsidRPr="00FB178D" w:rsidRDefault="00FD59A1" w:rsidP="00FB178D">
            <w:pPr>
              <w:spacing w:before="40" w:after="40"/>
              <w:rPr>
                <w:rFonts w:ascii="Arial Narrow" w:hAnsi="Arial Narrow" w:cstheme="minorHAnsi"/>
                <w:sz w:val="20"/>
                <w:szCs w:val="20"/>
              </w:rPr>
            </w:pPr>
          </w:p>
        </w:tc>
      </w:tr>
      <w:tr w:rsidR="00FD59A1" w:rsidRPr="00FB178D" w14:paraId="7F829D78" w14:textId="77777777">
        <w:trPr>
          <w:trHeight w:val="300"/>
        </w:trPr>
        <w:tc>
          <w:tcPr>
            <w:tcW w:w="2467" w:type="dxa"/>
            <w:tcMar>
              <w:left w:w="108" w:type="dxa"/>
              <w:right w:w="108" w:type="dxa"/>
            </w:tcMar>
          </w:tcPr>
          <w:p w14:paraId="43FA8A2F" w14:textId="77777777" w:rsidR="00FD59A1" w:rsidRPr="00FB178D" w:rsidRDefault="00FD59A1" w:rsidP="00FB178D">
            <w:pPr>
              <w:spacing w:before="40" w:after="40"/>
              <w:rPr>
                <w:rFonts w:ascii="Arial Narrow" w:hAnsi="Arial Narrow" w:cstheme="minorHAnsi"/>
                <w:sz w:val="20"/>
                <w:szCs w:val="20"/>
              </w:rPr>
            </w:pPr>
            <w:r w:rsidRPr="00FB178D">
              <w:rPr>
                <w:rFonts w:ascii="Arial Narrow" w:eastAsia="Arial Narrow" w:hAnsi="Arial Narrow" w:cstheme="minorHAnsi"/>
                <w:b/>
                <w:bCs/>
                <w:sz w:val="20"/>
                <w:szCs w:val="20"/>
              </w:rPr>
              <w:t>Base-case</w:t>
            </w:r>
          </w:p>
        </w:tc>
        <w:tc>
          <w:tcPr>
            <w:tcW w:w="2477" w:type="dxa"/>
            <w:tcMar>
              <w:left w:w="108" w:type="dxa"/>
              <w:right w:w="108" w:type="dxa"/>
            </w:tcMar>
          </w:tcPr>
          <w:p w14:paraId="7D94166C" w14:textId="77777777" w:rsidR="00FD59A1" w:rsidRPr="00FB178D" w:rsidRDefault="00FD59A1" w:rsidP="00FB178D">
            <w:pPr>
              <w:spacing w:before="40" w:after="40"/>
              <w:rPr>
                <w:rFonts w:ascii="Arial Narrow" w:hAnsi="Arial Narrow" w:cstheme="minorHAnsi"/>
                <w:sz w:val="20"/>
                <w:szCs w:val="20"/>
              </w:rPr>
            </w:pPr>
            <w:r w:rsidRPr="00FB178D">
              <w:rPr>
                <w:rFonts w:ascii="Arial Narrow" w:eastAsia="Arial Narrow" w:hAnsi="Arial Narrow" w:cstheme="minorHAnsi"/>
                <w:b/>
                <w:bCs/>
                <w:sz w:val="20"/>
                <w:szCs w:val="20"/>
              </w:rPr>
              <w:t xml:space="preserve"> </w:t>
            </w:r>
          </w:p>
        </w:tc>
        <w:tc>
          <w:tcPr>
            <w:tcW w:w="1172" w:type="dxa"/>
            <w:tcMar>
              <w:left w:w="108" w:type="dxa"/>
              <w:right w:w="108" w:type="dxa"/>
            </w:tcMar>
          </w:tcPr>
          <w:p w14:paraId="352D15E9" w14:textId="77777777" w:rsidR="00FD59A1" w:rsidRPr="00FB178D" w:rsidRDefault="00FD59A1" w:rsidP="00FB178D">
            <w:pPr>
              <w:spacing w:before="40" w:after="40"/>
              <w:jc w:val="center"/>
              <w:rPr>
                <w:rFonts w:ascii="Arial Narrow" w:hAnsi="Arial Narrow"/>
                <w:sz w:val="20"/>
                <w:szCs w:val="20"/>
              </w:rPr>
            </w:pPr>
            <w:r w:rsidRPr="00FB178D">
              <w:rPr>
                <w:rFonts w:ascii="Arial Narrow" w:eastAsia="Arial Narrow" w:hAnsi="Arial Narrow"/>
                <w:b/>
                <w:bCs/>
                <w:sz w:val="20"/>
                <w:szCs w:val="20"/>
              </w:rPr>
              <w:t>$31,834</w:t>
            </w:r>
          </w:p>
        </w:tc>
        <w:tc>
          <w:tcPr>
            <w:tcW w:w="855" w:type="dxa"/>
            <w:tcMar>
              <w:left w:w="108" w:type="dxa"/>
              <w:right w:w="108" w:type="dxa"/>
            </w:tcMar>
          </w:tcPr>
          <w:p w14:paraId="1DAE5C0C" w14:textId="77777777" w:rsidR="00FD59A1" w:rsidRPr="00FB178D" w:rsidRDefault="00FD59A1" w:rsidP="00FB178D">
            <w:pPr>
              <w:spacing w:before="40" w:after="40"/>
              <w:jc w:val="center"/>
              <w:rPr>
                <w:rFonts w:ascii="Arial Narrow" w:hAnsi="Arial Narrow"/>
                <w:sz w:val="20"/>
                <w:szCs w:val="20"/>
              </w:rPr>
            </w:pPr>
            <w:r w:rsidRPr="00FB178D">
              <w:rPr>
                <w:rFonts w:ascii="Arial Narrow" w:eastAsia="Arial Narrow" w:hAnsi="Arial Narrow"/>
                <w:b/>
                <w:bCs/>
                <w:sz w:val="20"/>
                <w:szCs w:val="20"/>
              </w:rPr>
              <w:t>0.193</w:t>
            </w:r>
          </w:p>
        </w:tc>
        <w:tc>
          <w:tcPr>
            <w:tcW w:w="1027" w:type="dxa"/>
            <w:tcMar>
              <w:left w:w="108" w:type="dxa"/>
              <w:right w:w="108" w:type="dxa"/>
            </w:tcMar>
          </w:tcPr>
          <w:p w14:paraId="450DE804" w14:textId="77777777" w:rsidR="00FD59A1" w:rsidRPr="00FB178D" w:rsidRDefault="00FD59A1" w:rsidP="00FB178D">
            <w:pPr>
              <w:spacing w:before="40" w:after="40"/>
              <w:jc w:val="center"/>
              <w:rPr>
                <w:rFonts w:ascii="Arial Narrow" w:hAnsi="Arial Narrow"/>
                <w:sz w:val="20"/>
                <w:szCs w:val="20"/>
              </w:rPr>
            </w:pPr>
            <w:r w:rsidRPr="00FB178D">
              <w:rPr>
                <w:rFonts w:ascii="Arial Narrow" w:eastAsia="Arial Narrow" w:hAnsi="Arial Narrow"/>
                <w:b/>
                <w:bCs/>
                <w:sz w:val="20"/>
                <w:szCs w:val="20"/>
              </w:rPr>
              <w:t>$165,086</w:t>
            </w:r>
          </w:p>
        </w:tc>
        <w:tc>
          <w:tcPr>
            <w:tcW w:w="1017" w:type="dxa"/>
            <w:tcMar>
              <w:left w:w="108" w:type="dxa"/>
              <w:right w:w="108" w:type="dxa"/>
            </w:tcMar>
          </w:tcPr>
          <w:p w14:paraId="418AA903" w14:textId="77777777" w:rsidR="00FD59A1" w:rsidRPr="00FB178D" w:rsidRDefault="00FD59A1" w:rsidP="00FB178D">
            <w:pPr>
              <w:spacing w:before="40" w:after="40"/>
              <w:jc w:val="center"/>
              <w:rPr>
                <w:rFonts w:ascii="Arial Narrow" w:hAnsi="Arial Narrow" w:cstheme="minorHAnsi"/>
                <w:sz w:val="20"/>
                <w:szCs w:val="20"/>
              </w:rPr>
            </w:pPr>
            <w:r w:rsidRPr="00FB178D">
              <w:rPr>
                <w:rFonts w:ascii="Arial Narrow" w:eastAsia="Arial Narrow" w:hAnsi="Arial Narrow" w:cstheme="minorHAnsi"/>
                <w:sz w:val="20"/>
                <w:szCs w:val="20"/>
              </w:rPr>
              <w:t xml:space="preserve"> </w:t>
            </w:r>
          </w:p>
        </w:tc>
      </w:tr>
      <w:tr w:rsidR="00FD59A1" w:rsidRPr="00FB178D" w14:paraId="764012D3" w14:textId="77777777" w:rsidTr="00FB178D">
        <w:trPr>
          <w:trHeight w:val="70"/>
        </w:trPr>
        <w:tc>
          <w:tcPr>
            <w:tcW w:w="2467" w:type="dxa"/>
            <w:vMerge w:val="restart"/>
            <w:tcMar>
              <w:left w:w="108" w:type="dxa"/>
              <w:right w:w="108" w:type="dxa"/>
            </w:tcMar>
            <w:vAlign w:val="center"/>
          </w:tcPr>
          <w:p w14:paraId="50E00C70" w14:textId="77777777" w:rsidR="00FD59A1" w:rsidRPr="00FB178D" w:rsidRDefault="00FD59A1" w:rsidP="00FB178D">
            <w:pPr>
              <w:spacing w:before="40" w:after="40"/>
              <w:rPr>
                <w:rFonts w:ascii="Arial Narrow" w:hAnsi="Arial Narrow" w:cstheme="minorHAnsi"/>
                <w:sz w:val="20"/>
                <w:szCs w:val="20"/>
              </w:rPr>
            </w:pPr>
            <w:r w:rsidRPr="00FB178D">
              <w:rPr>
                <w:rFonts w:ascii="Arial Narrow" w:eastAsia="Arial Narrow" w:hAnsi="Arial Narrow" w:cstheme="minorHAnsi"/>
                <w:sz w:val="20"/>
                <w:szCs w:val="20"/>
              </w:rPr>
              <w:t>Discount rate: 5% per annum</w:t>
            </w:r>
          </w:p>
        </w:tc>
        <w:tc>
          <w:tcPr>
            <w:tcW w:w="2477" w:type="dxa"/>
            <w:tcMar>
              <w:left w:w="108" w:type="dxa"/>
              <w:right w:w="108" w:type="dxa"/>
            </w:tcMar>
            <w:vAlign w:val="center"/>
          </w:tcPr>
          <w:p w14:paraId="3E4A0AAA" w14:textId="77777777" w:rsidR="00FD59A1" w:rsidRPr="00FB178D" w:rsidRDefault="00FD59A1" w:rsidP="00FB178D">
            <w:pPr>
              <w:spacing w:before="40" w:after="40"/>
              <w:rPr>
                <w:rFonts w:ascii="Arial Narrow" w:hAnsi="Arial Narrow" w:cstheme="minorHAnsi"/>
                <w:sz w:val="20"/>
                <w:szCs w:val="20"/>
              </w:rPr>
            </w:pPr>
            <w:r w:rsidRPr="00FB178D">
              <w:rPr>
                <w:rFonts w:ascii="Arial Narrow" w:eastAsia="Arial Narrow" w:hAnsi="Arial Narrow" w:cstheme="minorHAnsi"/>
                <w:sz w:val="20"/>
                <w:szCs w:val="20"/>
              </w:rPr>
              <w:t>No discounting</w:t>
            </w:r>
          </w:p>
        </w:tc>
        <w:tc>
          <w:tcPr>
            <w:tcW w:w="1172" w:type="dxa"/>
            <w:tcMar>
              <w:left w:w="108" w:type="dxa"/>
              <w:right w:w="108" w:type="dxa"/>
            </w:tcMar>
            <w:vAlign w:val="bottom"/>
          </w:tcPr>
          <w:p w14:paraId="3987FDC4" w14:textId="77777777" w:rsidR="00FD59A1" w:rsidRPr="00FB178D" w:rsidRDefault="00FD59A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$32,328</w:t>
            </w:r>
          </w:p>
        </w:tc>
        <w:tc>
          <w:tcPr>
            <w:tcW w:w="855" w:type="dxa"/>
            <w:tcMar>
              <w:left w:w="108" w:type="dxa"/>
              <w:right w:w="108" w:type="dxa"/>
            </w:tcMar>
            <w:vAlign w:val="bottom"/>
          </w:tcPr>
          <w:p w14:paraId="311F1229" w14:textId="77777777" w:rsidR="00FD59A1" w:rsidRPr="00FB178D" w:rsidRDefault="00FD59A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0.237</w:t>
            </w:r>
          </w:p>
        </w:tc>
        <w:tc>
          <w:tcPr>
            <w:tcW w:w="1027" w:type="dxa"/>
            <w:tcMar>
              <w:left w:w="108" w:type="dxa"/>
              <w:right w:w="108" w:type="dxa"/>
            </w:tcMar>
            <w:vAlign w:val="bottom"/>
          </w:tcPr>
          <w:p w14:paraId="10086D17" w14:textId="77777777" w:rsidR="00FD59A1" w:rsidRPr="00FB178D" w:rsidRDefault="00FD59A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$136,434</w:t>
            </w:r>
          </w:p>
        </w:tc>
        <w:tc>
          <w:tcPr>
            <w:tcW w:w="1017" w:type="dxa"/>
            <w:tcMar>
              <w:left w:w="108" w:type="dxa"/>
              <w:right w:w="108" w:type="dxa"/>
            </w:tcMar>
            <w:vAlign w:val="center"/>
          </w:tcPr>
          <w:p w14:paraId="2E4DB5B1" w14:textId="77777777" w:rsidR="00FD59A1" w:rsidRPr="00AE0BB2" w:rsidRDefault="00FD59A1" w:rsidP="00FB178D">
            <w:pPr>
              <w:spacing w:before="40" w:after="40"/>
              <w:jc w:val="center"/>
              <w:rPr>
                <w:rFonts w:ascii="Arial Narrow" w:eastAsia="Arial Narrow" w:hAnsi="Arial Narrow"/>
                <w:color w:val="C00000"/>
                <w:sz w:val="20"/>
                <w:szCs w:val="20"/>
              </w:rPr>
            </w:pPr>
            <w:r w:rsidRPr="00AE0BB2">
              <w:rPr>
                <w:rFonts w:ascii="Arial Narrow" w:eastAsia="Arial Narrow" w:hAnsi="Arial Narrow"/>
                <w:color w:val="C00000"/>
                <w:sz w:val="20"/>
                <w:szCs w:val="20"/>
              </w:rPr>
              <w:t>-17%</w:t>
            </w:r>
          </w:p>
        </w:tc>
      </w:tr>
      <w:tr w:rsidR="00FD59A1" w:rsidRPr="00FB178D" w14:paraId="75213FF3" w14:textId="77777777">
        <w:trPr>
          <w:trHeight w:val="300"/>
        </w:trPr>
        <w:tc>
          <w:tcPr>
            <w:tcW w:w="2467" w:type="dxa"/>
            <w:vMerge/>
            <w:vAlign w:val="center"/>
          </w:tcPr>
          <w:p w14:paraId="131F2C74" w14:textId="77777777" w:rsidR="00FD59A1" w:rsidRPr="00FB178D" w:rsidRDefault="00FD59A1" w:rsidP="00FB178D">
            <w:pPr>
              <w:spacing w:before="40" w:after="40"/>
              <w:rPr>
                <w:rFonts w:ascii="Arial Narrow" w:hAnsi="Arial Narrow" w:cstheme="minorHAnsi"/>
                <w:sz w:val="20"/>
                <w:szCs w:val="20"/>
              </w:rPr>
            </w:pPr>
          </w:p>
        </w:tc>
        <w:tc>
          <w:tcPr>
            <w:tcW w:w="2477" w:type="dxa"/>
            <w:tcMar>
              <w:left w:w="108" w:type="dxa"/>
              <w:right w:w="108" w:type="dxa"/>
            </w:tcMar>
            <w:vAlign w:val="center"/>
          </w:tcPr>
          <w:p w14:paraId="2DF92519" w14:textId="77777777" w:rsidR="00FD59A1" w:rsidRPr="00FB178D" w:rsidRDefault="00FD59A1" w:rsidP="00FB178D">
            <w:pPr>
              <w:spacing w:before="40" w:after="40"/>
              <w:rPr>
                <w:rFonts w:ascii="Arial Narrow" w:hAnsi="Arial Narrow" w:cstheme="minorHAnsi"/>
                <w:sz w:val="20"/>
                <w:szCs w:val="20"/>
              </w:rPr>
            </w:pPr>
            <w:r w:rsidRPr="00FB178D">
              <w:rPr>
                <w:rFonts w:ascii="Arial Narrow" w:eastAsia="Arial Narrow" w:hAnsi="Arial Narrow" w:cstheme="minorHAnsi"/>
                <w:sz w:val="20"/>
                <w:szCs w:val="20"/>
              </w:rPr>
              <w:t>3.5% discounting</w:t>
            </w:r>
          </w:p>
        </w:tc>
        <w:tc>
          <w:tcPr>
            <w:tcW w:w="1172" w:type="dxa"/>
            <w:tcMar>
              <w:left w:w="108" w:type="dxa"/>
              <w:right w:w="108" w:type="dxa"/>
            </w:tcMar>
            <w:vAlign w:val="bottom"/>
          </w:tcPr>
          <w:p w14:paraId="4A110A72" w14:textId="77777777" w:rsidR="00FD59A1" w:rsidRPr="00FB178D" w:rsidRDefault="00FD59A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$31,973</w:t>
            </w:r>
          </w:p>
        </w:tc>
        <w:tc>
          <w:tcPr>
            <w:tcW w:w="855" w:type="dxa"/>
            <w:tcMar>
              <w:left w:w="108" w:type="dxa"/>
              <w:right w:w="108" w:type="dxa"/>
            </w:tcMar>
            <w:vAlign w:val="bottom"/>
          </w:tcPr>
          <w:p w14:paraId="0ACA9381" w14:textId="77777777" w:rsidR="00FD59A1" w:rsidRPr="00FB178D" w:rsidRDefault="00FD59A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0.205</w:t>
            </w:r>
          </w:p>
        </w:tc>
        <w:tc>
          <w:tcPr>
            <w:tcW w:w="1027" w:type="dxa"/>
            <w:tcMar>
              <w:left w:w="108" w:type="dxa"/>
              <w:right w:w="108" w:type="dxa"/>
            </w:tcMar>
            <w:vAlign w:val="bottom"/>
          </w:tcPr>
          <w:p w14:paraId="18897868" w14:textId="77777777" w:rsidR="00FD59A1" w:rsidRPr="00FB178D" w:rsidRDefault="00FD59A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$156,238</w:t>
            </w:r>
          </w:p>
        </w:tc>
        <w:tc>
          <w:tcPr>
            <w:tcW w:w="1017" w:type="dxa"/>
            <w:tcMar>
              <w:left w:w="108" w:type="dxa"/>
              <w:right w:w="108" w:type="dxa"/>
            </w:tcMar>
            <w:vAlign w:val="bottom"/>
          </w:tcPr>
          <w:p w14:paraId="6CDCFEA0" w14:textId="77777777" w:rsidR="00FD59A1" w:rsidRPr="00AE0BB2" w:rsidRDefault="00FD59A1" w:rsidP="00FB178D">
            <w:pPr>
              <w:spacing w:before="40" w:after="40"/>
              <w:jc w:val="center"/>
              <w:rPr>
                <w:rFonts w:ascii="Arial Narrow" w:eastAsia="Arial Narrow" w:hAnsi="Arial Narrow" w:cstheme="minorHAnsi"/>
                <w:color w:val="C00000"/>
                <w:sz w:val="20"/>
                <w:szCs w:val="20"/>
              </w:rPr>
            </w:pPr>
            <w:r w:rsidRPr="00AE0BB2">
              <w:rPr>
                <w:rFonts w:ascii="Arial Narrow" w:eastAsia="Arial Narrow" w:hAnsi="Arial Narrow" w:cstheme="minorHAnsi"/>
                <w:color w:val="C00000"/>
                <w:sz w:val="20"/>
                <w:szCs w:val="20"/>
              </w:rPr>
              <w:t>-5%</w:t>
            </w:r>
          </w:p>
        </w:tc>
      </w:tr>
      <w:tr w:rsidR="00FD59A1" w:rsidRPr="00FB178D" w14:paraId="1DC5C2F9" w14:textId="77777777">
        <w:trPr>
          <w:trHeight w:val="300"/>
        </w:trPr>
        <w:tc>
          <w:tcPr>
            <w:tcW w:w="2467" w:type="dxa"/>
            <w:vMerge w:val="restart"/>
            <w:tcMar>
              <w:left w:w="108" w:type="dxa"/>
              <w:right w:w="108" w:type="dxa"/>
            </w:tcMar>
            <w:vAlign w:val="center"/>
          </w:tcPr>
          <w:p w14:paraId="179F48FD" w14:textId="77777777" w:rsidR="00FD59A1" w:rsidRPr="00FB178D" w:rsidRDefault="00FD59A1" w:rsidP="00FB178D">
            <w:pPr>
              <w:spacing w:before="40" w:after="40"/>
              <w:rPr>
                <w:rFonts w:ascii="Arial Narrow" w:hAnsi="Arial Narrow" w:cstheme="minorHAnsi"/>
                <w:sz w:val="20"/>
                <w:szCs w:val="20"/>
              </w:rPr>
            </w:pPr>
            <w:r w:rsidRPr="00FB178D">
              <w:rPr>
                <w:rFonts w:ascii="Arial Narrow" w:eastAsia="Arial Narrow" w:hAnsi="Arial Narrow" w:cstheme="minorHAnsi"/>
                <w:sz w:val="20"/>
                <w:szCs w:val="20"/>
              </w:rPr>
              <w:t>Time horizon: 10 years</w:t>
            </w:r>
          </w:p>
        </w:tc>
        <w:tc>
          <w:tcPr>
            <w:tcW w:w="2477" w:type="dxa"/>
            <w:tcMar>
              <w:left w:w="108" w:type="dxa"/>
              <w:right w:w="108" w:type="dxa"/>
            </w:tcMar>
            <w:vAlign w:val="center"/>
          </w:tcPr>
          <w:p w14:paraId="54BFC130" w14:textId="77777777" w:rsidR="00FD59A1" w:rsidRPr="00FB178D" w:rsidRDefault="00FD59A1" w:rsidP="00FB178D">
            <w:pPr>
              <w:spacing w:before="40" w:after="40"/>
              <w:rPr>
                <w:rFonts w:ascii="Arial Narrow" w:hAnsi="Arial Narrow" w:cstheme="minorHAnsi"/>
                <w:sz w:val="20"/>
                <w:szCs w:val="20"/>
              </w:rPr>
            </w:pPr>
            <w:r w:rsidRPr="00FB178D">
              <w:rPr>
                <w:rFonts w:ascii="Arial Narrow" w:eastAsia="Arial Narrow" w:hAnsi="Arial Narrow" w:cstheme="minorHAnsi"/>
                <w:sz w:val="20"/>
                <w:szCs w:val="20"/>
              </w:rPr>
              <w:t>Time horizon: 5 years</w:t>
            </w:r>
          </w:p>
        </w:tc>
        <w:tc>
          <w:tcPr>
            <w:tcW w:w="1172" w:type="dxa"/>
            <w:tcMar>
              <w:left w:w="108" w:type="dxa"/>
              <w:right w:w="108" w:type="dxa"/>
            </w:tcMar>
            <w:vAlign w:val="bottom"/>
          </w:tcPr>
          <w:p w14:paraId="5B633FE1" w14:textId="77777777" w:rsidR="00FD59A1" w:rsidRPr="00FB178D" w:rsidRDefault="00FD59A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$31,492</w:t>
            </w:r>
          </w:p>
        </w:tc>
        <w:tc>
          <w:tcPr>
            <w:tcW w:w="855" w:type="dxa"/>
            <w:tcMar>
              <w:left w:w="108" w:type="dxa"/>
              <w:right w:w="108" w:type="dxa"/>
            </w:tcMar>
            <w:vAlign w:val="bottom"/>
          </w:tcPr>
          <w:p w14:paraId="099674BB" w14:textId="77777777" w:rsidR="00FD59A1" w:rsidRPr="00FB178D" w:rsidRDefault="00FD59A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0.130</w:t>
            </w:r>
          </w:p>
        </w:tc>
        <w:tc>
          <w:tcPr>
            <w:tcW w:w="1027" w:type="dxa"/>
            <w:tcMar>
              <w:left w:w="108" w:type="dxa"/>
              <w:right w:w="108" w:type="dxa"/>
            </w:tcMar>
            <w:vAlign w:val="bottom"/>
          </w:tcPr>
          <w:p w14:paraId="6C08E32D" w14:textId="77777777" w:rsidR="00FD59A1" w:rsidRPr="00FB178D" w:rsidRDefault="00FD59A1" w:rsidP="00FB178D">
            <w:pPr>
              <w:spacing w:before="40" w:after="40"/>
              <w:jc w:val="center"/>
              <w:rPr>
                <w:rFonts w:ascii="Arial Narrow" w:eastAsia="Arial Narrow" w:hAnsi="Arial Narrow" w:cstheme="minorHAnsi"/>
                <w:color w:val="000000" w:themeColor="text1"/>
                <w:sz w:val="20"/>
                <w:szCs w:val="20"/>
              </w:rPr>
            </w:pPr>
            <w:r w:rsidRPr="00FB178D">
              <w:rPr>
                <w:rFonts w:ascii="Arial Narrow" w:eastAsia="Arial Narrow" w:hAnsi="Arial Narrow" w:cstheme="minorHAnsi"/>
                <w:color w:val="000000" w:themeColor="text1"/>
                <w:sz w:val="20"/>
                <w:szCs w:val="20"/>
              </w:rPr>
              <w:t>$241,771</w:t>
            </w:r>
          </w:p>
        </w:tc>
        <w:tc>
          <w:tcPr>
            <w:tcW w:w="1017" w:type="dxa"/>
            <w:tcMar>
              <w:left w:w="108" w:type="dxa"/>
              <w:right w:w="108" w:type="dxa"/>
            </w:tcMar>
            <w:vAlign w:val="bottom"/>
          </w:tcPr>
          <w:p w14:paraId="2C002CDC" w14:textId="77777777" w:rsidR="00FD59A1" w:rsidRPr="00FB178D" w:rsidRDefault="00FD59A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46%</w:t>
            </w:r>
          </w:p>
        </w:tc>
      </w:tr>
      <w:tr w:rsidR="00FD59A1" w:rsidRPr="00FB178D" w14:paraId="3957F67A" w14:textId="77777777">
        <w:trPr>
          <w:trHeight w:val="300"/>
        </w:trPr>
        <w:tc>
          <w:tcPr>
            <w:tcW w:w="2467" w:type="dxa"/>
            <w:vMerge/>
            <w:vAlign w:val="center"/>
          </w:tcPr>
          <w:p w14:paraId="46D59622" w14:textId="77777777" w:rsidR="00FD59A1" w:rsidRPr="00FB178D" w:rsidRDefault="00FD59A1" w:rsidP="00FB178D">
            <w:pPr>
              <w:spacing w:before="40" w:after="40"/>
              <w:rPr>
                <w:rFonts w:ascii="Arial Narrow" w:hAnsi="Arial Narrow" w:cstheme="minorHAnsi"/>
                <w:sz w:val="20"/>
                <w:szCs w:val="20"/>
              </w:rPr>
            </w:pPr>
          </w:p>
        </w:tc>
        <w:tc>
          <w:tcPr>
            <w:tcW w:w="2477" w:type="dxa"/>
            <w:tcMar>
              <w:left w:w="108" w:type="dxa"/>
              <w:right w:w="108" w:type="dxa"/>
            </w:tcMar>
            <w:vAlign w:val="center"/>
          </w:tcPr>
          <w:p w14:paraId="0AED81BA" w14:textId="77777777" w:rsidR="00FD59A1" w:rsidRPr="00FB178D" w:rsidRDefault="00FD59A1" w:rsidP="00FB178D">
            <w:pPr>
              <w:spacing w:before="40" w:after="40"/>
              <w:rPr>
                <w:rFonts w:ascii="Arial Narrow" w:hAnsi="Arial Narrow" w:cstheme="minorHAnsi"/>
                <w:sz w:val="20"/>
                <w:szCs w:val="20"/>
              </w:rPr>
            </w:pPr>
            <w:r w:rsidRPr="00FB178D">
              <w:rPr>
                <w:rFonts w:ascii="Arial Narrow" w:eastAsia="Arial Narrow" w:hAnsi="Arial Narrow" w:cstheme="minorHAnsi"/>
                <w:sz w:val="20"/>
                <w:szCs w:val="20"/>
              </w:rPr>
              <w:t>Time horizon: 7 years</w:t>
            </w:r>
          </w:p>
        </w:tc>
        <w:tc>
          <w:tcPr>
            <w:tcW w:w="1172" w:type="dxa"/>
            <w:tcMar>
              <w:left w:w="108" w:type="dxa"/>
              <w:right w:w="108" w:type="dxa"/>
            </w:tcMar>
            <w:vAlign w:val="bottom"/>
          </w:tcPr>
          <w:p w14:paraId="54967B36" w14:textId="77777777" w:rsidR="00FD59A1" w:rsidRPr="00FB178D" w:rsidRDefault="00FD59A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$31,701</w:t>
            </w:r>
          </w:p>
        </w:tc>
        <w:tc>
          <w:tcPr>
            <w:tcW w:w="855" w:type="dxa"/>
            <w:tcMar>
              <w:left w:w="108" w:type="dxa"/>
              <w:right w:w="108" w:type="dxa"/>
            </w:tcMar>
            <w:vAlign w:val="bottom"/>
          </w:tcPr>
          <w:p w14:paraId="2C019AC3" w14:textId="77777777" w:rsidR="00FD59A1" w:rsidRPr="00FB178D" w:rsidRDefault="00FD59A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0.169</w:t>
            </w:r>
          </w:p>
        </w:tc>
        <w:tc>
          <w:tcPr>
            <w:tcW w:w="1027" w:type="dxa"/>
            <w:tcMar>
              <w:left w:w="108" w:type="dxa"/>
              <w:right w:w="108" w:type="dxa"/>
            </w:tcMar>
            <w:vAlign w:val="bottom"/>
          </w:tcPr>
          <w:p w14:paraId="549B0401" w14:textId="77777777" w:rsidR="00FD59A1" w:rsidRPr="00FB178D" w:rsidRDefault="00FD59A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$188,115</w:t>
            </w:r>
          </w:p>
        </w:tc>
        <w:tc>
          <w:tcPr>
            <w:tcW w:w="1017" w:type="dxa"/>
            <w:tcMar>
              <w:left w:w="108" w:type="dxa"/>
              <w:right w:w="108" w:type="dxa"/>
            </w:tcMar>
            <w:vAlign w:val="bottom"/>
          </w:tcPr>
          <w:p w14:paraId="59F57A0C" w14:textId="77777777" w:rsidR="00FD59A1" w:rsidRPr="00FB178D" w:rsidRDefault="00FD59A1" w:rsidP="00FB178D">
            <w:pPr>
              <w:spacing w:before="40" w:after="40"/>
              <w:jc w:val="center"/>
              <w:rPr>
                <w:rFonts w:ascii="Arial Narrow" w:eastAsia="Arial Narrow" w:hAnsi="Arial Narrow" w:cstheme="minorHAnsi"/>
                <w:color w:val="000000" w:themeColor="text1"/>
                <w:sz w:val="20"/>
                <w:szCs w:val="20"/>
              </w:rPr>
            </w:pPr>
            <w:r w:rsidRPr="00FB178D">
              <w:rPr>
                <w:rFonts w:ascii="Arial Narrow" w:eastAsia="Arial Narrow" w:hAnsi="Arial Narrow" w:cstheme="minorHAnsi"/>
                <w:color w:val="000000" w:themeColor="text1"/>
                <w:sz w:val="20"/>
                <w:szCs w:val="20"/>
              </w:rPr>
              <w:t>14%</w:t>
            </w:r>
          </w:p>
        </w:tc>
      </w:tr>
      <w:tr w:rsidR="00FD59A1" w:rsidRPr="00FD59A1" w14:paraId="56830DD9" w14:textId="77777777" w:rsidTr="005A4333">
        <w:trPr>
          <w:trHeight w:val="300"/>
        </w:trPr>
        <w:tc>
          <w:tcPr>
            <w:tcW w:w="2467" w:type="dxa"/>
            <w:tcBorders>
              <w:bottom w:val="nil"/>
            </w:tcBorders>
            <w:tcMar>
              <w:left w:w="108" w:type="dxa"/>
              <w:right w:w="108" w:type="dxa"/>
            </w:tcMar>
            <w:vAlign w:val="center"/>
          </w:tcPr>
          <w:p w14:paraId="66E254B6" w14:textId="7165005A" w:rsidR="00FD59A1" w:rsidRPr="00FB178D" w:rsidRDefault="00FD59A1" w:rsidP="00FD59A1">
            <w:pPr>
              <w:spacing w:before="40" w:after="40"/>
              <w:rPr>
                <w:rFonts w:ascii="Arial Narrow" w:eastAsia="Arial Narrow" w:hAnsi="Arial Narrow"/>
                <w:sz w:val="20"/>
                <w:szCs w:val="20"/>
              </w:rPr>
            </w:pPr>
            <w:r w:rsidRPr="00FB178D">
              <w:rPr>
                <w:rFonts w:ascii="Arial Narrow" w:eastAsia="Arial Narrow" w:hAnsi="Arial Narrow"/>
                <w:sz w:val="20"/>
                <w:szCs w:val="20"/>
              </w:rPr>
              <w:t xml:space="preserve">Cost of </w:t>
            </w:r>
            <w:r w:rsidRPr="00FB178D">
              <w:rPr>
                <w:rFonts w:ascii="Arial Narrow" w:eastAsia="Arial Narrow" w:hAnsi="Arial Narrow"/>
                <w:sz w:val="20"/>
                <w:szCs w:val="20"/>
                <w:vertAlign w:val="superscript"/>
              </w:rPr>
              <w:t>177</w:t>
            </w:r>
            <w:r>
              <w:rPr>
                <w:rFonts w:ascii="Arial Narrow" w:eastAsia="Arial Narrow" w:hAnsi="Arial Narrow"/>
                <w:sz w:val="20"/>
                <w:szCs w:val="20"/>
              </w:rPr>
              <w:t>Lu-PSMA: $6</w:t>
            </w:r>
            <w:r w:rsidR="00C137E1">
              <w:rPr>
                <w:rFonts w:ascii="Arial Narrow" w:eastAsia="Arial Narrow" w:hAnsi="Arial Narrow"/>
                <w:sz w:val="20"/>
                <w:szCs w:val="20"/>
              </w:rPr>
              <w:t>,</w:t>
            </w:r>
            <w:r>
              <w:rPr>
                <w:rFonts w:ascii="Arial Narrow" w:eastAsia="Arial Narrow" w:hAnsi="Arial Narrow"/>
                <w:sz w:val="20"/>
                <w:szCs w:val="20"/>
              </w:rPr>
              <w:t xml:space="preserve">000 </w:t>
            </w:r>
          </w:p>
        </w:tc>
        <w:tc>
          <w:tcPr>
            <w:tcW w:w="2477" w:type="dxa"/>
            <w:tcMar>
              <w:left w:w="108" w:type="dxa"/>
              <w:right w:w="108" w:type="dxa"/>
            </w:tcMar>
            <w:vAlign w:val="center"/>
          </w:tcPr>
          <w:p w14:paraId="13D8C17B" w14:textId="14D42186" w:rsidR="00FD59A1" w:rsidRPr="00FB178D" w:rsidRDefault="00FD59A1" w:rsidP="00FD59A1">
            <w:pPr>
              <w:spacing w:before="40" w:after="40"/>
              <w:rPr>
                <w:rFonts w:ascii="Arial Narrow" w:eastAsia="Arial Narrow" w:hAnsi="Arial Narrow"/>
                <w:sz w:val="20"/>
                <w:szCs w:val="20"/>
              </w:rPr>
            </w:pPr>
            <w:r>
              <w:rPr>
                <w:rFonts w:ascii="Arial Narrow" w:eastAsia="Arial Narrow" w:hAnsi="Arial Narrow"/>
                <w:sz w:val="20"/>
                <w:szCs w:val="20"/>
              </w:rPr>
              <w:t>$4</w:t>
            </w:r>
            <w:r w:rsidR="00C137E1">
              <w:rPr>
                <w:rFonts w:ascii="Arial Narrow" w:eastAsia="Arial Narrow" w:hAnsi="Arial Narrow"/>
                <w:sz w:val="20"/>
                <w:szCs w:val="20"/>
              </w:rPr>
              <w:t>,</w:t>
            </w:r>
            <w:r>
              <w:rPr>
                <w:rFonts w:ascii="Arial Narrow" w:eastAsia="Arial Narrow" w:hAnsi="Arial Narrow"/>
                <w:sz w:val="20"/>
                <w:szCs w:val="20"/>
              </w:rPr>
              <w:t xml:space="preserve">882 </w:t>
            </w:r>
          </w:p>
        </w:tc>
        <w:tc>
          <w:tcPr>
            <w:tcW w:w="1172" w:type="dxa"/>
            <w:tcMar>
              <w:left w:w="108" w:type="dxa"/>
              <w:right w:w="108" w:type="dxa"/>
            </w:tcMar>
            <w:vAlign w:val="center"/>
          </w:tcPr>
          <w:p w14:paraId="7D834CB8" w14:textId="6D9CE429" w:rsidR="00FD59A1" w:rsidRPr="00FD59A1" w:rsidRDefault="005A4333" w:rsidP="00FD59A1">
            <w:pPr>
              <w:spacing w:before="40" w:after="40"/>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$27,539</w:t>
            </w:r>
          </w:p>
        </w:tc>
        <w:tc>
          <w:tcPr>
            <w:tcW w:w="855" w:type="dxa"/>
            <w:tcMar>
              <w:left w:w="108" w:type="dxa"/>
              <w:right w:w="108" w:type="dxa"/>
            </w:tcMar>
            <w:vAlign w:val="center"/>
          </w:tcPr>
          <w:p w14:paraId="31232229" w14:textId="211FD4BB" w:rsidR="00FD59A1" w:rsidRPr="00FD59A1" w:rsidRDefault="00FD59A1" w:rsidP="00FD59A1">
            <w:pPr>
              <w:spacing w:before="40" w:after="40"/>
              <w:jc w:val="center"/>
              <w:rPr>
                <w:rFonts w:ascii="Arial Narrow" w:eastAsia="Arial Narrow" w:hAnsi="Arial Narrow"/>
                <w:color w:val="000000" w:themeColor="text1"/>
                <w:sz w:val="20"/>
                <w:szCs w:val="20"/>
              </w:rPr>
            </w:pPr>
            <w:r w:rsidRPr="00FD59A1">
              <w:rPr>
                <w:rFonts w:ascii="Arial Narrow" w:eastAsia="Arial Narrow" w:hAnsi="Arial Narrow"/>
                <w:color w:val="000000" w:themeColor="text1"/>
                <w:sz w:val="20"/>
                <w:szCs w:val="20"/>
              </w:rPr>
              <w:t>0.193</w:t>
            </w:r>
          </w:p>
        </w:tc>
        <w:tc>
          <w:tcPr>
            <w:tcW w:w="1027" w:type="dxa"/>
            <w:tcMar>
              <w:left w:w="108" w:type="dxa"/>
              <w:right w:w="108" w:type="dxa"/>
            </w:tcMar>
            <w:vAlign w:val="center"/>
          </w:tcPr>
          <w:p w14:paraId="2BE2475A" w14:textId="59E3489E" w:rsidR="00FD59A1" w:rsidRPr="00FD59A1" w:rsidRDefault="00FD59A1" w:rsidP="00FD59A1">
            <w:pPr>
              <w:spacing w:before="40" w:after="40"/>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$142,687</w:t>
            </w:r>
          </w:p>
        </w:tc>
        <w:tc>
          <w:tcPr>
            <w:tcW w:w="1017" w:type="dxa"/>
            <w:tcMar>
              <w:left w:w="108" w:type="dxa"/>
              <w:right w:w="108" w:type="dxa"/>
            </w:tcMar>
            <w:vAlign w:val="center"/>
          </w:tcPr>
          <w:p w14:paraId="22D813F9" w14:textId="397D5AD2" w:rsidR="00FD59A1" w:rsidRPr="00AE0BB2" w:rsidRDefault="005A4333" w:rsidP="00FD59A1">
            <w:pPr>
              <w:spacing w:before="40" w:after="40"/>
              <w:jc w:val="center"/>
              <w:rPr>
                <w:rFonts w:ascii="Arial Narrow" w:eastAsia="Arial Narrow" w:hAnsi="Arial Narrow"/>
                <w:color w:val="C00000"/>
                <w:sz w:val="20"/>
                <w:szCs w:val="20"/>
              </w:rPr>
            </w:pPr>
            <w:r w:rsidRPr="00AE0BB2">
              <w:rPr>
                <w:rFonts w:ascii="Arial Narrow" w:eastAsia="Arial Narrow" w:hAnsi="Arial Narrow"/>
                <w:color w:val="C00000"/>
                <w:sz w:val="20"/>
                <w:szCs w:val="20"/>
              </w:rPr>
              <w:t>-14%</w:t>
            </w:r>
          </w:p>
        </w:tc>
      </w:tr>
      <w:tr w:rsidR="00FD59A1" w:rsidRPr="00FD59A1" w14:paraId="4C5D7FD7" w14:textId="77777777" w:rsidTr="005A4333">
        <w:trPr>
          <w:trHeight w:val="300"/>
        </w:trPr>
        <w:tc>
          <w:tcPr>
            <w:tcW w:w="2467" w:type="dxa"/>
            <w:tcBorders>
              <w:top w:val="nil"/>
            </w:tcBorders>
            <w:tcMar>
              <w:left w:w="108" w:type="dxa"/>
              <w:right w:w="108" w:type="dxa"/>
            </w:tcMar>
            <w:vAlign w:val="center"/>
          </w:tcPr>
          <w:p w14:paraId="1A5E6B0E" w14:textId="77777777" w:rsidR="00FD59A1" w:rsidRPr="00FD59A1" w:rsidRDefault="00FD59A1" w:rsidP="00FD59A1">
            <w:pPr>
              <w:spacing w:before="40" w:after="40"/>
              <w:rPr>
                <w:rFonts w:ascii="Arial Narrow" w:eastAsia="Arial Narrow" w:hAnsi="Arial Narrow"/>
                <w:sz w:val="20"/>
                <w:szCs w:val="20"/>
              </w:rPr>
            </w:pPr>
          </w:p>
        </w:tc>
        <w:tc>
          <w:tcPr>
            <w:tcW w:w="2477" w:type="dxa"/>
            <w:tcMar>
              <w:left w:w="108" w:type="dxa"/>
              <w:right w:w="108" w:type="dxa"/>
            </w:tcMar>
            <w:vAlign w:val="center"/>
          </w:tcPr>
          <w:p w14:paraId="333DC0C4" w14:textId="6E271792" w:rsidR="00FD59A1" w:rsidRDefault="00FD59A1" w:rsidP="00FD59A1">
            <w:pPr>
              <w:spacing w:before="40" w:after="40"/>
              <w:rPr>
                <w:rFonts w:ascii="Arial Narrow" w:eastAsia="Arial Narrow" w:hAnsi="Arial Narrow"/>
                <w:sz w:val="20"/>
                <w:szCs w:val="20"/>
              </w:rPr>
            </w:pPr>
            <w:r>
              <w:rPr>
                <w:rFonts w:ascii="Arial Narrow" w:eastAsia="Arial Narrow" w:hAnsi="Arial Narrow"/>
                <w:sz w:val="20"/>
                <w:szCs w:val="20"/>
              </w:rPr>
              <w:t>$7</w:t>
            </w:r>
            <w:r w:rsidR="00C137E1">
              <w:rPr>
                <w:rFonts w:ascii="Arial Narrow" w:eastAsia="Arial Narrow" w:hAnsi="Arial Narrow"/>
                <w:sz w:val="20"/>
                <w:szCs w:val="20"/>
              </w:rPr>
              <w:t>,</w:t>
            </w:r>
            <w:r>
              <w:rPr>
                <w:rFonts w:ascii="Arial Narrow" w:eastAsia="Arial Narrow" w:hAnsi="Arial Narrow"/>
                <w:sz w:val="20"/>
                <w:szCs w:val="20"/>
              </w:rPr>
              <w:t xml:space="preserve">232 </w:t>
            </w:r>
          </w:p>
        </w:tc>
        <w:tc>
          <w:tcPr>
            <w:tcW w:w="1172" w:type="dxa"/>
            <w:tcMar>
              <w:left w:w="108" w:type="dxa"/>
              <w:right w:w="108" w:type="dxa"/>
            </w:tcMar>
            <w:vAlign w:val="center"/>
          </w:tcPr>
          <w:p w14:paraId="63190062" w14:textId="52CC92BC" w:rsidR="00FD59A1" w:rsidRPr="00FD59A1" w:rsidRDefault="005A4333" w:rsidP="00FD59A1">
            <w:pPr>
              <w:spacing w:before="40" w:after="40"/>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$36,623</w:t>
            </w:r>
          </w:p>
        </w:tc>
        <w:tc>
          <w:tcPr>
            <w:tcW w:w="855" w:type="dxa"/>
            <w:tcMar>
              <w:left w:w="108" w:type="dxa"/>
              <w:right w:w="108" w:type="dxa"/>
            </w:tcMar>
            <w:vAlign w:val="center"/>
          </w:tcPr>
          <w:p w14:paraId="51309FFE" w14:textId="6E18104E" w:rsidR="00FD59A1" w:rsidRPr="00FD59A1" w:rsidRDefault="00FD59A1" w:rsidP="00FD59A1">
            <w:pPr>
              <w:spacing w:before="40" w:after="40"/>
              <w:jc w:val="center"/>
              <w:rPr>
                <w:rFonts w:ascii="Arial Narrow" w:eastAsia="Arial Narrow" w:hAnsi="Arial Narrow"/>
                <w:color w:val="000000" w:themeColor="text1"/>
                <w:sz w:val="20"/>
                <w:szCs w:val="20"/>
              </w:rPr>
            </w:pPr>
            <w:r w:rsidRPr="00FD59A1">
              <w:rPr>
                <w:rFonts w:ascii="Arial Narrow" w:eastAsia="Arial Narrow" w:hAnsi="Arial Narrow"/>
                <w:color w:val="000000" w:themeColor="text1"/>
                <w:sz w:val="20"/>
                <w:szCs w:val="20"/>
              </w:rPr>
              <w:t>0.193</w:t>
            </w:r>
          </w:p>
        </w:tc>
        <w:tc>
          <w:tcPr>
            <w:tcW w:w="1027" w:type="dxa"/>
            <w:tcMar>
              <w:left w:w="108" w:type="dxa"/>
              <w:right w:w="108" w:type="dxa"/>
            </w:tcMar>
            <w:vAlign w:val="center"/>
          </w:tcPr>
          <w:p w14:paraId="5176BECB" w14:textId="4979CB4F" w:rsidR="00FD59A1" w:rsidRDefault="00FD59A1" w:rsidP="00FD59A1">
            <w:pPr>
              <w:spacing w:before="40" w:after="40"/>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$189,759</w:t>
            </w:r>
          </w:p>
        </w:tc>
        <w:tc>
          <w:tcPr>
            <w:tcW w:w="1017" w:type="dxa"/>
            <w:tcMar>
              <w:left w:w="108" w:type="dxa"/>
              <w:right w:w="108" w:type="dxa"/>
            </w:tcMar>
            <w:vAlign w:val="center"/>
          </w:tcPr>
          <w:p w14:paraId="538264AF" w14:textId="2DBA5090" w:rsidR="00FD59A1" w:rsidRPr="00FD59A1" w:rsidRDefault="005A4333" w:rsidP="00FD59A1">
            <w:pPr>
              <w:spacing w:before="40" w:after="40"/>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15%</w:t>
            </w:r>
          </w:p>
        </w:tc>
      </w:tr>
      <w:tr w:rsidR="00C137E1" w:rsidRPr="00FD59A1" w14:paraId="6EFE0162" w14:textId="77777777" w:rsidTr="00FB178D">
        <w:trPr>
          <w:trHeight w:val="300"/>
        </w:trPr>
        <w:tc>
          <w:tcPr>
            <w:tcW w:w="2467" w:type="dxa"/>
            <w:tcBorders>
              <w:top w:val="nil"/>
              <w:bottom w:val="nil"/>
            </w:tcBorders>
            <w:tcMar>
              <w:left w:w="108" w:type="dxa"/>
              <w:right w:w="108" w:type="dxa"/>
            </w:tcMar>
            <w:vAlign w:val="center"/>
          </w:tcPr>
          <w:p w14:paraId="469D205D" w14:textId="3D1AB575" w:rsidR="00C137E1" w:rsidRPr="00FD59A1" w:rsidRDefault="00C137E1" w:rsidP="00C137E1">
            <w:pPr>
              <w:spacing w:before="40" w:after="40"/>
              <w:rPr>
                <w:rFonts w:ascii="Arial Narrow" w:eastAsia="Arial Narrow" w:hAnsi="Arial Narrow"/>
                <w:sz w:val="20"/>
                <w:szCs w:val="20"/>
              </w:rPr>
            </w:pPr>
            <w:r>
              <w:rPr>
                <w:rFonts w:ascii="Arial Narrow" w:eastAsia="Arial Narrow" w:hAnsi="Arial Narrow"/>
                <w:sz w:val="20"/>
                <w:szCs w:val="20"/>
              </w:rPr>
              <w:t xml:space="preserve">Cost of </w:t>
            </w:r>
            <w:r w:rsidRPr="00FB178D">
              <w:rPr>
                <w:rFonts w:ascii="Arial Narrow" w:eastAsia="Arial Narrow" w:hAnsi="Arial Narrow"/>
                <w:sz w:val="20"/>
                <w:szCs w:val="20"/>
                <w:vertAlign w:val="superscript"/>
              </w:rPr>
              <w:t>177</w:t>
            </w:r>
            <w:r>
              <w:rPr>
                <w:rFonts w:ascii="Arial Narrow" w:eastAsia="Arial Narrow" w:hAnsi="Arial Narrow"/>
                <w:sz w:val="20"/>
                <w:szCs w:val="20"/>
              </w:rPr>
              <w:t>Lu-PSMA admin: $2,000</w:t>
            </w:r>
          </w:p>
        </w:tc>
        <w:tc>
          <w:tcPr>
            <w:tcW w:w="2477" w:type="dxa"/>
            <w:tcMar>
              <w:left w:w="108" w:type="dxa"/>
              <w:right w:w="108" w:type="dxa"/>
            </w:tcMar>
            <w:vAlign w:val="center"/>
          </w:tcPr>
          <w:p w14:paraId="14EF5FD0" w14:textId="56C0FFA0" w:rsidR="00C137E1" w:rsidRDefault="00C137E1" w:rsidP="00C137E1">
            <w:pPr>
              <w:spacing w:before="40" w:after="40"/>
              <w:rPr>
                <w:rFonts w:ascii="Arial Narrow" w:eastAsia="Arial Narrow" w:hAnsi="Arial Narrow"/>
                <w:sz w:val="20"/>
                <w:szCs w:val="20"/>
              </w:rPr>
            </w:pPr>
            <w:r>
              <w:rPr>
                <w:rFonts w:ascii="Arial Narrow" w:eastAsia="Arial Narrow" w:hAnsi="Arial Narrow"/>
                <w:sz w:val="20"/>
                <w:szCs w:val="20"/>
              </w:rPr>
              <w:t>$1,627</w:t>
            </w:r>
          </w:p>
        </w:tc>
        <w:tc>
          <w:tcPr>
            <w:tcW w:w="1172" w:type="dxa"/>
            <w:tcMar>
              <w:left w:w="108" w:type="dxa"/>
              <w:right w:w="108" w:type="dxa"/>
            </w:tcMar>
            <w:vAlign w:val="center"/>
          </w:tcPr>
          <w:p w14:paraId="3E3B61BD" w14:textId="4A78F4CE" w:rsidR="00C137E1" w:rsidRDefault="00771955" w:rsidP="00C137E1">
            <w:pPr>
              <w:spacing w:before="40" w:after="40"/>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$30,421</w:t>
            </w:r>
          </w:p>
        </w:tc>
        <w:tc>
          <w:tcPr>
            <w:tcW w:w="855" w:type="dxa"/>
            <w:tcMar>
              <w:left w:w="108" w:type="dxa"/>
              <w:right w:w="108" w:type="dxa"/>
            </w:tcMar>
            <w:vAlign w:val="center"/>
          </w:tcPr>
          <w:p w14:paraId="07216BD3" w14:textId="1A4304C2" w:rsidR="00C137E1" w:rsidRPr="00FD59A1" w:rsidRDefault="00C137E1" w:rsidP="00771955">
            <w:pPr>
              <w:spacing w:before="40" w:after="40"/>
              <w:jc w:val="center"/>
              <w:rPr>
                <w:rFonts w:ascii="Arial Narrow" w:eastAsia="Arial Narrow" w:hAnsi="Arial Narrow"/>
                <w:color w:val="000000" w:themeColor="text1"/>
                <w:sz w:val="20"/>
                <w:szCs w:val="20"/>
              </w:rPr>
            </w:pPr>
            <w:r w:rsidRPr="00630658">
              <w:rPr>
                <w:rFonts w:ascii="Arial Narrow" w:eastAsia="Arial Narrow" w:hAnsi="Arial Narrow"/>
                <w:color w:val="000000" w:themeColor="text1"/>
                <w:sz w:val="20"/>
                <w:szCs w:val="20"/>
              </w:rPr>
              <w:t>0.193</w:t>
            </w:r>
          </w:p>
        </w:tc>
        <w:tc>
          <w:tcPr>
            <w:tcW w:w="1027" w:type="dxa"/>
            <w:tcMar>
              <w:left w:w="108" w:type="dxa"/>
              <w:right w:w="108" w:type="dxa"/>
            </w:tcMar>
            <w:vAlign w:val="center"/>
          </w:tcPr>
          <w:p w14:paraId="2832412A" w14:textId="671CACE9" w:rsidR="00C137E1" w:rsidRDefault="00C137E1" w:rsidP="00C137E1">
            <w:pPr>
              <w:spacing w:before="40" w:after="40"/>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$157,620</w:t>
            </w:r>
          </w:p>
        </w:tc>
        <w:tc>
          <w:tcPr>
            <w:tcW w:w="1017" w:type="dxa"/>
            <w:tcMar>
              <w:left w:w="108" w:type="dxa"/>
              <w:right w:w="108" w:type="dxa"/>
            </w:tcMar>
            <w:vAlign w:val="center"/>
          </w:tcPr>
          <w:p w14:paraId="2AFAB4FC" w14:textId="35BDDB05" w:rsidR="00C137E1" w:rsidRPr="00AE0BB2" w:rsidRDefault="00C137E1" w:rsidP="00C137E1">
            <w:pPr>
              <w:spacing w:before="40" w:after="40"/>
              <w:jc w:val="center"/>
              <w:rPr>
                <w:rFonts w:ascii="Arial Narrow" w:eastAsia="Arial Narrow" w:hAnsi="Arial Narrow"/>
                <w:color w:val="C00000"/>
                <w:sz w:val="20"/>
                <w:szCs w:val="20"/>
              </w:rPr>
            </w:pPr>
            <w:r w:rsidRPr="00AE0BB2">
              <w:rPr>
                <w:rFonts w:ascii="Arial Narrow" w:eastAsia="Arial Narrow" w:hAnsi="Arial Narrow"/>
                <w:color w:val="C00000"/>
                <w:sz w:val="20"/>
                <w:szCs w:val="20"/>
              </w:rPr>
              <w:t>-5%</w:t>
            </w:r>
          </w:p>
        </w:tc>
      </w:tr>
      <w:tr w:rsidR="00C137E1" w:rsidRPr="00FD59A1" w14:paraId="0F110352" w14:textId="77777777" w:rsidTr="00FB178D">
        <w:trPr>
          <w:trHeight w:val="300"/>
        </w:trPr>
        <w:tc>
          <w:tcPr>
            <w:tcW w:w="2467" w:type="dxa"/>
            <w:tcBorders>
              <w:top w:val="nil"/>
            </w:tcBorders>
            <w:tcMar>
              <w:left w:w="108" w:type="dxa"/>
              <w:right w:w="108" w:type="dxa"/>
            </w:tcMar>
            <w:vAlign w:val="center"/>
          </w:tcPr>
          <w:p w14:paraId="296CB69E" w14:textId="77777777" w:rsidR="00C137E1" w:rsidRPr="00FD59A1" w:rsidRDefault="00C137E1" w:rsidP="00C137E1">
            <w:pPr>
              <w:spacing w:before="40" w:after="40"/>
              <w:rPr>
                <w:rFonts w:ascii="Arial Narrow" w:eastAsia="Arial Narrow" w:hAnsi="Arial Narrow"/>
                <w:sz w:val="20"/>
                <w:szCs w:val="20"/>
              </w:rPr>
            </w:pPr>
          </w:p>
        </w:tc>
        <w:tc>
          <w:tcPr>
            <w:tcW w:w="2477" w:type="dxa"/>
            <w:tcMar>
              <w:left w:w="108" w:type="dxa"/>
              <w:right w:w="108" w:type="dxa"/>
            </w:tcMar>
            <w:vAlign w:val="center"/>
          </w:tcPr>
          <w:p w14:paraId="4AA6A22A" w14:textId="23B9B631" w:rsidR="00C137E1" w:rsidRDefault="00C137E1" w:rsidP="00C137E1">
            <w:pPr>
              <w:spacing w:before="40" w:after="40"/>
              <w:rPr>
                <w:rFonts w:ascii="Arial Narrow" w:eastAsia="Arial Narrow" w:hAnsi="Arial Narrow"/>
                <w:sz w:val="20"/>
                <w:szCs w:val="20"/>
              </w:rPr>
            </w:pPr>
            <w:r>
              <w:rPr>
                <w:rFonts w:ascii="Arial Narrow" w:eastAsia="Arial Narrow" w:hAnsi="Arial Narrow"/>
                <w:sz w:val="20"/>
                <w:szCs w:val="20"/>
              </w:rPr>
              <w:t>$2,411</w:t>
            </w:r>
          </w:p>
        </w:tc>
        <w:tc>
          <w:tcPr>
            <w:tcW w:w="1172" w:type="dxa"/>
            <w:tcMar>
              <w:left w:w="108" w:type="dxa"/>
              <w:right w:w="108" w:type="dxa"/>
            </w:tcMar>
            <w:vAlign w:val="center"/>
          </w:tcPr>
          <w:p w14:paraId="75A80C22" w14:textId="0CA863DB" w:rsidR="00C137E1" w:rsidRDefault="00771955" w:rsidP="00C137E1">
            <w:pPr>
              <w:spacing w:before="40" w:after="40"/>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$33,449</w:t>
            </w:r>
          </w:p>
        </w:tc>
        <w:tc>
          <w:tcPr>
            <w:tcW w:w="855" w:type="dxa"/>
            <w:tcMar>
              <w:left w:w="108" w:type="dxa"/>
              <w:right w:w="108" w:type="dxa"/>
            </w:tcMar>
          </w:tcPr>
          <w:p w14:paraId="4AE65D40" w14:textId="181A4B6A" w:rsidR="00C137E1" w:rsidRPr="00FD59A1" w:rsidRDefault="00C137E1" w:rsidP="00C137E1">
            <w:pPr>
              <w:spacing w:before="40" w:after="40"/>
              <w:jc w:val="center"/>
              <w:rPr>
                <w:rFonts w:ascii="Arial Narrow" w:eastAsia="Arial Narrow" w:hAnsi="Arial Narrow"/>
                <w:color w:val="000000" w:themeColor="text1"/>
                <w:sz w:val="20"/>
                <w:szCs w:val="20"/>
              </w:rPr>
            </w:pPr>
            <w:r w:rsidRPr="00630658">
              <w:rPr>
                <w:rFonts w:ascii="Arial Narrow" w:eastAsia="Arial Narrow" w:hAnsi="Arial Narrow"/>
                <w:color w:val="000000" w:themeColor="text1"/>
                <w:sz w:val="20"/>
                <w:szCs w:val="20"/>
              </w:rPr>
              <w:t>0.193</w:t>
            </w:r>
          </w:p>
        </w:tc>
        <w:tc>
          <w:tcPr>
            <w:tcW w:w="1027" w:type="dxa"/>
            <w:tcMar>
              <w:left w:w="108" w:type="dxa"/>
              <w:right w:w="108" w:type="dxa"/>
            </w:tcMar>
            <w:vAlign w:val="center"/>
          </w:tcPr>
          <w:p w14:paraId="0294457B" w14:textId="52225A2F" w:rsidR="00C137E1" w:rsidRDefault="00C137E1" w:rsidP="00C137E1">
            <w:pPr>
              <w:spacing w:before="40" w:after="40"/>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$173,310</w:t>
            </w:r>
          </w:p>
        </w:tc>
        <w:tc>
          <w:tcPr>
            <w:tcW w:w="1017" w:type="dxa"/>
            <w:tcMar>
              <w:left w:w="108" w:type="dxa"/>
              <w:right w:w="108" w:type="dxa"/>
            </w:tcMar>
            <w:vAlign w:val="center"/>
          </w:tcPr>
          <w:p w14:paraId="0D3A4260" w14:textId="16C139B4" w:rsidR="00C137E1" w:rsidRDefault="00771955" w:rsidP="00C137E1">
            <w:pPr>
              <w:spacing w:before="40" w:after="40"/>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5%</w:t>
            </w:r>
          </w:p>
        </w:tc>
      </w:tr>
      <w:tr w:rsidR="00C137E1" w:rsidRPr="00FD59A1" w14:paraId="0670BF0A" w14:textId="77777777" w:rsidTr="00771955">
        <w:trPr>
          <w:trHeight w:val="300"/>
        </w:trPr>
        <w:tc>
          <w:tcPr>
            <w:tcW w:w="2467" w:type="dxa"/>
            <w:tcBorders>
              <w:top w:val="nil"/>
              <w:bottom w:val="nil"/>
            </w:tcBorders>
            <w:tcMar>
              <w:left w:w="108" w:type="dxa"/>
              <w:right w:w="108" w:type="dxa"/>
            </w:tcMar>
            <w:vAlign w:val="center"/>
          </w:tcPr>
          <w:p w14:paraId="5DB71B1F" w14:textId="2D388896" w:rsidR="00C137E1" w:rsidRPr="00FD59A1" w:rsidRDefault="00771955" w:rsidP="00C137E1">
            <w:pPr>
              <w:spacing w:before="40" w:after="40"/>
              <w:rPr>
                <w:rFonts w:ascii="Arial Narrow" w:eastAsia="Arial Narrow" w:hAnsi="Arial Narrow"/>
                <w:sz w:val="20"/>
                <w:szCs w:val="20"/>
              </w:rPr>
            </w:pPr>
            <w:r>
              <w:rPr>
                <w:rFonts w:ascii="Arial Narrow" w:eastAsia="Arial Narrow" w:hAnsi="Arial Narrow"/>
                <w:sz w:val="20"/>
                <w:szCs w:val="20"/>
              </w:rPr>
              <w:t>Cabazitaxel drug cost: $299</w:t>
            </w:r>
          </w:p>
        </w:tc>
        <w:tc>
          <w:tcPr>
            <w:tcW w:w="2477" w:type="dxa"/>
            <w:tcMar>
              <w:left w:w="108" w:type="dxa"/>
              <w:right w:w="108" w:type="dxa"/>
            </w:tcMar>
            <w:vAlign w:val="center"/>
          </w:tcPr>
          <w:p w14:paraId="5498513F" w14:textId="227FCD58" w:rsidR="00C137E1" w:rsidRDefault="00771955" w:rsidP="00C137E1">
            <w:pPr>
              <w:spacing w:before="40" w:after="40"/>
              <w:rPr>
                <w:rFonts w:ascii="Arial Narrow" w:eastAsia="Arial Narrow" w:hAnsi="Arial Narrow"/>
                <w:sz w:val="20"/>
                <w:szCs w:val="20"/>
              </w:rPr>
            </w:pPr>
            <w:r>
              <w:rPr>
                <w:rFonts w:ascii="Arial Narrow" w:eastAsia="Arial Narrow" w:hAnsi="Arial Narrow"/>
                <w:sz w:val="20"/>
                <w:szCs w:val="20"/>
              </w:rPr>
              <w:t>$243</w:t>
            </w:r>
          </w:p>
        </w:tc>
        <w:tc>
          <w:tcPr>
            <w:tcW w:w="1172" w:type="dxa"/>
            <w:tcMar>
              <w:left w:w="108" w:type="dxa"/>
              <w:right w:w="108" w:type="dxa"/>
            </w:tcMar>
            <w:vAlign w:val="center"/>
          </w:tcPr>
          <w:p w14:paraId="7271C7AF" w14:textId="1EE42691" w:rsidR="00C137E1" w:rsidRDefault="00771955" w:rsidP="00C137E1">
            <w:pPr>
              <w:spacing w:before="40" w:after="40"/>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$32,085</w:t>
            </w:r>
          </w:p>
        </w:tc>
        <w:tc>
          <w:tcPr>
            <w:tcW w:w="855" w:type="dxa"/>
            <w:tcMar>
              <w:left w:w="108" w:type="dxa"/>
              <w:right w:w="108" w:type="dxa"/>
            </w:tcMar>
            <w:vAlign w:val="center"/>
          </w:tcPr>
          <w:p w14:paraId="120670B3" w14:textId="15A84A0D" w:rsidR="00C137E1" w:rsidRPr="00FD59A1" w:rsidRDefault="00771955" w:rsidP="00C137E1">
            <w:pPr>
              <w:spacing w:before="40" w:after="40"/>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0.193</w:t>
            </w:r>
          </w:p>
        </w:tc>
        <w:tc>
          <w:tcPr>
            <w:tcW w:w="1027" w:type="dxa"/>
            <w:tcMar>
              <w:left w:w="108" w:type="dxa"/>
              <w:right w:w="108" w:type="dxa"/>
            </w:tcMar>
            <w:vAlign w:val="center"/>
          </w:tcPr>
          <w:p w14:paraId="1C1E3AB4" w14:textId="3A1F71E3" w:rsidR="00C137E1" w:rsidRDefault="00771955" w:rsidP="00C137E1">
            <w:pPr>
              <w:spacing w:before="40" w:after="40"/>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$166,245</w:t>
            </w:r>
          </w:p>
        </w:tc>
        <w:tc>
          <w:tcPr>
            <w:tcW w:w="1017" w:type="dxa"/>
            <w:tcMar>
              <w:left w:w="108" w:type="dxa"/>
              <w:right w:w="108" w:type="dxa"/>
            </w:tcMar>
            <w:vAlign w:val="center"/>
          </w:tcPr>
          <w:p w14:paraId="4EBEBD4B" w14:textId="6692DCAD" w:rsidR="00C137E1" w:rsidRDefault="00771955" w:rsidP="00C137E1">
            <w:pPr>
              <w:spacing w:before="40" w:after="40"/>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1%</w:t>
            </w:r>
          </w:p>
        </w:tc>
      </w:tr>
      <w:tr w:rsidR="00C137E1" w:rsidRPr="00FD59A1" w14:paraId="6E7A6A8B" w14:textId="77777777" w:rsidTr="005A4333">
        <w:trPr>
          <w:trHeight w:val="300"/>
        </w:trPr>
        <w:tc>
          <w:tcPr>
            <w:tcW w:w="2467" w:type="dxa"/>
            <w:tcBorders>
              <w:top w:val="nil"/>
            </w:tcBorders>
            <w:tcMar>
              <w:left w:w="108" w:type="dxa"/>
              <w:right w:w="108" w:type="dxa"/>
            </w:tcMar>
            <w:vAlign w:val="center"/>
          </w:tcPr>
          <w:p w14:paraId="5E1D90E6" w14:textId="77777777" w:rsidR="00C137E1" w:rsidRPr="00FD59A1" w:rsidRDefault="00C137E1" w:rsidP="00C137E1">
            <w:pPr>
              <w:spacing w:before="40" w:after="40"/>
              <w:rPr>
                <w:rFonts w:ascii="Arial Narrow" w:eastAsia="Arial Narrow" w:hAnsi="Arial Narrow"/>
                <w:sz w:val="20"/>
                <w:szCs w:val="20"/>
              </w:rPr>
            </w:pPr>
          </w:p>
        </w:tc>
        <w:tc>
          <w:tcPr>
            <w:tcW w:w="2477" w:type="dxa"/>
            <w:tcMar>
              <w:left w:w="108" w:type="dxa"/>
              <w:right w:w="108" w:type="dxa"/>
            </w:tcMar>
            <w:vAlign w:val="center"/>
          </w:tcPr>
          <w:p w14:paraId="2F4CBC98" w14:textId="6E1E3B9C" w:rsidR="00C137E1" w:rsidRDefault="00771955" w:rsidP="00C137E1">
            <w:pPr>
              <w:spacing w:before="40" w:after="40"/>
              <w:rPr>
                <w:rFonts w:ascii="Arial Narrow" w:eastAsia="Arial Narrow" w:hAnsi="Arial Narrow"/>
                <w:sz w:val="20"/>
                <w:szCs w:val="20"/>
              </w:rPr>
            </w:pPr>
            <w:r>
              <w:rPr>
                <w:rFonts w:ascii="Arial Narrow" w:eastAsia="Arial Narrow" w:hAnsi="Arial Narrow"/>
                <w:sz w:val="20"/>
                <w:szCs w:val="20"/>
              </w:rPr>
              <w:t>$361</w:t>
            </w:r>
          </w:p>
        </w:tc>
        <w:tc>
          <w:tcPr>
            <w:tcW w:w="1172" w:type="dxa"/>
            <w:tcMar>
              <w:left w:w="108" w:type="dxa"/>
              <w:right w:w="108" w:type="dxa"/>
            </w:tcMar>
            <w:vAlign w:val="center"/>
          </w:tcPr>
          <w:p w14:paraId="2DEBE26B" w14:textId="503EB412" w:rsidR="00C137E1" w:rsidRDefault="00771955" w:rsidP="00C137E1">
            <w:pPr>
              <w:spacing w:before="40" w:after="40"/>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$31,615</w:t>
            </w:r>
          </w:p>
        </w:tc>
        <w:tc>
          <w:tcPr>
            <w:tcW w:w="855" w:type="dxa"/>
            <w:tcMar>
              <w:left w:w="108" w:type="dxa"/>
              <w:right w:w="108" w:type="dxa"/>
            </w:tcMar>
            <w:vAlign w:val="center"/>
          </w:tcPr>
          <w:p w14:paraId="4D59FC7C" w14:textId="107F88C6" w:rsidR="00C137E1" w:rsidRPr="00FD59A1" w:rsidRDefault="00771955" w:rsidP="00C137E1">
            <w:pPr>
              <w:spacing w:before="40" w:after="40"/>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0.193</w:t>
            </w:r>
          </w:p>
        </w:tc>
        <w:tc>
          <w:tcPr>
            <w:tcW w:w="1027" w:type="dxa"/>
            <w:tcMar>
              <w:left w:w="108" w:type="dxa"/>
              <w:right w:w="108" w:type="dxa"/>
            </w:tcMar>
            <w:vAlign w:val="center"/>
          </w:tcPr>
          <w:p w14:paraId="1038042E" w14:textId="51B3FDD3" w:rsidR="00C137E1" w:rsidRDefault="00771955" w:rsidP="00C137E1">
            <w:pPr>
              <w:spacing w:before="40" w:after="40"/>
              <w:jc w:val="center"/>
              <w:rPr>
                <w:rFonts w:ascii="Arial Narrow" w:eastAsia="Arial Narrow" w:hAnsi="Arial Narrow"/>
                <w:color w:val="000000" w:themeColor="text1"/>
                <w:sz w:val="20"/>
                <w:szCs w:val="20"/>
              </w:rPr>
            </w:pPr>
            <w:r>
              <w:rPr>
                <w:rFonts w:ascii="Arial Narrow" w:eastAsia="Arial Narrow" w:hAnsi="Arial Narrow"/>
                <w:color w:val="000000" w:themeColor="text1"/>
                <w:sz w:val="20"/>
                <w:szCs w:val="20"/>
              </w:rPr>
              <w:t>$163,809</w:t>
            </w:r>
          </w:p>
        </w:tc>
        <w:tc>
          <w:tcPr>
            <w:tcW w:w="1017" w:type="dxa"/>
            <w:tcMar>
              <w:left w:w="108" w:type="dxa"/>
              <w:right w:w="108" w:type="dxa"/>
            </w:tcMar>
            <w:vAlign w:val="center"/>
          </w:tcPr>
          <w:p w14:paraId="5005181A" w14:textId="35DFF29B" w:rsidR="00C137E1" w:rsidRPr="00AE0BB2" w:rsidRDefault="00771955" w:rsidP="00C137E1">
            <w:pPr>
              <w:spacing w:before="40" w:after="40"/>
              <w:jc w:val="center"/>
              <w:rPr>
                <w:rFonts w:ascii="Arial Narrow" w:eastAsia="Arial Narrow" w:hAnsi="Arial Narrow"/>
                <w:color w:val="C00000"/>
                <w:sz w:val="20"/>
                <w:szCs w:val="20"/>
              </w:rPr>
            </w:pPr>
            <w:r w:rsidRPr="00AE0BB2">
              <w:rPr>
                <w:rFonts w:ascii="Arial Narrow" w:eastAsia="Arial Narrow" w:hAnsi="Arial Narrow"/>
                <w:color w:val="C00000"/>
                <w:sz w:val="20"/>
                <w:szCs w:val="20"/>
              </w:rPr>
              <w:t>-1%</w:t>
            </w:r>
          </w:p>
        </w:tc>
      </w:tr>
      <w:tr w:rsidR="00C137E1" w:rsidRPr="00FB178D" w14:paraId="47186C19" w14:textId="77777777">
        <w:trPr>
          <w:trHeight w:val="300"/>
        </w:trPr>
        <w:tc>
          <w:tcPr>
            <w:tcW w:w="2467" w:type="dxa"/>
            <w:tcMar>
              <w:left w:w="108" w:type="dxa"/>
              <w:right w:w="108" w:type="dxa"/>
            </w:tcMar>
            <w:vAlign w:val="center"/>
          </w:tcPr>
          <w:p w14:paraId="7E97712C" w14:textId="77777777" w:rsidR="00C137E1" w:rsidRPr="00FB178D" w:rsidRDefault="00C137E1" w:rsidP="00FB178D">
            <w:pPr>
              <w:spacing w:before="40" w:after="40"/>
              <w:rPr>
                <w:rFonts w:ascii="Arial Narrow" w:eastAsia="Arial Narrow" w:hAnsi="Arial Narrow"/>
                <w:sz w:val="20"/>
                <w:szCs w:val="20"/>
              </w:rPr>
            </w:pPr>
            <w:r w:rsidRPr="00FB178D">
              <w:rPr>
                <w:rFonts w:ascii="Arial Narrow" w:eastAsia="Arial Narrow" w:hAnsi="Arial Narrow"/>
                <w:sz w:val="20"/>
                <w:szCs w:val="20"/>
                <w:vertAlign w:val="superscript"/>
              </w:rPr>
              <w:t>177</w:t>
            </w:r>
            <w:r w:rsidRPr="00FB178D">
              <w:rPr>
                <w:rFonts w:ascii="Arial Narrow" w:eastAsia="Arial Narrow" w:hAnsi="Arial Narrow"/>
                <w:sz w:val="20"/>
                <w:szCs w:val="20"/>
              </w:rPr>
              <w:t xml:space="preserve">Lu-PSMA-617 (VISION) PFS extrapolation: K-M + Parametric fitting (adj.) using Log-normal distribution. </w:t>
            </w:r>
            <w:r w:rsidRPr="00FB178D">
              <w:rPr>
                <w:rFonts w:ascii="Arial Narrow" w:eastAsia="Arial Narrow" w:hAnsi="Arial Narrow"/>
                <w:sz w:val="20"/>
                <w:szCs w:val="20"/>
                <w:vertAlign w:val="superscript"/>
              </w:rPr>
              <w:t>177</w:t>
            </w:r>
            <w:r w:rsidRPr="00FB178D">
              <w:rPr>
                <w:rFonts w:ascii="Arial Narrow" w:eastAsia="Arial Narrow" w:hAnsi="Arial Narrow"/>
                <w:sz w:val="20"/>
                <w:szCs w:val="20"/>
              </w:rPr>
              <w:t>Lu-PSMA-617 (VISION) OS extrapolation: K-M + Parametric fitting using log-logistic distribution.</w:t>
            </w:r>
          </w:p>
        </w:tc>
        <w:tc>
          <w:tcPr>
            <w:tcW w:w="2477" w:type="dxa"/>
            <w:tcMar>
              <w:left w:w="108" w:type="dxa"/>
              <w:right w:w="108" w:type="dxa"/>
            </w:tcMar>
            <w:vAlign w:val="center"/>
          </w:tcPr>
          <w:p w14:paraId="12DD906F" w14:textId="77777777" w:rsidR="00C137E1" w:rsidRPr="00FB178D" w:rsidRDefault="00C137E1" w:rsidP="00FB178D">
            <w:pPr>
              <w:spacing w:before="40" w:after="40"/>
              <w:rPr>
                <w:rFonts w:ascii="Arial Narrow" w:eastAsia="Arial Narrow" w:hAnsi="Arial Narrow"/>
                <w:sz w:val="20"/>
                <w:szCs w:val="20"/>
              </w:rPr>
            </w:pPr>
            <w:r w:rsidRPr="00FB178D">
              <w:rPr>
                <w:rFonts w:ascii="Arial Narrow" w:eastAsia="Arial Narrow" w:hAnsi="Arial Narrow"/>
                <w:sz w:val="20"/>
                <w:szCs w:val="20"/>
                <w:vertAlign w:val="superscript"/>
              </w:rPr>
              <w:t>177</w:t>
            </w:r>
            <w:r w:rsidRPr="00FB178D">
              <w:rPr>
                <w:rFonts w:ascii="Arial Narrow" w:eastAsia="Arial Narrow" w:hAnsi="Arial Narrow"/>
                <w:sz w:val="20"/>
                <w:szCs w:val="20"/>
              </w:rPr>
              <w:t xml:space="preserve">Lu-PSMA-617 (VISION) PFS extrapolation: K-M + Parametric fitting (adj.) using Generalised Gamma distribution. </w:t>
            </w:r>
            <w:r w:rsidRPr="00FB178D">
              <w:rPr>
                <w:rFonts w:ascii="Arial Narrow" w:eastAsia="Arial Narrow" w:hAnsi="Arial Narrow"/>
                <w:sz w:val="20"/>
                <w:szCs w:val="20"/>
                <w:vertAlign w:val="superscript"/>
              </w:rPr>
              <w:t>177</w:t>
            </w:r>
            <w:r w:rsidRPr="00FB178D">
              <w:rPr>
                <w:rFonts w:ascii="Arial Narrow" w:eastAsia="Arial Narrow" w:hAnsi="Arial Narrow"/>
                <w:sz w:val="20"/>
                <w:szCs w:val="20"/>
              </w:rPr>
              <w:t>Lu-PSMA-617 (VISION) OS extrapolation: K-M + Parametric fitting using Generalised Gamma distribution. (second best fit based on AIC/BIC value)</w:t>
            </w:r>
          </w:p>
        </w:tc>
        <w:tc>
          <w:tcPr>
            <w:tcW w:w="1172" w:type="dxa"/>
            <w:tcMar>
              <w:left w:w="108" w:type="dxa"/>
              <w:right w:w="108" w:type="dxa"/>
            </w:tcMar>
            <w:vAlign w:val="center"/>
          </w:tcPr>
          <w:p w14:paraId="58FAB815" w14:textId="77777777" w:rsidR="00C137E1" w:rsidRPr="00FB178D" w:rsidRDefault="00C137E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$31,745</w:t>
            </w:r>
          </w:p>
        </w:tc>
        <w:tc>
          <w:tcPr>
            <w:tcW w:w="855" w:type="dxa"/>
            <w:tcMar>
              <w:left w:w="108" w:type="dxa"/>
              <w:right w:w="108" w:type="dxa"/>
            </w:tcMar>
            <w:vAlign w:val="center"/>
          </w:tcPr>
          <w:p w14:paraId="2574DB97" w14:textId="77777777" w:rsidR="00C137E1" w:rsidRPr="00FB178D" w:rsidRDefault="00C137E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0.172</w:t>
            </w:r>
          </w:p>
        </w:tc>
        <w:tc>
          <w:tcPr>
            <w:tcW w:w="1027" w:type="dxa"/>
            <w:tcMar>
              <w:left w:w="108" w:type="dxa"/>
              <w:right w:w="108" w:type="dxa"/>
            </w:tcMar>
            <w:vAlign w:val="center"/>
          </w:tcPr>
          <w:p w14:paraId="0F190128" w14:textId="77777777" w:rsidR="00C137E1" w:rsidRPr="00FB178D" w:rsidRDefault="00C137E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$184,405</w:t>
            </w:r>
          </w:p>
        </w:tc>
        <w:tc>
          <w:tcPr>
            <w:tcW w:w="1017" w:type="dxa"/>
            <w:tcMar>
              <w:left w:w="108" w:type="dxa"/>
              <w:right w:w="108" w:type="dxa"/>
            </w:tcMar>
            <w:vAlign w:val="center"/>
          </w:tcPr>
          <w:p w14:paraId="4D4E1214" w14:textId="77777777" w:rsidR="00C137E1" w:rsidRPr="00FB178D" w:rsidRDefault="00C137E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12%</w:t>
            </w:r>
          </w:p>
        </w:tc>
      </w:tr>
      <w:tr w:rsidR="00C137E1" w:rsidRPr="00FB178D" w14:paraId="455EB265" w14:textId="77777777">
        <w:trPr>
          <w:trHeight w:val="300"/>
        </w:trPr>
        <w:tc>
          <w:tcPr>
            <w:tcW w:w="2467" w:type="dxa"/>
            <w:tcMar>
              <w:left w:w="108" w:type="dxa"/>
              <w:right w:w="108" w:type="dxa"/>
            </w:tcMar>
            <w:vAlign w:val="center"/>
          </w:tcPr>
          <w:p w14:paraId="0EF7C4F7" w14:textId="77777777" w:rsidR="00C137E1" w:rsidRPr="00FB178D" w:rsidRDefault="00C137E1" w:rsidP="00FB178D">
            <w:pPr>
              <w:spacing w:before="40" w:after="40"/>
              <w:rPr>
                <w:rFonts w:ascii="Arial Narrow" w:eastAsia="Arial Narrow" w:hAnsi="Arial Narrow"/>
                <w:sz w:val="20"/>
                <w:szCs w:val="20"/>
              </w:rPr>
            </w:pPr>
            <w:r w:rsidRPr="00FB178D">
              <w:rPr>
                <w:rFonts w:ascii="Arial Narrow" w:eastAsia="Arial Narrow" w:hAnsi="Arial Narrow"/>
                <w:sz w:val="20"/>
                <w:szCs w:val="20"/>
                <w:vertAlign w:val="superscript"/>
              </w:rPr>
              <w:t>177</w:t>
            </w:r>
            <w:r w:rsidRPr="00FB178D">
              <w:rPr>
                <w:rFonts w:ascii="Arial Narrow" w:eastAsia="Arial Narrow" w:hAnsi="Arial Narrow"/>
                <w:sz w:val="20"/>
                <w:szCs w:val="20"/>
              </w:rPr>
              <w:t>Lu-PSMA-617 (</w:t>
            </w:r>
            <w:proofErr w:type="spellStart"/>
            <w:r w:rsidRPr="00FB178D">
              <w:rPr>
                <w:rFonts w:ascii="Arial Narrow" w:eastAsia="Arial Narrow" w:hAnsi="Arial Narrow"/>
                <w:sz w:val="20"/>
                <w:szCs w:val="20"/>
              </w:rPr>
              <w:t>TheraP</w:t>
            </w:r>
            <w:proofErr w:type="spellEnd"/>
            <w:r w:rsidRPr="00FB178D">
              <w:rPr>
                <w:rFonts w:ascii="Arial Narrow" w:eastAsia="Arial Narrow" w:hAnsi="Arial Narrow"/>
                <w:sz w:val="20"/>
                <w:szCs w:val="20"/>
              </w:rPr>
              <w:t xml:space="preserve">) PFS extrapolation: K-M + Parametric fitting (adj.) using Log-normal distribution. </w:t>
            </w:r>
            <w:r w:rsidRPr="00FB178D">
              <w:rPr>
                <w:rFonts w:ascii="Arial Narrow" w:eastAsia="Arial Narrow" w:hAnsi="Arial Narrow"/>
                <w:sz w:val="20"/>
                <w:szCs w:val="20"/>
                <w:vertAlign w:val="superscript"/>
              </w:rPr>
              <w:t>177</w:t>
            </w:r>
            <w:r w:rsidRPr="00FB178D">
              <w:rPr>
                <w:rFonts w:ascii="Arial Narrow" w:eastAsia="Arial Narrow" w:hAnsi="Arial Narrow"/>
                <w:sz w:val="20"/>
                <w:szCs w:val="20"/>
              </w:rPr>
              <w:t>Lu-PSMA-617 (</w:t>
            </w:r>
            <w:proofErr w:type="spellStart"/>
            <w:r w:rsidRPr="00FB178D">
              <w:rPr>
                <w:rFonts w:ascii="Arial Narrow" w:eastAsia="Arial Narrow" w:hAnsi="Arial Narrow"/>
                <w:sz w:val="20"/>
                <w:szCs w:val="20"/>
              </w:rPr>
              <w:t>TheraP</w:t>
            </w:r>
            <w:proofErr w:type="spellEnd"/>
            <w:r w:rsidRPr="00FB178D">
              <w:rPr>
                <w:rFonts w:ascii="Arial Narrow" w:eastAsia="Arial Narrow" w:hAnsi="Arial Narrow"/>
                <w:sz w:val="20"/>
                <w:szCs w:val="20"/>
              </w:rPr>
              <w:t>) OS extrapolation: K-M + Parametric fitting using log-normal distribution.</w:t>
            </w:r>
          </w:p>
        </w:tc>
        <w:tc>
          <w:tcPr>
            <w:tcW w:w="2477" w:type="dxa"/>
            <w:tcMar>
              <w:left w:w="108" w:type="dxa"/>
              <w:right w:w="108" w:type="dxa"/>
            </w:tcMar>
            <w:vAlign w:val="center"/>
          </w:tcPr>
          <w:p w14:paraId="524BEEF4" w14:textId="77777777" w:rsidR="00C137E1" w:rsidRPr="00FB178D" w:rsidRDefault="00C137E1" w:rsidP="00FB178D">
            <w:pPr>
              <w:spacing w:before="40" w:after="40"/>
              <w:rPr>
                <w:rFonts w:ascii="Arial Narrow" w:eastAsia="Arial Narrow" w:hAnsi="Arial Narrow"/>
                <w:sz w:val="20"/>
                <w:szCs w:val="20"/>
              </w:rPr>
            </w:pPr>
            <w:r w:rsidRPr="00FB178D">
              <w:rPr>
                <w:rFonts w:ascii="Arial Narrow" w:eastAsia="Arial Narrow" w:hAnsi="Arial Narrow"/>
                <w:sz w:val="20"/>
                <w:szCs w:val="20"/>
                <w:vertAlign w:val="superscript"/>
              </w:rPr>
              <w:t>177</w:t>
            </w:r>
            <w:r w:rsidRPr="00FB178D">
              <w:rPr>
                <w:rFonts w:ascii="Arial Narrow" w:eastAsia="Arial Narrow" w:hAnsi="Arial Narrow"/>
                <w:sz w:val="20"/>
                <w:szCs w:val="20"/>
              </w:rPr>
              <w:t>Lu-PSMA-617 (</w:t>
            </w:r>
            <w:proofErr w:type="spellStart"/>
            <w:r w:rsidRPr="00FB178D">
              <w:rPr>
                <w:rFonts w:ascii="Arial Narrow" w:eastAsia="Arial Narrow" w:hAnsi="Arial Narrow"/>
                <w:sz w:val="20"/>
                <w:szCs w:val="20"/>
              </w:rPr>
              <w:t>TheraP</w:t>
            </w:r>
            <w:proofErr w:type="spellEnd"/>
            <w:r w:rsidRPr="00FB178D">
              <w:rPr>
                <w:rFonts w:ascii="Arial Narrow" w:eastAsia="Arial Narrow" w:hAnsi="Arial Narrow"/>
                <w:sz w:val="20"/>
                <w:szCs w:val="20"/>
              </w:rPr>
              <w:t xml:space="preserve">) PFS extrapolation: K-M + Parametric fitting (adj.) using Generalised Gamma distribution. </w:t>
            </w:r>
            <w:r w:rsidRPr="00FB178D">
              <w:rPr>
                <w:rFonts w:ascii="Arial Narrow" w:eastAsia="Arial Narrow" w:hAnsi="Arial Narrow"/>
                <w:sz w:val="20"/>
                <w:szCs w:val="20"/>
                <w:vertAlign w:val="superscript"/>
              </w:rPr>
              <w:t>177</w:t>
            </w:r>
            <w:r w:rsidRPr="00FB178D">
              <w:rPr>
                <w:rFonts w:ascii="Arial Narrow" w:eastAsia="Arial Narrow" w:hAnsi="Arial Narrow"/>
                <w:sz w:val="20"/>
                <w:szCs w:val="20"/>
              </w:rPr>
              <w:t>Lu-PSMA-617 (</w:t>
            </w:r>
            <w:proofErr w:type="spellStart"/>
            <w:r w:rsidRPr="00FB178D">
              <w:rPr>
                <w:rFonts w:ascii="Arial Narrow" w:eastAsia="Arial Narrow" w:hAnsi="Arial Narrow"/>
                <w:sz w:val="20"/>
                <w:szCs w:val="20"/>
              </w:rPr>
              <w:t>TheraP</w:t>
            </w:r>
            <w:proofErr w:type="spellEnd"/>
            <w:r w:rsidRPr="00FB178D">
              <w:rPr>
                <w:rFonts w:ascii="Arial Narrow" w:eastAsia="Arial Narrow" w:hAnsi="Arial Narrow"/>
                <w:sz w:val="20"/>
                <w:szCs w:val="20"/>
              </w:rPr>
              <w:t>) OS extrapolation: K-M + Parametric fitting using Generalised Gamma distribution. (second best fit based on AIC/BIC value)</w:t>
            </w:r>
          </w:p>
        </w:tc>
        <w:tc>
          <w:tcPr>
            <w:tcW w:w="1172" w:type="dxa"/>
            <w:tcMar>
              <w:left w:w="108" w:type="dxa"/>
              <w:right w:w="108" w:type="dxa"/>
            </w:tcMar>
            <w:vAlign w:val="center"/>
          </w:tcPr>
          <w:p w14:paraId="461ADB76" w14:textId="77777777" w:rsidR="00C137E1" w:rsidRPr="00FB178D" w:rsidRDefault="00C137E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$31,999</w:t>
            </w:r>
          </w:p>
        </w:tc>
        <w:tc>
          <w:tcPr>
            <w:tcW w:w="855" w:type="dxa"/>
            <w:tcMar>
              <w:left w:w="108" w:type="dxa"/>
              <w:right w:w="108" w:type="dxa"/>
            </w:tcMar>
            <w:vAlign w:val="center"/>
          </w:tcPr>
          <w:p w14:paraId="0F620906" w14:textId="77777777" w:rsidR="00C137E1" w:rsidRPr="00FB178D" w:rsidRDefault="00C137E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0.240</w:t>
            </w:r>
          </w:p>
        </w:tc>
        <w:tc>
          <w:tcPr>
            <w:tcW w:w="1027" w:type="dxa"/>
            <w:tcMar>
              <w:left w:w="108" w:type="dxa"/>
              <w:right w:w="108" w:type="dxa"/>
            </w:tcMar>
            <w:vAlign w:val="center"/>
          </w:tcPr>
          <w:p w14:paraId="3F00E5C6" w14:textId="77777777" w:rsidR="00C137E1" w:rsidRPr="00FB178D" w:rsidRDefault="00C137E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$133,082</w:t>
            </w:r>
          </w:p>
        </w:tc>
        <w:tc>
          <w:tcPr>
            <w:tcW w:w="1017" w:type="dxa"/>
            <w:tcMar>
              <w:left w:w="108" w:type="dxa"/>
              <w:right w:w="108" w:type="dxa"/>
            </w:tcMar>
            <w:vAlign w:val="center"/>
          </w:tcPr>
          <w:p w14:paraId="207BB86B" w14:textId="77777777" w:rsidR="00C137E1" w:rsidRPr="00FB178D" w:rsidRDefault="00C137E1" w:rsidP="00FB178D">
            <w:pPr>
              <w:spacing w:before="40" w:after="40"/>
              <w:jc w:val="center"/>
              <w:rPr>
                <w:rFonts w:ascii="Arial Narrow" w:eastAsia="Arial Narrow" w:hAnsi="Arial Narrow"/>
                <w:color w:val="000000" w:themeColor="text1"/>
                <w:sz w:val="20"/>
                <w:szCs w:val="20"/>
              </w:rPr>
            </w:pPr>
            <w:r w:rsidRPr="00AE0BB2">
              <w:rPr>
                <w:rFonts w:ascii="Arial Narrow" w:eastAsia="Arial Narrow" w:hAnsi="Arial Narrow"/>
                <w:color w:val="A20000"/>
                <w:sz w:val="20"/>
                <w:szCs w:val="20"/>
              </w:rPr>
              <w:t>-19%</w:t>
            </w:r>
          </w:p>
        </w:tc>
      </w:tr>
      <w:tr w:rsidR="00C137E1" w:rsidRPr="00FB178D" w14:paraId="3B87ADDF" w14:textId="77777777">
        <w:trPr>
          <w:trHeight w:val="300"/>
        </w:trPr>
        <w:tc>
          <w:tcPr>
            <w:tcW w:w="2467" w:type="dxa"/>
            <w:tcMar>
              <w:left w:w="108" w:type="dxa"/>
              <w:right w:w="108" w:type="dxa"/>
            </w:tcMar>
            <w:vAlign w:val="center"/>
          </w:tcPr>
          <w:p w14:paraId="5CEE9825" w14:textId="77777777" w:rsidR="00C137E1" w:rsidRPr="00FB178D" w:rsidRDefault="00C137E1" w:rsidP="00FB178D">
            <w:pPr>
              <w:spacing w:before="40" w:after="40"/>
              <w:rPr>
                <w:rFonts w:ascii="Arial Narrow" w:eastAsia="Arial Narrow" w:hAnsi="Arial Narrow"/>
                <w:sz w:val="20"/>
                <w:szCs w:val="20"/>
              </w:rPr>
            </w:pPr>
            <w:proofErr w:type="spellStart"/>
            <w:r w:rsidRPr="00FB178D">
              <w:rPr>
                <w:rFonts w:ascii="Arial Narrow" w:eastAsia="Arial Narrow" w:hAnsi="Arial Narrow"/>
                <w:sz w:val="20"/>
                <w:szCs w:val="20"/>
              </w:rPr>
              <w:t>Cabazitaxel</w:t>
            </w:r>
            <w:proofErr w:type="spellEnd"/>
            <w:r w:rsidRPr="00FB178D">
              <w:rPr>
                <w:rFonts w:ascii="Arial Narrow" w:eastAsia="Arial Narrow" w:hAnsi="Arial Narrow"/>
                <w:sz w:val="20"/>
                <w:szCs w:val="20"/>
              </w:rPr>
              <w:t xml:space="preserve"> (</w:t>
            </w:r>
            <w:proofErr w:type="spellStart"/>
            <w:r w:rsidRPr="00FB178D">
              <w:rPr>
                <w:rFonts w:ascii="Arial Narrow" w:eastAsia="Arial Narrow" w:hAnsi="Arial Narrow"/>
                <w:sz w:val="20"/>
                <w:szCs w:val="20"/>
              </w:rPr>
              <w:t>TheraP</w:t>
            </w:r>
            <w:proofErr w:type="spellEnd"/>
            <w:r w:rsidRPr="00FB178D">
              <w:rPr>
                <w:rFonts w:ascii="Arial Narrow" w:eastAsia="Arial Narrow" w:hAnsi="Arial Narrow"/>
                <w:sz w:val="20"/>
                <w:szCs w:val="20"/>
              </w:rPr>
              <w:t xml:space="preserve">) PFS extrapolation: K-M + Parametric fitting (adj.) using Log-normal distribution. </w:t>
            </w:r>
            <w:proofErr w:type="spellStart"/>
            <w:r w:rsidRPr="00FB178D">
              <w:rPr>
                <w:rFonts w:ascii="Arial Narrow" w:eastAsia="Arial Narrow" w:hAnsi="Arial Narrow"/>
                <w:sz w:val="20"/>
                <w:szCs w:val="20"/>
              </w:rPr>
              <w:t>Cabazitaxel</w:t>
            </w:r>
            <w:proofErr w:type="spellEnd"/>
            <w:r w:rsidRPr="00FB178D">
              <w:rPr>
                <w:rFonts w:ascii="Arial Narrow" w:eastAsia="Arial Narrow" w:hAnsi="Arial Narrow"/>
                <w:sz w:val="20"/>
                <w:szCs w:val="20"/>
              </w:rPr>
              <w:t xml:space="preserve"> (</w:t>
            </w:r>
            <w:proofErr w:type="spellStart"/>
            <w:r w:rsidRPr="00FB178D">
              <w:rPr>
                <w:rFonts w:ascii="Arial Narrow" w:eastAsia="Arial Narrow" w:hAnsi="Arial Narrow"/>
                <w:sz w:val="20"/>
                <w:szCs w:val="20"/>
              </w:rPr>
              <w:t>TheraP</w:t>
            </w:r>
            <w:proofErr w:type="spellEnd"/>
            <w:r w:rsidRPr="00FB178D">
              <w:rPr>
                <w:rFonts w:ascii="Arial Narrow" w:eastAsia="Arial Narrow" w:hAnsi="Arial Narrow"/>
                <w:sz w:val="20"/>
                <w:szCs w:val="20"/>
              </w:rPr>
              <w:t>) OS extrapolation: K-M + Parametric fitting using Gamma distribution.</w:t>
            </w:r>
          </w:p>
        </w:tc>
        <w:tc>
          <w:tcPr>
            <w:tcW w:w="2477" w:type="dxa"/>
            <w:tcMar>
              <w:left w:w="108" w:type="dxa"/>
              <w:right w:w="108" w:type="dxa"/>
            </w:tcMar>
            <w:vAlign w:val="center"/>
          </w:tcPr>
          <w:p w14:paraId="484F99E9" w14:textId="77777777" w:rsidR="00C137E1" w:rsidRPr="00FB178D" w:rsidRDefault="00C137E1" w:rsidP="00FB178D">
            <w:pPr>
              <w:spacing w:before="40" w:after="40"/>
              <w:rPr>
                <w:rFonts w:ascii="Arial Narrow" w:eastAsia="Arial Narrow" w:hAnsi="Arial Narrow"/>
                <w:sz w:val="20"/>
                <w:szCs w:val="20"/>
              </w:rPr>
            </w:pPr>
            <w:proofErr w:type="spellStart"/>
            <w:r w:rsidRPr="00FB178D">
              <w:rPr>
                <w:rFonts w:ascii="Arial Narrow" w:eastAsia="Arial Narrow" w:hAnsi="Arial Narrow"/>
                <w:sz w:val="20"/>
                <w:szCs w:val="20"/>
              </w:rPr>
              <w:t>Cabazitaxel</w:t>
            </w:r>
            <w:proofErr w:type="spellEnd"/>
            <w:r w:rsidRPr="00FB178D">
              <w:rPr>
                <w:rFonts w:ascii="Arial Narrow" w:eastAsia="Arial Narrow" w:hAnsi="Arial Narrow"/>
                <w:sz w:val="20"/>
                <w:szCs w:val="20"/>
              </w:rPr>
              <w:t xml:space="preserve"> (</w:t>
            </w:r>
            <w:proofErr w:type="spellStart"/>
            <w:r w:rsidRPr="00FB178D">
              <w:rPr>
                <w:rFonts w:ascii="Arial Narrow" w:eastAsia="Arial Narrow" w:hAnsi="Arial Narrow"/>
                <w:sz w:val="20"/>
                <w:szCs w:val="20"/>
              </w:rPr>
              <w:t>TheraP</w:t>
            </w:r>
            <w:proofErr w:type="spellEnd"/>
            <w:r w:rsidRPr="00FB178D">
              <w:rPr>
                <w:rFonts w:ascii="Arial Narrow" w:eastAsia="Arial Narrow" w:hAnsi="Arial Narrow"/>
                <w:sz w:val="20"/>
                <w:szCs w:val="20"/>
              </w:rPr>
              <w:t xml:space="preserve">) PFS extrapolation: K-M + Parametric fitting (adj.) using Gamma distribution. </w:t>
            </w:r>
            <w:proofErr w:type="spellStart"/>
            <w:r w:rsidRPr="00FB178D">
              <w:rPr>
                <w:rFonts w:ascii="Arial Narrow" w:eastAsia="Arial Narrow" w:hAnsi="Arial Narrow"/>
                <w:sz w:val="20"/>
                <w:szCs w:val="20"/>
              </w:rPr>
              <w:t>Cabazitaxel</w:t>
            </w:r>
            <w:proofErr w:type="spellEnd"/>
            <w:r w:rsidRPr="00FB178D">
              <w:rPr>
                <w:rFonts w:ascii="Arial Narrow" w:eastAsia="Arial Narrow" w:hAnsi="Arial Narrow"/>
                <w:sz w:val="20"/>
                <w:szCs w:val="20"/>
              </w:rPr>
              <w:t xml:space="preserve"> (</w:t>
            </w:r>
            <w:proofErr w:type="spellStart"/>
            <w:r w:rsidRPr="00FB178D">
              <w:rPr>
                <w:rFonts w:ascii="Arial Narrow" w:eastAsia="Arial Narrow" w:hAnsi="Arial Narrow"/>
                <w:sz w:val="20"/>
                <w:szCs w:val="20"/>
              </w:rPr>
              <w:t>TheraP</w:t>
            </w:r>
            <w:proofErr w:type="spellEnd"/>
            <w:r w:rsidRPr="00FB178D">
              <w:rPr>
                <w:rFonts w:ascii="Arial Narrow" w:eastAsia="Arial Narrow" w:hAnsi="Arial Narrow"/>
                <w:sz w:val="20"/>
                <w:szCs w:val="20"/>
              </w:rPr>
              <w:t>) OS extrapolation: K-M + Parametric fitting using log-logistic distribution. (second best fit based on AIC/BIC value)</w:t>
            </w:r>
          </w:p>
        </w:tc>
        <w:tc>
          <w:tcPr>
            <w:tcW w:w="1172" w:type="dxa"/>
            <w:tcMar>
              <w:left w:w="108" w:type="dxa"/>
              <w:right w:w="108" w:type="dxa"/>
            </w:tcMar>
            <w:vAlign w:val="center"/>
          </w:tcPr>
          <w:p w14:paraId="30D04AA6" w14:textId="77777777" w:rsidR="00C137E1" w:rsidRPr="00FB178D" w:rsidRDefault="00C137E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$31,592</w:t>
            </w:r>
          </w:p>
        </w:tc>
        <w:tc>
          <w:tcPr>
            <w:tcW w:w="855" w:type="dxa"/>
            <w:tcMar>
              <w:left w:w="108" w:type="dxa"/>
              <w:right w:w="108" w:type="dxa"/>
            </w:tcMar>
            <w:vAlign w:val="center"/>
          </w:tcPr>
          <w:p w14:paraId="41CC9553" w14:textId="77777777" w:rsidR="00C137E1" w:rsidRPr="00FB178D" w:rsidRDefault="00C137E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0.138</w:t>
            </w:r>
          </w:p>
        </w:tc>
        <w:tc>
          <w:tcPr>
            <w:tcW w:w="1027" w:type="dxa"/>
            <w:tcMar>
              <w:left w:w="108" w:type="dxa"/>
              <w:right w:w="108" w:type="dxa"/>
            </w:tcMar>
            <w:vAlign w:val="center"/>
          </w:tcPr>
          <w:p w14:paraId="608974E1" w14:textId="77777777" w:rsidR="00C137E1" w:rsidRPr="00FB178D" w:rsidRDefault="00C137E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$229,406</w:t>
            </w:r>
          </w:p>
        </w:tc>
        <w:tc>
          <w:tcPr>
            <w:tcW w:w="1017" w:type="dxa"/>
            <w:tcMar>
              <w:left w:w="108" w:type="dxa"/>
              <w:right w:w="108" w:type="dxa"/>
            </w:tcMar>
            <w:vAlign w:val="center"/>
          </w:tcPr>
          <w:p w14:paraId="1455D2E1" w14:textId="77777777" w:rsidR="00C137E1" w:rsidRPr="00FB178D" w:rsidRDefault="00C137E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39%</w:t>
            </w:r>
          </w:p>
        </w:tc>
      </w:tr>
      <w:tr w:rsidR="00C137E1" w:rsidRPr="00FB178D" w14:paraId="4B7DD174" w14:textId="77777777">
        <w:trPr>
          <w:trHeight w:val="300"/>
        </w:trPr>
        <w:tc>
          <w:tcPr>
            <w:tcW w:w="2467" w:type="dxa"/>
            <w:tcMar>
              <w:left w:w="108" w:type="dxa"/>
              <w:right w:w="108" w:type="dxa"/>
            </w:tcMar>
            <w:vAlign w:val="center"/>
          </w:tcPr>
          <w:p w14:paraId="5F261D53" w14:textId="77777777" w:rsidR="00C137E1" w:rsidRPr="00FB178D" w:rsidRDefault="00C137E1" w:rsidP="00FB178D">
            <w:pPr>
              <w:spacing w:before="40" w:after="40"/>
              <w:rPr>
                <w:rFonts w:ascii="Arial Narrow" w:eastAsia="Arial Narrow" w:hAnsi="Arial Narrow"/>
                <w:sz w:val="20"/>
                <w:szCs w:val="20"/>
              </w:rPr>
            </w:pPr>
            <w:r w:rsidRPr="00FB178D">
              <w:rPr>
                <w:rFonts w:ascii="Arial Narrow" w:eastAsia="Arial Narrow" w:hAnsi="Arial Narrow"/>
                <w:sz w:val="20"/>
                <w:szCs w:val="20"/>
              </w:rPr>
              <w:t>BSC (VISION) PFS extrapolation: K-M + Parametric fitting (adj.) using Log-normal distribution. BSC (VISION) OS extrapolation: K-M + Parametric fitting using log-normal distribution.</w:t>
            </w:r>
          </w:p>
        </w:tc>
        <w:tc>
          <w:tcPr>
            <w:tcW w:w="2477" w:type="dxa"/>
            <w:tcMar>
              <w:left w:w="108" w:type="dxa"/>
              <w:right w:w="108" w:type="dxa"/>
            </w:tcMar>
            <w:vAlign w:val="center"/>
          </w:tcPr>
          <w:p w14:paraId="543FE6C6" w14:textId="77777777" w:rsidR="00C137E1" w:rsidRPr="00FB178D" w:rsidRDefault="00C137E1" w:rsidP="00FB178D">
            <w:pPr>
              <w:spacing w:before="40" w:after="40"/>
              <w:rPr>
                <w:rFonts w:ascii="Arial Narrow" w:eastAsia="Arial Narrow" w:hAnsi="Arial Narrow"/>
                <w:sz w:val="20"/>
                <w:szCs w:val="20"/>
              </w:rPr>
            </w:pPr>
            <w:r w:rsidRPr="00FB178D">
              <w:rPr>
                <w:rFonts w:ascii="Arial Narrow" w:eastAsia="Arial Narrow" w:hAnsi="Arial Narrow"/>
                <w:sz w:val="20"/>
                <w:szCs w:val="20"/>
              </w:rPr>
              <w:t xml:space="preserve">BSC (VISION) PFS extrapolation: K-M + Parametric fitting (adj.) using Generalised Gamma. BSC (VISION) OS extrapolation: K-M + Parametric fitting using Generalised Gamma </w:t>
            </w:r>
            <w:r w:rsidRPr="00FB178D">
              <w:rPr>
                <w:rFonts w:ascii="Arial Narrow" w:eastAsia="Arial Narrow" w:hAnsi="Arial Narrow"/>
                <w:sz w:val="20"/>
                <w:szCs w:val="20"/>
              </w:rPr>
              <w:lastRenderedPageBreak/>
              <w:t>distribution. (second best fit based on AIC/BIC value)</w:t>
            </w:r>
          </w:p>
        </w:tc>
        <w:tc>
          <w:tcPr>
            <w:tcW w:w="1172" w:type="dxa"/>
            <w:tcMar>
              <w:left w:w="108" w:type="dxa"/>
              <w:right w:w="108" w:type="dxa"/>
            </w:tcMar>
            <w:vAlign w:val="center"/>
          </w:tcPr>
          <w:p w14:paraId="328509CE" w14:textId="77777777" w:rsidR="00C137E1" w:rsidRPr="00FB178D" w:rsidRDefault="00C137E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lastRenderedPageBreak/>
              <w:t>$31,862</w:t>
            </w:r>
          </w:p>
        </w:tc>
        <w:tc>
          <w:tcPr>
            <w:tcW w:w="855" w:type="dxa"/>
            <w:tcMar>
              <w:left w:w="108" w:type="dxa"/>
              <w:right w:w="108" w:type="dxa"/>
            </w:tcMar>
            <w:vAlign w:val="center"/>
          </w:tcPr>
          <w:p w14:paraId="34D5EF71" w14:textId="77777777" w:rsidR="00C137E1" w:rsidRPr="00FB178D" w:rsidRDefault="00C137E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0.199</w:t>
            </w:r>
          </w:p>
        </w:tc>
        <w:tc>
          <w:tcPr>
            <w:tcW w:w="1027" w:type="dxa"/>
            <w:tcMar>
              <w:left w:w="108" w:type="dxa"/>
              <w:right w:w="108" w:type="dxa"/>
            </w:tcMar>
            <w:vAlign w:val="center"/>
          </w:tcPr>
          <w:p w14:paraId="0E4F8018" w14:textId="77777777" w:rsidR="00C137E1" w:rsidRPr="00FB178D" w:rsidRDefault="00C137E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$160,489</w:t>
            </w:r>
          </w:p>
        </w:tc>
        <w:tc>
          <w:tcPr>
            <w:tcW w:w="1017" w:type="dxa"/>
            <w:tcMar>
              <w:left w:w="108" w:type="dxa"/>
              <w:right w:w="108" w:type="dxa"/>
            </w:tcMar>
            <w:vAlign w:val="center"/>
          </w:tcPr>
          <w:p w14:paraId="1AF1DB7C" w14:textId="77777777" w:rsidR="00C137E1" w:rsidRPr="00AE0BB2" w:rsidRDefault="00C137E1" w:rsidP="00FB178D">
            <w:pPr>
              <w:spacing w:before="40" w:after="40"/>
              <w:jc w:val="center"/>
              <w:rPr>
                <w:rFonts w:ascii="Arial Narrow" w:eastAsia="Arial Narrow" w:hAnsi="Arial Narrow"/>
                <w:color w:val="C00000"/>
                <w:sz w:val="20"/>
                <w:szCs w:val="20"/>
              </w:rPr>
            </w:pPr>
            <w:r w:rsidRPr="00AE0BB2">
              <w:rPr>
                <w:rFonts w:ascii="Arial Narrow" w:eastAsia="Arial Narrow" w:hAnsi="Arial Narrow"/>
                <w:color w:val="C00000"/>
                <w:sz w:val="20"/>
                <w:szCs w:val="20"/>
              </w:rPr>
              <w:t>-3%</w:t>
            </w:r>
          </w:p>
        </w:tc>
      </w:tr>
      <w:tr w:rsidR="00C137E1" w:rsidRPr="00FB178D" w14:paraId="5BF6ADD9" w14:textId="77777777" w:rsidTr="00310884">
        <w:trPr>
          <w:trHeight w:val="300"/>
        </w:trPr>
        <w:tc>
          <w:tcPr>
            <w:tcW w:w="2467" w:type="dxa"/>
            <w:tcBorders>
              <w:bottom w:val="nil"/>
            </w:tcBorders>
            <w:tcMar>
              <w:left w:w="108" w:type="dxa"/>
              <w:right w:w="108" w:type="dxa"/>
            </w:tcMar>
            <w:vAlign w:val="center"/>
          </w:tcPr>
          <w:p w14:paraId="4DDDEA4C" w14:textId="77777777" w:rsidR="00C137E1" w:rsidRDefault="00C137E1" w:rsidP="00C137E1">
            <w:pPr>
              <w:spacing w:before="40" w:after="40"/>
              <w:rPr>
                <w:rFonts w:ascii="Arial Narrow" w:eastAsia="Arial Narrow" w:hAnsi="Arial Narrow"/>
                <w:sz w:val="20"/>
                <w:szCs w:val="20"/>
              </w:rPr>
            </w:pPr>
            <w:r w:rsidRPr="00FB178D">
              <w:rPr>
                <w:rFonts w:ascii="Arial Narrow" w:eastAsia="Arial Narrow" w:hAnsi="Arial Narrow"/>
                <w:sz w:val="20"/>
                <w:szCs w:val="20"/>
              </w:rPr>
              <w:t>Source for utility values: - MSAC 1686 PSD</w:t>
            </w:r>
            <w:r>
              <w:rPr>
                <w:rFonts w:ascii="Arial Narrow" w:eastAsia="Arial Narrow" w:hAnsi="Arial Narrow"/>
                <w:sz w:val="20"/>
                <w:szCs w:val="20"/>
              </w:rPr>
              <w:t xml:space="preserve">: </w:t>
            </w:r>
          </w:p>
          <w:p w14:paraId="34D92BD4" w14:textId="0B296394" w:rsidR="00C137E1" w:rsidRPr="00FB178D" w:rsidRDefault="00C137E1" w:rsidP="00FB178D">
            <w:pPr>
              <w:spacing w:before="40" w:after="40"/>
              <w:rPr>
                <w:rFonts w:ascii="Arial Narrow" w:eastAsia="Arial Narrow" w:hAnsi="Arial Narrow"/>
                <w:sz w:val="20"/>
                <w:szCs w:val="20"/>
              </w:rPr>
            </w:pPr>
            <w:r>
              <w:rPr>
                <w:rFonts w:ascii="Arial Narrow" w:eastAsia="Arial Narrow" w:hAnsi="Arial Narrow"/>
                <w:sz w:val="20"/>
                <w:szCs w:val="20"/>
              </w:rPr>
              <w:t>PFS=0.74, PD=0.59</w:t>
            </w:r>
          </w:p>
        </w:tc>
        <w:tc>
          <w:tcPr>
            <w:tcW w:w="2477" w:type="dxa"/>
            <w:tcMar>
              <w:left w:w="108" w:type="dxa"/>
              <w:right w:w="108" w:type="dxa"/>
            </w:tcMar>
            <w:vAlign w:val="center"/>
          </w:tcPr>
          <w:p w14:paraId="0A7331F2" w14:textId="256B7DCF" w:rsidR="00C137E1" w:rsidRPr="00FB178D" w:rsidRDefault="00C137E1" w:rsidP="00FB178D">
            <w:pPr>
              <w:spacing w:before="40" w:after="40"/>
              <w:rPr>
                <w:rFonts w:ascii="Arial Narrow" w:hAnsi="Arial Narrow"/>
                <w:sz w:val="20"/>
                <w:szCs w:val="20"/>
              </w:rPr>
            </w:pPr>
            <w:r w:rsidRPr="00FB178D">
              <w:rPr>
                <w:rFonts w:ascii="Arial Narrow" w:eastAsia="Arial Narrow" w:hAnsi="Arial Narrow"/>
                <w:sz w:val="20"/>
                <w:szCs w:val="20"/>
              </w:rPr>
              <w:t>Lloyd A.J. et al., 2015 (EQ-5D-5L)</w:t>
            </w:r>
            <w:r>
              <w:rPr>
                <w:rFonts w:ascii="Arial Narrow" w:eastAsia="Arial Narrow" w:hAnsi="Arial Narrow"/>
                <w:sz w:val="20"/>
                <w:szCs w:val="20"/>
              </w:rPr>
              <w:t>: PFS=0.83, PD=0.625</w:t>
            </w:r>
          </w:p>
        </w:tc>
        <w:tc>
          <w:tcPr>
            <w:tcW w:w="1172" w:type="dxa"/>
            <w:tcMar>
              <w:left w:w="108" w:type="dxa"/>
              <w:right w:w="108" w:type="dxa"/>
            </w:tcMar>
            <w:vAlign w:val="center"/>
          </w:tcPr>
          <w:p w14:paraId="004FC0CC" w14:textId="77777777" w:rsidR="00C137E1" w:rsidRPr="00FB178D" w:rsidRDefault="00C137E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$31,834</w:t>
            </w:r>
          </w:p>
        </w:tc>
        <w:tc>
          <w:tcPr>
            <w:tcW w:w="855" w:type="dxa"/>
            <w:tcMar>
              <w:left w:w="108" w:type="dxa"/>
              <w:right w:w="108" w:type="dxa"/>
            </w:tcMar>
            <w:vAlign w:val="center"/>
          </w:tcPr>
          <w:p w14:paraId="0EA40836" w14:textId="77777777" w:rsidR="00C137E1" w:rsidRPr="00FB178D" w:rsidRDefault="00C137E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0.217</w:t>
            </w:r>
          </w:p>
        </w:tc>
        <w:tc>
          <w:tcPr>
            <w:tcW w:w="1027" w:type="dxa"/>
            <w:tcMar>
              <w:left w:w="108" w:type="dxa"/>
              <w:right w:w="108" w:type="dxa"/>
            </w:tcMar>
            <w:vAlign w:val="center"/>
          </w:tcPr>
          <w:p w14:paraId="45DBB8A4" w14:textId="77777777" w:rsidR="00C137E1" w:rsidRPr="00FB178D" w:rsidRDefault="00C137E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$146,561</w:t>
            </w:r>
          </w:p>
        </w:tc>
        <w:tc>
          <w:tcPr>
            <w:tcW w:w="1017" w:type="dxa"/>
            <w:tcMar>
              <w:left w:w="108" w:type="dxa"/>
              <w:right w:w="108" w:type="dxa"/>
            </w:tcMar>
            <w:vAlign w:val="center"/>
          </w:tcPr>
          <w:p w14:paraId="19473631" w14:textId="77777777" w:rsidR="00C137E1" w:rsidRPr="00AE0BB2" w:rsidRDefault="00C137E1" w:rsidP="00FB178D">
            <w:pPr>
              <w:spacing w:before="40" w:after="40"/>
              <w:jc w:val="center"/>
              <w:rPr>
                <w:rFonts w:ascii="Arial Narrow" w:eastAsia="Arial Narrow" w:hAnsi="Arial Narrow"/>
                <w:color w:val="C00000"/>
                <w:sz w:val="20"/>
                <w:szCs w:val="20"/>
              </w:rPr>
            </w:pPr>
            <w:r w:rsidRPr="00AE0BB2">
              <w:rPr>
                <w:rFonts w:ascii="Arial Narrow" w:eastAsia="Arial Narrow" w:hAnsi="Arial Narrow"/>
                <w:color w:val="C00000"/>
                <w:sz w:val="20"/>
                <w:szCs w:val="20"/>
              </w:rPr>
              <w:t>-11%</w:t>
            </w:r>
          </w:p>
        </w:tc>
      </w:tr>
      <w:tr w:rsidR="00C137E1" w:rsidRPr="00FB178D" w14:paraId="68A80D7C" w14:textId="77777777" w:rsidTr="00FB178D">
        <w:trPr>
          <w:trHeight w:val="300"/>
        </w:trPr>
        <w:tc>
          <w:tcPr>
            <w:tcW w:w="2467" w:type="dxa"/>
            <w:tcBorders>
              <w:top w:val="nil"/>
              <w:bottom w:val="nil"/>
            </w:tcBorders>
            <w:tcMar>
              <w:left w:w="108" w:type="dxa"/>
              <w:right w:w="108" w:type="dxa"/>
            </w:tcMar>
            <w:vAlign w:val="center"/>
          </w:tcPr>
          <w:p w14:paraId="21783294" w14:textId="77777777" w:rsidR="00C137E1" w:rsidRPr="00FB178D" w:rsidRDefault="00C137E1" w:rsidP="00FB178D">
            <w:pPr>
              <w:spacing w:before="40" w:after="40"/>
              <w:rPr>
                <w:rFonts w:ascii="Arial Narrow" w:eastAsia="Arial Narrow" w:hAnsi="Arial Narrow"/>
                <w:color w:val="0070C0"/>
                <w:sz w:val="20"/>
                <w:szCs w:val="20"/>
              </w:rPr>
            </w:pPr>
          </w:p>
        </w:tc>
        <w:tc>
          <w:tcPr>
            <w:tcW w:w="2477" w:type="dxa"/>
            <w:shd w:val="clear" w:color="auto" w:fill="D9D9D9" w:themeFill="background1" w:themeFillShade="D9"/>
            <w:tcMar>
              <w:left w:w="108" w:type="dxa"/>
              <w:right w:w="108" w:type="dxa"/>
            </w:tcMar>
            <w:vAlign w:val="center"/>
          </w:tcPr>
          <w:p w14:paraId="1B391BF4" w14:textId="30989FB0" w:rsidR="00C137E1" w:rsidRPr="00FB178D" w:rsidRDefault="00C137E1" w:rsidP="00FB178D">
            <w:pPr>
              <w:spacing w:before="40" w:after="40"/>
              <w:rPr>
                <w:rFonts w:ascii="Arial Narrow" w:eastAsia="Arial Narrow" w:hAnsi="Arial Narrow"/>
                <w:sz w:val="20"/>
                <w:szCs w:val="20"/>
              </w:rPr>
            </w:pPr>
            <w:r w:rsidRPr="00FB178D">
              <w:rPr>
                <w:rFonts w:ascii="Arial Narrow" w:eastAsia="Arial Narrow" w:hAnsi="Arial Narrow"/>
                <w:sz w:val="20"/>
                <w:szCs w:val="20"/>
              </w:rPr>
              <w:t>Lloyd A.J. et al., 2015 (EQ-5D-5L)</w:t>
            </w:r>
            <w:r>
              <w:rPr>
                <w:rFonts w:ascii="Arial Narrow" w:eastAsia="Arial Narrow" w:hAnsi="Arial Narrow"/>
                <w:sz w:val="20"/>
                <w:szCs w:val="20"/>
              </w:rPr>
              <w:t>: PFS=0.69</w:t>
            </w:r>
            <w:r w:rsidR="001D286A">
              <w:rPr>
                <w:rFonts w:ascii="Arial Narrow" w:eastAsia="Arial Narrow" w:hAnsi="Arial Narrow"/>
                <w:sz w:val="20"/>
                <w:szCs w:val="20"/>
              </w:rPr>
              <w:t xml:space="preserve"> [Pop 3]</w:t>
            </w:r>
            <w:r>
              <w:rPr>
                <w:rFonts w:ascii="Arial Narrow" w:eastAsia="Arial Narrow" w:hAnsi="Arial Narrow"/>
                <w:sz w:val="20"/>
                <w:szCs w:val="20"/>
              </w:rPr>
              <w:t>; PD=0.59</w:t>
            </w:r>
          </w:p>
        </w:tc>
        <w:tc>
          <w:tcPr>
            <w:tcW w:w="1172" w:type="dxa"/>
            <w:shd w:val="clear" w:color="auto" w:fill="D9D9D9" w:themeFill="background1" w:themeFillShade="D9"/>
            <w:tcMar>
              <w:left w:w="108" w:type="dxa"/>
              <w:right w:w="108" w:type="dxa"/>
            </w:tcMar>
            <w:vAlign w:val="center"/>
          </w:tcPr>
          <w:p w14:paraId="78F21E5A" w14:textId="77777777" w:rsidR="00C137E1" w:rsidRPr="00FB178D" w:rsidRDefault="00C137E1" w:rsidP="00FB178D">
            <w:pPr>
              <w:spacing w:before="40" w:after="40"/>
              <w:jc w:val="center"/>
              <w:rPr>
                <w:rFonts w:ascii="Arial Narrow" w:eastAsia="Arial Narrow" w:hAnsi="Arial Narrow"/>
                <w:sz w:val="20"/>
                <w:szCs w:val="20"/>
              </w:rPr>
            </w:pPr>
            <w:r w:rsidRPr="00FB178D">
              <w:rPr>
                <w:rFonts w:ascii="Arial Narrow" w:eastAsia="Arial Narrow" w:hAnsi="Arial Narrow"/>
                <w:sz w:val="20"/>
                <w:szCs w:val="20"/>
              </w:rPr>
              <w:t>$31,834</w:t>
            </w:r>
          </w:p>
        </w:tc>
        <w:tc>
          <w:tcPr>
            <w:tcW w:w="855" w:type="dxa"/>
            <w:shd w:val="clear" w:color="auto" w:fill="D9D9D9" w:themeFill="background1" w:themeFillShade="D9"/>
            <w:tcMar>
              <w:left w:w="108" w:type="dxa"/>
              <w:right w:w="108" w:type="dxa"/>
            </w:tcMar>
            <w:vAlign w:val="center"/>
          </w:tcPr>
          <w:p w14:paraId="7B83642B" w14:textId="77777777" w:rsidR="00C137E1" w:rsidRPr="00FB178D" w:rsidRDefault="00C137E1" w:rsidP="00FB178D">
            <w:pPr>
              <w:spacing w:before="40" w:after="40"/>
              <w:jc w:val="center"/>
              <w:rPr>
                <w:rFonts w:ascii="Arial Narrow" w:eastAsia="Arial Narrow" w:hAnsi="Arial Narrow"/>
                <w:sz w:val="20"/>
                <w:szCs w:val="20"/>
              </w:rPr>
            </w:pPr>
            <w:r w:rsidRPr="00FB178D">
              <w:rPr>
                <w:rFonts w:ascii="Arial Narrow" w:eastAsia="Arial Narrow" w:hAnsi="Arial Narrow"/>
                <w:sz w:val="20"/>
                <w:szCs w:val="20"/>
              </w:rPr>
              <w:t>0.179</w:t>
            </w:r>
          </w:p>
        </w:tc>
        <w:tc>
          <w:tcPr>
            <w:tcW w:w="1027" w:type="dxa"/>
            <w:shd w:val="clear" w:color="auto" w:fill="D9D9D9" w:themeFill="background1" w:themeFillShade="D9"/>
            <w:tcMar>
              <w:left w:w="108" w:type="dxa"/>
              <w:right w:w="108" w:type="dxa"/>
            </w:tcMar>
            <w:vAlign w:val="center"/>
          </w:tcPr>
          <w:p w14:paraId="7AA6C106" w14:textId="77777777" w:rsidR="00C137E1" w:rsidRPr="00FB178D" w:rsidRDefault="00C137E1" w:rsidP="00FB178D">
            <w:pPr>
              <w:spacing w:before="40" w:after="40"/>
              <w:jc w:val="center"/>
              <w:rPr>
                <w:rFonts w:ascii="Arial Narrow" w:eastAsia="Arial Narrow" w:hAnsi="Arial Narrow"/>
                <w:sz w:val="20"/>
                <w:szCs w:val="20"/>
              </w:rPr>
            </w:pPr>
            <w:r w:rsidRPr="00FB178D">
              <w:rPr>
                <w:rFonts w:ascii="Arial Narrow" w:eastAsia="Arial Narrow" w:hAnsi="Arial Narrow"/>
                <w:sz w:val="20"/>
                <w:szCs w:val="20"/>
              </w:rPr>
              <w:t>$177,429</w:t>
            </w:r>
          </w:p>
        </w:tc>
        <w:tc>
          <w:tcPr>
            <w:tcW w:w="1017" w:type="dxa"/>
            <w:shd w:val="clear" w:color="auto" w:fill="D9D9D9" w:themeFill="background1" w:themeFillShade="D9"/>
            <w:tcMar>
              <w:left w:w="108" w:type="dxa"/>
              <w:right w:w="108" w:type="dxa"/>
            </w:tcMar>
            <w:vAlign w:val="center"/>
          </w:tcPr>
          <w:p w14:paraId="6A4809AC" w14:textId="77777777" w:rsidR="00C137E1" w:rsidRPr="00FB178D" w:rsidRDefault="00C137E1" w:rsidP="00FB178D">
            <w:pPr>
              <w:spacing w:before="40" w:after="40"/>
              <w:jc w:val="center"/>
              <w:rPr>
                <w:rFonts w:ascii="Arial Narrow" w:eastAsia="Arial Narrow" w:hAnsi="Arial Narrow"/>
                <w:sz w:val="20"/>
                <w:szCs w:val="20"/>
              </w:rPr>
            </w:pPr>
            <w:r w:rsidRPr="00FB178D">
              <w:rPr>
                <w:rFonts w:ascii="Arial Narrow" w:eastAsia="Arial Narrow" w:hAnsi="Arial Narrow"/>
                <w:sz w:val="20"/>
                <w:szCs w:val="20"/>
              </w:rPr>
              <w:t>+7%</w:t>
            </w:r>
          </w:p>
        </w:tc>
      </w:tr>
      <w:tr w:rsidR="00C137E1" w:rsidRPr="00FB178D" w14:paraId="5CCCA8FF" w14:textId="77777777" w:rsidTr="00FB178D">
        <w:trPr>
          <w:trHeight w:val="300"/>
        </w:trPr>
        <w:tc>
          <w:tcPr>
            <w:tcW w:w="2467" w:type="dxa"/>
            <w:tcBorders>
              <w:top w:val="nil"/>
              <w:bottom w:val="nil"/>
            </w:tcBorders>
            <w:tcMar>
              <w:left w:w="108" w:type="dxa"/>
              <w:right w:w="108" w:type="dxa"/>
            </w:tcMar>
            <w:vAlign w:val="center"/>
          </w:tcPr>
          <w:p w14:paraId="121A2D82" w14:textId="77777777" w:rsidR="00C137E1" w:rsidRPr="00FB178D" w:rsidRDefault="00C137E1" w:rsidP="00FB178D">
            <w:pPr>
              <w:spacing w:before="40" w:after="40"/>
              <w:rPr>
                <w:rFonts w:ascii="Arial Narrow" w:eastAsia="Arial Narrow" w:hAnsi="Arial Narrow"/>
                <w:color w:val="0070C0"/>
                <w:sz w:val="20"/>
                <w:szCs w:val="20"/>
              </w:rPr>
            </w:pPr>
          </w:p>
        </w:tc>
        <w:tc>
          <w:tcPr>
            <w:tcW w:w="2477" w:type="dxa"/>
            <w:shd w:val="clear" w:color="auto" w:fill="D9D9D9" w:themeFill="background1" w:themeFillShade="D9"/>
            <w:tcMar>
              <w:left w:w="108" w:type="dxa"/>
              <w:right w:w="108" w:type="dxa"/>
            </w:tcMar>
            <w:vAlign w:val="center"/>
          </w:tcPr>
          <w:p w14:paraId="11509771" w14:textId="69627496" w:rsidR="00C137E1" w:rsidRPr="00FB178D" w:rsidRDefault="00C137E1" w:rsidP="00FB178D">
            <w:pPr>
              <w:spacing w:before="40" w:after="40"/>
              <w:rPr>
                <w:rFonts w:ascii="Arial Narrow" w:eastAsia="Arial Narrow" w:hAnsi="Arial Narrow"/>
                <w:sz w:val="20"/>
                <w:szCs w:val="20"/>
              </w:rPr>
            </w:pPr>
            <w:r w:rsidRPr="00FB178D">
              <w:rPr>
                <w:rFonts w:ascii="Arial Narrow" w:eastAsia="Arial Narrow" w:hAnsi="Arial Narrow"/>
                <w:sz w:val="20"/>
                <w:szCs w:val="20"/>
              </w:rPr>
              <w:t>Lloyd A.J. et al., 2015 (EQ-5D-5L)</w:t>
            </w:r>
            <w:r>
              <w:rPr>
                <w:rFonts w:ascii="Arial Narrow" w:eastAsia="Arial Narrow" w:hAnsi="Arial Narrow"/>
                <w:sz w:val="20"/>
                <w:szCs w:val="20"/>
              </w:rPr>
              <w:t>:</w:t>
            </w:r>
            <w:r w:rsidRPr="00FB178D">
              <w:rPr>
                <w:rFonts w:ascii="Arial Narrow" w:eastAsia="Arial Narrow" w:hAnsi="Arial Narrow"/>
                <w:sz w:val="20"/>
                <w:szCs w:val="20"/>
              </w:rPr>
              <w:t xml:space="preserve"> </w:t>
            </w:r>
            <w:r>
              <w:rPr>
                <w:rFonts w:ascii="Arial Narrow" w:eastAsia="Arial Narrow" w:hAnsi="Arial Narrow"/>
                <w:sz w:val="20"/>
                <w:szCs w:val="20"/>
              </w:rPr>
              <w:t>PFS=0.70</w:t>
            </w:r>
            <w:r w:rsidR="001D286A">
              <w:rPr>
                <w:rFonts w:ascii="Arial Narrow" w:eastAsia="Arial Narrow" w:hAnsi="Arial Narrow"/>
                <w:sz w:val="20"/>
                <w:szCs w:val="20"/>
              </w:rPr>
              <w:t xml:space="preserve"> [Pop 4]</w:t>
            </w:r>
            <w:r>
              <w:rPr>
                <w:rFonts w:ascii="Arial Narrow" w:eastAsia="Arial Narrow" w:hAnsi="Arial Narrow"/>
                <w:sz w:val="20"/>
                <w:szCs w:val="20"/>
              </w:rPr>
              <w:t>; PD=0.59</w:t>
            </w:r>
          </w:p>
        </w:tc>
        <w:tc>
          <w:tcPr>
            <w:tcW w:w="1172" w:type="dxa"/>
            <w:shd w:val="clear" w:color="auto" w:fill="D9D9D9" w:themeFill="background1" w:themeFillShade="D9"/>
            <w:tcMar>
              <w:left w:w="108" w:type="dxa"/>
              <w:right w:w="108" w:type="dxa"/>
            </w:tcMar>
            <w:vAlign w:val="center"/>
          </w:tcPr>
          <w:p w14:paraId="5BCE7AE7" w14:textId="77777777" w:rsidR="00C137E1" w:rsidRPr="00FB178D" w:rsidRDefault="00C137E1" w:rsidP="00FB178D">
            <w:pPr>
              <w:spacing w:before="40" w:after="40"/>
              <w:jc w:val="center"/>
              <w:rPr>
                <w:rFonts w:ascii="Arial Narrow" w:eastAsia="Arial Narrow" w:hAnsi="Arial Narrow"/>
                <w:sz w:val="20"/>
                <w:szCs w:val="20"/>
              </w:rPr>
            </w:pPr>
            <w:r w:rsidRPr="00FB178D">
              <w:rPr>
                <w:rFonts w:ascii="Arial Narrow" w:eastAsia="Arial Narrow" w:hAnsi="Arial Narrow"/>
                <w:sz w:val="20"/>
                <w:szCs w:val="20"/>
              </w:rPr>
              <w:t>$31,834</w:t>
            </w:r>
          </w:p>
        </w:tc>
        <w:tc>
          <w:tcPr>
            <w:tcW w:w="855" w:type="dxa"/>
            <w:shd w:val="clear" w:color="auto" w:fill="D9D9D9" w:themeFill="background1" w:themeFillShade="D9"/>
            <w:tcMar>
              <w:left w:w="108" w:type="dxa"/>
              <w:right w:w="108" w:type="dxa"/>
            </w:tcMar>
            <w:vAlign w:val="center"/>
          </w:tcPr>
          <w:p w14:paraId="1B4DDA3E" w14:textId="77777777" w:rsidR="00C137E1" w:rsidRPr="00FB178D" w:rsidRDefault="00C137E1" w:rsidP="00FB178D">
            <w:pPr>
              <w:spacing w:before="40" w:after="40"/>
              <w:jc w:val="center"/>
              <w:rPr>
                <w:rFonts w:ascii="Arial Narrow" w:eastAsia="Arial Narrow" w:hAnsi="Arial Narrow"/>
                <w:sz w:val="20"/>
                <w:szCs w:val="20"/>
              </w:rPr>
            </w:pPr>
            <w:r w:rsidRPr="00FB178D">
              <w:rPr>
                <w:rFonts w:ascii="Arial Narrow" w:eastAsia="Arial Narrow" w:hAnsi="Arial Narrow"/>
                <w:sz w:val="20"/>
                <w:szCs w:val="20"/>
              </w:rPr>
              <w:t>0.182</w:t>
            </w:r>
          </w:p>
        </w:tc>
        <w:tc>
          <w:tcPr>
            <w:tcW w:w="1027" w:type="dxa"/>
            <w:shd w:val="clear" w:color="auto" w:fill="D9D9D9" w:themeFill="background1" w:themeFillShade="D9"/>
            <w:tcMar>
              <w:left w:w="108" w:type="dxa"/>
              <w:right w:w="108" w:type="dxa"/>
            </w:tcMar>
            <w:vAlign w:val="center"/>
          </w:tcPr>
          <w:p w14:paraId="14BA4CB3" w14:textId="77777777" w:rsidR="00C137E1" w:rsidRPr="00FB178D" w:rsidRDefault="00C137E1" w:rsidP="00FB178D">
            <w:pPr>
              <w:spacing w:before="40" w:after="40"/>
              <w:jc w:val="center"/>
              <w:rPr>
                <w:rFonts w:ascii="Arial Narrow" w:eastAsia="Arial Narrow" w:hAnsi="Arial Narrow"/>
                <w:sz w:val="20"/>
                <w:szCs w:val="20"/>
              </w:rPr>
            </w:pPr>
            <w:r w:rsidRPr="00FB178D">
              <w:rPr>
                <w:rFonts w:ascii="Arial Narrow" w:eastAsia="Arial Narrow" w:hAnsi="Arial Narrow"/>
                <w:sz w:val="20"/>
                <w:szCs w:val="20"/>
              </w:rPr>
              <w:t>$175,245</w:t>
            </w:r>
          </w:p>
        </w:tc>
        <w:tc>
          <w:tcPr>
            <w:tcW w:w="1017" w:type="dxa"/>
            <w:shd w:val="clear" w:color="auto" w:fill="D9D9D9" w:themeFill="background1" w:themeFillShade="D9"/>
            <w:tcMar>
              <w:left w:w="108" w:type="dxa"/>
              <w:right w:w="108" w:type="dxa"/>
            </w:tcMar>
            <w:vAlign w:val="center"/>
          </w:tcPr>
          <w:p w14:paraId="4A1D3024" w14:textId="77777777" w:rsidR="00C137E1" w:rsidRPr="00FB178D" w:rsidRDefault="00C137E1" w:rsidP="00FB178D">
            <w:pPr>
              <w:spacing w:before="40" w:after="40"/>
              <w:jc w:val="center"/>
              <w:rPr>
                <w:rFonts w:ascii="Arial Narrow" w:eastAsia="Arial Narrow" w:hAnsi="Arial Narrow"/>
                <w:sz w:val="20"/>
                <w:szCs w:val="20"/>
              </w:rPr>
            </w:pPr>
            <w:r w:rsidRPr="00FB178D">
              <w:rPr>
                <w:rFonts w:ascii="Arial Narrow" w:eastAsia="Arial Narrow" w:hAnsi="Arial Narrow"/>
                <w:sz w:val="20"/>
                <w:szCs w:val="20"/>
              </w:rPr>
              <w:t>+6%</w:t>
            </w:r>
          </w:p>
        </w:tc>
      </w:tr>
      <w:tr w:rsidR="00C137E1" w:rsidRPr="00FB178D" w14:paraId="0F5EAEC3" w14:textId="77777777" w:rsidTr="00310884">
        <w:trPr>
          <w:trHeight w:val="300"/>
        </w:trPr>
        <w:tc>
          <w:tcPr>
            <w:tcW w:w="2467" w:type="dxa"/>
            <w:tcBorders>
              <w:top w:val="nil"/>
              <w:bottom w:val="nil"/>
            </w:tcBorders>
            <w:tcMar>
              <w:left w:w="108" w:type="dxa"/>
              <w:right w:w="108" w:type="dxa"/>
            </w:tcMar>
            <w:vAlign w:val="center"/>
          </w:tcPr>
          <w:p w14:paraId="327C2943" w14:textId="19530B06" w:rsidR="00C137E1" w:rsidRPr="00FB178D" w:rsidRDefault="00C137E1" w:rsidP="00FB178D">
            <w:pPr>
              <w:spacing w:before="40" w:after="40"/>
              <w:rPr>
                <w:rFonts w:ascii="Arial Narrow" w:hAnsi="Arial Narrow"/>
                <w:sz w:val="20"/>
                <w:szCs w:val="20"/>
              </w:rPr>
            </w:pPr>
          </w:p>
        </w:tc>
        <w:tc>
          <w:tcPr>
            <w:tcW w:w="2477" w:type="dxa"/>
            <w:tcMar>
              <w:left w:w="108" w:type="dxa"/>
              <w:right w:w="108" w:type="dxa"/>
            </w:tcMar>
            <w:vAlign w:val="center"/>
          </w:tcPr>
          <w:p w14:paraId="6047B506" w14:textId="02B5815B" w:rsidR="00C137E1" w:rsidRPr="00FB178D" w:rsidRDefault="00C137E1" w:rsidP="00FB178D">
            <w:pPr>
              <w:spacing w:before="40" w:after="40"/>
              <w:rPr>
                <w:rFonts w:ascii="Arial Narrow" w:hAnsi="Arial Narrow"/>
                <w:sz w:val="20"/>
                <w:szCs w:val="20"/>
              </w:rPr>
            </w:pPr>
            <w:r w:rsidRPr="00FB178D">
              <w:rPr>
                <w:rFonts w:ascii="Arial Narrow" w:eastAsia="Arial Narrow" w:hAnsi="Arial Narrow"/>
                <w:sz w:val="20"/>
                <w:szCs w:val="20"/>
              </w:rPr>
              <w:t>Lloyd A.J. et al., 2015 (EORTC-8D)</w:t>
            </w:r>
            <w:r>
              <w:rPr>
                <w:rFonts w:ascii="Arial Narrow" w:eastAsia="Arial Narrow" w:hAnsi="Arial Narrow"/>
                <w:sz w:val="20"/>
                <w:szCs w:val="20"/>
              </w:rPr>
              <w:t>: PFS=0.856; PD=0.697</w:t>
            </w:r>
          </w:p>
        </w:tc>
        <w:tc>
          <w:tcPr>
            <w:tcW w:w="1172" w:type="dxa"/>
            <w:tcMar>
              <w:left w:w="108" w:type="dxa"/>
              <w:right w:w="108" w:type="dxa"/>
            </w:tcMar>
            <w:vAlign w:val="center"/>
          </w:tcPr>
          <w:p w14:paraId="39F87E2C" w14:textId="77777777" w:rsidR="00C137E1" w:rsidRPr="00FB178D" w:rsidRDefault="00C137E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$31,834</w:t>
            </w:r>
          </w:p>
        </w:tc>
        <w:tc>
          <w:tcPr>
            <w:tcW w:w="855" w:type="dxa"/>
            <w:tcMar>
              <w:left w:w="108" w:type="dxa"/>
              <w:right w:w="108" w:type="dxa"/>
            </w:tcMar>
            <w:vAlign w:val="center"/>
          </w:tcPr>
          <w:p w14:paraId="0D0D3368" w14:textId="77777777" w:rsidR="00C137E1" w:rsidRPr="00FB178D" w:rsidRDefault="00C137E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0.223</w:t>
            </w:r>
          </w:p>
        </w:tc>
        <w:tc>
          <w:tcPr>
            <w:tcW w:w="1027" w:type="dxa"/>
            <w:tcMar>
              <w:left w:w="108" w:type="dxa"/>
              <w:right w:w="108" w:type="dxa"/>
            </w:tcMar>
            <w:vAlign w:val="center"/>
          </w:tcPr>
          <w:p w14:paraId="4E79D2F4" w14:textId="77777777" w:rsidR="00C137E1" w:rsidRPr="00FB178D" w:rsidRDefault="00C137E1" w:rsidP="00FB178D">
            <w:pPr>
              <w:spacing w:before="40" w:after="40"/>
              <w:jc w:val="center"/>
              <w:rPr>
                <w:rFonts w:ascii="Arial Narrow" w:eastAsia="Arial Narrow" w:hAnsi="Arial Narrow"/>
                <w:color w:val="000000" w:themeColor="text1"/>
                <w:sz w:val="20"/>
                <w:szCs w:val="20"/>
              </w:rPr>
            </w:pPr>
            <w:r w:rsidRPr="00FB178D">
              <w:rPr>
                <w:rFonts w:ascii="Arial Narrow" w:eastAsia="Arial Narrow" w:hAnsi="Arial Narrow"/>
                <w:color w:val="000000" w:themeColor="text1"/>
                <w:sz w:val="20"/>
                <w:szCs w:val="20"/>
              </w:rPr>
              <w:t>$142,837</w:t>
            </w:r>
          </w:p>
        </w:tc>
        <w:tc>
          <w:tcPr>
            <w:tcW w:w="1017" w:type="dxa"/>
            <w:tcMar>
              <w:left w:w="108" w:type="dxa"/>
              <w:right w:w="108" w:type="dxa"/>
            </w:tcMar>
            <w:vAlign w:val="center"/>
          </w:tcPr>
          <w:p w14:paraId="329EC0FE" w14:textId="77777777" w:rsidR="00C137E1" w:rsidRPr="00AE0BB2" w:rsidRDefault="00C137E1" w:rsidP="00FB178D">
            <w:pPr>
              <w:spacing w:before="40" w:after="40"/>
              <w:jc w:val="center"/>
              <w:rPr>
                <w:rFonts w:ascii="Arial Narrow" w:eastAsia="Arial Narrow" w:hAnsi="Arial Narrow"/>
                <w:color w:val="C00000"/>
                <w:sz w:val="20"/>
                <w:szCs w:val="20"/>
              </w:rPr>
            </w:pPr>
            <w:r w:rsidRPr="00AE0BB2">
              <w:rPr>
                <w:rFonts w:ascii="Arial Narrow" w:eastAsia="Arial Narrow" w:hAnsi="Arial Narrow"/>
                <w:color w:val="C00000"/>
                <w:sz w:val="20"/>
                <w:szCs w:val="20"/>
              </w:rPr>
              <w:t>-13%</w:t>
            </w:r>
          </w:p>
        </w:tc>
      </w:tr>
      <w:tr w:rsidR="00C137E1" w:rsidRPr="00FB178D" w14:paraId="295E0051" w14:textId="77777777" w:rsidTr="00FB178D">
        <w:trPr>
          <w:trHeight w:val="300"/>
        </w:trPr>
        <w:tc>
          <w:tcPr>
            <w:tcW w:w="2467" w:type="dxa"/>
            <w:tcBorders>
              <w:top w:val="nil"/>
              <w:bottom w:val="nil"/>
            </w:tcBorders>
            <w:tcMar>
              <w:left w:w="108" w:type="dxa"/>
              <w:right w:w="108" w:type="dxa"/>
            </w:tcMar>
            <w:vAlign w:val="center"/>
          </w:tcPr>
          <w:p w14:paraId="3E632430" w14:textId="77777777" w:rsidR="00C137E1" w:rsidRPr="00FB178D" w:rsidRDefault="00C137E1" w:rsidP="00FB178D">
            <w:pPr>
              <w:spacing w:before="40" w:after="40"/>
              <w:rPr>
                <w:rFonts w:ascii="Arial Narrow" w:eastAsia="Arial Narrow" w:hAnsi="Arial Narrow"/>
                <w:color w:val="0070C0"/>
                <w:sz w:val="20"/>
                <w:szCs w:val="20"/>
              </w:rPr>
            </w:pPr>
          </w:p>
        </w:tc>
        <w:tc>
          <w:tcPr>
            <w:tcW w:w="2477" w:type="dxa"/>
            <w:shd w:val="clear" w:color="auto" w:fill="D9D9D9" w:themeFill="background1" w:themeFillShade="D9"/>
            <w:tcMar>
              <w:left w:w="108" w:type="dxa"/>
              <w:right w:w="108" w:type="dxa"/>
            </w:tcMar>
            <w:vAlign w:val="center"/>
          </w:tcPr>
          <w:p w14:paraId="7C702BDC" w14:textId="4B831EF8" w:rsidR="00C137E1" w:rsidRPr="00FB178D" w:rsidRDefault="00C137E1" w:rsidP="00FB178D">
            <w:pPr>
              <w:spacing w:before="40" w:after="40"/>
              <w:rPr>
                <w:rFonts w:ascii="Arial Narrow" w:eastAsia="Arial Narrow" w:hAnsi="Arial Narrow"/>
                <w:sz w:val="20"/>
                <w:szCs w:val="20"/>
              </w:rPr>
            </w:pPr>
            <w:r w:rsidRPr="00FB178D">
              <w:rPr>
                <w:rFonts w:ascii="Arial Narrow" w:eastAsia="Arial Narrow" w:hAnsi="Arial Narrow"/>
                <w:sz w:val="20"/>
                <w:szCs w:val="20"/>
              </w:rPr>
              <w:t>Lloyd A.J. et al., 2015 (EORTC-8D)</w:t>
            </w:r>
            <w:r>
              <w:rPr>
                <w:rFonts w:ascii="Arial Narrow" w:eastAsia="Arial Narrow" w:hAnsi="Arial Narrow"/>
                <w:sz w:val="20"/>
                <w:szCs w:val="20"/>
              </w:rPr>
              <w:t>: PFS=</w:t>
            </w:r>
            <w:r w:rsidRPr="00FB178D">
              <w:rPr>
                <w:rFonts w:ascii="Arial Narrow" w:eastAsia="Arial Narrow" w:hAnsi="Arial Narrow"/>
                <w:sz w:val="20"/>
                <w:szCs w:val="20"/>
              </w:rPr>
              <w:t>0.750</w:t>
            </w:r>
            <w:r w:rsidR="001D286A">
              <w:rPr>
                <w:rFonts w:ascii="Arial Narrow" w:eastAsia="Arial Narrow" w:hAnsi="Arial Narrow"/>
                <w:sz w:val="20"/>
                <w:szCs w:val="20"/>
              </w:rPr>
              <w:t xml:space="preserve"> [Pop 3]</w:t>
            </w:r>
            <w:r>
              <w:rPr>
                <w:rFonts w:ascii="Arial Narrow" w:eastAsia="Arial Narrow" w:hAnsi="Arial Narrow"/>
                <w:sz w:val="20"/>
                <w:szCs w:val="20"/>
              </w:rPr>
              <w:t>; PD=0.59</w:t>
            </w:r>
          </w:p>
        </w:tc>
        <w:tc>
          <w:tcPr>
            <w:tcW w:w="1172" w:type="dxa"/>
            <w:shd w:val="clear" w:color="auto" w:fill="D9D9D9" w:themeFill="background1" w:themeFillShade="D9"/>
            <w:tcMar>
              <w:left w:w="108" w:type="dxa"/>
              <w:right w:w="108" w:type="dxa"/>
            </w:tcMar>
            <w:vAlign w:val="center"/>
          </w:tcPr>
          <w:p w14:paraId="764FA2BC" w14:textId="77777777" w:rsidR="00C137E1" w:rsidRPr="00FB178D" w:rsidRDefault="00C137E1" w:rsidP="00FB178D">
            <w:pPr>
              <w:spacing w:before="40" w:after="40"/>
              <w:jc w:val="center"/>
              <w:rPr>
                <w:rFonts w:ascii="Arial Narrow" w:eastAsia="Arial Narrow" w:hAnsi="Arial Narrow"/>
                <w:sz w:val="20"/>
                <w:szCs w:val="20"/>
              </w:rPr>
            </w:pPr>
            <w:r w:rsidRPr="00FB178D">
              <w:rPr>
                <w:rFonts w:ascii="Arial Narrow" w:eastAsia="Arial Narrow" w:hAnsi="Arial Narrow"/>
                <w:sz w:val="20"/>
                <w:szCs w:val="20"/>
              </w:rPr>
              <w:t>$31,834</w:t>
            </w:r>
          </w:p>
        </w:tc>
        <w:tc>
          <w:tcPr>
            <w:tcW w:w="855" w:type="dxa"/>
            <w:shd w:val="clear" w:color="auto" w:fill="D9D9D9" w:themeFill="background1" w:themeFillShade="D9"/>
            <w:tcMar>
              <w:left w:w="108" w:type="dxa"/>
              <w:right w:w="108" w:type="dxa"/>
            </w:tcMar>
            <w:vAlign w:val="center"/>
          </w:tcPr>
          <w:p w14:paraId="68230466" w14:textId="77777777" w:rsidR="00C137E1" w:rsidRPr="00FB178D" w:rsidRDefault="00C137E1" w:rsidP="00FB178D">
            <w:pPr>
              <w:spacing w:before="40" w:after="40"/>
              <w:jc w:val="center"/>
              <w:rPr>
                <w:rFonts w:ascii="Arial Narrow" w:eastAsia="Arial Narrow" w:hAnsi="Arial Narrow"/>
                <w:sz w:val="20"/>
                <w:szCs w:val="20"/>
              </w:rPr>
            </w:pPr>
            <w:r w:rsidRPr="00FB178D">
              <w:rPr>
                <w:rFonts w:ascii="Arial Narrow" w:eastAsia="Arial Narrow" w:hAnsi="Arial Narrow"/>
                <w:sz w:val="20"/>
                <w:szCs w:val="20"/>
              </w:rPr>
              <w:t>0.196</w:t>
            </w:r>
          </w:p>
        </w:tc>
        <w:tc>
          <w:tcPr>
            <w:tcW w:w="1027" w:type="dxa"/>
            <w:shd w:val="clear" w:color="auto" w:fill="D9D9D9" w:themeFill="background1" w:themeFillShade="D9"/>
            <w:tcMar>
              <w:left w:w="108" w:type="dxa"/>
              <w:right w:w="108" w:type="dxa"/>
            </w:tcMar>
            <w:vAlign w:val="center"/>
          </w:tcPr>
          <w:p w14:paraId="226CB1DF" w14:textId="77777777" w:rsidR="00C137E1" w:rsidRPr="00FB178D" w:rsidRDefault="00C137E1" w:rsidP="00FB178D">
            <w:pPr>
              <w:spacing w:before="40" w:after="40"/>
              <w:jc w:val="center"/>
              <w:rPr>
                <w:rFonts w:ascii="Arial Narrow" w:eastAsia="Arial Narrow" w:hAnsi="Arial Narrow"/>
                <w:sz w:val="20"/>
                <w:szCs w:val="20"/>
              </w:rPr>
            </w:pPr>
            <w:r w:rsidRPr="00FB178D">
              <w:rPr>
                <w:rFonts w:ascii="Arial Narrow" w:eastAsia="Arial Narrow" w:hAnsi="Arial Narrow"/>
                <w:sz w:val="20"/>
                <w:szCs w:val="20"/>
              </w:rPr>
              <w:t>$162,727</w:t>
            </w:r>
          </w:p>
        </w:tc>
        <w:tc>
          <w:tcPr>
            <w:tcW w:w="1017" w:type="dxa"/>
            <w:shd w:val="clear" w:color="auto" w:fill="D9D9D9" w:themeFill="background1" w:themeFillShade="D9"/>
            <w:tcMar>
              <w:left w:w="108" w:type="dxa"/>
              <w:right w:w="108" w:type="dxa"/>
            </w:tcMar>
            <w:vAlign w:val="center"/>
          </w:tcPr>
          <w:p w14:paraId="3EF0724E" w14:textId="77777777" w:rsidR="00C137E1" w:rsidRPr="00AE0BB2" w:rsidRDefault="00C137E1" w:rsidP="00FB178D">
            <w:pPr>
              <w:spacing w:before="40" w:after="40"/>
              <w:jc w:val="center"/>
              <w:rPr>
                <w:rFonts w:ascii="Arial Narrow" w:eastAsia="Arial Narrow" w:hAnsi="Arial Narrow"/>
                <w:color w:val="C00000"/>
                <w:sz w:val="20"/>
                <w:szCs w:val="20"/>
              </w:rPr>
            </w:pPr>
            <w:r w:rsidRPr="00AE0BB2">
              <w:rPr>
                <w:rFonts w:ascii="Arial Narrow" w:eastAsia="Arial Narrow" w:hAnsi="Arial Narrow"/>
                <w:color w:val="C00000"/>
                <w:sz w:val="20"/>
                <w:szCs w:val="20"/>
              </w:rPr>
              <w:t>-1.5%</w:t>
            </w:r>
          </w:p>
        </w:tc>
      </w:tr>
      <w:tr w:rsidR="00C137E1" w:rsidRPr="00FB178D" w14:paraId="76B0EF87" w14:textId="77777777" w:rsidTr="00FB178D">
        <w:trPr>
          <w:trHeight w:val="300"/>
        </w:trPr>
        <w:tc>
          <w:tcPr>
            <w:tcW w:w="2467" w:type="dxa"/>
            <w:tcBorders>
              <w:top w:val="nil"/>
            </w:tcBorders>
            <w:tcMar>
              <w:left w:w="108" w:type="dxa"/>
              <w:right w:w="108" w:type="dxa"/>
            </w:tcMar>
            <w:vAlign w:val="center"/>
          </w:tcPr>
          <w:p w14:paraId="163EDF12" w14:textId="77777777" w:rsidR="00C137E1" w:rsidRPr="00FB178D" w:rsidRDefault="00C137E1" w:rsidP="00FB178D">
            <w:pPr>
              <w:spacing w:before="40" w:after="40"/>
              <w:rPr>
                <w:rFonts w:ascii="Arial Narrow" w:eastAsia="Arial Narrow" w:hAnsi="Arial Narrow"/>
                <w:color w:val="0070C0"/>
                <w:sz w:val="20"/>
                <w:szCs w:val="20"/>
              </w:rPr>
            </w:pPr>
          </w:p>
        </w:tc>
        <w:tc>
          <w:tcPr>
            <w:tcW w:w="2477" w:type="dxa"/>
            <w:shd w:val="clear" w:color="auto" w:fill="D9D9D9" w:themeFill="background1" w:themeFillShade="D9"/>
            <w:tcMar>
              <w:left w:w="108" w:type="dxa"/>
              <w:right w:w="108" w:type="dxa"/>
            </w:tcMar>
            <w:vAlign w:val="center"/>
          </w:tcPr>
          <w:p w14:paraId="05007F7F" w14:textId="4B124A33" w:rsidR="00C137E1" w:rsidRPr="00FB178D" w:rsidRDefault="00C137E1" w:rsidP="00FB178D">
            <w:pPr>
              <w:spacing w:before="40" w:after="40"/>
              <w:rPr>
                <w:rFonts w:ascii="Arial Narrow" w:eastAsia="Arial Narrow" w:hAnsi="Arial Narrow"/>
                <w:sz w:val="20"/>
                <w:szCs w:val="20"/>
              </w:rPr>
            </w:pPr>
            <w:r w:rsidRPr="00FB178D">
              <w:rPr>
                <w:rFonts w:ascii="Arial Narrow" w:eastAsia="Arial Narrow" w:hAnsi="Arial Narrow"/>
                <w:sz w:val="20"/>
                <w:szCs w:val="20"/>
              </w:rPr>
              <w:t>Lloyd A.J. et al., 2015 (EORTC-8D)</w:t>
            </w:r>
            <w:r>
              <w:rPr>
                <w:rFonts w:ascii="Arial Narrow" w:eastAsia="Arial Narrow" w:hAnsi="Arial Narrow"/>
                <w:sz w:val="20"/>
                <w:szCs w:val="20"/>
              </w:rPr>
              <w:t>: PFS=</w:t>
            </w:r>
            <w:r w:rsidRPr="00FB178D">
              <w:rPr>
                <w:rFonts w:ascii="Arial Narrow" w:eastAsia="Arial Narrow" w:hAnsi="Arial Narrow"/>
                <w:sz w:val="20"/>
                <w:szCs w:val="20"/>
              </w:rPr>
              <w:t>0.753</w:t>
            </w:r>
            <w:r w:rsidR="001D286A">
              <w:rPr>
                <w:rFonts w:ascii="Arial Narrow" w:eastAsia="Arial Narrow" w:hAnsi="Arial Narrow"/>
                <w:sz w:val="20"/>
                <w:szCs w:val="20"/>
              </w:rPr>
              <w:t xml:space="preserve"> [Pop 4]</w:t>
            </w:r>
            <w:r>
              <w:rPr>
                <w:rFonts w:ascii="Arial Narrow" w:eastAsia="Arial Narrow" w:hAnsi="Arial Narrow"/>
                <w:sz w:val="20"/>
                <w:szCs w:val="20"/>
              </w:rPr>
              <w:t>; PD=0.59</w:t>
            </w:r>
          </w:p>
        </w:tc>
        <w:tc>
          <w:tcPr>
            <w:tcW w:w="1172" w:type="dxa"/>
            <w:shd w:val="clear" w:color="auto" w:fill="D9D9D9" w:themeFill="background1" w:themeFillShade="D9"/>
            <w:tcMar>
              <w:left w:w="108" w:type="dxa"/>
              <w:right w:w="108" w:type="dxa"/>
            </w:tcMar>
            <w:vAlign w:val="center"/>
          </w:tcPr>
          <w:p w14:paraId="7F27E953" w14:textId="77777777" w:rsidR="00C137E1" w:rsidRPr="00FB178D" w:rsidRDefault="00C137E1" w:rsidP="00FB178D">
            <w:pPr>
              <w:spacing w:before="40" w:after="40"/>
              <w:jc w:val="center"/>
              <w:rPr>
                <w:rFonts w:ascii="Arial Narrow" w:eastAsia="Arial Narrow" w:hAnsi="Arial Narrow"/>
                <w:sz w:val="20"/>
                <w:szCs w:val="20"/>
              </w:rPr>
            </w:pPr>
            <w:r w:rsidRPr="00FB178D">
              <w:rPr>
                <w:rFonts w:ascii="Arial Narrow" w:eastAsia="Arial Narrow" w:hAnsi="Arial Narrow"/>
                <w:sz w:val="20"/>
                <w:szCs w:val="20"/>
              </w:rPr>
              <w:t>$31,834</w:t>
            </w:r>
          </w:p>
        </w:tc>
        <w:tc>
          <w:tcPr>
            <w:tcW w:w="855" w:type="dxa"/>
            <w:shd w:val="clear" w:color="auto" w:fill="D9D9D9" w:themeFill="background1" w:themeFillShade="D9"/>
            <w:tcMar>
              <w:left w:w="108" w:type="dxa"/>
              <w:right w:w="108" w:type="dxa"/>
            </w:tcMar>
            <w:vAlign w:val="center"/>
          </w:tcPr>
          <w:p w14:paraId="392F0C37" w14:textId="77777777" w:rsidR="00C137E1" w:rsidRPr="00FB178D" w:rsidRDefault="00C137E1" w:rsidP="00FB178D">
            <w:pPr>
              <w:spacing w:before="40" w:after="40"/>
              <w:jc w:val="center"/>
              <w:rPr>
                <w:rFonts w:ascii="Arial Narrow" w:eastAsia="Arial Narrow" w:hAnsi="Arial Narrow"/>
                <w:sz w:val="20"/>
                <w:szCs w:val="20"/>
              </w:rPr>
            </w:pPr>
            <w:r w:rsidRPr="00FB178D">
              <w:rPr>
                <w:rFonts w:ascii="Arial Narrow" w:eastAsia="Arial Narrow" w:hAnsi="Arial Narrow"/>
                <w:sz w:val="20"/>
                <w:szCs w:val="20"/>
              </w:rPr>
              <w:t>0.196</w:t>
            </w:r>
          </w:p>
        </w:tc>
        <w:tc>
          <w:tcPr>
            <w:tcW w:w="1027" w:type="dxa"/>
            <w:shd w:val="clear" w:color="auto" w:fill="D9D9D9" w:themeFill="background1" w:themeFillShade="D9"/>
            <w:tcMar>
              <w:left w:w="108" w:type="dxa"/>
              <w:right w:w="108" w:type="dxa"/>
            </w:tcMar>
            <w:vAlign w:val="center"/>
          </w:tcPr>
          <w:p w14:paraId="5CF46595" w14:textId="77777777" w:rsidR="00C137E1" w:rsidRPr="00FB178D" w:rsidRDefault="00C137E1" w:rsidP="00FB178D">
            <w:pPr>
              <w:spacing w:before="40" w:after="40"/>
              <w:jc w:val="center"/>
              <w:rPr>
                <w:rFonts w:ascii="Arial Narrow" w:eastAsia="Arial Narrow" w:hAnsi="Arial Narrow"/>
                <w:sz w:val="20"/>
                <w:szCs w:val="20"/>
              </w:rPr>
            </w:pPr>
            <w:r w:rsidRPr="00FB178D">
              <w:rPr>
                <w:rFonts w:ascii="Arial Narrow" w:eastAsia="Arial Narrow" w:hAnsi="Arial Narrow"/>
                <w:sz w:val="20"/>
                <w:szCs w:val="20"/>
              </w:rPr>
              <w:t>$162,033</w:t>
            </w:r>
          </w:p>
        </w:tc>
        <w:tc>
          <w:tcPr>
            <w:tcW w:w="1017" w:type="dxa"/>
            <w:shd w:val="clear" w:color="auto" w:fill="D9D9D9" w:themeFill="background1" w:themeFillShade="D9"/>
            <w:tcMar>
              <w:left w:w="108" w:type="dxa"/>
              <w:right w:w="108" w:type="dxa"/>
            </w:tcMar>
            <w:vAlign w:val="center"/>
          </w:tcPr>
          <w:p w14:paraId="26E9E989" w14:textId="77777777" w:rsidR="00C137E1" w:rsidRPr="00AE0BB2" w:rsidRDefault="00C137E1" w:rsidP="00FB178D">
            <w:pPr>
              <w:spacing w:before="40" w:after="40"/>
              <w:jc w:val="center"/>
              <w:rPr>
                <w:rFonts w:ascii="Arial Narrow" w:eastAsia="Arial Narrow" w:hAnsi="Arial Narrow"/>
                <w:color w:val="C00000"/>
                <w:sz w:val="20"/>
                <w:szCs w:val="20"/>
              </w:rPr>
            </w:pPr>
            <w:r w:rsidRPr="00AE0BB2">
              <w:rPr>
                <w:rFonts w:ascii="Arial Narrow" w:eastAsia="Arial Narrow" w:hAnsi="Arial Narrow"/>
                <w:color w:val="C00000"/>
                <w:sz w:val="20"/>
                <w:szCs w:val="20"/>
              </w:rPr>
              <w:t>-2%</w:t>
            </w:r>
          </w:p>
        </w:tc>
      </w:tr>
      <w:tr w:rsidR="00C137E1" w:rsidRPr="00FB178D" w14:paraId="4A112D12" w14:textId="77777777" w:rsidTr="00FB178D">
        <w:trPr>
          <w:trHeight w:val="300"/>
        </w:trPr>
        <w:tc>
          <w:tcPr>
            <w:tcW w:w="2467" w:type="dxa"/>
            <w:shd w:val="clear" w:color="auto" w:fill="D9D9D9" w:themeFill="background1" w:themeFillShade="D9"/>
            <w:tcMar>
              <w:left w:w="108" w:type="dxa"/>
              <w:right w:w="108" w:type="dxa"/>
            </w:tcMar>
            <w:vAlign w:val="center"/>
          </w:tcPr>
          <w:p w14:paraId="7CE2082C" w14:textId="3B50C3AA" w:rsidR="00C137E1" w:rsidRPr="00FB178D" w:rsidRDefault="00C137E1" w:rsidP="00FB178D">
            <w:pPr>
              <w:spacing w:before="40" w:after="40"/>
              <w:rPr>
                <w:rFonts w:ascii="Arial Narrow" w:eastAsia="Arial Narrow" w:hAnsi="Arial Narrow"/>
                <w:color w:val="0070C0"/>
                <w:sz w:val="20"/>
                <w:szCs w:val="20"/>
              </w:rPr>
            </w:pPr>
            <w:r w:rsidRPr="00FB178D">
              <w:rPr>
                <w:rFonts w:ascii="Arial Narrow" w:eastAsia="Arial Narrow" w:hAnsi="Arial Narrow"/>
                <w:sz w:val="20"/>
                <w:szCs w:val="20"/>
              </w:rPr>
              <w:t xml:space="preserve">Proportion </w:t>
            </w:r>
            <w:r>
              <w:rPr>
                <w:rFonts w:ascii="Arial Narrow" w:eastAsia="Arial Narrow" w:hAnsi="Arial Narrow"/>
                <w:sz w:val="20"/>
                <w:szCs w:val="20"/>
              </w:rPr>
              <w:t>treated with c</w:t>
            </w:r>
            <w:r w:rsidRPr="00FB178D">
              <w:rPr>
                <w:rFonts w:ascii="Arial Narrow" w:eastAsia="Arial Narrow" w:hAnsi="Arial Narrow"/>
                <w:sz w:val="20"/>
                <w:szCs w:val="20"/>
              </w:rPr>
              <w:t>abazitaxel of 25%</w:t>
            </w:r>
          </w:p>
        </w:tc>
        <w:tc>
          <w:tcPr>
            <w:tcW w:w="2477" w:type="dxa"/>
            <w:shd w:val="clear" w:color="auto" w:fill="D9D9D9" w:themeFill="background1" w:themeFillShade="D9"/>
            <w:tcMar>
              <w:left w:w="108" w:type="dxa"/>
              <w:right w:w="108" w:type="dxa"/>
            </w:tcMar>
            <w:vAlign w:val="center"/>
          </w:tcPr>
          <w:p w14:paraId="06608330" w14:textId="77777777" w:rsidR="00C137E1" w:rsidRPr="00FB178D" w:rsidRDefault="00C137E1" w:rsidP="00FB178D">
            <w:pPr>
              <w:spacing w:before="40" w:after="40"/>
              <w:rPr>
                <w:rFonts w:ascii="Arial Narrow" w:eastAsia="Arial Narrow" w:hAnsi="Arial Narrow"/>
                <w:sz w:val="20"/>
                <w:szCs w:val="20"/>
              </w:rPr>
            </w:pPr>
            <w:r w:rsidRPr="00FB178D">
              <w:rPr>
                <w:rFonts w:ascii="Arial Narrow" w:eastAsia="Arial Narrow" w:hAnsi="Arial Narrow"/>
                <w:sz w:val="20"/>
                <w:szCs w:val="20"/>
              </w:rPr>
              <w:t>ADAR 1686.1</w:t>
            </w:r>
          </w:p>
        </w:tc>
        <w:tc>
          <w:tcPr>
            <w:tcW w:w="1172" w:type="dxa"/>
            <w:shd w:val="clear" w:color="auto" w:fill="D9D9D9" w:themeFill="background1" w:themeFillShade="D9"/>
            <w:tcMar>
              <w:left w:w="108" w:type="dxa"/>
              <w:right w:w="108" w:type="dxa"/>
            </w:tcMar>
            <w:vAlign w:val="center"/>
          </w:tcPr>
          <w:p w14:paraId="3F957E03" w14:textId="77777777" w:rsidR="00C137E1" w:rsidRPr="00FB178D" w:rsidRDefault="00C137E1" w:rsidP="00FB178D">
            <w:pPr>
              <w:spacing w:before="40" w:after="40"/>
              <w:jc w:val="center"/>
              <w:rPr>
                <w:rFonts w:ascii="Arial Narrow" w:eastAsia="Arial Narrow" w:hAnsi="Arial Narrow"/>
                <w:sz w:val="20"/>
                <w:szCs w:val="20"/>
              </w:rPr>
            </w:pPr>
            <w:r w:rsidRPr="00FB178D">
              <w:rPr>
                <w:rFonts w:ascii="Arial Narrow" w:eastAsia="Arial Narrow" w:hAnsi="Arial Narrow"/>
                <w:sz w:val="20"/>
                <w:szCs w:val="20"/>
              </w:rPr>
              <w:t>$36,166</w:t>
            </w:r>
          </w:p>
        </w:tc>
        <w:tc>
          <w:tcPr>
            <w:tcW w:w="855" w:type="dxa"/>
            <w:shd w:val="clear" w:color="auto" w:fill="D9D9D9" w:themeFill="background1" w:themeFillShade="D9"/>
            <w:tcMar>
              <w:left w:w="108" w:type="dxa"/>
              <w:right w:w="108" w:type="dxa"/>
            </w:tcMar>
            <w:vAlign w:val="center"/>
          </w:tcPr>
          <w:p w14:paraId="65100E0E" w14:textId="77777777" w:rsidR="00C137E1" w:rsidRPr="00FB178D" w:rsidRDefault="00C137E1" w:rsidP="00FB178D">
            <w:pPr>
              <w:spacing w:before="40" w:after="40"/>
              <w:jc w:val="center"/>
              <w:rPr>
                <w:rFonts w:ascii="Arial Narrow" w:eastAsia="Arial Narrow" w:hAnsi="Arial Narrow"/>
                <w:sz w:val="20"/>
                <w:szCs w:val="20"/>
              </w:rPr>
            </w:pPr>
            <w:r w:rsidRPr="00FB178D">
              <w:rPr>
                <w:rFonts w:ascii="Arial Narrow" w:eastAsia="Arial Narrow" w:hAnsi="Arial Narrow"/>
                <w:sz w:val="20"/>
                <w:szCs w:val="20"/>
              </w:rPr>
              <w:t>0.293</w:t>
            </w:r>
          </w:p>
        </w:tc>
        <w:tc>
          <w:tcPr>
            <w:tcW w:w="1027" w:type="dxa"/>
            <w:shd w:val="clear" w:color="auto" w:fill="D9D9D9" w:themeFill="background1" w:themeFillShade="D9"/>
            <w:tcMar>
              <w:left w:w="108" w:type="dxa"/>
              <w:right w:w="108" w:type="dxa"/>
            </w:tcMar>
            <w:vAlign w:val="center"/>
          </w:tcPr>
          <w:p w14:paraId="33F82E8A" w14:textId="77777777" w:rsidR="00C137E1" w:rsidRPr="00FB178D" w:rsidRDefault="00C137E1" w:rsidP="00FB178D">
            <w:pPr>
              <w:spacing w:before="40" w:after="40"/>
              <w:jc w:val="center"/>
              <w:rPr>
                <w:rFonts w:ascii="Arial Narrow" w:eastAsia="Arial Narrow" w:hAnsi="Arial Narrow"/>
                <w:sz w:val="20"/>
                <w:szCs w:val="20"/>
              </w:rPr>
            </w:pPr>
            <w:r w:rsidRPr="00FB178D">
              <w:rPr>
                <w:rFonts w:ascii="Arial Narrow" w:eastAsia="Arial Narrow" w:hAnsi="Arial Narrow"/>
                <w:sz w:val="20"/>
                <w:szCs w:val="20"/>
              </w:rPr>
              <w:t>$123,611</w:t>
            </w:r>
          </w:p>
        </w:tc>
        <w:tc>
          <w:tcPr>
            <w:tcW w:w="1017" w:type="dxa"/>
            <w:shd w:val="clear" w:color="auto" w:fill="D9D9D9" w:themeFill="background1" w:themeFillShade="D9"/>
            <w:tcMar>
              <w:left w:w="108" w:type="dxa"/>
              <w:right w:w="108" w:type="dxa"/>
            </w:tcMar>
            <w:vAlign w:val="center"/>
          </w:tcPr>
          <w:p w14:paraId="531E3CD9" w14:textId="77777777" w:rsidR="00C137E1" w:rsidRPr="00AE0BB2" w:rsidRDefault="00C137E1" w:rsidP="00FB178D">
            <w:pPr>
              <w:spacing w:before="40" w:after="40"/>
              <w:jc w:val="center"/>
              <w:rPr>
                <w:rFonts w:ascii="Arial Narrow" w:eastAsia="Arial Narrow" w:hAnsi="Arial Narrow"/>
                <w:color w:val="C00000"/>
                <w:sz w:val="20"/>
                <w:szCs w:val="20"/>
              </w:rPr>
            </w:pPr>
            <w:r w:rsidRPr="00AE0BB2">
              <w:rPr>
                <w:rFonts w:ascii="Arial Narrow" w:eastAsia="Arial Narrow" w:hAnsi="Arial Narrow"/>
                <w:color w:val="C00000"/>
                <w:sz w:val="20"/>
                <w:szCs w:val="20"/>
              </w:rPr>
              <w:t>-25%</w:t>
            </w:r>
          </w:p>
        </w:tc>
      </w:tr>
    </w:tbl>
    <w:p w14:paraId="2A601134" w14:textId="0A2CE2B6" w:rsidR="009C65AD" w:rsidRPr="00FB178D" w:rsidRDefault="00FD59A1" w:rsidP="00FB178D">
      <w:pPr>
        <w:rPr>
          <w:rFonts w:ascii="Arial Narrow" w:hAnsi="Arial Narrow"/>
          <w:sz w:val="18"/>
          <w:szCs w:val="18"/>
        </w:rPr>
      </w:pPr>
      <w:r>
        <w:rPr>
          <w:rFonts w:ascii="Arial Narrow" w:hAnsi="Arial Narrow"/>
          <w:sz w:val="18"/>
          <w:szCs w:val="18"/>
        </w:rPr>
        <w:t>Source: Table 3-43, pp134-135 and Figure 3-21, p137 of the ADAR and conducted during the evaluation (shaded cells)</w:t>
      </w:r>
    </w:p>
    <w:p w14:paraId="12A36637" w14:textId="7139052B" w:rsidR="00FC245C" w:rsidRDefault="00FC245C" w:rsidP="00C26822">
      <w:pPr>
        <w:spacing w:before="240" w:after="240"/>
        <w:jc w:val="both"/>
      </w:pPr>
      <w:r>
        <w:t>The results show that the model is most sensitive to the following:</w:t>
      </w:r>
    </w:p>
    <w:p w14:paraId="21950740" w14:textId="69DC1846" w:rsidR="00FC245C" w:rsidRDefault="00FC245C" w:rsidP="00C26822">
      <w:pPr>
        <w:pStyle w:val="ListParagraph"/>
        <w:numPr>
          <w:ilvl w:val="0"/>
          <w:numId w:val="14"/>
        </w:numPr>
        <w:spacing w:after="240"/>
        <w:ind w:left="284" w:hanging="284"/>
        <w:contextualSpacing w:val="0"/>
      </w:pPr>
      <w:r>
        <w:t xml:space="preserve">Decreasing the time horizon to 5 years increased the ICER by approximately 46%. </w:t>
      </w:r>
    </w:p>
    <w:p w14:paraId="2EC3837C" w14:textId="586FA24F" w:rsidR="00310884" w:rsidRDefault="00310884" w:rsidP="00C26822">
      <w:pPr>
        <w:pStyle w:val="ListParagraph"/>
        <w:numPr>
          <w:ilvl w:val="0"/>
          <w:numId w:val="14"/>
        </w:numPr>
        <w:spacing w:after="240"/>
        <w:ind w:left="284" w:hanging="284"/>
        <w:contextualSpacing w:val="0"/>
      </w:pPr>
      <w:r>
        <w:t xml:space="preserve">Cost of </w:t>
      </w:r>
      <w:r w:rsidRPr="00FB178D">
        <w:rPr>
          <w:vertAlign w:val="superscript"/>
        </w:rPr>
        <w:t>177</w:t>
      </w:r>
      <w:r>
        <w:t>Lu-PSMA therapy, reducing or increasing the ICER by about 15%.</w:t>
      </w:r>
    </w:p>
    <w:p w14:paraId="6D43EFB9" w14:textId="673F0116" w:rsidR="00FC245C" w:rsidRDefault="00FC245C" w:rsidP="00C26822">
      <w:pPr>
        <w:pStyle w:val="ListParagraph"/>
        <w:numPr>
          <w:ilvl w:val="0"/>
          <w:numId w:val="14"/>
        </w:numPr>
        <w:spacing w:after="240"/>
        <w:ind w:left="284" w:hanging="284"/>
        <w:contextualSpacing w:val="0"/>
      </w:pPr>
      <w:r>
        <w:t>Decreasing the discount rate to 3.5% and 0% reduced the ICER by approximately 5% and 17%, respectively.</w:t>
      </w:r>
    </w:p>
    <w:p w14:paraId="6250855D" w14:textId="346794EF" w:rsidR="00FC245C" w:rsidRDefault="00FC245C" w:rsidP="00C26822">
      <w:pPr>
        <w:pStyle w:val="ListParagraph"/>
        <w:numPr>
          <w:ilvl w:val="0"/>
          <w:numId w:val="14"/>
        </w:numPr>
        <w:spacing w:after="240"/>
        <w:ind w:left="284" w:hanging="284"/>
        <w:contextualSpacing w:val="0"/>
      </w:pPr>
      <w:r>
        <w:t xml:space="preserve">PFS and OS extrapolation in </w:t>
      </w:r>
      <w:proofErr w:type="spellStart"/>
      <w:r>
        <w:t>cabazitaxel</w:t>
      </w:r>
      <w:proofErr w:type="spellEnd"/>
      <w:r>
        <w:t xml:space="preserve"> (</w:t>
      </w:r>
      <w:proofErr w:type="spellStart"/>
      <w:r>
        <w:t>TheraP</w:t>
      </w:r>
      <w:proofErr w:type="spellEnd"/>
      <w:r>
        <w:t>): use of second-best fit curves (Gamma for PFS, and Log-logistic for OS) increased the ICER by approximately 39%.</w:t>
      </w:r>
    </w:p>
    <w:p w14:paraId="4619360C" w14:textId="1E3848EF" w:rsidR="00FC245C" w:rsidRDefault="00FC245C" w:rsidP="00C26822">
      <w:pPr>
        <w:pStyle w:val="ListParagraph"/>
        <w:numPr>
          <w:ilvl w:val="0"/>
          <w:numId w:val="14"/>
        </w:numPr>
        <w:spacing w:after="240"/>
        <w:ind w:left="284" w:hanging="284"/>
        <w:contextualSpacing w:val="0"/>
      </w:pPr>
      <w:r>
        <w:t xml:space="preserve">PFS and OS extrapolation in </w:t>
      </w:r>
      <w:r w:rsidRPr="00FC245C">
        <w:rPr>
          <w:vertAlign w:val="superscript"/>
        </w:rPr>
        <w:t>177</w:t>
      </w:r>
      <w:r>
        <w:t>Lu-PSMA-617 (</w:t>
      </w:r>
      <w:proofErr w:type="spellStart"/>
      <w:r>
        <w:t>TheraP</w:t>
      </w:r>
      <w:proofErr w:type="spellEnd"/>
      <w:r>
        <w:t xml:space="preserve">): use of second-best fit curves (Generalized Gamma for PFS, and Generalized Gamma for OS) increased the ICER by approximately 19%. </w:t>
      </w:r>
    </w:p>
    <w:p w14:paraId="6463DF07" w14:textId="0D792F47" w:rsidR="001D286A" w:rsidRDefault="00FC245C" w:rsidP="00FB178D">
      <w:pPr>
        <w:pStyle w:val="ListParagraph"/>
        <w:numPr>
          <w:ilvl w:val="0"/>
          <w:numId w:val="14"/>
        </w:numPr>
        <w:ind w:left="284" w:hanging="284"/>
        <w:contextualSpacing w:val="0"/>
      </w:pPr>
      <w:r>
        <w:t>Utilising alternate utility values decreased the ICER by approximately 13% and 11% using EORTC-8D and EQ-5D-5L instrument</w:t>
      </w:r>
      <w:r w:rsidR="0072406B">
        <w:t>s</w:t>
      </w:r>
      <w:r>
        <w:t>, respectively.</w:t>
      </w:r>
      <w:r w:rsidR="001D286A">
        <w:t xml:space="preserve"> The Commentary noted that Lloyd 2015 described 4 types of participants with </w:t>
      </w:r>
      <w:proofErr w:type="spellStart"/>
      <w:r w:rsidR="001D286A">
        <w:t>mCRPC</w:t>
      </w:r>
      <w:proofErr w:type="spellEnd"/>
      <w:r w:rsidR="001D286A">
        <w:t>:</w:t>
      </w:r>
    </w:p>
    <w:p w14:paraId="666FF00C" w14:textId="1FD32E73" w:rsidR="001D286A" w:rsidRDefault="001D286A" w:rsidP="00FB178D">
      <w:pPr>
        <w:pStyle w:val="ListParagraph"/>
        <w:numPr>
          <w:ilvl w:val="0"/>
          <w:numId w:val="21"/>
        </w:numPr>
        <w:ind w:left="709" w:hanging="425"/>
        <w:jc w:val="both"/>
      </w:pPr>
      <w:r>
        <w:t>Asymptomatic or mildly symptomatic after failure of ADT, before receiving any chemotherapy (i.e., in whom chemotherapy was not yet clinically indicated) (n=50).</w:t>
      </w:r>
    </w:p>
    <w:p w14:paraId="6F58FAC3" w14:textId="71169C42" w:rsidR="001D286A" w:rsidRDefault="001D286A" w:rsidP="00FB178D">
      <w:pPr>
        <w:pStyle w:val="ListParagraph"/>
        <w:numPr>
          <w:ilvl w:val="0"/>
          <w:numId w:val="21"/>
        </w:numPr>
        <w:ind w:left="709" w:hanging="425"/>
        <w:jc w:val="both"/>
      </w:pPr>
      <w:r>
        <w:t>Symptomatic after failure of ADT, before receiving any chemotherapy (i.e., chemotherapy clinically indicated but not started) (n=50).</w:t>
      </w:r>
    </w:p>
    <w:p w14:paraId="4398F517" w14:textId="0B7572F6" w:rsidR="001D286A" w:rsidRDefault="001D286A" w:rsidP="00FB178D">
      <w:pPr>
        <w:pStyle w:val="ListParagraph"/>
        <w:numPr>
          <w:ilvl w:val="0"/>
          <w:numId w:val="21"/>
        </w:numPr>
        <w:ind w:left="709" w:hanging="425"/>
        <w:jc w:val="both"/>
      </w:pPr>
      <w:r>
        <w:t>After failure of ADT, currently receiving chemotherapy (n=17).</w:t>
      </w:r>
    </w:p>
    <w:p w14:paraId="527B7B8A" w14:textId="33C7F8E5" w:rsidR="00FC245C" w:rsidRDefault="001D286A" w:rsidP="00FB178D">
      <w:pPr>
        <w:pStyle w:val="ListParagraph"/>
        <w:numPr>
          <w:ilvl w:val="0"/>
          <w:numId w:val="21"/>
        </w:numPr>
        <w:ind w:left="709" w:hanging="425"/>
        <w:contextualSpacing w:val="0"/>
        <w:jc w:val="both"/>
      </w:pPr>
      <w:r>
        <w:t>After failure of ADT, post chemotherapy (n=46).</w:t>
      </w:r>
    </w:p>
    <w:p w14:paraId="0CD2EB89" w14:textId="6712715F" w:rsidR="001D286A" w:rsidRDefault="001D286A" w:rsidP="00C26822">
      <w:pPr>
        <w:spacing w:after="240"/>
        <w:ind w:left="284"/>
        <w:jc w:val="both"/>
      </w:pPr>
      <w:r>
        <w:lastRenderedPageBreak/>
        <w:t>The sensitivity analyses presented in the ADAR</w:t>
      </w:r>
      <w:r w:rsidR="00985ADC">
        <w:t xml:space="preserve"> utilised utilities relevant to Populations 1 and 2 which may be misleading as patients in Populations 3 and 4 </w:t>
      </w:r>
      <w:proofErr w:type="gramStart"/>
      <w:r w:rsidR="00985ADC">
        <w:t>are considered to be</w:t>
      </w:r>
      <w:proofErr w:type="gramEnd"/>
      <w:r w:rsidR="00985ADC">
        <w:t xml:space="preserve"> most reflective of the proposed population. Analyses using Population 3 and 4 utilities for PFS were conducted during the evaluation</w:t>
      </w:r>
      <w:r w:rsidR="00B8681D">
        <w:t xml:space="preserve"> and these resulted in either smaller reductions in the ICER (</w:t>
      </w:r>
      <w:r w:rsidR="000E360E">
        <w:t>1.5% and 2%</w:t>
      </w:r>
      <w:r w:rsidR="009956A7">
        <w:t xml:space="preserve"> using the EORTC-8D instrument</w:t>
      </w:r>
      <w:r w:rsidR="000E360E">
        <w:t>) or increases (6% and 7%</w:t>
      </w:r>
      <w:r w:rsidR="009956A7">
        <w:t xml:space="preserve"> using the</w:t>
      </w:r>
      <w:r w:rsidR="00AE5E3B">
        <w:t xml:space="preserve"> EQ-5D-5L instrument</w:t>
      </w:r>
      <w:r w:rsidR="001E021B">
        <w:t>)</w:t>
      </w:r>
      <w:r w:rsidR="00985ADC">
        <w:t>.</w:t>
      </w:r>
    </w:p>
    <w:p w14:paraId="4473F871" w14:textId="3E2D42CC" w:rsidR="00DC0761" w:rsidRPr="00E228EC" w:rsidRDefault="00FC245C" w:rsidP="00E12DF5">
      <w:pPr>
        <w:pStyle w:val="ListParagraph"/>
        <w:numPr>
          <w:ilvl w:val="0"/>
          <w:numId w:val="14"/>
        </w:numPr>
        <w:ind w:left="284" w:hanging="284"/>
        <w:contextualSpacing w:val="0"/>
        <w:jc w:val="both"/>
        <w:rPr>
          <w:rFonts w:eastAsia="Calibri"/>
          <w:szCs w:val="20"/>
        </w:rPr>
      </w:pPr>
      <w:r>
        <w:t xml:space="preserve">Adjusting the comparator split to be cabazitaxel 25% and BSC 75% decreased the ICER by 25%. Although there was an increase in the incremental costs, incremental </w:t>
      </w:r>
      <w:r w:rsidR="00E228EC">
        <w:t>QALY increased more.</w:t>
      </w:r>
      <w:bookmarkEnd w:id="43"/>
    </w:p>
    <w:p w14:paraId="25AE2BAC" w14:textId="4B8EBAF2" w:rsidR="00772829" w:rsidRDefault="00C36633" w:rsidP="002A18BE">
      <w:pPr>
        <w:pStyle w:val="Heading2"/>
        <w:numPr>
          <w:ilvl w:val="0"/>
          <w:numId w:val="0"/>
        </w:numPr>
      </w:pPr>
      <w:bookmarkStart w:id="45" w:name="_Toc69491426"/>
      <w:bookmarkEnd w:id="38"/>
      <w:r>
        <w:t>1</w:t>
      </w:r>
      <w:r w:rsidR="00AE7DDB">
        <w:t>4</w:t>
      </w:r>
      <w:r>
        <w:t>.</w:t>
      </w:r>
      <w:r>
        <w:tab/>
      </w:r>
      <w:r w:rsidR="00772829" w:rsidRPr="00CE28E3">
        <w:t>Financial/budgetary impacts</w:t>
      </w:r>
      <w:bookmarkEnd w:id="45"/>
    </w:p>
    <w:p w14:paraId="1323FAF6" w14:textId="45A56F9A" w:rsidR="00E228EC" w:rsidRDefault="00E228EC" w:rsidP="00C26822">
      <w:pPr>
        <w:spacing w:after="240"/>
      </w:pPr>
      <w:r>
        <w:t>The ADAR present</w:t>
      </w:r>
      <w:r w:rsidR="0027215A">
        <w:t>ed</w:t>
      </w:r>
      <w:r>
        <w:t xml:space="preserve"> an epidemiological approach to model the financial impact of </w:t>
      </w:r>
      <w:r w:rsidRPr="00E228EC">
        <w:rPr>
          <w:vertAlign w:val="superscript"/>
        </w:rPr>
        <w:t>68</w:t>
      </w:r>
      <w:r>
        <w:t xml:space="preserve">Ga-PSMA-11 PET/CT imaging and </w:t>
      </w:r>
      <w:r w:rsidRPr="00E228EC">
        <w:rPr>
          <w:vertAlign w:val="superscript"/>
        </w:rPr>
        <w:t>177</w:t>
      </w:r>
      <w:r>
        <w:t xml:space="preserve">Lu-PSMA-617 therapy on MBS. </w:t>
      </w:r>
    </w:p>
    <w:p w14:paraId="665F5820" w14:textId="7D975961" w:rsidR="00E228EC" w:rsidRDefault="00E228EC" w:rsidP="00C26822">
      <w:pPr>
        <w:spacing w:after="240"/>
        <w:jc w:val="both"/>
      </w:pPr>
      <w:r>
        <w:t>This ADAR is based on the MSAC 1686 July 2022 PSD and relies on the eligible population numbers and many of the assumptions reported in this PSD, although not all.</w:t>
      </w:r>
    </w:p>
    <w:p w14:paraId="72C4BCA2" w14:textId="77777777" w:rsidR="00E228EC" w:rsidRDefault="00E228EC" w:rsidP="00C26822">
      <w:pPr>
        <w:spacing w:after="120"/>
      </w:pPr>
      <w:r>
        <w:t>The assumptions used to inform their model are:</w:t>
      </w:r>
    </w:p>
    <w:p w14:paraId="00857A1B" w14:textId="5C047D53" w:rsidR="00E228EC" w:rsidRDefault="00E228EC" w:rsidP="00C26822">
      <w:pPr>
        <w:spacing w:after="120"/>
        <w:ind w:left="426" w:hanging="426"/>
      </w:pPr>
      <w:r>
        <w:t>1)</w:t>
      </w:r>
      <w:r>
        <w:tab/>
        <w:t>No change in the eligible population estimates that applied in MSAC 1686.</w:t>
      </w:r>
    </w:p>
    <w:p w14:paraId="1BAA1CFA" w14:textId="724C68D1" w:rsidR="00E228EC" w:rsidRDefault="00E228EC" w:rsidP="00C26822">
      <w:pPr>
        <w:spacing w:after="120"/>
        <w:ind w:left="426" w:hanging="426"/>
      </w:pPr>
      <w:r>
        <w:t>2)</w:t>
      </w:r>
      <w:r>
        <w:tab/>
        <w:t>The cost of the PSMA therapy is the same, $8,000</w:t>
      </w:r>
      <w:r w:rsidR="00D730B4">
        <w:t xml:space="preserve">; costs of $6,509 </w:t>
      </w:r>
      <w:r w:rsidR="00925D2C">
        <w:t xml:space="preserve">($4,882+$1,627, see </w:t>
      </w:r>
      <w:r w:rsidR="00925D2C">
        <w:fldChar w:fldCharType="begin"/>
      </w:r>
      <w:r w:rsidR="00925D2C">
        <w:instrText xml:space="preserve"> REF _Ref155806195 \h </w:instrText>
      </w:r>
      <w:r w:rsidR="00925D2C">
        <w:fldChar w:fldCharType="separate"/>
      </w:r>
      <w:r w:rsidR="00EB3F24">
        <w:t xml:space="preserve">Table </w:t>
      </w:r>
      <w:r w:rsidR="00EB3F24">
        <w:rPr>
          <w:noProof/>
        </w:rPr>
        <w:t>10</w:t>
      </w:r>
      <w:r w:rsidR="00925D2C">
        <w:fldChar w:fldCharType="end"/>
      </w:r>
      <w:r w:rsidR="00925D2C">
        <w:t xml:space="preserve">) </w:t>
      </w:r>
      <w:r w:rsidR="00D730B4">
        <w:t>and $</w:t>
      </w:r>
      <w:r w:rsidR="00925D2C">
        <w:t xml:space="preserve">9,643 ($7,232+$2,411, see </w:t>
      </w:r>
      <w:r w:rsidR="00925D2C">
        <w:fldChar w:fldCharType="begin"/>
      </w:r>
      <w:r w:rsidR="00925D2C">
        <w:instrText xml:space="preserve"> REF _Ref155806195 \h </w:instrText>
      </w:r>
      <w:r w:rsidR="00925D2C">
        <w:fldChar w:fldCharType="separate"/>
      </w:r>
      <w:r w:rsidR="00EB3F24">
        <w:t xml:space="preserve">Table </w:t>
      </w:r>
      <w:r w:rsidR="00EB3F24">
        <w:rPr>
          <w:noProof/>
        </w:rPr>
        <w:t>10</w:t>
      </w:r>
      <w:r w:rsidR="00925D2C">
        <w:fldChar w:fldCharType="end"/>
      </w:r>
      <w:r w:rsidR="00925D2C">
        <w:t>)</w:t>
      </w:r>
      <w:r w:rsidR="000D100B">
        <w:t xml:space="preserve"> or $6,410.30 and $9,544.30, respectively with a greatest permissible gap (GPG) of $98.70 applied</w:t>
      </w:r>
      <w:r w:rsidR="00925D2C">
        <w:t xml:space="preserve"> are tested in sensitivity analyses conducted for the Commentary</w:t>
      </w:r>
      <w:r>
        <w:t>.</w:t>
      </w:r>
    </w:p>
    <w:p w14:paraId="68265B04" w14:textId="12696279" w:rsidR="00E228EC" w:rsidRDefault="00E228EC" w:rsidP="00C26822">
      <w:pPr>
        <w:spacing w:after="120"/>
        <w:ind w:left="426" w:hanging="426"/>
      </w:pPr>
      <w:r>
        <w:t>3)</w:t>
      </w:r>
      <w:r>
        <w:tab/>
        <w:t>Assume the number of PSMA treatment cycles is 4.17 for eligible patients.</w:t>
      </w:r>
    </w:p>
    <w:p w14:paraId="227E96A3" w14:textId="6FF37174" w:rsidR="00E228EC" w:rsidRDefault="00E228EC" w:rsidP="00C26822">
      <w:pPr>
        <w:spacing w:after="240"/>
        <w:ind w:left="426" w:hanging="426"/>
      </w:pPr>
      <w:r>
        <w:t>4)</w:t>
      </w:r>
      <w:r>
        <w:tab/>
        <w:t>Treatment cycles for cabazitaxel are 7.32.</w:t>
      </w:r>
    </w:p>
    <w:p w14:paraId="6D65B5D7" w14:textId="77777777" w:rsidR="00E228EC" w:rsidRDefault="00E228EC" w:rsidP="00C26822">
      <w:pPr>
        <w:spacing w:after="240"/>
      </w:pPr>
      <w:r>
        <w:t>The changes to the assumptions that applied are:</w:t>
      </w:r>
    </w:p>
    <w:p w14:paraId="71FDF602" w14:textId="6BE7D870" w:rsidR="00E228EC" w:rsidRDefault="00E228EC" w:rsidP="00C26822">
      <w:pPr>
        <w:pStyle w:val="ListParagraph"/>
        <w:numPr>
          <w:ilvl w:val="0"/>
          <w:numId w:val="14"/>
        </w:numPr>
        <w:spacing w:after="240"/>
        <w:ind w:left="284" w:hanging="284"/>
        <w:contextualSpacing w:val="0"/>
      </w:pPr>
      <w:r>
        <w:t xml:space="preserve">The ADAR assumes an uptake in the first year for therapy of 25%, increasing by 15% each year to 50.3% by Year 6. Evidence to support this assumption, aside from comments in MSAC 1686 July 2022 PSD that the assumption of 11.5% uptake, in Year 1 and a 11.5% increase each year, was too low, was not presented. This assumption </w:t>
      </w:r>
      <w:proofErr w:type="gramStart"/>
      <w:r>
        <w:t>is considered to be</w:t>
      </w:r>
      <w:proofErr w:type="gramEnd"/>
      <w:r>
        <w:t xml:space="preserve"> reasonable by the Commentary because it assumes that at least half of eligible patients will have access to this treatment by Year 6. </w:t>
      </w:r>
    </w:p>
    <w:p w14:paraId="36D3A323" w14:textId="6822D590" w:rsidR="00E228EC" w:rsidRDefault="00E228EC" w:rsidP="00C26822">
      <w:pPr>
        <w:pStyle w:val="ListParagraph"/>
        <w:numPr>
          <w:ilvl w:val="0"/>
          <w:numId w:val="14"/>
        </w:numPr>
        <w:spacing w:after="240"/>
        <w:ind w:left="284" w:hanging="284"/>
        <w:contextualSpacing w:val="0"/>
      </w:pPr>
      <w:r>
        <w:t xml:space="preserve">The proportion of patients that are assumed to have subsequent therapy after randomisation is 14.9%, for patients who are allocated to PSMA targeted therapy, cabazitaxel and BSC. The ADAR adjusts the population for whether they receive cabazitaxel or docetaxel as subsequent treatment. However, this proportion is only applied to patients who are assumed to have progressed, which results in different proportions receiving subsequent treatment across the arms. Although it is implied that patients who have progressed would receive subsequent therapy, the evidence used for this proportion [Sartor 2021], only reports that 14.9% of the ITT population received subsequent treatment. </w:t>
      </w:r>
    </w:p>
    <w:p w14:paraId="70264BA8" w14:textId="35353D64" w:rsidR="00E228EC" w:rsidRDefault="00E228EC" w:rsidP="00C26822">
      <w:pPr>
        <w:pStyle w:val="ListParagraph"/>
        <w:numPr>
          <w:ilvl w:val="0"/>
          <w:numId w:val="14"/>
        </w:numPr>
        <w:spacing w:after="240"/>
        <w:ind w:left="284" w:hanging="284"/>
        <w:contextualSpacing w:val="0"/>
      </w:pPr>
      <w:r>
        <w:t>The ADAR reports results based on a split of 75% receiving cabazitaxel and 25% receiving BSC in the comparator arm. This is adjusted for in the results</w:t>
      </w:r>
      <w:r w:rsidR="00EE73DA">
        <w:t xml:space="preserve"> by the </w:t>
      </w:r>
      <w:r w:rsidR="00EE73DA">
        <w:lastRenderedPageBreak/>
        <w:t>Commentary</w:t>
      </w:r>
      <w:r>
        <w:t xml:space="preserve">, as the MSAC 1686 July 2022 PSD noted that due to its toxicity cabazitaxel use is lower at 25%. </w:t>
      </w:r>
    </w:p>
    <w:p w14:paraId="083152FD" w14:textId="5021FACA" w:rsidR="00E228EC" w:rsidRDefault="00E228EC" w:rsidP="00C26822">
      <w:pPr>
        <w:pStyle w:val="ListParagraph"/>
        <w:numPr>
          <w:ilvl w:val="0"/>
          <w:numId w:val="14"/>
        </w:numPr>
        <w:spacing w:after="240"/>
        <w:ind w:left="284" w:hanging="284"/>
        <w:contextualSpacing w:val="0"/>
      </w:pPr>
      <w:r>
        <w:t xml:space="preserve">The ADAR applies different assumptions about the number of PSMA targeted therapy cycles a patient will receive based on whether they will be eligible for cabazitaxel or not. This has been adjusted in the results </w:t>
      </w:r>
      <w:r w:rsidR="00EE73DA">
        <w:t xml:space="preserve">by the Commentary </w:t>
      </w:r>
      <w:r>
        <w:t xml:space="preserve">so that a consistent number of cycles is given to all patients who are eligible. This was changed by the Commentary as the number of cycles would be determined by eligibility by the PET/CT and response to treatment. </w:t>
      </w:r>
    </w:p>
    <w:p w14:paraId="67495733" w14:textId="1B67E6AE" w:rsidR="00E228EC" w:rsidRDefault="00E228EC" w:rsidP="00C26822">
      <w:pPr>
        <w:pStyle w:val="ListParagraph"/>
        <w:numPr>
          <w:ilvl w:val="0"/>
          <w:numId w:val="14"/>
        </w:numPr>
        <w:spacing w:after="240"/>
        <w:ind w:left="284" w:hanging="284"/>
        <w:contextualSpacing w:val="0"/>
      </w:pPr>
      <w:r>
        <w:t xml:space="preserve">When determining the net </w:t>
      </w:r>
      <w:proofErr w:type="gramStart"/>
      <w:r>
        <w:t>cost</w:t>
      </w:r>
      <w:proofErr w:type="gramEnd"/>
      <w:r>
        <w:t xml:space="preserve"> the ADAR applies the 15% patient reimbursement to the PET scan and the PSMA </w:t>
      </w:r>
      <w:r w:rsidR="00EE73DA">
        <w:t xml:space="preserve">targeted </w:t>
      </w:r>
      <w:r>
        <w:t xml:space="preserve">therapy. However, the </w:t>
      </w:r>
      <w:r w:rsidR="00BF6B6A">
        <w:t>GPG</w:t>
      </w:r>
      <w:r>
        <w:t xml:space="preserve"> of $98.70 applies as these are outpatient procedures that are greater than $658.35 (as of November 2023). </w:t>
      </w:r>
      <w:r w:rsidR="00EE73DA">
        <w:t>This has been adjusted for by the Commentary.</w:t>
      </w:r>
    </w:p>
    <w:p w14:paraId="03A32E93" w14:textId="52C6C6B1" w:rsidR="00E228EC" w:rsidRDefault="00E228EC" w:rsidP="00C26822">
      <w:pPr>
        <w:spacing w:after="240"/>
      </w:pPr>
      <w:r>
        <w:t>Results from the ADAR are presented</w:t>
      </w:r>
      <w:r w:rsidR="008C5370">
        <w:t xml:space="preserve"> in </w:t>
      </w:r>
      <w:r w:rsidR="0032791F">
        <w:t>Table 12</w:t>
      </w:r>
      <w:r>
        <w:t xml:space="preserve">, and adjustments to the results </w:t>
      </w:r>
      <w:r w:rsidR="00EE73DA">
        <w:t xml:space="preserve">by the Commentary </w:t>
      </w:r>
      <w:r>
        <w:t>are provided</w:t>
      </w:r>
      <w:r w:rsidR="00155CBC">
        <w:t xml:space="preserve"> (shaded cells)</w:t>
      </w:r>
      <w:r>
        <w:t xml:space="preserve">, with numbers to reflect the incremental adjustments done and the impact on the financial implications. The adjustments </w:t>
      </w:r>
      <w:r w:rsidR="00EE73DA">
        <w:t>by the Commentary a</w:t>
      </w:r>
      <w:r>
        <w:t xml:space="preserve">re done in the following steps. </w:t>
      </w:r>
    </w:p>
    <w:p w14:paraId="263E7839" w14:textId="4A3B8385" w:rsidR="00E228EC" w:rsidRDefault="00E228EC" w:rsidP="00C26822">
      <w:pPr>
        <w:spacing w:after="120"/>
        <w:ind w:left="284" w:hanging="284"/>
      </w:pPr>
      <w:r>
        <w:t>1)</w:t>
      </w:r>
      <w:r>
        <w:tab/>
        <w:t>Recently decreased price for cabazitaxel so the weighted average DMPQ is $272.95</w:t>
      </w:r>
      <w:r w:rsidR="00EE73DA">
        <w:t>.</w:t>
      </w:r>
    </w:p>
    <w:p w14:paraId="4596ECBC" w14:textId="77777777" w:rsidR="00E228EC" w:rsidRDefault="00E228EC" w:rsidP="00C26822">
      <w:pPr>
        <w:spacing w:after="120"/>
        <w:ind w:left="284" w:hanging="284"/>
      </w:pPr>
      <w:r>
        <w:t>2)</w:t>
      </w:r>
      <w:r>
        <w:tab/>
        <w:t xml:space="preserve">All patients that are eligible for </w:t>
      </w:r>
      <w:r w:rsidRPr="00EE73DA">
        <w:rPr>
          <w:vertAlign w:val="superscript"/>
        </w:rPr>
        <w:t>177</w:t>
      </w:r>
      <w:r>
        <w:t xml:space="preserve">Lu PSMA receive the same number of cycles, 4.17 as it is determined by the results of the PET scan and patients’ response to treatment. </w:t>
      </w:r>
    </w:p>
    <w:p w14:paraId="4A04D3D2" w14:textId="0ABA35E0" w:rsidR="00E228EC" w:rsidRDefault="00E228EC" w:rsidP="00C26822">
      <w:pPr>
        <w:spacing w:after="120"/>
        <w:ind w:left="284" w:hanging="284"/>
      </w:pPr>
      <w:r>
        <w:t>3)</w:t>
      </w:r>
      <w:r>
        <w:tab/>
        <w:t xml:space="preserve">The split between treatment with cabazitaxel and best supportive care is changed to 25% cabazitaxel and 75% best support care to reflect </w:t>
      </w:r>
      <w:r w:rsidR="00EE73DA">
        <w:t xml:space="preserve">the </w:t>
      </w:r>
      <w:r>
        <w:t xml:space="preserve">discussion in </w:t>
      </w:r>
      <w:r w:rsidR="00EE73DA">
        <w:t xml:space="preserve">the MSAC 1686 July 2002 </w:t>
      </w:r>
      <w:r>
        <w:t xml:space="preserve">PSD. </w:t>
      </w:r>
    </w:p>
    <w:p w14:paraId="363EEBDE" w14:textId="06182847" w:rsidR="00E228EC" w:rsidRDefault="74AE5408" w:rsidP="00C26822">
      <w:pPr>
        <w:spacing w:after="120"/>
        <w:ind w:left="284" w:hanging="284"/>
      </w:pPr>
      <w:r>
        <w:t>4)</w:t>
      </w:r>
      <w:r w:rsidR="00E228EC">
        <w:tab/>
      </w:r>
      <w:r>
        <w:t xml:space="preserve">The rebate is adjusted for the greatest permissible gap (GPG) as both the </w:t>
      </w:r>
      <w:r w:rsidRPr="46DB6478">
        <w:rPr>
          <w:vertAlign w:val="superscript"/>
        </w:rPr>
        <w:t>68</w:t>
      </w:r>
      <w:r>
        <w:t>Ga</w:t>
      </w:r>
      <w:r w:rsidR="000D1B9F">
        <w:t xml:space="preserve"> </w:t>
      </w:r>
      <w:r>
        <w:t xml:space="preserve">PET scan and </w:t>
      </w:r>
      <w:r w:rsidRPr="46DB6478">
        <w:rPr>
          <w:vertAlign w:val="superscript"/>
        </w:rPr>
        <w:t>177</w:t>
      </w:r>
      <w:r>
        <w:t xml:space="preserve">Lu-PSMA are greater than the $658.35 (as of 1 Nov 2023). The </w:t>
      </w:r>
      <w:r w:rsidR="21A98338">
        <w:t>G</w:t>
      </w:r>
      <w:r>
        <w:t xml:space="preserve">PG is set at $98.70 as of 1 November 2023. The cost to Medicare of the PET scan is $1,846.30 </w:t>
      </w:r>
      <w:bookmarkStart w:id="46" w:name="_Hlk155819791"/>
      <w:r w:rsidR="00020B30">
        <w:t>(assuming a fee of $1,945) or $1,746.30 (assuming a fee of $1,845), see above. A benefit of $80 would apply to CT (</w:t>
      </w:r>
      <w:r w:rsidR="00020B30" w:rsidRPr="00020B30">
        <w:t>85% benefit of the $100 schedule fee, minus an additional $5 for the Multiple Services Rule in the DIST)</w:t>
      </w:r>
      <w:r w:rsidR="00020B30">
        <w:t xml:space="preserve"> and should be added, resulting in a total cost for PET/CT of $1,926.30 or $1,826.30. The cost of</w:t>
      </w:r>
      <w:r>
        <w:t xml:space="preserve"> </w:t>
      </w:r>
      <w:r w:rsidRPr="46DB6478">
        <w:rPr>
          <w:vertAlign w:val="superscript"/>
        </w:rPr>
        <w:t>177</w:t>
      </w:r>
      <w:r>
        <w:t xml:space="preserve">Lu-PSMA </w:t>
      </w:r>
      <w:r w:rsidR="00020B30">
        <w:t xml:space="preserve">is </w:t>
      </w:r>
      <w:r>
        <w:t xml:space="preserve">$7,901.30 per cycle. </w:t>
      </w:r>
      <w:bookmarkEnd w:id="46"/>
    </w:p>
    <w:p w14:paraId="3CBDF446" w14:textId="60A63D90" w:rsidR="00EE73DA" w:rsidRDefault="00EE73DA" w:rsidP="008C5370">
      <w:pPr>
        <w:sectPr w:rsidR="00EE73DA" w:rsidSect="00CB5079">
          <w:headerReference w:type="even" r:id="rId22"/>
          <w:headerReference w:type="default" r:id="rId23"/>
          <w:footerReference w:type="even" r:id="rId24"/>
          <w:footerReference w:type="default" r:id="rId25"/>
          <w:headerReference w:type="first" r:id="rId26"/>
          <w:footerReference w:type="first" r:id="rId27"/>
          <w:type w:val="oddPage"/>
          <w:pgSz w:w="11906" w:h="16838"/>
          <w:pgMar w:top="1440" w:right="1440" w:bottom="1440" w:left="1440" w:header="708" w:footer="708" w:gutter="0"/>
          <w:cols w:space="708"/>
          <w:docGrid w:linePitch="360"/>
        </w:sectPr>
      </w:pPr>
      <w:r w:rsidRPr="00EE73DA">
        <w:t xml:space="preserve">The ADAR reports a net </w:t>
      </w:r>
      <w:r w:rsidR="00E164E2">
        <w:t>cost</w:t>
      </w:r>
      <w:r w:rsidRPr="00EE73DA">
        <w:t xml:space="preserve"> to the MBS of PSMA PET/CT</w:t>
      </w:r>
      <w:r w:rsidR="00A85B23">
        <w:t xml:space="preserve"> </w:t>
      </w:r>
      <w:r w:rsidRPr="00EE73DA">
        <w:t>of $</w:t>
      </w:r>
      <w:r w:rsidR="00060DA7">
        <w:t>1.3</w:t>
      </w:r>
      <w:r w:rsidRPr="00EE73DA">
        <w:t xml:space="preserve"> million in Year 1 increasing to $</w:t>
      </w:r>
      <w:r w:rsidR="00060DA7">
        <w:t>2.8</w:t>
      </w:r>
      <w:r w:rsidRPr="00EE73DA">
        <w:t xml:space="preserve"> million in Year 6 and a net financial impact to the MBS and PBS/RPBS</w:t>
      </w:r>
      <w:r w:rsidR="00555312">
        <w:t xml:space="preserve"> (</w:t>
      </w:r>
      <w:proofErr w:type="gramStart"/>
      <w:r w:rsidR="00555312">
        <w:t>taking into account</w:t>
      </w:r>
      <w:proofErr w:type="gramEnd"/>
      <w:r w:rsidR="00555312">
        <w:t xml:space="preserve"> changes in costs of therapies)</w:t>
      </w:r>
      <w:r w:rsidRPr="00EE73DA">
        <w:t xml:space="preserve"> of $19.</w:t>
      </w:r>
      <w:r w:rsidR="00060DA7">
        <w:t>9</w:t>
      </w:r>
      <w:r w:rsidR="00060DA7" w:rsidRPr="00EE73DA">
        <w:t xml:space="preserve"> </w:t>
      </w:r>
      <w:r w:rsidRPr="00EE73DA">
        <w:t>million</w:t>
      </w:r>
      <w:r w:rsidR="00592E90">
        <w:t xml:space="preserve"> </w:t>
      </w:r>
      <w:r w:rsidRPr="00EE73DA">
        <w:t xml:space="preserve">in Year 1 and $42.7 million in Year 6. </w:t>
      </w:r>
      <w:r w:rsidR="00060DA7">
        <w:t>Adjustments to the inputs</w:t>
      </w:r>
      <w:r w:rsidRPr="00EE73DA">
        <w:t xml:space="preserve"> </w:t>
      </w:r>
      <w:r w:rsidR="00060DA7" w:rsidRPr="00EE73DA">
        <w:t>increas</w:t>
      </w:r>
      <w:r w:rsidR="00060DA7">
        <w:t>es</w:t>
      </w:r>
      <w:r w:rsidR="00060DA7" w:rsidRPr="00EE73DA">
        <w:t xml:space="preserve"> </w:t>
      </w:r>
      <w:r w:rsidRPr="00EE73DA">
        <w:t>the cost to Medicare to $23.2 million in Year 1 and $49.9</w:t>
      </w:r>
      <w:r w:rsidR="00AE7DDB">
        <w:t> </w:t>
      </w:r>
      <w:r w:rsidRPr="00EE73DA">
        <w:t>million in Year 6. Uncertainty analyses presented in the ADAR showed the main area of uncertainty identified was the proportion of patients to take up the therapy.</w:t>
      </w:r>
    </w:p>
    <w:p w14:paraId="259A9577" w14:textId="49556773" w:rsidR="00EE73DA" w:rsidRDefault="00EE73DA" w:rsidP="00EE73DA">
      <w:pPr>
        <w:pStyle w:val="Caption"/>
      </w:pPr>
      <w:bookmarkStart w:id="47" w:name="_Ref152271330"/>
      <w:r>
        <w:lastRenderedPageBreak/>
        <w:t>Table</w:t>
      </w:r>
      <w:r w:rsidR="0032791F">
        <w:t xml:space="preserve"> 12</w:t>
      </w:r>
      <w:bookmarkEnd w:id="47"/>
      <w:r>
        <w:tab/>
        <w:t>Financial implications of listing PSMA PET/CT and PSMA targeted therapies</w:t>
      </w:r>
    </w:p>
    <w:tbl>
      <w:tblPr>
        <w:tblW w:w="13952" w:type="dxa"/>
        <w:tblLayout w:type="fixed"/>
        <w:tblLook w:val="04A0" w:firstRow="1" w:lastRow="0" w:firstColumn="1" w:lastColumn="0" w:noHBand="0" w:noVBand="1"/>
      </w:tblPr>
      <w:tblGrid>
        <w:gridCol w:w="5660"/>
        <w:gridCol w:w="1382"/>
        <w:gridCol w:w="1382"/>
        <w:gridCol w:w="1382"/>
        <w:gridCol w:w="1382"/>
        <w:gridCol w:w="1382"/>
        <w:gridCol w:w="1382"/>
      </w:tblGrid>
      <w:tr w:rsidR="00155CBC" w:rsidRPr="00EE73DA" w14:paraId="4FBD7BB7" w14:textId="77777777" w:rsidTr="00FB178D">
        <w:trPr>
          <w:trHeight w:val="315"/>
          <w:tblHeader/>
        </w:trPr>
        <w:tc>
          <w:tcPr>
            <w:tcW w:w="56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bottom"/>
          </w:tcPr>
          <w:p w14:paraId="3664AE34" w14:textId="77777777" w:rsidR="00EE73DA" w:rsidRPr="00EE73DA" w:rsidRDefault="00EE73DA" w:rsidP="00EE73DA">
            <w:pPr>
              <w:spacing w:before="40" w:after="40"/>
              <w:rPr>
                <w:rFonts w:ascii="Arial Narrow" w:hAnsi="Arial Narrow" w:cstheme="minorHAnsi"/>
                <w:sz w:val="20"/>
                <w:szCs w:val="20"/>
              </w:rPr>
            </w:pPr>
            <w:r w:rsidRPr="00EE73DA">
              <w:rPr>
                <w:rFonts w:ascii="Arial Narrow" w:eastAsia="Calibri" w:hAnsi="Arial Narrow" w:cstheme="minorHAnsi"/>
                <w:b/>
                <w:bCs/>
                <w:color w:val="000000" w:themeColor="text1"/>
                <w:sz w:val="20"/>
                <w:szCs w:val="20"/>
              </w:rPr>
              <w:t>Net financial impact</w:t>
            </w:r>
          </w:p>
        </w:tc>
        <w:tc>
          <w:tcPr>
            <w:tcW w:w="138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F7BCEAA"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theme="minorHAnsi"/>
                <w:b/>
                <w:bCs/>
                <w:color w:val="000000" w:themeColor="text1"/>
                <w:sz w:val="20"/>
                <w:szCs w:val="20"/>
              </w:rPr>
              <w:t>Year 1</w:t>
            </w:r>
          </w:p>
        </w:tc>
        <w:tc>
          <w:tcPr>
            <w:tcW w:w="138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BB43E6D"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theme="minorHAnsi"/>
                <w:b/>
                <w:bCs/>
                <w:color w:val="000000" w:themeColor="text1"/>
                <w:sz w:val="20"/>
                <w:szCs w:val="20"/>
              </w:rPr>
              <w:t>Year 2</w:t>
            </w:r>
          </w:p>
        </w:tc>
        <w:tc>
          <w:tcPr>
            <w:tcW w:w="138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CCBC04E"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theme="minorHAnsi"/>
                <w:b/>
                <w:bCs/>
                <w:color w:val="000000" w:themeColor="text1"/>
                <w:sz w:val="20"/>
                <w:szCs w:val="20"/>
              </w:rPr>
              <w:t>Year 3</w:t>
            </w:r>
          </w:p>
        </w:tc>
        <w:tc>
          <w:tcPr>
            <w:tcW w:w="138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F9D289C"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theme="minorHAnsi"/>
                <w:b/>
                <w:bCs/>
                <w:color w:val="000000" w:themeColor="text1"/>
                <w:sz w:val="20"/>
                <w:szCs w:val="20"/>
              </w:rPr>
              <w:t>Year 4</w:t>
            </w:r>
          </w:p>
        </w:tc>
        <w:tc>
          <w:tcPr>
            <w:tcW w:w="138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B2BABF5"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theme="minorHAnsi"/>
                <w:b/>
                <w:bCs/>
                <w:color w:val="000000" w:themeColor="text1"/>
                <w:sz w:val="20"/>
                <w:szCs w:val="20"/>
              </w:rPr>
              <w:t>Year 5</w:t>
            </w:r>
          </w:p>
        </w:tc>
        <w:tc>
          <w:tcPr>
            <w:tcW w:w="138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570B431"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theme="minorHAnsi"/>
                <w:b/>
                <w:bCs/>
                <w:color w:val="000000" w:themeColor="text1"/>
                <w:sz w:val="20"/>
                <w:szCs w:val="20"/>
              </w:rPr>
              <w:t>Year 6</w:t>
            </w:r>
          </w:p>
        </w:tc>
      </w:tr>
      <w:tr w:rsidR="00EE73DA" w:rsidRPr="00EE73DA" w14:paraId="7EFDAA83"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3FF2FF" w14:textId="63A5728E" w:rsidR="00EE73DA" w:rsidRPr="00EE73DA" w:rsidRDefault="00EE73DA" w:rsidP="00EE73DA">
            <w:pPr>
              <w:spacing w:before="40" w:after="40"/>
              <w:rPr>
                <w:rFonts w:ascii="Arial Narrow" w:hAnsi="Arial Narrow" w:cstheme="minorHAnsi"/>
                <w:sz w:val="20"/>
                <w:szCs w:val="20"/>
              </w:rPr>
            </w:pPr>
            <w:r w:rsidRPr="00EE73DA">
              <w:rPr>
                <w:rFonts w:ascii="Arial Narrow" w:eastAsia="Calibri" w:hAnsi="Arial Narrow" w:cstheme="minorHAnsi"/>
                <w:color w:val="000000" w:themeColor="text1"/>
                <w:sz w:val="20"/>
                <w:szCs w:val="20"/>
              </w:rPr>
              <w:t>Net cost to the MBS for PSMA PET/CT</w:t>
            </w:r>
            <w:r w:rsidR="009F71E3">
              <w:rPr>
                <w:rFonts w:ascii="Arial Narrow" w:eastAsia="Calibri" w:hAnsi="Arial Narrow" w:cstheme="minorHAnsi"/>
                <w:color w:val="000000" w:themeColor="text1"/>
                <w:sz w:val="20"/>
                <w:szCs w:val="20"/>
              </w:rPr>
              <w:t xml:space="preserve"> ($1,738.25)</w:t>
            </w:r>
          </w:p>
        </w:tc>
        <w:tc>
          <w:tcPr>
            <w:tcW w:w="1382" w:type="dxa"/>
            <w:tcBorders>
              <w:top w:val="nil"/>
              <w:left w:val="single" w:sz="8" w:space="0" w:color="auto"/>
              <w:bottom w:val="single" w:sz="8" w:space="0" w:color="auto"/>
              <w:right w:val="single" w:sz="8" w:space="0" w:color="auto"/>
            </w:tcBorders>
            <w:tcMar>
              <w:left w:w="108" w:type="dxa"/>
              <w:right w:w="108" w:type="dxa"/>
            </w:tcMar>
            <w:vAlign w:val="center"/>
          </w:tcPr>
          <w:p w14:paraId="375A0079"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$1,305,426</w:t>
            </w:r>
          </w:p>
        </w:tc>
        <w:tc>
          <w:tcPr>
            <w:tcW w:w="1382" w:type="dxa"/>
            <w:tcBorders>
              <w:top w:val="nil"/>
              <w:left w:val="single" w:sz="8" w:space="0" w:color="auto"/>
              <w:bottom w:val="single" w:sz="8" w:space="0" w:color="auto"/>
              <w:right w:val="single" w:sz="8" w:space="0" w:color="auto"/>
            </w:tcBorders>
            <w:tcMar>
              <w:left w:w="108" w:type="dxa"/>
              <w:right w:w="108" w:type="dxa"/>
            </w:tcMar>
            <w:vAlign w:val="center"/>
          </w:tcPr>
          <w:p w14:paraId="12D0E1A6"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$1,520,730</w:t>
            </w:r>
          </w:p>
        </w:tc>
        <w:tc>
          <w:tcPr>
            <w:tcW w:w="1382" w:type="dxa"/>
            <w:tcBorders>
              <w:top w:val="nil"/>
              <w:left w:val="single" w:sz="8" w:space="0" w:color="auto"/>
              <w:bottom w:val="single" w:sz="8" w:space="0" w:color="auto"/>
              <w:right w:val="single" w:sz="8" w:space="0" w:color="auto"/>
            </w:tcBorders>
            <w:tcMar>
              <w:left w:w="108" w:type="dxa"/>
              <w:right w:w="108" w:type="dxa"/>
            </w:tcMar>
            <w:vAlign w:val="center"/>
          </w:tcPr>
          <w:p w14:paraId="726D5FEA"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$1,771,828</w:t>
            </w:r>
          </w:p>
        </w:tc>
        <w:tc>
          <w:tcPr>
            <w:tcW w:w="1382" w:type="dxa"/>
            <w:tcBorders>
              <w:top w:val="nil"/>
              <w:left w:val="single" w:sz="8" w:space="0" w:color="auto"/>
              <w:bottom w:val="single" w:sz="8" w:space="0" w:color="auto"/>
              <w:right w:val="single" w:sz="8" w:space="0" w:color="auto"/>
            </w:tcBorders>
            <w:tcMar>
              <w:left w:w="108" w:type="dxa"/>
              <w:right w:w="108" w:type="dxa"/>
            </w:tcMar>
            <w:vAlign w:val="center"/>
          </w:tcPr>
          <w:p w14:paraId="69058034"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$2,064,699</w:t>
            </w:r>
          </w:p>
        </w:tc>
        <w:tc>
          <w:tcPr>
            <w:tcW w:w="1382" w:type="dxa"/>
            <w:tcBorders>
              <w:top w:val="nil"/>
              <w:left w:val="single" w:sz="8" w:space="0" w:color="auto"/>
              <w:bottom w:val="single" w:sz="8" w:space="0" w:color="auto"/>
              <w:right w:val="single" w:sz="8" w:space="0" w:color="auto"/>
            </w:tcBorders>
            <w:tcMar>
              <w:left w:w="108" w:type="dxa"/>
              <w:right w:w="108" w:type="dxa"/>
            </w:tcMar>
            <w:vAlign w:val="center"/>
          </w:tcPr>
          <w:p w14:paraId="13142FD2"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$2,405,566</w:t>
            </w:r>
          </w:p>
        </w:tc>
        <w:tc>
          <w:tcPr>
            <w:tcW w:w="1382" w:type="dxa"/>
            <w:tcBorders>
              <w:top w:val="nil"/>
              <w:left w:val="single" w:sz="8" w:space="0" w:color="auto"/>
              <w:bottom w:val="single" w:sz="8" w:space="0" w:color="auto"/>
              <w:right w:val="single" w:sz="8" w:space="0" w:color="auto"/>
            </w:tcBorders>
            <w:tcMar>
              <w:left w:w="108" w:type="dxa"/>
              <w:right w:w="108" w:type="dxa"/>
            </w:tcMar>
            <w:vAlign w:val="center"/>
          </w:tcPr>
          <w:p w14:paraId="087B5878"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$2,802,238</w:t>
            </w:r>
          </w:p>
        </w:tc>
      </w:tr>
      <w:tr w:rsidR="009F71E3" w:rsidRPr="00EE73DA" w14:paraId="3DF2B5DA"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2BD6B76" w14:textId="2687CF4D" w:rsidR="009F71E3" w:rsidRPr="00EE73DA" w:rsidRDefault="009F71E3" w:rsidP="009F71E3">
            <w:pPr>
              <w:spacing w:before="40" w:after="40"/>
              <w:rPr>
                <w:rFonts w:ascii="Arial Narrow" w:eastAsia="Calibri" w:hAnsi="Arial Narrow" w:cstheme="minorHAnsi"/>
                <w:color w:val="000000" w:themeColor="text1"/>
                <w:sz w:val="20"/>
                <w:szCs w:val="20"/>
              </w:rPr>
            </w:pPr>
            <w:r>
              <w:rPr>
                <w:rFonts w:ascii="Arial Narrow" w:eastAsia="Calibri" w:hAnsi="Arial Narrow" w:cstheme="minorHAnsi"/>
                <w:color w:val="000000" w:themeColor="text1"/>
                <w:sz w:val="20"/>
                <w:szCs w:val="20"/>
              </w:rPr>
              <w:t xml:space="preserve">4) </w:t>
            </w:r>
            <w:r w:rsidR="00A62EDD">
              <w:rPr>
                <w:rFonts w:ascii="Arial Narrow" w:eastAsia="Calibri" w:hAnsi="Arial Narrow" w:cstheme="minorHAnsi"/>
                <w:color w:val="000000" w:themeColor="text1"/>
                <w:sz w:val="20"/>
                <w:szCs w:val="20"/>
              </w:rPr>
              <w:t>GPG</w:t>
            </w:r>
            <w:r>
              <w:rPr>
                <w:rFonts w:ascii="Arial Narrow" w:eastAsia="Calibri" w:hAnsi="Arial Narrow" w:cstheme="minorHAnsi"/>
                <w:color w:val="000000" w:themeColor="text1"/>
                <w:sz w:val="20"/>
                <w:szCs w:val="20"/>
              </w:rPr>
              <w:t xml:space="preserve"> ($1,926.30) [Commentary]</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7D04A09" w14:textId="0338C3C1" w:rsidR="009F71E3" w:rsidRPr="009F71E3" w:rsidRDefault="009F71E3" w:rsidP="009F71E3">
            <w:pPr>
              <w:spacing w:before="40" w:after="40"/>
              <w:jc w:val="center"/>
              <w:rPr>
                <w:rFonts w:ascii="Arial Narrow" w:eastAsia="Calibri" w:hAnsi="Arial Narrow" w:cs="Calibri"/>
                <w:sz w:val="20"/>
                <w:szCs w:val="20"/>
              </w:rPr>
            </w:pPr>
            <w:r w:rsidRPr="00FB178D">
              <w:rPr>
                <w:rFonts w:ascii="Arial Narrow" w:hAnsi="Arial Narrow"/>
                <w:sz w:val="20"/>
                <w:szCs w:val="20"/>
              </w:rPr>
              <w:t>$1,446,651</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CB50FA3" w14:textId="33BA68A7" w:rsidR="009F71E3" w:rsidRPr="009F71E3" w:rsidRDefault="009F71E3" w:rsidP="009F71E3">
            <w:pPr>
              <w:spacing w:before="40" w:after="40"/>
              <w:jc w:val="center"/>
              <w:rPr>
                <w:rFonts w:ascii="Arial Narrow" w:eastAsia="Calibri" w:hAnsi="Arial Narrow" w:cs="Calibri"/>
                <w:sz w:val="20"/>
                <w:szCs w:val="20"/>
              </w:rPr>
            </w:pPr>
            <w:r w:rsidRPr="00FB178D">
              <w:rPr>
                <w:rFonts w:ascii="Arial Narrow" w:hAnsi="Arial Narrow"/>
                <w:sz w:val="20"/>
                <w:szCs w:val="20"/>
              </w:rPr>
              <w:t>$1,685,248</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925CE48" w14:textId="114DA896" w:rsidR="009F71E3" w:rsidRPr="009F71E3" w:rsidRDefault="009F71E3" w:rsidP="009F71E3">
            <w:pPr>
              <w:spacing w:before="40" w:after="40"/>
              <w:jc w:val="center"/>
              <w:rPr>
                <w:rFonts w:ascii="Arial Narrow" w:eastAsia="Calibri" w:hAnsi="Arial Narrow" w:cs="Calibri"/>
                <w:sz w:val="20"/>
                <w:szCs w:val="20"/>
              </w:rPr>
            </w:pPr>
            <w:r w:rsidRPr="00FB178D">
              <w:rPr>
                <w:rFonts w:ascii="Arial Narrow" w:hAnsi="Arial Narrow"/>
                <w:sz w:val="20"/>
                <w:szCs w:val="20"/>
              </w:rPr>
              <w:t>$1,963,510</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A6799EA" w14:textId="6B494BC5" w:rsidR="009F71E3" w:rsidRPr="009F71E3" w:rsidRDefault="009F71E3" w:rsidP="009F71E3">
            <w:pPr>
              <w:spacing w:before="40" w:after="40"/>
              <w:jc w:val="center"/>
              <w:rPr>
                <w:rFonts w:ascii="Arial Narrow" w:eastAsia="Calibri" w:hAnsi="Arial Narrow" w:cs="Calibri"/>
                <w:sz w:val="20"/>
                <w:szCs w:val="20"/>
              </w:rPr>
            </w:pPr>
            <w:r w:rsidRPr="00FB178D">
              <w:rPr>
                <w:rFonts w:ascii="Arial Narrow" w:hAnsi="Arial Narrow"/>
                <w:sz w:val="20"/>
                <w:szCs w:val="20"/>
              </w:rPr>
              <w:t>$2,288,066</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388864B" w14:textId="75ECB721" w:rsidR="009F71E3" w:rsidRPr="009F71E3" w:rsidRDefault="009F71E3" w:rsidP="009F71E3">
            <w:pPr>
              <w:spacing w:before="40" w:after="40"/>
              <w:jc w:val="center"/>
              <w:rPr>
                <w:rFonts w:ascii="Arial Narrow" w:eastAsia="Calibri" w:hAnsi="Arial Narrow" w:cs="Calibri"/>
                <w:sz w:val="20"/>
                <w:szCs w:val="20"/>
              </w:rPr>
            </w:pPr>
            <w:r w:rsidRPr="00FB178D">
              <w:rPr>
                <w:rFonts w:ascii="Arial Narrow" w:hAnsi="Arial Narrow"/>
                <w:sz w:val="20"/>
                <w:szCs w:val="20"/>
              </w:rPr>
              <w:t>$2,665,809</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794AE62" w14:textId="153A62DA" w:rsidR="009F71E3" w:rsidRPr="009F71E3" w:rsidRDefault="009F71E3" w:rsidP="009F71E3">
            <w:pPr>
              <w:spacing w:before="40" w:after="40"/>
              <w:jc w:val="center"/>
              <w:rPr>
                <w:rFonts w:ascii="Arial Narrow" w:eastAsia="Calibri" w:hAnsi="Arial Narrow" w:cs="Calibri"/>
                <w:sz w:val="20"/>
                <w:szCs w:val="20"/>
              </w:rPr>
            </w:pPr>
            <w:r w:rsidRPr="00FB178D">
              <w:rPr>
                <w:rFonts w:ascii="Arial Narrow" w:hAnsi="Arial Narrow"/>
                <w:sz w:val="20"/>
                <w:szCs w:val="20"/>
              </w:rPr>
              <w:t>$3,105,394</w:t>
            </w:r>
          </w:p>
        </w:tc>
      </w:tr>
      <w:tr w:rsidR="009F71E3" w:rsidRPr="00EE73DA" w14:paraId="0F0135B2"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27B4692" w14:textId="144C4C08" w:rsidR="009F71E3" w:rsidRPr="00EE73DA" w:rsidRDefault="009F71E3" w:rsidP="009F71E3">
            <w:pPr>
              <w:spacing w:before="40" w:after="40"/>
              <w:rPr>
                <w:rFonts w:ascii="Arial Narrow" w:eastAsia="Calibri" w:hAnsi="Arial Narrow" w:cstheme="minorHAnsi"/>
                <w:color w:val="000000" w:themeColor="text1"/>
                <w:sz w:val="20"/>
                <w:szCs w:val="20"/>
              </w:rPr>
            </w:pPr>
            <w:r>
              <w:rPr>
                <w:rFonts w:ascii="Arial Narrow" w:eastAsia="Calibri" w:hAnsi="Arial Narrow" w:cstheme="minorHAnsi"/>
                <w:color w:val="000000" w:themeColor="text1"/>
                <w:sz w:val="20"/>
                <w:szCs w:val="20"/>
              </w:rPr>
              <w:t xml:space="preserve">4) </w:t>
            </w:r>
            <w:r w:rsidR="00A62EDD">
              <w:rPr>
                <w:rFonts w:ascii="Arial Narrow" w:eastAsia="Calibri" w:hAnsi="Arial Narrow" w:cstheme="minorHAnsi"/>
                <w:color w:val="000000" w:themeColor="text1"/>
                <w:sz w:val="20"/>
                <w:szCs w:val="20"/>
              </w:rPr>
              <w:t>GPG</w:t>
            </w:r>
            <w:r>
              <w:rPr>
                <w:rFonts w:ascii="Arial Narrow" w:eastAsia="Calibri" w:hAnsi="Arial Narrow" w:cstheme="minorHAnsi"/>
                <w:color w:val="000000" w:themeColor="text1"/>
                <w:sz w:val="20"/>
                <w:szCs w:val="20"/>
              </w:rPr>
              <w:t xml:space="preserve"> ($1,826.30) [Commentary]</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E4F4A71" w14:textId="5C66F355" w:rsidR="009F71E3" w:rsidRPr="009F71E3" w:rsidRDefault="009F71E3" w:rsidP="009F71E3">
            <w:pPr>
              <w:spacing w:before="40" w:after="40"/>
              <w:jc w:val="center"/>
              <w:rPr>
                <w:rFonts w:ascii="Arial Narrow" w:eastAsia="Calibri" w:hAnsi="Arial Narrow" w:cs="Calibri"/>
                <w:sz w:val="20"/>
                <w:szCs w:val="20"/>
              </w:rPr>
            </w:pPr>
            <w:r w:rsidRPr="00FB178D">
              <w:rPr>
                <w:rFonts w:ascii="Arial Narrow" w:hAnsi="Arial Narrow"/>
                <w:sz w:val="20"/>
                <w:szCs w:val="20"/>
              </w:rPr>
              <w:t>$1,371,551</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2E7D78C" w14:textId="7491DFF7" w:rsidR="009F71E3" w:rsidRPr="009F71E3" w:rsidRDefault="009F71E3" w:rsidP="009F71E3">
            <w:pPr>
              <w:spacing w:before="40" w:after="40"/>
              <w:jc w:val="center"/>
              <w:rPr>
                <w:rFonts w:ascii="Arial Narrow" w:eastAsia="Calibri" w:hAnsi="Arial Narrow" w:cs="Calibri"/>
                <w:sz w:val="20"/>
                <w:szCs w:val="20"/>
              </w:rPr>
            </w:pPr>
            <w:r w:rsidRPr="00FB178D">
              <w:rPr>
                <w:rFonts w:ascii="Arial Narrow" w:hAnsi="Arial Narrow"/>
                <w:sz w:val="20"/>
                <w:szCs w:val="20"/>
              </w:rPr>
              <w:t>$1,597,761</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344F17F" w14:textId="1B49E9A3" w:rsidR="009F71E3" w:rsidRPr="009F71E3" w:rsidRDefault="009F71E3" w:rsidP="009F71E3">
            <w:pPr>
              <w:spacing w:before="40" w:after="40"/>
              <w:jc w:val="center"/>
              <w:rPr>
                <w:rFonts w:ascii="Arial Narrow" w:eastAsia="Calibri" w:hAnsi="Arial Narrow" w:cs="Calibri"/>
                <w:sz w:val="20"/>
                <w:szCs w:val="20"/>
              </w:rPr>
            </w:pPr>
            <w:r w:rsidRPr="00FB178D">
              <w:rPr>
                <w:rFonts w:ascii="Arial Narrow" w:hAnsi="Arial Narrow"/>
                <w:sz w:val="20"/>
                <w:szCs w:val="20"/>
              </w:rPr>
              <w:t>$1,861,578</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6F17499" w14:textId="7D94E30F" w:rsidR="009F71E3" w:rsidRPr="009F71E3" w:rsidRDefault="009F71E3" w:rsidP="009F71E3">
            <w:pPr>
              <w:spacing w:before="40" w:after="40"/>
              <w:jc w:val="center"/>
              <w:rPr>
                <w:rFonts w:ascii="Arial Narrow" w:eastAsia="Calibri" w:hAnsi="Arial Narrow" w:cs="Calibri"/>
                <w:sz w:val="20"/>
                <w:szCs w:val="20"/>
              </w:rPr>
            </w:pPr>
            <w:r w:rsidRPr="00FB178D">
              <w:rPr>
                <w:rFonts w:ascii="Arial Narrow" w:hAnsi="Arial Narrow"/>
                <w:sz w:val="20"/>
                <w:szCs w:val="20"/>
              </w:rPr>
              <w:t>$2,169,285</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812D4CB" w14:textId="53D7B647" w:rsidR="009F71E3" w:rsidRPr="009F71E3" w:rsidRDefault="009F71E3" w:rsidP="009F71E3">
            <w:pPr>
              <w:spacing w:before="40" w:after="40"/>
              <w:jc w:val="center"/>
              <w:rPr>
                <w:rFonts w:ascii="Arial Narrow" w:eastAsia="Calibri" w:hAnsi="Arial Narrow" w:cs="Calibri"/>
                <w:sz w:val="20"/>
                <w:szCs w:val="20"/>
              </w:rPr>
            </w:pPr>
            <w:r w:rsidRPr="00FB178D">
              <w:rPr>
                <w:rFonts w:ascii="Arial Narrow" w:hAnsi="Arial Narrow"/>
                <w:sz w:val="20"/>
                <w:szCs w:val="20"/>
              </w:rPr>
              <w:t>$2,527,419</w:t>
            </w:r>
          </w:p>
        </w:tc>
        <w:tc>
          <w:tcPr>
            <w:tcW w:w="13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57A46F7" w14:textId="15789724" w:rsidR="009F71E3" w:rsidRPr="009F71E3" w:rsidRDefault="009F71E3" w:rsidP="009F71E3">
            <w:pPr>
              <w:spacing w:before="40" w:after="40"/>
              <w:jc w:val="center"/>
              <w:rPr>
                <w:rFonts w:ascii="Arial Narrow" w:eastAsia="Calibri" w:hAnsi="Arial Narrow" w:cs="Calibri"/>
                <w:sz w:val="20"/>
                <w:szCs w:val="20"/>
              </w:rPr>
            </w:pPr>
            <w:r w:rsidRPr="00FB178D">
              <w:rPr>
                <w:rFonts w:ascii="Arial Narrow" w:hAnsi="Arial Narrow"/>
                <w:sz w:val="20"/>
                <w:szCs w:val="20"/>
              </w:rPr>
              <w:t>$2,944,183</w:t>
            </w:r>
          </w:p>
        </w:tc>
      </w:tr>
      <w:tr w:rsidR="00EE73DA" w:rsidRPr="00EE73DA" w14:paraId="747B5197"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836943" w14:textId="77777777" w:rsidR="00EE73DA" w:rsidRPr="00EE73DA" w:rsidRDefault="00EE73DA" w:rsidP="00EE73DA">
            <w:pPr>
              <w:spacing w:before="40" w:after="40"/>
              <w:rPr>
                <w:rFonts w:ascii="Arial Narrow" w:hAnsi="Arial Narrow" w:cstheme="minorHAnsi"/>
                <w:sz w:val="20"/>
                <w:szCs w:val="20"/>
              </w:rPr>
            </w:pPr>
            <w:r w:rsidRPr="00EE73DA">
              <w:rPr>
                <w:rFonts w:ascii="Arial Narrow" w:eastAsia="Calibri" w:hAnsi="Arial Narrow" w:cstheme="minorHAnsi"/>
                <w:color w:val="000000" w:themeColor="text1"/>
                <w:sz w:val="20"/>
                <w:szCs w:val="20"/>
              </w:rPr>
              <w:t>Net cost to the MBS for Others</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6A0AFB"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$19,547,094</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33F848"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$22,780,167</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C8A55E"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$26,544,740</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7CDE5D"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$30,933,611</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6B801B"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$36,041,054</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1E8258"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$41,984,394</w:t>
            </w:r>
          </w:p>
        </w:tc>
      </w:tr>
      <w:tr w:rsidR="00EE73DA" w:rsidRPr="00EE73DA" w14:paraId="1DAA895C"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9F61627" w14:textId="16EEEC90" w:rsidR="00EE73DA" w:rsidRPr="00EE73DA" w:rsidRDefault="00EE73DA" w:rsidP="00EE73DA">
            <w:pPr>
              <w:spacing w:before="40" w:after="40"/>
              <w:rPr>
                <w:rFonts w:ascii="Arial Narrow" w:eastAsia="Calibri" w:hAnsi="Arial Narrow" w:cstheme="minorHAnsi"/>
                <w:sz w:val="20"/>
                <w:szCs w:val="20"/>
              </w:rPr>
            </w:pPr>
            <w:r w:rsidRPr="00EE73DA">
              <w:rPr>
                <w:rFonts w:ascii="Arial Narrow" w:eastAsia="Calibri" w:hAnsi="Arial Narrow" w:cstheme="minorHAnsi"/>
                <w:sz w:val="20"/>
                <w:szCs w:val="20"/>
              </w:rPr>
              <w:t>2) Cycles 4.17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0BC993B"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$18,796,820</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E4F35B7"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$21,906,150</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FCC79AF"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$25,526,408</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264FDFF"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$29,746,955</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7710E28"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$34,658,490</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738EB60"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$40,373,849</w:t>
            </w:r>
          </w:p>
        </w:tc>
      </w:tr>
      <w:tr w:rsidR="00EE73DA" w:rsidRPr="00EE73DA" w14:paraId="0B08CE75"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2644CD7" w14:textId="34F0195D" w:rsidR="00EE73DA" w:rsidRPr="00EE73DA" w:rsidRDefault="009F71E3" w:rsidP="00EE73DA">
            <w:pPr>
              <w:spacing w:before="40" w:after="40"/>
              <w:rPr>
                <w:rFonts w:ascii="Arial Narrow" w:eastAsia="Calibri" w:hAnsi="Arial Narrow" w:cstheme="minorHAnsi"/>
                <w:sz w:val="20"/>
                <w:szCs w:val="20"/>
              </w:rPr>
            </w:pPr>
            <w:r>
              <w:rPr>
                <w:rFonts w:ascii="Arial Narrow" w:eastAsia="Calibri" w:hAnsi="Arial Narrow" w:cstheme="minorHAnsi"/>
                <w:sz w:val="20"/>
                <w:szCs w:val="20"/>
              </w:rPr>
              <w:t>2</w:t>
            </w:r>
            <w:r w:rsidR="00EE73DA" w:rsidRPr="00EE73DA">
              <w:rPr>
                <w:rFonts w:ascii="Arial Narrow" w:eastAsia="Calibri" w:hAnsi="Arial Narrow" w:cstheme="minorHAnsi"/>
                <w:sz w:val="20"/>
                <w:szCs w:val="20"/>
              </w:rPr>
              <w:t xml:space="preserve">) </w:t>
            </w:r>
            <w:r>
              <w:rPr>
                <w:rFonts w:ascii="Arial Narrow" w:eastAsia="Calibri" w:hAnsi="Arial Narrow" w:cstheme="minorHAnsi"/>
                <w:sz w:val="20"/>
                <w:szCs w:val="20"/>
              </w:rPr>
              <w:t>Cycle</w:t>
            </w:r>
            <w:r w:rsidR="007B3F48">
              <w:rPr>
                <w:rFonts w:ascii="Arial Narrow" w:eastAsia="Calibri" w:hAnsi="Arial Narrow" w:cstheme="minorHAnsi"/>
                <w:sz w:val="20"/>
                <w:szCs w:val="20"/>
              </w:rPr>
              <w:t>s</w:t>
            </w:r>
            <w:r>
              <w:rPr>
                <w:rFonts w:ascii="Arial Narrow" w:eastAsia="Calibri" w:hAnsi="Arial Narrow" w:cstheme="minorHAnsi"/>
                <w:sz w:val="20"/>
                <w:szCs w:val="20"/>
              </w:rPr>
              <w:t xml:space="preserve"> 4.17 + 3) </w:t>
            </w:r>
            <w:r w:rsidR="00EE73DA" w:rsidRPr="00EE73DA">
              <w:rPr>
                <w:rFonts w:ascii="Arial Narrow" w:eastAsia="Calibri" w:hAnsi="Arial Narrow" w:cstheme="minorHAnsi"/>
                <w:sz w:val="20"/>
                <w:szCs w:val="20"/>
              </w:rPr>
              <w:t>Split in cabazitaxel use change to 25%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CE49358"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$19,025,965</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7F57C7E"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$22,175,718</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FB5F2B3"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$25,842,592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22C797F"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$30,116,420</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F3DC705"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$35,089,458</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008C20A"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$40,876,165</w:t>
            </w:r>
          </w:p>
        </w:tc>
      </w:tr>
      <w:tr w:rsidR="00EE73DA" w:rsidRPr="00EE73DA" w14:paraId="1BDC86A5"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E5034B" w14:textId="77777777" w:rsidR="00EE73DA" w:rsidRPr="00EE73DA" w:rsidRDefault="00EE73DA" w:rsidP="00EE73DA">
            <w:pPr>
              <w:spacing w:before="40" w:after="40"/>
              <w:rPr>
                <w:rFonts w:ascii="Arial Narrow" w:hAnsi="Arial Narrow" w:cstheme="minorHAnsi"/>
                <w:sz w:val="20"/>
                <w:szCs w:val="20"/>
              </w:rPr>
            </w:pPr>
            <w:r w:rsidRPr="00EE73DA">
              <w:rPr>
                <w:rFonts w:ascii="Arial Narrow" w:eastAsia="Calibri" w:hAnsi="Arial Narrow" w:cstheme="minorHAnsi"/>
                <w:color w:val="000000" w:themeColor="text1"/>
                <w:sz w:val="20"/>
                <w:szCs w:val="20"/>
              </w:rPr>
              <w:t>Net financial impact to MBS</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BC3534"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$20,852,520</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51E788"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$24,300,897</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2C0580"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$28,316,567</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DBE912"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$32,998,310</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895533"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$38,446,620</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962A2C"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$44,786,632</w:t>
            </w:r>
          </w:p>
        </w:tc>
      </w:tr>
      <w:tr w:rsidR="00EE73DA" w:rsidRPr="00EE73DA" w14:paraId="4B45B4F0"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626254E" w14:textId="43FC49A9" w:rsidR="00EE73DA" w:rsidRPr="00EE73DA" w:rsidRDefault="00EE73DA" w:rsidP="00EE73DA">
            <w:pPr>
              <w:spacing w:before="40" w:after="40"/>
              <w:rPr>
                <w:rFonts w:ascii="Arial Narrow" w:eastAsia="Calibri" w:hAnsi="Arial Narrow" w:cstheme="minorHAnsi"/>
                <w:sz w:val="20"/>
                <w:szCs w:val="20"/>
              </w:rPr>
            </w:pPr>
            <w:r w:rsidRPr="00EE73DA">
              <w:rPr>
                <w:rFonts w:ascii="Arial Narrow" w:eastAsia="Calibri" w:hAnsi="Arial Narrow" w:cstheme="minorHAnsi"/>
                <w:sz w:val="20"/>
                <w:szCs w:val="20"/>
              </w:rPr>
              <w:t>2) Cycles 4.17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07223FA"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$20,102,246</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5DAE8A4"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$23,426,879</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A1BA59B"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$27,298,235</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1AD16D4"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$31,811,654</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851B5F5"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$37,064,056</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1BE440F"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$43,176,087</w:t>
            </w:r>
          </w:p>
        </w:tc>
      </w:tr>
      <w:tr w:rsidR="00EE73DA" w:rsidRPr="00EE73DA" w14:paraId="7F37FD8E"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C3B2B96" w14:textId="7A09CEA9" w:rsidR="00EE73DA" w:rsidRPr="00EE73DA" w:rsidRDefault="009F71E3" w:rsidP="00EE73DA">
            <w:pPr>
              <w:spacing w:before="40" w:after="40"/>
              <w:rPr>
                <w:rFonts w:ascii="Arial Narrow" w:eastAsia="Calibri" w:hAnsi="Arial Narrow" w:cstheme="minorHAnsi"/>
                <w:sz w:val="20"/>
                <w:szCs w:val="20"/>
              </w:rPr>
            </w:pPr>
            <w:r>
              <w:rPr>
                <w:rFonts w:ascii="Arial Narrow" w:eastAsia="Calibri" w:hAnsi="Arial Narrow" w:cstheme="minorHAnsi"/>
                <w:sz w:val="20"/>
                <w:szCs w:val="20"/>
              </w:rPr>
              <w:t>2</w:t>
            </w:r>
            <w:r w:rsidR="00EE73DA" w:rsidRPr="00EE73DA">
              <w:rPr>
                <w:rFonts w:ascii="Arial Narrow" w:eastAsia="Calibri" w:hAnsi="Arial Narrow" w:cstheme="minorHAnsi"/>
                <w:sz w:val="20"/>
                <w:szCs w:val="20"/>
              </w:rPr>
              <w:t xml:space="preserve">) </w:t>
            </w:r>
            <w:r>
              <w:rPr>
                <w:rFonts w:ascii="Arial Narrow" w:eastAsia="Calibri" w:hAnsi="Arial Narrow" w:cstheme="minorHAnsi"/>
                <w:sz w:val="20"/>
                <w:szCs w:val="20"/>
              </w:rPr>
              <w:t>Cycle</w:t>
            </w:r>
            <w:r w:rsidR="007B3F48">
              <w:rPr>
                <w:rFonts w:ascii="Arial Narrow" w:eastAsia="Calibri" w:hAnsi="Arial Narrow" w:cstheme="minorHAnsi"/>
                <w:sz w:val="20"/>
                <w:szCs w:val="20"/>
              </w:rPr>
              <w:t>s</w:t>
            </w:r>
            <w:r>
              <w:rPr>
                <w:rFonts w:ascii="Arial Narrow" w:eastAsia="Calibri" w:hAnsi="Arial Narrow" w:cstheme="minorHAnsi"/>
                <w:sz w:val="20"/>
                <w:szCs w:val="20"/>
              </w:rPr>
              <w:t xml:space="preserve"> 4.17 + 3) </w:t>
            </w:r>
            <w:r w:rsidR="00EE73DA" w:rsidRPr="00EE73DA">
              <w:rPr>
                <w:rFonts w:ascii="Arial Narrow" w:eastAsia="Calibri" w:hAnsi="Arial Narrow" w:cstheme="minorHAnsi"/>
                <w:sz w:val="20"/>
                <w:szCs w:val="20"/>
              </w:rPr>
              <w:t>Split in cabazitaxel use change to 25%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503EF83"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$20,331,391</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3083C25"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$23,696,448</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DF8432F"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$27,614,419</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83669EC"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$32,181,119</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A8A425A"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$37,495,024</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5203257" w14:textId="77777777" w:rsidR="00EE73DA" w:rsidRPr="00EE73DA" w:rsidRDefault="00EE73DA" w:rsidP="00EE73DA">
            <w:pPr>
              <w:spacing w:before="40" w:after="40"/>
              <w:jc w:val="center"/>
              <w:rPr>
                <w:rFonts w:ascii="Arial Narrow" w:eastAsia="Calibri" w:hAnsi="Arial Narrow" w:cstheme="minorHAnsi"/>
                <w:sz w:val="20"/>
                <w:szCs w:val="20"/>
              </w:rPr>
            </w:pPr>
            <w:r w:rsidRPr="00EE73DA">
              <w:rPr>
                <w:rFonts w:ascii="Arial Narrow" w:eastAsia="Calibri" w:hAnsi="Arial Narrow" w:cstheme="minorHAnsi"/>
                <w:sz w:val="20"/>
                <w:szCs w:val="20"/>
              </w:rPr>
              <w:t>$43,678,403</w:t>
            </w:r>
          </w:p>
        </w:tc>
      </w:tr>
      <w:tr w:rsidR="00EE73DA" w:rsidRPr="00EE73DA" w14:paraId="013E283F"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73B81" w14:textId="77777777" w:rsidR="00EE73DA" w:rsidRPr="00EE73DA" w:rsidRDefault="00EE73DA" w:rsidP="00EE73DA">
            <w:pPr>
              <w:spacing w:before="40" w:after="40"/>
              <w:rPr>
                <w:rFonts w:ascii="Arial Narrow" w:hAnsi="Arial Narrow" w:cstheme="minorHAnsi"/>
                <w:sz w:val="20"/>
                <w:szCs w:val="20"/>
              </w:rPr>
            </w:pPr>
            <w:r w:rsidRPr="00EE73DA">
              <w:rPr>
                <w:rFonts w:ascii="Arial Narrow" w:eastAsia="Calibri" w:hAnsi="Arial Narrow" w:cstheme="minorHAnsi"/>
                <w:color w:val="000000" w:themeColor="text1"/>
                <w:sz w:val="20"/>
                <w:szCs w:val="20"/>
              </w:rPr>
              <w:t>Net financial impact to PBS/RPBS</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8294B7"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-$982,866</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8FE395"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-$1,125,084</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1AA054"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-$1,304,235</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8557C8"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-$1,517,363</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858660"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-$1,766,797</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80D37C"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-$2,057,595</w:t>
            </w:r>
          </w:p>
        </w:tc>
      </w:tr>
      <w:tr w:rsidR="007B3F48" w:rsidRPr="00EE73DA" w14:paraId="314D7BDC"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89AB774" w14:textId="22B70CD4" w:rsidR="007B3F48" w:rsidRPr="00EE73DA" w:rsidRDefault="007B3F48" w:rsidP="007B3F48">
            <w:pPr>
              <w:spacing w:before="40" w:after="40"/>
              <w:rPr>
                <w:rFonts w:ascii="Arial Narrow" w:eastAsia="Calibri" w:hAnsi="Arial Narrow" w:cstheme="minorHAnsi"/>
                <w:sz w:val="20"/>
                <w:szCs w:val="20"/>
              </w:rPr>
            </w:pPr>
            <w:r w:rsidRPr="00EE73DA">
              <w:rPr>
                <w:rFonts w:ascii="Arial Narrow" w:eastAsia="Calibri" w:hAnsi="Arial Narrow" w:cstheme="minorHAnsi"/>
                <w:sz w:val="20"/>
                <w:szCs w:val="20"/>
              </w:rPr>
              <w:t>1) Impact of reduction in cabazitaxel price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27CAA51" w14:textId="654A2D57"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-$898,793</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39ECE2D" w14:textId="69BA5DDC"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-$1,028,591</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E586BC9" w14:textId="2DAFB968"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-$1,192,243</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12BFD3F" w14:textId="4968A79E"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-$1,387,015</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F9F4436" w14:textId="4EF33443"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-$1,614,997</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C089BCB" w14:textId="6328BC57"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-$1,880,797</w:t>
            </w:r>
          </w:p>
        </w:tc>
      </w:tr>
      <w:tr w:rsidR="007B3F48" w:rsidRPr="00EE73DA" w14:paraId="39681026"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4957AD8" w14:textId="54FD82B7" w:rsidR="007B3F48" w:rsidRPr="00EE73DA" w:rsidRDefault="007B3F48" w:rsidP="007B3F48">
            <w:pPr>
              <w:spacing w:before="40" w:after="40"/>
              <w:rPr>
                <w:rFonts w:ascii="Arial Narrow" w:eastAsia="Calibri" w:hAnsi="Arial Narrow" w:cstheme="minorHAnsi"/>
                <w:sz w:val="20"/>
                <w:szCs w:val="20"/>
              </w:rPr>
            </w:pPr>
            <w:r w:rsidRPr="00EE73DA">
              <w:rPr>
                <w:rFonts w:ascii="Arial Narrow" w:eastAsia="Calibri" w:hAnsi="Arial Narrow" w:cstheme="minorHAnsi"/>
                <w:sz w:val="20"/>
                <w:szCs w:val="20"/>
              </w:rPr>
              <w:t xml:space="preserve">1) Impact of reduction in cabazitaxel price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3) Split in cabazitaxel use change to 25%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59674BA" w14:textId="2CCE32D1"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-$331,023</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808EF9E" w14:textId="7D805443"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-$363,172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9DD5789" w14:textId="3F2D9476"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-$413,188</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B742C7D" w14:textId="52A5521A"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-$477,335</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2DB8BDA" w14:textId="2B4B841E"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-$554,206</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B911F3B" w14:textId="0B18301E"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-$644,564</w:t>
            </w:r>
          </w:p>
        </w:tc>
      </w:tr>
      <w:tr w:rsidR="00EE73DA" w:rsidRPr="00EE73DA" w14:paraId="155B0A9A"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404311" w14:textId="77777777" w:rsidR="00EE73DA" w:rsidRPr="00EE73DA" w:rsidRDefault="00EE73DA" w:rsidP="00EE73DA">
            <w:pPr>
              <w:spacing w:before="40" w:after="40"/>
              <w:rPr>
                <w:rFonts w:ascii="Arial Narrow" w:hAnsi="Arial Narrow" w:cstheme="minorHAnsi"/>
                <w:sz w:val="20"/>
                <w:szCs w:val="20"/>
              </w:rPr>
            </w:pPr>
            <w:r w:rsidRPr="00EE73DA">
              <w:rPr>
                <w:rFonts w:ascii="Arial Narrow" w:eastAsia="Calibri" w:hAnsi="Arial Narrow" w:cstheme="minorHAnsi"/>
                <w:color w:val="000000" w:themeColor="text1"/>
                <w:sz w:val="20"/>
                <w:szCs w:val="20"/>
              </w:rPr>
              <w:t>Net financial impact (MBS+PBS/RPBS)</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59C509"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$19,869,654</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E8A64B"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$23,175,813</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402B51"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$27,012,333</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CA9260"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$31,480,947</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5E5674" w14:textId="77777777" w:rsidR="00EE73DA" w:rsidRPr="00EE73DA" w:rsidRDefault="00EE73DA" w:rsidP="00EE73DA">
            <w:pPr>
              <w:spacing w:before="40" w:after="40"/>
              <w:jc w:val="center"/>
              <w:rPr>
                <w:rFonts w:ascii="Arial Narrow" w:hAnsi="Arial Narrow" w:cstheme="minorHAnsi"/>
                <w:sz w:val="20"/>
                <w:szCs w:val="20"/>
              </w:rPr>
            </w:pPr>
            <w:r w:rsidRPr="00EE73DA">
              <w:rPr>
                <w:rFonts w:ascii="Arial Narrow" w:eastAsia="Calibri" w:hAnsi="Arial Narrow" w:cs="Calibri"/>
                <w:sz w:val="20"/>
                <w:szCs w:val="20"/>
              </w:rPr>
              <w:t>$36,679,823</w:t>
            </w:r>
          </w:p>
        </w:tc>
        <w:tc>
          <w:tcPr>
            <w:tcW w:w="1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2750FF" w14:textId="77777777" w:rsidR="00EE73DA" w:rsidRPr="00EE73DA" w:rsidRDefault="00EE73DA" w:rsidP="00EE73DA">
            <w:pPr>
              <w:spacing w:before="40" w:after="40"/>
              <w:jc w:val="center"/>
              <w:rPr>
                <w:rFonts w:ascii="Arial Narrow" w:eastAsiaTheme="minorEastAsia" w:hAnsi="Arial Narrow" w:cstheme="minorHAnsi"/>
                <w:b/>
                <w:bCs/>
                <w:sz w:val="20"/>
                <w:szCs w:val="20"/>
                <w:highlight w:val="yellow"/>
              </w:rPr>
            </w:pPr>
            <w:r w:rsidRPr="00EE73DA">
              <w:rPr>
                <w:rFonts w:ascii="Arial Narrow" w:eastAsia="Calibri" w:hAnsi="Arial Narrow" w:cs="Calibri"/>
                <w:sz w:val="20"/>
                <w:szCs w:val="20"/>
              </w:rPr>
              <w:t>$42,729,037</w:t>
            </w:r>
          </w:p>
        </w:tc>
      </w:tr>
      <w:tr w:rsidR="007B3F48" w:rsidRPr="00EE73DA" w14:paraId="3AEE656D"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6105697" w14:textId="42C42F73" w:rsidR="007B3F48" w:rsidRPr="00EE73DA" w:rsidRDefault="007B3F48" w:rsidP="007B3F48">
            <w:pPr>
              <w:spacing w:before="40" w:after="40"/>
              <w:rPr>
                <w:rFonts w:ascii="Arial Narrow" w:eastAsia="Calibri" w:hAnsi="Arial Narrow" w:cstheme="minorHAnsi"/>
                <w:sz w:val="20"/>
                <w:szCs w:val="20"/>
              </w:rPr>
            </w:pPr>
            <w:r w:rsidRPr="00EE73DA">
              <w:rPr>
                <w:rFonts w:ascii="Arial Narrow" w:eastAsia="Calibri" w:hAnsi="Arial Narrow" w:cstheme="minorHAnsi"/>
                <w:sz w:val="20"/>
                <w:szCs w:val="20"/>
              </w:rPr>
              <w:t>1) Net financial impact (reduction in cabazitaxel price)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BD6B2C7" w14:textId="39FAB1BC"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$19,953,727</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695408D" w14:textId="61815409"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$23,272,306</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6DA4D46" w14:textId="3981B5D6"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$27,124,324</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FD3270E" w14:textId="4029A10B"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$31,611,295</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28E3FDE" w14:textId="1813F5B8"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$36,831,623</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6350430" w14:textId="50C65BB3"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$42,905,835</w:t>
            </w:r>
          </w:p>
        </w:tc>
      </w:tr>
      <w:tr w:rsidR="007B3F48" w:rsidRPr="00EE73DA" w14:paraId="2017B321"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6B5E515" w14:textId="0F30B4AE" w:rsidR="007B3F48" w:rsidRPr="00EE73DA" w:rsidRDefault="007B3F48" w:rsidP="007B3F48">
            <w:pPr>
              <w:spacing w:before="40" w:after="40"/>
              <w:rPr>
                <w:rFonts w:ascii="Arial Narrow" w:eastAsia="Calibri" w:hAnsi="Arial Narrow" w:cstheme="minorHAnsi"/>
                <w:sz w:val="20"/>
                <w:szCs w:val="20"/>
              </w:rPr>
            </w:pPr>
            <w:r w:rsidRPr="00EE73DA">
              <w:rPr>
                <w:rFonts w:ascii="Arial Narrow" w:eastAsia="Calibri" w:hAnsi="Arial Narrow" w:cstheme="minorHAnsi"/>
                <w:sz w:val="20"/>
                <w:szCs w:val="20"/>
              </w:rPr>
              <w:t>1) Net financial impact (reduction in cabazitaxel price)</w:t>
            </w:r>
            <w:r>
              <w:rPr>
                <w:rFonts w:ascii="Arial Narrow" w:eastAsia="Calibri" w:hAnsi="Arial Narrow" w:cstheme="minorHAnsi"/>
                <w:sz w:val="20"/>
                <w:szCs w:val="20"/>
              </w:rPr>
              <w:t xml:space="preserve"> + </w:t>
            </w:r>
            <w:r w:rsidRPr="00EE73DA">
              <w:rPr>
                <w:rFonts w:ascii="Arial Narrow" w:eastAsia="Calibri" w:hAnsi="Arial Narrow" w:cstheme="minorHAnsi"/>
                <w:sz w:val="20"/>
                <w:szCs w:val="20"/>
              </w:rPr>
              <w:t>2) Cycles 4.17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B223257" w14:textId="64B8C348"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$19,203,452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9F21A09" w14:textId="1F289885"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$22,398,289</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7DD8A6E" w14:textId="736FE75A"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$26,105,992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914A2E3" w14:textId="270B5B03"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$30,424,639</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7B99AEE" w14:textId="79AF4A8B"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$35,449,059</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6798CB5" w14:textId="54CBA923"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$41,295,290</w:t>
            </w:r>
          </w:p>
        </w:tc>
      </w:tr>
      <w:tr w:rsidR="007B3F48" w:rsidRPr="00EE73DA" w14:paraId="1C2B6E05"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83FB561" w14:textId="4E2A8D2E" w:rsidR="007B3F48" w:rsidRPr="00EE73DA" w:rsidRDefault="007B3F48" w:rsidP="007B3F48">
            <w:pPr>
              <w:spacing w:before="40" w:after="40"/>
              <w:rPr>
                <w:rFonts w:ascii="Arial Narrow" w:eastAsia="Calibri" w:hAnsi="Arial Narrow" w:cstheme="minorHAnsi"/>
                <w:sz w:val="20"/>
                <w:szCs w:val="20"/>
              </w:rPr>
            </w:pPr>
            <w:r w:rsidRPr="00EE73DA">
              <w:rPr>
                <w:rFonts w:ascii="Arial Narrow" w:eastAsia="Calibri" w:hAnsi="Arial Narrow" w:cstheme="minorHAnsi"/>
                <w:sz w:val="20"/>
                <w:szCs w:val="20"/>
              </w:rPr>
              <w:t>1) Net financial impact (reduction in cabazitaxel price)</w:t>
            </w:r>
            <w:r>
              <w:rPr>
                <w:rFonts w:ascii="Arial Narrow" w:eastAsia="Calibri" w:hAnsi="Arial Narrow" w:cstheme="minorHAnsi"/>
                <w:sz w:val="20"/>
                <w:szCs w:val="20"/>
              </w:rPr>
              <w:t xml:space="preserve"> + </w:t>
            </w:r>
            <w:r w:rsidRPr="00EE73DA">
              <w:rPr>
                <w:rFonts w:ascii="Arial Narrow" w:eastAsia="Calibri" w:hAnsi="Arial Narrow" w:cstheme="minorHAnsi"/>
                <w:sz w:val="20"/>
                <w:szCs w:val="20"/>
              </w:rPr>
              <w:t xml:space="preserve">2) Cycles 4.17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3) Split changes to cabazitaxel use of 25% &amp; BSC 75% [Commentary]</w:t>
            </w:r>
            <w:r>
              <w:rPr>
                <w:rFonts w:ascii="Arial Narrow" w:eastAsia="Calibri" w:hAnsi="Arial Narrow" w:cstheme="minorHAnsi"/>
                <w:sz w:val="20"/>
                <w:szCs w:val="20"/>
              </w:rPr>
              <w:t xml:space="preserve"> </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F1E3383" w14:textId="24247A42"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$20,000,367</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4AB0A4C" w14:textId="267307F3"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$23,333,275</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0B6DA0E" w14:textId="2604C42E"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$27,201,231</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1D819C3" w14:textId="1FE6D674"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$31,703,784</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A611D0B" w14:textId="75BDED64"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$36,940,818</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AA3E240" w14:textId="1248F996" w:rsidR="007B3F48" w:rsidRPr="007B3F48" w:rsidRDefault="007B3F48" w:rsidP="007B3F48">
            <w:pPr>
              <w:spacing w:before="40" w:after="40"/>
              <w:jc w:val="center"/>
              <w:rPr>
                <w:rFonts w:ascii="Arial Narrow" w:eastAsia="Calibri" w:hAnsi="Arial Narrow" w:cstheme="minorHAnsi"/>
                <w:sz w:val="20"/>
                <w:szCs w:val="20"/>
              </w:rPr>
            </w:pPr>
            <w:r w:rsidRPr="00FB178D">
              <w:rPr>
                <w:rFonts w:ascii="Arial Narrow" w:hAnsi="Arial Narrow"/>
                <w:sz w:val="20"/>
                <w:szCs w:val="20"/>
              </w:rPr>
              <w:t>$43,033,839</w:t>
            </w:r>
          </w:p>
        </w:tc>
      </w:tr>
      <w:tr w:rsidR="00A62EDD" w:rsidRPr="00EE73DA" w14:paraId="19FB5C56"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9287535" w14:textId="54868B3C" w:rsidR="00A62EDD" w:rsidRPr="00EE73DA" w:rsidRDefault="00A62EDD" w:rsidP="00A62EDD">
            <w:pPr>
              <w:spacing w:before="40" w:after="40"/>
              <w:rPr>
                <w:rFonts w:ascii="Arial Narrow" w:eastAsia="Calibri" w:hAnsi="Arial Narrow" w:cstheme="minorHAnsi"/>
                <w:sz w:val="20"/>
                <w:szCs w:val="20"/>
              </w:rPr>
            </w:pPr>
            <w:r w:rsidRPr="00EE73DA">
              <w:rPr>
                <w:rFonts w:ascii="Arial Narrow" w:eastAsia="Calibri" w:hAnsi="Arial Narrow" w:cstheme="minorHAnsi"/>
                <w:sz w:val="20"/>
                <w:szCs w:val="20"/>
              </w:rPr>
              <w:t>1) Net financial impact (reduction in cabazitaxel price)</w:t>
            </w:r>
            <w:r>
              <w:rPr>
                <w:rFonts w:ascii="Arial Narrow" w:eastAsia="Calibri" w:hAnsi="Arial Narrow" w:cstheme="minorHAnsi"/>
                <w:sz w:val="20"/>
                <w:szCs w:val="20"/>
              </w:rPr>
              <w:t xml:space="preserve"> + </w:t>
            </w:r>
            <w:r w:rsidRPr="00EE73DA">
              <w:rPr>
                <w:rFonts w:ascii="Arial Narrow" w:eastAsia="Calibri" w:hAnsi="Arial Narrow" w:cstheme="minorHAnsi"/>
                <w:sz w:val="20"/>
                <w:szCs w:val="20"/>
              </w:rPr>
              <w:t xml:space="preserve">2) Cycles 4.17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 xml:space="preserve">3) Split changes to cabazitaxel use of 25% &amp; BSC 75% 4)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GPG</w:t>
            </w:r>
            <w:r>
              <w:rPr>
                <w:rFonts w:ascii="Arial Narrow" w:eastAsia="Calibri" w:hAnsi="Arial Narrow" w:cstheme="minorHAnsi"/>
                <w:sz w:val="20"/>
                <w:szCs w:val="20"/>
              </w:rPr>
              <w:t xml:space="preserve"> ($1,926.30+$7,901.30)</w:t>
            </w:r>
            <w:r w:rsidRPr="00EE73DA">
              <w:rPr>
                <w:rFonts w:ascii="Arial Narrow" w:eastAsia="Calibri" w:hAnsi="Arial Narrow" w:cstheme="minorHAnsi"/>
                <w:sz w:val="20"/>
                <w:szCs w:val="20"/>
              </w:rPr>
              <w:t xml:space="preserve">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0253F5B" w14:textId="149BA478" w:rsidR="00A62EDD" w:rsidRPr="00A62EDD" w:rsidRDefault="00A62EDD" w:rsidP="00A62EDD">
            <w:pPr>
              <w:spacing w:before="40" w:after="40"/>
              <w:jc w:val="center"/>
              <w:rPr>
                <w:rFonts w:ascii="Arial Narrow" w:eastAsia="Calibri" w:hAnsi="Arial Narrow" w:cstheme="minorHAnsi"/>
                <w:sz w:val="20"/>
                <w:szCs w:val="20"/>
              </w:rPr>
            </w:pPr>
            <w:r w:rsidRPr="00FB178D">
              <w:rPr>
                <w:rFonts w:ascii="Arial Narrow" w:hAnsi="Arial Narrow"/>
                <w:sz w:val="20"/>
                <w:szCs w:val="20"/>
              </w:rPr>
              <w:t>$23,245,372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FFC5C61" w14:textId="3201532E" w:rsidR="00A62EDD" w:rsidRPr="00A62EDD" w:rsidRDefault="00A62EDD" w:rsidP="00A62EDD">
            <w:pPr>
              <w:spacing w:before="40" w:after="40"/>
              <w:jc w:val="center"/>
              <w:rPr>
                <w:rFonts w:ascii="Arial Narrow" w:eastAsia="Calibri" w:hAnsi="Arial Narrow" w:cstheme="minorHAnsi"/>
                <w:sz w:val="20"/>
                <w:szCs w:val="20"/>
              </w:rPr>
            </w:pPr>
            <w:r w:rsidRPr="00FB178D">
              <w:rPr>
                <w:rFonts w:ascii="Arial Narrow" w:hAnsi="Arial Narrow"/>
                <w:sz w:val="20"/>
                <w:szCs w:val="20"/>
              </w:rPr>
              <w:t>$27,113,478</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F70B24E" w14:textId="77E0DF67" w:rsidR="00A62EDD" w:rsidRPr="00A62EDD" w:rsidRDefault="00A62EDD" w:rsidP="00A62EDD">
            <w:pPr>
              <w:spacing w:before="40" w:after="40"/>
              <w:jc w:val="center"/>
              <w:rPr>
                <w:rFonts w:ascii="Arial Narrow" w:eastAsia="Calibri" w:hAnsi="Arial Narrow" w:cstheme="minorHAnsi"/>
                <w:sz w:val="20"/>
                <w:szCs w:val="20"/>
              </w:rPr>
            </w:pPr>
            <w:r w:rsidRPr="00FB178D">
              <w:rPr>
                <w:rFonts w:ascii="Arial Narrow" w:hAnsi="Arial Narrow"/>
                <w:sz w:val="20"/>
                <w:szCs w:val="20"/>
              </w:rPr>
              <w:t>$31,605,608</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175359A" w14:textId="08E76E81" w:rsidR="00A62EDD" w:rsidRPr="00A62EDD" w:rsidRDefault="00A62EDD" w:rsidP="00A62EDD">
            <w:pPr>
              <w:spacing w:before="40" w:after="40"/>
              <w:jc w:val="center"/>
              <w:rPr>
                <w:rFonts w:ascii="Arial Narrow" w:eastAsia="Calibri" w:hAnsi="Arial Narrow" w:cstheme="minorHAnsi"/>
                <w:sz w:val="20"/>
                <w:szCs w:val="20"/>
              </w:rPr>
            </w:pPr>
            <w:r w:rsidRPr="00FB178D">
              <w:rPr>
                <w:rFonts w:ascii="Arial Narrow" w:hAnsi="Arial Narrow"/>
                <w:sz w:val="20"/>
                <w:szCs w:val="20"/>
              </w:rPr>
              <w:t>$36,836,177</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8961190" w14:textId="3186F68C" w:rsidR="00A62EDD" w:rsidRPr="00A62EDD" w:rsidRDefault="00A62EDD" w:rsidP="00A62EDD">
            <w:pPr>
              <w:spacing w:before="40" w:after="40"/>
              <w:jc w:val="center"/>
              <w:rPr>
                <w:rFonts w:ascii="Arial Narrow" w:eastAsia="Calibri" w:hAnsi="Arial Narrow" w:cstheme="minorHAnsi"/>
                <w:sz w:val="20"/>
                <w:szCs w:val="20"/>
              </w:rPr>
            </w:pPr>
            <w:r w:rsidRPr="00FB178D">
              <w:rPr>
                <w:rFonts w:ascii="Arial Narrow" w:hAnsi="Arial Narrow"/>
                <w:sz w:val="20"/>
                <w:szCs w:val="20"/>
              </w:rPr>
              <w:t>$42,920,532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02C9922" w14:textId="21AD2EBB" w:rsidR="00A62EDD" w:rsidRPr="00A62EDD" w:rsidRDefault="00A62EDD" w:rsidP="00A62EDD">
            <w:pPr>
              <w:spacing w:before="40" w:after="40"/>
              <w:jc w:val="center"/>
              <w:rPr>
                <w:rFonts w:ascii="Arial Narrow" w:eastAsia="Calibri" w:hAnsi="Arial Narrow" w:cstheme="minorHAnsi"/>
                <w:sz w:val="20"/>
                <w:szCs w:val="20"/>
              </w:rPr>
            </w:pPr>
            <w:r w:rsidRPr="00FB178D">
              <w:rPr>
                <w:rFonts w:ascii="Arial Narrow" w:hAnsi="Arial Narrow"/>
                <w:sz w:val="20"/>
                <w:szCs w:val="20"/>
              </w:rPr>
              <w:t>$49,999,592</w:t>
            </w:r>
          </w:p>
        </w:tc>
      </w:tr>
      <w:tr w:rsidR="00A62EDD" w:rsidRPr="00EE73DA" w14:paraId="31F2539A"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27130C4" w14:textId="6201F7F5" w:rsidR="00A62EDD" w:rsidRPr="00EE73DA" w:rsidRDefault="00A62EDD" w:rsidP="00A62EDD">
            <w:pPr>
              <w:spacing w:before="40" w:after="40"/>
              <w:rPr>
                <w:rFonts w:ascii="Arial Narrow" w:eastAsia="Calibri" w:hAnsi="Arial Narrow" w:cstheme="minorHAnsi"/>
                <w:sz w:val="20"/>
                <w:szCs w:val="20"/>
              </w:rPr>
            </w:pPr>
            <w:r w:rsidRPr="00EE73DA">
              <w:rPr>
                <w:rFonts w:ascii="Arial Narrow" w:eastAsia="Calibri" w:hAnsi="Arial Narrow" w:cstheme="minorHAnsi"/>
                <w:sz w:val="20"/>
                <w:szCs w:val="20"/>
              </w:rPr>
              <w:t>1) Net financial impact (reduction in cabazitaxel price)</w:t>
            </w:r>
            <w:r>
              <w:rPr>
                <w:rFonts w:ascii="Arial Narrow" w:eastAsia="Calibri" w:hAnsi="Arial Narrow" w:cstheme="minorHAnsi"/>
                <w:sz w:val="20"/>
                <w:szCs w:val="20"/>
              </w:rPr>
              <w:t xml:space="preserve"> + </w:t>
            </w:r>
            <w:r w:rsidRPr="00EE73DA">
              <w:rPr>
                <w:rFonts w:ascii="Arial Narrow" w:eastAsia="Calibri" w:hAnsi="Arial Narrow" w:cstheme="minorHAnsi"/>
                <w:sz w:val="20"/>
                <w:szCs w:val="20"/>
              </w:rPr>
              <w:t xml:space="preserve">2) Cycles 4.17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 xml:space="preserve">3) Split changes to cabazitaxel use of 25% &amp; BSC 75% 4)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GPG</w:t>
            </w:r>
            <w:r>
              <w:rPr>
                <w:rFonts w:ascii="Arial Narrow" w:eastAsia="Calibri" w:hAnsi="Arial Narrow" w:cstheme="minorHAnsi"/>
                <w:sz w:val="20"/>
                <w:szCs w:val="20"/>
              </w:rPr>
              <w:t xml:space="preserve"> ($1,826.30+$7,901.30)</w:t>
            </w:r>
            <w:r w:rsidRPr="00EE73DA">
              <w:rPr>
                <w:rFonts w:ascii="Arial Narrow" w:eastAsia="Calibri" w:hAnsi="Arial Narrow" w:cstheme="minorHAnsi"/>
                <w:sz w:val="20"/>
                <w:szCs w:val="20"/>
              </w:rPr>
              <w:t xml:space="preserve">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B689663" w14:textId="1A27C70C" w:rsidR="00A62EDD" w:rsidRPr="00A62EDD" w:rsidRDefault="00A62EDD" w:rsidP="00A62EDD">
            <w:pPr>
              <w:spacing w:before="40" w:after="40"/>
              <w:jc w:val="center"/>
              <w:rPr>
                <w:rFonts w:ascii="Arial Narrow" w:hAnsi="Arial Narrow"/>
                <w:sz w:val="20"/>
                <w:szCs w:val="20"/>
              </w:rPr>
            </w:pPr>
            <w:r w:rsidRPr="00FB178D">
              <w:rPr>
                <w:rFonts w:ascii="Arial Narrow" w:hAnsi="Arial Narrow"/>
                <w:sz w:val="20"/>
                <w:szCs w:val="20"/>
              </w:rPr>
              <w:t>$23,170,272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65E1CDF" w14:textId="030BDD0C" w:rsidR="00A62EDD" w:rsidRPr="00A62EDD" w:rsidRDefault="00A62EDD" w:rsidP="00A62EDD">
            <w:pPr>
              <w:spacing w:before="40" w:after="40"/>
              <w:jc w:val="center"/>
              <w:rPr>
                <w:rFonts w:ascii="Arial Narrow" w:hAnsi="Arial Narrow"/>
                <w:sz w:val="20"/>
                <w:szCs w:val="20"/>
              </w:rPr>
            </w:pPr>
            <w:r w:rsidRPr="00FB178D">
              <w:rPr>
                <w:rFonts w:ascii="Arial Narrow" w:hAnsi="Arial Narrow"/>
                <w:sz w:val="20"/>
                <w:szCs w:val="20"/>
              </w:rPr>
              <w:t>$27,025,992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38666BD" w14:textId="792BC5FC" w:rsidR="00A62EDD" w:rsidRPr="00A62EDD" w:rsidRDefault="00A62EDD" w:rsidP="00A62EDD">
            <w:pPr>
              <w:spacing w:before="40" w:after="40"/>
              <w:jc w:val="center"/>
              <w:rPr>
                <w:rFonts w:ascii="Arial Narrow" w:hAnsi="Arial Narrow"/>
                <w:sz w:val="20"/>
                <w:szCs w:val="20"/>
              </w:rPr>
            </w:pPr>
            <w:r w:rsidRPr="00FB178D">
              <w:rPr>
                <w:rFonts w:ascii="Arial Narrow" w:hAnsi="Arial Narrow"/>
                <w:sz w:val="20"/>
                <w:szCs w:val="20"/>
              </w:rPr>
              <w:t>$31,503,677</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6201E53" w14:textId="1F575055" w:rsidR="00A62EDD" w:rsidRPr="00A62EDD" w:rsidRDefault="00A62EDD" w:rsidP="00A62EDD">
            <w:pPr>
              <w:spacing w:before="40" w:after="40"/>
              <w:jc w:val="center"/>
              <w:rPr>
                <w:rFonts w:ascii="Arial Narrow" w:hAnsi="Arial Narrow"/>
                <w:sz w:val="20"/>
                <w:szCs w:val="20"/>
              </w:rPr>
            </w:pPr>
            <w:r w:rsidRPr="00FB178D">
              <w:rPr>
                <w:rFonts w:ascii="Arial Narrow" w:hAnsi="Arial Narrow"/>
                <w:sz w:val="20"/>
                <w:szCs w:val="20"/>
              </w:rPr>
              <w:t>$36,717,397</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93842CC" w14:textId="73B19A21" w:rsidR="00A62EDD" w:rsidRPr="00A62EDD" w:rsidRDefault="00A62EDD" w:rsidP="00A62EDD">
            <w:pPr>
              <w:spacing w:before="40" w:after="40"/>
              <w:jc w:val="center"/>
              <w:rPr>
                <w:rFonts w:ascii="Arial Narrow" w:hAnsi="Arial Narrow"/>
                <w:sz w:val="20"/>
                <w:szCs w:val="20"/>
              </w:rPr>
            </w:pPr>
            <w:r w:rsidRPr="00FB178D">
              <w:rPr>
                <w:rFonts w:ascii="Arial Narrow" w:hAnsi="Arial Narrow"/>
                <w:sz w:val="20"/>
                <w:szCs w:val="20"/>
              </w:rPr>
              <w:t>$42,782,142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E6774A3" w14:textId="7F72C83D" w:rsidR="00A62EDD" w:rsidRPr="00A62EDD" w:rsidRDefault="00A62EDD" w:rsidP="00A62EDD">
            <w:pPr>
              <w:spacing w:before="40" w:after="40"/>
              <w:jc w:val="center"/>
              <w:rPr>
                <w:rFonts w:ascii="Arial Narrow" w:hAnsi="Arial Narrow"/>
                <w:sz w:val="20"/>
                <w:szCs w:val="20"/>
              </w:rPr>
            </w:pPr>
            <w:r w:rsidRPr="00FB178D">
              <w:rPr>
                <w:rFonts w:ascii="Arial Narrow" w:hAnsi="Arial Narrow"/>
                <w:sz w:val="20"/>
                <w:szCs w:val="20"/>
              </w:rPr>
              <w:t>$49,838,382</w:t>
            </w:r>
          </w:p>
        </w:tc>
      </w:tr>
      <w:tr w:rsidR="00BF6B6A" w:rsidRPr="00EE73DA" w14:paraId="297EDE0E"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BC1D6A5" w14:textId="1399E67A" w:rsidR="00BF6B6A" w:rsidRPr="00EE73DA" w:rsidRDefault="00BF6B6A" w:rsidP="00BF6B6A">
            <w:pPr>
              <w:spacing w:before="40" w:after="40"/>
              <w:rPr>
                <w:rFonts w:ascii="Arial Narrow" w:eastAsia="Calibri" w:hAnsi="Arial Narrow" w:cstheme="minorHAnsi"/>
                <w:sz w:val="20"/>
                <w:szCs w:val="20"/>
              </w:rPr>
            </w:pPr>
            <w:r w:rsidRPr="00EE73DA">
              <w:rPr>
                <w:rFonts w:ascii="Arial Narrow" w:eastAsia="Calibri" w:hAnsi="Arial Narrow" w:cstheme="minorHAnsi"/>
                <w:sz w:val="20"/>
                <w:szCs w:val="20"/>
              </w:rPr>
              <w:lastRenderedPageBreak/>
              <w:t>1) Net financial impact (reduction in cabazitaxel price)</w:t>
            </w:r>
            <w:r>
              <w:rPr>
                <w:rFonts w:ascii="Arial Narrow" w:eastAsia="Calibri" w:hAnsi="Arial Narrow" w:cstheme="minorHAnsi"/>
                <w:sz w:val="20"/>
                <w:szCs w:val="20"/>
              </w:rPr>
              <w:t xml:space="preserve"> + </w:t>
            </w:r>
            <w:r w:rsidRPr="00EE73DA">
              <w:rPr>
                <w:rFonts w:ascii="Arial Narrow" w:eastAsia="Calibri" w:hAnsi="Arial Narrow" w:cstheme="minorHAnsi"/>
                <w:sz w:val="20"/>
                <w:szCs w:val="20"/>
              </w:rPr>
              <w:t xml:space="preserve">2) Cycles 4.17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 xml:space="preserve">3) Split changes to cabazitaxel use of 25% &amp; BSC 75% 4)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GPG</w:t>
            </w:r>
            <w:r>
              <w:rPr>
                <w:rFonts w:ascii="Arial Narrow" w:eastAsia="Calibri" w:hAnsi="Arial Narrow" w:cstheme="minorHAnsi"/>
                <w:sz w:val="20"/>
                <w:szCs w:val="20"/>
              </w:rPr>
              <w:t xml:space="preserve"> ($1,826.30+$6,410.30)</w:t>
            </w:r>
            <w:r w:rsidRPr="00EE73DA">
              <w:rPr>
                <w:rFonts w:ascii="Arial Narrow" w:eastAsia="Calibri" w:hAnsi="Arial Narrow" w:cstheme="minorHAnsi"/>
                <w:sz w:val="20"/>
                <w:szCs w:val="20"/>
              </w:rPr>
              <w:t xml:space="preserve">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6543DB2" w14:textId="07346E43"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$18,968,207</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8CFD9FD" w14:textId="0176C74D"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$22,130,880</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8EA905B" w14:textId="44C888F9"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$25,800,300</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9B0DDE8" w14:textId="5C3B948B"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$30,071,289</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13DE804" w14:textId="74BE86DD"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$35,038,810</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EFAE061" w14:textId="4C48BB7A"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$40,818,195</w:t>
            </w:r>
          </w:p>
        </w:tc>
      </w:tr>
      <w:tr w:rsidR="00BF6B6A" w:rsidRPr="00EE73DA" w14:paraId="20580591"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004A783" w14:textId="2BF781A2" w:rsidR="00BF6B6A" w:rsidRPr="00EE73DA" w:rsidRDefault="00BF6B6A" w:rsidP="00BF6B6A">
            <w:pPr>
              <w:spacing w:before="40" w:after="40"/>
              <w:rPr>
                <w:rFonts w:ascii="Arial Narrow" w:eastAsia="Calibri" w:hAnsi="Arial Narrow" w:cstheme="minorHAnsi"/>
                <w:sz w:val="20"/>
                <w:szCs w:val="20"/>
              </w:rPr>
            </w:pPr>
            <w:r w:rsidRPr="00EE73DA">
              <w:rPr>
                <w:rFonts w:ascii="Arial Narrow" w:eastAsia="Calibri" w:hAnsi="Arial Narrow" w:cstheme="minorHAnsi"/>
                <w:sz w:val="20"/>
                <w:szCs w:val="20"/>
              </w:rPr>
              <w:t>1) Net financial impact (reduction in cabazitaxel price)</w:t>
            </w:r>
            <w:r>
              <w:rPr>
                <w:rFonts w:ascii="Arial Narrow" w:eastAsia="Calibri" w:hAnsi="Arial Narrow" w:cstheme="minorHAnsi"/>
                <w:sz w:val="20"/>
                <w:szCs w:val="20"/>
              </w:rPr>
              <w:t xml:space="preserve"> + </w:t>
            </w:r>
            <w:r w:rsidRPr="00EE73DA">
              <w:rPr>
                <w:rFonts w:ascii="Arial Narrow" w:eastAsia="Calibri" w:hAnsi="Arial Narrow" w:cstheme="minorHAnsi"/>
                <w:sz w:val="20"/>
                <w:szCs w:val="20"/>
              </w:rPr>
              <w:t xml:space="preserve">2) Cycles 4.17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 xml:space="preserve">3) Split changes to cabazitaxel use of 25% &amp; BSC 75% 4)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GPG</w:t>
            </w:r>
            <w:r>
              <w:rPr>
                <w:rFonts w:ascii="Arial Narrow" w:eastAsia="Calibri" w:hAnsi="Arial Narrow" w:cstheme="minorHAnsi"/>
                <w:sz w:val="20"/>
                <w:szCs w:val="20"/>
              </w:rPr>
              <w:t xml:space="preserve"> ($1,926.30+$6,410.30)</w:t>
            </w:r>
            <w:r w:rsidRPr="00EE73DA">
              <w:rPr>
                <w:rFonts w:ascii="Arial Narrow" w:eastAsia="Calibri" w:hAnsi="Arial Narrow" w:cstheme="minorHAnsi"/>
                <w:sz w:val="20"/>
                <w:szCs w:val="20"/>
              </w:rPr>
              <w:t xml:space="preserve">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D9B344B" w14:textId="79155E31"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$19,043,307</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631E3B6" w14:textId="43CB6FD7"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$22,218,367</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2F97504" w14:textId="6E8E76A0"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$25,902,232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70AE144" w14:textId="6A69CB10"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$30,190,070</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77093C4" w14:textId="77A0173A"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$35,177,200</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4E1AA88" w14:textId="53A7F3EC"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$40,979,405</w:t>
            </w:r>
          </w:p>
        </w:tc>
      </w:tr>
      <w:tr w:rsidR="00BF6B6A" w:rsidRPr="00EE73DA" w14:paraId="2267E0A4"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AC2FA56" w14:textId="11C51EDE" w:rsidR="00BF6B6A" w:rsidRPr="00EE73DA" w:rsidRDefault="00BF6B6A" w:rsidP="00BF6B6A">
            <w:pPr>
              <w:spacing w:before="40" w:after="40"/>
              <w:rPr>
                <w:rFonts w:ascii="Arial Narrow" w:eastAsia="Calibri" w:hAnsi="Arial Narrow" w:cstheme="minorHAnsi"/>
                <w:sz w:val="20"/>
                <w:szCs w:val="20"/>
              </w:rPr>
            </w:pPr>
            <w:r w:rsidRPr="00EE73DA">
              <w:rPr>
                <w:rFonts w:ascii="Arial Narrow" w:eastAsia="Calibri" w:hAnsi="Arial Narrow" w:cstheme="minorHAnsi"/>
                <w:sz w:val="20"/>
                <w:szCs w:val="20"/>
              </w:rPr>
              <w:t>1) Net financial impact (reduction in cabazitaxel price)</w:t>
            </w:r>
            <w:r>
              <w:rPr>
                <w:rFonts w:ascii="Arial Narrow" w:eastAsia="Calibri" w:hAnsi="Arial Narrow" w:cstheme="minorHAnsi"/>
                <w:sz w:val="20"/>
                <w:szCs w:val="20"/>
              </w:rPr>
              <w:t xml:space="preserve"> + </w:t>
            </w:r>
            <w:r w:rsidRPr="00EE73DA">
              <w:rPr>
                <w:rFonts w:ascii="Arial Narrow" w:eastAsia="Calibri" w:hAnsi="Arial Narrow" w:cstheme="minorHAnsi"/>
                <w:sz w:val="20"/>
                <w:szCs w:val="20"/>
              </w:rPr>
              <w:t xml:space="preserve">2) Cycles 4.17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 xml:space="preserve">3) Split changes to cabazitaxel use of 25% &amp; BSC 75% 4)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GPG</w:t>
            </w:r>
            <w:r>
              <w:rPr>
                <w:rFonts w:ascii="Arial Narrow" w:eastAsia="Calibri" w:hAnsi="Arial Narrow" w:cstheme="minorHAnsi"/>
                <w:sz w:val="20"/>
                <w:szCs w:val="20"/>
              </w:rPr>
              <w:t xml:space="preserve"> ($1,826.30+$9,544.30)</w:t>
            </w:r>
            <w:r w:rsidRPr="00EE73DA">
              <w:rPr>
                <w:rFonts w:ascii="Arial Narrow" w:eastAsia="Calibri" w:hAnsi="Arial Narrow" w:cstheme="minorHAnsi"/>
                <w:sz w:val="20"/>
                <w:szCs w:val="20"/>
              </w:rPr>
              <w:t xml:space="preserve">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50A7767" w14:textId="6551B51A"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$27,800,716</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D93932B" w14:textId="0A9D8DA0"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$32,420,136</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181AFE9" w14:textId="594EEB2C"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$37,788,484</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7466EF0" w14:textId="43A0CBBA"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$44,041,042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41AB93D" w14:textId="0AB4891F"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$51,314,868</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0414103" w14:textId="4AFD28FA"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$59,778,131</w:t>
            </w:r>
          </w:p>
        </w:tc>
      </w:tr>
      <w:tr w:rsidR="00BF6B6A" w:rsidRPr="00EE73DA" w14:paraId="50F7CC46" w14:textId="77777777" w:rsidTr="00FB178D">
        <w:trPr>
          <w:trHeight w:val="315"/>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D09FD7B" w14:textId="3281CB31" w:rsidR="00BF6B6A" w:rsidRPr="00EE73DA" w:rsidRDefault="00BF6B6A" w:rsidP="00BF6B6A">
            <w:pPr>
              <w:spacing w:before="40" w:after="40"/>
              <w:rPr>
                <w:rFonts w:ascii="Arial Narrow" w:eastAsia="Calibri" w:hAnsi="Arial Narrow" w:cstheme="minorHAnsi"/>
                <w:sz w:val="20"/>
                <w:szCs w:val="20"/>
              </w:rPr>
            </w:pPr>
            <w:r w:rsidRPr="00EE73DA">
              <w:rPr>
                <w:rFonts w:ascii="Arial Narrow" w:eastAsia="Calibri" w:hAnsi="Arial Narrow" w:cstheme="minorHAnsi"/>
                <w:sz w:val="20"/>
                <w:szCs w:val="20"/>
              </w:rPr>
              <w:t>1) Net financial impact (reduction in cabazitaxel price)</w:t>
            </w:r>
            <w:r>
              <w:rPr>
                <w:rFonts w:ascii="Arial Narrow" w:eastAsia="Calibri" w:hAnsi="Arial Narrow" w:cstheme="minorHAnsi"/>
                <w:sz w:val="20"/>
                <w:szCs w:val="20"/>
              </w:rPr>
              <w:t xml:space="preserve"> + </w:t>
            </w:r>
            <w:r w:rsidRPr="00EE73DA">
              <w:rPr>
                <w:rFonts w:ascii="Arial Narrow" w:eastAsia="Calibri" w:hAnsi="Arial Narrow" w:cstheme="minorHAnsi"/>
                <w:sz w:val="20"/>
                <w:szCs w:val="20"/>
              </w:rPr>
              <w:t xml:space="preserve">2) Cycles 4.17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 xml:space="preserve">3) Split changes to cabazitaxel use of 25% &amp; BSC 75% 4) </w:t>
            </w:r>
            <w:r>
              <w:rPr>
                <w:rFonts w:ascii="Arial Narrow" w:eastAsia="Calibri" w:hAnsi="Arial Narrow" w:cstheme="minorHAnsi"/>
                <w:sz w:val="20"/>
                <w:szCs w:val="20"/>
              </w:rPr>
              <w:t xml:space="preserve">+ </w:t>
            </w:r>
            <w:r w:rsidRPr="00EE73DA">
              <w:rPr>
                <w:rFonts w:ascii="Arial Narrow" w:eastAsia="Calibri" w:hAnsi="Arial Narrow" w:cstheme="minorHAnsi"/>
                <w:sz w:val="20"/>
                <w:szCs w:val="20"/>
              </w:rPr>
              <w:t>GPG</w:t>
            </w:r>
            <w:r>
              <w:rPr>
                <w:rFonts w:ascii="Arial Narrow" w:eastAsia="Calibri" w:hAnsi="Arial Narrow" w:cstheme="minorHAnsi"/>
                <w:sz w:val="20"/>
                <w:szCs w:val="20"/>
              </w:rPr>
              <w:t xml:space="preserve"> ($1,926.30+$9,544.30)</w:t>
            </w:r>
            <w:r w:rsidRPr="00EE73DA">
              <w:rPr>
                <w:rFonts w:ascii="Arial Narrow" w:eastAsia="Calibri" w:hAnsi="Arial Narrow" w:cstheme="minorHAnsi"/>
                <w:sz w:val="20"/>
                <w:szCs w:val="20"/>
              </w:rPr>
              <w:t xml:space="preserve"> [Commentary]</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34E5484" w14:textId="5C53F99E"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$27,875,816</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F0D171B" w14:textId="1C9C02C2"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$32,507,622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43C47C5" w14:textId="28229695"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$37,890,415</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79A05B0" w14:textId="51F79E41"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$44,159,822</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AD928D3" w14:textId="237F126F"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$51,453,259</w:t>
            </w:r>
          </w:p>
        </w:tc>
        <w:tc>
          <w:tcPr>
            <w:tcW w:w="13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7FFF21C" w14:textId="5CF2F89A" w:rsidR="00BF6B6A" w:rsidRPr="00BF6B6A" w:rsidRDefault="00BF6B6A" w:rsidP="00BF6B6A">
            <w:pPr>
              <w:spacing w:before="40" w:after="40"/>
              <w:jc w:val="center"/>
              <w:rPr>
                <w:rFonts w:ascii="Arial Narrow" w:hAnsi="Arial Narrow"/>
                <w:sz w:val="20"/>
                <w:szCs w:val="20"/>
              </w:rPr>
            </w:pPr>
            <w:r w:rsidRPr="00FB178D">
              <w:rPr>
                <w:rFonts w:ascii="Arial Narrow" w:hAnsi="Arial Narrow" w:cs="Calibri"/>
                <w:color w:val="000000"/>
                <w:sz w:val="20"/>
                <w:szCs w:val="20"/>
              </w:rPr>
              <w:t>$59,939,342</w:t>
            </w:r>
          </w:p>
        </w:tc>
      </w:tr>
    </w:tbl>
    <w:p w14:paraId="7D2F474A" w14:textId="77777777" w:rsidR="00AE7DDB" w:rsidRDefault="00AE7DDB" w:rsidP="002A18BE">
      <w:pPr>
        <w:pStyle w:val="Heading2"/>
        <w:numPr>
          <w:ilvl w:val="0"/>
          <w:numId w:val="0"/>
        </w:numPr>
        <w:sectPr w:rsidR="00AE7DDB" w:rsidSect="00CB5079">
          <w:pgSz w:w="16838" w:h="11906" w:orient="landscape"/>
          <w:pgMar w:top="1440" w:right="1440" w:bottom="1440" w:left="1440" w:header="708" w:footer="708" w:gutter="0"/>
          <w:cols w:space="708"/>
          <w:docGrid w:linePitch="360"/>
        </w:sectPr>
      </w:pPr>
      <w:bookmarkStart w:id="48" w:name="_Toc69491427"/>
    </w:p>
    <w:p w14:paraId="7838A9FF" w14:textId="40D65816" w:rsidR="00772829" w:rsidRDefault="00C36633" w:rsidP="002A18BE">
      <w:pPr>
        <w:pStyle w:val="Heading2"/>
        <w:numPr>
          <w:ilvl w:val="0"/>
          <w:numId w:val="0"/>
        </w:numPr>
      </w:pPr>
      <w:r>
        <w:lastRenderedPageBreak/>
        <w:t>1</w:t>
      </w:r>
      <w:r w:rsidR="00AE7DDB">
        <w:t>5</w:t>
      </w:r>
      <w:r>
        <w:t>.</w:t>
      </w:r>
      <w:r>
        <w:tab/>
      </w:r>
      <w:r w:rsidR="00772829" w:rsidRPr="00CE28E3">
        <w:t xml:space="preserve">Other relevant </w:t>
      </w:r>
      <w:bookmarkEnd w:id="48"/>
      <w:r w:rsidR="00FA5766">
        <w:t>information</w:t>
      </w:r>
    </w:p>
    <w:p w14:paraId="3582F284" w14:textId="7F0BAA07" w:rsidR="00155CBC" w:rsidRPr="00155CBC" w:rsidRDefault="00155CBC" w:rsidP="00155CBC">
      <w:r>
        <w:t>Nil.</w:t>
      </w:r>
    </w:p>
    <w:p w14:paraId="21C0491A" w14:textId="77777777" w:rsidR="00AE7DDB" w:rsidRDefault="00AE7DDB" w:rsidP="00AE7DDB">
      <w:pPr>
        <w:pStyle w:val="Heading2"/>
        <w:numPr>
          <w:ilvl w:val="0"/>
          <w:numId w:val="0"/>
        </w:numPr>
      </w:pPr>
      <w:r>
        <w:t>16.</w:t>
      </w:r>
      <w:r>
        <w:tab/>
        <w:t>Key issues from ESC to MSAC</w:t>
      </w:r>
    </w:p>
    <w:p w14:paraId="4C73B30F" w14:textId="77777777" w:rsidR="00AE7DDB" w:rsidRDefault="00AE7DDB" w:rsidP="00AE7DDB">
      <w:pPr>
        <w:pStyle w:val="BoxName0"/>
      </w:pPr>
      <w:r w:rsidRPr="00C749CB">
        <w:t>Main issues for MSAC consideration</w:t>
      </w:r>
    </w:p>
    <w:p w14:paraId="0DA9368C" w14:textId="77777777" w:rsidR="00AE7DDB" w:rsidRDefault="00AE7DDB" w:rsidP="00AE7DDB">
      <w:pPr>
        <w:pStyle w:val="BoxName0"/>
      </w:pPr>
      <w:r>
        <w:t>Clinical issues:</w:t>
      </w:r>
    </w:p>
    <w:p w14:paraId="2F9E4225" w14:textId="77777777" w:rsidR="00AE7DDB" w:rsidRDefault="00AE7DDB" w:rsidP="00AE7DDB">
      <w:pPr>
        <w:pStyle w:val="BoxBullet"/>
      </w:pPr>
      <w:r>
        <w:t>A</w:t>
      </w:r>
      <w:r w:rsidRPr="00563EB4">
        <w:t xml:space="preserve">s the </w:t>
      </w:r>
      <w:r>
        <w:t>proposal to create a new</w:t>
      </w:r>
      <w:r w:rsidRPr="0050657F">
        <w:t xml:space="preserve"> MBS item for </w:t>
      </w:r>
      <w:r w:rsidRPr="004F33CF">
        <w:t xml:space="preserve">a radioisotope </w:t>
      </w:r>
      <w:r w:rsidRPr="00FB178D">
        <w:rPr>
          <w:iCs/>
        </w:rPr>
        <w:t>specific</w:t>
      </w:r>
      <w:r w:rsidRPr="009D5086">
        <w:rPr>
          <w:iCs/>
        </w:rPr>
        <w:t xml:space="preserve"> </w:t>
      </w:r>
      <w:r w:rsidRPr="004F33CF">
        <w:t>(</w:t>
      </w:r>
      <w:r w:rsidRPr="004F33CF">
        <w:rPr>
          <w:vertAlign w:val="superscript"/>
        </w:rPr>
        <w:t>68</w:t>
      </w:r>
      <w:r w:rsidRPr="004F33CF">
        <w:t>Ga)</w:t>
      </w:r>
      <w:r>
        <w:t>-</w:t>
      </w:r>
      <w:r w:rsidRPr="004F33CF">
        <w:t>PSMA PET/CT</w:t>
      </w:r>
      <w:r w:rsidRPr="00563EB4">
        <w:t xml:space="preserve"> is aimed at assessing eligibility for PSMA targeted therapies, of which none are currently funded on the MBS (or PBS), there is no </w:t>
      </w:r>
      <w:r>
        <w:t xml:space="preserve">current </w:t>
      </w:r>
      <w:r w:rsidRPr="00563EB4">
        <w:t xml:space="preserve">clinical need for this test, </w:t>
      </w:r>
      <w:proofErr w:type="gramStart"/>
      <w:r w:rsidRPr="00563EB4">
        <w:t>at this time</w:t>
      </w:r>
      <w:proofErr w:type="gramEnd"/>
      <w:r>
        <w:t xml:space="preserve">. </w:t>
      </w:r>
    </w:p>
    <w:p w14:paraId="655C6280" w14:textId="77777777" w:rsidR="00AE7DDB" w:rsidRPr="00A41D58" w:rsidRDefault="00AE7DDB" w:rsidP="00AE7DDB">
      <w:pPr>
        <w:pStyle w:val="BoxBullet"/>
      </w:pPr>
      <w:r>
        <w:t xml:space="preserve">The proposed fee of $1,945 is much higher than that of other current PSMA PET MBS items and the proposed fee in codependent MSAC applications 1686/1686.1 previously considered by MSAC in July 2022 and July 2023, respectively. A fee of $1,300 ($1,400 if claimed with the CT attenuation item) may be more appropriate and aligns with the current MBS items. The higher fee would require evidence demonstrating improved health outcomes in those identified and treated with PSMA-targeted radioligand therapy (i.e. </w:t>
      </w:r>
      <w:r w:rsidRPr="00F25C0E">
        <w:rPr>
          <w:rStyle w:val="Strong"/>
          <w:b w:val="0"/>
          <w:bCs w:val="0"/>
          <w:vertAlign w:val="superscript"/>
        </w:rPr>
        <w:t>177</w:t>
      </w:r>
      <w:r w:rsidRPr="00644701">
        <w:rPr>
          <w:rStyle w:val="Strong"/>
          <w:b w:val="0"/>
          <w:bCs w:val="0"/>
        </w:rPr>
        <w:t>Lu PSMA</w:t>
      </w:r>
      <w:r>
        <w:rPr>
          <w:rStyle w:val="Strong"/>
          <w:b w:val="0"/>
          <w:bCs w:val="0"/>
        </w:rPr>
        <w:t xml:space="preserve"> therapy)</w:t>
      </w:r>
      <w:r>
        <w:t xml:space="preserve"> using the specific investigative product for </w:t>
      </w:r>
      <w:r w:rsidRPr="009068F2">
        <w:rPr>
          <w:iCs/>
          <w:vertAlign w:val="superscript"/>
        </w:rPr>
        <w:t>68</w:t>
      </w:r>
      <w:r w:rsidRPr="009068F2">
        <w:rPr>
          <w:iCs/>
        </w:rPr>
        <w:t>Ga</w:t>
      </w:r>
      <w:r w:rsidRPr="00D73F34">
        <w:rPr>
          <w:rFonts w:cstheme="minorHAnsi"/>
        </w:rPr>
        <w:t>-PSMA PET/CT</w:t>
      </w:r>
      <w:r>
        <w:rPr>
          <w:iCs/>
        </w:rPr>
        <w:t xml:space="preserve"> compared with other available radiopharmaceutical tracers used for PSMA PET/CT imaging. ESC noted this evidence was currently lacking in the ADAR.</w:t>
      </w:r>
    </w:p>
    <w:p w14:paraId="243BB945" w14:textId="77777777" w:rsidR="00AE7DDB" w:rsidRPr="00014C02" w:rsidRDefault="00AE7DDB" w:rsidP="00AE7DDB">
      <w:pPr>
        <w:pStyle w:val="BoxBullet"/>
      </w:pPr>
      <w:r>
        <w:rPr>
          <w:iCs/>
        </w:rPr>
        <w:t xml:space="preserve">The only specified comparator is “no diagnostic test”. As above, an additional relevant </w:t>
      </w:r>
      <w:r>
        <w:t xml:space="preserve">comparison is between </w:t>
      </w:r>
      <w:r w:rsidRPr="009068F2">
        <w:rPr>
          <w:iCs/>
          <w:vertAlign w:val="superscript"/>
        </w:rPr>
        <w:t>68</w:t>
      </w:r>
      <w:r w:rsidRPr="009068F2">
        <w:rPr>
          <w:iCs/>
        </w:rPr>
        <w:t>Ga</w:t>
      </w:r>
      <w:r>
        <w:rPr>
          <w:iCs/>
        </w:rPr>
        <w:t xml:space="preserve">-PSMA PET/CT </w:t>
      </w:r>
      <w:r w:rsidRPr="00FA0D21">
        <w:t xml:space="preserve">with subsequent treatment with a PSMA targeted therapy versus </w:t>
      </w:r>
      <w:r>
        <w:t xml:space="preserve">other available radiopharmaceutical tracers used for </w:t>
      </w:r>
      <w:r w:rsidRPr="00FA0D21">
        <w:t>PSMA PET/CT</w:t>
      </w:r>
      <w:r>
        <w:t xml:space="preserve"> </w:t>
      </w:r>
      <w:r w:rsidRPr="00FA0D21">
        <w:t>with subsequent PSMA targeted therapy</w:t>
      </w:r>
      <w:r>
        <w:rPr>
          <w:iCs/>
        </w:rPr>
        <w:t>.</w:t>
      </w:r>
    </w:p>
    <w:p w14:paraId="223F4DB5" w14:textId="77777777" w:rsidR="00AE7DDB" w:rsidRPr="00014C02" w:rsidRDefault="00AE7DDB" w:rsidP="00AE7DDB">
      <w:pPr>
        <w:pStyle w:val="BoxBullet"/>
      </w:pPr>
      <w:r>
        <w:t>The case for r</w:t>
      </w:r>
      <w:r w:rsidRPr="00D26EE9">
        <w:t>emoving the restriction of “once per lifetime” from the MBS item descriptor can only be assessed if there is evidence supporting retreatment, which is currently lacking</w:t>
      </w:r>
      <w:r>
        <w:t>.</w:t>
      </w:r>
      <w:r w:rsidRPr="00D26EE9" w:rsidDel="00D26EE9">
        <w:t xml:space="preserve"> </w:t>
      </w:r>
    </w:p>
    <w:p w14:paraId="7194D0B9" w14:textId="77777777" w:rsidR="00AE7DDB" w:rsidRDefault="00AE7DDB" w:rsidP="00AE7DDB">
      <w:pPr>
        <w:pStyle w:val="BoxHeading"/>
      </w:pPr>
      <w:r>
        <w:t>Economic issues:</w:t>
      </w:r>
    </w:p>
    <w:p w14:paraId="75183D58" w14:textId="77777777" w:rsidR="00AE7DDB" w:rsidRPr="00172CB3" w:rsidRDefault="00AE7DDB" w:rsidP="00AE7DDB">
      <w:pPr>
        <w:pStyle w:val="BoxBullet"/>
        <w:rPr>
          <w:color w:val="auto"/>
        </w:rPr>
      </w:pPr>
      <w:r w:rsidRPr="00F13A7F">
        <w:rPr>
          <w:color w:val="auto"/>
        </w:rPr>
        <w:t xml:space="preserve">The economic evaluation does not clearly capture the benefit of the proposed </w:t>
      </w:r>
      <w:r>
        <w:rPr>
          <w:color w:val="auto"/>
        </w:rPr>
        <w:t>investigative</w:t>
      </w:r>
      <w:r w:rsidRPr="00F13A7F">
        <w:rPr>
          <w:color w:val="auto"/>
        </w:rPr>
        <w:t xml:space="preserve"> test in guiding access to </w:t>
      </w:r>
      <w:r w:rsidRPr="009033E0">
        <w:t>PSMA</w:t>
      </w:r>
      <w:r>
        <w:t xml:space="preserve">-targeted radioligand therapy compared with all other alternative investigative options. </w:t>
      </w:r>
      <w:r>
        <w:rPr>
          <w:color w:val="auto"/>
        </w:rPr>
        <w:t xml:space="preserve">An additional relevant comparison may be between </w:t>
      </w:r>
      <w:r>
        <w:t xml:space="preserve">the </w:t>
      </w:r>
      <w:proofErr w:type="gramStart"/>
      <w:r w:rsidRPr="009068F2">
        <w:rPr>
          <w:iCs/>
          <w:vertAlign w:val="superscript"/>
        </w:rPr>
        <w:t>68</w:t>
      </w:r>
      <w:r w:rsidRPr="009068F2">
        <w:rPr>
          <w:iCs/>
        </w:rPr>
        <w:t>Ga</w:t>
      </w:r>
      <w:proofErr w:type="gramEnd"/>
      <w:r>
        <w:rPr>
          <w:iCs/>
        </w:rPr>
        <w:t xml:space="preserve"> and </w:t>
      </w:r>
      <w:r>
        <w:t xml:space="preserve">other available radiopharmaceutical tracers used for PSMA PET/CT tests, to determine which is the most cost-effective investigative test to guide access to </w:t>
      </w:r>
      <w:r w:rsidRPr="009033E0">
        <w:rPr>
          <w:vertAlign w:val="superscript"/>
        </w:rPr>
        <w:t>177</w:t>
      </w:r>
      <w:r w:rsidRPr="009033E0">
        <w:t>Lu</w:t>
      </w:r>
      <w:r>
        <w:t xml:space="preserve"> PSMA therapy.</w:t>
      </w:r>
    </w:p>
    <w:p w14:paraId="3DF647CA" w14:textId="77777777" w:rsidR="00AE7DDB" w:rsidRPr="000E034A" w:rsidRDefault="00AE7DDB" w:rsidP="00AE7DDB">
      <w:pPr>
        <w:pStyle w:val="BoxBullet"/>
        <w:rPr>
          <w:color w:val="auto"/>
        </w:rPr>
      </w:pPr>
      <w:r>
        <w:t>A comparator split of 75% cabazitaxel and 25% best supportive care (BSC) was used, resulting in an ICER of $165,086/QALY. However, in its consideration of MSAC application 1686, MSAC had considered a comparator split of 25% cabazitaxel and 75% BSC to be more appropriate (due to the toxicity of cabazitaxel). This resulted in a reduced ICER of $123,611/QALY, however this ICER is still high and uncertain.</w:t>
      </w:r>
    </w:p>
    <w:p w14:paraId="2C2CDCBC" w14:textId="429F08AD" w:rsidR="00AE7DDB" w:rsidRPr="00292926" w:rsidRDefault="00AE7DDB" w:rsidP="00AE7DDB">
      <w:pPr>
        <w:pStyle w:val="BoxBullet"/>
        <w:rPr>
          <w:color w:val="auto"/>
        </w:rPr>
      </w:pPr>
      <w:r>
        <w:t xml:space="preserve">The time horizon of 10 years in the base case is too long. In its consideration of MSAC application 1686.1 MSAC expressed a preference for a more conservative time horizon of </w:t>
      </w:r>
      <w:r w:rsidR="003052E9">
        <w:br/>
      </w:r>
      <w:r>
        <w:t xml:space="preserve">5 </w:t>
      </w:r>
      <w:proofErr w:type="gramStart"/>
      <w:r>
        <w:t>years, but</w:t>
      </w:r>
      <w:proofErr w:type="gramEnd"/>
      <w:r>
        <w:t xml:space="preserve"> considered a 7.5 year time horizon would be likely to be acceptable.</w:t>
      </w:r>
    </w:p>
    <w:p w14:paraId="501CF5A8" w14:textId="77777777" w:rsidR="00AE7DDB" w:rsidRDefault="00AE7DDB" w:rsidP="00AE7DDB">
      <w:pPr>
        <w:pStyle w:val="BoxBullet"/>
        <w:rPr>
          <w:color w:val="auto"/>
        </w:rPr>
      </w:pPr>
      <w:r>
        <w:rPr>
          <w:color w:val="auto"/>
        </w:rPr>
        <w:lastRenderedPageBreak/>
        <w:t>The economic model assumed that BSC drug costs were zero (offset in both arms), but this assumes that the same type and dosage of drugs are used in both the intervention and comparator arms. This is uncertain and therefore BSC drug costs should be included in the model. Additionally, costs associated with the treatment of bone pain were not included.</w:t>
      </w:r>
    </w:p>
    <w:p w14:paraId="02091450" w14:textId="77777777" w:rsidR="00AE7DDB" w:rsidRPr="00F25C0E" w:rsidRDefault="00AE7DDB" w:rsidP="00AE7DDB">
      <w:pPr>
        <w:pStyle w:val="BoxBullet"/>
        <w:rPr>
          <w:color w:val="auto"/>
        </w:rPr>
      </w:pPr>
      <w:r>
        <w:rPr>
          <w:color w:val="auto"/>
        </w:rPr>
        <w:t xml:space="preserve">The ADAR for MSAC application 1686.1 (as considered by MSAC in July 2023) proposed splitting treatment into initial (2 cycles) and continuing (up to 4 cycles) treatment (maximum of 6 cycles). Only those patients who had not developed disease progression would be eligible for continuing </w:t>
      </w:r>
      <w:r w:rsidRPr="009033E0">
        <w:rPr>
          <w:vertAlign w:val="superscript"/>
        </w:rPr>
        <w:t>177</w:t>
      </w:r>
      <w:r w:rsidRPr="009033E0">
        <w:t>Lu PSMA</w:t>
      </w:r>
      <w:r>
        <w:t xml:space="preserve"> therapy. The implications for this regimen on the economic model have not and could not be explored.</w:t>
      </w:r>
    </w:p>
    <w:p w14:paraId="315CF237" w14:textId="77777777" w:rsidR="00AE7DDB" w:rsidRDefault="00AE7DDB" w:rsidP="00AE7DDB">
      <w:pPr>
        <w:pStyle w:val="BoxHeading"/>
      </w:pPr>
      <w:r>
        <w:t>Financial issues:</w:t>
      </w:r>
    </w:p>
    <w:p w14:paraId="55C507D1" w14:textId="77777777" w:rsidR="00AE7DDB" w:rsidRPr="00F25C0E" w:rsidRDefault="00AE7DDB" w:rsidP="00AE7DDB">
      <w:pPr>
        <w:pStyle w:val="BoxBullet"/>
      </w:pPr>
      <w:r>
        <w:rPr>
          <w:bCs/>
        </w:rPr>
        <w:t xml:space="preserve">The greatest impact to the financial estimates was the assumed </w:t>
      </w:r>
      <w:r>
        <w:t xml:space="preserve">price of </w:t>
      </w:r>
      <w:r w:rsidRPr="00ED7D9D">
        <w:rPr>
          <w:bCs/>
          <w:vertAlign w:val="superscript"/>
        </w:rPr>
        <w:t>177</w:t>
      </w:r>
      <w:r w:rsidRPr="00C40098">
        <w:rPr>
          <w:bCs/>
        </w:rPr>
        <w:t>Lu PSMA</w:t>
      </w:r>
      <w:r>
        <w:rPr>
          <w:bCs/>
        </w:rPr>
        <w:t xml:space="preserve"> therapy (based on application 1686.1 for </w:t>
      </w:r>
      <w:r>
        <w:rPr>
          <w:vertAlign w:val="superscript"/>
        </w:rPr>
        <w:t>177</w:t>
      </w:r>
      <w:r>
        <w:t>Lu PSMA </w:t>
      </w:r>
      <w:proofErr w:type="spellStart"/>
      <w:r>
        <w:t>i&amp;t</w:t>
      </w:r>
      <w:proofErr w:type="spellEnd"/>
      <w:r>
        <w:t>)</w:t>
      </w:r>
      <w:r>
        <w:rPr>
          <w:bCs/>
        </w:rPr>
        <w:t>. Given no PSMA-targeted therapies are currently funded on the MBS or PBS, the costs associated with treatment is an area of uncertainty.</w:t>
      </w:r>
    </w:p>
    <w:p w14:paraId="02C9B39F" w14:textId="77777777" w:rsidR="00AE7DDB" w:rsidRDefault="00AE7DDB" w:rsidP="00AE7DDB">
      <w:pPr>
        <w:pStyle w:val="BoxHeading"/>
      </w:pPr>
      <w:r>
        <w:t>Other relevant information:</w:t>
      </w:r>
    </w:p>
    <w:p w14:paraId="0EFC944F" w14:textId="77777777" w:rsidR="00AE7DDB" w:rsidRDefault="00AE7DDB" w:rsidP="00AE7DDB">
      <w:pPr>
        <w:pStyle w:val="BoxBullet"/>
      </w:pPr>
      <w:r>
        <w:t>If MSAC supports funding the proposed investigative test to identify those eligible for PSMA-targeted radioligand therapy, MBS listing will be contingent on TGA approval for the additional indication of “patients who are candidates for PSMA targeted therapy”, as well as MSAC support and listing of MBS items for the therapeutic intervention (not proposed in this application).</w:t>
      </w:r>
    </w:p>
    <w:p w14:paraId="0AD2615D" w14:textId="77777777" w:rsidR="00AE7DDB" w:rsidRDefault="00AE7DDB" w:rsidP="00C26822">
      <w:pPr>
        <w:spacing w:after="240"/>
        <w:rPr>
          <w:rStyle w:val="Strong"/>
        </w:rPr>
      </w:pPr>
      <w:r w:rsidRPr="00194327">
        <w:rPr>
          <w:rStyle w:val="Strong"/>
        </w:rPr>
        <w:t>ESC discussion</w:t>
      </w:r>
    </w:p>
    <w:p w14:paraId="43EDDBEA" w14:textId="77777777" w:rsidR="00AE7DDB" w:rsidRDefault="00AE7DDB" w:rsidP="00C26822">
      <w:pPr>
        <w:spacing w:after="240"/>
        <w:rPr>
          <w:iCs/>
        </w:rPr>
      </w:pPr>
      <w:r>
        <w:rPr>
          <w:iCs/>
        </w:rPr>
        <w:t xml:space="preserve">ESC noted that this application from </w:t>
      </w:r>
      <w:proofErr w:type="spellStart"/>
      <w:r>
        <w:rPr>
          <w:iCs/>
        </w:rPr>
        <w:t>Telix</w:t>
      </w:r>
      <w:proofErr w:type="spellEnd"/>
      <w:r>
        <w:rPr>
          <w:iCs/>
        </w:rPr>
        <w:t xml:space="preserve"> Pharmaceutical Ltd </w:t>
      </w:r>
      <w:r w:rsidRPr="009068F2">
        <w:rPr>
          <w:iCs/>
        </w:rPr>
        <w:t>request</w:t>
      </w:r>
      <w:r>
        <w:rPr>
          <w:iCs/>
        </w:rPr>
        <w:t>ed</w:t>
      </w:r>
      <w:r w:rsidRPr="009068F2">
        <w:rPr>
          <w:iCs/>
        </w:rPr>
        <w:t xml:space="preserve"> Medicare Benefits Schedule (MBS) listing </w:t>
      </w:r>
      <w:r>
        <w:rPr>
          <w:iCs/>
        </w:rPr>
        <w:t xml:space="preserve">of the </w:t>
      </w:r>
      <w:r w:rsidRPr="009068F2">
        <w:rPr>
          <w:iCs/>
        </w:rPr>
        <w:t>ILLUCCIX</w:t>
      </w:r>
      <w:r w:rsidRPr="009068F2">
        <w:rPr>
          <w:iCs/>
          <w:vertAlign w:val="superscript"/>
        </w:rPr>
        <w:t>®</w:t>
      </w:r>
      <w:r w:rsidRPr="009068F2">
        <w:rPr>
          <w:iCs/>
        </w:rPr>
        <w:t xml:space="preserve"> Kit (kit for the preparation of gallium-68 </w:t>
      </w:r>
      <w:r>
        <w:rPr>
          <w:iCs/>
        </w:rPr>
        <w:t>[</w:t>
      </w:r>
      <w:r w:rsidRPr="009068F2">
        <w:rPr>
          <w:iCs/>
          <w:vertAlign w:val="superscript"/>
        </w:rPr>
        <w:t>68</w:t>
      </w:r>
      <w:r w:rsidRPr="009068F2">
        <w:rPr>
          <w:iCs/>
        </w:rPr>
        <w:t>Ga</w:t>
      </w:r>
      <w:r>
        <w:rPr>
          <w:iCs/>
        </w:rPr>
        <w:t>]</w:t>
      </w:r>
      <w:r w:rsidRPr="009068F2">
        <w:rPr>
          <w:iCs/>
        </w:rPr>
        <w:t xml:space="preserve"> labelled prostate-specific membrane antigen </w:t>
      </w:r>
      <w:r>
        <w:rPr>
          <w:iCs/>
        </w:rPr>
        <w:t>[</w:t>
      </w:r>
      <w:r w:rsidRPr="009068F2">
        <w:rPr>
          <w:iCs/>
        </w:rPr>
        <w:t>PSMA</w:t>
      </w:r>
      <w:r>
        <w:rPr>
          <w:iCs/>
        </w:rPr>
        <w:t>]</w:t>
      </w:r>
      <w:r w:rsidRPr="009068F2">
        <w:rPr>
          <w:iCs/>
        </w:rPr>
        <w:t xml:space="preserve">-11 injection) for assessing </w:t>
      </w:r>
      <w:r>
        <w:rPr>
          <w:iCs/>
        </w:rPr>
        <w:t xml:space="preserve">the </w:t>
      </w:r>
      <w:r w:rsidRPr="009068F2">
        <w:rPr>
          <w:iCs/>
        </w:rPr>
        <w:t>eligibility of patients diagnosed with metastatic castration-resistant prostate cancer (</w:t>
      </w:r>
      <w:proofErr w:type="spellStart"/>
      <w:r w:rsidRPr="009068F2">
        <w:rPr>
          <w:iCs/>
        </w:rPr>
        <w:t>mCRPC</w:t>
      </w:r>
      <w:proofErr w:type="spellEnd"/>
      <w:r w:rsidRPr="009068F2">
        <w:rPr>
          <w:iCs/>
        </w:rPr>
        <w:t>) to undertake PSMA targeted therapy</w:t>
      </w:r>
      <w:r>
        <w:rPr>
          <w:iCs/>
        </w:rPr>
        <w:t>.</w:t>
      </w:r>
    </w:p>
    <w:p w14:paraId="171A8384" w14:textId="77777777" w:rsidR="00AE7DDB" w:rsidRDefault="00AE7DDB" w:rsidP="00C26822">
      <w:pPr>
        <w:spacing w:after="240"/>
      </w:pPr>
      <w:r>
        <w:rPr>
          <w:iCs/>
        </w:rPr>
        <w:t xml:space="preserve">ESC noted that </w:t>
      </w:r>
      <w:r w:rsidRPr="00210247">
        <w:rPr>
          <w:iCs/>
        </w:rPr>
        <w:t xml:space="preserve">the </w:t>
      </w:r>
      <w:r>
        <w:rPr>
          <w:iCs/>
        </w:rPr>
        <w:t>applicant-developed assessment report (</w:t>
      </w:r>
      <w:r w:rsidRPr="00210247">
        <w:rPr>
          <w:iCs/>
        </w:rPr>
        <w:t>ADAR</w:t>
      </w:r>
      <w:r>
        <w:rPr>
          <w:iCs/>
        </w:rPr>
        <w:t>)</w:t>
      </w:r>
      <w:r w:rsidRPr="00210247">
        <w:rPr>
          <w:iCs/>
        </w:rPr>
        <w:t xml:space="preserve"> </w:t>
      </w:r>
      <w:r>
        <w:rPr>
          <w:iCs/>
        </w:rPr>
        <w:t xml:space="preserve">only </w:t>
      </w:r>
      <w:r w:rsidRPr="00210247">
        <w:rPr>
          <w:iCs/>
        </w:rPr>
        <w:t>requested MBS funding for an investigative test</w:t>
      </w:r>
      <w:r>
        <w:rPr>
          <w:iCs/>
        </w:rPr>
        <w:t>,</w:t>
      </w:r>
      <w:r w:rsidRPr="00210247">
        <w:rPr>
          <w:iCs/>
        </w:rPr>
        <w:t xml:space="preserve"> PSMA </w:t>
      </w:r>
      <w:r>
        <w:rPr>
          <w:iCs/>
        </w:rPr>
        <w:t>positron emission tomography/</w:t>
      </w:r>
      <w:r>
        <w:t>computed</w:t>
      </w:r>
      <w:r>
        <w:rPr>
          <w:iCs/>
        </w:rPr>
        <w:t xml:space="preserve"> tomography </w:t>
      </w:r>
      <w:r>
        <w:t>(</w:t>
      </w:r>
      <w:r>
        <w:rPr>
          <w:iCs/>
        </w:rPr>
        <w:t xml:space="preserve">PSMA </w:t>
      </w:r>
      <w:r w:rsidRPr="00210247">
        <w:rPr>
          <w:iCs/>
        </w:rPr>
        <w:t>PET/CT)</w:t>
      </w:r>
      <w:r>
        <w:rPr>
          <w:iCs/>
        </w:rPr>
        <w:t>,</w:t>
      </w:r>
      <w:r w:rsidRPr="00210247">
        <w:rPr>
          <w:iCs/>
        </w:rPr>
        <w:t xml:space="preserve"> and not for the associated therapeutic intervention (PSMA targeted therapy). </w:t>
      </w:r>
      <w:r>
        <w:t xml:space="preserve">This is unlike MSAC applications </w:t>
      </w:r>
      <w:hyperlink r:id="rId28" w:history="1">
        <w:r w:rsidRPr="00017E11">
          <w:rPr>
            <w:rStyle w:val="Hyperlink"/>
          </w:rPr>
          <w:t>1686</w:t>
        </w:r>
      </w:hyperlink>
      <w:r>
        <w:t xml:space="preserve"> and </w:t>
      </w:r>
      <w:hyperlink r:id="rId29" w:history="1">
        <w:r w:rsidRPr="00F6690F">
          <w:rPr>
            <w:rStyle w:val="Hyperlink"/>
          </w:rPr>
          <w:t>1686.1</w:t>
        </w:r>
      </w:hyperlink>
      <w:r>
        <w:t>, which also requested MBS funding for the therapeutic intervention (included in the codependent application).</w:t>
      </w:r>
    </w:p>
    <w:p w14:paraId="6F341AD1" w14:textId="77777777" w:rsidR="00AE7DDB" w:rsidRDefault="00AE7DDB" w:rsidP="00C26822">
      <w:pPr>
        <w:spacing w:after="240"/>
      </w:pPr>
      <w:r>
        <w:t>ESC noted that</w:t>
      </w:r>
      <w:r w:rsidRPr="008E5119">
        <w:t xml:space="preserve"> </w:t>
      </w:r>
      <w:r>
        <w:t xml:space="preserve">the </w:t>
      </w:r>
      <w:r w:rsidRPr="008E5119">
        <w:t xml:space="preserve">ADAR stated that </w:t>
      </w:r>
      <w:r>
        <w:t xml:space="preserve">an application had been submitted to the Therapeutic Goods Administration (TGA) for the additional indication of “patients who are candidates for PSMA targeted therapy” </w:t>
      </w:r>
      <w:r w:rsidRPr="008E5119">
        <w:t>which is the subject of this current application</w:t>
      </w:r>
      <w:r>
        <w:t>. ESC advised that the applicant should provide an update on the TGA status of this application. ESC noted that, if MSAC supported funding this investigative test, MBS listing would be contingent on TGA approval of the additional indication, as well as MSAC support and listing of MBS items for the therapeutic intervention (not proposed in this application).</w:t>
      </w:r>
    </w:p>
    <w:p w14:paraId="3CF5C926" w14:textId="77777777" w:rsidR="00AE7DDB" w:rsidRPr="00552336" w:rsidRDefault="00AE7DDB" w:rsidP="00C26822">
      <w:pPr>
        <w:spacing w:after="240"/>
        <w:rPr>
          <w:rStyle w:val="Strong"/>
          <w:b w:val="0"/>
          <w:bCs w:val="0"/>
        </w:rPr>
      </w:pPr>
      <w:r>
        <w:rPr>
          <w:rStyle w:val="Strong"/>
          <w:b w:val="0"/>
          <w:bCs w:val="0"/>
        </w:rPr>
        <w:t>ESC considered that a</w:t>
      </w:r>
      <w:r w:rsidRPr="00644701">
        <w:rPr>
          <w:rStyle w:val="Strong"/>
          <w:b w:val="0"/>
          <w:bCs w:val="0"/>
        </w:rPr>
        <w:t xml:space="preserve">s the proposed test is aimed at assessing eligibility for PSMA targeted therapies, of which none are currently funded on the MBS (or PBS), there is no </w:t>
      </w:r>
      <w:r>
        <w:rPr>
          <w:rStyle w:val="Strong"/>
          <w:b w:val="0"/>
          <w:bCs w:val="0"/>
        </w:rPr>
        <w:t xml:space="preserve">current </w:t>
      </w:r>
      <w:r w:rsidRPr="00644701">
        <w:rPr>
          <w:rStyle w:val="Strong"/>
          <w:b w:val="0"/>
          <w:bCs w:val="0"/>
        </w:rPr>
        <w:t xml:space="preserve">clinical need for this test, at this time. On the other hand, although not funded on the MBS, MSAC </w:t>
      </w:r>
      <w:r>
        <w:rPr>
          <w:rStyle w:val="Strong"/>
          <w:b w:val="0"/>
          <w:bCs w:val="0"/>
        </w:rPr>
        <w:t>deferred its consideration of</w:t>
      </w:r>
      <w:r w:rsidRPr="00644701">
        <w:rPr>
          <w:rStyle w:val="Strong"/>
          <w:b w:val="0"/>
          <w:bCs w:val="0"/>
        </w:rPr>
        <w:t xml:space="preserve"> application 1686.1 for </w:t>
      </w:r>
      <w:r>
        <w:rPr>
          <w:rStyle w:val="Strong"/>
          <w:b w:val="0"/>
          <w:bCs w:val="0"/>
        </w:rPr>
        <w:t>L</w:t>
      </w:r>
      <w:r w:rsidRPr="00644701">
        <w:rPr>
          <w:rStyle w:val="Strong"/>
          <w:b w:val="0"/>
          <w:bCs w:val="0"/>
        </w:rPr>
        <w:t>uteium-177 PSMA imaging &amp; therapy (</w:t>
      </w:r>
      <w:r w:rsidRPr="00F25C0E">
        <w:rPr>
          <w:rStyle w:val="Strong"/>
          <w:b w:val="0"/>
          <w:bCs w:val="0"/>
          <w:vertAlign w:val="superscript"/>
        </w:rPr>
        <w:t>177</w:t>
      </w:r>
      <w:r w:rsidRPr="00644701">
        <w:rPr>
          <w:rStyle w:val="Strong"/>
          <w:b w:val="0"/>
          <w:bCs w:val="0"/>
        </w:rPr>
        <w:t xml:space="preserve">Lu PSMA </w:t>
      </w:r>
      <w:proofErr w:type="spellStart"/>
      <w:r w:rsidRPr="00644701">
        <w:rPr>
          <w:rStyle w:val="Strong"/>
          <w:b w:val="0"/>
          <w:bCs w:val="0"/>
        </w:rPr>
        <w:t>i&amp;t</w:t>
      </w:r>
      <w:proofErr w:type="spellEnd"/>
      <w:r w:rsidRPr="00644701">
        <w:rPr>
          <w:rStyle w:val="Strong"/>
          <w:b w:val="0"/>
          <w:bCs w:val="0"/>
        </w:rPr>
        <w:t xml:space="preserve">) for </w:t>
      </w:r>
      <w:proofErr w:type="spellStart"/>
      <w:r w:rsidRPr="00644701">
        <w:rPr>
          <w:rStyle w:val="Strong"/>
          <w:b w:val="0"/>
          <w:bCs w:val="0"/>
        </w:rPr>
        <w:t>mCRPC</w:t>
      </w:r>
      <w:proofErr w:type="spellEnd"/>
      <w:r w:rsidRPr="00644701">
        <w:rPr>
          <w:rStyle w:val="Strong"/>
          <w:b w:val="0"/>
          <w:bCs w:val="0"/>
        </w:rPr>
        <w:t xml:space="preserve"> at </w:t>
      </w:r>
      <w:r>
        <w:rPr>
          <w:rStyle w:val="Strong"/>
          <w:b w:val="0"/>
          <w:bCs w:val="0"/>
        </w:rPr>
        <w:t xml:space="preserve">its July 2023 consideration, </w:t>
      </w:r>
      <w:r w:rsidRPr="00644701">
        <w:rPr>
          <w:rStyle w:val="Strong"/>
          <w:b w:val="0"/>
          <w:bCs w:val="0"/>
        </w:rPr>
        <w:t xml:space="preserve">which this application </w:t>
      </w:r>
      <w:r w:rsidRPr="00644701">
        <w:rPr>
          <w:rStyle w:val="Strong"/>
          <w:b w:val="0"/>
          <w:bCs w:val="0"/>
        </w:rPr>
        <w:lastRenderedPageBreak/>
        <w:t>(1720) proposes a new investigative option</w:t>
      </w:r>
      <w:r>
        <w:rPr>
          <w:rStyle w:val="Strong"/>
          <w:b w:val="0"/>
          <w:bCs w:val="0"/>
        </w:rPr>
        <w:t xml:space="preserve"> (at a higher fee)</w:t>
      </w:r>
      <w:r w:rsidRPr="00644701">
        <w:rPr>
          <w:rStyle w:val="Strong"/>
          <w:b w:val="0"/>
          <w:bCs w:val="0"/>
        </w:rPr>
        <w:t xml:space="preserve"> for identifying those eligible for PSMA-targeted radioligand therapies in a similar population.</w:t>
      </w:r>
    </w:p>
    <w:p w14:paraId="3C328F25" w14:textId="77777777" w:rsidR="00AE7DDB" w:rsidRDefault="00AE7DDB" w:rsidP="00C26822">
      <w:pPr>
        <w:spacing w:after="240"/>
      </w:pPr>
      <w:r>
        <w:t xml:space="preserve">ESC considered several issues with the proposed MBS item descriptor. ESC noted that the proposed item descriptor specified </w:t>
      </w:r>
      <w:r w:rsidRPr="002641C9">
        <w:rPr>
          <w:vertAlign w:val="superscript"/>
        </w:rPr>
        <w:t>68</w:t>
      </w:r>
      <w:r>
        <w:t xml:space="preserve">Ga, thereby restricting use of this item to that specific radiopharmaceutical. ESC noted that the ADAR provided no evidence to support restricting use to </w:t>
      </w:r>
      <w:r w:rsidRPr="002641C9">
        <w:rPr>
          <w:vertAlign w:val="superscript"/>
        </w:rPr>
        <w:t>68</w:t>
      </w:r>
      <w:r>
        <w:t>Ga (other than this was the radiopharmaceutical used in the two trials used as the evidence base for the ADAR [VISION</w:t>
      </w:r>
      <w:r>
        <w:rPr>
          <w:rStyle w:val="FootnoteReference"/>
        </w:rPr>
        <w:footnoteReference w:id="7"/>
      </w:r>
      <w:r>
        <w:t xml:space="preserve"> and </w:t>
      </w:r>
      <w:proofErr w:type="spellStart"/>
      <w:r>
        <w:t>TheraP</w:t>
      </w:r>
      <w:proofErr w:type="spellEnd"/>
      <w:r>
        <w:rPr>
          <w:rStyle w:val="FootnoteReference"/>
        </w:rPr>
        <w:footnoteReference w:id="8"/>
      </w:r>
      <w:r>
        <w:t xml:space="preserve">]), ESC considered that there was no reason for the item descriptor to restrict use to </w:t>
      </w:r>
      <w:r w:rsidRPr="002641C9">
        <w:rPr>
          <w:vertAlign w:val="superscript"/>
        </w:rPr>
        <w:t>68</w:t>
      </w:r>
      <w:r>
        <w:t xml:space="preserve">Ga, especially as it would be inconsistent with other staging items. In addition, </w:t>
      </w:r>
      <w:r>
        <w:rPr>
          <w:rStyle w:val="Strong"/>
          <w:b w:val="0"/>
          <w:bCs w:val="0"/>
        </w:rPr>
        <w:t>ESC also noted it would also be inconsistent with the</w:t>
      </w:r>
      <w:r>
        <w:rPr>
          <w:iCs/>
        </w:rPr>
        <w:t xml:space="preserve"> proposed </w:t>
      </w:r>
      <w:r>
        <w:rPr>
          <w:rStyle w:val="Strong"/>
          <w:b w:val="0"/>
          <w:bCs w:val="0"/>
        </w:rPr>
        <w:t>investigative item for PSMA PET/CT item in application 1686/1686.1 which was radiotracer agnostic and previously considered by MSAC in July 2022 and July 2023, respectively.</w:t>
      </w:r>
    </w:p>
    <w:p w14:paraId="7AAA5E32" w14:textId="77777777" w:rsidR="00AE7DDB" w:rsidRDefault="00AE7DDB" w:rsidP="00C26822">
      <w:pPr>
        <w:spacing w:after="240"/>
      </w:pPr>
      <w:r>
        <w:t>ESC also considered that the item descriptor should remove reference to CT. ESC noted that other current MBS items for PSMA PET (61563 and 61564) do not include reference to CT, and that CT attenuation MBS item 61505 will generally be claimed with the items. This meant that consistent with current practice for existing PET items, amending the item to a PET item would allow the item to be eligible to be co-claimed with item 61505. Additionally, the proposed investigative PSMA-PET/CT item descriptor for MSAC applications 1686/1686.1 did not refer to CT. ESC noted that the pre-ESC response accepted that the reference to CT could be removed from the item descriptor.</w:t>
      </w:r>
    </w:p>
    <w:p w14:paraId="74ECA99C" w14:textId="77777777" w:rsidR="00AE7DDB" w:rsidRDefault="00AE7DDB" w:rsidP="00C26822">
      <w:pPr>
        <w:spacing w:after="240"/>
      </w:pPr>
      <w:r>
        <w:t>ESC noted that the item descriptor refers to the test being “performed for the patient selection of PSMA-targeted radioligand therapy”. However, this is not consistent with the population specified in the PICO criteria (from the ADAR) or the proposed item descriptor for MSAC applications 1686 and 1686.1, which also better aligned with the patients described in the evidence base. ESC queried whether this issue could be overcome by specifying the item number for PSMA-targeted radioligand therapy in the proposed item descriptor or rephrasing the item descriptor as suggested in the pre-ESC response.</w:t>
      </w:r>
    </w:p>
    <w:p w14:paraId="3633B2D8" w14:textId="77777777" w:rsidR="00AE7DDB" w:rsidRDefault="00AE7DDB" w:rsidP="00C26822">
      <w:pPr>
        <w:spacing w:after="240"/>
      </w:pPr>
      <w:r>
        <w:t xml:space="preserve">ESC noted that the item descriptor proposes restricting the item to “once per lifetime”. ESC considered that this was suitable for patients who first test negative, as there is no redifferentiation (i.e. if a patient tests negative, they remain negative). However, if a patient tests positive and is successfully treated, there may be a role for repeat scanning as there is a possibility that they may test negative later. ESC also noted that many centres rechallenge patient response. However, ESC considered that a lifetime number could only be assessed if there was evidence supporting retreatment. This evidence was currently lacking, but ESC queried whether that this could change in the future. ESC noted the frequency restriction for the proposed investigative item in this application was different to the proposed investigative item in application 1686/1686.1 </w:t>
      </w:r>
      <w:r>
        <w:rPr>
          <w:rStyle w:val="Strong"/>
          <w:b w:val="0"/>
          <w:bCs w:val="0"/>
        </w:rPr>
        <w:t>considered by MSAC in July 2022 and July 2023, respectively.</w:t>
      </w:r>
    </w:p>
    <w:p w14:paraId="7860D4F8" w14:textId="0853B834" w:rsidR="00AE7DDB" w:rsidRPr="004D558A" w:rsidRDefault="00AE7DDB" w:rsidP="00C26822">
      <w:pPr>
        <w:spacing w:after="240"/>
      </w:pPr>
      <w:r>
        <w:t xml:space="preserve">ESC noted that the proposed item descriptor includes a fee of $1,945. This is greater than the fee of $1,300 ($1,400 if claimed with MBS item 61505) for both the current PSMA PET MBS items (61563 and 61564) and of that proposed in MSAC applications 1686/1686.1. </w:t>
      </w:r>
      <w:r>
        <w:lastRenderedPageBreak/>
        <w:t>ESC noted that the fee includes the cost of a single cold kit (three doses), which is $</w:t>
      </w:r>
      <w:r w:rsidR="00014848" w:rsidRPr="00B9269D">
        <w:rPr>
          <w:color w:val="000000"/>
          <w:spacing w:val="30"/>
          <w:shd w:val="solid" w:color="000000" w:fill="000000"/>
          <w:fitText w:val="440" w:id="-966505978"/>
          <w14:textFill>
            <w14:solidFill>
              <w14:srgbClr w14:val="000000">
                <w14:alpha w14:val="100000"/>
              </w14:srgbClr>
            </w14:solidFill>
          </w14:textFill>
        </w:rPr>
        <w:t>|||||</w:t>
      </w:r>
      <w:r w:rsidR="00014848" w:rsidRPr="00B9269D">
        <w:rPr>
          <w:color w:val="000000"/>
          <w:spacing w:val="2"/>
          <w:shd w:val="solid" w:color="000000" w:fill="000000"/>
          <w:fitText w:val="440" w:id="-966505978"/>
          <w14:textFill>
            <w14:solidFill>
              <w14:srgbClr w14:val="000000">
                <w14:alpha w14:val="100000"/>
              </w14:srgbClr>
            </w14:solidFill>
          </w14:textFill>
        </w:rPr>
        <w:t>|</w:t>
      </w:r>
      <w:r>
        <w:t xml:space="preserve"> (or $</w:t>
      </w:r>
      <w:r w:rsidR="00014848" w:rsidRPr="00B9269D">
        <w:rPr>
          <w:color w:val="000000"/>
          <w:spacing w:val="30"/>
          <w:shd w:val="solid" w:color="000000" w:fill="000000"/>
          <w:fitText w:val="440" w:id="-966505977"/>
          <w14:textFill>
            <w14:solidFill>
              <w14:srgbClr w14:val="000000">
                <w14:alpha w14:val="100000"/>
              </w14:srgbClr>
            </w14:solidFill>
          </w14:textFill>
        </w:rPr>
        <w:t>|||||</w:t>
      </w:r>
      <w:r w:rsidR="00014848" w:rsidRPr="00B9269D">
        <w:rPr>
          <w:color w:val="000000"/>
          <w:spacing w:val="2"/>
          <w:shd w:val="solid" w:color="000000" w:fill="000000"/>
          <w:fitText w:val="440" w:id="-966505977"/>
          <w14:textFill>
            <w14:solidFill>
              <w14:srgbClr w14:val="000000">
                <w14:alpha w14:val="100000"/>
              </w14:srgbClr>
            </w14:solidFill>
          </w14:textFill>
        </w:rPr>
        <w:t>|</w:t>
      </w:r>
      <w:r>
        <w:t xml:space="preserve"> per dose).</w:t>
      </w:r>
    </w:p>
    <w:p w14:paraId="35D71964" w14:textId="77777777" w:rsidR="00AE7DDB" w:rsidRDefault="00AE7DDB" w:rsidP="00C26822">
      <w:pPr>
        <w:spacing w:after="240"/>
      </w:pPr>
      <w:r>
        <w:t xml:space="preserve">ESC considered that a fee of $1,300 (or $1,400) was more appropriate for the proposed service and aligned with current PSMA PET (tracer agnostic) MBS items. Alternatively, ESC queried whether the fee should be based on the cost per patient ($1,412). ESC considered that the higher fee proposed by the applicant may reflect the increased expense of obtaining supply of the specific radiopharmaceutical from a specific manufacturer. ESC considered that, although expensive, this cold kit could provide advantages in more rural areas. However, ESC advised that the higher fee would require evidence demonstrating improved health outcomes in those identified and treated with PSMA-targeted radioligand therapy using the specific investigative product for </w:t>
      </w:r>
      <w:r w:rsidRPr="009068F2">
        <w:rPr>
          <w:iCs/>
          <w:vertAlign w:val="superscript"/>
        </w:rPr>
        <w:t>68</w:t>
      </w:r>
      <w:r w:rsidRPr="009068F2">
        <w:rPr>
          <w:iCs/>
        </w:rPr>
        <w:t>Ga</w:t>
      </w:r>
      <w:r w:rsidRPr="00D73F34">
        <w:rPr>
          <w:rFonts w:cstheme="minorHAnsi"/>
        </w:rPr>
        <w:t>-PSMA PET/CT</w:t>
      </w:r>
      <w:r>
        <w:rPr>
          <w:iCs/>
        </w:rPr>
        <w:t xml:space="preserve"> compared with other available radiopharmaceutical tracers used for PSMA PET/CT imaging. ESC noted this evidence was currently lacking in the ADAR.</w:t>
      </w:r>
    </w:p>
    <w:p w14:paraId="17F5EF5E" w14:textId="77777777" w:rsidR="00AE7DDB" w:rsidRDefault="00AE7DDB" w:rsidP="00C26822">
      <w:pPr>
        <w:spacing w:after="240"/>
      </w:pPr>
      <w:r>
        <w:t xml:space="preserve">After considering all these issues with the proposed item descriptor, </w:t>
      </w:r>
      <w:r w:rsidRPr="00542CC7">
        <w:t xml:space="preserve">ESC </w:t>
      </w:r>
      <w:r>
        <w:t>suggest</w:t>
      </w:r>
      <w:r w:rsidRPr="00542CC7">
        <w:t>ed the following</w:t>
      </w:r>
      <w:r>
        <w:t xml:space="preserve"> revisions (in red).</w:t>
      </w:r>
    </w:p>
    <w:p w14:paraId="50EC9B0D" w14:textId="77777777" w:rsidR="00AE7DDB" w:rsidRDefault="00AE7DDB" w:rsidP="00AE7DDB">
      <w:pPr>
        <w:pStyle w:val="BoxHeading"/>
        <w:rPr>
          <w:snapToGrid w:val="0"/>
        </w:rPr>
      </w:pPr>
      <w:r>
        <w:rPr>
          <w:snapToGrid w:val="0"/>
        </w:rPr>
        <w:t>Category 5 – DIAGNOSTIC IMAGING SERVICES</w:t>
      </w:r>
    </w:p>
    <w:p w14:paraId="20051A84" w14:textId="77777777" w:rsidR="00AE7DDB" w:rsidRDefault="00AE7DDB" w:rsidP="00AE7DDB">
      <w:pPr>
        <w:pStyle w:val="BoxHeading"/>
        <w:rPr>
          <w:snapToGrid w:val="0"/>
        </w:rPr>
      </w:pPr>
      <w:r>
        <w:rPr>
          <w:snapToGrid w:val="0"/>
        </w:rPr>
        <w:t>MBS XXXX</w:t>
      </w:r>
    </w:p>
    <w:p w14:paraId="7ED6F6CB" w14:textId="77777777" w:rsidR="00AE7DDB" w:rsidRPr="00372B5A" w:rsidRDefault="00AE7DDB" w:rsidP="00AE7DDB">
      <w:pPr>
        <w:pStyle w:val="BoxText"/>
      </w:pPr>
      <w:r w:rsidRPr="00372B5A">
        <w:rPr>
          <w:snapToGrid w:val="0"/>
        </w:rPr>
        <w:t xml:space="preserve">Whole body </w:t>
      </w:r>
      <w:r w:rsidRPr="00AE0BB2">
        <w:rPr>
          <w:strike/>
          <w:color w:val="A20000"/>
          <w:vertAlign w:val="superscript"/>
        </w:rPr>
        <w:t>68</w:t>
      </w:r>
      <w:r w:rsidRPr="00AE0BB2">
        <w:rPr>
          <w:strike/>
          <w:color w:val="A20000"/>
        </w:rPr>
        <w:t>Ga</w:t>
      </w:r>
      <w:r w:rsidRPr="00372B5A">
        <w:rPr>
          <w:snapToGrid w:val="0"/>
        </w:rPr>
        <w:t xml:space="preserve"> prostate-specific membrane antigen</w:t>
      </w:r>
      <w:r>
        <w:rPr>
          <w:snapToGrid w:val="0"/>
        </w:rPr>
        <w:t xml:space="preserve"> (</w:t>
      </w:r>
      <w:r w:rsidRPr="00AE0BB2">
        <w:rPr>
          <w:strike/>
          <w:snapToGrid w:val="0"/>
          <w:color w:val="A20000"/>
        </w:rPr>
        <w:t>68Ga-</w:t>
      </w:r>
      <w:r>
        <w:rPr>
          <w:snapToGrid w:val="0"/>
        </w:rPr>
        <w:t>PSMA)</w:t>
      </w:r>
      <w:r w:rsidRPr="00372B5A">
        <w:rPr>
          <w:snapToGrid w:val="0"/>
        </w:rPr>
        <w:t xml:space="preserve"> </w:t>
      </w:r>
      <w:r>
        <w:rPr>
          <w:snapToGrid w:val="0"/>
        </w:rPr>
        <w:t>positron emission tomography (</w:t>
      </w:r>
      <w:r w:rsidRPr="00372B5A">
        <w:rPr>
          <w:snapToGrid w:val="0"/>
        </w:rPr>
        <w:t>PET</w:t>
      </w:r>
      <w:r>
        <w:rPr>
          <w:snapToGrid w:val="0"/>
        </w:rPr>
        <w:t>)</w:t>
      </w:r>
      <w:r w:rsidRPr="00AE0BB2">
        <w:rPr>
          <w:strike/>
          <w:snapToGrid w:val="0"/>
          <w:color w:val="A20000"/>
        </w:rPr>
        <w:t>/computerised tomography (CT)</w:t>
      </w:r>
      <w:r w:rsidRPr="00AE0BB2">
        <w:rPr>
          <w:snapToGrid w:val="0"/>
          <w:color w:val="A20000"/>
        </w:rPr>
        <w:t xml:space="preserve"> </w:t>
      </w:r>
      <w:r w:rsidRPr="00372B5A">
        <w:rPr>
          <w:snapToGrid w:val="0"/>
        </w:rPr>
        <w:t xml:space="preserve">study performed for patient selection for </w:t>
      </w:r>
      <w:r w:rsidRPr="00AE0BB2">
        <w:rPr>
          <w:snapToGrid w:val="0"/>
          <w:color w:val="A20000"/>
        </w:rPr>
        <w:t xml:space="preserve">patients who would be eligible for </w:t>
      </w:r>
      <w:r w:rsidRPr="00372B5A">
        <w:rPr>
          <w:snapToGrid w:val="0"/>
        </w:rPr>
        <w:t xml:space="preserve">PSMA targeted radioligand therapy </w:t>
      </w:r>
      <w:r w:rsidRPr="00AE0BB2">
        <w:rPr>
          <w:snapToGrid w:val="0"/>
          <w:color w:val="A20000"/>
        </w:rPr>
        <w:t>under item XXX</w:t>
      </w:r>
      <w:r w:rsidRPr="00AE0BB2">
        <w:rPr>
          <w:color w:val="A20000"/>
        </w:rPr>
        <w:t>X</w:t>
      </w:r>
      <w:r w:rsidRPr="00372B5A">
        <w:t>.</w:t>
      </w:r>
    </w:p>
    <w:p w14:paraId="17C6B678" w14:textId="77777777" w:rsidR="00AE7DDB" w:rsidRPr="00372B5A" w:rsidRDefault="00AE7DDB" w:rsidP="00AE7DDB">
      <w:pPr>
        <w:pStyle w:val="BoxText"/>
        <w:rPr>
          <w:snapToGrid w:val="0"/>
        </w:rPr>
      </w:pPr>
      <w:r w:rsidRPr="00372B5A">
        <w:rPr>
          <w:snapToGrid w:val="0"/>
        </w:rPr>
        <w:t>Applicable only once per lifetime</w:t>
      </w:r>
    </w:p>
    <w:p w14:paraId="3D52E2A6" w14:textId="77777777" w:rsidR="00AE7DDB" w:rsidRPr="00372B5A" w:rsidRDefault="00AE7DDB" w:rsidP="00AE7DDB">
      <w:pPr>
        <w:pStyle w:val="BoxText"/>
        <w:rPr>
          <w:snapToGrid w:val="0"/>
        </w:rPr>
      </w:pPr>
      <w:r w:rsidRPr="00372B5A">
        <w:rPr>
          <w:snapToGrid w:val="0"/>
        </w:rPr>
        <w:t>Fee: </w:t>
      </w:r>
      <w:r w:rsidRPr="00AE0BB2">
        <w:rPr>
          <w:snapToGrid w:val="0"/>
          <w:color w:val="A20000"/>
        </w:rPr>
        <w:t>$1,300.00 Benefit: 75% = $975.00 85% = $1,201.30</w:t>
      </w:r>
    </w:p>
    <w:p w14:paraId="06E2FA85" w14:textId="77777777" w:rsidR="00AE7DDB" w:rsidRDefault="00AE7DDB" w:rsidP="00C26822">
      <w:pPr>
        <w:tabs>
          <w:tab w:val="left" w:pos="3686"/>
        </w:tabs>
        <w:spacing w:after="240" w:line="256" w:lineRule="auto"/>
      </w:pPr>
      <w:r w:rsidRPr="005623E4">
        <w:rPr>
          <w:rFonts w:cs="Calibri"/>
        </w:rPr>
        <w:t xml:space="preserve">ESC noted and welcomed consultation input from </w:t>
      </w:r>
      <w:r>
        <w:rPr>
          <w:rFonts w:cs="Calibri"/>
        </w:rPr>
        <w:t>1</w:t>
      </w:r>
      <w:r w:rsidRPr="005623E4">
        <w:rPr>
          <w:rFonts w:cs="Calibri"/>
        </w:rPr>
        <w:t xml:space="preserve"> professional organisation</w:t>
      </w:r>
      <w:r>
        <w:rPr>
          <w:rFonts w:cs="Calibri"/>
        </w:rPr>
        <w:t xml:space="preserve"> (the Australasian Association of Nuclear Medicine Specialists) and 1 individual</w:t>
      </w:r>
      <w:r w:rsidRPr="005623E4">
        <w:rPr>
          <w:rFonts w:cs="Calibri"/>
        </w:rPr>
        <w:t xml:space="preserve"> </w:t>
      </w:r>
      <w:r>
        <w:rPr>
          <w:rFonts w:cs="Calibri"/>
        </w:rPr>
        <w:t xml:space="preserve">who was a medical specialist, both of which were supportive of the application. </w:t>
      </w:r>
    </w:p>
    <w:p w14:paraId="4CB18759" w14:textId="77777777" w:rsidR="00AE7DDB" w:rsidRPr="004B6373" w:rsidRDefault="00AE7DDB" w:rsidP="00C26822">
      <w:pPr>
        <w:spacing w:after="240"/>
      </w:pPr>
      <w:r>
        <w:t xml:space="preserve">ESC noted that in the VISION and </w:t>
      </w:r>
      <w:proofErr w:type="spellStart"/>
      <w:r>
        <w:t>TheraP</w:t>
      </w:r>
      <w:proofErr w:type="spellEnd"/>
      <w:r>
        <w:t xml:space="preserve"> trials, 85% and 90% of patients, respectively, met the nominated eligibility criteria for PSMA PET/CT, which is a high proportion and makes the requirement for prior testing potentially unclear especially when considered with </w:t>
      </w:r>
      <w:r w:rsidRPr="006A2251">
        <w:t>recent</w:t>
      </w:r>
      <w:r>
        <w:t xml:space="preserve"> retrospective</w:t>
      </w:r>
      <w:r w:rsidRPr="006A2251">
        <w:t xml:space="preserve"> data from the Re-SPECT study reported by Emmett (2023 )</w:t>
      </w:r>
      <w:r>
        <w:rPr>
          <w:rStyle w:val="FootnoteReference"/>
        </w:rPr>
        <w:footnoteReference w:id="9"/>
      </w:r>
      <w:r>
        <w:t xml:space="preserve"> which found that d</w:t>
      </w:r>
      <w:r w:rsidRPr="006A2251">
        <w:t xml:space="preserve">espite these uptake values, among men treated with </w:t>
      </w:r>
      <w:r w:rsidRPr="00F25C0E">
        <w:rPr>
          <w:vertAlign w:val="superscript"/>
        </w:rPr>
        <w:t>177</w:t>
      </w:r>
      <w:r w:rsidRPr="006A2251">
        <w:t xml:space="preserve">Lu PSMA </w:t>
      </w:r>
      <w:proofErr w:type="spellStart"/>
      <w:r w:rsidRPr="006A2251">
        <w:t>i&amp;t</w:t>
      </w:r>
      <w:proofErr w:type="spellEnd"/>
      <w:r w:rsidRPr="006A2251">
        <w:t>,</w:t>
      </w:r>
      <w:r>
        <w:t xml:space="preserve"> </w:t>
      </w:r>
      <w:r w:rsidRPr="006A2251">
        <w:t>31% were considered limited</w:t>
      </w:r>
      <w:r>
        <w:t xml:space="preserve"> or </w:t>
      </w:r>
      <w:r w:rsidRPr="006A2251">
        <w:t>non-responders</w:t>
      </w:r>
      <w:r>
        <w:t>. However, ESC noted in this respect that it was clinically inappropriate to treat patients with a futile therapy, especially if it is costly and therefore it was important for there to be a test which was sufficiently discriminatory between responders and non-responders.</w:t>
      </w:r>
    </w:p>
    <w:p w14:paraId="51A242AA" w14:textId="77777777" w:rsidR="00AE7DDB" w:rsidRDefault="00AE7DDB" w:rsidP="00C26822">
      <w:pPr>
        <w:spacing w:after="240"/>
      </w:pPr>
      <w:r>
        <w:t>ESC noted that the ADAR specified the comparator to be no diagnostic test.</w:t>
      </w:r>
      <w:r w:rsidRPr="00985E2C">
        <w:t xml:space="preserve"> </w:t>
      </w:r>
      <w:r>
        <w:t xml:space="preserve">ESC noted that the ADAR compared </w:t>
      </w:r>
      <w:r w:rsidRPr="00985E2C">
        <w:t xml:space="preserve">treatment with a PSMA targeted therapy </w:t>
      </w:r>
      <w:r>
        <w:t xml:space="preserve">with </w:t>
      </w:r>
      <w:r w:rsidRPr="00985E2C">
        <w:t xml:space="preserve">treatment with </w:t>
      </w:r>
      <w:r>
        <w:t>best supportive care (</w:t>
      </w:r>
      <w:r w:rsidRPr="00985E2C">
        <w:t>BSC</w:t>
      </w:r>
      <w:r>
        <w:t>)</w:t>
      </w:r>
      <w:r w:rsidRPr="00985E2C">
        <w:t xml:space="preserve"> or cabazitaxel </w:t>
      </w:r>
      <w:r>
        <w:t>based</w:t>
      </w:r>
      <w:r w:rsidRPr="00985E2C">
        <w:t xml:space="preserve"> on determination of eligibility using</w:t>
      </w:r>
      <w:r>
        <w:t xml:space="preserve"> imaging </w:t>
      </w:r>
      <w:r w:rsidRPr="00985E2C">
        <w:t>with Ga</w:t>
      </w:r>
      <w:r>
        <w:t>-</w:t>
      </w:r>
      <w:r w:rsidRPr="00985E2C">
        <w:t>68 PSMA</w:t>
      </w:r>
      <w:r>
        <w:t xml:space="preserve"> while the Commentary proposed that the ideal comparison should be between </w:t>
      </w:r>
      <w:r w:rsidRPr="00985E2C">
        <w:t>treatment with a PSMA targeted therapy</w:t>
      </w:r>
      <w:r>
        <w:t xml:space="preserve"> and no diagnostic test and </w:t>
      </w:r>
      <w:r w:rsidRPr="00985E2C">
        <w:t xml:space="preserve">treatment with a PSMA </w:t>
      </w:r>
      <w:r w:rsidRPr="00985E2C">
        <w:lastRenderedPageBreak/>
        <w:t>targeted therapy</w:t>
      </w:r>
      <w:r>
        <w:t xml:space="preserve"> based</w:t>
      </w:r>
      <w:r w:rsidRPr="00985E2C">
        <w:t xml:space="preserve"> on determination of eligibility using</w:t>
      </w:r>
      <w:r>
        <w:t xml:space="preserve"> imaging </w:t>
      </w:r>
      <w:r w:rsidRPr="00985E2C">
        <w:t>with Ga68 PSMA</w:t>
      </w:r>
      <w:r>
        <w:t xml:space="preserve"> (for which there was no evidence).</w:t>
      </w:r>
    </w:p>
    <w:p w14:paraId="58E44BB9" w14:textId="5F508018" w:rsidR="00AE7DDB" w:rsidRPr="00BD299A" w:rsidRDefault="00AE7DDB" w:rsidP="00C26822">
      <w:pPr>
        <w:spacing w:after="240"/>
      </w:pPr>
      <w:r>
        <w:t xml:space="preserve">However, ESC considered that an additional relevant comparison is between </w:t>
      </w:r>
      <w:r w:rsidRPr="009068F2">
        <w:rPr>
          <w:iCs/>
          <w:vertAlign w:val="superscript"/>
        </w:rPr>
        <w:t>68</w:t>
      </w:r>
      <w:r w:rsidRPr="009068F2">
        <w:rPr>
          <w:iCs/>
        </w:rPr>
        <w:t>Ga</w:t>
      </w:r>
      <w:r>
        <w:rPr>
          <w:iCs/>
        </w:rPr>
        <w:t xml:space="preserve">-PSMA PET/CT </w:t>
      </w:r>
      <w:r w:rsidRPr="00FA0D21">
        <w:t xml:space="preserve">with subsequent treatment with a PSMA targeted therapy versus </w:t>
      </w:r>
      <w:r>
        <w:t xml:space="preserve">other available radiopharmaceutical tracers used for </w:t>
      </w:r>
      <w:r w:rsidRPr="00FA0D21">
        <w:t>PSMA PET/CT</w:t>
      </w:r>
      <w:r>
        <w:t xml:space="preserve"> </w:t>
      </w:r>
      <w:r w:rsidRPr="00FA0D21">
        <w:t>with subsequent PSMA targeted therapy</w:t>
      </w:r>
      <w:r>
        <w:t xml:space="preserve"> (i.e. </w:t>
      </w:r>
      <w:r w:rsidRPr="00F25C0E">
        <w:rPr>
          <w:rStyle w:val="Strong"/>
          <w:b w:val="0"/>
          <w:bCs w:val="0"/>
          <w:vertAlign w:val="superscript"/>
        </w:rPr>
        <w:t>177</w:t>
      </w:r>
      <w:r w:rsidRPr="00644701">
        <w:rPr>
          <w:rStyle w:val="Strong"/>
          <w:b w:val="0"/>
          <w:bCs w:val="0"/>
        </w:rPr>
        <w:t>Lu PSMA</w:t>
      </w:r>
      <w:r>
        <w:rPr>
          <w:rStyle w:val="Strong"/>
          <w:b w:val="0"/>
          <w:bCs w:val="0"/>
        </w:rPr>
        <w:t xml:space="preserve"> therapy)</w:t>
      </w:r>
      <w:r w:rsidRPr="00FA0D21">
        <w:t xml:space="preserve">, to capture the relative benefit of the </w:t>
      </w:r>
      <w:r w:rsidRPr="009068F2">
        <w:rPr>
          <w:iCs/>
          <w:vertAlign w:val="superscript"/>
        </w:rPr>
        <w:t>68</w:t>
      </w:r>
      <w:r w:rsidRPr="009068F2">
        <w:rPr>
          <w:iCs/>
        </w:rPr>
        <w:t>Ga</w:t>
      </w:r>
      <w:r w:rsidRPr="00FA0D21">
        <w:t xml:space="preserve"> vs the </w:t>
      </w:r>
      <w:r>
        <w:t xml:space="preserve">-PSMA </w:t>
      </w:r>
      <w:r w:rsidRPr="00FA0D21">
        <w:t>PET/CT test</w:t>
      </w:r>
      <w:r>
        <w:t>.</w:t>
      </w:r>
    </w:p>
    <w:p w14:paraId="4939DB7D" w14:textId="77777777" w:rsidR="00AE7DDB" w:rsidRDefault="00AE7DDB" w:rsidP="00C26822">
      <w:pPr>
        <w:spacing w:after="240"/>
      </w:pPr>
      <w:r>
        <w:t xml:space="preserve">ESC noted that the ADAR provided no new clinical trial data on comparative safety or effectiveness for the diagnostic test. Clinical trial data for PSMA targeted therapy were from the VISION and </w:t>
      </w:r>
      <w:proofErr w:type="spellStart"/>
      <w:r>
        <w:t>TheraP</w:t>
      </w:r>
      <w:proofErr w:type="spellEnd"/>
      <w:r>
        <w:t xml:space="preserve"> trials, which were the evidence base for applications 1686/1686.1 so have already been considered by MSAC.</w:t>
      </w:r>
    </w:p>
    <w:p w14:paraId="4BA617BC" w14:textId="77777777" w:rsidR="00AE7DDB" w:rsidRPr="005D04AB" w:rsidRDefault="00AE7DDB" w:rsidP="00C26822">
      <w:pPr>
        <w:spacing w:after="240"/>
      </w:pPr>
      <w:r>
        <w:t xml:space="preserve">ESC noted that, in the trials, patients were selected based on results from both </w:t>
      </w:r>
      <w:r w:rsidRPr="009068F2">
        <w:rPr>
          <w:iCs/>
          <w:vertAlign w:val="superscript"/>
        </w:rPr>
        <w:t>68</w:t>
      </w:r>
      <w:r w:rsidRPr="009068F2">
        <w:rPr>
          <w:iCs/>
        </w:rPr>
        <w:t>Ga</w:t>
      </w:r>
      <w:r>
        <w:rPr>
          <w:iCs/>
        </w:rPr>
        <w:t xml:space="preserve"> PET/CT and fluorodeoxyglucose (FDG) PET/CT. However, ESC noted that FDG PET/CT is not part of the standard diagnostic imaging for prostate cancer, and there are different models on how much testing should be undertaken to select patients – for example, the Peter MacCallum Cancer Centre use both types of imaging, but the VISION trial only used PSMA PET/CT.</w:t>
      </w:r>
    </w:p>
    <w:p w14:paraId="3DE97285" w14:textId="77777777" w:rsidR="00AE7DDB" w:rsidRDefault="00AE7DDB" w:rsidP="00C26822">
      <w:pPr>
        <w:spacing w:after="240"/>
      </w:pPr>
      <w:r>
        <w:t>ESC noted that the economic evaluation used a base case weighted comparator of 75% cabazitaxel and 25% best supportive care (BSC). This resulted in an incremental cost-effectiveness ratio (ICER) of $165,086 per quality-adjusted life year (QALY). However, in its consideration of application 1686, MSAC had agreed that a weighting of 25% cabazitaxel and 75% BSC was more appropriate. This resulted in an ICER of $123,611/QALY.</w:t>
      </w:r>
    </w:p>
    <w:p w14:paraId="3FDB2F62" w14:textId="77777777" w:rsidR="00AE7DDB" w:rsidRDefault="00AE7DDB" w:rsidP="00C26822">
      <w:pPr>
        <w:spacing w:after="240"/>
      </w:pPr>
      <w:r>
        <w:t xml:space="preserve">ESC noted an applicability issue with the model insofar as for the comparison against cabazitaxel, efficacy data for both </w:t>
      </w:r>
      <w:r w:rsidRPr="00567EE0">
        <w:rPr>
          <w:vertAlign w:val="superscript"/>
        </w:rPr>
        <w:t>177</w:t>
      </w:r>
      <w:r w:rsidRPr="009033E0">
        <w:t xml:space="preserve">Lu PSMA </w:t>
      </w:r>
      <w:proofErr w:type="spellStart"/>
      <w:r>
        <w:t>i&amp;t</w:t>
      </w:r>
      <w:proofErr w:type="spellEnd"/>
      <w:r>
        <w:t xml:space="preserve"> and </w:t>
      </w:r>
      <w:proofErr w:type="spellStart"/>
      <w:r>
        <w:t>cabazitaxel</w:t>
      </w:r>
      <w:proofErr w:type="spellEnd"/>
      <w:r>
        <w:t xml:space="preserve"> were sourced from the </w:t>
      </w:r>
      <w:proofErr w:type="spellStart"/>
      <w:r>
        <w:t>TheraP</w:t>
      </w:r>
      <w:proofErr w:type="spellEnd"/>
      <w:r>
        <w:t xml:space="preserve"> trial which compared </w:t>
      </w:r>
      <w:r w:rsidRPr="00567EE0">
        <w:rPr>
          <w:vertAlign w:val="superscript"/>
        </w:rPr>
        <w:t>177</w:t>
      </w:r>
      <w:r w:rsidRPr="009033E0">
        <w:t xml:space="preserve">Lu PSMA </w:t>
      </w:r>
      <w:proofErr w:type="spellStart"/>
      <w:r>
        <w:t>i&amp;t</w:t>
      </w:r>
      <w:proofErr w:type="spellEnd"/>
      <w:r>
        <w:t xml:space="preserve"> against </w:t>
      </w:r>
      <w:proofErr w:type="spellStart"/>
      <w:r>
        <w:t>cabazitaxel</w:t>
      </w:r>
      <w:proofErr w:type="spellEnd"/>
      <w:r>
        <w:t xml:space="preserve">, whereas for the comparison against BSC, efficacy data for both </w:t>
      </w:r>
      <w:r w:rsidRPr="00567EE0">
        <w:rPr>
          <w:vertAlign w:val="superscript"/>
        </w:rPr>
        <w:t>177</w:t>
      </w:r>
      <w:r w:rsidRPr="009033E0">
        <w:t xml:space="preserve">Lu PSMA </w:t>
      </w:r>
      <w:proofErr w:type="spellStart"/>
      <w:r>
        <w:t>i&amp;t</w:t>
      </w:r>
      <w:proofErr w:type="spellEnd"/>
      <w:r>
        <w:t xml:space="preserve"> and BSC were sourced from the VISION trial which compared </w:t>
      </w:r>
      <w:r w:rsidRPr="00567EE0">
        <w:rPr>
          <w:vertAlign w:val="superscript"/>
        </w:rPr>
        <w:t>177</w:t>
      </w:r>
      <w:r w:rsidRPr="009033E0">
        <w:t>Lu PSMA</w:t>
      </w:r>
      <w:r>
        <w:t xml:space="preserve"> and BSC against BSC alone. ESC also noted that the economic model assumed that drug costs were zero because they were offset in both arms. However, ESC considered this may not be appropriate, as it assumes the same type and dosage of BSC drugs are used in both the intervention and comparator arms. In addition, ESC noted that this assumption meant that it was assumed there were </w:t>
      </w:r>
      <w:r w:rsidRPr="006051DA">
        <w:t xml:space="preserve">no BSC drug costs in the proportion of patients in the 177Lu-PSMA vs BSC comparison whereas the clinical evidence informing the survival curves incorporated BSC </w:t>
      </w:r>
      <w:r>
        <w:t xml:space="preserve">drug </w:t>
      </w:r>
      <w:r w:rsidRPr="006051DA">
        <w:t>use in both arms</w:t>
      </w:r>
      <w:r>
        <w:t xml:space="preserve">. </w:t>
      </w:r>
    </w:p>
    <w:p w14:paraId="56B59EFD" w14:textId="47820187" w:rsidR="00AE7DDB" w:rsidRDefault="00AE7DDB" w:rsidP="00C26822">
      <w:pPr>
        <w:spacing w:after="240"/>
      </w:pPr>
      <w:r>
        <w:t>ESC noted that the economic evaluation used a hybrid model of a decision tree and a partitioned survival model (PSM) with a proportional hazards approach. ESC noted that the models used Kaplan–Meier (KM) curves for each individual arm of the trials that were independently extrapolated using parametric curves, with extrapolation applied from when 10% of patients remained “at risk” and continuing to a 10-year time horizon. ESC noted that the 10-year time horizon, while consistent with the base case assumption for application 1686, had not been considered reasonable by MSAC. Subsequently, MSAC expressed a preference for a more conservative time horizon of 5 years, but considered a 7.5 year time horizon would be likely to be acceptable (</w:t>
      </w:r>
      <w:hyperlink r:id="rId30" w:history="1">
        <w:r w:rsidRPr="00757B84">
          <w:rPr>
            <w:rStyle w:val="Hyperlink"/>
          </w:rPr>
          <w:t>MSAC application 1686.1</w:t>
        </w:r>
      </w:hyperlink>
      <w:r>
        <w:t xml:space="preserve"> public summary document).</w:t>
      </w:r>
    </w:p>
    <w:p w14:paraId="10A12854" w14:textId="2B1AACE9" w:rsidR="00AE7DDB" w:rsidRDefault="00AE7DDB" w:rsidP="00C26822">
      <w:pPr>
        <w:spacing w:after="240"/>
      </w:pPr>
      <w:r>
        <w:t xml:space="preserve">ESC also noted that the model assumed that only patients remaining progression-free would continue with therapy, up to a maximum of 6 cycles. The ADAR for MSAC </w:t>
      </w:r>
      <w:r>
        <w:lastRenderedPageBreak/>
        <w:t xml:space="preserve">application 1686.1 (as considered by MSAC in July 2023) proposed splitting treatment into initial treatment (2 cycles) and continuing treatment (up to 4 cycles). The purpose of doing this was to ensure that re-evaluation occurred for eligibility, as retrospective data from the Re-SPECT suggested that a high percentage of patients progressed on or before the second cycle. For continuing treatment, only those who had not developed disease progression while receiving </w:t>
      </w:r>
      <w:r w:rsidRPr="009033E0">
        <w:rPr>
          <w:vertAlign w:val="superscript"/>
        </w:rPr>
        <w:t>177</w:t>
      </w:r>
      <w:r w:rsidRPr="009033E0">
        <w:t>Lu</w:t>
      </w:r>
      <w:r>
        <w:t xml:space="preserve"> PSMA </w:t>
      </w:r>
      <w:proofErr w:type="spellStart"/>
      <w:r>
        <w:t>i&amp;t</w:t>
      </w:r>
      <w:proofErr w:type="spellEnd"/>
      <w:r>
        <w:t xml:space="preserve"> for this condition would be eligible. ESC noted from the commentary that the implications for this regimen have not and could not be explored. However, the additional 4 cycles depended on not having disease progression, which was the same as the model – the only difference was the initial 2 cycles. The number of PSMA cycles in the model was 4.17.</w:t>
      </w:r>
    </w:p>
    <w:p w14:paraId="1194DEE2" w14:textId="1D25FEB7" w:rsidR="00AE7DDB" w:rsidRDefault="00AE7DDB" w:rsidP="00C26822">
      <w:pPr>
        <w:spacing w:after="240"/>
      </w:pPr>
      <w:r>
        <w:t xml:space="preserve">As discussed previously ESC considered that the economic evaluation was not capturing the correct comparison. ESC considered that an additional relevant comparison may be </w:t>
      </w:r>
      <w:r w:rsidRPr="00780066">
        <w:rPr>
          <w:vertAlign w:val="superscript"/>
        </w:rPr>
        <w:t>68</w:t>
      </w:r>
      <w:r>
        <w:t xml:space="preserve">Ga PSMA PET/CT with subsequent treatment with a PSMA targeted therapy vs </w:t>
      </w:r>
      <w:r w:rsidRPr="009033E0">
        <w:t>PSMA</w:t>
      </w:r>
      <w:r>
        <w:t xml:space="preserve"> PET/CT using other available radiopharmaceutical tracers with subsequent PSMA targeted therapy, as this would capture the relative benefit of </w:t>
      </w:r>
      <w:r w:rsidRPr="00780066">
        <w:rPr>
          <w:vertAlign w:val="superscript"/>
        </w:rPr>
        <w:t>68</w:t>
      </w:r>
      <w:r>
        <w:t>Ga PSMA PET/CT vs other available radiopharmaceutical tracers to be used with PSMA PET/CT.</w:t>
      </w:r>
    </w:p>
    <w:p w14:paraId="173738B4" w14:textId="77777777" w:rsidR="00AE7DDB" w:rsidRDefault="00AE7DDB" w:rsidP="00C26822">
      <w:pPr>
        <w:spacing w:after="240"/>
      </w:pPr>
      <w:r>
        <w:t xml:space="preserve">ESC noted that there were assumptions in the model regarding adverse event (AE) costs, and AE </w:t>
      </w:r>
      <w:proofErr w:type="spellStart"/>
      <w:r>
        <w:t>disutilities</w:t>
      </w:r>
      <w:proofErr w:type="spellEnd"/>
      <w:r>
        <w:t xml:space="preserve"> which favoured the </w:t>
      </w:r>
      <w:proofErr w:type="gramStart"/>
      <w:r>
        <w:t>intervention</w:t>
      </w:r>
      <w:proofErr w:type="gramEnd"/>
      <w:r>
        <w:t xml:space="preserve"> but these had a minor impact on the ICER. ESC noted that costs associated with the treatment of bone pain (e.g. opioids, </w:t>
      </w:r>
      <w:r w:rsidRPr="00472DED">
        <w:rPr>
          <w:vertAlign w:val="superscript"/>
        </w:rPr>
        <w:t>89</w:t>
      </w:r>
      <w:r>
        <w:t xml:space="preserve">strontium, local radiotherapy) were also not included, which assumes the same efficacy for </w:t>
      </w:r>
      <w:r w:rsidRPr="009033E0">
        <w:rPr>
          <w:vertAlign w:val="superscript"/>
        </w:rPr>
        <w:t>177</w:t>
      </w:r>
      <w:r w:rsidRPr="009033E0">
        <w:t>Lu</w:t>
      </w:r>
      <w:r>
        <w:t xml:space="preserve"> PSMA, BSC and cabazitaxel in addressing bone pain. ESC noted that the total cost of </w:t>
      </w:r>
      <w:r w:rsidRPr="009033E0">
        <w:rPr>
          <w:vertAlign w:val="superscript"/>
        </w:rPr>
        <w:t>177</w:t>
      </w:r>
      <w:r w:rsidRPr="009033E0">
        <w:t>Lu</w:t>
      </w:r>
      <w:r>
        <w:t xml:space="preserve"> PSMA treatment ($8,000) was assumed to be consistent with MSAC application 1686, although there were modifications to how the cost was generated.</w:t>
      </w:r>
    </w:p>
    <w:p w14:paraId="3C871880" w14:textId="77777777" w:rsidR="00AE7DDB" w:rsidRDefault="00AE7DDB" w:rsidP="00C26822">
      <w:pPr>
        <w:spacing w:after="240"/>
      </w:pPr>
      <w:r>
        <w:t xml:space="preserve">ESC noted that the main drivers of the economic model were the cost of </w:t>
      </w:r>
      <w:r w:rsidRPr="00CF43EB">
        <w:rPr>
          <w:vertAlign w:val="superscript"/>
        </w:rPr>
        <w:t>177</w:t>
      </w:r>
      <w:r w:rsidRPr="009033E0">
        <w:t>Lu PSMA</w:t>
      </w:r>
      <w:r>
        <w:t xml:space="preserve"> therapy, extrapolation of progression-free survival (PFS) and overall survival (OS) for both cabazitaxel and </w:t>
      </w:r>
      <w:r w:rsidRPr="00CF43EB">
        <w:rPr>
          <w:vertAlign w:val="superscript"/>
        </w:rPr>
        <w:t>177</w:t>
      </w:r>
      <w:r w:rsidRPr="009033E0">
        <w:t>Lu PSMA</w:t>
      </w:r>
      <w:r>
        <w:t xml:space="preserve">, the proportion of patients receiving cabazitaxel, and the time horizon (decreasing the time horizon to 5 years increased the ICER by approximately 46%). Also, the use of different utility measurement tools affected utility values as using two alternative instruments (the </w:t>
      </w:r>
      <w:r w:rsidRPr="00BE6040">
        <w:t>EORTC-8D and EQ-5D-5L instruments</w:t>
      </w:r>
      <w:r>
        <w:t>) reduced the ICER by 13% and 11% respectively. ESC also noted from the Commentary that Lloyd et al. (2015)</w:t>
      </w:r>
      <w:r>
        <w:rPr>
          <w:rStyle w:val="FootnoteReference"/>
        </w:rPr>
        <w:footnoteReference w:id="10"/>
      </w:r>
      <w:r>
        <w:t xml:space="preserve"> described four types of participants with </w:t>
      </w:r>
      <w:proofErr w:type="spellStart"/>
      <w:r>
        <w:t>mCRPC</w:t>
      </w:r>
      <w:proofErr w:type="spellEnd"/>
      <w:r>
        <w:t>, and that the populations used in the ADAR (populations 1 and 2) may be misleading; populations 3 and 4 (after failure of a</w:t>
      </w:r>
      <w:r w:rsidRPr="003B35A4">
        <w:t>ndrogen deprivation therapy</w:t>
      </w:r>
      <w:r>
        <w:t>, currently receiving chemotherapy or post-chemotherapy) appeared to be the most reflective of the proposed population for utilities for PFS.</w:t>
      </w:r>
    </w:p>
    <w:p w14:paraId="25C3A870" w14:textId="77777777" w:rsidR="00AE7DDB" w:rsidRDefault="00AE7DDB" w:rsidP="00C26822">
      <w:pPr>
        <w:spacing w:after="240"/>
      </w:pPr>
      <w:r>
        <w:t>ESC noted that an epidemiological approach was used to estimate the financial impacts. This relied on the eligible population numbers and many of the assumptions reported in MSAC application 1686. However, the ADAR made the following changes to the assumptions:</w:t>
      </w:r>
    </w:p>
    <w:p w14:paraId="5E21A488" w14:textId="77777777" w:rsidR="00AE7DDB" w:rsidRDefault="00AE7DDB" w:rsidP="00AE7DDB">
      <w:pPr>
        <w:pStyle w:val="ListParagraph"/>
        <w:widowControl w:val="0"/>
        <w:numPr>
          <w:ilvl w:val="0"/>
          <w:numId w:val="24"/>
        </w:numPr>
        <w:spacing w:after="240"/>
        <w:ind w:left="714" w:hanging="357"/>
      </w:pPr>
      <w:r>
        <w:t>Uptake in the first year for therapy is 25% (or 676 total eligible patients), increasing by 15% each year to 50.3% (1,451 patients) by Year 6. Evidence to support this assumption was not presented but the uptake was deemed reasonable by the Commentary because it assumes that at least half of the eligible patients will have access to this treatment by Year 6.</w:t>
      </w:r>
      <w:r w:rsidRPr="002F58AF" w:rsidDel="002F58AF">
        <w:rPr>
          <w:color w:val="FF0000"/>
        </w:rPr>
        <w:t xml:space="preserve"> </w:t>
      </w:r>
    </w:p>
    <w:p w14:paraId="4BB1D90F" w14:textId="77777777" w:rsidR="00AE7DDB" w:rsidRDefault="00AE7DDB" w:rsidP="00AE7DDB">
      <w:pPr>
        <w:pStyle w:val="ListParagraph"/>
        <w:widowControl w:val="0"/>
        <w:numPr>
          <w:ilvl w:val="0"/>
          <w:numId w:val="24"/>
        </w:numPr>
        <w:spacing w:after="240"/>
        <w:ind w:left="714" w:hanging="357"/>
      </w:pPr>
      <w:r>
        <w:lastRenderedPageBreak/>
        <w:t>The ADAR adjusts the population for whether they receive cabazitaxel or docetaxel as subsequent treatment. This is only applied to patients who are assumed to have progressed, which means that different proportions are receiving subsequent treatment across the arms. Although it is implied that patients who have progressed would receive subsequent therapy, the evidence used for this proportion only reports that 14.9% of the intention-to-treat population received subsequent treatment.</w:t>
      </w:r>
    </w:p>
    <w:p w14:paraId="00E1049F" w14:textId="77777777" w:rsidR="00AE7DDB" w:rsidRDefault="00AE7DDB" w:rsidP="00AE7DDB">
      <w:pPr>
        <w:pStyle w:val="ListParagraph"/>
        <w:widowControl w:val="0"/>
        <w:numPr>
          <w:ilvl w:val="0"/>
          <w:numId w:val="24"/>
        </w:numPr>
        <w:spacing w:after="240"/>
        <w:ind w:left="714" w:hanging="357"/>
      </w:pPr>
      <w:r>
        <w:t>The ADAR reports results based on a split of 75% cabazitaxel and 25% BSC in the comparator arm. However, based on the toxicity of cabazitaxel, this was adjusted in the Commentary to 25% cabazitaxel and 75% BSC.</w:t>
      </w:r>
    </w:p>
    <w:p w14:paraId="537AF804" w14:textId="77777777" w:rsidR="00AE7DDB" w:rsidRDefault="00AE7DDB" w:rsidP="00AE7DDB">
      <w:pPr>
        <w:pStyle w:val="ListParagraph"/>
        <w:widowControl w:val="0"/>
        <w:numPr>
          <w:ilvl w:val="0"/>
          <w:numId w:val="24"/>
        </w:numPr>
        <w:spacing w:after="240"/>
        <w:ind w:left="714" w:hanging="357"/>
      </w:pPr>
      <w:r>
        <w:t>The ADAR applies different assumptions about the number of PSMA targeted therapy cycles a patient will receive based on whether they will be eligible for cabazitaxel or not. The Commentary adjusted this to an average of 4.17 cycles.</w:t>
      </w:r>
    </w:p>
    <w:p w14:paraId="2F898A65" w14:textId="77777777" w:rsidR="00AE7DDB" w:rsidRDefault="00AE7DDB" w:rsidP="00AE7DDB">
      <w:pPr>
        <w:pStyle w:val="ListParagraph"/>
        <w:widowControl w:val="0"/>
        <w:numPr>
          <w:ilvl w:val="0"/>
          <w:numId w:val="24"/>
        </w:numPr>
        <w:spacing w:after="240"/>
        <w:ind w:left="714" w:hanging="357"/>
      </w:pPr>
      <w:r>
        <w:t>For the net cost, the ADAR applies the 15% patient reimbursement to the PET scan and the PSMA targeted therapy. However, the greatest permissible gap of $98.70 applies, as these are outpatient procedures that are greater than $658.35 (as of November 2023). This has been adjusted for by the Commentary.</w:t>
      </w:r>
    </w:p>
    <w:p w14:paraId="4A8F1AEF" w14:textId="35EC38B3" w:rsidR="00AE7DDB" w:rsidRDefault="00AE7DDB" w:rsidP="00C26822">
      <w:pPr>
        <w:spacing w:after="240"/>
      </w:pPr>
      <w:r>
        <w:t xml:space="preserve">ESC noted that the </w:t>
      </w:r>
      <w:r w:rsidRPr="00EE73DA">
        <w:t xml:space="preserve">net </w:t>
      </w:r>
      <w:r>
        <w:t>cost</w:t>
      </w:r>
      <w:r w:rsidRPr="00EE73DA">
        <w:t xml:space="preserve"> to the MBS of PSMA PET/CT</w:t>
      </w:r>
      <w:r>
        <w:t xml:space="preserve"> alone is </w:t>
      </w:r>
      <w:r w:rsidRPr="00EE73DA">
        <w:t>$</w:t>
      </w:r>
      <w:r>
        <w:t>1.3</w:t>
      </w:r>
      <w:r w:rsidRPr="00EE73DA">
        <w:t xml:space="preserve"> million in Year 1 increasing to $</w:t>
      </w:r>
      <w:r>
        <w:t>2.8</w:t>
      </w:r>
      <w:r w:rsidRPr="00EE73DA">
        <w:t xml:space="preserve"> million in Year 6 </w:t>
      </w:r>
      <w:r>
        <w:t xml:space="preserve">while the net financial impact for the whole combined test and therapy was estimated to be $19.9 million in Year 1 increasing to $42.7 million in Year 6 while adjustments to the inputs by the commentary increased the impact to $23.2 million in Year 1 to $49.9 million in Year 6. Based on analyses presented in the ADAR, the main area of uncertainty was the proportion of patients taking up the therapy. In the pre-ESC response, the applicant provided updated financial estimates with updated costs as suggested in the Commentary </w:t>
      </w:r>
      <w:proofErr w:type="gramStart"/>
      <w:r>
        <w:t>taking into account</w:t>
      </w:r>
      <w:proofErr w:type="gramEnd"/>
      <w:r>
        <w:t xml:space="preserve"> the</w:t>
      </w:r>
      <w:r w:rsidRPr="007D5888">
        <w:t xml:space="preserve"> recent November 2023 Medicare Benefits Schedule (MBS) updates</w:t>
      </w:r>
      <w:r>
        <w:t xml:space="preserve"> and Greatest Permissible Gap (GPG). This resulted in a net financial impact to the MBS of $33.6 million in Year 1 increasing to $72.5 million in Year 6.</w:t>
      </w:r>
    </w:p>
    <w:p w14:paraId="506F8CC5" w14:textId="77777777" w:rsidR="00AE7DDB" w:rsidRDefault="00AE7DDB" w:rsidP="00AE7DDB">
      <w:pPr>
        <w:pStyle w:val="Heading2"/>
        <w:numPr>
          <w:ilvl w:val="0"/>
          <w:numId w:val="0"/>
        </w:numPr>
      </w:pPr>
      <w:r>
        <w:t>17.</w:t>
      </w:r>
      <w:r>
        <w:tab/>
        <w:t>Applicant comments on MSAC’s Public Summary Document</w:t>
      </w:r>
    </w:p>
    <w:p w14:paraId="2DA82D31" w14:textId="77777777" w:rsidR="00FE5E2A" w:rsidRPr="00B96225" w:rsidRDefault="00FE5E2A" w:rsidP="00FE5E2A">
      <w:pPr>
        <w:rPr>
          <w:sz w:val="32"/>
          <w:szCs w:val="32"/>
          <w:lang w:eastAsia="en-GB"/>
        </w:rPr>
      </w:pPr>
      <w:proofErr w:type="spellStart"/>
      <w:r w:rsidRPr="00B96225">
        <w:rPr>
          <w:color w:val="000000"/>
          <w:lang w:eastAsia="en-GB"/>
        </w:rPr>
        <w:t>Telix</w:t>
      </w:r>
      <w:proofErr w:type="spellEnd"/>
      <w:r w:rsidRPr="00B96225">
        <w:rPr>
          <w:color w:val="000000"/>
          <w:lang w:eastAsia="en-GB"/>
        </w:rPr>
        <w:t xml:space="preserve"> Pharmaceuticals thanks the MSAC and its subcommittees for consideration of this application and looks forward to progressing this application further such that Medicare funding for 68Ga PSMA-11 PET/CT imaging for patients who are candidates for PSMA targeted therapy is publicly reimbursed to allow prostate cancer patients access.</w:t>
      </w:r>
    </w:p>
    <w:p w14:paraId="3863C3C6" w14:textId="77777777" w:rsidR="00AE7DDB" w:rsidRDefault="00AE7DDB" w:rsidP="00AE7DDB">
      <w:pPr>
        <w:pStyle w:val="Heading2"/>
        <w:numPr>
          <w:ilvl w:val="0"/>
          <w:numId w:val="0"/>
        </w:numPr>
      </w:pPr>
      <w:r>
        <w:t>18.</w:t>
      </w:r>
      <w:r>
        <w:tab/>
        <w:t>Further information on MSAC</w:t>
      </w:r>
    </w:p>
    <w:p w14:paraId="3C636703" w14:textId="611B9314" w:rsidR="00AE7DDB" w:rsidRPr="00AE7DDB" w:rsidRDefault="00AE7DDB" w:rsidP="00AE7DDB">
      <w:pPr>
        <w:pStyle w:val="BodyText"/>
        <w:rPr>
          <w:b/>
          <w:bCs/>
          <w:i/>
          <w:iCs/>
        </w:rPr>
      </w:pPr>
      <w:r w:rsidRPr="00F309FA">
        <w:rPr>
          <w:bCs/>
          <w:iCs/>
        </w:rPr>
        <w:t xml:space="preserve">MSAC Terms of Reference and other information are available on the MSAC Website: </w:t>
      </w:r>
      <w:hyperlink r:id="rId31" w:tooltip="Link to the MSAC website" w:history="1">
        <w:r w:rsidRPr="00F309FA">
          <w:rPr>
            <w:rStyle w:val="Hyperlink"/>
            <w:bCs/>
            <w:iCs/>
          </w:rPr>
          <w:t>visit the MSAC website</w:t>
        </w:r>
      </w:hyperlink>
    </w:p>
    <w:sectPr w:rsidR="00AE7DDB" w:rsidRPr="00AE7DDB" w:rsidSect="00CB50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C68ED" w14:textId="77777777" w:rsidR="00E25476" w:rsidRDefault="00E25476" w:rsidP="00B62DF2">
      <w:r>
        <w:separator/>
      </w:r>
    </w:p>
  </w:endnote>
  <w:endnote w:type="continuationSeparator" w:id="0">
    <w:p w14:paraId="1CC29D4C" w14:textId="77777777" w:rsidR="00E25476" w:rsidRDefault="00E25476" w:rsidP="00B62DF2">
      <w:r>
        <w:continuationSeparator/>
      </w:r>
    </w:p>
  </w:endnote>
  <w:endnote w:type="continuationNotice" w:id="1">
    <w:p w14:paraId="6E5DA1BA" w14:textId="77777777" w:rsidR="00E25476" w:rsidRDefault="00E25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460831"/>
      <w:docPartObj>
        <w:docPartGallery w:val="Page Numbers (Bottom of Page)"/>
        <w:docPartUnique/>
      </w:docPartObj>
    </w:sdtPr>
    <w:sdtEndPr>
      <w:rPr>
        <w:noProof/>
      </w:rPr>
    </w:sdtEndPr>
    <w:sdtContent>
      <w:p w14:paraId="6E76D499" w14:textId="79CA8AF0" w:rsidR="005947B5" w:rsidRDefault="005947B5" w:rsidP="007425AC">
        <w:pPr>
          <w:pStyle w:val="Footer"/>
          <w:jc w:val="right"/>
        </w:pPr>
        <w:r w:rsidRPr="00A73BAC">
          <w:fldChar w:fldCharType="begin"/>
        </w:r>
        <w:r w:rsidRPr="00A73BAC">
          <w:instrText xml:space="preserve"> PAGE   \* MERGEFORMAT </w:instrText>
        </w:r>
        <w:r w:rsidRPr="00A73BAC">
          <w:fldChar w:fldCharType="separate"/>
        </w:r>
        <w:r w:rsidR="00120BD3" w:rsidRPr="00A73BAC">
          <w:rPr>
            <w:noProof/>
          </w:rPr>
          <w:t>22</w:t>
        </w:r>
        <w:r w:rsidRPr="00A73BAC">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4847"/>
      <w:docPartObj>
        <w:docPartGallery w:val="Page Numbers (Bottom of Page)"/>
        <w:docPartUnique/>
      </w:docPartObj>
    </w:sdtPr>
    <w:sdtEndPr>
      <w:rPr>
        <w:noProof/>
      </w:rPr>
    </w:sdtEndPr>
    <w:sdtContent>
      <w:p w14:paraId="6BE9385A" w14:textId="09F168EE" w:rsidR="005947B5" w:rsidRDefault="005947B5" w:rsidP="00052DD3">
        <w:pPr>
          <w:pStyle w:val="Footer"/>
          <w:jc w:val="right"/>
        </w:pPr>
        <w:r>
          <w:fldChar w:fldCharType="begin"/>
        </w:r>
        <w:r>
          <w:instrText xml:space="preserve"> PAGE   \* MERGEFORMAT </w:instrText>
        </w:r>
        <w:r>
          <w:fldChar w:fldCharType="separate"/>
        </w:r>
        <w:r w:rsidR="00120BD3">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5DC10" w14:textId="77777777" w:rsidR="00014848" w:rsidRDefault="00014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1B8D6" w14:textId="77777777" w:rsidR="00E25476" w:rsidRDefault="00E25476" w:rsidP="00B62DF2">
      <w:r>
        <w:separator/>
      </w:r>
    </w:p>
  </w:footnote>
  <w:footnote w:type="continuationSeparator" w:id="0">
    <w:p w14:paraId="644A4B7C" w14:textId="77777777" w:rsidR="00E25476" w:rsidRDefault="00E25476" w:rsidP="00B62DF2">
      <w:r>
        <w:continuationSeparator/>
      </w:r>
    </w:p>
  </w:footnote>
  <w:footnote w:type="continuationNotice" w:id="1">
    <w:p w14:paraId="310E3C2F" w14:textId="77777777" w:rsidR="00E25476" w:rsidRDefault="00E25476"/>
  </w:footnote>
  <w:footnote w:id="2">
    <w:p w14:paraId="255170E9" w14:textId="77777777" w:rsidR="00852087" w:rsidRDefault="00852087" w:rsidP="00852087">
      <w:pPr>
        <w:pStyle w:val="FootnoteText"/>
      </w:pPr>
      <w:r>
        <w:rPr>
          <w:rStyle w:val="FootnoteReference"/>
        </w:rPr>
        <w:footnoteRef/>
      </w:r>
      <w:r>
        <w:t xml:space="preserve"> </w:t>
      </w:r>
      <w:r w:rsidRPr="00900C5D">
        <w:t>Emmett L, John N, Pathmanandavel S, Counter W, Ayers M, Sharma S et al. (2023). Patient outcomes following a response biomarker-guided approach to treatment using 177Lu-PSMA-I&amp;T in men with metastatic castrate-resistant prostate cancer (Re-SPECT). Ther Adv Med Oncol 15:1–11.</w:t>
      </w:r>
    </w:p>
  </w:footnote>
  <w:footnote w:id="3">
    <w:p w14:paraId="4B2D0403" w14:textId="5422166E" w:rsidR="00B55764" w:rsidRPr="00B55764" w:rsidRDefault="00B55764">
      <w:pPr>
        <w:pStyle w:val="FootnoteText"/>
        <w:rPr>
          <w:lang w:val="en-US"/>
        </w:rPr>
      </w:pPr>
      <w:r>
        <w:rPr>
          <w:rStyle w:val="FootnoteReference"/>
        </w:rPr>
        <w:footnoteRef/>
      </w:r>
      <w:r>
        <w:t xml:space="preserve"> </w:t>
      </w:r>
      <w:r w:rsidRPr="00B55764">
        <w:t>https://www.health.gov.au/topics/diagnostic-imaging/mri-and-pet-locations/PET-Australia#pet-units-in-australian-capital-territory [ accessed 28 November 2023]</w:t>
      </w:r>
    </w:p>
  </w:footnote>
  <w:footnote w:id="4">
    <w:p w14:paraId="0645DC03" w14:textId="2B2AAABE" w:rsidR="00C40098" w:rsidRPr="00C40098" w:rsidRDefault="00C40098">
      <w:pPr>
        <w:pStyle w:val="FootnoteText"/>
        <w:rPr>
          <w:lang w:val="en-US"/>
        </w:rPr>
      </w:pPr>
      <w:r>
        <w:rPr>
          <w:rStyle w:val="FootnoteReference"/>
        </w:rPr>
        <w:footnoteRef/>
      </w:r>
      <w:r>
        <w:t xml:space="preserve"> </w:t>
      </w:r>
      <w:r w:rsidRPr="00C40098">
        <w:t>Emmett L, John N, Pathmanandavel S, et al. Patient outcomes following a response biomarker-guided approach to treatment using 177Lu-PSMA-I&amp;T in men with metastatic castrate-resistant prostate cancer (Re-SPECT). Therapeutic Advances in Medical Oncology. 2023;15. doi:10.1177/17588359231156392</w:t>
      </w:r>
    </w:p>
  </w:footnote>
  <w:footnote w:id="5">
    <w:p w14:paraId="1AB1EBF9" w14:textId="58800ADD" w:rsidR="004931F2" w:rsidRDefault="004931F2">
      <w:pPr>
        <w:pStyle w:val="FootnoteText"/>
      </w:pPr>
      <w:r>
        <w:rPr>
          <w:rStyle w:val="FootnoteReference"/>
        </w:rPr>
        <w:footnoteRef/>
      </w:r>
      <w:r>
        <w:t xml:space="preserve"> </w:t>
      </w:r>
      <w:r w:rsidR="00F9459C" w:rsidRPr="00F9459C">
        <w:t>Dietlein F,</w:t>
      </w:r>
      <w:r w:rsidR="00F9459C">
        <w:t xml:space="preserve"> et al</w:t>
      </w:r>
      <w:r w:rsidR="00F9459C" w:rsidRPr="00F9459C">
        <w:t>. PSA-Stratified Performance of 18F- and 68Ga-PSMA PET in Patients with Biochemical Recurrence of Prostate Cancer. J Nucl Med. 2017 Jun;58(6):947-952. doi: 10.2967/jnumed.116.185538. Epub 2016 Dec 1. PMID: 27908968.</w:t>
      </w:r>
    </w:p>
  </w:footnote>
  <w:footnote w:id="6">
    <w:p w14:paraId="006C551E" w14:textId="7345CE02" w:rsidR="004111A4" w:rsidRDefault="004111A4">
      <w:pPr>
        <w:pStyle w:val="FootnoteText"/>
      </w:pPr>
      <w:r>
        <w:rPr>
          <w:rStyle w:val="FootnoteReference"/>
        </w:rPr>
        <w:footnoteRef/>
      </w:r>
      <w:r>
        <w:t xml:space="preserve"> </w:t>
      </w:r>
      <w:r w:rsidRPr="004111A4">
        <w:t>Kuten J,</w:t>
      </w:r>
      <w:r>
        <w:t xml:space="preserve"> et al</w:t>
      </w:r>
      <w:r w:rsidRPr="004111A4">
        <w:t>. Head-to-Head Comparison of 68Ga-PSMA-11 with 18F-PSMA-1007 PET/CT in Staging Prostate Cancer Using Histopathology and Immunohistochemical Analysis as a Reference Standard. J Nucl Med. 2020 Apr;61(4):527-532. doi: 10.2967/jnumed.119.234187. Epub 2019 Sep 27. PMID: 31562225.</w:t>
      </w:r>
    </w:p>
  </w:footnote>
  <w:footnote w:id="7">
    <w:p w14:paraId="6F091F48" w14:textId="77777777" w:rsidR="00AE7DDB" w:rsidRDefault="00AE7DDB" w:rsidP="00AE7DDB">
      <w:pPr>
        <w:pStyle w:val="FootnoteText"/>
      </w:pPr>
      <w:r>
        <w:rPr>
          <w:rStyle w:val="FootnoteReference"/>
        </w:rPr>
        <w:footnoteRef/>
      </w:r>
      <w:r>
        <w:t xml:space="preserve"> </w:t>
      </w:r>
      <w:r w:rsidRPr="00592817">
        <w:t xml:space="preserve">Sartor, O., et al., </w:t>
      </w:r>
      <w:r w:rsidRPr="00592817">
        <w:rPr>
          <w:i/>
        </w:rPr>
        <w:t>Lutetium-177-PSMA-617 for Metastatic Castration-Resistant Prostate Cancer.</w:t>
      </w:r>
      <w:r w:rsidRPr="00592817">
        <w:t xml:space="preserve"> The New England journal of medicine, 2021. </w:t>
      </w:r>
      <w:r w:rsidRPr="00592817">
        <w:rPr>
          <w:b/>
        </w:rPr>
        <w:t>385</w:t>
      </w:r>
      <w:r w:rsidRPr="00592817">
        <w:t>(12): p. 1091</w:t>
      </w:r>
      <w:r w:rsidRPr="00592817">
        <w:rPr>
          <w:rFonts w:ascii="Cambria Math" w:hAnsi="Cambria Math" w:cs="Cambria Math"/>
        </w:rPr>
        <w:t>‐</w:t>
      </w:r>
      <w:r w:rsidRPr="00592817">
        <w:t>1103</w:t>
      </w:r>
      <w:r>
        <w:t xml:space="preserve">. </w:t>
      </w:r>
    </w:p>
  </w:footnote>
  <w:footnote w:id="8">
    <w:p w14:paraId="4C0212E7" w14:textId="77777777" w:rsidR="00AE7DDB" w:rsidRDefault="00AE7DDB" w:rsidP="00AE7DDB">
      <w:pPr>
        <w:pStyle w:val="FootnoteText"/>
      </w:pPr>
      <w:r>
        <w:rPr>
          <w:rStyle w:val="FootnoteReference"/>
        </w:rPr>
        <w:footnoteRef/>
      </w:r>
      <w:r>
        <w:t xml:space="preserve"> </w:t>
      </w:r>
      <w:r w:rsidRPr="00592817">
        <w:t xml:space="preserve">Hofman, M.S., et al., </w:t>
      </w:r>
      <w:r w:rsidRPr="00592817">
        <w:rPr>
          <w:i/>
        </w:rPr>
        <w:t>[(177)Lu]Lu-PSMA-617 versus cabazitaxel in patients with metastatic castration-resistant prostate cancer (TheraP): a randomised, open-label, phase 2 trial.</w:t>
      </w:r>
      <w:r w:rsidRPr="00592817">
        <w:t xml:space="preserve"> Lancet, 2021. </w:t>
      </w:r>
      <w:r w:rsidRPr="00592817">
        <w:rPr>
          <w:b/>
        </w:rPr>
        <w:t>397</w:t>
      </w:r>
      <w:r w:rsidRPr="00592817">
        <w:t>(10276): p. 797-804</w:t>
      </w:r>
    </w:p>
  </w:footnote>
  <w:footnote w:id="9">
    <w:p w14:paraId="069C0A9A" w14:textId="77777777" w:rsidR="00AE7DDB" w:rsidRDefault="00AE7DDB" w:rsidP="00AE7DDB">
      <w:pPr>
        <w:pStyle w:val="FootnoteText"/>
      </w:pPr>
      <w:r>
        <w:rPr>
          <w:rStyle w:val="FootnoteReference"/>
        </w:rPr>
        <w:footnoteRef/>
      </w:r>
      <w:r>
        <w:t xml:space="preserve"> Emmett L, John N, Pathmanandavel S, Counter W, Ayers M, Sharma S et al. (2023). Patient outcomes following a response biomarker-guided approach to treatment using 177Lu-PSMA-I&amp;T in men with metastatic castrate-resistant prostate cancer (Re-SPECT). Ther Adv Med Oncol 15:1–11.</w:t>
      </w:r>
    </w:p>
  </w:footnote>
  <w:footnote w:id="10">
    <w:p w14:paraId="2B4F71E4" w14:textId="77777777" w:rsidR="00AE7DDB" w:rsidRDefault="00AE7DDB" w:rsidP="00AE7DDB">
      <w:pPr>
        <w:pStyle w:val="FootnoteText"/>
      </w:pPr>
      <w:r>
        <w:rPr>
          <w:rStyle w:val="FootnoteReference"/>
        </w:rPr>
        <w:footnoteRef/>
      </w:r>
      <w:r>
        <w:t xml:space="preserve"> </w:t>
      </w:r>
      <w:r w:rsidRPr="005B7EB5">
        <w:t>Lloyd</w:t>
      </w:r>
      <w:r>
        <w:t xml:space="preserve"> et al</w:t>
      </w:r>
      <w:r w:rsidRPr="005B7EB5">
        <w:t>. Health-Related Quality of Life and Health Utilities in Metastatic Castrate-Resistant Prostate Cancer: A Survey Capturing Experiences from a Diverse Sample of UK Patients. Value Health. 2015 Dec;18(8):1152-7. doi: 10.1016/j.jval.2015.08.012. Epub 2015 Oct 21. PMID: 26686802.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32B96" w14:textId="77777777" w:rsidR="00014848" w:rsidRDefault="00014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44670" w14:textId="77777777" w:rsidR="00014848" w:rsidRDefault="00014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3F79E" w14:textId="77777777" w:rsidR="00014848" w:rsidRDefault="00014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93BD7"/>
    <w:multiLevelType w:val="hybridMultilevel"/>
    <w:tmpl w:val="9412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71B1B"/>
    <w:multiLevelType w:val="multilevel"/>
    <w:tmpl w:val="3B88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1627C"/>
    <w:multiLevelType w:val="hybridMultilevel"/>
    <w:tmpl w:val="18C0C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3C7FB3"/>
    <w:multiLevelType w:val="hybridMultilevel"/>
    <w:tmpl w:val="8EE0B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52F63"/>
    <w:multiLevelType w:val="hybridMultilevel"/>
    <w:tmpl w:val="65B42EEA"/>
    <w:lvl w:ilvl="0" w:tplc="0809000F">
      <w:start w:val="1"/>
      <w:numFmt w:val="decimal"/>
      <w:lvlText w:val="%1."/>
      <w:lvlJc w:val="left"/>
      <w:pPr>
        <w:ind w:left="1452" w:hanging="360"/>
      </w:pPr>
    </w:lvl>
    <w:lvl w:ilvl="1" w:tplc="08090019" w:tentative="1">
      <w:start w:val="1"/>
      <w:numFmt w:val="lowerLetter"/>
      <w:lvlText w:val="%2."/>
      <w:lvlJc w:val="left"/>
      <w:pPr>
        <w:ind w:left="2172" w:hanging="360"/>
      </w:pPr>
    </w:lvl>
    <w:lvl w:ilvl="2" w:tplc="0809001B" w:tentative="1">
      <w:start w:val="1"/>
      <w:numFmt w:val="lowerRoman"/>
      <w:lvlText w:val="%3."/>
      <w:lvlJc w:val="right"/>
      <w:pPr>
        <w:ind w:left="2892" w:hanging="180"/>
      </w:pPr>
    </w:lvl>
    <w:lvl w:ilvl="3" w:tplc="0809000F" w:tentative="1">
      <w:start w:val="1"/>
      <w:numFmt w:val="decimal"/>
      <w:lvlText w:val="%4."/>
      <w:lvlJc w:val="left"/>
      <w:pPr>
        <w:ind w:left="3612" w:hanging="360"/>
      </w:pPr>
    </w:lvl>
    <w:lvl w:ilvl="4" w:tplc="08090019" w:tentative="1">
      <w:start w:val="1"/>
      <w:numFmt w:val="lowerLetter"/>
      <w:lvlText w:val="%5."/>
      <w:lvlJc w:val="left"/>
      <w:pPr>
        <w:ind w:left="4332" w:hanging="360"/>
      </w:pPr>
    </w:lvl>
    <w:lvl w:ilvl="5" w:tplc="0809001B" w:tentative="1">
      <w:start w:val="1"/>
      <w:numFmt w:val="lowerRoman"/>
      <w:lvlText w:val="%6."/>
      <w:lvlJc w:val="right"/>
      <w:pPr>
        <w:ind w:left="5052" w:hanging="180"/>
      </w:pPr>
    </w:lvl>
    <w:lvl w:ilvl="6" w:tplc="0809000F" w:tentative="1">
      <w:start w:val="1"/>
      <w:numFmt w:val="decimal"/>
      <w:lvlText w:val="%7."/>
      <w:lvlJc w:val="left"/>
      <w:pPr>
        <w:ind w:left="5772" w:hanging="360"/>
      </w:pPr>
    </w:lvl>
    <w:lvl w:ilvl="7" w:tplc="08090019" w:tentative="1">
      <w:start w:val="1"/>
      <w:numFmt w:val="lowerLetter"/>
      <w:lvlText w:val="%8."/>
      <w:lvlJc w:val="left"/>
      <w:pPr>
        <w:ind w:left="6492" w:hanging="360"/>
      </w:pPr>
    </w:lvl>
    <w:lvl w:ilvl="8" w:tplc="0809001B" w:tentative="1">
      <w:start w:val="1"/>
      <w:numFmt w:val="lowerRoman"/>
      <w:lvlText w:val="%9."/>
      <w:lvlJc w:val="right"/>
      <w:pPr>
        <w:ind w:left="7212" w:hanging="180"/>
      </w:pPr>
    </w:lvl>
  </w:abstractNum>
  <w:abstractNum w:abstractNumId="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F67AD"/>
    <w:multiLevelType w:val="hybridMultilevel"/>
    <w:tmpl w:val="3968D310"/>
    <w:lvl w:ilvl="0" w:tplc="FFFFFFFF">
      <w:start w:val="1"/>
      <w:numFmt w:val="bullet"/>
      <w:lvlText w:val="•"/>
      <w:lvlJc w:val="left"/>
      <w:pPr>
        <w:ind w:left="732" w:hanging="360"/>
      </w:pPr>
      <w:rPr>
        <w:rFonts w:ascii="Franklin Gothic Book" w:hAnsi="Franklin Gothic Book" w:hint="default"/>
      </w:rPr>
    </w:lvl>
    <w:lvl w:ilvl="1" w:tplc="40090003" w:tentative="1">
      <w:start w:val="1"/>
      <w:numFmt w:val="bullet"/>
      <w:lvlText w:val="o"/>
      <w:lvlJc w:val="left"/>
      <w:pPr>
        <w:ind w:left="1626" w:hanging="360"/>
      </w:pPr>
      <w:rPr>
        <w:rFonts w:ascii="Courier New" w:hAnsi="Courier New" w:cs="Courier New" w:hint="default"/>
      </w:rPr>
    </w:lvl>
    <w:lvl w:ilvl="2" w:tplc="40090005" w:tentative="1">
      <w:start w:val="1"/>
      <w:numFmt w:val="bullet"/>
      <w:lvlText w:val=""/>
      <w:lvlJc w:val="left"/>
      <w:pPr>
        <w:ind w:left="2346" w:hanging="360"/>
      </w:pPr>
      <w:rPr>
        <w:rFonts w:ascii="Wingdings" w:hAnsi="Wingdings" w:hint="default"/>
      </w:rPr>
    </w:lvl>
    <w:lvl w:ilvl="3" w:tplc="40090001" w:tentative="1">
      <w:start w:val="1"/>
      <w:numFmt w:val="bullet"/>
      <w:lvlText w:val=""/>
      <w:lvlJc w:val="left"/>
      <w:pPr>
        <w:ind w:left="3066" w:hanging="360"/>
      </w:pPr>
      <w:rPr>
        <w:rFonts w:ascii="Symbol" w:hAnsi="Symbol" w:hint="default"/>
      </w:rPr>
    </w:lvl>
    <w:lvl w:ilvl="4" w:tplc="40090003" w:tentative="1">
      <w:start w:val="1"/>
      <w:numFmt w:val="bullet"/>
      <w:lvlText w:val="o"/>
      <w:lvlJc w:val="left"/>
      <w:pPr>
        <w:ind w:left="3786" w:hanging="360"/>
      </w:pPr>
      <w:rPr>
        <w:rFonts w:ascii="Courier New" w:hAnsi="Courier New" w:cs="Courier New" w:hint="default"/>
      </w:rPr>
    </w:lvl>
    <w:lvl w:ilvl="5" w:tplc="40090005" w:tentative="1">
      <w:start w:val="1"/>
      <w:numFmt w:val="bullet"/>
      <w:lvlText w:val=""/>
      <w:lvlJc w:val="left"/>
      <w:pPr>
        <w:ind w:left="4506" w:hanging="360"/>
      </w:pPr>
      <w:rPr>
        <w:rFonts w:ascii="Wingdings" w:hAnsi="Wingdings" w:hint="default"/>
      </w:rPr>
    </w:lvl>
    <w:lvl w:ilvl="6" w:tplc="40090001" w:tentative="1">
      <w:start w:val="1"/>
      <w:numFmt w:val="bullet"/>
      <w:lvlText w:val=""/>
      <w:lvlJc w:val="left"/>
      <w:pPr>
        <w:ind w:left="5226" w:hanging="360"/>
      </w:pPr>
      <w:rPr>
        <w:rFonts w:ascii="Symbol" w:hAnsi="Symbol" w:hint="default"/>
      </w:rPr>
    </w:lvl>
    <w:lvl w:ilvl="7" w:tplc="40090003" w:tentative="1">
      <w:start w:val="1"/>
      <w:numFmt w:val="bullet"/>
      <w:lvlText w:val="o"/>
      <w:lvlJc w:val="left"/>
      <w:pPr>
        <w:ind w:left="5946" w:hanging="360"/>
      </w:pPr>
      <w:rPr>
        <w:rFonts w:ascii="Courier New" w:hAnsi="Courier New" w:cs="Courier New" w:hint="default"/>
      </w:rPr>
    </w:lvl>
    <w:lvl w:ilvl="8" w:tplc="40090005" w:tentative="1">
      <w:start w:val="1"/>
      <w:numFmt w:val="bullet"/>
      <w:lvlText w:val=""/>
      <w:lvlJc w:val="left"/>
      <w:pPr>
        <w:ind w:left="6666" w:hanging="360"/>
      </w:pPr>
      <w:rPr>
        <w:rFonts w:ascii="Wingdings" w:hAnsi="Wingdings" w:hint="default"/>
      </w:rPr>
    </w:lvl>
  </w:abstractNum>
  <w:abstractNum w:abstractNumId="8" w15:restartNumberingAfterBreak="0">
    <w:nsid w:val="1C9D7864"/>
    <w:multiLevelType w:val="hybridMultilevel"/>
    <w:tmpl w:val="FB2C7428"/>
    <w:lvl w:ilvl="0" w:tplc="277080CE">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0"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DBE1ED5"/>
    <w:multiLevelType w:val="multilevel"/>
    <w:tmpl w:val="252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5B0B68"/>
    <w:multiLevelType w:val="hybridMultilevel"/>
    <w:tmpl w:val="6DBA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E26D8"/>
    <w:multiLevelType w:val="hybridMultilevel"/>
    <w:tmpl w:val="ED8A7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4F368B"/>
    <w:multiLevelType w:val="hybridMultilevel"/>
    <w:tmpl w:val="7F36D186"/>
    <w:lvl w:ilvl="0" w:tplc="A86E38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EED4295"/>
    <w:multiLevelType w:val="hybridMultilevel"/>
    <w:tmpl w:val="4172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B705FCD"/>
    <w:multiLevelType w:val="hybridMultilevel"/>
    <w:tmpl w:val="D2FCC540"/>
    <w:lvl w:ilvl="0" w:tplc="D85618A4">
      <w:start w:val="1"/>
      <w:numFmt w:val="bullet"/>
      <w:lvlText w:val=""/>
      <w:lvlJc w:val="left"/>
      <w:pPr>
        <w:ind w:left="720" w:hanging="360"/>
      </w:pPr>
      <w:rPr>
        <w:rFonts w:ascii="Symbol" w:hAnsi="Symbol" w:hint="default"/>
      </w:rPr>
    </w:lvl>
    <w:lvl w:ilvl="1" w:tplc="9EB4F91C">
      <w:start w:val="1"/>
      <w:numFmt w:val="bullet"/>
      <w:lvlText w:val="o"/>
      <w:lvlJc w:val="left"/>
      <w:pPr>
        <w:ind w:left="1440" w:hanging="360"/>
      </w:pPr>
      <w:rPr>
        <w:rFonts w:ascii="Courier New" w:hAnsi="Courier New" w:hint="default"/>
      </w:rPr>
    </w:lvl>
    <w:lvl w:ilvl="2" w:tplc="40F2F9A2">
      <w:start w:val="1"/>
      <w:numFmt w:val="bullet"/>
      <w:lvlText w:val=""/>
      <w:lvlJc w:val="left"/>
      <w:pPr>
        <w:ind w:left="2160" w:hanging="360"/>
      </w:pPr>
      <w:rPr>
        <w:rFonts w:ascii="Wingdings" w:hAnsi="Wingdings" w:hint="default"/>
      </w:rPr>
    </w:lvl>
    <w:lvl w:ilvl="3" w:tplc="731ED650">
      <w:start w:val="1"/>
      <w:numFmt w:val="bullet"/>
      <w:lvlText w:val=""/>
      <w:lvlJc w:val="left"/>
      <w:pPr>
        <w:ind w:left="2880" w:hanging="360"/>
      </w:pPr>
      <w:rPr>
        <w:rFonts w:ascii="Symbol" w:hAnsi="Symbol" w:hint="default"/>
      </w:rPr>
    </w:lvl>
    <w:lvl w:ilvl="4" w:tplc="6A08557C">
      <w:start w:val="1"/>
      <w:numFmt w:val="bullet"/>
      <w:lvlText w:val="o"/>
      <w:lvlJc w:val="left"/>
      <w:pPr>
        <w:ind w:left="3600" w:hanging="360"/>
      </w:pPr>
      <w:rPr>
        <w:rFonts w:ascii="Courier New" w:hAnsi="Courier New" w:hint="default"/>
      </w:rPr>
    </w:lvl>
    <w:lvl w:ilvl="5" w:tplc="F68636AA">
      <w:start w:val="1"/>
      <w:numFmt w:val="bullet"/>
      <w:lvlText w:val=""/>
      <w:lvlJc w:val="left"/>
      <w:pPr>
        <w:ind w:left="4320" w:hanging="360"/>
      </w:pPr>
      <w:rPr>
        <w:rFonts w:ascii="Wingdings" w:hAnsi="Wingdings" w:hint="default"/>
      </w:rPr>
    </w:lvl>
    <w:lvl w:ilvl="6" w:tplc="9FFE668C">
      <w:start w:val="1"/>
      <w:numFmt w:val="bullet"/>
      <w:lvlText w:val=""/>
      <w:lvlJc w:val="left"/>
      <w:pPr>
        <w:ind w:left="5040" w:hanging="360"/>
      </w:pPr>
      <w:rPr>
        <w:rFonts w:ascii="Symbol" w:hAnsi="Symbol" w:hint="default"/>
      </w:rPr>
    </w:lvl>
    <w:lvl w:ilvl="7" w:tplc="825219F8">
      <w:start w:val="1"/>
      <w:numFmt w:val="bullet"/>
      <w:lvlText w:val="o"/>
      <w:lvlJc w:val="left"/>
      <w:pPr>
        <w:ind w:left="5760" w:hanging="360"/>
      </w:pPr>
      <w:rPr>
        <w:rFonts w:ascii="Courier New" w:hAnsi="Courier New" w:hint="default"/>
      </w:rPr>
    </w:lvl>
    <w:lvl w:ilvl="8" w:tplc="95682456">
      <w:start w:val="1"/>
      <w:numFmt w:val="bullet"/>
      <w:lvlText w:val=""/>
      <w:lvlJc w:val="left"/>
      <w:pPr>
        <w:ind w:left="6480" w:hanging="360"/>
      </w:pPr>
      <w:rPr>
        <w:rFonts w:ascii="Wingdings" w:hAnsi="Wingdings" w:hint="default"/>
      </w:rPr>
    </w:lvl>
  </w:abstractNum>
  <w:abstractNum w:abstractNumId="21" w15:restartNumberingAfterBreak="0">
    <w:nsid w:val="513F2C66"/>
    <w:multiLevelType w:val="hybridMultilevel"/>
    <w:tmpl w:val="CB50657A"/>
    <w:lvl w:ilvl="0" w:tplc="DDFA69E4">
      <w:start w:val="2"/>
      <w:numFmt w:val="bullet"/>
      <w:lvlText w:val="-"/>
      <w:lvlJc w:val="left"/>
      <w:pPr>
        <w:ind w:left="1092" w:hanging="360"/>
      </w:pPr>
      <w:rPr>
        <w:rFonts w:ascii="Franklin Gothic Book" w:eastAsiaTheme="minorHAnsi" w:hAnsi="Franklin Gothic Book" w:cstheme="minorBidi"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22" w15:restartNumberingAfterBreak="0">
    <w:nsid w:val="53342C26"/>
    <w:multiLevelType w:val="hybridMultilevel"/>
    <w:tmpl w:val="BFFA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D1EE4"/>
    <w:multiLevelType w:val="hybridMultilevel"/>
    <w:tmpl w:val="77F67402"/>
    <w:lvl w:ilvl="0" w:tplc="04162E48">
      <w:start w:val="1"/>
      <w:numFmt w:val="bullet"/>
      <w:lvlText w:val=""/>
      <w:lvlJc w:val="left"/>
      <w:pPr>
        <w:ind w:left="1760" w:hanging="360"/>
      </w:pPr>
      <w:rPr>
        <w:rFonts w:ascii="Symbol" w:hAnsi="Symbol"/>
      </w:rPr>
    </w:lvl>
    <w:lvl w:ilvl="1" w:tplc="FABED4A8">
      <w:start w:val="1"/>
      <w:numFmt w:val="bullet"/>
      <w:lvlText w:val=""/>
      <w:lvlJc w:val="left"/>
      <w:pPr>
        <w:ind w:left="1760" w:hanging="360"/>
      </w:pPr>
      <w:rPr>
        <w:rFonts w:ascii="Symbol" w:hAnsi="Symbol"/>
      </w:rPr>
    </w:lvl>
    <w:lvl w:ilvl="2" w:tplc="C6ECC44C">
      <w:start w:val="1"/>
      <w:numFmt w:val="bullet"/>
      <w:lvlText w:val=""/>
      <w:lvlJc w:val="left"/>
      <w:pPr>
        <w:ind w:left="1760" w:hanging="360"/>
      </w:pPr>
      <w:rPr>
        <w:rFonts w:ascii="Symbol" w:hAnsi="Symbol"/>
      </w:rPr>
    </w:lvl>
    <w:lvl w:ilvl="3" w:tplc="15C228DC">
      <w:start w:val="1"/>
      <w:numFmt w:val="bullet"/>
      <w:lvlText w:val=""/>
      <w:lvlJc w:val="left"/>
      <w:pPr>
        <w:ind w:left="1760" w:hanging="360"/>
      </w:pPr>
      <w:rPr>
        <w:rFonts w:ascii="Symbol" w:hAnsi="Symbol"/>
      </w:rPr>
    </w:lvl>
    <w:lvl w:ilvl="4" w:tplc="076064DA">
      <w:start w:val="1"/>
      <w:numFmt w:val="bullet"/>
      <w:lvlText w:val=""/>
      <w:lvlJc w:val="left"/>
      <w:pPr>
        <w:ind w:left="1760" w:hanging="360"/>
      </w:pPr>
      <w:rPr>
        <w:rFonts w:ascii="Symbol" w:hAnsi="Symbol"/>
      </w:rPr>
    </w:lvl>
    <w:lvl w:ilvl="5" w:tplc="8AC422B6">
      <w:start w:val="1"/>
      <w:numFmt w:val="bullet"/>
      <w:lvlText w:val=""/>
      <w:lvlJc w:val="left"/>
      <w:pPr>
        <w:ind w:left="1760" w:hanging="360"/>
      </w:pPr>
      <w:rPr>
        <w:rFonts w:ascii="Symbol" w:hAnsi="Symbol"/>
      </w:rPr>
    </w:lvl>
    <w:lvl w:ilvl="6" w:tplc="EDD6BEA8">
      <w:start w:val="1"/>
      <w:numFmt w:val="bullet"/>
      <w:lvlText w:val=""/>
      <w:lvlJc w:val="left"/>
      <w:pPr>
        <w:ind w:left="1760" w:hanging="360"/>
      </w:pPr>
      <w:rPr>
        <w:rFonts w:ascii="Symbol" w:hAnsi="Symbol"/>
      </w:rPr>
    </w:lvl>
    <w:lvl w:ilvl="7" w:tplc="BB1C9BB2">
      <w:start w:val="1"/>
      <w:numFmt w:val="bullet"/>
      <w:lvlText w:val=""/>
      <w:lvlJc w:val="left"/>
      <w:pPr>
        <w:ind w:left="1760" w:hanging="360"/>
      </w:pPr>
      <w:rPr>
        <w:rFonts w:ascii="Symbol" w:hAnsi="Symbol"/>
      </w:rPr>
    </w:lvl>
    <w:lvl w:ilvl="8" w:tplc="8E3041F4">
      <w:start w:val="1"/>
      <w:numFmt w:val="bullet"/>
      <w:lvlText w:val=""/>
      <w:lvlJc w:val="left"/>
      <w:pPr>
        <w:ind w:left="1760" w:hanging="360"/>
      </w:pPr>
      <w:rPr>
        <w:rFonts w:ascii="Symbol" w:hAnsi="Symbol"/>
      </w:rPr>
    </w:lvl>
  </w:abstractNum>
  <w:abstractNum w:abstractNumId="24" w15:restartNumberingAfterBreak="0">
    <w:nsid w:val="58115F69"/>
    <w:multiLevelType w:val="hybridMultilevel"/>
    <w:tmpl w:val="A35ED9CC"/>
    <w:lvl w:ilvl="0" w:tplc="EBB04BF0">
      <w:start w:val="1"/>
      <w:numFmt w:val="decimal"/>
      <w:lvlText w:val="%1."/>
      <w:lvlJc w:val="left"/>
      <w:pPr>
        <w:ind w:left="1092" w:hanging="36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25" w15:restartNumberingAfterBreak="0">
    <w:nsid w:val="5815751A"/>
    <w:multiLevelType w:val="hybridMultilevel"/>
    <w:tmpl w:val="EB78EA50"/>
    <w:lvl w:ilvl="0" w:tplc="D5AE24A4">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A268AB"/>
    <w:multiLevelType w:val="hybridMultilevel"/>
    <w:tmpl w:val="23CE13FA"/>
    <w:lvl w:ilvl="0" w:tplc="0C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B6B79"/>
    <w:multiLevelType w:val="multilevel"/>
    <w:tmpl w:val="C3E2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726F24"/>
    <w:multiLevelType w:val="hybridMultilevel"/>
    <w:tmpl w:val="E94EF4B8"/>
    <w:lvl w:ilvl="0" w:tplc="FFFFFFFF">
      <w:start w:val="1"/>
      <w:numFmt w:val="bullet"/>
      <w:lvlText w:val="•"/>
      <w:lvlJc w:val="left"/>
      <w:pPr>
        <w:ind w:left="732" w:hanging="360"/>
      </w:pPr>
      <w:rPr>
        <w:rFonts w:ascii="Franklin Gothic Book" w:hAnsi="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D45561"/>
    <w:multiLevelType w:val="multilevel"/>
    <w:tmpl w:val="4BFA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293FE7"/>
    <w:multiLevelType w:val="hybridMultilevel"/>
    <w:tmpl w:val="A3E6463A"/>
    <w:lvl w:ilvl="0" w:tplc="F07A1172">
      <w:start w:val="4"/>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0B259D"/>
    <w:multiLevelType w:val="multilevel"/>
    <w:tmpl w:val="7E6A42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144741391">
    <w:abstractNumId w:val="14"/>
  </w:num>
  <w:num w:numId="2" w16cid:durableId="986325943">
    <w:abstractNumId w:val="34"/>
  </w:num>
  <w:num w:numId="3" w16cid:durableId="1743063027">
    <w:abstractNumId w:val="3"/>
  </w:num>
  <w:num w:numId="4" w16cid:durableId="504365383">
    <w:abstractNumId w:val="9"/>
  </w:num>
  <w:num w:numId="5" w16cid:durableId="1103455137">
    <w:abstractNumId w:val="30"/>
  </w:num>
  <w:num w:numId="6" w16cid:durableId="1607729956">
    <w:abstractNumId w:val="10"/>
  </w:num>
  <w:num w:numId="7" w16cid:durableId="203176535">
    <w:abstractNumId w:val="11"/>
  </w:num>
  <w:num w:numId="8" w16cid:durableId="442308379">
    <w:abstractNumId w:val="13"/>
  </w:num>
  <w:num w:numId="9" w16cid:durableId="2141338443">
    <w:abstractNumId w:val="19"/>
  </w:num>
  <w:num w:numId="10" w16cid:durableId="2130278180">
    <w:abstractNumId w:val="8"/>
  </w:num>
  <w:num w:numId="11" w16cid:durableId="1019964687">
    <w:abstractNumId w:val="16"/>
  </w:num>
  <w:num w:numId="12" w16cid:durableId="1053961562">
    <w:abstractNumId w:val="0"/>
  </w:num>
  <w:num w:numId="13" w16cid:durableId="267741443">
    <w:abstractNumId w:val="18"/>
  </w:num>
  <w:num w:numId="14" w16cid:durableId="926108722">
    <w:abstractNumId w:val="7"/>
  </w:num>
  <w:num w:numId="15" w16cid:durableId="1588617120">
    <w:abstractNumId w:val="22"/>
  </w:num>
  <w:num w:numId="16" w16cid:durableId="1601137339">
    <w:abstractNumId w:val="27"/>
  </w:num>
  <w:num w:numId="17" w16cid:durableId="759377098">
    <w:abstractNumId w:val="29"/>
  </w:num>
  <w:num w:numId="18" w16cid:durableId="638150461">
    <w:abstractNumId w:val="21"/>
  </w:num>
  <w:num w:numId="19" w16cid:durableId="650213597">
    <w:abstractNumId w:val="20"/>
  </w:num>
  <w:num w:numId="20" w16cid:durableId="1289164057">
    <w:abstractNumId w:val="5"/>
  </w:num>
  <w:num w:numId="21" w16cid:durableId="1073773158">
    <w:abstractNumId w:val="24"/>
  </w:num>
  <w:num w:numId="22" w16cid:durableId="1982072385">
    <w:abstractNumId w:val="26"/>
  </w:num>
  <w:num w:numId="23" w16cid:durableId="772433282">
    <w:abstractNumId w:val="6"/>
  </w:num>
  <w:num w:numId="24" w16cid:durableId="105807368">
    <w:abstractNumId w:val="4"/>
  </w:num>
  <w:num w:numId="25" w16cid:durableId="1155802934">
    <w:abstractNumId w:val="25"/>
  </w:num>
  <w:num w:numId="26" w16cid:durableId="1251742950">
    <w:abstractNumId w:val="32"/>
  </w:num>
  <w:num w:numId="27" w16cid:durableId="740056608">
    <w:abstractNumId w:val="1"/>
  </w:num>
  <w:num w:numId="28" w16cid:durableId="1305432840">
    <w:abstractNumId w:val="28"/>
  </w:num>
  <w:num w:numId="29" w16cid:durableId="791166391">
    <w:abstractNumId w:val="31"/>
  </w:num>
  <w:num w:numId="30" w16cid:durableId="1288973308">
    <w:abstractNumId w:val="12"/>
  </w:num>
  <w:num w:numId="31" w16cid:durableId="356468490">
    <w:abstractNumId w:val="2"/>
  </w:num>
  <w:num w:numId="32" w16cid:durableId="209921562">
    <w:abstractNumId w:val="17"/>
  </w:num>
  <w:num w:numId="33" w16cid:durableId="1585332004">
    <w:abstractNumId w:val="15"/>
  </w:num>
  <w:num w:numId="34" w16cid:durableId="820001500">
    <w:abstractNumId w:val="23"/>
  </w:num>
  <w:num w:numId="35" w16cid:durableId="1987970608">
    <w:abstractNumId w:val="14"/>
  </w:num>
  <w:num w:numId="36" w16cid:durableId="1206984251">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109A"/>
    <w:rsid w:val="0000160F"/>
    <w:rsid w:val="00001AE6"/>
    <w:rsid w:val="00001B0A"/>
    <w:rsid w:val="00001D55"/>
    <w:rsid w:val="0000249C"/>
    <w:rsid w:val="00002C45"/>
    <w:rsid w:val="00002D42"/>
    <w:rsid w:val="00004D69"/>
    <w:rsid w:val="00004F7F"/>
    <w:rsid w:val="000054C9"/>
    <w:rsid w:val="00006DED"/>
    <w:rsid w:val="0000713C"/>
    <w:rsid w:val="00011568"/>
    <w:rsid w:val="00011BBC"/>
    <w:rsid w:val="00011EC7"/>
    <w:rsid w:val="000127BE"/>
    <w:rsid w:val="00012868"/>
    <w:rsid w:val="00014848"/>
    <w:rsid w:val="00014974"/>
    <w:rsid w:val="00014C02"/>
    <w:rsid w:val="00014E28"/>
    <w:rsid w:val="00017E11"/>
    <w:rsid w:val="000205D5"/>
    <w:rsid w:val="00020B30"/>
    <w:rsid w:val="0002141F"/>
    <w:rsid w:val="000228B8"/>
    <w:rsid w:val="0002381B"/>
    <w:rsid w:val="000238B1"/>
    <w:rsid w:val="000248F9"/>
    <w:rsid w:val="00024EA5"/>
    <w:rsid w:val="00025EDF"/>
    <w:rsid w:val="0002755F"/>
    <w:rsid w:val="000279E5"/>
    <w:rsid w:val="00027B8C"/>
    <w:rsid w:val="000310DD"/>
    <w:rsid w:val="00031B09"/>
    <w:rsid w:val="000336C9"/>
    <w:rsid w:val="0003423A"/>
    <w:rsid w:val="000344E0"/>
    <w:rsid w:val="0003477F"/>
    <w:rsid w:val="0003560C"/>
    <w:rsid w:val="0003657C"/>
    <w:rsid w:val="00036AD8"/>
    <w:rsid w:val="00037037"/>
    <w:rsid w:val="00037302"/>
    <w:rsid w:val="000375D7"/>
    <w:rsid w:val="00037639"/>
    <w:rsid w:val="0004005D"/>
    <w:rsid w:val="00040191"/>
    <w:rsid w:val="0004075C"/>
    <w:rsid w:val="00040ADF"/>
    <w:rsid w:val="00040E94"/>
    <w:rsid w:val="00040FB4"/>
    <w:rsid w:val="000414F8"/>
    <w:rsid w:val="0004178C"/>
    <w:rsid w:val="00041F5D"/>
    <w:rsid w:val="000436E4"/>
    <w:rsid w:val="00043BB4"/>
    <w:rsid w:val="000443A6"/>
    <w:rsid w:val="000449D1"/>
    <w:rsid w:val="00045AD8"/>
    <w:rsid w:val="00045B8D"/>
    <w:rsid w:val="00045CC5"/>
    <w:rsid w:val="00046342"/>
    <w:rsid w:val="00046901"/>
    <w:rsid w:val="00046B6A"/>
    <w:rsid w:val="0004715B"/>
    <w:rsid w:val="000472D4"/>
    <w:rsid w:val="00052DD3"/>
    <w:rsid w:val="0005326D"/>
    <w:rsid w:val="00053F6C"/>
    <w:rsid w:val="000543B5"/>
    <w:rsid w:val="00057248"/>
    <w:rsid w:val="000576C2"/>
    <w:rsid w:val="00060DA7"/>
    <w:rsid w:val="00061A97"/>
    <w:rsid w:val="0006207A"/>
    <w:rsid w:val="0006339C"/>
    <w:rsid w:val="00063F28"/>
    <w:rsid w:val="00064654"/>
    <w:rsid w:val="00064783"/>
    <w:rsid w:val="000647C2"/>
    <w:rsid w:val="00064F8B"/>
    <w:rsid w:val="00066425"/>
    <w:rsid w:val="000668A5"/>
    <w:rsid w:val="00067059"/>
    <w:rsid w:val="0007021F"/>
    <w:rsid w:val="000709A0"/>
    <w:rsid w:val="00072EC7"/>
    <w:rsid w:val="00073644"/>
    <w:rsid w:val="00073A0B"/>
    <w:rsid w:val="00074180"/>
    <w:rsid w:val="00074199"/>
    <w:rsid w:val="00075191"/>
    <w:rsid w:val="00075EE9"/>
    <w:rsid w:val="00076351"/>
    <w:rsid w:val="0007670E"/>
    <w:rsid w:val="000779F4"/>
    <w:rsid w:val="00077B07"/>
    <w:rsid w:val="00080241"/>
    <w:rsid w:val="00081778"/>
    <w:rsid w:val="00082269"/>
    <w:rsid w:val="000829D5"/>
    <w:rsid w:val="00082B79"/>
    <w:rsid w:val="000831C1"/>
    <w:rsid w:val="00083CF4"/>
    <w:rsid w:val="00083F18"/>
    <w:rsid w:val="000852A0"/>
    <w:rsid w:val="000870B6"/>
    <w:rsid w:val="00090419"/>
    <w:rsid w:val="00090613"/>
    <w:rsid w:val="00090BD1"/>
    <w:rsid w:val="00091857"/>
    <w:rsid w:val="00091C59"/>
    <w:rsid w:val="00092A21"/>
    <w:rsid w:val="00093D9A"/>
    <w:rsid w:val="00094656"/>
    <w:rsid w:val="00095A82"/>
    <w:rsid w:val="00095B5C"/>
    <w:rsid w:val="00095FE1"/>
    <w:rsid w:val="00096B52"/>
    <w:rsid w:val="00096D0C"/>
    <w:rsid w:val="000A0C96"/>
    <w:rsid w:val="000A10BF"/>
    <w:rsid w:val="000A1316"/>
    <w:rsid w:val="000A1BEC"/>
    <w:rsid w:val="000A1FB5"/>
    <w:rsid w:val="000A2A86"/>
    <w:rsid w:val="000A2ACD"/>
    <w:rsid w:val="000A2B65"/>
    <w:rsid w:val="000A2DA8"/>
    <w:rsid w:val="000A3844"/>
    <w:rsid w:val="000A4403"/>
    <w:rsid w:val="000A49F7"/>
    <w:rsid w:val="000A4A4C"/>
    <w:rsid w:val="000A4F13"/>
    <w:rsid w:val="000A5C47"/>
    <w:rsid w:val="000A629E"/>
    <w:rsid w:val="000A656A"/>
    <w:rsid w:val="000A6B30"/>
    <w:rsid w:val="000A6D07"/>
    <w:rsid w:val="000A77A5"/>
    <w:rsid w:val="000B0852"/>
    <w:rsid w:val="000B154B"/>
    <w:rsid w:val="000B1DF8"/>
    <w:rsid w:val="000B1F50"/>
    <w:rsid w:val="000B23E3"/>
    <w:rsid w:val="000B3330"/>
    <w:rsid w:val="000B38A0"/>
    <w:rsid w:val="000B3D26"/>
    <w:rsid w:val="000B6CF0"/>
    <w:rsid w:val="000B720C"/>
    <w:rsid w:val="000B7665"/>
    <w:rsid w:val="000C1F1F"/>
    <w:rsid w:val="000C2189"/>
    <w:rsid w:val="000C2639"/>
    <w:rsid w:val="000C3644"/>
    <w:rsid w:val="000C434D"/>
    <w:rsid w:val="000C5066"/>
    <w:rsid w:val="000C5610"/>
    <w:rsid w:val="000C5732"/>
    <w:rsid w:val="000C678B"/>
    <w:rsid w:val="000C79BB"/>
    <w:rsid w:val="000C7C46"/>
    <w:rsid w:val="000D100B"/>
    <w:rsid w:val="000D10A1"/>
    <w:rsid w:val="000D1B52"/>
    <w:rsid w:val="000D1B9F"/>
    <w:rsid w:val="000D1DCE"/>
    <w:rsid w:val="000D2A17"/>
    <w:rsid w:val="000D3791"/>
    <w:rsid w:val="000D3D6B"/>
    <w:rsid w:val="000D4038"/>
    <w:rsid w:val="000D4C1B"/>
    <w:rsid w:val="000D5225"/>
    <w:rsid w:val="000D52E0"/>
    <w:rsid w:val="000D5523"/>
    <w:rsid w:val="000D6662"/>
    <w:rsid w:val="000D6942"/>
    <w:rsid w:val="000E03DC"/>
    <w:rsid w:val="000E1124"/>
    <w:rsid w:val="000E188A"/>
    <w:rsid w:val="000E214D"/>
    <w:rsid w:val="000E22F1"/>
    <w:rsid w:val="000E3049"/>
    <w:rsid w:val="000E360E"/>
    <w:rsid w:val="000E3DDD"/>
    <w:rsid w:val="000E3E1A"/>
    <w:rsid w:val="000E4820"/>
    <w:rsid w:val="000E49D8"/>
    <w:rsid w:val="000E4BF1"/>
    <w:rsid w:val="000E53AA"/>
    <w:rsid w:val="000E5531"/>
    <w:rsid w:val="000E5D87"/>
    <w:rsid w:val="000E62ED"/>
    <w:rsid w:val="000E6410"/>
    <w:rsid w:val="000E678B"/>
    <w:rsid w:val="000F0108"/>
    <w:rsid w:val="000F0A29"/>
    <w:rsid w:val="000F0AAF"/>
    <w:rsid w:val="000F13A6"/>
    <w:rsid w:val="000F2E01"/>
    <w:rsid w:val="000F54CE"/>
    <w:rsid w:val="000F5A54"/>
    <w:rsid w:val="000F7987"/>
    <w:rsid w:val="0010051C"/>
    <w:rsid w:val="0010102E"/>
    <w:rsid w:val="001025C9"/>
    <w:rsid w:val="001026F0"/>
    <w:rsid w:val="0010448B"/>
    <w:rsid w:val="0010521F"/>
    <w:rsid w:val="00105368"/>
    <w:rsid w:val="00105D20"/>
    <w:rsid w:val="0010625A"/>
    <w:rsid w:val="00107237"/>
    <w:rsid w:val="00107316"/>
    <w:rsid w:val="00107524"/>
    <w:rsid w:val="00107C63"/>
    <w:rsid w:val="00107DCD"/>
    <w:rsid w:val="00107EF0"/>
    <w:rsid w:val="00111417"/>
    <w:rsid w:val="00112F17"/>
    <w:rsid w:val="001130AE"/>
    <w:rsid w:val="0011368C"/>
    <w:rsid w:val="00113C60"/>
    <w:rsid w:val="00114900"/>
    <w:rsid w:val="00114C3B"/>
    <w:rsid w:val="00115691"/>
    <w:rsid w:val="00115974"/>
    <w:rsid w:val="00117039"/>
    <w:rsid w:val="00117F04"/>
    <w:rsid w:val="001201E3"/>
    <w:rsid w:val="00120BD3"/>
    <w:rsid w:val="0012141F"/>
    <w:rsid w:val="00122AE3"/>
    <w:rsid w:val="00122EE1"/>
    <w:rsid w:val="0012309B"/>
    <w:rsid w:val="00123658"/>
    <w:rsid w:val="001237AF"/>
    <w:rsid w:val="001247EB"/>
    <w:rsid w:val="00124F3C"/>
    <w:rsid w:val="00125B61"/>
    <w:rsid w:val="00125C40"/>
    <w:rsid w:val="00125CC1"/>
    <w:rsid w:val="00126122"/>
    <w:rsid w:val="00127CA7"/>
    <w:rsid w:val="00130ACC"/>
    <w:rsid w:val="00131D45"/>
    <w:rsid w:val="00131EDF"/>
    <w:rsid w:val="001320F0"/>
    <w:rsid w:val="00132C35"/>
    <w:rsid w:val="001336E0"/>
    <w:rsid w:val="00133F34"/>
    <w:rsid w:val="001344FF"/>
    <w:rsid w:val="001346E1"/>
    <w:rsid w:val="0013523C"/>
    <w:rsid w:val="00135273"/>
    <w:rsid w:val="00135FC9"/>
    <w:rsid w:val="001403A5"/>
    <w:rsid w:val="00141233"/>
    <w:rsid w:val="0014226F"/>
    <w:rsid w:val="00143478"/>
    <w:rsid w:val="001438AE"/>
    <w:rsid w:val="00143AAE"/>
    <w:rsid w:val="00143F2F"/>
    <w:rsid w:val="00144B6E"/>
    <w:rsid w:val="00146624"/>
    <w:rsid w:val="001472A1"/>
    <w:rsid w:val="00147696"/>
    <w:rsid w:val="00147993"/>
    <w:rsid w:val="00150354"/>
    <w:rsid w:val="00150376"/>
    <w:rsid w:val="0015041F"/>
    <w:rsid w:val="001504D1"/>
    <w:rsid w:val="00150565"/>
    <w:rsid w:val="001509E6"/>
    <w:rsid w:val="00150D4C"/>
    <w:rsid w:val="001519D0"/>
    <w:rsid w:val="00151B03"/>
    <w:rsid w:val="00151DBD"/>
    <w:rsid w:val="001531D6"/>
    <w:rsid w:val="0015427F"/>
    <w:rsid w:val="00154632"/>
    <w:rsid w:val="00155434"/>
    <w:rsid w:val="001559BB"/>
    <w:rsid w:val="00155B5F"/>
    <w:rsid w:val="00155BDA"/>
    <w:rsid w:val="00155CBC"/>
    <w:rsid w:val="00156353"/>
    <w:rsid w:val="00156FA7"/>
    <w:rsid w:val="001572A2"/>
    <w:rsid w:val="00157306"/>
    <w:rsid w:val="0016023A"/>
    <w:rsid w:val="00161085"/>
    <w:rsid w:val="00161E65"/>
    <w:rsid w:val="0016230E"/>
    <w:rsid w:val="00162DBF"/>
    <w:rsid w:val="0016399E"/>
    <w:rsid w:val="0016438A"/>
    <w:rsid w:val="00164CF8"/>
    <w:rsid w:val="001653AE"/>
    <w:rsid w:val="001658DD"/>
    <w:rsid w:val="001663CC"/>
    <w:rsid w:val="00166D99"/>
    <w:rsid w:val="00170D5B"/>
    <w:rsid w:val="0017171B"/>
    <w:rsid w:val="001718EF"/>
    <w:rsid w:val="001718FE"/>
    <w:rsid w:val="001720B5"/>
    <w:rsid w:val="001727AD"/>
    <w:rsid w:val="00172B8F"/>
    <w:rsid w:val="001736F8"/>
    <w:rsid w:val="001737BC"/>
    <w:rsid w:val="00173884"/>
    <w:rsid w:val="001738EC"/>
    <w:rsid w:val="00173BA8"/>
    <w:rsid w:val="00173D85"/>
    <w:rsid w:val="00173E08"/>
    <w:rsid w:val="00174CB4"/>
    <w:rsid w:val="00174FD4"/>
    <w:rsid w:val="00175EBE"/>
    <w:rsid w:val="00176C12"/>
    <w:rsid w:val="0017768F"/>
    <w:rsid w:val="00180CAC"/>
    <w:rsid w:val="001829D3"/>
    <w:rsid w:val="00182CF0"/>
    <w:rsid w:val="00183C11"/>
    <w:rsid w:val="00184BAE"/>
    <w:rsid w:val="001864F8"/>
    <w:rsid w:val="001904C8"/>
    <w:rsid w:val="00190698"/>
    <w:rsid w:val="001924DC"/>
    <w:rsid w:val="001927D4"/>
    <w:rsid w:val="00192CC9"/>
    <w:rsid w:val="0019362A"/>
    <w:rsid w:val="0019474E"/>
    <w:rsid w:val="00195728"/>
    <w:rsid w:val="00195A94"/>
    <w:rsid w:val="001970C0"/>
    <w:rsid w:val="001A08FA"/>
    <w:rsid w:val="001A09F0"/>
    <w:rsid w:val="001A180F"/>
    <w:rsid w:val="001A1A86"/>
    <w:rsid w:val="001A1CB7"/>
    <w:rsid w:val="001A1E9F"/>
    <w:rsid w:val="001A25D2"/>
    <w:rsid w:val="001A29E9"/>
    <w:rsid w:val="001A2C4F"/>
    <w:rsid w:val="001A420B"/>
    <w:rsid w:val="001A4AB7"/>
    <w:rsid w:val="001A4B97"/>
    <w:rsid w:val="001A4F7D"/>
    <w:rsid w:val="001A587D"/>
    <w:rsid w:val="001A5F0E"/>
    <w:rsid w:val="001A6EB9"/>
    <w:rsid w:val="001A771C"/>
    <w:rsid w:val="001A7B42"/>
    <w:rsid w:val="001A7D8F"/>
    <w:rsid w:val="001B1E09"/>
    <w:rsid w:val="001B1E66"/>
    <w:rsid w:val="001B1EDB"/>
    <w:rsid w:val="001B2A97"/>
    <w:rsid w:val="001B2CD4"/>
    <w:rsid w:val="001B35CD"/>
    <w:rsid w:val="001B3CDA"/>
    <w:rsid w:val="001B43C2"/>
    <w:rsid w:val="001B44A4"/>
    <w:rsid w:val="001B54AF"/>
    <w:rsid w:val="001B5852"/>
    <w:rsid w:val="001B7329"/>
    <w:rsid w:val="001B7C6C"/>
    <w:rsid w:val="001C0A3B"/>
    <w:rsid w:val="001C174A"/>
    <w:rsid w:val="001C195A"/>
    <w:rsid w:val="001C1B89"/>
    <w:rsid w:val="001C1D05"/>
    <w:rsid w:val="001C2A48"/>
    <w:rsid w:val="001C2F66"/>
    <w:rsid w:val="001C5872"/>
    <w:rsid w:val="001C58E0"/>
    <w:rsid w:val="001C696D"/>
    <w:rsid w:val="001C69E3"/>
    <w:rsid w:val="001C6A9E"/>
    <w:rsid w:val="001C6DFD"/>
    <w:rsid w:val="001C7253"/>
    <w:rsid w:val="001C7821"/>
    <w:rsid w:val="001D03CD"/>
    <w:rsid w:val="001D0644"/>
    <w:rsid w:val="001D1864"/>
    <w:rsid w:val="001D286A"/>
    <w:rsid w:val="001D2906"/>
    <w:rsid w:val="001D31E6"/>
    <w:rsid w:val="001D32C0"/>
    <w:rsid w:val="001D3A64"/>
    <w:rsid w:val="001D44C8"/>
    <w:rsid w:val="001D5793"/>
    <w:rsid w:val="001D5CC9"/>
    <w:rsid w:val="001D68F4"/>
    <w:rsid w:val="001D73E8"/>
    <w:rsid w:val="001D74A7"/>
    <w:rsid w:val="001E021B"/>
    <w:rsid w:val="001E08DD"/>
    <w:rsid w:val="001E0A2C"/>
    <w:rsid w:val="001E0E31"/>
    <w:rsid w:val="001E15F2"/>
    <w:rsid w:val="001E22F7"/>
    <w:rsid w:val="001E303A"/>
    <w:rsid w:val="001E465F"/>
    <w:rsid w:val="001E4CFC"/>
    <w:rsid w:val="001E5C2A"/>
    <w:rsid w:val="001E6672"/>
    <w:rsid w:val="001E7A5E"/>
    <w:rsid w:val="001E7D84"/>
    <w:rsid w:val="001E7FDC"/>
    <w:rsid w:val="001F0283"/>
    <w:rsid w:val="001F0D2E"/>
    <w:rsid w:val="001F15B8"/>
    <w:rsid w:val="001F23D3"/>
    <w:rsid w:val="001F2902"/>
    <w:rsid w:val="001F3F36"/>
    <w:rsid w:val="001F6239"/>
    <w:rsid w:val="001F63A8"/>
    <w:rsid w:val="001F658C"/>
    <w:rsid w:val="001F675C"/>
    <w:rsid w:val="001F6F44"/>
    <w:rsid w:val="001F7563"/>
    <w:rsid w:val="00200343"/>
    <w:rsid w:val="002005C3"/>
    <w:rsid w:val="00201A7B"/>
    <w:rsid w:val="00202658"/>
    <w:rsid w:val="0020446C"/>
    <w:rsid w:val="00206728"/>
    <w:rsid w:val="00207F59"/>
    <w:rsid w:val="002100D9"/>
    <w:rsid w:val="00210247"/>
    <w:rsid w:val="00211DC3"/>
    <w:rsid w:val="0021211F"/>
    <w:rsid w:val="00212A9A"/>
    <w:rsid w:val="00212BF6"/>
    <w:rsid w:val="00213197"/>
    <w:rsid w:val="002139DD"/>
    <w:rsid w:val="0021489A"/>
    <w:rsid w:val="0021494E"/>
    <w:rsid w:val="002155B6"/>
    <w:rsid w:val="002157E4"/>
    <w:rsid w:val="00215AFB"/>
    <w:rsid w:val="00215DEA"/>
    <w:rsid w:val="00216D32"/>
    <w:rsid w:val="00217468"/>
    <w:rsid w:val="002175FF"/>
    <w:rsid w:val="00217B72"/>
    <w:rsid w:val="002200D8"/>
    <w:rsid w:val="00221499"/>
    <w:rsid w:val="0022283B"/>
    <w:rsid w:val="00223664"/>
    <w:rsid w:val="00223A56"/>
    <w:rsid w:val="00224338"/>
    <w:rsid w:val="0022567C"/>
    <w:rsid w:val="00225833"/>
    <w:rsid w:val="00226095"/>
    <w:rsid w:val="002279DC"/>
    <w:rsid w:val="00227B89"/>
    <w:rsid w:val="00227F43"/>
    <w:rsid w:val="002304DD"/>
    <w:rsid w:val="00230BA5"/>
    <w:rsid w:val="0023199E"/>
    <w:rsid w:val="002321EC"/>
    <w:rsid w:val="00234640"/>
    <w:rsid w:val="00234A7A"/>
    <w:rsid w:val="00235F74"/>
    <w:rsid w:val="00236435"/>
    <w:rsid w:val="00236D25"/>
    <w:rsid w:val="00236EC3"/>
    <w:rsid w:val="0023798C"/>
    <w:rsid w:val="00237ED5"/>
    <w:rsid w:val="00237F38"/>
    <w:rsid w:val="00240106"/>
    <w:rsid w:val="00240588"/>
    <w:rsid w:val="00240789"/>
    <w:rsid w:val="002411C7"/>
    <w:rsid w:val="00242F4E"/>
    <w:rsid w:val="00243A78"/>
    <w:rsid w:val="00243B36"/>
    <w:rsid w:val="00243C62"/>
    <w:rsid w:val="002452A0"/>
    <w:rsid w:val="00245495"/>
    <w:rsid w:val="002463A6"/>
    <w:rsid w:val="00246808"/>
    <w:rsid w:val="00246ADB"/>
    <w:rsid w:val="00247280"/>
    <w:rsid w:val="00250413"/>
    <w:rsid w:val="00250A5E"/>
    <w:rsid w:val="00251782"/>
    <w:rsid w:val="002517A5"/>
    <w:rsid w:val="00251F6C"/>
    <w:rsid w:val="0025249C"/>
    <w:rsid w:val="00252880"/>
    <w:rsid w:val="002539ED"/>
    <w:rsid w:val="00253C77"/>
    <w:rsid w:val="00253EC6"/>
    <w:rsid w:val="0025440D"/>
    <w:rsid w:val="0025450E"/>
    <w:rsid w:val="00254C2E"/>
    <w:rsid w:val="00255086"/>
    <w:rsid w:val="00255152"/>
    <w:rsid w:val="0025554E"/>
    <w:rsid w:val="00255E74"/>
    <w:rsid w:val="00255F1C"/>
    <w:rsid w:val="00256159"/>
    <w:rsid w:val="00256884"/>
    <w:rsid w:val="00256894"/>
    <w:rsid w:val="00256DAF"/>
    <w:rsid w:val="00257DD5"/>
    <w:rsid w:val="00262060"/>
    <w:rsid w:val="00263022"/>
    <w:rsid w:val="002638F4"/>
    <w:rsid w:val="00263C66"/>
    <w:rsid w:val="002644AA"/>
    <w:rsid w:val="00266285"/>
    <w:rsid w:val="00266449"/>
    <w:rsid w:val="0026686C"/>
    <w:rsid w:val="00267C45"/>
    <w:rsid w:val="00267E4F"/>
    <w:rsid w:val="002703E1"/>
    <w:rsid w:val="0027045D"/>
    <w:rsid w:val="0027160C"/>
    <w:rsid w:val="0027215A"/>
    <w:rsid w:val="00273B41"/>
    <w:rsid w:val="002748EE"/>
    <w:rsid w:val="002751D1"/>
    <w:rsid w:val="00275209"/>
    <w:rsid w:val="00275D18"/>
    <w:rsid w:val="002763A0"/>
    <w:rsid w:val="00277760"/>
    <w:rsid w:val="00277FB9"/>
    <w:rsid w:val="0028047F"/>
    <w:rsid w:val="00281A80"/>
    <w:rsid w:val="00284340"/>
    <w:rsid w:val="00286844"/>
    <w:rsid w:val="002876BD"/>
    <w:rsid w:val="00287E78"/>
    <w:rsid w:val="00290676"/>
    <w:rsid w:val="00290F18"/>
    <w:rsid w:val="00291462"/>
    <w:rsid w:val="00291572"/>
    <w:rsid w:val="00291D4B"/>
    <w:rsid w:val="00292923"/>
    <w:rsid w:val="002943A9"/>
    <w:rsid w:val="00295E81"/>
    <w:rsid w:val="00297057"/>
    <w:rsid w:val="002A04B4"/>
    <w:rsid w:val="002A145B"/>
    <w:rsid w:val="002A18BE"/>
    <w:rsid w:val="002A28DA"/>
    <w:rsid w:val="002A36F6"/>
    <w:rsid w:val="002A4084"/>
    <w:rsid w:val="002A4AD6"/>
    <w:rsid w:val="002A50EE"/>
    <w:rsid w:val="002A66AB"/>
    <w:rsid w:val="002A7196"/>
    <w:rsid w:val="002A76AE"/>
    <w:rsid w:val="002A7B6A"/>
    <w:rsid w:val="002B1384"/>
    <w:rsid w:val="002B13FB"/>
    <w:rsid w:val="002B2F75"/>
    <w:rsid w:val="002B3681"/>
    <w:rsid w:val="002B4560"/>
    <w:rsid w:val="002B46FF"/>
    <w:rsid w:val="002B4CC3"/>
    <w:rsid w:val="002B5682"/>
    <w:rsid w:val="002B5F45"/>
    <w:rsid w:val="002B667C"/>
    <w:rsid w:val="002B6694"/>
    <w:rsid w:val="002B7520"/>
    <w:rsid w:val="002B7C15"/>
    <w:rsid w:val="002C11CA"/>
    <w:rsid w:val="002C15CD"/>
    <w:rsid w:val="002C3C2F"/>
    <w:rsid w:val="002C45E8"/>
    <w:rsid w:val="002C487B"/>
    <w:rsid w:val="002C4DA1"/>
    <w:rsid w:val="002C547A"/>
    <w:rsid w:val="002C5C51"/>
    <w:rsid w:val="002C66EC"/>
    <w:rsid w:val="002C6BDA"/>
    <w:rsid w:val="002C6D19"/>
    <w:rsid w:val="002C6F22"/>
    <w:rsid w:val="002C70CE"/>
    <w:rsid w:val="002C776D"/>
    <w:rsid w:val="002D08EE"/>
    <w:rsid w:val="002D1371"/>
    <w:rsid w:val="002D15E7"/>
    <w:rsid w:val="002D17B4"/>
    <w:rsid w:val="002D37DD"/>
    <w:rsid w:val="002D4D14"/>
    <w:rsid w:val="002D5097"/>
    <w:rsid w:val="002D55E4"/>
    <w:rsid w:val="002D690D"/>
    <w:rsid w:val="002D7784"/>
    <w:rsid w:val="002D7D9D"/>
    <w:rsid w:val="002E0ED7"/>
    <w:rsid w:val="002E159E"/>
    <w:rsid w:val="002E2003"/>
    <w:rsid w:val="002E2543"/>
    <w:rsid w:val="002E309E"/>
    <w:rsid w:val="002E370B"/>
    <w:rsid w:val="002E38B6"/>
    <w:rsid w:val="002E55EE"/>
    <w:rsid w:val="002E59C7"/>
    <w:rsid w:val="002E63BE"/>
    <w:rsid w:val="002E6431"/>
    <w:rsid w:val="002E6462"/>
    <w:rsid w:val="002E6EAA"/>
    <w:rsid w:val="002E724A"/>
    <w:rsid w:val="002E7775"/>
    <w:rsid w:val="002E7AD2"/>
    <w:rsid w:val="002F0472"/>
    <w:rsid w:val="002F080F"/>
    <w:rsid w:val="002F1399"/>
    <w:rsid w:val="002F14AB"/>
    <w:rsid w:val="002F2388"/>
    <w:rsid w:val="002F32FB"/>
    <w:rsid w:val="002F3634"/>
    <w:rsid w:val="002F3789"/>
    <w:rsid w:val="002F3BD8"/>
    <w:rsid w:val="002F441B"/>
    <w:rsid w:val="002F52EB"/>
    <w:rsid w:val="002F5611"/>
    <w:rsid w:val="002F58AF"/>
    <w:rsid w:val="002F5F5E"/>
    <w:rsid w:val="002F5F85"/>
    <w:rsid w:val="002F693F"/>
    <w:rsid w:val="002F7FD7"/>
    <w:rsid w:val="003008CC"/>
    <w:rsid w:val="003008D8"/>
    <w:rsid w:val="00300999"/>
    <w:rsid w:val="00301763"/>
    <w:rsid w:val="00301C36"/>
    <w:rsid w:val="00302252"/>
    <w:rsid w:val="00302789"/>
    <w:rsid w:val="003029BC"/>
    <w:rsid w:val="00303C60"/>
    <w:rsid w:val="00304222"/>
    <w:rsid w:val="00304FB8"/>
    <w:rsid w:val="003051DB"/>
    <w:rsid w:val="003052E9"/>
    <w:rsid w:val="0030634C"/>
    <w:rsid w:val="00306DEE"/>
    <w:rsid w:val="00307299"/>
    <w:rsid w:val="00310677"/>
    <w:rsid w:val="00310884"/>
    <w:rsid w:val="00310B9B"/>
    <w:rsid w:val="00310C3F"/>
    <w:rsid w:val="00311647"/>
    <w:rsid w:val="00311D8A"/>
    <w:rsid w:val="00311E84"/>
    <w:rsid w:val="00313629"/>
    <w:rsid w:val="00313E44"/>
    <w:rsid w:val="003140D2"/>
    <w:rsid w:val="00314231"/>
    <w:rsid w:val="003146FC"/>
    <w:rsid w:val="00315A7A"/>
    <w:rsid w:val="00316221"/>
    <w:rsid w:val="003168FC"/>
    <w:rsid w:val="0031690E"/>
    <w:rsid w:val="003173F6"/>
    <w:rsid w:val="00317714"/>
    <w:rsid w:val="00320A17"/>
    <w:rsid w:val="003216CE"/>
    <w:rsid w:val="00322046"/>
    <w:rsid w:val="00322DA9"/>
    <w:rsid w:val="00323AF6"/>
    <w:rsid w:val="003251C2"/>
    <w:rsid w:val="003252DE"/>
    <w:rsid w:val="00325F51"/>
    <w:rsid w:val="00325FA0"/>
    <w:rsid w:val="003260C4"/>
    <w:rsid w:val="00326629"/>
    <w:rsid w:val="00326F1C"/>
    <w:rsid w:val="00327162"/>
    <w:rsid w:val="003276FE"/>
    <w:rsid w:val="0032791F"/>
    <w:rsid w:val="00330261"/>
    <w:rsid w:val="003303BB"/>
    <w:rsid w:val="00330A0A"/>
    <w:rsid w:val="00331855"/>
    <w:rsid w:val="00331B2B"/>
    <w:rsid w:val="00331FAC"/>
    <w:rsid w:val="003328A9"/>
    <w:rsid w:val="00334205"/>
    <w:rsid w:val="003371B5"/>
    <w:rsid w:val="00337BAF"/>
    <w:rsid w:val="003402BE"/>
    <w:rsid w:val="00340341"/>
    <w:rsid w:val="00341092"/>
    <w:rsid w:val="003417CB"/>
    <w:rsid w:val="003435A9"/>
    <w:rsid w:val="00343856"/>
    <w:rsid w:val="00344566"/>
    <w:rsid w:val="00344649"/>
    <w:rsid w:val="0034480A"/>
    <w:rsid w:val="00344882"/>
    <w:rsid w:val="0034493A"/>
    <w:rsid w:val="00344C2E"/>
    <w:rsid w:val="00344F9B"/>
    <w:rsid w:val="00344FAB"/>
    <w:rsid w:val="003451EE"/>
    <w:rsid w:val="00345496"/>
    <w:rsid w:val="0034557E"/>
    <w:rsid w:val="003456B0"/>
    <w:rsid w:val="00345BCF"/>
    <w:rsid w:val="00345E60"/>
    <w:rsid w:val="00346504"/>
    <w:rsid w:val="003466F9"/>
    <w:rsid w:val="00346CCF"/>
    <w:rsid w:val="00347426"/>
    <w:rsid w:val="00347E3D"/>
    <w:rsid w:val="00350092"/>
    <w:rsid w:val="003509A3"/>
    <w:rsid w:val="003519AD"/>
    <w:rsid w:val="00351E0E"/>
    <w:rsid w:val="003522B8"/>
    <w:rsid w:val="00352EBD"/>
    <w:rsid w:val="00353030"/>
    <w:rsid w:val="00353174"/>
    <w:rsid w:val="00353219"/>
    <w:rsid w:val="00353665"/>
    <w:rsid w:val="0035379A"/>
    <w:rsid w:val="00354EB4"/>
    <w:rsid w:val="00356D29"/>
    <w:rsid w:val="003571C2"/>
    <w:rsid w:val="003576F2"/>
    <w:rsid w:val="003579A5"/>
    <w:rsid w:val="00357DDE"/>
    <w:rsid w:val="0036034D"/>
    <w:rsid w:val="00360ADD"/>
    <w:rsid w:val="00361463"/>
    <w:rsid w:val="00361523"/>
    <w:rsid w:val="003615AA"/>
    <w:rsid w:val="00361DC6"/>
    <w:rsid w:val="00362335"/>
    <w:rsid w:val="003630EA"/>
    <w:rsid w:val="00363A6E"/>
    <w:rsid w:val="003640A7"/>
    <w:rsid w:val="00365447"/>
    <w:rsid w:val="00366578"/>
    <w:rsid w:val="0036756A"/>
    <w:rsid w:val="003677DB"/>
    <w:rsid w:val="0036794E"/>
    <w:rsid w:val="00367D09"/>
    <w:rsid w:val="00371678"/>
    <w:rsid w:val="00373299"/>
    <w:rsid w:val="00374DC6"/>
    <w:rsid w:val="003750E4"/>
    <w:rsid w:val="003757A3"/>
    <w:rsid w:val="00376B75"/>
    <w:rsid w:val="00377F2D"/>
    <w:rsid w:val="003800BF"/>
    <w:rsid w:val="003807B7"/>
    <w:rsid w:val="0038146C"/>
    <w:rsid w:val="00381F28"/>
    <w:rsid w:val="00382609"/>
    <w:rsid w:val="00383101"/>
    <w:rsid w:val="003833B1"/>
    <w:rsid w:val="00383452"/>
    <w:rsid w:val="00383866"/>
    <w:rsid w:val="003841BA"/>
    <w:rsid w:val="0038497F"/>
    <w:rsid w:val="00385613"/>
    <w:rsid w:val="00386124"/>
    <w:rsid w:val="003864D5"/>
    <w:rsid w:val="003865DB"/>
    <w:rsid w:val="00390567"/>
    <w:rsid w:val="00390FFF"/>
    <w:rsid w:val="00391D9A"/>
    <w:rsid w:val="00392A65"/>
    <w:rsid w:val="00393165"/>
    <w:rsid w:val="00393EB8"/>
    <w:rsid w:val="00394B15"/>
    <w:rsid w:val="003966F6"/>
    <w:rsid w:val="0039677D"/>
    <w:rsid w:val="00397E5F"/>
    <w:rsid w:val="003A0660"/>
    <w:rsid w:val="003A0D52"/>
    <w:rsid w:val="003A22DA"/>
    <w:rsid w:val="003A2C74"/>
    <w:rsid w:val="003A2ED1"/>
    <w:rsid w:val="003A3303"/>
    <w:rsid w:val="003A411E"/>
    <w:rsid w:val="003A42DC"/>
    <w:rsid w:val="003A46E4"/>
    <w:rsid w:val="003A4C47"/>
    <w:rsid w:val="003A5515"/>
    <w:rsid w:val="003A6724"/>
    <w:rsid w:val="003A6E1A"/>
    <w:rsid w:val="003A740C"/>
    <w:rsid w:val="003A74D8"/>
    <w:rsid w:val="003B0395"/>
    <w:rsid w:val="003B0BA1"/>
    <w:rsid w:val="003B13DE"/>
    <w:rsid w:val="003B1659"/>
    <w:rsid w:val="003B1987"/>
    <w:rsid w:val="003B4599"/>
    <w:rsid w:val="003B4FFE"/>
    <w:rsid w:val="003B54F7"/>
    <w:rsid w:val="003B57D1"/>
    <w:rsid w:val="003B61B7"/>
    <w:rsid w:val="003B64E9"/>
    <w:rsid w:val="003C0D73"/>
    <w:rsid w:val="003C1AE2"/>
    <w:rsid w:val="003C2A9B"/>
    <w:rsid w:val="003C2EAA"/>
    <w:rsid w:val="003C4F8F"/>
    <w:rsid w:val="003C5E6C"/>
    <w:rsid w:val="003C650D"/>
    <w:rsid w:val="003C6B59"/>
    <w:rsid w:val="003C70BF"/>
    <w:rsid w:val="003C7926"/>
    <w:rsid w:val="003D17E0"/>
    <w:rsid w:val="003D1DCF"/>
    <w:rsid w:val="003D1FD0"/>
    <w:rsid w:val="003D2459"/>
    <w:rsid w:val="003D299E"/>
    <w:rsid w:val="003D41B5"/>
    <w:rsid w:val="003D55E1"/>
    <w:rsid w:val="003D641A"/>
    <w:rsid w:val="003D6DBC"/>
    <w:rsid w:val="003D71EB"/>
    <w:rsid w:val="003D7AA6"/>
    <w:rsid w:val="003E17DC"/>
    <w:rsid w:val="003E219D"/>
    <w:rsid w:val="003E22CB"/>
    <w:rsid w:val="003E2343"/>
    <w:rsid w:val="003E331B"/>
    <w:rsid w:val="003E366E"/>
    <w:rsid w:val="003E3CF9"/>
    <w:rsid w:val="003E406B"/>
    <w:rsid w:val="003E4401"/>
    <w:rsid w:val="003E4722"/>
    <w:rsid w:val="003E4868"/>
    <w:rsid w:val="003E49A2"/>
    <w:rsid w:val="003E4F96"/>
    <w:rsid w:val="003E4FE2"/>
    <w:rsid w:val="003E53A0"/>
    <w:rsid w:val="003E592A"/>
    <w:rsid w:val="003E5C72"/>
    <w:rsid w:val="003E5CCA"/>
    <w:rsid w:val="003E6886"/>
    <w:rsid w:val="003E7661"/>
    <w:rsid w:val="003E7773"/>
    <w:rsid w:val="003E7F67"/>
    <w:rsid w:val="003F0CC2"/>
    <w:rsid w:val="003F0FEF"/>
    <w:rsid w:val="003F115E"/>
    <w:rsid w:val="003F14C2"/>
    <w:rsid w:val="003F2210"/>
    <w:rsid w:val="003F2267"/>
    <w:rsid w:val="003F3E68"/>
    <w:rsid w:val="003F535C"/>
    <w:rsid w:val="003F5363"/>
    <w:rsid w:val="003F5A3E"/>
    <w:rsid w:val="003F7196"/>
    <w:rsid w:val="003F729A"/>
    <w:rsid w:val="003F776F"/>
    <w:rsid w:val="003F791F"/>
    <w:rsid w:val="004008AF"/>
    <w:rsid w:val="00400B5F"/>
    <w:rsid w:val="00400C00"/>
    <w:rsid w:val="00401DBF"/>
    <w:rsid w:val="00401FF5"/>
    <w:rsid w:val="004033D9"/>
    <w:rsid w:val="004039BD"/>
    <w:rsid w:val="00403BC9"/>
    <w:rsid w:val="0040477E"/>
    <w:rsid w:val="004047DE"/>
    <w:rsid w:val="00404A94"/>
    <w:rsid w:val="00404E55"/>
    <w:rsid w:val="0040551F"/>
    <w:rsid w:val="004065A5"/>
    <w:rsid w:val="0040771F"/>
    <w:rsid w:val="00407D52"/>
    <w:rsid w:val="00410A8F"/>
    <w:rsid w:val="004111A4"/>
    <w:rsid w:val="004111F7"/>
    <w:rsid w:val="004114DE"/>
    <w:rsid w:val="00411D60"/>
    <w:rsid w:val="0041217D"/>
    <w:rsid w:val="004125C6"/>
    <w:rsid w:val="00412721"/>
    <w:rsid w:val="0041275F"/>
    <w:rsid w:val="00415604"/>
    <w:rsid w:val="00415907"/>
    <w:rsid w:val="00416101"/>
    <w:rsid w:val="004165CB"/>
    <w:rsid w:val="00416B9C"/>
    <w:rsid w:val="00420643"/>
    <w:rsid w:val="0042142E"/>
    <w:rsid w:val="00421A89"/>
    <w:rsid w:val="00421EBC"/>
    <w:rsid w:val="0042304B"/>
    <w:rsid w:val="00423414"/>
    <w:rsid w:val="00423825"/>
    <w:rsid w:val="00423AC3"/>
    <w:rsid w:val="00424084"/>
    <w:rsid w:val="00424245"/>
    <w:rsid w:val="00424605"/>
    <w:rsid w:val="00424937"/>
    <w:rsid w:val="00424A18"/>
    <w:rsid w:val="00424D85"/>
    <w:rsid w:val="004273AD"/>
    <w:rsid w:val="004305AE"/>
    <w:rsid w:val="00431800"/>
    <w:rsid w:val="0043259D"/>
    <w:rsid w:val="00433541"/>
    <w:rsid w:val="00433C38"/>
    <w:rsid w:val="004340EE"/>
    <w:rsid w:val="00434295"/>
    <w:rsid w:val="0043433F"/>
    <w:rsid w:val="00434AB7"/>
    <w:rsid w:val="004359A2"/>
    <w:rsid w:val="00436514"/>
    <w:rsid w:val="0043677D"/>
    <w:rsid w:val="00436D1B"/>
    <w:rsid w:val="0043A566"/>
    <w:rsid w:val="004403EF"/>
    <w:rsid w:val="004403F8"/>
    <w:rsid w:val="00440644"/>
    <w:rsid w:val="004407F9"/>
    <w:rsid w:val="00440DA8"/>
    <w:rsid w:val="004423F7"/>
    <w:rsid w:val="00442A49"/>
    <w:rsid w:val="00443898"/>
    <w:rsid w:val="004439DB"/>
    <w:rsid w:val="00443ABA"/>
    <w:rsid w:val="00443E19"/>
    <w:rsid w:val="00444526"/>
    <w:rsid w:val="004465DF"/>
    <w:rsid w:val="0044690B"/>
    <w:rsid w:val="00446BBE"/>
    <w:rsid w:val="0044782C"/>
    <w:rsid w:val="004504B7"/>
    <w:rsid w:val="00450655"/>
    <w:rsid w:val="00450702"/>
    <w:rsid w:val="0045093D"/>
    <w:rsid w:val="00450BA8"/>
    <w:rsid w:val="00450F98"/>
    <w:rsid w:val="004511E6"/>
    <w:rsid w:val="004515F3"/>
    <w:rsid w:val="00451645"/>
    <w:rsid w:val="00452899"/>
    <w:rsid w:val="00453AA0"/>
    <w:rsid w:val="00453EB8"/>
    <w:rsid w:val="004544C8"/>
    <w:rsid w:val="00454F8E"/>
    <w:rsid w:val="00457EFB"/>
    <w:rsid w:val="004611BD"/>
    <w:rsid w:val="004621CA"/>
    <w:rsid w:val="00462318"/>
    <w:rsid w:val="00462778"/>
    <w:rsid w:val="0046390D"/>
    <w:rsid w:val="0046392C"/>
    <w:rsid w:val="00464F6C"/>
    <w:rsid w:val="00466350"/>
    <w:rsid w:val="0046718A"/>
    <w:rsid w:val="00467D92"/>
    <w:rsid w:val="004704F2"/>
    <w:rsid w:val="004710DC"/>
    <w:rsid w:val="00471D0D"/>
    <w:rsid w:val="00473069"/>
    <w:rsid w:val="00473AC8"/>
    <w:rsid w:val="00473E1C"/>
    <w:rsid w:val="00474079"/>
    <w:rsid w:val="00474C42"/>
    <w:rsid w:val="00474D2F"/>
    <w:rsid w:val="00474E01"/>
    <w:rsid w:val="00474E71"/>
    <w:rsid w:val="004756B1"/>
    <w:rsid w:val="0047592D"/>
    <w:rsid w:val="004760CA"/>
    <w:rsid w:val="00476894"/>
    <w:rsid w:val="0048031B"/>
    <w:rsid w:val="00480B26"/>
    <w:rsid w:val="00480E3E"/>
    <w:rsid w:val="00482454"/>
    <w:rsid w:val="00482804"/>
    <w:rsid w:val="00482B47"/>
    <w:rsid w:val="00482C13"/>
    <w:rsid w:val="0048323E"/>
    <w:rsid w:val="00483447"/>
    <w:rsid w:val="004841FE"/>
    <w:rsid w:val="00484952"/>
    <w:rsid w:val="00484AD8"/>
    <w:rsid w:val="00484D21"/>
    <w:rsid w:val="00484DC5"/>
    <w:rsid w:val="00485099"/>
    <w:rsid w:val="00485675"/>
    <w:rsid w:val="004859EE"/>
    <w:rsid w:val="00487303"/>
    <w:rsid w:val="00487C85"/>
    <w:rsid w:val="00487CCA"/>
    <w:rsid w:val="00490164"/>
    <w:rsid w:val="00490DC4"/>
    <w:rsid w:val="00491EAE"/>
    <w:rsid w:val="00492648"/>
    <w:rsid w:val="004929E9"/>
    <w:rsid w:val="00492E2C"/>
    <w:rsid w:val="00492F35"/>
    <w:rsid w:val="004931F2"/>
    <w:rsid w:val="00494F64"/>
    <w:rsid w:val="00495C46"/>
    <w:rsid w:val="00496D2E"/>
    <w:rsid w:val="00497432"/>
    <w:rsid w:val="00497B9F"/>
    <w:rsid w:val="00497F14"/>
    <w:rsid w:val="004A06A5"/>
    <w:rsid w:val="004A2084"/>
    <w:rsid w:val="004A29CD"/>
    <w:rsid w:val="004A32F0"/>
    <w:rsid w:val="004A39EC"/>
    <w:rsid w:val="004A40C8"/>
    <w:rsid w:val="004A4430"/>
    <w:rsid w:val="004A46F8"/>
    <w:rsid w:val="004A4D48"/>
    <w:rsid w:val="004A4FDF"/>
    <w:rsid w:val="004A5180"/>
    <w:rsid w:val="004A51FE"/>
    <w:rsid w:val="004A5489"/>
    <w:rsid w:val="004A5E73"/>
    <w:rsid w:val="004A63D0"/>
    <w:rsid w:val="004A6B9A"/>
    <w:rsid w:val="004A6CC2"/>
    <w:rsid w:val="004A6ECD"/>
    <w:rsid w:val="004A7337"/>
    <w:rsid w:val="004A7A52"/>
    <w:rsid w:val="004A7A8B"/>
    <w:rsid w:val="004B0815"/>
    <w:rsid w:val="004B1421"/>
    <w:rsid w:val="004B16D3"/>
    <w:rsid w:val="004B19FE"/>
    <w:rsid w:val="004B293E"/>
    <w:rsid w:val="004B2A4D"/>
    <w:rsid w:val="004B2C1C"/>
    <w:rsid w:val="004B2E9A"/>
    <w:rsid w:val="004B2F45"/>
    <w:rsid w:val="004B33C2"/>
    <w:rsid w:val="004B369E"/>
    <w:rsid w:val="004B4214"/>
    <w:rsid w:val="004B689D"/>
    <w:rsid w:val="004B6E00"/>
    <w:rsid w:val="004C0BA4"/>
    <w:rsid w:val="004C0E97"/>
    <w:rsid w:val="004C2086"/>
    <w:rsid w:val="004C3260"/>
    <w:rsid w:val="004C48C8"/>
    <w:rsid w:val="004C598D"/>
    <w:rsid w:val="004C787A"/>
    <w:rsid w:val="004D13B0"/>
    <w:rsid w:val="004D1A60"/>
    <w:rsid w:val="004D1E7C"/>
    <w:rsid w:val="004D20BB"/>
    <w:rsid w:val="004D2806"/>
    <w:rsid w:val="004D2C60"/>
    <w:rsid w:val="004D2E09"/>
    <w:rsid w:val="004D3897"/>
    <w:rsid w:val="004D39C3"/>
    <w:rsid w:val="004D3D24"/>
    <w:rsid w:val="004D3DDF"/>
    <w:rsid w:val="004D3F44"/>
    <w:rsid w:val="004D4425"/>
    <w:rsid w:val="004D58B9"/>
    <w:rsid w:val="004D5C64"/>
    <w:rsid w:val="004D5F70"/>
    <w:rsid w:val="004D7035"/>
    <w:rsid w:val="004D7921"/>
    <w:rsid w:val="004E0696"/>
    <w:rsid w:val="004E0861"/>
    <w:rsid w:val="004E0A10"/>
    <w:rsid w:val="004E1162"/>
    <w:rsid w:val="004E2BD6"/>
    <w:rsid w:val="004E4C93"/>
    <w:rsid w:val="004E5639"/>
    <w:rsid w:val="004E7363"/>
    <w:rsid w:val="004E7A93"/>
    <w:rsid w:val="004F0BA8"/>
    <w:rsid w:val="004F28C6"/>
    <w:rsid w:val="004F2933"/>
    <w:rsid w:val="004F2F61"/>
    <w:rsid w:val="004F317B"/>
    <w:rsid w:val="004F33CF"/>
    <w:rsid w:val="004F39C8"/>
    <w:rsid w:val="004F3EDE"/>
    <w:rsid w:val="004F4F62"/>
    <w:rsid w:val="004F52B6"/>
    <w:rsid w:val="004F5507"/>
    <w:rsid w:val="004F67DE"/>
    <w:rsid w:val="004F6AD3"/>
    <w:rsid w:val="004F7156"/>
    <w:rsid w:val="00501386"/>
    <w:rsid w:val="00501562"/>
    <w:rsid w:val="00501BD9"/>
    <w:rsid w:val="00501C25"/>
    <w:rsid w:val="00501E94"/>
    <w:rsid w:val="005027A6"/>
    <w:rsid w:val="005029B4"/>
    <w:rsid w:val="00502DAE"/>
    <w:rsid w:val="00502FFB"/>
    <w:rsid w:val="005038A0"/>
    <w:rsid w:val="00503A7E"/>
    <w:rsid w:val="005047FC"/>
    <w:rsid w:val="00504A82"/>
    <w:rsid w:val="00504F94"/>
    <w:rsid w:val="00505E19"/>
    <w:rsid w:val="00505EF0"/>
    <w:rsid w:val="0050657F"/>
    <w:rsid w:val="00506F6D"/>
    <w:rsid w:val="005073FA"/>
    <w:rsid w:val="00510014"/>
    <w:rsid w:val="005103C5"/>
    <w:rsid w:val="005105A1"/>
    <w:rsid w:val="00510D20"/>
    <w:rsid w:val="005111FA"/>
    <w:rsid w:val="00511A1C"/>
    <w:rsid w:val="0051319D"/>
    <w:rsid w:val="005131D3"/>
    <w:rsid w:val="0051352C"/>
    <w:rsid w:val="00514FC2"/>
    <w:rsid w:val="00515A69"/>
    <w:rsid w:val="00515BFA"/>
    <w:rsid w:val="00516279"/>
    <w:rsid w:val="00517A86"/>
    <w:rsid w:val="00520AF5"/>
    <w:rsid w:val="0052349D"/>
    <w:rsid w:val="00523FE0"/>
    <w:rsid w:val="00524B37"/>
    <w:rsid w:val="00524BE8"/>
    <w:rsid w:val="0052575D"/>
    <w:rsid w:val="005259AA"/>
    <w:rsid w:val="00526C0A"/>
    <w:rsid w:val="00526C92"/>
    <w:rsid w:val="005275FC"/>
    <w:rsid w:val="0052768C"/>
    <w:rsid w:val="00527F63"/>
    <w:rsid w:val="00530896"/>
    <w:rsid w:val="00530B43"/>
    <w:rsid w:val="005310AF"/>
    <w:rsid w:val="005328CA"/>
    <w:rsid w:val="00532DB6"/>
    <w:rsid w:val="00533890"/>
    <w:rsid w:val="005341EE"/>
    <w:rsid w:val="005341FC"/>
    <w:rsid w:val="005342C3"/>
    <w:rsid w:val="005356E2"/>
    <w:rsid w:val="005362DF"/>
    <w:rsid w:val="005362F5"/>
    <w:rsid w:val="00536518"/>
    <w:rsid w:val="00536F73"/>
    <w:rsid w:val="00536F9C"/>
    <w:rsid w:val="0053725B"/>
    <w:rsid w:val="005407B1"/>
    <w:rsid w:val="00540C57"/>
    <w:rsid w:val="00541C4C"/>
    <w:rsid w:val="00542659"/>
    <w:rsid w:val="005428A4"/>
    <w:rsid w:val="00543500"/>
    <w:rsid w:val="00543EE3"/>
    <w:rsid w:val="00544A6D"/>
    <w:rsid w:val="00544F71"/>
    <w:rsid w:val="0054619F"/>
    <w:rsid w:val="00546AF0"/>
    <w:rsid w:val="00546B90"/>
    <w:rsid w:val="005471F8"/>
    <w:rsid w:val="005517E0"/>
    <w:rsid w:val="00552571"/>
    <w:rsid w:val="005531BD"/>
    <w:rsid w:val="0055401D"/>
    <w:rsid w:val="00554767"/>
    <w:rsid w:val="00555312"/>
    <w:rsid w:val="00555B4F"/>
    <w:rsid w:val="005564FB"/>
    <w:rsid w:val="00556629"/>
    <w:rsid w:val="00556795"/>
    <w:rsid w:val="005567B2"/>
    <w:rsid w:val="00557798"/>
    <w:rsid w:val="00557870"/>
    <w:rsid w:val="00560277"/>
    <w:rsid w:val="00560938"/>
    <w:rsid w:val="00560AF1"/>
    <w:rsid w:val="00561562"/>
    <w:rsid w:val="00563DE6"/>
    <w:rsid w:val="00563EB4"/>
    <w:rsid w:val="00564AEE"/>
    <w:rsid w:val="005650E9"/>
    <w:rsid w:val="0056528D"/>
    <w:rsid w:val="0056628B"/>
    <w:rsid w:val="00566298"/>
    <w:rsid w:val="00566B44"/>
    <w:rsid w:val="00567BAB"/>
    <w:rsid w:val="00567EE0"/>
    <w:rsid w:val="005704BD"/>
    <w:rsid w:val="0057091E"/>
    <w:rsid w:val="00571ACB"/>
    <w:rsid w:val="005723D6"/>
    <w:rsid w:val="00573721"/>
    <w:rsid w:val="00573CE2"/>
    <w:rsid w:val="00574A6E"/>
    <w:rsid w:val="00574C15"/>
    <w:rsid w:val="00574E92"/>
    <w:rsid w:val="005757E6"/>
    <w:rsid w:val="00575F7B"/>
    <w:rsid w:val="00576D09"/>
    <w:rsid w:val="00577145"/>
    <w:rsid w:val="005771D6"/>
    <w:rsid w:val="005773BE"/>
    <w:rsid w:val="00577447"/>
    <w:rsid w:val="00580384"/>
    <w:rsid w:val="005804A8"/>
    <w:rsid w:val="00582365"/>
    <w:rsid w:val="00582DAC"/>
    <w:rsid w:val="00583743"/>
    <w:rsid w:val="00584E10"/>
    <w:rsid w:val="00585030"/>
    <w:rsid w:val="005851E9"/>
    <w:rsid w:val="00585C1B"/>
    <w:rsid w:val="00585CA0"/>
    <w:rsid w:val="00585D33"/>
    <w:rsid w:val="005868F5"/>
    <w:rsid w:val="00586EF1"/>
    <w:rsid w:val="00587639"/>
    <w:rsid w:val="00587911"/>
    <w:rsid w:val="00592638"/>
    <w:rsid w:val="00592E90"/>
    <w:rsid w:val="00593138"/>
    <w:rsid w:val="00593A33"/>
    <w:rsid w:val="005947B5"/>
    <w:rsid w:val="00595378"/>
    <w:rsid w:val="005960BB"/>
    <w:rsid w:val="00597407"/>
    <w:rsid w:val="005A0496"/>
    <w:rsid w:val="005A24D4"/>
    <w:rsid w:val="005A2DCB"/>
    <w:rsid w:val="005A38B4"/>
    <w:rsid w:val="005A3C66"/>
    <w:rsid w:val="005A4047"/>
    <w:rsid w:val="005A4333"/>
    <w:rsid w:val="005A4384"/>
    <w:rsid w:val="005A7012"/>
    <w:rsid w:val="005A7218"/>
    <w:rsid w:val="005A73E7"/>
    <w:rsid w:val="005A7528"/>
    <w:rsid w:val="005A7A5E"/>
    <w:rsid w:val="005B1C07"/>
    <w:rsid w:val="005B1FD9"/>
    <w:rsid w:val="005B22CE"/>
    <w:rsid w:val="005B2ACC"/>
    <w:rsid w:val="005B3432"/>
    <w:rsid w:val="005B3BD6"/>
    <w:rsid w:val="005B3C20"/>
    <w:rsid w:val="005B3CCF"/>
    <w:rsid w:val="005B48F6"/>
    <w:rsid w:val="005B50D1"/>
    <w:rsid w:val="005B765C"/>
    <w:rsid w:val="005B7735"/>
    <w:rsid w:val="005B7D6C"/>
    <w:rsid w:val="005B7EB5"/>
    <w:rsid w:val="005C034B"/>
    <w:rsid w:val="005C0FD5"/>
    <w:rsid w:val="005C12DB"/>
    <w:rsid w:val="005C18EC"/>
    <w:rsid w:val="005C1D64"/>
    <w:rsid w:val="005C1DB9"/>
    <w:rsid w:val="005C2BFF"/>
    <w:rsid w:val="005C4385"/>
    <w:rsid w:val="005C443D"/>
    <w:rsid w:val="005C4F8C"/>
    <w:rsid w:val="005C6110"/>
    <w:rsid w:val="005C61E7"/>
    <w:rsid w:val="005C7215"/>
    <w:rsid w:val="005C73C4"/>
    <w:rsid w:val="005D00EA"/>
    <w:rsid w:val="005D0238"/>
    <w:rsid w:val="005D023B"/>
    <w:rsid w:val="005D02C4"/>
    <w:rsid w:val="005D2304"/>
    <w:rsid w:val="005D3A04"/>
    <w:rsid w:val="005D48FE"/>
    <w:rsid w:val="005D4CA0"/>
    <w:rsid w:val="005D5F6F"/>
    <w:rsid w:val="005D6F91"/>
    <w:rsid w:val="005D7471"/>
    <w:rsid w:val="005D749D"/>
    <w:rsid w:val="005E06C3"/>
    <w:rsid w:val="005E1F31"/>
    <w:rsid w:val="005E2702"/>
    <w:rsid w:val="005E2AD6"/>
    <w:rsid w:val="005E2F71"/>
    <w:rsid w:val="005E36E4"/>
    <w:rsid w:val="005E5874"/>
    <w:rsid w:val="005E6003"/>
    <w:rsid w:val="005E657F"/>
    <w:rsid w:val="005E75D5"/>
    <w:rsid w:val="005F0351"/>
    <w:rsid w:val="005F06D5"/>
    <w:rsid w:val="005F117E"/>
    <w:rsid w:val="005F1555"/>
    <w:rsid w:val="005F1EC4"/>
    <w:rsid w:val="005F2978"/>
    <w:rsid w:val="005F2E57"/>
    <w:rsid w:val="005F2F6E"/>
    <w:rsid w:val="005F44D8"/>
    <w:rsid w:val="005F4721"/>
    <w:rsid w:val="005F720A"/>
    <w:rsid w:val="00601614"/>
    <w:rsid w:val="00601832"/>
    <w:rsid w:val="00601874"/>
    <w:rsid w:val="00601F43"/>
    <w:rsid w:val="00602F43"/>
    <w:rsid w:val="00603B08"/>
    <w:rsid w:val="00603EAE"/>
    <w:rsid w:val="006051DA"/>
    <w:rsid w:val="00605776"/>
    <w:rsid w:val="006067A2"/>
    <w:rsid w:val="00606B2D"/>
    <w:rsid w:val="00607ED6"/>
    <w:rsid w:val="00610162"/>
    <w:rsid w:val="00610ABA"/>
    <w:rsid w:val="00610F22"/>
    <w:rsid w:val="0061128D"/>
    <w:rsid w:val="006116C9"/>
    <w:rsid w:val="00611C55"/>
    <w:rsid w:val="00613037"/>
    <w:rsid w:val="0061318A"/>
    <w:rsid w:val="006132A7"/>
    <w:rsid w:val="0061335C"/>
    <w:rsid w:val="006135AB"/>
    <w:rsid w:val="00613758"/>
    <w:rsid w:val="006138E4"/>
    <w:rsid w:val="006144F6"/>
    <w:rsid w:val="00614902"/>
    <w:rsid w:val="0061530B"/>
    <w:rsid w:val="00615433"/>
    <w:rsid w:val="00616407"/>
    <w:rsid w:val="00616726"/>
    <w:rsid w:val="00616AC9"/>
    <w:rsid w:val="006171CB"/>
    <w:rsid w:val="00617D34"/>
    <w:rsid w:val="00620E5A"/>
    <w:rsid w:val="00621067"/>
    <w:rsid w:val="0062175A"/>
    <w:rsid w:val="0062219A"/>
    <w:rsid w:val="00622906"/>
    <w:rsid w:val="0062335A"/>
    <w:rsid w:val="006236EF"/>
    <w:rsid w:val="00623A55"/>
    <w:rsid w:val="00623F8D"/>
    <w:rsid w:val="00624049"/>
    <w:rsid w:val="0062483D"/>
    <w:rsid w:val="00624BE5"/>
    <w:rsid w:val="006250E9"/>
    <w:rsid w:val="00626613"/>
    <w:rsid w:val="006276CD"/>
    <w:rsid w:val="006278EE"/>
    <w:rsid w:val="00627C45"/>
    <w:rsid w:val="00631167"/>
    <w:rsid w:val="006324B2"/>
    <w:rsid w:val="00632B10"/>
    <w:rsid w:val="00632DF9"/>
    <w:rsid w:val="00632FFF"/>
    <w:rsid w:val="00633004"/>
    <w:rsid w:val="006332A2"/>
    <w:rsid w:val="0063344C"/>
    <w:rsid w:val="00633B2F"/>
    <w:rsid w:val="00633DC4"/>
    <w:rsid w:val="00633E4F"/>
    <w:rsid w:val="00634B0A"/>
    <w:rsid w:val="00640C31"/>
    <w:rsid w:val="006419CD"/>
    <w:rsid w:val="00643226"/>
    <w:rsid w:val="00643D13"/>
    <w:rsid w:val="00644701"/>
    <w:rsid w:val="00644B45"/>
    <w:rsid w:val="00644C53"/>
    <w:rsid w:val="00645915"/>
    <w:rsid w:val="006459C7"/>
    <w:rsid w:val="006459EF"/>
    <w:rsid w:val="00645A65"/>
    <w:rsid w:val="006465F3"/>
    <w:rsid w:val="00646D9E"/>
    <w:rsid w:val="00650855"/>
    <w:rsid w:val="0065129C"/>
    <w:rsid w:val="00651B41"/>
    <w:rsid w:val="00652484"/>
    <w:rsid w:val="006524F8"/>
    <w:rsid w:val="00652681"/>
    <w:rsid w:val="006529F2"/>
    <w:rsid w:val="00653472"/>
    <w:rsid w:val="006534BF"/>
    <w:rsid w:val="006537D7"/>
    <w:rsid w:val="0065386D"/>
    <w:rsid w:val="00653F1C"/>
    <w:rsid w:val="00654385"/>
    <w:rsid w:val="0065444A"/>
    <w:rsid w:val="00654C6A"/>
    <w:rsid w:val="00654F19"/>
    <w:rsid w:val="00654F68"/>
    <w:rsid w:val="006554A6"/>
    <w:rsid w:val="00655CF9"/>
    <w:rsid w:val="00655D45"/>
    <w:rsid w:val="00655EF8"/>
    <w:rsid w:val="0065714C"/>
    <w:rsid w:val="00657D6A"/>
    <w:rsid w:val="00660A74"/>
    <w:rsid w:val="00661C85"/>
    <w:rsid w:val="0066226D"/>
    <w:rsid w:val="00662E5F"/>
    <w:rsid w:val="00663B6E"/>
    <w:rsid w:val="00664434"/>
    <w:rsid w:val="00664438"/>
    <w:rsid w:val="006648EA"/>
    <w:rsid w:val="0066561F"/>
    <w:rsid w:val="00665874"/>
    <w:rsid w:val="00666A58"/>
    <w:rsid w:val="00666A63"/>
    <w:rsid w:val="00667370"/>
    <w:rsid w:val="00667C06"/>
    <w:rsid w:val="006703AF"/>
    <w:rsid w:val="0067053D"/>
    <w:rsid w:val="00670650"/>
    <w:rsid w:val="00670B61"/>
    <w:rsid w:val="0067129A"/>
    <w:rsid w:val="006712C0"/>
    <w:rsid w:val="00671999"/>
    <w:rsid w:val="00671C2F"/>
    <w:rsid w:val="00672A7F"/>
    <w:rsid w:val="006744AC"/>
    <w:rsid w:val="006747D6"/>
    <w:rsid w:val="00674C7D"/>
    <w:rsid w:val="00675C50"/>
    <w:rsid w:val="00677225"/>
    <w:rsid w:val="006800AE"/>
    <w:rsid w:val="00680B40"/>
    <w:rsid w:val="00680C9F"/>
    <w:rsid w:val="00680EFA"/>
    <w:rsid w:val="0068145A"/>
    <w:rsid w:val="00681D5C"/>
    <w:rsid w:val="00681EC9"/>
    <w:rsid w:val="006822FA"/>
    <w:rsid w:val="00682441"/>
    <w:rsid w:val="0068288C"/>
    <w:rsid w:val="00682ABD"/>
    <w:rsid w:val="00682F97"/>
    <w:rsid w:val="00683F36"/>
    <w:rsid w:val="00685589"/>
    <w:rsid w:val="0068682C"/>
    <w:rsid w:val="00686ECD"/>
    <w:rsid w:val="0068733D"/>
    <w:rsid w:val="006874A1"/>
    <w:rsid w:val="00691A71"/>
    <w:rsid w:val="006932BC"/>
    <w:rsid w:val="006934F7"/>
    <w:rsid w:val="006938AA"/>
    <w:rsid w:val="006942E5"/>
    <w:rsid w:val="00694434"/>
    <w:rsid w:val="0069474B"/>
    <w:rsid w:val="0069475D"/>
    <w:rsid w:val="0069661F"/>
    <w:rsid w:val="0069672F"/>
    <w:rsid w:val="006972EC"/>
    <w:rsid w:val="00697966"/>
    <w:rsid w:val="006A2251"/>
    <w:rsid w:val="006A2A37"/>
    <w:rsid w:val="006A3079"/>
    <w:rsid w:val="006A3A2B"/>
    <w:rsid w:val="006A40BF"/>
    <w:rsid w:val="006A4AEB"/>
    <w:rsid w:val="006A55D7"/>
    <w:rsid w:val="006A5719"/>
    <w:rsid w:val="006A6BF1"/>
    <w:rsid w:val="006B144C"/>
    <w:rsid w:val="006B1A93"/>
    <w:rsid w:val="006B3032"/>
    <w:rsid w:val="006B439E"/>
    <w:rsid w:val="006B4B4A"/>
    <w:rsid w:val="006B4BFE"/>
    <w:rsid w:val="006B55B6"/>
    <w:rsid w:val="006B56E8"/>
    <w:rsid w:val="006B60EF"/>
    <w:rsid w:val="006B6129"/>
    <w:rsid w:val="006B75C6"/>
    <w:rsid w:val="006B7ED0"/>
    <w:rsid w:val="006C0107"/>
    <w:rsid w:val="006C039B"/>
    <w:rsid w:val="006C03D6"/>
    <w:rsid w:val="006C0ACD"/>
    <w:rsid w:val="006C13C4"/>
    <w:rsid w:val="006C2301"/>
    <w:rsid w:val="006C2C85"/>
    <w:rsid w:val="006C354C"/>
    <w:rsid w:val="006C3B76"/>
    <w:rsid w:val="006C3CC2"/>
    <w:rsid w:val="006C4458"/>
    <w:rsid w:val="006C4572"/>
    <w:rsid w:val="006C605D"/>
    <w:rsid w:val="006C6ABE"/>
    <w:rsid w:val="006C7B03"/>
    <w:rsid w:val="006D0EC2"/>
    <w:rsid w:val="006D1D0B"/>
    <w:rsid w:val="006D2E03"/>
    <w:rsid w:val="006D32F1"/>
    <w:rsid w:val="006D3877"/>
    <w:rsid w:val="006D4C72"/>
    <w:rsid w:val="006D4E4C"/>
    <w:rsid w:val="006D5027"/>
    <w:rsid w:val="006D5028"/>
    <w:rsid w:val="006D513F"/>
    <w:rsid w:val="006D5585"/>
    <w:rsid w:val="006D599F"/>
    <w:rsid w:val="006D5D3D"/>
    <w:rsid w:val="006D5F76"/>
    <w:rsid w:val="006D6A9B"/>
    <w:rsid w:val="006D6D96"/>
    <w:rsid w:val="006D7211"/>
    <w:rsid w:val="006D7570"/>
    <w:rsid w:val="006D75C8"/>
    <w:rsid w:val="006D7B81"/>
    <w:rsid w:val="006D7B91"/>
    <w:rsid w:val="006E0F69"/>
    <w:rsid w:val="006E16F2"/>
    <w:rsid w:val="006E1746"/>
    <w:rsid w:val="006E2540"/>
    <w:rsid w:val="006E6656"/>
    <w:rsid w:val="006F0110"/>
    <w:rsid w:val="006F02CE"/>
    <w:rsid w:val="006F087C"/>
    <w:rsid w:val="006F0D46"/>
    <w:rsid w:val="006F108A"/>
    <w:rsid w:val="006F1FD5"/>
    <w:rsid w:val="006F23DD"/>
    <w:rsid w:val="006F3A5D"/>
    <w:rsid w:val="006F3C53"/>
    <w:rsid w:val="006F3D51"/>
    <w:rsid w:val="006F3EA4"/>
    <w:rsid w:val="006F4DBB"/>
    <w:rsid w:val="006F4E1F"/>
    <w:rsid w:val="006F4F3F"/>
    <w:rsid w:val="006F513A"/>
    <w:rsid w:val="006F5158"/>
    <w:rsid w:val="006F58A9"/>
    <w:rsid w:val="006F5D53"/>
    <w:rsid w:val="006F7E9A"/>
    <w:rsid w:val="00700293"/>
    <w:rsid w:val="00700950"/>
    <w:rsid w:val="00700B1C"/>
    <w:rsid w:val="00701136"/>
    <w:rsid w:val="0070180B"/>
    <w:rsid w:val="0070319A"/>
    <w:rsid w:val="00703738"/>
    <w:rsid w:val="00703CB4"/>
    <w:rsid w:val="00704C5A"/>
    <w:rsid w:val="00705E70"/>
    <w:rsid w:val="007060D3"/>
    <w:rsid w:val="00706E4D"/>
    <w:rsid w:val="00707C18"/>
    <w:rsid w:val="007102EB"/>
    <w:rsid w:val="007103A9"/>
    <w:rsid w:val="007104F5"/>
    <w:rsid w:val="0071136C"/>
    <w:rsid w:val="007123F8"/>
    <w:rsid w:val="0071286B"/>
    <w:rsid w:val="007128D4"/>
    <w:rsid w:val="00712E2C"/>
    <w:rsid w:val="00716AD2"/>
    <w:rsid w:val="00717527"/>
    <w:rsid w:val="007201CD"/>
    <w:rsid w:val="007203CA"/>
    <w:rsid w:val="0072070A"/>
    <w:rsid w:val="00721C94"/>
    <w:rsid w:val="0072253E"/>
    <w:rsid w:val="007226F5"/>
    <w:rsid w:val="00723B2C"/>
    <w:rsid w:val="0072406B"/>
    <w:rsid w:val="00724ACD"/>
    <w:rsid w:val="00724C09"/>
    <w:rsid w:val="00724ED0"/>
    <w:rsid w:val="00724F92"/>
    <w:rsid w:val="00724FA2"/>
    <w:rsid w:val="007253D6"/>
    <w:rsid w:val="0072578A"/>
    <w:rsid w:val="0072597A"/>
    <w:rsid w:val="007260EE"/>
    <w:rsid w:val="00726587"/>
    <w:rsid w:val="00727843"/>
    <w:rsid w:val="007302FF"/>
    <w:rsid w:val="007304A3"/>
    <w:rsid w:val="00733DF8"/>
    <w:rsid w:val="00734509"/>
    <w:rsid w:val="00734D05"/>
    <w:rsid w:val="00735100"/>
    <w:rsid w:val="00735191"/>
    <w:rsid w:val="0073587B"/>
    <w:rsid w:val="00735CCA"/>
    <w:rsid w:val="0073792C"/>
    <w:rsid w:val="007402F2"/>
    <w:rsid w:val="00740CA6"/>
    <w:rsid w:val="00741297"/>
    <w:rsid w:val="0074193E"/>
    <w:rsid w:val="0074242A"/>
    <w:rsid w:val="0074257A"/>
    <w:rsid w:val="007425AC"/>
    <w:rsid w:val="00742E91"/>
    <w:rsid w:val="00742F40"/>
    <w:rsid w:val="00743908"/>
    <w:rsid w:val="0074423C"/>
    <w:rsid w:val="00744827"/>
    <w:rsid w:val="007462CF"/>
    <w:rsid w:val="007467EC"/>
    <w:rsid w:val="007467FB"/>
    <w:rsid w:val="00747314"/>
    <w:rsid w:val="00747434"/>
    <w:rsid w:val="0074788B"/>
    <w:rsid w:val="00750105"/>
    <w:rsid w:val="00750170"/>
    <w:rsid w:val="007507F7"/>
    <w:rsid w:val="0075137C"/>
    <w:rsid w:val="00751516"/>
    <w:rsid w:val="00752114"/>
    <w:rsid w:val="00752A94"/>
    <w:rsid w:val="00753A12"/>
    <w:rsid w:val="00753A52"/>
    <w:rsid w:val="00753DBD"/>
    <w:rsid w:val="0075418A"/>
    <w:rsid w:val="00757B84"/>
    <w:rsid w:val="0076087E"/>
    <w:rsid w:val="00761D35"/>
    <w:rsid w:val="0076260D"/>
    <w:rsid w:val="0076328D"/>
    <w:rsid w:val="00763B77"/>
    <w:rsid w:val="00764148"/>
    <w:rsid w:val="00764184"/>
    <w:rsid w:val="007641CD"/>
    <w:rsid w:val="00764EC0"/>
    <w:rsid w:val="0076552F"/>
    <w:rsid w:val="0076608C"/>
    <w:rsid w:val="0076702C"/>
    <w:rsid w:val="007671A7"/>
    <w:rsid w:val="00767F6C"/>
    <w:rsid w:val="0077000A"/>
    <w:rsid w:val="0077053F"/>
    <w:rsid w:val="00771955"/>
    <w:rsid w:val="00772829"/>
    <w:rsid w:val="00773216"/>
    <w:rsid w:val="007733AB"/>
    <w:rsid w:val="00773A03"/>
    <w:rsid w:val="00774452"/>
    <w:rsid w:val="007745BC"/>
    <w:rsid w:val="00774B31"/>
    <w:rsid w:val="00774EA9"/>
    <w:rsid w:val="00777848"/>
    <w:rsid w:val="00777893"/>
    <w:rsid w:val="00777A65"/>
    <w:rsid w:val="007800BE"/>
    <w:rsid w:val="0078011D"/>
    <w:rsid w:val="00783048"/>
    <w:rsid w:val="00784341"/>
    <w:rsid w:val="007852E9"/>
    <w:rsid w:val="007864DE"/>
    <w:rsid w:val="00790B15"/>
    <w:rsid w:val="00790F49"/>
    <w:rsid w:val="007911DF"/>
    <w:rsid w:val="007925BB"/>
    <w:rsid w:val="00792FB1"/>
    <w:rsid w:val="007931CB"/>
    <w:rsid w:val="007944BC"/>
    <w:rsid w:val="00795018"/>
    <w:rsid w:val="00795078"/>
    <w:rsid w:val="007950DC"/>
    <w:rsid w:val="007951D4"/>
    <w:rsid w:val="00795787"/>
    <w:rsid w:val="00796E86"/>
    <w:rsid w:val="00797C46"/>
    <w:rsid w:val="007A056C"/>
    <w:rsid w:val="007A0AFB"/>
    <w:rsid w:val="007A19F6"/>
    <w:rsid w:val="007A22AC"/>
    <w:rsid w:val="007A2435"/>
    <w:rsid w:val="007A2B65"/>
    <w:rsid w:val="007A2CED"/>
    <w:rsid w:val="007A48E6"/>
    <w:rsid w:val="007A4E8F"/>
    <w:rsid w:val="007A5206"/>
    <w:rsid w:val="007A5617"/>
    <w:rsid w:val="007A6567"/>
    <w:rsid w:val="007A721E"/>
    <w:rsid w:val="007A7320"/>
    <w:rsid w:val="007B0245"/>
    <w:rsid w:val="007B083F"/>
    <w:rsid w:val="007B0880"/>
    <w:rsid w:val="007B0A7D"/>
    <w:rsid w:val="007B0D01"/>
    <w:rsid w:val="007B0E26"/>
    <w:rsid w:val="007B19C6"/>
    <w:rsid w:val="007B1E39"/>
    <w:rsid w:val="007B2085"/>
    <w:rsid w:val="007B2342"/>
    <w:rsid w:val="007B278C"/>
    <w:rsid w:val="007B2DA3"/>
    <w:rsid w:val="007B2FDC"/>
    <w:rsid w:val="007B389C"/>
    <w:rsid w:val="007B38A0"/>
    <w:rsid w:val="007B38B7"/>
    <w:rsid w:val="007B3F48"/>
    <w:rsid w:val="007B4650"/>
    <w:rsid w:val="007B4B70"/>
    <w:rsid w:val="007B4F16"/>
    <w:rsid w:val="007B4F7B"/>
    <w:rsid w:val="007B53EF"/>
    <w:rsid w:val="007B583D"/>
    <w:rsid w:val="007B6684"/>
    <w:rsid w:val="007B6B08"/>
    <w:rsid w:val="007B6B21"/>
    <w:rsid w:val="007B7024"/>
    <w:rsid w:val="007C0390"/>
    <w:rsid w:val="007C12F6"/>
    <w:rsid w:val="007C1383"/>
    <w:rsid w:val="007C14A2"/>
    <w:rsid w:val="007C1CCF"/>
    <w:rsid w:val="007C26D9"/>
    <w:rsid w:val="007C300E"/>
    <w:rsid w:val="007C3128"/>
    <w:rsid w:val="007C328D"/>
    <w:rsid w:val="007C336F"/>
    <w:rsid w:val="007C37F1"/>
    <w:rsid w:val="007C41B1"/>
    <w:rsid w:val="007C495B"/>
    <w:rsid w:val="007C4CF2"/>
    <w:rsid w:val="007D04B1"/>
    <w:rsid w:val="007D08B2"/>
    <w:rsid w:val="007D1651"/>
    <w:rsid w:val="007D24B4"/>
    <w:rsid w:val="007D2E0B"/>
    <w:rsid w:val="007D30B7"/>
    <w:rsid w:val="007D5706"/>
    <w:rsid w:val="007D5888"/>
    <w:rsid w:val="007D6C0A"/>
    <w:rsid w:val="007D6E17"/>
    <w:rsid w:val="007D79AF"/>
    <w:rsid w:val="007E15AD"/>
    <w:rsid w:val="007E215E"/>
    <w:rsid w:val="007E25ED"/>
    <w:rsid w:val="007E2BC0"/>
    <w:rsid w:val="007E362C"/>
    <w:rsid w:val="007E4FD5"/>
    <w:rsid w:val="007E6591"/>
    <w:rsid w:val="007E7E03"/>
    <w:rsid w:val="007F0471"/>
    <w:rsid w:val="007F27F1"/>
    <w:rsid w:val="007F2F2C"/>
    <w:rsid w:val="007F3ECB"/>
    <w:rsid w:val="007F4432"/>
    <w:rsid w:val="007F4634"/>
    <w:rsid w:val="007F5EB0"/>
    <w:rsid w:val="007F6574"/>
    <w:rsid w:val="007F67E9"/>
    <w:rsid w:val="007F6D4F"/>
    <w:rsid w:val="007F7C7B"/>
    <w:rsid w:val="00801001"/>
    <w:rsid w:val="00801376"/>
    <w:rsid w:val="0080231C"/>
    <w:rsid w:val="008040A2"/>
    <w:rsid w:val="00804103"/>
    <w:rsid w:val="00804632"/>
    <w:rsid w:val="0080516A"/>
    <w:rsid w:val="008054D9"/>
    <w:rsid w:val="00805517"/>
    <w:rsid w:val="00806688"/>
    <w:rsid w:val="008070EC"/>
    <w:rsid w:val="00807691"/>
    <w:rsid w:val="00807A3E"/>
    <w:rsid w:val="00807DF3"/>
    <w:rsid w:val="00810338"/>
    <w:rsid w:val="00810DF6"/>
    <w:rsid w:val="00811917"/>
    <w:rsid w:val="00812282"/>
    <w:rsid w:val="008137EC"/>
    <w:rsid w:val="00813BA2"/>
    <w:rsid w:val="00813EED"/>
    <w:rsid w:val="0081415D"/>
    <w:rsid w:val="008148E4"/>
    <w:rsid w:val="008157F1"/>
    <w:rsid w:val="008165F1"/>
    <w:rsid w:val="00816AC3"/>
    <w:rsid w:val="00816EB1"/>
    <w:rsid w:val="00816EC2"/>
    <w:rsid w:val="008205F2"/>
    <w:rsid w:val="00820A84"/>
    <w:rsid w:val="00820F0C"/>
    <w:rsid w:val="00821F7C"/>
    <w:rsid w:val="008220CE"/>
    <w:rsid w:val="008234BA"/>
    <w:rsid w:val="008236E1"/>
    <w:rsid w:val="00824458"/>
    <w:rsid w:val="008249F7"/>
    <w:rsid w:val="00824B74"/>
    <w:rsid w:val="00825E0E"/>
    <w:rsid w:val="008262F4"/>
    <w:rsid w:val="00826C2C"/>
    <w:rsid w:val="00827027"/>
    <w:rsid w:val="008279ED"/>
    <w:rsid w:val="00830523"/>
    <w:rsid w:val="00830547"/>
    <w:rsid w:val="00830E99"/>
    <w:rsid w:val="008357DE"/>
    <w:rsid w:val="00835BBE"/>
    <w:rsid w:val="00835EC9"/>
    <w:rsid w:val="00836710"/>
    <w:rsid w:val="0083685A"/>
    <w:rsid w:val="00836BF9"/>
    <w:rsid w:val="008378D6"/>
    <w:rsid w:val="00840AEC"/>
    <w:rsid w:val="00840E51"/>
    <w:rsid w:val="00841347"/>
    <w:rsid w:val="00841388"/>
    <w:rsid w:val="00841EFB"/>
    <w:rsid w:val="00841F44"/>
    <w:rsid w:val="00842C82"/>
    <w:rsid w:val="008436D7"/>
    <w:rsid w:val="008440FE"/>
    <w:rsid w:val="008452D2"/>
    <w:rsid w:val="00846119"/>
    <w:rsid w:val="00846599"/>
    <w:rsid w:val="00846B41"/>
    <w:rsid w:val="00847301"/>
    <w:rsid w:val="008474E3"/>
    <w:rsid w:val="0084782D"/>
    <w:rsid w:val="008509ED"/>
    <w:rsid w:val="008513EB"/>
    <w:rsid w:val="00852087"/>
    <w:rsid w:val="008522AD"/>
    <w:rsid w:val="008523B3"/>
    <w:rsid w:val="008523DE"/>
    <w:rsid w:val="008527ED"/>
    <w:rsid w:val="00852A16"/>
    <w:rsid w:val="0085349D"/>
    <w:rsid w:val="008537F7"/>
    <w:rsid w:val="008546BE"/>
    <w:rsid w:val="0085527D"/>
    <w:rsid w:val="00856074"/>
    <w:rsid w:val="00857509"/>
    <w:rsid w:val="00857949"/>
    <w:rsid w:val="00860559"/>
    <w:rsid w:val="00861430"/>
    <w:rsid w:val="00862F94"/>
    <w:rsid w:val="008633B3"/>
    <w:rsid w:val="0086410E"/>
    <w:rsid w:val="00864390"/>
    <w:rsid w:val="0086586A"/>
    <w:rsid w:val="008658AD"/>
    <w:rsid w:val="008679B0"/>
    <w:rsid w:val="008719C2"/>
    <w:rsid w:val="00871ED2"/>
    <w:rsid w:val="0087277A"/>
    <w:rsid w:val="008727B8"/>
    <w:rsid w:val="00872A47"/>
    <w:rsid w:val="0087313D"/>
    <w:rsid w:val="008736E2"/>
    <w:rsid w:val="00874061"/>
    <w:rsid w:val="00874565"/>
    <w:rsid w:val="0087473B"/>
    <w:rsid w:val="00874FFB"/>
    <w:rsid w:val="0087597A"/>
    <w:rsid w:val="0087611D"/>
    <w:rsid w:val="00876411"/>
    <w:rsid w:val="0087651F"/>
    <w:rsid w:val="00877247"/>
    <w:rsid w:val="008801AE"/>
    <w:rsid w:val="00880AA3"/>
    <w:rsid w:val="00881BFB"/>
    <w:rsid w:val="00882CC9"/>
    <w:rsid w:val="0088421C"/>
    <w:rsid w:val="0088445B"/>
    <w:rsid w:val="008852D2"/>
    <w:rsid w:val="00885F67"/>
    <w:rsid w:val="008872BA"/>
    <w:rsid w:val="00887DD2"/>
    <w:rsid w:val="0089059C"/>
    <w:rsid w:val="00891405"/>
    <w:rsid w:val="008917BA"/>
    <w:rsid w:val="00891AF6"/>
    <w:rsid w:val="00891BC3"/>
    <w:rsid w:val="008921CE"/>
    <w:rsid w:val="008937C8"/>
    <w:rsid w:val="00895005"/>
    <w:rsid w:val="008953AC"/>
    <w:rsid w:val="00895695"/>
    <w:rsid w:val="00896799"/>
    <w:rsid w:val="008967C4"/>
    <w:rsid w:val="00896A3D"/>
    <w:rsid w:val="008A018D"/>
    <w:rsid w:val="008A0C37"/>
    <w:rsid w:val="008A0D2A"/>
    <w:rsid w:val="008A1376"/>
    <w:rsid w:val="008A1693"/>
    <w:rsid w:val="008A1F0B"/>
    <w:rsid w:val="008A254F"/>
    <w:rsid w:val="008A2630"/>
    <w:rsid w:val="008A2C38"/>
    <w:rsid w:val="008A307A"/>
    <w:rsid w:val="008A3237"/>
    <w:rsid w:val="008A4B7B"/>
    <w:rsid w:val="008A50BC"/>
    <w:rsid w:val="008A57F6"/>
    <w:rsid w:val="008A5833"/>
    <w:rsid w:val="008A62B7"/>
    <w:rsid w:val="008A7DD5"/>
    <w:rsid w:val="008B1651"/>
    <w:rsid w:val="008B1791"/>
    <w:rsid w:val="008B1C12"/>
    <w:rsid w:val="008B3A88"/>
    <w:rsid w:val="008B435F"/>
    <w:rsid w:val="008B4BFC"/>
    <w:rsid w:val="008B4F0D"/>
    <w:rsid w:val="008B51B4"/>
    <w:rsid w:val="008B5B67"/>
    <w:rsid w:val="008B5B7D"/>
    <w:rsid w:val="008B5BFC"/>
    <w:rsid w:val="008B5D7A"/>
    <w:rsid w:val="008B62F1"/>
    <w:rsid w:val="008B66E3"/>
    <w:rsid w:val="008B73FA"/>
    <w:rsid w:val="008B7848"/>
    <w:rsid w:val="008B7CEE"/>
    <w:rsid w:val="008C004C"/>
    <w:rsid w:val="008C036B"/>
    <w:rsid w:val="008C1E00"/>
    <w:rsid w:val="008C1E05"/>
    <w:rsid w:val="008C28C3"/>
    <w:rsid w:val="008C291B"/>
    <w:rsid w:val="008C34BB"/>
    <w:rsid w:val="008C3DF5"/>
    <w:rsid w:val="008C45E2"/>
    <w:rsid w:val="008C481D"/>
    <w:rsid w:val="008C5370"/>
    <w:rsid w:val="008C59A9"/>
    <w:rsid w:val="008C6195"/>
    <w:rsid w:val="008D085B"/>
    <w:rsid w:val="008D13AE"/>
    <w:rsid w:val="008D29BB"/>
    <w:rsid w:val="008D3726"/>
    <w:rsid w:val="008D41DE"/>
    <w:rsid w:val="008D4A10"/>
    <w:rsid w:val="008D4CB0"/>
    <w:rsid w:val="008D6397"/>
    <w:rsid w:val="008D6B7A"/>
    <w:rsid w:val="008D73C9"/>
    <w:rsid w:val="008E00CE"/>
    <w:rsid w:val="008E042A"/>
    <w:rsid w:val="008E16BF"/>
    <w:rsid w:val="008E3049"/>
    <w:rsid w:val="008E341E"/>
    <w:rsid w:val="008E35A3"/>
    <w:rsid w:val="008E3D0C"/>
    <w:rsid w:val="008E4B0F"/>
    <w:rsid w:val="008E4B66"/>
    <w:rsid w:val="008E5044"/>
    <w:rsid w:val="008E5119"/>
    <w:rsid w:val="008E6C68"/>
    <w:rsid w:val="008E7274"/>
    <w:rsid w:val="008E7BFB"/>
    <w:rsid w:val="008F0562"/>
    <w:rsid w:val="008F1058"/>
    <w:rsid w:val="008F1259"/>
    <w:rsid w:val="008F191F"/>
    <w:rsid w:val="008F260B"/>
    <w:rsid w:val="008F4014"/>
    <w:rsid w:val="008F4B87"/>
    <w:rsid w:val="008F5225"/>
    <w:rsid w:val="008F5413"/>
    <w:rsid w:val="008F54D0"/>
    <w:rsid w:val="008F5A79"/>
    <w:rsid w:val="008F5E08"/>
    <w:rsid w:val="008F62D4"/>
    <w:rsid w:val="008F7E25"/>
    <w:rsid w:val="00900264"/>
    <w:rsid w:val="009003C0"/>
    <w:rsid w:val="00900C5D"/>
    <w:rsid w:val="00901215"/>
    <w:rsid w:val="00902DAB"/>
    <w:rsid w:val="009033E0"/>
    <w:rsid w:val="00903773"/>
    <w:rsid w:val="00903792"/>
    <w:rsid w:val="0090402A"/>
    <w:rsid w:val="00904F22"/>
    <w:rsid w:val="00905364"/>
    <w:rsid w:val="00906777"/>
    <w:rsid w:val="00906821"/>
    <w:rsid w:val="009068F2"/>
    <w:rsid w:val="00906E65"/>
    <w:rsid w:val="0090706E"/>
    <w:rsid w:val="0091006F"/>
    <w:rsid w:val="0091052F"/>
    <w:rsid w:val="009118BF"/>
    <w:rsid w:val="0091196D"/>
    <w:rsid w:val="0091248E"/>
    <w:rsid w:val="009128B8"/>
    <w:rsid w:val="00912CEF"/>
    <w:rsid w:val="009134E1"/>
    <w:rsid w:val="009135EF"/>
    <w:rsid w:val="00913926"/>
    <w:rsid w:val="009144D5"/>
    <w:rsid w:val="00914E52"/>
    <w:rsid w:val="00915813"/>
    <w:rsid w:val="0091596F"/>
    <w:rsid w:val="00915B1F"/>
    <w:rsid w:val="00915B5C"/>
    <w:rsid w:val="00915F98"/>
    <w:rsid w:val="00915FA3"/>
    <w:rsid w:val="00916A06"/>
    <w:rsid w:val="00917766"/>
    <w:rsid w:val="009178E7"/>
    <w:rsid w:val="009217E3"/>
    <w:rsid w:val="009217F8"/>
    <w:rsid w:val="009230BB"/>
    <w:rsid w:val="00923D45"/>
    <w:rsid w:val="0092470E"/>
    <w:rsid w:val="00924B63"/>
    <w:rsid w:val="00924BDA"/>
    <w:rsid w:val="00925187"/>
    <w:rsid w:val="00925D2C"/>
    <w:rsid w:val="00926EE3"/>
    <w:rsid w:val="0092709C"/>
    <w:rsid w:val="0092717F"/>
    <w:rsid w:val="00927258"/>
    <w:rsid w:val="00927744"/>
    <w:rsid w:val="00927B05"/>
    <w:rsid w:val="00927E5C"/>
    <w:rsid w:val="009304D7"/>
    <w:rsid w:val="00930698"/>
    <w:rsid w:val="00930F4E"/>
    <w:rsid w:val="00932021"/>
    <w:rsid w:val="00932315"/>
    <w:rsid w:val="009332A2"/>
    <w:rsid w:val="00934AE8"/>
    <w:rsid w:val="00936062"/>
    <w:rsid w:val="00936E86"/>
    <w:rsid w:val="009371FB"/>
    <w:rsid w:val="00937CBE"/>
    <w:rsid w:val="00940CF9"/>
    <w:rsid w:val="0094112A"/>
    <w:rsid w:val="0094245C"/>
    <w:rsid w:val="00944087"/>
    <w:rsid w:val="00944332"/>
    <w:rsid w:val="00944C30"/>
    <w:rsid w:val="00944E74"/>
    <w:rsid w:val="00946B7C"/>
    <w:rsid w:val="00946CA0"/>
    <w:rsid w:val="00947AF1"/>
    <w:rsid w:val="00947F4A"/>
    <w:rsid w:val="0095012E"/>
    <w:rsid w:val="00950268"/>
    <w:rsid w:val="00950CFA"/>
    <w:rsid w:val="00951153"/>
    <w:rsid w:val="00951934"/>
    <w:rsid w:val="0095207B"/>
    <w:rsid w:val="00953247"/>
    <w:rsid w:val="00954C8C"/>
    <w:rsid w:val="00956ACE"/>
    <w:rsid w:val="00956DAB"/>
    <w:rsid w:val="009572A0"/>
    <w:rsid w:val="00957D24"/>
    <w:rsid w:val="009600A2"/>
    <w:rsid w:val="00960DCF"/>
    <w:rsid w:val="00961B53"/>
    <w:rsid w:val="00961FA8"/>
    <w:rsid w:val="00963264"/>
    <w:rsid w:val="0096389D"/>
    <w:rsid w:val="00964B3D"/>
    <w:rsid w:val="009665F6"/>
    <w:rsid w:val="009676C0"/>
    <w:rsid w:val="0096784D"/>
    <w:rsid w:val="009703E2"/>
    <w:rsid w:val="0097208E"/>
    <w:rsid w:val="00972274"/>
    <w:rsid w:val="0097286F"/>
    <w:rsid w:val="0097449A"/>
    <w:rsid w:val="0097584D"/>
    <w:rsid w:val="0097700B"/>
    <w:rsid w:val="0097774F"/>
    <w:rsid w:val="00977764"/>
    <w:rsid w:val="009803A9"/>
    <w:rsid w:val="009803CB"/>
    <w:rsid w:val="009803D4"/>
    <w:rsid w:val="009807A2"/>
    <w:rsid w:val="0098096F"/>
    <w:rsid w:val="00980D10"/>
    <w:rsid w:val="00980F89"/>
    <w:rsid w:val="00981399"/>
    <w:rsid w:val="0098199C"/>
    <w:rsid w:val="00981A59"/>
    <w:rsid w:val="009821E9"/>
    <w:rsid w:val="0098232B"/>
    <w:rsid w:val="0098376D"/>
    <w:rsid w:val="00984A78"/>
    <w:rsid w:val="00985235"/>
    <w:rsid w:val="00985ADC"/>
    <w:rsid w:val="00985E2C"/>
    <w:rsid w:val="0098685C"/>
    <w:rsid w:val="009873F3"/>
    <w:rsid w:val="00992D94"/>
    <w:rsid w:val="00992FC1"/>
    <w:rsid w:val="009932CA"/>
    <w:rsid w:val="0099358E"/>
    <w:rsid w:val="00994515"/>
    <w:rsid w:val="009956A7"/>
    <w:rsid w:val="00995783"/>
    <w:rsid w:val="00995797"/>
    <w:rsid w:val="00995E98"/>
    <w:rsid w:val="00996499"/>
    <w:rsid w:val="00996F15"/>
    <w:rsid w:val="00997836"/>
    <w:rsid w:val="00997BA8"/>
    <w:rsid w:val="009A0070"/>
    <w:rsid w:val="009A06F4"/>
    <w:rsid w:val="009A0A0F"/>
    <w:rsid w:val="009A1183"/>
    <w:rsid w:val="009A1F22"/>
    <w:rsid w:val="009A2E0D"/>
    <w:rsid w:val="009A3778"/>
    <w:rsid w:val="009A3A2D"/>
    <w:rsid w:val="009A3C45"/>
    <w:rsid w:val="009A3D76"/>
    <w:rsid w:val="009A3E2E"/>
    <w:rsid w:val="009A52FA"/>
    <w:rsid w:val="009A5467"/>
    <w:rsid w:val="009A5500"/>
    <w:rsid w:val="009A5EAD"/>
    <w:rsid w:val="009A6E6D"/>
    <w:rsid w:val="009A7F34"/>
    <w:rsid w:val="009B06F8"/>
    <w:rsid w:val="009B0C3A"/>
    <w:rsid w:val="009B2245"/>
    <w:rsid w:val="009B258E"/>
    <w:rsid w:val="009B5723"/>
    <w:rsid w:val="009B5997"/>
    <w:rsid w:val="009B62D2"/>
    <w:rsid w:val="009B6B23"/>
    <w:rsid w:val="009B7ABD"/>
    <w:rsid w:val="009C0040"/>
    <w:rsid w:val="009C0D4D"/>
    <w:rsid w:val="009C0F34"/>
    <w:rsid w:val="009C1735"/>
    <w:rsid w:val="009C1D27"/>
    <w:rsid w:val="009C2A02"/>
    <w:rsid w:val="009C3072"/>
    <w:rsid w:val="009C3B34"/>
    <w:rsid w:val="009C3BD9"/>
    <w:rsid w:val="009C41BF"/>
    <w:rsid w:val="009C435F"/>
    <w:rsid w:val="009C53C1"/>
    <w:rsid w:val="009C5B82"/>
    <w:rsid w:val="009C5B94"/>
    <w:rsid w:val="009C5BEE"/>
    <w:rsid w:val="009C6018"/>
    <w:rsid w:val="009C6054"/>
    <w:rsid w:val="009C6157"/>
    <w:rsid w:val="009C65AD"/>
    <w:rsid w:val="009C756E"/>
    <w:rsid w:val="009C75A4"/>
    <w:rsid w:val="009C7C90"/>
    <w:rsid w:val="009D0614"/>
    <w:rsid w:val="009D1A5C"/>
    <w:rsid w:val="009D21BE"/>
    <w:rsid w:val="009D23E3"/>
    <w:rsid w:val="009D24D7"/>
    <w:rsid w:val="009D2744"/>
    <w:rsid w:val="009D39AA"/>
    <w:rsid w:val="009D3C3D"/>
    <w:rsid w:val="009D42A3"/>
    <w:rsid w:val="009D5086"/>
    <w:rsid w:val="009D5288"/>
    <w:rsid w:val="009D53D8"/>
    <w:rsid w:val="009D53EC"/>
    <w:rsid w:val="009D5866"/>
    <w:rsid w:val="009D683D"/>
    <w:rsid w:val="009E1955"/>
    <w:rsid w:val="009E1C6C"/>
    <w:rsid w:val="009E2446"/>
    <w:rsid w:val="009E2687"/>
    <w:rsid w:val="009E2AD3"/>
    <w:rsid w:val="009E321D"/>
    <w:rsid w:val="009E42FA"/>
    <w:rsid w:val="009E47E5"/>
    <w:rsid w:val="009E4996"/>
    <w:rsid w:val="009E4AC5"/>
    <w:rsid w:val="009E6475"/>
    <w:rsid w:val="009E6AFE"/>
    <w:rsid w:val="009E7D28"/>
    <w:rsid w:val="009F0884"/>
    <w:rsid w:val="009F146F"/>
    <w:rsid w:val="009F1850"/>
    <w:rsid w:val="009F1D22"/>
    <w:rsid w:val="009F24B2"/>
    <w:rsid w:val="009F2811"/>
    <w:rsid w:val="009F2DD3"/>
    <w:rsid w:val="009F3206"/>
    <w:rsid w:val="009F36C2"/>
    <w:rsid w:val="009F3C75"/>
    <w:rsid w:val="009F4429"/>
    <w:rsid w:val="009F4CE5"/>
    <w:rsid w:val="009F5024"/>
    <w:rsid w:val="009F6133"/>
    <w:rsid w:val="009F679E"/>
    <w:rsid w:val="009F71E3"/>
    <w:rsid w:val="009F7301"/>
    <w:rsid w:val="00A0037E"/>
    <w:rsid w:val="00A0062F"/>
    <w:rsid w:val="00A00C53"/>
    <w:rsid w:val="00A01303"/>
    <w:rsid w:val="00A01EE9"/>
    <w:rsid w:val="00A01F25"/>
    <w:rsid w:val="00A0287D"/>
    <w:rsid w:val="00A02C4F"/>
    <w:rsid w:val="00A02FCB"/>
    <w:rsid w:val="00A034A9"/>
    <w:rsid w:val="00A04A09"/>
    <w:rsid w:val="00A04A0E"/>
    <w:rsid w:val="00A04DA1"/>
    <w:rsid w:val="00A05821"/>
    <w:rsid w:val="00A05B44"/>
    <w:rsid w:val="00A05D1D"/>
    <w:rsid w:val="00A05EA2"/>
    <w:rsid w:val="00A06CE6"/>
    <w:rsid w:val="00A0744D"/>
    <w:rsid w:val="00A076CC"/>
    <w:rsid w:val="00A104C4"/>
    <w:rsid w:val="00A111D4"/>
    <w:rsid w:val="00A11286"/>
    <w:rsid w:val="00A112BF"/>
    <w:rsid w:val="00A1165C"/>
    <w:rsid w:val="00A11E2E"/>
    <w:rsid w:val="00A11F99"/>
    <w:rsid w:val="00A1209A"/>
    <w:rsid w:val="00A1243D"/>
    <w:rsid w:val="00A125D6"/>
    <w:rsid w:val="00A12F29"/>
    <w:rsid w:val="00A14E53"/>
    <w:rsid w:val="00A1519C"/>
    <w:rsid w:val="00A15561"/>
    <w:rsid w:val="00A15580"/>
    <w:rsid w:val="00A15852"/>
    <w:rsid w:val="00A16449"/>
    <w:rsid w:val="00A16590"/>
    <w:rsid w:val="00A16C0E"/>
    <w:rsid w:val="00A2077D"/>
    <w:rsid w:val="00A20CE5"/>
    <w:rsid w:val="00A2293C"/>
    <w:rsid w:val="00A22EFC"/>
    <w:rsid w:val="00A237EB"/>
    <w:rsid w:val="00A2380A"/>
    <w:rsid w:val="00A23C43"/>
    <w:rsid w:val="00A25567"/>
    <w:rsid w:val="00A26389"/>
    <w:rsid w:val="00A27292"/>
    <w:rsid w:val="00A303B8"/>
    <w:rsid w:val="00A316F1"/>
    <w:rsid w:val="00A31DD6"/>
    <w:rsid w:val="00A33FB7"/>
    <w:rsid w:val="00A34735"/>
    <w:rsid w:val="00A361C3"/>
    <w:rsid w:val="00A36843"/>
    <w:rsid w:val="00A37A66"/>
    <w:rsid w:val="00A37B77"/>
    <w:rsid w:val="00A401D4"/>
    <w:rsid w:val="00A402E2"/>
    <w:rsid w:val="00A411FA"/>
    <w:rsid w:val="00A415A2"/>
    <w:rsid w:val="00A41CD4"/>
    <w:rsid w:val="00A441EC"/>
    <w:rsid w:val="00A44E1E"/>
    <w:rsid w:val="00A44EC1"/>
    <w:rsid w:val="00A45292"/>
    <w:rsid w:val="00A454B3"/>
    <w:rsid w:val="00A45730"/>
    <w:rsid w:val="00A45A4B"/>
    <w:rsid w:val="00A45AC6"/>
    <w:rsid w:val="00A45AD5"/>
    <w:rsid w:val="00A45E52"/>
    <w:rsid w:val="00A46652"/>
    <w:rsid w:val="00A467AB"/>
    <w:rsid w:val="00A46D15"/>
    <w:rsid w:val="00A4713D"/>
    <w:rsid w:val="00A47614"/>
    <w:rsid w:val="00A51C82"/>
    <w:rsid w:val="00A51EA6"/>
    <w:rsid w:val="00A53212"/>
    <w:rsid w:val="00A5323B"/>
    <w:rsid w:val="00A540B1"/>
    <w:rsid w:val="00A54FB4"/>
    <w:rsid w:val="00A550F9"/>
    <w:rsid w:val="00A55369"/>
    <w:rsid w:val="00A56DE0"/>
    <w:rsid w:val="00A56EEB"/>
    <w:rsid w:val="00A60645"/>
    <w:rsid w:val="00A60997"/>
    <w:rsid w:val="00A61E5D"/>
    <w:rsid w:val="00A62BEA"/>
    <w:rsid w:val="00A62EDD"/>
    <w:rsid w:val="00A63C18"/>
    <w:rsid w:val="00A65475"/>
    <w:rsid w:val="00A662DC"/>
    <w:rsid w:val="00A6741B"/>
    <w:rsid w:val="00A706C3"/>
    <w:rsid w:val="00A71677"/>
    <w:rsid w:val="00A720E7"/>
    <w:rsid w:val="00A72B57"/>
    <w:rsid w:val="00A73BAC"/>
    <w:rsid w:val="00A74226"/>
    <w:rsid w:val="00A74415"/>
    <w:rsid w:val="00A74499"/>
    <w:rsid w:val="00A74B22"/>
    <w:rsid w:val="00A757B0"/>
    <w:rsid w:val="00A7629E"/>
    <w:rsid w:val="00A7639D"/>
    <w:rsid w:val="00A76986"/>
    <w:rsid w:val="00A76F44"/>
    <w:rsid w:val="00A77287"/>
    <w:rsid w:val="00A776A4"/>
    <w:rsid w:val="00A77BDB"/>
    <w:rsid w:val="00A8049D"/>
    <w:rsid w:val="00A81EA9"/>
    <w:rsid w:val="00A822C2"/>
    <w:rsid w:val="00A8272A"/>
    <w:rsid w:val="00A82990"/>
    <w:rsid w:val="00A8493C"/>
    <w:rsid w:val="00A84964"/>
    <w:rsid w:val="00A85B23"/>
    <w:rsid w:val="00A85F39"/>
    <w:rsid w:val="00A87455"/>
    <w:rsid w:val="00A874FB"/>
    <w:rsid w:val="00A8791D"/>
    <w:rsid w:val="00A90401"/>
    <w:rsid w:val="00A90B53"/>
    <w:rsid w:val="00A90F60"/>
    <w:rsid w:val="00A921E3"/>
    <w:rsid w:val="00A93CEA"/>
    <w:rsid w:val="00A94847"/>
    <w:rsid w:val="00A9497F"/>
    <w:rsid w:val="00A94D20"/>
    <w:rsid w:val="00A94F54"/>
    <w:rsid w:val="00A960EF"/>
    <w:rsid w:val="00A967C0"/>
    <w:rsid w:val="00A9752B"/>
    <w:rsid w:val="00A979CC"/>
    <w:rsid w:val="00A97C23"/>
    <w:rsid w:val="00A97EF2"/>
    <w:rsid w:val="00AA0DFF"/>
    <w:rsid w:val="00AA2461"/>
    <w:rsid w:val="00AA2865"/>
    <w:rsid w:val="00AA2F5A"/>
    <w:rsid w:val="00AA3497"/>
    <w:rsid w:val="00AA3A9B"/>
    <w:rsid w:val="00AA3BF1"/>
    <w:rsid w:val="00AA4983"/>
    <w:rsid w:val="00AA4BA5"/>
    <w:rsid w:val="00AA52A7"/>
    <w:rsid w:val="00AA5410"/>
    <w:rsid w:val="00AA69A9"/>
    <w:rsid w:val="00AA69FA"/>
    <w:rsid w:val="00AA7B27"/>
    <w:rsid w:val="00AB1175"/>
    <w:rsid w:val="00AB21C6"/>
    <w:rsid w:val="00AB2726"/>
    <w:rsid w:val="00AB2841"/>
    <w:rsid w:val="00AB28E9"/>
    <w:rsid w:val="00AB400D"/>
    <w:rsid w:val="00AB53A4"/>
    <w:rsid w:val="00AB5CF8"/>
    <w:rsid w:val="00AB6022"/>
    <w:rsid w:val="00AB6E33"/>
    <w:rsid w:val="00AB7481"/>
    <w:rsid w:val="00AC14C1"/>
    <w:rsid w:val="00AC25F9"/>
    <w:rsid w:val="00AC2A8D"/>
    <w:rsid w:val="00AC321B"/>
    <w:rsid w:val="00AC4A87"/>
    <w:rsid w:val="00AC540F"/>
    <w:rsid w:val="00AC5D05"/>
    <w:rsid w:val="00AC67B8"/>
    <w:rsid w:val="00AC6AB7"/>
    <w:rsid w:val="00AC6F7D"/>
    <w:rsid w:val="00AC720A"/>
    <w:rsid w:val="00AC72D3"/>
    <w:rsid w:val="00AC7B11"/>
    <w:rsid w:val="00AD19D9"/>
    <w:rsid w:val="00AD205D"/>
    <w:rsid w:val="00AD2176"/>
    <w:rsid w:val="00AD2AF9"/>
    <w:rsid w:val="00AD2F5B"/>
    <w:rsid w:val="00AD60EA"/>
    <w:rsid w:val="00AD66F1"/>
    <w:rsid w:val="00AD6730"/>
    <w:rsid w:val="00AD67D4"/>
    <w:rsid w:val="00AD7131"/>
    <w:rsid w:val="00AE0BB2"/>
    <w:rsid w:val="00AE10CA"/>
    <w:rsid w:val="00AE1747"/>
    <w:rsid w:val="00AE1A96"/>
    <w:rsid w:val="00AE4331"/>
    <w:rsid w:val="00AE5732"/>
    <w:rsid w:val="00AE5C62"/>
    <w:rsid w:val="00AE5D3C"/>
    <w:rsid w:val="00AE5E3B"/>
    <w:rsid w:val="00AE614D"/>
    <w:rsid w:val="00AE6EAE"/>
    <w:rsid w:val="00AE7325"/>
    <w:rsid w:val="00AE7849"/>
    <w:rsid w:val="00AE7977"/>
    <w:rsid w:val="00AE7DDB"/>
    <w:rsid w:val="00AF096B"/>
    <w:rsid w:val="00AF0E99"/>
    <w:rsid w:val="00AF1CD2"/>
    <w:rsid w:val="00AF1F10"/>
    <w:rsid w:val="00AF23EF"/>
    <w:rsid w:val="00AF2652"/>
    <w:rsid w:val="00AF3289"/>
    <w:rsid w:val="00AF32CB"/>
    <w:rsid w:val="00AF3D39"/>
    <w:rsid w:val="00AF3E67"/>
    <w:rsid w:val="00AF497B"/>
    <w:rsid w:val="00AF4AEE"/>
    <w:rsid w:val="00AF612E"/>
    <w:rsid w:val="00AF6A4C"/>
    <w:rsid w:val="00AF7112"/>
    <w:rsid w:val="00AF7605"/>
    <w:rsid w:val="00B01C14"/>
    <w:rsid w:val="00B02183"/>
    <w:rsid w:val="00B03892"/>
    <w:rsid w:val="00B047C2"/>
    <w:rsid w:val="00B04CB1"/>
    <w:rsid w:val="00B053F5"/>
    <w:rsid w:val="00B05635"/>
    <w:rsid w:val="00B05E24"/>
    <w:rsid w:val="00B065A0"/>
    <w:rsid w:val="00B06994"/>
    <w:rsid w:val="00B07620"/>
    <w:rsid w:val="00B1208C"/>
    <w:rsid w:val="00B12BAC"/>
    <w:rsid w:val="00B12E56"/>
    <w:rsid w:val="00B1314F"/>
    <w:rsid w:val="00B1382D"/>
    <w:rsid w:val="00B13DD9"/>
    <w:rsid w:val="00B151CF"/>
    <w:rsid w:val="00B155BE"/>
    <w:rsid w:val="00B1614A"/>
    <w:rsid w:val="00B16DE4"/>
    <w:rsid w:val="00B170AE"/>
    <w:rsid w:val="00B178AA"/>
    <w:rsid w:val="00B20445"/>
    <w:rsid w:val="00B2121B"/>
    <w:rsid w:val="00B21F77"/>
    <w:rsid w:val="00B22E46"/>
    <w:rsid w:val="00B2340B"/>
    <w:rsid w:val="00B239EA"/>
    <w:rsid w:val="00B24391"/>
    <w:rsid w:val="00B24560"/>
    <w:rsid w:val="00B247AD"/>
    <w:rsid w:val="00B24AA9"/>
    <w:rsid w:val="00B2579B"/>
    <w:rsid w:val="00B25D05"/>
    <w:rsid w:val="00B26622"/>
    <w:rsid w:val="00B26669"/>
    <w:rsid w:val="00B26C76"/>
    <w:rsid w:val="00B273BD"/>
    <w:rsid w:val="00B276B4"/>
    <w:rsid w:val="00B303F6"/>
    <w:rsid w:val="00B3045B"/>
    <w:rsid w:val="00B3057A"/>
    <w:rsid w:val="00B307B7"/>
    <w:rsid w:val="00B31888"/>
    <w:rsid w:val="00B329F5"/>
    <w:rsid w:val="00B36028"/>
    <w:rsid w:val="00B373E5"/>
    <w:rsid w:val="00B37692"/>
    <w:rsid w:val="00B40064"/>
    <w:rsid w:val="00B40B64"/>
    <w:rsid w:val="00B414FE"/>
    <w:rsid w:val="00B41D1E"/>
    <w:rsid w:val="00B4252C"/>
    <w:rsid w:val="00B42BF5"/>
    <w:rsid w:val="00B43158"/>
    <w:rsid w:val="00B453B8"/>
    <w:rsid w:val="00B50A44"/>
    <w:rsid w:val="00B50B5F"/>
    <w:rsid w:val="00B51294"/>
    <w:rsid w:val="00B534B3"/>
    <w:rsid w:val="00B53E44"/>
    <w:rsid w:val="00B554BF"/>
    <w:rsid w:val="00B55524"/>
    <w:rsid w:val="00B55764"/>
    <w:rsid w:val="00B557D5"/>
    <w:rsid w:val="00B55D88"/>
    <w:rsid w:val="00B56DCE"/>
    <w:rsid w:val="00B575BF"/>
    <w:rsid w:val="00B57D35"/>
    <w:rsid w:val="00B57ED1"/>
    <w:rsid w:val="00B6051A"/>
    <w:rsid w:val="00B609C6"/>
    <w:rsid w:val="00B612EA"/>
    <w:rsid w:val="00B61975"/>
    <w:rsid w:val="00B61C66"/>
    <w:rsid w:val="00B62604"/>
    <w:rsid w:val="00B62A13"/>
    <w:rsid w:val="00B62DB9"/>
    <w:rsid w:val="00B62DF2"/>
    <w:rsid w:val="00B62FF0"/>
    <w:rsid w:val="00B630D7"/>
    <w:rsid w:val="00B63BA3"/>
    <w:rsid w:val="00B6405D"/>
    <w:rsid w:val="00B64FF1"/>
    <w:rsid w:val="00B668A0"/>
    <w:rsid w:val="00B66A87"/>
    <w:rsid w:val="00B67503"/>
    <w:rsid w:val="00B67610"/>
    <w:rsid w:val="00B702B2"/>
    <w:rsid w:val="00B70E65"/>
    <w:rsid w:val="00B7100E"/>
    <w:rsid w:val="00B712D0"/>
    <w:rsid w:val="00B7241F"/>
    <w:rsid w:val="00B72859"/>
    <w:rsid w:val="00B72F6B"/>
    <w:rsid w:val="00B7307B"/>
    <w:rsid w:val="00B748CF"/>
    <w:rsid w:val="00B74A14"/>
    <w:rsid w:val="00B752B5"/>
    <w:rsid w:val="00B757E5"/>
    <w:rsid w:val="00B80084"/>
    <w:rsid w:val="00B80EFA"/>
    <w:rsid w:val="00B812F3"/>
    <w:rsid w:val="00B81F38"/>
    <w:rsid w:val="00B83B62"/>
    <w:rsid w:val="00B8525C"/>
    <w:rsid w:val="00B8535F"/>
    <w:rsid w:val="00B8566A"/>
    <w:rsid w:val="00B8681D"/>
    <w:rsid w:val="00B86B95"/>
    <w:rsid w:val="00B8708F"/>
    <w:rsid w:val="00B8717D"/>
    <w:rsid w:val="00B878CD"/>
    <w:rsid w:val="00B90713"/>
    <w:rsid w:val="00B90CB6"/>
    <w:rsid w:val="00B91CB1"/>
    <w:rsid w:val="00B9249B"/>
    <w:rsid w:val="00B924B2"/>
    <w:rsid w:val="00B9269D"/>
    <w:rsid w:val="00B92EBA"/>
    <w:rsid w:val="00B93F5A"/>
    <w:rsid w:val="00B9536C"/>
    <w:rsid w:val="00B95C2C"/>
    <w:rsid w:val="00B96225"/>
    <w:rsid w:val="00B96648"/>
    <w:rsid w:val="00B978A7"/>
    <w:rsid w:val="00BA0781"/>
    <w:rsid w:val="00BA09BF"/>
    <w:rsid w:val="00BA0BA2"/>
    <w:rsid w:val="00BA0D5B"/>
    <w:rsid w:val="00BA1D1F"/>
    <w:rsid w:val="00BA1D40"/>
    <w:rsid w:val="00BA1FFB"/>
    <w:rsid w:val="00BA2B3F"/>
    <w:rsid w:val="00BA2E39"/>
    <w:rsid w:val="00BA31E4"/>
    <w:rsid w:val="00BA3AE2"/>
    <w:rsid w:val="00BA4E45"/>
    <w:rsid w:val="00BA59FB"/>
    <w:rsid w:val="00BA6117"/>
    <w:rsid w:val="00BA7DF0"/>
    <w:rsid w:val="00BB03C9"/>
    <w:rsid w:val="00BB07F1"/>
    <w:rsid w:val="00BB131F"/>
    <w:rsid w:val="00BB14A3"/>
    <w:rsid w:val="00BB35F7"/>
    <w:rsid w:val="00BB4095"/>
    <w:rsid w:val="00BB5735"/>
    <w:rsid w:val="00BB754F"/>
    <w:rsid w:val="00BB7B3C"/>
    <w:rsid w:val="00BC04C1"/>
    <w:rsid w:val="00BC0820"/>
    <w:rsid w:val="00BC0C48"/>
    <w:rsid w:val="00BC15DE"/>
    <w:rsid w:val="00BC17C8"/>
    <w:rsid w:val="00BC369C"/>
    <w:rsid w:val="00BC3B0A"/>
    <w:rsid w:val="00BC4972"/>
    <w:rsid w:val="00BC5710"/>
    <w:rsid w:val="00BC5A1A"/>
    <w:rsid w:val="00BC6272"/>
    <w:rsid w:val="00BC6897"/>
    <w:rsid w:val="00BD1597"/>
    <w:rsid w:val="00BD19A2"/>
    <w:rsid w:val="00BD1B8D"/>
    <w:rsid w:val="00BD1FE1"/>
    <w:rsid w:val="00BD2846"/>
    <w:rsid w:val="00BD33D4"/>
    <w:rsid w:val="00BD3E3C"/>
    <w:rsid w:val="00BD40B1"/>
    <w:rsid w:val="00BD42FF"/>
    <w:rsid w:val="00BD5237"/>
    <w:rsid w:val="00BD5AF0"/>
    <w:rsid w:val="00BD6452"/>
    <w:rsid w:val="00BD6E9F"/>
    <w:rsid w:val="00BD70B6"/>
    <w:rsid w:val="00BD72A6"/>
    <w:rsid w:val="00BE0AA2"/>
    <w:rsid w:val="00BE0E1F"/>
    <w:rsid w:val="00BE0E36"/>
    <w:rsid w:val="00BE363B"/>
    <w:rsid w:val="00BE3D7A"/>
    <w:rsid w:val="00BE4476"/>
    <w:rsid w:val="00BE47BF"/>
    <w:rsid w:val="00BE51F3"/>
    <w:rsid w:val="00BE5374"/>
    <w:rsid w:val="00BE59AB"/>
    <w:rsid w:val="00BE6013"/>
    <w:rsid w:val="00BE6040"/>
    <w:rsid w:val="00BE6139"/>
    <w:rsid w:val="00BE627A"/>
    <w:rsid w:val="00BE6B80"/>
    <w:rsid w:val="00BE6CE8"/>
    <w:rsid w:val="00BE6DB6"/>
    <w:rsid w:val="00BE6EAD"/>
    <w:rsid w:val="00BE720C"/>
    <w:rsid w:val="00BE7A7A"/>
    <w:rsid w:val="00BF057F"/>
    <w:rsid w:val="00BF1753"/>
    <w:rsid w:val="00BF2AE5"/>
    <w:rsid w:val="00BF4F44"/>
    <w:rsid w:val="00BF56F2"/>
    <w:rsid w:val="00BF6B6A"/>
    <w:rsid w:val="00BF7538"/>
    <w:rsid w:val="00BF7A54"/>
    <w:rsid w:val="00BF7C54"/>
    <w:rsid w:val="00C01D5F"/>
    <w:rsid w:val="00C0253F"/>
    <w:rsid w:val="00C030CC"/>
    <w:rsid w:val="00C0345A"/>
    <w:rsid w:val="00C03511"/>
    <w:rsid w:val="00C03BC4"/>
    <w:rsid w:val="00C03DBB"/>
    <w:rsid w:val="00C04C3A"/>
    <w:rsid w:val="00C04E46"/>
    <w:rsid w:val="00C0529A"/>
    <w:rsid w:val="00C05700"/>
    <w:rsid w:val="00C05906"/>
    <w:rsid w:val="00C0627B"/>
    <w:rsid w:val="00C074CD"/>
    <w:rsid w:val="00C107C3"/>
    <w:rsid w:val="00C117E2"/>
    <w:rsid w:val="00C11A39"/>
    <w:rsid w:val="00C11DC5"/>
    <w:rsid w:val="00C13520"/>
    <w:rsid w:val="00C137E1"/>
    <w:rsid w:val="00C13C5A"/>
    <w:rsid w:val="00C14686"/>
    <w:rsid w:val="00C14B5D"/>
    <w:rsid w:val="00C14F9B"/>
    <w:rsid w:val="00C14FAB"/>
    <w:rsid w:val="00C15BFC"/>
    <w:rsid w:val="00C15F42"/>
    <w:rsid w:val="00C1610B"/>
    <w:rsid w:val="00C1611D"/>
    <w:rsid w:val="00C166DE"/>
    <w:rsid w:val="00C16BFF"/>
    <w:rsid w:val="00C16C9A"/>
    <w:rsid w:val="00C175E4"/>
    <w:rsid w:val="00C20EE2"/>
    <w:rsid w:val="00C2125C"/>
    <w:rsid w:val="00C214F4"/>
    <w:rsid w:val="00C218C6"/>
    <w:rsid w:val="00C2190A"/>
    <w:rsid w:val="00C21991"/>
    <w:rsid w:val="00C21D1E"/>
    <w:rsid w:val="00C22C95"/>
    <w:rsid w:val="00C23170"/>
    <w:rsid w:val="00C232E0"/>
    <w:rsid w:val="00C24188"/>
    <w:rsid w:val="00C24B5E"/>
    <w:rsid w:val="00C2534F"/>
    <w:rsid w:val="00C26160"/>
    <w:rsid w:val="00C26822"/>
    <w:rsid w:val="00C26A06"/>
    <w:rsid w:val="00C30058"/>
    <w:rsid w:val="00C30871"/>
    <w:rsid w:val="00C317A2"/>
    <w:rsid w:val="00C32827"/>
    <w:rsid w:val="00C343FC"/>
    <w:rsid w:val="00C34C95"/>
    <w:rsid w:val="00C355DE"/>
    <w:rsid w:val="00C35AD2"/>
    <w:rsid w:val="00C3651F"/>
    <w:rsid w:val="00C36633"/>
    <w:rsid w:val="00C36899"/>
    <w:rsid w:val="00C36E9D"/>
    <w:rsid w:val="00C37753"/>
    <w:rsid w:val="00C37C86"/>
    <w:rsid w:val="00C40098"/>
    <w:rsid w:val="00C40730"/>
    <w:rsid w:val="00C412B1"/>
    <w:rsid w:val="00C41C53"/>
    <w:rsid w:val="00C41EAD"/>
    <w:rsid w:val="00C42D6E"/>
    <w:rsid w:val="00C42DA5"/>
    <w:rsid w:val="00C4436C"/>
    <w:rsid w:val="00C4604E"/>
    <w:rsid w:val="00C461B2"/>
    <w:rsid w:val="00C465C9"/>
    <w:rsid w:val="00C4698A"/>
    <w:rsid w:val="00C46D67"/>
    <w:rsid w:val="00C471C8"/>
    <w:rsid w:val="00C4754A"/>
    <w:rsid w:val="00C47C8E"/>
    <w:rsid w:val="00C47EDC"/>
    <w:rsid w:val="00C507A6"/>
    <w:rsid w:val="00C50A4E"/>
    <w:rsid w:val="00C511CB"/>
    <w:rsid w:val="00C51C1E"/>
    <w:rsid w:val="00C51DD1"/>
    <w:rsid w:val="00C52FD1"/>
    <w:rsid w:val="00C5359B"/>
    <w:rsid w:val="00C536F7"/>
    <w:rsid w:val="00C53AF7"/>
    <w:rsid w:val="00C54977"/>
    <w:rsid w:val="00C554B5"/>
    <w:rsid w:val="00C5584D"/>
    <w:rsid w:val="00C55FAB"/>
    <w:rsid w:val="00C56246"/>
    <w:rsid w:val="00C56EF2"/>
    <w:rsid w:val="00C570A6"/>
    <w:rsid w:val="00C579F3"/>
    <w:rsid w:val="00C57E1C"/>
    <w:rsid w:val="00C600B3"/>
    <w:rsid w:val="00C60468"/>
    <w:rsid w:val="00C6047C"/>
    <w:rsid w:val="00C60DE1"/>
    <w:rsid w:val="00C61464"/>
    <w:rsid w:val="00C62226"/>
    <w:rsid w:val="00C6396B"/>
    <w:rsid w:val="00C63F69"/>
    <w:rsid w:val="00C65324"/>
    <w:rsid w:val="00C65E93"/>
    <w:rsid w:val="00C65E9C"/>
    <w:rsid w:val="00C66500"/>
    <w:rsid w:val="00C66F35"/>
    <w:rsid w:val="00C67A58"/>
    <w:rsid w:val="00C67E8E"/>
    <w:rsid w:val="00C70458"/>
    <w:rsid w:val="00C71258"/>
    <w:rsid w:val="00C714F1"/>
    <w:rsid w:val="00C72087"/>
    <w:rsid w:val="00C72177"/>
    <w:rsid w:val="00C726B6"/>
    <w:rsid w:val="00C74B8C"/>
    <w:rsid w:val="00C75E81"/>
    <w:rsid w:val="00C776CE"/>
    <w:rsid w:val="00C778CD"/>
    <w:rsid w:val="00C77EF6"/>
    <w:rsid w:val="00C80EFD"/>
    <w:rsid w:val="00C8268F"/>
    <w:rsid w:val="00C83535"/>
    <w:rsid w:val="00C835A6"/>
    <w:rsid w:val="00C835D0"/>
    <w:rsid w:val="00C83D84"/>
    <w:rsid w:val="00C8520A"/>
    <w:rsid w:val="00C855B1"/>
    <w:rsid w:val="00C859B2"/>
    <w:rsid w:val="00C864F3"/>
    <w:rsid w:val="00C86A63"/>
    <w:rsid w:val="00C87436"/>
    <w:rsid w:val="00C90047"/>
    <w:rsid w:val="00C9005E"/>
    <w:rsid w:val="00C9082F"/>
    <w:rsid w:val="00C91540"/>
    <w:rsid w:val="00C91651"/>
    <w:rsid w:val="00C917A4"/>
    <w:rsid w:val="00C922A2"/>
    <w:rsid w:val="00C9238B"/>
    <w:rsid w:val="00C93290"/>
    <w:rsid w:val="00C94312"/>
    <w:rsid w:val="00C956BE"/>
    <w:rsid w:val="00C9571D"/>
    <w:rsid w:val="00C95E53"/>
    <w:rsid w:val="00C967A9"/>
    <w:rsid w:val="00C97154"/>
    <w:rsid w:val="00C97CEE"/>
    <w:rsid w:val="00CA2329"/>
    <w:rsid w:val="00CA26EA"/>
    <w:rsid w:val="00CA2A67"/>
    <w:rsid w:val="00CA2FB2"/>
    <w:rsid w:val="00CA3017"/>
    <w:rsid w:val="00CA3D3A"/>
    <w:rsid w:val="00CA42D6"/>
    <w:rsid w:val="00CA43A1"/>
    <w:rsid w:val="00CA466E"/>
    <w:rsid w:val="00CA4FDE"/>
    <w:rsid w:val="00CA528A"/>
    <w:rsid w:val="00CA54BB"/>
    <w:rsid w:val="00CA6170"/>
    <w:rsid w:val="00CA68E3"/>
    <w:rsid w:val="00CB025E"/>
    <w:rsid w:val="00CB15E9"/>
    <w:rsid w:val="00CB2524"/>
    <w:rsid w:val="00CB2690"/>
    <w:rsid w:val="00CB2BD5"/>
    <w:rsid w:val="00CB5079"/>
    <w:rsid w:val="00CB58C1"/>
    <w:rsid w:val="00CB59E4"/>
    <w:rsid w:val="00CB5C55"/>
    <w:rsid w:val="00CB64ED"/>
    <w:rsid w:val="00CB6795"/>
    <w:rsid w:val="00CB7FC5"/>
    <w:rsid w:val="00CC126D"/>
    <w:rsid w:val="00CC130E"/>
    <w:rsid w:val="00CC1B09"/>
    <w:rsid w:val="00CC1C16"/>
    <w:rsid w:val="00CC1D1A"/>
    <w:rsid w:val="00CC3061"/>
    <w:rsid w:val="00CC3363"/>
    <w:rsid w:val="00CC44E3"/>
    <w:rsid w:val="00CC4CDE"/>
    <w:rsid w:val="00CC5956"/>
    <w:rsid w:val="00CC5B33"/>
    <w:rsid w:val="00CC6260"/>
    <w:rsid w:val="00CC7925"/>
    <w:rsid w:val="00CC7B08"/>
    <w:rsid w:val="00CD033F"/>
    <w:rsid w:val="00CD06DD"/>
    <w:rsid w:val="00CD0C73"/>
    <w:rsid w:val="00CD1052"/>
    <w:rsid w:val="00CD1404"/>
    <w:rsid w:val="00CD1770"/>
    <w:rsid w:val="00CD189D"/>
    <w:rsid w:val="00CD18C1"/>
    <w:rsid w:val="00CD1F89"/>
    <w:rsid w:val="00CD2C32"/>
    <w:rsid w:val="00CD3002"/>
    <w:rsid w:val="00CD3621"/>
    <w:rsid w:val="00CD3BF7"/>
    <w:rsid w:val="00CD3F19"/>
    <w:rsid w:val="00CD75CC"/>
    <w:rsid w:val="00CD7AAA"/>
    <w:rsid w:val="00CE0394"/>
    <w:rsid w:val="00CE040E"/>
    <w:rsid w:val="00CE07A5"/>
    <w:rsid w:val="00CE1851"/>
    <w:rsid w:val="00CE1997"/>
    <w:rsid w:val="00CE1BB7"/>
    <w:rsid w:val="00CE1F2D"/>
    <w:rsid w:val="00CE28E3"/>
    <w:rsid w:val="00CE3409"/>
    <w:rsid w:val="00CE52D9"/>
    <w:rsid w:val="00CE5ACF"/>
    <w:rsid w:val="00CE64B3"/>
    <w:rsid w:val="00CE6C4D"/>
    <w:rsid w:val="00CF0A10"/>
    <w:rsid w:val="00CF0E9B"/>
    <w:rsid w:val="00CF0EEA"/>
    <w:rsid w:val="00CF1A2D"/>
    <w:rsid w:val="00CF2913"/>
    <w:rsid w:val="00CF29C7"/>
    <w:rsid w:val="00CF439F"/>
    <w:rsid w:val="00CF43EB"/>
    <w:rsid w:val="00CF448F"/>
    <w:rsid w:val="00CF48C8"/>
    <w:rsid w:val="00CF4FC6"/>
    <w:rsid w:val="00CF5372"/>
    <w:rsid w:val="00CF6192"/>
    <w:rsid w:val="00CF680D"/>
    <w:rsid w:val="00CF6CB6"/>
    <w:rsid w:val="00CF7120"/>
    <w:rsid w:val="00CF724C"/>
    <w:rsid w:val="00D001B4"/>
    <w:rsid w:val="00D003B7"/>
    <w:rsid w:val="00D00E36"/>
    <w:rsid w:val="00D011A7"/>
    <w:rsid w:val="00D01D0F"/>
    <w:rsid w:val="00D02107"/>
    <w:rsid w:val="00D023AB"/>
    <w:rsid w:val="00D02F4F"/>
    <w:rsid w:val="00D0440C"/>
    <w:rsid w:val="00D04CB3"/>
    <w:rsid w:val="00D05547"/>
    <w:rsid w:val="00D065DD"/>
    <w:rsid w:val="00D06E3B"/>
    <w:rsid w:val="00D078C1"/>
    <w:rsid w:val="00D104DE"/>
    <w:rsid w:val="00D113F6"/>
    <w:rsid w:val="00D116B5"/>
    <w:rsid w:val="00D11759"/>
    <w:rsid w:val="00D120D6"/>
    <w:rsid w:val="00D12DF5"/>
    <w:rsid w:val="00D136A6"/>
    <w:rsid w:val="00D14250"/>
    <w:rsid w:val="00D14355"/>
    <w:rsid w:val="00D14423"/>
    <w:rsid w:val="00D14D14"/>
    <w:rsid w:val="00D14E59"/>
    <w:rsid w:val="00D159A0"/>
    <w:rsid w:val="00D163E0"/>
    <w:rsid w:val="00D16CFB"/>
    <w:rsid w:val="00D17F8A"/>
    <w:rsid w:val="00D20031"/>
    <w:rsid w:val="00D20B48"/>
    <w:rsid w:val="00D20D43"/>
    <w:rsid w:val="00D22081"/>
    <w:rsid w:val="00D22091"/>
    <w:rsid w:val="00D22F07"/>
    <w:rsid w:val="00D23932"/>
    <w:rsid w:val="00D23B95"/>
    <w:rsid w:val="00D24455"/>
    <w:rsid w:val="00D2484C"/>
    <w:rsid w:val="00D26EE9"/>
    <w:rsid w:val="00D27EEF"/>
    <w:rsid w:val="00D30880"/>
    <w:rsid w:val="00D313B3"/>
    <w:rsid w:val="00D3292B"/>
    <w:rsid w:val="00D33F02"/>
    <w:rsid w:val="00D33F43"/>
    <w:rsid w:val="00D3448D"/>
    <w:rsid w:val="00D3471C"/>
    <w:rsid w:val="00D358F7"/>
    <w:rsid w:val="00D36376"/>
    <w:rsid w:val="00D36D34"/>
    <w:rsid w:val="00D36E67"/>
    <w:rsid w:val="00D379ED"/>
    <w:rsid w:val="00D37EF5"/>
    <w:rsid w:val="00D403FC"/>
    <w:rsid w:val="00D411AE"/>
    <w:rsid w:val="00D419C9"/>
    <w:rsid w:val="00D41F32"/>
    <w:rsid w:val="00D428B9"/>
    <w:rsid w:val="00D42D17"/>
    <w:rsid w:val="00D42EEE"/>
    <w:rsid w:val="00D43246"/>
    <w:rsid w:val="00D44116"/>
    <w:rsid w:val="00D45434"/>
    <w:rsid w:val="00D45750"/>
    <w:rsid w:val="00D457EA"/>
    <w:rsid w:val="00D45C42"/>
    <w:rsid w:val="00D47E3B"/>
    <w:rsid w:val="00D504ED"/>
    <w:rsid w:val="00D50A0B"/>
    <w:rsid w:val="00D50B48"/>
    <w:rsid w:val="00D50E96"/>
    <w:rsid w:val="00D5104E"/>
    <w:rsid w:val="00D51236"/>
    <w:rsid w:val="00D52E54"/>
    <w:rsid w:val="00D52FF5"/>
    <w:rsid w:val="00D55E90"/>
    <w:rsid w:val="00D56031"/>
    <w:rsid w:val="00D56DFA"/>
    <w:rsid w:val="00D57F94"/>
    <w:rsid w:val="00D604ED"/>
    <w:rsid w:val="00D60E22"/>
    <w:rsid w:val="00D60FDC"/>
    <w:rsid w:val="00D61302"/>
    <w:rsid w:val="00D61877"/>
    <w:rsid w:val="00D61965"/>
    <w:rsid w:val="00D62045"/>
    <w:rsid w:val="00D62A29"/>
    <w:rsid w:val="00D62F4D"/>
    <w:rsid w:val="00D64906"/>
    <w:rsid w:val="00D64AAB"/>
    <w:rsid w:val="00D652D9"/>
    <w:rsid w:val="00D65BA2"/>
    <w:rsid w:val="00D66136"/>
    <w:rsid w:val="00D66AAB"/>
    <w:rsid w:val="00D670CF"/>
    <w:rsid w:val="00D67109"/>
    <w:rsid w:val="00D70DDA"/>
    <w:rsid w:val="00D7135B"/>
    <w:rsid w:val="00D716EB"/>
    <w:rsid w:val="00D71D3E"/>
    <w:rsid w:val="00D720FC"/>
    <w:rsid w:val="00D72218"/>
    <w:rsid w:val="00D730B4"/>
    <w:rsid w:val="00D73943"/>
    <w:rsid w:val="00D73AD9"/>
    <w:rsid w:val="00D73F34"/>
    <w:rsid w:val="00D757F6"/>
    <w:rsid w:val="00D765DF"/>
    <w:rsid w:val="00D809F6"/>
    <w:rsid w:val="00D80C29"/>
    <w:rsid w:val="00D8182D"/>
    <w:rsid w:val="00D81D5C"/>
    <w:rsid w:val="00D8316D"/>
    <w:rsid w:val="00D8329C"/>
    <w:rsid w:val="00D83B51"/>
    <w:rsid w:val="00D84157"/>
    <w:rsid w:val="00D84ECA"/>
    <w:rsid w:val="00D85238"/>
    <w:rsid w:val="00D8525E"/>
    <w:rsid w:val="00D8653E"/>
    <w:rsid w:val="00D9041B"/>
    <w:rsid w:val="00D90DBB"/>
    <w:rsid w:val="00D9141D"/>
    <w:rsid w:val="00D926EC"/>
    <w:rsid w:val="00D937A2"/>
    <w:rsid w:val="00D946C9"/>
    <w:rsid w:val="00D94CF3"/>
    <w:rsid w:val="00D95BCB"/>
    <w:rsid w:val="00D9651A"/>
    <w:rsid w:val="00D967A8"/>
    <w:rsid w:val="00DA01B0"/>
    <w:rsid w:val="00DA01FC"/>
    <w:rsid w:val="00DA02E0"/>
    <w:rsid w:val="00DA058E"/>
    <w:rsid w:val="00DA0BC0"/>
    <w:rsid w:val="00DA32F1"/>
    <w:rsid w:val="00DA34B6"/>
    <w:rsid w:val="00DA3917"/>
    <w:rsid w:val="00DA40A5"/>
    <w:rsid w:val="00DA4BDA"/>
    <w:rsid w:val="00DA512C"/>
    <w:rsid w:val="00DA666A"/>
    <w:rsid w:val="00DA6765"/>
    <w:rsid w:val="00DA77AF"/>
    <w:rsid w:val="00DA7C4D"/>
    <w:rsid w:val="00DB003C"/>
    <w:rsid w:val="00DB1C87"/>
    <w:rsid w:val="00DB1E91"/>
    <w:rsid w:val="00DB2747"/>
    <w:rsid w:val="00DB2E52"/>
    <w:rsid w:val="00DB4005"/>
    <w:rsid w:val="00DB4410"/>
    <w:rsid w:val="00DB44CF"/>
    <w:rsid w:val="00DB5117"/>
    <w:rsid w:val="00DB5C7E"/>
    <w:rsid w:val="00DB6031"/>
    <w:rsid w:val="00DB664A"/>
    <w:rsid w:val="00DB7463"/>
    <w:rsid w:val="00DB7B3D"/>
    <w:rsid w:val="00DB7B84"/>
    <w:rsid w:val="00DB7C2A"/>
    <w:rsid w:val="00DC0761"/>
    <w:rsid w:val="00DC0EBB"/>
    <w:rsid w:val="00DC0F91"/>
    <w:rsid w:val="00DC14AF"/>
    <w:rsid w:val="00DC1699"/>
    <w:rsid w:val="00DC1720"/>
    <w:rsid w:val="00DC1C5D"/>
    <w:rsid w:val="00DC27F2"/>
    <w:rsid w:val="00DC311F"/>
    <w:rsid w:val="00DC327D"/>
    <w:rsid w:val="00DC3633"/>
    <w:rsid w:val="00DC4108"/>
    <w:rsid w:val="00DC4EA6"/>
    <w:rsid w:val="00DC4EC7"/>
    <w:rsid w:val="00DC4F64"/>
    <w:rsid w:val="00DC50C5"/>
    <w:rsid w:val="00DC5513"/>
    <w:rsid w:val="00DC557B"/>
    <w:rsid w:val="00DC6026"/>
    <w:rsid w:val="00DC64A7"/>
    <w:rsid w:val="00DC6DE1"/>
    <w:rsid w:val="00DC6DEC"/>
    <w:rsid w:val="00DC783E"/>
    <w:rsid w:val="00DD0953"/>
    <w:rsid w:val="00DD1A95"/>
    <w:rsid w:val="00DD245B"/>
    <w:rsid w:val="00DD2B8E"/>
    <w:rsid w:val="00DD2C81"/>
    <w:rsid w:val="00DD3124"/>
    <w:rsid w:val="00DD3BB8"/>
    <w:rsid w:val="00DD4362"/>
    <w:rsid w:val="00DD45FB"/>
    <w:rsid w:val="00DD6DA2"/>
    <w:rsid w:val="00DE108D"/>
    <w:rsid w:val="00DE1323"/>
    <w:rsid w:val="00DE2496"/>
    <w:rsid w:val="00DE3D98"/>
    <w:rsid w:val="00DE42BE"/>
    <w:rsid w:val="00DE584A"/>
    <w:rsid w:val="00DE5970"/>
    <w:rsid w:val="00DE59CC"/>
    <w:rsid w:val="00DE60ED"/>
    <w:rsid w:val="00DE62BC"/>
    <w:rsid w:val="00DE7099"/>
    <w:rsid w:val="00DE73E5"/>
    <w:rsid w:val="00DE75E9"/>
    <w:rsid w:val="00DF0190"/>
    <w:rsid w:val="00DF0FAA"/>
    <w:rsid w:val="00DF0FCB"/>
    <w:rsid w:val="00DF12DB"/>
    <w:rsid w:val="00DF29C1"/>
    <w:rsid w:val="00DF341B"/>
    <w:rsid w:val="00DF39E9"/>
    <w:rsid w:val="00DF3BCE"/>
    <w:rsid w:val="00DF431B"/>
    <w:rsid w:val="00DF6814"/>
    <w:rsid w:val="00DF697C"/>
    <w:rsid w:val="00DF74D9"/>
    <w:rsid w:val="00DF7568"/>
    <w:rsid w:val="00E00982"/>
    <w:rsid w:val="00E00BA3"/>
    <w:rsid w:val="00E02753"/>
    <w:rsid w:val="00E02754"/>
    <w:rsid w:val="00E029FC"/>
    <w:rsid w:val="00E02EEC"/>
    <w:rsid w:val="00E0360B"/>
    <w:rsid w:val="00E03A96"/>
    <w:rsid w:val="00E040B7"/>
    <w:rsid w:val="00E0429F"/>
    <w:rsid w:val="00E0495F"/>
    <w:rsid w:val="00E05D56"/>
    <w:rsid w:val="00E06061"/>
    <w:rsid w:val="00E0618E"/>
    <w:rsid w:val="00E079B8"/>
    <w:rsid w:val="00E07E8E"/>
    <w:rsid w:val="00E10217"/>
    <w:rsid w:val="00E103FB"/>
    <w:rsid w:val="00E105A9"/>
    <w:rsid w:val="00E10B5E"/>
    <w:rsid w:val="00E10E9F"/>
    <w:rsid w:val="00E11877"/>
    <w:rsid w:val="00E11F07"/>
    <w:rsid w:val="00E1288A"/>
    <w:rsid w:val="00E12DF5"/>
    <w:rsid w:val="00E140BC"/>
    <w:rsid w:val="00E15056"/>
    <w:rsid w:val="00E152D1"/>
    <w:rsid w:val="00E15B06"/>
    <w:rsid w:val="00E15DB1"/>
    <w:rsid w:val="00E164E2"/>
    <w:rsid w:val="00E16639"/>
    <w:rsid w:val="00E17552"/>
    <w:rsid w:val="00E176FF"/>
    <w:rsid w:val="00E2039E"/>
    <w:rsid w:val="00E20AC5"/>
    <w:rsid w:val="00E21112"/>
    <w:rsid w:val="00E21705"/>
    <w:rsid w:val="00E21B03"/>
    <w:rsid w:val="00E22445"/>
    <w:rsid w:val="00E228EC"/>
    <w:rsid w:val="00E230C8"/>
    <w:rsid w:val="00E23F56"/>
    <w:rsid w:val="00E25476"/>
    <w:rsid w:val="00E260A3"/>
    <w:rsid w:val="00E26D15"/>
    <w:rsid w:val="00E26E8C"/>
    <w:rsid w:val="00E270D3"/>
    <w:rsid w:val="00E27B18"/>
    <w:rsid w:val="00E27D61"/>
    <w:rsid w:val="00E27DDB"/>
    <w:rsid w:val="00E30C45"/>
    <w:rsid w:val="00E312AC"/>
    <w:rsid w:val="00E31702"/>
    <w:rsid w:val="00E31B75"/>
    <w:rsid w:val="00E3242E"/>
    <w:rsid w:val="00E3277D"/>
    <w:rsid w:val="00E32B3A"/>
    <w:rsid w:val="00E32F7A"/>
    <w:rsid w:val="00E330C9"/>
    <w:rsid w:val="00E3330E"/>
    <w:rsid w:val="00E3351F"/>
    <w:rsid w:val="00E33992"/>
    <w:rsid w:val="00E34F1F"/>
    <w:rsid w:val="00E36013"/>
    <w:rsid w:val="00E371E4"/>
    <w:rsid w:val="00E378B0"/>
    <w:rsid w:val="00E37EA7"/>
    <w:rsid w:val="00E40098"/>
    <w:rsid w:val="00E40604"/>
    <w:rsid w:val="00E40AE6"/>
    <w:rsid w:val="00E40C98"/>
    <w:rsid w:val="00E40DAE"/>
    <w:rsid w:val="00E40F62"/>
    <w:rsid w:val="00E417EA"/>
    <w:rsid w:val="00E41B86"/>
    <w:rsid w:val="00E43249"/>
    <w:rsid w:val="00E436A2"/>
    <w:rsid w:val="00E43C75"/>
    <w:rsid w:val="00E44217"/>
    <w:rsid w:val="00E445E8"/>
    <w:rsid w:val="00E45383"/>
    <w:rsid w:val="00E45755"/>
    <w:rsid w:val="00E458D8"/>
    <w:rsid w:val="00E46F4A"/>
    <w:rsid w:val="00E47259"/>
    <w:rsid w:val="00E4757A"/>
    <w:rsid w:val="00E47845"/>
    <w:rsid w:val="00E50861"/>
    <w:rsid w:val="00E50B36"/>
    <w:rsid w:val="00E51152"/>
    <w:rsid w:val="00E518A7"/>
    <w:rsid w:val="00E529BF"/>
    <w:rsid w:val="00E529F5"/>
    <w:rsid w:val="00E5356B"/>
    <w:rsid w:val="00E5363E"/>
    <w:rsid w:val="00E53771"/>
    <w:rsid w:val="00E53E00"/>
    <w:rsid w:val="00E54221"/>
    <w:rsid w:val="00E54BEB"/>
    <w:rsid w:val="00E54D35"/>
    <w:rsid w:val="00E560BC"/>
    <w:rsid w:val="00E5650A"/>
    <w:rsid w:val="00E574EC"/>
    <w:rsid w:val="00E57F9C"/>
    <w:rsid w:val="00E606EB"/>
    <w:rsid w:val="00E615F9"/>
    <w:rsid w:val="00E6193C"/>
    <w:rsid w:val="00E6229B"/>
    <w:rsid w:val="00E62BC2"/>
    <w:rsid w:val="00E63DAA"/>
    <w:rsid w:val="00E6402E"/>
    <w:rsid w:val="00E641A5"/>
    <w:rsid w:val="00E66A64"/>
    <w:rsid w:val="00E70716"/>
    <w:rsid w:val="00E70744"/>
    <w:rsid w:val="00E7221D"/>
    <w:rsid w:val="00E725A2"/>
    <w:rsid w:val="00E7306D"/>
    <w:rsid w:val="00E736A2"/>
    <w:rsid w:val="00E736A3"/>
    <w:rsid w:val="00E73C04"/>
    <w:rsid w:val="00E754CA"/>
    <w:rsid w:val="00E75CA7"/>
    <w:rsid w:val="00E75F18"/>
    <w:rsid w:val="00E7615F"/>
    <w:rsid w:val="00E7641F"/>
    <w:rsid w:val="00E76ABF"/>
    <w:rsid w:val="00E76AE0"/>
    <w:rsid w:val="00E77DC1"/>
    <w:rsid w:val="00E80211"/>
    <w:rsid w:val="00E81161"/>
    <w:rsid w:val="00E81A87"/>
    <w:rsid w:val="00E81C67"/>
    <w:rsid w:val="00E82F6B"/>
    <w:rsid w:val="00E83948"/>
    <w:rsid w:val="00E83CF9"/>
    <w:rsid w:val="00E83DB5"/>
    <w:rsid w:val="00E83DEF"/>
    <w:rsid w:val="00E8525E"/>
    <w:rsid w:val="00E85F9E"/>
    <w:rsid w:val="00E86909"/>
    <w:rsid w:val="00E8705E"/>
    <w:rsid w:val="00E90F7A"/>
    <w:rsid w:val="00E91138"/>
    <w:rsid w:val="00E912C5"/>
    <w:rsid w:val="00E913CF"/>
    <w:rsid w:val="00E92262"/>
    <w:rsid w:val="00E92974"/>
    <w:rsid w:val="00E92F98"/>
    <w:rsid w:val="00E9331D"/>
    <w:rsid w:val="00E9374B"/>
    <w:rsid w:val="00E93E11"/>
    <w:rsid w:val="00E94E21"/>
    <w:rsid w:val="00E95322"/>
    <w:rsid w:val="00E95490"/>
    <w:rsid w:val="00E9681B"/>
    <w:rsid w:val="00E968C1"/>
    <w:rsid w:val="00E971F6"/>
    <w:rsid w:val="00EA0E54"/>
    <w:rsid w:val="00EA0FA4"/>
    <w:rsid w:val="00EA1769"/>
    <w:rsid w:val="00EA2951"/>
    <w:rsid w:val="00EA3671"/>
    <w:rsid w:val="00EA4755"/>
    <w:rsid w:val="00EA5ACD"/>
    <w:rsid w:val="00EA5EB7"/>
    <w:rsid w:val="00EA67CF"/>
    <w:rsid w:val="00EA69CB"/>
    <w:rsid w:val="00EA6BAC"/>
    <w:rsid w:val="00EA7C0D"/>
    <w:rsid w:val="00EB047E"/>
    <w:rsid w:val="00EB0DEA"/>
    <w:rsid w:val="00EB15C4"/>
    <w:rsid w:val="00EB1F63"/>
    <w:rsid w:val="00EB27BC"/>
    <w:rsid w:val="00EB2986"/>
    <w:rsid w:val="00EB38F6"/>
    <w:rsid w:val="00EB3F24"/>
    <w:rsid w:val="00EB4F99"/>
    <w:rsid w:val="00EB6569"/>
    <w:rsid w:val="00EB6A32"/>
    <w:rsid w:val="00EC3259"/>
    <w:rsid w:val="00EC33A0"/>
    <w:rsid w:val="00EC34DA"/>
    <w:rsid w:val="00EC4271"/>
    <w:rsid w:val="00EC4458"/>
    <w:rsid w:val="00EC4836"/>
    <w:rsid w:val="00EC4C02"/>
    <w:rsid w:val="00EC4DC6"/>
    <w:rsid w:val="00EC4FCA"/>
    <w:rsid w:val="00EC5088"/>
    <w:rsid w:val="00EC537D"/>
    <w:rsid w:val="00EC5728"/>
    <w:rsid w:val="00ED0A2F"/>
    <w:rsid w:val="00ED1156"/>
    <w:rsid w:val="00ED1F4E"/>
    <w:rsid w:val="00ED4D8C"/>
    <w:rsid w:val="00ED524E"/>
    <w:rsid w:val="00ED52C1"/>
    <w:rsid w:val="00ED535A"/>
    <w:rsid w:val="00ED5E38"/>
    <w:rsid w:val="00ED6267"/>
    <w:rsid w:val="00ED6906"/>
    <w:rsid w:val="00ED6BA7"/>
    <w:rsid w:val="00ED7D9D"/>
    <w:rsid w:val="00EE025B"/>
    <w:rsid w:val="00EE057C"/>
    <w:rsid w:val="00EE09AD"/>
    <w:rsid w:val="00EE1130"/>
    <w:rsid w:val="00EE1B09"/>
    <w:rsid w:val="00EE3780"/>
    <w:rsid w:val="00EE39A5"/>
    <w:rsid w:val="00EE431C"/>
    <w:rsid w:val="00EE4490"/>
    <w:rsid w:val="00EE4C71"/>
    <w:rsid w:val="00EE4EEF"/>
    <w:rsid w:val="00EE5BCF"/>
    <w:rsid w:val="00EE63ED"/>
    <w:rsid w:val="00EE661C"/>
    <w:rsid w:val="00EE6832"/>
    <w:rsid w:val="00EE73DA"/>
    <w:rsid w:val="00EF03E5"/>
    <w:rsid w:val="00EF0690"/>
    <w:rsid w:val="00EF1755"/>
    <w:rsid w:val="00EF1CBB"/>
    <w:rsid w:val="00EF2385"/>
    <w:rsid w:val="00EF2647"/>
    <w:rsid w:val="00EF2C8F"/>
    <w:rsid w:val="00EF2E40"/>
    <w:rsid w:val="00EF3C31"/>
    <w:rsid w:val="00EF3D58"/>
    <w:rsid w:val="00EF3DA3"/>
    <w:rsid w:val="00EF587B"/>
    <w:rsid w:val="00EF632C"/>
    <w:rsid w:val="00EF67AC"/>
    <w:rsid w:val="00EF683F"/>
    <w:rsid w:val="00EF6BF4"/>
    <w:rsid w:val="00EF7063"/>
    <w:rsid w:val="00EF7084"/>
    <w:rsid w:val="00EF740B"/>
    <w:rsid w:val="00F00340"/>
    <w:rsid w:val="00F01098"/>
    <w:rsid w:val="00F02867"/>
    <w:rsid w:val="00F02B68"/>
    <w:rsid w:val="00F03B39"/>
    <w:rsid w:val="00F03D92"/>
    <w:rsid w:val="00F04052"/>
    <w:rsid w:val="00F0414A"/>
    <w:rsid w:val="00F04FED"/>
    <w:rsid w:val="00F05089"/>
    <w:rsid w:val="00F05A84"/>
    <w:rsid w:val="00F06673"/>
    <w:rsid w:val="00F066D3"/>
    <w:rsid w:val="00F06961"/>
    <w:rsid w:val="00F07973"/>
    <w:rsid w:val="00F07989"/>
    <w:rsid w:val="00F07D42"/>
    <w:rsid w:val="00F1012C"/>
    <w:rsid w:val="00F1066F"/>
    <w:rsid w:val="00F10F07"/>
    <w:rsid w:val="00F110A0"/>
    <w:rsid w:val="00F13A7F"/>
    <w:rsid w:val="00F1415F"/>
    <w:rsid w:val="00F14201"/>
    <w:rsid w:val="00F14FB3"/>
    <w:rsid w:val="00F1508C"/>
    <w:rsid w:val="00F1578E"/>
    <w:rsid w:val="00F177D6"/>
    <w:rsid w:val="00F20110"/>
    <w:rsid w:val="00F20763"/>
    <w:rsid w:val="00F21218"/>
    <w:rsid w:val="00F21493"/>
    <w:rsid w:val="00F2207C"/>
    <w:rsid w:val="00F227C8"/>
    <w:rsid w:val="00F22C87"/>
    <w:rsid w:val="00F2343A"/>
    <w:rsid w:val="00F23CB7"/>
    <w:rsid w:val="00F245BA"/>
    <w:rsid w:val="00F25065"/>
    <w:rsid w:val="00F2539F"/>
    <w:rsid w:val="00F257B5"/>
    <w:rsid w:val="00F25C0E"/>
    <w:rsid w:val="00F26533"/>
    <w:rsid w:val="00F2720E"/>
    <w:rsid w:val="00F2776D"/>
    <w:rsid w:val="00F27873"/>
    <w:rsid w:val="00F27D08"/>
    <w:rsid w:val="00F32C03"/>
    <w:rsid w:val="00F33D43"/>
    <w:rsid w:val="00F346E6"/>
    <w:rsid w:val="00F34A79"/>
    <w:rsid w:val="00F36CC7"/>
    <w:rsid w:val="00F37725"/>
    <w:rsid w:val="00F40647"/>
    <w:rsid w:val="00F40864"/>
    <w:rsid w:val="00F4136E"/>
    <w:rsid w:val="00F42CD6"/>
    <w:rsid w:val="00F432E9"/>
    <w:rsid w:val="00F43D36"/>
    <w:rsid w:val="00F44895"/>
    <w:rsid w:val="00F44ABE"/>
    <w:rsid w:val="00F451ED"/>
    <w:rsid w:val="00F45AF3"/>
    <w:rsid w:val="00F46E2A"/>
    <w:rsid w:val="00F503CC"/>
    <w:rsid w:val="00F50585"/>
    <w:rsid w:val="00F50CC9"/>
    <w:rsid w:val="00F516E3"/>
    <w:rsid w:val="00F51F18"/>
    <w:rsid w:val="00F520F3"/>
    <w:rsid w:val="00F541BA"/>
    <w:rsid w:val="00F54832"/>
    <w:rsid w:val="00F548FF"/>
    <w:rsid w:val="00F54D2D"/>
    <w:rsid w:val="00F552B4"/>
    <w:rsid w:val="00F55C8B"/>
    <w:rsid w:val="00F56AD1"/>
    <w:rsid w:val="00F56F9A"/>
    <w:rsid w:val="00F57885"/>
    <w:rsid w:val="00F600BB"/>
    <w:rsid w:val="00F60CEC"/>
    <w:rsid w:val="00F615DA"/>
    <w:rsid w:val="00F62ADF"/>
    <w:rsid w:val="00F62FF4"/>
    <w:rsid w:val="00F63C1E"/>
    <w:rsid w:val="00F64223"/>
    <w:rsid w:val="00F64859"/>
    <w:rsid w:val="00F65EF2"/>
    <w:rsid w:val="00F66144"/>
    <w:rsid w:val="00F6690F"/>
    <w:rsid w:val="00F66C0A"/>
    <w:rsid w:val="00F6713F"/>
    <w:rsid w:val="00F67397"/>
    <w:rsid w:val="00F7195F"/>
    <w:rsid w:val="00F721A7"/>
    <w:rsid w:val="00F7351E"/>
    <w:rsid w:val="00F73F9F"/>
    <w:rsid w:val="00F74B51"/>
    <w:rsid w:val="00F800C3"/>
    <w:rsid w:val="00F80185"/>
    <w:rsid w:val="00F81362"/>
    <w:rsid w:val="00F823FC"/>
    <w:rsid w:val="00F82ACC"/>
    <w:rsid w:val="00F854EE"/>
    <w:rsid w:val="00F87683"/>
    <w:rsid w:val="00F87CCE"/>
    <w:rsid w:val="00F91353"/>
    <w:rsid w:val="00F92DA0"/>
    <w:rsid w:val="00F93570"/>
    <w:rsid w:val="00F93CD4"/>
    <w:rsid w:val="00F9459C"/>
    <w:rsid w:val="00F94D5F"/>
    <w:rsid w:val="00F95351"/>
    <w:rsid w:val="00F9562E"/>
    <w:rsid w:val="00F95C6F"/>
    <w:rsid w:val="00F9684A"/>
    <w:rsid w:val="00F96864"/>
    <w:rsid w:val="00F97B3A"/>
    <w:rsid w:val="00FA0825"/>
    <w:rsid w:val="00FA08AD"/>
    <w:rsid w:val="00FA0B76"/>
    <w:rsid w:val="00FA0D21"/>
    <w:rsid w:val="00FA0D55"/>
    <w:rsid w:val="00FA19CD"/>
    <w:rsid w:val="00FA2F27"/>
    <w:rsid w:val="00FA395B"/>
    <w:rsid w:val="00FA4150"/>
    <w:rsid w:val="00FA4592"/>
    <w:rsid w:val="00FA5766"/>
    <w:rsid w:val="00FA688A"/>
    <w:rsid w:val="00FA6B94"/>
    <w:rsid w:val="00FA7D7D"/>
    <w:rsid w:val="00FB13E6"/>
    <w:rsid w:val="00FB178D"/>
    <w:rsid w:val="00FB242D"/>
    <w:rsid w:val="00FB244C"/>
    <w:rsid w:val="00FB4828"/>
    <w:rsid w:val="00FB490F"/>
    <w:rsid w:val="00FB52A2"/>
    <w:rsid w:val="00FB5304"/>
    <w:rsid w:val="00FB620D"/>
    <w:rsid w:val="00FB6AAE"/>
    <w:rsid w:val="00FB6F67"/>
    <w:rsid w:val="00FB7B93"/>
    <w:rsid w:val="00FB7EFC"/>
    <w:rsid w:val="00FC0AD7"/>
    <w:rsid w:val="00FC10DE"/>
    <w:rsid w:val="00FC1D69"/>
    <w:rsid w:val="00FC2230"/>
    <w:rsid w:val="00FC245C"/>
    <w:rsid w:val="00FC2D5F"/>
    <w:rsid w:val="00FC3CE3"/>
    <w:rsid w:val="00FC3DEC"/>
    <w:rsid w:val="00FC410F"/>
    <w:rsid w:val="00FC5603"/>
    <w:rsid w:val="00FC5C0D"/>
    <w:rsid w:val="00FC605C"/>
    <w:rsid w:val="00FC6677"/>
    <w:rsid w:val="00FC7866"/>
    <w:rsid w:val="00FD034A"/>
    <w:rsid w:val="00FD0B28"/>
    <w:rsid w:val="00FD0E03"/>
    <w:rsid w:val="00FD1002"/>
    <w:rsid w:val="00FD1472"/>
    <w:rsid w:val="00FD17BA"/>
    <w:rsid w:val="00FD194B"/>
    <w:rsid w:val="00FD1BDF"/>
    <w:rsid w:val="00FD2C9D"/>
    <w:rsid w:val="00FD2E23"/>
    <w:rsid w:val="00FD2F74"/>
    <w:rsid w:val="00FD3B94"/>
    <w:rsid w:val="00FD40DD"/>
    <w:rsid w:val="00FD41D2"/>
    <w:rsid w:val="00FD43B3"/>
    <w:rsid w:val="00FD45B5"/>
    <w:rsid w:val="00FD493F"/>
    <w:rsid w:val="00FD4DE3"/>
    <w:rsid w:val="00FD56B7"/>
    <w:rsid w:val="00FD59A1"/>
    <w:rsid w:val="00FD6295"/>
    <w:rsid w:val="00FD693E"/>
    <w:rsid w:val="00FD69AC"/>
    <w:rsid w:val="00FD7008"/>
    <w:rsid w:val="00FD7D7D"/>
    <w:rsid w:val="00FE1118"/>
    <w:rsid w:val="00FE1375"/>
    <w:rsid w:val="00FE2F1C"/>
    <w:rsid w:val="00FE377D"/>
    <w:rsid w:val="00FE40E5"/>
    <w:rsid w:val="00FE4739"/>
    <w:rsid w:val="00FE47E9"/>
    <w:rsid w:val="00FE4DB2"/>
    <w:rsid w:val="00FE501D"/>
    <w:rsid w:val="00FE5716"/>
    <w:rsid w:val="00FE5E2A"/>
    <w:rsid w:val="00FE623D"/>
    <w:rsid w:val="00FE681D"/>
    <w:rsid w:val="00FE74DF"/>
    <w:rsid w:val="00FE76BD"/>
    <w:rsid w:val="00FE7E3D"/>
    <w:rsid w:val="00FF0AA6"/>
    <w:rsid w:val="00FF0DBD"/>
    <w:rsid w:val="00FF1DCF"/>
    <w:rsid w:val="00FF2100"/>
    <w:rsid w:val="00FF3A07"/>
    <w:rsid w:val="00FF3D32"/>
    <w:rsid w:val="00FF3FEA"/>
    <w:rsid w:val="00FF4C68"/>
    <w:rsid w:val="00FF5A0A"/>
    <w:rsid w:val="00FF7746"/>
    <w:rsid w:val="0552336D"/>
    <w:rsid w:val="058F8506"/>
    <w:rsid w:val="062609A8"/>
    <w:rsid w:val="0825AAF4"/>
    <w:rsid w:val="08EDC120"/>
    <w:rsid w:val="11C3C401"/>
    <w:rsid w:val="19555991"/>
    <w:rsid w:val="1BCEFF16"/>
    <w:rsid w:val="1E7C3024"/>
    <w:rsid w:val="21A98338"/>
    <w:rsid w:val="23CE88A5"/>
    <w:rsid w:val="28647A49"/>
    <w:rsid w:val="292CE05B"/>
    <w:rsid w:val="2A668B92"/>
    <w:rsid w:val="31C579F5"/>
    <w:rsid w:val="390744C7"/>
    <w:rsid w:val="46DB6478"/>
    <w:rsid w:val="4826DD7B"/>
    <w:rsid w:val="4D20589A"/>
    <w:rsid w:val="4D72FD90"/>
    <w:rsid w:val="4E845823"/>
    <w:rsid w:val="5255C6EE"/>
    <w:rsid w:val="5938DF7F"/>
    <w:rsid w:val="5A48B75F"/>
    <w:rsid w:val="5C793B06"/>
    <w:rsid w:val="6501F352"/>
    <w:rsid w:val="6672BF4C"/>
    <w:rsid w:val="69B6CDBB"/>
    <w:rsid w:val="6B55F6A0"/>
    <w:rsid w:val="6B908433"/>
    <w:rsid w:val="709E84AB"/>
    <w:rsid w:val="73BB0325"/>
    <w:rsid w:val="74AE5408"/>
    <w:rsid w:val="7959B3C7"/>
    <w:rsid w:val="7AA2443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9D"/>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outlineLvl w:val="2"/>
    </w:pPr>
    <w:rPr>
      <w:rFonts w:ascii="Franklin Gothic Medium" w:eastAsiaTheme="majorEastAsia" w:hAnsi="Franklin Gothic Medium" w:cstheme="majorBidi"/>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pPr>
    <w:rPr>
      <w:rFonts w:ascii="Arial Narrow" w:hAnsi="Arial Narrow"/>
      <w:sz w:val="20"/>
    </w:rPr>
  </w:style>
  <w:style w:type="paragraph" w:customStyle="1" w:styleId="TableHeading">
    <w:name w:val="TableHeading"/>
    <w:basedOn w:val="Normal"/>
    <w:link w:val="TableHeadingChar"/>
    <w:qFormat/>
    <w:rsid w:val="00B151CF"/>
    <w:pPr>
      <w:keepNext/>
      <w:spacing w:after="60"/>
    </w:pPr>
    <w:rPr>
      <w:rFonts w:ascii="Arial Narrow" w:hAnsi="Arial Narrow"/>
      <w:b/>
      <w:sz w:val="20"/>
    </w:rPr>
  </w:style>
  <w:style w:type="paragraph" w:styleId="CommentText">
    <w:name w:val="annotation text"/>
    <w:basedOn w:val="Normal"/>
    <w:link w:val="CommentTextChar"/>
    <w:uiPriority w:val="99"/>
    <w:unhideWhenUsed/>
    <w:rsid w:val="003E7773"/>
    <w:pPr>
      <w:spacing w:after="240"/>
    </w:pPr>
    <w:rPr>
      <w:rFonts w:ascii="Calibri" w:hAnsi="Calibri"/>
      <w:color w:val="000000"/>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 "/>
    <w:basedOn w:val="Normal"/>
    <w:next w:val="Normal"/>
    <w:link w:val="CaptionChar"/>
    <w:uiPriority w:val="1"/>
    <w:qFormat/>
    <w:rsid w:val="009A06F4"/>
    <w:pPr>
      <w:keepNext/>
      <w:spacing w:before="360" w:after="120"/>
    </w:pPr>
    <w:rPr>
      <w:rFonts w:ascii="Arial Narrow" w:hAnsi="Arial Narrow"/>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Char"/>
    <w:basedOn w:val="DefaultParagraphFont"/>
    <w:link w:val="Caption"/>
    <w:uiPriority w:val="1"/>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PBAC table,HTAtableplain,Lash Style Table,CMA Table Template,MSD Table Grid,Legemiddelverket 3,YHEC table,Dossier table,Section 3- footnotes"/>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contextualSpacing/>
    </w:pPr>
    <w:rPr>
      <w:sz w:val="18"/>
    </w:rPr>
  </w:style>
  <w:style w:type="paragraph" w:styleId="ListParagraph">
    <w:name w:val="List Paragraph"/>
    <w:aliases w:val="Numbered para,BulletPoints,Section heading,Bullet point,List Paragraph1,List Paragraph11,Recommendation,Body Text Bullet Points,Footnote,ES Paragraph,PBAC ES Paragraph,PBAC normal points,Bullet List,Figure_name,Numbered Indented Text,lp1"/>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pPr>
    <w:rPr>
      <w:rFonts w:asciiTheme="minorHAnsi" w:hAnsiTheme="minorHAnsi"/>
    </w:rPr>
  </w:style>
  <w:style w:type="paragraph" w:styleId="TOC3">
    <w:name w:val="toc 3"/>
    <w:basedOn w:val="Normal"/>
    <w:next w:val="Normal"/>
    <w:autoRedefine/>
    <w:uiPriority w:val="39"/>
    <w:unhideWhenUsed/>
    <w:rsid w:val="0088445B"/>
    <w:pPr>
      <w:spacing w:after="100"/>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hAnsi="Arial" w:cs="Tahoma"/>
      <w:b/>
      <w:sz w:val="36"/>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hAnsi="Arial" w:cs="Tahoma"/>
      <w:b/>
      <w:i/>
      <w:sz w:val="44"/>
    </w:rPr>
  </w:style>
  <w:style w:type="paragraph" w:customStyle="1" w:styleId="Sub-title">
    <w:name w:val="Sub-title"/>
    <w:basedOn w:val="Normal"/>
    <w:locked/>
    <w:rsid w:val="00401DBF"/>
    <w:pPr>
      <w:spacing w:before="1701"/>
      <w:ind w:left="4536"/>
    </w:pPr>
    <w:rPr>
      <w:rFonts w:ascii="Arial" w:hAnsi="Arial" w:cs="Tahoma"/>
      <w:b/>
      <w:sz w:val="32"/>
    </w:rPr>
  </w:style>
  <w:style w:type="paragraph" w:customStyle="1" w:styleId="Nnumberedlist">
    <w:name w:val="Nnumbered list"/>
    <w:basedOn w:val="Normal"/>
    <w:rsid w:val="00AF3D39"/>
    <w:pPr>
      <w:numPr>
        <w:numId w:val="2"/>
      </w:numPr>
      <w:jc w:val="both"/>
    </w:pPr>
    <w:rPr>
      <w:rFonts w:ascii="Calibri" w:hAnsi="Calibri" w:cs="Tahoma"/>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pPr>
    <w:rPr>
      <w:rFonts w:ascii="Arial Narrow" w:hAnsi="Arial Narrow" w:cs="Arial"/>
      <w:snapToGrid w:val="0"/>
      <w:sz w:val="18"/>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contextualSpacing/>
    </w:pPr>
    <w:rPr>
      <w:rFonts w:ascii="Arial Narrow"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Numbered para Char,BulletPoints Char,Section heading Char,Bullet point Char,List Paragraph1 Char,List Paragraph11 Char,Recommendation Char,Body Text Bullet Points Char,Footnote Char,ES Paragraph Char,PBAC ES Paragraph Char,lp1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jc w:val="both"/>
    </w:pPr>
    <w:rPr>
      <w:rFonts w:ascii="Arial Narrow" w:hAnsi="Arial Narrow" w:cs="Tahoma"/>
      <w:sz w:val="20"/>
      <w:szCs w:val="20"/>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contextualSpacing w:val="0"/>
      <w:jc w:val="both"/>
    </w:pPr>
    <w:rPr>
      <w:rFonts w:asciiTheme="minorHAnsi" w:hAnsiTheme="minorHAnsi" w:cs="Arial"/>
      <w:snapToGrid w:val="0"/>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ind w:left="714" w:hanging="357"/>
    </w:pPr>
    <w:rPr>
      <w:rFonts w:ascii="Calibri" w:hAnsi="Calibri" w:cs="Calibri"/>
      <w:color w:val="0070C0"/>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contextualSpacing/>
      <w:jc w:val="both"/>
    </w:pPr>
    <w:rPr>
      <w:rFonts w:ascii="Arial Narrow"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GB"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ptos Display" w:hAnsi="Aptos Display"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ptos Display" w:hAnsi="Aptos Display"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ptos Display" w:hAnsi="Aptos Display"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hAnsi="Arial Narrow" w:cs="Tahoma"/>
      <w:b/>
    </w:rPr>
  </w:style>
  <w:style w:type="paragraph" w:customStyle="1" w:styleId="TableText1">
    <w:name w:val="TableText"/>
    <w:basedOn w:val="Normal"/>
    <w:link w:val="TableTextChar1"/>
    <w:rsid w:val="001C2A48"/>
    <w:pPr>
      <w:keepNext/>
      <w:spacing w:before="40" w:after="40"/>
      <w:jc w:val="both"/>
    </w:pPr>
    <w:rPr>
      <w:rFonts w:ascii="Arial Narrow" w:hAnsi="Arial Narrow" w:cs="Tahoma"/>
      <w:sz w:val="18"/>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hAnsi="Calibri" w:cs="Tahoma"/>
    </w:rPr>
  </w:style>
  <w:style w:type="paragraph" w:styleId="Title">
    <w:name w:val="Title"/>
    <w:basedOn w:val="Normal"/>
    <w:next w:val="Normal"/>
    <w:link w:val="TitleChar"/>
    <w:qFormat/>
    <w:rsid w:val="00772829"/>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TableH29pt">
    <w:name w:val="Table H2 9pt"/>
    <w:basedOn w:val="BodyText"/>
    <w:next w:val="Normal"/>
    <w:uiPriority w:val="4"/>
    <w:qFormat/>
    <w:rsid w:val="00492E2C"/>
    <w:pPr>
      <w:keepNext/>
      <w:keepLines/>
      <w:spacing w:before="20" w:after="20"/>
      <w:contextualSpacing/>
    </w:pPr>
    <w:rPr>
      <w:rFonts w:ascii="Montserrat" w:eastAsia="Calibri" w:hAnsi="Montserrat" w:cs="Calibri"/>
      <w:b/>
      <w:sz w:val="18"/>
      <w:szCs w:val="20"/>
    </w:rPr>
  </w:style>
  <w:style w:type="paragraph" w:customStyle="1" w:styleId="TableFigNotes18">
    <w:name w:val="TableFigNotes+18"/>
    <w:basedOn w:val="Normal"/>
    <w:next w:val="BodyText"/>
    <w:link w:val="TableFigNotes18Char"/>
    <w:uiPriority w:val="4"/>
    <w:qFormat/>
    <w:rsid w:val="00492E2C"/>
    <w:pPr>
      <w:spacing w:before="60" w:after="360" w:line="276" w:lineRule="auto"/>
      <w:contextualSpacing/>
    </w:pPr>
    <w:rPr>
      <w:rFonts w:ascii="Montserrat" w:eastAsia="Calibri" w:hAnsi="Montserrat" w:cs="Calibri"/>
      <w:sz w:val="14"/>
      <w:szCs w:val="20"/>
    </w:rPr>
  </w:style>
  <w:style w:type="paragraph" w:customStyle="1" w:styleId="Tabletext9pt">
    <w:name w:val="Table text 9pt"/>
    <w:basedOn w:val="Normal"/>
    <w:qFormat/>
    <w:rsid w:val="00492E2C"/>
    <w:pPr>
      <w:keepNext/>
      <w:keepLines/>
      <w:spacing w:before="20" w:after="20"/>
    </w:pPr>
    <w:rPr>
      <w:rFonts w:ascii="Montserrat" w:eastAsia="Calibri" w:hAnsi="Montserrat" w:cs="Calibri"/>
      <w:sz w:val="18"/>
      <w:szCs w:val="16"/>
    </w:rPr>
  </w:style>
  <w:style w:type="character" w:customStyle="1" w:styleId="TableFigNotes18Char">
    <w:name w:val="TableFigNotes+18 Char"/>
    <w:basedOn w:val="DefaultParagraphFont"/>
    <w:link w:val="TableFigNotes18"/>
    <w:uiPriority w:val="4"/>
    <w:locked/>
    <w:rsid w:val="00492E2C"/>
    <w:rPr>
      <w:rFonts w:ascii="Montserrat" w:eastAsia="Calibri" w:hAnsi="Montserrat" w:cs="Calibri"/>
      <w:sz w:val="14"/>
      <w:szCs w:val="20"/>
    </w:rPr>
  </w:style>
  <w:style w:type="paragraph" w:styleId="BodyText">
    <w:name w:val="Body Text"/>
    <w:basedOn w:val="Normal"/>
    <w:link w:val="BodyTextChar"/>
    <w:uiPriority w:val="99"/>
    <w:unhideWhenUsed/>
    <w:rsid w:val="00492E2C"/>
    <w:pPr>
      <w:spacing w:after="120"/>
    </w:pPr>
  </w:style>
  <w:style w:type="character" w:customStyle="1" w:styleId="BodyTextChar">
    <w:name w:val="Body Text Char"/>
    <w:basedOn w:val="DefaultParagraphFont"/>
    <w:link w:val="BodyText"/>
    <w:uiPriority w:val="99"/>
    <w:rsid w:val="00492E2C"/>
    <w:rPr>
      <w:rFonts w:ascii="Franklin Gothic Book" w:hAnsi="Franklin Gothic Book"/>
    </w:rPr>
  </w:style>
  <w:style w:type="table" w:customStyle="1" w:styleId="TableGrid6">
    <w:name w:val="Table Grid6"/>
    <w:basedOn w:val="TableNormal"/>
    <w:next w:val="TableGrid"/>
    <w:uiPriority w:val="39"/>
    <w:rsid w:val="00D720F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D217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D217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56DA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D100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940C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C561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0247"/>
    <w:rPr>
      <w:color w:val="605E5C"/>
      <w:shd w:val="clear" w:color="auto" w:fill="E1DFDD"/>
    </w:rPr>
  </w:style>
  <w:style w:type="table" w:customStyle="1" w:styleId="AZTable11">
    <w:name w:val="AZ Table11"/>
    <w:basedOn w:val="TableNormal"/>
    <w:uiPriority w:val="99"/>
    <w:rsid w:val="001C7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styleId="NormalWeb">
    <w:name w:val="Normal (Web)"/>
    <w:basedOn w:val="Normal"/>
    <w:uiPriority w:val="99"/>
    <w:rsid w:val="006703AF"/>
    <w:pPr>
      <w:spacing w:before="100" w:beforeAutospacing="1" w:after="100" w:afterAutospacing="1"/>
    </w:pPr>
  </w:style>
  <w:style w:type="paragraph" w:customStyle="1" w:styleId="TableDash">
    <w:name w:val="TableDash"/>
    <w:basedOn w:val="TableText1"/>
    <w:rsid w:val="00D62045"/>
    <w:pPr>
      <w:numPr>
        <w:numId w:val="22"/>
      </w:numPr>
      <w:tabs>
        <w:tab w:val="clear" w:pos="216"/>
        <w:tab w:val="num" w:pos="432"/>
      </w:tabs>
      <w:spacing w:before="60" w:after="60"/>
      <w:jc w:val="left"/>
    </w:pPr>
    <w:rPr>
      <w:rFonts w:ascii="Franklin Gothic Book" w:hAnsi="Franklin Gothic Book" w:cs="Times New Roman"/>
      <w:color w:val="000000"/>
      <w:sz w:val="21"/>
      <w:szCs w:val="21"/>
    </w:rPr>
  </w:style>
  <w:style w:type="paragraph" w:customStyle="1" w:styleId="NormalBeforeBullet0">
    <w:name w:val="NormalBeforeBullet"/>
    <w:basedOn w:val="Normal"/>
    <w:qFormat/>
    <w:rsid w:val="00D62045"/>
    <w:pPr>
      <w:keepNext/>
      <w:spacing w:after="120"/>
    </w:pPr>
    <w:rPr>
      <w:color w:val="000000"/>
      <w:szCs w:val="20"/>
    </w:rPr>
  </w:style>
  <w:style w:type="paragraph" w:customStyle="1" w:styleId="BoxText">
    <w:name w:val="BoxText"/>
    <w:basedOn w:val="Normal"/>
    <w:qFormat/>
    <w:rsid w:val="00D62045"/>
    <w:pPr>
      <w:pBdr>
        <w:top w:val="single" w:sz="4" w:space="4" w:color="000000"/>
        <w:left w:val="single" w:sz="4" w:space="4" w:color="000000"/>
        <w:bottom w:val="single" w:sz="4" w:space="4" w:color="000000"/>
        <w:right w:val="single" w:sz="4" w:space="4" w:color="000000"/>
      </w:pBdr>
      <w:spacing w:after="120"/>
    </w:pPr>
    <w:rPr>
      <w:color w:val="000000"/>
      <w:szCs w:val="20"/>
    </w:rPr>
  </w:style>
  <w:style w:type="paragraph" w:customStyle="1" w:styleId="BoxName0">
    <w:name w:val="BoxName"/>
    <w:basedOn w:val="BoxText"/>
    <w:rsid w:val="00D62045"/>
    <w:pPr>
      <w:keepNext/>
      <w:spacing w:before="240" w:after="240"/>
      <w:ind w:left="1077" w:hanging="1077"/>
    </w:pPr>
    <w:rPr>
      <w:b/>
      <w:bCs/>
    </w:rPr>
  </w:style>
  <w:style w:type="paragraph" w:customStyle="1" w:styleId="BoxHeading">
    <w:name w:val="BoxHeading"/>
    <w:basedOn w:val="BoxText"/>
    <w:rsid w:val="00D62045"/>
    <w:pPr>
      <w:keepNext/>
      <w:spacing w:before="120" w:after="60"/>
    </w:pPr>
    <w:rPr>
      <w:b/>
      <w:bCs/>
    </w:rPr>
  </w:style>
  <w:style w:type="paragraph" w:customStyle="1" w:styleId="BoxBullet">
    <w:name w:val="BoxBullet"/>
    <w:basedOn w:val="BoxText"/>
    <w:rsid w:val="00D62045"/>
    <w:pPr>
      <w:numPr>
        <w:numId w:val="23"/>
      </w:numPr>
    </w:pPr>
  </w:style>
  <w:style w:type="character" w:styleId="Mention">
    <w:name w:val="Mention"/>
    <w:basedOn w:val="DefaultParagraphFont"/>
    <w:uiPriority w:val="99"/>
    <w:unhideWhenUsed/>
    <w:rsid w:val="00AF23EF"/>
    <w:rPr>
      <w:color w:val="2B579A"/>
      <w:shd w:val="clear" w:color="auto" w:fill="E1DFDD"/>
    </w:rPr>
  </w:style>
  <w:style w:type="paragraph" w:customStyle="1" w:styleId="paragraph">
    <w:name w:val="paragraph"/>
    <w:basedOn w:val="Normal"/>
    <w:rsid w:val="00AE7DDB"/>
    <w:pPr>
      <w:spacing w:before="100" w:beforeAutospacing="1" w:after="100" w:afterAutospacing="1"/>
    </w:pPr>
  </w:style>
  <w:style w:type="character" w:customStyle="1" w:styleId="normaltextrun">
    <w:name w:val="normaltextrun"/>
    <w:basedOn w:val="DefaultParagraphFont"/>
    <w:rsid w:val="00AE7DDB"/>
  </w:style>
  <w:style w:type="character" w:customStyle="1" w:styleId="eop">
    <w:name w:val="eop"/>
    <w:basedOn w:val="DefaultParagraphFont"/>
    <w:rsid w:val="00AE7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21271511">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77453843">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3536495">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31845511">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7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389761">
          <w:marLeft w:val="0"/>
          <w:marRight w:val="0"/>
          <w:marTop w:val="0"/>
          <w:marBottom w:val="0"/>
          <w:divBdr>
            <w:top w:val="none" w:sz="0" w:space="0" w:color="auto"/>
            <w:left w:val="none" w:sz="0" w:space="0" w:color="auto"/>
            <w:bottom w:val="none" w:sz="0" w:space="0" w:color="auto"/>
            <w:right w:val="none" w:sz="0" w:space="0" w:color="auto"/>
          </w:divBdr>
          <w:divsChild>
            <w:div w:id="46955833">
              <w:marLeft w:val="0"/>
              <w:marRight w:val="0"/>
              <w:marTop w:val="0"/>
              <w:marBottom w:val="0"/>
              <w:divBdr>
                <w:top w:val="none" w:sz="0" w:space="0" w:color="auto"/>
                <w:left w:val="none" w:sz="0" w:space="0" w:color="auto"/>
                <w:bottom w:val="none" w:sz="0" w:space="0" w:color="auto"/>
                <w:right w:val="none" w:sz="0" w:space="0" w:color="auto"/>
              </w:divBdr>
            </w:div>
            <w:div w:id="65038124">
              <w:marLeft w:val="0"/>
              <w:marRight w:val="0"/>
              <w:marTop w:val="0"/>
              <w:marBottom w:val="0"/>
              <w:divBdr>
                <w:top w:val="none" w:sz="0" w:space="0" w:color="auto"/>
                <w:left w:val="none" w:sz="0" w:space="0" w:color="auto"/>
                <w:bottom w:val="none" w:sz="0" w:space="0" w:color="auto"/>
                <w:right w:val="none" w:sz="0" w:space="0" w:color="auto"/>
              </w:divBdr>
            </w:div>
            <w:div w:id="78213284">
              <w:marLeft w:val="0"/>
              <w:marRight w:val="0"/>
              <w:marTop w:val="0"/>
              <w:marBottom w:val="0"/>
              <w:divBdr>
                <w:top w:val="none" w:sz="0" w:space="0" w:color="auto"/>
                <w:left w:val="none" w:sz="0" w:space="0" w:color="auto"/>
                <w:bottom w:val="none" w:sz="0" w:space="0" w:color="auto"/>
                <w:right w:val="none" w:sz="0" w:space="0" w:color="auto"/>
              </w:divBdr>
            </w:div>
            <w:div w:id="245654602">
              <w:marLeft w:val="0"/>
              <w:marRight w:val="0"/>
              <w:marTop w:val="0"/>
              <w:marBottom w:val="0"/>
              <w:divBdr>
                <w:top w:val="none" w:sz="0" w:space="0" w:color="auto"/>
                <w:left w:val="none" w:sz="0" w:space="0" w:color="auto"/>
                <w:bottom w:val="none" w:sz="0" w:space="0" w:color="auto"/>
                <w:right w:val="none" w:sz="0" w:space="0" w:color="auto"/>
              </w:divBdr>
            </w:div>
            <w:div w:id="357315339">
              <w:marLeft w:val="0"/>
              <w:marRight w:val="0"/>
              <w:marTop w:val="0"/>
              <w:marBottom w:val="0"/>
              <w:divBdr>
                <w:top w:val="none" w:sz="0" w:space="0" w:color="auto"/>
                <w:left w:val="none" w:sz="0" w:space="0" w:color="auto"/>
                <w:bottom w:val="none" w:sz="0" w:space="0" w:color="auto"/>
                <w:right w:val="none" w:sz="0" w:space="0" w:color="auto"/>
              </w:divBdr>
            </w:div>
            <w:div w:id="469442403">
              <w:marLeft w:val="0"/>
              <w:marRight w:val="0"/>
              <w:marTop w:val="0"/>
              <w:marBottom w:val="0"/>
              <w:divBdr>
                <w:top w:val="none" w:sz="0" w:space="0" w:color="auto"/>
                <w:left w:val="none" w:sz="0" w:space="0" w:color="auto"/>
                <w:bottom w:val="none" w:sz="0" w:space="0" w:color="auto"/>
                <w:right w:val="none" w:sz="0" w:space="0" w:color="auto"/>
              </w:divBdr>
            </w:div>
            <w:div w:id="552156768">
              <w:marLeft w:val="0"/>
              <w:marRight w:val="0"/>
              <w:marTop w:val="0"/>
              <w:marBottom w:val="0"/>
              <w:divBdr>
                <w:top w:val="none" w:sz="0" w:space="0" w:color="auto"/>
                <w:left w:val="none" w:sz="0" w:space="0" w:color="auto"/>
                <w:bottom w:val="none" w:sz="0" w:space="0" w:color="auto"/>
                <w:right w:val="none" w:sz="0" w:space="0" w:color="auto"/>
              </w:divBdr>
            </w:div>
            <w:div w:id="630792823">
              <w:marLeft w:val="0"/>
              <w:marRight w:val="0"/>
              <w:marTop w:val="0"/>
              <w:marBottom w:val="0"/>
              <w:divBdr>
                <w:top w:val="none" w:sz="0" w:space="0" w:color="auto"/>
                <w:left w:val="none" w:sz="0" w:space="0" w:color="auto"/>
                <w:bottom w:val="none" w:sz="0" w:space="0" w:color="auto"/>
                <w:right w:val="none" w:sz="0" w:space="0" w:color="auto"/>
              </w:divBdr>
            </w:div>
            <w:div w:id="867570229">
              <w:marLeft w:val="0"/>
              <w:marRight w:val="0"/>
              <w:marTop w:val="0"/>
              <w:marBottom w:val="0"/>
              <w:divBdr>
                <w:top w:val="none" w:sz="0" w:space="0" w:color="auto"/>
                <w:left w:val="none" w:sz="0" w:space="0" w:color="auto"/>
                <w:bottom w:val="none" w:sz="0" w:space="0" w:color="auto"/>
                <w:right w:val="none" w:sz="0" w:space="0" w:color="auto"/>
              </w:divBdr>
            </w:div>
            <w:div w:id="926115350">
              <w:marLeft w:val="0"/>
              <w:marRight w:val="0"/>
              <w:marTop w:val="0"/>
              <w:marBottom w:val="0"/>
              <w:divBdr>
                <w:top w:val="none" w:sz="0" w:space="0" w:color="auto"/>
                <w:left w:val="none" w:sz="0" w:space="0" w:color="auto"/>
                <w:bottom w:val="none" w:sz="0" w:space="0" w:color="auto"/>
                <w:right w:val="none" w:sz="0" w:space="0" w:color="auto"/>
              </w:divBdr>
            </w:div>
            <w:div w:id="1084573820">
              <w:marLeft w:val="0"/>
              <w:marRight w:val="0"/>
              <w:marTop w:val="0"/>
              <w:marBottom w:val="0"/>
              <w:divBdr>
                <w:top w:val="none" w:sz="0" w:space="0" w:color="auto"/>
                <w:left w:val="none" w:sz="0" w:space="0" w:color="auto"/>
                <w:bottom w:val="none" w:sz="0" w:space="0" w:color="auto"/>
                <w:right w:val="none" w:sz="0" w:space="0" w:color="auto"/>
              </w:divBdr>
            </w:div>
            <w:div w:id="1203907782">
              <w:marLeft w:val="0"/>
              <w:marRight w:val="0"/>
              <w:marTop w:val="0"/>
              <w:marBottom w:val="0"/>
              <w:divBdr>
                <w:top w:val="none" w:sz="0" w:space="0" w:color="auto"/>
                <w:left w:val="none" w:sz="0" w:space="0" w:color="auto"/>
                <w:bottom w:val="none" w:sz="0" w:space="0" w:color="auto"/>
                <w:right w:val="none" w:sz="0" w:space="0" w:color="auto"/>
              </w:divBdr>
            </w:div>
            <w:div w:id="1205560232">
              <w:marLeft w:val="0"/>
              <w:marRight w:val="0"/>
              <w:marTop w:val="0"/>
              <w:marBottom w:val="0"/>
              <w:divBdr>
                <w:top w:val="none" w:sz="0" w:space="0" w:color="auto"/>
                <w:left w:val="none" w:sz="0" w:space="0" w:color="auto"/>
                <w:bottom w:val="none" w:sz="0" w:space="0" w:color="auto"/>
                <w:right w:val="none" w:sz="0" w:space="0" w:color="auto"/>
              </w:divBdr>
            </w:div>
            <w:div w:id="1263998962">
              <w:marLeft w:val="0"/>
              <w:marRight w:val="0"/>
              <w:marTop w:val="0"/>
              <w:marBottom w:val="0"/>
              <w:divBdr>
                <w:top w:val="none" w:sz="0" w:space="0" w:color="auto"/>
                <w:left w:val="none" w:sz="0" w:space="0" w:color="auto"/>
                <w:bottom w:val="none" w:sz="0" w:space="0" w:color="auto"/>
                <w:right w:val="none" w:sz="0" w:space="0" w:color="auto"/>
              </w:divBdr>
            </w:div>
            <w:div w:id="1275553245">
              <w:marLeft w:val="0"/>
              <w:marRight w:val="0"/>
              <w:marTop w:val="0"/>
              <w:marBottom w:val="0"/>
              <w:divBdr>
                <w:top w:val="none" w:sz="0" w:space="0" w:color="auto"/>
                <w:left w:val="none" w:sz="0" w:space="0" w:color="auto"/>
                <w:bottom w:val="none" w:sz="0" w:space="0" w:color="auto"/>
                <w:right w:val="none" w:sz="0" w:space="0" w:color="auto"/>
              </w:divBdr>
            </w:div>
            <w:div w:id="1934438070">
              <w:marLeft w:val="0"/>
              <w:marRight w:val="0"/>
              <w:marTop w:val="0"/>
              <w:marBottom w:val="0"/>
              <w:divBdr>
                <w:top w:val="none" w:sz="0" w:space="0" w:color="auto"/>
                <w:left w:val="none" w:sz="0" w:space="0" w:color="auto"/>
                <w:bottom w:val="none" w:sz="0" w:space="0" w:color="auto"/>
                <w:right w:val="none" w:sz="0" w:space="0" w:color="auto"/>
              </w:divBdr>
            </w:div>
            <w:div w:id="1938322578">
              <w:marLeft w:val="0"/>
              <w:marRight w:val="0"/>
              <w:marTop w:val="0"/>
              <w:marBottom w:val="0"/>
              <w:divBdr>
                <w:top w:val="none" w:sz="0" w:space="0" w:color="auto"/>
                <w:left w:val="none" w:sz="0" w:space="0" w:color="auto"/>
                <w:bottom w:val="none" w:sz="0" w:space="0" w:color="auto"/>
                <w:right w:val="none" w:sz="0" w:space="0" w:color="auto"/>
              </w:divBdr>
            </w:div>
          </w:divsChild>
        </w:div>
        <w:div w:id="1022442130">
          <w:marLeft w:val="0"/>
          <w:marRight w:val="0"/>
          <w:marTop w:val="0"/>
          <w:marBottom w:val="0"/>
          <w:divBdr>
            <w:top w:val="none" w:sz="0" w:space="0" w:color="auto"/>
            <w:left w:val="none" w:sz="0" w:space="0" w:color="auto"/>
            <w:bottom w:val="none" w:sz="0" w:space="0" w:color="auto"/>
            <w:right w:val="none" w:sz="0" w:space="0" w:color="auto"/>
          </w:divBdr>
          <w:divsChild>
            <w:div w:id="86002941">
              <w:marLeft w:val="0"/>
              <w:marRight w:val="0"/>
              <w:marTop w:val="0"/>
              <w:marBottom w:val="0"/>
              <w:divBdr>
                <w:top w:val="none" w:sz="0" w:space="0" w:color="auto"/>
                <w:left w:val="none" w:sz="0" w:space="0" w:color="auto"/>
                <w:bottom w:val="none" w:sz="0" w:space="0" w:color="auto"/>
                <w:right w:val="none" w:sz="0" w:space="0" w:color="auto"/>
              </w:divBdr>
            </w:div>
            <w:div w:id="357585683">
              <w:marLeft w:val="0"/>
              <w:marRight w:val="0"/>
              <w:marTop w:val="0"/>
              <w:marBottom w:val="0"/>
              <w:divBdr>
                <w:top w:val="none" w:sz="0" w:space="0" w:color="auto"/>
                <w:left w:val="none" w:sz="0" w:space="0" w:color="auto"/>
                <w:bottom w:val="none" w:sz="0" w:space="0" w:color="auto"/>
                <w:right w:val="none" w:sz="0" w:space="0" w:color="auto"/>
              </w:divBdr>
            </w:div>
            <w:div w:id="400104933">
              <w:marLeft w:val="0"/>
              <w:marRight w:val="0"/>
              <w:marTop w:val="0"/>
              <w:marBottom w:val="0"/>
              <w:divBdr>
                <w:top w:val="none" w:sz="0" w:space="0" w:color="auto"/>
                <w:left w:val="none" w:sz="0" w:space="0" w:color="auto"/>
                <w:bottom w:val="none" w:sz="0" w:space="0" w:color="auto"/>
                <w:right w:val="none" w:sz="0" w:space="0" w:color="auto"/>
              </w:divBdr>
            </w:div>
            <w:div w:id="429662544">
              <w:marLeft w:val="0"/>
              <w:marRight w:val="0"/>
              <w:marTop w:val="0"/>
              <w:marBottom w:val="0"/>
              <w:divBdr>
                <w:top w:val="none" w:sz="0" w:space="0" w:color="auto"/>
                <w:left w:val="none" w:sz="0" w:space="0" w:color="auto"/>
                <w:bottom w:val="none" w:sz="0" w:space="0" w:color="auto"/>
                <w:right w:val="none" w:sz="0" w:space="0" w:color="auto"/>
              </w:divBdr>
            </w:div>
            <w:div w:id="683436730">
              <w:marLeft w:val="0"/>
              <w:marRight w:val="0"/>
              <w:marTop w:val="0"/>
              <w:marBottom w:val="0"/>
              <w:divBdr>
                <w:top w:val="none" w:sz="0" w:space="0" w:color="auto"/>
                <w:left w:val="none" w:sz="0" w:space="0" w:color="auto"/>
                <w:bottom w:val="none" w:sz="0" w:space="0" w:color="auto"/>
                <w:right w:val="none" w:sz="0" w:space="0" w:color="auto"/>
              </w:divBdr>
            </w:div>
            <w:div w:id="729308010">
              <w:marLeft w:val="0"/>
              <w:marRight w:val="0"/>
              <w:marTop w:val="0"/>
              <w:marBottom w:val="0"/>
              <w:divBdr>
                <w:top w:val="none" w:sz="0" w:space="0" w:color="auto"/>
                <w:left w:val="none" w:sz="0" w:space="0" w:color="auto"/>
                <w:bottom w:val="none" w:sz="0" w:space="0" w:color="auto"/>
                <w:right w:val="none" w:sz="0" w:space="0" w:color="auto"/>
              </w:divBdr>
            </w:div>
            <w:div w:id="16768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6035">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08806282">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1800298">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www.msac.gov.au/internet/msac/publishing.nsf/Content/B2B42D6E89D50ED8CA258570001ED449/$File/1632%20Final%20PSD%20-%20July%202021.docx" TargetMode="External"/><Relationship Id="rId18" Type="http://schemas.openxmlformats.org/officeDocument/2006/relationships/image" Target="media/image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msac.gov.au/internet/msac/publishing.nsf/Content/1686.1-public" TargetMode="External"/><Relationship Id="rId17" Type="http://schemas.openxmlformats.org/officeDocument/2006/relationships/hyperlink" Target="http://www.msac.gov.au/internet/msac/publishing.nsf/Content/1686-public"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sac.gov.au/internet/msac/publishing.nsf/Content/1686-public" TargetMode="External"/><Relationship Id="rId20" Type="http://schemas.openxmlformats.org/officeDocument/2006/relationships/image" Target="media/image3.png"/><Relationship Id="rId29" Type="http://schemas.openxmlformats.org/officeDocument/2006/relationships/hyperlink" Target="http://www.msac.gov.au/internet/msac/publishing.nsf/Content/1686.1-publ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DDF3E302A42A014CA25894100061C2E/$File/1686.1%20Final%20PSD%20-%20July%202023%20-%20Updated.pdf"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sac.gov.au/internet/msac/publishing.nsf/Content/1686-public" TargetMode="External"/><Relationship Id="rId23" Type="http://schemas.openxmlformats.org/officeDocument/2006/relationships/header" Target="header2.xml"/><Relationship Id="rId28" Type="http://schemas.openxmlformats.org/officeDocument/2006/relationships/hyperlink" Target="http://www.msac.gov.au/internet/msac/publishing.nsf/Content/1686-public" TargetMode="External"/><Relationship Id="rId10" Type="http://schemas.openxmlformats.org/officeDocument/2006/relationships/hyperlink" Target="http://www.msac.gov.au/internet/msac/publishing.nsf/Content/46EBF5FE4400662ECA25876100090CF4/$File/1686%20Final%20PSD_Jul2022.pdf" TargetMode="External"/><Relationship Id="rId19" Type="http://schemas.openxmlformats.org/officeDocument/2006/relationships/image" Target="media/image2.png"/><Relationship Id="rId31" Type="http://schemas.openxmlformats.org/officeDocument/2006/relationships/hyperlink" Target="http://msac.gov.au/internet/msac/publishing.nsf/Content/Home-1" TargetMode="External"/><Relationship Id="rId4" Type="http://schemas.openxmlformats.org/officeDocument/2006/relationships/settings" Target="settings.xml"/><Relationship Id="rId9" Type="http://schemas.openxmlformats.org/officeDocument/2006/relationships/hyperlink" Target="http://www.msac.gov.au/internet/msac/publishing.nsf/Content/B2B42D6E89D50ED8CA258570001ED449/$File/1632%20Final%20PSD%20-%20July%202021.pdf" TargetMode="External"/><Relationship Id="rId14" Type="http://schemas.openxmlformats.org/officeDocument/2006/relationships/hyperlink" Target="http://www.msac.gov.au/internet/msac/publishing.nsf/Content/1686-public"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msac.gov.au/internet/msac/publishing.nsf/Content/1DDF3E302A42A014CA25894100061C2E/$File/1686.1%20Final%20PSD%20-%20July%202023%20-%20Update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15988</Words>
  <Characters>91138</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106913</CharactersWithSpaces>
  <SharedDoc>false</SharedDoc>
  <HyperlinkBase/>
  <HLinks>
    <vt:vector size="84" baseType="variant">
      <vt:variant>
        <vt:i4>6684716</vt:i4>
      </vt:variant>
      <vt:variant>
        <vt:i4>120</vt:i4>
      </vt:variant>
      <vt:variant>
        <vt:i4>0</vt:i4>
      </vt:variant>
      <vt:variant>
        <vt:i4>5</vt:i4>
      </vt:variant>
      <vt:variant>
        <vt:lpwstr>http://msac.gov.au/internet/msac/publishing.nsf/Content/Home-1</vt:lpwstr>
      </vt:variant>
      <vt:variant>
        <vt:lpwstr/>
      </vt:variant>
      <vt:variant>
        <vt:i4>3407976</vt:i4>
      </vt:variant>
      <vt:variant>
        <vt:i4>117</vt:i4>
      </vt:variant>
      <vt:variant>
        <vt:i4>0</vt:i4>
      </vt:variant>
      <vt:variant>
        <vt:i4>5</vt:i4>
      </vt:variant>
      <vt:variant>
        <vt:lpwstr>http://www.msac.gov.au/internet/msac/publishing.nsf/Content/1DDF3E302A42A014CA25894100061C2E/$File/1686.1 Final PSD - July 2023 - Updated.docx</vt:lpwstr>
      </vt:variant>
      <vt:variant>
        <vt:lpwstr/>
      </vt:variant>
      <vt:variant>
        <vt:i4>1507406</vt:i4>
      </vt:variant>
      <vt:variant>
        <vt:i4>114</vt:i4>
      </vt:variant>
      <vt:variant>
        <vt:i4>0</vt:i4>
      </vt:variant>
      <vt:variant>
        <vt:i4>5</vt:i4>
      </vt:variant>
      <vt:variant>
        <vt:lpwstr>http://www.msac.gov.au/internet/msac/publishing.nsf/Content/1686.1-public</vt:lpwstr>
      </vt:variant>
      <vt:variant>
        <vt:lpwstr/>
      </vt:variant>
      <vt:variant>
        <vt:i4>2490464</vt:i4>
      </vt:variant>
      <vt:variant>
        <vt:i4>111</vt:i4>
      </vt:variant>
      <vt:variant>
        <vt:i4>0</vt:i4>
      </vt:variant>
      <vt:variant>
        <vt:i4>5</vt:i4>
      </vt:variant>
      <vt:variant>
        <vt:lpwstr>http://www.msac.gov.au/internet/msac/publishing.nsf/Content/1686-public</vt:lpwstr>
      </vt:variant>
      <vt:variant>
        <vt:lpwstr/>
      </vt:variant>
      <vt:variant>
        <vt:i4>2490464</vt:i4>
      </vt:variant>
      <vt:variant>
        <vt:i4>27</vt:i4>
      </vt:variant>
      <vt:variant>
        <vt:i4>0</vt:i4>
      </vt:variant>
      <vt:variant>
        <vt:i4>5</vt:i4>
      </vt:variant>
      <vt:variant>
        <vt:lpwstr>http://www.msac.gov.au/internet/msac/publishing.nsf/Content/1686-public</vt:lpwstr>
      </vt:variant>
      <vt:variant>
        <vt:lpwstr/>
      </vt:variant>
      <vt:variant>
        <vt:i4>2490464</vt:i4>
      </vt:variant>
      <vt:variant>
        <vt:i4>24</vt:i4>
      </vt:variant>
      <vt:variant>
        <vt:i4>0</vt:i4>
      </vt:variant>
      <vt:variant>
        <vt:i4>5</vt:i4>
      </vt:variant>
      <vt:variant>
        <vt:lpwstr>http://www.msac.gov.au/internet/msac/publishing.nsf/Content/1686-public</vt:lpwstr>
      </vt:variant>
      <vt:variant>
        <vt:lpwstr/>
      </vt:variant>
      <vt:variant>
        <vt:i4>2490464</vt:i4>
      </vt:variant>
      <vt:variant>
        <vt:i4>21</vt:i4>
      </vt:variant>
      <vt:variant>
        <vt:i4>0</vt:i4>
      </vt:variant>
      <vt:variant>
        <vt:i4>5</vt:i4>
      </vt:variant>
      <vt:variant>
        <vt:lpwstr>http://www.msac.gov.au/internet/msac/publishing.nsf/Content/1686-public</vt:lpwstr>
      </vt:variant>
      <vt:variant>
        <vt:lpwstr/>
      </vt:variant>
      <vt:variant>
        <vt:i4>2490464</vt:i4>
      </vt:variant>
      <vt:variant>
        <vt:i4>18</vt:i4>
      </vt:variant>
      <vt:variant>
        <vt:i4>0</vt:i4>
      </vt:variant>
      <vt:variant>
        <vt:i4>5</vt:i4>
      </vt:variant>
      <vt:variant>
        <vt:lpwstr>http://www.msac.gov.au/internet/msac/publishing.nsf/Content/1686-public</vt:lpwstr>
      </vt:variant>
      <vt:variant>
        <vt:lpwstr/>
      </vt:variant>
      <vt:variant>
        <vt:i4>6684717</vt:i4>
      </vt:variant>
      <vt:variant>
        <vt:i4>15</vt:i4>
      </vt:variant>
      <vt:variant>
        <vt:i4>0</vt:i4>
      </vt:variant>
      <vt:variant>
        <vt:i4>5</vt:i4>
      </vt:variant>
      <vt:variant>
        <vt:lpwstr>http://www.msac.gov.au/internet/msac/publishing.nsf/Content/B2B42D6E89D50ED8CA258570001ED449/$File/1632 Final PSD - July 2021.docx</vt:lpwstr>
      </vt:variant>
      <vt:variant>
        <vt:lpwstr/>
      </vt:variant>
      <vt:variant>
        <vt:i4>1507406</vt:i4>
      </vt:variant>
      <vt:variant>
        <vt:i4>12</vt:i4>
      </vt:variant>
      <vt:variant>
        <vt:i4>0</vt:i4>
      </vt:variant>
      <vt:variant>
        <vt:i4>5</vt:i4>
      </vt:variant>
      <vt:variant>
        <vt:lpwstr>http://www.msac.gov.au/internet/msac/publishing.nsf/Content/1686.1-public</vt:lpwstr>
      </vt:variant>
      <vt:variant>
        <vt:lpwstr/>
      </vt:variant>
      <vt:variant>
        <vt:i4>4653087</vt:i4>
      </vt:variant>
      <vt:variant>
        <vt:i4>9</vt:i4>
      </vt:variant>
      <vt:variant>
        <vt:i4>0</vt:i4>
      </vt:variant>
      <vt:variant>
        <vt:i4>5</vt:i4>
      </vt:variant>
      <vt:variant>
        <vt:lpwstr>http://www.msac.gov.au/internet/msac/publishing.nsf/Content/1DDF3E302A42A014CA25894100061C2E/$File/1686.1 Final PSD - July 2023 - Updated.pdf</vt:lpwstr>
      </vt:variant>
      <vt:variant>
        <vt:lpwstr/>
      </vt:variant>
      <vt:variant>
        <vt:i4>3670027</vt:i4>
      </vt:variant>
      <vt:variant>
        <vt:i4>6</vt:i4>
      </vt:variant>
      <vt:variant>
        <vt:i4>0</vt:i4>
      </vt:variant>
      <vt:variant>
        <vt:i4>5</vt:i4>
      </vt:variant>
      <vt:variant>
        <vt:lpwstr>http://www.msac.gov.au/internet/msac/publishing.nsf/Content/46EBF5FE4400662ECA25876100090CF4/$File/1686 Final PSD_Jul2022.pdf</vt:lpwstr>
      </vt:variant>
      <vt:variant>
        <vt:lpwstr/>
      </vt:variant>
      <vt:variant>
        <vt:i4>1376346</vt:i4>
      </vt:variant>
      <vt:variant>
        <vt:i4>3</vt:i4>
      </vt:variant>
      <vt:variant>
        <vt:i4>0</vt:i4>
      </vt:variant>
      <vt:variant>
        <vt:i4>5</vt:i4>
      </vt:variant>
      <vt:variant>
        <vt:lpwstr>http://www.msac.gov.au/internet/msac/publishing.nsf/Content/B2B42D6E89D50ED8CA258570001ED449/$File/1632 Final PSD - July 2021.pdf</vt:lpwstr>
      </vt:variant>
      <vt:variant>
        <vt:lpwstr/>
      </vt:variant>
      <vt:variant>
        <vt:i4>3997744</vt:i4>
      </vt:variant>
      <vt:variant>
        <vt:i4>0</vt:i4>
      </vt:variant>
      <vt:variant>
        <vt:i4>0</vt:i4>
      </vt:variant>
      <vt:variant>
        <vt:i4>5</vt:i4>
      </vt:variant>
      <vt:variant>
        <vt:lpwstr>http://www.msac.gov.au/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2025-02-24T01:04:00Z</dcterms:created>
  <dcterms:modified xsi:type="dcterms:W3CDTF">2025-02-24T01:48:00Z</dcterms:modified>
  <cp:category/>
</cp:coreProperties>
</file>