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10895" w14:textId="77777777" w:rsidR="004E1D62" w:rsidRPr="0065027C" w:rsidRDefault="004E1D62" w:rsidP="004E1D62">
      <w:pPr>
        <w:pStyle w:val="Title"/>
        <w:spacing w:before="720" w:after="600"/>
        <w:contextualSpacing w:val="0"/>
        <w:jc w:val="center"/>
        <w:rPr>
          <w:rFonts w:ascii="Segoe UI" w:eastAsiaTheme="minorHAnsi" w:hAnsi="Segoe UI" w:cs="Segoe UI"/>
          <w:b/>
          <w:bCs/>
          <w:lang w:eastAsia="en-US"/>
        </w:rPr>
      </w:pPr>
      <w:r>
        <w:rPr>
          <w:rFonts w:ascii="Segoe UI" w:eastAsiaTheme="minorHAnsi" w:hAnsi="Segoe UI" w:cs="Segoe UI"/>
          <w:b/>
          <w:bCs/>
          <w:lang w:eastAsia="en-US"/>
        </w:rPr>
        <w:t>MSAC Application 1728.1</w:t>
      </w:r>
    </w:p>
    <w:p w14:paraId="7B443D8A" w14:textId="77777777" w:rsidR="004E1D62" w:rsidRPr="004E1D62" w:rsidRDefault="004E1D62" w:rsidP="004E1D62">
      <w:pPr>
        <w:pStyle w:val="Subtitle"/>
        <w:spacing w:after="600" w:line="259" w:lineRule="auto"/>
        <w:jc w:val="center"/>
        <w:rPr>
          <w:rFonts w:ascii="Segoe UI" w:eastAsiaTheme="majorEastAsia" w:hAnsi="Segoe UI" w:cs="Segoe UI"/>
          <w:b/>
          <w:bCs/>
          <w:color w:val="002060"/>
          <w:sz w:val="48"/>
          <w:szCs w:val="48"/>
          <w:lang w:eastAsia="en-US"/>
        </w:rPr>
      </w:pPr>
      <w:proofErr w:type="spellStart"/>
      <w:r w:rsidRPr="004E1D62">
        <w:rPr>
          <w:rFonts w:ascii="Segoe UI" w:eastAsiaTheme="majorEastAsia" w:hAnsi="Segoe UI" w:cs="Segoe UI"/>
          <w:b/>
          <w:bCs/>
          <w:color w:val="002060"/>
          <w:sz w:val="48"/>
          <w:szCs w:val="48"/>
          <w:lang w:eastAsia="en-US"/>
        </w:rPr>
        <w:t>Etranacogene</w:t>
      </w:r>
      <w:proofErr w:type="spellEnd"/>
      <w:r w:rsidRPr="004E1D62">
        <w:rPr>
          <w:rFonts w:ascii="Segoe UI" w:eastAsiaTheme="majorEastAsia" w:hAnsi="Segoe UI" w:cs="Segoe UI"/>
          <w:b/>
          <w:bCs/>
          <w:color w:val="002060"/>
          <w:sz w:val="48"/>
          <w:szCs w:val="48"/>
          <w:lang w:eastAsia="en-US"/>
        </w:rPr>
        <w:t xml:space="preserve"> </w:t>
      </w:r>
      <w:proofErr w:type="spellStart"/>
      <w:r w:rsidRPr="004E1D62">
        <w:rPr>
          <w:rFonts w:ascii="Segoe UI" w:eastAsiaTheme="majorEastAsia" w:hAnsi="Segoe UI" w:cs="Segoe UI"/>
          <w:b/>
          <w:bCs/>
          <w:color w:val="002060"/>
          <w:sz w:val="48"/>
          <w:szCs w:val="48"/>
          <w:lang w:eastAsia="en-US"/>
        </w:rPr>
        <w:t>dezaparvovec</w:t>
      </w:r>
      <w:proofErr w:type="spellEnd"/>
      <w:r w:rsidRPr="004E1D62">
        <w:rPr>
          <w:rFonts w:ascii="Segoe UI" w:eastAsiaTheme="majorEastAsia" w:hAnsi="Segoe UI" w:cs="Segoe UI"/>
          <w:b/>
          <w:bCs/>
          <w:color w:val="002060"/>
          <w:sz w:val="48"/>
          <w:szCs w:val="48"/>
          <w:lang w:eastAsia="en-US"/>
        </w:rPr>
        <w:t xml:space="preserve"> for the treatment of congenital haemophilia B</w:t>
      </w:r>
    </w:p>
    <w:p w14:paraId="7BF26044" w14:textId="37E585A1" w:rsidR="002D2DF7" w:rsidRPr="004E1D62" w:rsidRDefault="002D2DF7" w:rsidP="004E1D62">
      <w:pPr>
        <w:pStyle w:val="Subtitle"/>
        <w:spacing w:after="600" w:line="259" w:lineRule="auto"/>
        <w:jc w:val="center"/>
        <w:rPr>
          <w:rFonts w:ascii="Segoe UI" w:eastAsiaTheme="minorHAnsi" w:hAnsi="Segoe UI" w:cs="Segoe UI"/>
          <w:b/>
          <w:bCs/>
          <w:color w:val="50637D" w:themeColor="text2" w:themeTint="E6"/>
          <w:sz w:val="48"/>
          <w:szCs w:val="48"/>
          <w:lang w:eastAsia="en-US"/>
        </w:rPr>
      </w:pPr>
      <w:r w:rsidRPr="004E1D62">
        <w:rPr>
          <w:rFonts w:ascii="Segoe UI" w:eastAsiaTheme="majorEastAsia" w:hAnsi="Segoe UI" w:cs="Segoe UI"/>
          <w:b/>
          <w:bCs/>
          <w:color w:val="002060"/>
          <w:sz w:val="48"/>
          <w:szCs w:val="48"/>
          <w:lang w:eastAsia="en-US"/>
        </w:rPr>
        <w:t>PICO Set</w:t>
      </w:r>
      <w:r>
        <w:rPr>
          <w:rFonts w:ascii="Segoe UI" w:eastAsia="Times New Roman" w:hAnsi="Segoe UI"/>
          <w:b/>
          <w:color w:val="000000"/>
          <w:sz w:val="32"/>
        </w:rPr>
        <w:br w:type="page"/>
      </w:r>
    </w:p>
    <w:p w14:paraId="46A9FD70" w14:textId="77777777" w:rsidR="002D2DF7" w:rsidRPr="001E1797" w:rsidRDefault="002D2DF7" w:rsidP="00EC7BD5">
      <w:pPr>
        <w:pStyle w:val="Heading1"/>
      </w:pPr>
      <w:r w:rsidRPr="001E1797">
        <w:lastRenderedPageBreak/>
        <w:t>Population</w:t>
      </w:r>
    </w:p>
    <w:p w14:paraId="026C9173" w14:textId="77777777" w:rsidR="002D2DF7" w:rsidRPr="00EC7BD5" w:rsidRDefault="002D2DF7" w:rsidP="00EC7BD5">
      <w:pPr>
        <w:pStyle w:val="Heading2"/>
      </w:pPr>
      <w:r w:rsidRPr="00EC7BD5">
        <w:t>Describe the population in which the proposed health technology is intended to be used:</w:t>
      </w:r>
    </w:p>
    <w:p w14:paraId="31747D59" w14:textId="77777777" w:rsidR="004E1D62" w:rsidRDefault="004E1D62" w:rsidP="00766143">
      <w:pPr>
        <w:rPr>
          <w:rFonts w:ascii="Segoe UI" w:hAnsi="Segoe UI" w:cs="Segoe UI"/>
          <w:b/>
          <w:bCs/>
          <w:sz w:val="22"/>
          <w:szCs w:val="22"/>
        </w:rPr>
      </w:pPr>
    </w:p>
    <w:p w14:paraId="2484723D" w14:textId="06ACE25B" w:rsidR="002D2DF7" w:rsidRPr="00723EA9" w:rsidRDefault="002D2DF7" w:rsidP="00766143">
      <w:pPr>
        <w:rPr>
          <w:rFonts w:ascii="Segoe UI" w:hAnsi="Segoe UI" w:cs="Segoe UI"/>
          <w:b/>
          <w:bCs/>
          <w:sz w:val="22"/>
          <w:szCs w:val="22"/>
        </w:rPr>
      </w:pPr>
      <w:r>
        <w:rPr>
          <w:rFonts w:ascii="Segoe UI" w:hAnsi="Segoe UI" w:cs="Segoe UI"/>
          <w:b/>
          <w:bCs/>
          <w:sz w:val="22"/>
          <w:szCs w:val="22"/>
        </w:rPr>
        <w:t xml:space="preserve">Test (AAV5 </w:t>
      </w:r>
      <w:proofErr w:type="spellStart"/>
      <w:r>
        <w:rPr>
          <w:rFonts w:ascii="Segoe UI" w:hAnsi="Segoe UI" w:cs="Segoe UI"/>
          <w:b/>
          <w:bCs/>
          <w:sz w:val="22"/>
          <w:szCs w:val="22"/>
        </w:rPr>
        <w:t>NAb</w:t>
      </w:r>
      <w:proofErr w:type="spellEnd"/>
      <w:r>
        <w:rPr>
          <w:rFonts w:ascii="Segoe UI" w:hAnsi="Segoe UI" w:cs="Segoe UI"/>
          <w:b/>
          <w:bCs/>
          <w:sz w:val="22"/>
          <w:szCs w:val="22"/>
        </w:rPr>
        <w:t xml:space="preserve">): </w:t>
      </w:r>
      <w:r>
        <w:rPr>
          <w:rFonts w:ascii="Segoe UI" w:hAnsi="Segoe UI" w:cs="Segoe UI"/>
          <w:sz w:val="22"/>
          <w:szCs w:val="22"/>
        </w:rPr>
        <w:t>A</w:t>
      </w:r>
      <w:r w:rsidRPr="00AD39FA">
        <w:rPr>
          <w:rFonts w:ascii="Segoe UI" w:hAnsi="Segoe UI" w:cs="Segoe UI"/>
          <w:sz w:val="22"/>
          <w:szCs w:val="22"/>
        </w:rPr>
        <w:t>dult patients (≥18 years) with severe or moderately severe</w:t>
      </w:r>
      <w:r>
        <w:rPr>
          <w:rFonts w:ascii="Segoe UI" w:hAnsi="Segoe UI" w:cs="Segoe UI"/>
          <w:sz w:val="22"/>
          <w:szCs w:val="22"/>
        </w:rPr>
        <w:t xml:space="preserve"> (≤2%)</w:t>
      </w:r>
      <w:r w:rsidRPr="00AD39FA">
        <w:rPr>
          <w:rFonts w:ascii="Segoe UI" w:hAnsi="Segoe UI" w:cs="Segoe UI"/>
          <w:sz w:val="22"/>
          <w:szCs w:val="22"/>
        </w:rPr>
        <w:t xml:space="preserve"> congenital haemophilia B (</w:t>
      </w:r>
      <w:proofErr w:type="spellStart"/>
      <w:r w:rsidRPr="00AD39FA">
        <w:rPr>
          <w:rFonts w:ascii="Segoe UI" w:hAnsi="Segoe UI" w:cs="Segoe UI"/>
          <w:sz w:val="22"/>
          <w:szCs w:val="22"/>
        </w:rPr>
        <w:t>cHMB</w:t>
      </w:r>
      <w:proofErr w:type="spellEnd"/>
      <w:r w:rsidRPr="00AD39FA">
        <w:rPr>
          <w:rFonts w:ascii="Segoe UI" w:hAnsi="Segoe UI" w:cs="Segoe UI"/>
          <w:sz w:val="22"/>
          <w:szCs w:val="22"/>
        </w:rPr>
        <w:t>), currently receiving stable FIX prophylactic therap</w:t>
      </w:r>
      <w:r>
        <w:rPr>
          <w:rFonts w:ascii="Segoe UI" w:hAnsi="Segoe UI" w:cs="Segoe UI"/>
          <w:sz w:val="22"/>
          <w:szCs w:val="22"/>
        </w:rPr>
        <w:t>y.</w:t>
      </w:r>
    </w:p>
    <w:p w14:paraId="081F4443" w14:textId="77777777" w:rsidR="002D2DF7" w:rsidRDefault="002D2DF7" w:rsidP="0091615B">
      <w:pPr>
        <w:rPr>
          <w:rFonts w:ascii="Segoe UI" w:hAnsi="Segoe UI" w:cs="Segoe UI"/>
          <w:sz w:val="22"/>
          <w:szCs w:val="22"/>
        </w:rPr>
      </w:pPr>
      <w:r w:rsidRPr="00C30A56">
        <w:rPr>
          <w:rFonts w:ascii="Segoe UI" w:hAnsi="Segoe UI" w:cs="Segoe UI"/>
          <w:b/>
          <w:bCs/>
          <w:sz w:val="22"/>
          <w:szCs w:val="22"/>
        </w:rPr>
        <w:t>Intervention (</w:t>
      </w:r>
      <w:proofErr w:type="spellStart"/>
      <w:r w:rsidRPr="00C30A56">
        <w:rPr>
          <w:rFonts w:ascii="Segoe UI" w:hAnsi="Segoe UI" w:cs="Segoe UI"/>
          <w:b/>
          <w:bCs/>
          <w:sz w:val="22"/>
          <w:szCs w:val="22"/>
        </w:rPr>
        <w:t>Hemgenix</w:t>
      </w:r>
      <w:proofErr w:type="spellEnd"/>
      <w:r w:rsidRPr="00C30A56">
        <w:rPr>
          <w:rFonts w:ascii="Segoe UI" w:hAnsi="Segoe UI" w:cs="Segoe UI"/>
          <w:b/>
          <w:bCs/>
          <w:sz w:val="22"/>
          <w:szCs w:val="22"/>
        </w:rPr>
        <w:t>®)</w:t>
      </w:r>
      <w:r>
        <w:rPr>
          <w:rFonts w:ascii="Segoe UI" w:hAnsi="Segoe UI" w:cs="Segoe UI"/>
          <w:b/>
          <w:bCs/>
          <w:sz w:val="22"/>
          <w:szCs w:val="22"/>
        </w:rPr>
        <w:t xml:space="preserve">: </w:t>
      </w:r>
      <w:r>
        <w:rPr>
          <w:rFonts w:ascii="Segoe UI" w:hAnsi="Segoe UI" w:cs="Segoe UI"/>
          <w:sz w:val="22"/>
          <w:szCs w:val="22"/>
        </w:rPr>
        <w:t>A</w:t>
      </w:r>
      <w:r w:rsidRPr="00AD39FA">
        <w:rPr>
          <w:rFonts w:ascii="Segoe UI" w:hAnsi="Segoe UI" w:cs="Segoe UI"/>
          <w:sz w:val="22"/>
          <w:szCs w:val="22"/>
        </w:rPr>
        <w:t>dult patients (≥18 years) with severe or moderately severe</w:t>
      </w:r>
      <w:r>
        <w:rPr>
          <w:rFonts w:ascii="Segoe UI" w:hAnsi="Segoe UI" w:cs="Segoe UI"/>
          <w:sz w:val="22"/>
          <w:szCs w:val="22"/>
        </w:rPr>
        <w:t xml:space="preserve"> (≤2%)</w:t>
      </w:r>
      <w:r w:rsidRPr="00AD39FA">
        <w:rPr>
          <w:rFonts w:ascii="Segoe UI" w:hAnsi="Segoe UI" w:cs="Segoe UI"/>
          <w:sz w:val="22"/>
          <w:szCs w:val="22"/>
        </w:rPr>
        <w:t xml:space="preserve"> congenital haemophilia B (</w:t>
      </w:r>
      <w:proofErr w:type="spellStart"/>
      <w:r w:rsidRPr="00AD39FA">
        <w:rPr>
          <w:rFonts w:ascii="Segoe UI" w:hAnsi="Segoe UI" w:cs="Segoe UI"/>
          <w:sz w:val="22"/>
          <w:szCs w:val="22"/>
        </w:rPr>
        <w:t>cHMB</w:t>
      </w:r>
      <w:proofErr w:type="spellEnd"/>
      <w:r w:rsidRPr="00AD39FA">
        <w:rPr>
          <w:rFonts w:ascii="Segoe UI" w:hAnsi="Segoe UI" w:cs="Segoe UI"/>
          <w:sz w:val="22"/>
          <w:szCs w:val="22"/>
        </w:rPr>
        <w:t>), currently receiving stable FIX prophylactic therap</w:t>
      </w:r>
      <w:r>
        <w:rPr>
          <w:rFonts w:ascii="Segoe UI" w:hAnsi="Segoe UI" w:cs="Segoe UI"/>
          <w:sz w:val="22"/>
          <w:szCs w:val="22"/>
        </w:rPr>
        <w:t>y, who also meet the following criteria:</w:t>
      </w:r>
    </w:p>
    <w:p w14:paraId="328A775D" w14:textId="77777777" w:rsidR="002D2DF7" w:rsidRPr="00DB1431" w:rsidRDefault="002D2DF7" w:rsidP="0091615B">
      <w:pPr>
        <w:pStyle w:val="ListParagraph"/>
        <w:numPr>
          <w:ilvl w:val="0"/>
          <w:numId w:val="1"/>
        </w:numPr>
        <w:rPr>
          <w:rFonts w:ascii="Segoe UI" w:hAnsi="Segoe UI" w:cs="Segoe UI"/>
          <w:sz w:val="22"/>
          <w:szCs w:val="22"/>
        </w:rPr>
      </w:pPr>
      <w:r w:rsidRPr="00DB1431">
        <w:rPr>
          <w:rFonts w:ascii="Segoe UI" w:hAnsi="Segoe UI" w:cs="Segoe UI"/>
          <w:sz w:val="22"/>
          <w:szCs w:val="22"/>
        </w:rPr>
        <w:t xml:space="preserve">anti-AAV5 </w:t>
      </w:r>
      <w:proofErr w:type="spellStart"/>
      <w:r w:rsidRPr="00DB1431">
        <w:rPr>
          <w:rFonts w:ascii="Segoe UI" w:hAnsi="Segoe UI" w:cs="Segoe UI"/>
          <w:sz w:val="22"/>
          <w:szCs w:val="22"/>
        </w:rPr>
        <w:t>NAb</w:t>
      </w:r>
      <w:proofErr w:type="spellEnd"/>
      <w:r w:rsidRPr="00DB1431">
        <w:rPr>
          <w:rFonts w:ascii="Segoe UI" w:hAnsi="Segoe UI" w:cs="Segoe UI"/>
          <w:sz w:val="22"/>
          <w:szCs w:val="22"/>
        </w:rPr>
        <w:t xml:space="preserve"> titre &lt; 1:900 using 9-point assay </w:t>
      </w:r>
      <w:r>
        <w:rPr>
          <w:rFonts w:ascii="Segoe UI" w:hAnsi="Segoe UI" w:cs="Segoe UI"/>
          <w:sz w:val="22"/>
          <w:szCs w:val="22"/>
        </w:rPr>
        <w:t xml:space="preserve">as determined by the AAV5 </w:t>
      </w:r>
      <w:proofErr w:type="spellStart"/>
      <w:r>
        <w:rPr>
          <w:rFonts w:ascii="Segoe UI" w:hAnsi="Segoe UI" w:cs="Segoe UI"/>
          <w:sz w:val="22"/>
          <w:szCs w:val="22"/>
        </w:rPr>
        <w:t>NAb</w:t>
      </w:r>
      <w:proofErr w:type="spellEnd"/>
      <w:r>
        <w:rPr>
          <w:rFonts w:ascii="Segoe UI" w:hAnsi="Segoe UI" w:cs="Segoe UI"/>
          <w:sz w:val="22"/>
          <w:szCs w:val="22"/>
        </w:rPr>
        <w:t xml:space="preserve"> assay</w:t>
      </w:r>
    </w:p>
    <w:p w14:paraId="0511E708" w14:textId="77777777" w:rsidR="002D2DF7" w:rsidRPr="00D05B2E" w:rsidRDefault="002D2DF7" w:rsidP="0091615B">
      <w:pPr>
        <w:pStyle w:val="ListParagraph"/>
        <w:numPr>
          <w:ilvl w:val="0"/>
          <w:numId w:val="1"/>
        </w:numPr>
        <w:rPr>
          <w:rFonts w:ascii="Segoe UI" w:hAnsi="Segoe UI" w:cs="Segoe UI"/>
          <w:b/>
          <w:bCs/>
          <w:sz w:val="22"/>
          <w:szCs w:val="22"/>
        </w:rPr>
      </w:pPr>
      <w:r>
        <w:rPr>
          <w:rFonts w:ascii="Segoe UI" w:hAnsi="Segoe UI" w:cs="Segoe UI"/>
          <w:sz w:val="22"/>
          <w:szCs w:val="22"/>
        </w:rPr>
        <w:t>No active infections, either acute or uncontrolled chronic</w:t>
      </w:r>
    </w:p>
    <w:p w14:paraId="1AD8D2E2" w14:textId="77777777" w:rsidR="002D2DF7" w:rsidRPr="00EE0A12" w:rsidRDefault="002D2DF7" w:rsidP="0091615B">
      <w:pPr>
        <w:pStyle w:val="ListParagraph"/>
        <w:numPr>
          <w:ilvl w:val="0"/>
          <w:numId w:val="1"/>
        </w:numPr>
        <w:rPr>
          <w:rFonts w:ascii="Segoe UI" w:hAnsi="Segoe UI" w:cs="Segoe UI"/>
          <w:b/>
          <w:bCs/>
          <w:sz w:val="22"/>
          <w:szCs w:val="22"/>
        </w:rPr>
      </w:pPr>
      <w:r>
        <w:rPr>
          <w:rFonts w:ascii="Segoe UI" w:hAnsi="Segoe UI" w:cs="Segoe UI"/>
          <w:sz w:val="22"/>
          <w:szCs w:val="22"/>
        </w:rPr>
        <w:t>No known advanced hepatic fibrosis, or cirrhosis</w:t>
      </w:r>
    </w:p>
    <w:p w14:paraId="0B1EEBB1" w14:textId="77777777" w:rsidR="002D2DF7" w:rsidRPr="00647B29" w:rsidRDefault="002D2DF7" w:rsidP="00647B29">
      <w:pPr>
        <w:rPr>
          <w:rFonts w:ascii="Segoe UI" w:hAnsi="Segoe UI" w:cs="Segoe UI"/>
          <w:sz w:val="22"/>
          <w:szCs w:val="22"/>
        </w:rPr>
      </w:pPr>
      <w:r w:rsidRPr="00647B29">
        <w:rPr>
          <w:rFonts w:ascii="Segoe UI" w:hAnsi="Segoe UI" w:cs="Segoe UI"/>
          <w:sz w:val="22"/>
          <w:szCs w:val="22"/>
        </w:rPr>
        <w:t xml:space="preserve">Congenital haemophilia is a rare bleeding disorder caused by deficiencies in coagulation factors arising from mutations in clotting factor genes (Srivastava et al. 2020). There are 2 main types of congenital haemophilia, with type A (HMA) accounting for 80–85% of the total prevalent population and type B (HMB) around 15% (Srivastava et al. 2020). A much rarer form known as type C is estimated to occur in less than 5% of cases. </w:t>
      </w:r>
      <w:proofErr w:type="spellStart"/>
      <w:r w:rsidRPr="00647B29">
        <w:rPr>
          <w:rFonts w:ascii="Segoe UI" w:hAnsi="Segoe UI" w:cs="Segoe UI"/>
          <w:sz w:val="22"/>
          <w:szCs w:val="22"/>
        </w:rPr>
        <w:t>Congential</w:t>
      </w:r>
      <w:proofErr w:type="spellEnd"/>
      <w:r w:rsidRPr="00647B29">
        <w:rPr>
          <w:rFonts w:ascii="Segoe UI" w:hAnsi="Segoe UI" w:cs="Segoe UI"/>
          <w:sz w:val="22"/>
          <w:szCs w:val="22"/>
        </w:rPr>
        <w:t xml:space="preserve"> HMB (</w:t>
      </w:r>
      <w:proofErr w:type="spellStart"/>
      <w:r w:rsidRPr="00647B29">
        <w:rPr>
          <w:rFonts w:ascii="Segoe UI" w:hAnsi="Segoe UI" w:cs="Segoe UI"/>
          <w:sz w:val="22"/>
          <w:szCs w:val="22"/>
        </w:rPr>
        <w:t>cHMB</w:t>
      </w:r>
      <w:proofErr w:type="spellEnd"/>
      <w:r w:rsidRPr="00647B29">
        <w:rPr>
          <w:rFonts w:ascii="Segoe UI" w:hAnsi="Segoe UI" w:cs="Segoe UI"/>
          <w:sz w:val="22"/>
          <w:szCs w:val="22"/>
        </w:rPr>
        <w:t xml:space="preserve">) is characterised by partial or complete deficiency in the activity of essential coagulation factor IX (FIX) due to X-linked heritable variants of the HMB gene. It occurs primarily in males, with females typically being carriers with a mild or absent phenotype. </w:t>
      </w:r>
    </w:p>
    <w:p w14:paraId="3C4492A2" w14:textId="77777777" w:rsidR="002D2DF7" w:rsidRPr="00647B29" w:rsidRDefault="002D2DF7" w:rsidP="00647B29">
      <w:pPr>
        <w:rPr>
          <w:rFonts w:ascii="Segoe UI" w:hAnsi="Segoe UI" w:cs="Segoe UI"/>
          <w:sz w:val="22"/>
          <w:szCs w:val="22"/>
        </w:rPr>
      </w:pPr>
      <w:r w:rsidRPr="00647B29">
        <w:rPr>
          <w:rFonts w:ascii="Segoe UI" w:hAnsi="Segoe UI" w:cs="Segoe UI"/>
          <w:sz w:val="22"/>
          <w:szCs w:val="22"/>
        </w:rPr>
        <w:t xml:space="preserve">Acquired HMB, due to the formation of anti-FIX antibodies occurring in an individual without </w:t>
      </w:r>
      <w:proofErr w:type="spellStart"/>
      <w:r w:rsidRPr="00647B29">
        <w:rPr>
          <w:rFonts w:ascii="Segoe UI" w:hAnsi="Segoe UI" w:cs="Segoe UI"/>
          <w:sz w:val="22"/>
          <w:szCs w:val="22"/>
        </w:rPr>
        <w:t>cHMB</w:t>
      </w:r>
      <w:proofErr w:type="spellEnd"/>
      <w:r w:rsidRPr="00647B29">
        <w:rPr>
          <w:rFonts w:ascii="Segoe UI" w:hAnsi="Segoe UI" w:cs="Segoe UI"/>
          <w:sz w:val="22"/>
          <w:szCs w:val="22"/>
        </w:rPr>
        <w:t>, is out of scope of this application.</w:t>
      </w:r>
    </w:p>
    <w:p w14:paraId="2DBA2692" w14:textId="77777777" w:rsidR="002D2DF7" w:rsidRPr="00661A25" w:rsidRDefault="002D2DF7" w:rsidP="00423D53">
      <w:pPr>
        <w:pStyle w:val="Heading4"/>
      </w:pPr>
      <w:r w:rsidRPr="00661A25">
        <w:t>Severity</w:t>
      </w:r>
    </w:p>
    <w:p w14:paraId="59668116" w14:textId="194C4743" w:rsidR="002D2DF7" w:rsidRPr="00423D53" w:rsidRDefault="002D2DF7" w:rsidP="00423D53">
      <w:pPr>
        <w:spacing w:after="120"/>
        <w:rPr>
          <w:rFonts w:ascii="Segoe UI" w:hAnsi="Segoe UI" w:cs="Segoe UI"/>
          <w:sz w:val="22"/>
          <w:szCs w:val="22"/>
        </w:rPr>
      </w:pPr>
      <w:r w:rsidRPr="00423D53">
        <w:rPr>
          <w:rFonts w:ascii="Segoe UI" w:hAnsi="Segoe UI" w:cs="Segoe UI"/>
          <w:sz w:val="22"/>
          <w:szCs w:val="22"/>
        </w:rPr>
        <w:t xml:space="preserve">Most bleeding occurs internally, with intra-articular, intramuscular, intracerebral and mucocutaneous bleeds considered severe </w:t>
      </w:r>
      <w:sdt>
        <w:sdtPr>
          <w:alias w:val="SmartCite Citation"/>
          <w:tag w:val="5e3f6b11-4472-4be6-89df-b5bd952cd979:aa06ea4c-0383-465f-a99c-f44b59c1b141+{&quot;items&quot;:{}}"/>
          <w:id w:val="-1806538908"/>
        </w:sdtPr>
        <w:sdtEndPr/>
        <w:sdtContent>
          <w:r w:rsidR="00A852FE" w:rsidRPr="00A852FE">
            <w:rPr>
              <w:rFonts w:ascii="Segoe UI" w:eastAsia="Times New Roman" w:hAnsi="Segoe UI" w:cs="Segoe UI"/>
              <w:sz w:val="22"/>
            </w:rPr>
            <w:t>(</w:t>
          </w:r>
          <w:hyperlink w:anchor="bibRef0b7fe4730e0814671914b0113ed59b26e" w:history="1">
            <w:r w:rsidR="00A852FE" w:rsidRPr="00A852FE">
              <w:rPr>
                <w:rStyle w:val="Hyperlink"/>
                <w:rFonts w:ascii="Segoe UI" w:eastAsia="Times New Roman" w:hAnsi="Segoe UI" w:cs="Segoe UI"/>
                <w:sz w:val="22"/>
                <w:u w:val="none"/>
              </w:rPr>
              <w:t>AHCDO and NBA 2016</w:t>
            </w:r>
          </w:hyperlink>
          <w:r w:rsidR="00A852FE" w:rsidRPr="00A852FE">
            <w:rPr>
              <w:rFonts w:ascii="Segoe UI" w:eastAsia="Times New Roman" w:hAnsi="Segoe UI" w:cs="Segoe UI"/>
              <w:sz w:val="22"/>
            </w:rPr>
            <w:t>)</w:t>
          </w:r>
        </w:sdtContent>
      </w:sdt>
      <w:r w:rsidRPr="00423D53">
        <w:rPr>
          <w:rFonts w:ascii="Segoe UI" w:hAnsi="Segoe UI" w:cs="Segoe UI"/>
          <w:sz w:val="22"/>
          <w:szCs w:val="22"/>
        </w:rPr>
        <w:t>. Repeated bleeding, especially joint bleeds (</w:t>
      </w:r>
      <w:proofErr w:type="spellStart"/>
      <w:r w:rsidRPr="00423D53">
        <w:rPr>
          <w:rFonts w:ascii="Segoe UI" w:hAnsi="Segoe UI" w:cs="Segoe UI"/>
          <w:sz w:val="22"/>
          <w:szCs w:val="22"/>
        </w:rPr>
        <w:t>haemarthrosis</w:t>
      </w:r>
      <w:proofErr w:type="spellEnd"/>
      <w:r w:rsidRPr="00423D53">
        <w:rPr>
          <w:rFonts w:ascii="Segoe UI" w:hAnsi="Segoe UI" w:cs="Segoe UI"/>
          <w:sz w:val="22"/>
          <w:szCs w:val="22"/>
        </w:rPr>
        <w:t xml:space="preserve">), is a major cause of significant morbidity and decreased quality of life (QoL) in people living with HMB </w:t>
      </w:r>
      <w:sdt>
        <w:sdtPr>
          <w:alias w:val="SmartCite Citation"/>
          <w:tag w:val="5e3f6b11-4472-4be6-89df-b5bd952cd979:aa06ea4c-0383-465f-a99c-f44b59c1b141+{&quot;items&quot;:{}}"/>
          <w:id w:val="-865679749"/>
        </w:sdtPr>
        <w:sdtEndPr/>
        <w:sdtContent>
          <w:r w:rsidR="00A852FE" w:rsidRPr="00A852FE">
            <w:rPr>
              <w:rFonts w:ascii="Segoe UI" w:eastAsia="Times New Roman" w:hAnsi="Segoe UI" w:cs="Segoe UI"/>
              <w:sz w:val="22"/>
            </w:rPr>
            <w:t>(</w:t>
          </w:r>
          <w:hyperlink w:anchor="bibRef0b7fe4730e0814671914b0113ed59b26e" w:history="1">
            <w:r w:rsidR="00A852FE" w:rsidRPr="00A852FE">
              <w:rPr>
                <w:rStyle w:val="Hyperlink"/>
                <w:rFonts w:ascii="Segoe UI" w:eastAsia="Times New Roman" w:hAnsi="Segoe UI" w:cs="Segoe UI"/>
                <w:sz w:val="22"/>
                <w:u w:val="none"/>
              </w:rPr>
              <w:t>AHCDO and NBA 2016</w:t>
            </w:r>
          </w:hyperlink>
          <w:r w:rsidR="00A852FE" w:rsidRPr="00A852FE">
            <w:rPr>
              <w:rFonts w:ascii="Segoe UI" w:eastAsia="Times New Roman" w:hAnsi="Segoe UI" w:cs="Segoe UI"/>
              <w:sz w:val="22"/>
            </w:rPr>
            <w:t>)</w:t>
          </w:r>
        </w:sdtContent>
      </w:sdt>
      <w:r w:rsidRPr="00423D53">
        <w:rPr>
          <w:rFonts w:ascii="Segoe UI" w:hAnsi="Segoe UI" w:cs="Segoe UI"/>
          <w:sz w:val="22"/>
          <w:szCs w:val="22"/>
        </w:rPr>
        <w:t xml:space="preserve">. Although infrequent, intracranial and gastrointestinal bleeding, and bleeding into the neck and throat, can be life-threatening </w:t>
      </w:r>
      <w:sdt>
        <w:sdtPr>
          <w:alias w:val="SmartCite Citation"/>
          <w:tag w:val="5e3f6b11-4472-4be6-89df-b5bd952cd979:aa06ea4c-0383-465f-a99c-f44b59c1b141+{&quot;items&quot;:{}}"/>
          <w:id w:val="-1247423666"/>
        </w:sdtPr>
        <w:sdtEndPr/>
        <w:sdtContent>
          <w:r w:rsidR="00A852FE" w:rsidRPr="00A852FE">
            <w:rPr>
              <w:rFonts w:ascii="Segoe UI" w:eastAsia="Times New Roman" w:hAnsi="Segoe UI" w:cs="Segoe UI"/>
              <w:sz w:val="22"/>
            </w:rPr>
            <w:t>(</w:t>
          </w:r>
          <w:hyperlink w:anchor="bibRef0b7fe4730e0814671914b0113ed59b26e" w:history="1">
            <w:r w:rsidR="00A852FE" w:rsidRPr="00A852FE">
              <w:rPr>
                <w:rStyle w:val="Hyperlink"/>
                <w:rFonts w:ascii="Segoe UI" w:eastAsia="Times New Roman" w:hAnsi="Segoe UI" w:cs="Segoe UI"/>
                <w:sz w:val="22"/>
                <w:u w:val="none"/>
              </w:rPr>
              <w:t>AHCDO and NBA 2016</w:t>
            </w:r>
          </w:hyperlink>
          <w:r w:rsidR="00A852FE" w:rsidRPr="00A852FE">
            <w:rPr>
              <w:rFonts w:ascii="Segoe UI" w:eastAsia="Times New Roman" w:hAnsi="Segoe UI" w:cs="Segoe UI"/>
              <w:sz w:val="22"/>
            </w:rPr>
            <w:t>)</w:t>
          </w:r>
        </w:sdtContent>
      </w:sdt>
      <w:r w:rsidRPr="00423D53">
        <w:rPr>
          <w:rFonts w:ascii="Segoe UI" w:hAnsi="Segoe UI" w:cs="Segoe UI"/>
          <w:sz w:val="22"/>
          <w:szCs w:val="22"/>
        </w:rPr>
        <w:t xml:space="preserve">. For patients with </w:t>
      </w:r>
      <w:proofErr w:type="spellStart"/>
      <w:r w:rsidRPr="00423D53">
        <w:rPr>
          <w:rFonts w:ascii="Segoe UI" w:hAnsi="Segoe UI" w:cs="Segoe UI"/>
          <w:sz w:val="22"/>
          <w:szCs w:val="22"/>
        </w:rPr>
        <w:t>cHMB</w:t>
      </w:r>
      <w:proofErr w:type="spellEnd"/>
      <w:r w:rsidRPr="00423D53">
        <w:rPr>
          <w:rFonts w:ascii="Segoe UI" w:hAnsi="Segoe UI" w:cs="Segoe UI"/>
          <w:sz w:val="22"/>
          <w:szCs w:val="22"/>
        </w:rPr>
        <w:t xml:space="preserve">, bleeding tendency correlates with FIX concentrations, so </w:t>
      </w:r>
      <w:proofErr w:type="spellStart"/>
      <w:r w:rsidRPr="00423D53">
        <w:rPr>
          <w:rFonts w:ascii="Segoe UI" w:hAnsi="Segoe UI" w:cs="Segoe UI"/>
          <w:sz w:val="22"/>
          <w:szCs w:val="22"/>
        </w:rPr>
        <w:t>cHMB</w:t>
      </w:r>
      <w:proofErr w:type="spellEnd"/>
      <w:r w:rsidRPr="00423D53">
        <w:rPr>
          <w:rFonts w:ascii="Segoe UI" w:hAnsi="Segoe UI" w:cs="Segoe UI"/>
          <w:sz w:val="22"/>
          <w:szCs w:val="22"/>
        </w:rPr>
        <w:t xml:space="preserve">-associated severity and risk of bleeding is classified according to endogenous plasma FIX concentrations. FIX concentrations &lt;1% is classified as severe disease, 1–5% is moderate disease and &gt;5–40% is mild disease </w:t>
      </w:r>
      <w:sdt>
        <w:sdtPr>
          <w:alias w:val="SmartCite Citation"/>
          <w:tag w:val="5e3f6b11-4472-4be6-89df-b5bd952cd979:4e597c5b-bb14-422f-8646-9b5dc1eb046e+{&quot;items&quot;:{}}"/>
          <w:id w:val="-1019778116"/>
        </w:sdtPr>
        <w:sdtEndPr/>
        <w:sdtContent>
          <w:r w:rsidR="00A852FE" w:rsidRPr="00A852FE">
            <w:rPr>
              <w:rFonts w:ascii="Segoe UI" w:eastAsia="Times New Roman" w:hAnsi="Segoe UI" w:cs="Segoe UI"/>
              <w:sz w:val="22"/>
            </w:rPr>
            <w:t>(</w:t>
          </w:r>
          <w:hyperlink w:anchor="bibRef03eac6194b47a49e5b421a7c97c5c3cd7" w:history="1">
            <w:r w:rsidR="00A852FE" w:rsidRPr="00A852FE">
              <w:rPr>
                <w:rStyle w:val="Hyperlink"/>
                <w:rFonts w:ascii="Segoe UI" w:eastAsia="Times New Roman" w:hAnsi="Segoe UI" w:cs="Segoe UI"/>
                <w:sz w:val="22"/>
                <w:u w:val="none"/>
              </w:rPr>
              <w:t>Srivastava et al. 2020</w:t>
            </w:r>
          </w:hyperlink>
          <w:r w:rsidR="00A852FE" w:rsidRPr="00A852FE">
            <w:rPr>
              <w:rFonts w:ascii="Segoe UI" w:eastAsia="Times New Roman" w:hAnsi="Segoe UI" w:cs="Segoe UI"/>
              <w:sz w:val="22"/>
            </w:rPr>
            <w:t>)</w:t>
          </w:r>
        </w:sdtContent>
      </w:sdt>
      <w:r w:rsidRPr="00423D53">
        <w:rPr>
          <w:rFonts w:ascii="Segoe UI" w:hAnsi="Segoe UI" w:cs="Segoe UI"/>
          <w:sz w:val="22"/>
          <w:szCs w:val="22"/>
        </w:rPr>
        <w:t xml:space="preserve">. </w:t>
      </w:r>
    </w:p>
    <w:p w14:paraId="4C72FEDC" w14:textId="1FAB227D" w:rsidR="002D2DF7" w:rsidRPr="00423D53" w:rsidRDefault="002D2DF7" w:rsidP="00423D53">
      <w:pPr>
        <w:spacing w:after="120"/>
        <w:rPr>
          <w:rFonts w:ascii="Segoe UI" w:hAnsi="Segoe UI" w:cs="Segoe UI"/>
          <w:sz w:val="22"/>
          <w:szCs w:val="22"/>
        </w:rPr>
      </w:pPr>
      <w:r w:rsidRPr="00423D53">
        <w:rPr>
          <w:rFonts w:ascii="Segoe UI" w:hAnsi="Segoe UI" w:cs="Segoe UI"/>
          <w:sz w:val="22"/>
          <w:szCs w:val="22"/>
        </w:rPr>
        <w:t xml:space="preserve">Individuals may exhibit severe bleeding irrespective of FIX concentrations and require use of FIX for ongoing prophylaxis. It should also be noted that a subgroup of patients in the moderate severity categories has been specifically defined for the purpose of this PICO. Patients who have FIX concentrations between 1–2% (&lt;0.02 IU/mL) are considered as “moderately severe”, and this is a definition which is used in clinical trials </w:t>
      </w:r>
      <w:sdt>
        <w:sdtPr>
          <w:alias w:val="SmartCite Citation"/>
          <w:tag w:val="5e3f6b11-4472-4be6-89df-b5bd952cd979:bbc4472c-9949-42fe-a77a-b12edb5311aa+{&quot;items&quot;:{}}"/>
          <w:id w:val="1727267439"/>
        </w:sdtPr>
        <w:sdtEndPr/>
        <w:sdtContent>
          <w:r w:rsidR="00A852FE" w:rsidRPr="00A852FE">
            <w:rPr>
              <w:rFonts w:ascii="Segoe UI" w:eastAsia="Times New Roman" w:hAnsi="Segoe UI" w:cs="Segoe UI"/>
              <w:sz w:val="22"/>
            </w:rPr>
            <w:t>(</w:t>
          </w:r>
          <w:hyperlink w:anchor="bibRef04ced4d5b64f446568cbed5956329ed0f" w:history="1">
            <w:r w:rsidR="00A852FE" w:rsidRPr="00A852FE">
              <w:rPr>
                <w:rStyle w:val="Hyperlink"/>
                <w:rFonts w:ascii="Segoe UI" w:eastAsia="Times New Roman" w:hAnsi="Segoe UI" w:cs="Segoe UI"/>
                <w:sz w:val="22"/>
                <w:u w:val="none"/>
              </w:rPr>
              <w:t>ClinicalTrials.gov 2022</w:t>
            </w:r>
          </w:hyperlink>
          <w:r w:rsidR="00A852FE" w:rsidRPr="00A852FE">
            <w:rPr>
              <w:rFonts w:ascii="Segoe UI" w:eastAsia="Times New Roman" w:hAnsi="Segoe UI" w:cs="Segoe UI"/>
              <w:sz w:val="22"/>
            </w:rPr>
            <w:t>)</w:t>
          </w:r>
        </w:sdtContent>
      </w:sdt>
      <w:r w:rsidRPr="00423D53">
        <w:rPr>
          <w:rFonts w:ascii="Segoe UI" w:hAnsi="Segoe UI" w:cs="Segoe UI"/>
          <w:sz w:val="22"/>
          <w:szCs w:val="22"/>
        </w:rPr>
        <w:t xml:space="preserve">. Besides the FIX concentrations, patients with moderately severe </w:t>
      </w:r>
      <w:proofErr w:type="spellStart"/>
      <w:r w:rsidRPr="00423D53">
        <w:rPr>
          <w:rFonts w:ascii="Segoe UI" w:hAnsi="Segoe UI" w:cs="Segoe UI"/>
          <w:sz w:val="22"/>
          <w:szCs w:val="22"/>
        </w:rPr>
        <w:t>cHMB</w:t>
      </w:r>
      <w:proofErr w:type="spellEnd"/>
      <w:r w:rsidRPr="00423D53">
        <w:rPr>
          <w:rFonts w:ascii="Segoe UI" w:hAnsi="Segoe UI" w:cs="Segoe UI"/>
          <w:sz w:val="22"/>
          <w:szCs w:val="22"/>
        </w:rPr>
        <w:t xml:space="preserve"> experience frequent spontaneous bleeding, and their bleeding management may require more aggressive and intensive treatments. </w:t>
      </w:r>
      <w:r>
        <w:rPr>
          <w:rFonts w:ascii="Segoe UI" w:hAnsi="Segoe UI" w:cs="Segoe UI"/>
          <w:sz w:val="22"/>
          <w:szCs w:val="22"/>
        </w:rPr>
        <w:t xml:space="preserve">Table 1 </w:t>
      </w:r>
      <w:r w:rsidRPr="00423D53">
        <w:rPr>
          <w:rFonts w:ascii="Segoe UI" w:hAnsi="Segoe UI" w:cs="Segoe UI"/>
          <w:sz w:val="22"/>
          <w:szCs w:val="22"/>
        </w:rPr>
        <w:t xml:space="preserve">shows the classification of </w:t>
      </w:r>
      <w:proofErr w:type="spellStart"/>
      <w:r w:rsidRPr="00423D53">
        <w:rPr>
          <w:rFonts w:ascii="Segoe UI" w:hAnsi="Segoe UI" w:cs="Segoe UI"/>
          <w:sz w:val="22"/>
          <w:szCs w:val="22"/>
        </w:rPr>
        <w:t>cHMB</w:t>
      </w:r>
      <w:proofErr w:type="spellEnd"/>
      <w:r w:rsidRPr="00423D53">
        <w:rPr>
          <w:rFonts w:ascii="Segoe UI" w:hAnsi="Segoe UI" w:cs="Segoe UI"/>
          <w:sz w:val="22"/>
          <w:szCs w:val="22"/>
        </w:rPr>
        <w:t xml:space="preserve"> according to clinical severity, based on FIX clotting activity, symptoms and usual age of diagnosis. </w:t>
      </w:r>
    </w:p>
    <w:p w14:paraId="72A81DE7" w14:textId="77777777" w:rsidR="002D2DF7" w:rsidRPr="005B52AE" w:rsidRDefault="002D2DF7" w:rsidP="00423D53">
      <w:pPr>
        <w:pStyle w:val="Caption"/>
        <w:spacing w:before="240"/>
        <w:jc w:val="left"/>
        <w:rPr>
          <w:lang w:val="en-AU"/>
        </w:rPr>
      </w:pPr>
      <w:bookmarkStart w:id="0" w:name="_Ref128382357"/>
      <w:r w:rsidRPr="005B52AE">
        <w:rPr>
          <w:lang w:val="en-AU"/>
        </w:rPr>
        <w:lastRenderedPageBreak/>
        <w:t xml:space="preserve">Table </w:t>
      </w:r>
      <w:r>
        <w:rPr>
          <w:lang w:val="en-AU"/>
        </w:rPr>
        <w:t>1</w:t>
      </w:r>
      <w:bookmarkEnd w:id="0"/>
      <w:r w:rsidRPr="005B52AE">
        <w:rPr>
          <w:lang w:val="en-AU"/>
        </w:rPr>
        <w:tab/>
        <w:t>Classification of congenital haemophilia B</w:t>
      </w:r>
    </w:p>
    <w:tbl>
      <w:tblPr>
        <w:tblStyle w:val="TableTheme"/>
        <w:tblW w:w="9498" w:type="dxa"/>
        <w:tblLook w:val="04A0" w:firstRow="1" w:lastRow="0" w:firstColumn="1" w:lastColumn="0" w:noHBand="0" w:noVBand="1"/>
      </w:tblPr>
      <w:tblGrid>
        <w:gridCol w:w="1253"/>
        <w:gridCol w:w="1685"/>
        <w:gridCol w:w="4575"/>
        <w:gridCol w:w="1985"/>
      </w:tblGrid>
      <w:tr w:rsidR="002D2DF7" w:rsidRPr="005B52AE" w14:paraId="4EB896DC" w14:textId="77777777" w:rsidTr="000F29A6">
        <w:tc>
          <w:tcPr>
            <w:tcW w:w="1253" w:type="dxa"/>
            <w:tcBorders>
              <w:bottom w:val="single" w:sz="4" w:space="0" w:color="auto"/>
            </w:tcBorders>
            <w:shd w:val="clear" w:color="auto" w:fill="D9D9D9" w:themeFill="background1" w:themeFillShade="D9"/>
          </w:tcPr>
          <w:p w14:paraId="36901AE8" w14:textId="77777777" w:rsidR="002D2DF7" w:rsidRPr="00423D53" w:rsidRDefault="002D2DF7" w:rsidP="000F29A6">
            <w:pPr>
              <w:pStyle w:val="TableHeading"/>
              <w:jc w:val="left"/>
              <w:rPr>
                <w:rFonts w:asciiTheme="minorHAnsi" w:hAnsiTheme="minorHAnsi" w:cstheme="minorHAnsi"/>
              </w:rPr>
            </w:pPr>
            <w:r w:rsidRPr="00423D53">
              <w:rPr>
                <w:rFonts w:asciiTheme="minorHAnsi" w:hAnsiTheme="minorHAnsi" w:cstheme="minorHAnsi"/>
              </w:rPr>
              <w:t>Clinical severity</w:t>
            </w:r>
          </w:p>
        </w:tc>
        <w:tc>
          <w:tcPr>
            <w:tcW w:w="1685" w:type="dxa"/>
            <w:tcBorders>
              <w:bottom w:val="single" w:sz="4" w:space="0" w:color="auto"/>
            </w:tcBorders>
            <w:shd w:val="clear" w:color="auto" w:fill="D9D9D9" w:themeFill="background1" w:themeFillShade="D9"/>
          </w:tcPr>
          <w:p w14:paraId="51651703" w14:textId="77777777" w:rsidR="002D2DF7" w:rsidRPr="00423D53" w:rsidRDefault="002D2DF7" w:rsidP="000F29A6">
            <w:pPr>
              <w:pStyle w:val="TableHeading"/>
              <w:jc w:val="left"/>
              <w:rPr>
                <w:rFonts w:asciiTheme="minorHAnsi" w:hAnsiTheme="minorHAnsi" w:cstheme="minorHAnsi"/>
              </w:rPr>
            </w:pPr>
            <w:r w:rsidRPr="00423D53">
              <w:rPr>
                <w:rFonts w:asciiTheme="minorHAnsi" w:hAnsiTheme="minorHAnsi" w:cstheme="minorHAnsi"/>
              </w:rPr>
              <w:t>FIX clotting activity</w:t>
            </w:r>
          </w:p>
        </w:tc>
        <w:tc>
          <w:tcPr>
            <w:tcW w:w="4575" w:type="dxa"/>
            <w:tcBorders>
              <w:bottom w:val="single" w:sz="4" w:space="0" w:color="auto"/>
            </w:tcBorders>
            <w:shd w:val="clear" w:color="auto" w:fill="D9D9D9" w:themeFill="background1" w:themeFillShade="D9"/>
          </w:tcPr>
          <w:p w14:paraId="2E30BB09" w14:textId="77777777" w:rsidR="002D2DF7" w:rsidRPr="00423D53" w:rsidRDefault="002D2DF7" w:rsidP="000F29A6">
            <w:pPr>
              <w:pStyle w:val="TableHeading"/>
              <w:jc w:val="left"/>
              <w:rPr>
                <w:rFonts w:asciiTheme="minorHAnsi" w:hAnsiTheme="minorHAnsi" w:cstheme="minorHAnsi"/>
              </w:rPr>
            </w:pPr>
            <w:r w:rsidRPr="00423D53">
              <w:rPr>
                <w:rFonts w:asciiTheme="minorHAnsi" w:hAnsiTheme="minorHAnsi" w:cstheme="minorHAnsi"/>
              </w:rPr>
              <w:t>Symptoms</w:t>
            </w:r>
          </w:p>
        </w:tc>
        <w:tc>
          <w:tcPr>
            <w:tcW w:w="1985" w:type="dxa"/>
            <w:tcBorders>
              <w:bottom w:val="single" w:sz="4" w:space="0" w:color="auto"/>
            </w:tcBorders>
            <w:shd w:val="clear" w:color="auto" w:fill="D9D9D9" w:themeFill="background1" w:themeFillShade="D9"/>
          </w:tcPr>
          <w:p w14:paraId="1E842628" w14:textId="77777777" w:rsidR="002D2DF7" w:rsidRPr="00423D53" w:rsidRDefault="002D2DF7" w:rsidP="000F29A6">
            <w:pPr>
              <w:pStyle w:val="TableHeading"/>
              <w:jc w:val="left"/>
              <w:rPr>
                <w:rFonts w:asciiTheme="minorHAnsi" w:hAnsiTheme="minorHAnsi" w:cstheme="minorHAnsi"/>
              </w:rPr>
            </w:pPr>
            <w:r w:rsidRPr="00423D53">
              <w:rPr>
                <w:rFonts w:asciiTheme="minorHAnsi" w:hAnsiTheme="minorHAnsi" w:cstheme="minorHAnsi"/>
              </w:rPr>
              <w:t>Usual age of diagnosis</w:t>
            </w:r>
          </w:p>
        </w:tc>
      </w:tr>
      <w:tr w:rsidR="002D2DF7" w:rsidRPr="005B52AE" w14:paraId="009C178E" w14:textId="77777777" w:rsidTr="00423D53">
        <w:tc>
          <w:tcPr>
            <w:tcW w:w="1253" w:type="dxa"/>
            <w:tcBorders>
              <w:top w:val="single" w:sz="4" w:space="0" w:color="auto"/>
              <w:left w:val="single" w:sz="4" w:space="0" w:color="auto"/>
              <w:bottom w:val="single" w:sz="4" w:space="0" w:color="auto"/>
              <w:right w:val="single" w:sz="4" w:space="0" w:color="auto"/>
            </w:tcBorders>
            <w:shd w:val="clear" w:color="auto" w:fill="FFFFFF" w:themeFill="background1"/>
          </w:tcPr>
          <w:p w14:paraId="1A8056F5" w14:textId="77777777" w:rsidR="002D2DF7" w:rsidRPr="00423D53" w:rsidRDefault="002D2DF7" w:rsidP="000F29A6">
            <w:pPr>
              <w:pStyle w:val="Tabletext"/>
              <w:jc w:val="left"/>
              <w:rPr>
                <w:rFonts w:asciiTheme="minorHAnsi" w:hAnsiTheme="minorHAnsi" w:cstheme="minorHAnsi"/>
              </w:rPr>
            </w:pPr>
            <w:r w:rsidRPr="00423D53">
              <w:rPr>
                <w:rFonts w:asciiTheme="minorHAnsi" w:hAnsiTheme="minorHAnsi" w:cstheme="minorHAnsi"/>
              </w:rPr>
              <w:t>Severe</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14:paraId="4894B119" w14:textId="77777777" w:rsidR="002D2DF7" w:rsidRPr="00423D53" w:rsidRDefault="002D2DF7" w:rsidP="000F29A6">
            <w:pPr>
              <w:pStyle w:val="Tabletext"/>
              <w:jc w:val="left"/>
              <w:rPr>
                <w:rFonts w:asciiTheme="minorHAnsi" w:hAnsiTheme="minorHAnsi" w:cstheme="minorHAnsi"/>
              </w:rPr>
            </w:pPr>
            <w:r w:rsidRPr="00423D53">
              <w:rPr>
                <w:rFonts w:asciiTheme="minorHAnsi" w:hAnsiTheme="minorHAnsi" w:cstheme="minorHAnsi"/>
              </w:rPr>
              <w:t>&lt;1%</w:t>
            </w:r>
          </w:p>
          <w:p w14:paraId="0B5AD97D" w14:textId="77777777" w:rsidR="002D2DF7" w:rsidRPr="00423D53" w:rsidRDefault="002D2DF7" w:rsidP="000F29A6">
            <w:pPr>
              <w:pStyle w:val="Tabletext"/>
              <w:jc w:val="left"/>
              <w:rPr>
                <w:rFonts w:asciiTheme="minorHAnsi" w:hAnsiTheme="minorHAnsi" w:cstheme="minorHAnsi"/>
              </w:rPr>
            </w:pPr>
            <w:r w:rsidRPr="00423D53">
              <w:rPr>
                <w:rFonts w:asciiTheme="minorHAnsi" w:hAnsiTheme="minorHAnsi" w:cstheme="minorHAnsi"/>
              </w:rPr>
              <w:t>(&lt;0.01 IU/mL)</w:t>
            </w:r>
          </w:p>
        </w:tc>
        <w:tc>
          <w:tcPr>
            <w:tcW w:w="4575" w:type="dxa"/>
            <w:tcBorders>
              <w:top w:val="single" w:sz="4" w:space="0" w:color="auto"/>
              <w:left w:val="single" w:sz="4" w:space="0" w:color="auto"/>
              <w:bottom w:val="nil"/>
              <w:right w:val="single" w:sz="4" w:space="0" w:color="auto"/>
            </w:tcBorders>
            <w:shd w:val="clear" w:color="auto" w:fill="FFFFFF" w:themeFill="background1"/>
          </w:tcPr>
          <w:p w14:paraId="375635E0" w14:textId="77777777" w:rsidR="002D2DF7" w:rsidRPr="00423D53" w:rsidRDefault="002D2DF7" w:rsidP="00423D53">
            <w:pPr>
              <w:pStyle w:val="Tabletext"/>
              <w:jc w:val="left"/>
              <w:rPr>
                <w:rFonts w:asciiTheme="minorHAnsi" w:hAnsiTheme="minorHAnsi" w:cstheme="minorHAnsi"/>
              </w:rPr>
            </w:pPr>
            <w:r w:rsidRPr="00423D53">
              <w:rPr>
                <w:rFonts w:asciiTheme="minorHAnsi" w:hAnsiTheme="minorHAnsi" w:cstheme="minorHAnsi"/>
              </w:rPr>
              <w:t>Frequent spontaneous bleeding</w:t>
            </w:r>
          </w:p>
        </w:tc>
        <w:tc>
          <w:tcPr>
            <w:tcW w:w="1985" w:type="dxa"/>
            <w:tcBorders>
              <w:top w:val="single" w:sz="4" w:space="0" w:color="auto"/>
              <w:left w:val="single" w:sz="4" w:space="0" w:color="auto"/>
              <w:bottom w:val="nil"/>
              <w:right w:val="single" w:sz="4" w:space="0" w:color="auto"/>
            </w:tcBorders>
            <w:shd w:val="clear" w:color="auto" w:fill="FFFFFF" w:themeFill="background1"/>
          </w:tcPr>
          <w:p w14:paraId="015DA553" w14:textId="77777777" w:rsidR="002D2DF7" w:rsidRPr="00423D53" w:rsidRDefault="002D2DF7" w:rsidP="00423D53">
            <w:pPr>
              <w:pStyle w:val="Tabletext"/>
              <w:jc w:val="left"/>
              <w:rPr>
                <w:rFonts w:asciiTheme="minorHAnsi" w:hAnsiTheme="minorHAnsi" w:cstheme="minorHAnsi"/>
              </w:rPr>
            </w:pPr>
            <w:r w:rsidRPr="00423D53">
              <w:rPr>
                <w:rFonts w:asciiTheme="minorHAnsi" w:hAnsiTheme="minorHAnsi" w:cstheme="minorHAnsi"/>
              </w:rPr>
              <w:t>Age ≤2 years</w:t>
            </w:r>
          </w:p>
        </w:tc>
      </w:tr>
      <w:tr w:rsidR="002D2DF7" w:rsidRPr="005B52AE" w14:paraId="19818F31" w14:textId="77777777" w:rsidTr="00423D53">
        <w:tc>
          <w:tcPr>
            <w:tcW w:w="1253" w:type="dxa"/>
            <w:tcBorders>
              <w:top w:val="single" w:sz="4" w:space="0" w:color="auto"/>
              <w:left w:val="single" w:sz="4" w:space="0" w:color="auto"/>
              <w:bottom w:val="single" w:sz="4" w:space="0" w:color="auto"/>
              <w:right w:val="single" w:sz="4" w:space="0" w:color="auto"/>
            </w:tcBorders>
            <w:shd w:val="clear" w:color="auto" w:fill="FFFFFF" w:themeFill="background1"/>
          </w:tcPr>
          <w:p w14:paraId="7F40511D" w14:textId="77777777" w:rsidR="002D2DF7" w:rsidRPr="00423D53" w:rsidRDefault="002D2DF7" w:rsidP="000F29A6">
            <w:pPr>
              <w:pStyle w:val="Tabletext"/>
              <w:jc w:val="left"/>
              <w:rPr>
                <w:rFonts w:asciiTheme="minorHAnsi" w:hAnsiTheme="minorHAnsi" w:cstheme="minorHAnsi"/>
              </w:rPr>
            </w:pPr>
            <w:r w:rsidRPr="00423D53">
              <w:rPr>
                <w:rFonts w:asciiTheme="minorHAnsi" w:hAnsiTheme="minorHAnsi" w:cstheme="minorHAnsi"/>
              </w:rPr>
              <w:t>Moderately severe</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14:paraId="6174C984" w14:textId="77777777" w:rsidR="002D2DF7" w:rsidRPr="00423D53" w:rsidRDefault="002D2DF7" w:rsidP="000F29A6">
            <w:pPr>
              <w:pStyle w:val="Tabletext"/>
              <w:jc w:val="left"/>
              <w:rPr>
                <w:rFonts w:asciiTheme="minorHAnsi" w:hAnsiTheme="minorHAnsi" w:cstheme="minorHAnsi"/>
              </w:rPr>
            </w:pPr>
            <w:r w:rsidRPr="00423D53">
              <w:rPr>
                <w:rFonts w:asciiTheme="minorHAnsi" w:hAnsiTheme="minorHAnsi" w:cstheme="minorHAnsi"/>
              </w:rPr>
              <w:t>1–≤2%</w:t>
            </w:r>
          </w:p>
          <w:p w14:paraId="5863C7E9" w14:textId="77777777" w:rsidR="002D2DF7" w:rsidRPr="00423D53" w:rsidRDefault="002D2DF7" w:rsidP="000F29A6">
            <w:pPr>
              <w:pStyle w:val="Tabletext"/>
              <w:jc w:val="left"/>
              <w:rPr>
                <w:rFonts w:asciiTheme="minorHAnsi" w:hAnsiTheme="minorHAnsi" w:cstheme="minorHAnsi"/>
              </w:rPr>
            </w:pPr>
            <w:r w:rsidRPr="00423D53">
              <w:rPr>
                <w:rFonts w:asciiTheme="minorHAnsi" w:hAnsiTheme="minorHAnsi" w:cstheme="minorHAnsi"/>
              </w:rPr>
              <w:t>(&lt;0.02 IU/mL)</w:t>
            </w:r>
          </w:p>
        </w:tc>
        <w:tc>
          <w:tcPr>
            <w:tcW w:w="4575" w:type="dxa"/>
            <w:tcBorders>
              <w:top w:val="nil"/>
              <w:left w:val="single" w:sz="4" w:space="0" w:color="auto"/>
              <w:bottom w:val="single" w:sz="4" w:space="0" w:color="auto"/>
              <w:right w:val="single" w:sz="4" w:space="0" w:color="auto"/>
            </w:tcBorders>
            <w:shd w:val="clear" w:color="auto" w:fill="FFFFFF" w:themeFill="background1"/>
          </w:tcPr>
          <w:p w14:paraId="06F91242" w14:textId="77777777" w:rsidR="002D2DF7" w:rsidRPr="00423D53" w:rsidRDefault="002D2DF7" w:rsidP="00423D53">
            <w:pPr>
              <w:pStyle w:val="Tabletext"/>
              <w:jc w:val="left"/>
              <w:rPr>
                <w:rFonts w:asciiTheme="minorHAnsi" w:hAnsiTheme="minorHAnsi" w:cstheme="minorHAnsi"/>
                <w:i/>
                <w:iCs/>
              </w:rPr>
            </w:pPr>
            <w:r w:rsidRPr="00423D53">
              <w:rPr>
                <w:rFonts w:asciiTheme="minorHAnsi" w:hAnsiTheme="minorHAnsi" w:cstheme="minorHAnsi"/>
              </w:rPr>
              <w:t xml:space="preserve">Excessive and/or prolonged bleeding after minor injuries, surgery or tooth extractions, </w:t>
            </w:r>
            <w:r w:rsidRPr="00423D53">
              <w:rPr>
                <w:rFonts w:asciiTheme="minorHAnsi" w:hAnsiTheme="minorHAnsi" w:cstheme="minorHAnsi"/>
                <w:i/>
                <w:iCs/>
              </w:rPr>
              <w:t>used in the HOPE-B trial*</w:t>
            </w:r>
          </w:p>
        </w:tc>
        <w:tc>
          <w:tcPr>
            <w:tcW w:w="1985" w:type="dxa"/>
            <w:tcBorders>
              <w:top w:val="nil"/>
              <w:left w:val="single" w:sz="4" w:space="0" w:color="auto"/>
              <w:bottom w:val="single" w:sz="4" w:space="0" w:color="auto"/>
              <w:right w:val="single" w:sz="4" w:space="0" w:color="auto"/>
            </w:tcBorders>
            <w:shd w:val="clear" w:color="auto" w:fill="FFFFFF" w:themeFill="background1"/>
          </w:tcPr>
          <w:p w14:paraId="1C3E34F0" w14:textId="77777777" w:rsidR="002D2DF7" w:rsidRPr="00423D53" w:rsidRDefault="002D2DF7" w:rsidP="00423D53">
            <w:pPr>
              <w:pStyle w:val="Tabletext"/>
              <w:jc w:val="left"/>
              <w:rPr>
                <w:rFonts w:asciiTheme="minorHAnsi" w:hAnsiTheme="minorHAnsi" w:cstheme="minorHAnsi"/>
                <w:i/>
                <w:iCs/>
              </w:rPr>
            </w:pPr>
          </w:p>
        </w:tc>
      </w:tr>
      <w:tr w:rsidR="002D2DF7" w:rsidRPr="005B52AE" w14:paraId="090511D1" w14:textId="77777777" w:rsidTr="00423D53">
        <w:tc>
          <w:tcPr>
            <w:tcW w:w="1253" w:type="dxa"/>
            <w:tcBorders>
              <w:top w:val="single" w:sz="4" w:space="0" w:color="auto"/>
            </w:tcBorders>
          </w:tcPr>
          <w:p w14:paraId="1A5F0087" w14:textId="77777777" w:rsidR="002D2DF7" w:rsidRPr="00423D53" w:rsidRDefault="002D2DF7" w:rsidP="000F29A6">
            <w:pPr>
              <w:pStyle w:val="Tabletext"/>
              <w:jc w:val="left"/>
              <w:rPr>
                <w:rFonts w:asciiTheme="minorHAnsi" w:hAnsiTheme="minorHAnsi" w:cstheme="minorHAnsi"/>
              </w:rPr>
            </w:pPr>
            <w:r w:rsidRPr="00423D53">
              <w:rPr>
                <w:rFonts w:asciiTheme="minorHAnsi" w:hAnsiTheme="minorHAnsi" w:cstheme="minorHAnsi"/>
              </w:rPr>
              <w:t>Moderate</w:t>
            </w:r>
          </w:p>
        </w:tc>
        <w:tc>
          <w:tcPr>
            <w:tcW w:w="1685" w:type="dxa"/>
            <w:tcBorders>
              <w:top w:val="single" w:sz="4" w:space="0" w:color="auto"/>
            </w:tcBorders>
          </w:tcPr>
          <w:p w14:paraId="49A3F796" w14:textId="77777777" w:rsidR="002D2DF7" w:rsidRPr="00423D53" w:rsidRDefault="002D2DF7" w:rsidP="000F29A6">
            <w:pPr>
              <w:pStyle w:val="Tabletext"/>
              <w:jc w:val="left"/>
              <w:rPr>
                <w:rFonts w:asciiTheme="minorHAnsi" w:hAnsiTheme="minorHAnsi" w:cstheme="minorHAnsi"/>
              </w:rPr>
            </w:pPr>
            <w:r w:rsidRPr="00423D53">
              <w:rPr>
                <w:rFonts w:asciiTheme="minorHAnsi" w:hAnsiTheme="minorHAnsi" w:cstheme="minorHAnsi"/>
              </w:rPr>
              <w:t xml:space="preserve">1–5% </w:t>
            </w:r>
          </w:p>
          <w:p w14:paraId="325E0657" w14:textId="77777777" w:rsidR="002D2DF7" w:rsidRPr="00423D53" w:rsidRDefault="002D2DF7" w:rsidP="000F29A6">
            <w:pPr>
              <w:pStyle w:val="Tabletext"/>
              <w:jc w:val="left"/>
              <w:rPr>
                <w:rFonts w:asciiTheme="minorHAnsi" w:hAnsiTheme="minorHAnsi" w:cstheme="minorHAnsi"/>
              </w:rPr>
            </w:pPr>
            <w:r w:rsidRPr="00423D53">
              <w:rPr>
                <w:rFonts w:asciiTheme="minorHAnsi" w:hAnsiTheme="minorHAnsi" w:cstheme="minorHAnsi"/>
              </w:rPr>
              <w:t>(0.01–0.05 IU/mL)</w:t>
            </w:r>
          </w:p>
        </w:tc>
        <w:tc>
          <w:tcPr>
            <w:tcW w:w="4575" w:type="dxa"/>
            <w:tcBorders>
              <w:top w:val="single" w:sz="4" w:space="0" w:color="auto"/>
            </w:tcBorders>
          </w:tcPr>
          <w:p w14:paraId="5C261112" w14:textId="77777777" w:rsidR="002D2DF7" w:rsidRPr="00423D53" w:rsidRDefault="002D2DF7" w:rsidP="00423D53">
            <w:pPr>
              <w:pStyle w:val="Tabletext"/>
              <w:jc w:val="left"/>
              <w:rPr>
                <w:rFonts w:asciiTheme="minorHAnsi" w:hAnsiTheme="minorHAnsi" w:cstheme="minorHAnsi"/>
              </w:rPr>
            </w:pPr>
            <w:r w:rsidRPr="00423D53">
              <w:rPr>
                <w:rFonts w:asciiTheme="minorHAnsi" w:hAnsiTheme="minorHAnsi" w:cstheme="minorHAnsi"/>
              </w:rPr>
              <w:t>Rare spontaneous bleeding</w:t>
            </w:r>
          </w:p>
          <w:p w14:paraId="3B69B4BC" w14:textId="77777777" w:rsidR="002D2DF7" w:rsidRPr="00423D53" w:rsidRDefault="002D2DF7" w:rsidP="00423D53">
            <w:pPr>
              <w:pStyle w:val="Tabletext"/>
              <w:jc w:val="left"/>
              <w:rPr>
                <w:rFonts w:asciiTheme="minorHAnsi" w:hAnsiTheme="minorHAnsi" w:cstheme="minorHAnsi"/>
              </w:rPr>
            </w:pPr>
            <w:r w:rsidRPr="00423D53">
              <w:rPr>
                <w:rFonts w:asciiTheme="minorHAnsi" w:hAnsiTheme="minorHAnsi" w:cstheme="minorHAnsi"/>
              </w:rPr>
              <w:t>Excessive and/or prolonged bleeding after minor injuries, surgery or tooth extractions</w:t>
            </w:r>
          </w:p>
        </w:tc>
        <w:tc>
          <w:tcPr>
            <w:tcW w:w="1985" w:type="dxa"/>
            <w:tcBorders>
              <w:top w:val="single" w:sz="4" w:space="0" w:color="auto"/>
            </w:tcBorders>
          </w:tcPr>
          <w:p w14:paraId="614757ED" w14:textId="77777777" w:rsidR="002D2DF7" w:rsidRPr="00423D53" w:rsidRDefault="002D2DF7" w:rsidP="00423D53">
            <w:pPr>
              <w:pStyle w:val="Tabletext"/>
              <w:jc w:val="left"/>
              <w:rPr>
                <w:rFonts w:asciiTheme="minorHAnsi" w:hAnsiTheme="minorHAnsi" w:cstheme="minorHAnsi"/>
              </w:rPr>
            </w:pPr>
            <w:r w:rsidRPr="00423D53">
              <w:rPr>
                <w:rFonts w:asciiTheme="minorHAnsi" w:hAnsiTheme="minorHAnsi" w:cstheme="minorHAnsi"/>
              </w:rPr>
              <w:t>Age &lt;5-6 years</w:t>
            </w:r>
          </w:p>
        </w:tc>
      </w:tr>
      <w:tr w:rsidR="002D2DF7" w:rsidRPr="005B52AE" w14:paraId="607EEB90" w14:textId="77777777" w:rsidTr="00423D53">
        <w:tc>
          <w:tcPr>
            <w:tcW w:w="1253" w:type="dxa"/>
          </w:tcPr>
          <w:p w14:paraId="228935ED" w14:textId="77777777" w:rsidR="002D2DF7" w:rsidRPr="00423D53" w:rsidRDefault="002D2DF7" w:rsidP="000F29A6">
            <w:pPr>
              <w:pStyle w:val="Tabletext"/>
              <w:jc w:val="left"/>
              <w:rPr>
                <w:rFonts w:asciiTheme="minorHAnsi" w:hAnsiTheme="minorHAnsi" w:cstheme="minorHAnsi"/>
              </w:rPr>
            </w:pPr>
            <w:r w:rsidRPr="00423D53">
              <w:rPr>
                <w:rFonts w:asciiTheme="minorHAnsi" w:hAnsiTheme="minorHAnsi" w:cstheme="minorHAnsi"/>
              </w:rPr>
              <w:t>Mild</w:t>
            </w:r>
          </w:p>
        </w:tc>
        <w:tc>
          <w:tcPr>
            <w:tcW w:w="1685" w:type="dxa"/>
          </w:tcPr>
          <w:p w14:paraId="04E68504" w14:textId="77777777" w:rsidR="002D2DF7" w:rsidRPr="00423D53" w:rsidRDefault="002D2DF7" w:rsidP="000F29A6">
            <w:pPr>
              <w:pStyle w:val="Tabletext"/>
              <w:jc w:val="left"/>
              <w:rPr>
                <w:rFonts w:asciiTheme="minorHAnsi" w:hAnsiTheme="minorHAnsi" w:cstheme="minorHAnsi"/>
              </w:rPr>
            </w:pPr>
            <w:r w:rsidRPr="00423D53">
              <w:rPr>
                <w:rFonts w:asciiTheme="minorHAnsi" w:hAnsiTheme="minorHAnsi" w:cstheme="minorHAnsi"/>
              </w:rPr>
              <w:t xml:space="preserve">&gt;5–&lt;40% </w:t>
            </w:r>
          </w:p>
          <w:p w14:paraId="1A899B9C" w14:textId="77777777" w:rsidR="002D2DF7" w:rsidRPr="00423D53" w:rsidRDefault="002D2DF7" w:rsidP="000F29A6">
            <w:pPr>
              <w:pStyle w:val="Tabletext"/>
              <w:jc w:val="left"/>
              <w:rPr>
                <w:rFonts w:asciiTheme="minorHAnsi" w:hAnsiTheme="minorHAnsi" w:cstheme="minorHAnsi"/>
              </w:rPr>
            </w:pPr>
            <w:r w:rsidRPr="00423D53">
              <w:rPr>
                <w:rFonts w:asciiTheme="minorHAnsi" w:hAnsiTheme="minorHAnsi" w:cstheme="minorHAnsi"/>
              </w:rPr>
              <w:t>(&gt;0.05–0.4 IU/mL)</w:t>
            </w:r>
          </w:p>
        </w:tc>
        <w:tc>
          <w:tcPr>
            <w:tcW w:w="4575" w:type="dxa"/>
          </w:tcPr>
          <w:p w14:paraId="2C236925" w14:textId="77777777" w:rsidR="002D2DF7" w:rsidRPr="00423D53" w:rsidRDefault="002D2DF7" w:rsidP="00423D53">
            <w:pPr>
              <w:pStyle w:val="Tabletext"/>
              <w:jc w:val="left"/>
              <w:rPr>
                <w:rFonts w:asciiTheme="minorHAnsi" w:hAnsiTheme="minorHAnsi" w:cstheme="minorHAnsi"/>
              </w:rPr>
            </w:pPr>
            <w:r w:rsidRPr="00423D53">
              <w:rPr>
                <w:rFonts w:asciiTheme="minorHAnsi" w:hAnsiTheme="minorHAnsi" w:cstheme="minorHAnsi"/>
              </w:rPr>
              <w:t>No spontaneous bleeding</w:t>
            </w:r>
          </w:p>
          <w:p w14:paraId="65857021" w14:textId="77777777" w:rsidR="002D2DF7" w:rsidRPr="00423D53" w:rsidRDefault="002D2DF7" w:rsidP="00423D53">
            <w:pPr>
              <w:pStyle w:val="Tabletext"/>
              <w:jc w:val="left"/>
              <w:rPr>
                <w:rFonts w:asciiTheme="minorHAnsi" w:hAnsiTheme="minorHAnsi" w:cstheme="minorHAnsi"/>
              </w:rPr>
            </w:pPr>
            <w:r w:rsidRPr="00423D53">
              <w:rPr>
                <w:rFonts w:asciiTheme="minorHAnsi" w:hAnsiTheme="minorHAnsi" w:cstheme="minorHAnsi"/>
              </w:rPr>
              <w:t>Excessive and/or prolonged bleeding after major injuries, surgery or tooth extractions</w:t>
            </w:r>
          </w:p>
        </w:tc>
        <w:tc>
          <w:tcPr>
            <w:tcW w:w="1985" w:type="dxa"/>
          </w:tcPr>
          <w:p w14:paraId="4B2B8AF6" w14:textId="77777777" w:rsidR="002D2DF7" w:rsidRPr="00423D53" w:rsidRDefault="002D2DF7" w:rsidP="00423D53">
            <w:pPr>
              <w:pStyle w:val="Tabletext"/>
              <w:jc w:val="left"/>
              <w:rPr>
                <w:rFonts w:asciiTheme="minorHAnsi" w:hAnsiTheme="minorHAnsi" w:cstheme="minorHAnsi"/>
              </w:rPr>
            </w:pPr>
            <w:r w:rsidRPr="00423D53">
              <w:rPr>
                <w:rFonts w:asciiTheme="minorHAnsi" w:hAnsiTheme="minorHAnsi" w:cstheme="minorHAnsi"/>
              </w:rPr>
              <w:t>Often later in life, depending on haemostasis challenges</w:t>
            </w:r>
          </w:p>
        </w:tc>
      </w:tr>
    </w:tbl>
    <w:p w14:paraId="001FD83F" w14:textId="77777777" w:rsidR="002D2DF7" w:rsidRPr="005B52AE" w:rsidRDefault="002D2DF7" w:rsidP="00423D53">
      <w:pPr>
        <w:pStyle w:val="Tablenotes"/>
        <w:jc w:val="left"/>
        <w:rPr>
          <w:lang w:eastAsia="en-AU"/>
        </w:rPr>
      </w:pPr>
      <w:r w:rsidRPr="005B52AE">
        <w:rPr>
          <w:b/>
          <w:bCs/>
          <w:lang w:eastAsia="en-AU"/>
        </w:rPr>
        <w:t>Abbreviations:</w:t>
      </w:r>
      <w:r w:rsidRPr="005B52AE">
        <w:rPr>
          <w:lang w:eastAsia="en-AU"/>
        </w:rPr>
        <w:t xml:space="preserve"> </w:t>
      </w:r>
      <w:r w:rsidRPr="005B52AE">
        <w:rPr>
          <w:b/>
          <w:bCs/>
          <w:lang w:eastAsia="en-AU"/>
        </w:rPr>
        <w:t>FIX</w:t>
      </w:r>
      <w:r w:rsidRPr="005B52AE">
        <w:rPr>
          <w:lang w:eastAsia="en-AU"/>
        </w:rPr>
        <w:t xml:space="preserve"> = factor IX; </w:t>
      </w:r>
      <w:r w:rsidRPr="005B52AE">
        <w:rPr>
          <w:b/>
          <w:bCs/>
          <w:lang w:eastAsia="en-AU"/>
        </w:rPr>
        <w:t>IU</w:t>
      </w:r>
      <w:r w:rsidRPr="005B52AE">
        <w:rPr>
          <w:lang w:eastAsia="en-AU"/>
        </w:rPr>
        <w:t xml:space="preserve"> = international units</w:t>
      </w:r>
    </w:p>
    <w:p w14:paraId="60B78FB3" w14:textId="45B0CAEA" w:rsidR="002D2DF7" w:rsidRPr="005B52AE" w:rsidRDefault="002D2DF7" w:rsidP="00423D53">
      <w:pPr>
        <w:pStyle w:val="Tablenotes"/>
        <w:jc w:val="left"/>
        <w:rPr>
          <w:lang w:eastAsia="en-AU"/>
        </w:rPr>
      </w:pPr>
      <w:r w:rsidRPr="008A7597">
        <w:rPr>
          <w:b/>
          <w:bCs/>
          <w:lang w:eastAsia="en-AU"/>
        </w:rPr>
        <w:t>Notes:</w:t>
      </w:r>
      <w:r w:rsidRPr="005B52AE">
        <w:rPr>
          <w:lang w:eastAsia="en-AU"/>
        </w:rPr>
        <w:t xml:space="preserve"> </w:t>
      </w:r>
      <w:r>
        <w:rPr>
          <w:lang w:eastAsia="en-AU"/>
        </w:rPr>
        <w:t xml:space="preserve">* = </w:t>
      </w:r>
      <w:r w:rsidRPr="005B52AE">
        <w:rPr>
          <w:lang w:eastAsia="en-AU"/>
        </w:rPr>
        <w:t xml:space="preserve">Not part of historical haemophilia categorisation but was used as an inclusion criterion in the HOPE-B trial </w:t>
      </w:r>
      <w:sdt>
        <w:sdtPr>
          <w:alias w:val="SmartCite Citation"/>
          <w:tag w:val="5e3f6b11-4472-4be6-89df-b5bd952cd979:bbc4472c-9949-42fe-a77a-b12edb5311aa+{&quot;items&quot;:{}}"/>
          <w:id w:val="-1226365320"/>
        </w:sdtPr>
        <w:sdtEndPr/>
        <w:sdtContent>
          <w:r w:rsidR="00A852FE" w:rsidRPr="00A852FE">
            <w:t>(</w:t>
          </w:r>
          <w:hyperlink w:anchor="bibRef04ced4d5b64f446568cbed5956329ed0f" w:history="1">
            <w:r w:rsidR="00A852FE" w:rsidRPr="00A852FE">
              <w:rPr>
                <w:rStyle w:val="Hyperlink"/>
                <w:u w:val="none"/>
              </w:rPr>
              <w:t>ClinicalTrials.gov 2022</w:t>
            </w:r>
          </w:hyperlink>
          <w:r w:rsidR="00A852FE" w:rsidRPr="00A852FE">
            <w:t>)</w:t>
          </w:r>
        </w:sdtContent>
      </w:sdt>
      <w:r w:rsidRPr="005B52AE">
        <w:rPr>
          <w:lang w:eastAsia="en-AU"/>
        </w:rPr>
        <w:t>.</w:t>
      </w:r>
    </w:p>
    <w:p w14:paraId="025621C3" w14:textId="34689B47" w:rsidR="002D2DF7" w:rsidRPr="002D2DF7" w:rsidRDefault="002D2DF7" w:rsidP="002D2DF7">
      <w:pPr>
        <w:pStyle w:val="Tablenotes"/>
        <w:jc w:val="left"/>
        <w:rPr>
          <w:lang w:eastAsia="en-AU"/>
        </w:rPr>
      </w:pPr>
      <w:r w:rsidRPr="005B52AE">
        <w:rPr>
          <w:b/>
          <w:bCs/>
          <w:lang w:eastAsia="en-AU"/>
        </w:rPr>
        <w:t>Sources:</w:t>
      </w:r>
      <w:r w:rsidRPr="005B52AE">
        <w:rPr>
          <w:lang w:eastAsia="en-AU"/>
        </w:rPr>
        <w:t xml:space="preserve"> </w:t>
      </w:r>
      <w:sdt>
        <w:sdtPr>
          <w:alias w:val="SmartCite Citation"/>
          <w:tag w:val="5e3f6b11-4472-4be6-89df-b5bd952cd979:78eef1b1-01c0-4eb6-950e-079df7762f77,5e3f6b11-4472-4be6-89df-b5bd952cd979:bbc4472c-9949-42fe-a77a-b12edb5311aa,5e3f6b11-4472-4be6-89df-b5bd952cd979:4e597c5b-bb14-422f-8646-9b5dc1eb046e+{&quot;items&quot;:{}}"/>
          <w:id w:val="330651826"/>
        </w:sdtPr>
        <w:sdtEndPr/>
        <w:sdtContent>
          <w:r w:rsidR="00A852FE" w:rsidRPr="00A852FE">
            <w:t>(</w:t>
          </w:r>
          <w:hyperlink w:anchor="bibRef021c96848442b454f90aa2bdf46bf774b" w:history="1">
            <w:r w:rsidR="00A852FE" w:rsidRPr="00A852FE">
              <w:rPr>
                <w:rStyle w:val="Hyperlink"/>
                <w:u w:val="none"/>
              </w:rPr>
              <w:t>Konkle and Fletcher 1993</w:t>
            </w:r>
          </w:hyperlink>
          <w:r w:rsidR="00A852FE" w:rsidRPr="00A852FE">
            <w:t xml:space="preserve">; </w:t>
          </w:r>
          <w:hyperlink w:anchor="bibRef03eac6194b47a49e5b421a7c97c5c3cd7" w:history="1">
            <w:r w:rsidR="00A852FE" w:rsidRPr="00A852FE">
              <w:rPr>
                <w:rStyle w:val="Hyperlink"/>
                <w:u w:val="none"/>
              </w:rPr>
              <w:t>Srivastava et al. 2020</w:t>
            </w:r>
          </w:hyperlink>
          <w:r w:rsidR="00A852FE" w:rsidRPr="00A852FE">
            <w:t xml:space="preserve">; </w:t>
          </w:r>
          <w:hyperlink w:anchor="bibRef04ced4d5b64f446568cbed5956329ed0f" w:history="1">
            <w:r w:rsidR="00A852FE" w:rsidRPr="00A852FE">
              <w:rPr>
                <w:rStyle w:val="Hyperlink"/>
                <w:u w:val="none"/>
              </w:rPr>
              <w:t>ClinicalTrials.gov 2022</w:t>
            </w:r>
          </w:hyperlink>
          <w:r w:rsidR="00A852FE" w:rsidRPr="00A852FE">
            <w:t>)</w:t>
          </w:r>
        </w:sdtContent>
      </w:sdt>
    </w:p>
    <w:p w14:paraId="3D59E652" w14:textId="77777777" w:rsidR="002D2DF7" w:rsidRDefault="002D2DF7" w:rsidP="00AD39FA">
      <w:pPr>
        <w:pStyle w:val="Heading2"/>
      </w:pPr>
      <w:r w:rsidRPr="00EC7BD5">
        <w:t>Specify any characteristics of patients with the medical condition, or suspected of, who are proposed to be eligible for the proposed health technology, describing how a patient would be investigated, managed and referred within the Australian health care system in the lead up to being considered eligible for the technology:</w:t>
      </w:r>
    </w:p>
    <w:p w14:paraId="3CE59F46" w14:textId="77777777" w:rsidR="002D2DF7" w:rsidRPr="00D801B8" w:rsidRDefault="002D2DF7" w:rsidP="00D801B8">
      <w:pPr>
        <w:spacing w:after="0"/>
      </w:pPr>
    </w:p>
    <w:p w14:paraId="501C15D9" w14:textId="77777777" w:rsidR="002D2DF7" w:rsidRPr="00AD39FA" w:rsidRDefault="002D2DF7" w:rsidP="00AD39FA">
      <w:pPr>
        <w:rPr>
          <w:rFonts w:ascii="Segoe UI" w:hAnsi="Segoe UI" w:cs="Segoe UI"/>
          <w:sz w:val="22"/>
          <w:szCs w:val="22"/>
        </w:rPr>
      </w:pPr>
      <w:r w:rsidRPr="00AD39FA">
        <w:rPr>
          <w:rFonts w:ascii="Segoe UI" w:hAnsi="Segoe UI" w:cs="Segoe UI"/>
          <w:sz w:val="22"/>
          <w:szCs w:val="22"/>
        </w:rPr>
        <w:t xml:space="preserve">Australian haemophilia B patients are managed via haemophilia treatment centres (HTC), located in select tertiary hospitals in the major cities (19 in total across the country, with 7 specialising in paediatric patients). The HTCs are staffed by haematologists, nurses, allied health, and medical scientists who specialise in treating haemophilia. All existing adult HTCs nationally will be designated as Hub or Spoke sites with individual and shared responsibilities. </w:t>
      </w:r>
    </w:p>
    <w:p w14:paraId="607F025E" w14:textId="77777777" w:rsidR="002D2DF7" w:rsidRPr="00AD39FA" w:rsidRDefault="002D2DF7" w:rsidP="00EC7BD5">
      <w:pPr>
        <w:rPr>
          <w:rFonts w:ascii="Segoe UI" w:hAnsi="Segoe UI" w:cs="Segoe UI"/>
          <w:sz w:val="22"/>
          <w:szCs w:val="22"/>
        </w:rPr>
      </w:pPr>
      <w:r w:rsidRPr="00AD39FA">
        <w:rPr>
          <w:rFonts w:ascii="Segoe UI" w:hAnsi="Segoe UI" w:cs="Segoe UI"/>
          <w:sz w:val="22"/>
          <w:szCs w:val="22"/>
        </w:rPr>
        <w:t xml:space="preserve">As per to the (Australian Haemophilia Centre Director’s Organisation (AHCDO) Clinical Implementation Plan, assessment of suitability for </w:t>
      </w:r>
      <w:proofErr w:type="spellStart"/>
      <w:r w:rsidRPr="00AD39FA">
        <w:rPr>
          <w:rFonts w:ascii="Segoe UI" w:hAnsi="Segoe UI" w:cs="Segoe UI"/>
          <w:sz w:val="22"/>
          <w:szCs w:val="22"/>
        </w:rPr>
        <w:t>Hemgenix</w:t>
      </w:r>
      <w:proofErr w:type="spellEnd"/>
      <w:r w:rsidRPr="00AD39FA">
        <w:rPr>
          <w:rFonts w:ascii="Segoe UI" w:hAnsi="Segoe UI" w:cs="Segoe UI"/>
          <w:sz w:val="22"/>
          <w:szCs w:val="22"/>
        </w:rPr>
        <w:t>, including AAV5 antibody testing, administration of the therapy and subsequent follow-up, is expected to be conducted exclusively within an established HTC setting</w:t>
      </w:r>
      <w:r>
        <w:rPr>
          <w:rFonts w:ascii="Segoe UI" w:hAnsi="Segoe UI" w:cs="Segoe UI"/>
          <w:sz w:val="22"/>
          <w:szCs w:val="22"/>
        </w:rPr>
        <w:t xml:space="preserve">. </w:t>
      </w:r>
    </w:p>
    <w:p w14:paraId="038AB681" w14:textId="77777777" w:rsidR="002D2DF7" w:rsidRDefault="002D2DF7" w:rsidP="00EC7BD5">
      <w:pPr>
        <w:pStyle w:val="Heading2"/>
      </w:pPr>
      <w:r w:rsidRPr="00EC7BD5">
        <w:t>Provide a rationale for the specifics of the eligible population:</w:t>
      </w:r>
    </w:p>
    <w:p w14:paraId="7B882AFB" w14:textId="77777777" w:rsidR="002D2DF7" w:rsidRPr="00D801B8" w:rsidRDefault="002D2DF7" w:rsidP="00D801B8">
      <w:pPr>
        <w:spacing w:after="0"/>
      </w:pPr>
    </w:p>
    <w:p w14:paraId="31E5E143" w14:textId="0F33D58A" w:rsidR="002D2DF7" w:rsidRPr="00AA1625" w:rsidRDefault="002D2DF7" w:rsidP="00AD39FA">
      <w:pPr>
        <w:rPr>
          <w:rFonts w:ascii="Segoe UI" w:hAnsi="Segoe UI" w:cs="Segoe UI"/>
          <w:i/>
          <w:sz w:val="22"/>
          <w:szCs w:val="22"/>
        </w:rPr>
      </w:pPr>
      <w:r w:rsidRPr="00AA1625">
        <w:rPr>
          <w:rFonts w:ascii="Segoe UI" w:hAnsi="Segoe UI" w:cs="Segoe UI"/>
          <w:sz w:val="22"/>
          <w:szCs w:val="22"/>
        </w:rPr>
        <w:t xml:space="preserve">In adult patients with </w:t>
      </w:r>
      <w:proofErr w:type="spellStart"/>
      <w:r w:rsidRPr="00AA1625">
        <w:rPr>
          <w:rFonts w:ascii="Segoe UI" w:hAnsi="Segoe UI" w:cs="Segoe UI"/>
          <w:sz w:val="22"/>
          <w:szCs w:val="22"/>
        </w:rPr>
        <w:t>cHMB</w:t>
      </w:r>
      <w:proofErr w:type="spellEnd"/>
      <w:r w:rsidRPr="00AA1625">
        <w:rPr>
          <w:rFonts w:ascii="Segoe UI" w:hAnsi="Segoe UI" w:cs="Segoe UI"/>
          <w:sz w:val="22"/>
          <w:szCs w:val="22"/>
        </w:rPr>
        <w:t xml:space="preserve">, the objective of </w:t>
      </w:r>
      <w:proofErr w:type="spellStart"/>
      <w:r w:rsidRPr="00AA1625">
        <w:rPr>
          <w:rFonts w:ascii="Segoe UI" w:hAnsi="Segoe UI" w:cs="Segoe UI"/>
          <w:sz w:val="22"/>
          <w:szCs w:val="22"/>
        </w:rPr>
        <w:t>Hemgenix</w:t>
      </w:r>
      <w:proofErr w:type="spellEnd"/>
      <w:r w:rsidRPr="00AD39FA">
        <w:rPr>
          <w:rFonts w:ascii="Segoe UI" w:eastAsia="Segoe UI" w:hAnsi="Segoe UI" w:cs="Segoe UI"/>
          <w:color w:val="000000"/>
          <w:sz w:val="22"/>
          <w:szCs w:val="22"/>
        </w:rPr>
        <w:t>®</w:t>
      </w:r>
      <w:r w:rsidRPr="00AA1625" w:rsidDel="00094180">
        <w:rPr>
          <w:rFonts w:ascii="Segoe UI" w:hAnsi="Segoe UI" w:cs="Segoe UI"/>
          <w:sz w:val="22"/>
          <w:szCs w:val="22"/>
        </w:rPr>
        <w:t xml:space="preserve"> </w:t>
      </w:r>
      <w:r w:rsidRPr="00AA1625">
        <w:rPr>
          <w:rFonts w:ascii="Segoe UI" w:hAnsi="Segoe UI" w:cs="Segoe UI"/>
          <w:sz w:val="22"/>
          <w:szCs w:val="22"/>
        </w:rPr>
        <w:t>is to enable FIX production at a level high enough</w:t>
      </w:r>
      <w:r>
        <w:rPr>
          <w:rFonts w:ascii="Segoe UI" w:hAnsi="Segoe UI" w:cs="Segoe UI"/>
          <w:sz w:val="22"/>
          <w:szCs w:val="22"/>
        </w:rPr>
        <w:t xml:space="preserve"> to reduce bleeding rates,</w:t>
      </w:r>
      <w:r w:rsidRPr="00AA1625">
        <w:rPr>
          <w:rFonts w:ascii="Segoe UI" w:hAnsi="Segoe UI" w:cs="Segoe UI"/>
          <w:sz w:val="22"/>
          <w:szCs w:val="22"/>
        </w:rPr>
        <w:t xml:space="preserve"> to allow for discontinuation of routine prophylactic FIX replacement therapy and to greatly reduce the need for on-demand FIX therapy </w:t>
      </w:r>
      <w:sdt>
        <w:sdtPr>
          <w:alias w:val="SmartCite Citation"/>
          <w:tag w:val="5e3f6b11-4472-4be6-89df-b5bd952cd979:7fd58518-94a2-4834-9635-71dda7843fc9+{&quot;items&quot;:{}}"/>
          <w:id w:val="-13921193"/>
        </w:sdtPr>
        <w:sdtEndPr/>
        <w:sdtContent>
          <w:r w:rsidR="00A852FE" w:rsidRPr="00A852FE">
            <w:rPr>
              <w:rFonts w:ascii="Segoe UI" w:eastAsia="Times New Roman" w:hAnsi="Segoe UI" w:cs="Segoe UI"/>
              <w:sz w:val="22"/>
            </w:rPr>
            <w:t>(</w:t>
          </w:r>
          <w:hyperlink w:anchor="bibRef00d27c0be0cf842249a7b0190f7e8e5e0" w:history="1">
            <w:r w:rsidR="00A852FE" w:rsidRPr="00A852FE">
              <w:rPr>
                <w:rStyle w:val="Hyperlink"/>
                <w:rFonts w:ascii="Segoe UI" w:eastAsia="Times New Roman" w:hAnsi="Segoe UI" w:cs="Segoe UI"/>
                <w:sz w:val="22"/>
                <w:u w:val="none"/>
              </w:rPr>
              <w:t>Thornburg 2021</w:t>
            </w:r>
          </w:hyperlink>
          <w:r w:rsidR="00A852FE" w:rsidRPr="00A852FE">
            <w:rPr>
              <w:rFonts w:ascii="Segoe UI" w:eastAsia="Times New Roman" w:hAnsi="Segoe UI" w:cs="Segoe UI"/>
              <w:sz w:val="22"/>
            </w:rPr>
            <w:t>)</w:t>
          </w:r>
        </w:sdtContent>
      </w:sdt>
      <w:r w:rsidRPr="00AA1625">
        <w:rPr>
          <w:rFonts w:ascii="Segoe UI" w:hAnsi="Segoe UI" w:cs="Segoe UI"/>
          <w:sz w:val="22"/>
          <w:szCs w:val="22"/>
        </w:rPr>
        <w:t xml:space="preserve">. </w:t>
      </w:r>
    </w:p>
    <w:p w14:paraId="5AFF8767" w14:textId="77777777" w:rsidR="002D2DF7" w:rsidRPr="00AD39FA" w:rsidRDefault="002D2DF7" w:rsidP="00AD39FA">
      <w:pPr>
        <w:rPr>
          <w:rFonts w:ascii="Segoe UI" w:hAnsi="Segoe UI" w:cs="Segoe UI"/>
          <w:sz w:val="22"/>
          <w:szCs w:val="22"/>
        </w:rPr>
      </w:pPr>
      <w:r w:rsidRPr="00AD39FA">
        <w:rPr>
          <w:rFonts w:ascii="Segoe UI" w:hAnsi="Segoe UI" w:cs="Segoe UI"/>
          <w:sz w:val="22"/>
          <w:szCs w:val="22"/>
        </w:rPr>
        <w:t>The eligible</w:t>
      </w:r>
      <w:r>
        <w:rPr>
          <w:rFonts w:ascii="Segoe UI" w:hAnsi="Segoe UI" w:cs="Segoe UI"/>
          <w:sz w:val="22"/>
          <w:szCs w:val="22"/>
        </w:rPr>
        <w:t xml:space="preserve"> </w:t>
      </w:r>
      <w:r w:rsidRPr="00AD39FA">
        <w:rPr>
          <w:rFonts w:ascii="Segoe UI" w:hAnsi="Segoe UI" w:cs="Segoe UI"/>
          <w:sz w:val="22"/>
          <w:szCs w:val="22"/>
        </w:rPr>
        <w:t xml:space="preserve">population is aligned to the TGA indication and population investigated in clinical trial for </w:t>
      </w:r>
      <w:proofErr w:type="spellStart"/>
      <w:r w:rsidRPr="00AD39FA">
        <w:rPr>
          <w:rFonts w:ascii="Segoe UI" w:hAnsi="Segoe UI" w:cs="Segoe UI"/>
          <w:sz w:val="22"/>
          <w:szCs w:val="22"/>
        </w:rPr>
        <w:t>Hemgenix</w:t>
      </w:r>
      <w:proofErr w:type="spellEnd"/>
      <w:r w:rsidRPr="00AD39FA">
        <w:rPr>
          <w:rFonts w:ascii="Segoe UI" w:hAnsi="Segoe UI" w:cs="Segoe UI"/>
          <w:sz w:val="22"/>
          <w:szCs w:val="22"/>
        </w:rPr>
        <w:t>® (</w:t>
      </w:r>
      <w:proofErr w:type="spellStart"/>
      <w:r w:rsidRPr="00AD39FA">
        <w:rPr>
          <w:rFonts w:ascii="Segoe UI" w:hAnsi="Segoe UI" w:cs="Segoe UI"/>
          <w:sz w:val="22"/>
          <w:szCs w:val="22"/>
        </w:rPr>
        <w:t>etranacogene</w:t>
      </w:r>
      <w:proofErr w:type="spellEnd"/>
      <w:r w:rsidRPr="00AD39FA">
        <w:rPr>
          <w:rFonts w:ascii="Segoe UI" w:hAnsi="Segoe UI" w:cs="Segoe UI"/>
          <w:sz w:val="22"/>
          <w:szCs w:val="22"/>
        </w:rPr>
        <w:t xml:space="preserve"> </w:t>
      </w:r>
      <w:proofErr w:type="spellStart"/>
      <w:r w:rsidRPr="00AD39FA">
        <w:rPr>
          <w:rFonts w:ascii="Segoe UI" w:hAnsi="Segoe UI" w:cs="Segoe UI"/>
          <w:sz w:val="22"/>
          <w:szCs w:val="22"/>
        </w:rPr>
        <w:t>dezaparvovec</w:t>
      </w:r>
      <w:proofErr w:type="spellEnd"/>
      <w:r w:rsidRPr="00AD39FA">
        <w:rPr>
          <w:rFonts w:ascii="Segoe UI" w:hAnsi="Segoe UI" w:cs="Segoe UI"/>
          <w:sz w:val="22"/>
          <w:szCs w:val="22"/>
        </w:rPr>
        <w:t xml:space="preserve">). Prior to the treatment with </w:t>
      </w:r>
      <w:proofErr w:type="spellStart"/>
      <w:r w:rsidRPr="00AD39FA">
        <w:rPr>
          <w:rFonts w:ascii="Segoe UI" w:hAnsi="Segoe UI" w:cs="Segoe UI"/>
          <w:sz w:val="22"/>
          <w:szCs w:val="22"/>
        </w:rPr>
        <w:t>Hemgenix</w:t>
      </w:r>
      <w:proofErr w:type="spellEnd"/>
      <w:r w:rsidRPr="00AD39FA">
        <w:rPr>
          <w:rFonts w:ascii="Segoe UI" w:hAnsi="Segoe UI" w:cs="Segoe UI"/>
          <w:sz w:val="22"/>
          <w:szCs w:val="22"/>
        </w:rPr>
        <w:t xml:space="preserve"> patients should be assessed for the titre of preexisting neutralising anti-AAV5 antibodies. Preexisting neutralising anti-AAV antibodies above a titre of 1:678 (1:898 with the 9-point assay) may impede transgene expression at desired therapeutic levels and thus reduce the efficacy of </w:t>
      </w:r>
      <w:proofErr w:type="spellStart"/>
      <w:r w:rsidRPr="00AD39FA">
        <w:rPr>
          <w:rFonts w:ascii="Segoe UI" w:hAnsi="Segoe UI" w:cs="Segoe UI"/>
          <w:sz w:val="22"/>
          <w:szCs w:val="22"/>
        </w:rPr>
        <w:t>Hemgenix</w:t>
      </w:r>
      <w:proofErr w:type="spellEnd"/>
      <w:r w:rsidRPr="00AD39FA">
        <w:rPr>
          <w:rFonts w:ascii="Segoe UI" w:hAnsi="Segoe UI" w:cs="Segoe UI"/>
          <w:sz w:val="22"/>
          <w:szCs w:val="22"/>
        </w:rPr>
        <w:t xml:space="preserve"> therapy. There is limited data in patients with neutralising anti-AAV5 antibodies above 1:678 using the clinical utility standard or 7-point assay (1:898 with the 9-point assay). In 1 patient with </w:t>
      </w:r>
      <w:r w:rsidRPr="00AD39FA">
        <w:rPr>
          <w:rFonts w:ascii="Segoe UI" w:hAnsi="Segoe UI" w:cs="Segoe UI"/>
          <w:sz w:val="22"/>
          <w:szCs w:val="22"/>
        </w:rPr>
        <w:lastRenderedPageBreak/>
        <w:t>a preexisting neutralising anti-AAV5 antibody titre of 1:3212 in the clinical study, no Factor IX expression was observed and restarting of exogenous Factor IX prophylaxis was needed.</w:t>
      </w:r>
    </w:p>
    <w:p w14:paraId="17FA5FE0" w14:textId="77777777" w:rsidR="002D2DF7" w:rsidRPr="00AD39FA" w:rsidRDefault="002D2DF7" w:rsidP="00AD39FA">
      <w:pPr>
        <w:rPr>
          <w:rFonts w:ascii="Segoe UI" w:hAnsi="Segoe UI" w:cs="Segoe UI"/>
          <w:sz w:val="22"/>
          <w:szCs w:val="22"/>
        </w:rPr>
      </w:pPr>
      <w:r w:rsidRPr="00AD39FA">
        <w:rPr>
          <w:rFonts w:ascii="Segoe UI" w:hAnsi="Segoe UI" w:cs="Segoe UI"/>
          <w:sz w:val="22"/>
          <w:szCs w:val="22"/>
        </w:rPr>
        <w:t xml:space="preserve">In the clinical studies with </w:t>
      </w:r>
      <w:proofErr w:type="spellStart"/>
      <w:r w:rsidRPr="00AD39FA">
        <w:rPr>
          <w:rFonts w:ascii="Segoe UI" w:hAnsi="Segoe UI" w:cs="Segoe UI"/>
          <w:sz w:val="22"/>
          <w:szCs w:val="22"/>
        </w:rPr>
        <w:t>Hemgenix</w:t>
      </w:r>
      <w:proofErr w:type="spellEnd"/>
      <w:r w:rsidRPr="00AD39FA">
        <w:rPr>
          <w:rFonts w:ascii="Segoe UI" w:hAnsi="Segoe UI" w:cs="Segoe UI"/>
          <w:sz w:val="22"/>
          <w:szCs w:val="22"/>
        </w:rPr>
        <w:t>® (</w:t>
      </w:r>
      <w:proofErr w:type="spellStart"/>
      <w:r w:rsidRPr="00AD39FA">
        <w:rPr>
          <w:rFonts w:ascii="Segoe UI" w:hAnsi="Segoe UI" w:cs="Segoe UI"/>
          <w:sz w:val="22"/>
          <w:szCs w:val="22"/>
        </w:rPr>
        <w:t>etranacogene</w:t>
      </w:r>
      <w:proofErr w:type="spellEnd"/>
      <w:r w:rsidRPr="00AD39FA">
        <w:rPr>
          <w:rFonts w:ascii="Segoe UI" w:hAnsi="Segoe UI" w:cs="Segoe UI"/>
          <w:sz w:val="22"/>
          <w:szCs w:val="22"/>
        </w:rPr>
        <w:t xml:space="preserve"> </w:t>
      </w:r>
      <w:proofErr w:type="spellStart"/>
      <w:r w:rsidRPr="00AD39FA">
        <w:rPr>
          <w:rFonts w:ascii="Segoe UI" w:hAnsi="Segoe UI" w:cs="Segoe UI"/>
          <w:sz w:val="22"/>
          <w:szCs w:val="22"/>
        </w:rPr>
        <w:t>dezaparvovec</w:t>
      </w:r>
      <w:proofErr w:type="spellEnd"/>
      <w:r w:rsidRPr="00AD39FA">
        <w:rPr>
          <w:rFonts w:ascii="Segoe UI" w:hAnsi="Segoe UI" w:cs="Segoe UI"/>
          <w:sz w:val="22"/>
          <w:szCs w:val="22"/>
        </w:rPr>
        <w:t xml:space="preserve">), for the patient sub-group with detectable preexisting neutralising anti-AAV5 antibodies up to a titre of 1:678 (1:898 with the 9-point assay), mean Factor IX activity levels were within the same range but numerically lower compared to those of the patient sub-group without detectable preexisting neutralising anti-AAV5 antibodies. However, both patient groups, with and without detectable preexisting neutralising anti-AAV5 antibodies, demonstrated an improved haemostatic protection compared to the standard of care Factor IX prophylaxis after </w:t>
      </w:r>
      <w:proofErr w:type="spellStart"/>
      <w:r w:rsidRPr="00AD39FA">
        <w:rPr>
          <w:rFonts w:ascii="Segoe UI" w:hAnsi="Segoe UI" w:cs="Segoe UI"/>
          <w:sz w:val="22"/>
          <w:szCs w:val="22"/>
        </w:rPr>
        <w:t>Hemgenix</w:t>
      </w:r>
      <w:proofErr w:type="spellEnd"/>
      <w:r w:rsidRPr="00AD39FA">
        <w:rPr>
          <w:rFonts w:ascii="Segoe UI" w:hAnsi="Segoe UI" w:cs="Segoe UI"/>
          <w:sz w:val="22"/>
          <w:szCs w:val="22"/>
        </w:rPr>
        <w:t>® administration.</w:t>
      </w:r>
    </w:p>
    <w:p w14:paraId="7B3CC599" w14:textId="77777777" w:rsidR="002D2DF7" w:rsidRPr="00AD39FA" w:rsidRDefault="002D2DF7" w:rsidP="00EC7BD5">
      <w:pPr>
        <w:rPr>
          <w:rFonts w:ascii="Segoe UI" w:hAnsi="Segoe UI" w:cs="Segoe UI"/>
          <w:sz w:val="22"/>
          <w:szCs w:val="22"/>
        </w:rPr>
      </w:pPr>
      <w:r w:rsidRPr="00AD39FA">
        <w:rPr>
          <w:rFonts w:ascii="Segoe UI" w:hAnsi="Segoe UI" w:cs="Segoe UI"/>
          <w:sz w:val="22"/>
          <w:szCs w:val="22"/>
        </w:rPr>
        <w:t xml:space="preserve">The anti-AAV5 assay is to inform patient eligibility for </w:t>
      </w:r>
      <w:proofErr w:type="spellStart"/>
      <w:r w:rsidRPr="00AD39FA">
        <w:rPr>
          <w:rFonts w:ascii="Segoe UI" w:hAnsi="Segoe UI" w:cs="Segoe UI"/>
          <w:sz w:val="22"/>
          <w:szCs w:val="22"/>
        </w:rPr>
        <w:t>Hemgenix</w:t>
      </w:r>
      <w:proofErr w:type="spellEnd"/>
      <w:r w:rsidRPr="00AD39FA">
        <w:rPr>
          <w:rFonts w:ascii="Segoe UI" w:hAnsi="Segoe UI" w:cs="Segoe UI"/>
          <w:sz w:val="22"/>
          <w:szCs w:val="22"/>
        </w:rPr>
        <w:t>® (</w:t>
      </w:r>
      <w:proofErr w:type="spellStart"/>
      <w:r w:rsidRPr="00AD39FA">
        <w:rPr>
          <w:rFonts w:ascii="Segoe UI" w:hAnsi="Segoe UI" w:cs="Segoe UI"/>
          <w:sz w:val="22"/>
          <w:szCs w:val="22"/>
        </w:rPr>
        <w:t>etranacogene</w:t>
      </w:r>
      <w:proofErr w:type="spellEnd"/>
      <w:r w:rsidRPr="00AD39FA">
        <w:rPr>
          <w:rFonts w:ascii="Segoe UI" w:hAnsi="Segoe UI" w:cs="Segoe UI"/>
          <w:sz w:val="22"/>
          <w:szCs w:val="22"/>
        </w:rPr>
        <w:t xml:space="preserve"> </w:t>
      </w:r>
      <w:proofErr w:type="spellStart"/>
      <w:r w:rsidRPr="00AD39FA">
        <w:rPr>
          <w:rFonts w:ascii="Segoe UI" w:hAnsi="Segoe UI" w:cs="Segoe UI"/>
          <w:sz w:val="22"/>
          <w:szCs w:val="22"/>
        </w:rPr>
        <w:t>dezaparvovec</w:t>
      </w:r>
      <w:proofErr w:type="spellEnd"/>
      <w:r w:rsidRPr="00AD39FA">
        <w:rPr>
          <w:rFonts w:ascii="Segoe UI" w:hAnsi="Segoe UI" w:cs="Segoe UI"/>
          <w:sz w:val="22"/>
          <w:szCs w:val="22"/>
        </w:rPr>
        <w:t xml:space="preserve">). Patients with a pre-existing antibody titre &lt;1:900 (9-point assay [≈ &lt;1:700 7-point assay]) are eligible for </w:t>
      </w:r>
      <w:proofErr w:type="spellStart"/>
      <w:r w:rsidRPr="00AD39FA">
        <w:rPr>
          <w:rFonts w:ascii="Segoe UI" w:hAnsi="Segoe UI" w:cs="Segoe UI"/>
          <w:sz w:val="22"/>
          <w:szCs w:val="22"/>
        </w:rPr>
        <w:t>Hemgenix</w:t>
      </w:r>
      <w:proofErr w:type="spellEnd"/>
      <w:r w:rsidRPr="00AD39FA">
        <w:rPr>
          <w:rFonts w:ascii="Segoe UI" w:hAnsi="Segoe UI" w:cs="Segoe UI"/>
          <w:sz w:val="22"/>
          <w:szCs w:val="22"/>
        </w:rPr>
        <w:t>® (</w:t>
      </w:r>
      <w:proofErr w:type="spellStart"/>
      <w:r w:rsidRPr="00AD39FA">
        <w:rPr>
          <w:rFonts w:ascii="Segoe UI" w:hAnsi="Segoe UI" w:cs="Segoe UI"/>
          <w:sz w:val="22"/>
          <w:szCs w:val="22"/>
        </w:rPr>
        <w:t>etranacogene</w:t>
      </w:r>
      <w:proofErr w:type="spellEnd"/>
      <w:r w:rsidRPr="00AD39FA">
        <w:rPr>
          <w:rFonts w:ascii="Segoe UI" w:hAnsi="Segoe UI" w:cs="Segoe UI"/>
          <w:sz w:val="22"/>
          <w:szCs w:val="22"/>
        </w:rPr>
        <w:t xml:space="preserve"> </w:t>
      </w:r>
      <w:proofErr w:type="spellStart"/>
      <w:r w:rsidRPr="00AD39FA">
        <w:rPr>
          <w:rFonts w:ascii="Segoe UI" w:hAnsi="Segoe UI" w:cs="Segoe UI"/>
          <w:sz w:val="22"/>
          <w:szCs w:val="22"/>
        </w:rPr>
        <w:t>dezaparvovec</w:t>
      </w:r>
      <w:proofErr w:type="spellEnd"/>
      <w:r w:rsidRPr="00AD39FA">
        <w:rPr>
          <w:rFonts w:ascii="Segoe UI" w:hAnsi="Segoe UI" w:cs="Segoe UI"/>
          <w:sz w:val="22"/>
          <w:szCs w:val="22"/>
        </w:rPr>
        <w:t>).</w:t>
      </w:r>
    </w:p>
    <w:p w14:paraId="65758BBF" w14:textId="77777777" w:rsidR="002D2DF7" w:rsidRPr="004F12A9" w:rsidRDefault="002D2DF7" w:rsidP="00EC7BD5">
      <w:pPr>
        <w:pStyle w:val="Heading1"/>
      </w:pPr>
      <w:r w:rsidRPr="004F12A9">
        <w:t>Intervention</w:t>
      </w:r>
    </w:p>
    <w:p w14:paraId="697F0051" w14:textId="77777777" w:rsidR="002D2DF7" w:rsidRPr="00EC7BD5" w:rsidRDefault="002D2DF7" w:rsidP="00EC7BD5">
      <w:pPr>
        <w:pStyle w:val="Heading2"/>
      </w:pPr>
      <w:r w:rsidRPr="00EC7BD5">
        <w:t>Name of the proposed health technology:</w:t>
      </w:r>
    </w:p>
    <w:p w14:paraId="483C0CC6" w14:textId="77777777" w:rsidR="002D2DF7" w:rsidRPr="00EC7BD5" w:rsidRDefault="002D2DF7" w:rsidP="00EC7BD5">
      <w:pPr>
        <w:rPr>
          <w:rFonts w:ascii="Segoe UI" w:eastAsia="Segoe UI" w:hAnsi="Segoe UI" w:cs="Segoe UI"/>
          <w:color w:val="000000"/>
          <w:sz w:val="22"/>
          <w:szCs w:val="22"/>
        </w:rPr>
      </w:pPr>
      <w:r w:rsidRPr="00AD39FA">
        <w:rPr>
          <w:rFonts w:ascii="Segoe UI" w:eastAsia="Segoe UI" w:hAnsi="Segoe UI" w:cs="Segoe UI"/>
          <w:color w:val="000000"/>
          <w:sz w:val="22"/>
          <w:szCs w:val="22"/>
        </w:rPr>
        <w:t>AAV5 Neutralising Antibody (</w:t>
      </w:r>
      <w:proofErr w:type="spellStart"/>
      <w:r w:rsidRPr="00AD39FA">
        <w:rPr>
          <w:rFonts w:ascii="Segoe UI" w:eastAsia="Segoe UI" w:hAnsi="Segoe UI" w:cs="Segoe UI"/>
          <w:color w:val="000000"/>
          <w:sz w:val="22"/>
          <w:szCs w:val="22"/>
        </w:rPr>
        <w:t>NAb</w:t>
      </w:r>
      <w:proofErr w:type="spellEnd"/>
      <w:r w:rsidRPr="00AD39FA">
        <w:rPr>
          <w:rFonts w:ascii="Segoe UI" w:eastAsia="Segoe UI" w:hAnsi="Segoe UI" w:cs="Segoe UI"/>
          <w:color w:val="000000"/>
          <w:sz w:val="22"/>
          <w:szCs w:val="22"/>
        </w:rPr>
        <w:t xml:space="preserve">) assay </w:t>
      </w:r>
      <w:r>
        <w:rPr>
          <w:rFonts w:ascii="Segoe UI" w:eastAsia="Segoe UI" w:hAnsi="Segoe UI" w:cs="Segoe UI"/>
          <w:color w:val="000000"/>
          <w:sz w:val="22"/>
          <w:szCs w:val="22"/>
        </w:rPr>
        <w:t xml:space="preserve">to determine eligibility </w:t>
      </w:r>
      <w:r w:rsidRPr="00AD39FA">
        <w:rPr>
          <w:rFonts w:ascii="Segoe UI" w:eastAsia="Segoe UI" w:hAnsi="Segoe UI" w:cs="Segoe UI"/>
          <w:color w:val="000000"/>
          <w:sz w:val="22"/>
          <w:szCs w:val="22"/>
        </w:rPr>
        <w:t xml:space="preserve">for </w:t>
      </w:r>
      <w:proofErr w:type="spellStart"/>
      <w:r>
        <w:rPr>
          <w:rFonts w:ascii="Segoe UI" w:eastAsia="Segoe UI" w:hAnsi="Segoe UI" w:cs="Segoe UI"/>
          <w:color w:val="000000"/>
          <w:sz w:val="22"/>
          <w:szCs w:val="22"/>
        </w:rPr>
        <w:t>e</w:t>
      </w:r>
      <w:r w:rsidRPr="00AD39FA">
        <w:rPr>
          <w:rFonts w:ascii="Segoe UI" w:eastAsia="Segoe UI" w:hAnsi="Segoe UI" w:cs="Segoe UI"/>
          <w:color w:val="000000"/>
          <w:sz w:val="22"/>
          <w:szCs w:val="22"/>
        </w:rPr>
        <w:t>tranacogene</w:t>
      </w:r>
      <w:proofErr w:type="spellEnd"/>
      <w:r w:rsidRPr="00AD39FA">
        <w:rPr>
          <w:rFonts w:ascii="Segoe UI" w:eastAsia="Segoe UI" w:hAnsi="Segoe UI" w:cs="Segoe UI"/>
          <w:color w:val="000000"/>
          <w:sz w:val="22"/>
          <w:szCs w:val="22"/>
        </w:rPr>
        <w:t xml:space="preserve"> </w:t>
      </w:r>
      <w:proofErr w:type="spellStart"/>
      <w:r w:rsidRPr="00AD39FA">
        <w:rPr>
          <w:rFonts w:ascii="Segoe UI" w:eastAsia="Segoe UI" w:hAnsi="Segoe UI" w:cs="Segoe UI"/>
          <w:color w:val="000000"/>
          <w:sz w:val="22"/>
          <w:szCs w:val="22"/>
        </w:rPr>
        <w:t>dezaparvovec</w:t>
      </w:r>
      <w:proofErr w:type="spellEnd"/>
      <w:r w:rsidRPr="00AD39FA">
        <w:rPr>
          <w:rFonts w:ascii="Segoe UI" w:eastAsia="Segoe UI" w:hAnsi="Segoe UI" w:cs="Segoe UI"/>
          <w:color w:val="000000"/>
          <w:sz w:val="22"/>
          <w:szCs w:val="22"/>
        </w:rPr>
        <w:t xml:space="preserve"> </w:t>
      </w:r>
      <w:r>
        <w:rPr>
          <w:rFonts w:ascii="Segoe UI" w:eastAsia="Segoe UI" w:hAnsi="Segoe UI" w:cs="Segoe UI"/>
          <w:color w:val="000000"/>
          <w:sz w:val="22"/>
          <w:szCs w:val="22"/>
        </w:rPr>
        <w:t>for the treatment of</w:t>
      </w:r>
      <w:r w:rsidRPr="00AD39FA">
        <w:rPr>
          <w:rFonts w:ascii="Segoe UI" w:eastAsia="Segoe UI" w:hAnsi="Segoe UI" w:cs="Segoe UI"/>
          <w:color w:val="000000"/>
          <w:sz w:val="22"/>
          <w:szCs w:val="22"/>
        </w:rPr>
        <w:t xml:space="preserve"> Haemophilia B</w:t>
      </w:r>
      <w:r>
        <w:rPr>
          <w:rFonts w:ascii="Segoe UI" w:eastAsia="Segoe UI" w:hAnsi="Segoe UI" w:cs="Segoe UI"/>
          <w:color w:val="000000"/>
          <w:sz w:val="22"/>
          <w:szCs w:val="22"/>
        </w:rPr>
        <w:t>.</w:t>
      </w:r>
    </w:p>
    <w:p w14:paraId="42C2F09B" w14:textId="77777777" w:rsidR="002D2DF7" w:rsidRDefault="002D2DF7" w:rsidP="00EC7BD5">
      <w:pPr>
        <w:pStyle w:val="Heading2"/>
      </w:pPr>
      <w:r w:rsidRPr="00EC7BD5">
        <w:t>Describe the key components and clinical steps involved in delivering the proposed health technology:</w:t>
      </w:r>
    </w:p>
    <w:p w14:paraId="4B953AA2" w14:textId="77777777" w:rsidR="002D2DF7" w:rsidRPr="00E24B80" w:rsidRDefault="002D2DF7" w:rsidP="00E24B80">
      <w:pPr>
        <w:spacing w:after="0"/>
      </w:pPr>
    </w:p>
    <w:p w14:paraId="36F727E7" w14:textId="77777777" w:rsidR="002D2DF7" w:rsidRDefault="002D2DF7" w:rsidP="00AD39FA">
      <w:pPr>
        <w:rPr>
          <w:rFonts w:ascii="Segoe UI" w:eastAsia="Segoe UI" w:hAnsi="Segoe UI" w:cs="Segoe UI"/>
          <w:color w:val="000000"/>
          <w:sz w:val="22"/>
          <w:szCs w:val="22"/>
        </w:rPr>
      </w:pPr>
      <w:r w:rsidRPr="00AD39FA">
        <w:rPr>
          <w:rFonts w:ascii="Segoe UI" w:eastAsia="Segoe UI" w:hAnsi="Segoe UI" w:cs="Segoe UI"/>
          <w:color w:val="000000"/>
          <w:sz w:val="22"/>
          <w:szCs w:val="22"/>
        </w:rPr>
        <w:t>HEMGENIX® (</w:t>
      </w:r>
      <w:proofErr w:type="spellStart"/>
      <w:r w:rsidRPr="00AD39FA">
        <w:rPr>
          <w:rFonts w:ascii="Segoe UI" w:eastAsia="Segoe UI" w:hAnsi="Segoe UI" w:cs="Segoe UI"/>
          <w:color w:val="000000"/>
          <w:sz w:val="22"/>
          <w:szCs w:val="22"/>
        </w:rPr>
        <w:t>etranacogene</w:t>
      </w:r>
      <w:proofErr w:type="spellEnd"/>
      <w:r w:rsidRPr="00AD39FA">
        <w:rPr>
          <w:rFonts w:ascii="Segoe UI" w:eastAsia="Segoe UI" w:hAnsi="Segoe UI" w:cs="Segoe UI"/>
          <w:color w:val="000000"/>
          <w:sz w:val="22"/>
          <w:szCs w:val="22"/>
        </w:rPr>
        <w:t xml:space="preserve"> </w:t>
      </w:r>
      <w:proofErr w:type="spellStart"/>
      <w:r w:rsidRPr="00AD39FA">
        <w:rPr>
          <w:rFonts w:ascii="Segoe UI" w:eastAsia="Segoe UI" w:hAnsi="Segoe UI" w:cs="Segoe UI"/>
          <w:color w:val="000000"/>
          <w:sz w:val="22"/>
          <w:szCs w:val="22"/>
        </w:rPr>
        <w:t>dezaparvovec</w:t>
      </w:r>
      <w:proofErr w:type="spellEnd"/>
      <w:r w:rsidRPr="00AD39FA">
        <w:rPr>
          <w:rFonts w:ascii="Segoe UI" w:eastAsia="Segoe UI" w:hAnsi="Segoe UI" w:cs="Segoe UI"/>
          <w:color w:val="000000"/>
          <w:sz w:val="22"/>
          <w:szCs w:val="22"/>
        </w:rPr>
        <w:t xml:space="preserve">) is an adeno-associated virus serotype 5 (AAV5)–based gene therapy that is registered for use in adults with haemophilia B in Australia. </w:t>
      </w:r>
      <w:r>
        <w:rPr>
          <w:rFonts w:ascii="Segoe UI" w:eastAsia="Segoe UI" w:hAnsi="Segoe UI" w:cs="Segoe UI"/>
          <w:color w:val="000000"/>
          <w:sz w:val="22"/>
          <w:szCs w:val="22"/>
        </w:rPr>
        <w:t xml:space="preserve">Further detail on the key components and clinical steps for the delivery of </w:t>
      </w:r>
      <w:r w:rsidRPr="00AD39FA">
        <w:rPr>
          <w:rFonts w:ascii="Segoe UI" w:eastAsia="Segoe UI" w:hAnsi="Segoe UI" w:cs="Segoe UI"/>
          <w:color w:val="000000"/>
          <w:sz w:val="22"/>
          <w:szCs w:val="22"/>
        </w:rPr>
        <w:t>HEMGENIX®</w:t>
      </w:r>
      <w:r>
        <w:rPr>
          <w:rFonts w:ascii="Segoe UI" w:eastAsia="Segoe UI" w:hAnsi="Segoe UI" w:cs="Segoe UI"/>
          <w:color w:val="000000"/>
          <w:sz w:val="22"/>
          <w:szCs w:val="22"/>
        </w:rPr>
        <w:t xml:space="preserve"> is available in the Ratified PICO for Application 1728.</w:t>
      </w:r>
    </w:p>
    <w:p w14:paraId="42C29498" w14:textId="77777777" w:rsidR="002D2DF7" w:rsidRPr="00AD39FA" w:rsidRDefault="002D2DF7" w:rsidP="00AD39FA">
      <w:pPr>
        <w:rPr>
          <w:rFonts w:ascii="Segoe UI" w:eastAsia="Segoe UI" w:hAnsi="Segoe UI" w:cs="Segoe UI"/>
          <w:color w:val="000000"/>
          <w:sz w:val="22"/>
          <w:szCs w:val="22"/>
        </w:rPr>
      </w:pPr>
      <w:r w:rsidRPr="00AD39FA">
        <w:rPr>
          <w:rFonts w:ascii="Segoe UI" w:eastAsia="Segoe UI" w:hAnsi="Segoe UI" w:cs="Segoe UI"/>
          <w:color w:val="000000"/>
          <w:sz w:val="22"/>
          <w:szCs w:val="22"/>
        </w:rPr>
        <w:t>Pre-existing neutralizing antibodies (</w:t>
      </w:r>
      <w:proofErr w:type="spellStart"/>
      <w:r w:rsidRPr="00AD39FA">
        <w:rPr>
          <w:rFonts w:ascii="Segoe UI" w:eastAsia="Segoe UI" w:hAnsi="Segoe UI" w:cs="Segoe UI"/>
          <w:color w:val="000000"/>
          <w:sz w:val="22"/>
          <w:szCs w:val="22"/>
        </w:rPr>
        <w:t>NAbs</w:t>
      </w:r>
      <w:proofErr w:type="spellEnd"/>
      <w:r w:rsidRPr="00AD39FA">
        <w:rPr>
          <w:rFonts w:ascii="Segoe UI" w:eastAsia="Segoe UI" w:hAnsi="Segoe UI" w:cs="Segoe UI"/>
          <w:color w:val="000000"/>
          <w:sz w:val="22"/>
          <w:szCs w:val="22"/>
        </w:rPr>
        <w:t>) to AAV5 can be present in the population due to exposure to naturally occurring AAV infection. Neutralising antibodies (</w:t>
      </w:r>
      <w:proofErr w:type="spellStart"/>
      <w:r w:rsidRPr="00AD39FA">
        <w:rPr>
          <w:rFonts w:ascii="Segoe UI" w:eastAsia="Segoe UI" w:hAnsi="Segoe UI" w:cs="Segoe UI"/>
          <w:color w:val="000000"/>
          <w:sz w:val="22"/>
          <w:szCs w:val="22"/>
        </w:rPr>
        <w:t>NAbs</w:t>
      </w:r>
      <w:proofErr w:type="spellEnd"/>
      <w:r w:rsidRPr="00AD39FA">
        <w:rPr>
          <w:rFonts w:ascii="Segoe UI" w:eastAsia="Segoe UI" w:hAnsi="Segoe UI" w:cs="Segoe UI"/>
          <w:color w:val="000000"/>
          <w:sz w:val="22"/>
          <w:szCs w:val="22"/>
        </w:rPr>
        <w:t xml:space="preserve">) to </w:t>
      </w:r>
      <w:proofErr w:type="spellStart"/>
      <w:r w:rsidRPr="00AD39FA">
        <w:rPr>
          <w:rFonts w:ascii="Segoe UI" w:eastAsia="Segoe UI" w:hAnsi="Segoe UI" w:cs="Segoe UI"/>
          <w:color w:val="000000"/>
          <w:sz w:val="22"/>
          <w:szCs w:val="22"/>
        </w:rPr>
        <w:t>Hemgenix</w:t>
      </w:r>
      <w:proofErr w:type="spellEnd"/>
      <w:r w:rsidRPr="00AD39FA">
        <w:rPr>
          <w:rFonts w:ascii="Segoe UI" w:eastAsia="Segoe UI" w:hAnsi="Segoe UI" w:cs="Segoe UI"/>
          <w:color w:val="000000"/>
          <w:sz w:val="22"/>
          <w:szCs w:val="22"/>
        </w:rPr>
        <w:t>® (</w:t>
      </w:r>
      <w:proofErr w:type="spellStart"/>
      <w:r w:rsidRPr="00AD39FA">
        <w:rPr>
          <w:rFonts w:ascii="Segoe UI" w:eastAsia="Segoe UI" w:hAnsi="Segoe UI" w:cs="Segoe UI"/>
          <w:color w:val="000000"/>
          <w:sz w:val="22"/>
          <w:szCs w:val="22"/>
        </w:rPr>
        <w:t>etranacogene</w:t>
      </w:r>
      <w:proofErr w:type="spellEnd"/>
      <w:r w:rsidRPr="00AD39FA">
        <w:rPr>
          <w:rFonts w:ascii="Segoe UI" w:eastAsia="Segoe UI" w:hAnsi="Segoe UI" w:cs="Segoe UI"/>
          <w:color w:val="000000"/>
          <w:sz w:val="22"/>
          <w:szCs w:val="22"/>
        </w:rPr>
        <w:t xml:space="preserve"> </w:t>
      </w:r>
      <w:proofErr w:type="spellStart"/>
      <w:r w:rsidRPr="00AD39FA">
        <w:rPr>
          <w:rFonts w:ascii="Segoe UI" w:eastAsia="Segoe UI" w:hAnsi="Segoe UI" w:cs="Segoe UI"/>
          <w:color w:val="000000"/>
          <w:sz w:val="22"/>
          <w:szCs w:val="22"/>
        </w:rPr>
        <w:t>dezaparvovec</w:t>
      </w:r>
      <w:proofErr w:type="spellEnd"/>
      <w:r w:rsidRPr="00AD39FA">
        <w:rPr>
          <w:rFonts w:ascii="Segoe UI" w:eastAsia="Segoe UI" w:hAnsi="Segoe UI" w:cs="Segoe UI"/>
          <w:color w:val="000000"/>
          <w:sz w:val="22"/>
          <w:szCs w:val="22"/>
        </w:rPr>
        <w:t xml:space="preserve">) are measured with a custom-developed, in vitro cell-based assay to detect </w:t>
      </w:r>
      <w:proofErr w:type="spellStart"/>
      <w:r w:rsidRPr="00AD39FA">
        <w:rPr>
          <w:rFonts w:ascii="Segoe UI" w:eastAsia="Segoe UI" w:hAnsi="Segoe UI" w:cs="Segoe UI"/>
          <w:color w:val="000000"/>
          <w:sz w:val="22"/>
          <w:szCs w:val="22"/>
        </w:rPr>
        <w:t>NAbs</w:t>
      </w:r>
      <w:proofErr w:type="spellEnd"/>
      <w:r w:rsidRPr="00AD39FA">
        <w:rPr>
          <w:rFonts w:ascii="Segoe UI" w:eastAsia="Segoe UI" w:hAnsi="Segoe UI" w:cs="Segoe UI"/>
          <w:color w:val="000000"/>
          <w:sz w:val="22"/>
          <w:szCs w:val="22"/>
        </w:rPr>
        <w:t xml:space="preserve"> by measuring inhibition of transduction of cells with an AAV5 virus carrying a reporter transgene that encodes the luciferase protein, which can emit light when successfully transduced into cells. </w:t>
      </w:r>
    </w:p>
    <w:p w14:paraId="75383C56" w14:textId="459A2D02" w:rsidR="002D2DF7" w:rsidRPr="00EC7BD5" w:rsidRDefault="002D2DF7" w:rsidP="00AD39FA">
      <w:pPr>
        <w:rPr>
          <w:rFonts w:ascii="Segoe UI" w:eastAsia="Segoe UI" w:hAnsi="Segoe UI" w:cs="Segoe UI"/>
          <w:color w:val="000000"/>
          <w:sz w:val="22"/>
          <w:szCs w:val="22"/>
        </w:rPr>
      </w:pPr>
      <w:r w:rsidRPr="00AD39FA">
        <w:rPr>
          <w:rFonts w:ascii="Segoe UI" w:eastAsia="Segoe UI" w:hAnsi="Segoe UI" w:cs="Segoe UI"/>
          <w:color w:val="000000"/>
          <w:sz w:val="22"/>
          <w:szCs w:val="22"/>
        </w:rPr>
        <w:t>Before a treatment decision is made, the healthcare professional should discuss the risks, benefits, and uncertainties of HEMGENIX® (</w:t>
      </w:r>
      <w:proofErr w:type="spellStart"/>
      <w:r w:rsidRPr="00AD39FA">
        <w:rPr>
          <w:rFonts w:ascii="Segoe UI" w:eastAsia="Segoe UI" w:hAnsi="Segoe UI" w:cs="Segoe UI"/>
          <w:color w:val="000000"/>
          <w:sz w:val="22"/>
          <w:szCs w:val="22"/>
        </w:rPr>
        <w:t>etranacogene</w:t>
      </w:r>
      <w:proofErr w:type="spellEnd"/>
      <w:r w:rsidRPr="00AD39FA">
        <w:rPr>
          <w:rFonts w:ascii="Segoe UI" w:eastAsia="Segoe UI" w:hAnsi="Segoe UI" w:cs="Segoe UI"/>
          <w:color w:val="000000"/>
          <w:sz w:val="22"/>
          <w:szCs w:val="22"/>
        </w:rPr>
        <w:t xml:space="preserve"> </w:t>
      </w:r>
      <w:proofErr w:type="spellStart"/>
      <w:r w:rsidRPr="00AD39FA">
        <w:rPr>
          <w:rFonts w:ascii="Segoe UI" w:eastAsia="Segoe UI" w:hAnsi="Segoe UI" w:cs="Segoe UI"/>
          <w:color w:val="000000"/>
          <w:sz w:val="22"/>
          <w:szCs w:val="22"/>
        </w:rPr>
        <w:t>dezaparvovec</w:t>
      </w:r>
      <w:proofErr w:type="spellEnd"/>
      <w:r w:rsidRPr="00AD39FA">
        <w:rPr>
          <w:rFonts w:ascii="Segoe UI" w:eastAsia="Segoe UI" w:hAnsi="Segoe UI" w:cs="Segoe UI"/>
          <w:color w:val="000000"/>
          <w:sz w:val="22"/>
          <w:szCs w:val="22"/>
        </w:rPr>
        <w:t xml:space="preserve">) with the patient when presenting </w:t>
      </w:r>
      <w:proofErr w:type="spellStart"/>
      <w:r w:rsidRPr="00AD39FA">
        <w:rPr>
          <w:rFonts w:ascii="Segoe UI" w:eastAsia="Segoe UI" w:hAnsi="Segoe UI" w:cs="Segoe UI"/>
          <w:color w:val="000000"/>
          <w:sz w:val="22"/>
          <w:szCs w:val="22"/>
        </w:rPr>
        <w:t>Hemgenix</w:t>
      </w:r>
      <w:proofErr w:type="spellEnd"/>
      <w:r w:rsidRPr="00AD39FA">
        <w:rPr>
          <w:rFonts w:ascii="Segoe UI" w:eastAsia="Segoe UI" w:hAnsi="Segoe UI" w:cs="Segoe UI"/>
          <w:color w:val="000000"/>
          <w:sz w:val="22"/>
          <w:szCs w:val="22"/>
        </w:rPr>
        <w:t xml:space="preserve"> as a treatment option, including that high preexisting neutralising anti-AAV5 antibodies may reduce the efficacy of </w:t>
      </w:r>
      <w:proofErr w:type="spellStart"/>
      <w:r w:rsidRPr="00AD39FA">
        <w:rPr>
          <w:rFonts w:ascii="Segoe UI" w:eastAsia="Segoe UI" w:hAnsi="Segoe UI" w:cs="Segoe UI"/>
          <w:color w:val="000000"/>
          <w:sz w:val="22"/>
          <w:szCs w:val="22"/>
        </w:rPr>
        <w:t>Hemgenix</w:t>
      </w:r>
      <w:proofErr w:type="spellEnd"/>
      <w:r w:rsidRPr="00AD39FA">
        <w:rPr>
          <w:rFonts w:ascii="Segoe UI" w:eastAsia="Segoe UI" w:hAnsi="Segoe UI" w:cs="Segoe UI"/>
          <w:color w:val="000000"/>
          <w:sz w:val="22"/>
          <w:szCs w:val="22"/>
        </w:rPr>
        <w:t>® therapy; patients should be assessed for the titre of preexisting neutralising antiAAV5 antibodies to determine eligibility.</w:t>
      </w:r>
    </w:p>
    <w:p w14:paraId="096FB54B" w14:textId="77777777" w:rsidR="002D2DF7" w:rsidRDefault="002D2DF7" w:rsidP="00EC7BD5">
      <w:pPr>
        <w:pStyle w:val="Heading2"/>
      </w:pPr>
      <w:r w:rsidRPr="00EC7BD5">
        <w:t>Identify how the proposed technology achieves the intended patient outcomes:</w:t>
      </w:r>
    </w:p>
    <w:p w14:paraId="1D8AC701" w14:textId="77777777" w:rsidR="002D2DF7" w:rsidRPr="00E24B80" w:rsidRDefault="002D2DF7" w:rsidP="00E24B80">
      <w:pPr>
        <w:spacing w:after="0"/>
      </w:pPr>
    </w:p>
    <w:p w14:paraId="70013326" w14:textId="77777777" w:rsidR="002D2DF7" w:rsidRDefault="002D2DF7" w:rsidP="007F14BF">
      <w:pPr>
        <w:rPr>
          <w:rFonts w:ascii="Segoe UI" w:eastAsia="Segoe UI" w:hAnsi="Segoe UI" w:cs="Segoe UI"/>
          <w:color w:val="000000"/>
          <w:sz w:val="22"/>
          <w:szCs w:val="22"/>
        </w:rPr>
      </w:pPr>
      <w:r w:rsidRPr="00BC4A10">
        <w:rPr>
          <w:rFonts w:ascii="Segoe UI" w:eastAsia="Segoe UI" w:hAnsi="Segoe UI" w:cs="Segoe UI"/>
          <w:color w:val="000000"/>
          <w:sz w:val="22"/>
          <w:szCs w:val="22"/>
        </w:rPr>
        <w:t xml:space="preserve">The AAV5 </w:t>
      </w:r>
      <w:proofErr w:type="spellStart"/>
      <w:r w:rsidRPr="00BC4A10">
        <w:rPr>
          <w:rFonts w:ascii="Segoe UI" w:eastAsia="Segoe UI" w:hAnsi="Segoe UI" w:cs="Segoe UI"/>
          <w:color w:val="000000"/>
          <w:sz w:val="22"/>
          <w:szCs w:val="22"/>
        </w:rPr>
        <w:t>NAb</w:t>
      </w:r>
      <w:proofErr w:type="spellEnd"/>
      <w:r w:rsidRPr="00BC4A10">
        <w:rPr>
          <w:rFonts w:ascii="Segoe UI" w:eastAsia="Segoe UI" w:hAnsi="Segoe UI" w:cs="Segoe UI"/>
          <w:color w:val="000000"/>
          <w:sz w:val="22"/>
          <w:szCs w:val="22"/>
        </w:rPr>
        <w:t xml:space="preserve"> assay measures neutralising antibodies to identify patients that have </w:t>
      </w:r>
      <w:proofErr w:type="spellStart"/>
      <w:r w:rsidRPr="00BC4A10">
        <w:rPr>
          <w:rFonts w:ascii="Segoe UI" w:eastAsia="Segoe UI" w:hAnsi="Segoe UI" w:cs="Segoe UI"/>
          <w:color w:val="000000"/>
          <w:sz w:val="22"/>
          <w:szCs w:val="22"/>
        </w:rPr>
        <w:t>NAb</w:t>
      </w:r>
      <w:proofErr w:type="spellEnd"/>
      <w:r w:rsidRPr="00BC4A10">
        <w:rPr>
          <w:rFonts w:ascii="Segoe UI" w:eastAsia="Segoe UI" w:hAnsi="Segoe UI" w:cs="Segoe UI"/>
          <w:color w:val="000000"/>
          <w:sz w:val="22"/>
          <w:szCs w:val="22"/>
        </w:rPr>
        <w:t xml:space="preserve"> titres &lt;1:900 (9-point assay) and are eligible for HEMGENIX®. HEMGENIX®</w:t>
      </w:r>
      <w:r>
        <w:rPr>
          <w:rFonts w:ascii="Segoe UI" w:eastAsia="Segoe UI" w:hAnsi="Segoe UI" w:cs="Segoe UI"/>
          <w:color w:val="000000"/>
          <w:sz w:val="22"/>
          <w:szCs w:val="22"/>
        </w:rPr>
        <w:t xml:space="preserve"> </w:t>
      </w:r>
      <w:r w:rsidRPr="005F6E9C">
        <w:rPr>
          <w:rFonts w:ascii="Segoe UI" w:eastAsia="Segoe UI" w:hAnsi="Segoe UI" w:cs="Segoe UI"/>
          <w:color w:val="000000"/>
          <w:sz w:val="22"/>
          <w:szCs w:val="22"/>
        </w:rPr>
        <w:t>is a gene therapy infusion treatment designed to introduce</w:t>
      </w:r>
      <w:r>
        <w:rPr>
          <w:rFonts w:ascii="Segoe UI" w:eastAsia="Segoe UI" w:hAnsi="Segoe UI" w:cs="Segoe UI"/>
          <w:color w:val="000000"/>
          <w:sz w:val="22"/>
          <w:szCs w:val="22"/>
        </w:rPr>
        <w:t xml:space="preserve"> </w:t>
      </w:r>
      <w:r w:rsidRPr="005F6E9C">
        <w:rPr>
          <w:rFonts w:ascii="Segoe UI" w:eastAsia="Segoe UI" w:hAnsi="Segoe UI" w:cs="Segoe UI"/>
          <w:color w:val="000000"/>
          <w:sz w:val="22"/>
          <w:szCs w:val="22"/>
        </w:rPr>
        <w:t>a copy of the human FIX gene to address the lack of functional FIX protein expression in a patient with</w:t>
      </w:r>
      <w:r>
        <w:rPr>
          <w:rFonts w:ascii="Segoe UI" w:eastAsia="Segoe UI" w:hAnsi="Segoe UI" w:cs="Segoe UI"/>
          <w:color w:val="000000"/>
          <w:sz w:val="22"/>
          <w:szCs w:val="22"/>
        </w:rPr>
        <w:t xml:space="preserve"> </w:t>
      </w:r>
      <w:proofErr w:type="spellStart"/>
      <w:r w:rsidRPr="005F6E9C">
        <w:rPr>
          <w:rFonts w:ascii="Segoe UI" w:eastAsia="Segoe UI" w:hAnsi="Segoe UI" w:cs="Segoe UI"/>
          <w:color w:val="000000"/>
          <w:sz w:val="22"/>
          <w:szCs w:val="22"/>
        </w:rPr>
        <w:t>cHMB</w:t>
      </w:r>
      <w:proofErr w:type="spellEnd"/>
      <w:r w:rsidRPr="005F6E9C">
        <w:rPr>
          <w:rFonts w:ascii="Segoe UI" w:eastAsia="Segoe UI" w:hAnsi="Segoe UI" w:cs="Segoe UI"/>
          <w:color w:val="000000"/>
          <w:sz w:val="22"/>
          <w:szCs w:val="22"/>
        </w:rPr>
        <w:t xml:space="preserve"> (CSL Behring LLC 2022; Thornburg 2021).</w:t>
      </w:r>
      <w:r>
        <w:rPr>
          <w:rFonts w:ascii="Segoe UI" w:eastAsia="Segoe UI" w:hAnsi="Segoe UI" w:cs="Segoe UI"/>
          <w:color w:val="000000"/>
          <w:sz w:val="22"/>
          <w:szCs w:val="22"/>
        </w:rPr>
        <w:t xml:space="preserve"> </w:t>
      </w:r>
      <w:r w:rsidRPr="007F14BF">
        <w:rPr>
          <w:rFonts w:ascii="Segoe UI" w:eastAsia="Segoe UI" w:hAnsi="Segoe UI" w:cs="Segoe UI"/>
          <w:color w:val="000000"/>
          <w:sz w:val="22"/>
          <w:szCs w:val="22"/>
        </w:rPr>
        <w:t xml:space="preserve">After infusion, </w:t>
      </w:r>
      <w:proofErr w:type="spellStart"/>
      <w:r w:rsidRPr="007F14BF">
        <w:rPr>
          <w:rFonts w:ascii="Segoe UI" w:eastAsia="Segoe UI" w:hAnsi="Segoe UI" w:cs="Segoe UI"/>
          <w:color w:val="000000"/>
          <w:sz w:val="22"/>
          <w:szCs w:val="22"/>
        </w:rPr>
        <w:t>Hemgenix</w:t>
      </w:r>
      <w:proofErr w:type="spellEnd"/>
      <w:r w:rsidRPr="007F14BF">
        <w:rPr>
          <w:rFonts w:ascii="Segoe UI" w:eastAsia="Segoe UI" w:hAnsi="Segoe UI" w:cs="Segoe UI"/>
          <w:color w:val="000000"/>
          <w:sz w:val="22"/>
          <w:szCs w:val="22"/>
        </w:rPr>
        <w:t xml:space="preserve"> preferentially targets liver cells, where vector DNA is released into the </w:t>
      </w:r>
      <w:r w:rsidRPr="007F14BF">
        <w:rPr>
          <w:rFonts w:ascii="Segoe UI" w:eastAsia="Segoe UI" w:hAnsi="Segoe UI" w:cs="Segoe UI"/>
          <w:color w:val="000000"/>
          <w:sz w:val="22"/>
          <w:szCs w:val="22"/>
        </w:rPr>
        <w:lastRenderedPageBreak/>
        <w:t>nucleus,</w:t>
      </w:r>
      <w:r>
        <w:rPr>
          <w:rFonts w:ascii="Segoe UI" w:eastAsia="Segoe UI" w:hAnsi="Segoe UI" w:cs="Segoe UI"/>
          <w:color w:val="000000"/>
          <w:sz w:val="22"/>
          <w:szCs w:val="22"/>
        </w:rPr>
        <w:t xml:space="preserve"> </w:t>
      </w:r>
      <w:r w:rsidRPr="007F14BF">
        <w:rPr>
          <w:rFonts w:ascii="Segoe UI" w:eastAsia="Segoe UI" w:hAnsi="Segoe UI" w:cs="Segoe UI"/>
          <w:color w:val="000000"/>
          <w:sz w:val="22"/>
          <w:szCs w:val="22"/>
        </w:rPr>
        <w:t>instructing the cell to produce FIX (CSL Behring LLC 2022; Thornburg 2021). Following transduction,</w:t>
      </w:r>
      <w:r>
        <w:rPr>
          <w:rFonts w:ascii="Segoe UI" w:eastAsia="Segoe UI" w:hAnsi="Segoe UI" w:cs="Segoe UI"/>
          <w:color w:val="000000"/>
          <w:sz w:val="22"/>
          <w:szCs w:val="22"/>
        </w:rPr>
        <w:t xml:space="preserve"> </w:t>
      </w:r>
      <w:r w:rsidRPr="007F14BF">
        <w:rPr>
          <w:rFonts w:ascii="Segoe UI" w:eastAsia="Segoe UI" w:hAnsi="Segoe UI" w:cs="Segoe UI"/>
          <w:color w:val="000000"/>
          <w:sz w:val="22"/>
          <w:szCs w:val="22"/>
        </w:rPr>
        <w:t xml:space="preserve">functional FIX is produced at </w:t>
      </w:r>
      <w:proofErr w:type="gramStart"/>
      <w:r w:rsidRPr="007F14BF">
        <w:rPr>
          <w:rFonts w:ascii="Segoe UI" w:eastAsia="Segoe UI" w:hAnsi="Segoe UI" w:cs="Segoe UI"/>
          <w:color w:val="000000"/>
          <w:sz w:val="22"/>
          <w:szCs w:val="22"/>
        </w:rPr>
        <w:t>near-normal</w:t>
      </w:r>
      <w:proofErr w:type="gramEnd"/>
      <w:r w:rsidRPr="007F14BF">
        <w:rPr>
          <w:rFonts w:ascii="Segoe UI" w:eastAsia="Segoe UI" w:hAnsi="Segoe UI" w:cs="Segoe UI"/>
          <w:color w:val="000000"/>
          <w:sz w:val="22"/>
          <w:szCs w:val="22"/>
        </w:rPr>
        <w:t xml:space="preserve"> to normal levels that circulate in the body, reducing the risk of</w:t>
      </w:r>
      <w:r>
        <w:rPr>
          <w:rFonts w:ascii="Segoe UI" w:eastAsia="Segoe UI" w:hAnsi="Segoe UI" w:cs="Segoe UI"/>
          <w:color w:val="000000"/>
          <w:sz w:val="22"/>
          <w:szCs w:val="22"/>
        </w:rPr>
        <w:t xml:space="preserve"> </w:t>
      </w:r>
      <w:r w:rsidRPr="007F14BF">
        <w:rPr>
          <w:rFonts w:ascii="Segoe UI" w:eastAsia="Segoe UI" w:hAnsi="Segoe UI" w:cs="Segoe UI"/>
          <w:color w:val="000000"/>
          <w:sz w:val="22"/>
          <w:szCs w:val="22"/>
        </w:rPr>
        <w:t xml:space="preserve">bleeding (CSL Behring LLC 2022; Thornburg 2021). As </w:t>
      </w:r>
      <w:proofErr w:type="spellStart"/>
      <w:r w:rsidRPr="007F14BF">
        <w:rPr>
          <w:rFonts w:ascii="Segoe UI" w:eastAsia="Segoe UI" w:hAnsi="Segoe UI" w:cs="Segoe UI"/>
          <w:color w:val="000000"/>
          <w:sz w:val="22"/>
          <w:szCs w:val="22"/>
        </w:rPr>
        <w:t>Hemgenix</w:t>
      </w:r>
      <w:proofErr w:type="spellEnd"/>
      <w:r w:rsidRPr="00BC4A10">
        <w:rPr>
          <w:rFonts w:ascii="Segoe UI" w:eastAsia="Segoe UI" w:hAnsi="Segoe UI" w:cs="Segoe UI"/>
          <w:color w:val="000000"/>
          <w:sz w:val="22"/>
          <w:szCs w:val="22"/>
        </w:rPr>
        <w:t>®</w:t>
      </w:r>
      <w:r w:rsidRPr="007F14BF">
        <w:rPr>
          <w:rFonts w:ascii="Segoe UI" w:eastAsia="Segoe UI" w:hAnsi="Segoe UI" w:cs="Segoe UI"/>
          <w:color w:val="000000"/>
          <w:sz w:val="22"/>
          <w:szCs w:val="22"/>
        </w:rPr>
        <w:t xml:space="preserve"> delivers a functional gene that acts as a</w:t>
      </w:r>
      <w:r>
        <w:rPr>
          <w:rFonts w:ascii="Segoe UI" w:eastAsia="Segoe UI" w:hAnsi="Segoe UI" w:cs="Segoe UI"/>
          <w:color w:val="000000"/>
          <w:sz w:val="22"/>
          <w:szCs w:val="22"/>
        </w:rPr>
        <w:t xml:space="preserve"> </w:t>
      </w:r>
      <w:r w:rsidRPr="007F14BF">
        <w:rPr>
          <w:rFonts w:ascii="Segoe UI" w:eastAsia="Segoe UI" w:hAnsi="Segoe UI" w:cs="Segoe UI"/>
          <w:color w:val="000000"/>
          <w:sz w:val="22"/>
          <w:szCs w:val="22"/>
        </w:rPr>
        <w:t xml:space="preserve">blueprint for FIX, the treatment is offered as a one-off infusion with effects anticipated to last a lifetime. </w:t>
      </w:r>
    </w:p>
    <w:p w14:paraId="79142513" w14:textId="77777777" w:rsidR="002D2DF7" w:rsidRPr="00BC4A10" w:rsidRDefault="002D2DF7" w:rsidP="00AD39FA">
      <w:pPr>
        <w:rPr>
          <w:rFonts w:ascii="Segoe UI" w:eastAsia="Segoe UI" w:hAnsi="Segoe UI" w:cs="Segoe UI"/>
          <w:color w:val="000000"/>
          <w:sz w:val="22"/>
          <w:szCs w:val="22"/>
        </w:rPr>
      </w:pPr>
      <w:r w:rsidRPr="00BC4A10">
        <w:rPr>
          <w:rFonts w:ascii="Segoe UI" w:hAnsi="Segoe UI" w:cs="Segoe UI"/>
          <w:sz w:val="22"/>
          <w:szCs w:val="22"/>
        </w:rPr>
        <w:t xml:space="preserve">In the absence of the AAV5 </w:t>
      </w:r>
      <w:proofErr w:type="spellStart"/>
      <w:r w:rsidRPr="00BC4A10">
        <w:rPr>
          <w:rFonts w:ascii="Segoe UI" w:hAnsi="Segoe UI" w:cs="Segoe UI"/>
          <w:sz w:val="22"/>
          <w:szCs w:val="22"/>
        </w:rPr>
        <w:t>NAb</w:t>
      </w:r>
      <w:proofErr w:type="spellEnd"/>
      <w:r w:rsidRPr="00BC4A10">
        <w:rPr>
          <w:rFonts w:ascii="Segoe UI" w:hAnsi="Segoe UI" w:cs="Segoe UI"/>
          <w:sz w:val="22"/>
          <w:szCs w:val="22"/>
        </w:rPr>
        <w:t xml:space="preserve"> assay and </w:t>
      </w:r>
      <w:proofErr w:type="spellStart"/>
      <w:r w:rsidRPr="00BC4A10">
        <w:rPr>
          <w:rFonts w:ascii="Segoe UI" w:hAnsi="Segoe UI" w:cs="Segoe UI"/>
          <w:sz w:val="22"/>
          <w:szCs w:val="22"/>
        </w:rPr>
        <w:t>Hemgenix</w:t>
      </w:r>
      <w:proofErr w:type="spellEnd"/>
      <w:r w:rsidRPr="00BC4A10">
        <w:rPr>
          <w:rFonts w:ascii="Segoe UI" w:hAnsi="Segoe UI" w:cs="Segoe UI"/>
          <w:sz w:val="22"/>
          <w:szCs w:val="22"/>
        </w:rPr>
        <w:t>, eligible patients would be managed with standard of care, including FIX replacement therapies for prophylaxis treatment as routine management plus on-demand and procedural prophylaxis to control for elevated risk of bleeding event. The proposed therapy has the potential to reduce the need for FIX replacement therapy or even make FIX replacement therapy obsolete.</w:t>
      </w:r>
      <w:r>
        <w:rPr>
          <w:rFonts w:ascii="Segoe UI" w:hAnsi="Segoe UI" w:cs="Segoe UI"/>
          <w:sz w:val="22"/>
          <w:szCs w:val="22"/>
        </w:rPr>
        <w:t xml:space="preserve"> </w:t>
      </w:r>
    </w:p>
    <w:p w14:paraId="14DF35E1" w14:textId="77777777" w:rsidR="002D2DF7" w:rsidRPr="00EC7BD5" w:rsidRDefault="002D2DF7" w:rsidP="00EC7BD5">
      <w:pPr>
        <w:pStyle w:val="Heading2"/>
      </w:pPr>
      <w:r w:rsidRPr="00EC7BD5">
        <w:t>Does the proposed health technology include a registered trademark component with characteristics that distinguishes it from other similar health components?</w:t>
      </w:r>
    </w:p>
    <w:p w14:paraId="5222A279" w14:textId="77777777" w:rsidR="002D2DF7" w:rsidRPr="00EC7BD5" w:rsidRDefault="002D2DF7" w:rsidP="00EC7BD5">
      <w:pPr>
        <w:rPr>
          <w:rFonts w:ascii="Segoe UI" w:hAnsi="Segoe UI" w:cs="Segoe UI"/>
          <w:sz w:val="22"/>
          <w:szCs w:val="22"/>
        </w:rPr>
      </w:pPr>
      <w:r>
        <w:rPr>
          <w:rFonts w:ascii="Segoe UI" w:hAnsi="Segoe UI" w:cs="Segoe UI"/>
          <w:sz w:val="22"/>
          <w:szCs w:val="22"/>
        </w:rPr>
        <w:t>Yes</w:t>
      </w:r>
    </w:p>
    <w:p w14:paraId="15BFDC78" w14:textId="77777777" w:rsidR="002D2DF7" w:rsidRPr="00EC7BD5" w:rsidRDefault="002D2DF7" w:rsidP="00EC7BD5">
      <w:pPr>
        <w:pStyle w:val="Heading2"/>
      </w:pPr>
      <w:r w:rsidRPr="00EC7BD5">
        <w:t>Explain whether it is essential to have this trademark component or whether there would be other components that would be suitable:</w:t>
      </w:r>
    </w:p>
    <w:p w14:paraId="7C799945" w14:textId="77777777" w:rsidR="002D2DF7" w:rsidRPr="00EC7BD5" w:rsidRDefault="002D2DF7" w:rsidP="00EC7BD5">
      <w:pPr>
        <w:rPr>
          <w:rFonts w:ascii="Segoe UI" w:eastAsia="Segoe UI" w:hAnsi="Segoe UI" w:cs="Segoe UI"/>
          <w:color w:val="000000"/>
          <w:sz w:val="22"/>
          <w:szCs w:val="22"/>
        </w:rPr>
      </w:pPr>
      <w:r>
        <w:rPr>
          <w:rFonts w:ascii="Segoe UI" w:hAnsi="Segoe UI" w:cs="Segoe UI"/>
          <w:sz w:val="22"/>
          <w:szCs w:val="22"/>
        </w:rPr>
        <w:t xml:space="preserve">Yes, </w:t>
      </w:r>
      <w:proofErr w:type="spellStart"/>
      <w:r>
        <w:rPr>
          <w:rFonts w:ascii="Segoe UI" w:hAnsi="Segoe UI" w:cs="Segoe UI"/>
          <w:sz w:val="22"/>
          <w:szCs w:val="22"/>
        </w:rPr>
        <w:t>Hemgenix</w:t>
      </w:r>
      <w:proofErr w:type="spellEnd"/>
      <w:r w:rsidRPr="00BC4A10">
        <w:rPr>
          <w:rFonts w:ascii="Segoe UI" w:eastAsia="Segoe UI" w:hAnsi="Segoe UI" w:cs="Segoe UI"/>
          <w:color w:val="000000"/>
          <w:sz w:val="22"/>
          <w:szCs w:val="22"/>
        </w:rPr>
        <w:t>®</w:t>
      </w:r>
      <w:r>
        <w:rPr>
          <w:rFonts w:ascii="Segoe UI" w:eastAsia="Segoe UI" w:hAnsi="Segoe UI" w:cs="Segoe UI"/>
          <w:color w:val="000000"/>
          <w:sz w:val="22"/>
          <w:szCs w:val="22"/>
        </w:rPr>
        <w:t xml:space="preserve"> is the brand name of the gene therapy. </w:t>
      </w:r>
    </w:p>
    <w:p w14:paraId="5FF9D650" w14:textId="77777777" w:rsidR="002D2DF7" w:rsidRPr="00EC7BD5" w:rsidRDefault="002D2DF7" w:rsidP="00EC7BD5">
      <w:pPr>
        <w:pStyle w:val="Heading2"/>
        <w:rPr>
          <w:bCs/>
        </w:rPr>
      </w:pPr>
      <w:r w:rsidRPr="00EC7BD5">
        <w:t>Are there any proposed limitations on the provision of the proposed health technology delivered to the patient (For example: accessibility, dosage, quantity, duration or frequency):</w:t>
      </w:r>
    </w:p>
    <w:p w14:paraId="0E9FAAC9" w14:textId="77777777" w:rsidR="002D2DF7" w:rsidRPr="00EC7BD5" w:rsidRDefault="002D2DF7" w:rsidP="00EC7BD5">
      <w:pPr>
        <w:rPr>
          <w:rFonts w:ascii="Segoe UI" w:hAnsi="Segoe UI" w:cs="Segoe UI"/>
          <w:sz w:val="22"/>
          <w:szCs w:val="22"/>
        </w:rPr>
      </w:pPr>
      <w:r>
        <w:rPr>
          <w:rFonts w:ascii="Segoe UI" w:hAnsi="Segoe UI" w:cs="Segoe UI"/>
          <w:sz w:val="22"/>
          <w:szCs w:val="22"/>
        </w:rPr>
        <w:t>Yes</w:t>
      </w:r>
    </w:p>
    <w:p w14:paraId="1E678DD4" w14:textId="77777777" w:rsidR="002D2DF7" w:rsidRPr="00EC7BD5" w:rsidRDefault="002D2DF7" w:rsidP="00EC7BD5">
      <w:pPr>
        <w:pStyle w:val="Heading2"/>
      </w:pPr>
      <w:r w:rsidRPr="00EC7BD5">
        <w:t>Provide details and explain:</w:t>
      </w:r>
    </w:p>
    <w:p w14:paraId="05B8C953" w14:textId="77777777" w:rsidR="002D2DF7" w:rsidRPr="00EC7BD5" w:rsidRDefault="002D2DF7" w:rsidP="004A572F">
      <w:pPr>
        <w:rPr>
          <w:rFonts w:ascii="Segoe UI" w:eastAsia="Segoe UI" w:hAnsi="Segoe UI" w:cs="Segoe UI"/>
          <w:color w:val="000000"/>
          <w:sz w:val="22"/>
          <w:szCs w:val="22"/>
        </w:rPr>
      </w:pPr>
      <w:proofErr w:type="spellStart"/>
      <w:r>
        <w:rPr>
          <w:rFonts w:ascii="Segoe UI" w:hAnsi="Segoe UI" w:cs="Segoe UI"/>
          <w:sz w:val="22"/>
          <w:szCs w:val="22"/>
        </w:rPr>
        <w:t>Hemgenix</w:t>
      </w:r>
      <w:proofErr w:type="spellEnd"/>
      <w:r w:rsidRPr="00BC4A10">
        <w:rPr>
          <w:rFonts w:ascii="Segoe UI" w:eastAsia="Segoe UI" w:hAnsi="Segoe UI" w:cs="Segoe UI"/>
          <w:color w:val="000000"/>
          <w:sz w:val="22"/>
          <w:szCs w:val="22"/>
        </w:rPr>
        <w:t>®</w:t>
      </w:r>
      <w:r>
        <w:rPr>
          <w:rFonts w:ascii="Segoe UI" w:eastAsia="Segoe UI" w:hAnsi="Segoe UI" w:cs="Segoe UI"/>
          <w:color w:val="000000"/>
          <w:sz w:val="22"/>
          <w:szCs w:val="22"/>
        </w:rPr>
        <w:t xml:space="preserve"> will be administered once only to eligible patients as a single intravenous administration by a haematology at a hub HTC trained in the delivery of gene therapy (AHCDO 2022). </w:t>
      </w:r>
      <w:r>
        <w:t>T</w:t>
      </w:r>
      <w:r w:rsidRPr="004B6894">
        <w:rPr>
          <w:rFonts w:ascii="Segoe UI" w:eastAsia="Segoe UI" w:hAnsi="Segoe UI" w:cs="Segoe UI"/>
          <w:color w:val="000000"/>
          <w:sz w:val="22"/>
          <w:szCs w:val="22"/>
        </w:rPr>
        <w:t>he AHCDO roadmap proposes a hub and spoke model of care for the administration of gene therapy in Australia. While it is the spoke centre’s responsibility to identify and screen patients for selection, the decision of which patients to treat is shared by the hub and spoke centres, and the hub is responsible for the administration of gene therapy</w:t>
      </w:r>
      <w:r>
        <w:rPr>
          <w:rFonts w:ascii="Segoe UI" w:eastAsia="Segoe UI" w:hAnsi="Segoe UI" w:cs="Segoe UI"/>
          <w:color w:val="000000"/>
          <w:sz w:val="22"/>
          <w:szCs w:val="22"/>
        </w:rPr>
        <w:t xml:space="preserve">. </w:t>
      </w:r>
      <w:r w:rsidRPr="00AB5962">
        <w:rPr>
          <w:rFonts w:ascii="Segoe UI" w:eastAsia="Segoe UI" w:hAnsi="Segoe UI" w:cs="Segoe UI"/>
          <w:color w:val="000000"/>
          <w:sz w:val="22"/>
          <w:szCs w:val="22"/>
        </w:rPr>
        <w:t xml:space="preserve">Provided as a sterile solution in 10 mL glass vials </w:t>
      </w:r>
      <w:proofErr w:type="spellStart"/>
      <w:r w:rsidRPr="004A572F">
        <w:rPr>
          <w:rFonts w:ascii="Segoe UI" w:eastAsia="Segoe UI" w:hAnsi="Segoe UI" w:cs="Segoe UI"/>
          <w:color w:val="000000"/>
          <w:sz w:val="22"/>
          <w:szCs w:val="22"/>
        </w:rPr>
        <w:t>Hemgenix</w:t>
      </w:r>
      <w:proofErr w:type="spellEnd"/>
      <w:r w:rsidRPr="004A572F">
        <w:rPr>
          <w:rFonts w:ascii="Segoe UI" w:eastAsia="Segoe UI" w:hAnsi="Segoe UI" w:cs="Segoe UI"/>
          <w:color w:val="000000"/>
          <w:sz w:val="22"/>
          <w:szCs w:val="22"/>
        </w:rPr>
        <w:t xml:space="preserve"> would be administered by IV infusion at a dose of 2x10</w:t>
      </w:r>
      <w:r w:rsidRPr="00AC2100">
        <w:rPr>
          <w:rFonts w:ascii="Segoe UI" w:eastAsia="Segoe UI" w:hAnsi="Segoe UI" w:cs="Segoe UI"/>
          <w:color w:val="000000"/>
          <w:sz w:val="22"/>
          <w:szCs w:val="22"/>
          <w:vertAlign w:val="superscript"/>
        </w:rPr>
        <w:t>13</w:t>
      </w:r>
      <w:r w:rsidRPr="004A572F">
        <w:rPr>
          <w:rFonts w:ascii="Segoe UI" w:eastAsia="Segoe UI" w:hAnsi="Segoe UI" w:cs="Segoe UI"/>
          <w:color w:val="000000"/>
          <w:sz w:val="22"/>
          <w:szCs w:val="22"/>
        </w:rPr>
        <w:t xml:space="preserve"> </w:t>
      </w:r>
      <w:proofErr w:type="spellStart"/>
      <w:r w:rsidRPr="004A572F">
        <w:rPr>
          <w:rFonts w:ascii="Segoe UI" w:eastAsia="Segoe UI" w:hAnsi="Segoe UI" w:cs="Segoe UI"/>
          <w:color w:val="000000"/>
          <w:sz w:val="22"/>
          <w:szCs w:val="22"/>
        </w:rPr>
        <w:t>gc</w:t>
      </w:r>
      <w:proofErr w:type="spellEnd"/>
      <w:r w:rsidRPr="004A572F">
        <w:rPr>
          <w:rFonts w:ascii="Segoe UI" w:eastAsia="Segoe UI" w:hAnsi="Segoe UI" w:cs="Segoe UI"/>
          <w:color w:val="000000"/>
          <w:sz w:val="22"/>
          <w:szCs w:val="22"/>
        </w:rPr>
        <w:t>/kg</w:t>
      </w:r>
      <w:r>
        <w:rPr>
          <w:rFonts w:ascii="Segoe UI" w:eastAsia="Segoe UI" w:hAnsi="Segoe UI" w:cs="Segoe UI"/>
          <w:color w:val="000000"/>
          <w:sz w:val="22"/>
          <w:szCs w:val="22"/>
        </w:rPr>
        <w:t xml:space="preserve"> and</w:t>
      </w:r>
      <w:r w:rsidRPr="00AB5962">
        <w:rPr>
          <w:rFonts w:ascii="Segoe UI" w:eastAsia="Segoe UI" w:hAnsi="Segoe UI" w:cs="Segoe UI"/>
          <w:color w:val="000000"/>
          <w:sz w:val="22"/>
          <w:szCs w:val="22"/>
        </w:rPr>
        <w:t xml:space="preserve"> as a single-dose IV infusion into a</w:t>
      </w:r>
      <w:r>
        <w:rPr>
          <w:rFonts w:ascii="Segoe UI" w:eastAsia="Segoe UI" w:hAnsi="Segoe UI" w:cs="Segoe UI"/>
          <w:color w:val="000000"/>
          <w:sz w:val="22"/>
          <w:szCs w:val="22"/>
        </w:rPr>
        <w:t xml:space="preserve"> </w:t>
      </w:r>
      <w:r w:rsidRPr="00AB5962">
        <w:rPr>
          <w:rFonts w:ascii="Segoe UI" w:eastAsia="Segoe UI" w:hAnsi="Segoe UI" w:cs="Segoe UI"/>
          <w:color w:val="000000"/>
          <w:sz w:val="22"/>
          <w:szCs w:val="22"/>
        </w:rPr>
        <w:t>peripheral vein</w:t>
      </w:r>
      <w:r>
        <w:rPr>
          <w:rFonts w:ascii="Segoe UI" w:eastAsia="Segoe UI" w:hAnsi="Segoe UI" w:cs="Segoe UI"/>
          <w:color w:val="000000"/>
          <w:sz w:val="22"/>
          <w:szCs w:val="22"/>
        </w:rPr>
        <w:t xml:space="preserve"> </w:t>
      </w:r>
      <w:r w:rsidRPr="004A572F">
        <w:rPr>
          <w:rFonts w:ascii="Segoe UI" w:eastAsia="Segoe UI" w:hAnsi="Segoe UI" w:cs="Segoe UI"/>
          <w:color w:val="000000"/>
          <w:sz w:val="22"/>
          <w:szCs w:val="22"/>
        </w:rPr>
        <w:t>over 1–2 hours in an outpatient</w:t>
      </w:r>
      <w:r>
        <w:rPr>
          <w:rFonts w:ascii="Segoe UI" w:eastAsia="Segoe UI" w:hAnsi="Segoe UI" w:cs="Segoe UI"/>
          <w:color w:val="000000"/>
          <w:sz w:val="22"/>
          <w:szCs w:val="22"/>
        </w:rPr>
        <w:t xml:space="preserve"> </w:t>
      </w:r>
      <w:r w:rsidRPr="004A572F">
        <w:rPr>
          <w:rFonts w:ascii="Segoe UI" w:eastAsia="Segoe UI" w:hAnsi="Segoe UI" w:cs="Segoe UI"/>
          <w:color w:val="000000"/>
          <w:sz w:val="22"/>
          <w:szCs w:val="22"/>
        </w:rPr>
        <w:t>setting (CSL Behring LLC 2022).</w:t>
      </w:r>
    </w:p>
    <w:p w14:paraId="1D101752" w14:textId="77777777" w:rsidR="002D2DF7" w:rsidRPr="00EC7BD5" w:rsidRDefault="002D2DF7" w:rsidP="00EC7BD5">
      <w:pPr>
        <w:pStyle w:val="Heading2"/>
      </w:pPr>
      <w:r w:rsidRPr="00EC7BD5">
        <w:t>If applicable, advise which health professionals will be needed to provide the proposed health technology:</w:t>
      </w:r>
    </w:p>
    <w:p w14:paraId="0D5B780A" w14:textId="77777777" w:rsidR="002D2DF7" w:rsidRDefault="002D2DF7" w:rsidP="00EC7BD5">
      <w:pPr>
        <w:pStyle w:val="Heading2"/>
        <w:rPr>
          <w:rFonts w:eastAsiaTheme="minorHAnsi"/>
          <w:b w:val="0"/>
          <w:color w:val="auto"/>
        </w:rPr>
      </w:pPr>
      <w:r w:rsidRPr="00AD39FA">
        <w:rPr>
          <w:rFonts w:eastAsiaTheme="minorHAnsi"/>
          <w:b w:val="0"/>
          <w:color w:val="auto"/>
        </w:rPr>
        <w:t xml:space="preserve">Haematologist required for </w:t>
      </w:r>
      <w:proofErr w:type="spellStart"/>
      <w:r w:rsidRPr="00AD39FA">
        <w:rPr>
          <w:rFonts w:eastAsiaTheme="minorHAnsi"/>
          <w:b w:val="0"/>
          <w:color w:val="auto"/>
        </w:rPr>
        <w:t>NAb</w:t>
      </w:r>
      <w:proofErr w:type="spellEnd"/>
      <w:r w:rsidRPr="00AD39FA">
        <w:rPr>
          <w:rFonts w:eastAsiaTheme="minorHAnsi"/>
          <w:b w:val="0"/>
          <w:color w:val="auto"/>
        </w:rPr>
        <w:t xml:space="preserve"> assay ordering</w:t>
      </w:r>
      <w:r>
        <w:rPr>
          <w:rFonts w:eastAsiaTheme="minorHAnsi"/>
          <w:b w:val="0"/>
          <w:color w:val="auto"/>
        </w:rPr>
        <w:t xml:space="preserve">. Haematologists and infusion specialists will be responsible for </w:t>
      </w:r>
      <w:r w:rsidRPr="004F4C4B">
        <w:rPr>
          <w:rFonts w:eastAsiaTheme="minorHAnsi"/>
          <w:b w:val="0"/>
          <w:color w:val="auto"/>
        </w:rPr>
        <w:t xml:space="preserve">administering </w:t>
      </w:r>
      <w:proofErr w:type="spellStart"/>
      <w:r w:rsidRPr="004F4C4B">
        <w:rPr>
          <w:b w:val="0"/>
        </w:rPr>
        <w:t>Hemgenix</w:t>
      </w:r>
      <w:proofErr w:type="spellEnd"/>
      <w:r w:rsidRPr="004F4C4B">
        <w:rPr>
          <w:b w:val="0"/>
        </w:rPr>
        <w:t>®</w:t>
      </w:r>
      <w:r w:rsidRPr="004F4C4B">
        <w:rPr>
          <w:rFonts w:eastAsiaTheme="minorHAnsi"/>
          <w:b w:val="0"/>
          <w:color w:val="auto"/>
        </w:rPr>
        <w:t>.</w:t>
      </w:r>
      <w:r w:rsidRPr="00AD39FA">
        <w:rPr>
          <w:rFonts w:eastAsiaTheme="minorHAnsi"/>
          <w:b w:val="0"/>
          <w:color w:val="auto"/>
        </w:rPr>
        <w:t xml:space="preserve"> Nurse or phlebotomist required for blood draw. Testing will be run-</w:t>
      </w:r>
      <w:proofErr w:type="gramStart"/>
      <w:r w:rsidRPr="00AD39FA">
        <w:rPr>
          <w:rFonts w:eastAsiaTheme="minorHAnsi"/>
          <w:b w:val="0"/>
          <w:color w:val="auto"/>
        </w:rPr>
        <w:t>off shore</w:t>
      </w:r>
      <w:proofErr w:type="gramEnd"/>
      <w:r w:rsidRPr="00AD39FA">
        <w:rPr>
          <w:rFonts w:eastAsiaTheme="minorHAnsi"/>
          <w:b w:val="0"/>
          <w:color w:val="auto"/>
        </w:rPr>
        <w:t xml:space="preserve"> by trained pathology experts at Precision for Medicine</w:t>
      </w:r>
      <w:r>
        <w:rPr>
          <w:rFonts w:eastAsiaTheme="minorHAnsi"/>
          <w:b w:val="0"/>
          <w:color w:val="auto"/>
        </w:rPr>
        <w:t xml:space="preserve"> (supplier of AAV5 </w:t>
      </w:r>
      <w:proofErr w:type="spellStart"/>
      <w:r>
        <w:rPr>
          <w:rFonts w:eastAsiaTheme="minorHAnsi"/>
          <w:b w:val="0"/>
          <w:color w:val="auto"/>
        </w:rPr>
        <w:t>NAb</w:t>
      </w:r>
      <w:proofErr w:type="spellEnd"/>
      <w:r>
        <w:rPr>
          <w:rFonts w:eastAsiaTheme="minorHAnsi"/>
          <w:b w:val="0"/>
          <w:color w:val="auto"/>
        </w:rPr>
        <w:t xml:space="preserve"> assay)</w:t>
      </w:r>
      <w:r w:rsidRPr="00AD39FA">
        <w:rPr>
          <w:rFonts w:eastAsiaTheme="minorHAnsi"/>
          <w:b w:val="0"/>
          <w:color w:val="auto"/>
        </w:rPr>
        <w:t>.</w:t>
      </w:r>
    </w:p>
    <w:p w14:paraId="0918C38B" w14:textId="77777777" w:rsidR="002D2DF7" w:rsidRPr="00EC7BD5" w:rsidRDefault="002D2DF7" w:rsidP="00EC7BD5">
      <w:pPr>
        <w:pStyle w:val="Heading2"/>
      </w:pPr>
      <w:r w:rsidRPr="00EC7BD5">
        <w:t>If applicable, advise whether delivery of the proposed health technology can be delegated to another health professional:</w:t>
      </w:r>
    </w:p>
    <w:p w14:paraId="16126FE9" w14:textId="77777777" w:rsidR="002D2DF7" w:rsidRDefault="002D2DF7" w:rsidP="00EC7BD5">
      <w:pPr>
        <w:pStyle w:val="Heading2"/>
        <w:rPr>
          <w:rFonts w:eastAsiaTheme="minorHAnsi"/>
          <w:b w:val="0"/>
          <w:color w:val="auto"/>
        </w:rPr>
      </w:pPr>
      <w:r w:rsidRPr="00AD39FA">
        <w:rPr>
          <w:rFonts w:eastAsiaTheme="minorHAnsi"/>
          <w:b w:val="0"/>
          <w:color w:val="auto"/>
        </w:rPr>
        <w:t xml:space="preserve">The AAV5 </w:t>
      </w:r>
      <w:proofErr w:type="spellStart"/>
      <w:r w:rsidRPr="00AD39FA">
        <w:rPr>
          <w:rFonts w:eastAsiaTheme="minorHAnsi"/>
          <w:b w:val="0"/>
          <w:color w:val="auto"/>
        </w:rPr>
        <w:t>NAb</w:t>
      </w:r>
      <w:proofErr w:type="spellEnd"/>
      <w:r w:rsidRPr="00AD39FA">
        <w:rPr>
          <w:rFonts w:eastAsiaTheme="minorHAnsi"/>
          <w:b w:val="0"/>
          <w:color w:val="auto"/>
        </w:rPr>
        <w:t xml:space="preserve"> assay will solely be conducted at a single site located at Precision for Medicine (</w:t>
      </w:r>
      <w:proofErr w:type="spellStart"/>
      <w:r w:rsidRPr="00AD39FA">
        <w:rPr>
          <w:rFonts w:eastAsiaTheme="minorHAnsi"/>
          <w:b w:val="0"/>
          <w:color w:val="auto"/>
        </w:rPr>
        <w:t>PfM</w:t>
      </w:r>
      <w:proofErr w:type="spellEnd"/>
      <w:r w:rsidRPr="00AD39FA">
        <w:rPr>
          <w:rFonts w:eastAsiaTheme="minorHAnsi"/>
          <w:b w:val="0"/>
          <w:color w:val="auto"/>
        </w:rPr>
        <w:t xml:space="preserve">), the third-party supplier of the assay. This single site will support testing requirements for </w:t>
      </w:r>
      <w:r w:rsidRPr="00AD39FA">
        <w:rPr>
          <w:rFonts w:eastAsiaTheme="minorHAnsi"/>
          <w:b w:val="0"/>
          <w:color w:val="auto"/>
        </w:rPr>
        <w:lastRenderedPageBreak/>
        <w:t xml:space="preserve">all </w:t>
      </w:r>
      <w:proofErr w:type="spellStart"/>
      <w:r w:rsidRPr="00AD39FA">
        <w:rPr>
          <w:rFonts w:eastAsiaTheme="minorHAnsi"/>
          <w:b w:val="0"/>
          <w:color w:val="auto"/>
        </w:rPr>
        <w:t>Hemgenix</w:t>
      </w:r>
      <w:proofErr w:type="spellEnd"/>
      <w:r w:rsidRPr="00AD39FA">
        <w:rPr>
          <w:rFonts w:eastAsiaTheme="minorHAnsi"/>
          <w:b w:val="0"/>
          <w:color w:val="auto"/>
        </w:rPr>
        <w:t xml:space="preserve"> markets globally.</w:t>
      </w:r>
      <w:r>
        <w:rPr>
          <w:rFonts w:eastAsiaTheme="minorHAnsi"/>
          <w:b w:val="0"/>
          <w:color w:val="auto"/>
        </w:rPr>
        <w:t xml:space="preserve"> The delivery of </w:t>
      </w:r>
      <w:proofErr w:type="spellStart"/>
      <w:r w:rsidRPr="004F4C4B">
        <w:rPr>
          <w:b w:val="0"/>
        </w:rPr>
        <w:t>Hemgenix</w:t>
      </w:r>
      <w:proofErr w:type="spellEnd"/>
      <w:r w:rsidRPr="004F4C4B">
        <w:rPr>
          <w:b w:val="0"/>
        </w:rPr>
        <w:t>®</w:t>
      </w:r>
      <w:r>
        <w:rPr>
          <w:rFonts w:eastAsiaTheme="minorHAnsi"/>
          <w:b w:val="0"/>
          <w:color w:val="auto"/>
        </w:rPr>
        <w:t xml:space="preserve"> is the responsibility of treating haematologist and their support team with support from spoke </w:t>
      </w:r>
      <w:proofErr w:type="gramStart"/>
      <w:r>
        <w:rPr>
          <w:rFonts w:eastAsiaTheme="minorHAnsi"/>
          <w:b w:val="0"/>
          <w:color w:val="auto"/>
        </w:rPr>
        <w:t>HTC’s</w:t>
      </w:r>
      <w:proofErr w:type="gramEnd"/>
      <w:r>
        <w:rPr>
          <w:rFonts w:eastAsiaTheme="minorHAnsi"/>
          <w:b w:val="0"/>
          <w:color w:val="auto"/>
        </w:rPr>
        <w:t xml:space="preserve"> in the broader management of the patient. </w:t>
      </w:r>
    </w:p>
    <w:p w14:paraId="5C5BEAE6" w14:textId="77777777" w:rsidR="002D2DF7" w:rsidRPr="00EC7BD5" w:rsidRDefault="002D2DF7" w:rsidP="00EC7BD5">
      <w:pPr>
        <w:pStyle w:val="Heading2"/>
      </w:pPr>
      <w:r w:rsidRPr="00EC7BD5">
        <w:t>If applicable, advise if there are any limitations on which health professionals might provide a referral for the proposed health technology:</w:t>
      </w:r>
    </w:p>
    <w:p w14:paraId="4D4F6EAB" w14:textId="77777777" w:rsidR="002D2DF7" w:rsidRDefault="002D2DF7" w:rsidP="00122BBE">
      <w:pPr>
        <w:pStyle w:val="Heading2"/>
        <w:rPr>
          <w:rFonts w:eastAsiaTheme="minorHAnsi"/>
          <w:b w:val="0"/>
          <w:color w:val="auto"/>
        </w:rPr>
      </w:pPr>
      <w:r>
        <w:rPr>
          <w:rFonts w:eastAsiaTheme="minorHAnsi"/>
          <w:b w:val="0"/>
          <w:color w:val="auto"/>
        </w:rPr>
        <w:t>Haematologists</w:t>
      </w:r>
      <w:r w:rsidRPr="00E139A1">
        <w:rPr>
          <w:rFonts w:eastAsiaTheme="minorHAnsi"/>
          <w:b w:val="0"/>
          <w:color w:val="auto"/>
        </w:rPr>
        <w:t xml:space="preserve"> at Hub/Spoke Haemophilia Treatment Centres (HTCs) will </w:t>
      </w:r>
      <w:r>
        <w:rPr>
          <w:rFonts w:eastAsiaTheme="minorHAnsi"/>
          <w:b w:val="0"/>
          <w:color w:val="auto"/>
        </w:rPr>
        <w:t>orde</w:t>
      </w:r>
      <w:r w:rsidRPr="00E139A1">
        <w:rPr>
          <w:rFonts w:eastAsiaTheme="minorHAnsi"/>
          <w:b w:val="0"/>
          <w:color w:val="auto"/>
        </w:rPr>
        <w:t>r the proposed test</w:t>
      </w:r>
      <w:r>
        <w:rPr>
          <w:rFonts w:eastAsiaTheme="minorHAnsi"/>
          <w:b w:val="0"/>
          <w:color w:val="auto"/>
        </w:rPr>
        <w:t xml:space="preserve"> for</w:t>
      </w:r>
      <w:r w:rsidRPr="00E139A1">
        <w:rPr>
          <w:rFonts w:eastAsiaTheme="minorHAnsi"/>
          <w:b w:val="0"/>
          <w:color w:val="auto"/>
        </w:rPr>
        <w:t xml:space="preserve"> patients considered for treatment with </w:t>
      </w:r>
      <w:proofErr w:type="spellStart"/>
      <w:r w:rsidRPr="00E139A1">
        <w:rPr>
          <w:rFonts w:eastAsiaTheme="minorHAnsi"/>
          <w:b w:val="0"/>
          <w:color w:val="auto"/>
        </w:rPr>
        <w:t>Hemgenix</w:t>
      </w:r>
      <w:proofErr w:type="spellEnd"/>
      <w:r w:rsidRPr="00E139A1">
        <w:rPr>
          <w:rFonts w:eastAsiaTheme="minorHAnsi"/>
          <w:b w:val="0"/>
          <w:color w:val="auto"/>
        </w:rPr>
        <w:t xml:space="preserve">®. It is not intended for patients to be referred for the AAV5 </w:t>
      </w:r>
      <w:proofErr w:type="spellStart"/>
      <w:r w:rsidRPr="00E139A1">
        <w:rPr>
          <w:rFonts w:eastAsiaTheme="minorHAnsi"/>
          <w:b w:val="0"/>
          <w:color w:val="auto"/>
        </w:rPr>
        <w:t>NAb</w:t>
      </w:r>
      <w:proofErr w:type="spellEnd"/>
      <w:r w:rsidRPr="00E139A1">
        <w:rPr>
          <w:rFonts w:eastAsiaTheme="minorHAnsi"/>
          <w:b w:val="0"/>
          <w:color w:val="auto"/>
        </w:rPr>
        <w:t xml:space="preserve"> test outside of these centres.</w:t>
      </w:r>
      <w:r>
        <w:rPr>
          <w:rFonts w:eastAsiaTheme="minorHAnsi"/>
          <w:b w:val="0"/>
          <w:color w:val="auto"/>
        </w:rPr>
        <w:t xml:space="preserve"> </w:t>
      </w:r>
      <w:r w:rsidRPr="00122BBE">
        <w:rPr>
          <w:rFonts w:eastAsiaTheme="minorHAnsi"/>
          <w:b w:val="0"/>
          <w:color w:val="auto"/>
        </w:rPr>
        <w:t>As discussed above, haematologists at hub HTCs will be solely responsible for administering</w:t>
      </w:r>
      <w:r>
        <w:rPr>
          <w:rFonts w:eastAsiaTheme="minorHAnsi"/>
          <w:b w:val="0"/>
          <w:color w:val="auto"/>
        </w:rPr>
        <w:t xml:space="preserve"> </w:t>
      </w:r>
      <w:proofErr w:type="spellStart"/>
      <w:r w:rsidRPr="004F4C4B">
        <w:rPr>
          <w:b w:val="0"/>
        </w:rPr>
        <w:t>Hemgenix</w:t>
      </w:r>
      <w:proofErr w:type="spellEnd"/>
      <w:r w:rsidRPr="004F4C4B">
        <w:rPr>
          <w:b w:val="0"/>
        </w:rPr>
        <w:t>®</w:t>
      </w:r>
      <w:r>
        <w:rPr>
          <w:b w:val="0"/>
        </w:rPr>
        <w:t xml:space="preserve"> </w:t>
      </w:r>
      <w:r w:rsidRPr="00122BBE">
        <w:rPr>
          <w:rFonts w:eastAsiaTheme="minorHAnsi"/>
          <w:b w:val="0"/>
          <w:color w:val="auto"/>
        </w:rPr>
        <w:t>with support provided by haematologists at spoke HTCs in the</w:t>
      </w:r>
      <w:r>
        <w:rPr>
          <w:rFonts w:eastAsiaTheme="minorHAnsi"/>
          <w:b w:val="0"/>
          <w:color w:val="auto"/>
        </w:rPr>
        <w:t xml:space="preserve"> </w:t>
      </w:r>
      <w:r w:rsidRPr="00122BBE">
        <w:rPr>
          <w:rFonts w:eastAsiaTheme="minorHAnsi"/>
          <w:b w:val="0"/>
          <w:color w:val="auto"/>
        </w:rPr>
        <w:t xml:space="preserve">broader management of these patients. </w:t>
      </w:r>
    </w:p>
    <w:p w14:paraId="7B556C49" w14:textId="77777777" w:rsidR="002D2DF7" w:rsidRDefault="002D2DF7" w:rsidP="00EC7BD5">
      <w:pPr>
        <w:pStyle w:val="Heading2"/>
      </w:pPr>
      <w:r w:rsidRPr="00EC7BD5">
        <w:t xml:space="preserve">Is there specific training or qualifications required to provide or deliver the proposed service, and/or any accreditation requirements to support delivery of the health technology? </w:t>
      </w:r>
    </w:p>
    <w:p w14:paraId="17282861" w14:textId="77777777" w:rsidR="002D2DF7" w:rsidRPr="006F1874" w:rsidRDefault="002D2DF7" w:rsidP="006F1874">
      <w:pPr>
        <w:spacing w:after="0"/>
      </w:pPr>
    </w:p>
    <w:p w14:paraId="7AA1CE74" w14:textId="77777777" w:rsidR="002D2DF7" w:rsidRDefault="002D2DF7" w:rsidP="00EC7BD5">
      <w:pPr>
        <w:rPr>
          <w:rFonts w:ascii="Segoe UI" w:hAnsi="Segoe UI" w:cs="Segoe UI"/>
          <w:sz w:val="22"/>
          <w:szCs w:val="22"/>
        </w:rPr>
      </w:pPr>
      <w:r>
        <w:rPr>
          <w:rFonts w:ascii="Segoe UI" w:hAnsi="Segoe UI" w:cs="Segoe UI"/>
          <w:b/>
          <w:bCs/>
          <w:sz w:val="22"/>
          <w:szCs w:val="22"/>
        </w:rPr>
        <w:t xml:space="preserve">Test: </w:t>
      </w:r>
      <w:r>
        <w:rPr>
          <w:rFonts w:ascii="Segoe UI" w:hAnsi="Segoe UI" w:cs="Segoe UI"/>
          <w:sz w:val="22"/>
          <w:szCs w:val="22"/>
        </w:rPr>
        <w:t>No</w:t>
      </w:r>
      <w:r w:rsidRPr="00E139A1">
        <w:rPr>
          <w:rFonts w:ascii="Segoe UI" w:hAnsi="Segoe UI" w:cs="Segoe UI"/>
          <w:sz w:val="22"/>
          <w:szCs w:val="22"/>
        </w:rPr>
        <w:t>.</w:t>
      </w:r>
    </w:p>
    <w:p w14:paraId="2C7A2157" w14:textId="77777777" w:rsidR="002D2DF7" w:rsidRPr="00D23032" w:rsidRDefault="002D2DF7" w:rsidP="00EC7BD5">
      <w:pPr>
        <w:rPr>
          <w:rFonts w:ascii="Segoe UI" w:hAnsi="Segoe UI" w:cs="Segoe UI"/>
          <w:sz w:val="22"/>
          <w:szCs w:val="22"/>
        </w:rPr>
      </w:pPr>
      <w:r>
        <w:rPr>
          <w:rFonts w:ascii="Segoe UI" w:hAnsi="Segoe UI" w:cs="Segoe UI"/>
          <w:b/>
          <w:bCs/>
          <w:sz w:val="22"/>
          <w:szCs w:val="22"/>
        </w:rPr>
        <w:t xml:space="preserve">Intervention: </w:t>
      </w:r>
      <w:r>
        <w:rPr>
          <w:rFonts w:ascii="Segoe UI" w:hAnsi="Segoe UI" w:cs="Segoe UI"/>
          <w:sz w:val="22"/>
          <w:szCs w:val="22"/>
        </w:rPr>
        <w:t>Yes</w:t>
      </w:r>
    </w:p>
    <w:p w14:paraId="645DE157" w14:textId="77777777" w:rsidR="002D2DF7" w:rsidRDefault="002D2DF7" w:rsidP="00EC7BD5">
      <w:pPr>
        <w:pStyle w:val="Heading2"/>
      </w:pPr>
      <w:r w:rsidRPr="00EC7BD5">
        <w:t>Provide details and explain:</w:t>
      </w:r>
    </w:p>
    <w:p w14:paraId="009AC58A" w14:textId="77777777" w:rsidR="002D2DF7" w:rsidRPr="00AB34B9" w:rsidRDefault="002D2DF7" w:rsidP="00AB34B9">
      <w:pPr>
        <w:spacing w:after="0"/>
      </w:pPr>
    </w:p>
    <w:p w14:paraId="4C98E712" w14:textId="77777777" w:rsidR="002D2DF7" w:rsidRDefault="002D2DF7" w:rsidP="00EC7BD5">
      <w:pPr>
        <w:rPr>
          <w:rFonts w:ascii="Segoe UI" w:hAnsi="Segoe UI" w:cs="Segoe UI"/>
          <w:sz w:val="22"/>
          <w:szCs w:val="22"/>
        </w:rPr>
      </w:pPr>
      <w:r w:rsidRPr="00AB34B9">
        <w:rPr>
          <w:rFonts w:ascii="Segoe UI" w:hAnsi="Segoe UI" w:cs="Segoe UI"/>
          <w:b/>
          <w:bCs/>
          <w:sz w:val="22"/>
          <w:szCs w:val="22"/>
        </w:rPr>
        <w:t>Test:</w:t>
      </w:r>
      <w:r>
        <w:rPr>
          <w:rFonts w:ascii="Segoe UI" w:hAnsi="Segoe UI" w:cs="Segoe UI"/>
          <w:sz w:val="22"/>
          <w:szCs w:val="22"/>
        </w:rPr>
        <w:t xml:space="preserve"> </w:t>
      </w:r>
      <w:r w:rsidRPr="00E139A1">
        <w:rPr>
          <w:rFonts w:ascii="Segoe UI" w:hAnsi="Segoe UI" w:cs="Segoe UI"/>
          <w:sz w:val="22"/>
          <w:szCs w:val="22"/>
        </w:rPr>
        <w:t xml:space="preserve">There are no specific training or qualifications required to provide or deliver the </w:t>
      </w:r>
      <w:proofErr w:type="spellStart"/>
      <w:r w:rsidRPr="00E139A1">
        <w:rPr>
          <w:rFonts w:ascii="Segoe UI" w:hAnsi="Segoe UI" w:cs="Segoe UI"/>
          <w:sz w:val="22"/>
          <w:szCs w:val="22"/>
        </w:rPr>
        <w:t>NAb</w:t>
      </w:r>
      <w:proofErr w:type="spellEnd"/>
      <w:r w:rsidRPr="00E139A1">
        <w:rPr>
          <w:rFonts w:ascii="Segoe UI" w:hAnsi="Segoe UI" w:cs="Segoe UI"/>
          <w:sz w:val="22"/>
          <w:szCs w:val="22"/>
        </w:rPr>
        <w:t xml:space="preserve"> assay from a local perspective. The proposed assay will be performed by </w:t>
      </w:r>
      <w:proofErr w:type="spellStart"/>
      <w:r w:rsidRPr="00E139A1">
        <w:rPr>
          <w:rFonts w:ascii="Segoe UI" w:hAnsi="Segoe UI" w:cs="Segoe UI"/>
          <w:sz w:val="22"/>
          <w:szCs w:val="22"/>
        </w:rPr>
        <w:t>PfM</w:t>
      </w:r>
      <w:proofErr w:type="spellEnd"/>
      <w:r w:rsidRPr="00E139A1">
        <w:rPr>
          <w:rFonts w:ascii="Segoe UI" w:hAnsi="Segoe UI" w:cs="Segoe UI"/>
          <w:sz w:val="22"/>
          <w:szCs w:val="22"/>
        </w:rPr>
        <w:t xml:space="preserve"> Laboratory Scientists who have been trained to conduct the test.</w:t>
      </w:r>
    </w:p>
    <w:p w14:paraId="20E57043" w14:textId="29EB3C37" w:rsidR="002D2DF7" w:rsidRPr="00644BF8" w:rsidRDefault="00173E63" w:rsidP="00644BF8">
      <w:pPr>
        <w:rPr>
          <w:rFonts w:ascii="Segoe UI" w:hAnsi="Segoe UI" w:cs="Segoe UI"/>
          <w:sz w:val="22"/>
          <w:szCs w:val="22"/>
        </w:rPr>
      </w:pPr>
      <w:r>
        <w:rPr>
          <w:rFonts w:ascii="Segoe UI" w:hAnsi="Segoe UI" w:cs="Segoe UI"/>
          <w:b/>
          <w:bCs/>
          <w:sz w:val="22"/>
          <w:szCs w:val="22"/>
        </w:rPr>
        <w:t>Intervention</w:t>
      </w:r>
      <w:r w:rsidR="002D2DF7">
        <w:rPr>
          <w:rFonts w:ascii="Segoe UI" w:hAnsi="Segoe UI" w:cs="Segoe UI"/>
          <w:b/>
          <w:bCs/>
          <w:sz w:val="22"/>
          <w:szCs w:val="22"/>
        </w:rPr>
        <w:t xml:space="preserve">: </w:t>
      </w:r>
      <w:proofErr w:type="spellStart"/>
      <w:r w:rsidR="002D2DF7" w:rsidRPr="00D66F1A">
        <w:rPr>
          <w:rFonts w:ascii="Segoe UI" w:hAnsi="Segoe UI" w:cs="Segoe UI"/>
          <w:bCs/>
          <w:sz w:val="22"/>
          <w:szCs w:val="22"/>
        </w:rPr>
        <w:t>Hemgenix</w:t>
      </w:r>
      <w:proofErr w:type="spellEnd"/>
      <w:r w:rsidR="002D2DF7" w:rsidRPr="00D66F1A">
        <w:rPr>
          <w:rFonts w:ascii="Segoe UI" w:eastAsia="Segoe UI" w:hAnsi="Segoe UI" w:cs="Segoe UI"/>
          <w:bCs/>
          <w:color w:val="000000"/>
          <w:sz w:val="22"/>
          <w:szCs w:val="22"/>
        </w:rPr>
        <w:t>®</w:t>
      </w:r>
      <w:r w:rsidR="002D2DF7">
        <w:rPr>
          <w:rFonts w:ascii="Segoe UI" w:eastAsia="Segoe UI" w:hAnsi="Segoe UI" w:cs="Segoe UI"/>
          <w:b/>
          <w:color w:val="000000"/>
          <w:sz w:val="22"/>
          <w:szCs w:val="22"/>
        </w:rPr>
        <w:t xml:space="preserve"> </w:t>
      </w:r>
      <w:r w:rsidR="002D2DF7" w:rsidRPr="00644BF8">
        <w:rPr>
          <w:rFonts w:ascii="Segoe UI" w:hAnsi="Segoe UI" w:cs="Segoe UI"/>
          <w:sz w:val="22"/>
          <w:szCs w:val="22"/>
        </w:rPr>
        <w:t>infusion will be provided at five hub HTCs by highly specialised</w:t>
      </w:r>
      <w:r w:rsidR="002D2DF7">
        <w:rPr>
          <w:rFonts w:ascii="Segoe UI" w:hAnsi="Segoe UI" w:cs="Segoe UI"/>
          <w:sz w:val="22"/>
          <w:szCs w:val="22"/>
        </w:rPr>
        <w:t xml:space="preserve"> </w:t>
      </w:r>
      <w:r w:rsidR="002D2DF7" w:rsidRPr="00644BF8">
        <w:rPr>
          <w:rFonts w:ascii="Segoe UI" w:hAnsi="Segoe UI" w:cs="Segoe UI"/>
          <w:sz w:val="22"/>
          <w:szCs w:val="22"/>
        </w:rPr>
        <w:t>experts. AHCDO has provided a roadmap for the implementation of gene</w:t>
      </w:r>
      <w:r w:rsidR="002D2DF7">
        <w:rPr>
          <w:rFonts w:ascii="Segoe UI" w:hAnsi="Segoe UI" w:cs="Segoe UI"/>
          <w:sz w:val="22"/>
          <w:szCs w:val="22"/>
        </w:rPr>
        <w:t xml:space="preserve"> </w:t>
      </w:r>
      <w:r w:rsidR="002D2DF7" w:rsidRPr="00644BF8">
        <w:rPr>
          <w:rFonts w:ascii="Segoe UI" w:hAnsi="Segoe UI" w:cs="Segoe UI"/>
          <w:sz w:val="22"/>
          <w:szCs w:val="22"/>
        </w:rPr>
        <w:t>therapy for haemophilia in Australia (AHCDO 2022). The roadmap recommends training and</w:t>
      </w:r>
      <w:r w:rsidR="002D2DF7">
        <w:rPr>
          <w:rFonts w:ascii="Segoe UI" w:hAnsi="Segoe UI" w:cs="Segoe UI"/>
          <w:sz w:val="22"/>
          <w:szCs w:val="22"/>
        </w:rPr>
        <w:t xml:space="preserve"> </w:t>
      </w:r>
      <w:r w:rsidR="002D2DF7" w:rsidRPr="00644BF8">
        <w:rPr>
          <w:rFonts w:ascii="Segoe UI" w:hAnsi="Segoe UI" w:cs="Segoe UI"/>
          <w:sz w:val="22"/>
          <w:szCs w:val="22"/>
        </w:rPr>
        <w:t>accreditation of clinicians and other healthcare professionals at hub centres for the</w:t>
      </w:r>
      <w:r w:rsidR="002D2DF7">
        <w:rPr>
          <w:rFonts w:ascii="Segoe UI" w:hAnsi="Segoe UI" w:cs="Segoe UI"/>
          <w:sz w:val="22"/>
          <w:szCs w:val="22"/>
        </w:rPr>
        <w:t xml:space="preserve"> </w:t>
      </w:r>
      <w:r w:rsidR="002D2DF7" w:rsidRPr="00644BF8">
        <w:rPr>
          <w:rFonts w:ascii="Segoe UI" w:hAnsi="Segoe UI" w:cs="Segoe UI"/>
          <w:sz w:val="22"/>
          <w:szCs w:val="22"/>
        </w:rPr>
        <w:t>implementation of gene therapy in Australia</w:t>
      </w:r>
      <w:r w:rsidR="002D2DF7">
        <w:rPr>
          <w:rFonts w:ascii="Segoe UI" w:hAnsi="Segoe UI" w:cs="Segoe UI"/>
          <w:sz w:val="22"/>
          <w:szCs w:val="22"/>
        </w:rPr>
        <w:t xml:space="preserve">. Some HTCs already have existing capabilities in the delivery of gene therapy from clinical trial experiences, including necessary accreditations and processes such as those relating to the handling of genetically modified organisms (GMO). </w:t>
      </w:r>
    </w:p>
    <w:p w14:paraId="1D108DAA" w14:textId="77777777" w:rsidR="002D2DF7" w:rsidRPr="00EC7BD5" w:rsidRDefault="002D2DF7" w:rsidP="00EC7BD5">
      <w:pPr>
        <w:pStyle w:val="Heading2"/>
      </w:pPr>
      <w:r w:rsidRPr="00EC7BD5">
        <w:t>Indicate the proposed setting(s) in which the proposed health technology will be delivered:</w:t>
      </w:r>
    </w:p>
    <w:p w14:paraId="1F1765A3" w14:textId="77777777" w:rsidR="002D2DF7" w:rsidRPr="00EC7BD5" w:rsidRDefault="002D2DF7" w:rsidP="00673E4D"/>
    <w:p w14:paraId="5FA2DE80" w14:textId="77777777" w:rsidR="002D2DF7" w:rsidRPr="00EC7BD5" w:rsidRDefault="002D2DF7" w:rsidP="00EC7BD5">
      <w:pPr>
        <w:pStyle w:val="Tickboxes"/>
        <w:ind w:left="0"/>
        <w:rPr>
          <w:rFonts w:ascii="Segoe UI" w:hAnsi="Segoe UI" w:cs="Segoe UI"/>
          <w:sz w:val="21"/>
          <w:szCs w:val="21"/>
        </w:rPr>
      </w:pPr>
      <w:r w:rsidRPr="00EC7BD5">
        <w:rPr>
          <w:rFonts w:ascii="Segoe UI" w:hAnsi="Segoe UI" w:cs="Segoe UI"/>
          <w:sz w:val="21"/>
          <w:szCs w:val="21"/>
        </w:rPr>
        <w:fldChar w:fldCharType="begin">
          <w:ffData>
            <w:name w:val="Check1"/>
            <w:enabled/>
            <w:calcOnExit w:val="0"/>
            <w:checkBox>
              <w:sizeAuto/>
              <w:default w:val="0"/>
            </w:checkBox>
          </w:ffData>
        </w:fldChar>
      </w:r>
      <w:r w:rsidRPr="00EC7BD5">
        <w:rPr>
          <w:rFonts w:ascii="Segoe UI" w:hAnsi="Segoe UI" w:cs="Segoe UI"/>
          <w:sz w:val="21"/>
          <w:szCs w:val="21"/>
        </w:rPr>
        <w:instrText xml:space="preserve"> FORMCHECKBOX </w:instrText>
      </w:r>
      <w:r w:rsidRPr="00EC7BD5">
        <w:rPr>
          <w:rFonts w:ascii="Segoe UI" w:hAnsi="Segoe UI" w:cs="Segoe UI"/>
          <w:sz w:val="21"/>
          <w:szCs w:val="21"/>
        </w:rPr>
      </w:r>
      <w:r w:rsidRPr="00EC7BD5">
        <w:rPr>
          <w:rFonts w:ascii="Segoe UI" w:hAnsi="Segoe UI" w:cs="Segoe UI"/>
          <w:sz w:val="21"/>
          <w:szCs w:val="21"/>
        </w:rPr>
        <w:fldChar w:fldCharType="separate"/>
      </w:r>
      <w:r w:rsidRPr="00EC7BD5">
        <w:rPr>
          <w:rFonts w:ascii="Segoe UI" w:hAnsi="Segoe UI" w:cs="Segoe UI"/>
          <w:sz w:val="21"/>
          <w:szCs w:val="21"/>
        </w:rPr>
        <w:fldChar w:fldCharType="end"/>
      </w:r>
      <w:r w:rsidRPr="00EC7BD5">
        <w:rPr>
          <w:rFonts w:ascii="Segoe UI" w:hAnsi="Segoe UI" w:cs="Segoe UI"/>
          <w:sz w:val="21"/>
          <w:szCs w:val="21"/>
        </w:rPr>
        <w:t xml:space="preserve"> Consulting rooms </w:t>
      </w:r>
    </w:p>
    <w:p w14:paraId="063ECEDD" w14:textId="77777777" w:rsidR="002D2DF7" w:rsidRPr="00EC7BD5" w:rsidRDefault="002D2DF7" w:rsidP="00EC7BD5">
      <w:pPr>
        <w:pStyle w:val="Tickboxes"/>
        <w:ind w:left="0"/>
        <w:rPr>
          <w:rFonts w:ascii="Segoe UI" w:hAnsi="Segoe UI" w:cs="Segoe UI"/>
          <w:sz w:val="21"/>
          <w:szCs w:val="21"/>
        </w:rPr>
      </w:pPr>
      <w:r w:rsidRPr="00EC7BD5">
        <w:rPr>
          <w:rFonts w:ascii="Segoe UI" w:hAnsi="Segoe UI" w:cs="Segoe UI"/>
          <w:sz w:val="21"/>
          <w:szCs w:val="21"/>
        </w:rPr>
        <w:fldChar w:fldCharType="begin">
          <w:ffData>
            <w:name w:val="Check2"/>
            <w:enabled/>
            <w:calcOnExit w:val="0"/>
            <w:checkBox>
              <w:sizeAuto/>
              <w:default w:val="0"/>
            </w:checkBox>
          </w:ffData>
        </w:fldChar>
      </w:r>
      <w:r w:rsidRPr="00EC7BD5">
        <w:rPr>
          <w:rFonts w:ascii="Segoe UI" w:hAnsi="Segoe UI" w:cs="Segoe UI"/>
          <w:sz w:val="21"/>
          <w:szCs w:val="21"/>
        </w:rPr>
        <w:instrText xml:space="preserve"> FORMCHECKBOX </w:instrText>
      </w:r>
      <w:r w:rsidRPr="00EC7BD5">
        <w:rPr>
          <w:rFonts w:ascii="Segoe UI" w:hAnsi="Segoe UI" w:cs="Segoe UI"/>
          <w:sz w:val="21"/>
          <w:szCs w:val="21"/>
        </w:rPr>
      </w:r>
      <w:r w:rsidRPr="00EC7BD5">
        <w:rPr>
          <w:rFonts w:ascii="Segoe UI" w:hAnsi="Segoe UI" w:cs="Segoe UI"/>
          <w:sz w:val="21"/>
          <w:szCs w:val="21"/>
        </w:rPr>
        <w:fldChar w:fldCharType="separate"/>
      </w:r>
      <w:r w:rsidRPr="00EC7BD5">
        <w:rPr>
          <w:rFonts w:ascii="Segoe UI" w:hAnsi="Segoe UI" w:cs="Segoe UI"/>
          <w:sz w:val="21"/>
          <w:szCs w:val="21"/>
        </w:rPr>
        <w:fldChar w:fldCharType="end"/>
      </w:r>
      <w:r w:rsidRPr="00EC7BD5">
        <w:rPr>
          <w:rFonts w:ascii="Segoe UI" w:hAnsi="Segoe UI" w:cs="Segoe UI"/>
          <w:sz w:val="21"/>
          <w:szCs w:val="21"/>
        </w:rPr>
        <w:t xml:space="preserve"> Day surgery centre</w:t>
      </w:r>
    </w:p>
    <w:p w14:paraId="32929927" w14:textId="77777777" w:rsidR="002D2DF7" w:rsidRPr="00EC7BD5" w:rsidRDefault="002D2DF7" w:rsidP="00EC7BD5">
      <w:pPr>
        <w:pStyle w:val="Tickboxes"/>
        <w:ind w:left="0"/>
        <w:rPr>
          <w:rFonts w:ascii="Segoe UI" w:hAnsi="Segoe UI" w:cs="Segoe UI"/>
          <w:sz w:val="21"/>
          <w:szCs w:val="21"/>
        </w:rPr>
      </w:pPr>
      <w:r w:rsidRPr="00EC7BD5">
        <w:rPr>
          <w:rFonts w:ascii="Segoe UI" w:hAnsi="Segoe UI" w:cs="Segoe UI"/>
          <w:sz w:val="21"/>
          <w:szCs w:val="21"/>
        </w:rPr>
        <w:fldChar w:fldCharType="begin">
          <w:ffData>
            <w:name w:val="Check1"/>
            <w:enabled/>
            <w:calcOnExit w:val="0"/>
            <w:checkBox>
              <w:sizeAuto/>
              <w:default w:val="0"/>
            </w:checkBox>
          </w:ffData>
        </w:fldChar>
      </w:r>
      <w:r w:rsidRPr="00EC7BD5">
        <w:rPr>
          <w:rFonts w:ascii="Segoe UI" w:hAnsi="Segoe UI" w:cs="Segoe UI"/>
          <w:sz w:val="21"/>
          <w:szCs w:val="21"/>
        </w:rPr>
        <w:instrText xml:space="preserve"> FORMCHECKBOX </w:instrText>
      </w:r>
      <w:r w:rsidRPr="00EC7BD5">
        <w:rPr>
          <w:rFonts w:ascii="Segoe UI" w:hAnsi="Segoe UI" w:cs="Segoe UI"/>
          <w:sz w:val="21"/>
          <w:szCs w:val="21"/>
        </w:rPr>
      </w:r>
      <w:r w:rsidRPr="00EC7BD5">
        <w:rPr>
          <w:rFonts w:ascii="Segoe UI" w:hAnsi="Segoe UI" w:cs="Segoe UI"/>
          <w:sz w:val="21"/>
          <w:szCs w:val="21"/>
        </w:rPr>
        <w:fldChar w:fldCharType="separate"/>
      </w:r>
      <w:r w:rsidRPr="00EC7BD5">
        <w:rPr>
          <w:rFonts w:ascii="Segoe UI" w:hAnsi="Segoe UI" w:cs="Segoe UI"/>
          <w:sz w:val="21"/>
          <w:szCs w:val="21"/>
        </w:rPr>
        <w:fldChar w:fldCharType="end"/>
      </w:r>
      <w:r w:rsidRPr="00EC7BD5">
        <w:rPr>
          <w:rFonts w:ascii="Segoe UI" w:hAnsi="Segoe UI" w:cs="Segoe UI"/>
          <w:sz w:val="21"/>
          <w:szCs w:val="21"/>
        </w:rPr>
        <w:t xml:space="preserve"> Emergency Department </w:t>
      </w:r>
    </w:p>
    <w:p w14:paraId="3D0A2EBB" w14:textId="77777777" w:rsidR="002D2DF7" w:rsidRPr="00EC7BD5" w:rsidRDefault="002D2DF7" w:rsidP="00EC7BD5">
      <w:pPr>
        <w:pStyle w:val="Tickboxes"/>
        <w:ind w:left="0"/>
        <w:rPr>
          <w:rFonts w:ascii="Segoe UI" w:hAnsi="Segoe UI" w:cs="Segoe UI"/>
          <w:sz w:val="21"/>
          <w:szCs w:val="21"/>
        </w:rPr>
      </w:pPr>
      <w:r w:rsidRPr="00EC7BD5">
        <w:rPr>
          <w:rFonts w:ascii="Segoe UI" w:hAnsi="Segoe UI" w:cs="Segoe UI"/>
          <w:sz w:val="21"/>
          <w:szCs w:val="21"/>
        </w:rPr>
        <w:fldChar w:fldCharType="begin">
          <w:ffData>
            <w:name w:val="Check2"/>
            <w:enabled/>
            <w:calcOnExit w:val="0"/>
            <w:checkBox>
              <w:sizeAuto/>
              <w:default w:val="0"/>
            </w:checkBox>
          </w:ffData>
        </w:fldChar>
      </w:r>
      <w:r w:rsidRPr="00EC7BD5">
        <w:rPr>
          <w:rFonts w:ascii="Segoe UI" w:hAnsi="Segoe UI" w:cs="Segoe UI"/>
          <w:sz w:val="21"/>
          <w:szCs w:val="21"/>
        </w:rPr>
        <w:instrText xml:space="preserve"> FORMCHECKBOX </w:instrText>
      </w:r>
      <w:r w:rsidRPr="00EC7BD5">
        <w:rPr>
          <w:rFonts w:ascii="Segoe UI" w:hAnsi="Segoe UI" w:cs="Segoe UI"/>
          <w:sz w:val="21"/>
          <w:szCs w:val="21"/>
        </w:rPr>
      </w:r>
      <w:r w:rsidRPr="00EC7BD5">
        <w:rPr>
          <w:rFonts w:ascii="Segoe UI" w:hAnsi="Segoe UI" w:cs="Segoe UI"/>
          <w:sz w:val="21"/>
          <w:szCs w:val="21"/>
        </w:rPr>
        <w:fldChar w:fldCharType="separate"/>
      </w:r>
      <w:r w:rsidRPr="00EC7BD5">
        <w:rPr>
          <w:rFonts w:ascii="Segoe UI" w:hAnsi="Segoe UI" w:cs="Segoe UI"/>
          <w:sz w:val="21"/>
          <w:szCs w:val="21"/>
        </w:rPr>
        <w:fldChar w:fldCharType="end"/>
      </w:r>
      <w:r w:rsidRPr="00EC7BD5">
        <w:rPr>
          <w:rFonts w:ascii="Segoe UI" w:hAnsi="Segoe UI" w:cs="Segoe UI"/>
          <w:sz w:val="21"/>
          <w:szCs w:val="21"/>
        </w:rPr>
        <w:t xml:space="preserve"> Inpatient private hospital</w:t>
      </w:r>
    </w:p>
    <w:p w14:paraId="4AAF934D" w14:textId="77777777" w:rsidR="002D2DF7" w:rsidRPr="00EC7BD5" w:rsidRDefault="002D2DF7" w:rsidP="00EC7BD5">
      <w:pPr>
        <w:pStyle w:val="Tickboxes"/>
        <w:ind w:left="0"/>
        <w:rPr>
          <w:rFonts w:ascii="Segoe UI" w:hAnsi="Segoe UI" w:cs="Segoe UI"/>
          <w:sz w:val="21"/>
          <w:szCs w:val="21"/>
        </w:rPr>
      </w:pPr>
      <w:r w:rsidRPr="00EC7BD5">
        <w:rPr>
          <w:rFonts w:ascii="Segoe UI" w:hAnsi="Segoe UI" w:cs="Segoe UI"/>
          <w:sz w:val="21"/>
          <w:szCs w:val="21"/>
        </w:rPr>
        <w:fldChar w:fldCharType="begin">
          <w:ffData>
            <w:name w:val="Check1"/>
            <w:enabled/>
            <w:calcOnExit w:val="0"/>
            <w:checkBox>
              <w:sizeAuto/>
              <w:default w:val="0"/>
            </w:checkBox>
          </w:ffData>
        </w:fldChar>
      </w:r>
      <w:r w:rsidRPr="00EC7BD5">
        <w:rPr>
          <w:rFonts w:ascii="Segoe UI" w:hAnsi="Segoe UI" w:cs="Segoe UI"/>
          <w:sz w:val="21"/>
          <w:szCs w:val="21"/>
        </w:rPr>
        <w:instrText xml:space="preserve"> FORMCHECKBOX </w:instrText>
      </w:r>
      <w:r w:rsidRPr="00EC7BD5">
        <w:rPr>
          <w:rFonts w:ascii="Segoe UI" w:hAnsi="Segoe UI" w:cs="Segoe UI"/>
          <w:sz w:val="21"/>
          <w:szCs w:val="21"/>
        </w:rPr>
      </w:r>
      <w:r w:rsidRPr="00EC7BD5">
        <w:rPr>
          <w:rFonts w:ascii="Segoe UI" w:hAnsi="Segoe UI" w:cs="Segoe UI"/>
          <w:sz w:val="21"/>
          <w:szCs w:val="21"/>
        </w:rPr>
        <w:fldChar w:fldCharType="separate"/>
      </w:r>
      <w:r w:rsidRPr="00EC7BD5">
        <w:rPr>
          <w:rFonts w:ascii="Segoe UI" w:hAnsi="Segoe UI" w:cs="Segoe UI"/>
          <w:sz w:val="21"/>
          <w:szCs w:val="21"/>
        </w:rPr>
        <w:fldChar w:fldCharType="end"/>
      </w:r>
      <w:r w:rsidRPr="00EC7BD5">
        <w:rPr>
          <w:rFonts w:ascii="Segoe UI" w:hAnsi="Segoe UI" w:cs="Segoe UI"/>
          <w:sz w:val="21"/>
          <w:szCs w:val="21"/>
        </w:rPr>
        <w:t xml:space="preserve"> Inpatient public hospital </w:t>
      </w:r>
    </w:p>
    <w:p w14:paraId="4CB2C2DE" w14:textId="77777777" w:rsidR="002D2DF7" w:rsidRPr="00EC7BD5" w:rsidRDefault="002D2DF7" w:rsidP="00EC7BD5">
      <w:pPr>
        <w:pStyle w:val="Tickboxes"/>
        <w:ind w:left="0"/>
        <w:rPr>
          <w:rFonts w:ascii="Segoe UI" w:hAnsi="Segoe UI" w:cs="Segoe UI"/>
          <w:sz w:val="21"/>
          <w:szCs w:val="21"/>
        </w:rPr>
      </w:pPr>
      <w:r>
        <w:rPr>
          <w:rFonts w:ascii="Segoe UI" w:hAnsi="Segoe UI" w:cs="Segoe UI"/>
          <w:sz w:val="21"/>
          <w:szCs w:val="21"/>
        </w:rPr>
        <w:fldChar w:fldCharType="begin">
          <w:ffData>
            <w:name w:val="Check2"/>
            <w:enabled/>
            <w:calcOnExit w:val="0"/>
            <w:checkBox>
              <w:sizeAuto/>
              <w:default w:val="0"/>
            </w:checkBox>
          </w:ffData>
        </w:fldChar>
      </w:r>
      <w:bookmarkStart w:id="1" w:name="Check2"/>
      <w:r>
        <w:rPr>
          <w:rFonts w:ascii="Segoe UI" w:hAnsi="Segoe UI" w:cs="Segoe UI"/>
          <w:sz w:val="21"/>
          <w:szCs w:val="21"/>
        </w:rPr>
        <w:instrText xml:space="preserve"> FORMCHECKBOX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sz w:val="21"/>
          <w:szCs w:val="21"/>
        </w:rPr>
        <w:fldChar w:fldCharType="end"/>
      </w:r>
      <w:bookmarkEnd w:id="1"/>
      <w:r w:rsidRPr="00EC7BD5">
        <w:rPr>
          <w:rFonts w:ascii="Segoe UI" w:hAnsi="Segoe UI" w:cs="Segoe UI"/>
          <w:sz w:val="21"/>
          <w:szCs w:val="21"/>
        </w:rPr>
        <w:t xml:space="preserve"> Laboratory</w:t>
      </w:r>
    </w:p>
    <w:p w14:paraId="00EAACF2" w14:textId="77777777" w:rsidR="002D2DF7" w:rsidRPr="00EC7BD5" w:rsidRDefault="002D2DF7" w:rsidP="00EC7BD5">
      <w:pPr>
        <w:pStyle w:val="Tickboxes"/>
        <w:ind w:left="0"/>
        <w:rPr>
          <w:rFonts w:ascii="Segoe UI" w:hAnsi="Segoe UI" w:cs="Segoe UI"/>
          <w:sz w:val="21"/>
          <w:szCs w:val="21"/>
        </w:rPr>
      </w:pPr>
      <w:r>
        <w:rPr>
          <w:rFonts w:ascii="Segoe UI" w:hAnsi="Segoe UI" w:cs="Segoe UI"/>
          <w:sz w:val="21"/>
          <w:szCs w:val="21"/>
        </w:rPr>
        <w:fldChar w:fldCharType="begin">
          <w:ffData>
            <w:name w:val=""/>
            <w:enabled/>
            <w:calcOnExit w:val="0"/>
            <w:checkBox>
              <w:sizeAuto/>
              <w:default w:val="1"/>
            </w:checkBox>
          </w:ffData>
        </w:fldChar>
      </w:r>
      <w:r>
        <w:rPr>
          <w:rFonts w:ascii="Segoe UI" w:hAnsi="Segoe UI" w:cs="Segoe UI"/>
          <w:sz w:val="21"/>
          <w:szCs w:val="21"/>
        </w:rPr>
        <w:instrText xml:space="preserve"> FORMCHECKBOX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sz w:val="21"/>
          <w:szCs w:val="21"/>
        </w:rPr>
        <w:fldChar w:fldCharType="end"/>
      </w:r>
      <w:r w:rsidRPr="00EC7BD5">
        <w:rPr>
          <w:rFonts w:ascii="Segoe UI" w:hAnsi="Segoe UI" w:cs="Segoe UI"/>
          <w:sz w:val="21"/>
          <w:szCs w:val="21"/>
        </w:rPr>
        <w:t xml:space="preserve"> Outpatient clinic </w:t>
      </w:r>
    </w:p>
    <w:p w14:paraId="45F981C7" w14:textId="77777777" w:rsidR="002D2DF7" w:rsidRPr="00EC7BD5" w:rsidRDefault="002D2DF7" w:rsidP="00EC7BD5">
      <w:pPr>
        <w:pStyle w:val="Tickboxes"/>
        <w:ind w:left="0"/>
        <w:rPr>
          <w:rFonts w:ascii="Segoe UI" w:hAnsi="Segoe UI" w:cs="Segoe UI"/>
          <w:sz w:val="21"/>
          <w:szCs w:val="21"/>
        </w:rPr>
      </w:pPr>
      <w:r w:rsidRPr="00EC7BD5">
        <w:rPr>
          <w:rFonts w:ascii="Segoe UI" w:hAnsi="Segoe UI" w:cs="Segoe UI"/>
          <w:sz w:val="21"/>
          <w:szCs w:val="21"/>
        </w:rPr>
        <w:fldChar w:fldCharType="begin">
          <w:ffData>
            <w:name w:val="Check2"/>
            <w:enabled/>
            <w:calcOnExit w:val="0"/>
            <w:checkBox>
              <w:sizeAuto/>
              <w:default w:val="0"/>
            </w:checkBox>
          </w:ffData>
        </w:fldChar>
      </w:r>
      <w:r w:rsidRPr="00EC7BD5">
        <w:rPr>
          <w:rFonts w:ascii="Segoe UI" w:hAnsi="Segoe UI" w:cs="Segoe UI"/>
          <w:sz w:val="21"/>
          <w:szCs w:val="21"/>
        </w:rPr>
        <w:instrText xml:space="preserve"> FORMCHECKBOX </w:instrText>
      </w:r>
      <w:r w:rsidRPr="00EC7BD5">
        <w:rPr>
          <w:rFonts w:ascii="Segoe UI" w:hAnsi="Segoe UI" w:cs="Segoe UI"/>
          <w:sz w:val="21"/>
          <w:szCs w:val="21"/>
        </w:rPr>
      </w:r>
      <w:r w:rsidRPr="00EC7BD5">
        <w:rPr>
          <w:rFonts w:ascii="Segoe UI" w:hAnsi="Segoe UI" w:cs="Segoe UI"/>
          <w:sz w:val="21"/>
          <w:szCs w:val="21"/>
        </w:rPr>
        <w:fldChar w:fldCharType="separate"/>
      </w:r>
      <w:r w:rsidRPr="00EC7BD5">
        <w:rPr>
          <w:rFonts w:ascii="Segoe UI" w:hAnsi="Segoe UI" w:cs="Segoe UI"/>
          <w:sz w:val="21"/>
          <w:szCs w:val="21"/>
        </w:rPr>
        <w:fldChar w:fldCharType="end"/>
      </w:r>
      <w:r w:rsidRPr="00EC7BD5">
        <w:rPr>
          <w:rFonts w:ascii="Segoe UI" w:hAnsi="Segoe UI" w:cs="Segoe UI"/>
          <w:sz w:val="21"/>
          <w:szCs w:val="21"/>
        </w:rPr>
        <w:t xml:space="preserve"> Patient’s home</w:t>
      </w:r>
    </w:p>
    <w:p w14:paraId="0FF47C2C" w14:textId="77777777" w:rsidR="002D2DF7" w:rsidRPr="00EC7BD5" w:rsidRDefault="002D2DF7" w:rsidP="00EC7BD5">
      <w:pPr>
        <w:pStyle w:val="Tickboxes"/>
        <w:ind w:left="0"/>
        <w:rPr>
          <w:rFonts w:ascii="Segoe UI" w:hAnsi="Segoe UI" w:cs="Segoe UI"/>
          <w:sz w:val="21"/>
          <w:szCs w:val="21"/>
        </w:rPr>
      </w:pPr>
      <w:r w:rsidRPr="00EC7BD5">
        <w:rPr>
          <w:rFonts w:ascii="Segoe UI" w:hAnsi="Segoe UI" w:cs="Segoe UI"/>
          <w:sz w:val="21"/>
          <w:szCs w:val="21"/>
        </w:rPr>
        <w:fldChar w:fldCharType="begin">
          <w:ffData>
            <w:name w:val="Check1"/>
            <w:enabled/>
            <w:calcOnExit w:val="0"/>
            <w:checkBox>
              <w:sizeAuto/>
              <w:default w:val="0"/>
            </w:checkBox>
          </w:ffData>
        </w:fldChar>
      </w:r>
      <w:r w:rsidRPr="00EC7BD5">
        <w:rPr>
          <w:rFonts w:ascii="Segoe UI" w:hAnsi="Segoe UI" w:cs="Segoe UI"/>
          <w:sz w:val="21"/>
          <w:szCs w:val="21"/>
        </w:rPr>
        <w:instrText xml:space="preserve"> FORMCHECKBOX </w:instrText>
      </w:r>
      <w:r w:rsidRPr="00EC7BD5">
        <w:rPr>
          <w:rFonts w:ascii="Segoe UI" w:hAnsi="Segoe UI" w:cs="Segoe UI"/>
          <w:sz w:val="21"/>
          <w:szCs w:val="21"/>
        </w:rPr>
      </w:r>
      <w:r w:rsidRPr="00EC7BD5">
        <w:rPr>
          <w:rFonts w:ascii="Segoe UI" w:hAnsi="Segoe UI" w:cs="Segoe UI"/>
          <w:sz w:val="21"/>
          <w:szCs w:val="21"/>
        </w:rPr>
        <w:fldChar w:fldCharType="separate"/>
      </w:r>
      <w:r w:rsidRPr="00EC7BD5">
        <w:rPr>
          <w:rFonts w:ascii="Segoe UI" w:hAnsi="Segoe UI" w:cs="Segoe UI"/>
          <w:sz w:val="21"/>
          <w:szCs w:val="21"/>
        </w:rPr>
        <w:fldChar w:fldCharType="end"/>
      </w:r>
      <w:r w:rsidRPr="00EC7BD5">
        <w:rPr>
          <w:rFonts w:ascii="Segoe UI" w:hAnsi="Segoe UI" w:cs="Segoe UI"/>
          <w:sz w:val="21"/>
          <w:szCs w:val="21"/>
        </w:rPr>
        <w:t xml:space="preserve"> Point of care testing </w:t>
      </w:r>
    </w:p>
    <w:p w14:paraId="314C70DD" w14:textId="77777777" w:rsidR="002D2DF7" w:rsidRPr="00EC7BD5" w:rsidRDefault="002D2DF7" w:rsidP="00EC7BD5">
      <w:pPr>
        <w:pStyle w:val="Tickboxes"/>
        <w:ind w:left="0"/>
        <w:rPr>
          <w:rFonts w:ascii="Segoe UI" w:hAnsi="Segoe UI" w:cs="Segoe UI"/>
          <w:sz w:val="21"/>
          <w:szCs w:val="21"/>
        </w:rPr>
      </w:pPr>
      <w:r w:rsidRPr="00EC7BD5">
        <w:rPr>
          <w:rFonts w:ascii="Segoe UI" w:hAnsi="Segoe UI" w:cs="Segoe UI"/>
          <w:sz w:val="21"/>
          <w:szCs w:val="21"/>
        </w:rPr>
        <w:fldChar w:fldCharType="begin">
          <w:ffData>
            <w:name w:val="Check2"/>
            <w:enabled/>
            <w:calcOnExit w:val="0"/>
            <w:checkBox>
              <w:sizeAuto/>
              <w:default w:val="0"/>
            </w:checkBox>
          </w:ffData>
        </w:fldChar>
      </w:r>
      <w:r w:rsidRPr="00EC7BD5">
        <w:rPr>
          <w:rFonts w:ascii="Segoe UI" w:hAnsi="Segoe UI" w:cs="Segoe UI"/>
          <w:sz w:val="21"/>
          <w:szCs w:val="21"/>
        </w:rPr>
        <w:instrText xml:space="preserve"> FORMCHECKBOX </w:instrText>
      </w:r>
      <w:r w:rsidRPr="00EC7BD5">
        <w:rPr>
          <w:rFonts w:ascii="Segoe UI" w:hAnsi="Segoe UI" w:cs="Segoe UI"/>
          <w:sz w:val="21"/>
          <w:szCs w:val="21"/>
        </w:rPr>
      </w:r>
      <w:r w:rsidRPr="00EC7BD5">
        <w:rPr>
          <w:rFonts w:ascii="Segoe UI" w:hAnsi="Segoe UI" w:cs="Segoe UI"/>
          <w:sz w:val="21"/>
          <w:szCs w:val="21"/>
        </w:rPr>
        <w:fldChar w:fldCharType="separate"/>
      </w:r>
      <w:r w:rsidRPr="00EC7BD5">
        <w:rPr>
          <w:rFonts w:ascii="Segoe UI" w:hAnsi="Segoe UI" w:cs="Segoe UI"/>
          <w:sz w:val="21"/>
          <w:szCs w:val="21"/>
        </w:rPr>
        <w:fldChar w:fldCharType="end"/>
      </w:r>
      <w:r w:rsidRPr="00EC7BD5">
        <w:rPr>
          <w:rFonts w:ascii="Segoe UI" w:hAnsi="Segoe UI" w:cs="Segoe UI"/>
          <w:sz w:val="21"/>
          <w:szCs w:val="21"/>
        </w:rPr>
        <w:t xml:space="preserve"> Residential aged care facility</w:t>
      </w:r>
    </w:p>
    <w:p w14:paraId="5C928FB2" w14:textId="77777777" w:rsidR="002D2DF7" w:rsidRPr="00EC7BD5" w:rsidRDefault="002D2DF7" w:rsidP="00EC7BD5">
      <w:pPr>
        <w:pStyle w:val="Tickboxes"/>
        <w:ind w:left="0"/>
        <w:rPr>
          <w:rFonts w:ascii="Segoe UI" w:hAnsi="Segoe UI" w:cs="Segoe UI"/>
          <w:sz w:val="21"/>
          <w:szCs w:val="21"/>
        </w:rPr>
      </w:pPr>
      <w:r>
        <w:rPr>
          <w:rFonts w:ascii="Segoe UI" w:hAnsi="Segoe UI" w:cs="Segoe UI"/>
          <w:sz w:val="21"/>
          <w:szCs w:val="21"/>
        </w:rPr>
        <w:fldChar w:fldCharType="begin">
          <w:ffData>
            <w:name w:val="Check1"/>
            <w:enabled/>
            <w:calcOnExit w:val="0"/>
            <w:checkBox>
              <w:sizeAuto/>
              <w:default w:val="0"/>
            </w:checkBox>
          </w:ffData>
        </w:fldChar>
      </w:r>
      <w:bookmarkStart w:id="2" w:name="Check1"/>
      <w:r>
        <w:rPr>
          <w:rFonts w:ascii="Segoe UI" w:hAnsi="Segoe UI" w:cs="Segoe UI"/>
          <w:sz w:val="21"/>
          <w:szCs w:val="21"/>
        </w:rPr>
        <w:instrText xml:space="preserve"> FORMCHECKBOX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sz w:val="21"/>
          <w:szCs w:val="21"/>
        </w:rPr>
        <w:fldChar w:fldCharType="end"/>
      </w:r>
      <w:bookmarkEnd w:id="2"/>
      <w:r w:rsidRPr="00EC7BD5">
        <w:rPr>
          <w:rFonts w:ascii="Segoe UI" w:hAnsi="Segoe UI" w:cs="Segoe UI"/>
          <w:sz w:val="21"/>
          <w:szCs w:val="21"/>
        </w:rPr>
        <w:t xml:space="preserve"> Other (please specify) </w:t>
      </w:r>
    </w:p>
    <w:p w14:paraId="7D9F8F74" w14:textId="77777777" w:rsidR="002D2DF7" w:rsidRDefault="002D2DF7" w:rsidP="00EC7BD5"/>
    <w:p w14:paraId="6D4F55A4" w14:textId="77777777" w:rsidR="002D2DF7" w:rsidRDefault="002D2DF7" w:rsidP="00EC7BD5">
      <w:pPr>
        <w:pStyle w:val="Heading2"/>
      </w:pPr>
      <w:r w:rsidRPr="00EC7BD5">
        <w:lastRenderedPageBreak/>
        <w:t>Is the proposed health technology intended to be entirely rendered inside Australia?</w:t>
      </w:r>
    </w:p>
    <w:p w14:paraId="17956233" w14:textId="77777777" w:rsidR="002D2DF7" w:rsidRPr="00052CEE" w:rsidRDefault="002D2DF7" w:rsidP="00052CEE">
      <w:pPr>
        <w:spacing w:after="0"/>
      </w:pPr>
    </w:p>
    <w:p w14:paraId="58E50E7A" w14:textId="77777777" w:rsidR="002D2DF7" w:rsidRDefault="002D2DF7" w:rsidP="00EC7BD5">
      <w:pPr>
        <w:rPr>
          <w:rFonts w:ascii="Segoe UI" w:hAnsi="Segoe UI" w:cs="Segoe UI"/>
          <w:sz w:val="22"/>
          <w:szCs w:val="22"/>
        </w:rPr>
      </w:pPr>
      <w:r>
        <w:rPr>
          <w:rFonts w:ascii="Segoe UI" w:hAnsi="Segoe UI" w:cs="Segoe UI"/>
          <w:b/>
          <w:bCs/>
          <w:sz w:val="22"/>
          <w:szCs w:val="22"/>
        </w:rPr>
        <w:t xml:space="preserve">Test: </w:t>
      </w:r>
      <w:r>
        <w:rPr>
          <w:rFonts w:ascii="Segoe UI" w:hAnsi="Segoe UI" w:cs="Segoe UI"/>
          <w:sz w:val="22"/>
          <w:szCs w:val="22"/>
        </w:rPr>
        <w:t>No</w:t>
      </w:r>
    </w:p>
    <w:p w14:paraId="666930E4" w14:textId="77777777" w:rsidR="002D2DF7" w:rsidRPr="00052CEE" w:rsidRDefault="002D2DF7" w:rsidP="00EC7BD5">
      <w:pPr>
        <w:rPr>
          <w:rFonts w:ascii="Segoe UI" w:hAnsi="Segoe UI" w:cs="Segoe UI"/>
          <w:sz w:val="22"/>
          <w:szCs w:val="22"/>
        </w:rPr>
      </w:pPr>
      <w:r>
        <w:rPr>
          <w:rFonts w:ascii="Segoe UI" w:hAnsi="Segoe UI" w:cs="Segoe UI"/>
          <w:b/>
          <w:bCs/>
          <w:sz w:val="22"/>
          <w:szCs w:val="22"/>
        </w:rPr>
        <w:t xml:space="preserve">Intervention: </w:t>
      </w:r>
      <w:r>
        <w:rPr>
          <w:rFonts w:ascii="Segoe UI" w:hAnsi="Segoe UI" w:cs="Segoe UI"/>
          <w:sz w:val="22"/>
          <w:szCs w:val="22"/>
        </w:rPr>
        <w:t>Yes</w:t>
      </w:r>
    </w:p>
    <w:p w14:paraId="6C857B1C" w14:textId="77777777" w:rsidR="002D2DF7" w:rsidRPr="00EC7BD5" w:rsidRDefault="002D2DF7" w:rsidP="00EC7BD5">
      <w:pPr>
        <w:pStyle w:val="Heading2"/>
      </w:pPr>
      <w:r w:rsidRPr="00EC7BD5">
        <w:t>Provide additional details on the proposed health technology to be rendered outside of Australia:</w:t>
      </w:r>
    </w:p>
    <w:p w14:paraId="57D0CAAB" w14:textId="77777777" w:rsidR="002D2DF7" w:rsidRPr="00E139A1" w:rsidRDefault="002D2DF7" w:rsidP="00E139A1">
      <w:pPr>
        <w:pStyle w:val="Heading1"/>
        <w:rPr>
          <w:rFonts w:eastAsiaTheme="minorHAnsi"/>
          <w:b w:val="0"/>
          <w:color w:val="auto"/>
          <w:sz w:val="22"/>
        </w:rPr>
      </w:pPr>
      <w:r w:rsidRPr="00E139A1">
        <w:rPr>
          <w:rFonts w:eastAsiaTheme="minorHAnsi"/>
          <w:b w:val="0"/>
          <w:color w:val="auto"/>
          <w:sz w:val="22"/>
        </w:rPr>
        <w:t xml:space="preserve">The AAV5 </w:t>
      </w:r>
      <w:proofErr w:type="spellStart"/>
      <w:r w:rsidRPr="00E139A1">
        <w:rPr>
          <w:rFonts w:eastAsiaTheme="minorHAnsi"/>
          <w:b w:val="0"/>
          <w:color w:val="auto"/>
          <w:sz w:val="22"/>
        </w:rPr>
        <w:t>NAb</w:t>
      </w:r>
      <w:proofErr w:type="spellEnd"/>
      <w:r w:rsidRPr="00E139A1">
        <w:rPr>
          <w:rFonts w:eastAsiaTheme="minorHAnsi"/>
          <w:b w:val="0"/>
          <w:color w:val="auto"/>
          <w:sz w:val="22"/>
        </w:rPr>
        <w:t xml:space="preserve"> assay will solely be conducted at a single site located at Precision for Medicine (</w:t>
      </w:r>
      <w:proofErr w:type="spellStart"/>
      <w:r w:rsidRPr="00E139A1">
        <w:rPr>
          <w:rFonts w:eastAsiaTheme="minorHAnsi"/>
          <w:b w:val="0"/>
          <w:color w:val="auto"/>
          <w:sz w:val="22"/>
        </w:rPr>
        <w:t>PfM</w:t>
      </w:r>
      <w:proofErr w:type="spellEnd"/>
      <w:r w:rsidRPr="00E139A1">
        <w:rPr>
          <w:rFonts w:eastAsiaTheme="minorHAnsi"/>
          <w:b w:val="0"/>
          <w:color w:val="auto"/>
          <w:sz w:val="22"/>
        </w:rPr>
        <w:t xml:space="preserve">), the third-party supplier of the assay. This single site will support testing requirements for all </w:t>
      </w:r>
      <w:proofErr w:type="spellStart"/>
      <w:r w:rsidRPr="00E139A1">
        <w:rPr>
          <w:rFonts w:eastAsiaTheme="minorHAnsi"/>
          <w:b w:val="0"/>
          <w:color w:val="auto"/>
          <w:sz w:val="22"/>
        </w:rPr>
        <w:t>Hemgenix</w:t>
      </w:r>
      <w:proofErr w:type="spellEnd"/>
      <w:r w:rsidRPr="00AD39FA">
        <w:rPr>
          <w:color w:val="000000"/>
          <w:sz w:val="22"/>
        </w:rPr>
        <w:t>®</w:t>
      </w:r>
      <w:r w:rsidRPr="00E139A1">
        <w:rPr>
          <w:rFonts w:eastAsiaTheme="minorHAnsi"/>
          <w:b w:val="0"/>
          <w:color w:val="auto"/>
          <w:sz w:val="22"/>
        </w:rPr>
        <w:t xml:space="preserve"> markets globally. </w:t>
      </w:r>
    </w:p>
    <w:p w14:paraId="7FFBF8BB" w14:textId="77777777" w:rsidR="002D2DF7" w:rsidRDefault="002D2DF7" w:rsidP="00E139A1">
      <w:pPr>
        <w:pStyle w:val="Heading1"/>
        <w:rPr>
          <w:rFonts w:eastAsiaTheme="minorHAnsi"/>
          <w:b w:val="0"/>
          <w:color w:val="auto"/>
          <w:sz w:val="22"/>
        </w:rPr>
      </w:pPr>
      <w:r w:rsidRPr="00E139A1">
        <w:rPr>
          <w:rFonts w:eastAsiaTheme="minorHAnsi"/>
          <w:b w:val="0"/>
          <w:color w:val="auto"/>
          <w:sz w:val="22"/>
        </w:rPr>
        <w:t xml:space="preserve">During the screening period, an AAV5 assay will be requested if the patient is deemed suitable. The sampling kit, shipping, and analysis is supported by CSL at no cost. Sampling kits can be ordered and stocked at HTCs. After blood sample collection, the sample is sent to the dedicated central laboratory for analysis. This single offshore site will support testing requirements for all </w:t>
      </w:r>
      <w:proofErr w:type="spellStart"/>
      <w:r w:rsidRPr="00E139A1">
        <w:rPr>
          <w:rFonts w:eastAsiaTheme="minorHAnsi"/>
          <w:b w:val="0"/>
          <w:color w:val="auto"/>
          <w:sz w:val="22"/>
        </w:rPr>
        <w:t>Hemgenix</w:t>
      </w:r>
      <w:proofErr w:type="spellEnd"/>
      <w:r w:rsidRPr="00E139A1">
        <w:rPr>
          <w:rFonts w:eastAsiaTheme="minorHAnsi"/>
          <w:b w:val="0"/>
          <w:color w:val="auto"/>
          <w:sz w:val="22"/>
        </w:rPr>
        <w:t xml:space="preserve"> markets globally to ensure test rigour and accuracy. </w:t>
      </w:r>
    </w:p>
    <w:p w14:paraId="00820C62" w14:textId="77777777" w:rsidR="002D2DF7" w:rsidRDefault="002D2DF7" w:rsidP="00E139A1">
      <w:pPr>
        <w:pStyle w:val="Heading1"/>
      </w:pPr>
      <w:r>
        <w:t>Comparator</w:t>
      </w:r>
    </w:p>
    <w:p w14:paraId="1821B531" w14:textId="77777777" w:rsidR="002D2DF7" w:rsidRPr="00EC7BD5" w:rsidRDefault="002D2DF7" w:rsidP="00EC7BD5">
      <w:pPr>
        <w:pStyle w:val="Heading2"/>
      </w:pPr>
      <w:r w:rsidRPr="00EC7BD5">
        <w:t xml:space="preserve">Nominate the appropriate comparator(s) for the proposed medical service (i.e. how is the proposed population currently managed in the absence of the proposed medical service being available in the </w:t>
      </w:r>
      <w:r w:rsidRPr="00EC7BD5">
        <w:rPr>
          <w:u w:val="single"/>
        </w:rPr>
        <w:t>Australian health care system)</w:t>
      </w:r>
      <w:r w:rsidRPr="00EC7BD5">
        <w:t>. This includes identifying health care resources that are needed to be delivered at the same time as the comparator service:</w:t>
      </w:r>
    </w:p>
    <w:p w14:paraId="6030C502" w14:textId="77777777" w:rsidR="002D2DF7" w:rsidRDefault="002D2DF7" w:rsidP="00EC7BD5">
      <w:pPr>
        <w:pStyle w:val="Heading2"/>
      </w:pPr>
      <w:r w:rsidRPr="00EC7BD5">
        <w:t>Provide a name for your comparator:</w:t>
      </w:r>
    </w:p>
    <w:p w14:paraId="4A02C983" w14:textId="77777777" w:rsidR="002D2DF7" w:rsidRPr="00B453CE" w:rsidRDefault="002D2DF7" w:rsidP="00B453CE">
      <w:pPr>
        <w:spacing w:after="0"/>
      </w:pPr>
    </w:p>
    <w:p w14:paraId="67F97869" w14:textId="77777777" w:rsidR="002D2DF7" w:rsidRDefault="002D2DF7" w:rsidP="00EC7BD5">
      <w:pPr>
        <w:rPr>
          <w:rFonts w:ascii="Segoe UI" w:hAnsi="Segoe UI" w:cs="Segoe UI"/>
          <w:sz w:val="22"/>
          <w:szCs w:val="22"/>
        </w:rPr>
      </w:pPr>
      <w:r>
        <w:rPr>
          <w:rFonts w:ascii="Segoe UI" w:hAnsi="Segoe UI" w:cs="Segoe UI"/>
          <w:b/>
          <w:bCs/>
          <w:sz w:val="22"/>
          <w:szCs w:val="22"/>
        </w:rPr>
        <w:t xml:space="preserve">Test: </w:t>
      </w:r>
      <w:r w:rsidRPr="00E139A1">
        <w:rPr>
          <w:rFonts w:ascii="Segoe UI" w:hAnsi="Segoe UI" w:cs="Segoe UI"/>
          <w:sz w:val="22"/>
          <w:szCs w:val="22"/>
        </w:rPr>
        <w:t xml:space="preserve">The comparator to the AAV5 </w:t>
      </w:r>
      <w:proofErr w:type="spellStart"/>
      <w:r w:rsidRPr="00E139A1">
        <w:rPr>
          <w:rFonts w:ascii="Segoe UI" w:hAnsi="Segoe UI" w:cs="Segoe UI"/>
          <w:sz w:val="22"/>
          <w:szCs w:val="22"/>
        </w:rPr>
        <w:t>NAb</w:t>
      </w:r>
      <w:proofErr w:type="spellEnd"/>
      <w:r w:rsidRPr="00E139A1">
        <w:rPr>
          <w:rFonts w:ascii="Segoe UI" w:hAnsi="Segoe UI" w:cs="Segoe UI"/>
          <w:sz w:val="22"/>
          <w:szCs w:val="22"/>
        </w:rPr>
        <w:t xml:space="preserve"> assay is </w:t>
      </w:r>
      <w:proofErr w:type="gramStart"/>
      <w:r w:rsidRPr="00E139A1">
        <w:rPr>
          <w:rFonts w:ascii="Segoe UI" w:hAnsi="Segoe UI" w:cs="Segoe UI"/>
          <w:sz w:val="22"/>
          <w:szCs w:val="22"/>
        </w:rPr>
        <w:t>no</w:t>
      </w:r>
      <w:proofErr w:type="gramEnd"/>
      <w:r w:rsidRPr="00E139A1">
        <w:rPr>
          <w:rFonts w:ascii="Segoe UI" w:hAnsi="Segoe UI" w:cs="Segoe UI"/>
          <w:sz w:val="22"/>
          <w:szCs w:val="22"/>
        </w:rPr>
        <w:t xml:space="preserve"> testing. Without testing, patients will continue to receive standard of care </w:t>
      </w:r>
      <w:proofErr w:type="spellStart"/>
      <w:r w:rsidRPr="00E139A1">
        <w:rPr>
          <w:rFonts w:ascii="Segoe UI" w:hAnsi="Segoe UI" w:cs="Segoe UI"/>
          <w:sz w:val="22"/>
          <w:szCs w:val="22"/>
        </w:rPr>
        <w:t>cHMB</w:t>
      </w:r>
      <w:proofErr w:type="spellEnd"/>
      <w:r w:rsidRPr="00E139A1">
        <w:rPr>
          <w:rFonts w:ascii="Segoe UI" w:hAnsi="Segoe UI" w:cs="Segoe UI"/>
          <w:sz w:val="22"/>
          <w:szCs w:val="22"/>
        </w:rPr>
        <w:t xml:space="preserve"> therapy with no gene therapy. </w:t>
      </w:r>
    </w:p>
    <w:p w14:paraId="688D3B78" w14:textId="77777777" w:rsidR="002D2DF7" w:rsidRPr="00AB4FB8" w:rsidRDefault="002D2DF7" w:rsidP="00EC7BD5">
      <w:pPr>
        <w:rPr>
          <w:rFonts w:ascii="Segoe UI" w:hAnsi="Segoe UI" w:cs="Segoe UI"/>
          <w:b/>
          <w:bCs/>
          <w:sz w:val="22"/>
          <w:szCs w:val="22"/>
        </w:rPr>
      </w:pPr>
      <w:r>
        <w:rPr>
          <w:rFonts w:ascii="Segoe UI" w:hAnsi="Segoe UI" w:cs="Segoe UI"/>
          <w:b/>
          <w:bCs/>
          <w:sz w:val="22"/>
          <w:szCs w:val="22"/>
        </w:rPr>
        <w:t xml:space="preserve">Intervention: </w:t>
      </w:r>
      <w:r w:rsidRPr="00052A83">
        <w:rPr>
          <w:rFonts w:ascii="Segoe UI" w:hAnsi="Segoe UI" w:cs="Segoe UI"/>
          <w:sz w:val="22"/>
          <w:szCs w:val="22"/>
        </w:rPr>
        <w:t xml:space="preserve">Standard of care for </w:t>
      </w:r>
      <w:proofErr w:type="spellStart"/>
      <w:r w:rsidRPr="00052A83">
        <w:rPr>
          <w:rFonts w:ascii="Segoe UI" w:hAnsi="Segoe UI" w:cs="Segoe UI"/>
          <w:sz w:val="22"/>
          <w:szCs w:val="22"/>
        </w:rPr>
        <w:t>cHMB</w:t>
      </w:r>
      <w:proofErr w:type="spellEnd"/>
      <w:r w:rsidRPr="00052A83">
        <w:rPr>
          <w:rFonts w:ascii="Segoe UI" w:hAnsi="Segoe UI" w:cs="Segoe UI"/>
          <w:sz w:val="22"/>
          <w:szCs w:val="22"/>
        </w:rPr>
        <w:t xml:space="preserve"> with no gene therapy</w:t>
      </w:r>
    </w:p>
    <w:p w14:paraId="0D2F56F2" w14:textId="77777777" w:rsidR="002D2DF7" w:rsidRPr="00EC7BD5" w:rsidRDefault="002D2DF7" w:rsidP="00EC7BD5">
      <w:pPr>
        <w:pStyle w:val="Heading2"/>
      </w:pPr>
      <w:r w:rsidRPr="00EC7BD5">
        <w:t>Provide an identifying number for your comparator (if applicable):</w:t>
      </w:r>
    </w:p>
    <w:p w14:paraId="6C27280D" w14:textId="77777777" w:rsidR="002D2DF7" w:rsidRPr="00EC7BD5" w:rsidRDefault="002D2DF7" w:rsidP="00EC7BD5">
      <w:pPr>
        <w:rPr>
          <w:rFonts w:ascii="Segoe UI" w:eastAsia="Segoe UI" w:hAnsi="Segoe UI" w:cs="Segoe UI"/>
          <w:color w:val="000000"/>
          <w:sz w:val="22"/>
          <w:szCs w:val="22"/>
        </w:rPr>
      </w:pPr>
      <w:r>
        <w:rPr>
          <w:rFonts w:ascii="Segoe UI" w:eastAsia="Segoe UI" w:hAnsi="Segoe UI" w:cs="Segoe UI"/>
          <w:color w:val="000000"/>
          <w:sz w:val="22"/>
          <w:szCs w:val="22"/>
        </w:rPr>
        <w:t>N/A</w:t>
      </w:r>
    </w:p>
    <w:p w14:paraId="35386605" w14:textId="77777777" w:rsidR="002D2DF7" w:rsidRDefault="002D2DF7" w:rsidP="00EC7BD5">
      <w:pPr>
        <w:pStyle w:val="Heading2"/>
      </w:pPr>
      <w:r w:rsidRPr="00EC7BD5">
        <w:t>Provide a rationale for why this is a comparator:</w:t>
      </w:r>
    </w:p>
    <w:p w14:paraId="4FAEABDA" w14:textId="77777777" w:rsidR="002D2DF7" w:rsidRPr="00604CCC" w:rsidRDefault="002D2DF7" w:rsidP="00604CCC">
      <w:pPr>
        <w:spacing w:after="0"/>
      </w:pPr>
    </w:p>
    <w:p w14:paraId="7B03A275" w14:textId="77777777" w:rsidR="002D2DF7" w:rsidRDefault="002D2DF7" w:rsidP="00EC7BD5">
      <w:pPr>
        <w:rPr>
          <w:rFonts w:ascii="Segoe UI" w:eastAsia="Segoe UI" w:hAnsi="Segoe UI" w:cs="Segoe UI"/>
          <w:color w:val="000000"/>
          <w:sz w:val="22"/>
          <w:szCs w:val="22"/>
        </w:rPr>
      </w:pPr>
      <w:r>
        <w:rPr>
          <w:rFonts w:ascii="Segoe UI" w:hAnsi="Segoe UI" w:cs="Segoe UI"/>
          <w:b/>
          <w:bCs/>
          <w:sz w:val="22"/>
          <w:szCs w:val="22"/>
        </w:rPr>
        <w:t xml:space="preserve">Test: </w:t>
      </w:r>
      <w:r w:rsidRPr="00E139A1">
        <w:rPr>
          <w:rFonts w:ascii="Segoe UI" w:hAnsi="Segoe UI" w:cs="Segoe UI"/>
          <w:sz w:val="22"/>
          <w:szCs w:val="22"/>
        </w:rPr>
        <w:t xml:space="preserve">There are no available alternative tests for detection of anti-AAV5 antibodies in human plasma for informing eligibility of haemophilia B patients for treatment with </w:t>
      </w:r>
      <w:proofErr w:type="spellStart"/>
      <w:r w:rsidRPr="00E139A1">
        <w:rPr>
          <w:rFonts w:ascii="Segoe UI" w:hAnsi="Segoe UI" w:cs="Segoe UI"/>
          <w:sz w:val="22"/>
          <w:szCs w:val="22"/>
        </w:rPr>
        <w:t>Hemgenix</w:t>
      </w:r>
      <w:proofErr w:type="spellEnd"/>
      <w:r w:rsidRPr="00E139A1">
        <w:rPr>
          <w:rFonts w:ascii="Segoe UI" w:hAnsi="Segoe UI" w:cs="Segoe UI"/>
          <w:sz w:val="22"/>
          <w:szCs w:val="22"/>
        </w:rPr>
        <w:t>® (</w:t>
      </w:r>
      <w:proofErr w:type="spellStart"/>
      <w:r w:rsidRPr="00E139A1">
        <w:rPr>
          <w:rFonts w:ascii="Segoe UI" w:hAnsi="Segoe UI" w:cs="Segoe UI"/>
          <w:sz w:val="22"/>
          <w:szCs w:val="22"/>
        </w:rPr>
        <w:t>etranacogene</w:t>
      </w:r>
      <w:proofErr w:type="spellEnd"/>
      <w:r w:rsidRPr="00E139A1">
        <w:rPr>
          <w:rFonts w:ascii="Segoe UI" w:hAnsi="Segoe UI" w:cs="Segoe UI"/>
          <w:sz w:val="22"/>
          <w:szCs w:val="22"/>
        </w:rPr>
        <w:t xml:space="preserve"> </w:t>
      </w:r>
      <w:proofErr w:type="spellStart"/>
      <w:r w:rsidRPr="00E139A1">
        <w:rPr>
          <w:rFonts w:ascii="Segoe UI" w:hAnsi="Segoe UI" w:cs="Segoe UI"/>
          <w:sz w:val="22"/>
          <w:szCs w:val="22"/>
        </w:rPr>
        <w:t>dezaparvovec</w:t>
      </w:r>
      <w:proofErr w:type="spellEnd"/>
      <w:r w:rsidRPr="00E139A1">
        <w:rPr>
          <w:rFonts w:ascii="Segoe UI" w:hAnsi="Segoe UI" w:cs="Segoe UI"/>
          <w:sz w:val="22"/>
          <w:szCs w:val="22"/>
        </w:rPr>
        <w:t>), as such, a comparator to the proposed test does not exist.</w:t>
      </w:r>
      <w:r w:rsidRPr="00EC7BD5">
        <w:rPr>
          <w:rFonts w:ascii="Segoe UI" w:eastAsia="Segoe UI" w:hAnsi="Segoe UI" w:cs="Segoe UI"/>
          <w:color w:val="000000"/>
          <w:sz w:val="22"/>
          <w:szCs w:val="22"/>
        </w:rPr>
        <w:t xml:space="preserve"> </w:t>
      </w:r>
    </w:p>
    <w:p w14:paraId="557C61A8" w14:textId="77777777" w:rsidR="002D2DF7" w:rsidRPr="00052A83" w:rsidRDefault="002D2DF7" w:rsidP="00EC7BD5">
      <w:pPr>
        <w:rPr>
          <w:rFonts w:ascii="Segoe UI" w:eastAsia="Segoe UI" w:hAnsi="Segoe UI" w:cs="Segoe UI"/>
          <w:color w:val="000000"/>
          <w:sz w:val="22"/>
          <w:szCs w:val="22"/>
        </w:rPr>
      </w:pPr>
      <w:r>
        <w:rPr>
          <w:rFonts w:ascii="Segoe UI" w:eastAsia="Segoe UI" w:hAnsi="Segoe UI" w:cs="Segoe UI"/>
          <w:b/>
          <w:bCs/>
          <w:color w:val="000000"/>
          <w:sz w:val="22"/>
          <w:szCs w:val="22"/>
        </w:rPr>
        <w:t xml:space="preserve">Intervention: </w:t>
      </w:r>
      <w:r>
        <w:rPr>
          <w:rFonts w:ascii="Segoe UI" w:eastAsia="Segoe UI" w:hAnsi="Segoe UI" w:cs="Segoe UI"/>
          <w:color w:val="000000"/>
          <w:sz w:val="22"/>
          <w:szCs w:val="22"/>
        </w:rPr>
        <w:t>Refer to the Ratified PICO for Application 1728.</w:t>
      </w:r>
    </w:p>
    <w:p w14:paraId="1FBB4D50" w14:textId="77777777" w:rsidR="002D2DF7" w:rsidRDefault="002D2DF7" w:rsidP="004E1D62">
      <w:pPr>
        <w:pStyle w:val="Heading2"/>
        <w:keepNext/>
        <w:keepLines/>
      </w:pPr>
      <w:r w:rsidRPr="00EC7BD5">
        <w:lastRenderedPageBreak/>
        <w:t xml:space="preserve">Pattern of substitution – Will the proposed health technology wholly replace the proposed comparator, partially replace the proposed comparator, displace the proposed comparator or be used in combination with the proposed comparator? </w:t>
      </w:r>
    </w:p>
    <w:p w14:paraId="6F91C363" w14:textId="77777777" w:rsidR="002D2DF7" w:rsidRPr="00B453CE" w:rsidRDefault="002D2DF7" w:rsidP="004E1D62">
      <w:pPr>
        <w:keepNext/>
        <w:keepLines/>
      </w:pPr>
    </w:p>
    <w:p w14:paraId="46019830" w14:textId="77777777" w:rsidR="002D2DF7" w:rsidRPr="00EC7BD5" w:rsidRDefault="002D2DF7" w:rsidP="004E1D62">
      <w:pPr>
        <w:pStyle w:val="Tickboxes"/>
        <w:keepNext/>
        <w:keepLines/>
        <w:ind w:left="0"/>
        <w:rPr>
          <w:rFonts w:ascii="Segoe UI" w:hAnsi="Segoe UI" w:cs="Segoe UI"/>
          <w:sz w:val="21"/>
          <w:szCs w:val="21"/>
        </w:rPr>
      </w:pPr>
      <w:r w:rsidRPr="00EC7BD5">
        <w:rPr>
          <w:rFonts w:ascii="Segoe UI" w:hAnsi="Segoe UI" w:cs="Segoe UI"/>
          <w:sz w:val="21"/>
          <w:szCs w:val="21"/>
        </w:rPr>
        <w:fldChar w:fldCharType="begin">
          <w:ffData>
            <w:name w:val="Check2"/>
            <w:enabled/>
            <w:calcOnExit w:val="0"/>
            <w:checkBox>
              <w:sizeAuto/>
              <w:default w:val="0"/>
            </w:checkBox>
          </w:ffData>
        </w:fldChar>
      </w:r>
      <w:r w:rsidRPr="00EC7BD5">
        <w:rPr>
          <w:rFonts w:ascii="Segoe UI" w:hAnsi="Segoe UI" w:cs="Segoe UI"/>
          <w:sz w:val="21"/>
          <w:szCs w:val="21"/>
        </w:rPr>
        <w:instrText xml:space="preserve"> FORMCHECKBOX </w:instrText>
      </w:r>
      <w:r w:rsidRPr="00EC7BD5">
        <w:rPr>
          <w:rFonts w:ascii="Segoe UI" w:hAnsi="Segoe UI" w:cs="Segoe UI"/>
          <w:sz w:val="21"/>
          <w:szCs w:val="21"/>
        </w:rPr>
      </w:r>
      <w:r w:rsidRPr="00EC7BD5">
        <w:rPr>
          <w:rFonts w:ascii="Segoe UI" w:hAnsi="Segoe UI" w:cs="Segoe UI"/>
          <w:sz w:val="21"/>
          <w:szCs w:val="21"/>
        </w:rPr>
        <w:fldChar w:fldCharType="separate"/>
      </w:r>
      <w:r w:rsidRPr="00EC7BD5">
        <w:rPr>
          <w:rFonts w:ascii="Segoe UI" w:hAnsi="Segoe UI" w:cs="Segoe UI"/>
          <w:sz w:val="21"/>
          <w:szCs w:val="21"/>
        </w:rPr>
        <w:fldChar w:fldCharType="end"/>
      </w:r>
      <w:r w:rsidRPr="00EC7BD5">
        <w:rPr>
          <w:rFonts w:ascii="Segoe UI" w:hAnsi="Segoe UI" w:cs="Segoe UI"/>
          <w:sz w:val="21"/>
          <w:szCs w:val="21"/>
        </w:rPr>
        <w:t xml:space="preserve"> None (used with the comparator) </w:t>
      </w:r>
    </w:p>
    <w:p w14:paraId="46384094" w14:textId="77777777" w:rsidR="002D2DF7" w:rsidRPr="00EC7BD5" w:rsidRDefault="002D2DF7" w:rsidP="004E1D62">
      <w:pPr>
        <w:pStyle w:val="Tickboxes"/>
        <w:keepNext/>
        <w:keepLines/>
        <w:ind w:left="0"/>
        <w:rPr>
          <w:rFonts w:ascii="Segoe UI" w:hAnsi="Segoe UI" w:cs="Segoe UI"/>
          <w:sz w:val="21"/>
          <w:szCs w:val="21"/>
        </w:rPr>
      </w:pPr>
      <w:r w:rsidRPr="00EC7BD5">
        <w:rPr>
          <w:rFonts w:ascii="Segoe UI" w:hAnsi="Segoe UI" w:cs="Segoe UI"/>
          <w:sz w:val="21"/>
          <w:szCs w:val="21"/>
        </w:rPr>
        <w:fldChar w:fldCharType="begin">
          <w:ffData>
            <w:name w:val="Check2"/>
            <w:enabled/>
            <w:calcOnExit w:val="0"/>
            <w:checkBox>
              <w:sizeAuto/>
              <w:default w:val="0"/>
            </w:checkBox>
          </w:ffData>
        </w:fldChar>
      </w:r>
      <w:r w:rsidRPr="00EC7BD5">
        <w:rPr>
          <w:rFonts w:ascii="Segoe UI" w:hAnsi="Segoe UI" w:cs="Segoe UI"/>
          <w:sz w:val="21"/>
          <w:szCs w:val="21"/>
        </w:rPr>
        <w:instrText xml:space="preserve"> FORMCHECKBOX </w:instrText>
      </w:r>
      <w:r w:rsidRPr="00EC7BD5">
        <w:rPr>
          <w:rFonts w:ascii="Segoe UI" w:hAnsi="Segoe UI" w:cs="Segoe UI"/>
          <w:sz w:val="21"/>
          <w:szCs w:val="21"/>
        </w:rPr>
      </w:r>
      <w:r w:rsidRPr="00EC7BD5">
        <w:rPr>
          <w:rFonts w:ascii="Segoe UI" w:hAnsi="Segoe UI" w:cs="Segoe UI"/>
          <w:sz w:val="21"/>
          <w:szCs w:val="21"/>
        </w:rPr>
        <w:fldChar w:fldCharType="separate"/>
      </w:r>
      <w:r w:rsidRPr="00EC7BD5">
        <w:rPr>
          <w:rFonts w:ascii="Segoe UI" w:hAnsi="Segoe UI" w:cs="Segoe UI"/>
          <w:sz w:val="21"/>
          <w:szCs w:val="21"/>
        </w:rPr>
        <w:fldChar w:fldCharType="end"/>
      </w:r>
      <w:r w:rsidRPr="00EC7BD5">
        <w:rPr>
          <w:rFonts w:ascii="Segoe UI" w:hAnsi="Segoe UI" w:cs="Segoe UI"/>
          <w:sz w:val="21"/>
          <w:szCs w:val="21"/>
        </w:rPr>
        <w:t xml:space="preserve"> Displaced (comparator will likely be used following the proposed technology in some patients)</w:t>
      </w:r>
    </w:p>
    <w:p w14:paraId="7712511E" w14:textId="77777777" w:rsidR="002D2DF7" w:rsidRPr="00EC7BD5" w:rsidRDefault="002D2DF7" w:rsidP="004E1D62">
      <w:pPr>
        <w:pStyle w:val="Tickboxes"/>
        <w:keepNext/>
        <w:keepLines/>
        <w:ind w:left="0"/>
        <w:rPr>
          <w:rFonts w:ascii="Segoe UI" w:hAnsi="Segoe UI" w:cs="Segoe UI"/>
          <w:sz w:val="21"/>
          <w:szCs w:val="21"/>
        </w:rPr>
      </w:pPr>
      <w:r>
        <w:rPr>
          <w:rFonts w:ascii="Segoe UI" w:hAnsi="Segoe UI" w:cs="Segoe UI"/>
          <w:sz w:val="21"/>
          <w:szCs w:val="21"/>
        </w:rPr>
        <w:fldChar w:fldCharType="begin">
          <w:ffData>
            <w:name w:val=""/>
            <w:enabled/>
            <w:calcOnExit w:val="0"/>
            <w:checkBox>
              <w:sizeAuto/>
              <w:default w:val="1"/>
            </w:checkBox>
          </w:ffData>
        </w:fldChar>
      </w:r>
      <w:r>
        <w:rPr>
          <w:rFonts w:ascii="Segoe UI" w:hAnsi="Segoe UI" w:cs="Segoe UI"/>
          <w:sz w:val="21"/>
          <w:szCs w:val="21"/>
        </w:rPr>
        <w:instrText xml:space="preserve"> FORMCHECKBOX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sz w:val="21"/>
          <w:szCs w:val="21"/>
        </w:rPr>
        <w:fldChar w:fldCharType="end"/>
      </w:r>
      <w:r w:rsidRPr="00EC7BD5">
        <w:rPr>
          <w:rFonts w:ascii="Segoe UI" w:hAnsi="Segoe UI" w:cs="Segoe UI"/>
          <w:sz w:val="21"/>
          <w:szCs w:val="21"/>
        </w:rPr>
        <w:t xml:space="preserve"> Partial (in some cases, the proposed technology will replace the use of the comparator, but not all) </w:t>
      </w:r>
    </w:p>
    <w:p w14:paraId="14BEE68F" w14:textId="77777777" w:rsidR="002D2DF7" w:rsidRPr="00EC7BD5" w:rsidRDefault="002D2DF7" w:rsidP="004E1D62">
      <w:pPr>
        <w:pStyle w:val="Tickboxes"/>
        <w:keepNext/>
        <w:keepLines/>
        <w:ind w:left="0"/>
        <w:rPr>
          <w:rFonts w:ascii="Segoe UI" w:hAnsi="Segoe UI" w:cs="Segoe UI"/>
          <w:sz w:val="21"/>
          <w:szCs w:val="21"/>
        </w:rPr>
      </w:pPr>
      <w:r>
        <w:rPr>
          <w:rFonts w:ascii="Segoe UI" w:hAnsi="Segoe UI" w:cs="Segoe UI"/>
          <w:sz w:val="21"/>
          <w:szCs w:val="21"/>
        </w:rPr>
        <w:fldChar w:fldCharType="begin">
          <w:ffData>
            <w:name w:val=""/>
            <w:enabled/>
            <w:calcOnExit w:val="0"/>
            <w:checkBox>
              <w:sizeAuto/>
              <w:default w:val="1"/>
            </w:checkBox>
          </w:ffData>
        </w:fldChar>
      </w:r>
      <w:r>
        <w:rPr>
          <w:rFonts w:ascii="Segoe UI" w:hAnsi="Segoe UI" w:cs="Segoe UI"/>
          <w:sz w:val="21"/>
          <w:szCs w:val="21"/>
        </w:rPr>
        <w:instrText xml:space="preserve"> FORMCHECKBOX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sz w:val="21"/>
          <w:szCs w:val="21"/>
        </w:rPr>
        <w:fldChar w:fldCharType="end"/>
      </w:r>
      <w:r w:rsidRPr="00EC7BD5">
        <w:rPr>
          <w:rFonts w:ascii="Segoe UI" w:hAnsi="Segoe UI" w:cs="Segoe UI"/>
          <w:sz w:val="21"/>
          <w:szCs w:val="21"/>
        </w:rPr>
        <w:t xml:space="preserve"> Full (subjects who receive the proposed intervention will not receive the comparator)</w:t>
      </w:r>
    </w:p>
    <w:p w14:paraId="7A9FBCC2" w14:textId="77777777" w:rsidR="002D2DF7" w:rsidRPr="00EC7BD5" w:rsidRDefault="002D2DF7" w:rsidP="00EC7BD5">
      <w:pPr>
        <w:pStyle w:val="Heading2"/>
      </w:pPr>
      <w:r w:rsidRPr="00EC7BD5">
        <w:t>Outline and explain the extent to which the current comparator is expected to be substituted:</w:t>
      </w:r>
    </w:p>
    <w:p w14:paraId="5D19633F" w14:textId="77777777" w:rsidR="002D2DF7" w:rsidRDefault="002D2DF7" w:rsidP="00517D32">
      <w:pPr>
        <w:spacing w:after="0"/>
        <w:rPr>
          <w:rFonts w:ascii="Segoe UI" w:hAnsi="Segoe UI" w:cs="Segoe UI"/>
          <w:sz w:val="22"/>
          <w:szCs w:val="22"/>
        </w:rPr>
      </w:pPr>
    </w:p>
    <w:p w14:paraId="320162FF" w14:textId="77777777" w:rsidR="002D2DF7" w:rsidRDefault="002D2DF7" w:rsidP="00EC7BD5">
      <w:pPr>
        <w:rPr>
          <w:rFonts w:ascii="Segoe UI" w:hAnsi="Segoe UI" w:cs="Segoe UI"/>
          <w:sz w:val="22"/>
          <w:szCs w:val="22"/>
        </w:rPr>
      </w:pPr>
      <w:r>
        <w:rPr>
          <w:rFonts w:ascii="Segoe UI" w:hAnsi="Segoe UI" w:cs="Segoe UI"/>
          <w:sz w:val="22"/>
          <w:szCs w:val="22"/>
        </w:rPr>
        <w:t xml:space="preserve">For some patients, the proposed therapy may completely reduce the need for standard of care FIX replacement therapy, and for others, may greatly reduce the use of FIX therapy. </w:t>
      </w:r>
    </w:p>
    <w:p w14:paraId="7A3F94D1" w14:textId="77777777" w:rsidR="002D2DF7" w:rsidRDefault="002D2DF7" w:rsidP="00EC7BD5">
      <w:pPr>
        <w:pStyle w:val="Heading1"/>
      </w:pPr>
      <w:r>
        <w:t>Outcomes</w:t>
      </w:r>
    </w:p>
    <w:p w14:paraId="743D215D" w14:textId="77777777" w:rsidR="002D2DF7" w:rsidRPr="00EC7BD5" w:rsidRDefault="002D2DF7" w:rsidP="00EC7BD5">
      <w:pPr>
        <w:rPr>
          <w:rFonts w:ascii="Segoe UI" w:hAnsi="Segoe UI" w:cs="Segoe UI"/>
          <w:sz w:val="22"/>
          <w:szCs w:val="22"/>
        </w:rPr>
      </w:pPr>
      <w:r w:rsidRPr="00EC7BD5">
        <w:rPr>
          <w:rFonts w:ascii="Segoe UI" w:hAnsi="Segoe UI" w:cs="Segoe UI"/>
          <w:sz w:val="22"/>
          <w:szCs w:val="22"/>
        </w:rPr>
        <w:t>List the key health outcomes (major and minor – prioritising major key health outcomes first) that will need to be measured in assessing the clinical claim for the proposed medical service/technology (versus the comparator):</w:t>
      </w:r>
    </w:p>
    <w:p w14:paraId="6835EE56" w14:textId="77777777" w:rsidR="002D2DF7" w:rsidRPr="00EC7BD5" w:rsidRDefault="002D2DF7" w:rsidP="00EC7BD5">
      <w:pPr>
        <w:pStyle w:val="Tickboxes"/>
        <w:ind w:left="0"/>
        <w:rPr>
          <w:rFonts w:ascii="Segoe UI" w:hAnsi="Segoe UI" w:cs="Segoe UI"/>
          <w:sz w:val="21"/>
          <w:szCs w:val="21"/>
        </w:rPr>
      </w:pPr>
      <w:r>
        <w:rPr>
          <w:rFonts w:ascii="Segoe UI" w:hAnsi="Segoe UI" w:cs="Segoe UI"/>
          <w:sz w:val="21"/>
          <w:szCs w:val="21"/>
        </w:rPr>
        <w:fldChar w:fldCharType="begin">
          <w:ffData>
            <w:name w:val=""/>
            <w:enabled/>
            <w:calcOnExit w:val="0"/>
            <w:checkBox>
              <w:sizeAuto/>
              <w:default w:val="1"/>
            </w:checkBox>
          </w:ffData>
        </w:fldChar>
      </w:r>
      <w:r>
        <w:rPr>
          <w:rFonts w:ascii="Segoe UI" w:hAnsi="Segoe UI" w:cs="Segoe UI"/>
          <w:sz w:val="21"/>
          <w:szCs w:val="21"/>
        </w:rPr>
        <w:instrText xml:space="preserve"> FORMCHECKBOX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sz w:val="21"/>
          <w:szCs w:val="21"/>
        </w:rPr>
        <w:fldChar w:fldCharType="end"/>
      </w:r>
      <w:r w:rsidRPr="00EC7BD5">
        <w:rPr>
          <w:rFonts w:ascii="Segoe UI" w:hAnsi="Segoe UI" w:cs="Segoe UI"/>
          <w:sz w:val="21"/>
          <w:szCs w:val="21"/>
        </w:rPr>
        <w:t xml:space="preserve"> Health benefits </w:t>
      </w:r>
    </w:p>
    <w:p w14:paraId="78053553" w14:textId="77777777" w:rsidR="002D2DF7" w:rsidRPr="00EC7BD5" w:rsidRDefault="002D2DF7" w:rsidP="00EC7BD5">
      <w:pPr>
        <w:pStyle w:val="Tickboxes"/>
        <w:ind w:left="0"/>
        <w:rPr>
          <w:rFonts w:ascii="Segoe UI" w:hAnsi="Segoe UI" w:cs="Segoe UI"/>
          <w:sz w:val="21"/>
          <w:szCs w:val="21"/>
        </w:rPr>
      </w:pPr>
      <w:r>
        <w:rPr>
          <w:rFonts w:ascii="Segoe UI" w:hAnsi="Segoe UI" w:cs="Segoe UI"/>
          <w:sz w:val="21"/>
          <w:szCs w:val="21"/>
        </w:rPr>
        <w:fldChar w:fldCharType="begin">
          <w:ffData>
            <w:name w:val=""/>
            <w:enabled/>
            <w:calcOnExit w:val="0"/>
            <w:checkBox>
              <w:sizeAuto/>
              <w:default w:val="1"/>
            </w:checkBox>
          </w:ffData>
        </w:fldChar>
      </w:r>
      <w:r>
        <w:rPr>
          <w:rFonts w:ascii="Segoe UI" w:hAnsi="Segoe UI" w:cs="Segoe UI"/>
          <w:sz w:val="21"/>
          <w:szCs w:val="21"/>
        </w:rPr>
        <w:instrText xml:space="preserve"> FORMCHECKBOX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sz w:val="21"/>
          <w:szCs w:val="21"/>
        </w:rPr>
        <w:fldChar w:fldCharType="end"/>
      </w:r>
      <w:r w:rsidRPr="00EC7BD5">
        <w:rPr>
          <w:rFonts w:ascii="Segoe UI" w:hAnsi="Segoe UI" w:cs="Segoe UI"/>
          <w:sz w:val="21"/>
          <w:szCs w:val="21"/>
        </w:rPr>
        <w:t xml:space="preserve"> Health harms</w:t>
      </w:r>
    </w:p>
    <w:p w14:paraId="7ADBBA6B" w14:textId="77777777" w:rsidR="002D2DF7" w:rsidRDefault="002D2DF7" w:rsidP="00EC7BD5">
      <w:pPr>
        <w:pStyle w:val="Tickboxes"/>
        <w:ind w:left="0"/>
        <w:rPr>
          <w:rFonts w:ascii="Segoe UI" w:hAnsi="Segoe UI" w:cs="Segoe UI"/>
          <w:sz w:val="21"/>
          <w:szCs w:val="21"/>
        </w:rPr>
      </w:pPr>
      <w:r>
        <w:rPr>
          <w:rFonts w:ascii="Segoe UI" w:hAnsi="Segoe UI" w:cs="Segoe UI"/>
          <w:sz w:val="21"/>
          <w:szCs w:val="21"/>
        </w:rPr>
        <w:fldChar w:fldCharType="begin">
          <w:ffData>
            <w:name w:val=""/>
            <w:enabled/>
            <w:calcOnExit w:val="0"/>
            <w:checkBox>
              <w:sizeAuto/>
              <w:default w:val="1"/>
            </w:checkBox>
          </w:ffData>
        </w:fldChar>
      </w:r>
      <w:r>
        <w:rPr>
          <w:rFonts w:ascii="Segoe UI" w:hAnsi="Segoe UI" w:cs="Segoe UI"/>
          <w:sz w:val="21"/>
          <w:szCs w:val="21"/>
        </w:rPr>
        <w:instrText xml:space="preserve"> FORMCHECKBOX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sz w:val="21"/>
          <w:szCs w:val="21"/>
        </w:rPr>
        <w:fldChar w:fldCharType="end"/>
      </w:r>
      <w:r w:rsidRPr="00EC7BD5">
        <w:rPr>
          <w:rFonts w:ascii="Segoe UI" w:hAnsi="Segoe UI" w:cs="Segoe UI"/>
          <w:sz w:val="21"/>
          <w:szCs w:val="21"/>
        </w:rPr>
        <w:t xml:space="preserve"> Resources </w:t>
      </w:r>
    </w:p>
    <w:p w14:paraId="5A8B9215" w14:textId="77777777" w:rsidR="002D2DF7" w:rsidRDefault="002D2DF7" w:rsidP="00EC7BD5">
      <w:pPr>
        <w:pStyle w:val="Tickboxes"/>
        <w:ind w:left="0"/>
        <w:rPr>
          <w:rFonts w:ascii="Segoe UI" w:hAnsi="Segoe UI" w:cs="Segoe UI"/>
          <w:sz w:val="21"/>
          <w:szCs w:val="21"/>
        </w:rPr>
      </w:pPr>
    </w:p>
    <w:p w14:paraId="3770092B" w14:textId="77777777" w:rsidR="002D2DF7" w:rsidRDefault="002D2DF7" w:rsidP="00EC7BD5">
      <w:pPr>
        <w:pStyle w:val="Tickboxes"/>
        <w:ind w:left="0"/>
        <w:rPr>
          <w:rFonts w:ascii="Segoe UI" w:hAnsi="Segoe UI" w:cs="Segoe UI"/>
          <w:b/>
          <w:bCs w:val="0"/>
          <w:sz w:val="21"/>
          <w:szCs w:val="21"/>
        </w:rPr>
      </w:pPr>
      <w:r>
        <w:rPr>
          <w:rFonts w:ascii="Segoe UI" w:hAnsi="Segoe UI" w:cs="Segoe UI"/>
          <w:b/>
          <w:bCs w:val="0"/>
          <w:sz w:val="21"/>
          <w:szCs w:val="21"/>
        </w:rPr>
        <w:t>Test outcomes:</w:t>
      </w:r>
    </w:p>
    <w:p w14:paraId="601C92C8" w14:textId="77777777" w:rsidR="002D2DF7" w:rsidRPr="008A2D52" w:rsidRDefault="002D2DF7" w:rsidP="00EC7BD5">
      <w:pPr>
        <w:pStyle w:val="Tickboxes"/>
        <w:ind w:left="0"/>
        <w:rPr>
          <w:rFonts w:ascii="Segoe UI" w:hAnsi="Segoe UI" w:cs="Segoe UI"/>
          <w:b/>
          <w:bCs w:val="0"/>
          <w:sz w:val="21"/>
          <w:szCs w:val="21"/>
        </w:rPr>
      </w:pPr>
    </w:p>
    <w:p w14:paraId="4337EC88" w14:textId="77777777" w:rsidR="002D2DF7" w:rsidRPr="00E139A1" w:rsidRDefault="002D2DF7" w:rsidP="00E139A1">
      <w:pPr>
        <w:pStyle w:val="Tickboxes"/>
        <w:ind w:left="0"/>
        <w:rPr>
          <w:rFonts w:ascii="Segoe UI" w:hAnsi="Segoe UI" w:cs="Segoe UI"/>
          <w:b/>
          <w:bCs w:val="0"/>
          <w:sz w:val="21"/>
          <w:szCs w:val="21"/>
        </w:rPr>
      </w:pPr>
      <w:r w:rsidRPr="00E139A1">
        <w:rPr>
          <w:rFonts w:ascii="Segoe UI" w:hAnsi="Segoe UI" w:cs="Segoe UI"/>
          <w:b/>
          <w:bCs w:val="0"/>
          <w:sz w:val="21"/>
          <w:szCs w:val="21"/>
        </w:rPr>
        <w:t>Safety:</w:t>
      </w:r>
    </w:p>
    <w:p w14:paraId="5379EA22" w14:textId="77777777" w:rsidR="002D2DF7" w:rsidRDefault="002D2DF7" w:rsidP="00E139A1">
      <w:pPr>
        <w:pStyle w:val="Tickboxes"/>
        <w:rPr>
          <w:rFonts w:ascii="Segoe UI" w:hAnsi="Segoe UI" w:cs="Segoe UI"/>
          <w:sz w:val="21"/>
          <w:szCs w:val="21"/>
        </w:rPr>
      </w:pPr>
      <w:r w:rsidRPr="00E139A1">
        <w:rPr>
          <w:rFonts w:ascii="Segoe UI" w:hAnsi="Segoe UI" w:cs="Segoe UI"/>
          <w:sz w:val="21"/>
          <w:szCs w:val="21"/>
        </w:rPr>
        <w:t>•</w:t>
      </w:r>
      <w:r w:rsidRPr="00E139A1">
        <w:rPr>
          <w:rFonts w:ascii="Segoe UI" w:hAnsi="Segoe UI" w:cs="Segoe UI"/>
          <w:sz w:val="21"/>
          <w:szCs w:val="21"/>
        </w:rPr>
        <w:tab/>
        <w:t>Direct harms of the test</w:t>
      </w:r>
    </w:p>
    <w:p w14:paraId="0717F432" w14:textId="77777777" w:rsidR="002D2DF7" w:rsidRPr="00E139A1" w:rsidRDefault="002D2DF7" w:rsidP="00E139A1">
      <w:pPr>
        <w:pStyle w:val="Tickboxes"/>
        <w:rPr>
          <w:rFonts w:ascii="Segoe UI" w:hAnsi="Segoe UI" w:cs="Segoe UI"/>
          <w:sz w:val="21"/>
          <w:szCs w:val="21"/>
        </w:rPr>
      </w:pPr>
    </w:p>
    <w:p w14:paraId="3CFFCD79" w14:textId="77777777" w:rsidR="002D2DF7" w:rsidRPr="00E139A1" w:rsidRDefault="002D2DF7" w:rsidP="00E139A1">
      <w:pPr>
        <w:pStyle w:val="Tickboxes"/>
        <w:ind w:left="0"/>
        <w:rPr>
          <w:rFonts w:ascii="Segoe UI" w:hAnsi="Segoe UI" w:cs="Segoe UI"/>
          <w:b/>
          <w:bCs w:val="0"/>
          <w:sz w:val="21"/>
          <w:szCs w:val="21"/>
        </w:rPr>
      </w:pPr>
      <w:r w:rsidRPr="00E139A1">
        <w:rPr>
          <w:rFonts w:ascii="Segoe UI" w:hAnsi="Segoe UI" w:cs="Segoe UI"/>
          <w:b/>
          <w:bCs w:val="0"/>
          <w:sz w:val="21"/>
          <w:szCs w:val="21"/>
        </w:rPr>
        <w:t>Test performance:</w:t>
      </w:r>
    </w:p>
    <w:p w14:paraId="3C7A7459" w14:textId="77777777" w:rsidR="002D2DF7" w:rsidRPr="00E139A1" w:rsidRDefault="002D2DF7" w:rsidP="00E139A1">
      <w:pPr>
        <w:pStyle w:val="Tickboxes"/>
        <w:rPr>
          <w:rFonts w:ascii="Segoe UI" w:hAnsi="Segoe UI" w:cs="Segoe UI"/>
          <w:sz w:val="21"/>
          <w:szCs w:val="21"/>
        </w:rPr>
      </w:pPr>
      <w:r w:rsidRPr="00E139A1">
        <w:rPr>
          <w:rFonts w:ascii="Segoe UI" w:hAnsi="Segoe UI" w:cs="Segoe UI"/>
          <w:sz w:val="21"/>
          <w:szCs w:val="21"/>
        </w:rPr>
        <w:t>•</w:t>
      </w:r>
      <w:r w:rsidRPr="00E139A1">
        <w:rPr>
          <w:rFonts w:ascii="Segoe UI" w:hAnsi="Segoe UI" w:cs="Segoe UI"/>
          <w:sz w:val="21"/>
          <w:szCs w:val="21"/>
        </w:rPr>
        <w:tab/>
        <w:t>Test reliability (intra-observer and intra-instrument variability/agreement)</w:t>
      </w:r>
    </w:p>
    <w:p w14:paraId="40CE488F" w14:textId="77777777" w:rsidR="002D2DF7" w:rsidRPr="00E139A1" w:rsidRDefault="002D2DF7" w:rsidP="00E139A1">
      <w:pPr>
        <w:pStyle w:val="Tickboxes"/>
        <w:rPr>
          <w:rFonts w:ascii="Segoe UI" w:hAnsi="Segoe UI" w:cs="Segoe UI"/>
          <w:sz w:val="21"/>
          <w:szCs w:val="21"/>
        </w:rPr>
      </w:pPr>
      <w:r w:rsidRPr="00E139A1">
        <w:rPr>
          <w:rFonts w:ascii="Segoe UI" w:hAnsi="Segoe UI" w:cs="Segoe UI"/>
          <w:sz w:val="21"/>
          <w:szCs w:val="21"/>
        </w:rPr>
        <w:t>•</w:t>
      </w:r>
      <w:r w:rsidRPr="00E139A1">
        <w:rPr>
          <w:rFonts w:ascii="Segoe UI" w:hAnsi="Segoe UI" w:cs="Segoe UI"/>
          <w:sz w:val="21"/>
          <w:szCs w:val="21"/>
        </w:rPr>
        <w:tab/>
        <w:t>Concordance to the clinical utility standard</w:t>
      </w:r>
    </w:p>
    <w:p w14:paraId="44C261B4" w14:textId="77777777" w:rsidR="002D2DF7" w:rsidRPr="00E139A1" w:rsidRDefault="002D2DF7" w:rsidP="00E139A1">
      <w:pPr>
        <w:pStyle w:val="Tickboxes"/>
        <w:rPr>
          <w:rFonts w:ascii="Segoe UI" w:hAnsi="Segoe UI" w:cs="Segoe UI"/>
          <w:sz w:val="21"/>
          <w:szCs w:val="21"/>
        </w:rPr>
      </w:pPr>
      <w:r w:rsidRPr="00E139A1">
        <w:rPr>
          <w:rFonts w:ascii="Segoe UI" w:hAnsi="Segoe UI" w:cs="Segoe UI"/>
          <w:sz w:val="21"/>
          <w:szCs w:val="21"/>
        </w:rPr>
        <w:t>•</w:t>
      </w:r>
      <w:r w:rsidRPr="00E139A1">
        <w:rPr>
          <w:rFonts w:ascii="Segoe UI" w:hAnsi="Segoe UI" w:cs="Segoe UI"/>
          <w:sz w:val="21"/>
          <w:szCs w:val="21"/>
        </w:rPr>
        <w:tab/>
        <w:t>Predictive effect, change in clinical management, value in decision making</w:t>
      </w:r>
    </w:p>
    <w:p w14:paraId="702B025E" w14:textId="77777777" w:rsidR="002D2DF7" w:rsidRDefault="002D2DF7" w:rsidP="00E139A1">
      <w:pPr>
        <w:pStyle w:val="Tickboxes"/>
        <w:rPr>
          <w:rFonts w:ascii="Segoe UI" w:hAnsi="Segoe UI" w:cs="Segoe UI"/>
          <w:sz w:val="21"/>
          <w:szCs w:val="21"/>
        </w:rPr>
      </w:pPr>
      <w:r w:rsidRPr="00E139A1">
        <w:rPr>
          <w:rFonts w:ascii="Segoe UI" w:hAnsi="Segoe UI" w:cs="Segoe UI"/>
          <w:sz w:val="21"/>
          <w:szCs w:val="21"/>
        </w:rPr>
        <w:t>•</w:t>
      </w:r>
      <w:r w:rsidRPr="00E139A1">
        <w:rPr>
          <w:rFonts w:ascii="Segoe UI" w:hAnsi="Segoe UI" w:cs="Segoe UI"/>
          <w:sz w:val="21"/>
          <w:szCs w:val="21"/>
        </w:rPr>
        <w:tab/>
        <w:t>Rate of failed tests, test turn-around time</w:t>
      </w:r>
    </w:p>
    <w:p w14:paraId="3D06B108" w14:textId="77777777" w:rsidR="002D2DF7" w:rsidRDefault="002D2DF7" w:rsidP="00E139A1">
      <w:pPr>
        <w:pStyle w:val="Tickboxes"/>
        <w:rPr>
          <w:rFonts w:ascii="Segoe UI" w:hAnsi="Segoe UI" w:cs="Segoe UI"/>
          <w:sz w:val="21"/>
          <w:szCs w:val="21"/>
        </w:rPr>
      </w:pPr>
    </w:p>
    <w:p w14:paraId="44C25480" w14:textId="77777777" w:rsidR="002D2DF7" w:rsidRDefault="002D2DF7" w:rsidP="00B522B6">
      <w:pPr>
        <w:pStyle w:val="Tickboxes"/>
        <w:ind w:left="0"/>
        <w:rPr>
          <w:rFonts w:ascii="Segoe UI" w:hAnsi="Segoe UI" w:cs="Segoe UI"/>
          <w:b/>
          <w:bCs w:val="0"/>
          <w:sz w:val="21"/>
          <w:szCs w:val="21"/>
        </w:rPr>
      </w:pPr>
      <w:r>
        <w:rPr>
          <w:rFonts w:ascii="Segoe UI" w:hAnsi="Segoe UI" w:cs="Segoe UI"/>
          <w:b/>
          <w:bCs w:val="0"/>
          <w:sz w:val="21"/>
          <w:szCs w:val="21"/>
        </w:rPr>
        <w:t>Intervention outcomes:</w:t>
      </w:r>
    </w:p>
    <w:p w14:paraId="6E308F1C" w14:textId="77777777" w:rsidR="002D2DF7" w:rsidRDefault="002D2DF7" w:rsidP="00B522B6">
      <w:pPr>
        <w:pStyle w:val="Tickboxes"/>
        <w:ind w:left="0"/>
        <w:rPr>
          <w:rFonts w:ascii="Segoe UI" w:hAnsi="Segoe UI" w:cs="Segoe UI"/>
          <w:b/>
          <w:bCs w:val="0"/>
          <w:sz w:val="21"/>
          <w:szCs w:val="21"/>
        </w:rPr>
      </w:pPr>
    </w:p>
    <w:p w14:paraId="57EF127E" w14:textId="77777777" w:rsidR="002D2DF7" w:rsidRPr="00B522B6" w:rsidRDefault="002D2DF7" w:rsidP="00B522B6">
      <w:pPr>
        <w:pStyle w:val="Tickboxes"/>
        <w:ind w:left="0"/>
        <w:rPr>
          <w:rFonts w:ascii="Segoe UI" w:hAnsi="Segoe UI" w:cs="Segoe UI"/>
          <w:sz w:val="21"/>
          <w:szCs w:val="21"/>
        </w:rPr>
      </w:pPr>
      <w:r>
        <w:rPr>
          <w:rFonts w:ascii="Segoe UI" w:hAnsi="Segoe UI" w:cs="Segoe UI"/>
          <w:sz w:val="21"/>
          <w:szCs w:val="21"/>
        </w:rPr>
        <w:t>Refer to the Ratified PICO for Application 1728</w:t>
      </w:r>
    </w:p>
    <w:p w14:paraId="09A54637" w14:textId="77777777" w:rsidR="002D2DF7" w:rsidRDefault="002D2DF7" w:rsidP="00EC7BD5">
      <w:pPr>
        <w:pStyle w:val="Heading2"/>
      </w:pPr>
      <w:r w:rsidRPr="00EC7BD5">
        <w:t xml:space="preserve">Outcome description – please include information about whether a change in patient management, or prognosis, occurs </w:t>
      </w:r>
      <w:proofErr w:type="gramStart"/>
      <w:r w:rsidRPr="00EC7BD5">
        <w:t>as a result of</w:t>
      </w:r>
      <w:proofErr w:type="gramEnd"/>
      <w:r w:rsidRPr="00EC7BD5">
        <w:t xml:space="preserve"> the test information:</w:t>
      </w:r>
    </w:p>
    <w:p w14:paraId="248368AD" w14:textId="77777777" w:rsidR="002D2DF7" w:rsidRPr="0035525E" w:rsidRDefault="002D2DF7" w:rsidP="0035525E">
      <w:pPr>
        <w:spacing w:after="0"/>
      </w:pPr>
    </w:p>
    <w:p w14:paraId="6E6B09D3" w14:textId="20969A14" w:rsidR="002D2DF7" w:rsidRDefault="002D2DF7" w:rsidP="00EC7BD5">
      <w:pPr>
        <w:rPr>
          <w:rFonts w:ascii="Segoe UI" w:hAnsi="Segoe UI" w:cs="Segoe UI"/>
          <w:sz w:val="22"/>
          <w:szCs w:val="22"/>
        </w:rPr>
      </w:pPr>
      <w:r w:rsidRPr="00E139A1">
        <w:rPr>
          <w:rFonts w:ascii="Segoe UI" w:hAnsi="Segoe UI" w:cs="Segoe UI"/>
          <w:sz w:val="22"/>
          <w:szCs w:val="22"/>
        </w:rPr>
        <w:t xml:space="preserve">The </w:t>
      </w:r>
      <w:r>
        <w:rPr>
          <w:rFonts w:ascii="Segoe UI" w:hAnsi="Segoe UI" w:cs="Segoe UI"/>
          <w:sz w:val="22"/>
          <w:szCs w:val="22"/>
        </w:rPr>
        <w:t xml:space="preserve">AAV5 </w:t>
      </w:r>
      <w:proofErr w:type="spellStart"/>
      <w:r>
        <w:rPr>
          <w:rFonts w:ascii="Segoe UI" w:hAnsi="Segoe UI" w:cs="Segoe UI"/>
          <w:sz w:val="22"/>
          <w:szCs w:val="22"/>
        </w:rPr>
        <w:t>NAb</w:t>
      </w:r>
      <w:proofErr w:type="spellEnd"/>
      <w:r>
        <w:rPr>
          <w:rFonts w:ascii="Segoe UI" w:hAnsi="Segoe UI" w:cs="Segoe UI"/>
          <w:sz w:val="22"/>
          <w:szCs w:val="22"/>
        </w:rPr>
        <w:t xml:space="preserve"> </w:t>
      </w:r>
      <w:r w:rsidRPr="00E139A1">
        <w:rPr>
          <w:rFonts w:ascii="Segoe UI" w:hAnsi="Segoe UI" w:cs="Segoe UI"/>
          <w:sz w:val="22"/>
          <w:szCs w:val="22"/>
        </w:rPr>
        <w:t xml:space="preserve">test will inform eligibility for treatment with </w:t>
      </w:r>
      <w:proofErr w:type="spellStart"/>
      <w:r w:rsidRPr="00E139A1">
        <w:rPr>
          <w:rFonts w:ascii="Segoe UI" w:hAnsi="Segoe UI" w:cs="Segoe UI"/>
          <w:sz w:val="22"/>
          <w:szCs w:val="22"/>
        </w:rPr>
        <w:t>Hemgenix</w:t>
      </w:r>
      <w:proofErr w:type="spellEnd"/>
      <w:r w:rsidRPr="00E139A1">
        <w:rPr>
          <w:rFonts w:ascii="Segoe UI" w:hAnsi="Segoe UI" w:cs="Segoe UI"/>
          <w:sz w:val="22"/>
          <w:szCs w:val="22"/>
        </w:rPr>
        <w:t>® (</w:t>
      </w:r>
      <w:proofErr w:type="spellStart"/>
      <w:r w:rsidRPr="00E139A1">
        <w:rPr>
          <w:rFonts w:ascii="Segoe UI" w:hAnsi="Segoe UI" w:cs="Segoe UI"/>
          <w:sz w:val="22"/>
          <w:szCs w:val="22"/>
        </w:rPr>
        <w:t>etranacogene</w:t>
      </w:r>
      <w:proofErr w:type="spellEnd"/>
      <w:r w:rsidRPr="00E139A1">
        <w:rPr>
          <w:rFonts w:ascii="Segoe UI" w:hAnsi="Segoe UI" w:cs="Segoe UI"/>
          <w:sz w:val="22"/>
          <w:szCs w:val="22"/>
        </w:rPr>
        <w:t xml:space="preserve"> </w:t>
      </w:r>
      <w:proofErr w:type="spellStart"/>
      <w:r w:rsidRPr="00E139A1">
        <w:rPr>
          <w:rFonts w:ascii="Segoe UI" w:hAnsi="Segoe UI" w:cs="Segoe UI"/>
          <w:sz w:val="22"/>
          <w:szCs w:val="22"/>
        </w:rPr>
        <w:t>dezaparvovec</w:t>
      </w:r>
      <w:proofErr w:type="spellEnd"/>
      <w:r w:rsidRPr="00E139A1">
        <w:rPr>
          <w:rFonts w:ascii="Segoe UI" w:hAnsi="Segoe UI" w:cs="Segoe UI"/>
          <w:sz w:val="22"/>
          <w:szCs w:val="22"/>
        </w:rPr>
        <w:t>)</w:t>
      </w:r>
      <w:r>
        <w:rPr>
          <w:rFonts w:ascii="Segoe UI" w:hAnsi="Segoe UI" w:cs="Segoe UI"/>
          <w:sz w:val="22"/>
          <w:szCs w:val="22"/>
        </w:rPr>
        <w:t xml:space="preserve">, and as such, patient management will change to include </w:t>
      </w:r>
      <w:proofErr w:type="spellStart"/>
      <w:r w:rsidRPr="00E139A1">
        <w:rPr>
          <w:rFonts w:ascii="Segoe UI" w:hAnsi="Segoe UI" w:cs="Segoe UI"/>
          <w:sz w:val="22"/>
          <w:szCs w:val="22"/>
        </w:rPr>
        <w:t>Hemgenix</w:t>
      </w:r>
      <w:proofErr w:type="spellEnd"/>
      <w:r w:rsidRPr="00E139A1">
        <w:rPr>
          <w:rFonts w:ascii="Segoe UI" w:hAnsi="Segoe UI" w:cs="Segoe UI"/>
          <w:sz w:val="22"/>
          <w:szCs w:val="22"/>
        </w:rPr>
        <w:t>®</w:t>
      </w:r>
      <w:r>
        <w:rPr>
          <w:rFonts w:ascii="Segoe UI" w:hAnsi="Segoe UI" w:cs="Segoe UI"/>
          <w:sz w:val="22"/>
          <w:szCs w:val="22"/>
        </w:rPr>
        <w:t xml:space="preserve"> as a treatment option. </w:t>
      </w:r>
    </w:p>
    <w:p w14:paraId="1B64CAAE" w14:textId="77777777" w:rsidR="002D2DF7" w:rsidRDefault="002D2DF7" w:rsidP="004E1D62">
      <w:pPr>
        <w:pStyle w:val="Heading1"/>
        <w:keepNext/>
        <w:keepLines/>
      </w:pPr>
      <w:r>
        <w:lastRenderedPageBreak/>
        <w:t>Claims</w:t>
      </w:r>
    </w:p>
    <w:p w14:paraId="04C045C3" w14:textId="77777777" w:rsidR="002D2DF7" w:rsidRPr="00604CCC" w:rsidRDefault="002D2DF7" w:rsidP="004E1D62">
      <w:pPr>
        <w:keepNext/>
        <w:keepLines/>
        <w:rPr>
          <w:rFonts w:ascii="Segoe UI" w:hAnsi="Segoe UI" w:cs="Segoe UI"/>
          <w:sz w:val="22"/>
          <w:szCs w:val="22"/>
        </w:rPr>
      </w:pPr>
      <w:r w:rsidRPr="00EC7BD5">
        <w:rPr>
          <w:rFonts w:ascii="Segoe UI" w:hAnsi="Segoe UI" w:cs="Segoe UI"/>
          <w:sz w:val="22"/>
          <w:szCs w:val="22"/>
        </w:rPr>
        <w:t xml:space="preserve">In terms of health outcomes (comparative benefits and harms), is the proposed technology claimed to be superior, non-inferior or inferior to the comparator(s)? </w:t>
      </w:r>
    </w:p>
    <w:p w14:paraId="5F41076E" w14:textId="77777777" w:rsidR="002D2DF7" w:rsidRPr="00EC7BD5" w:rsidRDefault="002D2DF7" w:rsidP="00EC7BD5">
      <w:pPr>
        <w:pStyle w:val="Tickboxes"/>
        <w:ind w:left="0"/>
        <w:rPr>
          <w:rFonts w:ascii="Segoe UI" w:hAnsi="Segoe UI" w:cs="Segoe UI"/>
          <w:sz w:val="21"/>
          <w:szCs w:val="21"/>
        </w:rPr>
      </w:pPr>
      <w:r>
        <w:rPr>
          <w:rFonts w:ascii="Segoe UI" w:hAnsi="Segoe UI" w:cs="Segoe UI"/>
          <w:sz w:val="21"/>
          <w:szCs w:val="21"/>
        </w:rPr>
        <w:fldChar w:fldCharType="begin">
          <w:ffData>
            <w:name w:val=""/>
            <w:enabled/>
            <w:calcOnExit w:val="0"/>
            <w:checkBox>
              <w:sizeAuto/>
              <w:default w:val="1"/>
            </w:checkBox>
          </w:ffData>
        </w:fldChar>
      </w:r>
      <w:r>
        <w:rPr>
          <w:rFonts w:ascii="Segoe UI" w:hAnsi="Segoe UI" w:cs="Segoe UI"/>
          <w:sz w:val="21"/>
          <w:szCs w:val="21"/>
        </w:rPr>
        <w:instrText xml:space="preserve"> FORMCHECKBOX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sz w:val="21"/>
          <w:szCs w:val="21"/>
        </w:rPr>
        <w:fldChar w:fldCharType="end"/>
      </w:r>
      <w:r w:rsidRPr="00EC7BD5">
        <w:rPr>
          <w:rFonts w:ascii="Segoe UI" w:hAnsi="Segoe UI" w:cs="Segoe UI"/>
          <w:sz w:val="21"/>
          <w:szCs w:val="21"/>
        </w:rPr>
        <w:t xml:space="preserve"> Superior </w:t>
      </w:r>
    </w:p>
    <w:p w14:paraId="5CC6ECA3" w14:textId="77777777" w:rsidR="002D2DF7" w:rsidRPr="00EC7BD5" w:rsidRDefault="002D2DF7" w:rsidP="00EC7BD5">
      <w:pPr>
        <w:pStyle w:val="Tickboxes"/>
        <w:ind w:left="0"/>
        <w:rPr>
          <w:rFonts w:ascii="Segoe UI" w:hAnsi="Segoe UI" w:cs="Segoe UI"/>
          <w:sz w:val="21"/>
          <w:szCs w:val="21"/>
        </w:rPr>
      </w:pPr>
      <w:r w:rsidRPr="00EC7BD5">
        <w:rPr>
          <w:rFonts w:ascii="Segoe UI" w:hAnsi="Segoe UI" w:cs="Segoe UI"/>
          <w:sz w:val="21"/>
          <w:szCs w:val="21"/>
        </w:rPr>
        <w:fldChar w:fldCharType="begin">
          <w:ffData>
            <w:name w:val="Check2"/>
            <w:enabled/>
            <w:calcOnExit w:val="0"/>
            <w:checkBox>
              <w:sizeAuto/>
              <w:default w:val="0"/>
            </w:checkBox>
          </w:ffData>
        </w:fldChar>
      </w:r>
      <w:r w:rsidRPr="00EC7BD5">
        <w:rPr>
          <w:rFonts w:ascii="Segoe UI" w:hAnsi="Segoe UI" w:cs="Segoe UI"/>
          <w:sz w:val="21"/>
          <w:szCs w:val="21"/>
        </w:rPr>
        <w:instrText xml:space="preserve"> FORMCHECKBOX </w:instrText>
      </w:r>
      <w:r w:rsidRPr="00EC7BD5">
        <w:rPr>
          <w:rFonts w:ascii="Segoe UI" w:hAnsi="Segoe UI" w:cs="Segoe UI"/>
          <w:sz w:val="21"/>
          <w:szCs w:val="21"/>
        </w:rPr>
      </w:r>
      <w:r w:rsidRPr="00EC7BD5">
        <w:rPr>
          <w:rFonts w:ascii="Segoe UI" w:hAnsi="Segoe UI" w:cs="Segoe UI"/>
          <w:sz w:val="21"/>
          <w:szCs w:val="21"/>
        </w:rPr>
        <w:fldChar w:fldCharType="separate"/>
      </w:r>
      <w:r w:rsidRPr="00EC7BD5">
        <w:rPr>
          <w:rFonts w:ascii="Segoe UI" w:hAnsi="Segoe UI" w:cs="Segoe UI"/>
          <w:sz w:val="21"/>
          <w:szCs w:val="21"/>
        </w:rPr>
        <w:fldChar w:fldCharType="end"/>
      </w:r>
      <w:r w:rsidRPr="00EC7BD5">
        <w:rPr>
          <w:rFonts w:ascii="Segoe UI" w:hAnsi="Segoe UI" w:cs="Segoe UI"/>
          <w:sz w:val="21"/>
          <w:szCs w:val="21"/>
        </w:rPr>
        <w:t xml:space="preserve"> Non-inferior</w:t>
      </w:r>
    </w:p>
    <w:p w14:paraId="567115B6" w14:textId="77777777" w:rsidR="002D2DF7" w:rsidRPr="00EC7BD5" w:rsidRDefault="002D2DF7" w:rsidP="00EC7BD5">
      <w:pPr>
        <w:pStyle w:val="Tickboxes"/>
        <w:ind w:left="0"/>
        <w:rPr>
          <w:rFonts w:ascii="Segoe UI" w:hAnsi="Segoe UI" w:cs="Segoe UI"/>
          <w:sz w:val="21"/>
          <w:szCs w:val="21"/>
        </w:rPr>
      </w:pPr>
      <w:r w:rsidRPr="00EC7BD5">
        <w:rPr>
          <w:rFonts w:ascii="Segoe UI" w:hAnsi="Segoe UI" w:cs="Segoe UI"/>
          <w:sz w:val="21"/>
          <w:szCs w:val="21"/>
        </w:rPr>
        <w:fldChar w:fldCharType="begin">
          <w:ffData>
            <w:name w:val="Check1"/>
            <w:enabled/>
            <w:calcOnExit w:val="0"/>
            <w:checkBox>
              <w:sizeAuto/>
              <w:default w:val="0"/>
            </w:checkBox>
          </w:ffData>
        </w:fldChar>
      </w:r>
      <w:r w:rsidRPr="00EC7BD5">
        <w:rPr>
          <w:rFonts w:ascii="Segoe UI" w:hAnsi="Segoe UI" w:cs="Segoe UI"/>
          <w:sz w:val="21"/>
          <w:szCs w:val="21"/>
        </w:rPr>
        <w:instrText xml:space="preserve"> FORMCHECKBOX </w:instrText>
      </w:r>
      <w:r w:rsidRPr="00EC7BD5">
        <w:rPr>
          <w:rFonts w:ascii="Segoe UI" w:hAnsi="Segoe UI" w:cs="Segoe UI"/>
          <w:sz w:val="21"/>
          <w:szCs w:val="21"/>
        </w:rPr>
      </w:r>
      <w:r w:rsidRPr="00EC7BD5">
        <w:rPr>
          <w:rFonts w:ascii="Segoe UI" w:hAnsi="Segoe UI" w:cs="Segoe UI"/>
          <w:sz w:val="21"/>
          <w:szCs w:val="21"/>
        </w:rPr>
        <w:fldChar w:fldCharType="separate"/>
      </w:r>
      <w:r w:rsidRPr="00EC7BD5">
        <w:rPr>
          <w:rFonts w:ascii="Segoe UI" w:hAnsi="Segoe UI" w:cs="Segoe UI"/>
          <w:sz w:val="21"/>
          <w:szCs w:val="21"/>
        </w:rPr>
        <w:fldChar w:fldCharType="end"/>
      </w:r>
      <w:r w:rsidRPr="00EC7BD5">
        <w:rPr>
          <w:rFonts w:ascii="Segoe UI" w:hAnsi="Segoe UI" w:cs="Segoe UI"/>
          <w:sz w:val="21"/>
          <w:szCs w:val="21"/>
        </w:rPr>
        <w:t xml:space="preserve"> Inferior </w:t>
      </w:r>
    </w:p>
    <w:p w14:paraId="4B5AC18E" w14:textId="77777777" w:rsidR="002D2DF7" w:rsidRDefault="002D2DF7" w:rsidP="00EC7BD5">
      <w:pPr>
        <w:pStyle w:val="Heading2"/>
      </w:pPr>
      <w:r w:rsidRPr="00EC7BD5">
        <w:t>Please state what the overall claim is, and provide a rationale:</w:t>
      </w:r>
    </w:p>
    <w:p w14:paraId="73C047A3" w14:textId="77777777" w:rsidR="002D2DF7" w:rsidRPr="004A13E1" w:rsidRDefault="002D2DF7" w:rsidP="00AC2E86">
      <w:pPr>
        <w:spacing w:after="0"/>
      </w:pPr>
    </w:p>
    <w:p w14:paraId="32893D5D" w14:textId="77777777" w:rsidR="002D2DF7" w:rsidRPr="004A13E1" w:rsidRDefault="002D2DF7" w:rsidP="004A13E1">
      <w:pPr>
        <w:rPr>
          <w:rFonts w:ascii="Segoe UI" w:hAnsi="Segoe UI" w:cs="Segoe UI"/>
          <w:b/>
          <w:bCs/>
          <w:sz w:val="22"/>
          <w:szCs w:val="22"/>
        </w:rPr>
      </w:pPr>
      <w:r w:rsidRPr="004A13E1">
        <w:rPr>
          <w:rFonts w:ascii="Segoe UI" w:hAnsi="Segoe UI" w:cs="Segoe UI"/>
          <w:b/>
          <w:bCs/>
          <w:sz w:val="22"/>
          <w:szCs w:val="22"/>
        </w:rPr>
        <w:t>Test</w:t>
      </w:r>
    </w:p>
    <w:p w14:paraId="5603EA15" w14:textId="77777777" w:rsidR="002D2DF7" w:rsidRDefault="002D2DF7" w:rsidP="009B1848">
      <w:pPr>
        <w:pStyle w:val="Heading2"/>
        <w:rPr>
          <w:rFonts w:eastAsiaTheme="minorHAnsi"/>
          <w:b w:val="0"/>
          <w:color w:val="auto"/>
        </w:rPr>
      </w:pPr>
      <w:r w:rsidRPr="009B1848">
        <w:rPr>
          <w:rFonts w:eastAsiaTheme="minorHAnsi"/>
          <w:b w:val="0"/>
          <w:color w:val="auto"/>
        </w:rPr>
        <w:t xml:space="preserve">Relative to the comparator: Compared with not testing, the AAV5 </w:t>
      </w:r>
      <w:proofErr w:type="spellStart"/>
      <w:r w:rsidRPr="009B1848">
        <w:rPr>
          <w:rFonts w:eastAsiaTheme="minorHAnsi"/>
          <w:b w:val="0"/>
          <w:color w:val="auto"/>
        </w:rPr>
        <w:t>NAb</w:t>
      </w:r>
      <w:proofErr w:type="spellEnd"/>
      <w:r w:rsidRPr="009B1848">
        <w:rPr>
          <w:rFonts w:eastAsiaTheme="minorHAnsi"/>
          <w:b w:val="0"/>
          <w:color w:val="auto"/>
        </w:rPr>
        <w:t xml:space="preserve"> test is superior in detecting patients eligible for </w:t>
      </w:r>
      <w:proofErr w:type="spellStart"/>
      <w:r w:rsidRPr="009B1848">
        <w:rPr>
          <w:rFonts w:eastAsiaTheme="minorHAnsi"/>
          <w:b w:val="0"/>
          <w:color w:val="auto"/>
        </w:rPr>
        <w:t>Hemgenix</w:t>
      </w:r>
      <w:proofErr w:type="spellEnd"/>
      <w:r w:rsidRPr="009B1848">
        <w:rPr>
          <w:rFonts w:eastAsiaTheme="minorHAnsi"/>
          <w:b w:val="0"/>
          <w:color w:val="auto"/>
        </w:rPr>
        <w:t xml:space="preserve">®. </w:t>
      </w:r>
    </w:p>
    <w:p w14:paraId="6F38048A" w14:textId="77777777" w:rsidR="002D2DF7" w:rsidRPr="00644084" w:rsidRDefault="002D2DF7" w:rsidP="00644084">
      <w:pPr>
        <w:spacing w:after="0"/>
        <w:rPr>
          <w:rFonts w:ascii="Segoe UI" w:hAnsi="Segoe UI" w:cs="Segoe UI"/>
          <w:sz w:val="22"/>
          <w:szCs w:val="22"/>
        </w:rPr>
      </w:pPr>
    </w:p>
    <w:p w14:paraId="531304F6" w14:textId="77777777" w:rsidR="002D2DF7" w:rsidRDefault="002D2DF7" w:rsidP="009B1848">
      <w:pPr>
        <w:rPr>
          <w:rFonts w:ascii="Segoe UI" w:hAnsi="Segoe UI" w:cs="Segoe UI"/>
          <w:sz w:val="22"/>
          <w:szCs w:val="22"/>
        </w:rPr>
      </w:pPr>
      <w:r w:rsidRPr="00644084">
        <w:rPr>
          <w:rFonts w:ascii="Segoe UI" w:hAnsi="Segoe UI" w:cs="Segoe UI"/>
          <w:sz w:val="22"/>
          <w:szCs w:val="22"/>
        </w:rPr>
        <w:t xml:space="preserve">Relative to the clinical utility standard: The analytical performance studies show that the AAV5 </w:t>
      </w:r>
      <w:proofErr w:type="spellStart"/>
      <w:r w:rsidRPr="00644084">
        <w:rPr>
          <w:rFonts w:ascii="Segoe UI" w:hAnsi="Segoe UI" w:cs="Segoe UI"/>
          <w:sz w:val="22"/>
          <w:szCs w:val="22"/>
        </w:rPr>
        <w:t>NAb</w:t>
      </w:r>
      <w:proofErr w:type="spellEnd"/>
      <w:r w:rsidRPr="00644084">
        <w:rPr>
          <w:rFonts w:ascii="Segoe UI" w:hAnsi="Segoe UI" w:cs="Segoe UI"/>
          <w:sz w:val="22"/>
          <w:szCs w:val="22"/>
        </w:rPr>
        <w:t xml:space="preserve"> test</w:t>
      </w:r>
      <w:r>
        <w:rPr>
          <w:rFonts w:ascii="Segoe UI" w:hAnsi="Segoe UI" w:cs="Segoe UI"/>
          <w:sz w:val="22"/>
          <w:szCs w:val="22"/>
        </w:rPr>
        <w:t xml:space="preserve"> (9-point assay)</w:t>
      </w:r>
      <w:r w:rsidRPr="00644084">
        <w:rPr>
          <w:rFonts w:ascii="Segoe UI" w:hAnsi="Segoe UI" w:cs="Segoe UI"/>
          <w:sz w:val="22"/>
          <w:szCs w:val="22"/>
        </w:rPr>
        <w:t xml:space="preserve"> is concordant with the clinical utility standard </w:t>
      </w:r>
      <w:r>
        <w:rPr>
          <w:rFonts w:ascii="Segoe UI" w:hAnsi="Segoe UI" w:cs="Segoe UI"/>
          <w:sz w:val="22"/>
          <w:szCs w:val="22"/>
        </w:rPr>
        <w:t xml:space="preserve">(7-point assay) </w:t>
      </w:r>
      <w:r w:rsidRPr="00644084">
        <w:rPr>
          <w:rFonts w:ascii="Segoe UI" w:hAnsi="Segoe UI" w:cs="Segoe UI"/>
          <w:sz w:val="22"/>
          <w:szCs w:val="22"/>
        </w:rPr>
        <w:t xml:space="preserve">and is a reliable and reproducible test. </w:t>
      </w:r>
    </w:p>
    <w:p w14:paraId="1BB241B0" w14:textId="77777777" w:rsidR="002D2DF7" w:rsidRDefault="002D2DF7" w:rsidP="009B1848">
      <w:pPr>
        <w:rPr>
          <w:rFonts w:ascii="Segoe UI" w:hAnsi="Segoe UI" w:cs="Segoe UI"/>
          <w:b/>
          <w:bCs/>
          <w:sz w:val="22"/>
          <w:szCs w:val="22"/>
        </w:rPr>
      </w:pPr>
      <w:r>
        <w:rPr>
          <w:rFonts w:ascii="Segoe UI" w:hAnsi="Segoe UI" w:cs="Segoe UI"/>
          <w:b/>
          <w:bCs/>
          <w:sz w:val="22"/>
          <w:szCs w:val="22"/>
        </w:rPr>
        <w:t>Intervention</w:t>
      </w:r>
    </w:p>
    <w:p w14:paraId="208EBB21" w14:textId="77777777" w:rsidR="002D2DF7" w:rsidRPr="003A744B" w:rsidRDefault="002D2DF7" w:rsidP="007575B0">
      <w:pPr>
        <w:rPr>
          <w:rFonts w:ascii="Segoe UI" w:hAnsi="Segoe UI" w:cs="Segoe UI"/>
          <w:sz w:val="22"/>
          <w:szCs w:val="22"/>
        </w:rPr>
      </w:pPr>
      <w:r w:rsidRPr="003A744B">
        <w:rPr>
          <w:rFonts w:ascii="Segoe UI" w:hAnsi="Segoe UI" w:cs="Segoe UI"/>
          <w:sz w:val="22"/>
          <w:szCs w:val="22"/>
        </w:rPr>
        <w:t>The applicant claims that compared to standard of care with no gene therapy, the proposed intervention (</w:t>
      </w:r>
      <w:proofErr w:type="spellStart"/>
      <w:r w:rsidRPr="003A744B">
        <w:rPr>
          <w:rFonts w:ascii="Segoe UI" w:hAnsi="Segoe UI" w:cs="Segoe UI"/>
          <w:sz w:val="22"/>
          <w:szCs w:val="22"/>
        </w:rPr>
        <w:t>Hemgenix</w:t>
      </w:r>
      <w:proofErr w:type="spellEnd"/>
      <w:r w:rsidRPr="003A744B">
        <w:rPr>
          <w:rFonts w:ascii="Segoe UI" w:hAnsi="Segoe UI" w:cs="Segoe UI"/>
          <w:sz w:val="22"/>
          <w:szCs w:val="22"/>
        </w:rPr>
        <w:t>®) has:</w:t>
      </w:r>
    </w:p>
    <w:p w14:paraId="1EADB1B0" w14:textId="77777777" w:rsidR="002D2DF7" w:rsidRPr="003A744B" w:rsidRDefault="002D2DF7" w:rsidP="003A744B">
      <w:pPr>
        <w:pStyle w:val="ListParagraph"/>
        <w:numPr>
          <w:ilvl w:val="0"/>
          <w:numId w:val="2"/>
        </w:numPr>
        <w:rPr>
          <w:rFonts w:ascii="Segoe UI" w:hAnsi="Segoe UI" w:cs="Segoe UI"/>
          <w:sz w:val="22"/>
          <w:szCs w:val="22"/>
        </w:rPr>
      </w:pPr>
      <w:r w:rsidRPr="003A744B">
        <w:rPr>
          <w:rFonts w:ascii="Segoe UI" w:hAnsi="Segoe UI" w:cs="Segoe UI"/>
          <w:sz w:val="22"/>
          <w:szCs w:val="22"/>
        </w:rPr>
        <w:t>superior efficacy outcomes: annualised bleed rates (overall, categorised bleed severity, and site/type specific) over time, Reduction in FIX utilisation</w:t>
      </w:r>
      <w:r>
        <w:rPr>
          <w:rFonts w:ascii="Segoe UI" w:hAnsi="Segoe UI" w:cs="Segoe UI"/>
          <w:sz w:val="22"/>
          <w:szCs w:val="22"/>
        </w:rPr>
        <w:t>.</w:t>
      </w:r>
    </w:p>
    <w:p w14:paraId="08867878" w14:textId="77777777" w:rsidR="002D2DF7" w:rsidRDefault="002D2DF7" w:rsidP="007575B0">
      <w:pPr>
        <w:pStyle w:val="ListParagraph"/>
        <w:numPr>
          <w:ilvl w:val="0"/>
          <w:numId w:val="2"/>
        </w:numPr>
        <w:rPr>
          <w:rFonts w:ascii="Segoe UI" w:hAnsi="Segoe UI" w:cs="Segoe UI"/>
          <w:sz w:val="22"/>
          <w:szCs w:val="22"/>
        </w:rPr>
      </w:pPr>
      <w:r w:rsidRPr="003A744B">
        <w:rPr>
          <w:rFonts w:ascii="Segoe UI" w:hAnsi="Segoe UI" w:cs="Segoe UI"/>
          <w:sz w:val="22"/>
          <w:szCs w:val="22"/>
        </w:rPr>
        <w:t>endogenous FIX activity concentration and trough FIX activity over time, occurrence and resolution</w:t>
      </w:r>
      <w:r>
        <w:rPr>
          <w:rFonts w:ascii="Segoe UI" w:hAnsi="Segoe UI" w:cs="Segoe UI"/>
          <w:sz w:val="22"/>
          <w:szCs w:val="22"/>
        </w:rPr>
        <w:t xml:space="preserve"> </w:t>
      </w:r>
      <w:r w:rsidRPr="003A744B">
        <w:rPr>
          <w:rFonts w:ascii="Segoe UI" w:hAnsi="Segoe UI" w:cs="Segoe UI"/>
          <w:sz w:val="22"/>
          <w:szCs w:val="22"/>
        </w:rPr>
        <w:t>of target joint bleeding, central venous access no longer required, events of central venous access</w:t>
      </w:r>
      <w:r>
        <w:rPr>
          <w:rFonts w:ascii="Segoe UI" w:hAnsi="Segoe UI" w:cs="Segoe UI"/>
          <w:sz w:val="22"/>
          <w:szCs w:val="22"/>
        </w:rPr>
        <w:t xml:space="preserve"> </w:t>
      </w:r>
      <w:r w:rsidRPr="003A744B">
        <w:rPr>
          <w:rFonts w:ascii="Segoe UI" w:hAnsi="Segoe UI" w:cs="Segoe UI"/>
          <w:sz w:val="22"/>
          <w:szCs w:val="22"/>
        </w:rPr>
        <w:t>related sepsis or thrombosis</w:t>
      </w:r>
      <w:r>
        <w:rPr>
          <w:rFonts w:ascii="Segoe UI" w:hAnsi="Segoe UI" w:cs="Segoe UI"/>
          <w:sz w:val="22"/>
          <w:szCs w:val="22"/>
        </w:rPr>
        <w:t>.</w:t>
      </w:r>
    </w:p>
    <w:p w14:paraId="29C84AAB" w14:textId="77777777" w:rsidR="002D2DF7" w:rsidRPr="003A744B" w:rsidRDefault="002D2DF7" w:rsidP="007575B0">
      <w:pPr>
        <w:pStyle w:val="ListParagraph"/>
        <w:numPr>
          <w:ilvl w:val="0"/>
          <w:numId w:val="2"/>
        </w:numPr>
        <w:rPr>
          <w:rFonts w:ascii="Segoe UI" w:hAnsi="Segoe UI" w:cs="Segoe UI"/>
          <w:sz w:val="22"/>
          <w:szCs w:val="22"/>
        </w:rPr>
      </w:pPr>
      <w:r w:rsidRPr="003A744B">
        <w:rPr>
          <w:rFonts w:ascii="Segoe UI" w:hAnsi="Segoe UI" w:cs="Segoe UI"/>
          <w:sz w:val="22"/>
          <w:szCs w:val="22"/>
        </w:rPr>
        <w:t>non-inferior and acceptable safety outcomes: acute peri-infusion adverse effects, long-term</w:t>
      </w:r>
      <w:r>
        <w:rPr>
          <w:rFonts w:ascii="Segoe UI" w:hAnsi="Segoe UI" w:cs="Segoe UI"/>
          <w:sz w:val="22"/>
          <w:szCs w:val="22"/>
        </w:rPr>
        <w:t xml:space="preserve"> </w:t>
      </w:r>
      <w:r w:rsidRPr="003A744B">
        <w:rPr>
          <w:rFonts w:ascii="Segoe UI" w:hAnsi="Segoe UI" w:cs="Segoe UI"/>
          <w:sz w:val="22"/>
          <w:szCs w:val="22"/>
        </w:rPr>
        <w:t>adverse events (e.g. thrombosis, hepatitis, hepatocellular carcinoma), laboratory indicators of</w:t>
      </w:r>
      <w:r>
        <w:rPr>
          <w:rFonts w:ascii="Segoe UI" w:hAnsi="Segoe UI" w:cs="Segoe UI"/>
          <w:sz w:val="22"/>
          <w:szCs w:val="22"/>
        </w:rPr>
        <w:t xml:space="preserve"> </w:t>
      </w:r>
      <w:r w:rsidRPr="003A744B">
        <w:rPr>
          <w:rFonts w:ascii="Segoe UI" w:hAnsi="Segoe UI" w:cs="Segoe UI"/>
          <w:sz w:val="22"/>
          <w:szCs w:val="22"/>
        </w:rPr>
        <w:t>safety (e.g. coagulation, inflammatory markers, serology, haematology), formation of post-infusion</w:t>
      </w:r>
      <w:r>
        <w:rPr>
          <w:rFonts w:ascii="Segoe UI" w:hAnsi="Segoe UI" w:cs="Segoe UI"/>
          <w:sz w:val="22"/>
          <w:szCs w:val="22"/>
        </w:rPr>
        <w:t xml:space="preserve"> </w:t>
      </w:r>
      <w:r w:rsidRPr="003A744B">
        <w:rPr>
          <w:rFonts w:ascii="Segoe UI" w:hAnsi="Segoe UI" w:cs="Segoe UI"/>
          <w:sz w:val="22"/>
          <w:szCs w:val="22"/>
        </w:rPr>
        <w:t xml:space="preserve">FIX inhibitors and formation of anti-AAV5 </w:t>
      </w:r>
      <w:proofErr w:type="spellStart"/>
      <w:r w:rsidRPr="003A744B">
        <w:rPr>
          <w:rFonts w:ascii="Segoe UI" w:hAnsi="Segoe UI" w:cs="Segoe UI"/>
          <w:sz w:val="22"/>
          <w:szCs w:val="22"/>
        </w:rPr>
        <w:t>NAbs</w:t>
      </w:r>
      <w:proofErr w:type="spellEnd"/>
      <w:r w:rsidRPr="003A744B">
        <w:rPr>
          <w:rFonts w:ascii="Segoe UI" w:hAnsi="Segoe UI" w:cs="Segoe UI"/>
          <w:sz w:val="22"/>
          <w:szCs w:val="22"/>
        </w:rPr>
        <w:t xml:space="preserve"> in relation to suboptimal therapeutic effect or</w:t>
      </w:r>
      <w:r>
        <w:rPr>
          <w:rFonts w:ascii="Segoe UI" w:hAnsi="Segoe UI" w:cs="Segoe UI"/>
          <w:sz w:val="22"/>
          <w:szCs w:val="22"/>
        </w:rPr>
        <w:t xml:space="preserve"> </w:t>
      </w:r>
      <w:r w:rsidRPr="003A744B">
        <w:rPr>
          <w:rFonts w:ascii="Segoe UI" w:hAnsi="Segoe UI" w:cs="Segoe UI"/>
          <w:sz w:val="22"/>
          <w:szCs w:val="22"/>
        </w:rPr>
        <w:t>intervention failure</w:t>
      </w:r>
      <w:r>
        <w:rPr>
          <w:rFonts w:ascii="Segoe UI" w:hAnsi="Segoe UI" w:cs="Segoe UI"/>
          <w:sz w:val="22"/>
          <w:szCs w:val="22"/>
        </w:rPr>
        <w:t>.</w:t>
      </w:r>
    </w:p>
    <w:p w14:paraId="03E54902" w14:textId="77777777" w:rsidR="002D2DF7" w:rsidRDefault="002D2DF7" w:rsidP="007575B0">
      <w:pPr>
        <w:pStyle w:val="ListParagraph"/>
        <w:numPr>
          <w:ilvl w:val="0"/>
          <w:numId w:val="2"/>
        </w:numPr>
        <w:rPr>
          <w:rFonts w:ascii="Segoe UI" w:hAnsi="Segoe UI" w:cs="Segoe UI"/>
          <w:sz w:val="22"/>
          <w:szCs w:val="22"/>
        </w:rPr>
      </w:pPr>
      <w:r w:rsidRPr="003A744B">
        <w:rPr>
          <w:rFonts w:ascii="Segoe UI" w:hAnsi="Segoe UI" w:cs="Segoe UI"/>
          <w:sz w:val="22"/>
          <w:szCs w:val="22"/>
        </w:rPr>
        <w:t>superior health-related quality of life (</w:t>
      </w:r>
      <w:proofErr w:type="spellStart"/>
      <w:r w:rsidRPr="003A744B">
        <w:rPr>
          <w:rFonts w:ascii="Segoe UI" w:hAnsi="Segoe UI" w:cs="Segoe UI"/>
          <w:sz w:val="22"/>
          <w:szCs w:val="22"/>
        </w:rPr>
        <w:t>HRQoL</w:t>
      </w:r>
      <w:proofErr w:type="spellEnd"/>
      <w:r w:rsidRPr="003A744B">
        <w:rPr>
          <w:rFonts w:ascii="Segoe UI" w:hAnsi="Segoe UI" w:cs="Segoe UI"/>
          <w:sz w:val="22"/>
          <w:szCs w:val="22"/>
        </w:rPr>
        <w:t>) outcomes: EQ-5D-5L (</w:t>
      </w:r>
      <w:proofErr w:type="spellStart"/>
      <w:r w:rsidRPr="003A744B">
        <w:rPr>
          <w:rFonts w:ascii="Segoe UI" w:hAnsi="Segoe UI" w:cs="Segoe UI"/>
          <w:sz w:val="22"/>
          <w:szCs w:val="22"/>
        </w:rPr>
        <w:t>EuroQol</w:t>
      </w:r>
      <w:proofErr w:type="spellEnd"/>
      <w:r w:rsidRPr="003A744B">
        <w:rPr>
          <w:rFonts w:ascii="Segoe UI" w:hAnsi="Segoe UI" w:cs="Segoe UI"/>
          <w:sz w:val="22"/>
          <w:szCs w:val="22"/>
        </w:rPr>
        <w:t xml:space="preserve"> 5-dimension health</w:t>
      </w:r>
      <w:r>
        <w:rPr>
          <w:rFonts w:ascii="Segoe UI" w:hAnsi="Segoe UI" w:cs="Segoe UI"/>
          <w:sz w:val="22"/>
          <w:szCs w:val="22"/>
        </w:rPr>
        <w:t xml:space="preserve"> </w:t>
      </w:r>
      <w:r w:rsidRPr="003A744B">
        <w:rPr>
          <w:rFonts w:ascii="Segoe UI" w:hAnsi="Segoe UI" w:cs="Segoe UI"/>
          <w:sz w:val="22"/>
          <w:szCs w:val="22"/>
        </w:rPr>
        <w:t>related quality of life questionnaire–5 levels), SF-36 (36-item short form health survey), HWBI</w:t>
      </w:r>
      <w:r>
        <w:rPr>
          <w:rFonts w:ascii="Segoe UI" w:hAnsi="Segoe UI" w:cs="Segoe UI"/>
          <w:sz w:val="22"/>
          <w:szCs w:val="22"/>
        </w:rPr>
        <w:t xml:space="preserve"> </w:t>
      </w:r>
      <w:r w:rsidRPr="003A744B">
        <w:rPr>
          <w:rFonts w:ascii="Segoe UI" w:hAnsi="Segoe UI" w:cs="Segoe UI"/>
          <w:sz w:val="22"/>
          <w:szCs w:val="22"/>
        </w:rPr>
        <w:t>(haemophilia wellbeing index), HAEMO-QoL-A (haemophilia-specific QoL questionnaire for adults),</w:t>
      </w:r>
      <w:r>
        <w:rPr>
          <w:rFonts w:ascii="Segoe UI" w:hAnsi="Segoe UI" w:cs="Segoe UI"/>
          <w:sz w:val="22"/>
          <w:szCs w:val="22"/>
        </w:rPr>
        <w:t xml:space="preserve"> </w:t>
      </w:r>
      <w:r w:rsidRPr="003A744B">
        <w:rPr>
          <w:rFonts w:ascii="Segoe UI" w:hAnsi="Segoe UI" w:cs="Segoe UI"/>
          <w:sz w:val="22"/>
          <w:szCs w:val="22"/>
        </w:rPr>
        <w:t>PROBE (patient reported outcomes, burdens and experiences) questionnaire, HAL (haemophilia</w:t>
      </w:r>
      <w:r>
        <w:rPr>
          <w:rFonts w:ascii="Segoe UI" w:hAnsi="Segoe UI" w:cs="Segoe UI"/>
          <w:sz w:val="22"/>
          <w:szCs w:val="22"/>
        </w:rPr>
        <w:t xml:space="preserve"> </w:t>
      </w:r>
      <w:r w:rsidRPr="003A744B">
        <w:rPr>
          <w:rFonts w:ascii="Segoe UI" w:hAnsi="Segoe UI" w:cs="Segoe UI"/>
          <w:sz w:val="22"/>
          <w:szCs w:val="22"/>
        </w:rPr>
        <w:t>activities list), FISH (functional independence score in haemophilia).</w:t>
      </w:r>
    </w:p>
    <w:p w14:paraId="0E2E7EC3" w14:textId="77777777" w:rsidR="002D2DF7" w:rsidRPr="008F2B7A" w:rsidRDefault="002D2DF7" w:rsidP="008F2B7A">
      <w:pPr>
        <w:rPr>
          <w:rFonts w:ascii="Segoe UI" w:hAnsi="Segoe UI" w:cs="Segoe UI"/>
          <w:sz w:val="22"/>
          <w:szCs w:val="22"/>
        </w:rPr>
      </w:pPr>
      <w:r w:rsidRPr="00D242D8">
        <w:rPr>
          <w:rFonts w:ascii="Segoe UI" w:hAnsi="Segoe UI" w:cs="Segoe UI"/>
          <w:b/>
          <w:bCs/>
          <w:sz w:val="22"/>
          <w:szCs w:val="22"/>
        </w:rPr>
        <w:t>Rationale:</w:t>
      </w:r>
      <w:r>
        <w:rPr>
          <w:rFonts w:ascii="Segoe UI" w:hAnsi="Segoe UI" w:cs="Segoe UI"/>
          <w:sz w:val="22"/>
          <w:szCs w:val="22"/>
        </w:rPr>
        <w:t xml:space="preserve"> HOPE-B (pivotal phase 3 trial) demonstrates a significantly reduce annualised bleeding rate (ABR), sustained increases to FIX % activity level, significant reduction in FIX consumption and frequency and improvements in QoL metrics. </w:t>
      </w:r>
      <w:r w:rsidRPr="00D87751">
        <w:rPr>
          <w:rFonts w:ascii="Segoe UI" w:hAnsi="Segoe UI" w:cs="Segoe UI"/>
          <w:sz w:val="22"/>
          <w:szCs w:val="22"/>
        </w:rPr>
        <w:t xml:space="preserve">The pivotal Phase III </w:t>
      </w:r>
      <w:r>
        <w:rPr>
          <w:rFonts w:ascii="Segoe UI" w:hAnsi="Segoe UI" w:cs="Segoe UI"/>
          <w:sz w:val="22"/>
          <w:szCs w:val="22"/>
        </w:rPr>
        <w:t>trial also</w:t>
      </w:r>
      <w:r w:rsidRPr="00D87751">
        <w:rPr>
          <w:rFonts w:ascii="Segoe UI" w:hAnsi="Segoe UI" w:cs="Segoe UI"/>
          <w:sz w:val="22"/>
          <w:szCs w:val="22"/>
        </w:rPr>
        <w:t xml:space="preserve"> shows that </w:t>
      </w:r>
      <w:proofErr w:type="spellStart"/>
      <w:r w:rsidRPr="00D87751">
        <w:rPr>
          <w:rFonts w:ascii="Segoe UI" w:hAnsi="Segoe UI" w:cs="Segoe UI"/>
          <w:sz w:val="22"/>
          <w:szCs w:val="22"/>
        </w:rPr>
        <w:t>Hemgenix</w:t>
      </w:r>
      <w:proofErr w:type="spellEnd"/>
      <w:r w:rsidRPr="009B1848">
        <w:t>®</w:t>
      </w:r>
      <w:r w:rsidRPr="00D87751">
        <w:rPr>
          <w:rFonts w:ascii="Segoe UI" w:hAnsi="Segoe UI" w:cs="Segoe UI"/>
          <w:sz w:val="22"/>
          <w:szCs w:val="22"/>
        </w:rPr>
        <w:t xml:space="preserve"> is reasonably safe and well tolerated in the target population of patients with severe or moderately severe HMB receiving routine FIX prophylaxis, being associated with similar or even lower rates of adverse events than the pre-treatment standard of care</w:t>
      </w:r>
      <w:r>
        <w:rPr>
          <w:rFonts w:ascii="Segoe UI" w:hAnsi="Segoe UI" w:cs="Segoe UI"/>
          <w:sz w:val="22"/>
          <w:szCs w:val="22"/>
        </w:rPr>
        <w:t xml:space="preserve"> (Pipe 2023)</w:t>
      </w:r>
      <w:r w:rsidRPr="00D87751">
        <w:rPr>
          <w:rFonts w:ascii="Segoe UI" w:hAnsi="Segoe UI" w:cs="Segoe UI"/>
          <w:sz w:val="22"/>
          <w:szCs w:val="22"/>
        </w:rPr>
        <w:t xml:space="preserve">.  </w:t>
      </w:r>
    </w:p>
    <w:p w14:paraId="28C1B8B0" w14:textId="77777777" w:rsidR="002D2DF7" w:rsidRPr="00EC7BD5" w:rsidRDefault="002D2DF7" w:rsidP="00EC7BD5">
      <w:pPr>
        <w:pStyle w:val="Heading2"/>
      </w:pPr>
      <w:r w:rsidRPr="00EC7BD5">
        <w:lastRenderedPageBreak/>
        <w:t>Why would the requestor seek to use the proposed investigative technology rather than the comparator(s)?</w:t>
      </w:r>
    </w:p>
    <w:p w14:paraId="2AD6F41B" w14:textId="77777777" w:rsidR="002D2DF7" w:rsidRPr="00EC7BD5" w:rsidRDefault="002D2DF7" w:rsidP="00EC7BD5">
      <w:pPr>
        <w:rPr>
          <w:rFonts w:ascii="Segoe UI" w:eastAsia="Segoe UI" w:hAnsi="Segoe UI" w:cs="Segoe UI"/>
          <w:color w:val="000000"/>
          <w:sz w:val="22"/>
          <w:szCs w:val="22"/>
        </w:rPr>
      </w:pPr>
      <w:r>
        <w:rPr>
          <w:rFonts w:ascii="Segoe UI" w:hAnsi="Segoe UI" w:cs="Segoe UI"/>
          <w:sz w:val="22"/>
          <w:szCs w:val="22"/>
        </w:rPr>
        <w:t>N/A</w:t>
      </w:r>
    </w:p>
    <w:p w14:paraId="135F842E" w14:textId="77777777" w:rsidR="002D2DF7" w:rsidRPr="00EC7BD5" w:rsidRDefault="002D2DF7" w:rsidP="00EC7BD5">
      <w:pPr>
        <w:pStyle w:val="Heading2"/>
      </w:pPr>
      <w:r w:rsidRPr="00EC7BD5">
        <w:t>Identify how the proposed technology achieves the intended patient outcomes:</w:t>
      </w:r>
    </w:p>
    <w:p w14:paraId="525EA06B" w14:textId="77777777" w:rsidR="002D2DF7" w:rsidRPr="00EC7BD5" w:rsidRDefault="002D2DF7" w:rsidP="00EC7BD5">
      <w:pPr>
        <w:rPr>
          <w:rFonts w:ascii="Segoe UI" w:eastAsia="Segoe UI" w:hAnsi="Segoe UI" w:cs="Segoe UI"/>
          <w:color w:val="000000"/>
          <w:sz w:val="22"/>
          <w:szCs w:val="22"/>
        </w:rPr>
      </w:pPr>
      <w:r w:rsidRPr="007A72E4">
        <w:rPr>
          <w:rFonts w:ascii="Segoe UI" w:hAnsi="Segoe UI" w:cs="Segoe UI"/>
          <w:sz w:val="22"/>
          <w:szCs w:val="22"/>
        </w:rPr>
        <w:t>The intended patient outcome is to determine if a patient is eligible for HEMGENIX® (</w:t>
      </w:r>
      <w:proofErr w:type="spellStart"/>
      <w:r w:rsidRPr="007A72E4">
        <w:rPr>
          <w:rFonts w:ascii="Segoe UI" w:hAnsi="Segoe UI" w:cs="Segoe UI"/>
          <w:sz w:val="22"/>
          <w:szCs w:val="22"/>
        </w:rPr>
        <w:t>etranacogene</w:t>
      </w:r>
      <w:proofErr w:type="spellEnd"/>
      <w:r w:rsidRPr="007A72E4">
        <w:rPr>
          <w:rFonts w:ascii="Segoe UI" w:hAnsi="Segoe UI" w:cs="Segoe UI"/>
          <w:sz w:val="22"/>
          <w:szCs w:val="22"/>
        </w:rPr>
        <w:t xml:space="preserve"> </w:t>
      </w:r>
      <w:proofErr w:type="spellStart"/>
      <w:r w:rsidRPr="007A72E4">
        <w:rPr>
          <w:rFonts w:ascii="Segoe UI" w:hAnsi="Segoe UI" w:cs="Segoe UI"/>
          <w:sz w:val="22"/>
          <w:szCs w:val="22"/>
        </w:rPr>
        <w:t>dezaparvovec</w:t>
      </w:r>
      <w:proofErr w:type="spellEnd"/>
      <w:r w:rsidRPr="007A72E4">
        <w:rPr>
          <w:rFonts w:ascii="Segoe UI" w:hAnsi="Segoe UI" w:cs="Segoe UI"/>
          <w:sz w:val="22"/>
          <w:szCs w:val="22"/>
        </w:rPr>
        <w:t xml:space="preserve">). The AAV5 </w:t>
      </w:r>
      <w:proofErr w:type="spellStart"/>
      <w:r w:rsidRPr="007A72E4">
        <w:rPr>
          <w:rFonts w:ascii="Segoe UI" w:hAnsi="Segoe UI" w:cs="Segoe UI"/>
          <w:sz w:val="22"/>
          <w:szCs w:val="22"/>
        </w:rPr>
        <w:t>NAb</w:t>
      </w:r>
      <w:proofErr w:type="spellEnd"/>
      <w:r w:rsidRPr="007A72E4">
        <w:rPr>
          <w:rFonts w:ascii="Segoe UI" w:hAnsi="Segoe UI" w:cs="Segoe UI"/>
          <w:sz w:val="22"/>
          <w:szCs w:val="22"/>
        </w:rPr>
        <w:t xml:space="preserve"> assay measures neutralising antibodies to identify patients that have </w:t>
      </w:r>
      <w:proofErr w:type="spellStart"/>
      <w:r w:rsidRPr="007A72E4">
        <w:rPr>
          <w:rFonts w:ascii="Segoe UI" w:hAnsi="Segoe UI" w:cs="Segoe UI"/>
          <w:sz w:val="22"/>
          <w:szCs w:val="22"/>
        </w:rPr>
        <w:t>NAb</w:t>
      </w:r>
      <w:proofErr w:type="spellEnd"/>
      <w:r w:rsidRPr="007A72E4">
        <w:rPr>
          <w:rFonts w:ascii="Segoe UI" w:hAnsi="Segoe UI" w:cs="Segoe UI"/>
          <w:sz w:val="22"/>
          <w:szCs w:val="22"/>
        </w:rPr>
        <w:t xml:space="preserve"> titres &lt;1:900 (9-point assay) and are eligible for HEMGENIX®. Compared to standard of care with no gene therapy, HEMGENIX® has superior efficacy outcomes including annualised bleeding rates (ABR), significantly reduced FIX utilisation, endogenous FIX activity, improved quality of life (QoL) and a sustained change in patient disease categorisations (to mild or non-haemophilic categories).</w:t>
      </w:r>
      <w:r w:rsidRPr="00EC7BD5">
        <w:rPr>
          <w:rFonts w:ascii="Segoe UI" w:eastAsia="Segoe UI" w:hAnsi="Segoe UI" w:cs="Segoe UI"/>
          <w:color w:val="000000"/>
          <w:sz w:val="22"/>
          <w:szCs w:val="22"/>
        </w:rPr>
        <w:t xml:space="preserve"> </w:t>
      </w:r>
    </w:p>
    <w:p w14:paraId="133CFC32" w14:textId="77777777" w:rsidR="002D2DF7" w:rsidRPr="00EC7BD5" w:rsidRDefault="002D2DF7" w:rsidP="00EC7BD5">
      <w:pPr>
        <w:pStyle w:val="Heading2"/>
      </w:pPr>
      <w:r w:rsidRPr="00EC7BD5">
        <w:t xml:space="preserve">For some people, compared with the comparator(s), does the test information result in: </w:t>
      </w:r>
    </w:p>
    <w:p w14:paraId="15980F4A" w14:textId="77777777" w:rsidR="002D2DF7" w:rsidRPr="00EC7BD5" w:rsidRDefault="002D2DF7" w:rsidP="00EC7BD5">
      <w:pPr>
        <w:spacing w:before="120"/>
        <w:rPr>
          <w:rFonts w:ascii="Segoe UI" w:hAnsi="Segoe UI" w:cs="Segoe UI"/>
          <w:bCs/>
          <w:sz w:val="22"/>
          <w:szCs w:val="22"/>
        </w:rPr>
      </w:pPr>
      <w:r w:rsidRPr="00EC7BD5">
        <w:rPr>
          <w:rFonts w:ascii="Segoe UI" w:hAnsi="Segoe UI" w:cs="Segoe UI"/>
          <w:b/>
          <w:bCs/>
          <w:sz w:val="22"/>
          <w:szCs w:val="22"/>
        </w:rPr>
        <w:t>A change in clinical management?</w:t>
      </w:r>
      <w:r w:rsidRPr="00EC7BD5">
        <w:rPr>
          <w:rFonts w:ascii="Segoe UI" w:hAnsi="Segoe UI" w:cs="Segoe UI"/>
          <w:bCs/>
          <w:sz w:val="22"/>
          <w:szCs w:val="22"/>
        </w:rPr>
        <w:tab/>
      </w:r>
      <w:r w:rsidRPr="00CB6EE2">
        <w:rPr>
          <w:rFonts w:ascii="Segoe UI" w:hAnsi="Segoe UI" w:cs="Segoe UI"/>
          <w:bCs/>
          <w:sz w:val="22"/>
          <w:szCs w:val="22"/>
        </w:rPr>
        <w:t xml:space="preserve">Yes, the test detects patients eligible for treatment with </w:t>
      </w:r>
      <w:proofErr w:type="spellStart"/>
      <w:r w:rsidRPr="00CB6EE2">
        <w:rPr>
          <w:rFonts w:ascii="Segoe UI" w:hAnsi="Segoe UI" w:cs="Segoe UI"/>
          <w:bCs/>
          <w:sz w:val="22"/>
          <w:szCs w:val="22"/>
        </w:rPr>
        <w:t>Hemgenix</w:t>
      </w:r>
      <w:proofErr w:type="spellEnd"/>
      <w:r w:rsidRPr="00CB6EE2">
        <w:rPr>
          <w:rFonts w:ascii="Segoe UI" w:hAnsi="Segoe UI" w:cs="Segoe UI"/>
          <w:bCs/>
          <w:sz w:val="22"/>
          <w:szCs w:val="22"/>
        </w:rPr>
        <w:t>® that, without the test, would not have been detected.</w:t>
      </w:r>
    </w:p>
    <w:p w14:paraId="058F3785" w14:textId="77777777" w:rsidR="002D2DF7" w:rsidRPr="00EC7BD5" w:rsidRDefault="002D2DF7" w:rsidP="00EC7BD5">
      <w:pPr>
        <w:rPr>
          <w:rFonts w:ascii="Segoe UI" w:hAnsi="Segoe UI" w:cs="Segoe UI"/>
          <w:bCs/>
          <w:sz w:val="22"/>
          <w:szCs w:val="22"/>
        </w:rPr>
      </w:pPr>
      <w:r w:rsidRPr="00EC7BD5">
        <w:rPr>
          <w:rFonts w:ascii="Segoe UI" w:hAnsi="Segoe UI" w:cs="Segoe UI"/>
          <w:b/>
          <w:bCs/>
          <w:sz w:val="22"/>
          <w:szCs w:val="22"/>
        </w:rPr>
        <w:t>A change in health outcome?</w:t>
      </w:r>
      <w:r w:rsidRPr="00EC7BD5">
        <w:rPr>
          <w:rFonts w:ascii="Segoe UI" w:hAnsi="Segoe UI" w:cs="Segoe UI"/>
          <w:bCs/>
          <w:sz w:val="22"/>
          <w:szCs w:val="22"/>
        </w:rPr>
        <w:tab/>
      </w:r>
      <w:r w:rsidRPr="0037600A">
        <w:rPr>
          <w:rFonts w:ascii="Segoe UI" w:hAnsi="Segoe UI" w:cs="Segoe UI"/>
          <w:bCs/>
          <w:sz w:val="22"/>
          <w:szCs w:val="22"/>
        </w:rPr>
        <w:t xml:space="preserve">Yes, superior outcomes are achieved with </w:t>
      </w:r>
      <w:proofErr w:type="spellStart"/>
      <w:r w:rsidRPr="0037600A">
        <w:rPr>
          <w:rFonts w:ascii="Segoe UI" w:hAnsi="Segoe UI" w:cs="Segoe UI"/>
          <w:bCs/>
          <w:sz w:val="22"/>
          <w:szCs w:val="22"/>
        </w:rPr>
        <w:t>Hemgenix</w:t>
      </w:r>
      <w:proofErr w:type="spellEnd"/>
      <w:r w:rsidRPr="0037600A">
        <w:rPr>
          <w:rFonts w:ascii="Segoe UI" w:hAnsi="Segoe UI" w:cs="Segoe UI"/>
          <w:bCs/>
          <w:sz w:val="22"/>
          <w:szCs w:val="22"/>
        </w:rPr>
        <w:t xml:space="preserve">® relative to standard of care </w:t>
      </w:r>
      <w:proofErr w:type="spellStart"/>
      <w:r w:rsidRPr="0037600A">
        <w:rPr>
          <w:rFonts w:ascii="Segoe UI" w:hAnsi="Segoe UI" w:cs="Segoe UI"/>
          <w:bCs/>
          <w:sz w:val="22"/>
          <w:szCs w:val="22"/>
        </w:rPr>
        <w:t>cHMB</w:t>
      </w:r>
      <w:proofErr w:type="spellEnd"/>
      <w:r w:rsidRPr="0037600A">
        <w:rPr>
          <w:rFonts w:ascii="Segoe UI" w:hAnsi="Segoe UI" w:cs="Segoe UI"/>
          <w:bCs/>
          <w:sz w:val="22"/>
          <w:szCs w:val="22"/>
        </w:rPr>
        <w:t xml:space="preserve"> therapy</w:t>
      </w:r>
      <w:r>
        <w:rPr>
          <w:rFonts w:ascii="Segoe UI" w:hAnsi="Segoe UI" w:cs="Segoe UI"/>
          <w:bCs/>
          <w:sz w:val="22"/>
          <w:szCs w:val="22"/>
        </w:rPr>
        <w:t xml:space="preserve">, which patients would remain on if no testing occurred. </w:t>
      </w:r>
    </w:p>
    <w:p w14:paraId="62518E2E" w14:textId="77777777" w:rsidR="002D2DF7" w:rsidRDefault="002D2DF7" w:rsidP="00EC7BD5">
      <w:pPr>
        <w:rPr>
          <w:rFonts w:ascii="Segoe UI" w:hAnsi="Segoe UI" w:cs="Segoe UI"/>
          <w:bCs/>
          <w:sz w:val="22"/>
          <w:szCs w:val="22"/>
        </w:rPr>
      </w:pPr>
      <w:r w:rsidRPr="00EC7BD5">
        <w:rPr>
          <w:rFonts w:ascii="Segoe UI" w:hAnsi="Segoe UI" w:cs="Segoe UI"/>
          <w:b/>
          <w:bCs/>
          <w:sz w:val="22"/>
          <w:szCs w:val="22"/>
        </w:rPr>
        <w:t>Other benefits?</w:t>
      </w:r>
      <w:r w:rsidRPr="00EC7BD5">
        <w:rPr>
          <w:rFonts w:ascii="Segoe UI" w:hAnsi="Segoe UI" w:cs="Segoe UI"/>
          <w:bCs/>
          <w:sz w:val="22"/>
          <w:szCs w:val="22"/>
        </w:rPr>
        <w:tab/>
      </w:r>
      <w:r w:rsidRPr="00EC7BD5">
        <w:rPr>
          <w:rFonts w:ascii="Segoe UI" w:hAnsi="Segoe UI" w:cs="Segoe UI"/>
          <w:bCs/>
          <w:sz w:val="22"/>
          <w:szCs w:val="22"/>
        </w:rPr>
        <w:tab/>
      </w:r>
      <w:r w:rsidRPr="00EC7BD5">
        <w:rPr>
          <w:rFonts w:ascii="Segoe UI" w:hAnsi="Segoe UI" w:cs="Segoe UI"/>
          <w:bCs/>
          <w:sz w:val="22"/>
          <w:szCs w:val="22"/>
        </w:rPr>
        <w:tab/>
      </w:r>
      <w:r w:rsidRPr="00714F74">
        <w:rPr>
          <w:rFonts w:ascii="Segoe UI" w:hAnsi="Segoe UI" w:cs="Segoe UI"/>
          <w:bCs/>
          <w:sz w:val="22"/>
          <w:szCs w:val="22"/>
        </w:rPr>
        <w:t xml:space="preserve">No, there are no other reasons to use this test other than to determine </w:t>
      </w:r>
      <w:proofErr w:type="gramStart"/>
      <w:r w:rsidRPr="00714F74">
        <w:rPr>
          <w:rFonts w:ascii="Segoe UI" w:hAnsi="Segoe UI" w:cs="Segoe UI"/>
          <w:bCs/>
          <w:sz w:val="22"/>
          <w:szCs w:val="22"/>
        </w:rPr>
        <w:t>whether or not</w:t>
      </w:r>
      <w:proofErr w:type="gramEnd"/>
      <w:r w:rsidRPr="00714F74">
        <w:rPr>
          <w:rFonts w:ascii="Segoe UI" w:hAnsi="Segoe UI" w:cs="Segoe UI"/>
          <w:bCs/>
          <w:sz w:val="22"/>
          <w:szCs w:val="22"/>
        </w:rPr>
        <w:t xml:space="preserve"> the patient is eligible for treatment with </w:t>
      </w:r>
      <w:proofErr w:type="spellStart"/>
      <w:r w:rsidRPr="00714F74">
        <w:rPr>
          <w:rFonts w:ascii="Segoe UI" w:hAnsi="Segoe UI" w:cs="Segoe UI"/>
          <w:bCs/>
          <w:sz w:val="22"/>
          <w:szCs w:val="22"/>
        </w:rPr>
        <w:t>Hemgenix</w:t>
      </w:r>
      <w:proofErr w:type="spellEnd"/>
      <w:r w:rsidRPr="00714F74">
        <w:rPr>
          <w:rFonts w:ascii="Segoe UI" w:hAnsi="Segoe UI" w:cs="Segoe UI"/>
          <w:bCs/>
          <w:sz w:val="22"/>
          <w:szCs w:val="22"/>
        </w:rPr>
        <w:t>®.</w:t>
      </w:r>
    </w:p>
    <w:p w14:paraId="3B7CDE95" w14:textId="2DBE095B" w:rsidR="002D2DF7" w:rsidRDefault="002D2DF7" w:rsidP="004E1D62">
      <w:pPr>
        <w:pStyle w:val="Heading2"/>
      </w:pPr>
      <w:r w:rsidRPr="00EC7BD5">
        <w:t xml:space="preserve">In terms of the immediate costs of the proposed technology (and immediate cost consequences, such as procedural costs, testing costs etc.), is the proposed technology claimed to be more costly, the same cost or less costly than the comparator? </w:t>
      </w:r>
    </w:p>
    <w:p w14:paraId="4D084925" w14:textId="77777777" w:rsidR="004E1D62" w:rsidRPr="004E1D62" w:rsidRDefault="004E1D62" w:rsidP="004E1D62"/>
    <w:p w14:paraId="4073CC2D" w14:textId="77777777" w:rsidR="002D2DF7" w:rsidRPr="00EC7BD5" w:rsidRDefault="002D2DF7" w:rsidP="00EC7BD5">
      <w:pPr>
        <w:pStyle w:val="Tickboxes"/>
        <w:ind w:left="0"/>
        <w:rPr>
          <w:rFonts w:ascii="Segoe UI" w:hAnsi="Segoe UI" w:cs="Segoe UI"/>
          <w:sz w:val="21"/>
          <w:szCs w:val="21"/>
        </w:rPr>
      </w:pPr>
      <w:r>
        <w:rPr>
          <w:rFonts w:ascii="Segoe UI" w:hAnsi="Segoe UI" w:cs="Segoe UI"/>
          <w:sz w:val="21"/>
          <w:szCs w:val="21"/>
        </w:rPr>
        <w:fldChar w:fldCharType="begin">
          <w:ffData>
            <w:name w:val=""/>
            <w:enabled/>
            <w:calcOnExit w:val="0"/>
            <w:checkBox>
              <w:sizeAuto/>
              <w:default w:val="1"/>
            </w:checkBox>
          </w:ffData>
        </w:fldChar>
      </w:r>
      <w:r>
        <w:rPr>
          <w:rFonts w:ascii="Segoe UI" w:hAnsi="Segoe UI" w:cs="Segoe UI"/>
          <w:sz w:val="21"/>
          <w:szCs w:val="21"/>
        </w:rPr>
        <w:instrText xml:space="preserve"> FORMCHECKBOX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sz w:val="21"/>
          <w:szCs w:val="21"/>
        </w:rPr>
        <w:fldChar w:fldCharType="end"/>
      </w:r>
      <w:r w:rsidRPr="00EC7BD5">
        <w:rPr>
          <w:rFonts w:ascii="Segoe UI" w:hAnsi="Segoe UI" w:cs="Segoe UI"/>
          <w:sz w:val="21"/>
          <w:szCs w:val="21"/>
        </w:rPr>
        <w:t xml:space="preserve"> More costly </w:t>
      </w:r>
    </w:p>
    <w:p w14:paraId="356CB037" w14:textId="77777777" w:rsidR="002D2DF7" w:rsidRPr="00EC7BD5" w:rsidRDefault="002D2DF7" w:rsidP="00EC7BD5">
      <w:pPr>
        <w:pStyle w:val="Tickboxes"/>
        <w:ind w:left="0"/>
        <w:rPr>
          <w:rFonts w:ascii="Segoe UI" w:hAnsi="Segoe UI" w:cs="Segoe UI"/>
          <w:sz w:val="21"/>
          <w:szCs w:val="21"/>
        </w:rPr>
      </w:pPr>
      <w:r>
        <w:rPr>
          <w:rFonts w:ascii="Segoe UI" w:hAnsi="Segoe UI" w:cs="Segoe UI"/>
          <w:sz w:val="21"/>
          <w:szCs w:val="21"/>
        </w:rPr>
        <w:fldChar w:fldCharType="begin">
          <w:ffData>
            <w:name w:val=""/>
            <w:enabled/>
            <w:calcOnExit w:val="0"/>
            <w:checkBox>
              <w:sizeAuto/>
              <w:default w:val="0"/>
            </w:checkBox>
          </w:ffData>
        </w:fldChar>
      </w:r>
      <w:r>
        <w:rPr>
          <w:rFonts w:ascii="Segoe UI" w:hAnsi="Segoe UI" w:cs="Segoe UI"/>
          <w:sz w:val="21"/>
          <w:szCs w:val="21"/>
        </w:rPr>
        <w:instrText xml:space="preserve"> FORMCHECKBOX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sz w:val="21"/>
          <w:szCs w:val="21"/>
        </w:rPr>
        <w:fldChar w:fldCharType="end"/>
      </w:r>
      <w:r w:rsidRPr="00EC7BD5">
        <w:rPr>
          <w:rFonts w:ascii="Segoe UI" w:hAnsi="Segoe UI" w:cs="Segoe UI"/>
          <w:sz w:val="21"/>
          <w:szCs w:val="21"/>
        </w:rPr>
        <w:t xml:space="preserve"> Same cost</w:t>
      </w:r>
    </w:p>
    <w:p w14:paraId="25B10DF7" w14:textId="77777777" w:rsidR="002D2DF7" w:rsidRPr="00EC7BD5" w:rsidRDefault="002D2DF7" w:rsidP="00EC7BD5">
      <w:pPr>
        <w:pStyle w:val="Tickboxes"/>
        <w:ind w:left="0"/>
        <w:rPr>
          <w:rFonts w:ascii="Segoe UI" w:hAnsi="Segoe UI" w:cs="Segoe UI"/>
          <w:sz w:val="21"/>
          <w:szCs w:val="21"/>
        </w:rPr>
      </w:pPr>
      <w:r w:rsidRPr="00EC7BD5">
        <w:rPr>
          <w:rFonts w:ascii="Segoe UI" w:hAnsi="Segoe UI" w:cs="Segoe UI"/>
          <w:sz w:val="21"/>
          <w:szCs w:val="21"/>
        </w:rPr>
        <w:fldChar w:fldCharType="begin">
          <w:ffData>
            <w:name w:val="Check1"/>
            <w:enabled/>
            <w:calcOnExit w:val="0"/>
            <w:checkBox>
              <w:sizeAuto/>
              <w:default w:val="0"/>
            </w:checkBox>
          </w:ffData>
        </w:fldChar>
      </w:r>
      <w:r w:rsidRPr="00EC7BD5">
        <w:rPr>
          <w:rFonts w:ascii="Segoe UI" w:hAnsi="Segoe UI" w:cs="Segoe UI"/>
          <w:sz w:val="21"/>
          <w:szCs w:val="21"/>
        </w:rPr>
        <w:instrText xml:space="preserve"> FORMCHECKBOX </w:instrText>
      </w:r>
      <w:r w:rsidRPr="00EC7BD5">
        <w:rPr>
          <w:rFonts w:ascii="Segoe UI" w:hAnsi="Segoe UI" w:cs="Segoe UI"/>
          <w:sz w:val="21"/>
          <w:szCs w:val="21"/>
        </w:rPr>
      </w:r>
      <w:r w:rsidRPr="00EC7BD5">
        <w:rPr>
          <w:rFonts w:ascii="Segoe UI" w:hAnsi="Segoe UI" w:cs="Segoe UI"/>
          <w:sz w:val="21"/>
          <w:szCs w:val="21"/>
        </w:rPr>
        <w:fldChar w:fldCharType="separate"/>
      </w:r>
      <w:r w:rsidRPr="00EC7BD5">
        <w:rPr>
          <w:rFonts w:ascii="Segoe UI" w:hAnsi="Segoe UI" w:cs="Segoe UI"/>
          <w:sz w:val="21"/>
          <w:szCs w:val="21"/>
        </w:rPr>
        <w:fldChar w:fldCharType="end"/>
      </w:r>
      <w:r w:rsidRPr="00EC7BD5">
        <w:rPr>
          <w:rFonts w:ascii="Segoe UI" w:hAnsi="Segoe UI" w:cs="Segoe UI"/>
          <w:sz w:val="21"/>
          <w:szCs w:val="21"/>
        </w:rPr>
        <w:t xml:space="preserve"> Less costly </w:t>
      </w:r>
    </w:p>
    <w:p w14:paraId="14718A5C" w14:textId="77777777" w:rsidR="002D2DF7" w:rsidRDefault="002D2DF7" w:rsidP="00EC7BD5">
      <w:pPr>
        <w:pStyle w:val="Heading2"/>
      </w:pPr>
      <w:r w:rsidRPr="00EC7BD5">
        <w:t>Provide a brief rationale for the claim:</w:t>
      </w:r>
    </w:p>
    <w:p w14:paraId="62D5A5CA" w14:textId="77777777" w:rsidR="002D2DF7" w:rsidRPr="001E02B8" w:rsidRDefault="002D2DF7" w:rsidP="001E02B8">
      <w:pPr>
        <w:spacing w:after="0"/>
      </w:pPr>
    </w:p>
    <w:p w14:paraId="39462354" w14:textId="77777777" w:rsidR="002D2DF7" w:rsidRDefault="002D2DF7" w:rsidP="001C32B0">
      <w:pPr>
        <w:rPr>
          <w:rFonts w:ascii="Segoe UI" w:hAnsi="Segoe UI" w:cs="Segoe UI"/>
          <w:bCs/>
          <w:sz w:val="22"/>
          <w:szCs w:val="22"/>
        </w:rPr>
      </w:pPr>
      <w:r>
        <w:rPr>
          <w:rFonts w:ascii="Segoe UI" w:hAnsi="Segoe UI" w:cs="Segoe UI"/>
          <w:b/>
          <w:sz w:val="22"/>
          <w:szCs w:val="22"/>
        </w:rPr>
        <w:t xml:space="preserve">Test: </w:t>
      </w:r>
      <w:r w:rsidRPr="006658C4">
        <w:rPr>
          <w:rFonts w:ascii="Segoe UI" w:hAnsi="Segoe UI" w:cs="Segoe UI"/>
          <w:bCs/>
          <w:sz w:val="22"/>
          <w:szCs w:val="22"/>
        </w:rPr>
        <w:t xml:space="preserve">The sampling kit, shipping, and analysis is supported by CSL at no cost to Governments. </w:t>
      </w:r>
    </w:p>
    <w:p w14:paraId="52C62B66" w14:textId="77777777" w:rsidR="002D2DF7" w:rsidRDefault="002D2DF7" w:rsidP="001C32B0">
      <w:pPr>
        <w:rPr>
          <w:rFonts w:ascii="Segoe UI" w:hAnsi="Segoe UI" w:cs="Segoe UI"/>
          <w:sz w:val="22"/>
          <w:szCs w:val="22"/>
        </w:rPr>
      </w:pPr>
      <w:r>
        <w:rPr>
          <w:rFonts w:ascii="Segoe UI" w:hAnsi="Segoe UI" w:cs="Segoe UI"/>
          <w:b/>
          <w:sz w:val="22"/>
          <w:szCs w:val="22"/>
        </w:rPr>
        <w:t xml:space="preserve">Intervention: </w:t>
      </w:r>
      <w:r w:rsidRPr="007A72E4">
        <w:rPr>
          <w:rFonts w:ascii="Segoe UI" w:hAnsi="Segoe UI" w:cs="Segoe UI"/>
          <w:sz w:val="22"/>
          <w:szCs w:val="22"/>
        </w:rPr>
        <w:t>HEMGENIX®</w:t>
      </w:r>
      <w:r>
        <w:rPr>
          <w:rFonts w:ascii="Segoe UI" w:hAnsi="Segoe UI" w:cs="Segoe UI"/>
          <w:sz w:val="22"/>
          <w:szCs w:val="22"/>
        </w:rPr>
        <w:t xml:space="preserve"> may be associated with a </w:t>
      </w:r>
      <w:proofErr w:type="gramStart"/>
      <w:r>
        <w:rPr>
          <w:rFonts w:ascii="Segoe UI" w:hAnsi="Segoe UI" w:cs="Segoe UI"/>
          <w:sz w:val="22"/>
          <w:szCs w:val="22"/>
        </w:rPr>
        <w:t>higher costs</w:t>
      </w:r>
      <w:proofErr w:type="gramEnd"/>
      <w:r>
        <w:rPr>
          <w:rFonts w:ascii="Segoe UI" w:hAnsi="Segoe UI" w:cs="Segoe UI"/>
          <w:sz w:val="22"/>
          <w:szCs w:val="22"/>
        </w:rPr>
        <w:t xml:space="preserve"> compared to standard of care therapies for </w:t>
      </w:r>
      <w:proofErr w:type="spellStart"/>
      <w:r>
        <w:rPr>
          <w:rFonts w:ascii="Segoe UI" w:hAnsi="Segoe UI" w:cs="Segoe UI"/>
          <w:sz w:val="22"/>
          <w:szCs w:val="22"/>
        </w:rPr>
        <w:t>cHMB</w:t>
      </w:r>
      <w:proofErr w:type="spellEnd"/>
      <w:r>
        <w:rPr>
          <w:rFonts w:ascii="Segoe UI" w:hAnsi="Segoe UI" w:cs="Segoe UI"/>
          <w:sz w:val="22"/>
          <w:szCs w:val="22"/>
        </w:rPr>
        <w:t xml:space="preserve">, however as a one-time infusion with expected long-term durability, significant cost savings are expected due to the reduced requirement of FIX prophylaxis and on-demand therapy. A cost-effectiveness model will be provided in the ADAR along with justification on the unit price and payment structure of </w:t>
      </w:r>
      <w:r w:rsidRPr="007A72E4">
        <w:rPr>
          <w:rFonts w:ascii="Segoe UI" w:hAnsi="Segoe UI" w:cs="Segoe UI"/>
          <w:sz w:val="22"/>
          <w:szCs w:val="22"/>
        </w:rPr>
        <w:t>HEMGENIX®</w:t>
      </w:r>
      <w:r>
        <w:rPr>
          <w:rFonts w:ascii="Segoe UI" w:hAnsi="Segoe UI" w:cs="Segoe UI"/>
          <w:sz w:val="22"/>
          <w:szCs w:val="22"/>
        </w:rPr>
        <w:t>.</w:t>
      </w:r>
      <w:r>
        <w:rPr>
          <w:rFonts w:ascii="Segoe UI" w:hAnsi="Segoe UI" w:cs="Segoe UI"/>
          <w:sz w:val="22"/>
          <w:szCs w:val="22"/>
        </w:rPr>
        <w:br w:type="page"/>
      </w:r>
    </w:p>
    <w:p w14:paraId="177BD8C0" w14:textId="77777777" w:rsidR="002D2DF7" w:rsidRDefault="002D2DF7" w:rsidP="00EC7BD5">
      <w:pPr>
        <w:pStyle w:val="Heading1"/>
      </w:pPr>
      <w:r>
        <w:lastRenderedPageBreak/>
        <w:t>Algorithms</w:t>
      </w:r>
    </w:p>
    <w:p w14:paraId="0536F86C" w14:textId="77777777" w:rsidR="002D2DF7" w:rsidRDefault="002D2DF7" w:rsidP="00EC7BD5">
      <w:pPr>
        <w:pStyle w:val="Heading2"/>
        <w:rPr>
          <w:u w:val="single"/>
        </w:rPr>
      </w:pPr>
      <w:r w:rsidRPr="00EC7BD5">
        <w:rPr>
          <w:u w:val="single"/>
        </w:rPr>
        <w:t>PREPARATION FOR USING THE HEALTH TECHNOLOGY</w:t>
      </w:r>
    </w:p>
    <w:p w14:paraId="28E50354" w14:textId="77777777" w:rsidR="002D2DF7" w:rsidRDefault="002D2DF7" w:rsidP="006276EA"/>
    <w:p w14:paraId="74BD7AEA" w14:textId="77777777" w:rsidR="002D2DF7" w:rsidRPr="006276EA" w:rsidRDefault="002D2DF7" w:rsidP="006276EA">
      <w:pPr>
        <w:rPr>
          <w:rFonts w:ascii="Segoe UI" w:hAnsi="Segoe UI" w:cs="Segoe UI"/>
          <w:sz w:val="22"/>
          <w:szCs w:val="22"/>
        </w:rPr>
      </w:pPr>
      <w:r w:rsidRPr="006276EA">
        <w:rPr>
          <w:rFonts w:ascii="Segoe UI" w:hAnsi="Segoe UI" w:cs="Segoe UI"/>
          <w:sz w:val="22"/>
          <w:szCs w:val="22"/>
        </w:rPr>
        <w:t>Refer to the Ratified PICO for Application 1728 for additional detail on clinical management algorithms</w:t>
      </w:r>
      <w:r>
        <w:rPr>
          <w:rFonts w:ascii="Segoe UI" w:hAnsi="Segoe UI" w:cs="Segoe UI"/>
          <w:sz w:val="22"/>
          <w:szCs w:val="22"/>
        </w:rPr>
        <w:t>.</w:t>
      </w:r>
    </w:p>
    <w:p w14:paraId="24215533" w14:textId="77777777" w:rsidR="002D2DF7" w:rsidRPr="00EC7BD5" w:rsidRDefault="002D2DF7" w:rsidP="00EC7BD5">
      <w:pPr>
        <w:pStyle w:val="Heading2"/>
      </w:pPr>
      <w:r w:rsidRPr="00EC7BD5">
        <w:t xml:space="preserve">Define and summarise the clinical management algorithm, including any required tests or healthcare resources, before patients would be eligible for the </w:t>
      </w:r>
      <w:r w:rsidRPr="00EC7BD5">
        <w:rPr>
          <w:u w:val="single"/>
        </w:rPr>
        <w:t>proposed health technology</w:t>
      </w:r>
      <w:r w:rsidRPr="00EC7BD5">
        <w:t>:</w:t>
      </w:r>
    </w:p>
    <w:p w14:paraId="2DCE5879" w14:textId="77777777" w:rsidR="002D2DF7" w:rsidRPr="00C4324F" w:rsidRDefault="002D2DF7" w:rsidP="00C4324F">
      <w:pPr>
        <w:pStyle w:val="Heading2"/>
        <w:rPr>
          <w:rFonts w:eastAsiaTheme="minorHAnsi"/>
          <w:b w:val="0"/>
          <w:color w:val="auto"/>
        </w:rPr>
      </w:pPr>
      <w:r w:rsidRPr="00C4324F">
        <w:rPr>
          <w:rFonts w:eastAsiaTheme="minorHAnsi"/>
          <w:b w:val="0"/>
          <w:color w:val="auto"/>
        </w:rPr>
        <w:t>Under the proposed clinical management algorithm, patients with severe or moderately severe HMB receiving stable prophylaxis (± on-demand FIX) will be tested for FIX inhibitors</w:t>
      </w:r>
      <w:r>
        <w:rPr>
          <w:rFonts w:eastAsiaTheme="minorHAnsi"/>
          <w:b w:val="0"/>
          <w:color w:val="auto"/>
        </w:rPr>
        <w:t xml:space="preserve">, </w:t>
      </w:r>
      <w:r w:rsidRPr="00C4324F">
        <w:rPr>
          <w:rFonts w:eastAsiaTheme="minorHAnsi"/>
          <w:b w:val="0"/>
          <w:color w:val="auto"/>
        </w:rPr>
        <w:t>active infections</w:t>
      </w:r>
      <w:r>
        <w:rPr>
          <w:rFonts w:eastAsiaTheme="minorHAnsi"/>
          <w:b w:val="0"/>
          <w:color w:val="auto"/>
        </w:rPr>
        <w:t>,</w:t>
      </w:r>
      <w:r w:rsidRPr="00C4324F">
        <w:rPr>
          <w:rFonts w:eastAsiaTheme="minorHAnsi"/>
          <w:b w:val="0"/>
          <w:color w:val="auto"/>
        </w:rPr>
        <w:t xml:space="preserve"> </w:t>
      </w:r>
      <w:r>
        <w:rPr>
          <w:rFonts w:eastAsiaTheme="minorHAnsi"/>
          <w:b w:val="0"/>
          <w:color w:val="auto"/>
        </w:rPr>
        <w:t>and</w:t>
      </w:r>
      <w:r w:rsidRPr="00C4324F">
        <w:rPr>
          <w:rFonts w:eastAsiaTheme="minorHAnsi"/>
          <w:b w:val="0"/>
          <w:color w:val="auto"/>
        </w:rPr>
        <w:t xml:space="preserve"> severe liver disease (patients testing positive to inhibitors will follow the appropriate management guidelines). </w:t>
      </w:r>
    </w:p>
    <w:p w14:paraId="6024F6B7" w14:textId="77777777" w:rsidR="002D2DF7" w:rsidRDefault="002D2DF7" w:rsidP="00C4324F">
      <w:pPr>
        <w:pStyle w:val="Heading2"/>
        <w:rPr>
          <w:rFonts w:eastAsiaTheme="minorHAnsi"/>
          <w:b w:val="0"/>
          <w:color w:val="auto"/>
        </w:rPr>
      </w:pPr>
      <w:r w:rsidRPr="00C4324F">
        <w:rPr>
          <w:rFonts w:eastAsiaTheme="minorHAnsi"/>
          <w:b w:val="0"/>
          <w:color w:val="auto"/>
        </w:rPr>
        <w:t xml:space="preserve">Patients with active infections or severe liver disease are ineligible for </w:t>
      </w:r>
      <w:proofErr w:type="spellStart"/>
      <w:r w:rsidRPr="00C4324F">
        <w:rPr>
          <w:rFonts w:eastAsiaTheme="minorHAnsi"/>
          <w:b w:val="0"/>
          <w:color w:val="auto"/>
        </w:rPr>
        <w:t>Hemgenix</w:t>
      </w:r>
      <w:proofErr w:type="spellEnd"/>
      <w:r w:rsidRPr="00C4324F">
        <w:rPr>
          <w:rFonts w:eastAsiaTheme="minorHAnsi"/>
          <w:b w:val="0"/>
          <w:color w:val="auto"/>
        </w:rPr>
        <w:t xml:space="preserve">®, so will continue to be treated with standard of care </w:t>
      </w:r>
      <w:proofErr w:type="spellStart"/>
      <w:r w:rsidRPr="00C4324F">
        <w:rPr>
          <w:rFonts w:eastAsiaTheme="minorHAnsi"/>
          <w:b w:val="0"/>
          <w:color w:val="auto"/>
        </w:rPr>
        <w:t>cHMB</w:t>
      </w:r>
      <w:proofErr w:type="spellEnd"/>
      <w:r w:rsidRPr="00C4324F">
        <w:rPr>
          <w:rFonts w:eastAsiaTheme="minorHAnsi"/>
          <w:b w:val="0"/>
          <w:color w:val="auto"/>
        </w:rPr>
        <w:t xml:space="preserve"> therapy. Active hepatitis or severe liver disease do not need to be ruled out for the current management strategies.</w:t>
      </w:r>
    </w:p>
    <w:p w14:paraId="0519C5BE" w14:textId="77777777" w:rsidR="002D2DF7" w:rsidRPr="0030095F" w:rsidRDefault="002D2DF7" w:rsidP="0030095F">
      <w:pPr>
        <w:spacing w:after="0"/>
        <w:rPr>
          <w:rFonts w:ascii="Segoe UI" w:hAnsi="Segoe UI" w:cs="Segoe UI"/>
          <w:sz w:val="22"/>
          <w:szCs w:val="22"/>
        </w:rPr>
      </w:pPr>
    </w:p>
    <w:p w14:paraId="48C3B5C8" w14:textId="77777777" w:rsidR="002D2DF7" w:rsidRPr="00EC7BD5" w:rsidRDefault="002D2DF7" w:rsidP="00C4324F">
      <w:pPr>
        <w:rPr>
          <w:rFonts w:ascii="Segoe UI" w:eastAsia="Segoe UI" w:hAnsi="Segoe UI" w:cs="Segoe UI"/>
          <w:color w:val="000000"/>
          <w:sz w:val="22"/>
          <w:szCs w:val="22"/>
        </w:rPr>
      </w:pPr>
      <w:r w:rsidRPr="0030095F">
        <w:rPr>
          <w:rFonts w:ascii="Segoe UI" w:hAnsi="Segoe UI" w:cs="Segoe UI"/>
          <w:sz w:val="22"/>
          <w:szCs w:val="22"/>
        </w:rPr>
        <w:t xml:space="preserve">Patients without active infections or severe liver disease are eligible to undergo testing for anti-AAV5 antibodies using the AAV5 </w:t>
      </w:r>
      <w:proofErr w:type="spellStart"/>
      <w:r w:rsidRPr="0030095F">
        <w:rPr>
          <w:rFonts w:ascii="Segoe UI" w:hAnsi="Segoe UI" w:cs="Segoe UI"/>
          <w:sz w:val="22"/>
          <w:szCs w:val="22"/>
        </w:rPr>
        <w:t>NAb</w:t>
      </w:r>
      <w:proofErr w:type="spellEnd"/>
      <w:r w:rsidRPr="0030095F">
        <w:rPr>
          <w:rFonts w:ascii="Segoe UI" w:hAnsi="Segoe UI" w:cs="Segoe UI"/>
          <w:sz w:val="22"/>
          <w:szCs w:val="22"/>
        </w:rPr>
        <w:t xml:space="preserve"> assay. This is not a requirement for current treatment strategies. Patients who test positive for an anti-AAV5 antibody titre &gt;1:900 (9-point assay) are ineligible for </w:t>
      </w:r>
      <w:proofErr w:type="spellStart"/>
      <w:r w:rsidRPr="0030095F">
        <w:rPr>
          <w:rFonts w:ascii="Segoe UI" w:hAnsi="Segoe UI" w:cs="Segoe UI"/>
          <w:sz w:val="22"/>
          <w:szCs w:val="22"/>
        </w:rPr>
        <w:t>Hemgenix</w:t>
      </w:r>
      <w:proofErr w:type="spellEnd"/>
      <w:r w:rsidRPr="0030095F">
        <w:rPr>
          <w:rFonts w:ascii="Segoe UI" w:hAnsi="Segoe UI" w:cs="Segoe UI"/>
          <w:sz w:val="22"/>
          <w:szCs w:val="22"/>
        </w:rPr>
        <w:t xml:space="preserve">®, so are treated with standard of care </w:t>
      </w:r>
      <w:proofErr w:type="spellStart"/>
      <w:r w:rsidRPr="0030095F">
        <w:rPr>
          <w:rFonts w:ascii="Segoe UI" w:hAnsi="Segoe UI" w:cs="Segoe UI"/>
          <w:sz w:val="22"/>
          <w:szCs w:val="22"/>
        </w:rPr>
        <w:t>cHMB</w:t>
      </w:r>
      <w:proofErr w:type="spellEnd"/>
      <w:r w:rsidRPr="0030095F">
        <w:rPr>
          <w:rFonts w:ascii="Segoe UI" w:hAnsi="Segoe UI" w:cs="Segoe UI"/>
          <w:sz w:val="22"/>
          <w:szCs w:val="22"/>
        </w:rPr>
        <w:t xml:space="preserve">. Patients testing negative for anti-AAV5 antibodies or have an anti-AAV5 antibody titre &lt; 1:900 are eligible for treatment with </w:t>
      </w:r>
      <w:proofErr w:type="spellStart"/>
      <w:r w:rsidRPr="0030095F">
        <w:rPr>
          <w:rFonts w:ascii="Segoe UI" w:hAnsi="Segoe UI" w:cs="Segoe UI"/>
          <w:sz w:val="22"/>
          <w:szCs w:val="22"/>
        </w:rPr>
        <w:t>Hemgenix</w:t>
      </w:r>
      <w:proofErr w:type="spellEnd"/>
      <w:r w:rsidRPr="0030095F">
        <w:rPr>
          <w:rFonts w:ascii="Segoe UI" w:hAnsi="Segoe UI" w:cs="Segoe UI"/>
          <w:sz w:val="22"/>
          <w:szCs w:val="22"/>
        </w:rPr>
        <w:t xml:space="preserve">®. </w:t>
      </w:r>
    </w:p>
    <w:p w14:paraId="1721967F" w14:textId="77777777" w:rsidR="002D2DF7" w:rsidRDefault="002D2DF7" w:rsidP="00EC7BD5">
      <w:pPr>
        <w:pStyle w:val="Heading2"/>
      </w:pPr>
      <w:r w:rsidRPr="00EC7BD5">
        <w:t xml:space="preserve">Is there any expectation that the clinical management algorithm </w:t>
      </w:r>
      <w:r w:rsidRPr="00EC7BD5">
        <w:rPr>
          <w:i/>
          <w:iCs/>
        </w:rPr>
        <w:t>before</w:t>
      </w:r>
      <w:r w:rsidRPr="00EC7BD5">
        <w:t xml:space="preserve"> the health technology is used will change due to the introduction of the </w:t>
      </w:r>
      <w:r w:rsidRPr="00EC7BD5">
        <w:rPr>
          <w:u w:val="single"/>
        </w:rPr>
        <w:t>proposed health technology</w:t>
      </w:r>
      <w:r w:rsidRPr="00EC7BD5">
        <w:t xml:space="preserve">? </w:t>
      </w:r>
    </w:p>
    <w:p w14:paraId="7E973BA2" w14:textId="77777777" w:rsidR="002D2DF7" w:rsidRPr="00036D6E" w:rsidRDefault="002D2DF7" w:rsidP="00036D6E">
      <w:pPr>
        <w:rPr>
          <w:rFonts w:ascii="Segoe UI" w:hAnsi="Segoe UI" w:cs="Segoe UI"/>
          <w:sz w:val="22"/>
          <w:szCs w:val="22"/>
        </w:rPr>
      </w:pPr>
      <w:r w:rsidRPr="00036D6E">
        <w:rPr>
          <w:rFonts w:ascii="Segoe UI" w:hAnsi="Segoe UI" w:cs="Segoe UI"/>
          <w:sz w:val="22"/>
          <w:szCs w:val="22"/>
        </w:rPr>
        <w:t>Yes</w:t>
      </w:r>
    </w:p>
    <w:p w14:paraId="0AD7AA38" w14:textId="77777777" w:rsidR="002D2DF7" w:rsidRDefault="002D2DF7" w:rsidP="00EC7BD5">
      <w:pPr>
        <w:pStyle w:val="Heading2"/>
      </w:pPr>
      <w:r w:rsidRPr="00EC7BD5">
        <w:t xml:space="preserve">Describe and explain any differences in the clinical management algorithm prior to the use of the </w:t>
      </w:r>
      <w:r w:rsidRPr="00EC7BD5">
        <w:rPr>
          <w:u w:val="single"/>
        </w:rPr>
        <w:t>proposed health technology</w:t>
      </w:r>
      <w:r w:rsidRPr="00EC7BD5">
        <w:t xml:space="preserve"> vs. the </w:t>
      </w:r>
      <w:r w:rsidRPr="00EC7BD5">
        <w:rPr>
          <w:u w:val="single"/>
        </w:rPr>
        <w:t>comparator health technology</w:t>
      </w:r>
      <w:r w:rsidRPr="00EC7BD5">
        <w:t>:</w:t>
      </w:r>
    </w:p>
    <w:p w14:paraId="0EA9DD45" w14:textId="77777777" w:rsidR="002D2DF7" w:rsidRPr="00447227" w:rsidRDefault="002D2DF7" w:rsidP="00447227">
      <w:pPr>
        <w:spacing w:after="0"/>
      </w:pPr>
    </w:p>
    <w:p w14:paraId="259A5904" w14:textId="77777777" w:rsidR="002D2DF7" w:rsidRPr="00EC7BD5" w:rsidRDefault="002D2DF7" w:rsidP="00036D6E">
      <w:pPr>
        <w:rPr>
          <w:rFonts w:ascii="Segoe UI" w:hAnsi="Segoe UI" w:cs="Segoe UI"/>
          <w:sz w:val="22"/>
          <w:szCs w:val="22"/>
        </w:rPr>
      </w:pPr>
      <w:r w:rsidRPr="008329E0">
        <w:rPr>
          <w:rFonts w:ascii="Segoe UI" w:hAnsi="Segoe UI" w:cs="Segoe UI"/>
          <w:sz w:val="22"/>
          <w:szCs w:val="22"/>
        </w:rPr>
        <w:t xml:space="preserve">Diagnosis and assessment of inhibitors will take place regardless of the use of the proposed health technology. However, patients with active hepatitis or severe liver disease need to be ruled out prior to being eligible for the AAV5 </w:t>
      </w:r>
      <w:proofErr w:type="spellStart"/>
      <w:r w:rsidRPr="008329E0">
        <w:rPr>
          <w:rFonts w:ascii="Segoe UI" w:hAnsi="Segoe UI" w:cs="Segoe UI"/>
          <w:sz w:val="22"/>
          <w:szCs w:val="22"/>
        </w:rPr>
        <w:t>NAb</w:t>
      </w:r>
      <w:proofErr w:type="spellEnd"/>
      <w:r w:rsidRPr="008329E0">
        <w:rPr>
          <w:rFonts w:ascii="Segoe UI" w:hAnsi="Segoe UI" w:cs="Segoe UI"/>
          <w:sz w:val="22"/>
          <w:szCs w:val="22"/>
        </w:rPr>
        <w:t xml:space="preserve"> assay. This is not a requirement for the current management of patients with haemophilia B.</w:t>
      </w:r>
    </w:p>
    <w:p w14:paraId="2D55A3BB" w14:textId="77777777" w:rsidR="002D2DF7" w:rsidRPr="00EC7BD5" w:rsidRDefault="002D2DF7" w:rsidP="00EC7BD5">
      <w:pPr>
        <w:pStyle w:val="Heading2"/>
        <w:rPr>
          <w:u w:val="single"/>
        </w:rPr>
      </w:pPr>
      <w:r w:rsidRPr="00EC7BD5">
        <w:rPr>
          <w:u w:val="single"/>
        </w:rPr>
        <w:t>USE OF THE HEALTH TECHNOLOGY</w:t>
      </w:r>
    </w:p>
    <w:p w14:paraId="4976F607" w14:textId="77777777" w:rsidR="002D2DF7" w:rsidRDefault="002D2DF7" w:rsidP="00EC7BD5">
      <w:pPr>
        <w:pStyle w:val="Heading2"/>
      </w:pPr>
      <w:r w:rsidRPr="00EC7BD5">
        <w:t xml:space="preserve">Explain what other healthcare resources are used in conjunction with delivering the </w:t>
      </w:r>
      <w:r w:rsidRPr="00EC7BD5">
        <w:rPr>
          <w:u w:val="single"/>
        </w:rPr>
        <w:t>proposed health technology</w:t>
      </w:r>
      <w:r w:rsidRPr="00EC7BD5">
        <w:t>:</w:t>
      </w:r>
    </w:p>
    <w:p w14:paraId="73C9541D" w14:textId="77777777" w:rsidR="002D2DF7" w:rsidRPr="0039398B" w:rsidRDefault="002D2DF7" w:rsidP="0039398B">
      <w:pPr>
        <w:spacing w:after="0"/>
      </w:pPr>
    </w:p>
    <w:p w14:paraId="0DACDA1E" w14:textId="77777777" w:rsidR="002D2DF7" w:rsidRPr="001D3C8A" w:rsidRDefault="002D2DF7" w:rsidP="00EC7BD5">
      <w:pPr>
        <w:rPr>
          <w:rFonts w:ascii="Segoe UI" w:hAnsi="Segoe UI" w:cs="Segoe UI"/>
          <w:sz w:val="22"/>
          <w:szCs w:val="22"/>
        </w:rPr>
      </w:pPr>
      <w:r>
        <w:rPr>
          <w:rFonts w:ascii="Segoe UI" w:hAnsi="Segoe UI" w:cs="Segoe UI"/>
          <w:sz w:val="22"/>
          <w:szCs w:val="22"/>
        </w:rPr>
        <w:t>Minor additional</w:t>
      </w:r>
      <w:r w:rsidRPr="001D3C8A">
        <w:rPr>
          <w:rFonts w:ascii="Segoe UI" w:hAnsi="Segoe UI" w:cs="Segoe UI"/>
          <w:sz w:val="22"/>
          <w:szCs w:val="22"/>
        </w:rPr>
        <w:t xml:space="preserve"> healthcare resources </w:t>
      </w:r>
      <w:r>
        <w:rPr>
          <w:rFonts w:ascii="Segoe UI" w:hAnsi="Segoe UI" w:cs="Segoe UI"/>
          <w:sz w:val="22"/>
          <w:szCs w:val="22"/>
        </w:rPr>
        <w:t>may be required</w:t>
      </w:r>
      <w:r w:rsidRPr="001D3C8A">
        <w:rPr>
          <w:rFonts w:ascii="Segoe UI" w:hAnsi="Segoe UI" w:cs="Segoe UI"/>
          <w:sz w:val="22"/>
          <w:szCs w:val="22"/>
        </w:rPr>
        <w:t xml:space="preserve"> in conjunction with delivering the proposed health technology,</w:t>
      </w:r>
      <w:r>
        <w:rPr>
          <w:rFonts w:ascii="Segoe UI" w:hAnsi="Segoe UI" w:cs="Segoe UI"/>
          <w:sz w:val="22"/>
          <w:szCs w:val="22"/>
        </w:rPr>
        <w:t xml:space="preserve"> such as additional infusion specialist resource </w:t>
      </w:r>
      <w:r w:rsidRPr="001D3C8A">
        <w:rPr>
          <w:rFonts w:ascii="Segoe UI" w:hAnsi="Segoe UI" w:cs="Segoe UI"/>
          <w:sz w:val="22"/>
          <w:szCs w:val="22"/>
        </w:rPr>
        <w:t>(</w:t>
      </w:r>
      <w:r>
        <w:rPr>
          <w:rFonts w:ascii="Segoe UI" w:hAnsi="Segoe UI" w:cs="Segoe UI"/>
          <w:sz w:val="22"/>
          <w:szCs w:val="22"/>
        </w:rPr>
        <w:t>however these will be</w:t>
      </w:r>
      <w:r w:rsidRPr="001D3C8A">
        <w:rPr>
          <w:rFonts w:ascii="Segoe UI" w:hAnsi="Segoe UI" w:cs="Segoe UI"/>
          <w:sz w:val="22"/>
          <w:szCs w:val="22"/>
        </w:rPr>
        <w:t xml:space="preserve"> covered within the </w:t>
      </w:r>
      <w:r>
        <w:rPr>
          <w:rFonts w:ascii="Segoe UI" w:hAnsi="Segoe UI" w:cs="Segoe UI"/>
          <w:sz w:val="22"/>
          <w:szCs w:val="22"/>
        </w:rPr>
        <w:t xml:space="preserve">usual </w:t>
      </w:r>
      <w:r w:rsidRPr="001D3C8A">
        <w:rPr>
          <w:rFonts w:ascii="Segoe UI" w:hAnsi="Segoe UI" w:cs="Segoe UI"/>
          <w:sz w:val="22"/>
          <w:szCs w:val="22"/>
        </w:rPr>
        <w:t>operation of the HTC).</w:t>
      </w:r>
      <w:r>
        <w:rPr>
          <w:rFonts w:ascii="Segoe UI" w:hAnsi="Segoe UI" w:cs="Segoe UI"/>
          <w:sz w:val="22"/>
          <w:szCs w:val="22"/>
        </w:rPr>
        <w:t xml:space="preserve"> </w:t>
      </w:r>
    </w:p>
    <w:p w14:paraId="3B3874DC" w14:textId="77777777" w:rsidR="002D2DF7" w:rsidRPr="00EC7BD5" w:rsidRDefault="002D2DF7" w:rsidP="004E1D62">
      <w:pPr>
        <w:pStyle w:val="Heading2"/>
        <w:keepNext/>
        <w:keepLines/>
      </w:pPr>
      <w:r w:rsidRPr="00EC7BD5">
        <w:lastRenderedPageBreak/>
        <w:t xml:space="preserve">Explain what other healthcare resources are used in conjunction with the </w:t>
      </w:r>
      <w:r w:rsidRPr="00EC7BD5">
        <w:rPr>
          <w:u w:val="single"/>
        </w:rPr>
        <w:t>comparator health technology</w:t>
      </w:r>
      <w:r w:rsidRPr="00EC7BD5">
        <w:t>:</w:t>
      </w:r>
    </w:p>
    <w:p w14:paraId="7FE7EC17" w14:textId="77777777" w:rsidR="002D2DF7" w:rsidRPr="00EC7BD5" w:rsidRDefault="002D2DF7" w:rsidP="004E1D62">
      <w:pPr>
        <w:keepNext/>
        <w:keepLines/>
        <w:rPr>
          <w:rFonts w:ascii="Segoe UI" w:eastAsia="Segoe UI" w:hAnsi="Segoe UI" w:cs="Segoe UI"/>
          <w:color w:val="000000"/>
          <w:sz w:val="22"/>
          <w:szCs w:val="22"/>
        </w:rPr>
      </w:pPr>
      <w:r>
        <w:rPr>
          <w:rFonts w:ascii="Segoe UI" w:hAnsi="Segoe UI" w:cs="Segoe UI"/>
          <w:sz w:val="22"/>
          <w:szCs w:val="22"/>
        </w:rPr>
        <w:t xml:space="preserve">N/A </w:t>
      </w:r>
    </w:p>
    <w:p w14:paraId="7F593C31" w14:textId="77777777" w:rsidR="002D2DF7" w:rsidRDefault="002D2DF7" w:rsidP="00EC7BD5">
      <w:pPr>
        <w:pStyle w:val="Heading2"/>
      </w:pPr>
      <w:r w:rsidRPr="00EC7BD5">
        <w:t xml:space="preserve">Describe and explain any differences in the healthcare resources used in conjunction with the </w:t>
      </w:r>
      <w:r w:rsidRPr="00EC7BD5">
        <w:rPr>
          <w:u w:val="single"/>
        </w:rPr>
        <w:t>proposed health technology</w:t>
      </w:r>
      <w:r w:rsidRPr="00EC7BD5">
        <w:t xml:space="preserve"> vs. the </w:t>
      </w:r>
      <w:r w:rsidRPr="00EC7BD5">
        <w:rPr>
          <w:u w:val="single"/>
        </w:rPr>
        <w:t>comparator health technology</w:t>
      </w:r>
      <w:r w:rsidRPr="00EC7BD5">
        <w:t>:</w:t>
      </w:r>
    </w:p>
    <w:p w14:paraId="1D671E29" w14:textId="77777777" w:rsidR="002D2DF7" w:rsidRPr="00092D25" w:rsidRDefault="002D2DF7" w:rsidP="00092D25">
      <w:pPr>
        <w:spacing w:after="0"/>
      </w:pPr>
    </w:p>
    <w:p w14:paraId="17FCD633" w14:textId="6EC5EB43" w:rsidR="002D2DF7" w:rsidRPr="00EC7BD5" w:rsidRDefault="002D2DF7" w:rsidP="00EC7BD5">
      <w:pPr>
        <w:rPr>
          <w:rFonts w:ascii="Segoe UI" w:eastAsia="Segoe UI" w:hAnsi="Segoe UI" w:cs="Segoe UI"/>
          <w:color w:val="000000"/>
          <w:sz w:val="22"/>
          <w:szCs w:val="22"/>
        </w:rPr>
      </w:pPr>
      <w:r>
        <w:rPr>
          <w:rFonts w:ascii="Segoe UI" w:hAnsi="Segoe UI" w:cs="Segoe UI"/>
          <w:sz w:val="22"/>
          <w:szCs w:val="22"/>
        </w:rPr>
        <w:t xml:space="preserve">As described above, additional healthcare resources will be required during the patient assessment (suitability and eligibility), infusion and post-dose monitoring periods. These however are not expected to be significant and will be part of usual HTC operations. </w:t>
      </w:r>
    </w:p>
    <w:p w14:paraId="59B22B0F" w14:textId="77777777" w:rsidR="002D2DF7" w:rsidRPr="00EC7BD5" w:rsidRDefault="002D2DF7" w:rsidP="00EC7BD5">
      <w:pPr>
        <w:pStyle w:val="Heading2"/>
        <w:rPr>
          <w:u w:val="single"/>
        </w:rPr>
      </w:pPr>
      <w:r w:rsidRPr="00EC7BD5">
        <w:rPr>
          <w:u w:val="single"/>
        </w:rPr>
        <w:t>CLINICAL MANAGEMENT AFTER THE USE OF HEALTH TECHNOLOGY</w:t>
      </w:r>
    </w:p>
    <w:p w14:paraId="232AB1B2" w14:textId="77777777" w:rsidR="002D2DF7" w:rsidRPr="00EC7BD5" w:rsidRDefault="002D2DF7" w:rsidP="00EC7BD5">
      <w:pPr>
        <w:pStyle w:val="Heading2"/>
      </w:pPr>
      <w:r w:rsidRPr="00EC7BD5">
        <w:t xml:space="preserve">Define and summarise the clinical management algorithm, including any required tests or healthcare resources, </w:t>
      </w:r>
      <w:r w:rsidRPr="00EC7BD5">
        <w:rPr>
          <w:i/>
          <w:iCs/>
        </w:rPr>
        <w:t>after</w:t>
      </w:r>
      <w:r w:rsidRPr="00EC7BD5">
        <w:t xml:space="preserve"> the use of the </w:t>
      </w:r>
      <w:r w:rsidRPr="00EC7BD5">
        <w:rPr>
          <w:u w:val="single"/>
        </w:rPr>
        <w:t>proposed health technology</w:t>
      </w:r>
      <w:r w:rsidRPr="00EC7BD5">
        <w:t>:</w:t>
      </w:r>
    </w:p>
    <w:p w14:paraId="37EFCBF0" w14:textId="77777777" w:rsidR="002D2DF7" w:rsidRDefault="002D2DF7" w:rsidP="00650406">
      <w:pPr>
        <w:spacing w:after="0"/>
      </w:pPr>
    </w:p>
    <w:p w14:paraId="056F7A9A" w14:textId="77777777" w:rsidR="002D2DF7" w:rsidRPr="00710360" w:rsidRDefault="002D2DF7" w:rsidP="0032116B">
      <w:pPr>
        <w:rPr>
          <w:rFonts w:ascii="Segoe UI" w:hAnsi="Segoe UI" w:cs="Segoe UI"/>
          <w:sz w:val="22"/>
          <w:szCs w:val="22"/>
        </w:rPr>
      </w:pPr>
      <w:r w:rsidRPr="00710360">
        <w:rPr>
          <w:rFonts w:ascii="Segoe UI" w:hAnsi="Segoe UI" w:cs="Segoe UI"/>
          <w:sz w:val="22"/>
          <w:szCs w:val="22"/>
        </w:rPr>
        <w:t xml:space="preserve">Continued prophylaxis or on-demand therapy may be required in the first few weeks after administration. Continued haemostatic support with exogenous FIX may be required during the first weeks after HEMGENIX® administration to provide sufficient factor IX coverage for the initial days post-treatment. Monitoring of the factor IX activity is recommended post-dose to follow the patient`s response to HEMGENIX®. Exogenous FIX or other haemostatic products may be required in the case of surgery, invasive procedures, trauma or bleeds </w:t>
      </w:r>
      <w:proofErr w:type="gramStart"/>
      <w:r w:rsidRPr="00710360">
        <w:rPr>
          <w:rFonts w:ascii="Segoe UI" w:hAnsi="Segoe UI" w:cs="Segoe UI"/>
          <w:sz w:val="22"/>
          <w:szCs w:val="22"/>
        </w:rPr>
        <w:t>in the event that</w:t>
      </w:r>
      <w:proofErr w:type="gramEnd"/>
      <w:r w:rsidRPr="00710360">
        <w:rPr>
          <w:rFonts w:ascii="Segoe UI" w:hAnsi="Segoe UI" w:cs="Segoe UI"/>
          <w:sz w:val="22"/>
          <w:szCs w:val="22"/>
        </w:rPr>
        <w:t xml:space="preserve"> FIX activity is deemed insufficient for adequate haemostasis. </w:t>
      </w:r>
    </w:p>
    <w:p w14:paraId="20BF1334" w14:textId="77777777" w:rsidR="002D2DF7" w:rsidRPr="00710360" w:rsidRDefault="002D2DF7" w:rsidP="0032116B">
      <w:pPr>
        <w:rPr>
          <w:rFonts w:ascii="Segoe UI" w:hAnsi="Segoe UI" w:cs="Segoe UI"/>
          <w:sz w:val="22"/>
          <w:szCs w:val="22"/>
        </w:rPr>
      </w:pPr>
      <w:r w:rsidRPr="00710360">
        <w:rPr>
          <w:rFonts w:ascii="Segoe UI" w:hAnsi="Segoe UI" w:cs="Segoe UI"/>
          <w:sz w:val="22"/>
          <w:szCs w:val="22"/>
        </w:rPr>
        <w:t xml:space="preserve">Overall monitoring after the use of the proposed intervention will differ compared to current clinical management.  Following administration of </w:t>
      </w:r>
      <w:proofErr w:type="spellStart"/>
      <w:r w:rsidRPr="00710360">
        <w:rPr>
          <w:rFonts w:ascii="Segoe UI" w:hAnsi="Segoe UI" w:cs="Segoe UI"/>
          <w:sz w:val="22"/>
          <w:szCs w:val="22"/>
        </w:rPr>
        <w:t>Hemgenix</w:t>
      </w:r>
      <w:proofErr w:type="spellEnd"/>
      <w:r w:rsidRPr="00710360">
        <w:rPr>
          <w:rFonts w:ascii="Segoe UI" w:hAnsi="Segoe UI" w:cs="Segoe UI"/>
          <w:sz w:val="22"/>
          <w:szCs w:val="22"/>
        </w:rPr>
        <w:t>®, weekly liver function tests would be required for at least 3 months and then every 3 months in the first year, every 6 months in the second-year post-treatment, with subsequent yearly testing for at least 5 years to routinely assess liver function.</w:t>
      </w:r>
    </w:p>
    <w:p w14:paraId="5D5080A4" w14:textId="77777777" w:rsidR="002D2DF7" w:rsidRPr="00710360" w:rsidRDefault="002D2DF7" w:rsidP="0032116B">
      <w:pPr>
        <w:rPr>
          <w:rFonts w:ascii="Segoe UI" w:hAnsi="Segoe UI" w:cs="Segoe UI"/>
          <w:sz w:val="22"/>
          <w:szCs w:val="22"/>
        </w:rPr>
      </w:pPr>
      <w:r w:rsidRPr="00710360">
        <w:rPr>
          <w:rFonts w:ascii="Segoe UI" w:hAnsi="Segoe UI" w:cs="Segoe UI"/>
          <w:sz w:val="22"/>
          <w:szCs w:val="22"/>
        </w:rPr>
        <w:t xml:space="preserve">Factor IX activity should also be monitored (e.g. weekly for at least 3 months, then every 3 months in the first year and every 6 months in the second year, with subsequent yearly testing for at least 5 years. </w:t>
      </w:r>
    </w:p>
    <w:p w14:paraId="7463E9BE" w14:textId="77777777" w:rsidR="002D2DF7" w:rsidRPr="00710360" w:rsidRDefault="002D2DF7" w:rsidP="0032116B">
      <w:pPr>
        <w:rPr>
          <w:rFonts w:ascii="Segoe UI" w:hAnsi="Segoe UI" w:cs="Segoe UI"/>
          <w:sz w:val="22"/>
          <w:szCs w:val="22"/>
        </w:rPr>
      </w:pPr>
      <w:r w:rsidRPr="00710360">
        <w:rPr>
          <w:rFonts w:ascii="Segoe UI" w:hAnsi="Segoe UI" w:cs="Segoe UI"/>
          <w:sz w:val="22"/>
          <w:szCs w:val="22"/>
        </w:rPr>
        <w:t>For patients with pre-existing risk factors for hepatocellular carcinoma perform regular alpha-fetoprotein (AFP) level testing and abdominal ultrasound (e.g. annually) for 5 years following administration.</w:t>
      </w:r>
    </w:p>
    <w:p w14:paraId="380B19E1" w14:textId="77777777" w:rsidR="002D2DF7" w:rsidRPr="007800A2" w:rsidRDefault="002D2DF7" w:rsidP="00EC7BD5">
      <w:pPr>
        <w:rPr>
          <w:rFonts w:ascii="Segoe UI" w:hAnsi="Segoe UI" w:cs="Segoe UI"/>
          <w:sz w:val="22"/>
          <w:szCs w:val="22"/>
        </w:rPr>
      </w:pPr>
      <w:r>
        <w:rPr>
          <w:rFonts w:ascii="Segoe UI" w:hAnsi="Segoe UI" w:cs="Segoe UI"/>
          <w:sz w:val="22"/>
          <w:szCs w:val="22"/>
        </w:rPr>
        <w:t>Patients should be monitored</w:t>
      </w:r>
      <w:r w:rsidRPr="00710360">
        <w:rPr>
          <w:rFonts w:ascii="Segoe UI" w:hAnsi="Segoe UI" w:cs="Segoe UI"/>
          <w:sz w:val="22"/>
          <w:szCs w:val="22"/>
        </w:rPr>
        <w:t xml:space="preserve"> for human factor IX inhibitors. Post-dose testing should be performed if plasma factor IX activity levels are not achieved, decrease or if bleeding is not controlled or returns.</w:t>
      </w:r>
      <w:r w:rsidRPr="007800A2">
        <w:rPr>
          <w:rFonts w:ascii="Segoe UI" w:hAnsi="Segoe UI" w:cs="Segoe UI"/>
          <w:sz w:val="22"/>
          <w:szCs w:val="22"/>
        </w:rPr>
        <w:t xml:space="preserve"> </w:t>
      </w:r>
    </w:p>
    <w:p w14:paraId="1CECB052" w14:textId="77777777" w:rsidR="002D2DF7" w:rsidRPr="00EC7BD5" w:rsidRDefault="002D2DF7" w:rsidP="00EC7BD5">
      <w:pPr>
        <w:rPr>
          <w:rStyle w:val="Heading2Char"/>
        </w:rPr>
      </w:pPr>
      <w:r w:rsidRPr="00EC7BD5">
        <w:rPr>
          <w:rStyle w:val="Heading2Char"/>
        </w:rPr>
        <w:t>Define and summarise the clinical management algorithm, including any required tests or healthcare resources, after the use of the comparator health technology:</w:t>
      </w:r>
    </w:p>
    <w:p w14:paraId="3F34FCA0" w14:textId="77777777" w:rsidR="002D2DF7" w:rsidRPr="00EC7BD5" w:rsidRDefault="002D2DF7" w:rsidP="00EC7BD5">
      <w:pPr>
        <w:rPr>
          <w:rFonts w:ascii="Segoe UI" w:eastAsia="Segoe UI" w:hAnsi="Segoe UI" w:cs="Segoe UI"/>
          <w:color w:val="000000"/>
          <w:sz w:val="22"/>
          <w:szCs w:val="22"/>
        </w:rPr>
      </w:pPr>
      <w:r>
        <w:rPr>
          <w:rFonts w:ascii="Segoe UI" w:hAnsi="Segoe UI" w:cs="Segoe UI"/>
          <w:sz w:val="22"/>
          <w:szCs w:val="22"/>
        </w:rPr>
        <w:t>Patients should be monitored</w:t>
      </w:r>
      <w:r w:rsidRPr="00710360">
        <w:rPr>
          <w:rFonts w:ascii="Segoe UI" w:hAnsi="Segoe UI" w:cs="Segoe UI"/>
          <w:sz w:val="22"/>
          <w:szCs w:val="22"/>
        </w:rPr>
        <w:t xml:space="preserve"> for human factor IX inhibitors</w:t>
      </w:r>
      <w:r>
        <w:rPr>
          <w:rFonts w:ascii="Segoe UI" w:hAnsi="Segoe UI" w:cs="Segoe UI"/>
          <w:sz w:val="22"/>
          <w:szCs w:val="22"/>
        </w:rPr>
        <w:t xml:space="preserve"> if receiving standard of care </w:t>
      </w:r>
      <w:proofErr w:type="spellStart"/>
      <w:r>
        <w:rPr>
          <w:rFonts w:ascii="Segoe UI" w:hAnsi="Segoe UI" w:cs="Segoe UI"/>
          <w:sz w:val="22"/>
          <w:szCs w:val="22"/>
        </w:rPr>
        <w:t>cHMB</w:t>
      </w:r>
      <w:proofErr w:type="spellEnd"/>
      <w:r>
        <w:rPr>
          <w:rFonts w:ascii="Segoe UI" w:hAnsi="Segoe UI" w:cs="Segoe UI"/>
          <w:sz w:val="22"/>
          <w:szCs w:val="22"/>
        </w:rPr>
        <w:t xml:space="preserve"> therapy comprising of FIX prophylaxis.</w:t>
      </w:r>
    </w:p>
    <w:p w14:paraId="6ECC60DC" w14:textId="77777777" w:rsidR="002D2DF7" w:rsidRPr="00EC7BD5" w:rsidRDefault="002D2DF7" w:rsidP="00621DBB">
      <w:pPr>
        <w:pStyle w:val="Heading2"/>
        <w:keepNext/>
        <w:keepLines/>
      </w:pPr>
      <w:r w:rsidRPr="00EC7BD5">
        <w:t xml:space="preserve">Describe and explain any differences in the healthcare resources used </w:t>
      </w:r>
      <w:r w:rsidRPr="00EC7BD5">
        <w:rPr>
          <w:i/>
          <w:iCs/>
        </w:rPr>
        <w:t>after</w:t>
      </w:r>
      <w:r w:rsidRPr="00EC7BD5">
        <w:t xml:space="preserve"> the </w:t>
      </w:r>
      <w:r w:rsidRPr="00EC7BD5">
        <w:rPr>
          <w:u w:val="single"/>
        </w:rPr>
        <w:t>proposed health technology</w:t>
      </w:r>
      <w:r w:rsidRPr="00EC7BD5">
        <w:t xml:space="preserve"> vs. the </w:t>
      </w:r>
      <w:r w:rsidRPr="00EC7BD5">
        <w:rPr>
          <w:u w:val="single"/>
        </w:rPr>
        <w:t>comparator health technology</w:t>
      </w:r>
      <w:r w:rsidRPr="00EC7BD5">
        <w:t>:</w:t>
      </w:r>
    </w:p>
    <w:p w14:paraId="31ACD6DA" w14:textId="77777777" w:rsidR="002D2DF7" w:rsidRPr="001F3FFB" w:rsidRDefault="002D2DF7" w:rsidP="00621DBB">
      <w:pPr>
        <w:pStyle w:val="Heading2"/>
        <w:keepNext/>
        <w:keepLines/>
        <w:rPr>
          <w:rFonts w:eastAsiaTheme="minorHAnsi"/>
          <w:b w:val="0"/>
          <w:color w:val="auto"/>
        </w:rPr>
      </w:pPr>
      <w:r w:rsidRPr="00B33BD1">
        <w:rPr>
          <w:rFonts w:eastAsiaTheme="minorHAnsi"/>
          <w:b w:val="0"/>
          <w:color w:val="auto"/>
        </w:rPr>
        <w:lastRenderedPageBreak/>
        <w:t xml:space="preserve">Overall, monitoring after the use of </w:t>
      </w:r>
      <w:r>
        <w:rPr>
          <w:rFonts w:eastAsiaTheme="minorHAnsi"/>
          <w:b w:val="0"/>
          <w:color w:val="auto"/>
        </w:rPr>
        <w:t xml:space="preserve">AAV5 </w:t>
      </w:r>
      <w:proofErr w:type="spellStart"/>
      <w:r>
        <w:rPr>
          <w:rFonts w:eastAsiaTheme="minorHAnsi"/>
          <w:b w:val="0"/>
          <w:color w:val="auto"/>
        </w:rPr>
        <w:t>NAb</w:t>
      </w:r>
      <w:proofErr w:type="spellEnd"/>
      <w:r>
        <w:rPr>
          <w:rFonts w:eastAsiaTheme="minorHAnsi"/>
          <w:b w:val="0"/>
          <w:color w:val="auto"/>
        </w:rPr>
        <w:t xml:space="preserve"> assay leading to dosing with </w:t>
      </w:r>
      <w:proofErr w:type="spellStart"/>
      <w:r w:rsidRPr="00C4324F">
        <w:rPr>
          <w:rFonts w:eastAsiaTheme="minorHAnsi"/>
          <w:b w:val="0"/>
          <w:color w:val="auto"/>
        </w:rPr>
        <w:t>Hemgenix</w:t>
      </w:r>
      <w:proofErr w:type="spellEnd"/>
      <w:r w:rsidRPr="00C4324F">
        <w:rPr>
          <w:rFonts w:eastAsiaTheme="minorHAnsi"/>
          <w:b w:val="0"/>
          <w:color w:val="auto"/>
        </w:rPr>
        <w:t>®,</w:t>
      </w:r>
      <w:r w:rsidRPr="00B33BD1">
        <w:rPr>
          <w:rFonts w:eastAsiaTheme="minorHAnsi"/>
          <w:b w:val="0"/>
          <w:color w:val="auto"/>
        </w:rPr>
        <w:t xml:space="preserve"> will differ for the first</w:t>
      </w:r>
      <w:r>
        <w:rPr>
          <w:rFonts w:eastAsiaTheme="minorHAnsi"/>
          <w:b w:val="0"/>
          <w:color w:val="auto"/>
        </w:rPr>
        <w:t xml:space="preserve"> </w:t>
      </w:r>
      <w:r w:rsidRPr="00B33BD1">
        <w:rPr>
          <w:rFonts w:eastAsiaTheme="minorHAnsi"/>
          <w:b w:val="0"/>
          <w:color w:val="auto"/>
        </w:rPr>
        <w:t>12</w:t>
      </w:r>
      <w:r>
        <w:rPr>
          <w:rFonts w:eastAsiaTheme="minorHAnsi"/>
          <w:b w:val="0"/>
          <w:color w:val="auto"/>
        </w:rPr>
        <w:t>-24</w:t>
      </w:r>
      <w:r w:rsidRPr="00B33BD1">
        <w:rPr>
          <w:rFonts w:eastAsiaTheme="minorHAnsi"/>
          <w:b w:val="0"/>
          <w:color w:val="auto"/>
        </w:rPr>
        <w:t xml:space="preserve"> months</w:t>
      </w:r>
      <w:r>
        <w:rPr>
          <w:rFonts w:eastAsiaTheme="minorHAnsi"/>
          <w:b w:val="0"/>
          <w:color w:val="auto"/>
        </w:rPr>
        <w:t xml:space="preserve"> compared to no testing and standard of care </w:t>
      </w:r>
      <w:proofErr w:type="spellStart"/>
      <w:r>
        <w:rPr>
          <w:rFonts w:eastAsiaTheme="minorHAnsi"/>
          <w:b w:val="0"/>
          <w:color w:val="auto"/>
        </w:rPr>
        <w:t>cHMB</w:t>
      </w:r>
      <w:proofErr w:type="spellEnd"/>
      <w:r>
        <w:rPr>
          <w:rFonts w:eastAsiaTheme="minorHAnsi"/>
          <w:b w:val="0"/>
          <w:color w:val="auto"/>
        </w:rPr>
        <w:t xml:space="preserve"> therapy. </w:t>
      </w:r>
    </w:p>
    <w:p w14:paraId="4EBB37A5" w14:textId="77777777" w:rsidR="002D2DF7" w:rsidRDefault="002D2DF7" w:rsidP="00607FC1">
      <w:pPr>
        <w:pStyle w:val="Heading2"/>
      </w:pPr>
      <w:r w:rsidRPr="00EC7BD5">
        <w:t>Insert diagrams demonstrating the clinical management algorithm with and without the proposed health technology:</w:t>
      </w:r>
    </w:p>
    <w:p w14:paraId="7F529598" w14:textId="77777777" w:rsidR="002D2DF7" w:rsidRPr="00607FC1" w:rsidRDefault="002D2DF7" w:rsidP="00607FC1"/>
    <w:p w14:paraId="1E41F490" w14:textId="77777777" w:rsidR="002D2DF7" w:rsidRPr="00D67E00" w:rsidRDefault="002D2DF7" w:rsidP="00D67E00">
      <w:pPr>
        <w:rPr>
          <w:rFonts w:ascii="Segoe UI" w:eastAsia="Segoe UI" w:hAnsi="Segoe UI" w:cs="Segoe UI"/>
          <w:b/>
          <w:color w:val="000000"/>
          <w:sz w:val="22"/>
          <w:szCs w:val="22"/>
        </w:rPr>
      </w:pPr>
      <w:r w:rsidRPr="00D67E00">
        <w:rPr>
          <w:rFonts w:ascii="Segoe UI" w:eastAsia="Segoe UI" w:hAnsi="Segoe UI" w:cs="Segoe UI"/>
          <w:b/>
          <w:color w:val="000000"/>
          <w:sz w:val="22"/>
          <w:szCs w:val="22"/>
        </w:rPr>
        <w:t>Without the proposed health technolog</w:t>
      </w:r>
      <w:r>
        <w:rPr>
          <w:rFonts w:ascii="Segoe UI" w:eastAsia="Segoe UI" w:hAnsi="Segoe UI" w:cs="Segoe UI"/>
          <w:b/>
          <w:color w:val="000000"/>
          <w:sz w:val="22"/>
          <w:szCs w:val="22"/>
        </w:rPr>
        <w:t>ies</w:t>
      </w:r>
    </w:p>
    <w:p w14:paraId="634FF407" w14:textId="77777777" w:rsidR="002D2DF7" w:rsidRDefault="002D2DF7" w:rsidP="00D67E00">
      <w:r w:rsidRPr="00D40354">
        <w:rPr>
          <w:noProof/>
        </w:rPr>
        <w:drawing>
          <wp:inline distT="0" distB="0" distL="0" distR="0" wp14:anchorId="690293F0" wp14:editId="674C8CFD">
            <wp:extent cx="5528930" cy="4321581"/>
            <wp:effectExtent l="0" t="0" r="0" b="3175"/>
            <wp:docPr id="502098169" name="Picture 1" descr="Clinical management algorithm without the proposed health technologie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098169" name="Picture 1" descr="Clinical management algorithm without the proposed health technologies&#10;&#10;"/>
                    <pic:cNvPicPr/>
                  </pic:nvPicPr>
                  <pic:blipFill>
                    <a:blip r:embed="rId8"/>
                    <a:stretch>
                      <a:fillRect/>
                    </a:stretch>
                  </pic:blipFill>
                  <pic:spPr>
                    <a:xfrm>
                      <a:off x="0" y="0"/>
                      <a:ext cx="5533994" cy="4325539"/>
                    </a:xfrm>
                    <a:prstGeom prst="rect">
                      <a:avLst/>
                    </a:prstGeom>
                  </pic:spPr>
                </pic:pic>
              </a:graphicData>
            </a:graphic>
          </wp:inline>
        </w:drawing>
      </w:r>
    </w:p>
    <w:p w14:paraId="0D51A7D5" w14:textId="77777777" w:rsidR="002D2DF7" w:rsidRPr="00D67E00" w:rsidRDefault="002D2DF7" w:rsidP="00D67E00">
      <w:pPr>
        <w:spacing w:after="0"/>
        <w:rPr>
          <w:rFonts w:ascii="Segoe UI" w:hAnsi="Segoe UI" w:cs="Segoe UI"/>
          <w:sz w:val="18"/>
          <w:szCs w:val="18"/>
        </w:rPr>
      </w:pPr>
      <w:r w:rsidRPr="00D67E00">
        <w:rPr>
          <w:rFonts w:ascii="Segoe UI" w:hAnsi="Segoe UI" w:cs="Segoe UI"/>
          <w:b/>
          <w:bCs/>
          <w:sz w:val="18"/>
          <w:szCs w:val="18"/>
        </w:rPr>
        <w:t>Abbreviations:</w:t>
      </w:r>
      <w:r w:rsidRPr="00D67E00">
        <w:rPr>
          <w:rFonts w:ascii="Segoe UI" w:hAnsi="Segoe UI" w:cs="Segoe UI"/>
          <w:sz w:val="18"/>
          <w:szCs w:val="18"/>
        </w:rPr>
        <w:t xml:space="preserve"> </w:t>
      </w:r>
      <w:proofErr w:type="spellStart"/>
      <w:r w:rsidRPr="00D67E00">
        <w:rPr>
          <w:rFonts w:ascii="Segoe UI" w:hAnsi="Segoe UI" w:cs="Segoe UI"/>
          <w:sz w:val="18"/>
          <w:szCs w:val="18"/>
        </w:rPr>
        <w:t>cHMB</w:t>
      </w:r>
      <w:proofErr w:type="spellEnd"/>
      <w:r w:rsidRPr="00D67E00">
        <w:rPr>
          <w:rFonts w:ascii="Segoe UI" w:hAnsi="Segoe UI" w:cs="Segoe UI"/>
          <w:sz w:val="18"/>
          <w:szCs w:val="18"/>
        </w:rPr>
        <w:t xml:space="preserve"> = congenital haemophilia B; FIX = factor IX; EHL = extended half-life recombinant FIX replacement therapy; SHL = standard half-life recombinant FIX replacement therapy </w:t>
      </w:r>
    </w:p>
    <w:p w14:paraId="03CE9F35" w14:textId="3FF3131B" w:rsidR="002D2DF7" w:rsidRPr="004E1D62" w:rsidRDefault="002D2DF7" w:rsidP="004E1D62">
      <w:pPr>
        <w:spacing w:after="0"/>
        <w:rPr>
          <w:rFonts w:ascii="Segoe UI" w:hAnsi="Segoe UI" w:cs="Segoe UI"/>
          <w:sz w:val="18"/>
          <w:szCs w:val="18"/>
        </w:rPr>
      </w:pPr>
      <w:r w:rsidRPr="00600ED9">
        <w:rPr>
          <w:rFonts w:ascii="Segoe UI" w:hAnsi="Segoe UI" w:cs="Segoe UI"/>
          <w:b/>
          <w:bCs/>
          <w:sz w:val="18"/>
          <w:szCs w:val="18"/>
        </w:rPr>
        <w:t>Source:</w:t>
      </w:r>
      <w:r w:rsidRPr="00D67E00">
        <w:rPr>
          <w:rFonts w:ascii="Segoe UI" w:hAnsi="Segoe UI" w:cs="Segoe UI"/>
          <w:sz w:val="18"/>
          <w:szCs w:val="18"/>
        </w:rPr>
        <w:t xml:space="preserve"> Figure 1 in Application 1728 Ratified PICO</w:t>
      </w:r>
      <w:r>
        <w:rPr>
          <w:rFonts w:ascii="Segoe UI" w:eastAsia="Segoe UI" w:hAnsi="Segoe UI" w:cs="Segoe UI"/>
          <w:b/>
          <w:color w:val="000000"/>
          <w:sz w:val="22"/>
          <w:szCs w:val="22"/>
        </w:rPr>
        <w:br w:type="page"/>
      </w:r>
    </w:p>
    <w:p w14:paraId="28BE56CC" w14:textId="77777777" w:rsidR="002D2DF7" w:rsidRPr="00D67E00" w:rsidRDefault="002D2DF7" w:rsidP="00B91831">
      <w:pPr>
        <w:rPr>
          <w:rFonts w:ascii="Segoe UI" w:eastAsia="Segoe UI" w:hAnsi="Segoe UI" w:cs="Segoe UI"/>
          <w:b/>
          <w:color w:val="000000"/>
          <w:sz w:val="22"/>
          <w:szCs w:val="22"/>
        </w:rPr>
      </w:pPr>
      <w:r w:rsidRPr="00D67E00">
        <w:rPr>
          <w:rFonts w:ascii="Segoe UI" w:eastAsia="Segoe UI" w:hAnsi="Segoe UI" w:cs="Segoe UI"/>
          <w:b/>
          <w:color w:val="000000"/>
          <w:sz w:val="22"/>
          <w:szCs w:val="22"/>
        </w:rPr>
        <w:lastRenderedPageBreak/>
        <w:t>With the proposed health technolog</w:t>
      </w:r>
      <w:r>
        <w:rPr>
          <w:rFonts w:ascii="Segoe UI" w:eastAsia="Segoe UI" w:hAnsi="Segoe UI" w:cs="Segoe UI"/>
          <w:b/>
          <w:color w:val="000000"/>
          <w:sz w:val="22"/>
          <w:szCs w:val="22"/>
        </w:rPr>
        <w:t>ies</w:t>
      </w:r>
    </w:p>
    <w:p w14:paraId="29149FD6" w14:textId="77777777" w:rsidR="002D2DF7" w:rsidRDefault="002D2DF7" w:rsidP="00846C1D">
      <w:r w:rsidRPr="00600ED9">
        <w:rPr>
          <w:noProof/>
        </w:rPr>
        <w:drawing>
          <wp:inline distT="0" distB="0" distL="0" distR="0" wp14:anchorId="44CEAE83" wp14:editId="217322D5">
            <wp:extent cx="6016625" cy="5120005"/>
            <wp:effectExtent l="0" t="0" r="3175" b="4445"/>
            <wp:docPr id="2086269715" name="Picture 1" descr="Clinical management algorithm with the proposed health techn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269715" name="Picture 1" descr="Clinical management algorithm with the proposed health technologies"/>
                    <pic:cNvPicPr/>
                  </pic:nvPicPr>
                  <pic:blipFill>
                    <a:blip r:embed="rId9"/>
                    <a:stretch>
                      <a:fillRect/>
                    </a:stretch>
                  </pic:blipFill>
                  <pic:spPr>
                    <a:xfrm>
                      <a:off x="0" y="0"/>
                      <a:ext cx="6016625" cy="5120005"/>
                    </a:xfrm>
                    <a:prstGeom prst="rect">
                      <a:avLst/>
                    </a:prstGeom>
                  </pic:spPr>
                </pic:pic>
              </a:graphicData>
            </a:graphic>
          </wp:inline>
        </w:drawing>
      </w:r>
    </w:p>
    <w:p w14:paraId="17449269" w14:textId="77777777" w:rsidR="002D2DF7" w:rsidRPr="00846C1D" w:rsidRDefault="002D2DF7" w:rsidP="00846C1D">
      <w:pPr>
        <w:spacing w:after="0"/>
        <w:rPr>
          <w:rFonts w:ascii="Segoe UI" w:hAnsi="Segoe UI" w:cs="Segoe UI"/>
          <w:sz w:val="18"/>
          <w:szCs w:val="18"/>
        </w:rPr>
      </w:pPr>
      <w:r w:rsidRPr="00846C1D">
        <w:rPr>
          <w:rFonts w:ascii="Segoe UI" w:hAnsi="Segoe UI" w:cs="Segoe UI"/>
          <w:b/>
          <w:bCs/>
          <w:sz w:val="18"/>
          <w:szCs w:val="18"/>
        </w:rPr>
        <w:t>Abbreviations:</w:t>
      </w:r>
      <w:r w:rsidRPr="00846C1D">
        <w:rPr>
          <w:rFonts w:ascii="Segoe UI" w:hAnsi="Segoe UI" w:cs="Segoe UI"/>
          <w:sz w:val="18"/>
          <w:szCs w:val="18"/>
        </w:rPr>
        <w:t xml:space="preserve"> Anti-AAV5 </w:t>
      </w:r>
      <w:proofErr w:type="spellStart"/>
      <w:r w:rsidRPr="00846C1D">
        <w:rPr>
          <w:rFonts w:ascii="Segoe UI" w:hAnsi="Segoe UI" w:cs="Segoe UI"/>
          <w:sz w:val="18"/>
          <w:szCs w:val="18"/>
        </w:rPr>
        <w:t>NAbs</w:t>
      </w:r>
      <w:proofErr w:type="spellEnd"/>
      <w:r w:rsidRPr="00846C1D">
        <w:rPr>
          <w:rFonts w:ascii="Segoe UI" w:hAnsi="Segoe UI" w:cs="Segoe UI"/>
          <w:sz w:val="18"/>
          <w:szCs w:val="18"/>
        </w:rPr>
        <w:t xml:space="preserve"> = anti-adeno-associated virus 5 neutralising antibodies; </w:t>
      </w:r>
      <w:proofErr w:type="spellStart"/>
      <w:r w:rsidRPr="00846C1D">
        <w:rPr>
          <w:rFonts w:ascii="Segoe UI" w:hAnsi="Segoe UI" w:cs="Segoe UI"/>
          <w:sz w:val="18"/>
          <w:szCs w:val="18"/>
        </w:rPr>
        <w:t>cHMB</w:t>
      </w:r>
      <w:proofErr w:type="spellEnd"/>
      <w:r w:rsidRPr="00846C1D">
        <w:rPr>
          <w:rFonts w:ascii="Segoe UI" w:hAnsi="Segoe UI" w:cs="Segoe UI"/>
          <w:sz w:val="18"/>
          <w:szCs w:val="18"/>
        </w:rPr>
        <w:t xml:space="preserve"> = congenital haemophilia B; FIX = factor IX; EHL = extended half-life recombinant FIX replacement therapy; SHL = standard half-life recombinant FIX replacement therapy</w:t>
      </w:r>
    </w:p>
    <w:p w14:paraId="3CB18C6E" w14:textId="77777777" w:rsidR="002D2DF7" w:rsidRDefault="002D2DF7" w:rsidP="00600ED9">
      <w:pPr>
        <w:spacing w:after="0"/>
        <w:rPr>
          <w:rFonts w:ascii="Segoe UI" w:hAnsi="Segoe UI" w:cs="Segoe UI"/>
          <w:sz w:val="18"/>
          <w:szCs w:val="18"/>
        </w:rPr>
      </w:pPr>
      <w:r w:rsidRPr="00846C1D">
        <w:rPr>
          <w:rFonts w:ascii="Segoe UI" w:hAnsi="Segoe UI" w:cs="Segoe UI"/>
          <w:b/>
          <w:bCs/>
          <w:sz w:val="18"/>
          <w:szCs w:val="18"/>
        </w:rPr>
        <w:t>Source:</w:t>
      </w:r>
      <w:r w:rsidRPr="00846C1D">
        <w:rPr>
          <w:rFonts w:ascii="Segoe UI" w:hAnsi="Segoe UI" w:cs="Segoe UI"/>
          <w:sz w:val="18"/>
          <w:szCs w:val="18"/>
        </w:rPr>
        <w:t xml:space="preserve"> </w:t>
      </w:r>
      <w:r>
        <w:rPr>
          <w:rFonts w:ascii="Segoe UI" w:hAnsi="Segoe UI" w:cs="Segoe UI"/>
          <w:sz w:val="18"/>
          <w:szCs w:val="18"/>
        </w:rPr>
        <w:t xml:space="preserve">Adapted from </w:t>
      </w:r>
      <w:r w:rsidRPr="00846C1D">
        <w:rPr>
          <w:rFonts w:ascii="Segoe UI" w:hAnsi="Segoe UI" w:cs="Segoe UI"/>
          <w:sz w:val="18"/>
          <w:szCs w:val="18"/>
        </w:rPr>
        <w:t>Figure 2 in Application 1728 Ratified PICO</w:t>
      </w:r>
      <w:r>
        <w:rPr>
          <w:rFonts w:ascii="Segoe UI" w:hAnsi="Segoe UI" w:cs="Segoe UI"/>
          <w:sz w:val="18"/>
          <w:szCs w:val="18"/>
        </w:rPr>
        <w:t xml:space="preserve">. </w:t>
      </w:r>
    </w:p>
    <w:p w14:paraId="026519FA" w14:textId="77777777" w:rsidR="002D2DF7" w:rsidRPr="00961ED5" w:rsidRDefault="002D2DF7" w:rsidP="00600ED9">
      <w:pPr>
        <w:spacing w:after="0"/>
        <w:rPr>
          <w:rFonts w:ascii="Segoe UI" w:hAnsi="Segoe UI" w:cs="Segoe UI"/>
          <w:sz w:val="18"/>
          <w:szCs w:val="18"/>
        </w:rPr>
        <w:sectPr w:rsidR="002D2DF7" w:rsidRPr="00961ED5" w:rsidSect="00BD7B7D">
          <w:headerReference w:type="default" r:id="rId10"/>
          <w:footerReference w:type="default" r:id="rId11"/>
          <w:footerReference w:type="first" r:id="rId12"/>
          <w:pgSz w:w="11906" w:h="16838"/>
          <w:pgMar w:top="1134" w:right="991" w:bottom="1135" w:left="1440" w:header="426" w:footer="252" w:gutter="0"/>
          <w:pgNumType w:start="1"/>
          <w:cols w:space="708"/>
          <w:titlePg/>
          <w:docGrid w:linePitch="360"/>
        </w:sectPr>
      </w:pPr>
      <w:r>
        <w:rPr>
          <w:rFonts w:ascii="Segoe UI" w:hAnsi="Segoe UI" w:cs="Segoe UI"/>
          <w:b/>
          <w:bCs/>
          <w:sz w:val="18"/>
          <w:szCs w:val="18"/>
        </w:rPr>
        <w:t xml:space="preserve">Notes:  </w:t>
      </w:r>
      <w:r>
        <w:rPr>
          <w:rFonts w:ascii="Segoe UI" w:hAnsi="Segoe UI" w:cs="Segoe UI"/>
          <w:sz w:val="18"/>
          <w:szCs w:val="18"/>
        </w:rPr>
        <w:t xml:space="preserve">The anti-AAV5 </w:t>
      </w:r>
      <w:proofErr w:type="spellStart"/>
      <w:r>
        <w:rPr>
          <w:rFonts w:ascii="Segoe UI" w:hAnsi="Segoe UI" w:cs="Segoe UI"/>
          <w:sz w:val="18"/>
          <w:szCs w:val="18"/>
        </w:rPr>
        <w:t>NAb</w:t>
      </w:r>
      <w:proofErr w:type="spellEnd"/>
      <w:r>
        <w:rPr>
          <w:rFonts w:ascii="Segoe UI" w:hAnsi="Segoe UI" w:cs="Segoe UI"/>
          <w:sz w:val="18"/>
          <w:szCs w:val="18"/>
        </w:rPr>
        <w:t xml:space="preserve"> threshold has been updated to 1:900 to reflect the 9-point assay, and order of FIX inhibitor testing and testing for active infections has been moved to before AAV5 </w:t>
      </w:r>
      <w:proofErr w:type="spellStart"/>
      <w:r>
        <w:rPr>
          <w:rFonts w:ascii="Segoe UI" w:hAnsi="Segoe UI" w:cs="Segoe UI"/>
          <w:sz w:val="18"/>
          <w:szCs w:val="18"/>
        </w:rPr>
        <w:t>NAb</w:t>
      </w:r>
      <w:proofErr w:type="spellEnd"/>
      <w:r>
        <w:rPr>
          <w:rFonts w:ascii="Segoe UI" w:hAnsi="Segoe UI" w:cs="Segoe UI"/>
          <w:sz w:val="18"/>
          <w:szCs w:val="18"/>
        </w:rPr>
        <w:t xml:space="preserve"> testing to better reflect expected sequencing of testing. </w:t>
      </w:r>
    </w:p>
    <w:p w14:paraId="7BA24044" w14:textId="77777777" w:rsidR="002D2DF7" w:rsidRDefault="002D2DF7" w:rsidP="00EC7BD5">
      <w:pPr>
        <w:pStyle w:val="Heading1"/>
      </w:pPr>
      <w:r>
        <w:lastRenderedPageBreak/>
        <w:t>Summary of Evidence</w:t>
      </w:r>
    </w:p>
    <w:p w14:paraId="1A88769B" w14:textId="77777777" w:rsidR="002D2DF7" w:rsidRPr="00EC7BD5" w:rsidRDefault="002D2DF7" w:rsidP="00EC7BD5">
      <w:pPr>
        <w:pStyle w:val="Heading2"/>
      </w:pPr>
      <w:r w:rsidRPr="00EC7BD5">
        <w:t xml:space="preserve">Provide one or more recent (published) high quality clinical studies that support use of the proposed health service/technology. At ‘Application Form lodgement’, </w:t>
      </w:r>
    </w:p>
    <w:p w14:paraId="003AD322" w14:textId="77777777" w:rsidR="002D2DF7" w:rsidRPr="00EC7BD5" w:rsidRDefault="002D2DF7" w:rsidP="0058092C"/>
    <w:tbl>
      <w:tblPr>
        <w:tblStyle w:val="TableGrid"/>
        <w:tblW w:w="14596" w:type="dxa"/>
        <w:tblLayout w:type="fixed"/>
        <w:tblLook w:val="04A0" w:firstRow="1" w:lastRow="0" w:firstColumn="1" w:lastColumn="0" w:noHBand="0" w:noVBand="1"/>
        <w:tblCaption w:val="Summary of Evidence - Published"/>
      </w:tblPr>
      <w:tblGrid>
        <w:gridCol w:w="369"/>
        <w:gridCol w:w="1894"/>
        <w:gridCol w:w="3407"/>
        <w:gridCol w:w="4106"/>
        <w:gridCol w:w="2835"/>
        <w:gridCol w:w="1985"/>
      </w:tblGrid>
      <w:tr w:rsidR="002D2DF7" w:rsidRPr="00952921" w14:paraId="30F5505B" w14:textId="77777777" w:rsidTr="00652D0C">
        <w:trPr>
          <w:cantSplit/>
          <w:tblHeader/>
        </w:trPr>
        <w:tc>
          <w:tcPr>
            <w:tcW w:w="369" w:type="dxa"/>
          </w:tcPr>
          <w:p w14:paraId="6BC26304" w14:textId="77777777" w:rsidR="002D2DF7" w:rsidRPr="00952921" w:rsidRDefault="002D2DF7" w:rsidP="00174DC6">
            <w:pPr>
              <w:rPr>
                <w:rFonts w:asciiTheme="minorHAnsi" w:hAnsiTheme="minorHAnsi" w:cstheme="minorHAnsi"/>
                <w:sz w:val="18"/>
                <w:szCs w:val="18"/>
              </w:rPr>
            </w:pPr>
          </w:p>
        </w:tc>
        <w:tc>
          <w:tcPr>
            <w:tcW w:w="1894" w:type="dxa"/>
          </w:tcPr>
          <w:p w14:paraId="1B5D7BFB" w14:textId="77777777" w:rsidR="002D2DF7" w:rsidRPr="00952921" w:rsidRDefault="002D2DF7" w:rsidP="00174DC6">
            <w:pPr>
              <w:rPr>
                <w:rFonts w:asciiTheme="minorHAnsi" w:hAnsiTheme="minorHAnsi" w:cstheme="minorHAnsi"/>
                <w:b/>
                <w:bCs/>
                <w:sz w:val="18"/>
                <w:szCs w:val="18"/>
              </w:rPr>
            </w:pPr>
            <w:r w:rsidRPr="00952921">
              <w:rPr>
                <w:rFonts w:asciiTheme="minorHAnsi" w:hAnsiTheme="minorHAnsi" w:cstheme="minorHAnsi"/>
                <w:b/>
                <w:bCs/>
                <w:sz w:val="18"/>
                <w:szCs w:val="18"/>
              </w:rPr>
              <w:t>Type of study design</w:t>
            </w:r>
            <w:r w:rsidRPr="00952921">
              <w:rPr>
                <w:rFonts w:asciiTheme="minorHAnsi" w:hAnsiTheme="minorHAnsi" w:cstheme="minorHAnsi"/>
                <w:b/>
                <w:bCs/>
                <w:color w:val="538135" w:themeColor="accent6" w:themeShade="BF"/>
                <w:sz w:val="18"/>
                <w:szCs w:val="18"/>
              </w:rPr>
              <w:t>*</w:t>
            </w:r>
          </w:p>
        </w:tc>
        <w:tc>
          <w:tcPr>
            <w:tcW w:w="3407" w:type="dxa"/>
          </w:tcPr>
          <w:p w14:paraId="6C6A00DB" w14:textId="77777777" w:rsidR="002D2DF7" w:rsidRPr="00952921" w:rsidRDefault="002D2DF7" w:rsidP="00174DC6">
            <w:pPr>
              <w:rPr>
                <w:rFonts w:asciiTheme="minorHAnsi" w:hAnsiTheme="minorHAnsi" w:cstheme="minorHAnsi"/>
                <w:b/>
                <w:bCs/>
                <w:sz w:val="18"/>
                <w:szCs w:val="18"/>
              </w:rPr>
            </w:pPr>
            <w:r w:rsidRPr="00952921">
              <w:rPr>
                <w:rFonts w:asciiTheme="minorHAnsi" w:hAnsiTheme="minorHAnsi" w:cstheme="minorHAnsi"/>
                <w:b/>
                <w:bCs/>
                <w:sz w:val="18"/>
                <w:szCs w:val="18"/>
              </w:rPr>
              <w:t xml:space="preserve">Title of journal article or research project </w:t>
            </w:r>
            <w:r w:rsidRPr="00952921">
              <w:rPr>
                <w:rStyle w:val="InstructionsChar"/>
                <w:rFonts w:asciiTheme="minorHAnsi" w:hAnsiTheme="minorHAnsi" w:cstheme="minorHAnsi"/>
                <w:sz w:val="18"/>
                <w:szCs w:val="18"/>
              </w:rPr>
              <w:t>(including any trial identifier or study lead if relevant)</w:t>
            </w:r>
          </w:p>
        </w:tc>
        <w:tc>
          <w:tcPr>
            <w:tcW w:w="4106" w:type="dxa"/>
          </w:tcPr>
          <w:p w14:paraId="39AFC5FF" w14:textId="77777777" w:rsidR="002D2DF7" w:rsidRPr="00952921" w:rsidRDefault="002D2DF7" w:rsidP="00174DC6">
            <w:pPr>
              <w:rPr>
                <w:rFonts w:asciiTheme="minorHAnsi" w:hAnsiTheme="minorHAnsi" w:cstheme="minorHAnsi"/>
                <w:b/>
                <w:bCs/>
                <w:sz w:val="18"/>
                <w:szCs w:val="18"/>
              </w:rPr>
            </w:pPr>
            <w:r w:rsidRPr="00952921">
              <w:rPr>
                <w:rFonts w:asciiTheme="minorHAnsi" w:hAnsiTheme="minorHAnsi" w:cstheme="minorHAnsi"/>
                <w:b/>
                <w:bCs/>
                <w:sz w:val="18"/>
                <w:szCs w:val="18"/>
              </w:rPr>
              <w:t xml:space="preserve">Short description of research </w:t>
            </w:r>
            <w:r w:rsidRPr="00952921">
              <w:rPr>
                <w:rStyle w:val="InstructionsChar"/>
                <w:rFonts w:asciiTheme="minorHAnsi" w:hAnsiTheme="minorHAnsi" w:cstheme="minorHAnsi"/>
                <w:sz w:val="18"/>
                <w:szCs w:val="18"/>
              </w:rPr>
              <w:t xml:space="preserve">(max 50 </w:t>
            </w:r>
            <w:proofErr w:type="gramStart"/>
            <w:r w:rsidRPr="00952921">
              <w:rPr>
                <w:rStyle w:val="InstructionsChar"/>
                <w:rFonts w:asciiTheme="minorHAnsi" w:hAnsiTheme="minorHAnsi" w:cstheme="minorHAnsi"/>
                <w:sz w:val="18"/>
                <w:szCs w:val="18"/>
              </w:rPr>
              <w:t>words)*</w:t>
            </w:r>
            <w:proofErr w:type="gramEnd"/>
            <w:r w:rsidRPr="00952921">
              <w:rPr>
                <w:rStyle w:val="InstructionsChar"/>
                <w:rFonts w:asciiTheme="minorHAnsi" w:hAnsiTheme="minorHAnsi" w:cstheme="minorHAnsi"/>
                <w:sz w:val="18"/>
                <w:szCs w:val="18"/>
              </w:rPr>
              <w:t>*</w:t>
            </w:r>
          </w:p>
        </w:tc>
        <w:tc>
          <w:tcPr>
            <w:tcW w:w="2835" w:type="dxa"/>
          </w:tcPr>
          <w:p w14:paraId="274BABF8" w14:textId="77777777" w:rsidR="002D2DF7" w:rsidRPr="00952921" w:rsidRDefault="002D2DF7" w:rsidP="00174DC6">
            <w:pPr>
              <w:rPr>
                <w:rFonts w:asciiTheme="minorHAnsi" w:hAnsiTheme="minorHAnsi" w:cstheme="minorHAnsi"/>
                <w:b/>
                <w:bCs/>
                <w:sz w:val="18"/>
                <w:szCs w:val="18"/>
              </w:rPr>
            </w:pPr>
            <w:r w:rsidRPr="00952921">
              <w:rPr>
                <w:rFonts w:asciiTheme="minorHAnsi" w:hAnsiTheme="minorHAnsi" w:cstheme="minorHAnsi"/>
                <w:b/>
                <w:bCs/>
                <w:sz w:val="18"/>
                <w:szCs w:val="18"/>
              </w:rPr>
              <w:t xml:space="preserve">Website link to journal article or research </w:t>
            </w:r>
            <w:r w:rsidRPr="00952921">
              <w:rPr>
                <w:rStyle w:val="InstructionsChar"/>
                <w:rFonts w:asciiTheme="minorHAnsi" w:hAnsiTheme="minorHAnsi" w:cstheme="minorHAnsi"/>
                <w:sz w:val="18"/>
                <w:szCs w:val="18"/>
              </w:rPr>
              <w:t>(if available)</w:t>
            </w:r>
          </w:p>
        </w:tc>
        <w:tc>
          <w:tcPr>
            <w:tcW w:w="1985" w:type="dxa"/>
          </w:tcPr>
          <w:p w14:paraId="1D1104E4" w14:textId="77777777" w:rsidR="002D2DF7" w:rsidRPr="00952921" w:rsidRDefault="002D2DF7" w:rsidP="00174DC6">
            <w:pPr>
              <w:rPr>
                <w:rFonts w:asciiTheme="minorHAnsi" w:hAnsiTheme="minorHAnsi" w:cstheme="minorHAnsi"/>
                <w:b/>
                <w:bCs/>
                <w:sz w:val="18"/>
                <w:szCs w:val="18"/>
              </w:rPr>
            </w:pPr>
            <w:r w:rsidRPr="00952921">
              <w:rPr>
                <w:rFonts w:asciiTheme="minorHAnsi" w:hAnsiTheme="minorHAnsi" w:cstheme="minorHAnsi"/>
                <w:b/>
                <w:bCs/>
                <w:sz w:val="18"/>
                <w:szCs w:val="18"/>
              </w:rPr>
              <w:t>Date of publication</w:t>
            </w:r>
            <w:r w:rsidRPr="00952921">
              <w:rPr>
                <w:rFonts w:asciiTheme="minorHAnsi" w:hAnsiTheme="minorHAnsi" w:cstheme="minorHAnsi"/>
                <w:b/>
                <w:bCs/>
                <w:color w:val="538135" w:themeColor="accent6" w:themeShade="BF"/>
                <w:sz w:val="18"/>
                <w:szCs w:val="18"/>
              </w:rPr>
              <w:t>***</w:t>
            </w:r>
          </w:p>
        </w:tc>
      </w:tr>
      <w:tr w:rsidR="002D2DF7" w:rsidRPr="00952921" w14:paraId="52A1E060" w14:textId="77777777" w:rsidTr="00652D0C">
        <w:trPr>
          <w:cantSplit/>
        </w:trPr>
        <w:tc>
          <w:tcPr>
            <w:tcW w:w="369" w:type="dxa"/>
          </w:tcPr>
          <w:p w14:paraId="4E188F5F" w14:textId="77777777" w:rsidR="002D2DF7" w:rsidRPr="00952921" w:rsidRDefault="002D2DF7" w:rsidP="00174DC6">
            <w:pPr>
              <w:rPr>
                <w:rFonts w:asciiTheme="minorHAnsi" w:hAnsiTheme="minorHAnsi" w:cstheme="minorHAnsi"/>
                <w:sz w:val="18"/>
                <w:szCs w:val="18"/>
              </w:rPr>
            </w:pPr>
            <w:r w:rsidRPr="00952921">
              <w:rPr>
                <w:rFonts w:asciiTheme="minorHAnsi" w:hAnsiTheme="minorHAnsi" w:cstheme="minorHAnsi"/>
                <w:sz w:val="18"/>
                <w:szCs w:val="18"/>
              </w:rPr>
              <w:t>1.</w:t>
            </w:r>
          </w:p>
        </w:tc>
        <w:tc>
          <w:tcPr>
            <w:tcW w:w="1894" w:type="dxa"/>
          </w:tcPr>
          <w:p w14:paraId="1F4100F6" w14:textId="77777777" w:rsidR="002D2DF7" w:rsidRPr="00952921" w:rsidRDefault="002D2DF7" w:rsidP="00174DC6">
            <w:pPr>
              <w:rPr>
                <w:rFonts w:asciiTheme="minorHAnsi" w:hAnsiTheme="minorHAnsi" w:cstheme="minorHAnsi"/>
                <w:b/>
                <w:sz w:val="18"/>
                <w:szCs w:val="18"/>
              </w:rPr>
            </w:pPr>
            <w:r w:rsidRPr="00952921">
              <w:rPr>
                <w:rFonts w:asciiTheme="minorHAnsi" w:hAnsiTheme="minorHAnsi" w:cstheme="minorHAnsi"/>
                <w:sz w:val="18"/>
                <w:szCs w:val="18"/>
              </w:rPr>
              <w:t>Phase III, open-label, single-dose, multi-centre multinational trial NCT03569891</w:t>
            </w:r>
          </w:p>
        </w:tc>
        <w:tc>
          <w:tcPr>
            <w:tcW w:w="3407" w:type="dxa"/>
          </w:tcPr>
          <w:p w14:paraId="1BCEA1DB" w14:textId="77777777" w:rsidR="002D2DF7" w:rsidRDefault="002D2DF7" w:rsidP="00715FA3">
            <w:pPr>
              <w:pStyle w:val="ListParagraph"/>
              <w:numPr>
                <w:ilvl w:val="0"/>
                <w:numId w:val="13"/>
              </w:numPr>
              <w:ind w:left="325" w:hanging="284"/>
              <w:rPr>
                <w:rFonts w:asciiTheme="minorHAnsi" w:hAnsiTheme="minorHAnsi" w:cstheme="minorHAnsi"/>
                <w:sz w:val="18"/>
                <w:szCs w:val="18"/>
              </w:rPr>
            </w:pPr>
            <w:r w:rsidRPr="00715FA3">
              <w:rPr>
                <w:rFonts w:asciiTheme="minorHAnsi" w:hAnsiTheme="minorHAnsi" w:cstheme="minorHAnsi"/>
                <w:sz w:val="18"/>
                <w:szCs w:val="18"/>
              </w:rPr>
              <w:t xml:space="preserve">Gene Therapy with </w:t>
            </w:r>
            <w:proofErr w:type="spellStart"/>
            <w:r w:rsidRPr="00715FA3">
              <w:rPr>
                <w:rFonts w:asciiTheme="minorHAnsi" w:hAnsiTheme="minorHAnsi" w:cstheme="minorHAnsi"/>
                <w:sz w:val="18"/>
                <w:szCs w:val="18"/>
              </w:rPr>
              <w:t>Etranacogene</w:t>
            </w:r>
            <w:proofErr w:type="spellEnd"/>
            <w:r w:rsidRPr="00715FA3">
              <w:rPr>
                <w:rFonts w:asciiTheme="minorHAnsi" w:hAnsiTheme="minorHAnsi" w:cstheme="minorHAnsi"/>
                <w:sz w:val="18"/>
                <w:szCs w:val="18"/>
              </w:rPr>
              <w:t xml:space="preserve"> </w:t>
            </w:r>
            <w:proofErr w:type="spellStart"/>
            <w:r w:rsidRPr="00715FA3">
              <w:rPr>
                <w:rFonts w:asciiTheme="minorHAnsi" w:hAnsiTheme="minorHAnsi" w:cstheme="minorHAnsi"/>
                <w:sz w:val="18"/>
                <w:szCs w:val="18"/>
              </w:rPr>
              <w:t>Dezaparvovec</w:t>
            </w:r>
            <w:proofErr w:type="spellEnd"/>
            <w:r w:rsidRPr="00715FA3">
              <w:rPr>
                <w:rFonts w:asciiTheme="minorHAnsi" w:hAnsiTheme="minorHAnsi" w:cstheme="minorHAnsi"/>
                <w:sz w:val="18"/>
                <w:szCs w:val="18"/>
              </w:rPr>
              <w:t xml:space="preserve"> for </w:t>
            </w:r>
            <w:proofErr w:type="spellStart"/>
            <w:r w:rsidRPr="00715FA3">
              <w:rPr>
                <w:rFonts w:asciiTheme="minorHAnsi" w:hAnsiTheme="minorHAnsi" w:cstheme="minorHAnsi"/>
                <w:sz w:val="18"/>
                <w:szCs w:val="18"/>
              </w:rPr>
              <w:t>Hemophilia</w:t>
            </w:r>
            <w:proofErr w:type="spellEnd"/>
            <w:r w:rsidRPr="00715FA3">
              <w:rPr>
                <w:rFonts w:asciiTheme="minorHAnsi" w:hAnsiTheme="minorHAnsi" w:cstheme="minorHAnsi"/>
                <w:sz w:val="18"/>
                <w:szCs w:val="18"/>
              </w:rPr>
              <w:t xml:space="preserve"> B HOPE-B</w:t>
            </w:r>
          </w:p>
          <w:p w14:paraId="612402C8" w14:textId="77777777" w:rsidR="002D2DF7" w:rsidRPr="00715FA3" w:rsidRDefault="002D2DF7" w:rsidP="00906D26">
            <w:pPr>
              <w:pStyle w:val="ListParagraph"/>
              <w:numPr>
                <w:ilvl w:val="0"/>
                <w:numId w:val="13"/>
              </w:numPr>
              <w:ind w:left="325" w:hanging="284"/>
              <w:rPr>
                <w:rFonts w:asciiTheme="minorHAnsi" w:hAnsiTheme="minorHAnsi" w:cstheme="minorHAnsi"/>
                <w:sz w:val="18"/>
                <w:szCs w:val="18"/>
              </w:rPr>
            </w:pPr>
            <w:proofErr w:type="spellStart"/>
            <w:r w:rsidRPr="00715FA3">
              <w:rPr>
                <w:rFonts w:asciiTheme="minorHAnsi" w:hAnsiTheme="minorHAnsi" w:cstheme="minorHAnsi"/>
                <w:sz w:val="18"/>
                <w:szCs w:val="18"/>
              </w:rPr>
              <w:t>Etranacogene</w:t>
            </w:r>
            <w:proofErr w:type="spellEnd"/>
            <w:r w:rsidRPr="00715FA3">
              <w:rPr>
                <w:rFonts w:asciiTheme="minorHAnsi" w:hAnsiTheme="minorHAnsi" w:cstheme="minorHAnsi"/>
                <w:sz w:val="18"/>
                <w:szCs w:val="18"/>
              </w:rPr>
              <w:t xml:space="preserve"> </w:t>
            </w:r>
            <w:proofErr w:type="spellStart"/>
            <w:r w:rsidRPr="00715FA3">
              <w:rPr>
                <w:rFonts w:asciiTheme="minorHAnsi" w:hAnsiTheme="minorHAnsi" w:cstheme="minorHAnsi"/>
                <w:sz w:val="18"/>
                <w:szCs w:val="18"/>
              </w:rPr>
              <w:t>dezaparvovec</w:t>
            </w:r>
            <w:proofErr w:type="spellEnd"/>
            <w:r w:rsidRPr="00715FA3">
              <w:rPr>
                <w:rFonts w:asciiTheme="minorHAnsi" w:hAnsiTheme="minorHAnsi" w:cstheme="minorHAnsi"/>
                <w:sz w:val="18"/>
                <w:szCs w:val="18"/>
              </w:rPr>
              <w:t xml:space="preserve"> gene therapy for haemophilia B (HOPE-B): 24-month post-hoc efficacy and safety data from a single-arm, multicentre, phase 3 trial</w:t>
            </w:r>
          </w:p>
        </w:tc>
        <w:tc>
          <w:tcPr>
            <w:tcW w:w="4106" w:type="dxa"/>
          </w:tcPr>
          <w:p w14:paraId="3D8BA3A6" w14:textId="77777777" w:rsidR="002D2DF7" w:rsidRPr="00952921" w:rsidRDefault="002D2DF7" w:rsidP="000D4649">
            <w:pPr>
              <w:pStyle w:val="Table"/>
              <w:rPr>
                <w:rFonts w:cstheme="minorHAnsi"/>
                <w:sz w:val="18"/>
                <w:szCs w:val="18"/>
              </w:rPr>
            </w:pPr>
            <w:r w:rsidRPr="00952921">
              <w:rPr>
                <w:rFonts w:cstheme="minorHAnsi"/>
                <w:sz w:val="18"/>
                <w:szCs w:val="18"/>
              </w:rPr>
              <w:t xml:space="preserve">Phase III, open-label, single-dose, multi-centre multinational trial investigating a serotype 5 adeno-associated viral vector containing the Padua variant of a codon optimized human Factor IX gene (AMT-061) administered to adult subjects with severe or moderately severe haemophilia B </w:t>
            </w:r>
          </w:p>
        </w:tc>
        <w:tc>
          <w:tcPr>
            <w:tcW w:w="2835" w:type="dxa"/>
          </w:tcPr>
          <w:p w14:paraId="3111EDD9" w14:textId="77777777" w:rsidR="002D2DF7" w:rsidRDefault="002D2DF7" w:rsidP="00715FA3">
            <w:pPr>
              <w:pStyle w:val="ListParagraph"/>
              <w:numPr>
                <w:ilvl w:val="0"/>
                <w:numId w:val="12"/>
              </w:numPr>
              <w:ind w:left="310" w:hanging="284"/>
              <w:rPr>
                <w:rFonts w:asciiTheme="minorHAnsi" w:hAnsiTheme="minorHAnsi" w:cstheme="minorHAnsi"/>
                <w:sz w:val="18"/>
                <w:szCs w:val="18"/>
              </w:rPr>
            </w:pPr>
            <w:hyperlink r:id="rId13" w:history="1">
              <w:r w:rsidRPr="00236D2B">
                <w:rPr>
                  <w:rStyle w:val="Hyperlink"/>
                  <w:rFonts w:asciiTheme="minorHAnsi" w:hAnsiTheme="minorHAnsi" w:cstheme="minorHAnsi"/>
                  <w:sz w:val="18"/>
                  <w:szCs w:val="18"/>
                </w:rPr>
                <w:t>https://www.nejm.org/doi/full/10.1056/NEJMoa2211644</w:t>
              </w:r>
            </w:hyperlink>
          </w:p>
          <w:p w14:paraId="17DE6FCE" w14:textId="77777777" w:rsidR="002D2DF7" w:rsidRPr="00715FA3" w:rsidRDefault="002D2DF7" w:rsidP="00715FA3">
            <w:pPr>
              <w:pStyle w:val="ListParagraph"/>
              <w:numPr>
                <w:ilvl w:val="0"/>
                <w:numId w:val="12"/>
              </w:numPr>
              <w:ind w:left="310" w:hanging="284"/>
              <w:rPr>
                <w:rFonts w:asciiTheme="minorHAnsi" w:hAnsiTheme="minorHAnsi" w:cstheme="minorHAnsi"/>
                <w:sz w:val="18"/>
                <w:szCs w:val="18"/>
              </w:rPr>
            </w:pPr>
            <w:hyperlink r:id="rId14" w:history="1">
              <w:r w:rsidRPr="00236D2B">
                <w:rPr>
                  <w:rStyle w:val="Hyperlink"/>
                  <w:rFonts w:asciiTheme="minorHAnsi" w:hAnsiTheme="minorHAnsi" w:cstheme="minorHAnsi"/>
                  <w:sz w:val="18"/>
                  <w:szCs w:val="18"/>
                </w:rPr>
                <w:t>https://pubmed.ncbi.nlm.nih.gov/38437857/</w:t>
              </w:r>
            </w:hyperlink>
            <w:r>
              <w:rPr>
                <w:rFonts w:asciiTheme="minorHAnsi" w:hAnsiTheme="minorHAnsi" w:cstheme="minorHAnsi"/>
                <w:sz w:val="18"/>
                <w:szCs w:val="18"/>
              </w:rPr>
              <w:t xml:space="preserve"> </w:t>
            </w:r>
          </w:p>
          <w:p w14:paraId="4B7400BC" w14:textId="77777777" w:rsidR="002D2DF7" w:rsidRPr="00952921" w:rsidRDefault="002D2DF7" w:rsidP="00174DC6">
            <w:pPr>
              <w:rPr>
                <w:rFonts w:asciiTheme="minorHAnsi" w:hAnsiTheme="minorHAnsi" w:cstheme="minorHAnsi"/>
                <w:b/>
                <w:sz w:val="18"/>
                <w:szCs w:val="18"/>
              </w:rPr>
            </w:pPr>
          </w:p>
        </w:tc>
        <w:tc>
          <w:tcPr>
            <w:tcW w:w="1985" w:type="dxa"/>
          </w:tcPr>
          <w:p w14:paraId="3C4D1067" w14:textId="77777777" w:rsidR="002D2DF7" w:rsidRPr="00652D0C" w:rsidRDefault="002D2DF7" w:rsidP="00652D0C">
            <w:pPr>
              <w:pStyle w:val="ListParagraph"/>
              <w:numPr>
                <w:ilvl w:val="0"/>
                <w:numId w:val="14"/>
              </w:numPr>
              <w:ind w:left="313" w:hanging="284"/>
              <w:rPr>
                <w:rFonts w:asciiTheme="minorHAnsi" w:hAnsiTheme="minorHAnsi" w:cstheme="minorHAnsi"/>
                <w:b/>
                <w:sz w:val="18"/>
                <w:szCs w:val="18"/>
              </w:rPr>
            </w:pPr>
            <w:r w:rsidRPr="00715FA3">
              <w:rPr>
                <w:rFonts w:asciiTheme="minorHAnsi" w:hAnsiTheme="minorHAnsi" w:cstheme="minorHAnsi"/>
                <w:sz w:val="18"/>
                <w:szCs w:val="18"/>
              </w:rPr>
              <w:t>February 22, 2023</w:t>
            </w:r>
          </w:p>
          <w:p w14:paraId="737B0CAB" w14:textId="77777777" w:rsidR="002D2DF7" w:rsidRPr="00715FA3" w:rsidRDefault="002D2DF7" w:rsidP="00652D0C">
            <w:pPr>
              <w:pStyle w:val="ListParagraph"/>
              <w:numPr>
                <w:ilvl w:val="0"/>
                <w:numId w:val="14"/>
              </w:numPr>
              <w:ind w:left="313" w:hanging="284"/>
              <w:rPr>
                <w:rFonts w:asciiTheme="minorHAnsi" w:hAnsiTheme="minorHAnsi" w:cstheme="minorHAnsi"/>
                <w:b/>
                <w:sz w:val="18"/>
                <w:szCs w:val="18"/>
              </w:rPr>
            </w:pPr>
            <w:r>
              <w:rPr>
                <w:rFonts w:asciiTheme="minorHAnsi" w:hAnsiTheme="minorHAnsi" w:cstheme="minorHAnsi"/>
                <w:sz w:val="18"/>
                <w:szCs w:val="18"/>
              </w:rPr>
              <w:t>Apr 11, 2024</w:t>
            </w:r>
          </w:p>
        </w:tc>
      </w:tr>
      <w:tr w:rsidR="002D2DF7" w:rsidRPr="00952921" w14:paraId="278A8B5A" w14:textId="77777777" w:rsidTr="00652D0C">
        <w:trPr>
          <w:cantSplit/>
        </w:trPr>
        <w:tc>
          <w:tcPr>
            <w:tcW w:w="369" w:type="dxa"/>
          </w:tcPr>
          <w:p w14:paraId="27299E37" w14:textId="77777777" w:rsidR="002D2DF7" w:rsidRPr="00952921" w:rsidRDefault="002D2DF7" w:rsidP="00174DC6">
            <w:pPr>
              <w:rPr>
                <w:rFonts w:asciiTheme="minorHAnsi" w:hAnsiTheme="minorHAnsi" w:cstheme="minorHAnsi"/>
                <w:sz w:val="18"/>
                <w:szCs w:val="18"/>
              </w:rPr>
            </w:pPr>
            <w:r w:rsidRPr="00952921">
              <w:rPr>
                <w:rFonts w:asciiTheme="minorHAnsi" w:hAnsiTheme="minorHAnsi" w:cstheme="minorHAnsi"/>
                <w:sz w:val="18"/>
                <w:szCs w:val="18"/>
              </w:rPr>
              <w:t>2.</w:t>
            </w:r>
          </w:p>
        </w:tc>
        <w:tc>
          <w:tcPr>
            <w:tcW w:w="1894" w:type="dxa"/>
          </w:tcPr>
          <w:p w14:paraId="02A76792" w14:textId="77777777" w:rsidR="002D2DF7" w:rsidRPr="00952921" w:rsidRDefault="002D2DF7" w:rsidP="00174DC6">
            <w:pPr>
              <w:rPr>
                <w:rStyle w:val="Small"/>
                <w:sz w:val="18"/>
                <w:szCs w:val="18"/>
              </w:rPr>
            </w:pPr>
            <w:r w:rsidRPr="00952921">
              <w:rPr>
                <w:rStyle w:val="Small"/>
                <w:sz w:val="18"/>
                <w:szCs w:val="18"/>
              </w:rPr>
              <w:t>Phase IIb, open-label, single-dose, single-arm, multi-centre trial</w:t>
            </w:r>
          </w:p>
          <w:p w14:paraId="6B3CF95E" w14:textId="77777777" w:rsidR="002D2DF7" w:rsidRPr="00952921" w:rsidRDefault="002D2DF7" w:rsidP="00174DC6">
            <w:pPr>
              <w:rPr>
                <w:rFonts w:asciiTheme="minorHAnsi" w:hAnsiTheme="minorHAnsi" w:cstheme="minorHAnsi"/>
                <w:sz w:val="18"/>
                <w:szCs w:val="18"/>
              </w:rPr>
            </w:pPr>
            <w:r w:rsidRPr="00952921">
              <w:rPr>
                <w:rStyle w:val="Small"/>
                <w:sz w:val="18"/>
                <w:szCs w:val="18"/>
              </w:rPr>
              <w:t>NCT03489291</w:t>
            </w:r>
          </w:p>
        </w:tc>
        <w:tc>
          <w:tcPr>
            <w:tcW w:w="3407" w:type="dxa"/>
          </w:tcPr>
          <w:p w14:paraId="1D37873C" w14:textId="77777777" w:rsidR="002D2DF7" w:rsidRPr="00952921" w:rsidRDefault="002D2DF7" w:rsidP="00D67EAF">
            <w:pPr>
              <w:pStyle w:val="ListParagraph"/>
              <w:numPr>
                <w:ilvl w:val="0"/>
                <w:numId w:val="7"/>
              </w:numPr>
              <w:ind w:left="318" w:hanging="284"/>
              <w:rPr>
                <w:rFonts w:asciiTheme="minorHAnsi" w:hAnsiTheme="minorHAnsi" w:cstheme="minorHAnsi"/>
                <w:sz w:val="18"/>
                <w:szCs w:val="18"/>
              </w:rPr>
            </w:pPr>
            <w:proofErr w:type="spellStart"/>
            <w:r w:rsidRPr="00952921">
              <w:rPr>
                <w:rFonts w:asciiTheme="minorHAnsi" w:hAnsiTheme="minorHAnsi" w:cstheme="minorHAnsi"/>
                <w:sz w:val="18"/>
                <w:szCs w:val="18"/>
              </w:rPr>
              <w:t>Etranacogene</w:t>
            </w:r>
            <w:proofErr w:type="spellEnd"/>
            <w:r w:rsidRPr="00952921">
              <w:rPr>
                <w:rFonts w:asciiTheme="minorHAnsi" w:hAnsiTheme="minorHAnsi" w:cstheme="minorHAnsi"/>
                <w:sz w:val="18"/>
                <w:szCs w:val="18"/>
              </w:rPr>
              <w:t xml:space="preserve"> </w:t>
            </w:r>
            <w:proofErr w:type="spellStart"/>
            <w:r w:rsidRPr="00952921">
              <w:rPr>
                <w:rFonts w:asciiTheme="minorHAnsi" w:hAnsiTheme="minorHAnsi" w:cstheme="minorHAnsi"/>
                <w:sz w:val="18"/>
                <w:szCs w:val="18"/>
              </w:rPr>
              <w:t>dezaparvovec</w:t>
            </w:r>
            <w:proofErr w:type="spellEnd"/>
            <w:r w:rsidRPr="00952921">
              <w:rPr>
                <w:rFonts w:asciiTheme="minorHAnsi" w:hAnsiTheme="minorHAnsi" w:cstheme="minorHAnsi"/>
                <w:sz w:val="18"/>
                <w:szCs w:val="18"/>
              </w:rPr>
              <w:t xml:space="preserve"> (AMT-061 phase 2b): normal/near normal FIX activity and bleed cessation in </w:t>
            </w:r>
            <w:proofErr w:type="spellStart"/>
            <w:r w:rsidRPr="00952921">
              <w:rPr>
                <w:rFonts w:asciiTheme="minorHAnsi" w:hAnsiTheme="minorHAnsi" w:cstheme="minorHAnsi"/>
                <w:sz w:val="18"/>
                <w:szCs w:val="18"/>
              </w:rPr>
              <w:t>hemophilia</w:t>
            </w:r>
            <w:proofErr w:type="spellEnd"/>
            <w:r w:rsidRPr="00952921">
              <w:rPr>
                <w:rFonts w:asciiTheme="minorHAnsi" w:hAnsiTheme="minorHAnsi" w:cstheme="minorHAnsi"/>
                <w:sz w:val="18"/>
                <w:szCs w:val="18"/>
              </w:rPr>
              <w:t xml:space="preserve"> B</w:t>
            </w:r>
          </w:p>
          <w:p w14:paraId="764BCB8E" w14:textId="77777777" w:rsidR="002D2DF7" w:rsidRPr="00952921" w:rsidRDefault="002D2DF7" w:rsidP="00D67EAF">
            <w:pPr>
              <w:pStyle w:val="ListParagraph"/>
              <w:numPr>
                <w:ilvl w:val="0"/>
                <w:numId w:val="7"/>
              </w:numPr>
              <w:ind w:left="318" w:hanging="284"/>
              <w:rPr>
                <w:rFonts w:asciiTheme="minorHAnsi" w:hAnsiTheme="minorHAnsi" w:cstheme="minorHAnsi"/>
                <w:sz w:val="18"/>
                <w:szCs w:val="18"/>
              </w:rPr>
            </w:pPr>
            <w:r w:rsidRPr="00952921">
              <w:rPr>
                <w:rFonts w:asciiTheme="minorHAnsi" w:hAnsiTheme="minorHAnsi" w:cstheme="minorHAnsi"/>
                <w:sz w:val="18"/>
                <w:szCs w:val="18"/>
              </w:rPr>
              <w:t xml:space="preserve">Stable and durable factor IX levels in patients with </w:t>
            </w:r>
            <w:proofErr w:type="spellStart"/>
            <w:r w:rsidRPr="00952921">
              <w:rPr>
                <w:rFonts w:asciiTheme="minorHAnsi" w:hAnsiTheme="minorHAnsi" w:cstheme="minorHAnsi"/>
                <w:sz w:val="18"/>
                <w:szCs w:val="18"/>
              </w:rPr>
              <w:t>hemophilia</w:t>
            </w:r>
            <w:proofErr w:type="spellEnd"/>
            <w:r w:rsidRPr="00952921">
              <w:rPr>
                <w:rFonts w:asciiTheme="minorHAnsi" w:hAnsiTheme="minorHAnsi" w:cstheme="minorHAnsi"/>
                <w:sz w:val="18"/>
                <w:szCs w:val="18"/>
              </w:rPr>
              <w:t xml:space="preserve"> B over 3 years after </w:t>
            </w:r>
            <w:proofErr w:type="spellStart"/>
            <w:r w:rsidRPr="00952921">
              <w:rPr>
                <w:rFonts w:asciiTheme="minorHAnsi" w:hAnsiTheme="minorHAnsi" w:cstheme="minorHAnsi"/>
                <w:sz w:val="18"/>
                <w:szCs w:val="18"/>
              </w:rPr>
              <w:t>etranacogene</w:t>
            </w:r>
            <w:proofErr w:type="spellEnd"/>
            <w:r w:rsidRPr="00952921">
              <w:rPr>
                <w:rFonts w:asciiTheme="minorHAnsi" w:hAnsiTheme="minorHAnsi" w:cstheme="minorHAnsi"/>
                <w:sz w:val="18"/>
                <w:szCs w:val="18"/>
              </w:rPr>
              <w:t xml:space="preserve"> </w:t>
            </w:r>
            <w:proofErr w:type="spellStart"/>
            <w:r w:rsidRPr="00952921">
              <w:rPr>
                <w:rFonts w:asciiTheme="minorHAnsi" w:hAnsiTheme="minorHAnsi" w:cstheme="minorHAnsi"/>
                <w:sz w:val="18"/>
                <w:szCs w:val="18"/>
              </w:rPr>
              <w:t>dezaparvovec</w:t>
            </w:r>
            <w:proofErr w:type="spellEnd"/>
            <w:r w:rsidRPr="00952921">
              <w:rPr>
                <w:rFonts w:asciiTheme="minorHAnsi" w:hAnsiTheme="minorHAnsi" w:cstheme="minorHAnsi"/>
                <w:sz w:val="18"/>
                <w:szCs w:val="18"/>
              </w:rPr>
              <w:t xml:space="preserve"> gene therapy</w:t>
            </w:r>
          </w:p>
        </w:tc>
        <w:tc>
          <w:tcPr>
            <w:tcW w:w="4106" w:type="dxa"/>
          </w:tcPr>
          <w:p w14:paraId="54CD00B8" w14:textId="77777777" w:rsidR="002D2DF7" w:rsidRPr="00952921" w:rsidRDefault="002D2DF7" w:rsidP="00633850">
            <w:pPr>
              <w:pStyle w:val="Table"/>
              <w:rPr>
                <w:rFonts w:ascii="Calibri" w:hAnsi="Calibri"/>
                <w:sz w:val="18"/>
                <w:szCs w:val="18"/>
              </w:rPr>
            </w:pPr>
            <w:r w:rsidRPr="00952921">
              <w:rPr>
                <w:rStyle w:val="Small"/>
                <w:sz w:val="18"/>
                <w:szCs w:val="18"/>
              </w:rPr>
              <w:t>Phase IIb, open-label, single-dose, single-arm, multi-centre trial to confirm the factor IX activity level of the serotype 5 adeno-associated viral vector containing the Padua variant of a codon-optimized human factor IX gene (AMT-061) administered to adult subjects with severe or moderately severe haemophilia B.</w:t>
            </w:r>
          </w:p>
        </w:tc>
        <w:tc>
          <w:tcPr>
            <w:tcW w:w="2835" w:type="dxa"/>
          </w:tcPr>
          <w:p w14:paraId="57A16FAE" w14:textId="77777777" w:rsidR="002D2DF7" w:rsidRPr="00952921" w:rsidRDefault="002D2DF7" w:rsidP="006E1F89">
            <w:pPr>
              <w:pStyle w:val="ListParagraph"/>
              <w:numPr>
                <w:ilvl w:val="0"/>
                <w:numId w:val="5"/>
              </w:numPr>
              <w:ind w:left="322" w:hanging="283"/>
              <w:rPr>
                <w:rFonts w:asciiTheme="minorHAnsi" w:hAnsiTheme="minorHAnsi" w:cstheme="minorHAnsi"/>
                <w:sz w:val="18"/>
                <w:szCs w:val="18"/>
              </w:rPr>
            </w:pPr>
            <w:hyperlink r:id="rId15" w:history="1">
              <w:r w:rsidRPr="00952921">
                <w:rPr>
                  <w:rStyle w:val="Hyperlink"/>
                  <w:rFonts w:asciiTheme="minorHAnsi" w:hAnsiTheme="minorHAnsi" w:cstheme="minorHAnsi"/>
                  <w:sz w:val="18"/>
                  <w:szCs w:val="18"/>
                </w:rPr>
                <w:t>https://doi.org/10.1182/bloodadvances.2019000811</w:t>
              </w:r>
            </w:hyperlink>
          </w:p>
          <w:p w14:paraId="67464212" w14:textId="77777777" w:rsidR="002D2DF7" w:rsidRPr="00952921" w:rsidRDefault="002D2DF7" w:rsidP="006E1F89">
            <w:pPr>
              <w:pStyle w:val="ListParagraph"/>
              <w:numPr>
                <w:ilvl w:val="0"/>
                <w:numId w:val="5"/>
              </w:numPr>
              <w:ind w:left="322" w:hanging="283"/>
              <w:rPr>
                <w:rFonts w:asciiTheme="minorHAnsi" w:hAnsiTheme="minorHAnsi" w:cstheme="minorHAnsi"/>
                <w:sz w:val="18"/>
                <w:szCs w:val="18"/>
              </w:rPr>
            </w:pPr>
            <w:hyperlink r:id="rId16" w:history="1">
              <w:r w:rsidRPr="00952921">
                <w:rPr>
                  <w:rStyle w:val="Hyperlink"/>
                  <w:rFonts w:asciiTheme="minorHAnsi" w:hAnsiTheme="minorHAnsi" w:cstheme="minorHAnsi"/>
                  <w:sz w:val="18"/>
                  <w:szCs w:val="18"/>
                </w:rPr>
                <w:t>https://doi.org/10.1182/bloodadvances.2022008886</w:t>
              </w:r>
            </w:hyperlink>
            <w:r w:rsidRPr="00952921">
              <w:rPr>
                <w:rFonts w:asciiTheme="minorHAnsi" w:hAnsiTheme="minorHAnsi" w:cstheme="minorHAnsi"/>
                <w:sz w:val="18"/>
                <w:szCs w:val="18"/>
              </w:rPr>
              <w:t xml:space="preserve"> </w:t>
            </w:r>
          </w:p>
          <w:p w14:paraId="0D61A0E8" w14:textId="77777777" w:rsidR="002D2DF7" w:rsidRPr="00952921" w:rsidRDefault="002D2DF7" w:rsidP="00174DC6">
            <w:pPr>
              <w:rPr>
                <w:rFonts w:asciiTheme="minorHAnsi" w:hAnsiTheme="minorHAnsi" w:cstheme="minorHAnsi"/>
                <w:sz w:val="18"/>
                <w:szCs w:val="18"/>
              </w:rPr>
            </w:pPr>
          </w:p>
        </w:tc>
        <w:tc>
          <w:tcPr>
            <w:tcW w:w="1985" w:type="dxa"/>
          </w:tcPr>
          <w:p w14:paraId="75669B20" w14:textId="77777777" w:rsidR="002D2DF7" w:rsidRPr="00952921" w:rsidRDefault="002D2DF7" w:rsidP="00D67EAF">
            <w:pPr>
              <w:pStyle w:val="ListParagraph"/>
              <w:numPr>
                <w:ilvl w:val="0"/>
                <w:numId w:val="6"/>
              </w:numPr>
              <w:ind w:left="316" w:hanging="316"/>
              <w:rPr>
                <w:rFonts w:asciiTheme="minorHAnsi" w:hAnsiTheme="minorHAnsi" w:cstheme="minorHAnsi"/>
                <w:sz w:val="18"/>
                <w:szCs w:val="18"/>
              </w:rPr>
            </w:pPr>
            <w:r w:rsidRPr="00952921">
              <w:rPr>
                <w:rFonts w:asciiTheme="minorHAnsi" w:hAnsiTheme="minorHAnsi" w:cstheme="minorHAnsi"/>
                <w:sz w:val="18"/>
                <w:szCs w:val="18"/>
              </w:rPr>
              <w:t>Oct 30, 2019</w:t>
            </w:r>
          </w:p>
          <w:p w14:paraId="7C5A1953" w14:textId="77777777" w:rsidR="002D2DF7" w:rsidRPr="00952921" w:rsidRDefault="002D2DF7" w:rsidP="00D67EAF">
            <w:pPr>
              <w:pStyle w:val="ListParagraph"/>
              <w:numPr>
                <w:ilvl w:val="0"/>
                <w:numId w:val="6"/>
              </w:numPr>
              <w:ind w:left="316" w:hanging="316"/>
              <w:rPr>
                <w:rFonts w:asciiTheme="minorHAnsi" w:hAnsiTheme="minorHAnsi" w:cstheme="minorHAnsi"/>
                <w:sz w:val="18"/>
                <w:szCs w:val="18"/>
              </w:rPr>
            </w:pPr>
            <w:r w:rsidRPr="00952921">
              <w:rPr>
                <w:rFonts w:asciiTheme="minorHAnsi" w:hAnsiTheme="minorHAnsi" w:cstheme="minorHAnsi"/>
                <w:sz w:val="18"/>
                <w:szCs w:val="18"/>
              </w:rPr>
              <w:t>Sep 27, 2023</w:t>
            </w:r>
          </w:p>
        </w:tc>
      </w:tr>
      <w:tr w:rsidR="002D2DF7" w:rsidRPr="00952921" w14:paraId="7DC9CCC2" w14:textId="77777777" w:rsidTr="00652D0C">
        <w:trPr>
          <w:cantSplit/>
        </w:trPr>
        <w:tc>
          <w:tcPr>
            <w:tcW w:w="369" w:type="dxa"/>
          </w:tcPr>
          <w:p w14:paraId="0910BB77" w14:textId="77777777" w:rsidR="002D2DF7" w:rsidRPr="00952921" w:rsidRDefault="002D2DF7" w:rsidP="00174DC6">
            <w:pPr>
              <w:rPr>
                <w:rFonts w:asciiTheme="minorHAnsi" w:hAnsiTheme="minorHAnsi" w:cstheme="minorHAnsi"/>
                <w:sz w:val="18"/>
                <w:szCs w:val="18"/>
              </w:rPr>
            </w:pPr>
            <w:r w:rsidRPr="00952921">
              <w:rPr>
                <w:rFonts w:asciiTheme="minorHAnsi" w:hAnsiTheme="minorHAnsi" w:cstheme="minorHAnsi"/>
                <w:sz w:val="18"/>
                <w:szCs w:val="18"/>
              </w:rPr>
              <w:t>3.</w:t>
            </w:r>
          </w:p>
        </w:tc>
        <w:tc>
          <w:tcPr>
            <w:tcW w:w="1894" w:type="dxa"/>
          </w:tcPr>
          <w:p w14:paraId="61F46772" w14:textId="77777777" w:rsidR="002D2DF7" w:rsidRPr="00952921" w:rsidRDefault="002D2DF7" w:rsidP="00174DC6">
            <w:pPr>
              <w:rPr>
                <w:rFonts w:asciiTheme="minorHAnsi" w:hAnsiTheme="minorHAnsi" w:cstheme="minorHAnsi"/>
                <w:sz w:val="18"/>
                <w:szCs w:val="18"/>
              </w:rPr>
            </w:pPr>
            <w:r w:rsidRPr="00952921">
              <w:rPr>
                <w:rStyle w:val="Small"/>
                <w:sz w:val="18"/>
                <w:szCs w:val="18"/>
              </w:rPr>
              <w:t>Phase I/II, non-randomised, open-label, two-cohort, dose-ascending, multi-centre trial</w:t>
            </w:r>
            <w:r w:rsidRPr="00952921">
              <w:rPr>
                <w:sz w:val="18"/>
                <w:szCs w:val="18"/>
              </w:rPr>
              <w:t xml:space="preserve"> </w:t>
            </w:r>
            <w:r w:rsidRPr="00952921">
              <w:rPr>
                <w:rStyle w:val="Small"/>
                <w:sz w:val="18"/>
                <w:szCs w:val="18"/>
              </w:rPr>
              <w:t>NCT02396342</w:t>
            </w:r>
          </w:p>
        </w:tc>
        <w:tc>
          <w:tcPr>
            <w:tcW w:w="3407" w:type="dxa"/>
          </w:tcPr>
          <w:p w14:paraId="7831687D" w14:textId="77777777" w:rsidR="002D2DF7" w:rsidRDefault="002D2DF7" w:rsidP="00C666D7">
            <w:pPr>
              <w:pStyle w:val="ListParagraph"/>
              <w:numPr>
                <w:ilvl w:val="0"/>
                <w:numId w:val="8"/>
              </w:numPr>
              <w:ind w:left="317" w:hanging="284"/>
              <w:rPr>
                <w:rFonts w:asciiTheme="minorHAnsi" w:hAnsiTheme="minorHAnsi" w:cstheme="minorHAnsi"/>
                <w:sz w:val="18"/>
                <w:szCs w:val="18"/>
              </w:rPr>
            </w:pPr>
            <w:r w:rsidRPr="00952921">
              <w:rPr>
                <w:rFonts w:asciiTheme="minorHAnsi" w:hAnsiTheme="minorHAnsi" w:cstheme="minorHAnsi"/>
                <w:sz w:val="18"/>
                <w:szCs w:val="18"/>
              </w:rPr>
              <w:t xml:space="preserve">Gene therapy with adeno-associated virus vector 5–human factor IX in adults with </w:t>
            </w:r>
            <w:proofErr w:type="spellStart"/>
            <w:r w:rsidRPr="00952921">
              <w:rPr>
                <w:rFonts w:asciiTheme="minorHAnsi" w:hAnsiTheme="minorHAnsi" w:cstheme="minorHAnsi"/>
                <w:sz w:val="18"/>
                <w:szCs w:val="18"/>
              </w:rPr>
              <w:t>hemophilia</w:t>
            </w:r>
            <w:proofErr w:type="spellEnd"/>
            <w:r w:rsidRPr="00952921">
              <w:rPr>
                <w:rFonts w:asciiTheme="minorHAnsi" w:hAnsiTheme="minorHAnsi" w:cstheme="minorHAnsi"/>
                <w:sz w:val="18"/>
                <w:szCs w:val="18"/>
              </w:rPr>
              <w:t xml:space="preserve"> B</w:t>
            </w:r>
          </w:p>
          <w:p w14:paraId="1A8268B7" w14:textId="77777777" w:rsidR="002D2DF7" w:rsidRPr="00952921" w:rsidRDefault="002D2DF7" w:rsidP="00C666D7">
            <w:pPr>
              <w:pStyle w:val="ListParagraph"/>
              <w:numPr>
                <w:ilvl w:val="0"/>
                <w:numId w:val="8"/>
              </w:numPr>
              <w:ind w:left="317" w:hanging="284"/>
              <w:rPr>
                <w:rFonts w:asciiTheme="minorHAnsi" w:hAnsiTheme="minorHAnsi" w:cstheme="minorHAnsi"/>
                <w:sz w:val="18"/>
                <w:szCs w:val="18"/>
              </w:rPr>
            </w:pPr>
            <w:r w:rsidRPr="0073598A">
              <w:rPr>
                <w:rFonts w:asciiTheme="minorHAnsi" w:hAnsiTheme="minorHAnsi" w:cstheme="minorHAnsi"/>
                <w:sz w:val="18"/>
                <w:szCs w:val="18"/>
              </w:rPr>
              <w:t xml:space="preserve">Therapeutic </w:t>
            </w:r>
            <w:proofErr w:type="spellStart"/>
            <w:r w:rsidRPr="0073598A">
              <w:rPr>
                <w:rFonts w:asciiTheme="minorHAnsi" w:hAnsiTheme="minorHAnsi" w:cstheme="minorHAnsi"/>
                <w:sz w:val="18"/>
                <w:szCs w:val="18"/>
              </w:rPr>
              <w:t>hFIX</w:t>
            </w:r>
            <w:proofErr w:type="spellEnd"/>
            <w:r w:rsidRPr="0073598A">
              <w:rPr>
                <w:rFonts w:asciiTheme="minorHAnsi" w:hAnsiTheme="minorHAnsi" w:cstheme="minorHAnsi"/>
                <w:sz w:val="18"/>
                <w:szCs w:val="18"/>
              </w:rPr>
              <w:t xml:space="preserve"> Activity Achieved after Single AAV5-hFIX Treatment in </w:t>
            </w:r>
            <w:proofErr w:type="spellStart"/>
            <w:r w:rsidRPr="0073598A">
              <w:rPr>
                <w:rFonts w:asciiTheme="minorHAnsi" w:hAnsiTheme="minorHAnsi" w:cstheme="minorHAnsi"/>
                <w:sz w:val="18"/>
                <w:szCs w:val="18"/>
              </w:rPr>
              <w:t>Hemophilia</w:t>
            </w:r>
            <w:proofErr w:type="spellEnd"/>
            <w:r w:rsidRPr="0073598A">
              <w:rPr>
                <w:rFonts w:asciiTheme="minorHAnsi" w:hAnsiTheme="minorHAnsi" w:cstheme="minorHAnsi"/>
                <w:sz w:val="18"/>
                <w:szCs w:val="18"/>
              </w:rPr>
              <w:t xml:space="preserve"> B Patients and NHPs with Pre-existing Anti-AAV5 NABs</w:t>
            </w:r>
          </w:p>
        </w:tc>
        <w:tc>
          <w:tcPr>
            <w:tcW w:w="4106" w:type="dxa"/>
          </w:tcPr>
          <w:p w14:paraId="17F7FE23" w14:textId="77777777" w:rsidR="002D2DF7" w:rsidRPr="00952921" w:rsidRDefault="002D2DF7" w:rsidP="005E3E43">
            <w:pPr>
              <w:pStyle w:val="Table"/>
              <w:rPr>
                <w:rStyle w:val="SmallHighlight"/>
                <w:sz w:val="18"/>
                <w:szCs w:val="18"/>
              </w:rPr>
            </w:pPr>
            <w:r w:rsidRPr="00952921">
              <w:rPr>
                <w:rStyle w:val="Small"/>
                <w:sz w:val="18"/>
                <w:szCs w:val="18"/>
              </w:rPr>
              <w:t>Phase I/II, non-randomised, open-label, two-cohort, dose-ascending, multi-centre trial investigating an adeno-associated viral vector containing a precursor codon-optimized human Factor IX gene therapy construct (AMT-060) administered to adult patients with severe or moderately severe haemophilia B.</w:t>
            </w:r>
          </w:p>
          <w:p w14:paraId="1FDD4D66" w14:textId="77777777" w:rsidR="002D2DF7" w:rsidRPr="00952921" w:rsidRDefault="002D2DF7" w:rsidP="00174DC6">
            <w:pPr>
              <w:rPr>
                <w:rFonts w:asciiTheme="minorHAnsi" w:hAnsiTheme="minorHAnsi" w:cstheme="minorHAnsi"/>
                <w:sz w:val="18"/>
                <w:szCs w:val="18"/>
              </w:rPr>
            </w:pPr>
          </w:p>
        </w:tc>
        <w:tc>
          <w:tcPr>
            <w:tcW w:w="2835" w:type="dxa"/>
          </w:tcPr>
          <w:p w14:paraId="07EEFCE1" w14:textId="77777777" w:rsidR="002D2DF7" w:rsidRPr="00B17F10" w:rsidRDefault="002D2DF7" w:rsidP="00B17F10">
            <w:pPr>
              <w:pStyle w:val="ListParagraph"/>
              <w:numPr>
                <w:ilvl w:val="0"/>
                <w:numId w:val="11"/>
              </w:numPr>
              <w:ind w:left="319" w:hanging="284"/>
              <w:rPr>
                <w:rStyle w:val="Hyperlink"/>
                <w:rFonts w:asciiTheme="minorHAnsi" w:hAnsiTheme="minorHAnsi" w:cstheme="minorHAnsi"/>
                <w:sz w:val="18"/>
                <w:szCs w:val="18"/>
              </w:rPr>
            </w:pPr>
            <w:hyperlink r:id="rId17" w:history="1">
              <w:r w:rsidRPr="00B17F10">
                <w:rPr>
                  <w:rStyle w:val="Hyperlink"/>
                  <w:rFonts w:asciiTheme="minorHAnsi" w:hAnsiTheme="minorHAnsi" w:cstheme="minorHAnsi"/>
                  <w:sz w:val="18"/>
                  <w:szCs w:val="18"/>
                </w:rPr>
                <w:t>https://doi.org/10.1182/blood-2017-09-804419</w:t>
              </w:r>
            </w:hyperlink>
            <w:r w:rsidRPr="00B17F10">
              <w:rPr>
                <w:rStyle w:val="Hyperlink"/>
                <w:rFonts w:asciiTheme="minorHAnsi" w:hAnsiTheme="minorHAnsi" w:cstheme="minorHAnsi"/>
                <w:sz w:val="18"/>
                <w:szCs w:val="18"/>
              </w:rPr>
              <w:t xml:space="preserve"> </w:t>
            </w:r>
          </w:p>
          <w:p w14:paraId="7667E767" w14:textId="77777777" w:rsidR="002D2DF7" w:rsidRPr="00DE1D2B" w:rsidRDefault="002D2DF7" w:rsidP="00B17F10">
            <w:pPr>
              <w:pStyle w:val="ListParagraph"/>
              <w:numPr>
                <w:ilvl w:val="0"/>
                <w:numId w:val="11"/>
              </w:numPr>
              <w:ind w:left="319" w:hanging="284"/>
              <w:rPr>
                <w:rFonts w:asciiTheme="minorHAnsi" w:hAnsiTheme="minorHAnsi" w:cstheme="minorHAnsi"/>
                <w:sz w:val="18"/>
                <w:szCs w:val="18"/>
              </w:rPr>
            </w:pPr>
            <w:hyperlink r:id="rId18" w:history="1">
              <w:r w:rsidRPr="00B17F10">
                <w:rPr>
                  <w:rStyle w:val="Hyperlink"/>
                  <w:rFonts w:asciiTheme="minorHAnsi" w:hAnsiTheme="minorHAnsi" w:cstheme="minorHAnsi"/>
                  <w:sz w:val="18"/>
                  <w:szCs w:val="18"/>
                </w:rPr>
                <w:t>https://doi.org/10.1016/j.omtm.2019.05.009</w:t>
              </w:r>
            </w:hyperlink>
          </w:p>
        </w:tc>
        <w:tc>
          <w:tcPr>
            <w:tcW w:w="1985" w:type="dxa"/>
          </w:tcPr>
          <w:p w14:paraId="0B2545F2" w14:textId="77777777" w:rsidR="002D2DF7" w:rsidRDefault="002D2DF7" w:rsidP="00E5134D">
            <w:pPr>
              <w:pStyle w:val="ListParagraph"/>
              <w:numPr>
                <w:ilvl w:val="0"/>
                <w:numId w:val="10"/>
              </w:numPr>
              <w:ind w:left="324" w:hanging="284"/>
              <w:rPr>
                <w:rFonts w:asciiTheme="minorHAnsi" w:hAnsiTheme="minorHAnsi" w:cstheme="minorHAnsi"/>
                <w:sz w:val="18"/>
                <w:szCs w:val="18"/>
              </w:rPr>
            </w:pPr>
            <w:r>
              <w:rPr>
                <w:rFonts w:asciiTheme="minorHAnsi" w:hAnsiTheme="minorHAnsi" w:cstheme="minorHAnsi"/>
                <w:sz w:val="18"/>
                <w:szCs w:val="18"/>
              </w:rPr>
              <w:t>Mar 1, 2018</w:t>
            </w:r>
          </w:p>
          <w:p w14:paraId="2FF8FB34" w14:textId="77777777" w:rsidR="002D2DF7" w:rsidRPr="00DE1D2B" w:rsidRDefault="002D2DF7" w:rsidP="00E5134D">
            <w:pPr>
              <w:pStyle w:val="ListParagraph"/>
              <w:numPr>
                <w:ilvl w:val="0"/>
                <w:numId w:val="10"/>
              </w:numPr>
              <w:ind w:left="324" w:hanging="284"/>
              <w:rPr>
                <w:rFonts w:asciiTheme="minorHAnsi" w:hAnsiTheme="minorHAnsi" w:cstheme="minorHAnsi"/>
                <w:sz w:val="18"/>
                <w:szCs w:val="18"/>
              </w:rPr>
            </w:pPr>
            <w:r>
              <w:rPr>
                <w:rFonts w:asciiTheme="minorHAnsi" w:hAnsiTheme="minorHAnsi" w:cstheme="minorHAnsi"/>
                <w:sz w:val="18"/>
                <w:szCs w:val="18"/>
              </w:rPr>
              <w:t>Sep 13, 2019</w:t>
            </w:r>
          </w:p>
        </w:tc>
      </w:tr>
    </w:tbl>
    <w:p w14:paraId="30341318" w14:textId="6EDC483C" w:rsidR="002D2DF7" w:rsidRPr="00F4517A" w:rsidRDefault="002D2DF7" w:rsidP="002D2DF7">
      <w:pPr>
        <w:pStyle w:val="Table"/>
      </w:pPr>
      <w:r>
        <w:rPr>
          <w:rFonts w:ascii="Segoe UI" w:hAnsi="Segoe UI" w:cs="Segoe UI"/>
          <w:i/>
          <w:iCs/>
          <w:color w:val="538135" w:themeColor="accent6" w:themeShade="BF"/>
          <w:szCs w:val="20"/>
        </w:rPr>
        <w:t>Reference</w:t>
      </w:r>
      <w:r w:rsidR="00A63752">
        <w:rPr>
          <w:rFonts w:ascii="Segoe UI" w:hAnsi="Segoe UI" w:cs="Segoe UI"/>
          <w:i/>
          <w:iCs/>
          <w:color w:val="538135" w:themeColor="accent6" w:themeShade="BF"/>
          <w:szCs w:val="20"/>
        </w:rPr>
        <w:t>s</w:t>
      </w:r>
      <w:r>
        <w:rPr>
          <w:rFonts w:ascii="Segoe UI" w:hAnsi="Segoe UI" w:cs="Segoe UI"/>
          <w:i/>
          <w:iCs/>
          <w:color w:val="538135" w:themeColor="accent6" w:themeShade="BF"/>
          <w:szCs w:val="20"/>
        </w:rPr>
        <w:t xml:space="preserve">: </w:t>
      </w:r>
      <w:sdt>
        <w:sdtPr>
          <w:alias w:val="SmartCite Citation"/>
          <w:tag w:val="5e3f6b11-4472-4be6-89df-b5bd952cd979:70860e7e-efeb-4d9e-811f-7733cf92f372+{&quot;items&quot;:{}}"/>
          <w:id w:val="1739744849"/>
        </w:sdtPr>
        <w:sdtEndPr/>
        <w:sdtContent>
          <w:r w:rsidR="00A852FE" w:rsidRPr="00A852FE">
            <w:rPr>
              <w:rFonts w:ascii="Calibri" w:eastAsia="Times New Roman" w:hAnsi="Calibri" w:cs="Calibri"/>
            </w:rPr>
            <w:t>(</w:t>
          </w:r>
          <w:hyperlink w:anchor="bibRef0887679e663ea4ace83301ed4349286e8" w:history="1">
            <w:r w:rsidR="00A852FE" w:rsidRPr="00A852FE">
              <w:rPr>
                <w:rStyle w:val="Hyperlink"/>
                <w:rFonts w:ascii="Calibri" w:eastAsia="Times New Roman" w:hAnsi="Calibri" w:cs="Calibri"/>
                <w:u w:val="none"/>
              </w:rPr>
              <w:t>Pipe et al. 2023</w:t>
            </w:r>
          </w:hyperlink>
          <w:r w:rsidR="00A852FE" w:rsidRPr="00A852FE">
            <w:rPr>
              <w:rFonts w:ascii="Calibri" w:eastAsia="Times New Roman" w:hAnsi="Calibri" w:cs="Calibri"/>
            </w:rPr>
            <w:t>)</w:t>
          </w:r>
        </w:sdtContent>
      </w:sdt>
      <w:r>
        <w:t xml:space="preserve">, </w:t>
      </w:r>
      <w:sdt>
        <w:sdtPr>
          <w:alias w:val="SmartCite Citation"/>
          <w:tag w:val="5e3f6b11-4472-4be6-89df-b5bd952cd979:641860a1-67b5-47c9-98ec-2d62f3a84a05+{&quot;items&quot;:{}}"/>
          <w:id w:val="-66586776"/>
        </w:sdtPr>
        <w:sdtEndPr/>
        <w:sdtContent>
          <w:r w:rsidR="00A852FE" w:rsidRPr="00A852FE">
            <w:rPr>
              <w:rFonts w:ascii="Calibri" w:eastAsia="Times New Roman" w:hAnsi="Calibri" w:cs="Calibri"/>
            </w:rPr>
            <w:t>(</w:t>
          </w:r>
          <w:hyperlink w:anchor="bibRef02dafabad040f483bacff212eb05a6286" w:history="1">
            <w:r w:rsidR="00A852FE" w:rsidRPr="00A852FE">
              <w:rPr>
                <w:rStyle w:val="Hyperlink"/>
                <w:rFonts w:ascii="Calibri" w:eastAsia="Times New Roman" w:hAnsi="Calibri" w:cs="Calibri"/>
                <w:u w:val="none"/>
              </w:rPr>
              <w:t>Shah et al. 2023</w:t>
            </w:r>
          </w:hyperlink>
          <w:r w:rsidR="00A852FE" w:rsidRPr="00A852FE">
            <w:rPr>
              <w:rFonts w:ascii="Calibri" w:eastAsia="Times New Roman" w:hAnsi="Calibri" w:cs="Calibri"/>
            </w:rPr>
            <w:t>)</w:t>
          </w:r>
        </w:sdtContent>
      </w:sdt>
      <w:r>
        <w:t xml:space="preserve">, </w:t>
      </w:r>
      <w:r w:rsidRPr="002D2DF7">
        <w:t xml:space="preserve"> </w:t>
      </w:r>
      <w:sdt>
        <w:sdtPr>
          <w:alias w:val="SmartCite Citation"/>
          <w:tag w:val="5e3f6b11-4472-4be6-89df-b5bd952cd979:097deb9e-57d2-4682-b1b8-a093f080401f+{&quot;items&quot;:{}}"/>
          <w:id w:val="520589937"/>
        </w:sdtPr>
        <w:sdtEndPr/>
        <w:sdtContent>
          <w:r w:rsidR="00A852FE" w:rsidRPr="00A852FE">
            <w:rPr>
              <w:rFonts w:ascii="Calibri" w:eastAsia="Times New Roman" w:hAnsi="Calibri" w:cs="Calibri"/>
            </w:rPr>
            <w:t>(</w:t>
          </w:r>
          <w:proofErr w:type="spellStart"/>
          <w:r w:rsidR="00A852FE">
            <w:fldChar w:fldCharType="begin"/>
          </w:r>
          <w:r w:rsidR="00A852FE">
            <w:instrText>HYPERLINK \l "bibRef09190bc50c8794c46a00203c7f60534f2"</w:instrText>
          </w:r>
          <w:r w:rsidR="00A852FE">
            <w:fldChar w:fldCharType="separate"/>
          </w:r>
          <w:r w:rsidR="00A852FE" w:rsidRPr="00A852FE">
            <w:rPr>
              <w:rStyle w:val="Hyperlink"/>
              <w:rFonts w:ascii="Calibri" w:eastAsia="Times New Roman" w:hAnsi="Calibri" w:cs="Calibri"/>
              <w:u w:val="none"/>
            </w:rPr>
            <w:t>Drygalski</w:t>
          </w:r>
          <w:proofErr w:type="spellEnd"/>
          <w:r w:rsidR="00A852FE" w:rsidRPr="00A852FE">
            <w:rPr>
              <w:rStyle w:val="Hyperlink"/>
              <w:rFonts w:ascii="Calibri" w:eastAsia="Times New Roman" w:hAnsi="Calibri" w:cs="Calibri"/>
              <w:u w:val="none"/>
            </w:rPr>
            <w:t xml:space="preserve"> et al. 2019</w:t>
          </w:r>
          <w:r w:rsidR="00A852FE">
            <w:rPr>
              <w:rStyle w:val="Hyperlink"/>
              <w:rFonts w:ascii="Calibri" w:eastAsia="Times New Roman" w:hAnsi="Calibri" w:cs="Calibri"/>
              <w:u w:val="none"/>
            </w:rPr>
            <w:fldChar w:fldCharType="end"/>
          </w:r>
          <w:r w:rsidR="00A852FE" w:rsidRPr="00A852FE">
            <w:rPr>
              <w:rFonts w:ascii="Calibri" w:eastAsia="Times New Roman" w:hAnsi="Calibri" w:cs="Calibri"/>
            </w:rPr>
            <w:t>)</w:t>
          </w:r>
        </w:sdtContent>
      </w:sdt>
      <w:r>
        <w:t xml:space="preserve">, </w:t>
      </w:r>
      <w:sdt>
        <w:sdtPr>
          <w:alias w:val="SmartCite Citation"/>
          <w:tag w:val="5e3f6b11-4472-4be6-89df-b5bd952cd979:459bd499-affb-418e-b348-beba01f5f98d+{&quot;items&quot;:{}}"/>
          <w:id w:val="-1849634228"/>
        </w:sdtPr>
        <w:sdtEndPr/>
        <w:sdtContent>
          <w:r w:rsidR="00A852FE" w:rsidRPr="00A852FE">
            <w:rPr>
              <w:rFonts w:ascii="Calibri" w:eastAsia="Times New Roman" w:hAnsi="Calibri" w:cs="Calibri"/>
            </w:rPr>
            <w:t>(</w:t>
          </w:r>
          <w:proofErr w:type="spellStart"/>
          <w:r w:rsidR="00A852FE">
            <w:fldChar w:fldCharType="begin"/>
          </w:r>
          <w:r w:rsidR="00A852FE">
            <w:instrText>HYPERLINK \l "bibRef0a285c04a260d4490918dccb3357f6e6c"</w:instrText>
          </w:r>
          <w:r w:rsidR="00A852FE">
            <w:fldChar w:fldCharType="separate"/>
          </w:r>
          <w:r w:rsidR="00A852FE" w:rsidRPr="00A852FE">
            <w:rPr>
              <w:rStyle w:val="Hyperlink"/>
              <w:rFonts w:ascii="Calibri" w:eastAsia="Times New Roman" w:hAnsi="Calibri" w:cs="Calibri"/>
              <w:u w:val="none"/>
            </w:rPr>
            <w:t>Drygalski</w:t>
          </w:r>
          <w:proofErr w:type="spellEnd"/>
          <w:r w:rsidR="00A852FE" w:rsidRPr="00A852FE">
            <w:rPr>
              <w:rStyle w:val="Hyperlink"/>
              <w:rFonts w:ascii="Calibri" w:eastAsia="Times New Roman" w:hAnsi="Calibri" w:cs="Calibri"/>
              <w:u w:val="none"/>
            </w:rPr>
            <w:t xml:space="preserve"> et al. 2023</w:t>
          </w:r>
          <w:r w:rsidR="00A852FE">
            <w:rPr>
              <w:rStyle w:val="Hyperlink"/>
              <w:rFonts w:ascii="Calibri" w:eastAsia="Times New Roman" w:hAnsi="Calibri" w:cs="Calibri"/>
              <w:u w:val="none"/>
            </w:rPr>
            <w:fldChar w:fldCharType="end"/>
          </w:r>
          <w:r w:rsidR="00A852FE" w:rsidRPr="00A852FE">
            <w:rPr>
              <w:rFonts w:ascii="Calibri" w:eastAsia="Times New Roman" w:hAnsi="Calibri" w:cs="Calibri"/>
            </w:rPr>
            <w:t>)</w:t>
          </w:r>
        </w:sdtContent>
      </w:sdt>
      <w:r>
        <w:t xml:space="preserve">, </w:t>
      </w:r>
      <w:r w:rsidRPr="00F4517A">
        <w:rPr>
          <w:rFonts w:ascii="Calibri" w:eastAsia="Times New Roman" w:hAnsi="Calibri" w:cs="Calibri"/>
        </w:rPr>
        <w:t>(</w:t>
      </w:r>
      <w:proofErr w:type="spellStart"/>
      <w:r>
        <w:fldChar w:fldCharType="begin"/>
      </w:r>
      <w:r>
        <w:instrText>HYPERLINK \l "biblioRef076"</w:instrText>
      </w:r>
      <w:r>
        <w:fldChar w:fldCharType="separate"/>
      </w:r>
      <w:r w:rsidRPr="00F4517A">
        <w:rPr>
          <w:rStyle w:val="Hyperlink"/>
          <w:rFonts w:ascii="Calibri" w:eastAsia="Times New Roman" w:hAnsi="Calibri" w:cs="Calibri"/>
        </w:rPr>
        <w:t>Miesbach</w:t>
      </w:r>
      <w:proofErr w:type="spellEnd"/>
      <w:r w:rsidRPr="00F4517A">
        <w:rPr>
          <w:rStyle w:val="Hyperlink"/>
          <w:rFonts w:ascii="Calibri" w:eastAsia="Times New Roman" w:hAnsi="Calibri" w:cs="Calibri"/>
        </w:rPr>
        <w:t xml:space="preserve"> et al. 2018</w:t>
      </w:r>
      <w:r>
        <w:rPr>
          <w:rStyle w:val="Hyperlink"/>
          <w:rFonts w:ascii="Calibri" w:eastAsia="Times New Roman" w:hAnsi="Calibri" w:cs="Calibri"/>
        </w:rPr>
        <w:fldChar w:fldCharType="end"/>
      </w:r>
      <w:r w:rsidRPr="00F4517A">
        <w:rPr>
          <w:rFonts w:ascii="Calibri" w:eastAsia="Times New Roman" w:hAnsi="Calibri" w:cs="Calibri"/>
        </w:rPr>
        <w:t>)</w:t>
      </w:r>
      <w:r>
        <w:t xml:space="preserve">, </w:t>
      </w:r>
      <w:sdt>
        <w:sdtPr>
          <w:alias w:val="SmartCite Citation"/>
          <w:tag w:val="5e3f6b11-4472-4be6-89df-b5bd952cd979:e1d53dc2-b0d3-4e5f-b743-a83dfd18e2bf+{&quot;items&quot;:{}}"/>
          <w:id w:val="-2085135679"/>
        </w:sdtPr>
        <w:sdtEndPr/>
        <w:sdtContent>
          <w:r w:rsidR="00A852FE" w:rsidRPr="00A852FE">
            <w:rPr>
              <w:rFonts w:ascii="Calibri" w:eastAsia="Times New Roman" w:hAnsi="Calibri" w:cs="Calibri"/>
            </w:rPr>
            <w:t>(</w:t>
          </w:r>
          <w:proofErr w:type="spellStart"/>
          <w:r w:rsidR="00A852FE">
            <w:fldChar w:fldCharType="begin"/>
          </w:r>
          <w:r w:rsidR="00A852FE">
            <w:instrText>HYPERLINK \l "bibRef09904e75815e24a7bbeb1dc0ec99cf34e"</w:instrText>
          </w:r>
          <w:r w:rsidR="00A852FE">
            <w:fldChar w:fldCharType="separate"/>
          </w:r>
          <w:r w:rsidR="00A852FE" w:rsidRPr="00A852FE">
            <w:rPr>
              <w:rStyle w:val="Hyperlink"/>
              <w:rFonts w:ascii="Calibri" w:eastAsia="Times New Roman" w:hAnsi="Calibri" w:cs="Calibri"/>
              <w:u w:val="none"/>
            </w:rPr>
            <w:t>Majowicz</w:t>
          </w:r>
          <w:proofErr w:type="spellEnd"/>
          <w:r w:rsidR="00A852FE" w:rsidRPr="00A852FE">
            <w:rPr>
              <w:rStyle w:val="Hyperlink"/>
              <w:rFonts w:ascii="Calibri" w:eastAsia="Times New Roman" w:hAnsi="Calibri" w:cs="Calibri"/>
              <w:u w:val="none"/>
            </w:rPr>
            <w:t xml:space="preserve"> et al. 2019</w:t>
          </w:r>
          <w:r w:rsidR="00A852FE">
            <w:rPr>
              <w:rStyle w:val="Hyperlink"/>
              <w:rFonts w:ascii="Calibri" w:eastAsia="Times New Roman" w:hAnsi="Calibri" w:cs="Calibri"/>
              <w:u w:val="none"/>
            </w:rPr>
            <w:fldChar w:fldCharType="end"/>
          </w:r>
          <w:r w:rsidR="00A852FE" w:rsidRPr="00A852FE">
            <w:rPr>
              <w:rFonts w:ascii="Calibri" w:eastAsia="Times New Roman" w:hAnsi="Calibri" w:cs="Calibri"/>
            </w:rPr>
            <w:t>)</w:t>
          </w:r>
        </w:sdtContent>
      </w:sdt>
      <w:r w:rsidR="00A852FE">
        <w:t xml:space="preserve">, </w:t>
      </w:r>
      <w:sdt>
        <w:sdtPr>
          <w:alias w:val="SmartCite Citation"/>
          <w:tag w:val="5e3f6b11-4472-4be6-89df-b5bd952cd979:bb43ea1b-9cc7-4556-b1cf-46fc42c384c7+"/>
          <w:id w:val="-630792040"/>
          <w:placeholder>
            <w:docPart w:val="DefaultPlaceholder_-1854013440"/>
          </w:placeholder>
        </w:sdtPr>
        <w:sdtEndPr/>
        <w:sdtContent>
          <w:r w:rsidR="00A852FE" w:rsidRPr="00A852FE">
            <w:rPr>
              <w:rFonts w:ascii="Calibri" w:eastAsia="Times New Roman" w:hAnsi="Calibri" w:cs="Calibri"/>
            </w:rPr>
            <w:t>(</w:t>
          </w:r>
          <w:hyperlink w:anchor="bibRef047f0eee1f913438f9fdf21e7cf6049e4" w:history="1">
            <w:r w:rsidR="00A852FE" w:rsidRPr="00A852FE">
              <w:rPr>
                <w:rStyle w:val="Hyperlink"/>
                <w:rFonts w:ascii="Calibri" w:eastAsia="Times New Roman" w:hAnsi="Calibri" w:cs="Calibri"/>
                <w:u w:val="none"/>
              </w:rPr>
              <w:t>Coppens et al. 2024</w:t>
            </w:r>
          </w:hyperlink>
          <w:r w:rsidR="00A852FE" w:rsidRPr="00A852FE">
            <w:rPr>
              <w:rFonts w:ascii="Calibri" w:eastAsia="Times New Roman" w:hAnsi="Calibri" w:cs="Calibri"/>
            </w:rPr>
            <w:t>)</w:t>
          </w:r>
        </w:sdtContent>
      </w:sdt>
      <w:r w:rsidR="00A852FE">
        <w:t> </w:t>
      </w:r>
    </w:p>
    <w:p w14:paraId="2A8D61F1" w14:textId="77777777" w:rsidR="002D2DF7" w:rsidRDefault="002D2DF7" w:rsidP="00EC7BD5">
      <w:pPr>
        <w:rPr>
          <w:rFonts w:ascii="Segoe UI" w:hAnsi="Segoe UI" w:cs="Segoe UI"/>
          <w:i/>
          <w:iCs/>
          <w:color w:val="538135" w:themeColor="accent6" w:themeShade="BF"/>
          <w:sz w:val="20"/>
          <w:szCs w:val="20"/>
        </w:rPr>
      </w:pPr>
    </w:p>
    <w:p w14:paraId="29F607AD" w14:textId="1518F4FC" w:rsidR="00A852FE" w:rsidRDefault="00A852FE" w:rsidP="004E1D62">
      <w:pPr>
        <w:keepNext/>
        <w:keepLines/>
        <w:rPr>
          <w:rFonts w:ascii="Segoe UI" w:hAnsi="Segoe UI" w:cs="Segoe UI"/>
          <w:i/>
          <w:iCs/>
          <w:color w:val="538135" w:themeColor="accent6" w:themeShade="BF"/>
          <w:sz w:val="20"/>
          <w:szCs w:val="20"/>
        </w:rPr>
      </w:pPr>
      <w:r>
        <w:rPr>
          <w:rFonts w:ascii="Segoe UI" w:hAnsi="Segoe UI" w:cs="Segoe UI"/>
          <w:i/>
          <w:iCs/>
          <w:color w:val="538135" w:themeColor="accent6" w:themeShade="BF"/>
          <w:sz w:val="20"/>
          <w:szCs w:val="20"/>
        </w:rPr>
        <w:lastRenderedPageBreak/>
        <w:t>Reference list</w:t>
      </w:r>
    </w:p>
    <w:sdt>
      <w:sdtPr>
        <w:rPr>
          <w:rFonts w:ascii="Segoe UI" w:hAnsi="Segoe UI" w:cs="Segoe UI"/>
          <w:i/>
          <w:iCs/>
          <w:color w:val="538135" w:themeColor="accent6" w:themeShade="BF"/>
          <w:sz w:val="20"/>
          <w:szCs w:val="20"/>
        </w:rPr>
        <w:alias w:val="SmartCite Bibliography"/>
        <w:tag w:val="Biochemical Genetics+{&quot;language&quot;:&quot;en-US&quot;,&quot;isSectionsModeOn&quot;:false}"/>
        <w:id w:val="1634287849"/>
        <w:placeholder>
          <w:docPart w:val="DefaultPlaceholder_-1854013440"/>
        </w:placeholder>
      </w:sdtPr>
      <w:sdtEndPr>
        <w:rPr>
          <w:rFonts w:eastAsiaTheme="minorEastAsia"/>
          <w:lang w:eastAsia="en-AU"/>
        </w:rPr>
      </w:sdtEndPr>
      <w:sdtContent>
        <w:bookmarkStart w:id="3" w:name="bibRef0b7fe4730e0814671914b0113ed59b26e" w:displacedByCustomXml="prev"/>
        <w:p w14:paraId="7A6F0637" w14:textId="0197D490" w:rsidR="00A852FE" w:rsidRPr="00A852FE" w:rsidRDefault="00A852FE" w:rsidP="004E1D62">
          <w:pPr>
            <w:keepNext/>
            <w:keepLines/>
            <w:divId w:val="1910924294"/>
            <w:rPr>
              <w:rFonts w:ascii="Segoe UI" w:eastAsiaTheme="minorEastAsia" w:hAnsi="Segoe UI" w:cs="Segoe UI"/>
              <w:sz w:val="20"/>
            </w:rPr>
          </w:pPr>
          <w:r w:rsidRPr="00A852FE">
            <w:rPr>
              <w:rFonts w:ascii="Segoe UI" w:hAnsi="Segoe UI" w:cs="Segoe UI"/>
              <w:sz w:val="20"/>
            </w:rPr>
            <w:t xml:space="preserve">AHCDO, NBA (2016) Guidelines for the management of haemophilia in Australia. </w:t>
          </w:r>
          <w:bookmarkEnd w:id="3"/>
          <w:r w:rsidRPr="00A852FE">
            <w:rPr>
              <w:rFonts w:ascii="Segoe UI" w:hAnsi="Segoe UI" w:cs="Segoe UI"/>
              <w:sz w:val="20"/>
            </w:rPr>
            <w:fldChar w:fldCharType="begin"/>
          </w:r>
          <w:r w:rsidRPr="00A852FE">
            <w:rPr>
              <w:rFonts w:ascii="Segoe UI" w:hAnsi="Segoe UI" w:cs="Segoe UI"/>
              <w:sz w:val="20"/>
            </w:rPr>
            <w:instrText>HYPERLINK "https://www.blood.gov.au/system/files/HaemophiliaGuidelines-interactive-updated-260317v2.pdf"</w:instrText>
          </w:r>
          <w:r w:rsidRPr="00A852FE">
            <w:rPr>
              <w:rFonts w:ascii="Segoe UI" w:hAnsi="Segoe UI" w:cs="Segoe UI"/>
              <w:sz w:val="20"/>
            </w:rPr>
          </w:r>
          <w:r w:rsidRPr="00A852FE">
            <w:rPr>
              <w:rFonts w:ascii="Segoe UI" w:hAnsi="Segoe UI" w:cs="Segoe UI"/>
              <w:sz w:val="20"/>
            </w:rPr>
            <w:fldChar w:fldCharType="separate"/>
          </w:r>
          <w:r w:rsidRPr="00A852FE">
            <w:rPr>
              <w:rStyle w:val="Hyperlink"/>
              <w:rFonts w:ascii="Segoe UI" w:hAnsi="Segoe UI" w:cs="Segoe UI"/>
              <w:sz w:val="20"/>
            </w:rPr>
            <w:t>https://www.blood.gov.au/system/files/HaemophiliaGuidelines-interactive-updated-260317v2.pdf</w:t>
          </w:r>
          <w:r w:rsidRPr="00A852FE">
            <w:rPr>
              <w:rFonts w:ascii="Segoe UI" w:hAnsi="Segoe UI" w:cs="Segoe UI"/>
              <w:sz w:val="20"/>
            </w:rPr>
            <w:fldChar w:fldCharType="end"/>
          </w:r>
        </w:p>
        <w:p w14:paraId="104E58EE" w14:textId="77777777" w:rsidR="00A852FE" w:rsidRPr="00A852FE" w:rsidRDefault="00A852FE" w:rsidP="004E1D62">
          <w:pPr>
            <w:pStyle w:val="Bibliography1"/>
            <w:keepNext/>
            <w:keepLines/>
            <w:ind w:left="300" w:hanging="300"/>
            <w:divId w:val="1910924294"/>
            <w:rPr>
              <w:rFonts w:ascii="Segoe UI" w:hAnsi="Segoe UI" w:cs="Segoe UI"/>
              <w:sz w:val="20"/>
            </w:rPr>
          </w:pPr>
          <w:bookmarkStart w:id="4" w:name="bibRef04ced4d5b64f446568cbed5956329ed0f"/>
          <w:r w:rsidRPr="00A852FE">
            <w:rPr>
              <w:rFonts w:ascii="Segoe UI" w:hAnsi="Segoe UI" w:cs="Segoe UI"/>
              <w:sz w:val="20"/>
            </w:rPr>
            <w:t xml:space="preserve">ClinicalTrials.gov (2022) NCT03569891: HOPE-B: Trial of AMT-061 in Severe or Moderately Severe </w:t>
          </w:r>
          <w:proofErr w:type="spellStart"/>
          <w:r w:rsidRPr="00A852FE">
            <w:rPr>
              <w:rFonts w:ascii="Segoe UI" w:hAnsi="Segoe UI" w:cs="Segoe UI"/>
              <w:sz w:val="20"/>
            </w:rPr>
            <w:t>Hemophilia</w:t>
          </w:r>
          <w:proofErr w:type="spellEnd"/>
          <w:r w:rsidRPr="00A852FE">
            <w:rPr>
              <w:rFonts w:ascii="Segoe UI" w:hAnsi="Segoe UI" w:cs="Segoe UI"/>
              <w:sz w:val="20"/>
            </w:rPr>
            <w:t xml:space="preserve"> B Patients. </w:t>
          </w:r>
          <w:bookmarkEnd w:id="4"/>
          <w:r w:rsidRPr="00A852FE">
            <w:rPr>
              <w:rFonts w:ascii="Segoe UI" w:hAnsi="Segoe UI" w:cs="Segoe UI"/>
              <w:sz w:val="20"/>
            </w:rPr>
            <w:fldChar w:fldCharType="begin"/>
          </w:r>
          <w:r w:rsidRPr="00A852FE">
            <w:rPr>
              <w:rFonts w:ascii="Segoe UI" w:hAnsi="Segoe UI" w:cs="Segoe UI"/>
              <w:sz w:val="20"/>
            </w:rPr>
            <w:instrText>HYPERLINK "https://clinicaltrials.gov/ct2/show/NCT03569891"</w:instrText>
          </w:r>
          <w:r w:rsidRPr="00A852FE">
            <w:rPr>
              <w:rFonts w:ascii="Segoe UI" w:hAnsi="Segoe UI" w:cs="Segoe UI"/>
              <w:sz w:val="20"/>
            </w:rPr>
          </w:r>
          <w:r w:rsidRPr="00A852FE">
            <w:rPr>
              <w:rFonts w:ascii="Segoe UI" w:hAnsi="Segoe UI" w:cs="Segoe UI"/>
              <w:sz w:val="20"/>
            </w:rPr>
            <w:fldChar w:fldCharType="separate"/>
          </w:r>
          <w:r w:rsidRPr="00A852FE">
            <w:rPr>
              <w:rStyle w:val="Hyperlink"/>
              <w:rFonts w:ascii="Segoe UI" w:hAnsi="Segoe UI" w:cs="Segoe UI"/>
              <w:sz w:val="20"/>
            </w:rPr>
            <w:t>https://clinicaltrials.gov/ct2/show/NCT03569891</w:t>
          </w:r>
          <w:r w:rsidRPr="00A852FE">
            <w:rPr>
              <w:rFonts w:ascii="Segoe UI" w:hAnsi="Segoe UI" w:cs="Segoe UI"/>
              <w:sz w:val="20"/>
            </w:rPr>
            <w:fldChar w:fldCharType="end"/>
          </w:r>
        </w:p>
        <w:p w14:paraId="28B65A22" w14:textId="77777777" w:rsidR="00A852FE" w:rsidRPr="00A852FE" w:rsidRDefault="00A852FE" w:rsidP="004E1D62">
          <w:pPr>
            <w:pStyle w:val="Bibliography1"/>
            <w:keepNext/>
            <w:keepLines/>
            <w:ind w:left="300" w:hanging="300"/>
            <w:divId w:val="1910924294"/>
            <w:rPr>
              <w:rFonts w:ascii="Segoe UI" w:hAnsi="Segoe UI" w:cs="Segoe UI"/>
              <w:sz w:val="20"/>
            </w:rPr>
          </w:pPr>
          <w:bookmarkStart w:id="5" w:name="bibRef047f0eee1f913438f9fdf21e7cf6049e4"/>
          <w:r w:rsidRPr="00A852FE">
            <w:rPr>
              <w:rFonts w:ascii="Segoe UI" w:hAnsi="Segoe UI" w:cs="Segoe UI"/>
              <w:sz w:val="20"/>
            </w:rPr>
            <w:t xml:space="preserve">Coppens M, Pipe SW, </w:t>
          </w:r>
          <w:proofErr w:type="spellStart"/>
          <w:r w:rsidRPr="00A852FE">
            <w:rPr>
              <w:rFonts w:ascii="Segoe UI" w:hAnsi="Segoe UI" w:cs="Segoe UI"/>
              <w:sz w:val="20"/>
            </w:rPr>
            <w:t>Miesbach</w:t>
          </w:r>
          <w:proofErr w:type="spellEnd"/>
          <w:r w:rsidRPr="00A852FE">
            <w:rPr>
              <w:rFonts w:ascii="Segoe UI" w:hAnsi="Segoe UI" w:cs="Segoe UI"/>
              <w:sz w:val="20"/>
            </w:rPr>
            <w:t xml:space="preserve"> W, et al (2024) </w:t>
          </w:r>
          <w:proofErr w:type="spellStart"/>
          <w:r w:rsidRPr="00A852FE">
            <w:rPr>
              <w:rFonts w:ascii="Segoe UI" w:hAnsi="Segoe UI" w:cs="Segoe UI"/>
              <w:sz w:val="20"/>
            </w:rPr>
            <w:t>Etranacogene</w:t>
          </w:r>
          <w:proofErr w:type="spellEnd"/>
          <w:r w:rsidRPr="00A852FE">
            <w:rPr>
              <w:rFonts w:ascii="Segoe UI" w:hAnsi="Segoe UI" w:cs="Segoe UI"/>
              <w:sz w:val="20"/>
            </w:rPr>
            <w:t xml:space="preserve"> </w:t>
          </w:r>
          <w:proofErr w:type="spellStart"/>
          <w:r w:rsidRPr="00A852FE">
            <w:rPr>
              <w:rFonts w:ascii="Segoe UI" w:hAnsi="Segoe UI" w:cs="Segoe UI"/>
              <w:sz w:val="20"/>
            </w:rPr>
            <w:t>dezaparvovec</w:t>
          </w:r>
          <w:proofErr w:type="spellEnd"/>
          <w:r w:rsidRPr="00A852FE">
            <w:rPr>
              <w:rFonts w:ascii="Segoe UI" w:hAnsi="Segoe UI" w:cs="Segoe UI"/>
              <w:sz w:val="20"/>
            </w:rPr>
            <w:t xml:space="preserve"> gene therapy for haemophilia B (HOPE-B): 24-month post-hoc efficacy and safety data from a single-arm, multicentre, phase 3 trial. Lancet </w:t>
          </w:r>
          <w:proofErr w:type="spellStart"/>
          <w:r w:rsidRPr="00A852FE">
            <w:rPr>
              <w:rFonts w:ascii="Segoe UI" w:hAnsi="Segoe UI" w:cs="Segoe UI"/>
              <w:sz w:val="20"/>
            </w:rPr>
            <w:t>Haematol</w:t>
          </w:r>
          <w:proofErr w:type="spellEnd"/>
          <w:r w:rsidRPr="00A852FE">
            <w:rPr>
              <w:rFonts w:ascii="Segoe UI" w:hAnsi="Segoe UI" w:cs="Segoe UI"/>
              <w:sz w:val="20"/>
            </w:rPr>
            <w:t xml:space="preserve"> </w:t>
          </w:r>
          <w:proofErr w:type="gramStart"/>
          <w:r w:rsidRPr="00A852FE">
            <w:rPr>
              <w:rFonts w:ascii="Segoe UI" w:hAnsi="Segoe UI" w:cs="Segoe UI"/>
              <w:sz w:val="20"/>
            </w:rPr>
            <w:t>11:e</w:t>
          </w:r>
          <w:proofErr w:type="gramEnd"/>
          <w:r w:rsidRPr="00A852FE">
            <w:rPr>
              <w:rFonts w:ascii="Segoe UI" w:hAnsi="Segoe UI" w:cs="Segoe UI"/>
              <w:sz w:val="20"/>
            </w:rPr>
            <w:t xml:space="preserve">265–e275. </w:t>
          </w:r>
          <w:bookmarkEnd w:id="5"/>
          <w:r w:rsidRPr="00A852FE">
            <w:rPr>
              <w:rFonts w:ascii="Segoe UI" w:hAnsi="Segoe UI" w:cs="Segoe UI"/>
              <w:sz w:val="20"/>
            </w:rPr>
            <w:fldChar w:fldCharType="begin"/>
          </w:r>
          <w:r w:rsidRPr="00A852FE">
            <w:rPr>
              <w:rFonts w:ascii="Segoe UI" w:hAnsi="Segoe UI" w:cs="Segoe UI"/>
              <w:sz w:val="20"/>
            </w:rPr>
            <w:instrText>HYPERLINK "https://doi.org/10.1016/s2352-3026(24)00006-1"</w:instrText>
          </w:r>
          <w:r w:rsidRPr="00A852FE">
            <w:rPr>
              <w:rFonts w:ascii="Segoe UI" w:hAnsi="Segoe UI" w:cs="Segoe UI"/>
              <w:sz w:val="20"/>
            </w:rPr>
          </w:r>
          <w:r w:rsidRPr="00A852FE">
            <w:rPr>
              <w:rFonts w:ascii="Segoe UI" w:hAnsi="Segoe UI" w:cs="Segoe UI"/>
              <w:sz w:val="20"/>
            </w:rPr>
            <w:fldChar w:fldCharType="separate"/>
          </w:r>
          <w:r w:rsidRPr="00A852FE">
            <w:rPr>
              <w:rStyle w:val="Hyperlink"/>
              <w:rFonts w:ascii="Segoe UI" w:hAnsi="Segoe UI" w:cs="Segoe UI"/>
              <w:sz w:val="20"/>
            </w:rPr>
            <w:t>https://doi.org/10.1016/s2352-3026(24)00006-1</w:t>
          </w:r>
          <w:r w:rsidRPr="00A852FE">
            <w:rPr>
              <w:rFonts w:ascii="Segoe UI" w:hAnsi="Segoe UI" w:cs="Segoe UI"/>
              <w:sz w:val="20"/>
            </w:rPr>
            <w:fldChar w:fldCharType="end"/>
          </w:r>
        </w:p>
        <w:p w14:paraId="76ACA29D" w14:textId="77777777" w:rsidR="00A852FE" w:rsidRPr="00A852FE" w:rsidRDefault="00A852FE" w:rsidP="004E1D62">
          <w:pPr>
            <w:pStyle w:val="Bibliography1"/>
            <w:keepNext/>
            <w:keepLines/>
            <w:ind w:left="300" w:hanging="300"/>
            <w:divId w:val="1910924294"/>
            <w:rPr>
              <w:rFonts w:ascii="Segoe UI" w:hAnsi="Segoe UI" w:cs="Segoe UI"/>
              <w:sz w:val="20"/>
            </w:rPr>
          </w:pPr>
          <w:bookmarkStart w:id="6" w:name="bibRef09190bc50c8794c46a00203c7f60534f2"/>
          <w:proofErr w:type="spellStart"/>
          <w:r w:rsidRPr="00A852FE">
            <w:rPr>
              <w:rFonts w:ascii="Segoe UI" w:hAnsi="Segoe UI" w:cs="Segoe UI"/>
              <w:sz w:val="20"/>
            </w:rPr>
            <w:t>Drygalski</w:t>
          </w:r>
          <w:proofErr w:type="spellEnd"/>
          <w:r w:rsidRPr="00A852FE">
            <w:rPr>
              <w:rFonts w:ascii="Segoe UI" w:hAnsi="Segoe UI" w:cs="Segoe UI"/>
              <w:sz w:val="20"/>
            </w:rPr>
            <w:t xml:space="preserve"> AV, </w:t>
          </w:r>
          <w:proofErr w:type="spellStart"/>
          <w:r w:rsidRPr="00A852FE">
            <w:rPr>
              <w:rFonts w:ascii="Segoe UI" w:hAnsi="Segoe UI" w:cs="Segoe UI"/>
              <w:sz w:val="20"/>
            </w:rPr>
            <w:t>Giermasz</w:t>
          </w:r>
          <w:proofErr w:type="spellEnd"/>
          <w:r w:rsidRPr="00A852FE">
            <w:rPr>
              <w:rFonts w:ascii="Segoe UI" w:hAnsi="Segoe UI" w:cs="Segoe UI"/>
              <w:sz w:val="20"/>
            </w:rPr>
            <w:t xml:space="preserve"> A, </w:t>
          </w:r>
          <w:proofErr w:type="spellStart"/>
          <w:r w:rsidRPr="00A852FE">
            <w:rPr>
              <w:rFonts w:ascii="Segoe UI" w:hAnsi="Segoe UI" w:cs="Segoe UI"/>
              <w:sz w:val="20"/>
            </w:rPr>
            <w:t>Castaman</w:t>
          </w:r>
          <w:proofErr w:type="spellEnd"/>
          <w:r w:rsidRPr="00A852FE">
            <w:rPr>
              <w:rFonts w:ascii="Segoe UI" w:hAnsi="Segoe UI" w:cs="Segoe UI"/>
              <w:sz w:val="20"/>
            </w:rPr>
            <w:t xml:space="preserve"> G, et al (2019) </w:t>
          </w:r>
          <w:proofErr w:type="spellStart"/>
          <w:r w:rsidRPr="00A852FE">
            <w:rPr>
              <w:rFonts w:ascii="Segoe UI" w:hAnsi="Segoe UI" w:cs="Segoe UI"/>
              <w:sz w:val="20"/>
            </w:rPr>
            <w:t>Etranacogene</w:t>
          </w:r>
          <w:proofErr w:type="spellEnd"/>
          <w:r w:rsidRPr="00A852FE">
            <w:rPr>
              <w:rFonts w:ascii="Segoe UI" w:hAnsi="Segoe UI" w:cs="Segoe UI"/>
              <w:sz w:val="20"/>
            </w:rPr>
            <w:t xml:space="preserve"> </w:t>
          </w:r>
          <w:proofErr w:type="spellStart"/>
          <w:r w:rsidRPr="00A852FE">
            <w:rPr>
              <w:rFonts w:ascii="Segoe UI" w:hAnsi="Segoe UI" w:cs="Segoe UI"/>
              <w:sz w:val="20"/>
            </w:rPr>
            <w:t>dezaparvovec</w:t>
          </w:r>
          <w:proofErr w:type="spellEnd"/>
          <w:r w:rsidRPr="00A852FE">
            <w:rPr>
              <w:rFonts w:ascii="Segoe UI" w:hAnsi="Segoe UI" w:cs="Segoe UI"/>
              <w:sz w:val="20"/>
            </w:rPr>
            <w:t xml:space="preserve"> (AMT-061 phase 2b): normal/near normal FIX activity and bleed cessation in </w:t>
          </w:r>
          <w:proofErr w:type="spellStart"/>
          <w:r w:rsidRPr="00A852FE">
            <w:rPr>
              <w:rFonts w:ascii="Segoe UI" w:hAnsi="Segoe UI" w:cs="Segoe UI"/>
              <w:sz w:val="20"/>
            </w:rPr>
            <w:t>hemophilia</w:t>
          </w:r>
          <w:proofErr w:type="spellEnd"/>
          <w:r w:rsidRPr="00A852FE">
            <w:rPr>
              <w:rFonts w:ascii="Segoe UI" w:hAnsi="Segoe UI" w:cs="Segoe UI"/>
              <w:sz w:val="20"/>
            </w:rPr>
            <w:t xml:space="preserve"> B. Blood Adv 3:3241–3247. </w:t>
          </w:r>
          <w:bookmarkEnd w:id="6"/>
          <w:r w:rsidRPr="00A852FE">
            <w:rPr>
              <w:rFonts w:ascii="Segoe UI" w:hAnsi="Segoe UI" w:cs="Segoe UI"/>
              <w:sz w:val="20"/>
            </w:rPr>
            <w:fldChar w:fldCharType="begin"/>
          </w:r>
          <w:r w:rsidRPr="00A852FE">
            <w:rPr>
              <w:rFonts w:ascii="Segoe UI" w:hAnsi="Segoe UI" w:cs="Segoe UI"/>
              <w:sz w:val="20"/>
            </w:rPr>
            <w:instrText>HYPERLINK "https://doi.org/10.1182/bloodadvances.2019000811"</w:instrText>
          </w:r>
          <w:r w:rsidRPr="00A852FE">
            <w:rPr>
              <w:rFonts w:ascii="Segoe UI" w:hAnsi="Segoe UI" w:cs="Segoe UI"/>
              <w:sz w:val="20"/>
            </w:rPr>
          </w:r>
          <w:r w:rsidRPr="00A852FE">
            <w:rPr>
              <w:rFonts w:ascii="Segoe UI" w:hAnsi="Segoe UI" w:cs="Segoe UI"/>
              <w:sz w:val="20"/>
            </w:rPr>
            <w:fldChar w:fldCharType="separate"/>
          </w:r>
          <w:r w:rsidRPr="00A852FE">
            <w:rPr>
              <w:rStyle w:val="Hyperlink"/>
              <w:rFonts w:ascii="Segoe UI" w:hAnsi="Segoe UI" w:cs="Segoe UI"/>
              <w:sz w:val="20"/>
            </w:rPr>
            <w:t>https://doi.org/10.1182/bloodadvances.2019000811</w:t>
          </w:r>
          <w:r w:rsidRPr="00A852FE">
            <w:rPr>
              <w:rFonts w:ascii="Segoe UI" w:hAnsi="Segoe UI" w:cs="Segoe UI"/>
              <w:sz w:val="20"/>
            </w:rPr>
            <w:fldChar w:fldCharType="end"/>
          </w:r>
        </w:p>
        <w:p w14:paraId="57E76030" w14:textId="77777777" w:rsidR="00A852FE" w:rsidRPr="00A852FE" w:rsidRDefault="00A852FE" w:rsidP="004E1D62">
          <w:pPr>
            <w:pStyle w:val="Bibliography1"/>
            <w:keepNext/>
            <w:keepLines/>
            <w:ind w:left="300" w:hanging="300"/>
            <w:divId w:val="1910924294"/>
            <w:rPr>
              <w:rFonts w:ascii="Segoe UI" w:hAnsi="Segoe UI" w:cs="Segoe UI"/>
              <w:sz w:val="20"/>
            </w:rPr>
          </w:pPr>
          <w:bookmarkStart w:id="7" w:name="bibRef0a285c04a260d4490918dccb3357f6e6c"/>
          <w:proofErr w:type="spellStart"/>
          <w:r w:rsidRPr="00A852FE">
            <w:rPr>
              <w:rFonts w:ascii="Segoe UI" w:hAnsi="Segoe UI" w:cs="Segoe UI"/>
              <w:sz w:val="20"/>
            </w:rPr>
            <w:t>Drygalski</w:t>
          </w:r>
          <w:proofErr w:type="spellEnd"/>
          <w:r w:rsidRPr="00A852FE">
            <w:rPr>
              <w:rFonts w:ascii="Segoe UI" w:hAnsi="Segoe UI" w:cs="Segoe UI"/>
              <w:sz w:val="20"/>
            </w:rPr>
            <w:t xml:space="preserve"> A von, Gomez E, </w:t>
          </w:r>
          <w:proofErr w:type="spellStart"/>
          <w:r w:rsidRPr="00A852FE">
            <w:rPr>
              <w:rFonts w:ascii="Segoe UI" w:hAnsi="Segoe UI" w:cs="Segoe UI"/>
              <w:sz w:val="20"/>
            </w:rPr>
            <w:t>Giermasz</w:t>
          </w:r>
          <w:proofErr w:type="spellEnd"/>
          <w:r w:rsidRPr="00A852FE">
            <w:rPr>
              <w:rFonts w:ascii="Segoe UI" w:hAnsi="Segoe UI" w:cs="Segoe UI"/>
              <w:sz w:val="20"/>
            </w:rPr>
            <w:t xml:space="preserve"> A, et al (2023) Stable and durable factor IX levels in patients with </w:t>
          </w:r>
          <w:proofErr w:type="spellStart"/>
          <w:r w:rsidRPr="00A852FE">
            <w:rPr>
              <w:rFonts w:ascii="Segoe UI" w:hAnsi="Segoe UI" w:cs="Segoe UI"/>
              <w:sz w:val="20"/>
            </w:rPr>
            <w:t>hemophilia</w:t>
          </w:r>
          <w:proofErr w:type="spellEnd"/>
          <w:r w:rsidRPr="00A852FE">
            <w:rPr>
              <w:rFonts w:ascii="Segoe UI" w:hAnsi="Segoe UI" w:cs="Segoe UI"/>
              <w:sz w:val="20"/>
            </w:rPr>
            <w:t xml:space="preserve"> B over 3 years after </w:t>
          </w:r>
          <w:proofErr w:type="spellStart"/>
          <w:r w:rsidRPr="00A852FE">
            <w:rPr>
              <w:rFonts w:ascii="Segoe UI" w:hAnsi="Segoe UI" w:cs="Segoe UI"/>
              <w:sz w:val="20"/>
            </w:rPr>
            <w:t>etranacogene</w:t>
          </w:r>
          <w:proofErr w:type="spellEnd"/>
          <w:r w:rsidRPr="00A852FE">
            <w:rPr>
              <w:rFonts w:ascii="Segoe UI" w:hAnsi="Segoe UI" w:cs="Segoe UI"/>
              <w:sz w:val="20"/>
            </w:rPr>
            <w:t xml:space="preserve"> </w:t>
          </w:r>
          <w:proofErr w:type="spellStart"/>
          <w:r w:rsidRPr="00A852FE">
            <w:rPr>
              <w:rFonts w:ascii="Segoe UI" w:hAnsi="Segoe UI" w:cs="Segoe UI"/>
              <w:sz w:val="20"/>
            </w:rPr>
            <w:t>dezaparvovec</w:t>
          </w:r>
          <w:proofErr w:type="spellEnd"/>
          <w:r w:rsidRPr="00A852FE">
            <w:rPr>
              <w:rFonts w:ascii="Segoe UI" w:hAnsi="Segoe UI" w:cs="Segoe UI"/>
              <w:sz w:val="20"/>
            </w:rPr>
            <w:t xml:space="preserve"> gene therapy. Blood advances 7:5671–5679. </w:t>
          </w:r>
          <w:bookmarkEnd w:id="7"/>
          <w:r w:rsidRPr="00A852FE">
            <w:rPr>
              <w:rFonts w:ascii="Segoe UI" w:hAnsi="Segoe UI" w:cs="Segoe UI"/>
              <w:sz w:val="20"/>
            </w:rPr>
            <w:fldChar w:fldCharType="begin"/>
          </w:r>
          <w:r w:rsidRPr="00A852FE">
            <w:rPr>
              <w:rFonts w:ascii="Segoe UI" w:hAnsi="Segoe UI" w:cs="Segoe UI"/>
              <w:sz w:val="20"/>
            </w:rPr>
            <w:instrText>HYPERLINK "https://doi.org/10.1182/bloodadvances.2022008886"</w:instrText>
          </w:r>
          <w:r w:rsidRPr="00A852FE">
            <w:rPr>
              <w:rFonts w:ascii="Segoe UI" w:hAnsi="Segoe UI" w:cs="Segoe UI"/>
              <w:sz w:val="20"/>
            </w:rPr>
          </w:r>
          <w:r w:rsidRPr="00A852FE">
            <w:rPr>
              <w:rFonts w:ascii="Segoe UI" w:hAnsi="Segoe UI" w:cs="Segoe UI"/>
              <w:sz w:val="20"/>
            </w:rPr>
            <w:fldChar w:fldCharType="separate"/>
          </w:r>
          <w:r w:rsidRPr="00A852FE">
            <w:rPr>
              <w:rStyle w:val="Hyperlink"/>
              <w:rFonts w:ascii="Segoe UI" w:hAnsi="Segoe UI" w:cs="Segoe UI"/>
              <w:sz w:val="20"/>
            </w:rPr>
            <w:t>https://doi.org/10.1182/bloodadvances.2022008886</w:t>
          </w:r>
          <w:r w:rsidRPr="00A852FE">
            <w:rPr>
              <w:rFonts w:ascii="Segoe UI" w:hAnsi="Segoe UI" w:cs="Segoe UI"/>
              <w:sz w:val="20"/>
            </w:rPr>
            <w:fldChar w:fldCharType="end"/>
          </w:r>
        </w:p>
        <w:p w14:paraId="6261F4B7" w14:textId="77777777" w:rsidR="00A852FE" w:rsidRPr="00A852FE" w:rsidRDefault="00A852FE" w:rsidP="004E1D62">
          <w:pPr>
            <w:pStyle w:val="Bibliography1"/>
            <w:keepNext/>
            <w:keepLines/>
            <w:ind w:left="300" w:hanging="300"/>
            <w:divId w:val="1910924294"/>
            <w:rPr>
              <w:rFonts w:ascii="Segoe UI" w:hAnsi="Segoe UI" w:cs="Segoe UI"/>
              <w:sz w:val="20"/>
            </w:rPr>
          </w:pPr>
          <w:bookmarkStart w:id="8" w:name="bibRef021c96848442b454f90aa2bdf46bf774b"/>
          <w:r w:rsidRPr="00A852FE">
            <w:rPr>
              <w:rFonts w:ascii="Segoe UI" w:hAnsi="Segoe UI" w:cs="Segoe UI"/>
              <w:sz w:val="20"/>
            </w:rPr>
            <w:t xml:space="preserve">Konkle BA, Fletcher SN (1993) </w:t>
          </w:r>
          <w:proofErr w:type="spellStart"/>
          <w:r w:rsidRPr="00A852FE">
            <w:rPr>
              <w:rFonts w:ascii="Segoe UI" w:hAnsi="Segoe UI" w:cs="Segoe UI"/>
              <w:sz w:val="20"/>
            </w:rPr>
            <w:t>Hemophilia</w:t>
          </w:r>
          <w:proofErr w:type="spellEnd"/>
          <w:r w:rsidRPr="00A852FE">
            <w:rPr>
              <w:rFonts w:ascii="Segoe UI" w:hAnsi="Segoe UI" w:cs="Segoe UI"/>
              <w:sz w:val="20"/>
            </w:rPr>
            <w:t xml:space="preserve"> B. University of Washington, Seattle, Seattle (WA)</w:t>
          </w:r>
          <w:bookmarkEnd w:id="8"/>
        </w:p>
        <w:p w14:paraId="62F6042B" w14:textId="77777777" w:rsidR="00A852FE" w:rsidRPr="00A852FE" w:rsidRDefault="00A852FE" w:rsidP="004E1D62">
          <w:pPr>
            <w:pStyle w:val="Bibliography1"/>
            <w:keepNext/>
            <w:keepLines/>
            <w:ind w:left="300" w:hanging="300"/>
            <w:divId w:val="1910924294"/>
            <w:rPr>
              <w:rFonts w:ascii="Segoe UI" w:hAnsi="Segoe UI" w:cs="Segoe UI"/>
              <w:sz w:val="20"/>
            </w:rPr>
          </w:pPr>
          <w:bookmarkStart w:id="9" w:name="bibRef09904e75815e24a7bbeb1dc0ec99cf34e"/>
          <w:proofErr w:type="spellStart"/>
          <w:r w:rsidRPr="00A852FE">
            <w:rPr>
              <w:rFonts w:ascii="Segoe UI" w:hAnsi="Segoe UI" w:cs="Segoe UI"/>
              <w:sz w:val="20"/>
            </w:rPr>
            <w:t>Majowicz</w:t>
          </w:r>
          <w:proofErr w:type="spellEnd"/>
          <w:r w:rsidRPr="00A852FE">
            <w:rPr>
              <w:rFonts w:ascii="Segoe UI" w:hAnsi="Segoe UI" w:cs="Segoe UI"/>
              <w:sz w:val="20"/>
            </w:rPr>
            <w:t xml:space="preserve"> A, </w:t>
          </w:r>
          <w:proofErr w:type="spellStart"/>
          <w:r w:rsidRPr="00A852FE">
            <w:rPr>
              <w:rFonts w:ascii="Segoe UI" w:hAnsi="Segoe UI" w:cs="Segoe UI"/>
              <w:sz w:val="20"/>
            </w:rPr>
            <w:t>Nijmeijer</w:t>
          </w:r>
          <w:proofErr w:type="spellEnd"/>
          <w:r w:rsidRPr="00A852FE">
            <w:rPr>
              <w:rFonts w:ascii="Segoe UI" w:hAnsi="Segoe UI" w:cs="Segoe UI"/>
              <w:sz w:val="20"/>
            </w:rPr>
            <w:t xml:space="preserve"> B, Lampen MH, et al (2019) Therapeutic </w:t>
          </w:r>
          <w:proofErr w:type="spellStart"/>
          <w:r w:rsidRPr="00A852FE">
            <w:rPr>
              <w:rFonts w:ascii="Segoe UI" w:hAnsi="Segoe UI" w:cs="Segoe UI"/>
              <w:sz w:val="20"/>
            </w:rPr>
            <w:t>hFIX</w:t>
          </w:r>
          <w:proofErr w:type="spellEnd"/>
          <w:r w:rsidRPr="00A852FE">
            <w:rPr>
              <w:rFonts w:ascii="Segoe UI" w:hAnsi="Segoe UI" w:cs="Segoe UI"/>
              <w:sz w:val="20"/>
            </w:rPr>
            <w:t xml:space="preserve"> Activity Achieved after Single AAV5-hFIX Treatment in </w:t>
          </w:r>
          <w:proofErr w:type="spellStart"/>
          <w:r w:rsidRPr="00A852FE">
            <w:rPr>
              <w:rFonts w:ascii="Segoe UI" w:hAnsi="Segoe UI" w:cs="Segoe UI"/>
              <w:sz w:val="20"/>
            </w:rPr>
            <w:t>Hemophilia</w:t>
          </w:r>
          <w:proofErr w:type="spellEnd"/>
          <w:r w:rsidRPr="00A852FE">
            <w:rPr>
              <w:rFonts w:ascii="Segoe UI" w:hAnsi="Segoe UI" w:cs="Segoe UI"/>
              <w:sz w:val="20"/>
            </w:rPr>
            <w:t xml:space="preserve"> B Patients and NHPs with Pre-existing Anti-AAV5 NABs. Mol Ther - Methods Clin Dev 14:27–36. </w:t>
          </w:r>
          <w:bookmarkEnd w:id="9"/>
          <w:r w:rsidRPr="00A852FE">
            <w:rPr>
              <w:rFonts w:ascii="Segoe UI" w:hAnsi="Segoe UI" w:cs="Segoe UI"/>
              <w:sz w:val="20"/>
            </w:rPr>
            <w:fldChar w:fldCharType="begin"/>
          </w:r>
          <w:r w:rsidRPr="00A852FE">
            <w:rPr>
              <w:rFonts w:ascii="Segoe UI" w:hAnsi="Segoe UI" w:cs="Segoe UI"/>
              <w:sz w:val="20"/>
            </w:rPr>
            <w:instrText>HYPERLINK "https://doi.org/10.1016/j.omtm.2019.05.009"</w:instrText>
          </w:r>
          <w:r w:rsidRPr="00A852FE">
            <w:rPr>
              <w:rFonts w:ascii="Segoe UI" w:hAnsi="Segoe UI" w:cs="Segoe UI"/>
              <w:sz w:val="20"/>
            </w:rPr>
          </w:r>
          <w:r w:rsidRPr="00A852FE">
            <w:rPr>
              <w:rFonts w:ascii="Segoe UI" w:hAnsi="Segoe UI" w:cs="Segoe UI"/>
              <w:sz w:val="20"/>
            </w:rPr>
            <w:fldChar w:fldCharType="separate"/>
          </w:r>
          <w:r w:rsidRPr="00A852FE">
            <w:rPr>
              <w:rStyle w:val="Hyperlink"/>
              <w:rFonts w:ascii="Segoe UI" w:hAnsi="Segoe UI" w:cs="Segoe UI"/>
              <w:sz w:val="20"/>
            </w:rPr>
            <w:t>https://doi.org/10.1016/j.omtm.2019.05.009</w:t>
          </w:r>
          <w:r w:rsidRPr="00A852FE">
            <w:rPr>
              <w:rFonts w:ascii="Segoe UI" w:hAnsi="Segoe UI" w:cs="Segoe UI"/>
              <w:sz w:val="20"/>
            </w:rPr>
            <w:fldChar w:fldCharType="end"/>
          </w:r>
        </w:p>
        <w:p w14:paraId="130AD0D9" w14:textId="77777777" w:rsidR="00A852FE" w:rsidRPr="00A852FE" w:rsidRDefault="00A852FE" w:rsidP="004E1D62">
          <w:pPr>
            <w:pStyle w:val="Bibliography1"/>
            <w:keepNext/>
            <w:keepLines/>
            <w:ind w:left="300" w:hanging="300"/>
            <w:divId w:val="1910924294"/>
            <w:rPr>
              <w:rFonts w:ascii="Segoe UI" w:hAnsi="Segoe UI" w:cs="Segoe UI"/>
              <w:sz w:val="20"/>
            </w:rPr>
          </w:pPr>
          <w:bookmarkStart w:id="10" w:name="bibRef0887679e663ea4ace83301ed4349286e8"/>
          <w:r w:rsidRPr="00A852FE">
            <w:rPr>
              <w:rFonts w:ascii="Segoe UI" w:hAnsi="Segoe UI" w:cs="Segoe UI"/>
              <w:sz w:val="20"/>
            </w:rPr>
            <w:t xml:space="preserve">Pipe SW, </w:t>
          </w:r>
          <w:proofErr w:type="spellStart"/>
          <w:r w:rsidRPr="00A852FE">
            <w:rPr>
              <w:rFonts w:ascii="Segoe UI" w:hAnsi="Segoe UI" w:cs="Segoe UI"/>
              <w:sz w:val="20"/>
            </w:rPr>
            <w:t>Leebeek</w:t>
          </w:r>
          <w:proofErr w:type="spellEnd"/>
          <w:r w:rsidRPr="00A852FE">
            <w:rPr>
              <w:rFonts w:ascii="Segoe UI" w:hAnsi="Segoe UI" w:cs="Segoe UI"/>
              <w:sz w:val="20"/>
            </w:rPr>
            <w:t xml:space="preserve"> FWG, Recht M, et al (2023) Gene Therapy with </w:t>
          </w:r>
          <w:proofErr w:type="spellStart"/>
          <w:r w:rsidRPr="00A852FE">
            <w:rPr>
              <w:rFonts w:ascii="Segoe UI" w:hAnsi="Segoe UI" w:cs="Segoe UI"/>
              <w:sz w:val="20"/>
            </w:rPr>
            <w:t>Etranacogene</w:t>
          </w:r>
          <w:proofErr w:type="spellEnd"/>
          <w:r w:rsidRPr="00A852FE">
            <w:rPr>
              <w:rFonts w:ascii="Segoe UI" w:hAnsi="Segoe UI" w:cs="Segoe UI"/>
              <w:sz w:val="20"/>
            </w:rPr>
            <w:t xml:space="preserve"> </w:t>
          </w:r>
          <w:proofErr w:type="spellStart"/>
          <w:r w:rsidRPr="00A852FE">
            <w:rPr>
              <w:rFonts w:ascii="Segoe UI" w:hAnsi="Segoe UI" w:cs="Segoe UI"/>
              <w:sz w:val="20"/>
            </w:rPr>
            <w:t>Dezaparvovec</w:t>
          </w:r>
          <w:proofErr w:type="spellEnd"/>
          <w:r w:rsidRPr="00A852FE">
            <w:rPr>
              <w:rFonts w:ascii="Segoe UI" w:hAnsi="Segoe UI" w:cs="Segoe UI"/>
              <w:sz w:val="20"/>
            </w:rPr>
            <w:t xml:space="preserve"> for </w:t>
          </w:r>
          <w:proofErr w:type="spellStart"/>
          <w:r w:rsidRPr="00A852FE">
            <w:rPr>
              <w:rFonts w:ascii="Segoe UI" w:hAnsi="Segoe UI" w:cs="Segoe UI"/>
              <w:sz w:val="20"/>
            </w:rPr>
            <w:t>Hemophilia</w:t>
          </w:r>
          <w:proofErr w:type="spellEnd"/>
          <w:r w:rsidRPr="00A852FE">
            <w:rPr>
              <w:rFonts w:ascii="Segoe UI" w:hAnsi="Segoe UI" w:cs="Segoe UI"/>
              <w:sz w:val="20"/>
            </w:rPr>
            <w:t xml:space="preserve"> B. N Engl J Med 388:706–718. </w:t>
          </w:r>
          <w:bookmarkEnd w:id="10"/>
          <w:r w:rsidRPr="00A852FE">
            <w:rPr>
              <w:rFonts w:ascii="Segoe UI" w:hAnsi="Segoe UI" w:cs="Segoe UI"/>
              <w:sz w:val="20"/>
            </w:rPr>
            <w:fldChar w:fldCharType="begin"/>
          </w:r>
          <w:r w:rsidRPr="00A852FE">
            <w:rPr>
              <w:rFonts w:ascii="Segoe UI" w:hAnsi="Segoe UI" w:cs="Segoe UI"/>
              <w:sz w:val="20"/>
            </w:rPr>
            <w:instrText>HYPERLINK "https://doi.org/10.1056/nejmoa2211644"</w:instrText>
          </w:r>
          <w:r w:rsidRPr="00A852FE">
            <w:rPr>
              <w:rFonts w:ascii="Segoe UI" w:hAnsi="Segoe UI" w:cs="Segoe UI"/>
              <w:sz w:val="20"/>
            </w:rPr>
          </w:r>
          <w:r w:rsidRPr="00A852FE">
            <w:rPr>
              <w:rFonts w:ascii="Segoe UI" w:hAnsi="Segoe UI" w:cs="Segoe UI"/>
              <w:sz w:val="20"/>
            </w:rPr>
            <w:fldChar w:fldCharType="separate"/>
          </w:r>
          <w:r w:rsidRPr="00A852FE">
            <w:rPr>
              <w:rStyle w:val="Hyperlink"/>
              <w:rFonts w:ascii="Segoe UI" w:hAnsi="Segoe UI" w:cs="Segoe UI"/>
              <w:sz w:val="20"/>
            </w:rPr>
            <w:t>https://doi.org/10.1056/nejmoa2211644</w:t>
          </w:r>
          <w:r w:rsidRPr="00A852FE">
            <w:rPr>
              <w:rFonts w:ascii="Segoe UI" w:hAnsi="Segoe UI" w:cs="Segoe UI"/>
              <w:sz w:val="20"/>
            </w:rPr>
            <w:fldChar w:fldCharType="end"/>
          </w:r>
        </w:p>
        <w:p w14:paraId="20FAC58A" w14:textId="77777777" w:rsidR="00A852FE" w:rsidRPr="00A852FE" w:rsidRDefault="00A852FE" w:rsidP="004E1D62">
          <w:pPr>
            <w:pStyle w:val="Bibliography1"/>
            <w:keepNext/>
            <w:keepLines/>
            <w:ind w:left="300" w:hanging="300"/>
            <w:divId w:val="1910924294"/>
            <w:rPr>
              <w:rFonts w:ascii="Segoe UI" w:hAnsi="Segoe UI" w:cs="Segoe UI"/>
              <w:sz w:val="20"/>
            </w:rPr>
          </w:pPr>
          <w:bookmarkStart w:id="11" w:name="bibRef02dafabad040f483bacff212eb05a6286"/>
          <w:r w:rsidRPr="00A852FE">
            <w:rPr>
              <w:rFonts w:ascii="Segoe UI" w:hAnsi="Segoe UI" w:cs="Segoe UI"/>
              <w:sz w:val="20"/>
            </w:rPr>
            <w:t xml:space="preserve">Shah J, Kim H, </w:t>
          </w:r>
          <w:proofErr w:type="spellStart"/>
          <w:r w:rsidRPr="00A852FE">
            <w:rPr>
              <w:rFonts w:ascii="Segoe UI" w:hAnsi="Segoe UI" w:cs="Segoe UI"/>
              <w:sz w:val="20"/>
            </w:rPr>
            <w:t>Sivamurthy</w:t>
          </w:r>
          <w:proofErr w:type="spellEnd"/>
          <w:r w:rsidRPr="00A852FE">
            <w:rPr>
              <w:rFonts w:ascii="Segoe UI" w:hAnsi="Segoe UI" w:cs="Segoe UI"/>
              <w:sz w:val="20"/>
            </w:rPr>
            <w:t xml:space="preserve"> K, et al (2023) Comprehensive analysis and prediction of long-term durability of factor IX activity following </w:t>
          </w:r>
          <w:proofErr w:type="spellStart"/>
          <w:r w:rsidRPr="00A852FE">
            <w:rPr>
              <w:rFonts w:ascii="Segoe UI" w:hAnsi="Segoe UI" w:cs="Segoe UI"/>
              <w:sz w:val="20"/>
            </w:rPr>
            <w:t>etranacogene</w:t>
          </w:r>
          <w:proofErr w:type="spellEnd"/>
          <w:r w:rsidRPr="00A852FE">
            <w:rPr>
              <w:rFonts w:ascii="Segoe UI" w:hAnsi="Segoe UI" w:cs="Segoe UI"/>
              <w:sz w:val="20"/>
            </w:rPr>
            <w:t xml:space="preserve"> </w:t>
          </w:r>
          <w:proofErr w:type="spellStart"/>
          <w:r w:rsidRPr="00A852FE">
            <w:rPr>
              <w:rFonts w:ascii="Segoe UI" w:hAnsi="Segoe UI" w:cs="Segoe UI"/>
              <w:sz w:val="20"/>
            </w:rPr>
            <w:t>dezaparvovec</w:t>
          </w:r>
          <w:proofErr w:type="spellEnd"/>
          <w:r w:rsidRPr="00A852FE">
            <w:rPr>
              <w:rFonts w:ascii="Segoe UI" w:hAnsi="Segoe UI" w:cs="Segoe UI"/>
              <w:sz w:val="20"/>
            </w:rPr>
            <w:t xml:space="preserve"> gene therapy in the treatment of </w:t>
          </w:r>
          <w:proofErr w:type="spellStart"/>
          <w:r w:rsidRPr="00A852FE">
            <w:rPr>
              <w:rFonts w:ascii="Segoe UI" w:hAnsi="Segoe UI" w:cs="Segoe UI"/>
              <w:sz w:val="20"/>
            </w:rPr>
            <w:t>hemophilia</w:t>
          </w:r>
          <w:proofErr w:type="spellEnd"/>
          <w:r w:rsidRPr="00A852FE">
            <w:rPr>
              <w:rFonts w:ascii="Segoe UI" w:hAnsi="Segoe UI" w:cs="Segoe UI"/>
              <w:sz w:val="20"/>
            </w:rPr>
            <w:t xml:space="preserve"> B. Curr </w:t>
          </w:r>
          <w:proofErr w:type="spellStart"/>
          <w:r w:rsidRPr="00A852FE">
            <w:rPr>
              <w:rFonts w:ascii="Segoe UI" w:hAnsi="Segoe UI" w:cs="Segoe UI"/>
              <w:sz w:val="20"/>
            </w:rPr>
            <w:t>Méd</w:t>
          </w:r>
          <w:proofErr w:type="spellEnd"/>
          <w:r w:rsidRPr="00A852FE">
            <w:rPr>
              <w:rFonts w:ascii="Segoe UI" w:hAnsi="Segoe UI" w:cs="Segoe UI"/>
              <w:sz w:val="20"/>
            </w:rPr>
            <w:t xml:space="preserve"> Res </w:t>
          </w:r>
          <w:proofErr w:type="spellStart"/>
          <w:r w:rsidRPr="00A852FE">
            <w:rPr>
              <w:rFonts w:ascii="Segoe UI" w:hAnsi="Segoe UI" w:cs="Segoe UI"/>
              <w:sz w:val="20"/>
            </w:rPr>
            <w:t>Opin</w:t>
          </w:r>
          <w:proofErr w:type="spellEnd"/>
          <w:r w:rsidRPr="00A852FE">
            <w:rPr>
              <w:rFonts w:ascii="Segoe UI" w:hAnsi="Segoe UI" w:cs="Segoe UI"/>
              <w:sz w:val="20"/>
            </w:rPr>
            <w:t xml:space="preserve"> 39:227–237. </w:t>
          </w:r>
          <w:bookmarkEnd w:id="11"/>
          <w:r w:rsidRPr="00A852FE">
            <w:rPr>
              <w:rFonts w:ascii="Segoe UI" w:hAnsi="Segoe UI" w:cs="Segoe UI"/>
              <w:sz w:val="20"/>
            </w:rPr>
            <w:fldChar w:fldCharType="begin"/>
          </w:r>
          <w:r w:rsidRPr="00A852FE">
            <w:rPr>
              <w:rFonts w:ascii="Segoe UI" w:hAnsi="Segoe UI" w:cs="Segoe UI"/>
              <w:sz w:val="20"/>
            </w:rPr>
            <w:instrText>HYPERLINK "https://doi.org/10.1080/03007995.2022.2133492"</w:instrText>
          </w:r>
          <w:r w:rsidRPr="00A852FE">
            <w:rPr>
              <w:rFonts w:ascii="Segoe UI" w:hAnsi="Segoe UI" w:cs="Segoe UI"/>
              <w:sz w:val="20"/>
            </w:rPr>
          </w:r>
          <w:r w:rsidRPr="00A852FE">
            <w:rPr>
              <w:rFonts w:ascii="Segoe UI" w:hAnsi="Segoe UI" w:cs="Segoe UI"/>
              <w:sz w:val="20"/>
            </w:rPr>
            <w:fldChar w:fldCharType="separate"/>
          </w:r>
          <w:r w:rsidRPr="00A852FE">
            <w:rPr>
              <w:rStyle w:val="Hyperlink"/>
              <w:rFonts w:ascii="Segoe UI" w:hAnsi="Segoe UI" w:cs="Segoe UI"/>
              <w:sz w:val="20"/>
            </w:rPr>
            <w:t>https://doi.org/10.1080/03007995.2022.2133492</w:t>
          </w:r>
          <w:r w:rsidRPr="00A852FE">
            <w:rPr>
              <w:rFonts w:ascii="Segoe UI" w:hAnsi="Segoe UI" w:cs="Segoe UI"/>
              <w:sz w:val="20"/>
            </w:rPr>
            <w:fldChar w:fldCharType="end"/>
          </w:r>
        </w:p>
        <w:p w14:paraId="4F78F528" w14:textId="77777777" w:rsidR="00A852FE" w:rsidRPr="00A852FE" w:rsidRDefault="00A852FE" w:rsidP="004E1D62">
          <w:pPr>
            <w:pStyle w:val="Bibliography1"/>
            <w:keepNext/>
            <w:keepLines/>
            <w:ind w:left="300" w:hanging="300"/>
            <w:divId w:val="1910924294"/>
            <w:rPr>
              <w:rFonts w:ascii="Segoe UI" w:hAnsi="Segoe UI" w:cs="Segoe UI"/>
              <w:sz w:val="20"/>
            </w:rPr>
          </w:pPr>
          <w:bookmarkStart w:id="12" w:name="bibRef03eac6194b47a49e5b421a7c97c5c3cd7"/>
          <w:r w:rsidRPr="00A852FE">
            <w:rPr>
              <w:rFonts w:ascii="Segoe UI" w:hAnsi="Segoe UI" w:cs="Segoe UI"/>
              <w:sz w:val="20"/>
            </w:rPr>
            <w:t xml:space="preserve">Srivastava A, </w:t>
          </w:r>
          <w:proofErr w:type="spellStart"/>
          <w:r w:rsidRPr="00A852FE">
            <w:rPr>
              <w:rFonts w:ascii="Segoe UI" w:hAnsi="Segoe UI" w:cs="Segoe UI"/>
              <w:sz w:val="20"/>
            </w:rPr>
            <w:t>Santagostino</w:t>
          </w:r>
          <w:proofErr w:type="spellEnd"/>
          <w:r w:rsidRPr="00A852FE">
            <w:rPr>
              <w:rFonts w:ascii="Segoe UI" w:hAnsi="Segoe UI" w:cs="Segoe UI"/>
              <w:sz w:val="20"/>
            </w:rPr>
            <w:t xml:space="preserve"> E, Dougall A, et al (2020) WFH Guidelines for the Management of </w:t>
          </w:r>
          <w:proofErr w:type="spellStart"/>
          <w:r w:rsidRPr="00A852FE">
            <w:rPr>
              <w:rFonts w:ascii="Segoe UI" w:hAnsi="Segoe UI" w:cs="Segoe UI"/>
              <w:sz w:val="20"/>
            </w:rPr>
            <w:t>Hemophilia</w:t>
          </w:r>
          <w:proofErr w:type="spellEnd"/>
          <w:r w:rsidRPr="00A852FE">
            <w:rPr>
              <w:rFonts w:ascii="Segoe UI" w:hAnsi="Segoe UI" w:cs="Segoe UI"/>
              <w:sz w:val="20"/>
            </w:rPr>
            <w:t xml:space="preserve">, 3rd edition. Haemophilia 26 Suppl 6:1–158. </w:t>
          </w:r>
          <w:bookmarkEnd w:id="12"/>
          <w:r w:rsidRPr="00A852FE">
            <w:rPr>
              <w:rFonts w:ascii="Segoe UI" w:hAnsi="Segoe UI" w:cs="Segoe UI"/>
              <w:sz w:val="20"/>
            </w:rPr>
            <w:fldChar w:fldCharType="begin"/>
          </w:r>
          <w:r w:rsidRPr="00A852FE">
            <w:rPr>
              <w:rFonts w:ascii="Segoe UI" w:hAnsi="Segoe UI" w:cs="Segoe UI"/>
              <w:sz w:val="20"/>
            </w:rPr>
            <w:instrText>HYPERLINK "https://doi.org/10.1111/hae.14046"</w:instrText>
          </w:r>
          <w:r w:rsidRPr="00A852FE">
            <w:rPr>
              <w:rFonts w:ascii="Segoe UI" w:hAnsi="Segoe UI" w:cs="Segoe UI"/>
              <w:sz w:val="20"/>
            </w:rPr>
          </w:r>
          <w:r w:rsidRPr="00A852FE">
            <w:rPr>
              <w:rFonts w:ascii="Segoe UI" w:hAnsi="Segoe UI" w:cs="Segoe UI"/>
              <w:sz w:val="20"/>
            </w:rPr>
            <w:fldChar w:fldCharType="separate"/>
          </w:r>
          <w:r w:rsidRPr="00A852FE">
            <w:rPr>
              <w:rStyle w:val="Hyperlink"/>
              <w:rFonts w:ascii="Segoe UI" w:hAnsi="Segoe UI" w:cs="Segoe UI"/>
              <w:sz w:val="20"/>
            </w:rPr>
            <w:t>https://doi.org/10.1111/hae.14046</w:t>
          </w:r>
          <w:r w:rsidRPr="00A852FE">
            <w:rPr>
              <w:rFonts w:ascii="Segoe UI" w:hAnsi="Segoe UI" w:cs="Segoe UI"/>
              <w:sz w:val="20"/>
            </w:rPr>
            <w:fldChar w:fldCharType="end"/>
          </w:r>
        </w:p>
        <w:p w14:paraId="7DA6F0EF" w14:textId="559A4E25" w:rsidR="002D2DF7" w:rsidRDefault="00A852FE" w:rsidP="004E1D62">
          <w:pPr>
            <w:pStyle w:val="Bibliography1"/>
            <w:keepNext/>
            <w:keepLines/>
            <w:ind w:left="300" w:hanging="300"/>
            <w:rPr>
              <w:rFonts w:ascii="Segoe UI" w:hAnsi="Segoe UI" w:cs="Segoe UI"/>
              <w:i/>
              <w:iCs/>
              <w:color w:val="538135" w:themeColor="accent6" w:themeShade="BF"/>
              <w:sz w:val="20"/>
              <w:szCs w:val="20"/>
            </w:rPr>
          </w:pPr>
          <w:bookmarkStart w:id="13" w:name="bibRef00d27c0be0cf842249a7b0190f7e8e5e0"/>
          <w:r w:rsidRPr="00A852FE">
            <w:rPr>
              <w:rFonts w:ascii="Segoe UI" w:hAnsi="Segoe UI" w:cs="Segoe UI"/>
              <w:sz w:val="20"/>
            </w:rPr>
            <w:t xml:space="preserve">Thornburg CD (2021) </w:t>
          </w:r>
          <w:proofErr w:type="spellStart"/>
          <w:r w:rsidRPr="00A852FE">
            <w:rPr>
              <w:rFonts w:ascii="Segoe UI" w:hAnsi="Segoe UI" w:cs="Segoe UI"/>
              <w:sz w:val="20"/>
            </w:rPr>
            <w:t>Etranacogene</w:t>
          </w:r>
          <w:proofErr w:type="spellEnd"/>
          <w:r w:rsidRPr="00A852FE">
            <w:rPr>
              <w:rFonts w:ascii="Segoe UI" w:hAnsi="Segoe UI" w:cs="Segoe UI"/>
              <w:sz w:val="20"/>
            </w:rPr>
            <w:t xml:space="preserve"> </w:t>
          </w:r>
          <w:proofErr w:type="spellStart"/>
          <w:r w:rsidRPr="00A852FE">
            <w:rPr>
              <w:rFonts w:ascii="Segoe UI" w:hAnsi="Segoe UI" w:cs="Segoe UI"/>
              <w:sz w:val="20"/>
            </w:rPr>
            <w:t>dezaparvovec</w:t>
          </w:r>
          <w:proofErr w:type="spellEnd"/>
          <w:r w:rsidRPr="00A852FE">
            <w:rPr>
              <w:rFonts w:ascii="Segoe UI" w:hAnsi="Segoe UI" w:cs="Segoe UI"/>
              <w:sz w:val="20"/>
            </w:rPr>
            <w:t xml:space="preserve"> for </w:t>
          </w:r>
          <w:proofErr w:type="spellStart"/>
          <w:r w:rsidRPr="00A852FE">
            <w:rPr>
              <w:rFonts w:ascii="Segoe UI" w:hAnsi="Segoe UI" w:cs="Segoe UI"/>
              <w:sz w:val="20"/>
            </w:rPr>
            <w:t>hemophilia</w:t>
          </w:r>
          <w:proofErr w:type="spellEnd"/>
          <w:r w:rsidRPr="00A852FE">
            <w:rPr>
              <w:rFonts w:ascii="Segoe UI" w:hAnsi="Segoe UI" w:cs="Segoe UI"/>
              <w:sz w:val="20"/>
            </w:rPr>
            <w:t xml:space="preserve"> B gene therapy. Ther Adv Rare Dis 2:26330040211058896. </w:t>
          </w:r>
          <w:bookmarkEnd w:id="13"/>
          <w:r w:rsidRPr="00A852FE">
            <w:rPr>
              <w:rFonts w:ascii="Segoe UI" w:hAnsi="Segoe UI" w:cs="Segoe UI"/>
              <w:sz w:val="20"/>
            </w:rPr>
            <w:fldChar w:fldCharType="begin"/>
          </w:r>
          <w:r w:rsidRPr="00A852FE">
            <w:rPr>
              <w:rFonts w:ascii="Segoe UI" w:hAnsi="Segoe UI" w:cs="Segoe UI"/>
              <w:sz w:val="20"/>
            </w:rPr>
            <w:instrText>HYPERLINK "https://doi.org/10.1177/26330040211058896"</w:instrText>
          </w:r>
          <w:r w:rsidRPr="00A852FE">
            <w:rPr>
              <w:rFonts w:ascii="Segoe UI" w:hAnsi="Segoe UI" w:cs="Segoe UI"/>
              <w:sz w:val="20"/>
            </w:rPr>
          </w:r>
          <w:r w:rsidRPr="00A852FE">
            <w:rPr>
              <w:rFonts w:ascii="Segoe UI" w:hAnsi="Segoe UI" w:cs="Segoe UI"/>
              <w:sz w:val="20"/>
            </w:rPr>
            <w:fldChar w:fldCharType="separate"/>
          </w:r>
          <w:r w:rsidRPr="00A852FE">
            <w:rPr>
              <w:rStyle w:val="Hyperlink"/>
              <w:rFonts w:ascii="Segoe UI" w:hAnsi="Segoe UI" w:cs="Segoe UI"/>
              <w:sz w:val="20"/>
            </w:rPr>
            <w:t>https://doi.org/10.1177/26330040211058896</w:t>
          </w:r>
          <w:r w:rsidRPr="00A852FE">
            <w:rPr>
              <w:rFonts w:ascii="Segoe UI" w:hAnsi="Segoe UI" w:cs="Segoe UI"/>
              <w:sz w:val="20"/>
            </w:rPr>
            <w:fldChar w:fldCharType="end"/>
          </w:r>
          <w:r w:rsidRPr="00A852FE">
            <w:rPr>
              <w:rFonts w:ascii="Segoe UI" w:eastAsia="Times New Roman" w:hAnsi="Segoe UI" w:cs="Segoe UI"/>
              <w:sz w:val="20"/>
            </w:rPr>
            <w:t> </w:t>
          </w:r>
        </w:p>
      </w:sdtContent>
    </w:sdt>
    <w:sectPr w:rsidR="002D2DF7" w:rsidSect="00A108C0">
      <w:headerReference w:type="default" r:id="rId19"/>
      <w:footerReference w:type="default" r:id="rId20"/>
      <w:headerReference w:type="first" r:id="rId21"/>
      <w:footerReference w:type="first" r:id="rId22"/>
      <w:pgSz w:w="16838" w:h="11906" w:orient="landscape"/>
      <w:pgMar w:top="1440" w:right="1440" w:bottom="991" w:left="1135" w:header="426" w:footer="2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1ED5B" w14:textId="77777777" w:rsidR="00DD0593" w:rsidRDefault="00DD0593" w:rsidP="00BE6B22">
      <w:pPr>
        <w:spacing w:after="0" w:line="240" w:lineRule="auto"/>
      </w:pPr>
      <w:r>
        <w:separator/>
      </w:r>
    </w:p>
  </w:endnote>
  <w:endnote w:type="continuationSeparator" w:id="0">
    <w:p w14:paraId="3D5C27F5" w14:textId="77777777" w:rsidR="00DD0593" w:rsidRDefault="00DD0593" w:rsidP="00BE6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7288145"/>
      <w:docPartObj>
        <w:docPartGallery w:val="Page Numbers (Bottom of Page)"/>
        <w:docPartUnique/>
      </w:docPartObj>
    </w:sdtPr>
    <w:sdtEndPr>
      <w:rPr>
        <w:noProof/>
      </w:rPr>
    </w:sdtEndPr>
    <w:sdtContent>
      <w:p w14:paraId="57DD3F79" w14:textId="148B4923" w:rsidR="00BD7B7D" w:rsidRDefault="00BD7B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654E60" w14:textId="49DEE59A" w:rsidR="002D2DF7" w:rsidRPr="00621DBB" w:rsidRDefault="002D2DF7" w:rsidP="00621DB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6DB92" w14:textId="5C6C0C6E" w:rsidR="00621DBB" w:rsidRDefault="00621DBB">
    <w:pPr>
      <w:pStyle w:val="Footer"/>
      <w:jc w:val="right"/>
    </w:pPr>
  </w:p>
  <w:p w14:paraId="44AF5C18" w14:textId="77777777" w:rsidR="004E1D62" w:rsidRDefault="004E1D62" w:rsidP="00621DB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A1DA5" w14:textId="6BADE254" w:rsidR="0090168B" w:rsidRDefault="00A108C0" w:rsidP="00A108C0">
    <w:pPr>
      <w:pStyle w:val="Footer"/>
      <w:jc w:val="right"/>
    </w:pPr>
    <w:r>
      <w:t>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7D446" w14:textId="7DF2EE0F" w:rsidR="27633528" w:rsidRDefault="00A108C0" w:rsidP="00A108C0">
    <w:pPr>
      <w:pStyle w:val="Footer"/>
      <w:jc w:val="right"/>
    </w:pPr>
    <w:r>
      <w:t>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A7085" w14:textId="77777777" w:rsidR="00DD0593" w:rsidRDefault="00DD0593" w:rsidP="00BE6B22">
      <w:pPr>
        <w:spacing w:after="0" w:line="240" w:lineRule="auto"/>
      </w:pPr>
      <w:r>
        <w:separator/>
      </w:r>
    </w:p>
  </w:footnote>
  <w:footnote w:type="continuationSeparator" w:id="0">
    <w:p w14:paraId="69E6141D" w14:textId="77777777" w:rsidR="00DD0593" w:rsidRDefault="00DD0593" w:rsidP="00BE6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123B2" w14:textId="001BD8C4" w:rsidR="002D2DF7" w:rsidRPr="00357B78" w:rsidRDefault="001B0E69" w:rsidP="000E1074">
    <w:pPr>
      <w:pStyle w:val="Header"/>
      <w:rPr>
        <w:rFonts w:ascii="Segoe UI" w:hAnsi="Segoe UI" w:cs="Segoe UI"/>
        <w:sz w:val="22"/>
        <w:szCs w:val="22"/>
      </w:rPr>
    </w:pPr>
    <w:sdt>
      <w:sdtPr>
        <w:rPr>
          <w:rFonts w:ascii="Segoe UI" w:hAnsi="Segoe UI" w:cs="Segoe UI"/>
          <w:sz w:val="22"/>
          <w:szCs w:val="22"/>
          <w:highlight w:val="lightGray"/>
        </w:rPr>
        <w:alias w:val="ApplicationTitle"/>
        <w:tag w:val="ApplicationTitle"/>
        <w:id w:val="-281809553"/>
        <w:showingPlcHdr/>
        <w:text/>
      </w:sdtPr>
      <w:sdtEndPr/>
      <w:sdtContent>
        <w:r w:rsidR="002D2DF7" w:rsidRPr="008E24D6">
          <w:rPr>
            <w:rStyle w:val="PlaceholderText"/>
            <w:rFonts w:ascii="Segoe UI" w:hAnsi="Segoe UI" w:cs="Segoe UI"/>
            <w:color w:val="747474"/>
            <w:sz w:val="22"/>
            <w:szCs w:val="22"/>
          </w:rPr>
          <w:t>Etranacogene dezaparvovec for the treatment of congenital haemophilia B</w:t>
        </w:r>
      </w:sdtContent>
    </w:sdt>
    <w:r w:rsidR="002D2DF7" w:rsidRPr="27633528">
      <w:rPr>
        <w:rFonts w:ascii="Segoe UI" w:hAnsi="Segoe UI" w:cs="Segoe UI"/>
        <w:sz w:val="22"/>
        <w:szCs w:val="22"/>
      </w:rPr>
      <w:t xml:space="preserve"> – PICO Set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3B69A" w14:textId="4FD011BC" w:rsidR="00EC7BD5" w:rsidRPr="002E357C" w:rsidRDefault="004E1D62" w:rsidP="00EC7BD5">
    <w:pPr>
      <w:pStyle w:val="Header"/>
    </w:pPr>
    <w:sdt>
      <w:sdtPr>
        <w:rPr>
          <w:rFonts w:ascii="Segoe UI" w:hAnsi="Segoe UI" w:cs="Segoe UI"/>
          <w:sz w:val="22"/>
          <w:szCs w:val="22"/>
          <w:highlight w:val="lightGray"/>
        </w:rPr>
        <w:alias w:val="ApplicationTitle"/>
        <w:tag w:val="ApplicationTitle"/>
        <w:id w:val="-1799444369"/>
        <w:showingPlcHdr/>
        <w:text/>
      </w:sdtPr>
      <w:sdtContent>
        <w:r w:rsidRPr="008E24D6">
          <w:rPr>
            <w:rStyle w:val="PlaceholderText"/>
            <w:rFonts w:ascii="Segoe UI" w:hAnsi="Segoe UI" w:cs="Segoe UI"/>
            <w:color w:val="747474"/>
            <w:sz w:val="22"/>
            <w:szCs w:val="22"/>
          </w:rPr>
          <w:t>Etranacogene dezaparvovec for the treatment of congenital haemophilia B</w:t>
        </w:r>
      </w:sdtContent>
    </w:sdt>
    <w:r>
      <w:t xml:space="preserve"> </w:t>
    </w:r>
    <w:r w:rsidR="00EC7BD5">
      <w:t xml:space="preserve">– PICO Set </w:t>
    </w:r>
  </w:p>
  <w:p w14:paraId="6451851C" w14:textId="09879ADE" w:rsidR="00F16239" w:rsidRDefault="00F16239" w:rsidP="00BE6B2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50"/>
      <w:gridCol w:w="4750"/>
      <w:gridCol w:w="4750"/>
    </w:tblGrid>
    <w:tr w:rsidR="27633528" w14:paraId="141F8B7D" w14:textId="77777777" w:rsidTr="27633528">
      <w:trPr>
        <w:trHeight w:val="300"/>
      </w:trPr>
      <w:tc>
        <w:tcPr>
          <w:tcW w:w="4750" w:type="dxa"/>
        </w:tcPr>
        <w:p w14:paraId="1C0DB11D" w14:textId="1C12EE28" w:rsidR="27633528" w:rsidRDefault="27633528" w:rsidP="27633528">
          <w:pPr>
            <w:pStyle w:val="Header"/>
            <w:ind w:left="-115"/>
          </w:pPr>
        </w:p>
      </w:tc>
      <w:tc>
        <w:tcPr>
          <w:tcW w:w="4750" w:type="dxa"/>
        </w:tcPr>
        <w:p w14:paraId="7BF29B1B" w14:textId="6B3631F5" w:rsidR="27633528" w:rsidRDefault="27633528" w:rsidP="27633528">
          <w:pPr>
            <w:pStyle w:val="Header"/>
            <w:jc w:val="center"/>
          </w:pPr>
        </w:p>
      </w:tc>
      <w:tc>
        <w:tcPr>
          <w:tcW w:w="4750" w:type="dxa"/>
        </w:tcPr>
        <w:p w14:paraId="22922387" w14:textId="0CDF3F4A" w:rsidR="27633528" w:rsidRDefault="27633528" w:rsidP="27633528">
          <w:pPr>
            <w:pStyle w:val="Header"/>
            <w:ind w:right="-115"/>
            <w:jc w:val="right"/>
          </w:pPr>
        </w:p>
      </w:tc>
    </w:tr>
  </w:tbl>
  <w:p w14:paraId="41D06D3A" w14:textId="69CE16F3" w:rsidR="27633528" w:rsidRDefault="27633528" w:rsidP="27633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56CFF"/>
    <w:multiLevelType w:val="hybridMultilevel"/>
    <w:tmpl w:val="AB00CFC4"/>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186AF7"/>
    <w:multiLevelType w:val="hybridMultilevel"/>
    <w:tmpl w:val="B172E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5B2E3F"/>
    <w:multiLevelType w:val="hybridMultilevel"/>
    <w:tmpl w:val="EDCAFE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5B17D9"/>
    <w:multiLevelType w:val="hybridMultilevel"/>
    <w:tmpl w:val="19D8DB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830280"/>
    <w:multiLevelType w:val="hybridMultilevel"/>
    <w:tmpl w:val="2946D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CE2E7D"/>
    <w:multiLevelType w:val="hybridMultilevel"/>
    <w:tmpl w:val="B3066A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5E96801"/>
    <w:multiLevelType w:val="hybridMultilevel"/>
    <w:tmpl w:val="91A02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19313F"/>
    <w:multiLevelType w:val="hybridMultilevel"/>
    <w:tmpl w:val="FC06F6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B036F33"/>
    <w:multiLevelType w:val="hybridMultilevel"/>
    <w:tmpl w:val="19D8DB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35C16F7"/>
    <w:multiLevelType w:val="hybridMultilevel"/>
    <w:tmpl w:val="33768F12"/>
    <w:lvl w:ilvl="0" w:tplc="50F8A09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9B62666"/>
    <w:multiLevelType w:val="hybridMultilevel"/>
    <w:tmpl w:val="1FB0F7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0012BB"/>
    <w:multiLevelType w:val="hybridMultilevel"/>
    <w:tmpl w:val="922AE6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9020F40"/>
    <w:multiLevelType w:val="hybridMultilevel"/>
    <w:tmpl w:val="705298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9AE573F"/>
    <w:multiLevelType w:val="hybridMultilevel"/>
    <w:tmpl w:val="3DAC7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01533948">
    <w:abstractNumId w:val="1"/>
  </w:num>
  <w:num w:numId="2" w16cid:durableId="1560438925">
    <w:abstractNumId w:val="6"/>
  </w:num>
  <w:num w:numId="3" w16cid:durableId="956567223">
    <w:abstractNumId w:val="4"/>
  </w:num>
  <w:num w:numId="4" w16cid:durableId="1915583946">
    <w:abstractNumId w:val="3"/>
  </w:num>
  <w:num w:numId="5" w16cid:durableId="1502622905">
    <w:abstractNumId w:val="8"/>
  </w:num>
  <w:num w:numId="6" w16cid:durableId="1862891158">
    <w:abstractNumId w:val="12"/>
  </w:num>
  <w:num w:numId="7" w16cid:durableId="593906206">
    <w:abstractNumId w:val="9"/>
  </w:num>
  <w:num w:numId="8" w16cid:durableId="249046587">
    <w:abstractNumId w:val="5"/>
  </w:num>
  <w:num w:numId="9" w16cid:durableId="2096317271">
    <w:abstractNumId w:val="13"/>
  </w:num>
  <w:num w:numId="10" w16cid:durableId="258297247">
    <w:abstractNumId w:val="10"/>
  </w:num>
  <w:num w:numId="11" w16cid:durableId="1807622802">
    <w:abstractNumId w:val="2"/>
  </w:num>
  <w:num w:numId="12" w16cid:durableId="425535585">
    <w:abstractNumId w:val="11"/>
  </w:num>
  <w:num w:numId="13" w16cid:durableId="832766316">
    <w:abstractNumId w:val="7"/>
  </w:num>
  <w:num w:numId="14" w16cid:durableId="1996686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B22"/>
    <w:rsid w:val="00025078"/>
    <w:rsid w:val="00025969"/>
    <w:rsid w:val="00036D6E"/>
    <w:rsid w:val="00051843"/>
    <w:rsid w:val="00052A83"/>
    <w:rsid w:val="00052CEE"/>
    <w:rsid w:val="000627EF"/>
    <w:rsid w:val="000662CC"/>
    <w:rsid w:val="00067644"/>
    <w:rsid w:val="00087193"/>
    <w:rsid w:val="0009097A"/>
    <w:rsid w:val="00092D25"/>
    <w:rsid w:val="000934AF"/>
    <w:rsid w:val="000A1746"/>
    <w:rsid w:val="000A32B7"/>
    <w:rsid w:val="000B7A73"/>
    <w:rsid w:val="000C1FDA"/>
    <w:rsid w:val="000C3CED"/>
    <w:rsid w:val="000D4649"/>
    <w:rsid w:val="000D6550"/>
    <w:rsid w:val="000E79A2"/>
    <w:rsid w:val="00100760"/>
    <w:rsid w:val="00115774"/>
    <w:rsid w:val="00122BBE"/>
    <w:rsid w:val="00133DAE"/>
    <w:rsid w:val="0016065A"/>
    <w:rsid w:val="00173E63"/>
    <w:rsid w:val="001A72B8"/>
    <w:rsid w:val="001B0E69"/>
    <w:rsid w:val="001B634C"/>
    <w:rsid w:val="001C32B0"/>
    <w:rsid w:val="001D3C8A"/>
    <w:rsid w:val="001E02B8"/>
    <w:rsid w:val="001E1A13"/>
    <w:rsid w:val="001E430A"/>
    <w:rsid w:val="001F3FFB"/>
    <w:rsid w:val="001F5528"/>
    <w:rsid w:val="00201F3B"/>
    <w:rsid w:val="00223DB3"/>
    <w:rsid w:val="00225EB3"/>
    <w:rsid w:val="0023287A"/>
    <w:rsid w:val="002341A7"/>
    <w:rsid w:val="00241B58"/>
    <w:rsid w:val="00250911"/>
    <w:rsid w:val="00250DE3"/>
    <w:rsid w:val="00265405"/>
    <w:rsid w:val="00280050"/>
    <w:rsid w:val="00280E2C"/>
    <w:rsid w:val="00286A03"/>
    <w:rsid w:val="002A7B46"/>
    <w:rsid w:val="002B1175"/>
    <w:rsid w:val="002B7B2B"/>
    <w:rsid w:val="002D2DF7"/>
    <w:rsid w:val="002D7216"/>
    <w:rsid w:val="002E357C"/>
    <w:rsid w:val="002F4F56"/>
    <w:rsid w:val="0030095F"/>
    <w:rsid w:val="003142F7"/>
    <w:rsid w:val="0031460C"/>
    <w:rsid w:val="0032116B"/>
    <w:rsid w:val="00323037"/>
    <w:rsid w:val="00347217"/>
    <w:rsid w:val="0035525E"/>
    <w:rsid w:val="003569E9"/>
    <w:rsid w:val="00356D7E"/>
    <w:rsid w:val="00357B78"/>
    <w:rsid w:val="00357F15"/>
    <w:rsid w:val="0037319D"/>
    <w:rsid w:val="00374832"/>
    <w:rsid w:val="0037600A"/>
    <w:rsid w:val="00380C41"/>
    <w:rsid w:val="0039398B"/>
    <w:rsid w:val="003A16D1"/>
    <w:rsid w:val="003A2EC0"/>
    <w:rsid w:val="003A744B"/>
    <w:rsid w:val="003B1000"/>
    <w:rsid w:val="003B7B8D"/>
    <w:rsid w:val="003F39D1"/>
    <w:rsid w:val="003F3A0A"/>
    <w:rsid w:val="00403005"/>
    <w:rsid w:val="004209BC"/>
    <w:rsid w:val="004209FC"/>
    <w:rsid w:val="0042180F"/>
    <w:rsid w:val="00423D53"/>
    <w:rsid w:val="00447227"/>
    <w:rsid w:val="00452657"/>
    <w:rsid w:val="004650E9"/>
    <w:rsid w:val="00474B6F"/>
    <w:rsid w:val="00492868"/>
    <w:rsid w:val="004952C1"/>
    <w:rsid w:val="00495885"/>
    <w:rsid w:val="004A13E1"/>
    <w:rsid w:val="004A26A9"/>
    <w:rsid w:val="004A45BE"/>
    <w:rsid w:val="004A572F"/>
    <w:rsid w:val="004B6894"/>
    <w:rsid w:val="004C02B7"/>
    <w:rsid w:val="004C334A"/>
    <w:rsid w:val="004D13FD"/>
    <w:rsid w:val="004E1D62"/>
    <w:rsid w:val="004E306A"/>
    <w:rsid w:val="004F02B2"/>
    <w:rsid w:val="004F2973"/>
    <w:rsid w:val="004F4C4B"/>
    <w:rsid w:val="00517D32"/>
    <w:rsid w:val="0052274F"/>
    <w:rsid w:val="00545A4C"/>
    <w:rsid w:val="00554185"/>
    <w:rsid w:val="00566CF9"/>
    <w:rsid w:val="00570EDE"/>
    <w:rsid w:val="0058092C"/>
    <w:rsid w:val="005837E9"/>
    <w:rsid w:val="00583E1E"/>
    <w:rsid w:val="00591AA2"/>
    <w:rsid w:val="005B5A58"/>
    <w:rsid w:val="005C5C8C"/>
    <w:rsid w:val="005E1CFB"/>
    <w:rsid w:val="005E3E43"/>
    <w:rsid w:val="005E6A3B"/>
    <w:rsid w:val="005F6E9C"/>
    <w:rsid w:val="00600ED9"/>
    <w:rsid w:val="00604CCC"/>
    <w:rsid w:val="00607FC1"/>
    <w:rsid w:val="00621DBB"/>
    <w:rsid w:val="006222CE"/>
    <w:rsid w:val="006227EF"/>
    <w:rsid w:val="006276EA"/>
    <w:rsid w:val="00633850"/>
    <w:rsid w:val="006415EA"/>
    <w:rsid w:val="006424CF"/>
    <w:rsid w:val="006429A1"/>
    <w:rsid w:val="006437E6"/>
    <w:rsid w:val="00644084"/>
    <w:rsid w:val="00644BF8"/>
    <w:rsid w:val="00647B29"/>
    <w:rsid w:val="00650406"/>
    <w:rsid w:val="00652D0C"/>
    <w:rsid w:val="00654870"/>
    <w:rsid w:val="00664AC7"/>
    <w:rsid w:val="00665487"/>
    <w:rsid w:val="006658C4"/>
    <w:rsid w:val="00673E4D"/>
    <w:rsid w:val="006A4D28"/>
    <w:rsid w:val="006D3E8C"/>
    <w:rsid w:val="006D79C7"/>
    <w:rsid w:val="006E1F89"/>
    <w:rsid w:val="006E2BB0"/>
    <w:rsid w:val="006F1874"/>
    <w:rsid w:val="00702D06"/>
    <w:rsid w:val="00704FE2"/>
    <w:rsid w:val="00710360"/>
    <w:rsid w:val="00714F74"/>
    <w:rsid w:val="00715FA3"/>
    <w:rsid w:val="00723EA9"/>
    <w:rsid w:val="0073598A"/>
    <w:rsid w:val="00737A82"/>
    <w:rsid w:val="0074393A"/>
    <w:rsid w:val="00750260"/>
    <w:rsid w:val="007575B0"/>
    <w:rsid w:val="00766143"/>
    <w:rsid w:val="00770FA6"/>
    <w:rsid w:val="007800A2"/>
    <w:rsid w:val="00781ADF"/>
    <w:rsid w:val="007A01A4"/>
    <w:rsid w:val="007A4F77"/>
    <w:rsid w:val="007A540B"/>
    <w:rsid w:val="007A72E4"/>
    <w:rsid w:val="007C0A80"/>
    <w:rsid w:val="007E4DFD"/>
    <w:rsid w:val="007E6973"/>
    <w:rsid w:val="007F1268"/>
    <w:rsid w:val="007F14BF"/>
    <w:rsid w:val="008278C6"/>
    <w:rsid w:val="008329E0"/>
    <w:rsid w:val="008344A5"/>
    <w:rsid w:val="00836A15"/>
    <w:rsid w:val="00846C1D"/>
    <w:rsid w:val="00884F92"/>
    <w:rsid w:val="008A2D52"/>
    <w:rsid w:val="008A38E6"/>
    <w:rsid w:val="008B20F8"/>
    <w:rsid w:val="008D393D"/>
    <w:rsid w:val="008E24D6"/>
    <w:rsid w:val="008F2B7A"/>
    <w:rsid w:val="008F7370"/>
    <w:rsid w:val="0090168B"/>
    <w:rsid w:val="00906D26"/>
    <w:rsid w:val="00906E1D"/>
    <w:rsid w:val="00915C6B"/>
    <w:rsid w:val="0091615B"/>
    <w:rsid w:val="00917852"/>
    <w:rsid w:val="00924920"/>
    <w:rsid w:val="00930344"/>
    <w:rsid w:val="00932CE5"/>
    <w:rsid w:val="00947A62"/>
    <w:rsid w:val="00952921"/>
    <w:rsid w:val="00955904"/>
    <w:rsid w:val="00961ED5"/>
    <w:rsid w:val="00975B6D"/>
    <w:rsid w:val="009868DE"/>
    <w:rsid w:val="009B1848"/>
    <w:rsid w:val="009B7136"/>
    <w:rsid w:val="009C0554"/>
    <w:rsid w:val="009D1642"/>
    <w:rsid w:val="009D5D20"/>
    <w:rsid w:val="009E672D"/>
    <w:rsid w:val="00A108C0"/>
    <w:rsid w:val="00A12B31"/>
    <w:rsid w:val="00A435D2"/>
    <w:rsid w:val="00A6304B"/>
    <w:rsid w:val="00A63752"/>
    <w:rsid w:val="00A73688"/>
    <w:rsid w:val="00A852FE"/>
    <w:rsid w:val="00A8749A"/>
    <w:rsid w:val="00A9393D"/>
    <w:rsid w:val="00A94581"/>
    <w:rsid w:val="00AA1625"/>
    <w:rsid w:val="00AA472B"/>
    <w:rsid w:val="00AB0967"/>
    <w:rsid w:val="00AB34B9"/>
    <w:rsid w:val="00AB4FB8"/>
    <w:rsid w:val="00AB5962"/>
    <w:rsid w:val="00AC1282"/>
    <w:rsid w:val="00AC2100"/>
    <w:rsid w:val="00AC2E86"/>
    <w:rsid w:val="00AC3509"/>
    <w:rsid w:val="00AC6B89"/>
    <w:rsid w:val="00AD39FA"/>
    <w:rsid w:val="00AE1F91"/>
    <w:rsid w:val="00B02DE4"/>
    <w:rsid w:val="00B10A36"/>
    <w:rsid w:val="00B17F10"/>
    <w:rsid w:val="00B33BD1"/>
    <w:rsid w:val="00B425E4"/>
    <w:rsid w:val="00B453CE"/>
    <w:rsid w:val="00B47B8E"/>
    <w:rsid w:val="00B514E2"/>
    <w:rsid w:val="00B522B6"/>
    <w:rsid w:val="00B549C1"/>
    <w:rsid w:val="00B63B7C"/>
    <w:rsid w:val="00B759D1"/>
    <w:rsid w:val="00B83BDA"/>
    <w:rsid w:val="00B8648F"/>
    <w:rsid w:val="00B86BB0"/>
    <w:rsid w:val="00B91831"/>
    <w:rsid w:val="00B936AF"/>
    <w:rsid w:val="00BA0D7A"/>
    <w:rsid w:val="00BB265E"/>
    <w:rsid w:val="00BB494A"/>
    <w:rsid w:val="00BC4A10"/>
    <w:rsid w:val="00BD4A24"/>
    <w:rsid w:val="00BD7B7D"/>
    <w:rsid w:val="00BE0612"/>
    <w:rsid w:val="00BE12F3"/>
    <w:rsid w:val="00BE2FA0"/>
    <w:rsid w:val="00BE6B22"/>
    <w:rsid w:val="00BE7F70"/>
    <w:rsid w:val="00C0618E"/>
    <w:rsid w:val="00C17CF6"/>
    <w:rsid w:val="00C30A56"/>
    <w:rsid w:val="00C40EC4"/>
    <w:rsid w:val="00C422D5"/>
    <w:rsid w:val="00C4324F"/>
    <w:rsid w:val="00C56E07"/>
    <w:rsid w:val="00C57631"/>
    <w:rsid w:val="00C666D7"/>
    <w:rsid w:val="00C727C9"/>
    <w:rsid w:val="00C81993"/>
    <w:rsid w:val="00C95AAC"/>
    <w:rsid w:val="00C96E92"/>
    <w:rsid w:val="00CB5480"/>
    <w:rsid w:val="00CB6EE2"/>
    <w:rsid w:val="00CC184C"/>
    <w:rsid w:val="00D05B2E"/>
    <w:rsid w:val="00D06139"/>
    <w:rsid w:val="00D119AA"/>
    <w:rsid w:val="00D23032"/>
    <w:rsid w:val="00D242D8"/>
    <w:rsid w:val="00D32DD1"/>
    <w:rsid w:val="00D355CB"/>
    <w:rsid w:val="00D42274"/>
    <w:rsid w:val="00D51CDA"/>
    <w:rsid w:val="00D661DD"/>
    <w:rsid w:val="00D66F1A"/>
    <w:rsid w:val="00D67E00"/>
    <w:rsid w:val="00D67EAF"/>
    <w:rsid w:val="00D77E37"/>
    <w:rsid w:val="00D801B8"/>
    <w:rsid w:val="00D87751"/>
    <w:rsid w:val="00D95145"/>
    <w:rsid w:val="00DB1431"/>
    <w:rsid w:val="00DB2D53"/>
    <w:rsid w:val="00DB47C6"/>
    <w:rsid w:val="00DC034B"/>
    <w:rsid w:val="00DD0593"/>
    <w:rsid w:val="00DD0A06"/>
    <w:rsid w:val="00DD2A4B"/>
    <w:rsid w:val="00DE1D2B"/>
    <w:rsid w:val="00E00CD3"/>
    <w:rsid w:val="00E062BD"/>
    <w:rsid w:val="00E139A1"/>
    <w:rsid w:val="00E24B80"/>
    <w:rsid w:val="00E26F95"/>
    <w:rsid w:val="00E5134D"/>
    <w:rsid w:val="00E64D08"/>
    <w:rsid w:val="00EA066E"/>
    <w:rsid w:val="00EA7B42"/>
    <w:rsid w:val="00EC7BD5"/>
    <w:rsid w:val="00ED1B9E"/>
    <w:rsid w:val="00ED220C"/>
    <w:rsid w:val="00EE0A12"/>
    <w:rsid w:val="00EF1311"/>
    <w:rsid w:val="00F14D6C"/>
    <w:rsid w:val="00F16239"/>
    <w:rsid w:val="00F237B9"/>
    <w:rsid w:val="00F442B9"/>
    <w:rsid w:val="00F541D7"/>
    <w:rsid w:val="00F56EAD"/>
    <w:rsid w:val="00F71CDF"/>
    <w:rsid w:val="00F80CE1"/>
    <w:rsid w:val="00F8793C"/>
    <w:rsid w:val="00FA23B0"/>
    <w:rsid w:val="00FA37F1"/>
    <w:rsid w:val="00FA3D65"/>
    <w:rsid w:val="00FA6D97"/>
    <w:rsid w:val="00FB3A63"/>
    <w:rsid w:val="00FC7AA6"/>
    <w:rsid w:val="00FE257E"/>
    <w:rsid w:val="00FF58BA"/>
    <w:rsid w:val="200B1992"/>
    <w:rsid w:val="276335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7BD5"/>
    <w:pPr>
      <w:spacing w:before="240" w:after="120" w:line="240" w:lineRule="auto"/>
      <w:outlineLvl w:val="0"/>
    </w:pPr>
    <w:rPr>
      <w:rFonts w:ascii="Segoe UI" w:eastAsia="Segoe UI" w:hAnsi="Segoe UI" w:cs="Segoe UI"/>
      <w:b/>
      <w:color w:val="0070C0"/>
      <w:sz w:val="32"/>
      <w:szCs w:val="22"/>
    </w:rPr>
  </w:style>
  <w:style w:type="paragraph" w:styleId="Heading2">
    <w:name w:val="heading 2"/>
    <w:basedOn w:val="Normal"/>
    <w:next w:val="Normal"/>
    <w:link w:val="Heading2Char"/>
    <w:uiPriority w:val="9"/>
    <w:unhideWhenUsed/>
    <w:qFormat/>
    <w:rsid w:val="00EC7BD5"/>
    <w:pPr>
      <w:spacing w:before="240" w:after="0" w:line="240" w:lineRule="auto"/>
      <w:outlineLvl w:val="1"/>
    </w:pPr>
    <w:rPr>
      <w:rFonts w:ascii="Segoe UI" w:eastAsia="Segoe UI" w:hAnsi="Segoe UI" w:cs="Segoe UI"/>
      <w:b/>
      <w:color w:val="000000"/>
      <w:sz w:val="22"/>
      <w:szCs w:val="22"/>
    </w:rPr>
  </w:style>
  <w:style w:type="paragraph" w:styleId="Heading4">
    <w:name w:val="heading 4"/>
    <w:basedOn w:val="Normal"/>
    <w:next w:val="Normal"/>
    <w:link w:val="Heading4Char"/>
    <w:uiPriority w:val="9"/>
    <w:unhideWhenUsed/>
    <w:qFormat/>
    <w:rsid w:val="00423D53"/>
    <w:pPr>
      <w:keepNext/>
      <w:keepLines/>
      <w:spacing w:before="40" w:after="0" w:line="276" w:lineRule="auto"/>
      <w:jc w:val="both"/>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0627EF"/>
    <w:pPr>
      <w:spacing w:after="0" w:line="240" w:lineRule="auto"/>
      <w:ind w:left="360"/>
    </w:pPr>
    <w:rPr>
      <w:rFonts w:asciiTheme="minorHAnsi" w:hAnsiTheme="minorHAnsi" w:cstheme="minorBidi"/>
      <w:bCs/>
      <w:sz w:val="20"/>
      <w:szCs w:val="20"/>
    </w:rPr>
  </w:style>
  <w:style w:type="character" w:customStyle="1" w:styleId="TickboxesChar">
    <w:name w:val="Tick boxes Char"/>
    <w:basedOn w:val="DefaultParagraphFont"/>
    <w:link w:val="Tickboxes"/>
    <w:rsid w:val="000627EF"/>
    <w:rPr>
      <w:rFonts w:asciiTheme="minorHAnsi" w:hAnsiTheme="minorHAnsi" w:cstheme="minorBidi"/>
      <w:bCs/>
      <w:sz w:val="20"/>
      <w:szCs w:val="20"/>
    </w:rPr>
  </w:style>
  <w:style w:type="paragraph" w:styleId="NormalWeb">
    <w:name w:val="Normal (Web)"/>
    <w:basedOn w:val="Normal"/>
    <w:uiPriority w:val="99"/>
    <w:semiHidden/>
    <w:unhideWhenUsed/>
    <w:rsid w:val="000627EF"/>
    <w:pPr>
      <w:spacing w:before="100" w:beforeAutospacing="1" w:after="100" w:afterAutospacing="1" w:line="240" w:lineRule="auto"/>
    </w:pPr>
    <w:rPr>
      <w:rFonts w:eastAsia="Times New Roman"/>
      <w:lang w:eastAsia="en-AU"/>
    </w:rPr>
  </w:style>
  <w:style w:type="character" w:styleId="PlaceholderText">
    <w:name w:val="Placeholder Text"/>
    <w:basedOn w:val="DefaultParagraphFont"/>
    <w:uiPriority w:val="99"/>
    <w:semiHidden/>
    <w:rsid w:val="00917852"/>
    <w:rPr>
      <w:color w:val="808080"/>
    </w:rPr>
  </w:style>
  <w:style w:type="character" w:customStyle="1" w:styleId="Heading1Char">
    <w:name w:val="Heading 1 Char"/>
    <w:basedOn w:val="DefaultParagraphFont"/>
    <w:link w:val="Heading1"/>
    <w:uiPriority w:val="9"/>
    <w:rsid w:val="00EC7BD5"/>
    <w:rPr>
      <w:rFonts w:ascii="Segoe UI" w:eastAsia="Segoe UI" w:hAnsi="Segoe UI" w:cs="Segoe UI"/>
      <w:b/>
      <w:color w:val="0070C0"/>
      <w:sz w:val="32"/>
      <w:szCs w:val="22"/>
    </w:rPr>
  </w:style>
  <w:style w:type="character" w:customStyle="1" w:styleId="Heading2Char">
    <w:name w:val="Heading 2 Char"/>
    <w:basedOn w:val="DefaultParagraphFont"/>
    <w:link w:val="Heading2"/>
    <w:uiPriority w:val="9"/>
    <w:rsid w:val="00EC7BD5"/>
    <w:rPr>
      <w:rFonts w:ascii="Segoe UI" w:eastAsia="Segoe UI" w:hAnsi="Segoe UI" w:cs="Segoe UI"/>
      <w:b/>
      <w:color w:val="000000"/>
      <w:sz w:val="22"/>
      <w:szCs w:val="22"/>
    </w:rPr>
  </w:style>
  <w:style w:type="paragraph" w:customStyle="1" w:styleId="Instructions">
    <w:name w:val="Instructions"/>
    <w:basedOn w:val="Heading2"/>
    <w:link w:val="InstructionsChar"/>
    <w:qFormat/>
    <w:rsid w:val="00EC7BD5"/>
    <w:pPr>
      <w:spacing w:before="120" w:after="120"/>
    </w:pPr>
    <w:rPr>
      <w:b w:val="0"/>
      <w:bCs/>
      <w:i/>
      <w:iCs/>
      <w:color w:val="538135" w:themeColor="accent6" w:themeShade="BF"/>
    </w:rPr>
  </w:style>
  <w:style w:type="character" w:customStyle="1" w:styleId="InstructionsChar">
    <w:name w:val="Instructions Char"/>
    <w:basedOn w:val="Heading2Char"/>
    <w:link w:val="Instructions"/>
    <w:rsid w:val="00EC7BD5"/>
    <w:rPr>
      <w:rFonts w:ascii="Segoe UI" w:eastAsia="Segoe UI" w:hAnsi="Segoe UI" w:cs="Segoe UI"/>
      <w:b w:val="0"/>
      <w:bCs/>
      <w:i/>
      <w:iCs/>
      <w:color w:val="538135" w:themeColor="accent6" w:themeShade="BF"/>
      <w:sz w:val="22"/>
      <w:szCs w:val="22"/>
    </w:rPr>
  </w:style>
  <w:style w:type="paragraph" w:styleId="ListParagraph">
    <w:name w:val="List Paragraph"/>
    <w:basedOn w:val="Normal"/>
    <w:uiPriority w:val="34"/>
    <w:qFormat/>
    <w:rsid w:val="00067644"/>
    <w:pPr>
      <w:ind w:left="720"/>
      <w:contextualSpacing/>
    </w:pPr>
  </w:style>
  <w:style w:type="character" w:customStyle="1" w:styleId="Heading4Char">
    <w:name w:val="Heading 4 Char"/>
    <w:basedOn w:val="DefaultParagraphFont"/>
    <w:link w:val="Heading4"/>
    <w:uiPriority w:val="9"/>
    <w:rsid w:val="00423D53"/>
    <w:rPr>
      <w:rFonts w:asciiTheme="majorHAnsi" w:eastAsiaTheme="majorEastAsia" w:hAnsiTheme="majorHAnsi" w:cstheme="majorBidi"/>
      <w:i/>
      <w:iCs/>
      <w:color w:val="2F5496" w:themeColor="accent1" w:themeShade="BF"/>
      <w:sz w:val="22"/>
      <w:szCs w:val="22"/>
    </w:rPr>
  </w:style>
  <w:style w:type="table" w:styleId="TableTheme">
    <w:name w:val="Table Theme"/>
    <w:basedOn w:val="TableNormal"/>
    <w:rsid w:val="00423D53"/>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423D53"/>
    <w:pPr>
      <w:keepNext/>
      <w:spacing w:before="360" w:after="120" w:line="240" w:lineRule="auto"/>
      <w:ind w:left="709" w:hanging="709"/>
      <w:jc w:val="both"/>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423D53"/>
    <w:pPr>
      <w:keepNext/>
      <w:spacing w:before="40" w:after="40" w:line="240" w:lineRule="auto"/>
      <w:jc w:val="both"/>
    </w:pPr>
    <w:rPr>
      <w:rFonts w:ascii="Arial Narrow" w:eastAsia="Times New Roman" w:hAnsi="Arial Narrow" w:cs="Tahoma"/>
      <w:b/>
      <w:sz w:val="20"/>
      <w:szCs w:val="20"/>
      <w:lang w:eastAsia="en-AU"/>
    </w:rPr>
  </w:style>
  <w:style w:type="character" w:customStyle="1" w:styleId="TableHeadingChar">
    <w:name w:val="TableHeading Char"/>
    <w:link w:val="TableHeading"/>
    <w:rsid w:val="00423D53"/>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423D53"/>
    <w:pPr>
      <w:spacing w:before="40" w:after="40" w:line="240" w:lineRule="auto"/>
      <w:jc w:val="both"/>
    </w:pPr>
    <w:rPr>
      <w:rFonts w:ascii="Arial Narrow" w:eastAsia="Times New Roman" w:hAnsi="Arial Narrow" w:cs="Tahoma"/>
      <w:sz w:val="20"/>
      <w:szCs w:val="20"/>
      <w:lang w:eastAsia="en-AU"/>
    </w:rPr>
  </w:style>
  <w:style w:type="character" w:customStyle="1" w:styleId="TabletextChar">
    <w:name w:val="Table text Char"/>
    <w:link w:val="Tabletext"/>
    <w:rsid w:val="00423D53"/>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423D53"/>
    <w:pPr>
      <w:widowControl w:val="0"/>
      <w:spacing w:after="120" w:line="240" w:lineRule="auto"/>
      <w:contextualSpacing/>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423D53"/>
    <w:rPr>
      <w:rFonts w:ascii="Arial Narrow" w:eastAsia="Times New Roman" w:hAnsi="Arial Narrow" w:cs="Arial"/>
      <w:snapToGrid w:val="0"/>
      <w:sz w:val="18"/>
      <w:szCs w:val="20"/>
    </w:rPr>
  </w:style>
  <w:style w:type="paragraph" w:customStyle="1" w:styleId="Table">
    <w:name w:val="Table"/>
    <w:basedOn w:val="Normal"/>
    <w:link w:val="TableChar"/>
    <w:qFormat/>
    <w:rsid w:val="00C40EC4"/>
    <w:pPr>
      <w:spacing w:after="0" w:line="240" w:lineRule="auto"/>
    </w:pPr>
    <w:rPr>
      <w:rFonts w:asciiTheme="minorHAnsi" w:eastAsiaTheme="majorEastAsia" w:hAnsiTheme="minorHAnsi" w:cstheme="majorBidi"/>
      <w:sz w:val="20"/>
      <w:szCs w:val="22"/>
      <w:lang w:bidi="en-US"/>
    </w:rPr>
  </w:style>
  <w:style w:type="character" w:customStyle="1" w:styleId="TableChar">
    <w:name w:val="Table Char"/>
    <w:basedOn w:val="DefaultParagraphFont"/>
    <w:link w:val="Table"/>
    <w:locked/>
    <w:rsid w:val="00C40EC4"/>
    <w:rPr>
      <w:rFonts w:asciiTheme="minorHAnsi" w:eastAsiaTheme="majorEastAsia" w:hAnsiTheme="minorHAnsi" w:cstheme="majorBidi"/>
      <w:sz w:val="20"/>
      <w:szCs w:val="22"/>
      <w:lang w:bidi="en-US"/>
    </w:rPr>
  </w:style>
  <w:style w:type="character" w:customStyle="1" w:styleId="Small">
    <w:name w:val="Small"/>
    <w:basedOn w:val="DefaultParagraphFont"/>
    <w:uiPriority w:val="4"/>
    <w:qFormat/>
    <w:rsid w:val="00F56EAD"/>
    <w:rPr>
      <w:rFonts w:ascii="Calibri" w:hAnsi="Calibri"/>
      <w:sz w:val="20"/>
    </w:rPr>
  </w:style>
  <w:style w:type="character" w:styleId="Hyperlink">
    <w:name w:val="Hyperlink"/>
    <w:basedOn w:val="DefaultParagraphFont"/>
    <w:uiPriority w:val="99"/>
    <w:unhideWhenUsed/>
    <w:rsid w:val="00570EDE"/>
    <w:rPr>
      <w:color w:val="0563C1" w:themeColor="hyperlink"/>
      <w:u w:val="single"/>
    </w:rPr>
  </w:style>
  <w:style w:type="character" w:styleId="UnresolvedMention">
    <w:name w:val="Unresolved Mention"/>
    <w:basedOn w:val="DefaultParagraphFont"/>
    <w:uiPriority w:val="99"/>
    <w:semiHidden/>
    <w:unhideWhenUsed/>
    <w:rsid w:val="00570EDE"/>
    <w:rPr>
      <w:color w:val="605E5C"/>
      <w:shd w:val="clear" w:color="auto" w:fill="E1DFDD"/>
    </w:rPr>
  </w:style>
  <w:style w:type="character" w:customStyle="1" w:styleId="SmallHighlight">
    <w:name w:val="Small Highlight"/>
    <w:basedOn w:val="Small"/>
    <w:uiPriority w:val="1"/>
    <w:qFormat/>
    <w:rsid w:val="005E3E43"/>
    <w:rPr>
      <w:rFonts w:ascii="Calibri" w:hAnsi="Calibri"/>
      <w:sz w:val="20"/>
      <w:bdr w:val="none" w:sz="0" w:space="0" w:color="auto"/>
      <w:shd w:val="clear" w:color="auto" w:fill="FFFF00"/>
    </w:rPr>
  </w:style>
  <w:style w:type="paragraph" w:customStyle="1" w:styleId="Bibliography1">
    <w:name w:val="Bibliography1"/>
    <w:basedOn w:val="Normal"/>
    <w:rsid w:val="002D2DF7"/>
    <w:pPr>
      <w:spacing w:before="100" w:beforeAutospacing="1" w:after="100" w:afterAutospacing="1" w:line="240" w:lineRule="auto"/>
    </w:pPr>
    <w:rPr>
      <w:rFonts w:eastAsiaTheme="minorEastAsia"/>
      <w:lang w:eastAsia="en-AU"/>
    </w:rPr>
  </w:style>
  <w:style w:type="paragraph" w:customStyle="1" w:styleId="CommentaryTabletextleft">
    <w:name w:val="Commentary Table text left"/>
    <w:basedOn w:val="Normal"/>
    <w:link w:val="CommentaryTabletextleftChar"/>
    <w:qFormat/>
    <w:rsid w:val="002D2DF7"/>
    <w:pPr>
      <w:spacing w:before="40" w:after="40" w:line="240" w:lineRule="auto"/>
    </w:pPr>
    <w:rPr>
      <w:rFonts w:asciiTheme="minorHAnsi" w:eastAsia="Calibri" w:hAnsiTheme="minorHAnsi" w:cstheme="minorBidi"/>
      <w:color w:val="0070C0"/>
      <w:sz w:val="20"/>
      <w:szCs w:val="20"/>
    </w:rPr>
  </w:style>
  <w:style w:type="character" w:customStyle="1" w:styleId="CommentaryTabletextleftChar">
    <w:name w:val="Commentary Table text left Char"/>
    <w:basedOn w:val="DefaultParagraphFont"/>
    <w:link w:val="CommentaryTabletextleft"/>
    <w:rsid w:val="002D2DF7"/>
    <w:rPr>
      <w:rFonts w:asciiTheme="minorHAnsi" w:eastAsia="Calibri" w:hAnsiTheme="minorHAnsi" w:cstheme="minorBidi"/>
      <w:color w:val="0070C0"/>
      <w:sz w:val="20"/>
      <w:szCs w:val="20"/>
    </w:rPr>
  </w:style>
  <w:style w:type="character" w:styleId="FollowedHyperlink">
    <w:name w:val="FollowedHyperlink"/>
    <w:basedOn w:val="DefaultParagraphFont"/>
    <w:uiPriority w:val="99"/>
    <w:semiHidden/>
    <w:unhideWhenUsed/>
    <w:rsid w:val="002D2DF7"/>
    <w:rPr>
      <w:color w:val="954F72" w:themeColor="followedHyperlink"/>
      <w:u w:val="single"/>
    </w:rPr>
  </w:style>
  <w:style w:type="paragraph" w:styleId="Title">
    <w:name w:val="Title"/>
    <w:basedOn w:val="Normal"/>
    <w:next w:val="Normal"/>
    <w:link w:val="TitleChar"/>
    <w:uiPriority w:val="10"/>
    <w:qFormat/>
    <w:rsid w:val="004E1D62"/>
    <w:pPr>
      <w:spacing w:after="0" w:line="240" w:lineRule="auto"/>
      <w:contextualSpacing/>
    </w:pPr>
    <w:rPr>
      <w:rFonts w:asciiTheme="majorHAnsi" w:eastAsiaTheme="majorEastAsia" w:hAnsiTheme="majorHAnsi" w:cstheme="majorBidi"/>
      <w:spacing w:val="-10"/>
      <w:kern w:val="28"/>
      <w:sz w:val="56"/>
      <w:szCs w:val="56"/>
      <w:lang w:eastAsia="en-AU"/>
    </w:rPr>
  </w:style>
  <w:style w:type="character" w:customStyle="1" w:styleId="TitleChar">
    <w:name w:val="Title Char"/>
    <w:basedOn w:val="DefaultParagraphFont"/>
    <w:link w:val="Title"/>
    <w:uiPriority w:val="10"/>
    <w:rsid w:val="004E1D62"/>
    <w:rPr>
      <w:rFonts w:asciiTheme="majorHAnsi" w:eastAsiaTheme="majorEastAsia" w:hAnsiTheme="majorHAnsi" w:cstheme="majorBidi"/>
      <w:spacing w:val="-10"/>
      <w:kern w:val="28"/>
      <w:sz w:val="56"/>
      <w:szCs w:val="56"/>
      <w:lang w:eastAsia="en-AU"/>
    </w:rPr>
  </w:style>
  <w:style w:type="paragraph" w:styleId="Subtitle">
    <w:name w:val="Subtitle"/>
    <w:basedOn w:val="Normal"/>
    <w:next w:val="Normal"/>
    <w:link w:val="SubtitleChar"/>
    <w:uiPriority w:val="11"/>
    <w:qFormat/>
    <w:rsid w:val="004E1D62"/>
    <w:pPr>
      <w:numPr>
        <w:ilvl w:val="1"/>
      </w:numPr>
      <w:spacing w:line="278" w:lineRule="auto"/>
    </w:pPr>
    <w:rPr>
      <w:rFonts w:asciiTheme="minorHAnsi" w:eastAsiaTheme="minorEastAsia" w:hAnsiTheme="minorHAnsi" w:cstheme="minorBidi"/>
      <w:color w:val="5A5A5A" w:themeColor="text1" w:themeTint="A5"/>
      <w:spacing w:val="15"/>
      <w:kern w:val="2"/>
      <w:sz w:val="22"/>
      <w:szCs w:val="22"/>
      <w:lang w:eastAsia="en-AU"/>
      <w14:ligatures w14:val="standardContextual"/>
    </w:rPr>
  </w:style>
  <w:style w:type="character" w:customStyle="1" w:styleId="SubtitleChar">
    <w:name w:val="Subtitle Char"/>
    <w:basedOn w:val="DefaultParagraphFont"/>
    <w:link w:val="Subtitle"/>
    <w:uiPriority w:val="11"/>
    <w:rsid w:val="004E1D62"/>
    <w:rPr>
      <w:rFonts w:asciiTheme="minorHAnsi" w:eastAsiaTheme="minorEastAsia" w:hAnsiTheme="minorHAnsi" w:cstheme="minorBidi"/>
      <w:color w:val="5A5A5A" w:themeColor="text1" w:themeTint="A5"/>
      <w:spacing w:val="15"/>
      <w:kern w:val="2"/>
      <w:sz w:val="22"/>
      <w:szCs w:val="22"/>
      <w:lang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8541">
      <w:bodyDiv w:val="1"/>
      <w:marLeft w:val="0"/>
      <w:marRight w:val="0"/>
      <w:marTop w:val="0"/>
      <w:marBottom w:val="0"/>
      <w:divBdr>
        <w:top w:val="none" w:sz="0" w:space="0" w:color="auto"/>
        <w:left w:val="none" w:sz="0" w:space="0" w:color="auto"/>
        <w:bottom w:val="none" w:sz="0" w:space="0" w:color="auto"/>
        <w:right w:val="none" w:sz="0" w:space="0" w:color="auto"/>
      </w:divBdr>
    </w:div>
    <w:div w:id="118031387">
      <w:bodyDiv w:val="1"/>
      <w:marLeft w:val="0"/>
      <w:marRight w:val="0"/>
      <w:marTop w:val="0"/>
      <w:marBottom w:val="0"/>
      <w:divBdr>
        <w:top w:val="none" w:sz="0" w:space="0" w:color="auto"/>
        <w:left w:val="none" w:sz="0" w:space="0" w:color="auto"/>
        <w:bottom w:val="none" w:sz="0" w:space="0" w:color="auto"/>
        <w:right w:val="none" w:sz="0" w:space="0" w:color="auto"/>
      </w:divBdr>
    </w:div>
    <w:div w:id="123693773">
      <w:bodyDiv w:val="1"/>
      <w:marLeft w:val="0"/>
      <w:marRight w:val="0"/>
      <w:marTop w:val="0"/>
      <w:marBottom w:val="0"/>
      <w:divBdr>
        <w:top w:val="none" w:sz="0" w:space="0" w:color="auto"/>
        <w:left w:val="none" w:sz="0" w:space="0" w:color="auto"/>
        <w:bottom w:val="none" w:sz="0" w:space="0" w:color="auto"/>
        <w:right w:val="none" w:sz="0" w:space="0" w:color="auto"/>
      </w:divBdr>
    </w:div>
    <w:div w:id="168839040">
      <w:bodyDiv w:val="1"/>
      <w:marLeft w:val="0"/>
      <w:marRight w:val="0"/>
      <w:marTop w:val="0"/>
      <w:marBottom w:val="0"/>
      <w:divBdr>
        <w:top w:val="none" w:sz="0" w:space="0" w:color="auto"/>
        <w:left w:val="none" w:sz="0" w:space="0" w:color="auto"/>
        <w:bottom w:val="none" w:sz="0" w:space="0" w:color="auto"/>
        <w:right w:val="none" w:sz="0" w:space="0" w:color="auto"/>
      </w:divBdr>
    </w:div>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209806309">
      <w:bodyDiv w:val="1"/>
      <w:marLeft w:val="0"/>
      <w:marRight w:val="0"/>
      <w:marTop w:val="0"/>
      <w:marBottom w:val="0"/>
      <w:divBdr>
        <w:top w:val="none" w:sz="0" w:space="0" w:color="auto"/>
        <w:left w:val="none" w:sz="0" w:space="0" w:color="auto"/>
        <w:bottom w:val="none" w:sz="0" w:space="0" w:color="auto"/>
        <w:right w:val="none" w:sz="0" w:space="0" w:color="auto"/>
      </w:divBdr>
    </w:div>
    <w:div w:id="220024858">
      <w:bodyDiv w:val="1"/>
      <w:marLeft w:val="0"/>
      <w:marRight w:val="0"/>
      <w:marTop w:val="0"/>
      <w:marBottom w:val="0"/>
      <w:divBdr>
        <w:top w:val="none" w:sz="0" w:space="0" w:color="auto"/>
        <w:left w:val="none" w:sz="0" w:space="0" w:color="auto"/>
        <w:bottom w:val="none" w:sz="0" w:space="0" w:color="auto"/>
        <w:right w:val="none" w:sz="0" w:space="0" w:color="auto"/>
      </w:divBdr>
    </w:div>
    <w:div w:id="264576004">
      <w:bodyDiv w:val="1"/>
      <w:marLeft w:val="0"/>
      <w:marRight w:val="0"/>
      <w:marTop w:val="0"/>
      <w:marBottom w:val="0"/>
      <w:divBdr>
        <w:top w:val="none" w:sz="0" w:space="0" w:color="auto"/>
        <w:left w:val="none" w:sz="0" w:space="0" w:color="auto"/>
        <w:bottom w:val="none" w:sz="0" w:space="0" w:color="auto"/>
        <w:right w:val="none" w:sz="0" w:space="0" w:color="auto"/>
      </w:divBdr>
    </w:div>
    <w:div w:id="278219806">
      <w:bodyDiv w:val="1"/>
      <w:marLeft w:val="0"/>
      <w:marRight w:val="0"/>
      <w:marTop w:val="0"/>
      <w:marBottom w:val="0"/>
      <w:divBdr>
        <w:top w:val="none" w:sz="0" w:space="0" w:color="auto"/>
        <w:left w:val="none" w:sz="0" w:space="0" w:color="auto"/>
        <w:bottom w:val="none" w:sz="0" w:space="0" w:color="auto"/>
        <w:right w:val="none" w:sz="0" w:space="0" w:color="auto"/>
      </w:divBdr>
    </w:div>
    <w:div w:id="306475142">
      <w:bodyDiv w:val="1"/>
      <w:marLeft w:val="0"/>
      <w:marRight w:val="0"/>
      <w:marTop w:val="0"/>
      <w:marBottom w:val="0"/>
      <w:divBdr>
        <w:top w:val="none" w:sz="0" w:space="0" w:color="auto"/>
        <w:left w:val="none" w:sz="0" w:space="0" w:color="auto"/>
        <w:bottom w:val="none" w:sz="0" w:space="0" w:color="auto"/>
        <w:right w:val="none" w:sz="0" w:space="0" w:color="auto"/>
      </w:divBdr>
    </w:div>
    <w:div w:id="346370737">
      <w:bodyDiv w:val="1"/>
      <w:marLeft w:val="0"/>
      <w:marRight w:val="0"/>
      <w:marTop w:val="0"/>
      <w:marBottom w:val="0"/>
      <w:divBdr>
        <w:top w:val="none" w:sz="0" w:space="0" w:color="auto"/>
        <w:left w:val="none" w:sz="0" w:space="0" w:color="auto"/>
        <w:bottom w:val="none" w:sz="0" w:space="0" w:color="auto"/>
        <w:right w:val="none" w:sz="0" w:space="0" w:color="auto"/>
      </w:divBdr>
    </w:div>
    <w:div w:id="359933784">
      <w:bodyDiv w:val="1"/>
      <w:marLeft w:val="0"/>
      <w:marRight w:val="0"/>
      <w:marTop w:val="0"/>
      <w:marBottom w:val="0"/>
      <w:divBdr>
        <w:top w:val="none" w:sz="0" w:space="0" w:color="auto"/>
        <w:left w:val="none" w:sz="0" w:space="0" w:color="auto"/>
        <w:bottom w:val="none" w:sz="0" w:space="0" w:color="auto"/>
        <w:right w:val="none" w:sz="0" w:space="0" w:color="auto"/>
      </w:divBdr>
    </w:div>
    <w:div w:id="418530079">
      <w:bodyDiv w:val="1"/>
      <w:marLeft w:val="0"/>
      <w:marRight w:val="0"/>
      <w:marTop w:val="0"/>
      <w:marBottom w:val="0"/>
      <w:divBdr>
        <w:top w:val="none" w:sz="0" w:space="0" w:color="auto"/>
        <w:left w:val="none" w:sz="0" w:space="0" w:color="auto"/>
        <w:bottom w:val="none" w:sz="0" w:space="0" w:color="auto"/>
        <w:right w:val="none" w:sz="0" w:space="0" w:color="auto"/>
      </w:divBdr>
    </w:div>
    <w:div w:id="444274732">
      <w:bodyDiv w:val="1"/>
      <w:marLeft w:val="0"/>
      <w:marRight w:val="0"/>
      <w:marTop w:val="0"/>
      <w:marBottom w:val="0"/>
      <w:divBdr>
        <w:top w:val="none" w:sz="0" w:space="0" w:color="auto"/>
        <w:left w:val="none" w:sz="0" w:space="0" w:color="auto"/>
        <w:bottom w:val="none" w:sz="0" w:space="0" w:color="auto"/>
        <w:right w:val="none" w:sz="0" w:space="0" w:color="auto"/>
      </w:divBdr>
    </w:div>
    <w:div w:id="451023380">
      <w:bodyDiv w:val="1"/>
      <w:marLeft w:val="0"/>
      <w:marRight w:val="0"/>
      <w:marTop w:val="0"/>
      <w:marBottom w:val="0"/>
      <w:divBdr>
        <w:top w:val="none" w:sz="0" w:space="0" w:color="auto"/>
        <w:left w:val="none" w:sz="0" w:space="0" w:color="auto"/>
        <w:bottom w:val="none" w:sz="0" w:space="0" w:color="auto"/>
        <w:right w:val="none" w:sz="0" w:space="0" w:color="auto"/>
      </w:divBdr>
    </w:div>
    <w:div w:id="457995358">
      <w:bodyDiv w:val="1"/>
      <w:marLeft w:val="0"/>
      <w:marRight w:val="0"/>
      <w:marTop w:val="0"/>
      <w:marBottom w:val="0"/>
      <w:divBdr>
        <w:top w:val="none" w:sz="0" w:space="0" w:color="auto"/>
        <w:left w:val="none" w:sz="0" w:space="0" w:color="auto"/>
        <w:bottom w:val="none" w:sz="0" w:space="0" w:color="auto"/>
        <w:right w:val="none" w:sz="0" w:space="0" w:color="auto"/>
      </w:divBdr>
    </w:div>
    <w:div w:id="482163315">
      <w:bodyDiv w:val="1"/>
      <w:marLeft w:val="0"/>
      <w:marRight w:val="0"/>
      <w:marTop w:val="0"/>
      <w:marBottom w:val="0"/>
      <w:divBdr>
        <w:top w:val="none" w:sz="0" w:space="0" w:color="auto"/>
        <w:left w:val="none" w:sz="0" w:space="0" w:color="auto"/>
        <w:bottom w:val="none" w:sz="0" w:space="0" w:color="auto"/>
        <w:right w:val="none" w:sz="0" w:space="0" w:color="auto"/>
      </w:divBdr>
    </w:div>
    <w:div w:id="507907363">
      <w:bodyDiv w:val="1"/>
      <w:marLeft w:val="0"/>
      <w:marRight w:val="0"/>
      <w:marTop w:val="0"/>
      <w:marBottom w:val="0"/>
      <w:divBdr>
        <w:top w:val="none" w:sz="0" w:space="0" w:color="auto"/>
        <w:left w:val="none" w:sz="0" w:space="0" w:color="auto"/>
        <w:bottom w:val="none" w:sz="0" w:space="0" w:color="auto"/>
        <w:right w:val="none" w:sz="0" w:space="0" w:color="auto"/>
      </w:divBdr>
    </w:div>
    <w:div w:id="620109568">
      <w:bodyDiv w:val="1"/>
      <w:marLeft w:val="0"/>
      <w:marRight w:val="0"/>
      <w:marTop w:val="0"/>
      <w:marBottom w:val="0"/>
      <w:divBdr>
        <w:top w:val="none" w:sz="0" w:space="0" w:color="auto"/>
        <w:left w:val="none" w:sz="0" w:space="0" w:color="auto"/>
        <w:bottom w:val="none" w:sz="0" w:space="0" w:color="auto"/>
        <w:right w:val="none" w:sz="0" w:space="0" w:color="auto"/>
      </w:divBdr>
    </w:div>
    <w:div w:id="662391617">
      <w:bodyDiv w:val="1"/>
      <w:marLeft w:val="0"/>
      <w:marRight w:val="0"/>
      <w:marTop w:val="0"/>
      <w:marBottom w:val="0"/>
      <w:divBdr>
        <w:top w:val="none" w:sz="0" w:space="0" w:color="auto"/>
        <w:left w:val="none" w:sz="0" w:space="0" w:color="auto"/>
        <w:bottom w:val="none" w:sz="0" w:space="0" w:color="auto"/>
        <w:right w:val="none" w:sz="0" w:space="0" w:color="auto"/>
      </w:divBdr>
    </w:div>
    <w:div w:id="718548714">
      <w:bodyDiv w:val="1"/>
      <w:marLeft w:val="0"/>
      <w:marRight w:val="0"/>
      <w:marTop w:val="0"/>
      <w:marBottom w:val="0"/>
      <w:divBdr>
        <w:top w:val="none" w:sz="0" w:space="0" w:color="auto"/>
        <w:left w:val="none" w:sz="0" w:space="0" w:color="auto"/>
        <w:bottom w:val="none" w:sz="0" w:space="0" w:color="auto"/>
        <w:right w:val="none" w:sz="0" w:space="0" w:color="auto"/>
      </w:divBdr>
    </w:div>
    <w:div w:id="719403277">
      <w:bodyDiv w:val="1"/>
      <w:marLeft w:val="0"/>
      <w:marRight w:val="0"/>
      <w:marTop w:val="0"/>
      <w:marBottom w:val="0"/>
      <w:divBdr>
        <w:top w:val="none" w:sz="0" w:space="0" w:color="auto"/>
        <w:left w:val="none" w:sz="0" w:space="0" w:color="auto"/>
        <w:bottom w:val="none" w:sz="0" w:space="0" w:color="auto"/>
        <w:right w:val="none" w:sz="0" w:space="0" w:color="auto"/>
      </w:divBdr>
    </w:div>
    <w:div w:id="807937944">
      <w:bodyDiv w:val="1"/>
      <w:marLeft w:val="0"/>
      <w:marRight w:val="0"/>
      <w:marTop w:val="0"/>
      <w:marBottom w:val="0"/>
      <w:divBdr>
        <w:top w:val="none" w:sz="0" w:space="0" w:color="auto"/>
        <w:left w:val="none" w:sz="0" w:space="0" w:color="auto"/>
        <w:bottom w:val="none" w:sz="0" w:space="0" w:color="auto"/>
        <w:right w:val="none" w:sz="0" w:space="0" w:color="auto"/>
      </w:divBdr>
    </w:div>
    <w:div w:id="979501580">
      <w:bodyDiv w:val="1"/>
      <w:marLeft w:val="0"/>
      <w:marRight w:val="0"/>
      <w:marTop w:val="0"/>
      <w:marBottom w:val="0"/>
      <w:divBdr>
        <w:top w:val="none" w:sz="0" w:space="0" w:color="auto"/>
        <w:left w:val="none" w:sz="0" w:space="0" w:color="auto"/>
        <w:bottom w:val="none" w:sz="0" w:space="0" w:color="auto"/>
        <w:right w:val="none" w:sz="0" w:space="0" w:color="auto"/>
      </w:divBdr>
    </w:div>
    <w:div w:id="1002707930">
      <w:bodyDiv w:val="1"/>
      <w:marLeft w:val="0"/>
      <w:marRight w:val="0"/>
      <w:marTop w:val="0"/>
      <w:marBottom w:val="0"/>
      <w:divBdr>
        <w:top w:val="none" w:sz="0" w:space="0" w:color="auto"/>
        <w:left w:val="none" w:sz="0" w:space="0" w:color="auto"/>
        <w:bottom w:val="none" w:sz="0" w:space="0" w:color="auto"/>
        <w:right w:val="none" w:sz="0" w:space="0" w:color="auto"/>
      </w:divBdr>
    </w:div>
    <w:div w:id="1014574439">
      <w:bodyDiv w:val="1"/>
      <w:marLeft w:val="0"/>
      <w:marRight w:val="0"/>
      <w:marTop w:val="0"/>
      <w:marBottom w:val="0"/>
      <w:divBdr>
        <w:top w:val="none" w:sz="0" w:space="0" w:color="auto"/>
        <w:left w:val="none" w:sz="0" w:space="0" w:color="auto"/>
        <w:bottom w:val="none" w:sz="0" w:space="0" w:color="auto"/>
        <w:right w:val="none" w:sz="0" w:space="0" w:color="auto"/>
      </w:divBdr>
    </w:div>
    <w:div w:id="1065837091">
      <w:bodyDiv w:val="1"/>
      <w:marLeft w:val="0"/>
      <w:marRight w:val="0"/>
      <w:marTop w:val="0"/>
      <w:marBottom w:val="0"/>
      <w:divBdr>
        <w:top w:val="none" w:sz="0" w:space="0" w:color="auto"/>
        <w:left w:val="none" w:sz="0" w:space="0" w:color="auto"/>
        <w:bottom w:val="none" w:sz="0" w:space="0" w:color="auto"/>
        <w:right w:val="none" w:sz="0" w:space="0" w:color="auto"/>
      </w:divBdr>
    </w:div>
    <w:div w:id="1095442959">
      <w:bodyDiv w:val="1"/>
      <w:marLeft w:val="0"/>
      <w:marRight w:val="0"/>
      <w:marTop w:val="0"/>
      <w:marBottom w:val="0"/>
      <w:divBdr>
        <w:top w:val="none" w:sz="0" w:space="0" w:color="auto"/>
        <w:left w:val="none" w:sz="0" w:space="0" w:color="auto"/>
        <w:bottom w:val="none" w:sz="0" w:space="0" w:color="auto"/>
        <w:right w:val="none" w:sz="0" w:space="0" w:color="auto"/>
      </w:divBdr>
    </w:div>
    <w:div w:id="1142455452">
      <w:bodyDiv w:val="1"/>
      <w:marLeft w:val="0"/>
      <w:marRight w:val="0"/>
      <w:marTop w:val="0"/>
      <w:marBottom w:val="0"/>
      <w:divBdr>
        <w:top w:val="none" w:sz="0" w:space="0" w:color="auto"/>
        <w:left w:val="none" w:sz="0" w:space="0" w:color="auto"/>
        <w:bottom w:val="none" w:sz="0" w:space="0" w:color="auto"/>
        <w:right w:val="none" w:sz="0" w:space="0" w:color="auto"/>
      </w:divBdr>
    </w:div>
    <w:div w:id="1146123651">
      <w:bodyDiv w:val="1"/>
      <w:marLeft w:val="0"/>
      <w:marRight w:val="0"/>
      <w:marTop w:val="0"/>
      <w:marBottom w:val="0"/>
      <w:divBdr>
        <w:top w:val="none" w:sz="0" w:space="0" w:color="auto"/>
        <w:left w:val="none" w:sz="0" w:space="0" w:color="auto"/>
        <w:bottom w:val="none" w:sz="0" w:space="0" w:color="auto"/>
        <w:right w:val="none" w:sz="0" w:space="0" w:color="auto"/>
      </w:divBdr>
    </w:div>
    <w:div w:id="1229220245">
      <w:bodyDiv w:val="1"/>
      <w:marLeft w:val="0"/>
      <w:marRight w:val="0"/>
      <w:marTop w:val="0"/>
      <w:marBottom w:val="0"/>
      <w:divBdr>
        <w:top w:val="none" w:sz="0" w:space="0" w:color="auto"/>
        <w:left w:val="none" w:sz="0" w:space="0" w:color="auto"/>
        <w:bottom w:val="none" w:sz="0" w:space="0" w:color="auto"/>
        <w:right w:val="none" w:sz="0" w:space="0" w:color="auto"/>
      </w:divBdr>
    </w:div>
    <w:div w:id="1229538688">
      <w:bodyDiv w:val="1"/>
      <w:marLeft w:val="0"/>
      <w:marRight w:val="0"/>
      <w:marTop w:val="0"/>
      <w:marBottom w:val="0"/>
      <w:divBdr>
        <w:top w:val="none" w:sz="0" w:space="0" w:color="auto"/>
        <w:left w:val="none" w:sz="0" w:space="0" w:color="auto"/>
        <w:bottom w:val="none" w:sz="0" w:space="0" w:color="auto"/>
        <w:right w:val="none" w:sz="0" w:space="0" w:color="auto"/>
      </w:divBdr>
    </w:div>
    <w:div w:id="1232423217">
      <w:bodyDiv w:val="1"/>
      <w:marLeft w:val="0"/>
      <w:marRight w:val="0"/>
      <w:marTop w:val="0"/>
      <w:marBottom w:val="0"/>
      <w:divBdr>
        <w:top w:val="none" w:sz="0" w:space="0" w:color="auto"/>
        <w:left w:val="none" w:sz="0" w:space="0" w:color="auto"/>
        <w:bottom w:val="none" w:sz="0" w:space="0" w:color="auto"/>
        <w:right w:val="none" w:sz="0" w:space="0" w:color="auto"/>
      </w:divBdr>
    </w:div>
    <w:div w:id="1377462252">
      <w:bodyDiv w:val="1"/>
      <w:marLeft w:val="0"/>
      <w:marRight w:val="0"/>
      <w:marTop w:val="0"/>
      <w:marBottom w:val="0"/>
      <w:divBdr>
        <w:top w:val="none" w:sz="0" w:space="0" w:color="auto"/>
        <w:left w:val="none" w:sz="0" w:space="0" w:color="auto"/>
        <w:bottom w:val="none" w:sz="0" w:space="0" w:color="auto"/>
        <w:right w:val="none" w:sz="0" w:space="0" w:color="auto"/>
      </w:divBdr>
    </w:div>
    <w:div w:id="1386370241">
      <w:bodyDiv w:val="1"/>
      <w:marLeft w:val="0"/>
      <w:marRight w:val="0"/>
      <w:marTop w:val="0"/>
      <w:marBottom w:val="0"/>
      <w:divBdr>
        <w:top w:val="none" w:sz="0" w:space="0" w:color="auto"/>
        <w:left w:val="none" w:sz="0" w:space="0" w:color="auto"/>
        <w:bottom w:val="none" w:sz="0" w:space="0" w:color="auto"/>
        <w:right w:val="none" w:sz="0" w:space="0" w:color="auto"/>
      </w:divBdr>
    </w:div>
    <w:div w:id="1400323219">
      <w:bodyDiv w:val="1"/>
      <w:marLeft w:val="0"/>
      <w:marRight w:val="0"/>
      <w:marTop w:val="0"/>
      <w:marBottom w:val="0"/>
      <w:divBdr>
        <w:top w:val="none" w:sz="0" w:space="0" w:color="auto"/>
        <w:left w:val="none" w:sz="0" w:space="0" w:color="auto"/>
        <w:bottom w:val="none" w:sz="0" w:space="0" w:color="auto"/>
        <w:right w:val="none" w:sz="0" w:space="0" w:color="auto"/>
      </w:divBdr>
    </w:div>
    <w:div w:id="1511139520">
      <w:bodyDiv w:val="1"/>
      <w:marLeft w:val="0"/>
      <w:marRight w:val="0"/>
      <w:marTop w:val="0"/>
      <w:marBottom w:val="0"/>
      <w:divBdr>
        <w:top w:val="none" w:sz="0" w:space="0" w:color="auto"/>
        <w:left w:val="none" w:sz="0" w:space="0" w:color="auto"/>
        <w:bottom w:val="none" w:sz="0" w:space="0" w:color="auto"/>
        <w:right w:val="none" w:sz="0" w:space="0" w:color="auto"/>
      </w:divBdr>
    </w:div>
    <w:div w:id="1568227624">
      <w:bodyDiv w:val="1"/>
      <w:marLeft w:val="0"/>
      <w:marRight w:val="0"/>
      <w:marTop w:val="0"/>
      <w:marBottom w:val="0"/>
      <w:divBdr>
        <w:top w:val="none" w:sz="0" w:space="0" w:color="auto"/>
        <w:left w:val="none" w:sz="0" w:space="0" w:color="auto"/>
        <w:bottom w:val="none" w:sz="0" w:space="0" w:color="auto"/>
        <w:right w:val="none" w:sz="0" w:space="0" w:color="auto"/>
      </w:divBdr>
    </w:div>
    <w:div w:id="1588614734">
      <w:bodyDiv w:val="1"/>
      <w:marLeft w:val="0"/>
      <w:marRight w:val="0"/>
      <w:marTop w:val="0"/>
      <w:marBottom w:val="0"/>
      <w:divBdr>
        <w:top w:val="none" w:sz="0" w:space="0" w:color="auto"/>
        <w:left w:val="none" w:sz="0" w:space="0" w:color="auto"/>
        <w:bottom w:val="none" w:sz="0" w:space="0" w:color="auto"/>
        <w:right w:val="none" w:sz="0" w:space="0" w:color="auto"/>
      </w:divBdr>
    </w:div>
    <w:div w:id="1636447505">
      <w:bodyDiv w:val="1"/>
      <w:marLeft w:val="0"/>
      <w:marRight w:val="0"/>
      <w:marTop w:val="0"/>
      <w:marBottom w:val="0"/>
      <w:divBdr>
        <w:top w:val="none" w:sz="0" w:space="0" w:color="auto"/>
        <w:left w:val="none" w:sz="0" w:space="0" w:color="auto"/>
        <w:bottom w:val="none" w:sz="0" w:space="0" w:color="auto"/>
        <w:right w:val="none" w:sz="0" w:space="0" w:color="auto"/>
      </w:divBdr>
    </w:div>
    <w:div w:id="1698578514">
      <w:bodyDiv w:val="1"/>
      <w:marLeft w:val="0"/>
      <w:marRight w:val="0"/>
      <w:marTop w:val="0"/>
      <w:marBottom w:val="0"/>
      <w:divBdr>
        <w:top w:val="none" w:sz="0" w:space="0" w:color="auto"/>
        <w:left w:val="none" w:sz="0" w:space="0" w:color="auto"/>
        <w:bottom w:val="none" w:sz="0" w:space="0" w:color="auto"/>
        <w:right w:val="none" w:sz="0" w:space="0" w:color="auto"/>
      </w:divBdr>
    </w:div>
    <w:div w:id="1793858566">
      <w:bodyDiv w:val="1"/>
      <w:marLeft w:val="0"/>
      <w:marRight w:val="0"/>
      <w:marTop w:val="0"/>
      <w:marBottom w:val="0"/>
      <w:divBdr>
        <w:top w:val="none" w:sz="0" w:space="0" w:color="auto"/>
        <w:left w:val="none" w:sz="0" w:space="0" w:color="auto"/>
        <w:bottom w:val="none" w:sz="0" w:space="0" w:color="auto"/>
        <w:right w:val="none" w:sz="0" w:space="0" w:color="auto"/>
      </w:divBdr>
    </w:div>
    <w:div w:id="1903560809">
      <w:bodyDiv w:val="1"/>
      <w:marLeft w:val="0"/>
      <w:marRight w:val="0"/>
      <w:marTop w:val="0"/>
      <w:marBottom w:val="0"/>
      <w:divBdr>
        <w:top w:val="none" w:sz="0" w:space="0" w:color="auto"/>
        <w:left w:val="none" w:sz="0" w:space="0" w:color="auto"/>
        <w:bottom w:val="none" w:sz="0" w:space="0" w:color="auto"/>
        <w:right w:val="none" w:sz="0" w:space="0" w:color="auto"/>
      </w:divBdr>
    </w:div>
    <w:div w:id="1910924294">
      <w:bodyDiv w:val="1"/>
      <w:marLeft w:val="0"/>
      <w:marRight w:val="0"/>
      <w:marTop w:val="0"/>
      <w:marBottom w:val="0"/>
      <w:divBdr>
        <w:top w:val="none" w:sz="0" w:space="0" w:color="auto"/>
        <w:left w:val="none" w:sz="0" w:space="0" w:color="auto"/>
        <w:bottom w:val="none" w:sz="0" w:space="0" w:color="auto"/>
        <w:right w:val="none" w:sz="0" w:space="0" w:color="auto"/>
      </w:divBdr>
    </w:div>
    <w:div w:id="1936404694">
      <w:bodyDiv w:val="1"/>
      <w:marLeft w:val="0"/>
      <w:marRight w:val="0"/>
      <w:marTop w:val="0"/>
      <w:marBottom w:val="0"/>
      <w:divBdr>
        <w:top w:val="none" w:sz="0" w:space="0" w:color="auto"/>
        <w:left w:val="none" w:sz="0" w:space="0" w:color="auto"/>
        <w:bottom w:val="none" w:sz="0" w:space="0" w:color="auto"/>
        <w:right w:val="none" w:sz="0" w:space="0" w:color="auto"/>
      </w:divBdr>
    </w:div>
    <w:div w:id="1939872872">
      <w:bodyDiv w:val="1"/>
      <w:marLeft w:val="0"/>
      <w:marRight w:val="0"/>
      <w:marTop w:val="0"/>
      <w:marBottom w:val="0"/>
      <w:divBdr>
        <w:top w:val="none" w:sz="0" w:space="0" w:color="auto"/>
        <w:left w:val="none" w:sz="0" w:space="0" w:color="auto"/>
        <w:bottom w:val="none" w:sz="0" w:space="0" w:color="auto"/>
        <w:right w:val="none" w:sz="0" w:space="0" w:color="auto"/>
      </w:divBdr>
    </w:div>
    <w:div w:id="1947346069">
      <w:bodyDiv w:val="1"/>
      <w:marLeft w:val="0"/>
      <w:marRight w:val="0"/>
      <w:marTop w:val="0"/>
      <w:marBottom w:val="0"/>
      <w:divBdr>
        <w:top w:val="none" w:sz="0" w:space="0" w:color="auto"/>
        <w:left w:val="none" w:sz="0" w:space="0" w:color="auto"/>
        <w:bottom w:val="none" w:sz="0" w:space="0" w:color="auto"/>
        <w:right w:val="none" w:sz="0" w:space="0" w:color="auto"/>
      </w:divBdr>
    </w:div>
    <w:div w:id="1951738529">
      <w:bodyDiv w:val="1"/>
      <w:marLeft w:val="0"/>
      <w:marRight w:val="0"/>
      <w:marTop w:val="0"/>
      <w:marBottom w:val="0"/>
      <w:divBdr>
        <w:top w:val="none" w:sz="0" w:space="0" w:color="auto"/>
        <w:left w:val="none" w:sz="0" w:space="0" w:color="auto"/>
        <w:bottom w:val="none" w:sz="0" w:space="0" w:color="auto"/>
        <w:right w:val="none" w:sz="0" w:space="0" w:color="auto"/>
      </w:divBdr>
    </w:div>
    <w:div w:id="2001611936">
      <w:bodyDiv w:val="1"/>
      <w:marLeft w:val="0"/>
      <w:marRight w:val="0"/>
      <w:marTop w:val="0"/>
      <w:marBottom w:val="0"/>
      <w:divBdr>
        <w:top w:val="none" w:sz="0" w:space="0" w:color="auto"/>
        <w:left w:val="none" w:sz="0" w:space="0" w:color="auto"/>
        <w:bottom w:val="none" w:sz="0" w:space="0" w:color="auto"/>
        <w:right w:val="none" w:sz="0" w:space="0" w:color="auto"/>
      </w:divBdr>
    </w:div>
    <w:div w:id="2003311226">
      <w:bodyDiv w:val="1"/>
      <w:marLeft w:val="0"/>
      <w:marRight w:val="0"/>
      <w:marTop w:val="0"/>
      <w:marBottom w:val="0"/>
      <w:divBdr>
        <w:top w:val="none" w:sz="0" w:space="0" w:color="auto"/>
        <w:left w:val="none" w:sz="0" w:space="0" w:color="auto"/>
        <w:bottom w:val="none" w:sz="0" w:space="0" w:color="auto"/>
        <w:right w:val="none" w:sz="0" w:space="0" w:color="auto"/>
      </w:divBdr>
    </w:div>
    <w:div w:id="2014184214">
      <w:bodyDiv w:val="1"/>
      <w:marLeft w:val="0"/>
      <w:marRight w:val="0"/>
      <w:marTop w:val="0"/>
      <w:marBottom w:val="0"/>
      <w:divBdr>
        <w:top w:val="none" w:sz="0" w:space="0" w:color="auto"/>
        <w:left w:val="none" w:sz="0" w:space="0" w:color="auto"/>
        <w:bottom w:val="none" w:sz="0" w:space="0" w:color="auto"/>
        <w:right w:val="none" w:sz="0" w:space="0" w:color="auto"/>
      </w:divBdr>
    </w:div>
    <w:div w:id="2032147122">
      <w:bodyDiv w:val="1"/>
      <w:marLeft w:val="0"/>
      <w:marRight w:val="0"/>
      <w:marTop w:val="0"/>
      <w:marBottom w:val="0"/>
      <w:divBdr>
        <w:top w:val="none" w:sz="0" w:space="0" w:color="auto"/>
        <w:left w:val="none" w:sz="0" w:space="0" w:color="auto"/>
        <w:bottom w:val="none" w:sz="0" w:space="0" w:color="auto"/>
        <w:right w:val="none" w:sz="0" w:space="0" w:color="auto"/>
      </w:divBdr>
    </w:div>
    <w:div w:id="2087023127">
      <w:bodyDiv w:val="1"/>
      <w:marLeft w:val="0"/>
      <w:marRight w:val="0"/>
      <w:marTop w:val="0"/>
      <w:marBottom w:val="0"/>
      <w:divBdr>
        <w:top w:val="none" w:sz="0" w:space="0" w:color="auto"/>
        <w:left w:val="none" w:sz="0" w:space="0" w:color="auto"/>
        <w:bottom w:val="none" w:sz="0" w:space="0" w:color="auto"/>
        <w:right w:val="none" w:sz="0" w:space="0" w:color="auto"/>
      </w:divBdr>
    </w:div>
    <w:div w:id="2099327549">
      <w:bodyDiv w:val="1"/>
      <w:marLeft w:val="0"/>
      <w:marRight w:val="0"/>
      <w:marTop w:val="0"/>
      <w:marBottom w:val="0"/>
      <w:divBdr>
        <w:top w:val="none" w:sz="0" w:space="0" w:color="auto"/>
        <w:left w:val="none" w:sz="0" w:space="0" w:color="auto"/>
        <w:bottom w:val="none" w:sz="0" w:space="0" w:color="auto"/>
        <w:right w:val="none" w:sz="0" w:space="0" w:color="auto"/>
      </w:divBdr>
    </w:div>
    <w:div w:id="2115510942">
      <w:bodyDiv w:val="1"/>
      <w:marLeft w:val="0"/>
      <w:marRight w:val="0"/>
      <w:marTop w:val="0"/>
      <w:marBottom w:val="0"/>
      <w:divBdr>
        <w:top w:val="none" w:sz="0" w:space="0" w:color="auto"/>
        <w:left w:val="none" w:sz="0" w:space="0" w:color="auto"/>
        <w:bottom w:val="none" w:sz="0" w:space="0" w:color="auto"/>
        <w:right w:val="none" w:sz="0" w:space="0" w:color="auto"/>
      </w:divBdr>
    </w:div>
    <w:div w:id="212920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ejm.org/doi/full/10.1056/NEJMoa2211644" TargetMode="External"/><Relationship Id="rId18" Type="http://schemas.openxmlformats.org/officeDocument/2006/relationships/hyperlink" Target="https://doi.org/10.1016/j.omtm.2019.05.009"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oi.org/10.1182/blood-2017-09-80441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182/bloodadvances.2022008886"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doi.org/10.1182/bloodadvances.2019000811"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ubmed.ncbi.nlm.nih.gov/38437857/" TargetMode="External"/><Relationship Id="rId22"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9C26697-B3EA-4321-943F-6CD1752300B6}"/>
      </w:docPartPr>
      <w:docPartBody>
        <w:p w:rsidR="0063617E" w:rsidRDefault="00A1690F">
          <w:r w:rsidRPr="00236D2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24E"/>
    <w:rsid w:val="0063617E"/>
    <w:rsid w:val="007523F3"/>
    <w:rsid w:val="00A1690F"/>
    <w:rsid w:val="00A248DC"/>
    <w:rsid w:val="00A6224E"/>
    <w:rsid w:val="00B514E2"/>
    <w:rsid w:val="00E87C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690F"/>
    <w:rPr>
      <w:color w:val="808080"/>
    </w:rPr>
  </w:style>
  <w:style w:type="paragraph" w:customStyle="1" w:styleId="37B6E5DF5BC04D9490E79AC6F4E77FBF">
    <w:name w:val="37B6E5DF5BC04D9490E79AC6F4E77FBF"/>
    <w:rsid w:val="00A169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AEA9A0-44C0-45F5-B6F5-CF305A7EFF09}">
  <we:reference id="55da0767-eb41-43c5-87ca-3799bace4589" version="1.0.1.0" store="EXCatalog" storeType="EXCatalog"/>
  <we:alternateReferences>
    <we:reference id="WA104380917" version="1.0.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239F8-4DA0-4ECE-BC49-B6E74042E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5569</Words>
  <Characters>31749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2025-02-19T05:06:00Z</dcterms:created>
  <dcterms:modified xsi:type="dcterms:W3CDTF">2025-02-19T05:06:00Z</dcterms:modified>
</cp:coreProperties>
</file>